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20711E" w:rsidRDefault="00E65A56" w:rsidP="008C3722">
      <w:pPr>
        <w:pStyle w:val="HeadingOrange"/>
        <w:rPr>
          <w:rStyle w:val="AERtextsize8"/>
        </w:rPr>
      </w:pPr>
      <w:r w:rsidRPr="00E65A56">
        <w:rPr>
          <w:noProof/>
          <w:lang w:eastAsia="en-AU"/>
        </w:rPr>
        <w:drawing>
          <wp:anchor distT="0" distB="0" distL="114300" distR="114300" simplePos="0" relativeHeight="251659264" behindDoc="1" locked="0" layoutInCell="1" allowOverlap="1" wp14:anchorId="076C0F17" wp14:editId="578B87E5">
            <wp:simplePos x="0" y="0"/>
            <wp:positionH relativeFrom="column">
              <wp:posOffset>-922655</wp:posOffset>
            </wp:positionH>
            <wp:positionV relativeFrom="paragraph">
              <wp:posOffset>-948642</wp:posOffset>
            </wp:positionV>
            <wp:extent cx="7573992" cy="1079164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9" cstate="print"/>
                    <a:srcRect/>
                    <a:stretch>
                      <a:fillRect/>
                    </a:stretch>
                  </pic:blipFill>
                  <pic:spPr bwMode="auto">
                    <a:xfrm>
                      <a:off x="0" y="0"/>
                      <a:ext cx="7573992" cy="10791645"/>
                    </a:xfrm>
                    <a:prstGeom prst="rect">
                      <a:avLst/>
                    </a:prstGeom>
                    <a:noFill/>
                    <a:ln w="9525">
                      <a:noFill/>
                      <a:miter lim="800000"/>
                      <a:headEnd/>
                      <a:tailEnd/>
                    </a:ln>
                  </pic:spPr>
                </pic:pic>
              </a:graphicData>
            </a:graphic>
            <wp14:sizeRelH relativeFrom="margin">
              <wp14:pctWidth>0</wp14:pctWidth>
            </wp14:sizeRelH>
          </wp:anchor>
        </w:drawing>
      </w:r>
      <w:r w:rsidR="00CC49D4" w:rsidRPr="00824CC8">
        <w:rPr>
          <w:noProof/>
          <w:lang w:eastAsia="en-AU"/>
        </w:rPr>
        <w:drawing>
          <wp:anchor distT="0" distB="0" distL="114300" distR="114300" simplePos="0" relativeHeight="251652608" behindDoc="1" locked="0" layoutInCell="1" allowOverlap="1" wp14:anchorId="1EE95248" wp14:editId="780651D2">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10"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2423F9" w:rsidRPr="00824CC8" w:rsidRDefault="002423F9" w:rsidP="002423F9"/>
    <w:p w:rsidR="002423F9" w:rsidRDefault="002423F9" w:rsidP="002423F9">
      <w:pPr>
        <w:pStyle w:val="AERbodytextnospace"/>
      </w:pPr>
    </w:p>
    <w:p w:rsidR="002423F9" w:rsidRDefault="002423F9" w:rsidP="002423F9"/>
    <w:p w:rsidR="002423F9" w:rsidRDefault="002423F9" w:rsidP="002423F9"/>
    <w:p w:rsidR="002423F9" w:rsidRDefault="002423F9" w:rsidP="002423F9"/>
    <w:p w:rsidR="002423F9" w:rsidRDefault="002423F9" w:rsidP="002423F9"/>
    <w:p w:rsidR="002423F9" w:rsidRDefault="002423F9" w:rsidP="002423F9"/>
    <w:p w:rsidR="002423F9" w:rsidRDefault="0031043E" w:rsidP="00937CE8">
      <w:pPr>
        <w:pStyle w:val="AERtitle2"/>
      </w:pPr>
      <w:r>
        <w:t xml:space="preserve">Explanatory </w:t>
      </w:r>
      <w:r w:rsidR="0078730A">
        <w:t>statement</w:t>
      </w:r>
    </w:p>
    <w:p w:rsidR="00A91499" w:rsidRDefault="00A91499" w:rsidP="00937CE8">
      <w:pPr>
        <w:pStyle w:val="AERtitle2"/>
      </w:pPr>
    </w:p>
    <w:p w:rsidR="00A91499" w:rsidRDefault="00A91499" w:rsidP="00937CE8">
      <w:pPr>
        <w:pStyle w:val="AERtitle2"/>
      </w:pPr>
    </w:p>
    <w:p w:rsidR="00A91499" w:rsidRDefault="0078730A" w:rsidP="002423F9">
      <w:pPr>
        <w:pStyle w:val="AERtitle1"/>
      </w:pPr>
      <w:r>
        <w:t>Proposed amendment</w:t>
      </w:r>
    </w:p>
    <w:p w:rsidR="002423F9" w:rsidRDefault="0078730A" w:rsidP="002423F9">
      <w:pPr>
        <w:pStyle w:val="AERtitle1"/>
      </w:pPr>
      <w:r>
        <w:t xml:space="preserve">Electricity </w:t>
      </w:r>
      <w:r w:rsidR="00A91499">
        <w:t>t</w:t>
      </w:r>
      <w:r>
        <w:t xml:space="preserve">ransmission and </w:t>
      </w:r>
      <w:r w:rsidR="00A91499">
        <w:t>d</w:t>
      </w:r>
      <w:r>
        <w:t>istribution network service providers</w:t>
      </w:r>
    </w:p>
    <w:p w:rsidR="00A91499" w:rsidRPr="00421895" w:rsidRDefault="00A91499" w:rsidP="002423F9">
      <w:pPr>
        <w:pStyle w:val="AERtitle1"/>
      </w:pPr>
      <w:r>
        <w:t>Post-tax revenue models</w:t>
      </w:r>
      <w:r w:rsidR="00B3535A">
        <w:t xml:space="preserve"> (version 3)</w:t>
      </w:r>
    </w:p>
    <w:p w:rsidR="002423F9" w:rsidRDefault="002423F9" w:rsidP="002423F9"/>
    <w:p w:rsidR="002423F9" w:rsidRDefault="002423F9" w:rsidP="002423F9"/>
    <w:p w:rsidR="002423F9" w:rsidRPr="00F6235D" w:rsidRDefault="002423F9" w:rsidP="002423F9"/>
    <w:p w:rsidR="002423F9" w:rsidRDefault="00B00145" w:rsidP="002423F9">
      <w:pPr>
        <w:pStyle w:val="AERtitle2"/>
      </w:pPr>
      <w:r>
        <w:t>3</w:t>
      </w:r>
      <w:r w:rsidR="009D71D5">
        <w:t xml:space="preserve"> </w:t>
      </w:r>
      <w:r w:rsidR="00F50D64">
        <w:t>October</w:t>
      </w:r>
      <w:r w:rsidR="002423F9">
        <w:t xml:space="preserve"> 2014</w:t>
      </w:r>
    </w:p>
    <w:p w:rsidR="002423F9" w:rsidRPr="00824CC8" w:rsidRDefault="002423F9" w:rsidP="002423F9">
      <w:pPr>
        <w:rPr>
          <w:rStyle w:val="AERtextbold"/>
        </w:rPr>
      </w:pPr>
      <w:r>
        <w:rPr>
          <w:rStyle w:val="AERtextbold"/>
        </w:rPr>
        <w:br w:type="page"/>
      </w:r>
    </w:p>
    <w:p w:rsidR="00C643B1" w:rsidRPr="00540029" w:rsidRDefault="00C643B1" w:rsidP="00540029">
      <w:pPr>
        <w:pStyle w:val="AERbodytextnospaceleftalign"/>
        <w:rPr>
          <w:rStyle w:val="AERtextbold"/>
        </w:rPr>
      </w:pPr>
      <w:r w:rsidRPr="00540029">
        <w:rPr>
          <w:rStyle w:val="AERtextbold"/>
        </w:rPr>
        <w:lastRenderedPageBreak/>
        <w:t>© Commonwealth of Australia 2014</w:t>
      </w:r>
    </w:p>
    <w:p w:rsidR="00C643B1" w:rsidRPr="00C643B1" w:rsidRDefault="00C643B1" w:rsidP="00540029">
      <w:pPr>
        <w:pStyle w:val="AERbodytext"/>
      </w:pPr>
      <w:r w:rsidRPr="00C643B1">
        <w:t>This work is copyright. In addition to any use permitted under the Copyright Act 1968, all material contained within this work is provided under a Creative Commons Attribution 3.0 Australia licence, with the exception of:</w:t>
      </w:r>
    </w:p>
    <w:p w:rsidR="00C643B1" w:rsidRPr="00C643B1" w:rsidRDefault="00C643B1" w:rsidP="00540029">
      <w:pPr>
        <w:pStyle w:val="AERbulletlistfirststyle"/>
      </w:pPr>
      <w:r w:rsidRPr="00C643B1">
        <w:t>the Commonwealth Coat of Arms</w:t>
      </w:r>
    </w:p>
    <w:p w:rsidR="00C643B1" w:rsidRPr="00C643B1" w:rsidRDefault="00C643B1" w:rsidP="00540029">
      <w:pPr>
        <w:pStyle w:val="AERbulletlistfirststyle"/>
      </w:pPr>
      <w:r w:rsidRPr="00C643B1">
        <w:t>the ACCC and AER logos</w:t>
      </w:r>
    </w:p>
    <w:p w:rsidR="00C643B1" w:rsidRPr="00C643B1" w:rsidRDefault="00C643B1" w:rsidP="00540029">
      <w:pPr>
        <w:pStyle w:val="AERbulletlistfirststyle"/>
        <w:rPr>
          <w:lang w:val="en-US"/>
        </w:rPr>
      </w:pPr>
      <w:r w:rsidRPr="00C643B1">
        <w:t>any illustration, diagram, photograph or graphic over which the Australian Competition and Consumer Commission does not hold copyright, but which may be part of or contained within this publication.</w:t>
      </w:r>
    </w:p>
    <w:p w:rsidR="00C643B1" w:rsidRDefault="00C643B1" w:rsidP="00540029">
      <w:pPr>
        <w:pStyle w:val="AERbodytextnospaceleftalign"/>
      </w:pPr>
      <w:r w:rsidRPr="00C643B1">
        <w:t>The details of the relevant licence conditions are available on the Creative Commons website, as is the full legal code for the CC BY 3.0 AU licence.</w:t>
      </w:r>
    </w:p>
    <w:p w:rsidR="00C643B1" w:rsidRPr="00C643B1" w:rsidRDefault="00C643B1" w:rsidP="00540029">
      <w:pPr>
        <w:pStyle w:val="AERbodytextnospaceleftalign"/>
      </w:pPr>
    </w:p>
    <w:p w:rsidR="00C643B1" w:rsidRPr="00C643B1" w:rsidRDefault="00C643B1" w:rsidP="00540029">
      <w:pPr>
        <w:pStyle w:val="AERbodytextnospaceleftalign"/>
      </w:pPr>
      <w:r w:rsidRPr="00C643B1">
        <w:t xml:space="preserve">Requests and inquiries concerning reproduction and rights should be addressed to the Director, Corporate Communications, ACCC, GPO Box 3131, Canberra ACT 2601, or </w:t>
      </w:r>
      <w:hyperlink r:id="rId11" w:history="1">
        <w:r w:rsidRPr="00C643B1">
          <w:rPr>
            <w:rStyle w:val="Hyperlink"/>
          </w:rPr>
          <w:t>publishing.unit@accc.gov.au</w:t>
        </w:r>
      </w:hyperlink>
    </w:p>
    <w:p w:rsidR="00C643B1" w:rsidRDefault="00C643B1" w:rsidP="00540029">
      <w:pPr>
        <w:pStyle w:val="AERbodytextnospace"/>
        <w:rPr>
          <w:rStyle w:val="AERbody"/>
        </w:rPr>
      </w:pPr>
    </w:p>
    <w:p w:rsidR="00C643B1" w:rsidRPr="00C643B1" w:rsidRDefault="00C643B1" w:rsidP="00540029">
      <w:pPr>
        <w:pStyle w:val="AERbodytextnospace"/>
        <w:rPr>
          <w:rStyle w:val="AERbody"/>
        </w:rPr>
      </w:pPr>
      <w:r w:rsidRPr="00540029">
        <w:rPr>
          <w:rStyle w:val="AERbody"/>
        </w:rPr>
        <w:t>Inquiries about this decision should be addressed to:</w:t>
      </w:r>
    </w:p>
    <w:p w:rsidR="00C643B1" w:rsidRPr="00C643B1" w:rsidRDefault="00C643B1" w:rsidP="00540029">
      <w:pPr>
        <w:pStyle w:val="AERbodytextnospace"/>
        <w:rPr>
          <w:rStyle w:val="AERbody"/>
        </w:rPr>
      </w:pPr>
      <w:r w:rsidRPr="00540029">
        <w:rPr>
          <w:rStyle w:val="AERbody"/>
        </w:rPr>
        <w:t>Australian Energy Regulator</w:t>
      </w:r>
    </w:p>
    <w:p w:rsidR="00C643B1" w:rsidRPr="00540029" w:rsidRDefault="00C643B1" w:rsidP="00540029">
      <w:pPr>
        <w:pStyle w:val="AERbodytextnospace"/>
        <w:rPr>
          <w:rStyle w:val="AERbody"/>
        </w:rPr>
      </w:pPr>
      <w:r w:rsidRPr="00540029">
        <w:rPr>
          <w:rStyle w:val="AERbody"/>
        </w:rPr>
        <w:t>GPO Box 520</w:t>
      </w:r>
    </w:p>
    <w:p w:rsidR="00C643B1" w:rsidRPr="00540029" w:rsidRDefault="00C643B1" w:rsidP="00540029">
      <w:pPr>
        <w:pStyle w:val="AERbodytextnospace"/>
        <w:rPr>
          <w:rStyle w:val="AERbody"/>
        </w:rPr>
      </w:pPr>
      <w:r w:rsidRPr="00540029">
        <w:rPr>
          <w:rStyle w:val="AERbody"/>
        </w:rPr>
        <w:t>Melbourne  Vic  3001</w:t>
      </w:r>
    </w:p>
    <w:p w:rsidR="00C643B1" w:rsidRPr="00540029" w:rsidRDefault="00C643B1" w:rsidP="00540029">
      <w:pPr>
        <w:pStyle w:val="AERbodytextnospace"/>
        <w:rPr>
          <w:rStyle w:val="AERbody"/>
        </w:rPr>
      </w:pPr>
      <w:r w:rsidRPr="00540029">
        <w:rPr>
          <w:rStyle w:val="AERbody"/>
        </w:rPr>
        <w:t>Tel: (03) 9290 1444</w:t>
      </w:r>
    </w:p>
    <w:p w:rsidR="00C643B1" w:rsidRDefault="00C643B1" w:rsidP="00540029">
      <w:pPr>
        <w:pStyle w:val="AERbodytextnospace"/>
        <w:rPr>
          <w:rStyle w:val="AERbody"/>
        </w:rPr>
      </w:pPr>
      <w:r w:rsidRPr="00540029">
        <w:rPr>
          <w:rStyle w:val="AERbody"/>
        </w:rPr>
        <w:t>Fax: (03) 9290 1457</w:t>
      </w:r>
    </w:p>
    <w:p w:rsidR="00C643B1" w:rsidRPr="00540029" w:rsidRDefault="00C643B1" w:rsidP="00540029">
      <w:pPr>
        <w:pStyle w:val="AERbodytextnospace"/>
        <w:rPr>
          <w:rStyle w:val="AERbody"/>
        </w:rPr>
      </w:pPr>
    </w:p>
    <w:p w:rsidR="00C643B1" w:rsidRPr="00C643B1" w:rsidRDefault="00C643B1" w:rsidP="00C643B1">
      <w:r w:rsidRPr="00C643B1">
        <w:t xml:space="preserve">Email: </w:t>
      </w:r>
      <w:hyperlink r:id="rId12" w:history="1">
        <w:r w:rsidRPr="00C643B1">
          <w:rPr>
            <w:rStyle w:val="Hyperlink"/>
          </w:rPr>
          <w:t>AERInquiry@aer.gov.au</w:t>
        </w:r>
      </w:hyperlink>
    </w:p>
    <w:p w:rsidR="002423F9" w:rsidRPr="00780CA6" w:rsidRDefault="00317AF6" w:rsidP="008D49E5">
      <w:pPr>
        <w:pStyle w:val="AERbodytext"/>
        <w:rPr>
          <w:rStyle w:val="AERbody"/>
        </w:rPr>
      </w:pPr>
      <w:r w:rsidRPr="00780CA6">
        <w:rPr>
          <w:rStyle w:val="AERbody"/>
        </w:rPr>
        <w:t xml:space="preserve">AER reference:  </w:t>
      </w:r>
      <w:r w:rsidR="008D49E5">
        <w:rPr>
          <w:rStyle w:val="AERbody"/>
        </w:rPr>
        <w:t>5544</w:t>
      </w:r>
      <w:r w:rsidR="000F41DC">
        <w:rPr>
          <w:rStyle w:val="AERbody"/>
        </w:rPr>
        <w:t>4</w:t>
      </w:r>
      <w:r w:rsidR="000F41DC">
        <w:rPr>
          <w:rStyle w:val="AERbody"/>
        </w:rPr>
        <w:tab/>
      </w:r>
    </w:p>
    <w:p w:rsidR="002A3246" w:rsidRPr="003324F7" w:rsidRDefault="002A3246" w:rsidP="00064605">
      <w:pPr>
        <w:pStyle w:val="AERbodytext"/>
        <w:numPr>
          <w:ilvl w:val="0"/>
          <w:numId w:val="9"/>
        </w:numPr>
      </w:pPr>
    </w:p>
    <w:p w:rsidR="002A3246" w:rsidRPr="00F6235D" w:rsidRDefault="002A3246" w:rsidP="002A3246">
      <w:pPr>
        <w:pStyle w:val="AERtitle2"/>
      </w:pPr>
    </w:p>
    <w:p w:rsidR="002423F9" w:rsidRPr="00F6235D" w:rsidRDefault="002423F9" w:rsidP="002423F9"/>
    <w:p w:rsidR="00892DA2" w:rsidRPr="001D5B42" w:rsidRDefault="00892DA2" w:rsidP="00892DA2">
      <w:pPr>
        <w:pStyle w:val="UnnumberedHeading"/>
      </w:pPr>
      <w:bookmarkStart w:id="0" w:name="_Toc341968859"/>
      <w:bookmarkStart w:id="1" w:name="_Toc383780211"/>
      <w:bookmarkStart w:id="2" w:name="_Toc395861690"/>
      <w:bookmarkStart w:id="3" w:name="_Toc400025124"/>
      <w:r w:rsidRPr="001D5B42">
        <w:lastRenderedPageBreak/>
        <w:t>Request for submissions</w:t>
      </w:r>
      <w:bookmarkEnd w:id="0"/>
      <w:bookmarkEnd w:id="1"/>
      <w:bookmarkEnd w:id="2"/>
      <w:bookmarkEnd w:id="3"/>
    </w:p>
    <w:p w:rsidR="00892DA2" w:rsidRPr="0019405D" w:rsidRDefault="00892DA2" w:rsidP="00892DA2">
      <w:pPr>
        <w:pStyle w:val="AERbodytext"/>
      </w:pPr>
      <w:r w:rsidRPr="0019405D">
        <w:t xml:space="preserve">Interested parties are invited to make written submissions </w:t>
      </w:r>
      <w:r w:rsidR="006259E9">
        <w:t xml:space="preserve">on the proposed amendments to the </w:t>
      </w:r>
      <w:r w:rsidR="003A594E">
        <w:br/>
      </w:r>
      <w:r w:rsidR="006259E9">
        <w:t>post-tax revenue model</w:t>
      </w:r>
      <w:r w:rsidR="008412E7" w:rsidRPr="008412E7">
        <w:t xml:space="preserve"> </w:t>
      </w:r>
      <w:r w:rsidR="006259E9">
        <w:t xml:space="preserve">(PTRM) </w:t>
      </w:r>
      <w:r w:rsidRPr="0019405D">
        <w:t xml:space="preserve">to </w:t>
      </w:r>
      <w:r w:rsidR="00E52E4E">
        <w:t xml:space="preserve">us, </w:t>
      </w:r>
      <w:r w:rsidRPr="0019405D">
        <w:t>the Australian Energy Regulator (AER)</w:t>
      </w:r>
      <w:r w:rsidR="00E52E4E">
        <w:t xml:space="preserve">, </w:t>
      </w:r>
      <w:r w:rsidRPr="0019405D">
        <w:t>by close of business</w:t>
      </w:r>
      <w:r w:rsidRPr="00692EE2">
        <w:rPr>
          <w:rStyle w:val="AERbody"/>
        </w:rPr>
        <w:t>,</w:t>
      </w:r>
      <w:r w:rsidR="005569C6" w:rsidRPr="00692EE2">
        <w:rPr>
          <w:rStyle w:val="AERbody"/>
        </w:rPr>
        <w:t xml:space="preserve"> </w:t>
      </w:r>
      <w:r w:rsidR="00372E7E">
        <w:rPr>
          <w:rStyle w:val="AERtextbold"/>
        </w:rPr>
        <w:t>1</w:t>
      </w:r>
      <w:r w:rsidR="00B00145">
        <w:rPr>
          <w:rStyle w:val="AERtextbold"/>
        </w:rPr>
        <w:t>7</w:t>
      </w:r>
      <w:r w:rsidR="00F50D64">
        <w:rPr>
          <w:rStyle w:val="AERtextbold"/>
        </w:rPr>
        <w:t> </w:t>
      </w:r>
      <w:r w:rsidR="00D144E1">
        <w:rPr>
          <w:rStyle w:val="AERtextbold"/>
        </w:rPr>
        <w:t>November</w:t>
      </w:r>
      <w:r w:rsidRPr="00C50AE4">
        <w:rPr>
          <w:rStyle w:val="AERtextbold"/>
        </w:rPr>
        <w:t xml:space="preserve"> 2014</w:t>
      </w:r>
      <w:r w:rsidRPr="00692EE2">
        <w:rPr>
          <w:rStyle w:val="AERbody"/>
        </w:rPr>
        <w:t>.</w:t>
      </w:r>
    </w:p>
    <w:p w:rsidR="00B746F1" w:rsidRDefault="0078406B" w:rsidP="00892DA2">
      <w:r>
        <w:t>We</w:t>
      </w:r>
      <w:r w:rsidR="00892DA2">
        <w:t xml:space="preserve"> prefer that all submissions sent in an electronic format are in Microsoft Word or other text readable document form.</w:t>
      </w:r>
      <w:r w:rsidR="00B746F1" w:rsidRPr="00B746F1">
        <w:t xml:space="preserve"> </w:t>
      </w:r>
      <w:r w:rsidR="00B746F1" w:rsidRPr="00552D1A">
        <w:t>Submissions should be sent electronically to</w:t>
      </w:r>
      <w:r w:rsidR="005C1214">
        <w:t xml:space="preserve"> </w:t>
      </w:r>
      <w:hyperlink r:id="rId13" w:history="1">
        <w:r w:rsidR="005C1214" w:rsidRPr="003E184A">
          <w:rPr>
            <w:rStyle w:val="Hyperlink"/>
          </w:rPr>
          <w:t>AERInquiry@aer.gov.au</w:t>
        </w:r>
      </w:hyperlink>
      <w:r w:rsidR="00B746F1" w:rsidRPr="00552D1A">
        <w:t xml:space="preserve"> </w:t>
      </w:r>
    </w:p>
    <w:p w:rsidR="00892DA2" w:rsidRPr="00433BD9" w:rsidRDefault="00892DA2" w:rsidP="00A325DB">
      <w:pPr>
        <w:pStyle w:val="AERbulletlistfirststyle"/>
        <w:numPr>
          <w:ilvl w:val="0"/>
          <w:numId w:val="0"/>
        </w:numPr>
      </w:pPr>
      <w:r w:rsidRPr="00433BD9">
        <w:t>Alternatively, submissions can be sent to:</w:t>
      </w:r>
    </w:p>
    <w:p w:rsidR="00892DA2" w:rsidRDefault="00892DA2" w:rsidP="00892DA2">
      <w:pPr>
        <w:pStyle w:val="AERbodytextnospace"/>
      </w:pPr>
      <w:r>
        <w:t xml:space="preserve">Mr </w:t>
      </w:r>
      <w:r w:rsidR="003D45CA">
        <w:t>Warwick Anderson</w:t>
      </w:r>
    </w:p>
    <w:p w:rsidR="00B746F1" w:rsidRDefault="00516B10" w:rsidP="00892DA2">
      <w:pPr>
        <w:pStyle w:val="AERbodytextnospace"/>
      </w:pPr>
      <w:r>
        <w:t>General Manager</w:t>
      </w:r>
      <w:r w:rsidR="005C1214">
        <w:t xml:space="preserve"> – Networks Finance and Reporting Branch</w:t>
      </w:r>
    </w:p>
    <w:p w:rsidR="00892DA2" w:rsidRDefault="00892DA2" w:rsidP="00892DA2">
      <w:pPr>
        <w:pStyle w:val="AERbodytextnospace"/>
      </w:pPr>
      <w:r>
        <w:t>Australian Energy Regulator</w:t>
      </w:r>
    </w:p>
    <w:p w:rsidR="003D45CA" w:rsidRDefault="003D45CA" w:rsidP="00892DA2">
      <w:pPr>
        <w:pStyle w:val="AERbodytextnospace"/>
      </w:pPr>
      <w:r>
        <w:t>GPO Box 3131</w:t>
      </w:r>
    </w:p>
    <w:p w:rsidR="003D45CA" w:rsidRDefault="003D45CA" w:rsidP="00892DA2">
      <w:pPr>
        <w:pStyle w:val="AERbodytextnospace"/>
      </w:pPr>
      <w:r>
        <w:t>Canberra ACT 2601</w:t>
      </w:r>
    </w:p>
    <w:p w:rsidR="00F372AE" w:rsidRDefault="00F372AE" w:rsidP="00540029">
      <w:pPr>
        <w:pStyle w:val="AERbodytextnospace"/>
      </w:pPr>
    </w:p>
    <w:p w:rsidR="00892DA2" w:rsidRPr="00540029" w:rsidRDefault="00892DA2">
      <w:pPr>
        <w:pStyle w:val="AERbodytext"/>
        <w:rPr>
          <w:rStyle w:val="AERbody"/>
        </w:rPr>
      </w:pPr>
      <w:r w:rsidRPr="00540029">
        <w:rPr>
          <w:rStyle w:val="AERbody"/>
        </w:rPr>
        <w:t>We prefer that all submissions be publicly available to facilitate an informed and transparent consultative process. Submissions will be treated as public documents unless otherwise requested. Parties wishing to submit confidential information are requested to:</w:t>
      </w:r>
    </w:p>
    <w:p w:rsidR="00892DA2" w:rsidRPr="00F35E5A" w:rsidRDefault="00892DA2" w:rsidP="00892DA2">
      <w:pPr>
        <w:pStyle w:val="AERbulletlistfirststyle"/>
      </w:pPr>
      <w:r w:rsidRPr="00F35E5A">
        <w:t>clearly identify the information that is the subject of the confidentiality claim</w:t>
      </w:r>
    </w:p>
    <w:p w:rsidR="00892DA2" w:rsidRPr="00F35E5A" w:rsidRDefault="00892DA2" w:rsidP="00892DA2">
      <w:pPr>
        <w:pStyle w:val="AERbulletlistfirststyle"/>
      </w:pPr>
      <w:proofErr w:type="gramStart"/>
      <w:r w:rsidRPr="00F35E5A">
        <w:t>provide</w:t>
      </w:r>
      <w:proofErr w:type="gramEnd"/>
      <w:r w:rsidRPr="00F35E5A">
        <w:t xml:space="preserve"> a non-confidential version of the submission in a form suitable for publication.</w:t>
      </w:r>
    </w:p>
    <w:p w:rsidR="00892DA2" w:rsidRPr="00433BD9" w:rsidRDefault="00892DA2" w:rsidP="00892DA2">
      <w:pPr>
        <w:pStyle w:val="AERbodytext"/>
      </w:pPr>
      <w:r w:rsidRPr="00433BD9">
        <w:t xml:space="preserve">All non-confidential submissions will be placed on </w:t>
      </w:r>
      <w:r>
        <w:t>our</w:t>
      </w:r>
      <w:r w:rsidRPr="00433BD9">
        <w:t xml:space="preserve"> website at </w:t>
      </w:r>
      <w:hyperlink r:id="rId14" w:history="1">
        <w:r w:rsidRPr="00433BD9">
          <w:rPr>
            <w:rStyle w:val="Hyperlink"/>
          </w:rPr>
          <w:t>www.aer.gov.au</w:t>
        </w:r>
      </w:hyperlink>
      <w:r w:rsidRPr="00433BD9">
        <w:t xml:space="preserve">. For further information regarding </w:t>
      </w:r>
      <w:r>
        <w:t>our</w:t>
      </w:r>
      <w:r w:rsidRPr="00433BD9">
        <w:t xml:space="preserve"> use and disclosure of information provided to </w:t>
      </w:r>
      <w:r>
        <w:t>us</w:t>
      </w:r>
      <w:r w:rsidRPr="00433BD9">
        <w:t xml:space="preserve">, see the ACCC/AER Information Policy, October 2008 available on </w:t>
      </w:r>
      <w:r>
        <w:t>our</w:t>
      </w:r>
      <w:r w:rsidRPr="00433BD9">
        <w:t xml:space="preserve"> website.</w:t>
      </w:r>
    </w:p>
    <w:p w:rsidR="00892DA2" w:rsidRPr="00433BD9" w:rsidRDefault="00892DA2" w:rsidP="00892DA2">
      <w:r w:rsidRPr="00433BD9">
        <w:t xml:space="preserve">Enquires about this paper, or about lodging submissions, should be directed to </w:t>
      </w:r>
      <w:r w:rsidR="005C1214">
        <w:t>Kenny Yap</w:t>
      </w:r>
      <w:r w:rsidRPr="00552D1A">
        <w:t xml:space="preserve"> on (</w:t>
      </w:r>
      <w:r w:rsidR="00E04509" w:rsidRPr="00E04509">
        <w:rPr>
          <w:rStyle w:val="AERbody"/>
        </w:rPr>
        <w:t>02)</w:t>
      </w:r>
      <w:r w:rsidR="00520C3F">
        <w:rPr>
          <w:rStyle w:val="AERbody"/>
        </w:rPr>
        <w:t> </w:t>
      </w:r>
      <w:r w:rsidR="00E04509" w:rsidRPr="00E04509">
        <w:rPr>
          <w:rStyle w:val="AERbody"/>
        </w:rPr>
        <w:t xml:space="preserve">6243 </w:t>
      </w:r>
      <w:r w:rsidR="00D144E1">
        <w:rPr>
          <w:rStyle w:val="AERbody"/>
        </w:rPr>
        <w:t>1224</w:t>
      </w:r>
      <w:r w:rsidRPr="00E04509">
        <w:rPr>
          <w:rStyle w:val="AERbody"/>
        </w:rPr>
        <w:t>.</w:t>
      </w:r>
    </w:p>
    <w:p w:rsidR="00892DA2" w:rsidRDefault="00892DA2" w:rsidP="00892DA2">
      <w:pPr>
        <w:pStyle w:val="HeadingBoldBlue"/>
      </w:pPr>
      <w:r>
        <w:t>Next steps</w:t>
      </w:r>
    </w:p>
    <w:p w:rsidR="00491692" w:rsidRPr="00491692" w:rsidRDefault="00892DA2" w:rsidP="00491692">
      <w:pPr>
        <w:pStyle w:val="AERbodytext"/>
      </w:pPr>
      <w:r>
        <w:t xml:space="preserve">We will consider and respond to submissions on </w:t>
      </w:r>
      <w:r w:rsidR="00B675F2">
        <w:t xml:space="preserve">this explanatory </w:t>
      </w:r>
      <w:r w:rsidR="000109A9">
        <w:t>statement</w:t>
      </w:r>
      <w:r>
        <w:t xml:space="preserve">. </w:t>
      </w:r>
      <w:r w:rsidR="00491692" w:rsidRPr="00491692">
        <w:t xml:space="preserve">Key dates for our </w:t>
      </w:r>
      <w:r w:rsidR="00491692">
        <w:t>amendment</w:t>
      </w:r>
      <w:r w:rsidR="00491692" w:rsidRPr="00491692">
        <w:t xml:space="preserve"> process are set out in </w:t>
      </w:r>
      <w:r w:rsidR="00491692" w:rsidRPr="00491692">
        <w:fldChar w:fldCharType="begin"/>
      </w:r>
      <w:r w:rsidR="00491692" w:rsidRPr="00491692">
        <w:instrText xml:space="preserve"> REF _Ref393869068 \h </w:instrText>
      </w:r>
      <w:r w:rsidR="00491692" w:rsidRPr="00491692">
        <w:fldChar w:fldCharType="separate"/>
      </w:r>
      <w:r w:rsidR="00715B0B">
        <w:t>t</w:t>
      </w:r>
      <w:r w:rsidR="008B40CD" w:rsidRPr="00491692">
        <w:t xml:space="preserve">able </w:t>
      </w:r>
      <w:r w:rsidR="008B40CD">
        <w:rPr>
          <w:noProof/>
        </w:rPr>
        <w:t>1</w:t>
      </w:r>
      <w:r w:rsidR="00491692" w:rsidRPr="00491692">
        <w:fldChar w:fldCharType="end"/>
      </w:r>
      <w:r w:rsidR="00491692" w:rsidRPr="00491692">
        <w:t>.</w:t>
      </w:r>
    </w:p>
    <w:p w:rsidR="00491692" w:rsidRPr="00491692" w:rsidRDefault="00491692" w:rsidP="00491692">
      <w:pPr>
        <w:pStyle w:val="Caption"/>
      </w:pPr>
      <w:bookmarkStart w:id="4" w:name="_Ref393869068"/>
      <w:bookmarkStart w:id="5" w:name="_Ref390876259"/>
      <w:r w:rsidRPr="00491692">
        <w:t xml:space="preserve">Table </w:t>
      </w:r>
      <w:fldSimple w:instr=" SEQ Table \* ARABIC ">
        <w:r w:rsidR="008B40CD">
          <w:rPr>
            <w:noProof/>
          </w:rPr>
          <w:t>1</w:t>
        </w:r>
      </w:fldSimple>
      <w:bookmarkEnd w:id="4"/>
      <w:r w:rsidRPr="00491692">
        <w:tab/>
      </w:r>
      <w:bookmarkEnd w:id="5"/>
      <w:r>
        <w:t>Amendment process</w:t>
      </w:r>
    </w:p>
    <w:tbl>
      <w:tblPr>
        <w:tblStyle w:val="AERtable-text"/>
        <w:tblW w:w="0" w:type="auto"/>
        <w:tblLayout w:type="fixed"/>
        <w:tblLook w:val="04A0" w:firstRow="1" w:lastRow="0" w:firstColumn="1" w:lastColumn="0" w:noHBand="0" w:noVBand="1"/>
      </w:tblPr>
      <w:tblGrid>
        <w:gridCol w:w="5353"/>
        <w:gridCol w:w="3827"/>
      </w:tblGrid>
      <w:tr w:rsidR="00491692" w:rsidRPr="00787AE3" w:rsidTr="00491692">
        <w:trPr>
          <w:cnfStyle w:val="100000000000" w:firstRow="1" w:lastRow="0" w:firstColumn="0" w:lastColumn="0" w:oddVBand="0" w:evenVBand="0" w:oddHBand="0" w:evenHBand="0" w:firstRowFirstColumn="0" w:firstRowLastColumn="0" w:lastRowFirstColumn="0" w:lastRowLastColumn="0"/>
        </w:trPr>
        <w:tc>
          <w:tcPr>
            <w:tcW w:w="5353" w:type="dxa"/>
            <w:noWrap/>
          </w:tcPr>
          <w:p w:rsidR="00491692" w:rsidRPr="00491692" w:rsidRDefault="00491692" w:rsidP="00491692">
            <w:r w:rsidRPr="0022669A">
              <w:t>Task</w:t>
            </w:r>
          </w:p>
        </w:tc>
        <w:tc>
          <w:tcPr>
            <w:tcW w:w="3827" w:type="dxa"/>
            <w:noWrap/>
          </w:tcPr>
          <w:p w:rsidR="00491692" w:rsidRPr="00491692" w:rsidRDefault="00491692" w:rsidP="00491692">
            <w:r w:rsidRPr="0022669A">
              <w:t>Date</w:t>
            </w:r>
          </w:p>
        </w:tc>
      </w:tr>
      <w:tr w:rsidR="00491692" w:rsidRPr="00787AE3" w:rsidTr="00491692">
        <w:tc>
          <w:tcPr>
            <w:tcW w:w="5353" w:type="dxa"/>
            <w:noWrap/>
            <w:vAlign w:val="top"/>
          </w:tcPr>
          <w:p w:rsidR="00491692" w:rsidRPr="00491692" w:rsidRDefault="00491692" w:rsidP="00491692">
            <w:r w:rsidRPr="00787AE3">
              <w:t xml:space="preserve">AER issues </w:t>
            </w:r>
            <w:r>
              <w:t>explanatory statement on proposed amendments</w:t>
            </w:r>
          </w:p>
        </w:tc>
        <w:tc>
          <w:tcPr>
            <w:tcW w:w="3827" w:type="dxa"/>
            <w:noWrap/>
            <w:vAlign w:val="top"/>
          </w:tcPr>
          <w:p w:rsidR="00491692" w:rsidRPr="00491692" w:rsidRDefault="00B00145" w:rsidP="006C0D83">
            <w:r>
              <w:t>3</w:t>
            </w:r>
            <w:r w:rsidR="006C0D83">
              <w:t xml:space="preserve"> October</w:t>
            </w:r>
            <w:r w:rsidR="00491692" w:rsidRPr="00787AE3">
              <w:t xml:space="preserve"> 2014</w:t>
            </w:r>
          </w:p>
        </w:tc>
      </w:tr>
      <w:tr w:rsidR="00491692" w:rsidRPr="00787AE3" w:rsidTr="00491692">
        <w:trPr>
          <w:cnfStyle w:val="000000010000" w:firstRow="0" w:lastRow="0" w:firstColumn="0" w:lastColumn="0" w:oddVBand="0" w:evenVBand="0" w:oddHBand="0" w:evenHBand="1" w:firstRowFirstColumn="0" w:firstRowLastColumn="0" w:lastRowFirstColumn="0" w:lastRowLastColumn="0"/>
        </w:trPr>
        <w:tc>
          <w:tcPr>
            <w:tcW w:w="5353" w:type="dxa"/>
            <w:noWrap/>
            <w:vAlign w:val="top"/>
          </w:tcPr>
          <w:p w:rsidR="00491692" w:rsidRPr="00491692" w:rsidRDefault="00491692" w:rsidP="00491692">
            <w:r w:rsidRPr="00787AE3">
              <w:t xml:space="preserve">Stakeholder submissions on </w:t>
            </w:r>
            <w:r>
              <w:t>proposed amendments</w:t>
            </w:r>
            <w:r w:rsidRPr="00491692">
              <w:t xml:space="preserve"> close</w:t>
            </w:r>
          </w:p>
        </w:tc>
        <w:tc>
          <w:tcPr>
            <w:tcW w:w="3827" w:type="dxa"/>
            <w:noWrap/>
            <w:vAlign w:val="top"/>
          </w:tcPr>
          <w:p w:rsidR="00491692" w:rsidRPr="00491692" w:rsidRDefault="00372E7E" w:rsidP="00372E7E">
            <w:r>
              <w:t>1</w:t>
            </w:r>
            <w:r w:rsidR="00B00145">
              <w:t>7</w:t>
            </w:r>
            <w:r w:rsidR="00491692">
              <w:t xml:space="preserve"> November</w:t>
            </w:r>
            <w:r w:rsidR="00491692" w:rsidRPr="00B523B1">
              <w:t xml:space="preserve"> 201</w:t>
            </w:r>
            <w:r w:rsidR="006C0D83">
              <w:t>4</w:t>
            </w:r>
          </w:p>
        </w:tc>
      </w:tr>
      <w:tr w:rsidR="00491692" w:rsidRPr="00787AE3" w:rsidTr="00491692">
        <w:tc>
          <w:tcPr>
            <w:tcW w:w="5353" w:type="dxa"/>
            <w:noWrap/>
            <w:vAlign w:val="top"/>
          </w:tcPr>
          <w:p w:rsidR="00491692" w:rsidRPr="00491692" w:rsidRDefault="00491692" w:rsidP="00491692">
            <w:r w:rsidRPr="00787AE3">
              <w:t>AER issues final decision</w:t>
            </w:r>
          </w:p>
        </w:tc>
        <w:tc>
          <w:tcPr>
            <w:tcW w:w="3827" w:type="dxa"/>
            <w:noWrap/>
            <w:vAlign w:val="top"/>
          </w:tcPr>
          <w:p w:rsidR="00491692" w:rsidRPr="00491692" w:rsidRDefault="006C0D83" w:rsidP="00491692">
            <w:r>
              <w:t>Late January</w:t>
            </w:r>
            <w:r w:rsidRPr="00787AE3">
              <w:t xml:space="preserve"> </w:t>
            </w:r>
            <w:r w:rsidR="00491692" w:rsidRPr="00787AE3">
              <w:t>2015</w:t>
            </w:r>
          </w:p>
        </w:tc>
      </w:tr>
    </w:tbl>
    <w:p w:rsidR="002423F9" w:rsidRDefault="002423F9">
      <w:pPr>
        <w:spacing w:after="0" w:line="240" w:lineRule="auto"/>
        <w:jc w:val="left"/>
        <w:rPr>
          <w:rFonts w:eastAsia="Times New Roman"/>
          <w:b/>
          <w:sz w:val="40"/>
          <w:szCs w:val="24"/>
          <w:lang w:eastAsia="en-AU"/>
        </w:rPr>
      </w:pPr>
    </w:p>
    <w:p w:rsidR="00AF3E95" w:rsidRDefault="00AF3E95" w:rsidP="0052577F">
      <w:pPr>
        <w:pStyle w:val="Heading7"/>
        <w:numPr>
          <w:ilvl w:val="0"/>
          <w:numId w:val="0"/>
        </w:numPr>
      </w:pPr>
      <w:bookmarkStart w:id="6" w:name="_Toc360023682"/>
      <w:bookmarkStart w:id="7" w:name="_Toc360024843"/>
      <w:bookmarkStart w:id="8" w:name="_Toc390238692"/>
      <w:bookmarkStart w:id="9" w:name="_Toc390341525"/>
      <w:bookmarkStart w:id="10" w:name="_Toc390341580"/>
      <w:bookmarkStart w:id="11" w:name="_Toc390341621"/>
      <w:bookmarkStart w:id="12" w:name="_Toc390875170"/>
      <w:r>
        <w:lastRenderedPageBreak/>
        <w:t>Contents</w:t>
      </w:r>
      <w:bookmarkEnd w:id="6"/>
      <w:bookmarkEnd w:id="7"/>
      <w:bookmarkEnd w:id="8"/>
      <w:bookmarkEnd w:id="9"/>
      <w:bookmarkEnd w:id="10"/>
      <w:bookmarkEnd w:id="11"/>
      <w:bookmarkEnd w:id="12"/>
    </w:p>
    <w:sdt>
      <w:sdtPr>
        <w:rPr>
          <w:b w:val="0"/>
          <w:bCs w:val="0"/>
        </w:rPr>
        <w:id w:val="-460344894"/>
        <w:docPartObj>
          <w:docPartGallery w:val="Table of Contents"/>
          <w:docPartUnique/>
        </w:docPartObj>
      </w:sdtPr>
      <w:sdtContent>
        <w:p w:rsidR="00BF00BC" w:rsidRDefault="00657133">
          <w:pPr>
            <w:pStyle w:val="TOC1"/>
            <w:tabs>
              <w:tab w:val="right" w:leader="dot" w:pos="9016"/>
            </w:tabs>
            <w:rPr>
              <w:rFonts w:asciiTheme="minorHAnsi" w:eastAsiaTheme="minorEastAsia" w:hAnsiTheme="minorHAnsi" w:cstheme="minorBidi"/>
              <w:b w:val="0"/>
              <w:bCs w:val="0"/>
              <w:noProof/>
              <w:sz w:val="22"/>
              <w:szCs w:val="22"/>
              <w:lang w:eastAsia="en-AU"/>
            </w:rPr>
          </w:pPr>
          <w:r w:rsidRPr="00657133">
            <w:fldChar w:fldCharType="begin"/>
          </w:r>
          <w:r w:rsidRPr="00657133">
            <w:instrText xml:space="preserve"> TOC \o "1-3" \h \z \u </w:instrText>
          </w:r>
          <w:r w:rsidRPr="00657133">
            <w:fldChar w:fldCharType="separate"/>
          </w:r>
          <w:hyperlink w:anchor="_Toc400025124" w:history="1">
            <w:r w:rsidR="00BF00BC" w:rsidRPr="004D16D9">
              <w:rPr>
                <w:rStyle w:val="Hyperlink"/>
                <w:noProof/>
              </w:rPr>
              <w:t>Request for submissions</w:t>
            </w:r>
            <w:r w:rsidR="00BF00BC">
              <w:rPr>
                <w:noProof/>
                <w:webHidden/>
              </w:rPr>
              <w:tab/>
            </w:r>
            <w:r w:rsidR="00BF00BC">
              <w:rPr>
                <w:noProof/>
                <w:webHidden/>
              </w:rPr>
              <w:fldChar w:fldCharType="begin"/>
            </w:r>
            <w:r w:rsidR="00BF00BC">
              <w:rPr>
                <w:noProof/>
                <w:webHidden/>
              </w:rPr>
              <w:instrText xml:space="preserve"> PAGEREF _Toc400025124 \h </w:instrText>
            </w:r>
            <w:r w:rsidR="00BF00BC">
              <w:rPr>
                <w:noProof/>
                <w:webHidden/>
              </w:rPr>
            </w:r>
            <w:r w:rsidR="00BF00BC">
              <w:rPr>
                <w:noProof/>
                <w:webHidden/>
              </w:rPr>
              <w:fldChar w:fldCharType="separate"/>
            </w:r>
            <w:r w:rsidR="00502BAF">
              <w:rPr>
                <w:noProof/>
                <w:webHidden/>
              </w:rPr>
              <w:t>3</w:t>
            </w:r>
            <w:r w:rsidR="00BF00BC">
              <w:rPr>
                <w:noProof/>
                <w:webHidden/>
              </w:rPr>
              <w:fldChar w:fldCharType="end"/>
            </w:r>
          </w:hyperlink>
        </w:p>
        <w:p w:rsidR="00BF00BC" w:rsidRDefault="00766B0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0025125" w:history="1">
            <w:r w:rsidR="00BF00BC" w:rsidRPr="004D16D9">
              <w:rPr>
                <w:rStyle w:val="Hyperlink"/>
                <w:noProof/>
              </w:rPr>
              <w:t>Shortened forms</w:t>
            </w:r>
            <w:r w:rsidR="00BF00BC">
              <w:rPr>
                <w:noProof/>
                <w:webHidden/>
              </w:rPr>
              <w:tab/>
            </w:r>
            <w:r w:rsidR="00BF00BC">
              <w:rPr>
                <w:noProof/>
                <w:webHidden/>
              </w:rPr>
              <w:fldChar w:fldCharType="begin"/>
            </w:r>
            <w:r w:rsidR="00BF00BC">
              <w:rPr>
                <w:noProof/>
                <w:webHidden/>
              </w:rPr>
              <w:instrText xml:space="preserve"> PAGEREF _Toc400025125 \h </w:instrText>
            </w:r>
            <w:r w:rsidR="00BF00BC">
              <w:rPr>
                <w:noProof/>
                <w:webHidden/>
              </w:rPr>
            </w:r>
            <w:r w:rsidR="00BF00BC">
              <w:rPr>
                <w:noProof/>
                <w:webHidden/>
              </w:rPr>
              <w:fldChar w:fldCharType="separate"/>
            </w:r>
            <w:r w:rsidR="00502BAF">
              <w:rPr>
                <w:noProof/>
                <w:webHidden/>
              </w:rPr>
              <w:t>5</w:t>
            </w:r>
            <w:r w:rsidR="00BF00BC">
              <w:rPr>
                <w:noProof/>
                <w:webHidden/>
              </w:rPr>
              <w:fldChar w:fldCharType="end"/>
            </w:r>
          </w:hyperlink>
        </w:p>
        <w:p w:rsidR="00BF00BC" w:rsidRDefault="00766B0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0025126" w:history="1">
            <w:r w:rsidR="00BF00BC" w:rsidRPr="004D16D9">
              <w:rPr>
                <w:rStyle w:val="Hyperlink"/>
                <w:noProof/>
              </w:rPr>
              <w:t>1</w:t>
            </w:r>
            <w:r w:rsidR="00BF00BC">
              <w:rPr>
                <w:rFonts w:asciiTheme="minorHAnsi" w:eastAsiaTheme="minorEastAsia" w:hAnsiTheme="minorHAnsi" w:cstheme="minorBidi"/>
                <w:b w:val="0"/>
                <w:bCs w:val="0"/>
                <w:noProof/>
                <w:sz w:val="22"/>
                <w:szCs w:val="22"/>
                <w:lang w:eastAsia="en-AU"/>
              </w:rPr>
              <w:tab/>
            </w:r>
            <w:r w:rsidR="00BF00BC" w:rsidRPr="004D16D9">
              <w:rPr>
                <w:rStyle w:val="Hyperlink"/>
                <w:noProof/>
              </w:rPr>
              <w:t>Introduction</w:t>
            </w:r>
            <w:r w:rsidR="00BF00BC">
              <w:rPr>
                <w:noProof/>
                <w:webHidden/>
              </w:rPr>
              <w:tab/>
            </w:r>
            <w:r w:rsidR="00BF00BC">
              <w:rPr>
                <w:noProof/>
                <w:webHidden/>
              </w:rPr>
              <w:fldChar w:fldCharType="begin"/>
            </w:r>
            <w:r w:rsidR="00BF00BC">
              <w:rPr>
                <w:noProof/>
                <w:webHidden/>
              </w:rPr>
              <w:instrText xml:space="preserve"> PAGEREF _Toc400025126 \h </w:instrText>
            </w:r>
            <w:r w:rsidR="00BF00BC">
              <w:rPr>
                <w:noProof/>
                <w:webHidden/>
              </w:rPr>
            </w:r>
            <w:r w:rsidR="00BF00BC">
              <w:rPr>
                <w:noProof/>
                <w:webHidden/>
              </w:rPr>
              <w:fldChar w:fldCharType="separate"/>
            </w:r>
            <w:r w:rsidR="00502BAF">
              <w:rPr>
                <w:noProof/>
                <w:webHidden/>
              </w:rPr>
              <w:t>6</w:t>
            </w:r>
            <w:r w:rsidR="00BF00BC">
              <w:rPr>
                <w:noProof/>
                <w:webHidden/>
              </w:rPr>
              <w:fldChar w:fldCharType="end"/>
            </w:r>
          </w:hyperlink>
        </w:p>
        <w:p w:rsidR="00BF00BC" w:rsidRDefault="00766B0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0025127" w:history="1">
            <w:r w:rsidR="00BF00BC" w:rsidRPr="004D16D9">
              <w:rPr>
                <w:rStyle w:val="Hyperlink"/>
                <w:noProof/>
              </w:rPr>
              <w:t>2</w:t>
            </w:r>
            <w:r w:rsidR="00BF00BC">
              <w:rPr>
                <w:rFonts w:asciiTheme="minorHAnsi" w:eastAsiaTheme="minorEastAsia" w:hAnsiTheme="minorHAnsi" w:cstheme="minorBidi"/>
                <w:b w:val="0"/>
                <w:bCs w:val="0"/>
                <w:noProof/>
                <w:sz w:val="22"/>
                <w:szCs w:val="22"/>
                <w:lang w:eastAsia="en-AU"/>
              </w:rPr>
              <w:tab/>
            </w:r>
            <w:r w:rsidR="00BF00BC" w:rsidRPr="004D16D9">
              <w:rPr>
                <w:rStyle w:val="Hyperlink"/>
                <w:noProof/>
              </w:rPr>
              <w:t>NER requirements</w:t>
            </w:r>
            <w:r w:rsidR="00BF00BC">
              <w:rPr>
                <w:noProof/>
                <w:webHidden/>
              </w:rPr>
              <w:tab/>
            </w:r>
            <w:r w:rsidR="00BF00BC">
              <w:rPr>
                <w:noProof/>
                <w:webHidden/>
              </w:rPr>
              <w:fldChar w:fldCharType="begin"/>
            </w:r>
            <w:r w:rsidR="00BF00BC">
              <w:rPr>
                <w:noProof/>
                <w:webHidden/>
              </w:rPr>
              <w:instrText xml:space="preserve"> PAGEREF _Toc400025127 \h </w:instrText>
            </w:r>
            <w:r w:rsidR="00BF00BC">
              <w:rPr>
                <w:noProof/>
                <w:webHidden/>
              </w:rPr>
            </w:r>
            <w:r w:rsidR="00BF00BC">
              <w:rPr>
                <w:noProof/>
                <w:webHidden/>
              </w:rPr>
              <w:fldChar w:fldCharType="separate"/>
            </w:r>
            <w:r w:rsidR="00502BAF">
              <w:rPr>
                <w:noProof/>
                <w:webHidden/>
              </w:rPr>
              <w:t>7</w:t>
            </w:r>
            <w:r w:rsidR="00BF00BC">
              <w:rPr>
                <w:noProof/>
                <w:webHidden/>
              </w:rPr>
              <w:fldChar w:fldCharType="end"/>
            </w:r>
          </w:hyperlink>
        </w:p>
        <w:p w:rsidR="00BF00BC" w:rsidRDefault="00766B0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0025128" w:history="1">
            <w:r w:rsidR="00BF00BC" w:rsidRPr="004D16D9">
              <w:rPr>
                <w:rStyle w:val="Hyperlink"/>
                <w:noProof/>
              </w:rPr>
              <w:t>3</w:t>
            </w:r>
            <w:r w:rsidR="00BF00BC">
              <w:rPr>
                <w:rFonts w:asciiTheme="minorHAnsi" w:eastAsiaTheme="minorEastAsia" w:hAnsiTheme="minorHAnsi" w:cstheme="minorBidi"/>
                <w:b w:val="0"/>
                <w:bCs w:val="0"/>
                <w:noProof/>
                <w:sz w:val="22"/>
                <w:szCs w:val="22"/>
                <w:lang w:eastAsia="en-AU"/>
              </w:rPr>
              <w:tab/>
            </w:r>
            <w:r w:rsidR="00BF00BC" w:rsidRPr="004D16D9">
              <w:rPr>
                <w:rStyle w:val="Hyperlink"/>
                <w:noProof/>
              </w:rPr>
              <w:t>Reasons for the PTRM</w:t>
            </w:r>
            <w:r w:rsidR="00BF00BC">
              <w:rPr>
                <w:noProof/>
                <w:webHidden/>
              </w:rPr>
              <w:tab/>
            </w:r>
            <w:r w:rsidR="00BF00BC">
              <w:rPr>
                <w:noProof/>
                <w:webHidden/>
              </w:rPr>
              <w:fldChar w:fldCharType="begin"/>
            </w:r>
            <w:r w:rsidR="00BF00BC">
              <w:rPr>
                <w:noProof/>
                <w:webHidden/>
              </w:rPr>
              <w:instrText xml:space="preserve"> PAGEREF _Toc400025128 \h </w:instrText>
            </w:r>
            <w:r w:rsidR="00BF00BC">
              <w:rPr>
                <w:noProof/>
                <w:webHidden/>
              </w:rPr>
            </w:r>
            <w:r w:rsidR="00BF00BC">
              <w:rPr>
                <w:noProof/>
                <w:webHidden/>
              </w:rPr>
              <w:fldChar w:fldCharType="separate"/>
            </w:r>
            <w:r w:rsidR="00502BAF">
              <w:rPr>
                <w:noProof/>
                <w:webHidden/>
              </w:rPr>
              <w:t>8</w:t>
            </w:r>
            <w:r w:rsidR="00BF00BC">
              <w:rPr>
                <w:noProof/>
                <w:webHidden/>
              </w:rPr>
              <w:fldChar w:fldCharType="end"/>
            </w:r>
          </w:hyperlink>
        </w:p>
        <w:p w:rsidR="00BF00BC" w:rsidRDefault="00766B0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0025129" w:history="1">
            <w:r w:rsidR="00BF00BC" w:rsidRPr="004D16D9">
              <w:rPr>
                <w:rStyle w:val="Hyperlink"/>
                <w:noProof/>
              </w:rPr>
              <w:t>4</w:t>
            </w:r>
            <w:r w:rsidR="00BF00BC">
              <w:rPr>
                <w:rFonts w:asciiTheme="minorHAnsi" w:eastAsiaTheme="minorEastAsia" w:hAnsiTheme="minorHAnsi" w:cstheme="minorBidi"/>
                <w:b w:val="0"/>
                <w:bCs w:val="0"/>
                <w:noProof/>
                <w:sz w:val="22"/>
                <w:szCs w:val="22"/>
                <w:lang w:eastAsia="en-AU"/>
              </w:rPr>
              <w:tab/>
            </w:r>
            <w:r w:rsidR="00BF00BC" w:rsidRPr="004D16D9">
              <w:rPr>
                <w:rStyle w:val="Hyperlink"/>
                <w:noProof/>
              </w:rPr>
              <w:t>Proposed amendments</w:t>
            </w:r>
            <w:r w:rsidR="00BF00BC">
              <w:rPr>
                <w:noProof/>
                <w:webHidden/>
              </w:rPr>
              <w:tab/>
            </w:r>
            <w:r w:rsidR="00BF00BC">
              <w:rPr>
                <w:noProof/>
                <w:webHidden/>
              </w:rPr>
              <w:fldChar w:fldCharType="begin"/>
            </w:r>
            <w:r w:rsidR="00BF00BC">
              <w:rPr>
                <w:noProof/>
                <w:webHidden/>
              </w:rPr>
              <w:instrText xml:space="preserve"> PAGEREF _Toc400025129 \h </w:instrText>
            </w:r>
            <w:r w:rsidR="00BF00BC">
              <w:rPr>
                <w:noProof/>
                <w:webHidden/>
              </w:rPr>
            </w:r>
            <w:r w:rsidR="00BF00BC">
              <w:rPr>
                <w:noProof/>
                <w:webHidden/>
              </w:rPr>
              <w:fldChar w:fldCharType="separate"/>
            </w:r>
            <w:r w:rsidR="00502BAF">
              <w:rPr>
                <w:noProof/>
                <w:webHidden/>
              </w:rPr>
              <w:t>9</w:t>
            </w:r>
            <w:r w:rsidR="00BF00BC">
              <w:rPr>
                <w:noProof/>
                <w:webHidden/>
              </w:rPr>
              <w:fldChar w:fldCharType="end"/>
            </w:r>
          </w:hyperlink>
        </w:p>
        <w:p w:rsidR="00BF00BC" w:rsidRDefault="00766B0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25130" w:history="1">
            <w:r w:rsidR="00BF00BC" w:rsidRPr="004D16D9">
              <w:rPr>
                <w:rStyle w:val="Hyperlink"/>
                <w:noProof/>
              </w:rPr>
              <w:t>4.1</w:t>
            </w:r>
            <w:r w:rsidR="00BF00BC">
              <w:rPr>
                <w:rFonts w:asciiTheme="minorHAnsi" w:eastAsiaTheme="minorEastAsia" w:hAnsiTheme="minorHAnsi" w:cstheme="minorBidi"/>
                <w:iCs w:val="0"/>
                <w:noProof/>
                <w:sz w:val="22"/>
                <w:szCs w:val="22"/>
                <w:lang w:eastAsia="en-AU"/>
              </w:rPr>
              <w:tab/>
            </w:r>
            <w:r w:rsidR="00BF00BC" w:rsidRPr="004D16D9">
              <w:rPr>
                <w:rStyle w:val="Hyperlink"/>
                <w:noProof/>
              </w:rPr>
              <w:t>Background</w:t>
            </w:r>
            <w:r w:rsidR="00BF00BC">
              <w:rPr>
                <w:noProof/>
                <w:webHidden/>
              </w:rPr>
              <w:tab/>
            </w:r>
            <w:r w:rsidR="00BF00BC">
              <w:rPr>
                <w:noProof/>
                <w:webHidden/>
              </w:rPr>
              <w:fldChar w:fldCharType="begin"/>
            </w:r>
            <w:r w:rsidR="00BF00BC">
              <w:rPr>
                <w:noProof/>
                <w:webHidden/>
              </w:rPr>
              <w:instrText xml:space="preserve"> PAGEREF _Toc400025130 \h </w:instrText>
            </w:r>
            <w:r w:rsidR="00BF00BC">
              <w:rPr>
                <w:noProof/>
                <w:webHidden/>
              </w:rPr>
            </w:r>
            <w:r w:rsidR="00BF00BC">
              <w:rPr>
                <w:noProof/>
                <w:webHidden/>
              </w:rPr>
              <w:fldChar w:fldCharType="separate"/>
            </w:r>
            <w:r w:rsidR="00502BAF">
              <w:rPr>
                <w:noProof/>
                <w:webHidden/>
              </w:rPr>
              <w:t>10</w:t>
            </w:r>
            <w:r w:rsidR="00BF00BC">
              <w:rPr>
                <w:noProof/>
                <w:webHidden/>
              </w:rPr>
              <w:fldChar w:fldCharType="end"/>
            </w:r>
          </w:hyperlink>
        </w:p>
        <w:p w:rsidR="00BF00BC" w:rsidRDefault="00766B0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25131" w:history="1">
            <w:r w:rsidR="00BF00BC" w:rsidRPr="004D16D9">
              <w:rPr>
                <w:rStyle w:val="Hyperlink"/>
                <w:noProof/>
              </w:rPr>
              <w:t>4.2</w:t>
            </w:r>
            <w:r w:rsidR="00BF00BC">
              <w:rPr>
                <w:rFonts w:asciiTheme="minorHAnsi" w:eastAsiaTheme="minorEastAsia" w:hAnsiTheme="minorHAnsi" w:cstheme="minorBidi"/>
                <w:iCs w:val="0"/>
                <w:noProof/>
                <w:sz w:val="22"/>
                <w:szCs w:val="22"/>
                <w:lang w:eastAsia="en-AU"/>
              </w:rPr>
              <w:tab/>
            </w:r>
            <w:r w:rsidR="00BF00BC" w:rsidRPr="004D16D9">
              <w:rPr>
                <w:rStyle w:val="Hyperlink"/>
                <w:noProof/>
              </w:rPr>
              <w:t>Changes to the PTRM</w:t>
            </w:r>
            <w:r w:rsidR="00BF00BC">
              <w:rPr>
                <w:noProof/>
                <w:webHidden/>
              </w:rPr>
              <w:tab/>
            </w:r>
            <w:r w:rsidR="00BF00BC">
              <w:rPr>
                <w:noProof/>
                <w:webHidden/>
              </w:rPr>
              <w:fldChar w:fldCharType="begin"/>
            </w:r>
            <w:r w:rsidR="00BF00BC">
              <w:rPr>
                <w:noProof/>
                <w:webHidden/>
              </w:rPr>
              <w:instrText xml:space="preserve"> PAGEREF _Toc400025131 \h </w:instrText>
            </w:r>
            <w:r w:rsidR="00BF00BC">
              <w:rPr>
                <w:noProof/>
                <w:webHidden/>
              </w:rPr>
            </w:r>
            <w:r w:rsidR="00BF00BC">
              <w:rPr>
                <w:noProof/>
                <w:webHidden/>
              </w:rPr>
              <w:fldChar w:fldCharType="separate"/>
            </w:r>
            <w:r w:rsidR="00502BAF">
              <w:rPr>
                <w:noProof/>
                <w:webHidden/>
              </w:rPr>
              <w:t>11</w:t>
            </w:r>
            <w:r w:rsidR="00BF00BC">
              <w:rPr>
                <w:noProof/>
                <w:webHidden/>
              </w:rPr>
              <w:fldChar w:fldCharType="end"/>
            </w:r>
          </w:hyperlink>
        </w:p>
        <w:p w:rsidR="00BF00BC" w:rsidRDefault="00766B0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25132" w:history="1">
            <w:r w:rsidR="00BF00BC" w:rsidRPr="004D16D9">
              <w:rPr>
                <w:rStyle w:val="Hyperlink"/>
                <w:noProof/>
              </w:rPr>
              <w:t>4.2.1</w:t>
            </w:r>
            <w:r w:rsidR="00BF00BC">
              <w:rPr>
                <w:rFonts w:asciiTheme="minorHAnsi" w:eastAsiaTheme="minorEastAsia" w:hAnsiTheme="minorHAnsi" w:cstheme="minorBidi"/>
                <w:noProof/>
                <w:sz w:val="22"/>
                <w:szCs w:val="22"/>
                <w:lang w:eastAsia="en-AU"/>
              </w:rPr>
              <w:tab/>
            </w:r>
            <w:r w:rsidR="00BF00BC" w:rsidRPr="004D16D9">
              <w:rPr>
                <w:rStyle w:val="Hyperlink"/>
                <w:noProof/>
              </w:rPr>
              <w:t>Return on equity changes</w:t>
            </w:r>
            <w:r w:rsidR="00BF00BC">
              <w:rPr>
                <w:noProof/>
                <w:webHidden/>
              </w:rPr>
              <w:tab/>
            </w:r>
            <w:r w:rsidR="00BF00BC">
              <w:rPr>
                <w:noProof/>
                <w:webHidden/>
              </w:rPr>
              <w:fldChar w:fldCharType="begin"/>
            </w:r>
            <w:r w:rsidR="00BF00BC">
              <w:rPr>
                <w:noProof/>
                <w:webHidden/>
              </w:rPr>
              <w:instrText xml:space="preserve"> PAGEREF _Toc400025132 \h </w:instrText>
            </w:r>
            <w:r w:rsidR="00BF00BC">
              <w:rPr>
                <w:noProof/>
                <w:webHidden/>
              </w:rPr>
            </w:r>
            <w:r w:rsidR="00BF00BC">
              <w:rPr>
                <w:noProof/>
                <w:webHidden/>
              </w:rPr>
              <w:fldChar w:fldCharType="separate"/>
            </w:r>
            <w:r w:rsidR="00502BAF">
              <w:rPr>
                <w:noProof/>
                <w:webHidden/>
              </w:rPr>
              <w:t>11</w:t>
            </w:r>
            <w:r w:rsidR="00BF00BC">
              <w:rPr>
                <w:noProof/>
                <w:webHidden/>
              </w:rPr>
              <w:fldChar w:fldCharType="end"/>
            </w:r>
          </w:hyperlink>
        </w:p>
        <w:p w:rsidR="00BF00BC" w:rsidRDefault="00766B0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25133" w:history="1">
            <w:r w:rsidR="00BF00BC" w:rsidRPr="004D16D9">
              <w:rPr>
                <w:rStyle w:val="Hyperlink"/>
                <w:noProof/>
              </w:rPr>
              <w:t>4.2.2</w:t>
            </w:r>
            <w:r w:rsidR="00BF00BC">
              <w:rPr>
                <w:rFonts w:asciiTheme="minorHAnsi" w:eastAsiaTheme="minorEastAsia" w:hAnsiTheme="minorHAnsi" w:cstheme="minorBidi"/>
                <w:noProof/>
                <w:sz w:val="22"/>
                <w:szCs w:val="22"/>
                <w:lang w:eastAsia="en-AU"/>
              </w:rPr>
              <w:tab/>
            </w:r>
            <w:r w:rsidR="00BF00BC" w:rsidRPr="004D16D9">
              <w:rPr>
                <w:rStyle w:val="Hyperlink"/>
                <w:noProof/>
              </w:rPr>
              <w:t>Return on debt changes</w:t>
            </w:r>
            <w:r w:rsidR="00BF00BC">
              <w:rPr>
                <w:noProof/>
                <w:webHidden/>
              </w:rPr>
              <w:tab/>
            </w:r>
            <w:r w:rsidR="00BF00BC">
              <w:rPr>
                <w:noProof/>
                <w:webHidden/>
              </w:rPr>
              <w:fldChar w:fldCharType="begin"/>
            </w:r>
            <w:r w:rsidR="00BF00BC">
              <w:rPr>
                <w:noProof/>
                <w:webHidden/>
              </w:rPr>
              <w:instrText xml:space="preserve"> PAGEREF _Toc400025133 \h </w:instrText>
            </w:r>
            <w:r w:rsidR="00BF00BC">
              <w:rPr>
                <w:noProof/>
                <w:webHidden/>
              </w:rPr>
            </w:r>
            <w:r w:rsidR="00BF00BC">
              <w:rPr>
                <w:noProof/>
                <w:webHidden/>
              </w:rPr>
              <w:fldChar w:fldCharType="separate"/>
            </w:r>
            <w:r w:rsidR="00502BAF">
              <w:rPr>
                <w:noProof/>
                <w:webHidden/>
              </w:rPr>
              <w:t>12</w:t>
            </w:r>
            <w:r w:rsidR="00BF00BC">
              <w:rPr>
                <w:noProof/>
                <w:webHidden/>
              </w:rPr>
              <w:fldChar w:fldCharType="end"/>
            </w:r>
          </w:hyperlink>
        </w:p>
        <w:p w:rsidR="00BF00BC" w:rsidRDefault="00766B0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25134" w:history="1">
            <w:r w:rsidR="00BF00BC" w:rsidRPr="004D16D9">
              <w:rPr>
                <w:rStyle w:val="Hyperlink"/>
                <w:noProof/>
              </w:rPr>
              <w:t>4.2.3</w:t>
            </w:r>
            <w:r w:rsidR="00BF00BC">
              <w:rPr>
                <w:rFonts w:asciiTheme="minorHAnsi" w:eastAsiaTheme="minorEastAsia" w:hAnsiTheme="minorHAnsi" w:cstheme="minorBidi"/>
                <w:noProof/>
                <w:sz w:val="22"/>
                <w:szCs w:val="22"/>
                <w:lang w:eastAsia="en-AU"/>
              </w:rPr>
              <w:tab/>
            </w:r>
            <w:r w:rsidR="00BF00BC" w:rsidRPr="004D16D9">
              <w:rPr>
                <w:rStyle w:val="Hyperlink"/>
                <w:noProof/>
              </w:rPr>
              <w:t>Return on capital changes</w:t>
            </w:r>
            <w:r w:rsidR="00BF00BC">
              <w:rPr>
                <w:noProof/>
                <w:webHidden/>
              </w:rPr>
              <w:tab/>
            </w:r>
            <w:r w:rsidR="00BF00BC">
              <w:rPr>
                <w:noProof/>
                <w:webHidden/>
              </w:rPr>
              <w:fldChar w:fldCharType="begin"/>
            </w:r>
            <w:r w:rsidR="00BF00BC">
              <w:rPr>
                <w:noProof/>
                <w:webHidden/>
              </w:rPr>
              <w:instrText xml:space="preserve"> PAGEREF _Toc400025134 \h </w:instrText>
            </w:r>
            <w:r w:rsidR="00BF00BC">
              <w:rPr>
                <w:noProof/>
                <w:webHidden/>
              </w:rPr>
            </w:r>
            <w:r w:rsidR="00BF00BC">
              <w:rPr>
                <w:noProof/>
                <w:webHidden/>
              </w:rPr>
              <w:fldChar w:fldCharType="separate"/>
            </w:r>
            <w:r w:rsidR="00502BAF">
              <w:rPr>
                <w:noProof/>
                <w:webHidden/>
              </w:rPr>
              <w:t>12</w:t>
            </w:r>
            <w:r w:rsidR="00BF00BC">
              <w:rPr>
                <w:noProof/>
                <w:webHidden/>
              </w:rPr>
              <w:fldChar w:fldCharType="end"/>
            </w:r>
          </w:hyperlink>
        </w:p>
        <w:p w:rsidR="00BF00BC" w:rsidRDefault="00766B0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25135" w:history="1">
            <w:r w:rsidR="00BF00BC" w:rsidRPr="004D16D9">
              <w:rPr>
                <w:rStyle w:val="Hyperlink"/>
                <w:noProof/>
              </w:rPr>
              <w:t>4.2.4</w:t>
            </w:r>
            <w:r w:rsidR="00BF00BC">
              <w:rPr>
                <w:rFonts w:asciiTheme="minorHAnsi" w:eastAsiaTheme="minorEastAsia" w:hAnsiTheme="minorHAnsi" w:cstheme="minorBidi"/>
                <w:noProof/>
                <w:sz w:val="22"/>
                <w:szCs w:val="22"/>
                <w:lang w:eastAsia="en-AU"/>
              </w:rPr>
              <w:tab/>
            </w:r>
            <w:r w:rsidR="00BF00BC" w:rsidRPr="004D16D9">
              <w:rPr>
                <w:rStyle w:val="Hyperlink"/>
                <w:noProof/>
              </w:rPr>
              <w:t>Equity raising cost changes</w:t>
            </w:r>
            <w:r w:rsidR="00BF00BC">
              <w:rPr>
                <w:noProof/>
                <w:webHidden/>
              </w:rPr>
              <w:tab/>
            </w:r>
            <w:r w:rsidR="00BF00BC">
              <w:rPr>
                <w:noProof/>
                <w:webHidden/>
              </w:rPr>
              <w:fldChar w:fldCharType="begin"/>
            </w:r>
            <w:r w:rsidR="00BF00BC">
              <w:rPr>
                <w:noProof/>
                <w:webHidden/>
              </w:rPr>
              <w:instrText xml:space="preserve"> PAGEREF _Toc400025135 \h </w:instrText>
            </w:r>
            <w:r w:rsidR="00BF00BC">
              <w:rPr>
                <w:noProof/>
                <w:webHidden/>
              </w:rPr>
            </w:r>
            <w:r w:rsidR="00BF00BC">
              <w:rPr>
                <w:noProof/>
                <w:webHidden/>
              </w:rPr>
              <w:fldChar w:fldCharType="separate"/>
            </w:r>
            <w:r w:rsidR="00502BAF">
              <w:rPr>
                <w:noProof/>
                <w:webHidden/>
              </w:rPr>
              <w:t>13</w:t>
            </w:r>
            <w:r w:rsidR="00BF00BC">
              <w:rPr>
                <w:noProof/>
                <w:webHidden/>
              </w:rPr>
              <w:fldChar w:fldCharType="end"/>
            </w:r>
          </w:hyperlink>
        </w:p>
        <w:p w:rsidR="00BF00BC" w:rsidRDefault="00766B0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25136" w:history="1">
            <w:r w:rsidR="00BF00BC" w:rsidRPr="004D16D9">
              <w:rPr>
                <w:rStyle w:val="Hyperlink"/>
                <w:noProof/>
              </w:rPr>
              <w:t>4.2.5</w:t>
            </w:r>
            <w:r w:rsidR="00BF00BC">
              <w:rPr>
                <w:rFonts w:asciiTheme="minorHAnsi" w:eastAsiaTheme="minorEastAsia" w:hAnsiTheme="minorHAnsi" w:cstheme="minorBidi"/>
                <w:noProof/>
                <w:sz w:val="22"/>
                <w:szCs w:val="22"/>
                <w:lang w:eastAsia="en-AU"/>
              </w:rPr>
              <w:tab/>
            </w:r>
            <w:r w:rsidR="00BF00BC" w:rsidRPr="004D16D9">
              <w:rPr>
                <w:rStyle w:val="Hyperlink"/>
                <w:noProof/>
              </w:rPr>
              <w:t>X factor recalculation</w:t>
            </w:r>
            <w:r w:rsidR="00BF00BC">
              <w:rPr>
                <w:noProof/>
                <w:webHidden/>
              </w:rPr>
              <w:tab/>
            </w:r>
            <w:r w:rsidR="00BF00BC">
              <w:rPr>
                <w:noProof/>
                <w:webHidden/>
              </w:rPr>
              <w:fldChar w:fldCharType="begin"/>
            </w:r>
            <w:r w:rsidR="00BF00BC">
              <w:rPr>
                <w:noProof/>
                <w:webHidden/>
              </w:rPr>
              <w:instrText xml:space="preserve"> PAGEREF _Toc400025136 \h </w:instrText>
            </w:r>
            <w:r w:rsidR="00BF00BC">
              <w:rPr>
                <w:noProof/>
                <w:webHidden/>
              </w:rPr>
            </w:r>
            <w:r w:rsidR="00BF00BC">
              <w:rPr>
                <w:noProof/>
                <w:webHidden/>
              </w:rPr>
              <w:fldChar w:fldCharType="separate"/>
            </w:r>
            <w:r w:rsidR="00502BAF">
              <w:rPr>
                <w:noProof/>
                <w:webHidden/>
              </w:rPr>
              <w:t>14</w:t>
            </w:r>
            <w:r w:rsidR="00BF00BC">
              <w:rPr>
                <w:noProof/>
                <w:webHidden/>
              </w:rPr>
              <w:fldChar w:fldCharType="end"/>
            </w:r>
          </w:hyperlink>
        </w:p>
        <w:p w:rsidR="00BF00BC" w:rsidRDefault="00766B0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25137" w:history="1">
            <w:r w:rsidR="00BF00BC" w:rsidRPr="004D16D9">
              <w:rPr>
                <w:rStyle w:val="Hyperlink"/>
                <w:noProof/>
              </w:rPr>
              <w:t>4.2.6</w:t>
            </w:r>
            <w:r w:rsidR="00BF00BC">
              <w:rPr>
                <w:rFonts w:asciiTheme="minorHAnsi" w:eastAsiaTheme="minorEastAsia" w:hAnsiTheme="minorHAnsi" w:cstheme="minorBidi"/>
                <w:noProof/>
                <w:sz w:val="22"/>
                <w:szCs w:val="22"/>
                <w:lang w:eastAsia="en-AU"/>
              </w:rPr>
              <w:tab/>
            </w:r>
            <w:r w:rsidR="00BF00BC" w:rsidRPr="004D16D9">
              <w:rPr>
                <w:rStyle w:val="Hyperlink"/>
                <w:noProof/>
              </w:rPr>
              <w:t>Revenue adjustments</w:t>
            </w:r>
            <w:r w:rsidR="00BF00BC">
              <w:rPr>
                <w:noProof/>
                <w:webHidden/>
              </w:rPr>
              <w:tab/>
            </w:r>
            <w:r w:rsidR="00BF00BC">
              <w:rPr>
                <w:noProof/>
                <w:webHidden/>
              </w:rPr>
              <w:fldChar w:fldCharType="begin"/>
            </w:r>
            <w:r w:rsidR="00BF00BC">
              <w:rPr>
                <w:noProof/>
                <w:webHidden/>
              </w:rPr>
              <w:instrText xml:space="preserve"> PAGEREF _Toc400025137 \h </w:instrText>
            </w:r>
            <w:r w:rsidR="00BF00BC">
              <w:rPr>
                <w:noProof/>
                <w:webHidden/>
              </w:rPr>
            </w:r>
            <w:r w:rsidR="00BF00BC">
              <w:rPr>
                <w:noProof/>
                <w:webHidden/>
              </w:rPr>
              <w:fldChar w:fldCharType="separate"/>
            </w:r>
            <w:r w:rsidR="00502BAF">
              <w:rPr>
                <w:noProof/>
                <w:webHidden/>
              </w:rPr>
              <w:t>14</w:t>
            </w:r>
            <w:r w:rsidR="00BF00BC">
              <w:rPr>
                <w:noProof/>
                <w:webHidden/>
              </w:rPr>
              <w:fldChar w:fldCharType="end"/>
            </w:r>
          </w:hyperlink>
        </w:p>
        <w:p w:rsidR="00BF00BC" w:rsidRDefault="00766B0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25138" w:history="1">
            <w:r w:rsidR="00BF00BC" w:rsidRPr="004D16D9">
              <w:rPr>
                <w:rStyle w:val="Hyperlink"/>
                <w:noProof/>
              </w:rPr>
              <w:t>4.2.7</w:t>
            </w:r>
            <w:r w:rsidR="00BF00BC">
              <w:rPr>
                <w:rFonts w:asciiTheme="minorHAnsi" w:eastAsiaTheme="minorEastAsia" w:hAnsiTheme="minorHAnsi" w:cstheme="minorBidi"/>
                <w:noProof/>
                <w:sz w:val="22"/>
                <w:szCs w:val="22"/>
                <w:lang w:eastAsia="en-AU"/>
              </w:rPr>
              <w:tab/>
            </w:r>
            <w:r w:rsidR="00BF00BC" w:rsidRPr="004D16D9">
              <w:rPr>
                <w:rStyle w:val="Hyperlink"/>
                <w:noProof/>
              </w:rPr>
              <w:t>Presentation and other minor changes</w:t>
            </w:r>
            <w:r w:rsidR="00BF00BC">
              <w:rPr>
                <w:noProof/>
                <w:webHidden/>
              </w:rPr>
              <w:tab/>
            </w:r>
            <w:r w:rsidR="00BF00BC">
              <w:rPr>
                <w:noProof/>
                <w:webHidden/>
              </w:rPr>
              <w:fldChar w:fldCharType="begin"/>
            </w:r>
            <w:r w:rsidR="00BF00BC">
              <w:rPr>
                <w:noProof/>
                <w:webHidden/>
              </w:rPr>
              <w:instrText xml:space="preserve"> PAGEREF _Toc400025138 \h </w:instrText>
            </w:r>
            <w:r w:rsidR="00BF00BC">
              <w:rPr>
                <w:noProof/>
                <w:webHidden/>
              </w:rPr>
            </w:r>
            <w:r w:rsidR="00BF00BC">
              <w:rPr>
                <w:noProof/>
                <w:webHidden/>
              </w:rPr>
              <w:fldChar w:fldCharType="separate"/>
            </w:r>
            <w:r w:rsidR="00502BAF">
              <w:rPr>
                <w:noProof/>
                <w:webHidden/>
              </w:rPr>
              <w:t>14</w:t>
            </w:r>
            <w:r w:rsidR="00BF00BC">
              <w:rPr>
                <w:noProof/>
                <w:webHidden/>
              </w:rPr>
              <w:fldChar w:fldCharType="end"/>
            </w:r>
          </w:hyperlink>
        </w:p>
        <w:p w:rsidR="00BF00BC" w:rsidRDefault="00766B0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0025139" w:history="1">
            <w:r w:rsidR="00BF00BC" w:rsidRPr="004D16D9">
              <w:rPr>
                <w:rStyle w:val="Hyperlink"/>
                <w:noProof/>
              </w:rPr>
              <w:t>5</w:t>
            </w:r>
            <w:r w:rsidR="00BF00BC">
              <w:rPr>
                <w:rFonts w:asciiTheme="minorHAnsi" w:eastAsiaTheme="minorEastAsia" w:hAnsiTheme="minorHAnsi" w:cstheme="minorBidi"/>
                <w:b w:val="0"/>
                <w:bCs w:val="0"/>
                <w:noProof/>
                <w:sz w:val="22"/>
                <w:szCs w:val="22"/>
                <w:lang w:eastAsia="en-AU"/>
              </w:rPr>
              <w:tab/>
            </w:r>
            <w:r w:rsidR="00BF00BC" w:rsidRPr="004D16D9">
              <w:rPr>
                <w:rStyle w:val="Hyperlink"/>
                <w:noProof/>
              </w:rPr>
              <w:t>Consultation</w:t>
            </w:r>
            <w:r w:rsidR="00BF00BC">
              <w:rPr>
                <w:noProof/>
                <w:webHidden/>
              </w:rPr>
              <w:tab/>
            </w:r>
            <w:r w:rsidR="00BF00BC">
              <w:rPr>
                <w:noProof/>
                <w:webHidden/>
              </w:rPr>
              <w:fldChar w:fldCharType="begin"/>
            </w:r>
            <w:r w:rsidR="00BF00BC">
              <w:rPr>
                <w:noProof/>
                <w:webHidden/>
              </w:rPr>
              <w:instrText xml:space="preserve"> PAGEREF _Toc400025139 \h </w:instrText>
            </w:r>
            <w:r w:rsidR="00BF00BC">
              <w:rPr>
                <w:noProof/>
                <w:webHidden/>
              </w:rPr>
            </w:r>
            <w:r w:rsidR="00BF00BC">
              <w:rPr>
                <w:noProof/>
                <w:webHidden/>
              </w:rPr>
              <w:fldChar w:fldCharType="separate"/>
            </w:r>
            <w:r w:rsidR="00502BAF">
              <w:rPr>
                <w:noProof/>
                <w:webHidden/>
              </w:rPr>
              <w:t>16</w:t>
            </w:r>
            <w:r w:rsidR="00BF00BC">
              <w:rPr>
                <w:noProof/>
                <w:webHidden/>
              </w:rPr>
              <w:fldChar w:fldCharType="end"/>
            </w:r>
          </w:hyperlink>
        </w:p>
        <w:p w:rsidR="00BF00BC" w:rsidRDefault="00766B0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25140" w:history="1">
            <w:r w:rsidR="00BF00BC" w:rsidRPr="004D16D9">
              <w:rPr>
                <w:rStyle w:val="Hyperlink"/>
                <w:noProof/>
              </w:rPr>
              <w:t>5.1</w:t>
            </w:r>
            <w:r w:rsidR="00BF00BC">
              <w:rPr>
                <w:rFonts w:asciiTheme="minorHAnsi" w:eastAsiaTheme="minorEastAsia" w:hAnsiTheme="minorHAnsi" w:cstheme="minorBidi"/>
                <w:iCs w:val="0"/>
                <w:noProof/>
                <w:sz w:val="22"/>
                <w:szCs w:val="22"/>
                <w:lang w:eastAsia="en-AU"/>
              </w:rPr>
              <w:tab/>
            </w:r>
            <w:r w:rsidR="00BF00BC" w:rsidRPr="004D16D9">
              <w:rPr>
                <w:rStyle w:val="Hyperlink"/>
                <w:noProof/>
              </w:rPr>
              <w:t>Initial consultation</w:t>
            </w:r>
            <w:r w:rsidR="00BF00BC">
              <w:rPr>
                <w:noProof/>
                <w:webHidden/>
              </w:rPr>
              <w:tab/>
            </w:r>
            <w:r w:rsidR="00BF00BC">
              <w:rPr>
                <w:noProof/>
                <w:webHidden/>
              </w:rPr>
              <w:fldChar w:fldCharType="begin"/>
            </w:r>
            <w:r w:rsidR="00BF00BC">
              <w:rPr>
                <w:noProof/>
                <w:webHidden/>
              </w:rPr>
              <w:instrText xml:space="preserve"> PAGEREF _Toc400025140 \h </w:instrText>
            </w:r>
            <w:r w:rsidR="00BF00BC">
              <w:rPr>
                <w:noProof/>
                <w:webHidden/>
              </w:rPr>
            </w:r>
            <w:r w:rsidR="00BF00BC">
              <w:rPr>
                <w:noProof/>
                <w:webHidden/>
              </w:rPr>
              <w:fldChar w:fldCharType="separate"/>
            </w:r>
            <w:r w:rsidR="00502BAF">
              <w:rPr>
                <w:noProof/>
                <w:webHidden/>
              </w:rPr>
              <w:t>16</w:t>
            </w:r>
            <w:r w:rsidR="00BF00BC">
              <w:rPr>
                <w:noProof/>
                <w:webHidden/>
              </w:rPr>
              <w:fldChar w:fldCharType="end"/>
            </w:r>
          </w:hyperlink>
        </w:p>
        <w:p w:rsidR="00BF00BC" w:rsidRDefault="00766B0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25141" w:history="1">
            <w:r w:rsidR="00BF00BC" w:rsidRPr="004D16D9">
              <w:rPr>
                <w:rStyle w:val="Hyperlink"/>
                <w:noProof/>
              </w:rPr>
              <w:t>5.1.1</w:t>
            </w:r>
            <w:r w:rsidR="00BF00BC">
              <w:rPr>
                <w:rFonts w:asciiTheme="minorHAnsi" w:eastAsiaTheme="minorEastAsia" w:hAnsiTheme="minorHAnsi" w:cstheme="minorBidi"/>
                <w:noProof/>
                <w:sz w:val="22"/>
                <w:szCs w:val="22"/>
                <w:lang w:eastAsia="en-AU"/>
              </w:rPr>
              <w:tab/>
            </w:r>
            <w:r w:rsidR="00BF00BC" w:rsidRPr="004D16D9">
              <w:rPr>
                <w:rStyle w:val="Hyperlink"/>
                <w:noProof/>
              </w:rPr>
              <w:t>Future years' return on debt</w:t>
            </w:r>
            <w:r w:rsidR="00BF00BC">
              <w:rPr>
                <w:noProof/>
                <w:webHidden/>
              </w:rPr>
              <w:tab/>
            </w:r>
            <w:r w:rsidR="00BF00BC">
              <w:rPr>
                <w:noProof/>
                <w:webHidden/>
              </w:rPr>
              <w:fldChar w:fldCharType="begin"/>
            </w:r>
            <w:r w:rsidR="00BF00BC">
              <w:rPr>
                <w:noProof/>
                <w:webHidden/>
              </w:rPr>
              <w:instrText xml:space="preserve"> PAGEREF _Toc400025141 \h </w:instrText>
            </w:r>
            <w:r w:rsidR="00BF00BC">
              <w:rPr>
                <w:noProof/>
                <w:webHidden/>
              </w:rPr>
            </w:r>
            <w:r w:rsidR="00BF00BC">
              <w:rPr>
                <w:noProof/>
                <w:webHidden/>
              </w:rPr>
              <w:fldChar w:fldCharType="separate"/>
            </w:r>
            <w:r w:rsidR="00502BAF">
              <w:rPr>
                <w:noProof/>
                <w:webHidden/>
              </w:rPr>
              <w:t>18</w:t>
            </w:r>
            <w:r w:rsidR="00BF00BC">
              <w:rPr>
                <w:noProof/>
                <w:webHidden/>
              </w:rPr>
              <w:fldChar w:fldCharType="end"/>
            </w:r>
          </w:hyperlink>
        </w:p>
        <w:p w:rsidR="00BF00BC" w:rsidRDefault="00766B0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25142" w:history="1">
            <w:r w:rsidR="00BF00BC" w:rsidRPr="004D16D9">
              <w:rPr>
                <w:rStyle w:val="Hyperlink"/>
                <w:noProof/>
              </w:rPr>
              <w:t>5.2</w:t>
            </w:r>
            <w:r w:rsidR="00BF00BC">
              <w:rPr>
                <w:rFonts w:asciiTheme="minorHAnsi" w:eastAsiaTheme="minorEastAsia" w:hAnsiTheme="minorHAnsi" w:cstheme="minorBidi"/>
                <w:iCs w:val="0"/>
                <w:noProof/>
                <w:sz w:val="22"/>
                <w:szCs w:val="22"/>
                <w:lang w:eastAsia="en-AU"/>
              </w:rPr>
              <w:tab/>
            </w:r>
            <w:r w:rsidR="00BF00BC" w:rsidRPr="004D16D9">
              <w:rPr>
                <w:rStyle w:val="Hyperlink"/>
                <w:noProof/>
              </w:rPr>
              <w:t>Key issues for comment</w:t>
            </w:r>
            <w:r w:rsidR="00BF00BC">
              <w:rPr>
                <w:noProof/>
                <w:webHidden/>
              </w:rPr>
              <w:tab/>
            </w:r>
            <w:r w:rsidR="00BF00BC">
              <w:rPr>
                <w:noProof/>
                <w:webHidden/>
              </w:rPr>
              <w:fldChar w:fldCharType="begin"/>
            </w:r>
            <w:r w:rsidR="00BF00BC">
              <w:rPr>
                <w:noProof/>
                <w:webHidden/>
              </w:rPr>
              <w:instrText xml:space="preserve"> PAGEREF _Toc400025142 \h </w:instrText>
            </w:r>
            <w:r w:rsidR="00BF00BC">
              <w:rPr>
                <w:noProof/>
                <w:webHidden/>
              </w:rPr>
            </w:r>
            <w:r w:rsidR="00BF00BC">
              <w:rPr>
                <w:noProof/>
                <w:webHidden/>
              </w:rPr>
              <w:fldChar w:fldCharType="separate"/>
            </w:r>
            <w:r w:rsidR="00502BAF">
              <w:rPr>
                <w:noProof/>
                <w:webHidden/>
              </w:rPr>
              <w:t>19</w:t>
            </w:r>
            <w:r w:rsidR="00BF00BC">
              <w:rPr>
                <w:noProof/>
                <w:webHidden/>
              </w:rPr>
              <w:fldChar w:fldCharType="end"/>
            </w:r>
          </w:hyperlink>
        </w:p>
        <w:p w:rsidR="00BF00BC" w:rsidRDefault="00766B0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0025143" w:history="1">
            <w:r w:rsidR="00BF00BC" w:rsidRPr="004D16D9">
              <w:rPr>
                <w:rStyle w:val="Hyperlink"/>
                <w:noProof/>
              </w:rPr>
              <w:t>Attachment</w:t>
            </w:r>
            <w:r w:rsidR="00BF00BC">
              <w:rPr>
                <w:noProof/>
                <w:webHidden/>
              </w:rPr>
              <w:tab/>
            </w:r>
            <w:r w:rsidR="00BF00BC">
              <w:rPr>
                <w:noProof/>
                <w:webHidden/>
              </w:rPr>
              <w:fldChar w:fldCharType="begin"/>
            </w:r>
            <w:r w:rsidR="00BF00BC">
              <w:rPr>
                <w:noProof/>
                <w:webHidden/>
              </w:rPr>
              <w:instrText xml:space="preserve"> PAGEREF _Toc400025143 \h </w:instrText>
            </w:r>
            <w:r w:rsidR="00BF00BC">
              <w:rPr>
                <w:noProof/>
                <w:webHidden/>
              </w:rPr>
            </w:r>
            <w:r w:rsidR="00BF00BC">
              <w:rPr>
                <w:noProof/>
                <w:webHidden/>
              </w:rPr>
              <w:fldChar w:fldCharType="separate"/>
            </w:r>
            <w:r w:rsidR="00502BAF">
              <w:rPr>
                <w:noProof/>
                <w:webHidden/>
              </w:rPr>
              <w:t>20</w:t>
            </w:r>
            <w:r w:rsidR="00BF00BC">
              <w:rPr>
                <w:noProof/>
                <w:webHidden/>
              </w:rPr>
              <w:fldChar w:fldCharType="end"/>
            </w:r>
          </w:hyperlink>
        </w:p>
        <w:p w:rsidR="00BF00BC" w:rsidRDefault="00766B0C">
          <w:pPr>
            <w:pStyle w:val="TOC2"/>
            <w:tabs>
              <w:tab w:val="right" w:leader="dot" w:pos="9016"/>
            </w:tabs>
            <w:rPr>
              <w:rFonts w:asciiTheme="minorHAnsi" w:eastAsiaTheme="minorEastAsia" w:hAnsiTheme="minorHAnsi" w:cstheme="minorBidi"/>
              <w:iCs w:val="0"/>
              <w:noProof/>
              <w:sz w:val="22"/>
              <w:szCs w:val="22"/>
              <w:lang w:eastAsia="en-AU"/>
            </w:rPr>
          </w:pPr>
          <w:hyperlink w:anchor="_Toc400025144" w:history="1">
            <w:r w:rsidR="00BF00BC" w:rsidRPr="004D16D9">
              <w:rPr>
                <w:rStyle w:val="Hyperlink"/>
                <w:noProof/>
              </w:rPr>
              <w:t>Attachment A: Future years' return on debt – illustrative examples</w:t>
            </w:r>
            <w:r w:rsidR="00BF00BC">
              <w:rPr>
                <w:noProof/>
                <w:webHidden/>
              </w:rPr>
              <w:tab/>
            </w:r>
            <w:r w:rsidR="00BF00BC">
              <w:rPr>
                <w:noProof/>
                <w:webHidden/>
              </w:rPr>
              <w:fldChar w:fldCharType="begin"/>
            </w:r>
            <w:r w:rsidR="00BF00BC">
              <w:rPr>
                <w:noProof/>
                <w:webHidden/>
              </w:rPr>
              <w:instrText xml:space="preserve"> PAGEREF _Toc400025144 \h </w:instrText>
            </w:r>
            <w:r w:rsidR="00BF00BC">
              <w:rPr>
                <w:noProof/>
                <w:webHidden/>
              </w:rPr>
            </w:r>
            <w:r w:rsidR="00BF00BC">
              <w:rPr>
                <w:noProof/>
                <w:webHidden/>
              </w:rPr>
              <w:fldChar w:fldCharType="separate"/>
            </w:r>
            <w:r w:rsidR="00502BAF">
              <w:rPr>
                <w:noProof/>
                <w:webHidden/>
              </w:rPr>
              <w:t>20</w:t>
            </w:r>
            <w:r w:rsidR="00BF00BC">
              <w:rPr>
                <w:noProof/>
                <w:webHidden/>
              </w:rPr>
              <w:fldChar w:fldCharType="end"/>
            </w:r>
          </w:hyperlink>
        </w:p>
        <w:p w:rsidR="00BF00BC" w:rsidRDefault="00766B0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0025145" w:history="1">
            <w:r w:rsidR="00BF00BC" w:rsidRPr="004D16D9">
              <w:rPr>
                <w:rStyle w:val="Hyperlink"/>
                <w:noProof/>
              </w:rPr>
              <w:t>Appendices</w:t>
            </w:r>
            <w:r w:rsidR="00BF00BC">
              <w:rPr>
                <w:noProof/>
                <w:webHidden/>
              </w:rPr>
              <w:tab/>
            </w:r>
            <w:r w:rsidR="00BF00BC">
              <w:rPr>
                <w:noProof/>
                <w:webHidden/>
              </w:rPr>
              <w:fldChar w:fldCharType="begin"/>
            </w:r>
            <w:r w:rsidR="00BF00BC">
              <w:rPr>
                <w:noProof/>
                <w:webHidden/>
              </w:rPr>
              <w:instrText xml:space="preserve"> PAGEREF _Toc400025145 \h </w:instrText>
            </w:r>
            <w:r w:rsidR="00BF00BC">
              <w:rPr>
                <w:noProof/>
                <w:webHidden/>
              </w:rPr>
            </w:r>
            <w:r w:rsidR="00BF00BC">
              <w:rPr>
                <w:noProof/>
                <w:webHidden/>
              </w:rPr>
              <w:fldChar w:fldCharType="separate"/>
            </w:r>
            <w:r w:rsidR="00502BAF">
              <w:rPr>
                <w:noProof/>
                <w:webHidden/>
              </w:rPr>
              <w:t>26</w:t>
            </w:r>
            <w:r w:rsidR="00BF00BC">
              <w:rPr>
                <w:noProof/>
                <w:webHidden/>
              </w:rPr>
              <w:fldChar w:fldCharType="end"/>
            </w:r>
          </w:hyperlink>
        </w:p>
        <w:p w:rsidR="00BF00BC" w:rsidRDefault="00766B0C">
          <w:pPr>
            <w:pStyle w:val="TOC3"/>
            <w:tabs>
              <w:tab w:val="right" w:leader="dot" w:pos="9016"/>
            </w:tabs>
            <w:rPr>
              <w:rFonts w:asciiTheme="minorHAnsi" w:eastAsiaTheme="minorEastAsia" w:hAnsiTheme="minorHAnsi" w:cstheme="minorBidi"/>
              <w:noProof/>
              <w:sz w:val="22"/>
              <w:szCs w:val="22"/>
              <w:lang w:eastAsia="en-AU"/>
            </w:rPr>
          </w:pPr>
          <w:hyperlink w:anchor="_Toc400025146" w:history="1">
            <w:r w:rsidR="00BF00BC" w:rsidRPr="004D16D9">
              <w:rPr>
                <w:rStyle w:val="Hyperlink"/>
                <w:noProof/>
              </w:rPr>
              <w:t>Appendix A: Post-tax revenue model (transmission)</w:t>
            </w:r>
            <w:r w:rsidR="00BF00BC">
              <w:rPr>
                <w:noProof/>
                <w:webHidden/>
              </w:rPr>
              <w:tab/>
            </w:r>
            <w:r w:rsidR="00BF00BC">
              <w:rPr>
                <w:noProof/>
                <w:webHidden/>
              </w:rPr>
              <w:fldChar w:fldCharType="begin"/>
            </w:r>
            <w:r w:rsidR="00BF00BC">
              <w:rPr>
                <w:noProof/>
                <w:webHidden/>
              </w:rPr>
              <w:instrText xml:space="preserve"> PAGEREF _Toc400025146 \h </w:instrText>
            </w:r>
            <w:r w:rsidR="00BF00BC">
              <w:rPr>
                <w:noProof/>
                <w:webHidden/>
              </w:rPr>
            </w:r>
            <w:r w:rsidR="00BF00BC">
              <w:rPr>
                <w:noProof/>
                <w:webHidden/>
              </w:rPr>
              <w:fldChar w:fldCharType="separate"/>
            </w:r>
            <w:r w:rsidR="00502BAF">
              <w:rPr>
                <w:noProof/>
                <w:webHidden/>
              </w:rPr>
              <w:t>26</w:t>
            </w:r>
            <w:r w:rsidR="00BF00BC">
              <w:rPr>
                <w:noProof/>
                <w:webHidden/>
              </w:rPr>
              <w:fldChar w:fldCharType="end"/>
            </w:r>
          </w:hyperlink>
        </w:p>
        <w:p w:rsidR="00BF00BC" w:rsidRDefault="00766B0C">
          <w:pPr>
            <w:pStyle w:val="TOC3"/>
            <w:tabs>
              <w:tab w:val="right" w:leader="dot" w:pos="9016"/>
            </w:tabs>
            <w:rPr>
              <w:rFonts w:asciiTheme="minorHAnsi" w:eastAsiaTheme="minorEastAsia" w:hAnsiTheme="minorHAnsi" w:cstheme="minorBidi"/>
              <w:noProof/>
              <w:sz w:val="22"/>
              <w:szCs w:val="22"/>
              <w:lang w:eastAsia="en-AU"/>
            </w:rPr>
          </w:pPr>
          <w:hyperlink w:anchor="_Toc400025147" w:history="1">
            <w:r w:rsidR="00BF00BC" w:rsidRPr="004D16D9">
              <w:rPr>
                <w:rStyle w:val="Hyperlink"/>
                <w:noProof/>
              </w:rPr>
              <w:t>Appendix B: Post-tax revenue model (distribution)</w:t>
            </w:r>
            <w:r w:rsidR="00BF00BC">
              <w:rPr>
                <w:noProof/>
                <w:webHidden/>
              </w:rPr>
              <w:tab/>
            </w:r>
            <w:r w:rsidR="00BF00BC">
              <w:rPr>
                <w:noProof/>
                <w:webHidden/>
              </w:rPr>
              <w:fldChar w:fldCharType="begin"/>
            </w:r>
            <w:r w:rsidR="00BF00BC">
              <w:rPr>
                <w:noProof/>
                <w:webHidden/>
              </w:rPr>
              <w:instrText xml:space="preserve"> PAGEREF _Toc400025147 \h </w:instrText>
            </w:r>
            <w:r w:rsidR="00BF00BC">
              <w:rPr>
                <w:noProof/>
                <w:webHidden/>
              </w:rPr>
            </w:r>
            <w:r w:rsidR="00BF00BC">
              <w:rPr>
                <w:noProof/>
                <w:webHidden/>
              </w:rPr>
              <w:fldChar w:fldCharType="separate"/>
            </w:r>
            <w:r w:rsidR="00502BAF">
              <w:rPr>
                <w:noProof/>
                <w:webHidden/>
              </w:rPr>
              <w:t>26</w:t>
            </w:r>
            <w:r w:rsidR="00BF00BC">
              <w:rPr>
                <w:noProof/>
                <w:webHidden/>
              </w:rPr>
              <w:fldChar w:fldCharType="end"/>
            </w:r>
          </w:hyperlink>
        </w:p>
        <w:p w:rsidR="00BF00BC" w:rsidRDefault="00766B0C">
          <w:pPr>
            <w:pStyle w:val="TOC3"/>
            <w:tabs>
              <w:tab w:val="right" w:leader="dot" w:pos="9016"/>
            </w:tabs>
            <w:rPr>
              <w:rFonts w:asciiTheme="minorHAnsi" w:eastAsiaTheme="minorEastAsia" w:hAnsiTheme="minorHAnsi" w:cstheme="minorBidi"/>
              <w:noProof/>
              <w:sz w:val="22"/>
              <w:szCs w:val="22"/>
              <w:lang w:eastAsia="en-AU"/>
            </w:rPr>
          </w:pPr>
          <w:hyperlink w:anchor="_Toc400025148" w:history="1">
            <w:r w:rsidR="00BF00BC" w:rsidRPr="004D16D9">
              <w:rPr>
                <w:rStyle w:val="Hyperlink"/>
                <w:noProof/>
              </w:rPr>
              <w:t>Appendix C: Post-tax revenue model handbook (transmission)</w:t>
            </w:r>
            <w:r w:rsidR="00BF00BC">
              <w:rPr>
                <w:noProof/>
                <w:webHidden/>
              </w:rPr>
              <w:tab/>
            </w:r>
            <w:r w:rsidR="00BF00BC">
              <w:rPr>
                <w:noProof/>
                <w:webHidden/>
              </w:rPr>
              <w:fldChar w:fldCharType="begin"/>
            </w:r>
            <w:r w:rsidR="00BF00BC">
              <w:rPr>
                <w:noProof/>
                <w:webHidden/>
              </w:rPr>
              <w:instrText xml:space="preserve"> PAGEREF _Toc400025148 \h </w:instrText>
            </w:r>
            <w:r w:rsidR="00BF00BC">
              <w:rPr>
                <w:noProof/>
                <w:webHidden/>
              </w:rPr>
            </w:r>
            <w:r w:rsidR="00BF00BC">
              <w:rPr>
                <w:noProof/>
                <w:webHidden/>
              </w:rPr>
              <w:fldChar w:fldCharType="separate"/>
            </w:r>
            <w:r w:rsidR="00502BAF">
              <w:rPr>
                <w:noProof/>
                <w:webHidden/>
              </w:rPr>
              <w:t>26</w:t>
            </w:r>
            <w:r w:rsidR="00BF00BC">
              <w:rPr>
                <w:noProof/>
                <w:webHidden/>
              </w:rPr>
              <w:fldChar w:fldCharType="end"/>
            </w:r>
          </w:hyperlink>
        </w:p>
        <w:p w:rsidR="00BF00BC" w:rsidRDefault="00766B0C">
          <w:pPr>
            <w:pStyle w:val="TOC3"/>
            <w:tabs>
              <w:tab w:val="right" w:leader="dot" w:pos="9016"/>
            </w:tabs>
            <w:rPr>
              <w:rFonts w:asciiTheme="minorHAnsi" w:eastAsiaTheme="minorEastAsia" w:hAnsiTheme="minorHAnsi" w:cstheme="minorBidi"/>
              <w:noProof/>
              <w:sz w:val="22"/>
              <w:szCs w:val="22"/>
              <w:lang w:eastAsia="en-AU"/>
            </w:rPr>
          </w:pPr>
          <w:hyperlink w:anchor="_Toc400025149" w:history="1">
            <w:r w:rsidR="00BF00BC" w:rsidRPr="004D16D9">
              <w:rPr>
                <w:rStyle w:val="Hyperlink"/>
                <w:noProof/>
              </w:rPr>
              <w:t>Appendix D: Post-tax revenue model handbook (distribution)</w:t>
            </w:r>
            <w:r w:rsidR="00BF00BC">
              <w:rPr>
                <w:noProof/>
                <w:webHidden/>
              </w:rPr>
              <w:tab/>
            </w:r>
            <w:r w:rsidR="00BF00BC">
              <w:rPr>
                <w:noProof/>
                <w:webHidden/>
              </w:rPr>
              <w:fldChar w:fldCharType="begin"/>
            </w:r>
            <w:r w:rsidR="00BF00BC">
              <w:rPr>
                <w:noProof/>
                <w:webHidden/>
              </w:rPr>
              <w:instrText xml:space="preserve"> PAGEREF _Toc400025149 \h </w:instrText>
            </w:r>
            <w:r w:rsidR="00BF00BC">
              <w:rPr>
                <w:noProof/>
                <w:webHidden/>
              </w:rPr>
            </w:r>
            <w:r w:rsidR="00BF00BC">
              <w:rPr>
                <w:noProof/>
                <w:webHidden/>
              </w:rPr>
              <w:fldChar w:fldCharType="separate"/>
            </w:r>
            <w:r w:rsidR="00502BAF">
              <w:rPr>
                <w:noProof/>
                <w:webHidden/>
              </w:rPr>
              <w:t>26</w:t>
            </w:r>
            <w:r w:rsidR="00BF00BC">
              <w:rPr>
                <w:noProof/>
                <w:webHidden/>
              </w:rPr>
              <w:fldChar w:fldCharType="end"/>
            </w:r>
          </w:hyperlink>
        </w:p>
        <w:p w:rsidR="00657133" w:rsidRPr="00657133" w:rsidRDefault="00657133">
          <w:r w:rsidRPr="00657133">
            <w:fldChar w:fldCharType="end"/>
          </w:r>
        </w:p>
      </w:sdtContent>
    </w:sdt>
    <w:p w:rsidR="00657133" w:rsidRPr="00657133" w:rsidRDefault="00657133" w:rsidP="00657133">
      <w:pPr>
        <w:pStyle w:val="AERbodytext"/>
      </w:pPr>
    </w:p>
    <w:p w:rsidR="00C51598" w:rsidRPr="0086490E" w:rsidRDefault="00824CC8" w:rsidP="00C51598">
      <w:pPr>
        <w:pStyle w:val="TOC1"/>
        <w:tabs>
          <w:tab w:val="right" w:leader="dot" w:pos="9016"/>
        </w:tabs>
        <w:rPr>
          <w:color w:val="0000FF"/>
          <w:u w:val="single"/>
        </w:rPr>
      </w:pPr>
      <w:r w:rsidRPr="00AC1B94">
        <w:fldChar w:fldCharType="begin"/>
      </w:r>
      <w:r w:rsidRPr="00971655">
        <w:instrText xml:space="preserve"> TOC \o "1-2" \h \z \u </w:instrText>
      </w:r>
      <w:r w:rsidRPr="00AC1B94">
        <w:fldChar w:fldCharType="separate"/>
      </w:r>
    </w:p>
    <w:p w:rsidR="0086490E" w:rsidRPr="0086490E" w:rsidRDefault="0086490E" w:rsidP="0086490E">
      <w:pPr>
        <w:pStyle w:val="TOC1"/>
        <w:tabs>
          <w:tab w:val="right" w:leader="dot" w:pos="9016"/>
        </w:tabs>
        <w:rPr>
          <w:color w:val="0000FF"/>
          <w:u w:val="single"/>
        </w:rPr>
      </w:pPr>
    </w:p>
    <w:p w:rsidR="00A75C1F" w:rsidRDefault="00824CC8" w:rsidP="00A75C1F">
      <w:pPr>
        <w:pStyle w:val="UnnumberedHeading"/>
      </w:pPr>
      <w:r w:rsidRPr="00AC1B94">
        <w:lastRenderedPageBreak/>
        <w:fldChar w:fldCharType="end"/>
      </w:r>
      <w:bookmarkStart w:id="13" w:name="_Toc384813019"/>
      <w:bookmarkStart w:id="14" w:name="_Toc395861691"/>
      <w:bookmarkStart w:id="15" w:name="_Toc400025125"/>
      <w:bookmarkStart w:id="16" w:name="_Toc360023683"/>
      <w:bookmarkStart w:id="17" w:name="_Toc360024844"/>
      <w:r w:rsidR="00A75C1F">
        <w:t>Shortened forms</w:t>
      </w:r>
      <w:bookmarkEnd w:id="13"/>
      <w:bookmarkEnd w:id="14"/>
      <w:bookmarkEnd w:id="15"/>
    </w:p>
    <w:tbl>
      <w:tblPr>
        <w:tblStyle w:val="AERtable-text"/>
        <w:tblW w:w="0" w:type="auto"/>
        <w:tblLook w:val="01E0" w:firstRow="1" w:lastRow="1" w:firstColumn="1" w:lastColumn="1" w:noHBand="0" w:noVBand="0"/>
      </w:tblPr>
      <w:tblGrid>
        <w:gridCol w:w="2802"/>
        <w:gridCol w:w="5726"/>
      </w:tblGrid>
      <w:tr w:rsidR="00A75C1F" w:rsidRPr="00215BAE" w:rsidTr="00C80C46">
        <w:trPr>
          <w:cnfStyle w:val="100000000000" w:firstRow="1" w:lastRow="0" w:firstColumn="0" w:lastColumn="0" w:oddVBand="0" w:evenVBand="0" w:oddHBand="0" w:evenHBand="0" w:firstRowFirstColumn="0" w:firstRowLastColumn="0" w:lastRowFirstColumn="0" w:lastRowLastColumn="0"/>
          <w:tblHeader/>
        </w:trPr>
        <w:tc>
          <w:tcPr>
            <w:tcW w:w="2802" w:type="dxa"/>
            <w:noWrap/>
          </w:tcPr>
          <w:p w:rsidR="00A75C1F" w:rsidRPr="00A75C1F" w:rsidRDefault="00A75C1F" w:rsidP="00A75C1F">
            <w:r w:rsidRPr="00C109F9">
              <w:t>Shortened form</w:t>
            </w:r>
          </w:p>
        </w:tc>
        <w:tc>
          <w:tcPr>
            <w:tcW w:w="5726" w:type="dxa"/>
            <w:noWrap/>
          </w:tcPr>
          <w:p w:rsidR="00A75C1F" w:rsidRPr="00A75C1F" w:rsidRDefault="00A75C1F" w:rsidP="00A75C1F">
            <w:r w:rsidRPr="00C109F9">
              <w:t>Extended form</w:t>
            </w:r>
          </w:p>
        </w:tc>
      </w:tr>
      <w:tr w:rsidR="005C1214" w:rsidRPr="00D75DE7" w:rsidTr="00660DF5">
        <w:tc>
          <w:tcPr>
            <w:tcW w:w="2802" w:type="dxa"/>
            <w:noWrap/>
          </w:tcPr>
          <w:p w:rsidR="005C1214" w:rsidRDefault="005C1214" w:rsidP="00A75C1F">
            <w:r>
              <w:t>ABBRR</w:t>
            </w:r>
          </w:p>
        </w:tc>
        <w:tc>
          <w:tcPr>
            <w:tcW w:w="5726" w:type="dxa"/>
            <w:noWrap/>
          </w:tcPr>
          <w:p w:rsidR="005C1214" w:rsidRDefault="00BC271C" w:rsidP="005C1214">
            <w:r>
              <w:t>a</w:t>
            </w:r>
            <w:r w:rsidR="005C1214">
              <w:t>nnual building block revenue requirement</w:t>
            </w:r>
          </w:p>
        </w:tc>
      </w:tr>
      <w:tr w:rsidR="00844D8E"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844D8E" w:rsidRPr="00C109F9" w:rsidRDefault="00844D8E" w:rsidP="00A75C1F">
            <w:r>
              <w:t>ARR</w:t>
            </w:r>
          </w:p>
        </w:tc>
        <w:tc>
          <w:tcPr>
            <w:tcW w:w="5726" w:type="dxa"/>
            <w:noWrap/>
          </w:tcPr>
          <w:p w:rsidR="00844D8E" w:rsidRPr="00C109F9" w:rsidRDefault="00BC271C" w:rsidP="005C1214">
            <w:r>
              <w:t>a</w:t>
            </w:r>
            <w:r w:rsidR="00844D8E">
              <w:t xml:space="preserve">nnual </w:t>
            </w:r>
            <w:r w:rsidR="005C1214">
              <w:t>r</w:t>
            </w:r>
            <w:r w:rsidR="00844D8E">
              <w:t xml:space="preserve">evenue </w:t>
            </w:r>
            <w:r w:rsidR="005C1214">
              <w:t>r</w:t>
            </w:r>
            <w:r w:rsidR="00844D8E">
              <w:t>equirement</w:t>
            </w:r>
          </w:p>
        </w:tc>
      </w:tr>
      <w:tr w:rsidR="00BC25AF" w:rsidRPr="00D75DE7" w:rsidTr="00660DF5">
        <w:tc>
          <w:tcPr>
            <w:tcW w:w="2802" w:type="dxa"/>
            <w:noWrap/>
          </w:tcPr>
          <w:p w:rsidR="00BC25AF" w:rsidRPr="00C109F9" w:rsidRDefault="00BC25AF" w:rsidP="00A75C1F">
            <w:r>
              <w:t>AEMC</w:t>
            </w:r>
          </w:p>
        </w:tc>
        <w:tc>
          <w:tcPr>
            <w:tcW w:w="5726" w:type="dxa"/>
            <w:noWrap/>
          </w:tcPr>
          <w:p w:rsidR="00BC25AF" w:rsidRPr="00C109F9" w:rsidRDefault="00BC25AF" w:rsidP="00A75C1F">
            <w:r w:rsidRPr="00BC25AF">
              <w:t>Australian Energy Market Commission</w:t>
            </w:r>
          </w:p>
        </w:tc>
      </w:tr>
      <w:tr w:rsidR="00A75C1F"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A75C1F" w:rsidRPr="00A75C1F" w:rsidRDefault="00A75C1F" w:rsidP="00A75C1F">
            <w:r w:rsidRPr="00C109F9">
              <w:t>AER</w:t>
            </w:r>
          </w:p>
        </w:tc>
        <w:tc>
          <w:tcPr>
            <w:tcW w:w="5726" w:type="dxa"/>
            <w:noWrap/>
          </w:tcPr>
          <w:p w:rsidR="00A75C1F" w:rsidRPr="00A75C1F" w:rsidRDefault="00A75C1F" w:rsidP="00A75C1F">
            <w:r w:rsidRPr="00C109F9">
              <w:t>Australian Energy Regulator</w:t>
            </w:r>
          </w:p>
        </w:tc>
      </w:tr>
      <w:tr w:rsidR="00A75C1F" w:rsidRPr="00D75DE7" w:rsidTr="00660DF5">
        <w:tc>
          <w:tcPr>
            <w:tcW w:w="2802" w:type="dxa"/>
            <w:noWrap/>
          </w:tcPr>
          <w:p w:rsidR="00A75C1F" w:rsidRPr="00A75C1F" w:rsidRDefault="00A75C1F" w:rsidP="00A75C1F">
            <w:r w:rsidRPr="00C109F9">
              <w:t>CPI</w:t>
            </w:r>
          </w:p>
        </w:tc>
        <w:tc>
          <w:tcPr>
            <w:tcW w:w="5726" w:type="dxa"/>
            <w:noWrap/>
          </w:tcPr>
          <w:p w:rsidR="00A75C1F" w:rsidRPr="00A75C1F" w:rsidRDefault="00A75C1F" w:rsidP="00A75C1F">
            <w:r w:rsidRPr="00C109F9">
              <w:t>consumer price index</w:t>
            </w:r>
          </w:p>
        </w:tc>
      </w:tr>
      <w:tr w:rsidR="0029516F"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29516F" w:rsidRDefault="0029516F" w:rsidP="005C1214">
            <w:r>
              <w:t>D</w:t>
            </w:r>
            <w:r w:rsidR="0078730A">
              <w:t>NSP</w:t>
            </w:r>
          </w:p>
        </w:tc>
        <w:tc>
          <w:tcPr>
            <w:tcW w:w="5726" w:type="dxa"/>
            <w:noWrap/>
          </w:tcPr>
          <w:p w:rsidR="0029516F" w:rsidRDefault="0029516F" w:rsidP="0078730A">
            <w:r>
              <w:t xml:space="preserve">distribution </w:t>
            </w:r>
            <w:r w:rsidR="0078730A">
              <w:t>network service provider</w:t>
            </w:r>
          </w:p>
        </w:tc>
      </w:tr>
      <w:tr w:rsidR="00A75C1F" w:rsidRPr="00D75DE7" w:rsidTr="00660DF5">
        <w:tc>
          <w:tcPr>
            <w:tcW w:w="2802" w:type="dxa"/>
            <w:noWrap/>
          </w:tcPr>
          <w:p w:rsidR="00A75C1F" w:rsidRPr="00A75C1F" w:rsidRDefault="00A75C1F" w:rsidP="00710A27">
            <w:r w:rsidRPr="00C109F9">
              <w:t>E</w:t>
            </w:r>
            <w:r w:rsidR="00710A27">
              <w:t>RC</w:t>
            </w:r>
          </w:p>
        </w:tc>
        <w:tc>
          <w:tcPr>
            <w:tcW w:w="5726" w:type="dxa"/>
            <w:noWrap/>
          </w:tcPr>
          <w:p w:rsidR="00A75C1F" w:rsidRPr="00A75C1F" w:rsidRDefault="00710A27" w:rsidP="00E30A88">
            <w:r>
              <w:t>equity raising cost</w:t>
            </w:r>
          </w:p>
        </w:tc>
      </w:tr>
      <w:tr w:rsidR="00300110"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300110" w:rsidRPr="00C109F9" w:rsidRDefault="00300110" w:rsidP="00A75C1F">
            <w:r>
              <w:t>MAR</w:t>
            </w:r>
          </w:p>
        </w:tc>
        <w:tc>
          <w:tcPr>
            <w:tcW w:w="5726" w:type="dxa"/>
            <w:noWrap/>
          </w:tcPr>
          <w:p w:rsidR="00300110" w:rsidRPr="00C109F9" w:rsidRDefault="00300110" w:rsidP="00A75C1F">
            <w:r>
              <w:t>maximum allowed revenue</w:t>
            </w:r>
          </w:p>
        </w:tc>
      </w:tr>
      <w:tr w:rsidR="00A75C1F" w:rsidRPr="00D75DE7" w:rsidTr="00660DF5">
        <w:tc>
          <w:tcPr>
            <w:tcW w:w="2802" w:type="dxa"/>
            <w:noWrap/>
          </w:tcPr>
          <w:p w:rsidR="00A75C1F" w:rsidRPr="00A75C1F" w:rsidRDefault="00A75C1F" w:rsidP="005C1214">
            <w:r w:rsidRPr="00C109F9">
              <w:t>NER</w:t>
            </w:r>
          </w:p>
        </w:tc>
        <w:tc>
          <w:tcPr>
            <w:tcW w:w="5726" w:type="dxa"/>
            <w:noWrap/>
          </w:tcPr>
          <w:p w:rsidR="00A75C1F" w:rsidRPr="00A75C1F" w:rsidRDefault="00A75C1F" w:rsidP="00A75C1F">
            <w:r w:rsidRPr="00C109F9">
              <w:t>National Electricity Rules</w:t>
            </w:r>
          </w:p>
        </w:tc>
      </w:tr>
      <w:tr w:rsidR="0078730A"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78730A" w:rsidRPr="00C109F9" w:rsidRDefault="0078730A" w:rsidP="00A75C1F">
            <w:r>
              <w:t>NPV</w:t>
            </w:r>
          </w:p>
        </w:tc>
        <w:tc>
          <w:tcPr>
            <w:tcW w:w="5726" w:type="dxa"/>
            <w:noWrap/>
          </w:tcPr>
          <w:p w:rsidR="0078730A" w:rsidRPr="00C109F9" w:rsidRDefault="0078730A" w:rsidP="00A75C1F">
            <w:r>
              <w:t>net present value</w:t>
            </w:r>
          </w:p>
        </w:tc>
      </w:tr>
      <w:tr w:rsidR="00281D47" w:rsidRPr="00D75DE7" w:rsidTr="00660DF5">
        <w:tc>
          <w:tcPr>
            <w:tcW w:w="2802" w:type="dxa"/>
            <w:noWrap/>
          </w:tcPr>
          <w:p w:rsidR="00281D47" w:rsidRDefault="00281D47" w:rsidP="00A75C1F">
            <w:r>
              <w:t>NSP</w:t>
            </w:r>
          </w:p>
        </w:tc>
        <w:tc>
          <w:tcPr>
            <w:tcW w:w="5726" w:type="dxa"/>
            <w:noWrap/>
          </w:tcPr>
          <w:p w:rsidR="00281D47" w:rsidRDefault="00BC271C" w:rsidP="005C1214">
            <w:r>
              <w:t>n</w:t>
            </w:r>
            <w:r w:rsidR="00281D47">
              <w:t xml:space="preserve">etwork service provider </w:t>
            </w:r>
            <w:r w:rsidR="005C1214">
              <w:t>(D</w:t>
            </w:r>
            <w:r w:rsidR="00281D47">
              <w:t xml:space="preserve">NSP or </w:t>
            </w:r>
            <w:r w:rsidR="005C1214">
              <w:t>T</w:t>
            </w:r>
            <w:r w:rsidR="00281D47">
              <w:t>NSP</w:t>
            </w:r>
            <w:r w:rsidR="005C1214">
              <w:t>)</w:t>
            </w:r>
          </w:p>
        </w:tc>
      </w:tr>
      <w:tr w:rsidR="0078730A"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78730A" w:rsidRPr="00C109F9" w:rsidRDefault="0078730A" w:rsidP="00A75C1F">
            <w:r>
              <w:t>PTRM</w:t>
            </w:r>
          </w:p>
        </w:tc>
        <w:tc>
          <w:tcPr>
            <w:tcW w:w="5726" w:type="dxa"/>
            <w:noWrap/>
          </w:tcPr>
          <w:p w:rsidR="0078730A" w:rsidRPr="00C109F9" w:rsidRDefault="0078730A" w:rsidP="00A75C1F">
            <w:r>
              <w:t>post-tax revenue model</w:t>
            </w:r>
          </w:p>
        </w:tc>
      </w:tr>
      <w:tr w:rsidR="00A75C1F" w:rsidRPr="00D75DE7" w:rsidTr="00660DF5">
        <w:tc>
          <w:tcPr>
            <w:tcW w:w="2802" w:type="dxa"/>
            <w:noWrap/>
          </w:tcPr>
          <w:p w:rsidR="00A75C1F" w:rsidRPr="00A75C1F" w:rsidRDefault="00A75C1F" w:rsidP="00A75C1F">
            <w:r w:rsidRPr="00C109F9">
              <w:t>RAB</w:t>
            </w:r>
          </w:p>
        </w:tc>
        <w:tc>
          <w:tcPr>
            <w:tcW w:w="5726" w:type="dxa"/>
            <w:noWrap/>
          </w:tcPr>
          <w:p w:rsidR="00A75C1F" w:rsidRPr="00A75C1F" w:rsidRDefault="00A75C1F" w:rsidP="00A75C1F">
            <w:r w:rsidRPr="00C109F9">
              <w:t>regulatory asset base</w:t>
            </w:r>
          </w:p>
        </w:tc>
      </w:tr>
      <w:tr w:rsidR="0078730A"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78730A" w:rsidRPr="00C109F9" w:rsidRDefault="0078730A" w:rsidP="00A75C1F">
            <w:r>
              <w:t>TAB</w:t>
            </w:r>
          </w:p>
        </w:tc>
        <w:tc>
          <w:tcPr>
            <w:tcW w:w="5726" w:type="dxa"/>
            <w:noWrap/>
          </w:tcPr>
          <w:p w:rsidR="0078730A" w:rsidRPr="00C109F9" w:rsidRDefault="0078730A" w:rsidP="00A75C1F">
            <w:r>
              <w:t>tax asset base</w:t>
            </w:r>
          </w:p>
        </w:tc>
      </w:tr>
      <w:tr w:rsidR="0078730A" w:rsidRPr="00D75DE7" w:rsidTr="00660DF5">
        <w:tc>
          <w:tcPr>
            <w:tcW w:w="2802" w:type="dxa"/>
            <w:noWrap/>
          </w:tcPr>
          <w:p w:rsidR="0078730A" w:rsidRPr="00C109F9" w:rsidRDefault="0078730A" w:rsidP="00A75C1F">
            <w:r>
              <w:t>TNSP</w:t>
            </w:r>
          </w:p>
        </w:tc>
        <w:tc>
          <w:tcPr>
            <w:tcW w:w="5726" w:type="dxa"/>
            <w:noWrap/>
          </w:tcPr>
          <w:p w:rsidR="0078730A" w:rsidRPr="00C109F9" w:rsidRDefault="0078730A" w:rsidP="00A75C1F">
            <w:r>
              <w:t>transmission network service provider</w:t>
            </w:r>
          </w:p>
        </w:tc>
      </w:tr>
      <w:tr w:rsidR="00A75C1F"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A75C1F" w:rsidRPr="00A75C1F" w:rsidRDefault="00A75C1F" w:rsidP="005C1214">
            <w:r w:rsidRPr="00C109F9">
              <w:t>WACC</w:t>
            </w:r>
          </w:p>
        </w:tc>
        <w:tc>
          <w:tcPr>
            <w:tcW w:w="5726" w:type="dxa"/>
            <w:noWrap/>
          </w:tcPr>
          <w:p w:rsidR="00A75C1F" w:rsidRPr="00A75C1F" w:rsidRDefault="00A75C1F" w:rsidP="00A75C1F">
            <w:r w:rsidRPr="00C109F9">
              <w:t>weighted average cost of capital</w:t>
            </w:r>
          </w:p>
        </w:tc>
      </w:tr>
    </w:tbl>
    <w:p w:rsidR="008337FF" w:rsidRDefault="008337FF" w:rsidP="00540029">
      <w:pPr>
        <w:pStyle w:val="AERbodytext"/>
        <w:numPr>
          <w:ilvl w:val="0"/>
          <w:numId w:val="0"/>
        </w:numPr>
      </w:pPr>
    </w:p>
    <w:p w:rsidR="00C5132E" w:rsidRPr="003334E0" w:rsidRDefault="00491692" w:rsidP="000514DD">
      <w:pPr>
        <w:pStyle w:val="Heading1"/>
      </w:pPr>
      <w:bookmarkStart w:id="18" w:name="_Toc395861692"/>
      <w:bookmarkStart w:id="19" w:name="_Toc400025126"/>
      <w:r>
        <w:lastRenderedPageBreak/>
        <w:t>Introduction</w:t>
      </w:r>
      <w:bookmarkEnd w:id="18"/>
      <w:bookmarkEnd w:id="19"/>
    </w:p>
    <w:p w:rsidR="002A22E3" w:rsidRDefault="00596708" w:rsidP="002A22E3">
      <w:pPr>
        <w:pStyle w:val="AERbodytext"/>
        <w:numPr>
          <w:ilvl w:val="0"/>
          <w:numId w:val="9"/>
        </w:numPr>
        <w:rPr>
          <w:rStyle w:val="AERbody"/>
        </w:rPr>
      </w:pPr>
      <w:r w:rsidRPr="00596708">
        <w:rPr>
          <w:rStyle w:val="AERbody"/>
        </w:rPr>
        <w:t xml:space="preserve">The </w:t>
      </w:r>
      <w:r w:rsidR="006259E9">
        <w:rPr>
          <w:rStyle w:val="AERbody"/>
        </w:rPr>
        <w:t xml:space="preserve">AER </w:t>
      </w:r>
      <w:r w:rsidRPr="00596708">
        <w:rPr>
          <w:rStyle w:val="AERbody"/>
        </w:rPr>
        <w:t>is responsible for the economic regulation of prescribed transmission</w:t>
      </w:r>
      <w:r w:rsidR="006259E9">
        <w:rPr>
          <w:rStyle w:val="AERbody"/>
        </w:rPr>
        <w:t xml:space="preserve"> and </w:t>
      </w:r>
      <w:r w:rsidR="00A91499">
        <w:rPr>
          <w:rStyle w:val="AERbody"/>
        </w:rPr>
        <w:t xml:space="preserve">direct control </w:t>
      </w:r>
      <w:r w:rsidR="006259E9">
        <w:rPr>
          <w:rStyle w:val="AERbody"/>
        </w:rPr>
        <w:t xml:space="preserve">distribution </w:t>
      </w:r>
      <w:r w:rsidRPr="00596708">
        <w:rPr>
          <w:rStyle w:val="AERbody"/>
        </w:rPr>
        <w:t>services provided by transmission</w:t>
      </w:r>
      <w:r w:rsidR="006259E9">
        <w:rPr>
          <w:rStyle w:val="AERbody"/>
        </w:rPr>
        <w:t xml:space="preserve"> and distribution</w:t>
      </w:r>
      <w:r w:rsidRPr="00596708">
        <w:rPr>
          <w:rStyle w:val="AERbody"/>
        </w:rPr>
        <w:t xml:space="preserve"> network service providers (TNSPs</w:t>
      </w:r>
      <w:r w:rsidR="006259E9">
        <w:rPr>
          <w:rStyle w:val="AERbody"/>
        </w:rPr>
        <w:t xml:space="preserve"> and DNSPs</w:t>
      </w:r>
      <w:r w:rsidRPr="00596708">
        <w:rPr>
          <w:rStyle w:val="AERbody"/>
        </w:rPr>
        <w:t>) in the National Electricity Market, in accordance with the National Electricity Rules (NER).</w:t>
      </w:r>
      <w:r w:rsidR="002A22E3">
        <w:rPr>
          <w:rStyle w:val="AERbody"/>
        </w:rPr>
        <w:t xml:space="preserve"> </w:t>
      </w:r>
      <w:r w:rsidR="00563DBE">
        <w:rPr>
          <w:rStyle w:val="AERbody"/>
        </w:rPr>
        <w:t>T</w:t>
      </w:r>
      <w:r w:rsidR="006259E9">
        <w:rPr>
          <w:rStyle w:val="AERbody"/>
        </w:rPr>
        <w:t>he NER require</w:t>
      </w:r>
      <w:r w:rsidR="002A22E3">
        <w:rPr>
          <w:rStyle w:val="AERbody"/>
        </w:rPr>
        <w:t>s</w:t>
      </w:r>
      <w:r w:rsidRPr="00596708">
        <w:rPr>
          <w:rStyle w:val="AERbody"/>
        </w:rPr>
        <w:t xml:space="preserve"> </w:t>
      </w:r>
      <w:r w:rsidR="007F6C20">
        <w:rPr>
          <w:rStyle w:val="AERbody"/>
        </w:rPr>
        <w:t>us to</w:t>
      </w:r>
      <w:r w:rsidR="00727EB4">
        <w:rPr>
          <w:rStyle w:val="AERbody"/>
        </w:rPr>
        <w:t xml:space="preserve"> prepare and publish</w:t>
      </w:r>
      <w:r w:rsidR="000F3B7B">
        <w:rPr>
          <w:rStyle w:val="AERbody"/>
        </w:rPr>
        <w:t xml:space="preserve"> post-tax revenue models</w:t>
      </w:r>
      <w:r w:rsidR="00727EB4">
        <w:rPr>
          <w:rStyle w:val="AERbody"/>
        </w:rPr>
        <w:t xml:space="preserve"> </w:t>
      </w:r>
      <w:r w:rsidR="000F3B7B">
        <w:rPr>
          <w:rStyle w:val="AERbody"/>
        </w:rPr>
        <w:t>(</w:t>
      </w:r>
      <w:r w:rsidR="006259E9">
        <w:rPr>
          <w:rStyle w:val="AERbody"/>
        </w:rPr>
        <w:t>PTRM</w:t>
      </w:r>
      <w:r w:rsidR="00727EB4">
        <w:rPr>
          <w:rStyle w:val="AERbody"/>
        </w:rPr>
        <w:t>s</w:t>
      </w:r>
      <w:r w:rsidR="000F3B7B">
        <w:rPr>
          <w:rStyle w:val="AERbody"/>
        </w:rPr>
        <w:t>)</w:t>
      </w:r>
      <w:r w:rsidRPr="00596708">
        <w:rPr>
          <w:rStyle w:val="AERbody"/>
        </w:rPr>
        <w:t xml:space="preserve"> for TNSPs</w:t>
      </w:r>
      <w:r w:rsidR="002A22E3">
        <w:rPr>
          <w:rStyle w:val="AERbody"/>
        </w:rPr>
        <w:t xml:space="preserve"> and </w:t>
      </w:r>
      <w:r w:rsidR="00563DBE">
        <w:rPr>
          <w:rStyle w:val="AERbody"/>
        </w:rPr>
        <w:t>DNSPs</w:t>
      </w:r>
      <w:r w:rsidR="00923B08">
        <w:rPr>
          <w:rStyle w:val="AERbody"/>
        </w:rPr>
        <w:t>.</w:t>
      </w:r>
      <w:r w:rsidR="00563DBE">
        <w:rPr>
          <w:rStyle w:val="FootnoteReference"/>
        </w:rPr>
        <w:footnoteReference w:id="1"/>
      </w:r>
      <w:r w:rsidR="00923B08">
        <w:rPr>
          <w:rStyle w:val="AERbody"/>
        </w:rPr>
        <w:t xml:space="preserve"> </w:t>
      </w:r>
      <w:r w:rsidR="00281D47">
        <w:rPr>
          <w:rStyle w:val="AERbody"/>
        </w:rPr>
        <w:t>TNSPs and DNSPs can be collectively referred to as network service providers (NSPs).</w:t>
      </w:r>
    </w:p>
    <w:p w:rsidR="00085CB2" w:rsidRDefault="00563DBE" w:rsidP="002A22E3">
      <w:pPr>
        <w:pStyle w:val="AERbodytext"/>
        <w:rPr>
          <w:rStyle w:val="AERbody"/>
        </w:rPr>
      </w:pPr>
      <w:r>
        <w:rPr>
          <w:rStyle w:val="AERbody"/>
        </w:rPr>
        <w:t>T</w:t>
      </w:r>
      <w:r w:rsidR="00923B08" w:rsidRPr="00923B08">
        <w:rPr>
          <w:rStyle w:val="AERbody"/>
        </w:rPr>
        <w:t xml:space="preserve">he NER allows </w:t>
      </w:r>
      <w:r w:rsidR="002A22E3">
        <w:rPr>
          <w:rStyle w:val="AERbody"/>
        </w:rPr>
        <w:t>us</w:t>
      </w:r>
      <w:r w:rsidR="00923B08" w:rsidRPr="00923B08">
        <w:rPr>
          <w:rStyle w:val="AERbody"/>
        </w:rPr>
        <w:t xml:space="preserve"> to amend or replace th</w:t>
      </w:r>
      <w:r>
        <w:rPr>
          <w:rStyle w:val="AERbody"/>
        </w:rPr>
        <w:t>e PTRMs of the NSPs</w:t>
      </w:r>
      <w:r w:rsidR="00923B08" w:rsidRPr="00923B08">
        <w:rPr>
          <w:rStyle w:val="AERbody"/>
        </w:rPr>
        <w:t xml:space="preserve"> and sets out the requirements in doing so.</w:t>
      </w:r>
      <w:r>
        <w:rPr>
          <w:rStyle w:val="FootnoteReference"/>
        </w:rPr>
        <w:footnoteReference w:id="2"/>
      </w:r>
      <w:r w:rsidR="002A22E3">
        <w:rPr>
          <w:rStyle w:val="AERbody"/>
        </w:rPr>
        <w:t xml:space="preserve"> </w:t>
      </w:r>
      <w:r w:rsidR="000109A9">
        <w:rPr>
          <w:rStyle w:val="AERbody"/>
        </w:rPr>
        <w:fldChar w:fldCharType="begin"/>
      </w:r>
      <w:r w:rsidR="000109A9">
        <w:rPr>
          <w:rStyle w:val="AERbody"/>
        </w:rPr>
        <w:instrText xml:space="preserve"> REF _Ref395078134 \h </w:instrText>
      </w:r>
      <w:r w:rsidR="000109A9">
        <w:rPr>
          <w:rStyle w:val="AERbody"/>
        </w:rPr>
      </w:r>
      <w:r w:rsidR="000109A9">
        <w:rPr>
          <w:rStyle w:val="AERbody"/>
        </w:rPr>
        <w:fldChar w:fldCharType="separate"/>
      </w:r>
      <w:r w:rsidR="008B40CD">
        <w:t xml:space="preserve">Table </w:t>
      </w:r>
      <w:r w:rsidR="008B40CD">
        <w:rPr>
          <w:noProof/>
        </w:rPr>
        <w:t>2</w:t>
      </w:r>
      <w:r w:rsidR="000109A9">
        <w:rPr>
          <w:rStyle w:val="AERbody"/>
        </w:rPr>
        <w:fldChar w:fldCharType="end"/>
      </w:r>
      <w:r w:rsidR="000109A9">
        <w:rPr>
          <w:rStyle w:val="AERbody"/>
        </w:rPr>
        <w:t xml:space="preserve"> </w:t>
      </w:r>
      <w:r w:rsidR="00047802">
        <w:rPr>
          <w:rStyle w:val="AERbody"/>
        </w:rPr>
        <w:t>shows</w:t>
      </w:r>
      <w:r w:rsidR="00085CB2">
        <w:rPr>
          <w:rStyle w:val="AERbody"/>
        </w:rPr>
        <w:t xml:space="preserve"> the versions of the PTRMs for TNSPs and DNSPs</w:t>
      </w:r>
      <w:r w:rsidR="00047802">
        <w:rPr>
          <w:rStyle w:val="AERbody"/>
        </w:rPr>
        <w:t>,</w:t>
      </w:r>
      <w:r w:rsidR="00085CB2">
        <w:rPr>
          <w:rStyle w:val="AERbody"/>
        </w:rPr>
        <w:t xml:space="preserve"> the key changes</w:t>
      </w:r>
      <w:r w:rsidR="00923B08">
        <w:rPr>
          <w:rStyle w:val="AERbody"/>
        </w:rPr>
        <w:t xml:space="preserve"> to these model</w:t>
      </w:r>
      <w:r w:rsidR="00D66E9A">
        <w:rPr>
          <w:rStyle w:val="AERbody"/>
        </w:rPr>
        <w:t xml:space="preserve">s </w:t>
      </w:r>
      <w:r w:rsidR="00047802">
        <w:rPr>
          <w:rStyle w:val="AERbody"/>
        </w:rPr>
        <w:t>and when</w:t>
      </w:r>
      <w:r w:rsidR="00AA7E93">
        <w:rPr>
          <w:rStyle w:val="AERbody"/>
        </w:rPr>
        <w:t xml:space="preserve"> they were made</w:t>
      </w:r>
      <w:r w:rsidR="00085CB2">
        <w:rPr>
          <w:rStyle w:val="AERbody"/>
        </w:rPr>
        <w:t xml:space="preserve">. </w:t>
      </w:r>
    </w:p>
    <w:p w:rsidR="00432EC6" w:rsidRPr="004A5246" w:rsidRDefault="000109A9" w:rsidP="000109A9">
      <w:pPr>
        <w:pStyle w:val="Caption"/>
        <w:rPr>
          <w:rStyle w:val="AERtextbold"/>
        </w:rPr>
      </w:pPr>
      <w:bookmarkStart w:id="20" w:name="_Ref395078134"/>
      <w:r>
        <w:t xml:space="preserve">Table </w:t>
      </w:r>
      <w:fldSimple w:instr=" SEQ Table \* ARABIC ">
        <w:r w:rsidR="008B40CD">
          <w:rPr>
            <w:noProof/>
          </w:rPr>
          <w:t>2</w:t>
        </w:r>
      </w:fldSimple>
      <w:bookmarkEnd w:id="20"/>
      <w:r>
        <w:t xml:space="preserve"> </w:t>
      </w:r>
      <w:r>
        <w:tab/>
      </w:r>
      <w:r w:rsidR="00432EC6" w:rsidRPr="000109A9">
        <w:rPr>
          <w:rStyle w:val="AERtextbold"/>
          <w:b/>
        </w:rPr>
        <w:t>PTRM revisions</w:t>
      </w:r>
    </w:p>
    <w:tbl>
      <w:tblPr>
        <w:tblStyle w:val="AERtable-text"/>
        <w:tblW w:w="9180" w:type="dxa"/>
        <w:tblLayout w:type="fixed"/>
        <w:tblLook w:val="04A0" w:firstRow="1" w:lastRow="0" w:firstColumn="1" w:lastColumn="0" w:noHBand="0" w:noVBand="1"/>
      </w:tblPr>
      <w:tblGrid>
        <w:gridCol w:w="1526"/>
        <w:gridCol w:w="1276"/>
        <w:gridCol w:w="2551"/>
        <w:gridCol w:w="1559"/>
        <w:gridCol w:w="2268"/>
      </w:tblGrid>
      <w:tr w:rsidR="00085CB2" w:rsidRPr="003766A2" w:rsidTr="00937CE8">
        <w:trPr>
          <w:cnfStyle w:val="100000000000" w:firstRow="1" w:lastRow="0" w:firstColumn="0" w:lastColumn="0" w:oddVBand="0" w:evenVBand="0" w:oddHBand="0" w:evenHBand="0" w:firstRowFirstColumn="0" w:firstRowLastColumn="0" w:lastRowFirstColumn="0" w:lastRowLastColumn="0"/>
        </w:trPr>
        <w:tc>
          <w:tcPr>
            <w:tcW w:w="1526" w:type="dxa"/>
          </w:tcPr>
          <w:p w:rsidR="00085CB2" w:rsidRPr="00937CE8" w:rsidRDefault="00085CB2" w:rsidP="003766A2">
            <w:pPr>
              <w:pStyle w:val="AERtabletextleft"/>
              <w:jc w:val="both"/>
              <w:rPr>
                <w:rStyle w:val="AERtextbold"/>
                <w:b/>
              </w:rPr>
            </w:pPr>
            <w:r w:rsidRPr="003766A2">
              <w:rPr>
                <w:rStyle w:val="AERtextbold"/>
              </w:rPr>
              <w:t xml:space="preserve">Date </w:t>
            </w:r>
          </w:p>
        </w:tc>
        <w:tc>
          <w:tcPr>
            <w:tcW w:w="1276" w:type="dxa"/>
          </w:tcPr>
          <w:p w:rsidR="00085CB2" w:rsidRPr="00937CE8" w:rsidRDefault="00085CB2" w:rsidP="003C4A39">
            <w:pPr>
              <w:pStyle w:val="AERtabletextleft"/>
              <w:rPr>
                <w:rStyle w:val="AERtextbold"/>
                <w:b/>
              </w:rPr>
            </w:pPr>
            <w:r w:rsidRPr="003766A2">
              <w:rPr>
                <w:rStyle w:val="AERtextbold"/>
              </w:rPr>
              <w:t>TNSP version</w:t>
            </w:r>
          </w:p>
        </w:tc>
        <w:tc>
          <w:tcPr>
            <w:tcW w:w="2551" w:type="dxa"/>
          </w:tcPr>
          <w:p w:rsidR="00085CB2" w:rsidRPr="00937CE8" w:rsidRDefault="00085CB2" w:rsidP="003C4A39">
            <w:pPr>
              <w:pStyle w:val="AERtabletextleft"/>
              <w:rPr>
                <w:rStyle w:val="AERtextbold"/>
                <w:b/>
              </w:rPr>
            </w:pPr>
            <w:r w:rsidRPr="003766A2">
              <w:rPr>
                <w:rStyle w:val="AERtextbold"/>
              </w:rPr>
              <w:t>Key changes</w:t>
            </w:r>
          </w:p>
        </w:tc>
        <w:tc>
          <w:tcPr>
            <w:tcW w:w="1559" w:type="dxa"/>
          </w:tcPr>
          <w:p w:rsidR="00085CB2" w:rsidRPr="00937CE8" w:rsidRDefault="00085CB2" w:rsidP="003C4A39">
            <w:pPr>
              <w:pStyle w:val="AERtabletextleft"/>
              <w:rPr>
                <w:rStyle w:val="AERtextbold"/>
                <w:b/>
              </w:rPr>
            </w:pPr>
            <w:r w:rsidRPr="003766A2">
              <w:rPr>
                <w:rStyle w:val="AERtextbold"/>
              </w:rPr>
              <w:t>DNSP version</w:t>
            </w:r>
          </w:p>
        </w:tc>
        <w:tc>
          <w:tcPr>
            <w:tcW w:w="2268" w:type="dxa"/>
          </w:tcPr>
          <w:p w:rsidR="00085CB2" w:rsidRPr="00937CE8" w:rsidRDefault="00085CB2" w:rsidP="003C4A39">
            <w:pPr>
              <w:pStyle w:val="AERtabletextleft"/>
              <w:rPr>
                <w:rStyle w:val="AERtextbold"/>
                <w:b/>
              </w:rPr>
            </w:pPr>
            <w:r w:rsidRPr="003766A2">
              <w:rPr>
                <w:rStyle w:val="AERtextbold"/>
              </w:rPr>
              <w:t>Key changes</w:t>
            </w:r>
          </w:p>
        </w:tc>
      </w:tr>
      <w:tr w:rsidR="00085CB2" w:rsidTr="00937CE8">
        <w:tc>
          <w:tcPr>
            <w:tcW w:w="1526" w:type="dxa"/>
          </w:tcPr>
          <w:p w:rsidR="00085CB2" w:rsidRPr="000F3B7B" w:rsidRDefault="00085CB2" w:rsidP="000F3B7B">
            <w:pPr>
              <w:pStyle w:val="AERtabletextleft"/>
              <w:rPr>
                <w:rStyle w:val="AERbody"/>
                <w:sz w:val="16"/>
              </w:rPr>
            </w:pPr>
            <w:r w:rsidRPr="000F3B7B">
              <w:rPr>
                <w:rStyle w:val="AERbody"/>
                <w:sz w:val="16"/>
              </w:rPr>
              <w:t>Sept</w:t>
            </w:r>
            <w:r w:rsidR="000F3B7B" w:rsidRPr="004F11F4">
              <w:rPr>
                <w:rStyle w:val="AERbody"/>
                <w:sz w:val="16"/>
              </w:rPr>
              <w:t>em</w:t>
            </w:r>
            <w:r w:rsidR="000F3B7B" w:rsidRPr="00AC02B5">
              <w:rPr>
                <w:rStyle w:val="AERbody"/>
                <w:sz w:val="16"/>
              </w:rPr>
              <w:t>b</w:t>
            </w:r>
            <w:r w:rsidR="000F3B7B" w:rsidRPr="0039282E">
              <w:rPr>
                <w:rStyle w:val="AERbody"/>
                <w:sz w:val="16"/>
              </w:rPr>
              <w:t>er</w:t>
            </w:r>
            <w:r w:rsidRPr="000F3B7B">
              <w:rPr>
                <w:rStyle w:val="AERbody"/>
                <w:sz w:val="16"/>
              </w:rPr>
              <w:t xml:space="preserve"> 2007</w:t>
            </w:r>
          </w:p>
        </w:tc>
        <w:tc>
          <w:tcPr>
            <w:tcW w:w="1276" w:type="dxa"/>
          </w:tcPr>
          <w:p w:rsidR="00085CB2" w:rsidRPr="00FB0FDB" w:rsidRDefault="00B74D5B" w:rsidP="00FB0FDB">
            <w:pPr>
              <w:pStyle w:val="AERtabletextleft"/>
              <w:rPr>
                <w:rStyle w:val="AERbody"/>
                <w:sz w:val="16"/>
              </w:rPr>
            </w:pPr>
            <w:r>
              <w:rPr>
                <w:rStyle w:val="AERbody"/>
                <w:sz w:val="16"/>
              </w:rPr>
              <w:t>1</w:t>
            </w:r>
          </w:p>
        </w:tc>
        <w:tc>
          <w:tcPr>
            <w:tcW w:w="2551" w:type="dxa"/>
          </w:tcPr>
          <w:p w:rsidR="00085CB2" w:rsidRPr="00FB0FDB" w:rsidRDefault="00085CB2" w:rsidP="00FB0FDB">
            <w:pPr>
              <w:pStyle w:val="AERtabletextleft"/>
              <w:rPr>
                <w:rStyle w:val="AERbody"/>
                <w:sz w:val="16"/>
              </w:rPr>
            </w:pPr>
            <w:r w:rsidRPr="00FB0FDB">
              <w:rPr>
                <w:rStyle w:val="AERbody"/>
                <w:sz w:val="16"/>
              </w:rPr>
              <w:t>n/a</w:t>
            </w:r>
          </w:p>
        </w:tc>
        <w:tc>
          <w:tcPr>
            <w:tcW w:w="1559" w:type="dxa"/>
          </w:tcPr>
          <w:p w:rsidR="00085CB2" w:rsidRPr="00FB0FDB" w:rsidRDefault="00085CB2" w:rsidP="00FB0FDB">
            <w:pPr>
              <w:pStyle w:val="AERtabletextleft"/>
              <w:rPr>
                <w:rStyle w:val="AERbody"/>
                <w:sz w:val="16"/>
              </w:rPr>
            </w:pPr>
          </w:p>
        </w:tc>
        <w:tc>
          <w:tcPr>
            <w:tcW w:w="2268" w:type="dxa"/>
          </w:tcPr>
          <w:p w:rsidR="00085CB2" w:rsidRPr="00FB0FDB" w:rsidRDefault="00085CB2" w:rsidP="00FB0FDB">
            <w:pPr>
              <w:pStyle w:val="AERtabletextleft"/>
              <w:rPr>
                <w:rStyle w:val="AERbody"/>
                <w:sz w:val="16"/>
              </w:rPr>
            </w:pPr>
          </w:p>
        </w:tc>
      </w:tr>
      <w:tr w:rsidR="00085CB2" w:rsidTr="00937CE8">
        <w:trPr>
          <w:cnfStyle w:val="000000010000" w:firstRow="0" w:lastRow="0" w:firstColumn="0" w:lastColumn="0" w:oddVBand="0" w:evenVBand="0" w:oddHBand="0" w:evenHBand="1" w:firstRowFirstColumn="0" w:firstRowLastColumn="0" w:lastRowFirstColumn="0" w:lastRowLastColumn="0"/>
        </w:trPr>
        <w:tc>
          <w:tcPr>
            <w:tcW w:w="1526" w:type="dxa"/>
          </w:tcPr>
          <w:p w:rsidR="00085CB2" w:rsidRPr="000F3B7B" w:rsidRDefault="00085CB2" w:rsidP="000F3B7B">
            <w:pPr>
              <w:pStyle w:val="AERtabletextleft"/>
              <w:rPr>
                <w:rStyle w:val="AERbody"/>
                <w:sz w:val="16"/>
              </w:rPr>
            </w:pPr>
            <w:r w:rsidRPr="000F3B7B">
              <w:rPr>
                <w:rStyle w:val="AERbody"/>
                <w:sz w:val="16"/>
              </w:rPr>
              <w:t>June 2008</w:t>
            </w:r>
          </w:p>
        </w:tc>
        <w:tc>
          <w:tcPr>
            <w:tcW w:w="1276" w:type="dxa"/>
          </w:tcPr>
          <w:p w:rsidR="00085CB2" w:rsidRPr="00FB0FDB" w:rsidRDefault="00085CB2" w:rsidP="00FB0FDB">
            <w:pPr>
              <w:pStyle w:val="AERtabletextleft"/>
              <w:rPr>
                <w:rStyle w:val="AERbody"/>
                <w:sz w:val="16"/>
              </w:rPr>
            </w:pPr>
          </w:p>
        </w:tc>
        <w:tc>
          <w:tcPr>
            <w:tcW w:w="2551" w:type="dxa"/>
          </w:tcPr>
          <w:p w:rsidR="00085CB2" w:rsidRPr="00FB0FDB" w:rsidRDefault="00085CB2" w:rsidP="00FB0FDB">
            <w:pPr>
              <w:pStyle w:val="AERtabletextleft"/>
              <w:rPr>
                <w:rStyle w:val="AERbody"/>
                <w:sz w:val="16"/>
              </w:rPr>
            </w:pPr>
          </w:p>
        </w:tc>
        <w:tc>
          <w:tcPr>
            <w:tcW w:w="1559" w:type="dxa"/>
          </w:tcPr>
          <w:p w:rsidR="00085CB2" w:rsidRPr="00FB0FDB" w:rsidRDefault="00432EC6" w:rsidP="00FB0FDB">
            <w:pPr>
              <w:pStyle w:val="AERtabletextleft"/>
              <w:rPr>
                <w:rStyle w:val="AERbody"/>
                <w:sz w:val="16"/>
              </w:rPr>
            </w:pPr>
            <w:r w:rsidRPr="00FB0FDB">
              <w:rPr>
                <w:rStyle w:val="AERbody"/>
                <w:sz w:val="16"/>
              </w:rPr>
              <w:t>1</w:t>
            </w:r>
          </w:p>
        </w:tc>
        <w:tc>
          <w:tcPr>
            <w:tcW w:w="2268" w:type="dxa"/>
          </w:tcPr>
          <w:p w:rsidR="00085CB2" w:rsidRPr="00FB0FDB" w:rsidRDefault="00432EC6" w:rsidP="00FB0FDB">
            <w:pPr>
              <w:pStyle w:val="AERtabletextleft"/>
              <w:rPr>
                <w:rStyle w:val="AERbody"/>
                <w:sz w:val="16"/>
              </w:rPr>
            </w:pPr>
            <w:r w:rsidRPr="00FB0FDB">
              <w:rPr>
                <w:rStyle w:val="AERbody"/>
                <w:sz w:val="16"/>
              </w:rPr>
              <w:t>n/a</w:t>
            </w:r>
          </w:p>
        </w:tc>
      </w:tr>
      <w:tr w:rsidR="00085CB2" w:rsidTr="00937CE8">
        <w:tc>
          <w:tcPr>
            <w:tcW w:w="1526" w:type="dxa"/>
          </w:tcPr>
          <w:p w:rsidR="00085CB2" w:rsidRPr="000F3B7B" w:rsidRDefault="00432EC6" w:rsidP="000F3B7B">
            <w:pPr>
              <w:pStyle w:val="AERtabletextleft"/>
              <w:rPr>
                <w:rStyle w:val="AERbody"/>
                <w:sz w:val="16"/>
              </w:rPr>
            </w:pPr>
            <w:r w:rsidRPr="000F3B7B">
              <w:rPr>
                <w:rStyle w:val="AERbody"/>
                <w:sz w:val="16"/>
              </w:rPr>
              <w:t>June 2009</w:t>
            </w:r>
          </w:p>
        </w:tc>
        <w:tc>
          <w:tcPr>
            <w:tcW w:w="1276" w:type="dxa"/>
          </w:tcPr>
          <w:p w:rsidR="00085CB2" w:rsidRPr="00FB0FDB" w:rsidRDefault="00085CB2" w:rsidP="00FB0FDB">
            <w:pPr>
              <w:pStyle w:val="AERtabletextleft"/>
              <w:rPr>
                <w:rStyle w:val="AERbody"/>
                <w:sz w:val="16"/>
              </w:rPr>
            </w:pPr>
          </w:p>
        </w:tc>
        <w:tc>
          <w:tcPr>
            <w:tcW w:w="2551" w:type="dxa"/>
          </w:tcPr>
          <w:p w:rsidR="00085CB2" w:rsidRPr="00FB0FDB" w:rsidRDefault="00085CB2" w:rsidP="00FB0FDB">
            <w:pPr>
              <w:pStyle w:val="AERtabletextleft"/>
              <w:rPr>
                <w:rStyle w:val="AERbody"/>
                <w:sz w:val="16"/>
              </w:rPr>
            </w:pPr>
          </w:p>
        </w:tc>
        <w:tc>
          <w:tcPr>
            <w:tcW w:w="1559" w:type="dxa"/>
          </w:tcPr>
          <w:p w:rsidR="00085CB2" w:rsidRPr="00FB0FDB" w:rsidRDefault="00432EC6" w:rsidP="00FB0FDB">
            <w:pPr>
              <w:pStyle w:val="AERtabletextleft"/>
              <w:rPr>
                <w:rStyle w:val="AERbody"/>
                <w:sz w:val="16"/>
              </w:rPr>
            </w:pPr>
            <w:r w:rsidRPr="00FB0FDB">
              <w:rPr>
                <w:rStyle w:val="AERbody"/>
                <w:sz w:val="16"/>
              </w:rPr>
              <w:t>2</w:t>
            </w:r>
          </w:p>
        </w:tc>
        <w:tc>
          <w:tcPr>
            <w:tcW w:w="2268" w:type="dxa"/>
          </w:tcPr>
          <w:p w:rsidR="00085CB2" w:rsidRPr="00F14DDC" w:rsidRDefault="00432EC6" w:rsidP="00F14DDC">
            <w:pPr>
              <w:pStyle w:val="AERtabletextleft"/>
              <w:rPr>
                <w:rStyle w:val="AERbody"/>
                <w:sz w:val="16"/>
              </w:rPr>
            </w:pPr>
            <w:r w:rsidRPr="00F14DDC">
              <w:rPr>
                <w:rStyle w:val="AERbody"/>
                <w:sz w:val="16"/>
              </w:rPr>
              <w:t xml:space="preserve">Various </w:t>
            </w:r>
            <w:r w:rsidR="00563DBE" w:rsidRPr="00AA7E93">
              <w:rPr>
                <w:rStyle w:val="AERbody"/>
                <w:sz w:val="16"/>
              </w:rPr>
              <w:t>non-consequential</w:t>
            </w:r>
            <w:r w:rsidRPr="00AA7E93">
              <w:rPr>
                <w:rStyle w:val="AERbody"/>
                <w:sz w:val="16"/>
              </w:rPr>
              <w:t xml:space="preserve"> errors corrected</w:t>
            </w:r>
            <w:r w:rsidR="00F14DDC" w:rsidRPr="00937CE8">
              <w:rPr>
                <w:rStyle w:val="AERbody"/>
                <w:sz w:val="16"/>
              </w:rPr>
              <w:t>.</w:t>
            </w:r>
          </w:p>
        </w:tc>
      </w:tr>
      <w:tr w:rsidR="00085CB2" w:rsidTr="00937CE8">
        <w:trPr>
          <w:cnfStyle w:val="000000010000" w:firstRow="0" w:lastRow="0" w:firstColumn="0" w:lastColumn="0" w:oddVBand="0" w:evenVBand="0" w:oddHBand="0" w:evenHBand="1" w:firstRowFirstColumn="0" w:firstRowLastColumn="0" w:lastRowFirstColumn="0" w:lastRowLastColumn="0"/>
        </w:trPr>
        <w:tc>
          <w:tcPr>
            <w:tcW w:w="1526" w:type="dxa"/>
          </w:tcPr>
          <w:p w:rsidR="00085CB2" w:rsidRPr="000F3B7B" w:rsidRDefault="00432EC6" w:rsidP="00534476">
            <w:pPr>
              <w:pStyle w:val="AERtabletextleft"/>
              <w:rPr>
                <w:rStyle w:val="AERbody"/>
                <w:sz w:val="16"/>
              </w:rPr>
            </w:pPr>
            <w:r w:rsidRPr="000F3B7B">
              <w:rPr>
                <w:rStyle w:val="AERbody"/>
                <w:sz w:val="16"/>
              </w:rPr>
              <w:t>Dec</w:t>
            </w:r>
            <w:r w:rsidR="000F3B7B" w:rsidRPr="004F11F4">
              <w:rPr>
                <w:rStyle w:val="AERbody"/>
                <w:sz w:val="16"/>
              </w:rPr>
              <w:t xml:space="preserve">ember </w:t>
            </w:r>
            <w:r w:rsidRPr="000F3B7B">
              <w:rPr>
                <w:rStyle w:val="AERbody"/>
                <w:sz w:val="16"/>
              </w:rPr>
              <w:t>2010</w:t>
            </w:r>
          </w:p>
        </w:tc>
        <w:tc>
          <w:tcPr>
            <w:tcW w:w="1276" w:type="dxa"/>
          </w:tcPr>
          <w:p w:rsidR="00085CB2" w:rsidRPr="00FB0FDB" w:rsidRDefault="00B74D5B" w:rsidP="00FB0FDB">
            <w:pPr>
              <w:pStyle w:val="AERtabletextleft"/>
              <w:rPr>
                <w:rStyle w:val="AERbody"/>
                <w:sz w:val="16"/>
              </w:rPr>
            </w:pPr>
            <w:r>
              <w:rPr>
                <w:rStyle w:val="AERbody"/>
                <w:sz w:val="16"/>
              </w:rPr>
              <w:t>2</w:t>
            </w:r>
          </w:p>
        </w:tc>
        <w:tc>
          <w:tcPr>
            <w:tcW w:w="2551" w:type="dxa"/>
          </w:tcPr>
          <w:p w:rsidR="00432EC6" w:rsidRPr="00F14DDC" w:rsidRDefault="000F3B7B" w:rsidP="003C4A39">
            <w:pPr>
              <w:pStyle w:val="AERtabletextleft"/>
              <w:rPr>
                <w:rStyle w:val="AERbody"/>
                <w:sz w:val="16"/>
              </w:rPr>
            </w:pPr>
            <w:r w:rsidRPr="003C4A39">
              <w:rPr>
                <w:rStyle w:val="AERbody"/>
                <w:sz w:val="16"/>
              </w:rPr>
              <w:t>I</w:t>
            </w:r>
            <w:r w:rsidR="00432EC6" w:rsidRPr="00F14DDC">
              <w:rPr>
                <w:rStyle w:val="AERbody"/>
                <w:sz w:val="16"/>
              </w:rPr>
              <w:t xml:space="preserve">nput section </w:t>
            </w:r>
            <w:r w:rsidR="00AC677B" w:rsidRPr="00AA7E93">
              <w:rPr>
                <w:rStyle w:val="AERbody"/>
                <w:sz w:val="16"/>
              </w:rPr>
              <w:t>modified</w:t>
            </w:r>
            <w:r w:rsidRPr="00AA7E93">
              <w:rPr>
                <w:rStyle w:val="AERbody"/>
                <w:sz w:val="16"/>
              </w:rPr>
              <w:t xml:space="preserve"> to allow</w:t>
            </w:r>
            <w:r w:rsidR="00AC677B" w:rsidRPr="00AA7E93">
              <w:rPr>
                <w:rStyle w:val="AERbody"/>
                <w:sz w:val="16"/>
              </w:rPr>
              <w:t xml:space="preserve"> </w:t>
            </w:r>
            <w:r w:rsidR="00432EC6" w:rsidRPr="00E12623">
              <w:rPr>
                <w:rStyle w:val="AERbody"/>
                <w:sz w:val="16"/>
              </w:rPr>
              <w:t xml:space="preserve">for the opening </w:t>
            </w:r>
            <w:r w:rsidR="00FB0FDB" w:rsidRPr="00933E21">
              <w:rPr>
                <w:rStyle w:val="AERbody"/>
                <w:sz w:val="16"/>
              </w:rPr>
              <w:t>regulatory asset base (</w:t>
            </w:r>
            <w:r w:rsidR="00432EC6" w:rsidRPr="003C4A39">
              <w:rPr>
                <w:rStyle w:val="AERbody"/>
                <w:sz w:val="16"/>
              </w:rPr>
              <w:t>RAB</w:t>
            </w:r>
            <w:r w:rsidR="00FB0FDB" w:rsidRPr="003C4A39">
              <w:rPr>
                <w:rStyle w:val="AERbody"/>
                <w:sz w:val="16"/>
              </w:rPr>
              <w:t>)</w:t>
            </w:r>
            <w:r w:rsidR="00432EC6" w:rsidRPr="003C4A39">
              <w:rPr>
                <w:rStyle w:val="AERbody"/>
                <w:sz w:val="16"/>
              </w:rPr>
              <w:t xml:space="preserve"> </w:t>
            </w:r>
            <w:r w:rsidRPr="003C4A39">
              <w:rPr>
                <w:rStyle w:val="AERbody"/>
                <w:sz w:val="16"/>
              </w:rPr>
              <w:t xml:space="preserve">to be </w:t>
            </w:r>
            <w:r w:rsidR="00432EC6" w:rsidRPr="003C4A39">
              <w:rPr>
                <w:rStyle w:val="AERbody"/>
                <w:sz w:val="16"/>
              </w:rPr>
              <w:t>based on as-commissioned cap</w:t>
            </w:r>
            <w:r w:rsidR="00BC12B6" w:rsidRPr="003C4A39">
              <w:rPr>
                <w:rStyle w:val="AERbody"/>
                <w:sz w:val="16"/>
              </w:rPr>
              <w:t xml:space="preserve">ital </w:t>
            </w:r>
            <w:r w:rsidR="00432EC6" w:rsidRPr="003C4A39">
              <w:rPr>
                <w:rStyle w:val="AERbody"/>
                <w:sz w:val="16"/>
              </w:rPr>
              <w:t>ex</w:t>
            </w:r>
            <w:r w:rsidR="00BC12B6" w:rsidRPr="003C4A39">
              <w:rPr>
                <w:rStyle w:val="AERbody"/>
                <w:sz w:val="16"/>
              </w:rPr>
              <w:t>penditure</w:t>
            </w:r>
            <w:r w:rsidR="003C4A39" w:rsidRPr="00937CE8">
              <w:rPr>
                <w:rStyle w:val="AERbody"/>
                <w:sz w:val="16"/>
              </w:rPr>
              <w:t>.</w:t>
            </w:r>
            <w:r w:rsidR="00432EC6" w:rsidRPr="00F14DDC">
              <w:rPr>
                <w:rStyle w:val="AERbody"/>
                <w:sz w:val="16"/>
              </w:rPr>
              <w:t xml:space="preserve"> </w:t>
            </w:r>
          </w:p>
          <w:p w:rsidR="00432EC6" w:rsidRPr="003C4A39" w:rsidRDefault="000F3B7B" w:rsidP="00E12623">
            <w:pPr>
              <w:pStyle w:val="AERtabletextleft"/>
              <w:rPr>
                <w:rStyle w:val="AERbody"/>
                <w:sz w:val="16"/>
              </w:rPr>
            </w:pPr>
            <w:r w:rsidRPr="00E12623">
              <w:rPr>
                <w:rStyle w:val="AERbody"/>
                <w:sz w:val="16"/>
              </w:rPr>
              <w:t>F</w:t>
            </w:r>
            <w:r w:rsidR="00432EC6" w:rsidRPr="00933E21">
              <w:rPr>
                <w:rStyle w:val="AERbody"/>
                <w:sz w:val="16"/>
              </w:rPr>
              <w:t>ormulae to calculate depreciation</w:t>
            </w:r>
            <w:r w:rsidR="00AC677B" w:rsidRPr="003C4A39">
              <w:rPr>
                <w:rStyle w:val="AERbody"/>
                <w:sz w:val="16"/>
              </w:rPr>
              <w:t xml:space="preserve"> adjusted for</w:t>
            </w:r>
            <w:r w:rsidR="00432EC6" w:rsidRPr="003C4A39">
              <w:rPr>
                <w:rStyle w:val="AERbody"/>
                <w:sz w:val="16"/>
              </w:rPr>
              <w:t xml:space="preserve"> th</w:t>
            </w:r>
            <w:r w:rsidR="00BC12B6" w:rsidRPr="003C4A39">
              <w:rPr>
                <w:rStyle w:val="AERbody"/>
                <w:sz w:val="16"/>
              </w:rPr>
              <w:t>e</w:t>
            </w:r>
            <w:r w:rsidR="00432EC6" w:rsidRPr="003C4A39">
              <w:rPr>
                <w:rStyle w:val="AERbody"/>
                <w:sz w:val="16"/>
              </w:rPr>
              <w:t xml:space="preserve"> RAB</w:t>
            </w:r>
            <w:r w:rsidR="00BC12B6" w:rsidRPr="003C4A39">
              <w:rPr>
                <w:rStyle w:val="AERbody"/>
                <w:sz w:val="16"/>
              </w:rPr>
              <w:t xml:space="preserve"> roll forward</w:t>
            </w:r>
            <w:r w:rsidR="003C4A39" w:rsidRPr="00937CE8">
              <w:rPr>
                <w:rStyle w:val="AERbody"/>
                <w:sz w:val="16"/>
              </w:rPr>
              <w:t>.</w:t>
            </w:r>
          </w:p>
          <w:p w:rsidR="00085CB2" w:rsidRPr="00FB0FDB" w:rsidRDefault="000F3B7B" w:rsidP="00933E21">
            <w:pPr>
              <w:pStyle w:val="AERtabletextleft"/>
              <w:rPr>
                <w:rStyle w:val="AERbody"/>
                <w:sz w:val="16"/>
              </w:rPr>
            </w:pPr>
            <w:r w:rsidRPr="00F14DDC">
              <w:rPr>
                <w:rStyle w:val="AERbody"/>
                <w:sz w:val="16"/>
              </w:rPr>
              <w:t>S</w:t>
            </w:r>
            <w:r w:rsidR="00923B08" w:rsidRPr="00AA7E93">
              <w:rPr>
                <w:rStyle w:val="AERbody"/>
                <w:sz w:val="16"/>
              </w:rPr>
              <w:t>ummary tables added</w:t>
            </w:r>
            <w:r w:rsidR="003C4A39" w:rsidRPr="00937CE8">
              <w:rPr>
                <w:rStyle w:val="AERbody"/>
                <w:sz w:val="16"/>
              </w:rPr>
              <w:t>.</w:t>
            </w:r>
          </w:p>
        </w:tc>
        <w:tc>
          <w:tcPr>
            <w:tcW w:w="1559" w:type="dxa"/>
          </w:tcPr>
          <w:p w:rsidR="00085CB2" w:rsidRPr="00FB0FDB" w:rsidRDefault="00085CB2" w:rsidP="00FB0FDB">
            <w:pPr>
              <w:pStyle w:val="AERtabletextleft"/>
              <w:rPr>
                <w:rStyle w:val="AERbody"/>
                <w:sz w:val="16"/>
              </w:rPr>
            </w:pPr>
          </w:p>
        </w:tc>
        <w:tc>
          <w:tcPr>
            <w:tcW w:w="2268" w:type="dxa"/>
          </w:tcPr>
          <w:p w:rsidR="00085CB2" w:rsidRPr="00FB0FDB" w:rsidRDefault="00085CB2" w:rsidP="00FB0FDB">
            <w:pPr>
              <w:pStyle w:val="AERtabletextleft"/>
              <w:rPr>
                <w:rStyle w:val="AERbody"/>
                <w:sz w:val="16"/>
              </w:rPr>
            </w:pPr>
          </w:p>
        </w:tc>
      </w:tr>
    </w:tbl>
    <w:p w:rsidR="00085CB2" w:rsidRDefault="00085CB2" w:rsidP="00085CB2">
      <w:pPr>
        <w:pStyle w:val="AERbodytext"/>
        <w:numPr>
          <w:ilvl w:val="0"/>
          <w:numId w:val="0"/>
        </w:numPr>
        <w:rPr>
          <w:rStyle w:val="AERbody"/>
        </w:rPr>
      </w:pPr>
    </w:p>
    <w:p w:rsidR="00596708" w:rsidRPr="00596708" w:rsidRDefault="00923B08" w:rsidP="00AC677B">
      <w:pPr>
        <w:pStyle w:val="AERbodytext"/>
        <w:numPr>
          <w:ilvl w:val="0"/>
          <w:numId w:val="0"/>
        </w:numPr>
        <w:rPr>
          <w:rStyle w:val="AERbody"/>
        </w:rPr>
      </w:pPr>
      <w:r>
        <w:rPr>
          <w:rStyle w:val="AERbody"/>
        </w:rPr>
        <w:t>T</w:t>
      </w:r>
      <w:r w:rsidR="00C15DB4">
        <w:rPr>
          <w:rStyle w:val="AERbody"/>
        </w:rPr>
        <w:t>he proposed</w:t>
      </w:r>
      <w:r w:rsidR="00596708" w:rsidRPr="00596708">
        <w:rPr>
          <w:rStyle w:val="AERbody"/>
        </w:rPr>
        <w:t xml:space="preserve"> version</w:t>
      </w:r>
      <w:r>
        <w:rPr>
          <w:rStyle w:val="AERbody"/>
        </w:rPr>
        <w:t xml:space="preserve">s </w:t>
      </w:r>
      <w:r w:rsidR="00596708" w:rsidRPr="00596708">
        <w:rPr>
          <w:rStyle w:val="AERbody"/>
        </w:rPr>
        <w:t>of the PTRM</w:t>
      </w:r>
      <w:r>
        <w:rPr>
          <w:rStyle w:val="AERbody"/>
        </w:rPr>
        <w:t>s</w:t>
      </w:r>
      <w:r w:rsidR="00596708" w:rsidRPr="00596708">
        <w:rPr>
          <w:rStyle w:val="AERbody"/>
        </w:rPr>
        <w:t xml:space="preserve"> </w:t>
      </w:r>
      <w:r w:rsidR="00534476">
        <w:rPr>
          <w:rStyle w:val="AERbody"/>
        </w:rPr>
        <w:t>(</w:t>
      </w:r>
      <w:r w:rsidR="00534476" w:rsidRPr="00534476">
        <w:rPr>
          <w:rStyle w:val="AERbody"/>
        </w:rPr>
        <w:t>which will be labelled version 3 for both TNSPs and DNSPs)</w:t>
      </w:r>
      <w:r w:rsidR="00534476">
        <w:rPr>
          <w:rStyle w:val="AERbody"/>
        </w:rPr>
        <w:t xml:space="preserve"> </w:t>
      </w:r>
      <w:r w:rsidR="00596708" w:rsidRPr="00596708">
        <w:rPr>
          <w:rStyle w:val="AERbody"/>
        </w:rPr>
        <w:t>will require</w:t>
      </w:r>
      <w:r w:rsidR="00AC677B">
        <w:rPr>
          <w:rStyle w:val="AERbody"/>
        </w:rPr>
        <w:t xml:space="preserve"> adjustments to give</w:t>
      </w:r>
      <w:r w:rsidR="004A5246">
        <w:rPr>
          <w:rStyle w:val="AERbody"/>
        </w:rPr>
        <w:t xml:space="preserve"> effect to the AER</w:t>
      </w:r>
      <w:r w:rsidR="00064665">
        <w:rPr>
          <w:rStyle w:val="AERbody"/>
        </w:rPr>
        <w:t>'s</w:t>
      </w:r>
      <w:r w:rsidR="004A5246">
        <w:rPr>
          <w:rStyle w:val="AERbody"/>
        </w:rPr>
        <w:t xml:space="preserve"> new </w:t>
      </w:r>
      <w:r w:rsidR="00570A5A" w:rsidRPr="00B636DA">
        <w:rPr>
          <w:rStyle w:val="AERtextitalic"/>
        </w:rPr>
        <w:t>R</w:t>
      </w:r>
      <w:r w:rsidR="004A5246" w:rsidRPr="00B636DA">
        <w:rPr>
          <w:rStyle w:val="AERtextitalic"/>
        </w:rPr>
        <w:t>ate of return g</w:t>
      </w:r>
      <w:r w:rsidR="00AC677B" w:rsidRPr="00B636DA">
        <w:rPr>
          <w:rStyle w:val="AERtextitalic"/>
        </w:rPr>
        <w:t>uideline</w:t>
      </w:r>
      <w:r w:rsidR="00AC677B">
        <w:rPr>
          <w:rStyle w:val="AERbody"/>
        </w:rPr>
        <w:t>.</w:t>
      </w:r>
      <w:r w:rsidR="004A5246">
        <w:rPr>
          <w:rStyle w:val="FootnoteReference"/>
        </w:rPr>
        <w:footnoteReference w:id="3"/>
      </w:r>
      <w:r w:rsidR="00AC677B">
        <w:rPr>
          <w:rStyle w:val="AERbody"/>
        </w:rPr>
        <w:t xml:space="preserve"> Th</w:t>
      </w:r>
      <w:r w:rsidR="008D7CC1">
        <w:rPr>
          <w:rStyle w:val="AERbody"/>
        </w:rPr>
        <w:t xml:space="preserve">e </w:t>
      </w:r>
      <w:r w:rsidR="008D7CC1" w:rsidRPr="00B636DA">
        <w:rPr>
          <w:rStyle w:val="AERtextitalic"/>
        </w:rPr>
        <w:t>Rate of return</w:t>
      </w:r>
      <w:r w:rsidR="00AC677B" w:rsidRPr="00B636DA">
        <w:rPr>
          <w:rStyle w:val="AERtextitalic"/>
        </w:rPr>
        <w:t xml:space="preserve"> guideline</w:t>
      </w:r>
      <w:r w:rsidR="008D7CC1">
        <w:rPr>
          <w:rStyle w:val="AERbody"/>
        </w:rPr>
        <w:t xml:space="preserve"> was developed and published in December 2013</w:t>
      </w:r>
      <w:r w:rsidR="00AC677B">
        <w:rPr>
          <w:rStyle w:val="AERbody"/>
        </w:rPr>
        <w:t xml:space="preserve"> follow</w:t>
      </w:r>
      <w:r w:rsidR="008D7CC1">
        <w:rPr>
          <w:rStyle w:val="AERbody"/>
        </w:rPr>
        <w:t>ing</w:t>
      </w:r>
      <w:r w:rsidR="00AC677B">
        <w:rPr>
          <w:rStyle w:val="AERbody"/>
        </w:rPr>
        <w:t xml:space="preserve"> changes to the </w:t>
      </w:r>
      <w:r w:rsidR="001560F4">
        <w:rPr>
          <w:rStyle w:val="AERbody"/>
        </w:rPr>
        <w:t>NER</w:t>
      </w:r>
      <w:r w:rsidR="00570A5A">
        <w:rPr>
          <w:rStyle w:val="AERbody"/>
        </w:rPr>
        <w:t xml:space="preserve"> </w:t>
      </w:r>
      <w:r w:rsidR="00AC677B">
        <w:rPr>
          <w:rStyle w:val="AERbody"/>
        </w:rPr>
        <w:t xml:space="preserve">by </w:t>
      </w:r>
      <w:r w:rsidR="00AC677B" w:rsidRPr="00AC677B">
        <w:rPr>
          <w:rStyle w:val="AERbody"/>
        </w:rPr>
        <w:t xml:space="preserve">the Australian Energy Market Commission (AEMC) </w:t>
      </w:r>
      <w:r w:rsidR="00AC677B">
        <w:rPr>
          <w:rStyle w:val="AERbody"/>
        </w:rPr>
        <w:t xml:space="preserve">in </w:t>
      </w:r>
      <w:r w:rsidR="00AC677B" w:rsidRPr="00AC677B">
        <w:rPr>
          <w:rStyle w:val="AERbody"/>
        </w:rPr>
        <w:t>November 2012</w:t>
      </w:r>
      <w:r w:rsidR="005554BB">
        <w:rPr>
          <w:rStyle w:val="AERbody"/>
        </w:rPr>
        <w:t>.</w:t>
      </w:r>
      <w:r w:rsidR="004A5246">
        <w:rPr>
          <w:rStyle w:val="FootnoteReference"/>
        </w:rPr>
        <w:footnoteReference w:id="4"/>
      </w:r>
      <w:r w:rsidR="00AC677B" w:rsidRPr="00AC677B">
        <w:rPr>
          <w:rStyle w:val="AERbody"/>
        </w:rPr>
        <w:t xml:space="preserve"> </w:t>
      </w:r>
      <w:r w:rsidR="00727EB4">
        <w:rPr>
          <w:rStyle w:val="AERbody"/>
        </w:rPr>
        <w:t>The most significan</w:t>
      </w:r>
      <w:r w:rsidR="00E30A88">
        <w:rPr>
          <w:rStyle w:val="AERbody"/>
        </w:rPr>
        <w:t>t</w:t>
      </w:r>
      <w:r w:rsidR="00727EB4">
        <w:rPr>
          <w:rStyle w:val="AERbody"/>
        </w:rPr>
        <w:t xml:space="preserve"> change to the PTRMs will be to allow for an annual update for the </w:t>
      </w:r>
      <w:r w:rsidR="008D7CC1">
        <w:rPr>
          <w:rStyle w:val="AERbody"/>
        </w:rPr>
        <w:t>return on</w:t>
      </w:r>
      <w:r w:rsidR="00727EB4">
        <w:rPr>
          <w:rStyle w:val="AERbody"/>
        </w:rPr>
        <w:t xml:space="preserve"> debt. </w:t>
      </w:r>
      <w:r w:rsidR="00AC677B">
        <w:rPr>
          <w:rStyle w:val="AERbody"/>
        </w:rPr>
        <w:t>Further background and</w:t>
      </w:r>
      <w:r w:rsidR="00596708" w:rsidRPr="00596708">
        <w:rPr>
          <w:rStyle w:val="AERbody"/>
        </w:rPr>
        <w:t xml:space="preserve"> details of the proposed amendments are discussed in </w:t>
      </w:r>
      <w:r w:rsidR="00766B0C">
        <w:rPr>
          <w:rStyle w:val="AERbody"/>
        </w:rPr>
        <w:t>section</w:t>
      </w:r>
      <w:r w:rsidR="00596708" w:rsidRPr="00596708">
        <w:rPr>
          <w:rStyle w:val="AERbody"/>
        </w:rPr>
        <w:t xml:space="preserve"> 4 of this explanatory statement.</w:t>
      </w:r>
    </w:p>
    <w:p w:rsidR="00596708" w:rsidRDefault="006C1FE2" w:rsidP="00B227E4">
      <w:pPr>
        <w:pStyle w:val="AERbodytext"/>
        <w:numPr>
          <w:ilvl w:val="0"/>
          <w:numId w:val="9"/>
        </w:numPr>
        <w:rPr>
          <w:rStyle w:val="AERbody"/>
        </w:rPr>
      </w:pPr>
      <w:r w:rsidRPr="006C1FE2">
        <w:rPr>
          <w:rStyle w:val="AERbody"/>
        </w:rPr>
        <w:t xml:space="preserve">There are differences between the PTRMs used for TNSPs and DNSPs. However, the proposed amendments discussed in this explanatory statement affect both in </w:t>
      </w:r>
      <w:r w:rsidR="00047802">
        <w:rPr>
          <w:rStyle w:val="AERbody"/>
        </w:rPr>
        <w:t xml:space="preserve">largely </w:t>
      </w:r>
      <w:r w:rsidRPr="006C1FE2">
        <w:rPr>
          <w:rStyle w:val="AERbody"/>
        </w:rPr>
        <w:t xml:space="preserve">the same way and are therefore discussed together. </w:t>
      </w:r>
      <w:r w:rsidR="00FE1F37">
        <w:rPr>
          <w:rStyle w:val="AERbody"/>
        </w:rPr>
        <w:t xml:space="preserve"> Matters that are TNSP or DNSP specific are identified as such.</w:t>
      </w:r>
    </w:p>
    <w:p w:rsidR="00C5132E" w:rsidRPr="00BD0308" w:rsidRDefault="00491692" w:rsidP="00937CE8">
      <w:pPr>
        <w:pStyle w:val="Heading1"/>
        <w:rPr>
          <w:rStyle w:val="AERbody"/>
          <w:color w:val="E36C0A"/>
          <w:sz w:val="36"/>
        </w:rPr>
      </w:pPr>
      <w:bookmarkStart w:id="21" w:name="_Toc395861693"/>
      <w:bookmarkStart w:id="22" w:name="_Toc400025127"/>
      <w:r w:rsidRPr="00937CE8">
        <w:rPr>
          <w:rStyle w:val="AERbody"/>
          <w:color w:val="E36C0A"/>
          <w:sz w:val="36"/>
        </w:rPr>
        <w:lastRenderedPageBreak/>
        <w:t xml:space="preserve">NER </w:t>
      </w:r>
      <w:r w:rsidR="005C1214" w:rsidRPr="00E37CB7">
        <w:rPr>
          <w:rStyle w:val="AERbody"/>
          <w:color w:val="E36C0A"/>
          <w:sz w:val="36"/>
        </w:rPr>
        <w:t>r</w:t>
      </w:r>
      <w:r w:rsidRPr="00937CE8">
        <w:rPr>
          <w:rStyle w:val="AERbody"/>
          <w:color w:val="E36C0A"/>
          <w:sz w:val="36"/>
        </w:rPr>
        <w:t>equirements</w:t>
      </w:r>
      <w:bookmarkEnd w:id="21"/>
      <w:bookmarkEnd w:id="22"/>
    </w:p>
    <w:p w:rsidR="00596708" w:rsidRPr="00596708" w:rsidRDefault="00844D8E" w:rsidP="00154E43">
      <w:pPr>
        <w:pStyle w:val="AERbodytext"/>
        <w:numPr>
          <w:ilvl w:val="0"/>
          <w:numId w:val="9"/>
        </w:numPr>
      </w:pPr>
      <w:r>
        <w:t>T</w:t>
      </w:r>
      <w:r w:rsidR="00596708" w:rsidRPr="00596708">
        <w:t>he NER allows the AER to amend or replace the PTRM</w:t>
      </w:r>
      <w:r w:rsidR="001A7126">
        <w:t xml:space="preserve">s of the NSPs </w:t>
      </w:r>
      <w:r w:rsidR="00596708" w:rsidRPr="00596708">
        <w:t xml:space="preserve">and sets out the </w:t>
      </w:r>
      <w:r w:rsidR="00172F30">
        <w:t>consultation procedures</w:t>
      </w:r>
      <w:r w:rsidR="00172F30" w:rsidRPr="00596708">
        <w:t xml:space="preserve"> </w:t>
      </w:r>
      <w:r w:rsidR="00596708" w:rsidRPr="00596708">
        <w:t>the AER must comply with in doing so.</w:t>
      </w:r>
      <w:r>
        <w:rPr>
          <w:rStyle w:val="FootnoteReference"/>
        </w:rPr>
        <w:footnoteReference w:id="5"/>
      </w:r>
      <w:r w:rsidR="00154E43">
        <w:t xml:space="preserve"> </w:t>
      </w:r>
      <w:r w:rsidR="00596708" w:rsidRPr="00596708">
        <w:t xml:space="preserve">When </w:t>
      </w:r>
      <w:r w:rsidR="001A7126">
        <w:t>amending the PTRM</w:t>
      </w:r>
      <w:r w:rsidR="00154E43">
        <w:t>,</w:t>
      </w:r>
      <w:r w:rsidR="001A7126">
        <w:t xml:space="preserve"> the </w:t>
      </w:r>
      <w:r w:rsidR="00596708" w:rsidRPr="00596708">
        <w:t xml:space="preserve">consultation procedures in the NER require </w:t>
      </w:r>
      <w:r w:rsidR="00153E85">
        <w:t>us</w:t>
      </w:r>
      <w:r w:rsidR="00596708" w:rsidRPr="00596708">
        <w:t xml:space="preserve"> to:</w:t>
      </w:r>
      <w:r w:rsidR="00154E43">
        <w:rPr>
          <w:rStyle w:val="FootnoteReference"/>
        </w:rPr>
        <w:footnoteReference w:id="6"/>
      </w:r>
    </w:p>
    <w:p w:rsidR="00596708" w:rsidRPr="00596708" w:rsidRDefault="00596708" w:rsidP="001A7126">
      <w:pPr>
        <w:pStyle w:val="AERbulletlistfirststyle"/>
      </w:pPr>
      <w:r w:rsidRPr="00596708">
        <w:t>publish the proposed amended model</w:t>
      </w:r>
    </w:p>
    <w:p w:rsidR="00596708" w:rsidRPr="00596708" w:rsidRDefault="002055BC" w:rsidP="001A7126">
      <w:pPr>
        <w:pStyle w:val="AERbulletlistfirststyle"/>
      </w:pPr>
      <w:r>
        <w:t xml:space="preserve">publish </w:t>
      </w:r>
      <w:r w:rsidR="00596708" w:rsidRPr="00596708">
        <w:t>an explanatory statement setting out the purpose of the proposed amended model</w:t>
      </w:r>
    </w:p>
    <w:p w:rsidR="00596708" w:rsidRPr="00596708" w:rsidRDefault="00596708" w:rsidP="001A7126">
      <w:pPr>
        <w:pStyle w:val="AERbulletlistfirststyle"/>
      </w:pPr>
      <w:proofErr w:type="gramStart"/>
      <w:r w:rsidRPr="00596708">
        <w:t>invite</w:t>
      </w:r>
      <w:proofErr w:type="gramEnd"/>
      <w:r w:rsidRPr="00596708">
        <w:t xml:space="preserve"> </w:t>
      </w:r>
      <w:r w:rsidR="002055BC">
        <w:t xml:space="preserve">written </w:t>
      </w:r>
      <w:r w:rsidRPr="00596708">
        <w:t>submissions on the proposed amended model.</w:t>
      </w:r>
    </w:p>
    <w:p w:rsidR="00596708" w:rsidRPr="00596708" w:rsidRDefault="00596708" w:rsidP="00064605">
      <w:pPr>
        <w:pStyle w:val="AERbodytext"/>
        <w:numPr>
          <w:ilvl w:val="0"/>
          <w:numId w:val="9"/>
        </w:numPr>
      </w:pPr>
      <w:r w:rsidRPr="00596708">
        <w:t>Interested parties must be allowed at least 30 business days to make submissions to the AER.</w:t>
      </w:r>
      <w:r w:rsidR="00EF0959">
        <w:rPr>
          <w:rStyle w:val="FootnoteReference"/>
        </w:rPr>
        <w:footnoteReference w:id="7"/>
      </w:r>
      <w:r w:rsidRPr="00596708">
        <w:t xml:space="preserve"> Within 80 business days of publishing the proposed amended </w:t>
      </w:r>
      <w:r w:rsidR="00570A5A">
        <w:t>model</w:t>
      </w:r>
      <w:r w:rsidR="00570A5A" w:rsidRPr="00596708">
        <w:t xml:space="preserve"> </w:t>
      </w:r>
      <w:r w:rsidRPr="00596708">
        <w:t>the AER must publish its final decision, handbook and model.</w:t>
      </w:r>
      <w:r w:rsidR="00EF0959">
        <w:rPr>
          <w:rStyle w:val="FootnoteReference"/>
        </w:rPr>
        <w:footnoteReference w:id="8"/>
      </w:r>
      <w:r w:rsidR="008C2B93">
        <w:t xml:space="preserve"> </w:t>
      </w:r>
    </w:p>
    <w:p w:rsidR="001A5B13" w:rsidRDefault="00844D8E" w:rsidP="00064605">
      <w:pPr>
        <w:pStyle w:val="AERbodytext"/>
        <w:numPr>
          <w:ilvl w:val="0"/>
          <w:numId w:val="9"/>
        </w:numPr>
      </w:pPr>
      <w:r>
        <w:t>T</w:t>
      </w:r>
      <w:r w:rsidR="00596708" w:rsidRPr="00596708">
        <w:t xml:space="preserve">he NER </w:t>
      </w:r>
      <w:r w:rsidR="00563DBE">
        <w:t xml:space="preserve">also </w:t>
      </w:r>
      <w:r w:rsidR="00596708" w:rsidRPr="00596708">
        <w:t xml:space="preserve">sets out the </w:t>
      </w:r>
      <w:r w:rsidR="00172F30">
        <w:t xml:space="preserve">required </w:t>
      </w:r>
      <w:r w:rsidR="00596708" w:rsidRPr="00596708">
        <w:t>contents of the PTRM</w:t>
      </w:r>
      <w:r w:rsidR="001A5B13">
        <w:t>.</w:t>
      </w:r>
      <w:r>
        <w:rPr>
          <w:rStyle w:val="FootnoteReference"/>
        </w:rPr>
        <w:footnoteReference w:id="9"/>
      </w:r>
      <w:r w:rsidR="001A5B13">
        <w:t xml:space="preserve"> The</w:t>
      </w:r>
      <w:r w:rsidR="00D27A1B">
        <w:t xml:space="preserve"> required</w:t>
      </w:r>
      <w:r w:rsidR="001A5B13">
        <w:t xml:space="preserve"> contents are largely similar for the TNSP and DNSPs</w:t>
      </w:r>
      <w:r w:rsidR="00FB0FDB">
        <w:t>, although expressions</w:t>
      </w:r>
      <w:r w:rsidR="00570A5A">
        <w:t>/terminologies</w:t>
      </w:r>
      <w:r w:rsidR="00FB0FDB">
        <w:t xml:space="preserve"> differ between the relevant clauses</w:t>
      </w:r>
      <w:r w:rsidR="001A5B13">
        <w:t xml:space="preserve">. </w:t>
      </w:r>
      <w:r w:rsidR="00CB4F24" w:rsidRPr="00FC5235">
        <w:t>For example, the TNSP</w:t>
      </w:r>
      <w:r w:rsidR="00570A5A" w:rsidRPr="00FC5235">
        <w:t>'</w:t>
      </w:r>
      <w:r w:rsidR="00CB4F24" w:rsidRPr="00FC5235">
        <w:t xml:space="preserve">s PTRM is used to calculate the </w:t>
      </w:r>
      <w:r w:rsidR="004048D7" w:rsidRPr="00FC5235">
        <w:t>annual building block revenue requirement</w:t>
      </w:r>
      <w:r w:rsidR="004048D7">
        <w:t xml:space="preserve"> (ABBRR) and </w:t>
      </w:r>
      <w:r w:rsidR="00CB4F24" w:rsidRPr="00FB0FDB">
        <w:t>maximum allowed revenue (MAR)</w:t>
      </w:r>
      <w:r w:rsidR="00CB4F24">
        <w:t xml:space="preserve"> </w:t>
      </w:r>
      <w:r w:rsidR="00CB4F24" w:rsidRPr="00FB0FDB">
        <w:t>for each year of the regulatory control period</w:t>
      </w:r>
      <w:r w:rsidR="00CB4F24">
        <w:t>.</w:t>
      </w:r>
      <w:r w:rsidR="001F0609">
        <w:rPr>
          <w:rStyle w:val="FootnoteReference"/>
        </w:rPr>
        <w:footnoteReference w:id="10"/>
      </w:r>
      <w:r w:rsidR="00CB4F24">
        <w:t xml:space="preserve"> The DNSP</w:t>
      </w:r>
      <w:r w:rsidR="00570A5A">
        <w:t>'</w:t>
      </w:r>
      <w:r w:rsidR="00CB4F24">
        <w:t>s PTRM is used to calculate</w:t>
      </w:r>
      <w:r w:rsidR="00CB4F24" w:rsidRPr="00FB0FDB">
        <w:t xml:space="preserve"> </w:t>
      </w:r>
      <w:r w:rsidR="00CB4F24" w:rsidRPr="00EE1416">
        <w:t xml:space="preserve">the annual revenue requirement (ARR) </w:t>
      </w:r>
      <w:r w:rsidR="004048D7">
        <w:t xml:space="preserve">and expected revenue </w:t>
      </w:r>
      <w:r w:rsidR="00D27A1B">
        <w:t xml:space="preserve">for each </w:t>
      </w:r>
      <w:r w:rsidR="00CB4F24" w:rsidRPr="00CB4F24">
        <w:t>year o</w:t>
      </w:r>
      <w:r w:rsidR="00CB4F24">
        <w:t>f the regulatory control period</w:t>
      </w:r>
      <w:r w:rsidR="00CB4F24" w:rsidRPr="00EE1416">
        <w:t>.</w:t>
      </w:r>
      <w:r w:rsidR="001F0609">
        <w:rPr>
          <w:rStyle w:val="FootnoteReference"/>
        </w:rPr>
        <w:footnoteReference w:id="11"/>
      </w:r>
      <w:r w:rsidR="00CB4F24" w:rsidRPr="00EE1416">
        <w:t xml:space="preserve"> </w:t>
      </w:r>
      <w:r w:rsidR="00CB4F24">
        <w:t>Key features of both PTRMs include</w:t>
      </w:r>
      <w:r w:rsidR="004048D7">
        <w:t>:</w:t>
      </w:r>
    </w:p>
    <w:p w:rsidR="00CB4F24" w:rsidRPr="00CB4F24" w:rsidRDefault="00CB4F24" w:rsidP="00CB4F24">
      <w:pPr>
        <w:pStyle w:val="AERbulletlistfirststyle"/>
      </w:pPr>
      <w:r w:rsidRPr="00FB0FDB">
        <w:t>a</w:t>
      </w:r>
      <w:r w:rsidR="00281D47">
        <w:t xml:space="preserve"> methodology that</w:t>
      </w:r>
      <w:r w:rsidRPr="00FB0FDB">
        <w:t xml:space="preserve"> </w:t>
      </w:r>
      <w:r w:rsidR="00FC5235">
        <w:t xml:space="preserve">seeks </w:t>
      </w:r>
      <w:r w:rsidRPr="00FB0FDB">
        <w:t xml:space="preserve">to </w:t>
      </w:r>
      <w:r w:rsidR="00FC5235">
        <w:t xml:space="preserve">produce </w:t>
      </w:r>
      <w:r w:rsidRPr="00FB0FDB">
        <w:t>the best estimates of expected inflation</w:t>
      </w:r>
    </w:p>
    <w:p w:rsidR="00CB4F24" w:rsidRPr="00CB4F24" w:rsidRDefault="00CB4F24" w:rsidP="00CB4F24">
      <w:pPr>
        <w:pStyle w:val="AERbulletlistfirststyle"/>
      </w:pPr>
      <w:r w:rsidRPr="00FB0FDB">
        <w:t>the timing assumptions and associated discount rates that are to apply in relation to the calculation of the building blocks</w:t>
      </w:r>
    </w:p>
    <w:p w:rsidR="00CB4F24" w:rsidRDefault="00CB4F24" w:rsidP="00CB4F24">
      <w:pPr>
        <w:pStyle w:val="AERbulletlistfirststyle"/>
      </w:pPr>
      <w:r w:rsidRPr="00FB0FDB">
        <w:t>the manner in which the estimated cost of corporate income tax is to be calculated</w:t>
      </w:r>
    </w:p>
    <w:p w:rsidR="00CB4F24" w:rsidRPr="00CB4F24" w:rsidRDefault="00281D47" w:rsidP="00CB4F24">
      <w:pPr>
        <w:pStyle w:val="AERbulletlistfirststyle"/>
      </w:pPr>
      <w:r>
        <w:t>a</w:t>
      </w:r>
      <w:r w:rsidR="00CB4F24" w:rsidRPr="00FB0FDB">
        <w:t xml:space="preserve"> net present value (NPV) </w:t>
      </w:r>
      <w:r>
        <w:t xml:space="preserve">calculation that sets </w:t>
      </w:r>
      <w:r w:rsidR="00CB4F24" w:rsidRPr="00FB0FDB">
        <w:t xml:space="preserve">the </w:t>
      </w:r>
      <w:r w:rsidR="00D27A1B">
        <w:t xml:space="preserve">total </w:t>
      </w:r>
      <w:r w:rsidR="00CB4F24" w:rsidRPr="00FB0FDB">
        <w:t>MAR</w:t>
      </w:r>
      <w:r>
        <w:t>/</w:t>
      </w:r>
      <w:r w:rsidR="009B343D">
        <w:t xml:space="preserve">expected </w:t>
      </w:r>
      <w:r w:rsidR="004048D7">
        <w:t>revenue</w:t>
      </w:r>
      <w:r w:rsidR="00D27A1B">
        <w:t xml:space="preserve"> for the NSP for each </w:t>
      </w:r>
      <w:r w:rsidR="00CB4F24" w:rsidRPr="00FB0FDB">
        <w:t xml:space="preserve">year of </w:t>
      </w:r>
      <w:r>
        <w:t>the regulatory control period</w:t>
      </w:r>
      <w:r w:rsidR="00CB4F24" w:rsidRPr="00FB0FDB">
        <w:t xml:space="preserve"> equal to the NPV of the</w:t>
      </w:r>
      <w:r w:rsidR="00D27A1B">
        <w:t xml:space="preserve"> </w:t>
      </w:r>
      <w:r w:rsidR="004048D7">
        <w:t>ABBRR/ARR</w:t>
      </w:r>
      <w:r>
        <w:t xml:space="preserve"> for the </w:t>
      </w:r>
      <w:r w:rsidR="00CB4F24" w:rsidRPr="00FB0FDB">
        <w:t>NSP for each year</w:t>
      </w:r>
    </w:p>
    <w:p w:rsidR="00CB4F24" w:rsidRPr="00CB4F24" w:rsidRDefault="00CB4F24" w:rsidP="00CB4F24">
      <w:pPr>
        <w:pStyle w:val="AERbulletlistfirststyle"/>
      </w:pPr>
      <w:r w:rsidRPr="00FB0FDB">
        <w:t>the MAR</w:t>
      </w:r>
      <w:r w:rsidR="00281D47">
        <w:t>/</w:t>
      </w:r>
      <w:r w:rsidR="004048D7">
        <w:t>expected revenue</w:t>
      </w:r>
      <w:r w:rsidR="00281D47">
        <w:t xml:space="preserve"> for the </w:t>
      </w:r>
      <w:r w:rsidRPr="00FB0FDB">
        <w:t xml:space="preserve">NSP </w:t>
      </w:r>
      <w:r w:rsidR="00281D47">
        <w:t>is updated annually</w:t>
      </w:r>
      <w:r w:rsidRPr="00FB0FDB">
        <w:t xml:space="preserve"> using a CPI – X methodology</w:t>
      </w:r>
    </w:p>
    <w:p w:rsidR="00FB0FDB" w:rsidRPr="00FB0FDB" w:rsidRDefault="00CB4F24" w:rsidP="00CB4F24">
      <w:pPr>
        <w:pStyle w:val="AERbulletlistfirststyle"/>
        <w:rPr>
          <w:rStyle w:val="AERtextbold"/>
        </w:rPr>
      </w:pPr>
      <w:proofErr w:type="gramStart"/>
      <w:r w:rsidRPr="00FB0FDB">
        <w:t>the</w:t>
      </w:r>
      <w:proofErr w:type="gramEnd"/>
      <w:r w:rsidRPr="00FB0FDB">
        <w:t xml:space="preserve"> X factors to apply in the regulatory control period.</w:t>
      </w:r>
    </w:p>
    <w:p w:rsidR="001A5B13" w:rsidRDefault="001A5B13" w:rsidP="00064605">
      <w:pPr>
        <w:pStyle w:val="AERbodytext"/>
        <w:numPr>
          <w:ilvl w:val="0"/>
          <w:numId w:val="9"/>
        </w:numPr>
      </w:pPr>
    </w:p>
    <w:p w:rsidR="00491692" w:rsidRDefault="00491692" w:rsidP="00596708">
      <w:pPr>
        <w:pStyle w:val="AERbodytext"/>
        <w:numPr>
          <w:ilvl w:val="0"/>
          <w:numId w:val="0"/>
        </w:numPr>
      </w:pPr>
    </w:p>
    <w:p w:rsidR="00491692" w:rsidRDefault="00491692" w:rsidP="00491692">
      <w:pPr>
        <w:pStyle w:val="Heading1"/>
      </w:pPr>
      <w:bookmarkStart w:id="23" w:name="_Toc395861694"/>
      <w:bookmarkStart w:id="24" w:name="_Toc400025128"/>
      <w:r>
        <w:lastRenderedPageBreak/>
        <w:t>Reasons for the PTRM</w:t>
      </w:r>
      <w:bookmarkEnd w:id="23"/>
      <w:bookmarkEnd w:id="24"/>
    </w:p>
    <w:p w:rsidR="00101E24" w:rsidRDefault="00596708" w:rsidP="00064605">
      <w:pPr>
        <w:pStyle w:val="AERbodytext"/>
        <w:numPr>
          <w:ilvl w:val="0"/>
          <w:numId w:val="9"/>
        </w:numPr>
      </w:pPr>
      <w:r w:rsidRPr="00596708">
        <w:t xml:space="preserve">The principal </w:t>
      </w:r>
      <w:r w:rsidR="00DA54B9">
        <w:t xml:space="preserve">purpose of </w:t>
      </w:r>
      <w:r w:rsidRPr="00596708">
        <w:t xml:space="preserve">the PTRM is to calculate the </w:t>
      </w:r>
      <w:r w:rsidR="00EE1416">
        <w:t>MAR</w:t>
      </w:r>
      <w:r w:rsidR="00101E24">
        <w:t>/</w:t>
      </w:r>
      <w:r w:rsidR="004048D7">
        <w:t>expected revenue</w:t>
      </w:r>
      <w:r w:rsidR="00101E24">
        <w:t xml:space="preserve"> for </w:t>
      </w:r>
      <w:r w:rsidR="004048D7">
        <w:t xml:space="preserve">an </w:t>
      </w:r>
      <w:r w:rsidRPr="00596708">
        <w:t>NSP</w:t>
      </w:r>
      <w:r w:rsidR="000E5C53">
        <w:t xml:space="preserve"> in each</w:t>
      </w:r>
      <w:r w:rsidRPr="00596708">
        <w:t xml:space="preserve"> year of a regulatory control period</w:t>
      </w:r>
      <w:r w:rsidR="00101E24">
        <w:t xml:space="preserve"> and resulting X factors</w:t>
      </w:r>
      <w:r w:rsidRPr="00596708">
        <w:t xml:space="preserve"> as part of </w:t>
      </w:r>
      <w:r w:rsidR="004048D7">
        <w:t>a</w:t>
      </w:r>
      <w:r w:rsidRPr="00596708">
        <w:t xml:space="preserve"> </w:t>
      </w:r>
      <w:r w:rsidR="0036148C">
        <w:t>transmission/distribution</w:t>
      </w:r>
      <w:r w:rsidRPr="00596708">
        <w:t xml:space="preserve"> determination. </w:t>
      </w:r>
      <w:r w:rsidR="00101E24">
        <w:t xml:space="preserve">The X factors are then used in the annual updates to either revenues or prices </w:t>
      </w:r>
      <w:r w:rsidR="000E5C53">
        <w:t>(</w:t>
      </w:r>
      <w:r w:rsidR="00101E24">
        <w:t>depending on the form of control</w:t>
      </w:r>
      <w:r w:rsidR="000E5C53">
        <w:t>)</w:t>
      </w:r>
      <w:r w:rsidR="00101E24">
        <w:t xml:space="preserve"> and </w:t>
      </w:r>
      <w:r w:rsidR="001560F4">
        <w:t xml:space="preserve">annual </w:t>
      </w:r>
      <w:r w:rsidR="00101E24">
        <w:t>price approval requirements (in the case of DNSPs).</w:t>
      </w:r>
    </w:p>
    <w:p w:rsidR="00596708" w:rsidRPr="00596708" w:rsidRDefault="004A5246" w:rsidP="00101E24">
      <w:pPr>
        <w:pStyle w:val="AERbodytext"/>
        <w:numPr>
          <w:ilvl w:val="0"/>
          <w:numId w:val="9"/>
        </w:numPr>
      </w:pPr>
      <w:r>
        <w:t xml:space="preserve">The </w:t>
      </w:r>
      <w:r w:rsidR="00596708" w:rsidRPr="00596708">
        <w:t>MAR</w:t>
      </w:r>
      <w:r w:rsidR="00844D8E">
        <w:t>/</w:t>
      </w:r>
      <w:r w:rsidR="0036148C">
        <w:t>expected revenue</w:t>
      </w:r>
      <w:r w:rsidR="00596708" w:rsidRPr="00596708">
        <w:t>, calculated using the PTRM, must be determined using the building block approach set out in the NER.</w:t>
      </w:r>
      <w:r w:rsidR="00844D8E">
        <w:rPr>
          <w:rStyle w:val="FootnoteReference"/>
        </w:rPr>
        <w:footnoteReference w:id="12"/>
      </w:r>
      <w:r w:rsidR="00596708" w:rsidRPr="00596708">
        <w:t xml:space="preserve"> The building blocks include:</w:t>
      </w:r>
    </w:p>
    <w:p w:rsidR="00596708" w:rsidRPr="00596708" w:rsidRDefault="00596708" w:rsidP="00746797">
      <w:pPr>
        <w:pStyle w:val="AERbulletlistfirststyle"/>
      </w:pPr>
      <w:r w:rsidRPr="00596708">
        <w:t>an indexation of the RAB</w:t>
      </w:r>
    </w:p>
    <w:p w:rsidR="00596708" w:rsidRPr="00596708" w:rsidRDefault="00596708" w:rsidP="00746797">
      <w:pPr>
        <w:pStyle w:val="AERbulletlistfirststyle"/>
      </w:pPr>
      <w:r w:rsidRPr="00596708">
        <w:t>a return on capital</w:t>
      </w:r>
    </w:p>
    <w:p w:rsidR="00596708" w:rsidRPr="00596708" w:rsidRDefault="00596708" w:rsidP="00746797">
      <w:pPr>
        <w:pStyle w:val="AERbulletlistfirststyle"/>
      </w:pPr>
      <w:r w:rsidRPr="00596708">
        <w:t>a return of capital (depreciation)</w:t>
      </w:r>
      <w:r w:rsidR="00E03824">
        <w:rPr>
          <w:rStyle w:val="FootnoteReference"/>
        </w:rPr>
        <w:footnoteReference w:id="13"/>
      </w:r>
    </w:p>
    <w:p w:rsidR="00596708" w:rsidRPr="00596708" w:rsidRDefault="00596708" w:rsidP="00746797">
      <w:pPr>
        <w:pStyle w:val="AERbulletlistfirststyle"/>
      </w:pPr>
      <w:r w:rsidRPr="00596708">
        <w:t>the estimated cost of corporate income tax</w:t>
      </w:r>
    </w:p>
    <w:p w:rsidR="000E5C53" w:rsidRDefault="000E5C53" w:rsidP="000E5C53">
      <w:pPr>
        <w:pStyle w:val="AERbulletlistfirststyle"/>
      </w:pPr>
      <w:r w:rsidRPr="00596708">
        <w:t>forecast operating expenditure</w:t>
      </w:r>
      <w:r>
        <w:t xml:space="preserve"> (</w:t>
      </w:r>
      <w:proofErr w:type="spellStart"/>
      <w:r>
        <w:t>opex</w:t>
      </w:r>
      <w:proofErr w:type="spellEnd"/>
      <w:r>
        <w:t>)</w:t>
      </w:r>
    </w:p>
    <w:p w:rsidR="00596708" w:rsidRPr="00596708" w:rsidRDefault="00596708" w:rsidP="00746797">
      <w:pPr>
        <w:pStyle w:val="AERbulletlistfirststyle"/>
      </w:pPr>
      <w:r w:rsidRPr="00596708">
        <w:t>revenue increments or decrements arising f</w:t>
      </w:r>
      <w:r w:rsidR="00EE1416">
        <w:t xml:space="preserve">rom applicable </w:t>
      </w:r>
      <w:r w:rsidR="004A0825">
        <w:t xml:space="preserve">efficiency incentive </w:t>
      </w:r>
      <w:r w:rsidR="00EE1416">
        <w:t>schemes</w:t>
      </w:r>
      <w:r w:rsidR="004A0825">
        <w:rPr>
          <w:rStyle w:val="FootnoteReference"/>
        </w:rPr>
        <w:footnoteReference w:id="14"/>
      </w:r>
      <w:r w:rsidR="00EE1416">
        <w:t xml:space="preserve"> </w:t>
      </w:r>
    </w:p>
    <w:p w:rsidR="00EE1416" w:rsidRDefault="000E5C53" w:rsidP="00EE1416">
      <w:pPr>
        <w:pStyle w:val="AERbulletlistfirststyle"/>
      </w:pPr>
      <w:proofErr w:type="gramStart"/>
      <w:r>
        <w:t>adjustments</w:t>
      </w:r>
      <w:proofErr w:type="gramEnd"/>
      <w:r>
        <w:t xml:space="preserve"> related to any </w:t>
      </w:r>
      <w:r w:rsidR="00EE1416" w:rsidRPr="00EE1416">
        <w:t>mechanism</w:t>
      </w:r>
      <w:r>
        <w:t>s used</w:t>
      </w:r>
      <w:r w:rsidR="00EE1416" w:rsidRPr="00EE1416">
        <w:t xml:space="preserve"> in the pre</w:t>
      </w:r>
      <w:r w:rsidR="00EE1416">
        <w:t>vious regulatory control period</w:t>
      </w:r>
      <w:r w:rsidR="00E37CB7">
        <w:t xml:space="preserve"> and other revenue adjustments such as those related to </w:t>
      </w:r>
      <w:r w:rsidR="00E71317">
        <w:t>shared</w:t>
      </w:r>
      <w:r w:rsidR="00E37CB7">
        <w:t xml:space="preserve"> assets</w:t>
      </w:r>
      <w:r w:rsidR="00EE1416">
        <w:t>.</w:t>
      </w:r>
    </w:p>
    <w:p w:rsidR="00491692" w:rsidRDefault="00491692" w:rsidP="00491692">
      <w:pPr>
        <w:pStyle w:val="Heading1"/>
      </w:pPr>
      <w:bookmarkStart w:id="25" w:name="_Toc395861695"/>
      <w:bookmarkStart w:id="26" w:name="_Toc400025129"/>
      <w:r>
        <w:lastRenderedPageBreak/>
        <w:t>Proposed amendments</w:t>
      </w:r>
      <w:bookmarkEnd w:id="25"/>
      <w:bookmarkEnd w:id="26"/>
    </w:p>
    <w:p w:rsidR="00E922E5" w:rsidRDefault="00B4437A" w:rsidP="00491692">
      <w:pPr>
        <w:pStyle w:val="AERbodytext"/>
        <w:numPr>
          <w:ilvl w:val="0"/>
          <w:numId w:val="0"/>
        </w:numPr>
      </w:pPr>
      <w:r w:rsidRPr="00B4437A">
        <w:t xml:space="preserve">This </w:t>
      </w:r>
      <w:r w:rsidR="00766B0C">
        <w:t>section</w:t>
      </w:r>
      <w:r w:rsidRPr="00B4437A">
        <w:t xml:space="preserve"> sets out </w:t>
      </w:r>
      <w:r w:rsidR="00A01E96">
        <w:t>our</w:t>
      </w:r>
      <w:r w:rsidRPr="00B4437A">
        <w:t xml:space="preserve"> proposed amendments to the PTRM</w:t>
      </w:r>
      <w:r w:rsidR="00BC25AF">
        <w:t xml:space="preserve">s for </w:t>
      </w:r>
      <w:r w:rsidR="00A01E96">
        <w:t xml:space="preserve">the </w:t>
      </w:r>
      <w:r w:rsidR="00BC25AF">
        <w:t>NSPs</w:t>
      </w:r>
      <w:r w:rsidRPr="00B4437A">
        <w:t xml:space="preserve"> and the </w:t>
      </w:r>
      <w:r w:rsidR="00A01E96">
        <w:t xml:space="preserve">relevant </w:t>
      </w:r>
      <w:r w:rsidRPr="00B4437A">
        <w:t>handbook</w:t>
      </w:r>
      <w:r w:rsidR="00BC25AF">
        <w:t>s</w:t>
      </w:r>
      <w:r w:rsidRPr="00B4437A">
        <w:t>.</w:t>
      </w:r>
      <w:r w:rsidR="00D6363F">
        <w:t xml:space="preserve"> </w:t>
      </w:r>
      <w:r w:rsidR="00C1682D" w:rsidRPr="00C1682D">
        <w:fldChar w:fldCharType="begin"/>
      </w:r>
      <w:r w:rsidR="00C1682D" w:rsidRPr="00C1682D">
        <w:instrText xml:space="preserve"> REF _Ref396312295 \h </w:instrText>
      </w:r>
      <w:r w:rsidR="00C1682D" w:rsidRPr="00C1682D">
        <w:fldChar w:fldCharType="separate"/>
      </w:r>
      <w:r w:rsidR="008B40CD">
        <w:t xml:space="preserve">Table </w:t>
      </w:r>
      <w:r w:rsidR="008B40CD">
        <w:rPr>
          <w:noProof/>
        </w:rPr>
        <w:t>3</w:t>
      </w:r>
      <w:r w:rsidR="00C1682D" w:rsidRPr="00C1682D">
        <w:fldChar w:fldCharType="end"/>
      </w:r>
      <w:r w:rsidR="00C1682D" w:rsidRPr="00C1682D">
        <w:t xml:space="preserve"> and </w:t>
      </w:r>
      <w:r w:rsidR="00C1682D" w:rsidRPr="00C1682D">
        <w:fldChar w:fldCharType="begin"/>
      </w:r>
      <w:r w:rsidR="00C1682D" w:rsidRPr="00C1682D">
        <w:instrText xml:space="preserve"> REF _Ref396312297 \h </w:instrText>
      </w:r>
      <w:r w:rsidR="00C1682D" w:rsidRPr="00C1682D">
        <w:fldChar w:fldCharType="separate"/>
      </w:r>
      <w:r w:rsidR="00C60BDD">
        <w:t>t</w:t>
      </w:r>
      <w:r w:rsidR="008B40CD">
        <w:t xml:space="preserve">able </w:t>
      </w:r>
      <w:r w:rsidR="008B40CD">
        <w:rPr>
          <w:noProof/>
        </w:rPr>
        <w:t>4</w:t>
      </w:r>
      <w:r w:rsidR="00C1682D" w:rsidRPr="00C1682D">
        <w:fldChar w:fldCharType="end"/>
      </w:r>
      <w:r w:rsidR="00C1682D" w:rsidRPr="00C1682D">
        <w:t xml:space="preserve"> </w:t>
      </w:r>
      <w:r w:rsidR="00C1682D">
        <w:t>show</w:t>
      </w:r>
      <w:r w:rsidR="00C1682D" w:rsidRPr="00C1682D">
        <w:t xml:space="preserve"> which worksheets have been amended, added or removed.</w:t>
      </w:r>
      <w:r w:rsidR="00C1682D" w:rsidRPr="00C1682D">
        <w:rPr>
          <w:rStyle w:val="FootnoteReference"/>
        </w:rPr>
        <w:footnoteReference w:id="15"/>
      </w:r>
    </w:p>
    <w:p w:rsidR="00520C3F" w:rsidRPr="00520C3F" w:rsidRDefault="00520C3F" w:rsidP="00520C3F">
      <w:pPr>
        <w:pStyle w:val="AERbodytext"/>
      </w:pPr>
      <w:r w:rsidRPr="00520C3F">
        <w:t>The changes bring the structure of the two PTRMs into closer alignment, in particular, through the following amendments:</w:t>
      </w:r>
      <w:r w:rsidRPr="00520C3F">
        <w:rPr>
          <w:rStyle w:val="FootnoteReference"/>
        </w:rPr>
        <w:footnoteReference w:id="16"/>
      </w:r>
    </w:p>
    <w:p w:rsidR="00520C3F" w:rsidRPr="00520C3F" w:rsidRDefault="00520C3F" w:rsidP="00520C3F">
      <w:pPr>
        <w:pStyle w:val="AERbulletlistfirststyle"/>
      </w:pPr>
      <w:r w:rsidRPr="00520C3F">
        <w:t>The same names are used for equivalent worksheets.</w:t>
      </w:r>
    </w:p>
    <w:p w:rsidR="00520C3F" w:rsidRPr="00520C3F" w:rsidRDefault="00520C3F" w:rsidP="00520C3F">
      <w:pPr>
        <w:pStyle w:val="AERbulletlistfirststyle"/>
      </w:pPr>
      <w:r w:rsidRPr="00520C3F">
        <w:t xml:space="preserve">The </w:t>
      </w:r>
      <w:r w:rsidRPr="00520C3F">
        <w:rPr>
          <w:rStyle w:val="AERtextitalic"/>
        </w:rPr>
        <w:t>Revenue summary</w:t>
      </w:r>
      <w:r w:rsidRPr="00520C3F">
        <w:t xml:space="preserve"> worksheet is now included in both PTRMs, and includes content that was previously located on the </w:t>
      </w:r>
      <w:r w:rsidRPr="00520C3F">
        <w:rPr>
          <w:rStyle w:val="AERtextitalic"/>
        </w:rPr>
        <w:t>X factor</w:t>
      </w:r>
      <w:r w:rsidRPr="00520C3F">
        <w:t xml:space="preserve"> worksheet of the DNSP PTRM, and across the </w:t>
      </w:r>
      <w:r w:rsidRPr="00520C3F">
        <w:rPr>
          <w:rStyle w:val="AERtextitalic"/>
        </w:rPr>
        <w:t>Revenue summary</w:t>
      </w:r>
      <w:r w:rsidRPr="00520C3F">
        <w:t xml:space="preserve">, </w:t>
      </w:r>
      <w:r w:rsidRPr="00520C3F">
        <w:rPr>
          <w:rStyle w:val="AERtextitalic"/>
        </w:rPr>
        <w:t>Price path (nominal)</w:t>
      </w:r>
      <w:r w:rsidRPr="00520C3F">
        <w:t xml:space="preserve"> and </w:t>
      </w:r>
      <w:r w:rsidRPr="00520C3F">
        <w:rPr>
          <w:rStyle w:val="AERtextitalic"/>
        </w:rPr>
        <w:t>Price path (real)</w:t>
      </w:r>
      <w:r w:rsidRPr="00520C3F">
        <w:t xml:space="preserve"> worksheets of the TNSP PTRM.</w:t>
      </w:r>
    </w:p>
    <w:p w:rsidR="00520C3F" w:rsidRPr="00520C3F" w:rsidRDefault="00520C3F" w:rsidP="00520C3F">
      <w:pPr>
        <w:pStyle w:val="AERbulletlistfirststyle"/>
      </w:pPr>
      <w:r w:rsidRPr="00520C3F">
        <w:t xml:space="preserve">The DNSP PTRM now includes the </w:t>
      </w:r>
      <w:r w:rsidRPr="00520C3F">
        <w:rPr>
          <w:rStyle w:val="AERtextitalic"/>
        </w:rPr>
        <w:t>Equity raising cost</w:t>
      </w:r>
      <w:r w:rsidRPr="00520C3F">
        <w:t xml:space="preserve"> worksheet, which was already in the TNSP PTRM (with an amended label for the worksheet and updated calculations reflecting recent AER decisions).</w:t>
      </w:r>
      <w:r w:rsidRPr="00520C3F">
        <w:rPr>
          <w:rStyle w:val="FootnoteReference"/>
        </w:rPr>
        <w:footnoteReference w:id="17"/>
      </w:r>
    </w:p>
    <w:p w:rsidR="00520C3F" w:rsidRDefault="00520C3F" w:rsidP="00491692">
      <w:pPr>
        <w:pStyle w:val="AERbodytext"/>
        <w:numPr>
          <w:ilvl w:val="0"/>
          <w:numId w:val="0"/>
        </w:numPr>
      </w:pPr>
      <w:r w:rsidRPr="00520C3F">
        <w:t xml:space="preserve">The specific changes are listed in a temporary </w:t>
      </w:r>
      <w:r w:rsidRPr="00520C3F">
        <w:rPr>
          <w:rStyle w:val="AERtextitalic"/>
        </w:rPr>
        <w:t>Change log</w:t>
      </w:r>
      <w:r w:rsidRPr="00520C3F">
        <w:t xml:space="preserve"> worksheet in the proposed amended PTRMs. This detailed log will be deleted from the final version and a summary instead provided in the </w:t>
      </w:r>
      <w:r w:rsidRPr="00520C3F">
        <w:rPr>
          <w:rStyle w:val="AERtextitalic"/>
        </w:rPr>
        <w:t>Intro</w:t>
      </w:r>
      <w:r w:rsidRPr="00520C3F">
        <w:t xml:space="preserve"> worksheet to the PTRMs.</w:t>
      </w:r>
    </w:p>
    <w:p w:rsidR="00D6363F" w:rsidRPr="004A5246" w:rsidRDefault="00D6363F" w:rsidP="00D6363F">
      <w:pPr>
        <w:pStyle w:val="Caption"/>
        <w:rPr>
          <w:rStyle w:val="AERtextbold"/>
        </w:rPr>
      </w:pPr>
      <w:bookmarkStart w:id="27" w:name="_Ref396312295"/>
      <w:r>
        <w:t xml:space="preserve">Table </w:t>
      </w:r>
      <w:fldSimple w:instr=" SEQ Table \* ARABIC ">
        <w:r w:rsidR="008B40CD">
          <w:rPr>
            <w:noProof/>
          </w:rPr>
          <w:t>3</w:t>
        </w:r>
      </w:fldSimple>
      <w:bookmarkEnd w:id="27"/>
      <w:r>
        <w:t xml:space="preserve"> </w:t>
      </w:r>
      <w:r>
        <w:tab/>
        <w:t xml:space="preserve">Changes to the </w:t>
      </w:r>
      <w:r w:rsidR="00E71317">
        <w:t>d</w:t>
      </w:r>
      <w:r>
        <w:t>istribution PTRM</w:t>
      </w:r>
      <w:r w:rsidR="00DD72FF">
        <w:t xml:space="preserve"> worksheets</w:t>
      </w:r>
    </w:p>
    <w:tbl>
      <w:tblPr>
        <w:tblStyle w:val="AERtable-text"/>
        <w:tblW w:w="9180" w:type="dxa"/>
        <w:tblLayout w:type="fixed"/>
        <w:tblLook w:val="04A0" w:firstRow="1" w:lastRow="0" w:firstColumn="1" w:lastColumn="0" w:noHBand="0" w:noVBand="1"/>
      </w:tblPr>
      <w:tblGrid>
        <w:gridCol w:w="3060"/>
        <w:gridCol w:w="3060"/>
        <w:gridCol w:w="3060"/>
      </w:tblGrid>
      <w:tr w:rsidR="00D6363F" w:rsidRPr="003766A2" w:rsidTr="00E922E5">
        <w:trPr>
          <w:cnfStyle w:val="100000000000" w:firstRow="1" w:lastRow="0" w:firstColumn="0" w:lastColumn="0" w:oddVBand="0" w:evenVBand="0" w:oddHBand="0" w:evenHBand="0" w:firstRowFirstColumn="0" w:firstRowLastColumn="0" w:lastRowFirstColumn="0" w:lastRowLastColumn="0"/>
        </w:trPr>
        <w:tc>
          <w:tcPr>
            <w:tcW w:w="3060" w:type="dxa"/>
          </w:tcPr>
          <w:p w:rsidR="00D6363F" w:rsidRPr="00D6363F" w:rsidRDefault="00E922E5" w:rsidP="00E922E5">
            <w:pPr>
              <w:pStyle w:val="AERtabletextleft"/>
              <w:rPr>
                <w:rStyle w:val="AERtextbold"/>
              </w:rPr>
            </w:pPr>
            <w:r>
              <w:rPr>
                <w:rStyle w:val="AERtextbold"/>
              </w:rPr>
              <w:t xml:space="preserve">Old </w:t>
            </w:r>
            <w:r w:rsidR="00D6363F">
              <w:rPr>
                <w:rStyle w:val="AERtextbold"/>
              </w:rPr>
              <w:t>PTRM worksheet</w:t>
            </w:r>
            <w:r>
              <w:rPr>
                <w:rStyle w:val="AERtextbold"/>
              </w:rPr>
              <w:t>s</w:t>
            </w:r>
          </w:p>
        </w:tc>
        <w:tc>
          <w:tcPr>
            <w:tcW w:w="3060" w:type="dxa"/>
          </w:tcPr>
          <w:p w:rsidR="00D6363F" w:rsidRPr="00D6363F" w:rsidRDefault="00E922E5" w:rsidP="00D6363F">
            <w:pPr>
              <w:pStyle w:val="AERtabletextleft"/>
              <w:rPr>
                <w:rStyle w:val="AERtextbold"/>
              </w:rPr>
            </w:pPr>
            <w:r>
              <w:rPr>
                <w:rStyle w:val="AERtextbold"/>
              </w:rPr>
              <w:t>Status</w:t>
            </w:r>
          </w:p>
        </w:tc>
        <w:tc>
          <w:tcPr>
            <w:tcW w:w="3060" w:type="dxa"/>
          </w:tcPr>
          <w:p w:rsidR="00D6363F" w:rsidRDefault="00E922E5" w:rsidP="00E922E5">
            <w:pPr>
              <w:pStyle w:val="AERtabletextleft"/>
              <w:rPr>
                <w:rStyle w:val="AERtextbold"/>
              </w:rPr>
            </w:pPr>
            <w:r>
              <w:rPr>
                <w:rStyle w:val="AERtextbold"/>
              </w:rPr>
              <w:t>New PTRM worksheets</w:t>
            </w:r>
          </w:p>
        </w:tc>
      </w:tr>
      <w:tr w:rsidR="00E922E5" w:rsidTr="00E922E5">
        <w:tc>
          <w:tcPr>
            <w:tcW w:w="3060" w:type="dxa"/>
          </w:tcPr>
          <w:p w:rsidR="00E922E5" w:rsidRPr="00C1682D" w:rsidRDefault="00E922E5" w:rsidP="00C1682D">
            <w:pPr>
              <w:pStyle w:val="AERtabletextleft"/>
              <w:rPr>
                <w:rStyle w:val="AERbody"/>
                <w:sz w:val="16"/>
              </w:rPr>
            </w:pPr>
            <w:r w:rsidRPr="00C1682D">
              <w:rPr>
                <w:rStyle w:val="AERbody"/>
                <w:sz w:val="16"/>
              </w:rPr>
              <w:t>Intro</w:t>
            </w:r>
          </w:p>
        </w:tc>
        <w:tc>
          <w:tcPr>
            <w:tcW w:w="3060" w:type="dxa"/>
          </w:tcPr>
          <w:p w:rsidR="00E922E5" w:rsidRPr="00C1682D" w:rsidRDefault="00E922E5" w:rsidP="00C1682D">
            <w:pPr>
              <w:pStyle w:val="AERtabletextleft"/>
              <w:rPr>
                <w:rStyle w:val="AERbody"/>
                <w:sz w:val="16"/>
              </w:rPr>
            </w:pPr>
            <w:r w:rsidRPr="00C1682D">
              <w:rPr>
                <w:rStyle w:val="AERbody"/>
                <w:sz w:val="16"/>
              </w:rPr>
              <w:t>Minor changes</w:t>
            </w:r>
            <w:r w:rsidR="00C1682D" w:rsidRPr="00C1682D">
              <w:rPr>
                <w:rStyle w:val="AERbody"/>
                <w:sz w:val="16"/>
              </w:rPr>
              <w:t xml:space="preserve"> only</w:t>
            </w:r>
          </w:p>
        </w:tc>
        <w:tc>
          <w:tcPr>
            <w:tcW w:w="3060" w:type="dxa"/>
          </w:tcPr>
          <w:p w:rsidR="00E922E5" w:rsidRPr="00C1682D" w:rsidRDefault="00E922E5" w:rsidP="00C1682D">
            <w:pPr>
              <w:pStyle w:val="AERtabletextleft"/>
              <w:rPr>
                <w:rStyle w:val="AERbody"/>
                <w:sz w:val="16"/>
              </w:rPr>
            </w:pPr>
            <w:r w:rsidRPr="00C1682D">
              <w:rPr>
                <w:rStyle w:val="AERbody"/>
                <w:sz w:val="16"/>
              </w:rPr>
              <w:t>Intro</w:t>
            </w:r>
          </w:p>
        </w:tc>
      </w:tr>
      <w:tr w:rsidR="00E922E5"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C1682D" w:rsidRDefault="00E922E5" w:rsidP="00C1682D">
            <w:pPr>
              <w:pStyle w:val="AERtabletextleft"/>
              <w:rPr>
                <w:rStyle w:val="AERbody"/>
                <w:sz w:val="16"/>
              </w:rPr>
            </w:pPr>
            <w:r w:rsidRPr="00C1682D">
              <w:rPr>
                <w:rStyle w:val="AERbody"/>
                <w:sz w:val="16"/>
              </w:rPr>
              <w:t>Input</w:t>
            </w:r>
          </w:p>
        </w:tc>
        <w:tc>
          <w:tcPr>
            <w:tcW w:w="3060" w:type="dxa"/>
          </w:tcPr>
          <w:p w:rsidR="00E922E5" w:rsidRPr="00C1682D" w:rsidRDefault="00E922E5" w:rsidP="00C1682D">
            <w:pPr>
              <w:pStyle w:val="AERtabletextleft"/>
              <w:rPr>
                <w:rStyle w:val="AERbody"/>
                <w:sz w:val="16"/>
              </w:rPr>
            </w:pPr>
            <w:r w:rsidRPr="00C1682D">
              <w:rPr>
                <w:rStyle w:val="AERbody"/>
                <w:sz w:val="16"/>
              </w:rPr>
              <w:t>Amended</w:t>
            </w:r>
          </w:p>
        </w:tc>
        <w:tc>
          <w:tcPr>
            <w:tcW w:w="3060" w:type="dxa"/>
          </w:tcPr>
          <w:p w:rsidR="00E922E5" w:rsidRPr="00C1682D" w:rsidRDefault="00E922E5" w:rsidP="00C1682D">
            <w:pPr>
              <w:pStyle w:val="AERtabletextleft"/>
              <w:rPr>
                <w:rStyle w:val="AERbody"/>
                <w:sz w:val="16"/>
              </w:rPr>
            </w:pPr>
            <w:r w:rsidRPr="00C1682D">
              <w:rPr>
                <w:rStyle w:val="AERbody"/>
                <w:sz w:val="16"/>
              </w:rPr>
              <w:t>Input</w:t>
            </w:r>
          </w:p>
        </w:tc>
      </w:tr>
      <w:tr w:rsidR="00E922E5" w:rsidTr="00E922E5">
        <w:tc>
          <w:tcPr>
            <w:tcW w:w="3060" w:type="dxa"/>
          </w:tcPr>
          <w:p w:rsidR="00E922E5" w:rsidRPr="00C1682D" w:rsidRDefault="00E922E5" w:rsidP="00C1682D">
            <w:pPr>
              <w:pStyle w:val="AERtabletextleft"/>
              <w:rPr>
                <w:rStyle w:val="AERbody"/>
                <w:sz w:val="16"/>
              </w:rPr>
            </w:pPr>
            <w:r w:rsidRPr="00C1682D">
              <w:rPr>
                <w:rStyle w:val="AERbody"/>
                <w:sz w:val="16"/>
              </w:rPr>
              <w:t>WACC</w:t>
            </w:r>
          </w:p>
        </w:tc>
        <w:tc>
          <w:tcPr>
            <w:tcW w:w="3060" w:type="dxa"/>
          </w:tcPr>
          <w:p w:rsidR="00E922E5" w:rsidRPr="00C1682D" w:rsidRDefault="00E922E5" w:rsidP="00C1682D">
            <w:pPr>
              <w:pStyle w:val="AERtabletextleft"/>
              <w:rPr>
                <w:rStyle w:val="AERbody"/>
                <w:sz w:val="16"/>
              </w:rPr>
            </w:pPr>
            <w:r w:rsidRPr="00C1682D">
              <w:rPr>
                <w:rStyle w:val="AERbody"/>
                <w:sz w:val="16"/>
              </w:rPr>
              <w:t>Amended</w:t>
            </w:r>
          </w:p>
        </w:tc>
        <w:tc>
          <w:tcPr>
            <w:tcW w:w="3060" w:type="dxa"/>
          </w:tcPr>
          <w:p w:rsidR="00E922E5" w:rsidRPr="00C1682D" w:rsidRDefault="00E922E5" w:rsidP="00C1682D">
            <w:pPr>
              <w:pStyle w:val="AERtabletextleft"/>
              <w:rPr>
                <w:rStyle w:val="AERbody"/>
                <w:sz w:val="16"/>
              </w:rPr>
            </w:pPr>
            <w:r w:rsidRPr="00C1682D">
              <w:rPr>
                <w:rStyle w:val="AERbody"/>
                <w:sz w:val="16"/>
              </w:rPr>
              <w:t>WACC</w:t>
            </w:r>
          </w:p>
        </w:tc>
      </w:tr>
      <w:tr w:rsidR="00E922E5"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C1682D" w:rsidRDefault="00E922E5" w:rsidP="00C1682D">
            <w:pPr>
              <w:pStyle w:val="AERtabletextleft"/>
              <w:rPr>
                <w:rStyle w:val="AERbody"/>
                <w:sz w:val="16"/>
              </w:rPr>
            </w:pPr>
            <w:r w:rsidRPr="00C1682D">
              <w:rPr>
                <w:rStyle w:val="AERbody"/>
                <w:sz w:val="16"/>
              </w:rPr>
              <w:t>Assets</w:t>
            </w:r>
          </w:p>
        </w:tc>
        <w:tc>
          <w:tcPr>
            <w:tcW w:w="3060" w:type="dxa"/>
          </w:tcPr>
          <w:p w:rsidR="00E922E5" w:rsidRPr="00C1682D" w:rsidRDefault="00E922E5" w:rsidP="00C1682D">
            <w:pPr>
              <w:pStyle w:val="AERtabletextleft"/>
              <w:rPr>
                <w:rStyle w:val="AERbody"/>
                <w:sz w:val="16"/>
              </w:rPr>
            </w:pPr>
            <w:r w:rsidRPr="00C1682D">
              <w:rPr>
                <w:rStyle w:val="AERbody"/>
                <w:sz w:val="16"/>
              </w:rPr>
              <w:t>Amended</w:t>
            </w:r>
          </w:p>
        </w:tc>
        <w:tc>
          <w:tcPr>
            <w:tcW w:w="3060" w:type="dxa"/>
          </w:tcPr>
          <w:p w:rsidR="00E922E5" w:rsidRPr="00C1682D" w:rsidRDefault="00E922E5" w:rsidP="00C1682D">
            <w:pPr>
              <w:pStyle w:val="AERtabletextleft"/>
              <w:rPr>
                <w:rStyle w:val="AERbody"/>
                <w:sz w:val="16"/>
              </w:rPr>
            </w:pPr>
            <w:r w:rsidRPr="00C1682D">
              <w:rPr>
                <w:rStyle w:val="AERbody"/>
                <w:sz w:val="16"/>
              </w:rPr>
              <w:t>Assets</w:t>
            </w:r>
          </w:p>
        </w:tc>
      </w:tr>
      <w:tr w:rsidR="00E922E5" w:rsidTr="00E922E5">
        <w:tc>
          <w:tcPr>
            <w:tcW w:w="3060" w:type="dxa"/>
          </w:tcPr>
          <w:p w:rsidR="00E922E5" w:rsidRPr="00C1682D" w:rsidRDefault="00E922E5" w:rsidP="00C1682D">
            <w:pPr>
              <w:pStyle w:val="AERtabletextleft"/>
              <w:rPr>
                <w:rStyle w:val="AERbody"/>
                <w:sz w:val="16"/>
              </w:rPr>
            </w:pPr>
            <w:r w:rsidRPr="00C1682D">
              <w:rPr>
                <w:rStyle w:val="AERbody"/>
                <w:sz w:val="16"/>
              </w:rPr>
              <w:t>Analysis</w:t>
            </w:r>
          </w:p>
        </w:tc>
        <w:tc>
          <w:tcPr>
            <w:tcW w:w="3060" w:type="dxa"/>
          </w:tcPr>
          <w:p w:rsidR="00E922E5" w:rsidRPr="00C1682D" w:rsidRDefault="00E922E5" w:rsidP="00C1682D">
            <w:pPr>
              <w:pStyle w:val="AERtabletextleft"/>
              <w:rPr>
                <w:rStyle w:val="AERbody"/>
                <w:sz w:val="16"/>
              </w:rPr>
            </w:pPr>
            <w:r w:rsidRPr="00C1682D">
              <w:rPr>
                <w:rStyle w:val="AERbody"/>
                <w:sz w:val="16"/>
              </w:rPr>
              <w:t>Amended</w:t>
            </w:r>
          </w:p>
        </w:tc>
        <w:tc>
          <w:tcPr>
            <w:tcW w:w="3060" w:type="dxa"/>
          </w:tcPr>
          <w:p w:rsidR="00E922E5" w:rsidRPr="00C1682D" w:rsidRDefault="00E922E5" w:rsidP="00C1682D">
            <w:pPr>
              <w:pStyle w:val="AERtabletextleft"/>
              <w:rPr>
                <w:rStyle w:val="AERbody"/>
                <w:sz w:val="16"/>
              </w:rPr>
            </w:pPr>
            <w:r w:rsidRPr="00C1682D">
              <w:rPr>
                <w:rStyle w:val="AERbody"/>
                <w:sz w:val="16"/>
              </w:rPr>
              <w:t>Analysis</w:t>
            </w:r>
          </w:p>
        </w:tc>
      </w:tr>
      <w:tr w:rsidR="00E922E5"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C1682D" w:rsidRDefault="00E922E5" w:rsidP="00C1682D">
            <w:pPr>
              <w:pStyle w:val="AERtabletextleft"/>
              <w:rPr>
                <w:rStyle w:val="AERbody"/>
                <w:sz w:val="16"/>
              </w:rPr>
            </w:pPr>
            <w:r w:rsidRPr="00C1682D">
              <w:rPr>
                <w:rStyle w:val="AERbody"/>
                <w:sz w:val="16"/>
              </w:rPr>
              <w:t>Forecast revenues</w:t>
            </w:r>
          </w:p>
        </w:tc>
        <w:tc>
          <w:tcPr>
            <w:tcW w:w="3060" w:type="dxa"/>
          </w:tcPr>
          <w:p w:rsidR="00E922E5" w:rsidRPr="00C1682D" w:rsidRDefault="00E922E5" w:rsidP="00C1682D">
            <w:pPr>
              <w:pStyle w:val="AERtabletextleft"/>
              <w:rPr>
                <w:rStyle w:val="AERbody"/>
                <w:sz w:val="16"/>
              </w:rPr>
            </w:pPr>
            <w:r w:rsidRPr="00C1682D">
              <w:rPr>
                <w:rStyle w:val="AERbody"/>
                <w:sz w:val="16"/>
              </w:rPr>
              <w:t>Amended</w:t>
            </w:r>
          </w:p>
        </w:tc>
        <w:tc>
          <w:tcPr>
            <w:tcW w:w="3060" w:type="dxa"/>
          </w:tcPr>
          <w:p w:rsidR="00E922E5" w:rsidRPr="00C1682D" w:rsidRDefault="00E922E5" w:rsidP="00C1682D">
            <w:pPr>
              <w:pStyle w:val="AERtabletextleft"/>
              <w:rPr>
                <w:rStyle w:val="AERbody"/>
                <w:sz w:val="16"/>
              </w:rPr>
            </w:pPr>
            <w:r w:rsidRPr="00C1682D">
              <w:rPr>
                <w:rStyle w:val="AERbody"/>
                <w:sz w:val="16"/>
              </w:rPr>
              <w:t>Forecast revenues</w:t>
            </w:r>
          </w:p>
        </w:tc>
      </w:tr>
      <w:tr w:rsidR="00E922E5" w:rsidTr="00E922E5">
        <w:tc>
          <w:tcPr>
            <w:tcW w:w="3060" w:type="dxa"/>
          </w:tcPr>
          <w:p w:rsidR="00E922E5" w:rsidRPr="00C1682D" w:rsidRDefault="00E922E5" w:rsidP="00C1682D">
            <w:pPr>
              <w:pStyle w:val="AERtabletextleft"/>
              <w:rPr>
                <w:rStyle w:val="AERbody"/>
                <w:sz w:val="16"/>
              </w:rPr>
            </w:pPr>
            <w:r w:rsidRPr="00C1682D">
              <w:rPr>
                <w:rStyle w:val="AERbody"/>
                <w:sz w:val="16"/>
              </w:rPr>
              <w:t>X factor</w:t>
            </w:r>
          </w:p>
        </w:tc>
        <w:tc>
          <w:tcPr>
            <w:tcW w:w="3060" w:type="dxa"/>
          </w:tcPr>
          <w:p w:rsidR="00E922E5" w:rsidRPr="00C1682D" w:rsidRDefault="00E922E5" w:rsidP="00C1682D">
            <w:pPr>
              <w:pStyle w:val="AERtabletextleft"/>
              <w:rPr>
                <w:rStyle w:val="AERbody"/>
                <w:sz w:val="16"/>
              </w:rPr>
            </w:pPr>
            <w:r w:rsidRPr="00C1682D">
              <w:rPr>
                <w:rStyle w:val="AERbody"/>
                <w:sz w:val="16"/>
              </w:rPr>
              <w:t>Amended and renamed</w:t>
            </w:r>
          </w:p>
        </w:tc>
        <w:tc>
          <w:tcPr>
            <w:tcW w:w="3060" w:type="dxa"/>
          </w:tcPr>
          <w:p w:rsidR="00E922E5" w:rsidRPr="00C1682D" w:rsidRDefault="00E922E5" w:rsidP="00C1682D">
            <w:pPr>
              <w:pStyle w:val="AERtabletextleft"/>
              <w:rPr>
                <w:rStyle w:val="AERbody"/>
                <w:sz w:val="16"/>
              </w:rPr>
            </w:pPr>
            <w:r w:rsidRPr="00C1682D">
              <w:rPr>
                <w:rStyle w:val="AERbody"/>
                <w:sz w:val="16"/>
              </w:rPr>
              <w:t>X factors</w:t>
            </w:r>
          </w:p>
        </w:tc>
      </w:tr>
      <w:tr w:rsidR="00E922E5"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C1682D" w:rsidRDefault="00E922E5" w:rsidP="00C1682D">
            <w:pPr>
              <w:pStyle w:val="AERtabletextleft"/>
              <w:rPr>
                <w:rStyle w:val="AERbody"/>
                <w:sz w:val="16"/>
              </w:rPr>
            </w:pPr>
          </w:p>
        </w:tc>
        <w:tc>
          <w:tcPr>
            <w:tcW w:w="3060" w:type="dxa"/>
          </w:tcPr>
          <w:p w:rsidR="00E922E5" w:rsidRPr="00C1682D" w:rsidRDefault="00E922E5" w:rsidP="00C1682D">
            <w:pPr>
              <w:pStyle w:val="AERtabletextleft"/>
              <w:rPr>
                <w:rStyle w:val="AERbody"/>
                <w:sz w:val="16"/>
              </w:rPr>
            </w:pPr>
            <w:r w:rsidRPr="00C1682D">
              <w:rPr>
                <w:rStyle w:val="AERbody"/>
                <w:sz w:val="16"/>
              </w:rPr>
              <w:t>Added</w:t>
            </w:r>
          </w:p>
        </w:tc>
        <w:tc>
          <w:tcPr>
            <w:tcW w:w="3060" w:type="dxa"/>
          </w:tcPr>
          <w:p w:rsidR="00E922E5" w:rsidRPr="00C1682D" w:rsidRDefault="00C1682D" w:rsidP="00C1682D">
            <w:pPr>
              <w:pStyle w:val="AERtabletextleft"/>
              <w:rPr>
                <w:rStyle w:val="AERbody"/>
                <w:sz w:val="16"/>
              </w:rPr>
            </w:pPr>
            <w:r>
              <w:rPr>
                <w:rStyle w:val="AERbody"/>
                <w:sz w:val="16"/>
              </w:rPr>
              <w:t xml:space="preserve">Revenue </w:t>
            </w:r>
            <w:r w:rsidRPr="00C1682D">
              <w:rPr>
                <w:rStyle w:val="AERbody"/>
                <w:sz w:val="16"/>
              </w:rPr>
              <w:t>s</w:t>
            </w:r>
            <w:r w:rsidR="00E922E5" w:rsidRPr="00C1682D">
              <w:rPr>
                <w:rStyle w:val="AERbody"/>
                <w:sz w:val="16"/>
              </w:rPr>
              <w:t>ummary</w:t>
            </w:r>
          </w:p>
        </w:tc>
      </w:tr>
      <w:tr w:rsidR="00E922E5" w:rsidTr="00E922E5">
        <w:tc>
          <w:tcPr>
            <w:tcW w:w="3060" w:type="dxa"/>
          </w:tcPr>
          <w:p w:rsidR="00E922E5" w:rsidRPr="00C1682D" w:rsidRDefault="00E922E5" w:rsidP="00C1682D">
            <w:pPr>
              <w:pStyle w:val="AERtabletextleft"/>
              <w:rPr>
                <w:rStyle w:val="AERbody"/>
                <w:sz w:val="16"/>
              </w:rPr>
            </w:pPr>
          </w:p>
        </w:tc>
        <w:tc>
          <w:tcPr>
            <w:tcW w:w="3060" w:type="dxa"/>
          </w:tcPr>
          <w:p w:rsidR="00E922E5" w:rsidRPr="00C1682D" w:rsidRDefault="00E922E5" w:rsidP="00C1682D">
            <w:pPr>
              <w:pStyle w:val="AERtabletextleft"/>
              <w:rPr>
                <w:rStyle w:val="AERbody"/>
                <w:sz w:val="16"/>
              </w:rPr>
            </w:pPr>
            <w:r w:rsidRPr="00C1682D">
              <w:rPr>
                <w:rStyle w:val="AERbody"/>
                <w:sz w:val="16"/>
              </w:rPr>
              <w:t>Added</w:t>
            </w:r>
          </w:p>
        </w:tc>
        <w:tc>
          <w:tcPr>
            <w:tcW w:w="3060" w:type="dxa"/>
          </w:tcPr>
          <w:p w:rsidR="00E922E5" w:rsidRPr="00C1682D" w:rsidRDefault="00E922E5" w:rsidP="00C1682D">
            <w:pPr>
              <w:pStyle w:val="AERtabletextleft"/>
              <w:rPr>
                <w:rStyle w:val="AERbody"/>
                <w:sz w:val="16"/>
              </w:rPr>
            </w:pPr>
            <w:r w:rsidRPr="00C1682D">
              <w:rPr>
                <w:rStyle w:val="AERbody"/>
                <w:sz w:val="16"/>
              </w:rPr>
              <w:t>Equity raising cost</w:t>
            </w:r>
          </w:p>
        </w:tc>
      </w:tr>
      <w:tr w:rsidR="00E922E5"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C1682D" w:rsidRDefault="00E922E5" w:rsidP="00C1682D">
            <w:pPr>
              <w:pStyle w:val="AERtabletextleft"/>
              <w:rPr>
                <w:rStyle w:val="AERbody"/>
                <w:sz w:val="16"/>
              </w:rPr>
            </w:pPr>
            <w:r w:rsidRPr="00C1682D">
              <w:rPr>
                <w:rStyle w:val="AERbody"/>
                <w:sz w:val="16"/>
              </w:rPr>
              <w:t>Chart 1-Revenues</w:t>
            </w:r>
          </w:p>
        </w:tc>
        <w:tc>
          <w:tcPr>
            <w:tcW w:w="3060" w:type="dxa"/>
          </w:tcPr>
          <w:p w:rsidR="00E922E5" w:rsidRPr="00C1682D" w:rsidRDefault="00E922E5" w:rsidP="00C1682D">
            <w:pPr>
              <w:pStyle w:val="AERtabletextleft"/>
              <w:rPr>
                <w:rStyle w:val="AERbody"/>
                <w:sz w:val="16"/>
              </w:rPr>
            </w:pPr>
            <w:r w:rsidRPr="00C1682D">
              <w:rPr>
                <w:rStyle w:val="AERbody"/>
                <w:sz w:val="16"/>
              </w:rPr>
              <w:t>Minor changes</w:t>
            </w:r>
            <w:r w:rsidR="00C1682D" w:rsidRPr="00C1682D">
              <w:rPr>
                <w:rStyle w:val="AERbody"/>
                <w:sz w:val="16"/>
              </w:rPr>
              <w:t xml:space="preserve"> only</w:t>
            </w:r>
          </w:p>
        </w:tc>
        <w:tc>
          <w:tcPr>
            <w:tcW w:w="3060" w:type="dxa"/>
          </w:tcPr>
          <w:p w:rsidR="00E922E5" w:rsidRPr="00C1682D" w:rsidRDefault="00E922E5" w:rsidP="00C1682D">
            <w:pPr>
              <w:pStyle w:val="AERtabletextleft"/>
              <w:rPr>
                <w:rStyle w:val="AERbody"/>
                <w:sz w:val="16"/>
              </w:rPr>
            </w:pPr>
            <w:r w:rsidRPr="00C1682D">
              <w:rPr>
                <w:rStyle w:val="AERbody"/>
                <w:sz w:val="16"/>
              </w:rPr>
              <w:t>Chart 1-Revenues</w:t>
            </w:r>
          </w:p>
        </w:tc>
      </w:tr>
      <w:tr w:rsidR="00E922E5" w:rsidTr="00E922E5">
        <w:tc>
          <w:tcPr>
            <w:tcW w:w="3060" w:type="dxa"/>
          </w:tcPr>
          <w:p w:rsidR="00E922E5" w:rsidRPr="00C1682D" w:rsidRDefault="00E922E5" w:rsidP="00C1682D">
            <w:pPr>
              <w:pStyle w:val="AERtabletextleft"/>
              <w:rPr>
                <w:rStyle w:val="AERbody"/>
                <w:sz w:val="16"/>
              </w:rPr>
            </w:pPr>
            <w:r w:rsidRPr="00C1682D">
              <w:rPr>
                <w:rStyle w:val="AERbody"/>
                <w:sz w:val="16"/>
              </w:rPr>
              <w:t>Chart 2-Price path</w:t>
            </w:r>
          </w:p>
        </w:tc>
        <w:tc>
          <w:tcPr>
            <w:tcW w:w="3060" w:type="dxa"/>
          </w:tcPr>
          <w:p w:rsidR="00E922E5" w:rsidRPr="00C1682D" w:rsidRDefault="00E922E5" w:rsidP="00C1682D">
            <w:pPr>
              <w:pStyle w:val="AERtabletextleft"/>
              <w:rPr>
                <w:rStyle w:val="AERbody"/>
                <w:sz w:val="16"/>
              </w:rPr>
            </w:pPr>
            <w:r w:rsidRPr="00C1682D">
              <w:rPr>
                <w:rStyle w:val="AERbody"/>
                <w:sz w:val="16"/>
              </w:rPr>
              <w:t>Minor changes</w:t>
            </w:r>
            <w:r w:rsidR="00C1682D" w:rsidRPr="00C1682D">
              <w:rPr>
                <w:rStyle w:val="AERbody"/>
                <w:sz w:val="16"/>
              </w:rPr>
              <w:t xml:space="preserve"> only</w:t>
            </w:r>
          </w:p>
        </w:tc>
        <w:tc>
          <w:tcPr>
            <w:tcW w:w="3060" w:type="dxa"/>
          </w:tcPr>
          <w:p w:rsidR="00E922E5" w:rsidRPr="00C1682D" w:rsidRDefault="00E922E5" w:rsidP="00C1682D">
            <w:pPr>
              <w:pStyle w:val="AERtabletextleft"/>
              <w:rPr>
                <w:rStyle w:val="AERbody"/>
                <w:sz w:val="16"/>
              </w:rPr>
            </w:pPr>
            <w:r w:rsidRPr="00C1682D">
              <w:rPr>
                <w:rStyle w:val="AERbody"/>
                <w:sz w:val="16"/>
              </w:rPr>
              <w:t>Chart 2-Price path</w:t>
            </w:r>
          </w:p>
        </w:tc>
      </w:tr>
      <w:tr w:rsidR="00E922E5" w:rsidRPr="00C1682D"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C1682D" w:rsidRDefault="00E922E5" w:rsidP="00C1682D">
            <w:pPr>
              <w:pStyle w:val="AERtabletextleft"/>
              <w:rPr>
                <w:rStyle w:val="AERbody"/>
                <w:sz w:val="16"/>
              </w:rPr>
            </w:pPr>
            <w:r w:rsidRPr="00C1682D">
              <w:rPr>
                <w:rStyle w:val="AERbody"/>
                <w:sz w:val="16"/>
              </w:rPr>
              <w:t>Chart 3-Building block</w:t>
            </w:r>
            <w:r w:rsidR="00C1682D" w:rsidRPr="00C1682D">
              <w:rPr>
                <w:rStyle w:val="AERbody"/>
                <w:sz w:val="16"/>
              </w:rPr>
              <w:t>s</w:t>
            </w:r>
          </w:p>
        </w:tc>
        <w:tc>
          <w:tcPr>
            <w:tcW w:w="3060" w:type="dxa"/>
          </w:tcPr>
          <w:p w:rsidR="00E922E5" w:rsidRPr="00C1682D" w:rsidRDefault="00E922E5" w:rsidP="00C1682D">
            <w:pPr>
              <w:pStyle w:val="AERtabletextleft"/>
              <w:rPr>
                <w:rStyle w:val="AERbody"/>
                <w:sz w:val="16"/>
              </w:rPr>
            </w:pPr>
            <w:r w:rsidRPr="00C1682D">
              <w:rPr>
                <w:rStyle w:val="AERbody"/>
                <w:sz w:val="16"/>
              </w:rPr>
              <w:t>Minor changes</w:t>
            </w:r>
            <w:r w:rsidR="00C1682D" w:rsidRPr="00C1682D">
              <w:rPr>
                <w:rStyle w:val="AERbody"/>
                <w:sz w:val="16"/>
              </w:rPr>
              <w:t xml:space="preserve"> only</w:t>
            </w:r>
          </w:p>
        </w:tc>
        <w:tc>
          <w:tcPr>
            <w:tcW w:w="3060" w:type="dxa"/>
          </w:tcPr>
          <w:p w:rsidR="00E922E5" w:rsidRPr="00C1682D" w:rsidRDefault="00E922E5" w:rsidP="00C1682D">
            <w:pPr>
              <w:pStyle w:val="AERtabletextleft"/>
              <w:rPr>
                <w:rStyle w:val="AERbody"/>
                <w:sz w:val="16"/>
              </w:rPr>
            </w:pPr>
            <w:r w:rsidRPr="00C1682D">
              <w:rPr>
                <w:rStyle w:val="AERbody"/>
                <w:sz w:val="16"/>
              </w:rPr>
              <w:t>Chart 3-Building block</w:t>
            </w:r>
            <w:r w:rsidR="00C1682D" w:rsidRPr="00C1682D">
              <w:rPr>
                <w:rStyle w:val="AERbody"/>
                <w:sz w:val="16"/>
              </w:rPr>
              <w:t>s</w:t>
            </w:r>
          </w:p>
        </w:tc>
      </w:tr>
    </w:tbl>
    <w:p w:rsidR="00E922E5" w:rsidRPr="004A5246" w:rsidRDefault="00E922E5" w:rsidP="00E922E5">
      <w:pPr>
        <w:pStyle w:val="Caption"/>
        <w:rPr>
          <w:rStyle w:val="AERtextbold"/>
        </w:rPr>
      </w:pPr>
      <w:bookmarkStart w:id="28" w:name="_Ref396312297"/>
      <w:r>
        <w:lastRenderedPageBreak/>
        <w:t xml:space="preserve">Table </w:t>
      </w:r>
      <w:fldSimple w:instr=" SEQ Table \* ARABIC ">
        <w:r w:rsidR="008B40CD">
          <w:rPr>
            <w:noProof/>
          </w:rPr>
          <w:t>4</w:t>
        </w:r>
      </w:fldSimple>
      <w:bookmarkEnd w:id="28"/>
      <w:r>
        <w:t xml:space="preserve"> </w:t>
      </w:r>
      <w:r>
        <w:tab/>
        <w:t xml:space="preserve">Changes to the </w:t>
      </w:r>
      <w:r w:rsidR="00E71317">
        <w:t>t</w:t>
      </w:r>
      <w:r>
        <w:t>ransmission PTRM</w:t>
      </w:r>
      <w:r w:rsidR="00DD72FF">
        <w:t xml:space="preserve"> worksheets</w:t>
      </w:r>
    </w:p>
    <w:tbl>
      <w:tblPr>
        <w:tblStyle w:val="AERtable-text"/>
        <w:tblW w:w="9180" w:type="dxa"/>
        <w:tblLayout w:type="fixed"/>
        <w:tblLook w:val="04A0" w:firstRow="1" w:lastRow="0" w:firstColumn="1" w:lastColumn="0" w:noHBand="0" w:noVBand="1"/>
      </w:tblPr>
      <w:tblGrid>
        <w:gridCol w:w="3060"/>
        <w:gridCol w:w="3060"/>
        <w:gridCol w:w="3060"/>
      </w:tblGrid>
      <w:tr w:rsidR="00E922E5" w:rsidRPr="003766A2" w:rsidTr="00E922E5">
        <w:trPr>
          <w:cnfStyle w:val="100000000000" w:firstRow="1" w:lastRow="0" w:firstColumn="0" w:lastColumn="0" w:oddVBand="0" w:evenVBand="0" w:oddHBand="0" w:evenHBand="0" w:firstRowFirstColumn="0" w:firstRowLastColumn="0" w:lastRowFirstColumn="0" w:lastRowLastColumn="0"/>
        </w:trPr>
        <w:tc>
          <w:tcPr>
            <w:tcW w:w="3060" w:type="dxa"/>
          </w:tcPr>
          <w:p w:rsidR="00E922E5" w:rsidRPr="00E922E5" w:rsidRDefault="00E922E5" w:rsidP="00E922E5">
            <w:pPr>
              <w:pStyle w:val="AERtabletextleft"/>
              <w:rPr>
                <w:rStyle w:val="AERtextbold"/>
              </w:rPr>
            </w:pPr>
            <w:r>
              <w:rPr>
                <w:rStyle w:val="AERtextbold"/>
              </w:rPr>
              <w:t>O</w:t>
            </w:r>
            <w:r w:rsidRPr="00E922E5">
              <w:rPr>
                <w:rStyle w:val="AERtextbold"/>
              </w:rPr>
              <w:t>ld PTRM worksheets</w:t>
            </w:r>
          </w:p>
        </w:tc>
        <w:tc>
          <w:tcPr>
            <w:tcW w:w="3060" w:type="dxa"/>
          </w:tcPr>
          <w:p w:rsidR="00E922E5" w:rsidRPr="00E922E5" w:rsidRDefault="00E922E5" w:rsidP="00E922E5">
            <w:pPr>
              <w:pStyle w:val="AERtabletextleft"/>
              <w:rPr>
                <w:rStyle w:val="AERtextbold"/>
              </w:rPr>
            </w:pPr>
            <w:r>
              <w:rPr>
                <w:rStyle w:val="AERtextbold"/>
              </w:rPr>
              <w:t>S</w:t>
            </w:r>
            <w:r w:rsidRPr="00E922E5">
              <w:rPr>
                <w:rStyle w:val="AERtextbold"/>
              </w:rPr>
              <w:t>tatus</w:t>
            </w:r>
          </w:p>
        </w:tc>
        <w:tc>
          <w:tcPr>
            <w:tcW w:w="3060" w:type="dxa"/>
          </w:tcPr>
          <w:p w:rsidR="00E922E5" w:rsidRPr="00E922E5" w:rsidRDefault="00E922E5" w:rsidP="00E922E5">
            <w:pPr>
              <w:pStyle w:val="AERtabletextleft"/>
              <w:rPr>
                <w:rStyle w:val="AERtextbold"/>
              </w:rPr>
            </w:pPr>
            <w:r>
              <w:rPr>
                <w:rStyle w:val="AERtextbold"/>
              </w:rPr>
              <w:t>N</w:t>
            </w:r>
            <w:r w:rsidRPr="00E922E5">
              <w:rPr>
                <w:rStyle w:val="AERtextbold"/>
              </w:rPr>
              <w:t>ew PTRM worksheets</w:t>
            </w:r>
          </w:p>
        </w:tc>
      </w:tr>
      <w:tr w:rsidR="00E922E5" w:rsidTr="00E922E5">
        <w:tc>
          <w:tcPr>
            <w:tcW w:w="3060" w:type="dxa"/>
          </w:tcPr>
          <w:p w:rsidR="00E922E5" w:rsidRPr="00E922E5" w:rsidRDefault="00E922E5" w:rsidP="00C1682D">
            <w:pPr>
              <w:pStyle w:val="AERtabletextleft"/>
              <w:rPr>
                <w:rStyle w:val="AERbody"/>
                <w:sz w:val="16"/>
              </w:rPr>
            </w:pPr>
            <w:r w:rsidRPr="00E922E5">
              <w:rPr>
                <w:rStyle w:val="AERbody"/>
                <w:sz w:val="16"/>
              </w:rPr>
              <w:t>Intro</w:t>
            </w:r>
          </w:p>
        </w:tc>
        <w:tc>
          <w:tcPr>
            <w:tcW w:w="3060" w:type="dxa"/>
          </w:tcPr>
          <w:p w:rsidR="00E922E5" w:rsidRPr="00C1682D" w:rsidRDefault="00E922E5" w:rsidP="00C1682D">
            <w:pPr>
              <w:pStyle w:val="AERtabletextleft"/>
              <w:rPr>
                <w:rStyle w:val="AERbody"/>
                <w:sz w:val="16"/>
              </w:rPr>
            </w:pPr>
            <w:r w:rsidRPr="00C1682D">
              <w:rPr>
                <w:rStyle w:val="AERbody"/>
                <w:sz w:val="16"/>
              </w:rPr>
              <w:t>Minor changes</w:t>
            </w:r>
            <w:r w:rsidR="00C1682D" w:rsidRPr="00C1682D">
              <w:rPr>
                <w:rStyle w:val="AERbody"/>
                <w:sz w:val="16"/>
              </w:rPr>
              <w:t xml:space="preserve"> only</w:t>
            </w:r>
          </w:p>
        </w:tc>
        <w:tc>
          <w:tcPr>
            <w:tcW w:w="3060" w:type="dxa"/>
          </w:tcPr>
          <w:p w:rsidR="00E922E5" w:rsidRPr="00E922E5" w:rsidRDefault="00E922E5" w:rsidP="00C1682D">
            <w:pPr>
              <w:pStyle w:val="AERtabletextleft"/>
              <w:rPr>
                <w:rStyle w:val="AERbody"/>
                <w:sz w:val="16"/>
              </w:rPr>
            </w:pPr>
            <w:r w:rsidRPr="00E922E5">
              <w:rPr>
                <w:rStyle w:val="AERbody"/>
                <w:sz w:val="16"/>
              </w:rPr>
              <w:t>Intro</w:t>
            </w:r>
          </w:p>
        </w:tc>
      </w:tr>
      <w:tr w:rsidR="00E922E5"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E922E5" w:rsidRDefault="00E922E5" w:rsidP="00C1682D">
            <w:pPr>
              <w:pStyle w:val="AERtabletextleft"/>
              <w:rPr>
                <w:rStyle w:val="AERbody"/>
                <w:sz w:val="16"/>
              </w:rPr>
            </w:pPr>
            <w:r w:rsidRPr="00E922E5">
              <w:rPr>
                <w:rStyle w:val="AERbody"/>
                <w:sz w:val="16"/>
              </w:rPr>
              <w:t>Input</w:t>
            </w:r>
          </w:p>
        </w:tc>
        <w:tc>
          <w:tcPr>
            <w:tcW w:w="3060" w:type="dxa"/>
          </w:tcPr>
          <w:p w:rsidR="00E922E5" w:rsidRPr="00C1682D" w:rsidRDefault="00E922E5" w:rsidP="00C1682D">
            <w:pPr>
              <w:pStyle w:val="AERtabletextleft"/>
              <w:rPr>
                <w:rStyle w:val="AERbody"/>
                <w:sz w:val="16"/>
              </w:rPr>
            </w:pPr>
            <w:r w:rsidRPr="00C1682D">
              <w:rPr>
                <w:rStyle w:val="AERbody"/>
                <w:sz w:val="16"/>
              </w:rPr>
              <w:t>Amended</w:t>
            </w:r>
          </w:p>
        </w:tc>
        <w:tc>
          <w:tcPr>
            <w:tcW w:w="3060" w:type="dxa"/>
          </w:tcPr>
          <w:p w:rsidR="00E922E5" w:rsidRPr="00E922E5" w:rsidRDefault="00E922E5" w:rsidP="00C1682D">
            <w:pPr>
              <w:pStyle w:val="AERtabletextleft"/>
              <w:rPr>
                <w:rStyle w:val="AERbody"/>
                <w:sz w:val="16"/>
              </w:rPr>
            </w:pPr>
            <w:r w:rsidRPr="00E922E5">
              <w:rPr>
                <w:rStyle w:val="AERbody"/>
                <w:sz w:val="16"/>
              </w:rPr>
              <w:t>Input</w:t>
            </w:r>
          </w:p>
        </w:tc>
      </w:tr>
      <w:tr w:rsidR="00E922E5" w:rsidTr="00E922E5">
        <w:tc>
          <w:tcPr>
            <w:tcW w:w="3060" w:type="dxa"/>
          </w:tcPr>
          <w:p w:rsidR="00E922E5" w:rsidRPr="00E922E5" w:rsidRDefault="00E922E5" w:rsidP="00C1682D">
            <w:pPr>
              <w:pStyle w:val="AERtabletextleft"/>
              <w:rPr>
                <w:rStyle w:val="AERbody"/>
                <w:sz w:val="16"/>
              </w:rPr>
            </w:pPr>
            <w:r w:rsidRPr="00E922E5">
              <w:rPr>
                <w:rStyle w:val="AERbody"/>
                <w:sz w:val="16"/>
              </w:rPr>
              <w:t>WACC</w:t>
            </w:r>
          </w:p>
        </w:tc>
        <w:tc>
          <w:tcPr>
            <w:tcW w:w="3060" w:type="dxa"/>
          </w:tcPr>
          <w:p w:rsidR="00E922E5" w:rsidRPr="00C1682D" w:rsidRDefault="00E922E5" w:rsidP="00C1682D">
            <w:pPr>
              <w:pStyle w:val="AERtabletextleft"/>
              <w:rPr>
                <w:rStyle w:val="AERbody"/>
                <w:sz w:val="16"/>
              </w:rPr>
            </w:pPr>
            <w:r w:rsidRPr="00C1682D">
              <w:rPr>
                <w:rStyle w:val="AERbody"/>
                <w:sz w:val="16"/>
              </w:rPr>
              <w:t>Amended</w:t>
            </w:r>
          </w:p>
        </w:tc>
        <w:tc>
          <w:tcPr>
            <w:tcW w:w="3060" w:type="dxa"/>
          </w:tcPr>
          <w:p w:rsidR="00E922E5" w:rsidRPr="00E922E5" w:rsidRDefault="00E922E5" w:rsidP="00C1682D">
            <w:pPr>
              <w:pStyle w:val="AERtabletextleft"/>
              <w:rPr>
                <w:rStyle w:val="AERbody"/>
                <w:sz w:val="16"/>
              </w:rPr>
            </w:pPr>
            <w:r w:rsidRPr="00E922E5">
              <w:rPr>
                <w:rStyle w:val="AERbody"/>
                <w:sz w:val="16"/>
              </w:rPr>
              <w:t>WACC</w:t>
            </w:r>
          </w:p>
        </w:tc>
      </w:tr>
      <w:tr w:rsidR="00E922E5"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E922E5" w:rsidRDefault="00E922E5" w:rsidP="00C1682D">
            <w:pPr>
              <w:pStyle w:val="AERtabletextleft"/>
              <w:rPr>
                <w:rStyle w:val="AERbody"/>
                <w:sz w:val="16"/>
              </w:rPr>
            </w:pPr>
            <w:r w:rsidRPr="00E922E5">
              <w:rPr>
                <w:rStyle w:val="AERbody"/>
                <w:sz w:val="16"/>
              </w:rPr>
              <w:t>Assets</w:t>
            </w:r>
          </w:p>
        </w:tc>
        <w:tc>
          <w:tcPr>
            <w:tcW w:w="3060" w:type="dxa"/>
          </w:tcPr>
          <w:p w:rsidR="00E922E5" w:rsidRPr="00C1682D" w:rsidRDefault="00E922E5" w:rsidP="00C1682D">
            <w:pPr>
              <w:pStyle w:val="AERtabletextleft"/>
              <w:rPr>
                <w:rStyle w:val="AERbody"/>
                <w:sz w:val="16"/>
              </w:rPr>
            </w:pPr>
            <w:r w:rsidRPr="00C1682D">
              <w:rPr>
                <w:rStyle w:val="AERbody"/>
                <w:sz w:val="16"/>
              </w:rPr>
              <w:t>Amended</w:t>
            </w:r>
          </w:p>
        </w:tc>
        <w:tc>
          <w:tcPr>
            <w:tcW w:w="3060" w:type="dxa"/>
          </w:tcPr>
          <w:p w:rsidR="00E922E5" w:rsidRPr="00E922E5" w:rsidRDefault="00E922E5" w:rsidP="00C1682D">
            <w:pPr>
              <w:pStyle w:val="AERtabletextleft"/>
              <w:rPr>
                <w:rStyle w:val="AERbody"/>
                <w:sz w:val="16"/>
              </w:rPr>
            </w:pPr>
            <w:r w:rsidRPr="00E922E5">
              <w:rPr>
                <w:rStyle w:val="AERbody"/>
                <w:sz w:val="16"/>
              </w:rPr>
              <w:t>Assets</w:t>
            </w:r>
          </w:p>
        </w:tc>
      </w:tr>
      <w:tr w:rsidR="00E922E5" w:rsidTr="00E922E5">
        <w:tc>
          <w:tcPr>
            <w:tcW w:w="3060" w:type="dxa"/>
          </w:tcPr>
          <w:p w:rsidR="00E922E5" w:rsidRPr="00E922E5" w:rsidRDefault="00E922E5" w:rsidP="00C1682D">
            <w:pPr>
              <w:pStyle w:val="AERtabletextleft"/>
              <w:rPr>
                <w:rStyle w:val="AERbody"/>
                <w:sz w:val="16"/>
              </w:rPr>
            </w:pPr>
            <w:r w:rsidRPr="00E922E5">
              <w:rPr>
                <w:rStyle w:val="AERbody"/>
                <w:sz w:val="16"/>
              </w:rPr>
              <w:t>Analysis</w:t>
            </w:r>
          </w:p>
        </w:tc>
        <w:tc>
          <w:tcPr>
            <w:tcW w:w="3060" w:type="dxa"/>
          </w:tcPr>
          <w:p w:rsidR="00E922E5" w:rsidRPr="00C1682D" w:rsidRDefault="00E922E5" w:rsidP="00C1682D">
            <w:pPr>
              <w:pStyle w:val="AERtabletextleft"/>
              <w:rPr>
                <w:rStyle w:val="AERbody"/>
                <w:sz w:val="16"/>
              </w:rPr>
            </w:pPr>
            <w:r w:rsidRPr="00C1682D">
              <w:rPr>
                <w:rStyle w:val="AERbody"/>
                <w:sz w:val="16"/>
              </w:rPr>
              <w:t>Amended</w:t>
            </w:r>
          </w:p>
        </w:tc>
        <w:tc>
          <w:tcPr>
            <w:tcW w:w="3060" w:type="dxa"/>
          </w:tcPr>
          <w:p w:rsidR="00E922E5" w:rsidRPr="00E922E5" w:rsidRDefault="00E922E5" w:rsidP="00C1682D">
            <w:pPr>
              <w:pStyle w:val="AERtabletextleft"/>
              <w:rPr>
                <w:rStyle w:val="AERbody"/>
                <w:sz w:val="16"/>
              </w:rPr>
            </w:pPr>
            <w:r w:rsidRPr="00E922E5">
              <w:rPr>
                <w:rStyle w:val="AERbody"/>
                <w:sz w:val="16"/>
              </w:rPr>
              <w:t>Analysis</w:t>
            </w:r>
          </w:p>
        </w:tc>
      </w:tr>
      <w:tr w:rsidR="00E922E5"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E922E5" w:rsidRDefault="00E922E5" w:rsidP="00C1682D">
            <w:pPr>
              <w:pStyle w:val="AERtabletextleft"/>
              <w:rPr>
                <w:rStyle w:val="AERbody"/>
                <w:sz w:val="16"/>
              </w:rPr>
            </w:pPr>
            <w:r w:rsidRPr="00E922E5">
              <w:rPr>
                <w:rStyle w:val="AERbody"/>
                <w:sz w:val="16"/>
              </w:rPr>
              <w:t>Smoothing</w:t>
            </w:r>
          </w:p>
        </w:tc>
        <w:tc>
          <w:tcPr>
            <w:tcW w:w="3060" w:type="dxa"/>
          </w:tcPr>
          <w:p w:rsidR="00E922E5" w:rsidRPr="00C1682D" w:rsidRDefault="00E922E5" w:rsidP="00C1682D">
            <w:pPr>
              <w:pStyle w:val="AERtabletextleft"/>
              <w:rPr>
                <w:rStyle w:val="AERbody"/>
                <w:sz w:val="16"/>
              </w:rPr>
            </w:pPr>
            <w:r w:rsidRPr="00C1682D">
              <w:rPr>
                <w:rStyle w:val="AERbody"/>
                <w:sz w:val="16"/>
              </w:rPr>
              <w:t>Amended and renamed</w:t>
            </w:r>
          </w:p>
        </w:tc>
        <w:tc>
          <w:tcPr>
            <w:tcW w:w="3060" w:type="dxa"/>
          </w:tcPr>
          <w:p w:rsidR="00E922E5" w:rsidRPr="00E922E5" w:rsidRDefault="00E922E5" w:rsidP="00C1682D">
            <w:pPr>
              <w:pStyle w:val="AERtabletextleft"/>
              <w:rPr>
                <w:rStyle w:val="AERbody"/>
                <w:sz w:val="16"/>
              </w:rPr>
            </w:pPr>
            <w:r w:rsidRPr="00E922E5">
              <w:rPr>
                <w:rStyle w:val="AERbody"/>
                <w:sz w:val="16"/>
              </w:rPr>
              <w:t>X factors</w:t>
            </w:r>
          </w:p>
        </w:tc>
      </w:tr>
      <w:tr w:rsidR="00E922E5" w:rsidRPr="00DD72FF" w:rsidTr="00E922E5">
        <w:tc>
          <w:tcPr>
            <w:tcW w:w="3060" w:type="dxa"/>
          </w:tcPr>
          <w:p w:rsidR="00E922E5" w:rsidRPr="00DD72FF" w:rsidRDefault="00E922E5" w:rsidP="00DD72FF">
            <w:pPr>
              <w:pStyle w:val="AERtabletextleft"/>
              <w:rPr>
                <w:rStyle w:val="AERbody"/>
                <w:sz w:val="16"/>
              </w:rPr>
            </w:pPr>
            <w:r w:rsidRPr="00DD72FF">
              <w:rPr>
                <w:rStyle w:val="AERbody"/>
                <w:sz w:val="16"/>
              </w:rPr>
              <w:t xml:space="preserve">Revenue </w:t>
            </w:r>
            <w:r w:rsidR="00DD72FF" w:rsidRPr="00DD72FF">
              <w:rPr>
                <w:rStyle w:val="AERbody"/>
                <w:sz w:val="16"/>
              </w:rPr>
              <w:t>s</w:t>
            </w:r>
            <w:r w:rsidRPr="00DD72FF">
              <w:rPr>
                <w:rStyle w:val="AERbody"/>
                <w:sz w:val="16"/>
              </w:rPr>
              <w:t>ummary</w:t>
            </w:r>
          </w:p>
        </w:tc>
        <w:tc>
          <w:tcPr>
            <w:tcW w:w="3060" w:type="dxa"/>
          </w:tcPr>
          <w:p w:rsidR="00E922E5" w:rsidRPr="00B85426" w:rsidRDefault="00E922E5" w:rsidP="00B85426">
            <w:pPr>
              <w:pStyle w:val="AERtabletextleft"/>
              <w:rPr>
                <w:rStyle w:val="AERbody"/>
                <w:sz w:val="16"/>
              </w:rPr>
            </w:pPr>
            <w:r w:rsidRPr="00B85426">
              <w:rPr>
                <w:rStyle w:val="AERbody"/>
                <w:sz w:val="16"/>
              </w:rPr>
              <w:t>Amended</w:t>
            </w:r>
          </w:p>
        </w:tc>
        <w:tc>
          <w:tcPr>
            <w:tcW w:w="3060" w:type="dxa"/>
          </w:tcPr>
          <w:p w:rsidR="00E922E5" w:rsidRPr="00946F41" w:rsidRDefault="00C1682D" w:rsidP="00C45C91">
            <w:pPr>
              <w:pStyle w:val="AERtabletextleft"/>
              <w:rPr>
                <w:rStyle w:val="AERbody"/>
                <w:sz w:val="16"/>
              </w:rPr>
            </w:pPr>
            <w:r w:rsidRPr="00C45C91">
              <w:rPr>
                <w:rStyle w:val="AERbody"/>
                <w:sz w:val="16"/>
              </w:rPr>
              <w:t xml:space="preserve">Revenue </w:t>
            </w:r>
            <w:r w:rsidRPr="00946F41">
              <w:rPr>
                <w:rStyle w:val="AERbody"/>
                <w:sz w:val="16"/>
              </w:rPr>
              <w:t>s</w:t>
            </w:r>
            <w:r w:rsidR="00E922E5" w:rsidRPr="00946F41">
              <w:rPr>
                <w:rStyle w:val="AERbody"/>
                <w:sz w:val="16"/>
              </w:rPr>
              <w:t>ummary</w:t>
            </w:r>
          </w:p>
        </w:tc>
      </w:tr>
      <w:tr w:rsidR="00E922E5"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E922E5" w:rsidRDefault="00E922E5" w:rsidP="00C1682D">
            <w:pPr>
              <w:pStyle w:val="AERtabletextleft"/>
              <w:rPr>
                <w:rStyle w:val="AERbody"/>
                <w:sz w:val="16"/>
              </w:rPr>
            </w:pPr>
            <w:r w:rsidRPr="00E922E5">
              <w:rPr>
                <w:rStyle w:val="AERbody"/>
                <w:sz w:val="16"/>
              </w:rPr>
              <w:t>Equity raising cost-</w:t>
            </w:r>
            <w:proofErr w:type="spellStart"/>
            <w:r w:rsidRPr="00E922E5">
              <w:rPr>
                <w:rStyle w:val="AERbody"/>
                <w:sz w:val="16"/>
              </w:rPr>
              <w:t>capex</w:t>
            </w:r>
            <w:proofErr w:type="spellEnd"/>
          </w:p>
        </w:tc>
        <w:tc>
          <w:tcPr>
            <w:tcW w:w="3060" w:type="dxa"/>
          </w:tcPr>
          <w:p w:rsidR="00E922E5" w:rsidRPr="00E71317" w:rsidRDefault="00E922E5" w:rsidP="00E71317">
            <w:pPr>
              <w:pStyle w:val="AERtabletextleft"/>
              <w:rPr>
                <w:rStyle w:val="AERbody"/>
                <w:sz w:val="16"/>
              </w:rPr>
            </w:pPr>
            <w:r w:rsidRPr="00E71317">
              <w:rPr>
                <w:rStyle w:val="AERbody"/>
                <w:sz w:val="16"/>
              </w:rPr>
              <w:t>A</w:t>
            </w:r>
            <w:r w:rsidR="00E71317" w:rsidRPr="00231586">
              <w:rPr>
                <w:rStyle w:val="AERbody"/>
                <w:sz w:val="16"/>
              </w:rPr>
              <w:t>men</w:t>
            </w:r>
            <w:r w:rsidRPr="00E71317">
              <w:rPr>
                <w:rStyle w:val="AERbody"/>
                <w:sz w:val="16"/>
              </w:rPr>
              <w:t>ded and renamed</w:t>
            </w:r>
          </w:p>
        </w:tc>
        <w:tc>
          <w:tcPr>
            <w:tcW w:w="3060" w:type="dxa"/>
          </w:tcPr>
          <w:p w:rsidR="00E922E5" w:rsidRPr="00E922E5" w:rsidRDefault="00E922E5" w:rsidP="00C1682D">
            <w:pPr>
              <w:pStyle w:val="AERtabletextleft"/>
              <w:rPr>
                <w:rStyle w:val="AERbody"/>
                <w:sz w:val="16"/>
              </w:rPr>
            </w:pPr>
            <w:r w:rsidRPr="00E922E5">
              <w:rPr>
                <w:rStyle w:val="AERbody"/>
                <w:sz w:val="16"/>
              </w:rPr>
              <w:t>Equity raising cost</w:t>
            </w:r>
          </w:p>
        </w:tc>
      </w:tr>
      <w:tr w:rsidR="00E922E5" w:rsidTr="00E922E5">
        <w:tc>
          <w:tcPr>
            <w:tcW w:w="3060" w:type="dxa"/>
          </w:tcPr>
          <w:p w:rsidR="00E922E5" w:rsidRPr="00E922E5" w:rsidRDefault="00E922E5" w:rsidP="00C1682D">
            <w:pPr>
              <w:pStyle w:val="AERtabletextleft"/>
              <w:rPr>
                <w:rStyle w:val="AERbody"/>
                <w:sz w:val="16"/>
              </w:rPr>
            </w:pPr>
            <w:r w:rsidRPr="00E922E5">
              <w:rPr>
                <w:rStyle w:val="AERbody"/>
                <w:sz w:val="16"/>
              </w:rPr>
              <w:t>Price path (nominal)</w:t>
            </w:r>
          </w:p>
        </w:tc>
        <w:tc>
          <w:tcPr>
            <w:tcW w:w="3060" w:type="dxa"/>
          </w:tcPr>
          <w:p w:rsidR="00E922E5" w:rsidRPr="00C1682D" w:rsidRDefault="00E922E5" w:rsidP="00C1682D">
            <w:pPr>
              <w:pStyle w:val="AERtabletextleft"/>
              <w:rPr>
                <w:rStyle w:val="AERbody"/>
                <w:sz w:val="16"/>
              </w:rPr>
            </w:pPr>
            <w:r w:rsidRPr="00C1682D">
              <w:rPr>
                <w:rStyle w:val="AERbody"/>
                <w:sz w:val="16"/>
              </w:rPr>
              <w:t>Removed</w:t>
            </w:r>
          </w:p>
        </w:tc>
        <w:tc>
          <w:tcPr>
            <w:tcW w:w="3060" w:type="dxa"/>
          </w:tcPr>
          <w:p w:rsidR="00E922E5" w:rsidRPr="00E71317" w:rsidRDefault="002F4557" w:rsidP="002F4557">
            <w:pPr>
              <w:pStyle w:val="AERtabletextleft"/>
              <w:rPr>
                <w:rStyle w:val="AERbody"/>
                <w:sz w:val="16"/>
              </w:rPr>
            </w:pPr>
            <w:r w:rsidRPr="002F4557">
              <w:rPr>
                <w:rStyle w:val="AERbody"/>
                <w:sz w:val="16"/>
              </w:rPr>
              <w:t>Moved to</w:t>
            </w:r>
            <w:r w:rsidR="00E71317" w:rsidRPr="002F4557">
              <w:rPr>
                <w:rStyle w:val="AERbody"/>
                <w:sz w:val="16"/>
              </w:rPr>
              <w:t xml:space="preserve"> Revenue</w:t>
            </w:r>
            <w:r w:rsidR="00E71317" w:rsidRPr="00231586">
              <w:rPr>
                <w:rStyle w:val="AERbody"/>
                <w:sz w:val="16"/>
              </w:rPr>
              <w:t xml:space="preserve"> summary</w:t>
            </w:r>
          </w:p>
        </w:tc>
      </w:tr>
      <w:tr w:rsidR="00E922E5"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E922E5" w:rsidRDefault="00E922E5" w:rsidP="00C1682D">
            <w:pPr>
              <w:pStyle w:val="AERtabletextleft"/>
              <w:rPr>
                <w:rStyle w:val="AERbody"/>
                <w:sz w:val="16"/>
              </w:rPr>
            </w:pPr>
            <w:r w:rsidRPr="00E922E5">
              <w:rPr>
                <w:rStyle w:val="AERbody"/>
                <w:sz w:val="16"/>
              </w:rPr>
              <w:t>Price path (real)</w:t>
            </w:r>
          </w:p>
        </w:tc>
        <w:tc>
          <w:tcPr>
            <w:tcW w:w="3060" w:type="dxa"/>
          </w:tcPr>
          <w:p w:rsidR="00E922E5" w:rsidRPr="00C1682D" w:rsidRDefault="00E922E5" w:rsidP="00C1682D">
            <w:pPr>
              <w:pStyle w:val="AERtabletextleft"/>
              <w:rPr>
                <w:rStyle w:val="AERbody"/>
                <w:sz w:val="16"/>
              </w:rPr>
            </w:pPr>
            <w:r w:rsidRPr="00C1682D">
              <w:rPr>
                <w:rStyle w:val="AERbody"/>
                <w:sz w:val="16"/>
              </w:rPr>
              <w:t>Removed</w:t>
            </w:r>
          </w:p>
        </w:tc>
        <w:tc>
          <w:tcPr>
            <w:tcW w:w="3060" w:type="dxa"/>
          </w:tcPr>
          <w:p w:rsidR="00E922E5" w:rsidRPr="002F4557" w:rsidRDefault="002F4557" w:rsidP="002F4557">
            <w:pPr>
              <w:pStyle w:val="AERtabletextleft"/>
              <w:rPr>
                <w:rStyle w:val="AERbody"/>
                <w:sz w:val="16"/>
              </w:rPr>
            </w:pPr>
            <w:r w:rsidRPr="002F4557">
              <w:rPr>
                <w:rStyle w:val="AERbody"/>
                <w:sz w:val="16"/>
              </w:rPr>
              <w:t>Moved to Revenue summary</w:t>
            </w:r>
          </w:p>
        </w:tc>
      </w:tr>
      <w:tr w:rsidR="00E922E5" w:rsidTr="00E922E5">
        <w:tc>
          <w:tcPr>
            <w:tcW w:w="3060" w:type="dxa"/>
          </w:tcPr>
          <w:p w:rsidR="00E922E5" w:rsidRPr="00E922E5" w:rsidRDefault="00E922E5" w:rsidP="00C1682D">
            <w:pPr>
              <w:pStyle w:val="AERtabletextleft"/>
              <w:rPr>
                <w:rStyle w:val="AERbody"/>
                <w:sz w:val="16"/>
              </w:rPr>
            </w:pPr>
            <w:r w:rsidRPr="00E922E5">
              <w:rPr>
                <w:rStyle w:val="AERbody"/>
                <w:sz w:val="16"/>
              </w:rPr>
              <w:t>Chart 1-Revenues</w:t>
            </w:r>
          </w:p>
        </w:tc>
        <w:tc>
          <w:tcPr>
            <w:tcW w:w="3060" w:type="dxa"/>
          </w:tcPr>
          <w:p w:rsidR="00E922E5" w:rsidRPr="00C1682D" w:rsidRDefault="00E922E5" w:rsidP="00C1682D">
            <w:pPr>
              <w:pStyle w:val="AERtabletextleft"/>
              <w:rPr>
                <w:rStyle w:val="AERbody"/>
                <w:sz w:val="16"/>
              </w:rPr>
            </w:pPr>
            <w:r w:rsidRPr="00C1682D">
              <w:rPr>
                <w:rStyle w:val="AERbody"/>
                <w:sz w:val="16"/>
              </w:rPr>
              <w:t>Minor changes</w:t>
            </w:r>
            <w:r w:rsidR="00C1682D" w:rsidRPr="00C1682D">
              <w:rPr>
                <w:rStyle w:val="AERbody"/>
                <w:sz w:val="16"/>
              </w:rPr>
              <w:t xml:space="preserve"> only</w:t>
            </w:r>
          </w:p>
        </w:tc>
        <w:tc>
          <w:tcPr>
            <w:tcW w:w="3060" w:type="dxa"/>
          </w:tcPr>
          <w:p w:rsidR="00E922E5" w:rsidRPr="00E922E5" w:rsidRDefault="00E922E5" w:rsidP="00C1682D">
            <w:pPr>
              <w:pStyle w:val="AERtabletextleft"/>
              <w:rPr>
                <w:rStyle w:val="AERbody"/>
                <w:sz w:val="16"/>
              </w:rPr>
            </w:pPr>
            <w:r w:rsidRPr="00E922E5">
              <w:rPr>
                <w:rStyle w:val="AERbody"/>
                <w:sz w:val="16"/>
              </w:rPr>
              <w:t>Chart 1-Revenues</w:t>
            </w:r>
          </w:p>
        </w:tc>
      </w:tr>
      <w:tr w:rsidR="00E922E5"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E922E5" w:rsidRDefault="00E922E5" w:rsidP="00C1682D">
            <w:pPr>
              <w:pStyle w:val="AERtabletextleft"/>
              <w:rPr>
                <w:rStyle w:val="AERbody"/>
                <w:sz w:val="16"/>
              </w:rPr>
            </w:pPr>
            <w:r w:rsidRPr="00E922E5">
              <w:rPr>
                <w:rStyle w:val="AERbody"/>
                <w:sz w:val="16"/>
              </w:rPr>
              <w:t>Chart 2-Price path</w:t>
            </w:r>
          </w:p>
        </w:tc>
        <w:tc>
          <w:tcPr>
            <w:tcW w:w="3060" w:type="dxa"/>
          </w:tcPr>
          <w:p w:rsidR="00E922E5" w:rsidRPr="00C1682D" w:rsidRDefault="00E922E5" w:rsidP="00C1682D">
            <w:pPr>
              <w:pStyle w:val="AERtabletextleft"/>
              <w:rPr>
                <w:rStyle w:val="AERbody"/>
                <w:sz w:val="16"/>
              </w:rPr>
            </w:pPr>
            <w:r w:rsidRPr="00C1682D">
              <w:rPr>
                <w:rStyle w:val="AERbody"/>
                <w:sz w:val="16"/>
              </w:rPr>
              <w:t>Minor changes</w:t>
            </w:r>
            <w:r w:rsidR="00C1682D" w:rsidRPr="00C1682D">
              <w:rPr>
                <w:rStyle w:val="AERbody"/>
                <w:sz w:val="16"/>
              </w:rPr>
              <w:t xml:space="preserve"> only</w:t>
            </w:r>
          </w:p>
        </w:tc>
        <w:tc>
          <w:tcPr>
            <w:tcW w:w="3060" w:type="dxa"/>
          </w:tcPr>
          <w:p w:rsidR="00E922E5" w:rsidRPr="00E922E5" w:rsidRDefault="00E922E5" w:rsidP="00C1682D">
            <w:pPr>
              <w:pStyle w:val="AERtabletextleft"/>
              <w:rPr>
                <w:rStyle w:val="AERbody"/>
                <w:sz w:val="16"/>
              </w:rPr>
            </w:pPr>
            <w:r w:rsidRPr="00E922E5">
              <w:rPr>
                <w:rStyle w:val="AERbody"/>
                <w:sz w:val="16"/>
              </w:rPr>
              <w:t>Chart 2-Price path</w:t>
            </w:r>
          </w:p>
        </w:tc>
      </w:tr>
      <w:tr w:rsidR="00E922E5" w:rsidRPr="00C1682D" w:rsidTr="00E922E5">
        <w:tc>
          <w:tcPr>
            <w:tcW w:w="3060" w:type="dxa"/>
          </w:tcPr>
          <w:p w:rsidR="00E922E5" w:rsidRPr="00C1682D" w:rsidRDefault="00E922E5" w:rsidP="00766B0C">
            <w:pPr>
              <w:pStyle w:val="AERtabletextleft"/>
              <w:rPr>
                <w:rStyle w:val="AERbody"/>
                <w:sz w:val="16"/>
              </w:rPr>
            </w:pPr>
            <w:r w:rsidRPr="00C1682D">
              <w:rPr>
                <w:rStyle w:val="AERbody"/>
                <w:sz w:val="16"/>
              </w:rPr>
              <w:t xml:space="preserve">Chart </w:t>
            </w:r>
            <w:r w:rsidRPr="00766B0C">
              <w:rPr>
                <w:rStyle w:val="AERbody"/>
                <w:sz w:val="16"/>
              </w:rPr>
              <w:t>3</w:t>
            </w:r>
            <w:r w:rsidRPr="00C1682D">
              <w:rPr>
                <w:rStyle w:val="AERbody"/>
                <w:sz w:val="16"/>
              </w:rPr>
              <w:t>-Building block</w:t>
            </w:r>
            <w:r w:rsidR="00C1682D" w:rsidRPr="00C1682D">
              <w:rPr>
                <w:rStyle w:val="AERbody"/>
                <w:sz w:val="16"/>
              </w:rPr>
              <w:t>s</w:t>
            </w:r>
          </w:p>
        </w:tc>
        <w:tc>
          <w:tcPr>
            <w:tcW w:w="3060" w:type="dxa"/>
          </w:tcPr>
          <w:p w:rsidR="00E922E5" w:rsidRPr="00C1682D" w:rsidRDefault="00E922E5" w:rsidP="00C1682D">
            <w:pPr>
              <w:pStyle w:val="AERtabletextleft"/>
              <w:rPr>
                <w:rStyle w:val="AERbody"/>
                <w:sz w:val="16"/>
              </w:rPr>
            </w:pPr>
            <w:r w:rsidRPr="00C1682D">
              <w:rPr>
                <w:rStyle w:val="AERbody"/>
                <w:sz w:val="16"/>
              </w:rPr>
              <w:t>Minor changes</w:t>
            </w:r>
            <w:r w:rsidR="00C1682D" w:rsidRPr="00C1682D">
              <w:rPr>
                <w:rStyle w:val="AERbody"/>
                <w:sz w:val="16"/>
              </w:rPr>
              <w:t xml:space="preserve"> only</w:t>
            </w:r>
          </w:p>
        </w:tc>
        <w:tc>
          <w:tcPr>
            <w:tcW w:w="3060" w:type="dxa"/>
          </w:tcPr>
          <w:p w:rsidR="00E922E5" w:rsidRPr="00C1682D" w:rsidRDefault="00E922E5" w:rsidP="00C1682D">
            <w:pPr>
              <w:pStyle w:val="AERtabletextleft"/>
              <w:rPr>
                <w:rStyle w:val="AERbody"/>
                <w:sz w:val="16"/>
              </w:rPr>
            </w:pPr>
            <w:r w:rsidRPr="00C1682D">
              <w:rPr>
                <w:rStyle w:val="AERbody"/>
                <w:sz w:val="16"/>
              </w:rPr>
              <w:t>Chart 3-Building block</w:t>
            </w:r>
            <w:r w:rsidR="00C1682D" w:rsidRPr="00C1682D">
              <w:rPr>
                <w:rStyle w:val="AERbody"/>
                <w:sz w:val="16"/>
              </w:rPr>
              <w:t>s</w:t>
            </w:r>
          </w:p>
        </w:tc>
      </w:tr>
    </w:tbl>
    <w:p w:rsidR="00E922E5" w:rsidRDefault="00E922E5" w:rsidP="00E922E5">
      <w:pPr>
        <w:pStyle w:val="AERbodytext"/>
        <w:numPr>
          <w:ilvl w:val="0"/>
          <w:numId w:val="9"/>
        </w:numPr>
        <w:rPr>
          <w:rStyle w:val="AERbody"/>
        </w:rPr>
      </w:pPr>
    </w:p>
    <w:p w:rsidR="00491692" w:rsidRDefault="00B4437A" w:rsidP="00491692">
      <w:pPr>
        <w:pStyle w:val="AERbodytext"/>
        <w:numPr>
          <w:ilvl w:val="0"/>
          <w:numId w:val="0"/>
        </w:numPr>
      </w:pPr>
      <w:r w:rsidRPr="00B4437A">
        <w:t xml:space="preserve">The </w:t>
      </w:r>
      <w:r w:rsidR="008D7CC1">
        <w:t xml:space="preserve">proposed </w:t>
      </w:r>
      <w:r w:rsidRPr="00B4437A">
        <w:t>amended PTRM</w:t>
      </w:r>
      <w:r w:rsidR="00BC25AF">
        <w:t>s</w:t>
      </w:r>
      <w:r w:rsidRPr="00B4437A">
        <w:t xml:space="preserve"> </w:t>
      </w:r>
      <w:r w:rsidR="00BC25AF">
        <w:t>are</w:t>
      </w:r>
      <w:r w:rsidRPr="00B4437A">
        <w:t xml:space="preserve"> at appendi</w:t>
      </w:r>
      <w:r w:rsidR="008D7CC1">
        <w:t>ces</w:t>
      </w:r>
      <w:r w:rsidRPr="00B4437A">
        <w:t xml:space="preserve"> A and</w:t>
      </w:r>
      <w:r w:rsidR="00BC25AF">
        <w:t xml:space="preserve"> B for TNSP</w:t>
      </w:r>
      <w:r w:rsidR="004F11F4">
        <w:t>s</w:t>
      </w:r>
      <w:r w:rsidR="00BC25AF">
        <w:t xml:space="preserve"> and DNSPs respectively. The </w:t>
      </w:r>
      <w:r w:rsidR="008D7CC1">
        <w:t xml:space="preserve">proposed </w:t>
      </w:r>
      <w:r w:rsidR="00BC25AF">
        <w:t>amended handbooks are at appendi</w:t>
      </w:r>
      <w:r w:rsidR="008D7CC1">
        <w:t>ces</w:t>
      </w:r>
      <w:r w:rsidR="00BC25AF">
        <w:t xml:space="preserve"> C and D for TNSPs and DNSPs respectively</w:t>
      </w:r>
      <w:r w:rsidRPr="00B4437A">
        <w:t>.</w:t>
      </w:r>
    </w:p>
    <w:p w:rsidR="00746797" w:rsidRPr="00746797" w:rsidRDefault="00746797" w:rsidP="00746797">
      <w:pPr>
        <w:pStyle w:val="Heading2"/>
      </w:pPr>
      <w:bookmarkStart w:id="29" w:name="_Toc395861696"/>
      <w:bookmarkStart w:id="30" w:name="_Toc400025130"/>
      <w:r>
        <w:t>Background</w:t>
      </w:r>
      <w:bookmarkEnd w:id="29"/>
      <w:bookmarkEnd w:id="30"/>
    </w:p>
    <w:p w:rsidR="00746797" w:rsidRPr="00746797" w:rsidRDefault="00746797" w:rsidP="00746797">
      <w:r>
        <w:t xml:space="preserve">In November 2012, the </w:t>
      </w:r>
      <w:r w:rsidR="00BC25AF">
        <w:t>AEMC</w:t>
      </w:r>
      <w:r w:rsidRPr="00746797">
        <w:t xml:space="preserve"> amended the </w:t>
      </w:r>
      <w:r w:rsidR="005A7FD7">
        <w:t>rules</w:t>
      </w:r>
      <w:r w:rsidR="00176C19">
        <w:t xml:space="preserve"> that determine how the AER</w:t>
      </w:r>
      <w:r w:rsidRPr="00746797">
        <w:t xml:space="preserve"> sets the revenues for regulated electricity</w:t>
      </w:r>
      <w:r w:rsidR="005A7FD7">
        <w:t xml:space="preserve"> and</w:t>
      </w:r>
      <w:r w:rsidRPr="00746797">
        <w:t xml:space="preserve"> </w:t>
      </w:r>
      <w:r w:rsidR="008D7CC1">
        <w:t xml:space="preserve">gas </w:t>
      </w:r>
      <w:r w:rsidRPr="00746797">
        <w:t>networks.</w:t>
      </w:r>
      <w:r w:rsidRPr="00746797">
        <w:rPr>
          <w:rStyle w:val="FootnoteReference"/>
        </w:rPr>
        <w:footnoteReference w:id="18"/>
      </w:r>
      <w:r w:rsidRPr="00746797">
        <w:t xml:space="preserve"> In particular, the new rules change the way we establish the rate of return on capital, a key determinant of regulated revenues.</w:t>
      </w:r>
      <w:r w:rsidRPr="00746797">
        <w:rPr>
          <w:rStyle w:val="FootnoteReference"/>
        </w:rPr>
        <w:footnoteReference w:id="19"/>
      </w:r>
      <w:r w:rsidRPr="00746797">
        <w:t xml:space="preserve"> </w:t>
      </w:r>
      <w:r w:rsidR="00BD0308">
        <w:t>The</w:t>
      </w:r>
      <w:r w:rsidR="00855566">
        <w:t>se</w:t>
      </w:r>
      <w:r w:rsidR="00BD0308">
        <w:t xml:space="preserve"> rules also introduced the prospect of revenue adjustments </w:t>
      </w:r>
      <w:r w:rsidR="00855566">
        <w:t xml:space="preserve">(decrement) </w:t>
      </w:r>
      <w:r w:rsidR="00BD0308">
        <w:t xml:space="preserve">for </w:t>
      </w:r>
      <w:r w:rsidR="00855566">
        <w:t>shared</w:t>
      </w:r>
      <w:r w:rsidR="00BD0308">
        <w:t xml:space="preserve"> assets.</w:t>
      </w:r>
      <w:r w:rsidR="00BD0308">
        <w:rPr>
          <w:rStyle w:val="FootnoteReference"/>
        </w:rPr>
        <w:footnoteReference w:id="20"/>
      </w:r>
    </w:p>
    <w:p w:rsidR="00746797" w:rsidRPr="00746797" w:rsidRDefault="00746797" w:rsidP="00746797">
      <w:r>
        <w:t xml:space="preserve">In December 2013, </w:t>
      </w:r>
      <w:r w:rsidR="00296807">
        <w:t xml:space="preserve">we published our </w:t>
      </w:r>
      <w:r w:rsidR="005A7FD7" w:rsidRPr="00B636DA">
        <w:rPr>
          <w:rStyle w:val="AERtextitalic"/>
        </w:rPr>
        <w:t>R</w:t>
      </w:r>
      <w:r w:rsidRPr="00B636DA">
        <w:rPr>
          <w:rStyle w:val="AERtextitalic"/>
        </w:rPr>
        <w:t xml:space="preserve">ate of return guideline </w:t>
      </w:r>
      <w:r w:rsidRPr="00746797">
        <w:t>(guideline), which sets out how we intend to implement the new rules</w:t>
      </w:r>
      <w:r w:rsidR="00A310C1">
        <w:t xml:space="preserve"> relating to rates of return</w:t>
      </w:r>
      <w:r w:rsidRPr="00746797">
        <w:t>.</w:t>
      </w:r>
      <w:r w:rsidRPr="00746797">
        <w:rPr>
          <w:rStyle w:val="FootnoteReference"/>
        </w:rPr>
        <w:footnoteReference w:id="21"/>
      </w:r>
      <w:r w:rsidRPr="00746797">
        <w:t xml:space="preserve"> This guideline reflects extensive consultation with stakeholders on the changes to the determination of the rate of return within the rules.</w:t>
      </w:r>
      <w:r w:rsidRPr="00746797">
        <w:rPr>
          <w:rStyle w:val="FootnoteReference"/>
        </w:rPr>
        <w:footnoteReference w:id="22"/>
      </w:r>
      <w:r w:rsidRPr="00746797">
        <w:t xml:space="preserve"> There are two principal components of the return on capital</w:t>
      </w:r>
      <w:r w:rsidR="00B91D79">
        <w:t>,</w:t>
      </w:r>
      <w:r w:rsidRPr="00746797">
        <w:t xml:space="preserve"> also referred to as the weighted avera</w:t>
      </w:r>
      <w:r w:rsidR="005F3A5A">
        <w:t>ge cost of capital (</w:t>
      </w:r>
      <w:r w:rsidRPr="00746797">
        <w:t>WACC</w:t>
      </w:r>
      <w:r w:rsidR="005F3A5A">
        <w:t>)</w:t>
      </w:r>
      <w:r w:rsidRPr="00746797">
        <w:t>—the return on equity and the return on debt. The guideline states:</w:t>
      </w:r>
    </w:p>
    <w:p w:rsidR="00AC677B" w:rsidRPr="00746797" w:rsidRDefault="00746797" w:rsidP="005F3A5A">
      <w:pPr>
        <w:pStyle w:val="AERbulletlistfirststyle"/>
      </w:pPr>
      <w:r>
        <w:lastRenderedPageBreak/>
        <w:t>The return on equity will be determined with regard to a broad range of information that includes different financial models.</w:t>
      </w:r>
      <w:r w:rsidRPr="00746797">
        <w:rPr>
          <w:rStyle w:val="FootnoteReference"/>
        </w:rPr>
        <w:footnoteReference w:id="23"/>
      </w:r>
      <w:r w:rsidRPr="00746797">
        <w:t xml:space="preserve"> Previously, the AER set the return on equity using one particular model—the cap</w:t>
      </w:r>
      <w:r w:rsidR="005F3A5A">
        <w:t>ital asset pricing model (CAPM).</w:t>
      </w:r>
    </w:p>
    <w:p w:rsidR="00746797" w:rsidRDefault="00746797" w:rsidP="00296807">
      <w:pPr>
        <w:pStyle w:val="AERbulletlistfirststyle"/>
      </w:pPr>
      <w:r>
        <w:t xml:space="preserve">The return on debt will be estimated using a trailing average portfolio approach, with annual updates within the regulatory </w:t>
      </w:r>
      <w:r w:rsidRPr="00746797">
        <w:t>control period that reflect changes in debt costs.</w:t>
      </w:r>
      <w:r w:rsidRPr="00746797">
        <w:rPr>
          <w:rStyle w:val="FootnoteReference"/>
        </w:rPr>
        <w:footnoteReference w:id="24"/>
      </w:r>
      <w:r w:rsidRPr="00746797">
        <w:t xml:space="preserve"> Previously, the AER used an ‘on-the-day’ approach, which fixed the return on debt at the start of the regulatory control period.</w:t>
      </w:r>
      <w:r w:rsidRPr="00746797">
        <w:rPr>
          <w:rStyle w:val="FootnoteReference"/>
        </w:rPr>
        <w:footnoteReference w:id="25"/>
      </w:r>
      <w:r w:rsidR="00296807">
        <w:t xml:space="preserve"> The value was therefore adopted for the entirety of the regulatory control period.</w:t>
      </w:r>
    </w:p>
    <w:p w:rsidR="00354723" w:rsidRDefault="00354723" w:rsidP="00354723">
      <w:pPr>
        <w:pStyle w:val="AERbulletlistfirststyle"/>
        <w:numPr>
          <w:ilvl w:val="0"/>
          <w:numId w:val="0"/>
        </w:numPr>
      </w:pPr>
      <w:r>
        <w:t xml:space="preserve">In May 2014, we undertook </w:t>
      </w:r>
      <w:r w:rsidR="00372E7E">
        <w:t xml:space="preserve">preliminary </w:t>
      </w:r>
      <w:r>
        <w:t xml:space="preserve">consultation with various NSPs and industry bodies. We provided example </w:t>
      </w:r>
      <w:r w:rsidR="00B91D79">
        <w:t>TNSP</w:t>
      </w:r>
      <w:r w:rsidR="004C01C2">
        <w:t>/DNSP</w:t>
      </w:r>
      <w:r w:rsidR="00B91D79">
        <w:t xml:space="preserve"> </w:t>
      </w:r>
      <w:r>
        <w:t>PTRM</w:t>
      </w:r>
      <w:r w:rsidR="004C01C2">
        <w:t>s</w:t>
      </w:r>
      <w:r>
        <w:t xml:space="preserve"> that included the most significant changes we propose, as discussed below. Their responses are also discussed below.</w:t>
      </w:r>
    </w:p>
    <w:p w:rsidR="007621C8" w:rsidRDefault="007621C8" w:rsidP="007621C8">
      <w:pPr>
        <w:pStyle w:val="Heading2"/>
      </w:pPr>
      <w:bookmarkStart w:id="31" w:name="_Toc395861697"/>
      <w:bookmarkStart w:id="32" w:name="_Toc400025131"/>
      <w:r>
        <w:t>Changes</w:t>
      </w:r>
      <w:r w:rsidR="008D7CC1">
        <w:t xml:space="preserve"> to the PTRM</w:t>
      </w:r>
      <w:bookmarkEnd w:id="31"/>
      <w:bookmarkEnd w:id="32"/>
    </w:p>
    <w:p w:rsidR="00F05AA7" w:rsidRDefault="000C4F08" w:rsidP="00F05AA7">
      <w:pPr>
        <w:pStyle w:val="AERbodytext"/>
      </w:pPr>
      <w:r>
        <w:t>The</w:t>
      </w:r>
      <w:r w:rsidR="00296807">
        <w:t xml:space="preserve"> changes</w:t>
      </w:r>
      <w:r w:rsidR="007621C8">
        <w:t xml:space="preserve"> due to the guideline</w:t>
      </w:r>
      <w:r w:rsidR="00296807">
        <w:t xml:space="preserve"> have implications for the return on capital calculation</w:t>
      </w:r>
      <w:r w:rsidR="002D39BF">
        <w:t>s</w:t>
      </w:r>
      <w:r w:rsidR="00296807">
        <w:t xml:space="preserve"> and a number of consequential impacts </w:t>
      </w:r>
      <w:r w:rsidR="009E4BA9">
        <w:t>for</w:t>
      </w:r>
      <w:r w:rsidR="00296807">
        <w:t xml:space="preserve"> other outputs of the PTRM such as the X factors.</w:t>
      </w:r>
      <w:r w:rsidR="00F05AA7">
        <w:t xml:space="preserve"> The changes are</w:t>
      </w:r>
      <w:r w:rsidR="007621C8">
        <w:t xml:space="preserve"> </w:t>
      </w:r>
      <w:r w:rsidR="00F05AA7">
        <w:t xml:space="preserve">discussed </w:t>
      </w:r>
      <w:r w:rsidR="007621C8">
        <w:t>in detail</w:t>
      </w:r>
      <w:r w:rsidR="00F05AA7">
        <w:t xml:space="preserve"> </w:t>
      </w:r>
      <w:r w:rsidR="00BE5C92">
        <w:t>below</w:t>
      </w:r>
      <w:r>
        <w:t>. We have also taken the opportunity to make a few</w:t>
      </w:r>
      <w:r w:rsidR="00F05AA7">
        <w:t xml:space="preserve"> minor presentational changes</w:t>
      </w:r>
      <w:r>
        <w:t xml:space="preserve"> to improve clarity</w:t>
      </w:r>
      <w:r w:rsidR="00F05AA7">
        <w:t>.</w:t>
      </w:r>
      <w:r w:rsidR="00F05AA7" w:rsidRPr="00F05AA7">
        <w:t xml:space="preserve"> </w:t>
      </w:r>
      <w:r>
        <w:t>These changes are also discussed below.</w:t>
      </w:r>
    </w:p>
    <w:p w:rsidR="00BE5C92" w:rsidRPr="00BE5C92" w:rsidRDefault="00BE5C92" w:rsidP="00BE5C92">
      <w:pPr>
        <w:pStyle w:val="AERbodytext"/>
        <w:numPr>
          <w:ilvl w:val="0"/>
          <w:numId w:val="9"/>
        </w:numPr>
      </w:pPr>
      <w:r w:rsidRPr="00BE5C92">
        <w:t xml:space="preserve">The </w:t>
      </w:r>
      <w:r w:rsidR="00FE68B5">
        <w:t>proposed</w:t>
      </w:r>
      <w:r w:rsidRPr="00BE5C92">
        <w:t xml:space="preserve"> </w:t>
      </w:r>
      <w:r w:rsidR="00FE68B5">
        <w:t>amend</w:t>
      </w:r>
      <w:r w:rsidR="004C01C2">
        <w:t>ments to the</w:t>
      </w:r>
      <w:r w:rsidR="00FE68B5">
        <w:t xml:space="preserve"> </w:t>
      </w:r>
      <w:r w:rsidRPr="00BE5C92">
        <w:t xml:space="preserve">PTRMs </w:t>
      </w:r>
      <w:r w:rsidR="007F63FB">
        <w:t>were made with the following aims</w:t>
      </w:r>
      <w:r w:rsidRPr="00BE5C92">
        <w:t>:</w:t>
      </w:r>
    </w:p>
    <w:p w:rsidR="00BE5C92" w:rsidRPr="00BE5C92" w:rsidRDefault="00567F77" w:rsidP="00BE5C92">
      <w:pPr>
        <w:pStyle w:val="AERbulletlistfirststyle"/>
      </w:pPr>
      <w:r>
        <w:t>Minimise</w:t>
      </w:r>
      <w:r w:rsidR="00BE5C92" w:rsidRPr="00BE5C92">
        <w:t xml:space="preserve"> changes. Wherever possible, we have attempted to make minimal functional changes necessary to bring the guideline approach</w:t>
      </w:r>
      <w:r w:rsidR="00331201">
        <w:t xml:space="preserve"> </w:t>
      </w:r>
      <w:r w:rsidR="00331201" w:rsidRPr="00BE5C92">
        <w:t>into effect</w:t>
      </w:r>
      <w:r w:rsidR="00BE5C92" w:rsidRPr="00BE5C92">
        <w:t xml:space="preserve">.  </w:t>
      </w:r>
    </w:p>
    <w:p w:rsidR="00BE5C92" w:rsidRPr="00BE5C92" w:rsidRDefault="00BE5C92" w:rsidP="00BE5C92">
      <w:pPr>
        <w:pStyle w:val="AERbulletlistfirststyle"/>
      </w:pPr>
      <w:r w:rsidRPr="00BE5C92">
        <w:t xml:space="preserve">Applying the guideline. The PTRM seeks to fully implement the AER’s return on capital approach, as set out in the guideline. </w:t>
      </w:r>
    </w:p>
    <w:p w:rsidR="00BE5C92" w:rsidRPr="00BE5C92" w:rsidRDefault="00BE5C92" w:rsidP="00BE5C92">
      <w:pPr>
        <w:pStyle w:val="AERbulletlistfirststyle"/>
      </w:pPr>
      <w:r w:rsidRPr="00BE5C92">
        <w:t xml:space="preserve">Include user guidance. The PTRM includes various comments and labels to guide the user. This is particularly the case </w:t>
      </w:r>
      <w:r w:rsidR="004C01C2">
        <w:t>for implementing</w:t>
      </w:r>
      <w:r w:rsidRPr="00BE5C92">
        <w:t xml:space="preserve"> the new annual return on debt update.</w:t>
      </w:r>
    </w:p>
    <w:p w:rsidR="00BE5C92" w:rsidRDefault="00BE5C92" w:rsidP="00BE5C92">
      <w:pPr>
        <w:pStyle w:val="AERbulletlistfirststyle"/>
      </w:pPr>
      <w:r w:rsidRPr="00BE5C92">
        <w:t xml:space="preserve">Minimise WACC modelling in the PTRM. The PTRM is designed to have as inputs the ‘final’ return on equity and </w:t>
      </w:r>
      <w:r w:rsidR="00E03824">
        <w:t xml:space="preserve">return on </w:t>
      </w:r>
      <w:r w:rsidRPr="00BE5C92">
        <w:t>debt values. This process does not set out the derivation of those values, which is not directl</w:t>
      </w:r>
      <w:r>
        <w:t>y required for the PTRM itself.</w:t>
      </w:r>
    </w:p>
    <w:p w:rsidR="00F05AA7" w:rsidRDefault="007F63FB" w:rsidP="00F05AA7">
      <w:pPr>
        <w:pStyle w:val="AERbodytext"/>
      </w:pPr>
      <w:r>
        <w:t>Guidance on i</w:t>
      </w:r>
      <w:r w:rsidR="00F05AA7" w:rsidRPr="00F05AA7">
        <w:t xml:space="preserve">mplementing the annual </w:t>
      </w:r>
      <w:r w:rsidR="004850EF">
        <w:t xml:space="preserve">return on debt </w:t>
      </w:r>
      <w:r w:rsidR="00F05AA7" w:rsidRPr="00F05AA7">
        <w:t xml:space="preserve">update is </w:t>
      </w:r>
      <w:r>
        <w:t xml:space="preserve">set out </w:t>
      </w:r>
      <w:r w:rsidR="00F05AA7" w:rsidRPr="00F05AA7">
        <w:t xml:space="preserve">in the </w:t>
      </w:r>
      <w:r w:rsidR="004850EF">
        <w:t xml:space="preserve">TNSP/DNSP </w:t>
      </w:r>
      <w:r w:rsidR="00F05AA7" w:rsidRPr="00F05AA7">
        <w:t>PTRM handbooks.</w:t>
      </w:r>
    </w:p>
    <w:p w:rsidR="00746797" w:rsidRPr="00746797" w:rsidRDefault="00746797" w:rsidP="006C1FE2">
      <w:pPr>
        <w:pStyle w:val="Heading3"/>
      </w:pPr>
      <w:bookmarkStart w:id="33" w:name="_Toc400025132"/>
      <w:r>
        <w:t>Return on equity changes</w:t>
      </w:r>
      <w:bookmarkEnd w:id="33"/>
    </w:p>
    <w:p w:rsidR="00745618" w:rsidRDefault="00746797" w:rsidP="00745618">
      <w:r>
        <w:t xml:space="preserve">The changes specifically related to the return on equity are relatively </w:t>
      </w:r>
      <w:r w:rsidR="00745618">
        <w:t xml:space="preserve">minor. </w:t>
      </w:r>
      <w:r>
        <w:t>The return on equity is no longer calculated</w:t>
      </w:r>
      <w:r w:rsidR="00296807">
        <w:t xml:space="preserve"> solely</w:t>
      </w:r>
      <w:r>
        <w:t xml:space="preserve"> from </w:t>
      </w:r>
      <w:r w:rsidRPr="00746797">
        <w:t>CAPM components (</w:t>
      </w:r>
      <w:r w:rsidR="00443294">
        <w:t xml:space="preserve">risk free rate, </w:t>
      </w:r>
      <w:r w:rsidRPr="00746797">
        <w:t>market risk premium and equity beta), and the</w:t>
      </w:r>
      <w:r w:rsidR="002D39BF">
        <w:t>se</w:t>
      </w:r>
      <w:r w:rsidRPr="00746797">
        <w:t xml:space="preserve"> com</w:t>
      </w:r>
      <w:r w:rsidR="00745618">
        <w:t>ponent inputs have been removed in the proposed amended PTRMs.</w:t>
      </w:r>
    </w:p>
    <w:p w:rsidR="00746797" w:rsidRPr="00746797" w:rsidRDefault="00746797" w:rsidP="00745618">
      <w:r>
        <w:lastRenderedPageBreak/>
        <w:t>Instead, the user directly enters the overall return on equity</w:t>
      </w:r>
      <w:r w:rsidRPr="00746797">
        <w:t xml:space="preserve"> input. For simplicity, we have only included the ‘final’ return on equity</w:t>
      </w:r>
      <w:r w:rsidR="00E03824">
        <w:t xml:space="preserve"> as</w:t>
      </w:r>
      <w:r w:rsidRPr="00746797">
        <w:t xml:space="preserve"> input</w:t>
      </w:r>
      <w:r w:rsidR="00E03824">
        <w:t xml:space="preserve"> to the PTRM</w:t>
      </w:r>
      <w:r w:rsidRPr="00746797">
        <w:t>.</w:t>
      </w:r>
      <w:r w:rsidR="00745618">
        <w:rPr>
          <w:rStyle w:val="FootnoteReference"/>
        </w:rPr>
        <w:footnoteReference w:id="26"/>
      </w:r>
      <w:r w:rsidR="00745618">
        <w:t xml:space="preserve"> </w:t>
      </w:r>
      <w:r>
        <w:t xml:space="preserve">This </w:t>
      </w:r>
      <w:r w:rsidRPr="00746797">
        <w:t xml:space="preserve">value then feeds into the calculation of </w:t>
      </w:r>
      <w:r w:rsidR="00745618">
        <w:t>the overall return on capital</w:t>
      </w:r>
      <w:r w:rsidRPr="00746797">
        <w:t xml:space="preserve"> and discount rates.</w:t>
      </w:r>
      <w:r w:rsidR="00745618">
        <w:rPr>
          <w:rStyle w:val="FootnoteReference"/>
        </w:rPr>
        <w:footnoteReference w:id="27"/>
      </w:r>
    </w:p>
    <w:p w:rsidR="00746797" w:rsidRPr="00746797" w:rsidRDefault="00746797" w:rsidP="006C1FE2">
      <w:pPr>
        <w:pStyle w:val="Heading3"/>
      </w:pPr>
      <w:bookmarkStart w:id="34" w:name="_Toc400025133"/>
      <w:r>
        <w:t xml:space="preserve">Return on </w:t>
      </w:r>
      <w:r w:rsidRPr="00746797">
        <w:t>debt changes</w:t>
      </w:r>
      <w:bookmarkEnd w:id="34"/>
    </w:p>
    <w:p w:rsidR="00AC677B" w:rsidRPr="00746797" w:rsidRDefault="00746797" w:rsidP="00F05AA7">
      <w:r>
        <w:t xml:space="preserve">The changes related to the return on </w:t>
      </w:r>
      <w:r w:rsidR="00F05AA7">
        <w:t xml:space="preserve">debt are more substantial. </w:t>
      </w:r>
      <w:r>
        <w:t>The user no longer enters a s</w:t>
      </w:r>
      <w:r w:rsidRPr="00746797">
        <w:t>ingle debt risk premium input (which is then presumed constant across the regulatory control period)</w:t>
      </w:r>
      <w:r w:rsidR="00F05AA7">
        <w:t xml:space="preserve"> and risk free rate</w:t>
      </w:r>
      <w:r w:rsidRPr="00746797">
        <w:t>.</w:t>
      </w:r>
    </w:p>
    <w:p w:rsidR="00AC677B" w:rsidRPr="00746797" w:rsidRDefault="00746797" w:rsidP="00B06E6B">
      <w:pPr>
        <w:pStyle w:val="AERbulletlistfirststyle"/>
        <w:numPr>
          <w:ilvl w:val="0"/>
          <w:numId w:val="0"/>
        </w:numPr>
      </w:pPr>
      <w:r>
        <w:t xml:space="preserve">Instead, the key input is the estimate of the trailing average portfolio </w:t>
      </w:r>
      <w:r w:rsidRPr="00746797">
        <w:t>return on debt for each year of the regulatory control period.</w:t>
      </w:r>
      <w:r w:rsidR="00B06E6B">
        <w:rPr>
          <w:rStyle w:val="FootnoteReference"/>
        </w:rPr>
        <w:footnoteReference w:id="28"/>
      </w:r>
      <w:r w:rsidRPr="00746797">
        <w:t xml:space="preserve"> </w:t>
      </w:r>
      <w:r>
        <w:t xml:space="preserve">The different </w:t>
      </w:r>
      <w:r w:rsidR="00443294">
        <w:t>annual</w:t>
      </w:r>
      <w:r>
        <w:t xml:space="preserve"> </w:t>
      </w:r>
      <w:r w:rsidRPr="00746797">
        <w:t xml:space="preserve">values for the return on debt will then flow through to all linked building block revenue components. </w:t>
      </w:r>
      <w:r w:rsidR="00781517">
        <w:t>These</w:t>
      </w:r>
      <w:r w:rsidR="00781517" w:rsidRPr="00746797">
        <w:t xml:space="preserve"> </w:t>
      </w:r>
      <w:r w:rsidRPr="00746797">
        <w:t>include:</w:t>
      </w:r>
    </w:p>
    <w:p w:rsidR="00746797" w:rsidRPr="00746797" w:rsidRDefault="00746797" w:rsidP="00176C19">
      <w:pPr>
        <w:pStyle w:val="AERbulletlistfirststyle"/>
      </w:pPr>
      <w:r w:rsidRPr="00995F8D">
        <w:t>Return</w:t>
      </w:r>
      <w:r w:rsidRPr="00746797">
        <w:t xml:space="preserve"> on capital—the return on debt is a key factor in the return on capital allowance.</w:t>
      </w:r>
    </w:p>
    <w:p w:rsidR="00AC677B" w:rsidRPr="00746797" w:rsidRDefault="00746797" w:rsidP="00176C19">
      <w:pPr>
        <w:pStyle w:val="AERbulletlistfirststyle"/>
      </w:pPr>
      <w:r w:rsidRPr="00995F8D">
        <w:t>Regulatory d</w:t>
      </w:r>
      <w:r w:rsidRPr="00746797">
        <w:t>epreciation—a change to the return on debt will affect the half WACC adjustment to capital expenditure when we add it to the RAB.</w:t>
      </w:r>
      <w:r w:rsidRPr="00AC02B5">
        <w:rPr>
          <w:rStyle w:val="FootnoteReference"/>
        </w:rPr>
        <w:footnoteReference w:id="29"/>
      </w:r>
      <w:r w:rsidRPr="00AC02B5">
        <w:rPr>
          <w:rStyle w:val="FootnoteReference"/>
        </w:rPr>
        <w:t xml:space="preserve"> </w:t>
      </w:r>
      <w:r w:rsidRPr="00746797">
        <w:t>This will affect both the return on capital and regulatory depreciation building blocks.</w:t>
      </w:r>
    </w:p>
    <w:p w:rsidR="00AC677B" w:rsidRPr="00746797" w:rsidRDefault="00746797" w:rsidP="00176C19">
      <w:pPr>
        <w:pStyle w:val="AERbulletlistfirststyle"/>
      </w:pPr>
      <w:r w:rsidRPr="00995F8D">
        <w:t xml:space="preserve">The cost of </w:t>
      </w:r>
      <w:r w:rsidRPr="00746797">
        <w:t>corporate income tax—a change to the return on debt will affect the implied estimate of taxable income, largely due to the change in total revenue and the benchmark tax expense offsets, which reflect the deductibility of interest payments from taxable income.</w:t>
      </w:r>
    </w:p>
    <w:p w:rsidR="00745618" w:rsidRDefault="00746797" w:rsidP="00937CE8">
      <w:pPr>
        <w:pStyle w:val="AERbodytext"/>
      </w:pPr>
      <w:r>
        <w:t xml:space="preserve">The user is also asked to enter the update year when updating the annual </w:t>
      </w:r>
      <w:r w:rsidRPr="00746797">
        <w:t>return on debt within the regulatory control period. This does not change the underlying calculation of smoothed or unsmoothed revenues</w:t>
      </w:r>
      <w:r w:rsidR="00AC02B5">
        <w:t>,</w:t>
      </w:r>
      <w:r w:rsidRPr="00746797">
        <w:t xml:space="preserve"> but it does change the presentation of context-sensitive labels and comments that should guide the user.</w:t>
      </w:r>
      <w:r w:rsidR="00745618" w:rsidRPr="00745618">
        <w:t xml:space="preserve"> </w:t>
      </w:r>
    </w:p>
    <w:p w:rsidR="00746797" w:rsidRPr="00746797" w:rsidRDefault="00746797" w:rsidP="00176C19">
      <w:pPr>
        <w:pStyle w:val="Heading3"/>
      </w:pPr>
      <w:bookmarkStart w:id="35" w:name="_Toc400025134"/>
      <w:r>
        <w:t>Return on capital changes</w:t>
      </w:r>
      <w:bookmarkEnd w:id="35"/>
    </w:p>
    <w:p w:rsidR="00746797" w:rsidRPr="00746797" w:rsidRDefault="00F05AA7" w:rsidP="00746797">
      <w:r>
        <w:t xml:space="preserve">Given the </w:t>
      </w:r>
      <w:r w:rsidR="0000147B">
        <w:t>return on debt changes</w:t>
      </w:r>
      <w:r>
        <w:t>, t</w:t>
      </w:r>
      <w:r w:rsidR="00746797" w:rsidRPr="00746797">
        <w:t>he return on capital can now vary from year to year</w:t>
      </w:r>
      <w:r w:rsidR="007621C8">
        <w:t xml:space="preserve">. This gives rise to </w:t>
      </w:r>
      <w:r w:rsidR="0000147B">
        <w:t xml:space="preserve">further </w:t>
      </w:r>
      <w:r w:rsidR="007621C8">
        <w:t>consequential changes to the PTRM</w:t>
      </w:r>
      <w:r w:rsidR="00746797" w:rsidRPr="00746797">
        <w:t>. There are two ways in which the return on capital affects the outputs of the PTRM:</w:t>
      </w:r>
    </w:p>
    <w:p w:rsidR="00746797" w:rsidRPr="00746797" w:rsidRDefault="00746797" w:rsidP="00F05AA7">
      <w:pPr>
        <w:pStyle w:val="AERnumberedlistfirststyle"/>
      </w:pPr>
      <w:r>
        <w:t xml:space="preserve">The return on capital is an input into several of the </w:t>
      </w:r>
      <w:r w:rsidRPr="00746797">
        <w:t xml:space="preserve">revenue building blocks. </w:t>
      </w:r>
    </w:p>
    <w:p w:rsidR="00746797" w:rsidRPr="00746797" w:rsidRDefault="00746797" w:rsidP="00F05AA7">
      <w:pPr>
        <w:pStyle w:val="AERnumberedlistfirststyle"/>
      </w:pPr>
      <w:r>
        <w:t xml:space="preserve">The return on capital is the discount rate used in the NPV calculation to equalise smoothed and unsmoothed revenue profiles. </w:t>
      </w:r>
    </w:p>
    <w:p w:rsidR="00746797" w:rsidRPr="00746797" w:rsidRDefault="00746797" w:rsidP="00746797">
      <w:r w:rsidRPr="00746797">
        <w:t>The major changes to the building block revenue calculations are as follows:</w:t>
      </w:r>
    </w:p>
    <w:p w:rsidR="00AC677B" w:rsidRPr="00746797" w:rsidRDefault="00746797" w:rsidP="00176C19">
      <w:pPr>
        <w:pStyle w:val="AERbulletlistfirststyle"/>
      </w:pPr>
      <w:r>
        <w:t>New var</w:t>
      </w:r>
      <w:r w:rsidR="00296807">
        <w:t>iables are defined to allow the</w:t>
      </w:r>
      <w:r w:rsidRPr="00746797">
        <w:t xml:space="preserve"> PTRM to include different real vanilla WACC values for each year of the regulatory control period, which was previously not required. New defined variables ‘rvanilla01’, ‘rvanilla02’, to ‘rvanilla10’ replace the previously single defined ‘</w:t>
      </w:r>
      <w:proofErr w:type="spellStart"/>
      <w:r w:rsidRPr="00746797">
        <w:t>rvanilla</w:t>
      </w:r>
      <w:proofErr w:type="spellEnd"/>
      <w:r w:rsidRPr="00746797">
        <w:t>’ variable used for the half WACC adjustment.</w:t>
      </w:r>
      <w:r w:rsidRPr="00746797">
        <w:rPr>
          <w:rStyle w:val="FootnoteReference"/>
        </w:rPr>
        <w:footnoteReference w:id="30"/>
      </w:r>
      <w:r w:rsidRPr="00746797">
        <w:t xml:space="preserve"> </w:t>
      </w:r>
    </w:p>
    <w:p w:rsidR="00C45812" w:rsidRDefault="00746797" w:rsidP="00176C19">
      <w:pPr>
        <w:pStyle w:val="AERbulletlistfirststyle"/>
      </w:pPr>
      <w:r>
        <w:lastRenderedPageBreak/>
        <w:t xml:space="preserve">The </w:t>
      </w:r>
      <w:r w:rsidR="00E03824">
        <w:t xml:space="preserve">allowed </w:t>
      </w:r>
      <w:r>
        <w:t>return on debt component of the return on capital calculation for each year now refers to the prevailing trailing average portfolio return on debt for that year.</w:t>
      </w:r>
    </w:p>
    <w:p w:rsidR="00C45812" w:rsidRDefault="00746797" w:rsidP="00E64DD7">
      <w:pPr>
        <w:pStyle w:val="AERbulletlistsecondstyle"/>
      </w:pPr>
      <w:r>
        <w:t xml:space="preserve">Previously, the calculation for each year of the regulatory control period referred to a single, constant </w:t>
      </w:r>
      <w:r w:rsidR="00C21F83">
        <w:t xml:space="preserve">return on debt as determined in </w:t>
      </w:r>
      <w:r w:rsidR="00E03824">
        <w:t>our</w:t>
      </w:r>
      <w:r w:rsidR="00C21F83">
        <w:t xml:space="preserve"> final decision. Accordingly, the overall return on capital (presented in </w:t>
      </w:r>
      <w:r>
        <w:t xml:space="preserve">nominal vanilla WACC </w:t>
      </w:r>
      <w:r w:rsidR="00C21F83">
        <w:t xml:space="preserve">form) was </w:t>
      </w:r>
      <w:r>
        <w:t>determined in the final decision</w:t>
      </w:r>
      <w:r w:rsidR="00C21F83">
        <w:t xml:space="preserve"> and constant across </w:t>
      </w:r>
      <w:r w:rsidR="00C45812">
        <w:t>the regulatory control period</w:t>
      </w:r>
      <w:r>
        <w:t>.</w:t>
      </w:r>
    </w:p>
    <w:p w:rsidR="00156A05" w:rsidRDefault="00C45812" w:rsidP="00E64DD7">
      <w:pPr>
        <w:pStyle w:val="AERbulletlistsecondstyle"/>
      </w:pPr>
      <w:r>
        <w:t xml:space="preserve">Now, </w:t>
      </w:r>
      <w:r w:rsidR="00E03824">
        <w:t xml:space="preserve">under the guideline, </w:t>
      </w:r>
      <w:r>
        <w:t xml:space="preserve">the return on debt </w:t>
      </w:r>
      <w:r w:rsidR="00074339">
        <w:t>is updated annually</w:t>
      </w:r>
      <w:r>
        <w:t xml:space="preserve"> during the regulatory control period. The trailing average will incorporate the most recent return on debt </w:t>
      </w:r>
      <w:r w:rsidR="00E03824">
        <w:t>value</w:t>
      </w:r>
      <w:r w:rsidR="00156A05">
        <w:t xml:space="preserve"> </w:t>
      </w:r>
      <w:r>
        <w:t xml:space="preserve">(as well as the previous </w:t>
      </w:r>
      <w:r w:rsidR="00156A05">
        <w:t xml:space="preserve">nine years </w:t>
      </w:r>
      <w:r w:rsidR="00E03824">
        <w:t xml:space="preserve">of </w:t>
      </w:r>
      <w:r w:rsidR="00156A05">
        <w:t xml:space="preserve">data) </w:t>
      </w:r>
      <w:r>
        <w:t xml:space="preserve">and </w:t>
      </w:r>
      <w:r w:rsidR="00156A05">
        <w:t xml:space="preserve">this </w:t>
      </w:r>
      <w:r>
        <w:t xml:space="preserve">will change the </w:t>
      </w:r>
      <w:r w:rsidR="00156A05">
        <w:t xml:space="preserve">return on capital </w:t>
      </w:r>
      <w:r>
        <w:t xml:space="preserve">building block </w:t>
      </w:r>
      <w:r w:rsidR="00156A05">
        <w:t>calculation for that year</w:t>
      </w:r>
      <w:r>
        <w:t xml:space="preserve">. </w:t>
      </w:r>
      <w:r w:rsidR="00156A05">
        <w:t>However, t</w:t>
      </w:r>
      <w:r>
        <w:t xml:space="preserve">he smoothed revenue for </w:t>
      </w:r>
      <w:r w:rsidR="00156A05">
        <w:t>any</w:t>
      </w:r>
      <w:r>
        <w:t xml:space="preserve"> year depends on the unsmoothed building block</w:t>
      </w:r>
      <w:r w:rsidR="00156A05">
        <w:t>s</w:t>
      </w:r>
      <w:r>
        <w:t xml:space="preserve"> across the entire regulatory control period. Hence, the forecast return on debt for later years in the regulatory control period will be a material </w:t>
      </w:r>
      <w:r w:rsidR="00156A05">
        <w:t>consideration</w:t>
      </w:r>
      <w:r>
        <w:t xml:space="preserve"> during the annual update</w:t>
      </w:r>
      <w:r w:rsidR="00156A05">
        <w:t>.</w:t>
      </w:r>
    </w:p>
    <w:p w:rsidR="00AC677B" w:rsidRPr="00746797" w:rsidRDefault="00156A05" w:rsidP="00E64DD7">
      <w:pPr>
        <w:pStyle w:val="AERbulletlistsecondstyle"/>
      </w:pPr>
      <w:r>
        <w:t>In the PTRM, t</w:t>
      </w:r>
      <w:r w:rsidR="00C45812">
        <w:t xml:space="preserve">he trailing average return on debt calculated at the most recent annual update is </w:t>
      </w:r>
      <w:r w:rsidR="00074339">
        <w:t xml:space="preserve">assumed to apply for the remainder of the regulatory control period. We considered whether the trailing average for later years (the years after the year </w:t>
      </w:r>
      <w:r>
        <w:t>of the annual update</w:t>
      </w:r>
      <w:r w:rsidR="00074339">
        <w:t xml:space="preserve">) should stay as in the final decision or revert to some other </w:t>
      </w:r>
      <w:r w:rsidR="00C45812">
        <w:t xml:space="preserve">calculated </w:t>
      </w:r>
      <w:r w:rsidR="00E03824">
        <w:t>value</w:t>
      </w:r>
      <w:r w:rsidR="00074339">
        <w:t>. However, we consider the up-to-date trailing average to be the most reasonable proxy for these later years too, until they are updated in subsequent years.</w:t>
      </w:r>
      <w:r w:rsidR="00074339">
        <w:rPr>
          <w:rStyle w:val="FootnoteReference"/>
        </w:rPr>
        <w:footnoteReference w:id="31"/>
      </w:r>
    </w:p>
    <w:p w:rsidR="00746797" w:rsidRPr="00746797" w:rsidRDefault="00176C19" w:rsidP="00176C19">
      <w:pPr>
        <w:pStyle w:val="AERbulletlistfirststyle"/>
      </w:pPr>
      <w:r>
        <w:t>The</w:t>
      </w:r>
      <w:r w:rsidR="00746797" w:rsidRPr="00746797">
        <w:t xml:space="preserve"> PTRM calculates straight-line depreciation using the initial value of cap</w:t>
      </w:r>
      <w:r w:rsidR="006D27F4">
        <w:t xml:space="preserve">ital </w:t>
      </w:r>
      <w:r w:rsidR="00746797" w:rsidRPr="00746797">
        <w:t>ex</w:t>
      </w:r>
      <w:r w:rsidR="006D27F4">
        <w:t>penditure</w:t>
      </w:r>
      <w:r w:rsidR="00746797" w:rsidRPr="00746797">
        <w:t xml:space="preserve"> added to the RAB. This includes half a year of the WACC, in line with the PTRM’s timing assumption. These calculations now refer to the newly defined ‘</w:t>
      </w:r>
      <w:proofErr w:type="spellStart"/>
      <w:r w:rsidR="00746797" w:rsidRPr="00746797">
        <w:t>rvanillaXX</w:t>
      </w:r>
      <w:proofErr w:type="spellEnd"/>
      <w:r w:rsidR="00746797" w:rsidRPr="00746797">
        <w:t>’ variable for the prevailing WACC in the year in which the cap</w:t>
      </w:r>
      <w:r w:rsidR="006D27F4">
        <w:t xml:space="preserve">ital </w:t>
      </w:r>
      <w:r w:rsidR="00746797" w:rsidRPr="00746797">
        <w:t>ex</w:t>
      </w:r>
      <w:r w:rsidR="006D27F4">
        <w:t>penditure</w:t>
      </w:r>
      <w:r w:rsidR="00746797" w:rsidRPr="00746797">
        <w:t xml:space="preserve"> is added to the RAB. Previously, all calculations referred to a single, constant real vanilla WACC value as determined in </w:t>
      </w:r>
      <w:r w:rsidR="006D27F4">
        <w:t>our</w:t>
      </w:r>
      <w:r w:rsidR="00746797" w:rsidRPr="00746797">
        <w:t xml:space="preserve"> final decision.</w:t>
      </w:r>
    </w:p>
    <w:p w:rsidR="00064605" w:rsidRDefault="00746797" w:rsidP="00937CE8">
      <w:r>
        <w:t xml:space="preserve">The major change to the NPV calculations </w:t>
      </w:r>
      <w:r w:rsidRPr="00746797">
        <w:t xml:space="preserve">is </w:t>
      </w:r>
      <w:r w:rsidR="00256EE9">
        <w:t>that</w:t>
      </w:r>
      <w:r w:rsidR="00872DCF">
        <w:t xml:space="preserve"> </w:t>
      </w:r>
      <w:r w:rsidR="00256EE9">
        <w:t>t</w:t>
      </w:r>
      <w:r w:rsidRPr="00C951BB">
        <w:t xml:space="preserve">he </w:t>
      </w:r>
      <w:r w:rsidRPr="00746797">
        <w:t>discount rate applied to each year when calculating the NPV is the cumulative discount rate for all relevant years, even when the individual year ha</w:t>
      </w:r>
      <w:r w:rsidR="006D27F4">
        <w:t>s</w:t>
      </w:r>
      <w:r w:rsidRPr="00746797">
        <w:t xml:space="preserve"> a different return on capital. Hence, the </w:t>
      </w:r>
      <w:r w:rsidR="00256EE9" w:rsidRPr="00937CE8">
        <w:rPr>
          <w:rStyle w:val="AERtextitalic"/>
        </w:rPr>
        <w:t>X factor</w:t>
      </w:r>
      <w:r w:rsidR="00DD72FF">
        <w:rPr>
          <w:rStyle w:val="AERtextitalic"/>
        </w:rPr>
        <w:t>s</w:t>
      </w:r>
      <w:r w:rsidR="00256EE9">
        <w:t xml:space="preserve"> </w:t>
      </w:r>
      <w:r w:rsidRPr="00746797">
        <w:t>worksheet accommodates the use of different return on capital for each year.</w:t>
      </w:r>
    </w:p>
    <w:p w:rsidR="00064605" w:rsidRDefault="00064605" w:rsidP="007621C8">
      <w:pPr>
        <w:pStyle w:val="Heading3"/>
      </w:pPr>
      <w:bookmarkStart w:id="36" w:name="_Toc400025135"/>
      <w:r>
        <w:t xml:space="preserve">Equity raising cost </w:t>
      </w:r>
      <w:r w:rsidR="003B054C">
        <w:t>changes</w:t>
      </w:r>
      <w:bookmarkEnd w:id="36"/>
    </w:p>
    <w:p w:rsidR="008059F7" w:rsidRDefault="003B054C" w:rsidP="008059F7">
      <w:pPr>
        <w:pStyle w:val="AERbodytext"/>
      </w:pPr>
      <w:r>
        <w:t xml:space="preserve">Another consequential change due to the </w:t>
      </w:r>
      <w:r w:rsidR="00525F67">
        <w:t>return on</w:t>
      </w:r>
      <w:r>
        <w:t xml:space="preserve"> debt changes is that the </w:t>
      </w:r>
      <w:r w:rsidR="00525F67">
        <w:t>benchmark equity raising cost (</w:t>
      </w:r>
      <w:r>
        <w:t>ERC</w:t>
      </w:r>
      <w:r w:rsidR="00525F67">
        <w:t>)</w:t>
      </w:r>
      <w:r>
        <w:t xml:space="preserve"> will also need to be updated annually. The current version of the TNSP</w:t>
      </w:r>
      <w:r w:rsidR="00525F67">
        <w:t xml:space="preserve"> PTRM</w:t>
      </w:r>
      <w:r>
        <w:t xml:space="preserve"> contains an </w:t>
      </w:r>
      <w:r w:rsidRPr="00937CE8">
        <w:rPr>
          <w:rStyle w:val="AERtextitalic"/>
        </w:rPr>
        <w:t>E</w:t>
      </w:r>
      <w:r w:rsidR="00525F67" w:rsidRPr="00937CE8">
        <w:rPr>
          <w:rStyle w:val="AERtextitalic"/>
        </w:rPr>
        <w:t>quity raising cost</w:t>
      </w:r>
      <w:r w:rsidR="00525F67">
        <w:rPr>
          <w:rStyle w:val="AERtextitalic"/>
        </w:rPr>
        <w:t>–</w:t>
      </w:r>
      <w:proofErr w:type="spellStart"/>
      <w:r w:rsidR="00525F67">
        <w:rPr>
          <w:rStyle w:val="AERtextitalic"/>
        </w:rPr>
        <w:t>capex</w:t>
      </w:r>
      <w:proofErr w:type="spellEnd"/>
      <w:r>
        <w:t xml:space="preserve"> </w:t>
      </w:r>
      <w:r w:rsidR="00525F67">
        <w:t>work</w:t>
      </w:r>
      <w:r>
        <w:t xml:space="preserve">sheet. We propose to amend this </w:t>
      </w:r>
      <w:r w:rsidR="00525F67">
        <w:t>work</w:t>
      </w:r>
      <w:r>
        <w:t xml:space="preserve">sheet </w:t>
      </w:r>
      <w:r w:rsidR="00DD72FF">
        <w:t xml:space="preserve">(and rename it) </w:t>
      </w:r>
      <w:r>
        <w:t>to allow the ERC to be updated annually.</w:t>
      </w:r>
      <w:r w:rsidR="008059F7">
        <w:t xml:space="preserve"> </w:t>
      </w:r>
    </w:p>
    <w:p w:rsidR="00064605" w:rsidRDefault="008059F7" w:rsidP="008059F7">
      <w:pPr>
        <w:pStyle w:val="AERbodytext"/>
        <w:numPr>
          <w:ilvl w:val="0"/>
          <w:numId w:val="0"/>
        </w:numPr>
      </w:pPr>
      <w:r>
        <w:t xml:space="preserve">The process of calculating ERC is iterative because the required ERC </w:t>
      </w:r>
      <w:r w:rsidR="006D27F4">
        <w:t xml:space="preserve">amount </w:t>
      </w:r>
      <w:r>
        <w:t>depends on the smoothed total revenue (</w:t>
      </w:r>
      <w:r w:rsidR="00954973">
        <w:t xml:space="preserve">which is known as the </w:t>
      </w:r>
      <w:r>
        <w:t xml:space="preserve">MAR for transmission, </w:t>
      </w:r>
      <w:r w:rsidR="00954973">
        <w:t xml:space="preserve">and </w:t>
      </w:r>
      <w:r>
        <w:t xml:space="preserve">expected revenue for distribution), and the smoothed total revenue in turn depends on the required ERC. Hence, the smoothing process—calculating the X factors that equate the </w:t>
      </w:r>
      <w:r w:rsidR="006D27F4">
        <w:t>NPV</w:t>
      </w:r>
      <w:r>
        <w:t xml:space="preserve"> of smoothed and unsmoothed </w:t>
      </w:r>
      <w:r w:rsidR="006D27F4">
        <w:t xml:space="preserve">total </w:t>
      </w:r>
      <w:r>
        <w:t xml:space="preserve">revenue—needs to jointly resolve the ERC and X factors. The </w:t>
      </w:r>
      <w:r w:rsidR="00C45C91">
        <w:t xml:space="preserve">new PTRM </w:t>
      </w:r>
      <w:r w:rsidR="007425FA">
        <w:t xml:space="preserve">achieves </w:t>
      </w:r>
      <w:r w:rsidR="00C45C91">
        <w:t xml:space="preserve">this via amended macros which refer to the integrated </w:t>
      </w:r>
      <w:r w:rsidR="00C45C91" w:rsidRPr="00C45C91">
        <w:rPr>
          <w:rStyle w:val="AERtextitalic"/>
        </w:rPr>
        <w:t>Equity raising cost</w:t>
      </w:r>
      <w:r w:rsidR="00C45C91">
        <w:t xml:space="preserve"> worksheet. The user interface (buttons on the </w:t>
      </w:r>
      <w:r w:rsidR="00C45C91" w:rsidRPr="00C45C91">
        <w:rPr>
          <w:rStyle w:val="AERtextitalic"/>
        </w:rPr>
        <w:t>X factors</w:t>
      </w:r>
      <w:r w:rsidR="00C45C91">
        <w:t xml:space="preserve"> worksheet which directly call the required macros) remains the same.</w:t>
      </w:r>
    </w:p>
    <w:p w:rsidR="008059F7" w:rsidRDefault="003B054C" w:rsidP="008059F7">
      <w:pPr>
        <w:pStyle w:val="AERbodytext"/>
        <w:numPr>
          <w:ilvl w:val="0"/>
          <w:numId w:val="0"/>
        </w:numPr>
      </w:pPr>
      <w:r>
        <w:lastRenderedPageBreak/>
        <w:t xml:space="preserve">In addition, an </w:t>
      </w:r>
      <w:r w:rsidRPr="00937CE8">
        <w:rPr>
          <w:rStyle w:val="AERtextitalic"/>
        </w:rPr>
        <w:t>E</w:t>
      </w:r>
      <w:r w:rsidR="00525F67" w:rsidRPr="00937CE8">
        <w:rPr>
          <w:rStyle w:val="AERtextitalic"/>
        </w:rPr>
        <w:t>quity raising cost</w:t>
      </w:r>
      <w:r>
        <w:t xml:space="preserve"> </w:t>
      </w:r>
      <w:r w:rsidR="00525F67">
        <w:t>work</w:t>
      </w:r>
      <w:r>
        <w:t xml:space="preserve">sheet has been added to the </w:t>
      </w:r>
      <w:r w:rsidR="00525F67">
        <w:t xml:space="preserve">DNSP </w:t>
      </w:r>
      <w:r>
        <w:t>PTRM to allow for this annual update. ERC w</w:t>
      </w:r>
      <w:r w:rsidR="00525F67">
        <w:t>as</w:t>
      </w:r>
      <w:r>
        <w:t xml:space="preserve"> previously calculated through separate modelling for the DNSPs. This change therefore streamlines the model for the DNSPs too.</w:t>
      </w:r>
    </w:p>
    <w:p w:rsidR="00566FE5" w:rsidRPr="007425FA" w:rsidRDefault="00566FE5" w:rsidP="00566FE5">
      <w:pPr>
        <w:pStyle w:val="Heading3"/>
      </w:pPr>
      <w:bookmarkStart w:id="37" w:name="_Toc400025136"/>
      <w:r w:rsidRPr="007425FA">
        <w:t>X factor recalculation</w:t>
      </w:r>
      <w:bookmarkEnd w:id="37"/>
    </w:p>
    <w:p w:rsidR="00D330F7" w:rsidRDefault="00566FE5" w:rsidP="00064605">
      <w:pPr>
        <w:pStyle w:val="AERbodytext"/>
        <w:numPr>
          <w:ilvl w:val="0"/>
          <w:numId w:val="0"/>
        </w:numPr>
      </w:pPr>
      <w:r>
        <w:t xml:space="preserve">With the annual </w:t>
      </w:r>
      <w:r w:rsidR="00525F67">
        <w:t xml:space="preserve">return on debt </w:t>
      </w:r>
      <w:r>
        <w:t xml:space="preserve">update </w:t>
      </w:r>
      <w:r w:rsidR="00525F67">
        <w:t>in</w:t>
      </w:r>
      <w:r>
        <w:t xml:space="preserve"> the PTRM, the X factor will </w:t>
      </w:r>
      <w:r w:rsidR="00525F67">
        <w:t xml:space="preserve">also need to </w:t>
      </w:r>
      <w:r>
        <w:t xml:space="preserve">be updated annually. </w:t>
      </w:r>
      <w:r w:rsidR="006A08ED">
        <w:t>The building block revenues will be updated and the revenues resmoothed to determine revised X factors from year 2 onwards</w:t>
      </w:r>
      <w:r w:rsidR="006D27F4">
        <w:t xml:space="preserve"> of a regulatory control period</w:t>
      </w:r>
      <w:r w:rsidR="006A08ED">
        <w:t xml:space="preserve">. </w:t>
      </w:r>
      <w:r>
        <w:t xml:space="preserve">We gave consideration to having a separate factor to account for the incremental change </w:t>
      </w:r>
      <w:r w:rsidR="006A08ED">
        <w:t xml:space="preserve">in revenues </w:t>
      </w:r>
      <w:r>
        <w:t>each year</w:t>
      </w:r>
      <w:r w:rsidR="00525F67">
        <w:t xml:space="preserve"> as a result of the return on debt update</w:t>
      </w:r>
      <w:r>
        <w:t xml:space="preserve">. However, </w:t>
      </w:r>
      <w:r w:rsidR="00525F67">
        <w:t xml:space="preserve">we </w:t>
      </w:r>
      <w:r>
        <w:t>consider it simpler to recalculate the X factor.</w:t>
      </w:r>
      <w:r w:rsidR="006A08ED">
        <w:t xml:space="preserve"> This also simplifies the control equations.</w:t>
      </w:r>
      <w:r>
        <w:t xml:space="preserve"> Accordingly, the </w:t>
      </w:r>
      <w:r w:rsidRPr="00937CE8">
        <w:rPr>
          <w:rStyle w:val="AERtextitalic"/>
        </w:rPr>
        <w:t>X factors</w:t>
      </w:r>
      <w:r>
        <w:t xml:space="preserve"> </w:t>
      </w:r>
      <w:r w:rsidR="00525F67">
        <w:t>work</w:t>
      </w:r>
      <w:r>
        <w:t xml:space="preserve">sheets in the </w:t>
      </w:r>
      <w:r w:rsidR="006A08ED">
        <w:t>TNSP</w:t>
      </w:r>
      <w:r w:rsidR="00525F67">
        <w:t>/</w:t>
      </w:r>
      <w:r w:rsidR="006A08ED">
        <w:t>DNSP PTRMs respectively</w:t>
      </w:r>
      <w:r>
        <w:t xml:space="preserve"> include revised X factor calculation buttons</w:t>
      </w:r>
      <w:r w:rsidR="00866079">
        <w:t xml:space="preserve"> with built in macros</w:t>
      </w:r>
      <w:r>
        <w:t xml:space="preserve">. </w:t>
      </w:r>
    </w:p>
    <w:p w:rsidR="00D330F7" w:rsidRDefault="006A08ED" w:rsidP="00064605">
      <w:pPr>
        <w:pStyle w:val="AERbodytext"/>
        <w:numPr>
          <w:ilvl w:val="0"/>
          <w:numId w:val="0"/>
        </w:numPr>
      </w:pPr>
      <w:r>
        <w:t>We propose that the updated X factor</w:t>
      </w:r>
      <w:r w:rsidR="00D330F7">
        <w:t>s</w:t>
      </w:r>
      <w:r>
        <w:t xml:space="preserve"> be determined such that the entire impact of the annual </w:t>
      </w:r>
      <w:r w:rsidR="00525F67">
        <w:t>return on debt update</w:t>
      </w:r>
      <w:r>
        <w:t xml:space="preserve"> is realised in the year to which the change relates.</w:t>
      </w:r>
      <w:r w:rsidR="00C45C91">
        <w:rPr>
          <w:rStyle w:val="FootnoteReference"/>
        </w:rPr>
        <w:footnoteReference w:id="32"/>
      </w:r>
    </w:p>
    <w:p w:rsidR="00566FE5" w:rsidRDefault="00566FE5" w:rsidP="00064605">
      <w:pPr>
        <w:pStyle w:val="AERbodytext"/>
        <w:numPr>
          <w:ilvl w:val="0"/>
          <w:numId w:val="0"/>
        </w:numPr>
      </w:pPr>
      <w:r>
        <w:t xml:space="preserve">Updating the X factors is discussed in further detail in the </w:t>
      </w:r>
      <w:r w:rsidR="00525F67">
        <w:t xml:space="preserve">PTRM </w:t>
      </w:r>
      <w:r>
        <w:t>handbooks.</w:t>
      </w:r>
    </w:p>
    <w:p w:rsidR="00BD0308" w:rsidRDefault="00BD0308" w:rsidP="007621C8">
      <w:pPr>
        <w:pStyle w:val="Heading3"/>
      </w:pPr>
      <w:bookmarkStart w:id="38" w:name="_Toc400025137"/>
      <w:r>
        <w:t>Revenue adjustments</w:t>
      </w:r>
      <w:bookmarkEnd w:id="38"/>
      <w:r w:rsidR="00A96EDF">
        <w:t xml:space="preserve"> </w:t>
      </w:r>
    </w:p>
    <w:p w:rsidR="00A96EDF" w:rsidRDefault="00A96EDF" w:rsidP="00443E76">
      <w:pPr>
        <w:pStyle w:val="AERbodytext"/>
      </w:pPr>
      <w:r>
        <w:t>There can be other revenue adjustments besides the standard building block components</w:t>
      </w:r>
      <w:r w:rsidR="00512E4B">
        <w:t xml:space="preserve"> on occasion</w:t>
      </w:r>
      <w:r>
        <w:t xml:space="preserve">. </w:t>
      </w:r>
      <w:r w:rsidRPr="00A96EDF">
        <w:t>To pick up these potential revenues adjustments</w:t>
      </w:r>
      <w:r w:rsidR="006D27F4">
        <w:t xml:space="preserve"> as provided for in the NER</w:t>
      </w:r>
      <w:r w:rsidRPr="00A96EDF">
        <w:t>, extra input sections have been added to the PTRM.</w:t>
      </w:r>
    </w:p>
    <w:p w:rsidR="00A96EDF" w:rsidRDefault="00A96EDF" w:rsidP="00443E76">
      <w:pPr>
        <w:pStyle w:val="AERbodytext"/>
      </w:pPr>
      <w:r>
        <w:t xml:space="preserve">The </w:t>
      </w:r>
      <w:r w:rsidR="00C42FE1">
        <w:t xml:space="preserve">possible </w:t>
      </w:r>
      <w:r>
        <w:t xml:space="preserve">types </w:t>
      </w:r>
      <w:r w:rsidR="00C42FE1">
        <w:t xml:space="preserve">of </w:t>
      </w:r>
      <w:r>
        <w:t>revenue adjustments include</w:t>
      </w:r>
      <w:r w:rsidR="00C42FE1">
        <w:t xml:space="preserve"> those which may arise from the following matters.</w:t>
      </w:r>
    </w:p>
    <w:p w:rsidR="002C019B" w:rsidRDefault="00A96EDF" w:rsidP="00443E76">
      <w:pPr>
        <w:pStyle w:val="AERbulletlistfirststyle"/>
      </w:pPr>
      <w:r>
        <w:t>T</w:t>
      </w:r>
      <w:r w:rsidR="00BD0308">
        <w:t xml:space="preserve">he </w:t>
      </w:r>
      <w:r w:rsidR="006D27F4">
        <w:t>NER</w:t>
      </w:r>
      <w:r w:rsidR="00BD0308">
        <w:t xml:space="preserve"> changes in November 2012 allow for customers to potentially share in the </w:t>
      </w:r>
      <w:r>
        <w:t xml:space="preserve">non-regulated </w:t>
      </w:r>
      <w:r w:rsidR="00BD0308">
        <w:t xml:space="preserve">revenues a NSP earns from </w:t>
      </w:r>
      <w:r w:rsidR="006D27F4">
        <w:t>use of shared</w:t>
      </w:r>
      <w:r w:rsidR="00BD0308">
        <w:t xml:space="preserve"> assets. </w:t>
      </w:r>
    </w:p>
    <w:p w:rsidR="00A96EDF" w:rsidRDefault="00A96EDF" w:rsidP="00443E76">
      <w:pPr>
        <w:pStyle w:val="AERbulletlistfirststyle"/>
      </w:pPr>
      <w:r>
        <w:t>U</w:t>
      </w:r>
      <w:r w:rsidRPr="00A96EDF">
        <w:t xml:space="preserve">nder a revenue cap, the </w:t>
      </w:r>
      <w:r w:rsidR="006D27F4">
        <w:t>D</w:t>
      </w:r>
      <w:r w:rsidRPr="00A96EDF">
        <w:t xml:space="preserve">NSPs have scope to include any balance in their </w:t>
      </w:r>
      <w:proofErr w:type="spellStart"/>
      <w:r w:rsidRPr="00A96EDF">
        <w:t>unders</w:t>
      </w:r>
      <w:proofErr w:type="spellEnd"/>
      <w:r w:rsidRPr="00A96EDF">
        <w:t>/overs accounts at the end of the regulatory control period in the building block assessment for the next regulatory control period</w:t>
      </w:r>
      <w:r>
        <w:t>.</w:t>
      </w:r>
    </w:p>
    <w:p w:rsidR="00A96EDF" w:rsidRDefault="00A96EDF" w:rsidP="00443E76">
      <w:pPr>
        <w:pStyle w:val="AERbulletlistfirststyle"/>
      </w:pPr>
      <w:r w:rsidRPr="00A96EDF">
        <w:t>In future, revenue adjustments in relation to the cap</w:t>
      </w:r>
      <w:r w:rsidR="006D27F4">
        <w:t xml:space="preserve">ital </w:t>
      </w:r>
      <w:r w:rsidRPr="00A96EDF">
        <w:t>ex</w:t>
      </w:r>
      <w:r w:rsidR="006D27F4">
        <w:t>penditure sharing</w:t>
      </w:r>
      <w:r w:rsidRPr="00A96EDF">
        <w:t xml:space="preserve"> scheme will also need to be added to the PTRM.</w:t>
      </w:r>
      <w:r>
        <w:t xml:space="preserve"> Revenue adjustments in relation to the </w:t>
      </w:r>
      <w:r w:rsidR="006D27F4">
        <w:t>efficiency benefit sharing scheme</w:t>
      </w:r>
      <w:r>
        <w:t xml:space="preserve"> are already factored into the PTRM and are entered through the ope</w:t>
      </w:r>
      <w:r w:rsidR="006D27F4">
        <w:t>rating e</w:t>
      </w:r>
      <w:r>
        <w:t>x</w:t>
      </w:r>
      <w:r w:rsidR="006D27F4">
        <w:t>penditure</w:t>
      </w:r>
      <w:r>
        <w:t xml:space="preserve"> input section.</w:t>
      </w:r>
    </w:p>
    <w:p w:rsidR="002C019B" w:rsidRDefault="002C019B" w:rsidP="00443E76">
      <w:pPr>
        <w:pStyle w:val="AERbodytext"/>
      </w:pPr>
      <w:r>
        <w:t>The revenue adjustments can have differing impacts in terms of the tax allowance. Therefore the</w:t>
      </w:r>
      <w:r w:rsidR="00A96EDF">
        <w:t xml:space="preserve"> new</w:t>
      </w:r>
      <w:r>
        <w:t xml:space="preserve"> input sections have been broken down by their impact on tax. For example, any </w:t>
      </w:r>
      <w:r w:rsidR="006D27F4">
        <w:t xml:space="preserve">DNSP </w:t>
      </w:r>
      <w:r>
        <w:t xml:space="preserve">revenue adjustment </w:t>
      </w:r>
      <w:r w:rsidR="00A96EDF">
        <w:t xml:space="preserve">for under/over recovery of revenues under a revenue cap </w:t>
      </w:r>
      <w:r>
        <w:t>would not require a tax allowance as that would have been factored in at the last reset. However, other revenue adjustment</w:t>
      </w:r>
      <w:r w:rsidR="00A96EDF">
        <w:t>s</w:t>
      </w:r>
      <w:r>
        <w:t xml:space="preserve"> may increase</w:t>
      </w:r>
      <w:r w:rsidR="006D27F4">
        <w:t>/decrease</w:t>
      </w:r>
      <w:r>
        <w:t xml:space="preserve"> tax liabilities.</w:t>
      </w:r>
    </w:p>
    <w:p w:rsidR="00064605" w:rsidRDefault="0072766F" w:rsidP="007621C8">
      <w:pPr>
        <w:pStyle w:val="Heading3"/>
      </w:pPr>
      <w:bookmarkStart w:id="39" w:name="_Toc400025138"/>
      <w:r>
        <w:t>Presentation</w:t>
      </w:r>
      <w:r w:rsidR="00023674">
        <w:t xml:space="preserve"> and other minor</w:t>
      </w:r>
      <w:r w:rsidR="00064605">
        <w:t xml:space="preserve"> changes</w:t>
      </w:r>
      <w:bookmarkEnd w:id="39"/>
    </w:p>
    <w:p w:rsidR="00064605" w:rsidRDefault="00566FE5" w:rsidP="00064605">
      <w:pPr>
        <w:pStyle w:val="AERbodytext"/>
        <w:numPr>
          <w:ilvl w:val="0"/>
          <w:numId w:val="0"/>
        </w:numPr>
      </w:pPr>
      <w:r>
        <w:t xml:space="preserve">There are a few minor presentational and </w:t>
      </w:r>
      <w:r w:rsidR="00023674">
        <w:t xml:space="preserve">other minor </w:t>
      </w:r>
      <w:r>
        <w:t>operational changes. These include:</w:t>
      </w:r>
    </w:p>
    <w:p w:rsidR="00714AD6" w:rsidRDefault="00714AD6" w:rsidP="00566FE5">
      <w:pPr>
        <w:pStyle w:val="AERbulletlistfirststyle"/>
      </w:pPr>
      <w:r w:rsidRPr="00937CE8">
        <w:rPr>
          <w:rStyle w:val="AERtextitalic"/>
        </w:rPr>
        <w:lastRenderedPageBreak/>
        <w:t>Smoothing</w:t>
      </w:r>
      <w:r>
        <w:t xml:space="preserve"> </w:t>
      </w:r>
      <w:r w:rsidR="00525F67">
        <w:t>work</w:t>
      </w:r>
      <w:r>
        <w:t xml:space="preserve">sheet in </w:t>
      </w:r>
      <w:r w:rsidR="00823D95">
        <w:t xml:space="preserve">the </w:t>
      </w:r>
      <w:r>
        <w:t xml:space="preserve">TNSP PTRM </w:t>
      </w:r>
      <w:r w:rsidR="00823D95">
        <w:t xml:space="preserve">has been </w:t>
      </w:r>
      <w:r>
        <w:t>re</w:t>
      </w:r>
      <w:r w:rsidR="00525F67">
        <w:t>-</w:t>
      </w:r>
      <w:r>
        <w:t>labelled a</w:t>
      </w:r>
      <w:r w:rsidR="00525F67">
        <w:t>s</w:t>
      </w:r>
      <w:r>
        <w:t xml:space="preserve"> </w:t>
      </w:r>
      <w:r w:rsidRPr="00937CE8">
        <w:rPr>
          <w:rStyle w:val="AERtextitalic"/>
        </w:rPr>
        <w:t xml:space="preserve">X </w:t>
      </w:r>
      <w:r w:rsidR="00525F67" w:rsidRPr="00937CE8">
        <w:rPr>
          <w:rStyle w:val="AERtextitalic"/>
        </w:rPr>
        <w:t>f</w:t>
      </w:r>
      <w:r w:rsidRPr="00937CE8">
        <w:rPr>
          <w:rStyle w:val="AERtextitalic"/>
        </w:rPr>
        <w:t>actor</w:t>
      </w:r>
      <w:r w:rsidR="00525F67" w:rsidRPr="00937CE8">
        <w:rPr>
          <w:rStyle w:val="AERtextitalic"/>
        </w:rPr>
        <w:t>s</w:t>
      </w:r>
      <w:r w:rsidRPr="00937CE8">
        <w:rPr>
          <w:rStyle w:val="AERtextitalic"/>
        </w:rPr>
        <w:t xml:space="preserve"> </w:t>
      </w:r>
      <w:r w:rsidR="00525F67">
        <w:t>work</w:t>
      </w:r>
      <w:r>
        <w:t>sheet to be consistent with the DNSP PTRM</w:t>
      </w:r>
      <w:r w:rsidR="00E86BA6">
        <w:t>.</w:t>
      </w:r>
    </w:p>
    <w:p w:rsidR="00C45C91" w:rsidRDefault="00C45C91" w:rsidP="00566FE5">
      <w:pPr>
        <w:pStyle w:val="AERbulletlistfirststyle"/>
      </w:pPr>
      <w:r>
        <w:t xml:space="preserve">The DNSP PTRM now includes the same 'default smoothing' option as the TNSP PTRM (accessed via a button which calls a macro). The 'default smoothing' approach is to set year 1 smoothed revenue equal to year 1 unsmoothed revenue, and then determine the same X factor </w:t>
      </w:r>
      <w:r w:rsidR="00823D95">
        <w:t xml:space="preserve">rate </w:t>
      </w:r>
      <w:r>
        <w:t xml:space="preserve">for all remaining years of the regulatory control period so that the </w:t>
      </w:r>
      <w:r w:rsidR="00823D95">
        <w:t>NPV</w:t>
      </w:r>
      <w:r>
        <w:t xml:space="preserve"> of unsmoothed and smoothed revenue</w:t>
      </w:r>
      <w:r w:rsidR="00823D95">
        <w:t>s</w:t>
      </w:r>
      <w:r>
        <w:t xml:space="preserve"> </w:t>
      </w:r>
      <w:r w:rsidR="00443E76">
        <w:t>equate</w:t>
      </w:r>
      <w:r>
        <w:t>.</w:t>
      </w:r>
    </w:p>
    <w:p w:rsidR="00566FE5" w:rsidRDefault="00566FE5" w:rsidP="00566FE5">
      <w:pPr>
        <w:pStyle w:val="AERbulletlistfirststyle"/>
      </w:pPr>
      <w:r>
        <w:t xml:space="preserve">The </w:t>
      </w:r>
      <w:r w:rsidR="00DC029A">
        <w:t>PTRM</w:t>
      </w:r>
      <w:r w:rsidR="00B85426">
        <w:t>s</w:t>
      </w:r>
      <w:r>
        <w:t xml:space="preserve"> </w:t>
      </w:r>
      <w:r w:rsidR="00B85426">
        <w:t xml:space="preserve">can </w:t>
      </w:r>
      <w:r>
        <w:t xml:space="preserve">now </w:t>
      </w:r>
      <w:r w:rsidR="00B85426">
        <w:t xml:space="preserve">accommodate </w:t>
      </w:r>
      <w:r>
        <w:t xml:space="preserve">regulatory </w:t>
      </w:r>
      <w:r w:rsidR="00DC029A">
        <w:t xml:space="preserve">control </w:t>
      </w:r>
      <w:r>
        <w:t>periods between 2 to 10 years</w:t>
      </w:r>
      <w:r w:rsidR="00B85426">
        <w:t xml:space="preserve"> in length</w:t>
      </w:r>
      <w:r>
        <w:t>.</w:t>
      </w:r>
      <w:r w:rsidR="00B85426">
        <w:rPr>
          <w:rStyle w:val="FootnoteReference"/>
        </w:rPr>
        <w:footnoteReference w:id="33"/>
      </w:r>
      <w:r>
        <w:t xml:space="preserve"> Previously </w:t>
      </w:r>
      <w:r w:rsidR="00B85426">
        <w:t xml:space="preserve">the DNSP PTRM assumed the use of a </w:t>
      </w:r>
      <w:r>
        <w:t>5 year period</w:t>
      </w:r>
      <w:r w:rsidR="00443E76">
        <w:t>, while t</w:t>
      </w:r>
      <w:r w:rsidR="00B85426">
        <w:t>he TNSP PTRM allowed the user to enter the length of the regulatory period (up to 10 years) but periods other than 5</w:t>
      </w:r>
      <w:r w:rsidR="00766B0C">
        <w:t> </w:t>
      </w:r>
      <w:r w:rsidR="00B85426">
        <w:t>years caused some summary and display errors</w:t>
      </w:r>
      <w:r>
        <w:t>.</w:t>
      </w:r>
    </w:p>
    <w:p w:rsidR="00566FE5" w:rsidRDefault="00566FE5" w:rsidP="00566FE5">
      <w:pPr>
        <w:pStyle w:val="AERbulletlistfirststyle"/>
      </w:pPr>
      <w:r>
        <w:t>There are indicative price impacts included</w:t>
      </w:r>
      <w:r w:rsidR="00B85426">
        <w:t>, consistently calculated across the two PTRM</w:t>
      </w:r>
      <w:r w:rsidR="00ED56C1">
        <w:t>s</w:t>
      </w:r>
      <w:r>
        <w:t xml:space="preserve">. For revenue caps, these prices are based on the smoothed revenues divided by forecast </w:t>
      </w:r>
      <w:proofErr w:type="spellStart"/>
      <w:r w:rsidR="00823D95">
        <w:t>M</w:t>
      </w:r>
      <w:r>
        <w:t>Wh</w:t>
      </w:r>
      <w:proofErr w:type="spellEnd"/>
      <w:r>
        <w:t xml:space="preserve"> to determine a simple </w:t>
      </w:r>
      <w:r w:rsidR="009D3635">
        <w:t xml:space="preserve">dollar per </w:t>
      </w:r>
      <w:proofErr w:type="spellStart"/>
      <w:r w:rsidR="00823D95">
        <w:t>M</w:t>
      </w:r>
      <w:r>
        <w:t>Wh</w:t>
      </w:r>
      <w:proofErr w:type="spellEnd"/>
      <w:r>
        <w:t xml:space="preserve"> price</w:t>
      </w:r>
      <w:r w:rsidR="00DC029A">
        <w:t xml:space="preserve"> per annum</w:t>
      </w:r>
      <w:r>
        <w:t>.</w:t>
      </w:r>
      <w:r w:rsidR="00B85426">
        <w:t xml:space="preserve"> There are additional forms of control </w:t>
      </w:r>
      <w:r w:rsidR="009D3635" w:rsidRPr="009D3635">
        <w:t xml:space="preserve">(weighted average price cap and revenue yield cap) </w:t>
      </w:r>
      <w:r w:rsidR="00B85426">
        <w:t xml:space="preserve">available to </w:t>
      </w:r>
      <w:r w:rsidR="00823D95">
        <w:t>DNSPs</w:t>
      </w:r>
      <w:r w:rsidR="00B85426">
        <w:t xml:space="preserve"> but not </w:t>
      </w:r>
      <w:r w:rsidR="00823D95">
        <w:t>TNSPs</w:t>
      </w:r>
      <w:r w:rsidR="00B85426">
        <w:t xml:space="preserve"> so there are additional </w:t>
      </w:r>
      <w:r w:rsidR="008059F7">
        <w:t xml:space="preserve">indicative </w:t>
      </w:r>
      <w:r w:rsidR="00B85426">
        <w:t>price impacts</w:t>
      </w:r>
      <w:r w:rsidR="008059F7">
        <w:t xml:space="preserve"> shown in the DNSP PTRM</w:t>
      </w:r>
      <w:r w:rsidR="00B85426">
        <w:t>.</w:t>
      </w:r>
    </w:p>
    <w:p w:rsidR="00566FE5" w:rsidRDefault="002C019B" w:rsidP="00566FE5">
      <w:pPr>
        <w:pStyle w:val="AERbulletlistfirststyle"/>
      </w:pPr>
      <w:r>
        <w:t>The PTRM</w:t>
      </w:r>
      <w:r w:rsidR="008059F7">
        <w:t>s</w:t>
      </w:r>
      <w:r>
        <w:t xml:space="preserve"> can now handle tax rate changes</w:t>
      </w:r>
      <w:r w:rsidR="008059F7">
        <w:t xml:space="preserve"> from year to year within the regulatory control period</w:t>
      </w:r>
      <w:r>
        <w:t>.</w:t>
      </w:r>
      <w:r w:rsidR="008059F7">
        <w:t xml:space="preserve"> Previously, only the TNSP PTRM allowed this function.</w:t>
      </w:r>
    </w:p>
    <w:p w:rsidR="00946F41" w:rsidRDefault="00946F41" w:rsidP="00566FE5">
      <w:pPr>
        <w:pStyle w:val="AERbulletlistfirststyle"/>
      </w:pPr>
      <w:r>
        <w:t xml:space="preserve">Additional content-sensitive cautions and warnings have been added to the PTRMs. Based on cell input, these will inform the user of potential concerns. In particular, these have been designed to aid the user when implementing the annual </w:t>
      </w:r>
      <w:r w:rsidR="00C45DAF">
        <w:t xml:space="preserve">return on </w:t>
      </w:r>
      <w:r>
        <w:t xml:space="preserve">debt update, since this </w:t>
      </w:r>
      <w:r w:rsidR="00823D95">
        <w:t xml:space="preserve">is </w:t>
      </w:r>
      <w:r>
        <w:t xml:space="preserve">a new process that entails </w:t>
      </w:r>
      <w:r w:rsidR="00443E76">
        <w:t>some</w:t>
      </w:r>
      <w:r>
        <w:t xml:space="preserve"> complexity.</w:t>
      </w:r>
    </w:p>
    <w:p w:rsidR="001A2088" w:rsidRDefault="001A2088" w:rsidP="009357C1">
      <w:pPr>
        <w:pStyle w:val="Heading1"/>
      </w:pPr>
      <w:bookmarkStart w:id="40" w:name="_Toc400025139"/>
      <w:bookmarkStart w:id="41" w:name="_Toc395861698"/>
      <w:r>
        <w:lastRenderedPageBreak/>
        <w:t>Consultation</w:t>
      </w:r>
      <w:bookmarkEnd w:id="40"/>
    </w:p>
    <w:p w:rsidR="001A2088" w:rsidRDefault="001A2088" w:rsidP="009357C1">
      <w:pPr>
        <w:pStyle w:val="AERbodytext"/>
      </w:pPr>
      <w:r>
        <w:t xml:space="preserve">This </w:t>
      </w:r>
      <w:r w:rsidR="00766B0C">
        <w:t>section</w:t>
      </w:r>
      <w:r>
        <w:t xml:space="preserve"> summarises </w:t>
      </w:r>
      <w:r w:rsidR="00392130">
        <w:t>the</w:t>
      </w:r>
      <w:r>
        <w:t xml:space="preserve"> </w:t>
      </w:r>
      <w:r w:rsidR="00372E7E">
        <w:t xml:space="preserve">first steps in the </w:t>
      </w:r>
      <w:r w:rsidR="00392130">
        <w:t>consultation process already undertaken</w:t>
      </w:r>
      <w:r>
        <w:t xml:space="preserve">, and identifies key issues for comment </w:t>
      </w:r>
      <w:r w:rsidR="00172E33">
        <w:t>on</w:t>
      </w:r>
      <w:r>
        <w:t xml:space="preserve"> our proposed </w:t>
      </w:r>
      <w:r w:rsidR="00172E33">
        <w:t xml:space="preserve">TNSP/DNSP </w:t>
      </w:r>
      <w:r>
        <w:t>PTRM</w:t>
      </w:r>
      <w:r w:rsidR="00172E33">
        <w:t>s</w:t>
      </w:r>
      <w:r>
        <w:t>.</w:t>
      </w:r>
    </w:p>
    <w:p w:rsidR="00BC25AF" w:rsidRDefault="00372E7E" w:rsidP="00BC25AF">
      <w:pPr>
        <w:pStyle w:val="Heading2"/>
      </w:pPr>
      <w:bookmarkStart w:id="42" w:name="_Toc400025140"/>
      <w:r>
        <w:t xml:space="preserve">Initial </w:t>
      </w:r>
      <w:r w:rsidR="00BC25AF">
        <w:t>consultation</w:t>
      </w:r>
      <w:bookmarkEnd w:id="41"/>
      <w:bookmarkEnd w:id="42"/>
    </w:p>
    <w:p w:rsidR="00BC25AF" w:rsidRDefault="00372E7E" w:rsidP="00BC25AF">
      <w:r>
        <w:t>In May 2014 w</w:t>
      </w:r>
      <w:r w:rsidR="006C1FE2">
        <w:t>e undertook consultation with 19 service providers and industry bodies</w:t>
      </w:r>
      <w:r w:rsidR="00D330F7">
        <w:t xml:space="preserve">, sending them example </w:t>
      </w:r>
      <w:r w:rsidR="0039282E">
        <w:t xml:space="preserve">TNSP/DNSP </w:t>
      </w:r>
      <w:r w:rsidR="00D330F7">
        <w:t>PTRM</w:t>
      </w:r>
      <w:r w:rsidR="0039282E">
        <w:t>s</w:t>
      </w:r>
      <w:r w:rsidR="00D330F7">
        <w:t xml:space="preserve"> with some initial changes, </w:t>
      </w:r>
      <w:r w:rsidR="00354723">
        <w:t>particularly</w:t>
      </w:r>
      <w:r w:rsidR="00D330F7">
        <w:t xml:space="preserve"> in </w:t>
      </w:r>
      <w:r w:rsidR="00354723">
        <w:t>accommodating</w:t>
      </w:r>
      <w:r w:rsidR="00D330F7">
        <w:t xml:space="preserve"> the changes to the </w:t>
      </w:r>
      <w:r w:rsidR="00354723">
        <w:t>return on equity and return on debt.</w:t>
      </w:r>
      <w:r w:rsidR="006C1FE2">
        <w:t xml:space="preserve"> </w:t>
      </w:r>
      <w:r w:rsidR="0039282E">
        <w:t>The E</w:t>
      </w:r>
      <w:r w:rsidR="006D5918">
        <w:t xml:space="preserve">nergy </w:t>
      </w:r>
      <w:r w:rsidR="0039282E">
        <w:t>N</w:t>
      </w:r>
      <w:r w:rsidR="006D5918">
        <w:t>etwork</w:t>
      </w:r>
      <w:r w:rsidR="005C278B">
        <w:t>s</w:t>
      </w:r>
      <w:r w:rsidR="006D5918">
        <w:t xml:space="preserve"> </w:t>
      </w:r>
      <w:r w:rsidR="0039282E">
        <w:t>A</w:t>
      </w:r>
      <w:r w:rsidR="006D5918">
        <w:t>ssociation (ENA)</w:t>
      </w:r>
      <w:r w:rsidR="0039282E">
        <w:t xml:space="preserve"> provided a response, with s</w:t>
      </w:r>
      <w:r w:rsidR="00D330F7">
        <w:t xml:space="preserve">ix NSPs </w:t>
      </w:r>
      <w:r w:rsidR="0039282E">
        <w:t xml:space="preserve">also </w:t>
      </w:r>
      <w:r w:rsidR="00D330F7">
        <w:t>respond</w:t>
      </w:r>
      <w:r w:rsidR="0039282E">
        <w:t>ing with comments</w:t>
      </w:r>
      <w:r w:rsidR="006D5918">
        <w:t>.</w:t>
      </w:r>
      <w:r w:rsidR="00D330F7">
        <w:rPr>
          <w:rStyle w:val="FootnoteReference"/>
        </w:rPr>
        <w:footnoteReference w:id="34"/>
      </w:r>
      <w:r w:rsidR="00D330F7">
        <w:t xml:space="preserve"> </w:t>
      </w:r>
      <w:r w:rsidR="006D5918">
        <w:t>Two</w:t>
      </w:r>
      <w:r w:rsidR="00D330F7">
        <w:t xml:space="preserve"> </w:t>
      </w:r>
      <w:r w:rsidR="006D5918">
        <w:t>NSPs</w:t>
      </w:r>
      <w:r w:rsidR="00D330F7">
        <w:t xml:space="preserve"> </w:t>
      </w:r>
      <w:r w:rsidR="006D5918">
        <w:t xml:space="preserve">responded by </w:t>
      </w:r>
      <w:r w:rsidR="00D330F7">
        <w:t>not</w:t>
      </w:r>
      <w:r w:rsidR="006D5918">
        <w:t>ing</w:t>
      </w:r>
      <w:r w:rsidR="00D330F7">
        <w:t xml:space="preserve"> the ENA</w:t>
      </w:r>
      <w:r w:rsidR="006D5918">
        <w:t>'s</w:t>
      </w:r>
      <w:r w:rsidR="00D330F7">
        <w:t xml:space="preserve"> </w:t>
      </w:r>
      <w:r w:rsidR="006D5918">
        <w:t>comments</w:t>
      </w:r>
      <w:r w:rsidR="00D330F7">
        <w:t>.</w:t>
      </w:r>
      <w:r w:rsidR="005C278B">
        <w:rPr>
          <w:rStyle w:val="FootnoteReference"/>
        </w:rPr>
        <w:footnoteReference w:id="35"/>
      </w:r>
    </w:p>
    <w:p w:rsidR="00D330F7" w:rsidRDefault="00372E7E" w:rsidP="00BC25AF">
      <w:r>
        <w:t>This initial consultation identified one particular issue—the approach to forecasting future years' return on debt—</w:t>
      </w:r>
      <w:r w:rsidR="00C60BDD">
        <w:t>where an approach needs to be adopted for operation of the PTRM. T</w:t>
      </w:r>
      <w:r>
        <w:t>his issue is discussed separately in section</w:t>
      </w:r>
      <w:r w:rsidR="00F45429">
        <w:t xml:space="preserve"> 5.1.1</w:t>
      </w:r>
      <w:r>
        <w:t xml:space="preserve">. </w:t>
      </w:r>
      <w:r w:rsidR="001A2088">
        <w:t>T</w:t>
      </w:r>
      <w:r w:rsidR="00D330F7">
        <w:t xml:space="preserve">he </w:t>
      </w:r>
      <w:r>
        <w:t xml:space="preserve">other </w:t>
      </w:r>
      <w:r w:rsidR="00D330F7">
        <w:t xml:space="preserve">main issues raised by interested parties </w:t>
      </w:r>
      <w:r w:rsidR="00BC3C4F">
        <w:t>were as follows</w:t>
      </w:r>
      <w:r w:rsidR="00D330F7">
        <w:t>:</w:t>
      </w:r>
    </w:p>
    <w:p w:rsidR="00D330F7" w:rsidRDefault="00CB3BCB" w:rsidP="002F7E61">
      <w:pPr>
        <w:pStyle w:val="AERbulletlistfirststyle"/>
      </w:pPr>
      <w:r>
        <w:t xml:space="preserve">Several NSPs suggested </w:t>
      </w:r>
      <w:r w:rsidR="009621B2">
        <w:t>recalculating the</w:t>
      </w:r>
      <w:r w:rsidR="002D39BF">
        <w:t xml:space="preserve"> X factors </w:t>
      </w:r>
      <w:r w:rsidR="00074470">
        <w:t>for all remaining years in the regulatory control period</w:t>
      </w:r>
      <w:r w:rsidR="002F7E61">
        <w:t xml:space="preserve">, such that the impact </w:t>
      </w:r>
      <w:r w:rsidR="00074470">
        <w:t xml:space="preserve">from the return on debt update </w:t>
      </w:r>
      <w:r w:rsidR="002F7E61">
        <w:t>may be spread over two or more years depending on the size of the adjustment</w:t>
      </w:r>
      <w:r w:rsidR="002D39BF">
        <w:t>.</w:t>
      </w:r>
      <w:r w:rsidR="002F7E61">
        <w:t xml:space="preserve"> </w:t>
      </w:r>
      <w:r w:rsidR="009C0A54">
        <w:t xml:space="preserve">We </w:t>
      </w:r>
      <w:r w:rsidR="006A21CB">
        <w:t xml:space="preserve">recognise </w:t>
      </w:r>
      <w:r w:rsidR="009C0A54">
        <w:t xml:space="preserve">that this may have some appeal. </w:t>
      </w:r>
      <w:r w:rsidR="002F7E61">
        <w:t>For example, if the adjustment was greater than two per cent, the adjustment could be spread over two or more years.</w:t>
      </w:r>
      <w:r w:rsidR="002D39BF">
        <w:t xml:space="preserve"> </w:t>
      </w:r>
      <w:r w:rsidR="006A21CB">
        <w:t>However, w</w:t>
      </w:r>
      <w:r w:rsidR="002F7E61">
        <w:t xml:space="preserve">e do not </w:t>
      </w:r>
      <w:r w:rsidR="00B3535A">
        <w:t xml:space="preserve">currently </w:t>
      </w:r>
      <w:r w:rsidR="002F7E61">
        <w:t>propose to adopt this suggestion given the risk of a cumulative impact over time.</w:t>
      </w:r>
      <w:r w:rsidR="007A17A8">
        <w:rPr>
          <w:rStyle w:val="FootnoteReference"/>
        </w:rPr>
        <w:footnoteReference w:id="36"/>
      </w:r>
      <w:r w:rsidR="002F7E61">
        <w:t xml:space="preserve"> Any cumulative impact may also be heightened by other annual adjustments to the control mechanism, such as pass throughs or revenue under</w:t>
      </w:r>
      <w:r w:rsidR="002F4557">
        <w:t>/</w:t>
      </w:r>
      <w:r w:rsidR="002F7E61">
        <w:t>over adjustments. Accordingly, we consider the impact should take full effect in the year the update is made</w:t>
      </w:r>
      <w:r w:rsidR="002A4190">
        <w:t xml:space="preserve"> and therefore only one X</w:t>
      </w:r>
      <w:r w:rsidR="008175FC">
        <w:t> </w:t>
      </w:r>
      <w:r w:rsidR="002A4190">
        <w:t>factor will be updated annually</w:t>
      </w:r>
      <w:r w:rsidR="002F7E61">
        <w:t>.</w:t>
      </w:r>
      <w:r w:rsidR="006F78EC">
        <w:rPr>
          <w:rStyle w:val="FootnoteReference"/>
        </w:rPr>
        <w:footnoteReference w:id="37"/>
      </w:r>
    </w:p>
    <w:p w:rsidR="006F78EC" w:rsidRDefault="00074470" w:rsidP="002F7E61">
      <w:pPr>
        <w:pStyle w:val="AERbulletlistfirststyle"/>
      </w:pPr>
      <w:r>
        <w:t>The ENA</w:t>
      </w:r>
      <w:r w:rsidR="002F7E61">
        <w:t xml:space="preserve"> raised the issue of a lag in the updating approach between when the return o</w:t>
      </w:r>
      <w:r>
        <w:t>n</w:t>
      </w:r>
      <w:r w:rsidR="002F7E61">
        <w:t xml:space="preserve"> debt </w:t>
      </w:r>
      <w:r>
        <w:t xml:space="preserve">is </w:t>
      </w:r>
      <w:r w:rsidR="002F7E61">
        <w:t>observ</w:t>
      </w:r>
      <w:r>
        <w:t>ed</w:t>
      </w:r>
      <w:r w:rsidR="002F7E61">
        <w:t xml:space="preserve"> and when </w:t>
      </w:r>
      <w:r>
        <w:t xml:space="preserve">the change is applied to </w:t>
      </w:r>
      <w:r w:rsidR="002F7E61">
        <w:t xml:space="preserve">prices. </w:t>
      </w:r>
      <w:r w:rsidR="00085EB6">
        <w:t>Overall, we consider that the proposed PTRM could handle a lag to the X</w:t>
      </w:r>
      <w:r w:rsidR="008175FC">
        <w:t> </w:t>
      </w:r>
      <w:r w:rsidR="00085EB6">
        <w:t xml:space="preserve">factor change and </w:t>
      </w:r>
      <w:r w:rsidR="002F4557">
        <w:t xml:space="preserve">that </w:t>
      </w:r>
      <w:r w:rsidR="00085EB6">
        <w:t xml:space="preserve">this matter </w:t>
      </w:r>
      <w:r w:rsidR="002F4557">
        <w:t>may be considered as part of</w:t>
      </w:r>
      <w:r w:rsidR="00085EB6">
        <w:t xml:space="preserve"> the final decision for the relevant NSP. </w:t>
      </w:r>
      <w:r w:rsidR="00700967">
        <w:t>Further</w:t>
      </w:r>
      <w:r w:rsidR="00085EB6">
        <w:t>, we consider that this issue is not about the PTRM itself</w:t>
      </w:r>
      <w:r w:rsidR="002F7E61">
        <w:t>, but rather a matter for determining the appropriate input for each year.</w:t>
      </w:r>
      <w:r w:rsidR="006F78EC">
        <w:t xml:space="preserve"> </w:t>
      </w:r>
    </w:p>
    <w:p w:rsidR="002F7E61" w:rsidRDefault="006F78EC" w:rsidP="00A65F47">
      <w:pPr>
        <w:pStyle w:val="AERbulletlistsecondstyle"/>
      </w:pPr>
      <w:r>
        <w:t>Our intention is that for each annual update</w:t>
      </w:r>
      <w:r w:rsidR="00D1066A">
        <w:t xml:space="preserve">, which occurs </w:t>
      </w:r>
      <w:r w:rsidR="00ED5AF0">
        <w:t xml:space="preserve">as close as is practical to the commencement </w:t>
      </w:r>
      <w:r w:rsidR="00922CBC">
        <w:t>of the relevant year</w:t>
      </w:r>
      <w:r>
        <w:t xml:space="preserve">, the </w:t>
      </w:r>
      <w:r w:rsidR="00922CBC">
        <w:t>return on</w:t>
      </w:r>
      <w:r w:rsidR="00017E54">
        <w:t xml:space="preserve"> debt for that year is updated, and so too is the X</w:t>
      </w:r>
      <w:r w:rsidR="008175FC">
        <w:t> </w:t>
      </w:r>
      <w:r w:rsidR="00017E54">
        <w:t>factor for that year.</w:t>
      </w:r>
      <w:r w:rsidR="00ED5AF0">
        <w:rPr>
          <w:rStyle w:val="FootnoteReference"/>
        </w:rPr>
        <w:footnoteReference w:id="38"/>
      </w:r>
      <w:r w:rsidR="00017E54">
        <w:t xml:space="preserve"> </w:t>
      </w:r>
      <w:r w:rsidR="00DA5F87">
        <w:t xml:space="preserve">For example, </w:t>
      </w:r>
      <w:r w:rsidR="00085EB6">
        <w:t xml:space="preserve">just before the start of year </w:t>
      </w:r>
      <w:r w:rsidR="00A875A9">
        <w:t>2</w:t>
      </w:r>
      <w:r w:rsidR="00085EB6">
        <w:t xml:space="preserve">, </w:t>
      </w:r>
      <w:r w:rsidR="00017E54">
        <w:t xml:space="preserve">the PTRM is updated with the year </w:t>
      </w:r>
      <w:r w:rsidR="00A875A9">
        <w:t>2</w:t>
      </w:r>
      <w:r w:rsidR="00017E54">
        <w:t xml:space="preserve"> trailing average portfolio </w:t>
      </w:r>
      <w:r w:rsidR="00C87B7F">
        <w:t>return on</w:t>
      </w:r>
      <w:r w:rsidR="00017E54">
        <w:t xml:space="preserve"> debt, the new X</w:t>
      </w:r>
      <w:r w:rsidR="008175FC">
        <w:t> </w:t>
      </w:r>
      <w:r w:rsidR="00017E54">
        <w:t xml:space="preserve">factor for year </w:t>
      </w:r>
      <w:r w:rsidR="00A875A9">
        <w:t>2</w:t>
      </w:r>
      <w:r w:rsidR="00017E54">
        <w:t xml:space="preserve"> is calculated</w:t>
      </w:r>
      <w:r w:rsidR="00085EB6">
        <w:t xml:space="preserve">, and then end-user prices for year </w:t>
      </w:r>
      <w:r w:rsidR="00A875A9">
        <w:t>2</w:t>
      </w:r>
      <w:r w:rsidR="00085EB6">
        <w:t xml:space="preserve"> are published</w:t>
      </w:r>
      <w:r w:rsidR="00017E54">
        <w:t xml:space="preserve">. </w:t>
      </w:r>
      <w:r w:rsidR="00085EB6">
        <w:t>Since t</w:t>
      </w:r>
      <w:r w:rsidR="00017E54">
        <w:t xml:space="preserve">his process occurs just before the start of year </w:t>
      </w:r>
      <w:r w:rsidR="00A875A9">
        <w:t>2</w:t>
      </w:r>
      <w:r w:rsidR="00017E54">
        <w:t xml:space="preserve">, the </w:t>
      </w:r>
      <w:r w:rsidR="00DA5F87">
        <w:t xml:space="preserve">return on debt for year </w:t>
      </w:r>
      <w:r w:rsidR="00A875A9">
        <w:t>2</w:t>
      </w:r>
      <w:r w:rsidR="00DA5F87">
        <w:t xml:space="preserve"> </w:t>
      </w:r>
      <w:r w:rsidR="00085EB6">
        <w:t xml:space="preserve">must be </w:t>
      </w:r>
      <w:r w:rsidR="00DA5F87">
        <w:t xml:space="preserve">set with regard to debt market observations from </w:t>
      </w:r>
      <w:r w:rsidR="00085EB6">
        <w:t xml:space="preserve">an averaging period in </w:t>
      </w:r>
      <w:r w:rsidR="00DA5F87">
        <w:t xml:space="preserve">year </w:t>
      </w:r>
      <w:r w:rsidR="00A875A9">
        <w:t>1</w:t>
      </w:r>
      <w:r w:rsidR="00085EB6">
        <w:t>.</w:t>
      </w:r>
      <w:r w:rsidR="00085EB6">
        <w:rPr>
          <w:rStyle w:val="FootnoteReference"/>
        </w:rPr>
        <w:footnoteReference w:id="39"/>
      </w:r>
      <w:r w:rsidR="00085EB6">
        <w:t xml:space="preserve"> </w:t>
      </w:r>
      <w:r w:rsidR="008175FC">
        <w:t xml:space="preserve">However, the averaging period must end </w:t>
      </w:r>
      <w:r w:rsidR="008175FC">
        <w:lastRenderedPageBreak/>
        <w:t xml:space="preserve">some three or four months prior to the end of that year to allow time for the pricing implementation. </w:t>
      </w:r>
      <w:r w:rsidR="00085EB6">
        <w:t xml:space="preserve">This averaging period </w:t>
      </w:r>
      <w:r w:rsidR="00DA5F87">
        <w:t>is treated as a proxy for the return on debt in year</w:t>
      </w:r>
      <w:r w:rsidR="008175FC">
        <w:t> </w:t>
      </w:r>
      <w:r w:rsidR="00A875A9">
        <w:t>2</w:t>
      </w:r>
      <w:r w:rsidR="00DA5F87">
        <w:t>.</w:t>
      </w:r>
      <w:r w:rsidR="00D1066A">
        <w:rPr>
          <w:rStyle w:val="FootnoteReference"/>
        </w:rPr>
        <w:footnoteReference w:id="40"/>
      </w:r>
    </w:p>
    <w:p w:rsidR="00017E54" w:rsidRDefault="00ED5AF0" w:rsidP="00A65F47">
      <w:pPr>
        <w:pStyle w:val="AERbulletlistsecondstyle"/>
      </w:pPr>
      <w:r>
        <w:t>If the averaging period w</w:t>
      </w:r>
      <w:r w:rsidR="00A378B6">
        <w:t>as</w:t>
      </w:r>
      <w:r>
        <w:t xml:space="preserve"> to </w:t>
      </w:r>
      <w:r w:rsidR="008175FC">
        <w:t xml:space="preserve">extend right up to the end of the preceding </w:t>
      </w:r>
      <w:r>
        <w:t>year</w:t>
      </w:r>
      <w:r w:rsidR="008175FC">
        <w:t>, it would not be possible to include the e</w:t>
      </w:r>
      <w:r w:rsidR="00C45DAF">
        <w:t>ffect of that year's</w:t>
      </w:r>
      <w:r w:rsidR="008175FC">
        <w:t xml:space="preserve"> annual </w:t>
      </w:r>
      <w:r w:rsidR="00A378B6">
        <w:t xml:space="preserve">return on </w:t>
      </w:r>
      <w:r w:rsidR="008175FC">
        <w:t>debt update in the pricing implementation for that year. Instead, under this approach,</w:t>
      </w:r>
      <w:r w:rsidR="00085EB6">
        <w:t xml:space="preserve"> the </w:t>
      </w:r>
      <w:r w:rsidR="00922CBC">
        <w:t>return on</w:t>
      </w:r>
      <w:r w:rsidR="00085EB6">
        <w:t xml:space="preserve"> debt for that year is updated, and the X</w:t>
      </w:r>
      <w:r w:rsidR="008175FC">
        <w:t> </w:t>
      </w:r>
      <w:r w:rsidR="00085EB6">
        <w:t>factor for the following year is updated in response. For example, just before the start of year</w:t>
      </w:r>
      <w:r w:rsidR="00C45DAF">
        <w:t> </w:t>
      </w:r>
      <w:r w:rsidR="00A875A9">
        <w:t>3</w:t>
      </w:r>
      <w:r w:rsidR="00085EB6">
        <w:t>, the PTRM is updated with the year</w:t>
      </w:r>
      <w:r w:rsidR="00C45DAF">
        <w:t> </w:t>
      </w:r>
      <w:r w:rsidR="00A875A9">
        <w:t>2</w:t>
      </w:r>
      <w:r w:rsidR="00085EB6">
        <w:t xml:space="preserve"> trailing average portfolio </w:t>
      </w:r>
      <w:r w:rsidR="00922CBC">
        <w:t>return on</w:t>
      </w:r>
      <w:r w:rsidR="00085EB6">
        <w:t xml:space="preserve"> debt, the new X</w:t>
      </w:r>
      <w:r w:rsidR="008175FC">
        <w:t> </w:t>
      </w:r>
      <w:r w:rsidR="00085EB6">
        <w:t xml:space="preserve">factor for year </w:t>
      </w:r>
      <w:r w:rsidR="00A875A9">
        <w:t>3</w:t>
      </w:r>
      <w:r w:rsidR="00085EB6">
        <w:t xml:space="preserve"> is calculated, and then end-user prices for year </w:t>
      </w:r>
      <w:r w:rsidR="00A875A9">
        <w:t>3</w:t>
      </w:r>
      <w:r w:rsidR="00085EB6">
        <w:t xml:space="preserve"> are published. </w:t>
      </w:r>
      <w:r w:rsidR="00DE2281">
        <w:t>In this case</w:t>
      </w:r>
      <w:r w:rsidR="00085EB6">
        <w:t>, the return on debt for year</w:t>
      </w:r>
      <w:r w:rsidR="00C45DAF">
        <w:t> </w:t>
      </w:r>
      <w:r w:rsidR="00A875A9">
        <w:t>2</w:t>
      </w:r>
      <w:r w:rsidR="00085EB6">
        <w:t xml:space="preserve"> can be set with regard to </w:t>
      </w:r>
      <w:r w:rsidR="00DE2281">
        <w:t xml:space="preserve">debt market observations </w:t>
      </w:r>
      <w:r w:rsidR="008175FC">
        <w:t xml:space="preserve">right up to the last day in </w:t>
      </w:r>
      <w:r w:rsidR="00DE2281">
        <w:t>year</w:t>
      </w:r>
      <w:r w:rsidR="00C45DAF">
        <w:t> </w:t>
      </w:r>
      <w:r w:rsidR="00A875A9">
        <w:t>1</w:t>
      </w:r>
      <w:r w:rsidR="00DE2281">
        <w:t>.</w:t>
      </w:r>
      <w:r w:rsidR="00DE7150" w:rsidDel="00DE7150">
        <w:rPr>
          <w:rStyle w:val="FootnoteReference"/>
        </w:rPr>
        <w:t xml:space="preserve"> </w:t>
      </w:r>
    </w:p>
    <w:p w:rsidR="00085EB6" w:rsidRDefault="00DE2281" w:rsidP="00A65F47">
      <w:pPr>
        <w:pStyle w:val="AERbulletlistsecondstyle"/>
      </w:pPr>
      <w:r>
        <w:t xml:space="preserve">Our </w:t>
      </w:r>
      <w:r w:rsidR="00873A9B">
        <w:t xml:space="preserve">current </w:t>
      </w:r>
      <w:r>
        <w:t xml:space="preserve">preference for the first approach is because it allows for a </w:t>
      </w:r>
      <w:r w:rsidRPr="00DE2281">
        <w:t xml:space="preserve">consistent and continuous practical implementation—both within </w:t>
      </w:r>
      <w:r w:rsidR="00E64DD7">
        <w:t xml:space="preserve">a </w:t>
      </w:r>
      <w:r w:rsidRPr="00DE2281">
        <w:t xml:space="preserve">regulatory </w:t>
      </w:r>
      <w:r w:rsidR="00922CBC">
        <w:t xml:space="preserve">control </w:t>
      </w:r>
      <w:r w:rsidRPr="00DE2281">
        <w:t>period, and across multiple regulatory</w:t>
      </w:r>
      <w:r w:rsidR="00922CBC">
        <w:t xml:space="preserve"> control</w:t>
      </w:r>
      <w:r w:rsidRPr="00DE2281">
        <w:t xml:space="preserve"> periods.</w:t>
      </w:r>
      <w:r>
        <w:t xml:space="preserve"> </w:t>
      </w:r>
      <w:r w:rsidR="0034172F">
        <w:t xml:space="preserve">The </w:t>
      </w:r>
      <w:r w:rsidR="0043520E">
        <w:t xml:space="preserve">first approach to the </w:t>
      </w:r>
      <w:r w:rsidR="0034172F">
        <w:t xml:space="preserve">annual update </w:t>
      </w:r>
      <w:r w:rsidR="00085EB6" w:rsidRPr="00085EB6">
        <w:t xml:space="preserve">aligns with the process used in the final decision, where the </w:t>
      </w:r>
      <w:r w:rsidR="00922CBC">
        <w:t>return on</w:t>
      </w:r>
      <w:r w:rsidR="00085EB6" w:rsidRPr="00085EB6">
        <w:t xml:space="preserve"> debt for year</w:t>
      </w:r>
      <w:r w:rsidR="00C45DAF">
        <w:t> </w:t>
      </w:r>
      <w:r w:rsidR="00085EB6" w:rsidRPr="00085EB6">
        <w:t xml:space="preserve">1 is set using an averaging period that ends several months before the start of </w:t>
      </w:r>
      <w:r>
        <w:t>that year.</w:t>
      </w:r>
      <w:r w:rsidR="00DE7150" w:rsidDel="00DE7150">
        <w:rPr>
          <w:rStyle w:val="FootnoteReference"/>
        </w:rPr>
        <w:t xml:space="preserve"> </w:t>
      </w:r>
      <w:r w:rsidR="0034172F">
        <w:t xml:space="preserve">Hence, each </w:t>
      </w:r>
      <w:r w:rsidR="00922CBC">
        <w:t>return on</w:t>
      </w:r>
      <w:r w:rsidR="0034172F">
        <w:t xml:space="preserve"> debt observation is a proxy with a consistent lag (in general terms, three to six months before the start of the relevant year). </w:t>
      </w:r>
      <w:r w:rsidR="0034172F" w:rsidRPr="00DE2281">
        <w:t>This type of measurement lag is already present in several other</w:t>
      </w:r>
      <w:r w:rsidR="0034172F" w:rsidRPr="0034172F">
        <w:t xml:space="preserve"> WACC parameters, including </w:t>
      </w:r>
      <w:r w:rsidR="0034172F">
        <w:t>the inflation adjustment and the return on equity estimate</w:t>
      </w:r>
      <w:r w:rsidR="0034172F" w:rsidRPr="0034172F">
        <w:t>.</w:t>
      </w:r>
      <w:r w:rsidR="0034172F">
        <w:rPr>
          <w:rStyle w:val="FootnoteReference"/>
        </w:rPr>
        <w:footnoteReference w:id="41"/>
      </w:r>
      <w:r w:rsidR="0034172F" w:rsidRPr="0034172F">
        <w:t xml:space="preserve"> </w:t>
      </w:r>
      <w:r w:rsidR="0034172F">
        <w:t xml:space="preserve">The process is continuous </w:t>
      </w:r>
      <w:r w:rsidR="0043520E">
        <w:t>across multiple regulatory control periods. Debt market observations from year</w:t>
      </w:r>
      <w:r w:rsidR="00C45DAF">
        <w:t> </w:t>
      </w:r>
      <w:r w:rsidR="0043520E">
        <w:t>5 (</w:t>
      </w:r>
      <w:r w:rsidR="00A875A9">
        <w:t xml:space="preserve">final year </w:t>
      </w:r>
      <w:r w:rsidR="0043520E">
        <w:t xml:space="preserve">of a given period) will be used as the best available proxy for the </w:t>
      </w:r>
      <w:r w:rsidR="00A875A9">
        <w:t>return on</w:t>
      </w:r>
      <w:r w:rsidR="0043520E">
        <w:t xml:space="preserve"> debt in year</w:t>
      </w:r>
      <w:r w:rsidR="00C45DAF">
        <w:t> </w:t>
      </w:r>
      <w:r w:rsidR="0043520E">
        <w:t>1 (of the following period)</w:t>
      </w:r>
      <w:r w:rsidR="0034172F">
        <w:t>. U</w:t>
      </w:r>
      <w:r>
        <w:t xml:space="preserve">nder the second approach, the adjustment for the </w:t>
      </w:r>
      <w:r w:rsidR="00A875A9">
        <w:t>return on</w:t>
      </w:r>
      <w:r>
        <w:t xml:space="preserve"> debt in year</w:t>
      </w:r>
      <w:r w:rsidR="00C45DAF">
        <w:t> </w:t>
      </w:r>
      <w:r>
        <w:t xml:space="preserve">5 would </w:t>
      </w:r>
      <w:r w:rsidR="0034172F">
        <w:t xml:space="preserve">need to </w:t>
      </w:r>
      <w:r>
        <w:t>be implemented in the first year of the following regulatory control period</w:t>
      </w:r>
      <w:r w:rsidR="0034172F">
        <w:t>, but it is unclear how this would occur</w:t>
      </w:r>
      <w:r>
        <w:t>.</w:t>
      </w:r>
    </w:p>
    <w:p w:rsidR="001C4923" w:rsidRDefault="002E7CFA" w:rsidP="001C4923">
      <w:pPr>
        <w:pStyle w:val="AERbulletlistfirststyle"/>
      </w:pPr>
      <w:r>
        <w:t xml:space="preserve">Jemena Gas Networks (JGN) </w:t>
      </w:r>
      <w:r w:rsidR="00294A91">
        <w:t xml:space="preserve">raised an issue </w:t>
      </w:r>
      <w:r w:rsidR="0004176A">
        <w:t>concerning</w:t>
      </w:r>
      <w:r w:rsidR="00294A91">
        <w:t xml:space="preserve"> the form of discount rate </w:t>
      </w:r>
      <w:r w:rsidR="001C4923">
        <w:t xml:space="preserve">used when </w:t>
      </w:r>
      <w:r w:rsidR="00294A91">
        <w:t>deriving smoothed revenue across the regulatory control period.</w:t>
      </w:r>
      <w:r>
        <w:rPr>
          <w:rStyle w:val="FootnoteReference"/>
        </w:rPr>
        <w:footnoteReference w:id="42"/>
      </w:r>
      <w:r w:rsidR="00294A91">
        <w:t xml:space="preserve"> I</w:t>
      </w:r>
      <w:r w:rsidR="001C4923">
        <w:t xml:space="preserve">n the PTRM, the </w:t>
      </w:r>
      <w:r w:rsidR="00294A91">
        <w:t xml:space="preserve">NPV </w:t>
      </w:r>
      <w:r w:rsidR="001C4923">
        <w:t xml:space="preserve">of smoothed revenue </w:t>
      </w:r>
      <w:r w:rsidR="00294A91">
        <w:t xml:space="preserve">(MAR or expected revenue) </w:t>
      </w:r>
      <w:r w:rsidR="001C4923">
        <w:t xml:space="preserve">is constrained to equal the </w:t>
      </w:r>
      <w:r w:rsidR="00294A91">
        <w:t xml:space="preserve">NPV </w:t>
      </w:r>
      <w:r w:rsidR="001C4923">
        <w:t>of the unsmoothed building block revenue</w:t>
      </w:r>
      <w:r w:rsidR="00294A91">
        <w:t xml:space="preserve"> (ABBRR or ARR)</w:t>
      </w:r>
      <w:r w:rsidR="001C4923">
        <w:t>.</w:t>
      </w:r>
      <w:r w:rsidR="007C5007">
        <w:rPr>
          <w:rStyle w:val="FootnoteReference"/>
        </w:rPr>
        <w:footnoteReference w:id="43"/>
      </w:r>
      <w:r w:rsidR="001C4923">
        <w:t xml:space="preserve"> </w:t>
      </w:r>
      <w:r w:rsidR="007C5007">
        <w:t xml:space="preserve">In line with the previous PTRM, </w:t>
      </w:r>
      <w:r w:rsidR="00836AD2">
        <w:t xml:space="preserve">our </w:t>
      </w:r>
      <w:r w:rsidR="007C5007">
        <w:t>proposed PTRM uses a vanilla WACC</w:t>
      </w:r>
      <w:r w:rsidR="00683B1A">
        <w:t xml:space="preserve"> for discounting purposes</w:t>
      </w:r>
      <w:r w:rsidR="007C5007">
        <w:t xml:space="preserve"> </w:t>
      </w:r>
      <w:r w:rsidR="00836AD2">
        <w:t>in the NPV equation</w:t>
      </w:r>
      <w:r w:rsidR="00520C3F">
        <w:t>. However,</w:t>
      </w:r>
      <w:r w:rsidR="00836AD2">
        <w:t xml:space="preserve"> </w:t>
      </w:r>
      <w:r w:rsidR="007C5007">
        <w:t xml:space="preserve">JGN </w:t>
      </w:r>
      <w:r w:rsidR="00836AD2">
        <w:t>suggested</w:t>
      </w:r>
      <w:r w:rsidR="007C5007">
        <w:t xml:space="preserve"> that a pre-tax WACC</w:t>
      </w:r>
      <w:r w:rsidR="00836AD2">
        <w:t xml:space="preserve"> should be used</w:t>
      </w:r>
      <w:r w:rsidR="00520C3F">
        <w:t xml:space="preserve"> instead</w:t>
      </w:r>
      <w:r w:rsidR="007C5007">
        <w:t>.</w:t>
      </w:r>
      <w:r w:rsidR="00836AD2">
        <w:rPr>
          <w:rStyle w:val="FootnoteReference"/>
        </w:rPr>
        <w:footnoteReference w:id="44"/>
      </w:r>
      <w:r w:rsidR="007C5007">
        <w:t xml:space="preserve"> </w:t>
      </w:r>
      <w:r w:rsidR="00836AD2">
        <w:t>Conversion from nominal vanilla WACC to nominal pre-tax WACC would increase the discount rate</w:t>
      </w:r>
      <w:r w:rsidR="00683B1A">
        <w:t>.</w:t>
      </w:r>
      <w:r w:rsidR="00836AD2">
        <w:t xml:space="preserve"> </w:t>
      </w:r>
      <w:r w:rsidR="00683B1A">
        <w:t>It does not change the underlying unsmoothed revenue building blocks, but it may</w:t>
      </w:r>
      <w:r w:rsidR="00836AD2">
        <w:t xml:space="preserve"> increase or decrease the </w:t>
      </w:r>
      <w:r w:rsidR="00683B1A">
        <w:t xml:space="preserve">smoothed </w:t>
      </w:r>
      <w:r w:rsidR="00836AD2">
        <w:t>revenue requirement for the NSP.</w:t>
      </w:r>
      <w:r w:rsidR="00836AD2">
        <w:rPr>
          <w:rStyle w:val="FootnoteReference"/>
        </w:rPr>
        <w:footnoteReference w:id="45"/>
      </w:r>
      <w:r w:rsidR="00836AD2">
        <w:t xml:space="preserve"> </w:t>
      </w:r>
      <w:r w:rsidR="001C4923">
        <w:t>At present, we have maintained the us</w:t>
      </w:r>
      <w:r w:rsidR="00055D12">
        <w:t>e of a nominal vanilla WACC for this aspect of the PTRM, noting that this is consistent with the approach in all previous electricity determinations.</w:t>
      </w:r>
    </w:p>
    <w:p w:rsidR="00715B0B" w:rsidRDefault="00715B0B" w:rsidP="001C4923">
      <w:pPr>
        <w:pStyle w:val="AERbulletlistfirststyle"/>
      </w:pPr>
      <w:r>
        <w:lastRenderedPageBreak/>
        <w:t xml:space="preserve">The NSW electricity </w:t>
      </w:r>
      <w:r w:rsidR="00C60BDD">
        <w:t>D</w:t>
      </w:r>
      <w:r>
        <w:t xml:space="preserve">NSPs raised an issue concerning </w:t>
      </w:r>
      <w:r w:rsidR="00B16FF4">
        <w:t xml:space="preserve">the mathematical implementation of </w:t>
      </w:r>
      <w:r w:rsidR="00C60BDD">
        <w:t xml:space="preserve">the </w:t>
      </w:r>
      <w:r w:rsidR="00B16FF4">
        <w:t>annual</w:t>
      </w:r>
      <w:r w:rsidR="00C60BDD">
        <w:t xml:space="preserve"> return on</w:t>
      </w:r>
      <w:r w:rsidR="00B16FF4">
        <w:t xml:space="preserve"> debt update under the chosen form of control.</w:t>
      </w:r>
      <w:r w:rsidR="00B16FF4">
        <w:rPr>
          <w:rStyle w:val="FootnoteReference"/>
        </w:rPr>
        <w:footnoteReference w:id="46"/>
      </w:r>
      <w:r w:rsidR="00B16FF4">
        <w:t xml:space="preserve"> Our example PTRM </w:t>
      </w:r>
      <w:r w:rsidR="00C60BDD">
        <w:t>allow</w:t>
      </w:r>
      <w:r w:rsidR="00E23B43">
        <w:t>s</w:t>
      </w:r>
      <w:r w:rsidR="00C60BDD">
        <w:t xml:space="preserve"> </w:t>
      </w:r>
      <w:r w:rsidR="00B16FF4">
        <w:t xml:space="preserve">the X factors </w:t>
      </w:r>
      <w:r w:rsidR="00C60BDD">
        <w:t xml:space="preserve">to be changed </w:t>
      </w:r>
      <w:r w:rsidR="00B16FF4">
        <w:t xml:space="preserve">each year as a result of the annual </w:t>
      </w:r>
      <w:r w:rsidR="00C60BDD">
        <w:t xml:space="preserve">return on </w:t>
      </w:r>
      <w:r w:rsidR="00B16FF4">
        <w:t xml:space="preserve">debt update. The </w:t>
      </w:r>
      <w:r w:rsidR="00C60BDD">
        <w:t>NSW D</w:t>
      </w:r>
      <w:r w:rsidR="00B16FF4">
        <w:t xml:space="preserve">NSPs suggested that the X factors from the final decision </w:t>
      </w:r>
      <w:r w:rsidR="00C60BDD">
        <w:t>could</w:t>
      </w:r>
      <w:r w:rsidR="00B16FF4">
        <w:t xml:space="preserve"> be left unchanged and </w:t>
      </w:r>
      <w:r w:rsidR="00C62AE5">
        <w:t>instead</w:t>
      </w:r>
      <w:r w:rsidR="00B16FF4">
        <w:t xml:space="preserve"> new </w:t>
      </w:r>
      <w:r w:rsidR="00C62AE5">
        <w:t xml:space="preserve">yearly </w:t>
      </w:r>
      <w:r w:rsidR="00B16FF4">
        <w:t xml:space="preserve">factors, labelled W factors, would be changed in response to the annual </w:t>
      </w:r>
      <w:r w:rsidR="00C60BDD">
        <w:t xml:space="preserve">return on </w:t>
      </w:r>
      <w:r w:rsidR="00B16FF4">
        <w:t>debt update.</w:t>
      </w:r>
      <w:r w:rsidR="00B16FF4">
        <w:rPr>
          <w:rStyle w:val="FootnoteReference"/>
        </w:rPr>
        <w:footnoteReference w:id="47"/>
      </w:r>
      <w:r w:rsidR="00B16FF4">
        <w:t xml:space="preserve"> </w:t>
      </w:r>
      <w:r w:rsidR="00C60BDD">
        <w:t>We note that t</w:t>
      </w:r>
      <w:r w:rsidR="00B16FF4">
        <w:t xml:space="preserve">his has the advantage of improving transparency, keeping revenue changes arising from the </w:t>
      </w:r>
      <w:r w:rsidR="00C62AE5">
        <w:t xml:space="preserve">annual </w:t>
      </w:r>
      <w:r w:rsidR="00B16FF4">
        <w:t>debt update (the W factor</w:t>
      </w:r>
      <w:r w:rsidR="00C62AE5">
        <w:t>s</w:t>
      </w:r>
      <w:r w:rsidR="00B16FF4">
        <w:t xml:space="preserve">) separate from revenue changes </w:t>
      </w:r>
      <w:r w:rsidR="00C60BDD">
        <w:t>determined</w:t>
      </w:r>
      <w:r w:rsidR="00B16FF4">
        <w:t xml:space="preserve"> at the final decision </w:t>
      </w:r>
      <w:r w:rsidR="00C62AE5">
        <w:t xml:space="preserve">stage </w:t>
      </w:r>
      <w:r w:rsidR="00B16FF4">
        <w:t>(the X factor</w:t>
      </w:r>
      <w:r w:rsidR="00C62AE5">
        <w:t>s</w:t>
      </w:r>
      <w:r w:rsidR="00B16FF4">
        <w:t>).</w:t>
      </w:r>
      <w:r w:rsidR="003774D1">
        <w:t xml:space="preserve"> However, it would necessarily in</w:t>
      </w:r>
      <w:r w:rsidR="00C60BDD">
        <w:t>tro</w:t>
      </w:r>
      <w:r w:rsidR="003774D1">
        <w:t xml:space="preserve">duce some additional complexity—for </w:t>
      </w:r>
      <w:proofErr w:type="gramStart"/>
      <w:r w:rsidR="003774D1">
        <w:t>example,</w:t>
      </w:r>
      <w:proofErr w:type="gramEnd"/>
      <w:r w:rsidR="003774D1">
        <w:t xml:space="preserve"> all existing price control formula</w:t>
      </w:r>
      <w:r w:rsidR="00E23B43">
        <w:t>e</w:t>
      </w:r>
      <w:r w:rsidR="003774D1">
        <w:t xml:space="preserve"> would need to be rewritten to include </w:t>
      </w:r>
      <w:r w:rsidR="00C60BDD">
        <w:t>the additional factors</w:t>
      </w:r>
      <w:r w:rsidR="003774D1">
        <w:t>.</w:t>
      </w:r>
      <w:r w:rsidR="003774D1">
        <w:rPr>
          <w:rStyle w:val="FootnoteReference"/>
        </w:rPr>
        <w:footnoteReference w:id="48"/>
      </w:r>
      <w:r w:rsidR="003774D1">
        <w:t xml:space="preserve"> The split presentation may also </w:t>
      </w:r>
      <w:r w:rsidR="00C03D5B">
        <w:t xml:space="preserve">be unhelpful in cases where there is a need </w:t>
      </w:r>
      <w:r w:rsidR="003774D1">
        <w:t>to apportion interaction effects between the</w:t>
      </w:r>
      <w:r w:rsidR="00C03D5B">
        <w:t xml:space="preserve"> two factors.</w:t>
      </w:r>
      <w:r w:rsidR="00C03D5B">
        <w:rPr>
          <w:rStyle w:val="FootnoteReference"/>
        </w:rPr>
        <w:footnoteReference w:id="49"/>
      </w:r>
      <w:r w:rsidR="003774D1">
        <w:t xml:space="preserve"> On balance, we consider that the changes from the annual debt update should be t</w:t>
      </w:r>
      <w:r w:rsidR="0044527B">
        <w:t>hrough</w:t>
      </w:r>
      <w:r w:rsidR="003774D1">
        <w:t xml:space="preserve"> </w:t>
      </w:r>
      <w:r w:rsidR="00C60BDD">
        <w:t>revising</w:t>
      </w:r>
      <w:r w:rsidR="0044527B">
        <w:t xml:space="preserve"> </w:t>
      </w:r>
      <w:r w:rsidR="003774D1">
        <w:t xml:space="preserve">the X factors and no additional set of factors </w:t>
      </w:r>
      <w:r w:rsidR="008F563A">
        <w:t>w</w:t>
      </w:r>
      <w:r w:rsidR="003774D1">
        <w:t>ould be added.</w:t>
      </w:r>
    </w:p>
    <w:p w:rsidR="00372E7E" w:rsidRPr="00372E7E" w:rsidRDefault="00372E7E" w:rsidP="00F15933">
      <w:pPr>
        <w:pStyle w:val="Heading3"/>
      </w:pPr>
      <w:bookmarkStart w:id="43" w:name="_Toc400025141"/>
      <w:r w:rsidRPr="00372E7E">
        <w:t>Future years' return on debt</w:t>
      </w:r>
      <w:bookmarkEnd w:id="43"/>
    </w:p>
    <w:p w:rsidR="00715B0B" w:rsidRDefault="00911C85" w:rsidP="00715B0B">
      <w:pPr>
        <w:pStyle w:val="AERbodytext"/>
      </w:pPr>
      <w:r>
        <w:t xml:space="preserve">When an annual </w:t>
      </w:r>
      <w:r w:rsidR="0044527B">
        <w:t xml:space="preserve">return on </w:t>
      </w:r>
      <w:r>
        <w:t>debt update takes place, the portfolio return on debt for that year (and any other earlier years in the regulatory control period) is known. However, the portfolio return on debt for later years within the</w:t>
      </w:r>
      <w:r w:rsidR="0044527B">
        <w:t xml:space="preserve"> regulatory control</w:t>
      </w:r>
      <w:r>
        <w:t xml:space="preserve"> period is unknown. An assumption must be made about future years' return on debt in order to derive the new X factor for the year of the annual update.</w:t>
      </w:r>
      <w:r>
        <w:rPr>
          <w:rStyle w:val="FootnoteReference"/>
        </w:rPr>
        <w:footnoteReference w:id="50"/>
      </w:r>
    </w:p>
    <w:p w:rsidR="00911C85" w:rsidRDefault="00FB29F4" w:rsidP="00715B0B">
      <w:pPr>
        <w:pStyle w:val="AERbodytext"/>
      </w:pPr>
      <w:r>
        <w:t>It is important to remember that these assumptions about future years' return on debt will not change the overall revenue outcome in NPV terms. At the end of the regulatory control period, the total NPV (discounted using the final time varying WACC outcome) of smoothed revenue will be equal under either approach. However, different approaches can lead to a different distribution of revenue within the regulatory control period.</w:t>
      </w:r>
    </w:p>
    <w:p w:rsidR="00911C85" w:rsidRDefault="00911C85" w:rsidP="00715B0B">
      <w:pPr>
        <w:pStyle w:val="AERbodytext"/>
      </w:pPr>
      <w:r>
        <w:t>The example PTRM</w:t>
      </w:r>
      <w:r w:rsidR="0044527B">
        <w:t>s</w:t>
      </w:r>
      <w:r>
        <w:t xml:space="preserve"> we included in our initial consultation </w:t>
      </w:r>
      <w:r w:rsidR="00FB29F4">
        <w:t>assumed the most recent portfolio return on debt applied to all future years. In response, the ENA suggested applying the portfolio return on debt from the final decision to all future years</w:t>
      </w:r>
      <w:r w:rsidR="0044527B">
        <w:t xml:space="preserve"> when undertaking the annual debt update</w:t>
      </w:r>
      <w:r w:rsidR="00FB29F4">
        <w:t>, because leaving this value unchanged would reduce price volatility.</w:t>
      </w:r>
    </w:p>
    <w:p w:rsidR="00C03D5B" w:rsidRDefault="00FB29F4" w:rsidP="00715B0B">
      <w:pPr>
        <w:pStyle w:val="AERbodytext"/>
      </w:pPr>
      <w:r>
        <w:t>We evaluated the</w:t>
      </w:r>
      <w:r w:rsidR="00BA2DC4">
        <w:t>se two</w:t>
      </w:r>
      <w:r>
        <w:t xml:space="preserve"> alternative approaches against </w:t>
      </w:r>
      <w:r w:rsidR="0044527B">
        <w:t xml:space="preserve">the following </w:t>
      </w:r>
      <w:r>
        <w:t>key criteria:</w:t>
      </w:r>
    </w:p>
    <w:p w:rsidR="00D115DD" w:rsidRDefault="00D115DD" w:rsidP="00D115DD">
      <w:pPr>
        <w:pStyle w:val="AERbulletlistfirststyle"/>
      </w:pPr>
      <w:r>
        <w:t>Does the approach promote the allowed rate of return objective?</w:t>
      </w:r>
    </w:p>
    <w:p w:rsidR="00D115DD" w:rsidRDefault="00D115DD" w:rsidP="00D115DD">
      <w:pPr>
        <w:pStyle w:val="AERbulletlistfirststyle"/>
      </w:pPr>
      <w:r>
        <w:t>Does the approach minimise volatility within the regulatory control period?</w:t>
      </w:r>
    </w:p>
    <w:p w:rsidR="00FB29F4" w:rsidRDefault="00D115DD" w:rsidP="00D115DD">
      <w:pPr>
        <w:pStyle w:val="AERbulletlistfirststyle"/>
      </w:pPr>
      <w:r>
        <w:t xml:space="preserve">Is the approach </w:t>
      </w:r>
      <w:r w:rsidR="00FB29F4">
        <w:t xml:space="preserve">consistent with the </w:t>
      </w:r>
      <w:r>
        <w:t xml:space="preserve">return on debt </w:t>
      </w:r>
      <w:r w:rsidR="0044527B">
        <w:t xml:space="preserve">being </w:t>
      </w:r>
      <w:r>
        <w:t>set in the final decision?</w:t>
      </w:r>
    </w:p>
    <w:p w:rsidR="00D115DD" w:rsidRDefault="00D115DD" w:rsidP="00715B0B">
      <w:pPr>
        <w:pStyle w:val="AERbodytext"/>
      </w:pPr>
      <w:r>
        <w:t>On the first criteri</w:t>
      </w:r>
      <w:r w:rsidR="0044527B">
        <w:t>on</w:t>
      </w:r>
      <w:r>
        <w:t>, any assumption will not affect overall revenue outcomes at the end of the regulatory control period.</w:t>
      </w:r>
      <w:r>
        <w:rPr>
          <w:rStyle w:val="FootnoteReference"/>
        </w:rPr>
        <w:footnoteReference w:id="51"/>
      </w:r>
      <w:r>
        <w:t xml:space="preserve"> Hence, it is only the relative change </w:t>
      </w:r>
      <w:r w:rsidR="002D70D8">
        <w:t xml:space="preserve">from year to year </w:t>
      </w:r>
      <w:r>
        <w:t xml:space="preserve">within </w:t>
      </w:r>
      <w:r w:rsidR="002D70D8">
        <w:t xml:space="preserve">the period </w:t>
      </w:r>
      <w:r w:rsidR="002D70D8">
        <w:lastRenderedPageBreak/>
        <w:t>that could affect the promotion of the objective, and this is the point emphasised by t</w:t>
      </w:r>
      <w:r>
        <w:t>he second criteri</w:t>
      </w:r>
      <w:r w:rsidR="00BA2DC4">
        <w:t>on</w:t>
      </w:r>
      <w:r>
        <w:t>.</w:t>
      </w:r>
      <w:r w:rsidR="002D70D8">
        <w:t xml:space="preserve"> </w:t>
      </w:r>
      <w:r>
        <w:t xml:space="preserve">Assessment of </w:t>
      </w:r>
      <w:r w:rsidR="00BA2DC4">
        <w:t xml:space="preserve">such </w:t>
      </w:r>
      <w:r>
        <w:t xml:space="preserve">volatility, however, is difficult since </w:t>
      </w:r>
      <w:r w:rsidR="002D70D8">
        <w:t xml:space="preserve">movement that reflects year-to-year changes in in the underlying cost of debt is not volatility per se but rather intentionally provides cost reflectivity. The approach should not 'over adjust' </w:t>
      </w:r>
      <w:r w:rsidR="00153518">
        <w:t xml:space="preserve">revenue </w:t>
      </w:r>
      <w:r w:rsidR="002D70D8">
        <w:t>(such that there needs to be reversal in later years); nor should the approach 'under adjust' revenue (such that there needs to be large 'price shocks' in later years).</w:t>
      </w:r>
    </w:p>
    <w:p w:rsidR="00FB29F4" w:rsidRDefault="00FB29F4" w:rsidP="00715B0B">
      <w:pPr>
        <w:pStyle w:val="AERbodytext"/>
      </w:pPr>
      <w:r>
        <w:t xml:space="preserve">Attachment A sets out in detail how the two approaches perform under different </w:t>
      </w:r>
      <w:r w:rsidR="00D115DD">
        <w:t xml:space="preserve">illustrative </w:t>
      </w:r>
      <w:r>
        <w:t xml:space="preserve">debt market scenarios. It shows that neither approach </w:t>
      </w:r>
      <w:r w:rsidR="00E23B43">
        <w:t xml:space="preserve">is universally superior </w:t>
      </w:r>
      <w:r w:rsidR="00D115DD">
        <w:t xml:space="preserve">with regard to the </w:t>
      </w:r>
      <w:r w:rsidR="00E23B43">
        <w:t xml:space="preserve">first two </w:t>
      </w:r>
      <w:r w:rsidR="00D115DD">
        <w:t>criteria above.</w:t>
      </w:r>
      <w:r>
        <w:t xml:space="preserve"> </w:t>
      </w:r>
      <w:r w:rsidR="00146C9A">
        <w:t xml:space="preserve">However, our </w:t>
      </w:r>
      <w:r w:rsidR="00146C9A" w:rsidRPr="00362253">
        <w:t>general</w:t>
      </w:r>
      <w:r w:rsidR="00146C9A">
        <w:t xml:space="preserve"> conclusion is that our proposed approach (</w:t>
      </w:r>
      <w:r w:rsidR="00435F12">
        <w:t>applying the most recent portfolio return on debt to future years</w:t>
      </w:r>
      <w:r w:rsidR="00146C9A">
        <w:t>) produces changes in real revenue that better align with changes in debt market conditions, and appears to minimise volatility overall</w:t>
      </w:r>
      <w:r w:rsidR="00146C9A" w:rsidRPr="00362253">
        <w:t>.</w:t>
      </w:r>
      <w:r w:rsidR="00146C9A">
        <w:rPr>
          <w:rStyle w:val="FootnoteReference"/>
        </w:rPr>
        <w:footnoteReference w:id="52"/>
      </w:r>
      <w:r w:rsidR="00146C9A" w:rsidRPr="00362253">
        <w:t xml:space="preserve"> </w:t>
      </w:r>
      <w:r w:rsidR="00146C9A">
        <w:t>This proposed approach limits the upper magnitude of any single year-on-year change, relative to the alternative approach (</w:t>
      </w:r>
      <w:r w:rsidR="00435F12">
        <w:t>applying the final decision portfolio return on debt to future years</w:t>
      </w:r>
      <w:r w:rsidR="00146C9A">
        <w:t xml:space="preserve">). This is because the alternative </w:t>
      </w:r>
      <w:r w:rsidR="00146C9A" w:rsidRPr="00362253">
        <w:t>approach</w:t>
      </w:r>
      <w:r w:rsidR="00146C9A">
        <w:t xml:space="preserve"> </w:t>
      </w:r>
      <w:r w:rsidR="00146C9A" w:rsidRPr="00362253">
        <w:t>effectively defers adjustments from earlier years in the regulatory control period</w:t>
      </w:r>
      <w:r w:rsidR="00146C9A">
        <w:t>.</w:t>
      </w:r>
      <w:r w:rsidR="00146C9A" w:rsidRPr="00362253">
        <w:t xml:space="preserve"> </w:t>
      </w:r>
      <w:r w:rsidR="00146C9A">
        <w:t xml:space="preserve">If the portfolio return on debt moves in one direction across several years the cumulative deferred adjustment can become substantial. </w:t>
      </w:r>
      <w:r w:rsidR="00146C9A" w:rsidRPr="00362253">
        <w:t xml:space="preserve">This has the potential to </w:t>
      </w:r>
      <w:r w:rsidR="00146C9A">
        <w:t xml:space="preserve">cause a </w:t>
      </w:r>
      <w:r w:rsidR="00146C9A" w:rsidRPr="00362253">
        <w:t>large single-year adjustment</w:t>
      </w:r>
      <w:r w:rsidR="00146C9A">
        <w:t xml:space="preserve"> (price shock) in year 4 or 5 of the regulatory control period.</w:t>
      </w:r>
    </w:p>
    <w:p w:rsidR="00D115DD" w:rsidRDefault="002D70D8" w:rsidP="00D115DD">
      <w:pPr>
        <w:pStyle w:val="AERbodytext"/>
        <w:numPr>
          <w:ilvl w:val="0"/>
          <w:numId w:val="9"/>
        </w:numPr>
      </w:pPr>
      <w:r>
        <w:t>Turning to the third criteri</w:t>
      </w:r>
      <w:r w:rsidR="00BA2DC4">
        <w:t>on</w:t>
      </w:r>
      <w:r>
        <w:t>, t</w:t>
      </w:r>
      <w:r w:rsidR="00D115DD">
        <w:t>he approach in our PTRM aligns with the forecasting principle used to set the trailing average portfolio return on debt in our final decision. That is, the most recent estimate is the best forecast for future years. In contrast, the ENA approach would align with the value set in the final decision; but not the principle behind the derivation of this value.</w:t>
      </w:r>
    </w:p>
    <w:p w:rsidR="00372E7E" w:rsidRPr="00F15933" w:rsidRDefault="00F15933" w:rsidP="00372E7E">
      <w:pPr>
        <w:pStyle w:val="AERbodytext"/>
      </w:pPr>
      <w:r>
        <w:t xml:space="preserve">On balance, our current position is that using the most up to date trailing average of the return on debt for all remaining years in the regulatory control period is the most </w:t>
      </w:r>
      <w:r w:rsidR="00E011C0">
        <w:t xml:space="preserve">appropriate </w:t>
      </w:r>
      <w:r>
        <w:t xml:space="preserve">approach. This is because this approach </w:t>
      </w:r>
      <w:r w:rsidR="002D70D8">
        <w:t xml:space="preserve">best meets the criteria. In particular, it </w:t>
      </w:r>
      <w:r>
        <w:t>appears to limit the upper magnitude of possible single-year changes in X factors, even under extreme scenarios.</w:t>
      </w:r>
      <w:r>
        <w:rPr>
          <w:rStyle w:val="FootnoteReference"/>
        </w:rPr>
        <w:footnoteReference w:id="53"/>
      </w:r>
    </w:p>
    <w:p w:rsidR="00B3535A" w:rsidRDefault="00B3535A" w:rsidP="00B3535A">
      <w:pPr>
        <w:pStyle w:val="Heading2"/>
        <w:numPr>
          <w:ilvl w:val="2"/>
          <w:numId w:val="8"/>
        </w:numPr>
      </w:pPr>
      <w:bookmarkStart w:id="44" w:name="_Toc400025142"/>
      <w:r>
        <w:t>Key issues for comment</w:t>
      </w:r>
      <w:bookmarkEnd w:id="44"/>
    </w:p>
    <w:p w:rsidR="00B3535A" w:rsidRDefault="00B3535A" w:rsidP="00746797">
      <w:r>
        <w:t>Our position</w:t>
      </w:r>
      <w:r w:rsidR="0044527B">
        <w:t>s</w:t>
      </w:r>
      <w:r>
        <w:t xml:space="preserve"> in the </w:t>
      </w:r>
      <w:r w:rsidR="002A4190">
        <w:t>proposed amended PTRM</w:t>
      </w:r>
      <w:r w:rsidR="005C278B">
        <w:t>s</w:t>
      </w:r>
      <w:r>
        <w:t xml:space="preserve"> reflect our consideration of the issues raised during </w:t>
      </w:r>
      <w:r w:rsidR="00372E7E">
        <w:t xml:space="preserve">initial </w:t>
      </w:r>
      <w:r>
        <w:t>consultation</w:t>
      </w:r>
      <w:r w:rsidR="002A4190">
        <w:t xml:space="preserve">. However, we are open to receiving further submissions on </w:t>
      </w:r>
      <w:r w:rsidR="005C278B">
        <w:t>the proposed amendments</w:t>
      </w:r>
      <w:r w:rsidR="002A4190">
        <w:t>.</w:t>
      </w:r>
      <w:r w:rsidR="00432CF1">
        <w:t xml:space="preserve"> In particular, w</w:t>
      </w:r>
      <w:r w:rsidR="009357C1">
        <w:t xml:space="preserve">e </w:t>
      </w:r>
      <w:r>
        <w:t>seek comment on:</w:t>
      </w:r>
    </w:p>
    <w:p w:rsidR="00816BB5" w:rsidRDefault="00A10EF8" w:rsidP="009357C1">
      <w:pPr>
        <w:pStyle w:val="AERbulletlistfirststyle"/>
      </w:pPr>
      <w:r>
        <w:t xml:space="preserve">The approach to </w:t>
      </w:r>
      <w:r w:rsidR="00B3535A">
        <w:t xml:space="preserve">setting future years' </w:t>
      </w:r>
      <w:r w:rsidR="002F571D">
        <w:t>return</w:t>
      </w:r>
      <w:r w:rsidR="00816BB5">
        <w:t xml:space="preserve"> on</w:t>
      </w:r>
      <w:r w:rsidR="009357C1">
        <w:t xml:space="preserve"> debt in an annual update</w:t>
      </w:r>
      <w:r w:rsidR="00172E33">
        <w:t xml:space="preserve"> during the regulatory control period</w:t>
      </w:r>
      <w:r w:rsidR="00432CF1">
        <w:t>:</w:t>
      </w:r>
      <w:r w:rsidR="000D231B">
        <w:rPr>
          <w:rStyle w:val="FootnoteReference"/>
        </w:rPr>
        <w:footnoteReference w:id="54"/>
      </w:r>
    </w:p>
    <w:p w:rsidR="00B3535A" w:rsidRDefault="00816BB5" w:rsidP="009357C1">
      <w:pPr>
        <w:pStyle w:val="AERbulletlistsecondstyle"/>
      </w:pPr>
      <w:r>
        <w:t>Are there other approaches (beyond those described above) we should consider?</w:t>
      </w:r>
    </w:p>
    <w:p w:rsidR="00816BB5" w:rsidRDefault="004856FD" w:rsidP="009357C1">
      <w:pPr>
        <w:pStyle w:val="AERbulletlistsecondstyle"/>
      </w:pPr>
      <w:r>
        <w:t xml:space="preserve">Is there a need to manage any </w:t>
      </w:r>
      <w:r w:rsidR="00816BB5">
        <w:t>volatility arising from future year's return on debt?</w:t>
      </w:r>
      <w:r>
        <w:t xml:space="preserve"> If so, how could this </w:t>
      </w:r>
      <w:proofErr w:type="gramStart"/>
      <w:r>
        <w:t>be</w:t>
      </w:r>
      <w:proofErr w:type="gramEnd"/>
      <w:r>
        <w:t xml:space="preserve"> done?</w:t>
      </w:r>
    </w:p>
    <w:p w:rsidR="00B3535A" w:rsidRDefault="00B3535A" w:rsidP="009357C1">
      <w:pPr>
        <w:pStyle w:val="AERbulletlistfirststyle"/>
      </w:pPr>
      <w:r>
        <w:t>The form of the discount rate when calculating the NPV of smoothed and unsmoothed revenue</w:t>
      </w:r>
      <w:r w:rsidR="00432CF1">
        <w:t>:</w:t>
      </w:r>
    </w:p>
    <w:p w:rsidR="009357C1" w:rsidRDefault="009357C1" w:rsidP="009357C1">
      <w:pPr>
        <w:pStyle w:val="AERbulletlistsecondstyle"/>
      </w:pPr>
      <w:r>
        <w:t xml:space="preserve">What form should the discount rate take </w:t>
      </w:r>
      <w:r w:rsidR="00432CF1">
        <w:t>–</w:t>
      </w:r>
      <w:r>
        <w:t xml:space="preserve"> vanilla, pre-tax, or another alternative?</w:t>
      </w:r>
    </w:p>
    <w:p w:rsidR="00671576" w:rsidRDefault="00671576" w:rsidP="00671576">
      <w:pPr>
        <w:pStyle w:val="UnnumberedHeading"/>
      </w:pPr>
      <w:bookmarkStart w:id="45" w:name="_Toc400025143"/>
      <w:r>
        <w:lastRenderedPageBreak/>
        <w:t>Attachment</w:t>
      </w:r>
      <w:bookmarkEnd w:id="45"/>
    </w:p>
    <w:p w:rsidR="00A10EF8" w:rsidRDefault="00671576" w:rsidP="006E7FB5">
      <w:pPr>
        <w:pStyle w:val="Heading2"/>
        <w:numPr>
          <w:ilvl w:val="0"/>
          <w:numId w:val="0"/>
        </w:numPr>
      </w:pPr>
      <w:bookmarkStart w:id="46" w:name="_Toc400025144"/>
      <w:r>
        <w:t>Attachment A: F</w:t>
      </w:r>
      <w:r w:rsidR="00A10EF8">
        <w:t xml:space="preserve">uture years' </w:t>
      </w:r>
      <w:r w:rsidR="002F571D">
        <w:t>return</w:t>
      </w:r>
      <w:r w:rsidR="00A10EF8">
        <w:t xml:space="preserve"> o</w:t>
      </w:r>
      <w:r w:rsidR="00C95781">
        <w:t>n</w:t>
      </w:r>
      <w:r w:rsidR="00A10EF8">
        <w:t xml:space="preserve"> debt</w:t>
      </w:r>
      <w:r>
        <w:t xml:space="preserve"> – illustrative example</w:t>
      </w:r>
      <w:r w:rsidR="00627A91">
        <w:t>s</w:t>
      </w:r>
      <w:bookmarkEnd w:id="46"/>
    </w:p>
    <w:p w:rsidR="00837E7A" w:rsidRDefault="00837E7A" w:rsidP="00837E7A">
      <w:pPr>
        <w:pStyle w:val="HeadingOrange"/>
        <w:numPr>
          <w:ilvl w:val="0"/>
          <w:numId w:val="9"/>
        </w:numPr>
      </w:pPr>
      <w:r>
        <w:t>Overview</w:t>
      </w:r>
    </w:p>
    <w:p w:rsidR="00A10EF8" w:rsidRDefault="00911C85" w:rsidP="00B3535A">
      <w:r>
        <w:t>As discussed in section 5.1.1, w</w:t>
      </w:r>
      <w:r w:rsidR="00A10EF8">
        <w:t xml:space="preserve">hen performing an annual update, the </w:t>
      </w:r>
      <w:r w:rsidR="00ED1073">
        <w:t xml:space="preserve">portfolio </w:t>
      </w:r>
      <w:r w:rsidR="002F571D">
        <w:t xml:space="preserve">return on </w:t>
      </w:r>
      <w:r w:rsidR="00A10EF8">
        <w:t>debt assumed for future years in the regulatory control period (that is, the year</w:t>
      </w:r>
      <w:r w:rsidR="004856FD">
        <w:t>s</w:t>
      </w:r>
      <w:r w:rsidR="00A10EF8">
        <w:t xml:space="preserve"> </w:t>
      </w:r>
      <w:r w:rsidR="004856FD">
        <w:t>after</w:t>
      </w:r>
      <w:r w:rsidR="00A10EF8">
        <w:t xml:space="preserve"> the annual update) </w:t>
      </w:r>
      <w:r w:rsidR="00627A91">
        <w:t xml:space="preserve">have </w:t>
      </w:r>
      <w:r w:rsidR="00A10EF8">
        <w:t xml:space="preserve">a material impact on the </w:t>
      </w:r>
      <w:r w:rsidR="004856FD">
        <w:t>revised</w:t>
      </w:r>
      <w:r w:rsidR="00A10EF8">
        <w:t xml:space="preserve"> X </w:t>
      </w:r>
      <w:r w:rsidR="00A10EF8" w:rsidRPr="00A10EF8">
        <w:t>factor</w:t>
      </w:r>
      <w:r w:rsidR="00A10EF8">
        <w:t xml:space="preserve">. </w:t>
      </w:r>
      <w:r w:rsidR="00C77023">
        <w:t>This attachment describes two alternative approaches to setting the future years' return on debt and investigates how they perform under four different debt market scenarios. Each scenario reflects a possible path for the return on debt (in other words, interest rates) across the regulatory control period.</w:t>
      </w:r>
    </w:p>
    <w:p w:rsidR="00146C9A" w:rsidRDefault="009C5993" w:rsidP="009C5993">
      <w:r>
        <w:t xml:space="preserve">Our </w:t>
      </w:r>
      <w:r w:rsidRPr="00362253">
        <w:t>general</w:t>
      </w:r>
      <w:r>
        <w:t xml:space="preserve"> conclusion is that our proposed approach (described below</w:t>
      </w:r>
      <w:r w:rsidR="00146C9A">
        <w:t xml:space="preserve"> and labelled a</w:t>
      </w:r>
      <w:r>
        <w:t>pproach</w:t>
      </w:r>
      <w:r w:rsidR="00652659">
        <w:t> </w:t>
      </w:r>
      <w:r>
        <w:t xml:space="preserve">A) produces </w:t>
      </w:r>
      <w:r w:rsidR="00146C9A">
        <w:t>changes</w:t>
      </w:r>
      <w:r>
        <w:t xml:space="preserve"> in real revenue that better align with changes in debt market conditions, and appears to minimise volatility overall</w:t>
      </w:r>
      <w:r w:rsidRPr="00362253">
        <w:t xml:space="preserve">. </w:t>
      </w:r>
      <w:r w:rsidR="00435F12">
        <w:t>The alternative approach (described below and labelled approach</w:t>
      </w:r>
      <w:r w:rsidR="00652659">
        <w:t> </w:t>
      </w:r>
      <w:r w:rsidR="00435F12">
        <w:t xml:space="preserve">B) </w:t>
      </w:r>
      <w:r w:rsidR="00652659">
        <w:t>minimises year-on-year volatility where the directional change in the portfolio return on debt in one year is reversed in the next—that is, fluctuating above and below the final decision value.</w:t>
      </w:r>
      <w:r w:rsidR="00652659">
        <w:rPr>
          <w:rStyle w:val="FootnoteReference"/>
        </w:rPr>
        <w:footnoteReference w:id="55"/>
      </w:r>
      <w:r w:rsidR="00652659">
        <w:t xml:space="preserve"> However, if the change in the portfolio return on debt in later years is in the same direction—that is, there is a trend upward or downward across multiple years—such an approach would make the change in the subsequent years even larger.</w:t>
      </w:r>
      <w:r w:rsidR="00652659">
        <w:rPr>
          <w:rStyle w:val="FootnoteReference"/>
        </w:rPr>
        <w:footnoteReference w:id="56"/>
      </w:r>
      <w:r w:rsidR="00652659">
        <w:t xml:space="preserve"> The largest 'price shock', interpreted as a large single year-on-year change, occurs under this situation when applying </w:t>
      </w:r>
      <w:r w:rsidR="00435F12">
        <w:t>the alternative approach (approach</w:t>
      </w:r>
      <w:r w:rsidR="00652659">
        <w:t> </w:t>
      </w:r>
      <w:r w:rsidR="00435F12">
        <w:t>B). Our proposed approach (approach</w:t>
      </w:r>
      <w:r w:rsidR="00652659">
        <w:t> </w:t>
      </w:r>
      <w:r w:rsidR="00435F12">
        <w:t xml:space="preserve">A) avoids this cumulative deferral </w:t>
      </w:r>
      <w:r w:rsidR="00652659">
        <w:t xml:space="preserve">problem and therefore limits </w:t>
      </w:r>
      <w:r>
        <w:t>the upper magnitude of any single year-on-year change.</w:t>
      </w:r>
    </w:p>
    <w:p w:rsidR="00C77023" w:rsidRDefault="00C77023" w:rsidP="00B3535A">
      <w:r>
        <w:t>I</w:t>
      </w:r>
      <w:r w:rsidR="00F1119D">
        <w:t>t is important to remember that t</w:t>
      </w:r>
      <w:r w:rsidR="005E6437">
        <w:t xml:space="preserve">hese assumptions about future years' </w:t>
      </w:r>
      <w:r w:rsidR="0088713B">
        <w:t>return on</w:t>
      </w:r>
      <w:r w:rsidR="005E6437">
        <w:t xml:space="preserve"> debt will not change the overall revenue outcome</w:t>
      </w:r>
      <w:r w:rsidR="004856FD">
        <w:t xml:space="preserve"> in NPV terms</w:t>
      </w:r>
      <w:r w:rsidR="005E6437">
        <w:t>.</w:t>
      </w:r>
      <w:r>
        <w:t xml:space="preserve"> At the end of the regulatory control period, the total NPV (discounted using the final time varying WACC outcome) of smoothed revenue will be equal under either approach. </w:t>
      </w:r>
      <w:r w:rsidR="005E6437">
        <w:t xml:space="preserve">However, </w:t>
      </w:r>
      <w:r>
        <w:t>different approaches can lead to a different distribution of revenue within the regulatory control period</w:t>
      </w:r>
      <w:r w:rsidR="00627A91">
        <w:t>, as is shown below.</w:t>
      </w:r>
    </w:p>
    <w:p w:rsidR="00556356" w:rsidRDefault="00556356" w:rsidP="00556356">
      <w:pPr>
        <w:pStyle w:val="HeadingOrange"/>
        <w:numPr>
          <w:ilvl w:val="0"/>
          <w:numId w:val="9"/>
        </w:numPr>
      </w:pPr>
      <w:r>
        <w:t>Method</w:t>
      </w:r>
    </w:p>
    <w:p w:rsidR="00C77023" w:rsidRDefault="00E011C0" w:rsidP="00C77023">
      <w:r>
        <w:t>We</w:t>
      </w:r>
      <w:r w:rsidR="00F1119D">
        <w:t xml:space="preserve"> consider </w:t>
      </w:r>
      <w:r w:rsidR="00C77023">
        <w:t>two</w:t>
      </w:r>
      <w:r w:rsidR="00F1119D">
        <w:t xml:space="preserve"> alternative approaches to setting future years' return on debt</w:t>
      </w:r>
      <w:r w:rsidR="00C77023">
        <w:t>:</w:t>
      </w:r>
    </w:p>
    <w:p w:rsidR="00C77023" w:rsidRDefault="00C77023" w:rsidP="00C77023">
      <w:pPr>
        <w:pStyle w:val="AERbulletlistfirststyle"/>
      </w:pPr>
      <w:r>
        <w:t>Approach A: Assume that the most recent portfolio return on debt applies to all future years</w:t>
      </w:r>
      <w:r w:rsidR="00627A91">
        <w:t>. This is the approach implemented by default in the proposed PTRM.</w:t>
      </w:r>
      <w:r w:rsidR="00627A91">
        <w:rPr>
          <w:rStyle w:val="FootnoteReference"/>
        </w:rPr>
        <w:footnoteReference w:id="57"/>
      </w:r>
    </w:p>
    <w:p w:rsidR="00C77023" w:rsidRDefault="00627A91" w:rsidP="00C77023">
      <w:pPr>
        <w:pStyle w:val="AERbulletlistfirststyle"/>
      </w:pPr>
      <w:r>
        <w:t>Approach B: A</w:t>
      </w:r>
      <w:r w:rsidR="00C77023">
        <w:t>ssume that the final decision portfolio return on debt applies to all future years.</w:t>
      </w:r>
      <w:r w:rsidR="00C77023">
        <w:rPr>
          <w:rStyle w:val="FootnoteReference"/>
        </w:rPr>
        <w:footnoteReference w:id="58"/>
      </w:r>
    </w:p>
    <w:p w:rsidR="00A548AD" w:rsidRDefault="00E011C0" w:rsidP="00295A46">
      <w:r>
        <w:t xml:space="preserve">We then </w:t>
      </w:r>
      <w:r w:rsidR="00F1119D">
        <w:t>consider</w:t>
      </w:r>
      <w:r>
        <w:t xml:space="preserve"> the impact of applying the two alternative approaches </w:t>
      </w:r>
      <w:r w:rsidR="001C3523">
        <w:t>under</w:t>
      </w:r>
      <w:r w:rsidR="00F1119D">
        <w:t xml:space="preserve"> </w:t>
      </w:r>
      <w:r w:rsidR="00A548AD">
        <w:t xml:space="preserve">four different scenarios, each presenting </w:t>
      </w:r>
      <w:r w:rsidR="00F1119D">
        <w:t xml:space="preserve">a relatively extreme version of possible </w:t>
      </w:r>
      <w:r w:rsidR="00627A91">
        <w:t>return on debt outcomes across the five year regulatory control period</w:t>
      </w:r>
      <w:r w:rsidR="00F1119D">
        <w:t>:</w:t>
      </w:r>
    </w:p>
    <w:p w:rsidR="00A548AD" w:rsidRDefault="00627A91" w:rsidP="00627A91">
      <w:pPr>
        <w:pStyle w:val="AERbulletlistfirststyle"/>
      </w:pPr>
      <w:r>
        <w:t xml:space="preserve">Scenario 1: </w:t>
      </w:r>
      <w:r w:rsidR="00A548AD">
        <w:t>Sudden increase, then gradual decrease</w:t>
      </w:r>
      <w:r w:rsidR="00F1119D">
        <w:t>.</w:t>
      </w:r>
    </w:p>
    <w:p w:rsidR="00A548AD" w:rsidRDefault="00627A91" w:rsidP="00627A91">
      <w:pPr>
        <w:pStyle w:val="AERbulletlistfirststyle"/>
      </w:pPr>
      <w:r>
        <w:t xml:space="preserve">Scenario 2: </w:t>
      </w:r>
      <w:r w:rsidR="00A548AD">
        <w:t>Sudden increase, then rapid decrease.</w:t>
      </w:r>
    </w:p>
    <w:p w:rsidR="00A548AD" w:rsidRDefault="00627A91" w:rsidP="00627A91">
      <w:pPr>
        <w:pStyle w:val="AERbulletlistfirststyle"/>
      </w:pPr>
      <w:r>
        <w:lastRenderedPageBreak/>
        <w:t xml:space="preserve">Scenario 3: </w:t>
      </w:r>
      <w:r w:rsidR="00A548AD">
        <w:t xml:space="preserve">Gradual increase across the </w:t>
      </w:r>
      <w:r w:rsidR="00F1119D">
        <w:t xml:space="preserve">regulatory </w:t>
      </w:r>
      <w:r w:rsidR="000B1720">
        <w:t xml:space="preserve">control </w:t>
      </w:r>
      <w:r w:rsidR="00F1119D">
        <w:t>period.</w:t>
      </w:r>
    </w:p>
    <w:p w:rsidR="00A548AD" w:rsidRDefault="00627A91" w:rsidP="00627A91">
      <w:pPr>
        <w:pStyle w:val="AERbulletlistfirststyle"/>
      </w:pPr>
      <w:r>
        <w:t xml:space="preserve">Scenario 4: </w:t>
      </w:r>
      <w:r w:rsidR="00A548AD">
        <w:t xml:space="preserve">Large fluctuations around </w:t>
      </w:r>
      <w:r w:rsidR="001C56B9">
        <w:t>starting spot rate</w:t>
      </w:r>
      <w:r w:rsidR="00A548AD">
        <w:t>.</w:t>
      </w:r>
    </w:p>
    <w:p w:rsidR="0032552B" w:rsidRDefault="0032552B" w:rsidP="00295A46">
      <w:r>
        <w:t xml:space="preserve">Hence, there are eight </w:t>
      </w:r>
      <w:r w:rsidR="00AD5DDD">
        <w:t xml:space="preserve">examples </w:t>
      </w:r>
      <w:r>
        <w:t xml:space="preserve">(two approaches by four scenarios) described below. In each </w:t>
      </w:r>
      <w:r w:rsidR="00AD5DDD">
        <w:t xml:space="preserve">example </w:t>
      </w:r>
      <w:r w:rsidR="005A2BD9">
        <w:t xml:space="preserve">we report </w:t>
      </w:r>
      <w:r>
        <w:t xml:space="preserve">the </w:t>
      </w:r>
      <w:r w:rsidR="001C3523">
        <w:t xml:space="preserve">annual </w:t>
      </w:r>
      <w:r>
        <w:t>change in real revenue across the five years of the regulatory control period</w:t>
      </w:r>
      <w:r w:rsidR="00AD5DDD">
        <w:t>, and show how this differs from the final decision outcome. The key consideration is the distribution of revenue within the regulatory control period, including the change in revenue from one year to the next.</w:t>
      </w:r>
    </w:p>
    <w:p w:rsidR="00AD5DDD" w:rsidRDefault="00AD5DDD" w:rsidP="00081541">
      <w:pPr>
        <w:pStyle w:val="HeadingOrange"/>
      </w:pPr>
      <w:r>
        <w:t>Starting basis</w:t>
      </w:r>
    </w:p>
    <w:p w:rsidR="00AD5DDD" w:rsidRDefault="00AD5DDD" w:rsidP="00295A46">
      <w:r>
        <w:t>All the examples start from the same basis, reflecting an illustrative AER final decision made just before the start of the regulatory control period. We use the distribution PTRM, which has sampl</w:t>
      </w:r>
      <w:r w:rsidR="00766B0C">
        <w:t xml:space="preserve">e data already included on the </w:t>
      </w:r>
      <w:r w:rsidR="00E011C0" w:rsidRPr="00766B0C">
        <w:rPr>
          <w:rStyle w:val="AERtextitalic"/>
        </w:rPr>
        <w:t>I</w:t>
      </w:r>
      <w:r w:rsidRPr="00766B0C">
        <w:rPr>
          <w:rStyle w:val="AERtextitalic"/>
        </w:rPr>
        <w:t>nput</w:t>
      </w:r>
      <w:r>
        <w:t xml:space="preserve"> </w:t>
      </w:r>
      <w:r w:rsidR="00E011C0">
        <w:t>work</w:t>
      </w:r>
      <w:r>
        <w:t xml:space="preserve">sheet. The form of control is </w:t>
      </w:r>
      <w:r w:rsidR="00854124">
        <w:t xml:space="preserve">a </w:t>
      </w:r>
      <w:r>
        <w:t>revenue cap.</w:t>
      </w:r>
    </w:p>
    <w:p w:rsidR="00C2398F" w:rsidRDefault="00854124" w:rsidP="00C2398F">
      <w:pPr>
        <w:pStyle w:val="AERbodytext"/>
      </w:pPr>
      <w:r>
        <w:t>We assume that for</w:t>
      </w:r>
      <w:r w:rsidR="00C2398F">
        <w:t xml:space="preserve"> </w:t>
      </w:r>
      <w:r w:rsidR="008B40CD">
        <w:t>the first year of the regulatory control period</w:t>
      </w:r>
      <w:r w:rsidR="00C2398F">
        <w:t>, the</w:t>
      </w:r>
      <w:r w:rsidR="00611DCF">
        <w:t xml:space="preserve"> current (spot) return on debt is 7.50 per cent</w:t>
      </w:r>
      <w:r w:rsidR="001C3523">
        <w:t>.</w:t>
      </w:r>
      <w:r w:rsidR="00611DCF">
        <w:rPr>
          <w:rStyle w:val="FootnoteReference"/>
        </w:rPr>
        <w:footnoteReference w:id="59"/>
      </w:r>
      <w:r w:rsidRPr="00854124">
        <w:t xml:space="preserve"> </w:t>
      </w:r>
      <w:r>
        <w:t>The return on debt across the previous nine years has varied year by year between 6.5 per cent and 8.5 per cent, and</w:t>
      </w:r>
      <w:r w:rsidR="00C2398F">
        <w:t xml:space="preserve"> the ten-year trailing average portfolio return on debt is 7.40 per cent, close to the current spot rate.</w:t>
      </w:r>
      <w:r w:rsidR="0040708A">
        <w:rPr>
          <w:rStyle w:val="FootnoteReference"/>
        </w:rPr>
        <w:footnoteReference w:id="60"/>
      </w:r>
    </w:p>
    <w:p w:rsidR="00C2398F" w:rsidRDefault="00C2398F" w:rsidP="00C2398F">
      <w:pPr>
        <w:pStyle w:val="AERbodytext"/>
      </w:pPr>
      <w:r>
        <w:t xml:space="preserve">With these inputs, the </w:t>
      </w:r>
      <w:r w:rsidR="008B40CD">
        <w:t xml:space="preserve">final decision </w:t>
      </w:r>
      <w:r w:rsidR="00917868">
        <w:t>sets</w:t>
      </w:r>
      <w:r w:rsidR="00081541">
        <w:t xml:space="preserve"> an X factor of –</w:t>
      </w:r>
      <w:r w:rsidR="008B40CD">
        <w:t xml:space="preserve">3.0 per cent </w:t>
      </w:r>
      <w:r w:rsidR="00E011C0">
        <w:t>for</w:t>
      </w:r>
      <w:r w:rsidR="008B40CD">
        <w:t xml:space="preserve"> year 1, and X</w:t>
      </w:r>
      <w:r w:rsidR="001C3523">
        <w:t> </w:t>
      </w:r>
      <w:r w:rsidR="008B40CD">
        <w:t>factors of 0 per cent for all other years.</w:t>
      </w:r>
      <w:r w:rsidR="00647538">
        <w:rPr>
          <w:rStyle w:val="FootnoteReference"/>
        </w:rPr>
        <w:footnoteReference w:id="61"/>
      </w:r>
      <w:r w:rsidR="008B40CD">
        <w:t xml:space="preserve"> </w:t>
      </w:r>
      <w:r w:rsidR="008B40CD">
        <w:fldChar w:fldCharType="begin"/>
      </w:r>
      <w:r w:rsidR="008B40CD">
        <w:instrText xml:space="preserve"> REF _Ref399946710 \h </w:instrText>
      </w:r>
      <w:r w:rsidR="008B40CD">
        <w:fldChar w:fldCharType="separate"/>
      </w:r>
      <w:r w:rsidR="00A36C35">
        <w:t xml:space="preserve">Figure </w:t>
      </w:r>
      <w:r w:rsidR="00A36C35">
        <w:rPr>
          <w:noProof/>
        </w:rPr>
        <w:t>1</w:t>
      </w:r>
      <w:r w:rsidR="008B40CD">
        <w:fldChar w:fldCharType="end"/>
      </w:r>
      <w:r w:rsidR="008B40CD">
        <w:t xml:space="preserve"> illustrates the relationship between debt costs and real revenue change at the final decision stage.</w:t>
      </w:r>
    </w:p>
    <w:p w:rsidR="00BD6B38" w:rsidRDefault="00BD6B38" w:rsidP="00611DCF">
      <w:pPr>
        <w:pStyle w:val="Caption"/>
      </w:pPr>
      <w:bookmarkStart w:id="47" w:name="_Ref399946710"/>
      <w:r>
        <w:t xml:space="preserve">Figure </w:t>
      </w:r>
      <w:fldSimple w:instr=" SEQ Figure \* ARABIC ">
        <w:r w:rsidR="00A36C35">
          <w:rPr>
            <w:noProof/>
          </w:rPr>
          <w:t>1</w:t>
        </w:r>
      </w:fldSimple>
      <w:bookmarkEnd w:id="47"/>
      <w:r>
        <w:tab/>
      </w:r>
      <w:r w:rsidR="008744DC">
        <w:t>Final decision—</w:t>
      </w:r>
      <w:r w:rsidR="00C2398F">
        <w:t xml:space="preserve">return on debt and </w:t>
      </w:r>
      <w:r w:rsidR="00917868">
        <w:t xml:space="preserve">annual </w:t>
      </w:r>
      <w:r w:rsidR="00C2398F">
        <w:t>real revenue change</w:t>
      </w:r>
    </w:p>
    <w:p w:rsidR="008B40CD" w:rsidRDefault="00190CB4" w:rsidP="008B40CD">
      <w:pPr>
        <w:pStyle w:val="AERtablesource"/>
      </w:pPr>
      <w:r w:rsidRPr="00190CB4">
        <w:rPr>
          <w:noProof/>
          <w:lang w:eastAsia="en-AU"/>
        </w:rPr>
        <w:drawing>
          <wp:inline distT="0" distB="0" distL="0" distR="0" wp14:anchorId="06A13BBA" wp14:editId="727CF7C8">
            <wp:extent cx="2844000" cy="1526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0" cy="1526400"/>
                    </a:xfrm>
                    <a:prstGeom prst="rect">
                      <a:avLst/>
                    </a:prstGeom>
                    <a:noFill/>
                  </pic:spPr>
                </pic:pic>
              </a:graphicData>
            </a:graphic>
          </wp:inline>
        </w:drawing>
      </w:r>
      <w:r w:rsidR="00C2398F" w:rsidRPr="008B40CD">
        <w:t xml:space="preserve"> </w:t>
      </w:r>
      <w:r>
        <w:rPr>
          <w:noProof/>
          <w:lang w:eastAsia="en-AU"/>
        </w:rPr>
        <w:drawing>
          <wp:inline distT="0" distB="0" distL="0" distR="0" wp14:anchorId="3F3AA0BF" wp14:editId="4735A391">
            <wp:extent cx="2844000" cy="1526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4000" cy="1526400"/>
                    </a:xfrm>
                    <a:prstGeom prst="rect">
                      <a:avLst/>
                    </a:prstGeom>
                    <a:noFill/>
                  </pic:spPr>
                </pic:pic>
              </a:graphicData>
            </a:graphic>
          </wp:inline>
        </w:drawing>
      </w:r>
    </w:p>
    <w:p w:rsidR="00611DCF" w:rsidRPr="008B40CD" w:rsidRDefault="00611DCF" w:rsidP="008B40CD">
      <w:pPr>
        <w:pStyle w:val="AERtablesource"/>
      </w:pPr>
      <w:r w:rsidRPr="008B40CD">
        <w:t xml:space="preserve">Source: </w:t>
      </w:r>
      <w:r w:rsidR="00E011C0">
        <w:tab/>
      </w:r>
      <w:r w:rsidRPr="008B40CD">
        <w:t>AER analysis.</w:t>
      </w:r>
    </w:p>
    <w:p w:rsidR="008B40CD" w:rsidRDefault="008B40CD" w:rsidP="0032552B">
      <w:r>
        <w:t xml:space="preserve">The left side of </w:t>
      </w:r>
      <w:r>
        <w:fldChar w:fldCharType="begin"/>
      </w:r>
      <w:r>
        <w:instrText xml:space="preserve"> REF _Ref399946710 \h </w:instrText>
      </w:r>
      <w:r>
        <w:fldChar w:fldCharType="separate"/>
      </w:r>
      <w:r w:rsidR="008744DC">
        <w:t>f</w:t>
      </w:r>
      <w:r>
        <w:t xml:space="preserve">igure </w:t>
      </w:r>
      <w:r w:rsidR="00901268">
        <w:t>1</w:t>
      </w:r>
      <w:r>
        <w:fldChar w:fldCharType="end"/>
      </w:r>
      <w:r>
        <w:t xml:space="preserve"> shows the portfolio return on debt</w:t>
      </w:r>
      <w:r w:rsidR="00550493">
        <w:t xml:space="preserve"> </w:t>
      </w:r>
      <w:r>
        <w:t>from the final decision (7.4 per cent)</w:t>
      </w:r>
      <w:r w:rsidR="00B00145">
        <w:t>. The</w:t>
      </w:r>
      <w:r>
        <w:t xml:space="preserve"> inherent projection in </w:t>
      </w:r>
      <w:r w:rsidR="00B00145">
        <w:t xml:space="preserve">the </w:t>
      </w:r>
      <w:r>
        <w:t xml:space="preserve">final decision </w:t>
      </w:r>
      <w:r w:rsidR="00B00145">
        <w:t xml:space="preserve">is </w:t>
      </w:r>
      <w:r>
        <w:t xml:space="preserve">that this </w:t>
      </w:r>
      <w:r w:rsidR="008744DC">
        <w:t xml:space="preserve">portfolio </w:t>
      </w:r>
      <w:r>
        <w:t xml:space="preserve">return on debt will continue across the regulatory control period. The right side of figure </w:t>
      </w:r>
      <w:r w:rsidR="00901268">
        <w:t>1</w:t>
      </w:r>
      <w:r>
        <w:t xml:space="preserve"> shows the </w:t>
      </w:r>
      <w:r w:rsidR="00647538">
        <w:t xml:space="preserve">annual </w:t>
      </w:r>
      <w:r>
        <w:t xml:space="preserve">real revenue change </w:t>
      </w:r>
      <w:r w:rsidR="00647538">
        <w:t xml:space="preserve">relative to the final decision </w:t>
      </w:r>
      <w:r w:rsidR="00550493">
        <w:t xml:space="preserve">(FD) </w:t>
      </w:r>
      <w:r w:rsidR="00647538">
        <w:t xml:space="preserve">revenue </w:t>
      </w:r>
      <w:r w:rsidR="0040708A">
        <w:t>outcome</w:t>
      </w:r>
      <w:r>
        <w:t xml:space="preserve">. </w:t>
      </w:r>
      <w:r w:rsidR="00647538">
        <w:t xml:space="preserve">Obviously, comparing the final decision against itself </w:t>
      </w:r>
      <w:r w:rsidR="0040708A">
        <w:t>results in 0 per cent difference for all years.</w:t>
      </w:r>
      <w:r w:rsidR="0040708A">
        <w:rPr>
          <w:rStyle w:val="FootnoteReference"/>
        </w:rPr>
        <w:footnoteReference w:id="62"/>
      </w:r>
      <w:r w:rsidR="0040708A">
        <w:t xml:space="preserve"> This figure is included to establish the baseline for comparison against outcomes under the four scenarios described next</w:t>
      </w:r>
      <w:r>
        <w:t>.</w:t>
      </w:r>
    </w:p>
    <w:p w:rsidR="0032552B" w:rsidRDefault="0032552B" w:rsidP="00081541">
      <w:pPr>
        <w:pStyle w:val="HeadingOrange"/>
      </w:pPr>
      <w:r>
        <w:lastRenderedPageBreak/>
        <w:t>Scenario 1: Sudden increase, then gradual decrease.</w:t>
      </w:r>
    </w:p>
    <w:p w:rsidR="002F6578" w:rsidRDefault="0032552B" w:rsidP="00F1119D">
      <w:r>
        <w:t xml:space="preserve">In year 1 the current (spot) return on debt is 7.5 per cent and the ten-year trailing average portfolio return on debt is 7.4 per cent (as in all scenarios). </w:t>
      </w:r>
      <w:r w:rsidR="00F1119D">
        <w:t>In year 2, the spot return on debt increases to 12 per cent.</w:t>
      </w:r>
      <w:r w:rsidR="00A36C35">
        <w:rPr>
          <w:rStyle w:val="FootnoteReference"/>
        </w:rPr>
        <w:footnoteReference w:id="63"/>
      </w:r>
      <w:r w:rsidR="00F1119D">
        <w:t xml:space="preserve"> The spot rate then gradually decreases from this high point across the remaining years of the regulatory control period, reaching 9 per cent in year five (still substantially above the long run average).</w:t>
      </w:r>
    </w:p>
    <w:p w:rsidR="00F1119D" w:rsidRDefault="0032552B" w:rsidP="00F1119D">
      <w:r>
        <w:t>As a result of these changes in spot rates, the ten-year trailing average portfolio return on debt will increase in each of the five years of the regulatory control period.</w:t>
      </w:r>
      <w:r w:rsidR="002F6578">
        <w:t xml:space="preserve"> The largest increases in the trailing average portfolio occur in the earlier years of the regulatory control period.</w:t>
      </w:r>
    </w:p>
    <w:p w:rsidR="008744DC" w:rsidRDefault="006E7FB5" w:rsidP="00F1119D">
      <w:r>
        <w:fldChar w:fldCharType="begin"/>
      </w:r>
      <w:r>
        <w:instrText xml:space="preserve"> REF _Ref399948409 \h </w:instrText>
      </w:r>
      <w:r>
        <w:fldChar w:fldCharType="separate"/>
      </w:r>
      <w:r w:rsidR="00A36C35">
        <w:t xml:space="preserve">Figure </w:t>
      </w:r>
      <w:r w:rsidR="00A36C35">
        <w:rPr>
          <w:noProof/>
        </w:rPr>
        <w:t>2</w:t>
      </w:r>
      <w:r>
        <w:fldChar w:fldCharType="end"/>
      </w:r>
      <w:r>
        <w:t xml:space="preserve"> </w:t>
      </w:r>
      <w:r w:rsidR="008744DC">
        <w:t>illustrates the relationship between debt costs and real revenue change for scenario 1.</w:t>
      </w:r>
    </w:p>
    <w:p w:rsidR="006E7FB5" w:rsidRDefault="006E7FB5" w:rsidP="006E7FB5">
      <w:pPr>
        <w:pStyle w:val="Caption"/>
      </w:pPr>
      <w:bookmarkStart w:id="49" w:name="_Ref399948409"/>
      <w:r>
        <w:t xml:space="preserve">Figure </w:t>
      </w:r>
      <w:fldSimple w:instr=" SEQ Figure \* ARABIC ">
        <w:r w:rsidR="00A36C35">
          <w:rPr>
            <w:noProof/>
          </w:rPr>
          <w:t>2</w:t>
        </w:r>
      </w:fldSimple>
      <w:bookmarkEnd w:id="49"/>
      <w:r>
        <w:tab/>
        <w:t xml:space="preserve">Scenario 1 outcome—return on debt and </w:t>
      </w:r>
      <w:r w:rsidR="00190CB4">
        <w:t xml:space="preserve">annual </w:t>
      </w:r>
      <w:r>
        <w:t>real revenue change</w:t>
      </w:r>
    </w:p>
    <w:p w:rsidR="008B40CD" w:rsidRDefault="00190CB4" w:rsidP="00F1119D">
      <w:r>
        <w:rPr>
          <w:noProof/>
          <w:lang w:eastAsia="en-AU"/>
        </w:rPr>
        <w:drawing>
          <wp:inline distT="0" distB="0" distL="0" distR="0" wp14:anchorId="6FD0C5E5" wp14:editId="3744C253">
            <wp:extent cx="2844000" cy="1526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4000" cy="1526400"/>
                    </a:xfrm>
                    <a:prstGeom prst="rect">
                      <a:avLst/>
                    </a:prstGeom>
                    <a:noFill/>
                  </pic:spPr>
                </pic:pic>
              </a:graphicData>
            </a:graphic>
          </wp:inline>
        </w:drawing>
      </w:r>
      <w:r w:rsidR="008744DC">
        <w:t xml:space="preserve"> </w:t>
      </w:r>
      <w:r w:rsidR="0040708A">
        <w:rPr>
          <w:noProof/>
          <w:lang w:eastAsia="en-AU"/>
        </w:rPr>
        <w:drawing>
          <wp:inline distT="0" distB="0" distL="0" distR="0" wp14:anchorId="63DFC5CA" wp14:editId="1AB3B5D8">
            <wp:extent cx="2844000" cy="152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4000" cy="1526400"/>
                    </a:xfrm>
                    <a:prstGeom prst="rect">
                      <a:avLst/>
                    </a:prstGeom>
                    <a:noFill/>
                  </pic:spPr>
                </pic:pic>
              </a:graphicData>
            </a:graphic>
          </wp:inline>
        </w:drawing>
      </w:r>
    </w:p>
    <w:p w:rsidR="006E7FB5" w:rsidRPr="008B40CD" w:rsidRDefault="006E7FB5" w:rsidP="006E7FB5">
      <w:pPr>
        <w:pStyle w:val="AERtablesource"/>
      </w:pPr>
      <w:r w:rsidRPr="008B40CD">
        <w:t xml:space="preserve">Source: </w:t>
      </w:r>
      <w:r w:rsidR="00901268">
        <w:tab/>
      </w:r>
      <w:r w:rsidRPr="008B40CD">
        <w:t>AER analysis.</w:t>
      </w:r>
    </w:p>
    <w:p w:rsidR="008744DC" w:rsidRDefault="006E7FB5" w:rsidP="00F1119D">
      <w:r>
        <w:t xml:space="preserve">The left side of </w:t>
      </w:r>
      <w:r>
        <w:fldChar w:fldCharType="begin"/>
      </w:r>
      <w:r>
        <w:instrText xml:space="preserve"> REF _Ref399948409 \h </w:instrText>
      </w:r>
      <w:r>
        <w:fldChar w:fldCharType="separate"/>
      </w:r>
      <w:r w:rsidR="00153518">
        <w:t xml:space="preserve">figure </w:t>
      </w:r>
      <w:r w:rsidR="00153518">
        <w:rPr>
          <w:noProof/>
        </w:rPr>
        <w:t>2</w:t>
      </w:r>
      <w:r>
        <w:fldChar w:fldCharType="end"/>
      </w:r>
      <w:r>
        <w:t xml:space="preserve"> shows the return on debt outcomes (spot rate</w:t>
      </w:r>
      <w:r w:rsidR="00190CB4">
        <w:t xml:space="preserve"> as orange markers,</w:t>
      </w:r>
      <w:r>
        <w:t xml:space="preserve"> and trailing average portfolio</w:t>
      </w:r>
      <w:r w:rsidR="00190CB4">
        <w:t xml:space="preserve"> as an orange line</w:t>
      </w:r>
      <w:r>
        <w:t>) across the regulatory</w:t>
      </w:r>
      <w:r w:rsidR="00901268">
        <w:t xml:space="preserve"> control</w:t>
      </w:r>
      <w:r>
        <w:t xml:space="preserve"> period. The right side of </w:t>
      </w:r>
      <w:r>
        <w:fldChar w:fldCharType="begin"/>
      </w:r>
      <w:r>
        <w:instrText xml:space="preserve"> REF _Ref399948409 \h </w:instrText>
      </w:r>
      <w:r>
        <w:fldChar w:fldCharType="separate"/>
      </w:r>
      <w:r w:rsidR="00153518">
        <w:t xml:space="preserve">figure </w:t>
      </w:r>
      <w:r w:rsidR="00153518">
        <w:rPr>
          <w:noProof/>
        </w:rPr>
        <w:t>2</w:t>
      </w:r>
      <w:r>
        <w:fldChar w:fldCharType="end"/>
      </w:r>
      <w:r>
        <w:t xml:space="preserve"> shows that in response to the increasing return on debt, the real revenue increases beyond the level set in the final decision</w:t>
      </w:r>
      <w:r w:rsidR="00081541">
        <w:t xml:space="preserve"> under either approach</w:t>
      </w:r>
      <w:r>
        <w:t>.</w:t>
      </w:r>
      <w:r w:rsidR="00081541">
        <w:t xml:space="preserve"> However, the two approaches differ markedly in their revenue profile:</w:t>
      </w:r>
    </w:p>
    <w:p w:rsidR="00081541" w:rsidRDefault="00081541" w:rsidP="00081541">
      <w:pPr>
        <w:pStyle w:val="AERbulletlistfirststyle"/>
      </w:pPr>
      <w:r>
        <w:t xml:space="preserve">Approach A </w:t>
      </w:r>
      <w:r w:rsidR="00A36C35">
        <w:t xml:space="preserve">(blue line) </w:t>
      </w:r>
      <w:r>
        <w:t xml:space="preserve">has a larger initial increase, coincident with the initial increase in debt costs. Real revenue increases by 2.6 per cent in </w:t>
      </w:r>
      <w:r w:rsidR="00190CB4">
        <w:t>year 2</w:t>
      </w:r>
      <w:r>
        <w:t xml:space="preserve"> and 2.1 per cent in </w:t>
      </w:r>
      <w:r w:rsidR="00190CB4">
        <w:t>year 3</w:t>
      </w:r>
      <w:r>
        <w:t>. Adjustments in later years are smaller as a result.</w:t>
      </w:r>
    </w:p>
    <w:p w:rsidR="00081541" w:rsidRDefault="00081541" w:rsidP="00081541">
      <w:pPr>
        <w:pStyle w:val="AERbulletlistfirststyle"/>
      </w:pPr>
      <w:r>
        <w:t xml:space="preserve">Approach B </w:t>
      </w:r>
      <w:r w:rsidR="00A36C35">
        <w:t xml:space="preserve">(green line) </w:t>
      </w:r>
      <w:r w:rsidRPr="00081541">
        <w:t xml:space="preserve">does not include a large increase in response to the initial debt cost shock, and effectively defers adjustments to later years. This eventually causes particularly large changes in year 4 </w:t>
      </w:r>
      <w:r>
        <w:t xml:space="preserve">(3.0 per cent) </w:t>
      </w:r>
      <w:r w:rsidRPr="00081541">
        <w:t>and year 5 (</w:t>
      </w:r>
      <w:r>
        <w:t>6.6 per cent</w:t>
      </w:r>
      <w:r w:rsidRPr="00081541">
        <w:t>).</w:t>
      </w:r>
    </w:p>
    <w:p w:rsidR="00A9238F" w:rsidRDefault="00A9238F" w:rsidP="00A9238F">
      <w:pPr>
        <w:pStyle w:val="AERbodytext"/>
      </w:pPr>
      <w:r>
        <w:t xml:space="preserve">In this scenario, the largest </w:t>
      </w:r>
      <w:r w:rsidR="001C56B9">
        <w:t>annual</w:t>
      </w:r>
      <w:r>
        <w:t xml:space="preserve"> changes occur at the end of the regulatory control period under approach B, reflecting the cumulative impact of </w:t>
      </w:r>
      <w:r w:rsidR="00917868">
        <w:t xml:space="preserve">deferred </w:t>
      </w:r>
      <w:r>
        <w:t xml:space="preserve">changes </w:t>
      </w:r>
      <w:r w:rsidR="00917868">
        <w:t xml:space="preserve">earlier in </w:t>
      </w:r>
      <w:r>
        <w:t>the period.</w:t>
      </w:r>
    </w:p>
    <w:p w:rsidR="0032552B" w:rsidRPr="00081541" w:rsidRDefault="0032552B" w:rsidP="00081541">
      <w:pPr>
        <w:pStyle w:val="HeadingOrange"/>
      </w:pPr>
      <w:r w:rsidRPr="00081541">
        <w:t xml:space="preserve">Scenario 2: Sudden increase, </w:t>
      </w:r>
      <w:r w:rsidR="00F1119D" w:rsidRPr="00081541">
        <w:t>then rapid decrease.</w:t>
      </w:r>
    </w:p>
    <w:p w:rsidR="002F6578" w:rsidRDefault="0032552B" w:rsidP="00F1119D">
      <w:r>
        <w:t xml:space="preserve">The spot </w:t>
      </w:r>
      <w:r w:rsidR="00F1119D">
        <w:t xml:space="preserve">return on debt increases </w:t>
      </w:r>
      <w:r w:rsidR="002F6578">
        <w:t xml:space="preserve">from 7.5 per cent </w:t>
      </w:r>
      <w:r>
        <w:t xml:space="preserve">in year 1 </w:t>
      </w:r>
      <w:r w:rsidR="00F1119D">
        <w:t>to 12 per cent</w:t>
      </w:r>
      <w:r w:rsidR="002F6578">
        <w:t xml:space="preserve"> </w:t>
      </w:r>
      <w:r>
        <w:t>in year 2</w:t>
      </w:r>
      <w:r w:rsidR="002F6578">
        <w:t xml:space="preserve">, which is identical to </w:t>
      </w:r>
      <w:r>
        <w:t xml:space="preserve">scenario 1. </w:t>
      </w:r>
      <w:r w:rsidR="00F1119D">
        <w:t xml:space="preserve">However, in scenario </w:t>
      </w:r>
      <w:r w:rsidR="002F6578">
        <w:t xml:space="preserve">3 there is then a rapid decrease in the return on debt, and by </w:t>
      </w:r>
      <w:r>
        <w:t xml:space="preserve">year 4 the spot return on debt is back to </w:t>
      </w:r>
      <w:r w:rsidR="002F6578">
        <w:t xml:space="preserve">7.5 per cent. In year 5 the return on debt is 7 per cent, </w:t>
      </w:r>
      <w:r w:rsidR="00A36C35">
        <w:t>still</w:t>
      </w:r>
      <w:r w:rsidR="002F6578">
        <w:t xml:space="preserve"> commensurate with previous conditions.</w:t>
      </w:r>
    </w:p>
    <w:p w:rsidR="00F1119D" w:rsidRDefault="002F6578" w:rsidP="00F1119D">
      <w:r>
        <w:lastRenderedPageBreak/>
        <w:t xml:space="preserve">As a result of this short lived </w:t>
      </w:r>
      <w:r w:rsidR="00901268">
        <w:t>increase</w:t>
      </w:r>
      <w:r>
        <w:t xml:space="preserve"> in debt costs, the trailing average portfolio return on debt will increase in years 2 and 3 but then decrease (slightly) in years 4 and 5.</w:t>
      </w:r>
    </w:p>
    <w:p w:rsidR="00A9238F" w:rsidRDefault="00A9238F" w:rsidP="00F1119D">
      <w:r>
        <w:fldChar w:fldCharType="begin"/>
      </w:r>
      <w:r>
        <w:instrText xml:space="preserve"> REF _Ref399950086 \h </w:instrText>
      </w:r>
      <w:r>
        <w:fldChar w:fldCharType="separate"/>
      </w:r>
      <w:r w:rsidR="00153518">
        <w:t xml:space="preserve">Figure </w:t>
      </w:r>
      <w:r w:rsidR="00153518">
        <w:rPr>
          <w:noProof/>
        </w:rPr>
        <w:t>3</w:t>
      </w:r>
      <w:r>
        <w:fldChar w:fldCharType="end"/>
      </w:r>
      <w:r>
        <w:t xml:space="preserve"> illustrates the relationship between debt costs and real revenue change for scenario 2.</w:t>
      </w:r>
    </w:p>
    <w:p w:rsidR="006E7FB5" w:rsidRDefault="006E7FB5" w:rsidP="006E7FB5">
      <w:pPr>
        <w:pStyle w:val="Caption"/>
      </w:pPr>
      <w:bookmarkStart w:id="50" w:name="_Ref399950086"/>
      <w:r>
        <w:t xml:space="preserve">Figure </w:t>
      </w:r>
      <w:fldSimple w:instr=" SEQ Figure \* ARABIC ">
        <w:r w:rsidR="00153518">
          <w:rPr>
            <w:noProof/>
          </w:rPr>
          <w:t>3</w:t>
        </w:r>
      </w:fldSimple>
      <w:bookmarkEnd w:id="50"/>
      <w:r>
        <w:tab/>
        <w:t xml:space="preserve">Scenario 2 outcome—return on debt and </w:t>
      </w:r>
      <w:r w:rsidR="00190CB4">
        <w:t xml:space="preserve">annual </w:t>
      </w:r>
      <w:r>
        <w:t>real revenue change</w:t>
      </w:r>
    </w:p>
    <w:p w:rsidR="006E7FB5" w:rsidRDefault="00190CB4" w:rsidP="006E7FB5">
      <w:r>
        <w:rPr>
          <w:noProof/>
          <w:lang w:eastAsia="en-AU"/>
        </w:rPr>
        <w:drawing>
          <wp:inline distT="0" distB="0" distL="0" distR="0" wp14:anchorId="7B53E2AD" wp14:editId="5C2C046D">
            <wp:extent cx="2844000" cy="1526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4000" cy="1526400"/>
                    </a:xfrm>
                    <a:prstGeom prst="rect">
                      <a:avLst/>
                    </a:prstGeom>
                    <a:noFill/>
                  </pic:spPr>
                </pic:pic>
              </a:graphicData>
            </a:graphic>
          </wp:inline>
        </w:drawing>
      </w:r>
      <w:r w:rsidR="006E7FB5">
        <w:t xml:space="preserve"> </w:t>
      </w:r>
      <w:r w:rsidR="0040708A">
        <w:rPr>
          <w:noProof/>
          <w:lang w:eastAsia="en-AU"/>
        </w:rPr>
        <w:drawing>
          <wp:inline distT="0" distB="0" distL="0" distR="0" wp14:anchorId="1FB2B3EC" wp14:editId="25AD34E9">
            <wp:extent cx="2844000" cy="1526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44000" cy="1526400"/>
                    </a:xfrm>
                    <a:prstGeom prst="rect">
                      <a:avLst/>
                    </a:prstGeom>
                    <a:noFill/>
                  </pic:spPr>
                </pic:pic>
              </a:graphicData>
            </a:graphic>
          </wp:inline>
        </w:drawing>
      </w:r>
    </w:p>
    <w:p w:rsidR="006E7FB5" w:rsidRPr="008B40CD" w:rsidRDefault="006E7FB5" w:rsidP="006E7FB5">
      <w:pPr>
        <w:pStyle w:val="AERtablesource"/>
      </w:pPr>
      <w:r w:rsidRPr="008B40CD">
        <w:t xml:space="preserve">Source: </w:t>
      </w:r>
      <w:r w:rsidR="00901268">
        <w:tab/>
      </w:r>
      <w:r w:rsidRPr="008B40CD">
        <w:t>AER analysis.</w:t>
      </w:r>
    </w:p>
    <w:p w:rsidR="006E7FB5" w:rsidRDefault="00A9238F" w:rsidP="00F1119D">
      <w:r>
        <w:t>As before, t</w:t>
      </w:r>
      <w:r w:rsidR="00081541">
        <w:t>he left side of</w:t>
      </w:r>
      <w:r>
        <w:t xml:space="preserve"> </w:t>
      </w:r>
      <w:r>
        <w:fldChar w:fldCharType="begin"/>
      </w:r>
      <w:r>
        <w:instrText xml:space="preserve"> REF _Ref399950086 \h </w:instrText>
      </w:r>
      <w:r>
        <w:fldChar w:fldCharType="separate"/>
      </w:r>
      <w:r w:rsidR="00153518">
        <w:t xml:space="preserve">figure </w:t>
      </w:r>
      <w:r w:rsidR="00153518">
        <w:rPr>
          <w:noProof/>
        </w:rPr>
        <w:t>3</w:t>
      </w:r>
      <w:r>
        <w:fldChar w:fldCharType="end"/>
      </w:r>
      <w:r w:rsidR="00081541">
        <w:t xml:space="preserve"> shows the return on debt outcomes (spot rate and trailing average portfolio</w:t>
      </w:r>
      <w:r w:rsidR="001C56B9">
        <w:t xml:space="preserve"> in orange</w:t>
      </w:r>
      <w:r w:rsidR="00081541">
        <w:t xml:space="preserve">) across the regulatory </w:t>
      </w:r>
      <w:r w:rsidR="00901268">
        <w:t xml:space="preserve">control </w:t>
      </w:r>
      <w:r w:rsidR="00081541">
        <w:t>period. The right side of</w:t>
      </w:r>
      <w:r>
        <w:t xml:space="preserve"> </w:t>
      </w:r>
      <w:r>
        <w:fldChar w:fldCharType="begin"/>
      </w:r>
      <w:r>
        <w:instrText xml:space="preserve"> REF _Ref399950086 \h </w:instrText>
      </w:r>
      <w:r>
        <w:fldChar w:fldCharType="separate"/>
      </w:r>
      <w:r w:rsidR="00153518">
        <w:t xml:space="preserve">figure </w:t>
      </w:r>
      <w:r w:rsidR="00153518">
        <w:rPr>
          <w:noProof/>
        </w:rPr>
        <w:t>3</w:t>
      </w:r>
      <w:r>
        <w:fldChar w:fldCharType="end"/>
      </w:r>
      <w:r w:rsidR="00081541">
        <w:t xml:space="preserve"> shows that in response to the increasing return on debt, the real revenue increases </w:t>
      </w:r>
      <w:r w:rsidR="00550493">
        <w:t>(relative to the final decision outcome) under either approach—</w:t>
      </w:r>
      <w:r>
        <w:t>though not as much as in scenario 1</w:t>
      </w:r>
      <w:r w:rsidR="00081541">
        <w:t>:</w:t>
      </w:r>
    </w:p>
    <w:p w:rsidR="00A9238F" w:rsidRDefault="00A9238F" w:rsidP="00A9238F">
      <w:pPr>
        <w:pStyle w:val="AERbulletlistfirststyle"/>
      </w:pPr>
      <w:r>
        <w:t xml:space="preserve">Approach A </w:t>
      </w:r>
      <w:r w:rsidR="00A36C35">
        <w:t xml:space="preserve">(blue line) </w:t>
      </w:r>
      <w:r>
        <w:t xml:space="preserve">has a larger initial increase, coincident with the initial increase in debt costs. Real revenue increases by 2.6 per cent in </w:t>
      </w:r>
      <w:r w:rsidR="001C56B9">
        <w:t>year 2</w:t>
      </w:r>
      <w:r>
        <w:t xml:space="preserve"> and 1.2 per cent in </w:t>
      </w:r>
      <w:r w:rsidR="001C56B9">
        <w:t>year 3</w:t>
      </w:r>
      <w:r>
        <w:t>. Adjustments in later years are slightly negative (</w:t>
      </w:r>
      <w:r w:rsidR="00B00145">
        <w:t>–</w:t>
      </w:r>
      <w:r>
        <w:t>0.2 per cent in years 4 and 5). This reflects the slight reductions in the portfolio cost of debt for those years.</w:t>
      </w:r>
    </w:p>
    <w:p w:rsidR="00A9238F" w:rsidRDefault="00A9238F" w:rsidP="00A9238F">
      <w:pPr>
        <w:pStyle w:val="AERbulletlistfirststyle"/>
      </w:pPr>
      <w:r>
        <w:t xml:space="preserve">Approach B </w:t>
      </w:r>
      <w:r w:rsidR="00A36C35">
        <w:t xml:space="preserve">(green line) </w:t>
      </w:r>
      <w:r w:rsidRPr="00081541">
        <w:t>does not include a large increase in response to the initial debt cost shock, and effectively defers adjustments to later years</w:t>
      </w:r>
      <w:r>
        <w:t xml:space="preserve"> as in scenario 1</w:t>
      </w:r>
      <w:r w:rsidRPr="00081541">
        <w:t xml:space="preserve">. </w:t>
      </w:r>
      <w:r>
        <w:t xml:space="preserve">However, the cumulative effect is not as large and the </w:t>
      </w:r>
      <w:r w:rsidRPr="00081541">
        <w:t xml:space="preserve">year 5 </w:t>
      </w:r>
      <w:r>
        <w:t>change is 3.4 per cent</w:t>
      </w:r>
      <w:r w:rsidRPr="00081541">
        <w:t>.</w:t>
      </w:r>
    </w:p>
    <w:p w:rsidR="00A9238F" w:rsidRDefault="000B1720" w:rsidP="00A9238F">
      <w:r>
        <w:t>A</w:t>
      </w:r>
      <w:r w:rsidR="00A36C35">
        <w:t xml:space="preserve">pproach </w:t>
      </w:r>
      <w:proofErr w:type="gramStart"/>
      <w:r>
        <w:t>A</w:t>
      </w:r>
      <w:proofErr w:type="gramEnd"/>
      <w:r>
        <w:t xml:space="preserve"> </w:t>
      </w:r>
      <w:r w:rsidR="00A36C35">
        <w:t>shows slight over-adjustment. The largest single year-on-year change occurs under approach</w:t>
      </w:r>
      <w:r>
        <w:t xml:space="preserve"> B</w:t>
      </w:r>
      <w:r w:rsidR="00A36C35">
        <w:t xml:space="preserve">. Broadly speaking, however, changes under approach </w:t>
      </w:r>
      <w:r>
        <w:t xml:space="preserve">A </w:t>
      </w:r>
      <w:r w:rsidR="00A36C35">
        <w:t>better align with debt market movements (increasing when the return on debt increases, and decreasing when the return on debt decreases).</w:t>
      </w:r>
    </w:p>
    <w:p w:rsidR="002F6578" w:rsidRDefault="00F1119D" w:rsidP="00081541">
      <w:pPr>
        <w:pStyle w:val="HeadingOrange"/>
      </w:pPr>
      <w:r>
        <w:t xml:space="preserve">Scenario 3: Gradual increase across the </w:t>
      </w:r>
      <w:r w:rsidR="002F6578">
        <w:t xml:space="preserve">regulatory </w:t>
      </w:r>
      <w:r w:rsidR="000B1720">
        <w:t xml:space="preserve">control </w:t>
      </w:r>
      <w:r w:rsidR="002F6578">
        <w:t>period.</w:t>
      </w:r>
    </w:p>
    <w:p w:rsidR="00F1119D" w:rsidRDefault="00F1119D" w:rsidP="00F1119D">
      <w:r>
        <w:t xml:space="preserve">Each year the spot return on debt increases by 1 per cent, climbing from 7.5 per cent in year 1 to </w:t>
      </w:r>
      <w:r w:rsidR="002F6578">
        <w:t xml:space="preserve">8.5 per cent in year 2 and eventually to </w:t>
      </w:r>
      <w:r>
        <w:t>11</w:t>
      </w:r>
      <w:r w:rsidR="002F6578">
        <w:t>.5 </w:t>
      </w:r>
      <w:r>
        <w:t xml:space="preserve">per cent </w:t>
      </w:r>
      <w:r w:rsidR="002F6578">
        <w:t>by</w:t>
      </w:r>
      <w:r>
        <w:t xml:space="preserve"> year 5.</w:t>
      </w:r>
    </w:p>
    <w:p w:rsidR="002F6578" w:rsidRDefault="002F6578" w:rsidP="002F6578">
      <w:r>
        <w:t>As a result of the ongoing increase in spot rates, the ten-year trailing average portfolio return on debt will increase in each of the five years of the regulatory control period. The largest increases in the trailing average portfolio occur in the later years of the regulatory control period.</w:t>
      </w:r>
    </w:p>
    <w:p w:rsidR="006E7FB5" w:rsidRDefault="00081541" w:rsidP="006E7FB5">
      <w:r>
        <w:fldChar w:fldCharType="begin"/>
      </w:r>
      <w:r>
        <w:instrText xml:space="preserve"> REF _Ref399949470 \h </w:instrText>
      </w:r>
      <w:r>
        <w:fldChar w:fldCharType="separate"/>
      </w:r>
      <w:r w:rsidR="00153518">
        <w:t xml:space="preserve">Figure </w:t>
      </w:r>
      <w:r w:rsidR="00153518">
        <w:rPr>
          <w:noProof/>
        </w:rPr>
        <w:t>4</w:t>
      </w:r>
      <w:r>
        <w:fldChar w:fldCharType="end"/>
      </w:r>
      <w:r>
        <w:t xml:space="preserve"> </w:t>
      </w:r>
      <w:r w:rsidR="006E7FB5">
        <w:t>illustrates the relationship between debt costs and real revenue change for scenario 3.</w:t>
      </w:r>
    </w:p>
    <w:p w:rsidR="006E7FB5" w:rsidRDefault="006E7FB5" w:rsidP="006E7FB5">
      <w:pPr>
        <w:pStyle w:val="Caption"/>
      </w:pPr>
      <w:bookmarkStart w:id="51" w:name="_Ref399949470"/>
      <w:bookmarkStart w:id="52" w:name="_Ref400023189"/>
      <w:r>
        <w:lastRenderedPageBreak/>
        <w:t xml:space="preserve">Figure </w:t>
      </w:r>
      <w:fldSimple w:instr=" SEQ Figure \* ARABIC ">
        <w:r w:rsidR="00153518">
          <w:rPr>
            <w:noProof/>
          </w:rPr>
          <w:t>4</w:t>
        </w:r>
      </w:fldSimple>
      <w:bookmarkEnd w:id="51"/>
      <w:r>
        <w:tab/>
        <w:t xml:space="preserve">Scenario 3 outcome—return on debt and </w:t>
      </w:r>
      <w:r w:rsidR="00190CB4">
        <w:t xml:space="preserve">annual </w:t>
      </w:r>
      <w:r>
        <w:t>real revenue change</w:t>
      </w:r>
      <w:bookmarkEnd w:id="52"/>
    </w:p>
    <w:p w:rsidR="006E7FB5" w:rsidRDefault="00190CB4" w:rsidP="006E7FB5">
      <w:r>
        <w:rPr>
          <w:noProof/>
          <w:lang w:eastAsia="en-AU"/>
        </w:rPr>
        <w:drawing>
          <wp:inline distT="0" distB="0" distL="0" distR="0" wp14:anchorId="00D38FC3" wp14:editId="4F3ED965">
            <wp:extent cx="2844000" cy="1530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4000" cy="1530000"/>
                    </a:xfrm>
                    <a:prstGeom prst="rect">
                      <a:avLst/>
                    </a:prstGeom>
                    <a:noFill/>
                  </pic:spPr>
                </pic:pic>
              </a:graphicData>
            </a:graphic>
          </wp:inline>
        </w:drawing>
      </w:r>
      <w:r w:rsidR="006E7FB5">
        <w:t xml:space="preserve"> </w:t>
      </w:r>
      <w:r w:rsidR="0040708A">
        <w:rPr>
          <w:noProof/>
          <w:lang w:eastAsia="en-AU"/>
        </w:rPr>
        <w:drawing>
          <wp:inline distT="0" distB="0" distL="0" distR="0" wp14:anchorId="3926E251" wp14:editId="23C50E93">
            <wp:extent cx="2844000" cy="1526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44000" cy="1526400"/>
                    </a:xfrm>
                    <a:prstGeom prst="rect">
                      <a:avLst/>
                    </a:prstGeom>
                    <a:noFill/>
                  </pic:spPr>
                </pic:pic>
              </a:graphicData>
            </a:graphic>
          </wp:inline>
        </w:drawing>
      </w:r>
    </w:p>
    <w:p w:rsidR="006E7FB5" w:rsidRPr="008B40CD" w:rsidRDefault="006E7FB5" w:rsidP="006E7FB5">
      <w:pPr>
        <w:pStyle w:val="AERtablesource"/>
      </w:pPr>
      <w:r w:rsidRPr="008B40CD">
        <w:t xml:space="preserve">Source: </w:t>
      </w:r>
      <w:r w:rsidR="000B1720">
        <w:tab/>
      </w:r>
      <w:r w:rsidRPr="008B40CD">
        <w:t>AER analysis.</w:t>
      </w:r>
    </w:p>
    <w:p w:rsidR="00A9238F" w:rsidRDefault="00917868" w:rsidP="00A9238F">
      <w:r>
        <w:t xml:space="preserve">As before, the left side of </w:t>
      </w:r>
      <w:r>
        <w:fldChar w:fldCharType="begin"/>
      </w:r>
      <w:r>
        <w:instrText xml:space="preserve"> REF _Ref399949470 \h </w:instrText>
      </w:r>
      <w:r>
        <w:fldChar w:fldCharType="separate"/>
      </w:r>
      <w:r>
        <w:t xml:space="preserve">figure </w:t>
      </w:r>
      <w:r>
        <w:rPr>
          <w:noProof/>
        </w:rPr>
        <w:t>4</w:t>
      </w:r>
      <w:r>
        <w:fldChar w:fldCharType="end"/>
      </w:r>
      <w:r>
        <w:t xml:space="preserve"> shows the return on debt outcomes (in orange). </w:t>
      </w:r>
      <w:r w:rsidR="00A9238F">
        <w:t xml:space="preserve">The right side of </w:t>
      </w:r>
      <w:r w:rsidR="00A9238F">
        <w:fldChar w:fldCharType="begin"/>
      </w:r>
      <w:r w:rsidR="00A9238F">
        <w:instrText xml:space="preserve"> REF _Ref399949470 \h </w:instrText>
      </w:r>
      <w:r w:rsidR="00A9238F">
        <w:fldChar w:fldCharType="separate"/>
      </w:r>
      <w:r w:rsidR="00153518">
        <w:t xml:space="preserve">figure </w:t>
      </w:r>
      <w:r w:rsidR="00153518">
        <w:rPr>
          <w:noProof/>
        </w:rPr>
        <w:t>4</w:t>
      </w:r>
      <w:r w:rsidR="00A9238F">
        <w:fldChar w:fldCharType="end"/>
      </w:r>
      <w:r w:rsidR="00A9238F">
        <w:t xml:space="preserve"> shows that in response to the increasing return on debt, the real revenue increases under either approach</w:t>
      </w:r>
      <w:r w:rsidR="00BF00BC">
        <w:t xml:space="preserve"> (relative to the final decision outcome)</w:t>
      </w:r>
      <w:r w:rsidR="00A9238F">
        <w:t>:</w:t>
      </w:r>
    </w:p>
    <w:p w:rsidR="00A9238F" w:rsidRDefault="00A9238F" w:rsidP="00A9238F">
      <w:pPr>
        <w:pStyle w:val="AERbulletlistfirststyle"/>
      </w:pPr>
      <w:r>
        <w:t xml:space="preserve">Approach A </w:t>
      </w:r>
      <w:r w:rsidR="00A36C35">
        <w:t>(blue line) has relatively constant change in real revenue. The increases in each year range between 0.9 per cent (year 2) and 1.9 per cent (year 5)</w:t>
      </w:r>
      <w:r>
        <w:t>.</w:t>
      </w:r>
    </w:p>
    <w:p w:rsidR="00A9238F" w:rsidRDefault="00A9238F" w:rsidP="00A9238F">
      <w:pPr>
        <w:pStyle w:val="AERbulletlistfirststyle"/>
      </w:pPr>
      <w:r>
        <w:t xml:space="preserve">Approach B </w:t>
      </w:r>
      <w:r w:rsidR="00A36C35">
        <w:t>(green line) has the same pattern of deferred changes observed in the earlier scenarios. The increase in year 2 is small, but by year 5 the increase (</w:t>
      </w:r>
      <w:r w:rsidR="00073208">
        <w:t>5.3 per cent) is more than double any other year.</w:t>
      </w:r>
    </w:p>
    <w:p w:rsidR="006E7FB5" w:rsidRDefault="00A36C35" w:rsidP="006E7FB5">
      <w:r>
        <w:t>In this scenario, the largest single year change occur</w:t>
      </w:r>
      <w:r w:rsidR="000B1720">
        <w:t>s</w:t>
      </w:r>
      <w:r>
        <w:t xml:space="preserve"> at the end of the regulatory control period under approach B, reflecting the cumulative impact of changes across the period.</w:t>
      </w:r>
    </w:p>
    <w:p w:rsidR="002F6578" w:rsidRDefault="00F1119D" w:rsidP="00081541">
      <w:pPr>
        <w:pStyle w:val="HeadingOrange"/>
      </w:pPr>
      <w:r>
        <w:t xml:space="preserve">Scenario 4: Large fluctuations around the </w:t>
      </w:r>
      <w:r w:rsidR="001C56B9">
        <w:t>starting spot rate</w:t>
      </w:r>
    </w:p>
    <w:p w:rsidR="002F6578" w:rsidRDefault="002F6578" w:rsidP="00F1119D">
      <w:r>
        <w:t>In year 1 the spot return on debt is 7.5 per cent</w:t>
      </w:r>
      <w:r w:rsidR="00F1195B">
        <w:t xml:space="preserve"> (as in all scenarios)</w:t>
      </w:r>
      <w:r>
        <w:t>. In this scenario, the spot rate in year 2 is also 7.5 per cent, but then there is a decrease to 5 per cent in year 3. In year 4, debt costs increase to 10 per cent, before another decrease</w:t>
      </w:r>
      <w:r w:rsidR="00F1195B">
        <w:t xml:space="preserve"> to 5.5 per cent for year 5. Hence, there are large fluctuations above and below the initial spot return on debt.</w:t>
      </w:r>
    </w:p>
    <w:p w:rsidR="00F1119D" w:rsidRDefault="00F1195B" w:rsidP="00F1119D">
      <w:r>
        <w:t xml:space="preserve">In year 1, the </w:t>
      </w:r>
      <w:r w:rsidR="002F6578">
        <w:t xml:space="preserve">trailing </w:t>
      </w:r>
      <w:r>
        <w:t xml:space="preserve">average </w:t>
      </w:r>
      <w:r w:rsidR="002F6578">
        <w:t>port</w:t>
      </w:r>
      <w:r>
        <w:t>folio return on debt</w:t>
      </w:r>
      <w:r w:rsidR="002F6578">
        <w:t xml:space="preserve"> </w:t>
      </w:r>
      <w:r>
        <w:t xml:space="preserve">is 7.4 per cent </w:t>
      </w:r>
      <w:r w:rsidR="002F6578">
        <w:t xml:space="preserve">(as in all scenarios). As a result of these changes in spot rates, the </w:t>
      </w:r>
      <w:r>
        <w:t xml:space="preserve">trailing average </w:t>
      </w:r>
      <w:r w:rsidR="002F6578">
        <w:t xml:space="preserve">portfolio return on debt will </w:t>
      </w:r>
      <w:r>
        <w:t>b</w:t>
      </w:r>
      <w:r w:rsidR="000B1720">
        <w:t>e</w:t>
      </w:r>
      <w:r>
        <w:t xml:space="preserve"> 7.5 per cent in years 2 and 4, and 7.3 per cent in year 3 and 5. That is, the </w:t>
      </w:r>
      <w:r w:rsidR="00F1119D">
        <w:t xml:space="preserve">return on debt oscillates </w:t>
      </w:r>
      <w:r>
        <w:t>above and below the starting value.</w:t>
      </w:r>
    </w:p>
    <w:p w:rsidR="00A548AD" w:rsidRDefault="00F1195B" w:rsidP="00295A46">
      <w:r>
        <w:t xml:space="preserve">Note that from year 1 to year 2 in this scenario, the spot rate is unchanged (at 7.5 per cent) but the portfolio return on debt does change (from 7.4 per cent to 7.5 per cent). This occurs because the trailing average no longer includes the spot return on debt from nine years before year 1. This year drops out of the ten year trailing average </w:t>
      </w:r>
      <w:r w:rsidR="000F4708">
        <w:t xml:space="preserve">portfolio, </w:t>
      </w:r>
      <w:r>
        <w:t>and is replaced by year 2. The return on debt in that year was 6.5 per cent,</w:t>
      </w:r>
      <w:r w:rsidR="000F4708">
        <w:t xml:space="preserve"> but</w:t>
      </w:r>
      <w:r>
        <w:t xml:space="preserve"> </w:t>
      </w:r>
      <w:r w:rsidR="000F4708">
        <w:t>the replacement (year 2) return on debt is 7.5 per cent, so the ten year average increases</w:t>
      </w:r>
      <w:r>
        <w:t>.</w:t>
      </w:r>
      <w:r w:rsidR="000F4708">
        <w:t xml:space="preserve"> This illustrates an important point that affects all scenarios—it is the difference between the return on debt exiting the portfolio and the return on debt entering the portfolio that determines the movement in the trailing average.</w:t>
      </w:r>
      <w:r w:rsidR="000F4708">
        <w:rPr>
          <w:rStyle w:val="FootnoteReference"/>
        </w:rPr>
        <w:footnoteReference w:id="64"/>
      </w:r>
    </w:p>
    <w:p w:rsidR="006E7FB5" w:rsidRDefault="00081541" w:rsidP="006E7FB5">
      <w:r>
        <w:lastRenderedPageBreak/>
        <w:fldChar w:fldCharType="begin"/>
      </w:r>
      <w:r>
        <w:instrText xml:space="preserve"> REF _Ref399949459 \h </w:instrText>
      </w:r>
      <w:r>
        <w:fldChar w:fldCharType="separate"/>
      </w:r>
      <w:r w:rsidR="00153518">
        <w:t xml:space="preserve">Figure </w:t>
      </w:r>
      <w:r w:rsidR="00153518">
        <w:rPr>
          <w:noProof/>
        </w:rPr>
        <w:t>5</w:t>
      </w:r>
      <w:r>
        <w:fldChar w:fldCharType="end"/>
      </w:r>
      <w:r>
        <w:t xml:space="preserve"> </w:t>
      </w:r>
      <w:r w:rsidR="006E7FB5">
        <w:t xml:space="preserve">illustrates the relationship between debt costs and real revenue change for scenario </w:t>
      </w:r>
      <w:r w:rsidR="001C56B9">
        <w:t>4</w:t>
      </w:r>
      <w:r w:rsidR="006E7FB5">
        <w:t>.</w:t>
      </w:r>
    </w:p>
    <w:p w:rsidR="006E7FB5" w:rsidRDefault="006E7FB5" w:rsidP="006E7FB5">
      <w:pPr>
        <w:pStyle w:val="Caption"/>
      </w:pPr>
      <w:bookmarkStart w:id="53" w:name="_Ref399949459"/>
      <w:r>
        <w:t xml:space="preserve">Figure </w:t>
      </w:r>
      <w:fldSimple w:instr=" SEQ Figure \* ARABIC ">
        <w:r w:rsidR="00153518">
          <w:rPr>
            <w:noProof/>
          </w:rPr>
          <w:t>5</w:t>
        </w:r>
      </w:fldSimple>
      <w:bookmarkEnd w:id="53"/>
      <w:r>
        <w:tab/>
        <w:t xml:space="preserve">Scenario 4 outcome—return on debt and </w:t>
      </w:r>
      <w:r w:rsidR="00190CB4">
        <w:t xml:space="preserve">annual </w:t>
      </w:r>
      <w:r>
        <w:t>real revenue change</w:t>
      </w:r>
    </w:p>
    <w:p w:rsidR="006E7FB5" w:rsidRDefault="00190CB4" w:rsidP="006E7FB5">
      <w:r>
        <w:rPr>
          <w:noProof/>
          <w:lang w:eastAsia="en-AU"/>
        </w:rPr>
        <w:drawing>
          <wp:inline distT="0" distB="0" distL="0" distR="0" wp14:anchorId="59CCEC60" wp14:editId="259509F3">
            <wp:extent cx="2844000" cy="1530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44000" cy="1530000"/>
                    </a:xfrm>
                    <a:prstGeom prst="rect">
                      <a:avLst/>
                    </a:prstGeom>
                    <a:noFill/>
                  </pic:spPr>
                </pic:pic>
              </a:graphicData>
            </a:graphic>
          </wp:inline>
        </w:drawing>
      </w:r>
      <w:r w:rsidR="006E7FB5">
        <w:t xml:space="preserve"> </w:t>
      </w:r>
      <w:r w:rsidR="0040708A">
        <w:rPr>
          <w:noProof/>
          <w:lang w:eastAsia="en-AU"/>
        </w:rPr>
        <w:drawing>
          <wp:inline distT="0" distB="0" distL="0" distR="0" wp14:anchorId="61AB7868" wp14:editId="0A37126A">
            <wp:extent cx="2844000" cy="1526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44000" cy="1526400"/>
                    </a:xfrm>
                    <a:prstGeom prst="rect">
                      <a:avLst/>
                    </a:prstGeom>
                    <a:noFill/>
                  </pic:spPr>
                </pic:pic>
              </a:graphicData>
            </a:graphic>
          </wp:inline>
        </w:drawing>
      </w:r>
    </w:p>
    <w:p w:rsidR="006E7FB5" w:rsidRPr="008B40CD" w:rsidRDefault="006E7FB5" w:rsidP="006E7FB5">
      <w:pPr>
        <w:pStyle w:val="AERtablesource"/>
      </w:pPr>
      <w:r w:rsidRPr="008B40CD">
        <w:t xml:space="preserve">Source: </w:t>
      </w:r>
      <w:r w:rsidR="000B1720">
        <w:tab/>
      </w:r>
      <w:r w:rsidRPr="008B40CD">
        <w:t>AER analysis.</w:t>
      </w:r>
    </w:p>
    <w:p w:rsidR="00A9238F" w:rsidRDefault="00917868" w:rsidP="00A9238F">
      <w:r>
        <w:t xml:space="preserve">As before, the left side of </w:t>
      </w:r>
      <w:r>
        <w:fldChar w:fldCharType="begin"/>
      </w:r>
      <w:r>
        <w:instrText xml:space="preserve"> REF _Ref399949459 \h </w:instrText>
      </w:r>
      <w:r>
        <w:fldChar w:fldCharType="separate"/>
      </w:r>
      <w:r w:rsidR="00550493">
        <w:t xml:space="preserve">figure </w:t>
      </w:r>
      <w:r w:rsidR="00550493">
        <w:rPr>
          <w:noProof/>
        </w:rPr>
        <w:t>5</w:t>
      </w:r>
      <w:r>
        <w:fldChar w:fldCharType="end"/>
      </w:r>
      <w:r>
        <w:t xml:space="preserve"> shows the return on debt outcomes (in orange). Note that although the fluctuations in the spot return on debt (orange markers) are large, they induce only minimal fluctuations in the portfolio return on debt (orange line). </w:t>
      </w:r>
      <w:r w:rsidR="00A9238F">
        <w:t xml:space="preserve">The right side of </w:t>
      </w:r>
      <w:r w:rsidR="00A9238F">
        <w:fldChar w:fldCharType="begin"/>
      </w:r>
      <w:r w:rsidR="00A9238F">
        <w:instrText xml:space="preserve"> REF _Ref399949459 \h </w:instrText>
      </w:r>
      <w:r w:rsidR="00A9238F">
        <w:fldChar w:fldCharType="separate"/>
      </w:r>
      <w:r w:rsidR="00153518">
        <w:t xml:space="preserve">figure </w:t>
      </w:r>
      <w:r w:rsidR="00153518">
        <w:rPr>
          <w:noProof/>
        </w:rPr>
        <w:t>5</w:t>
      </w:r>
      <w:r w:rsidR="00A9238F">
        <w:fldChar w:fldCharType="end"/>
      </w:r>
      <w:r w:rsidR="00A9238F">
        <w:t xml:space="preserve"> shows that in response to the </w:t>
      </w:r>
      <w:r w:rsidR="00073208">
        <w:t>fluctuating</w:t>
      </w:r>
      <w:r w:rsidR="00A9238F">
        <w:t xml:space="preserve"> return on debt, the real revenue </w:t>
      </w:r>
      <w:r w:rsidR="00073208">
        <w:t xml:space="preserve">fluctuates </w:t>
      </w:r>
      <w:r w:rsidR="00A9238F">
        <w:t>under either approach</w:t>
      </w:r>
      <w:r w:rsidR="00BF00BC">
        <w:t>, moving both above and below the final decision outcome</w:t>
      </w:r>
      <w:r w:rsidR="00A9238F">
        <w:t>:</w:t>
      </w:r>
    </w:p>
    <w:p w:rsidR="00A9238F" w:rsidRDefault="00A9238F" w:rsidP="00A9238F">
      <w:pPr>
        <w:pStyle w:val="AERbulletlistfirststyle"/>
      </w:pPr>
      <w:r>
        <w:t xml:space="preserve">Approach </w:t>
      </w:r>
      <w:proofErr w:type="gramStart"/>
      <w:r>
        <w:t>A</w:t>
      </w:r>
      <w:proofErr w:type="gramEnd"/>
      <w:r>
        <w:t xml:space="preserve"> </w:t>
      </w:r>
      <w:r w:rsidR="00697432">
        <w:t xml:space="preserve">(blue line) </w:t>
      </w:r>
      <w:r>
        <w:t xml:space="preserve">has </w:t>
      </w:r>
      <w:r w:rsidR="00073208">
        <w:t>larger changes, positive and negative</w:t>
      </w:r>
      <w:r w:rsidR="00697432">
        <w:t xml:space="preserve"> than approach B</w:t>
      </w:r>
      <w:r>
        <w:t>.</w:t>
      </w:r>
      <w:r w:rsidR="00697432">
        <w:t xml:space="preserve"> The particular concern is that the change in one year is reversed in the next, noting that this pattern is also evident in debt market outcomes.</w:t>
      </w:r>
    </w:p>
    <w:p w:rsidR="00A9238F" w:rsidRDefault="00A9238F" w:rsidP="00A9238F">
      <w:pPr>
        <w:pStyle w:val="AERbulletlistfirststyle"/>
      </w:pPr>
      <w:r>
        <w:t xml:space="preserve">Approach B </w:t>
      </w:r>
      <w:r w:rsidR="00697432">
        <w:t xml:space="preserve">(green line) </w:t>
      </w:r>
      <w:r w:rsidR="00073208">
        <w:t>has smaller changes, pos</w:t>
      </w:r>
      <w:r w:rsidR="00697432">
        <w:t>i</w:t>
      </w:r>
      <w:r w:rsidR="00073208">
        <w:t xml:space="preserve">tive and negative, than approach </w:t>
      </w:r>
      <w:r w:rsidR="008A4C5C">
        <w:t>A</w:t>
      </w:r>
      <w:r w:rsidR="00073208">
        <w:t xml:space="preserve">. </w:t>
      </w:r>
      <w:r w:rsidR="00697432">
        <w:t xml:space="preserve">Since the portfolio return on debt </w:t>
      </w:r>
      <w:r w:rsidR="008A4C5C">
        <w:t xml:space="preserve">over the regulatory control period </w:t>
      </w:r>
      <w:r w:rsidR="00697432">
        <w:t xml:space="preserve">varies around the starting return on debt, the difference between forecast </w:t>
      </w:r>
      <w:r w:rsidR="008A4C5C">
        <w:t xml:space="preserve">at the final decision </w:t>
      </w:r>
      <w:r w:rsidR="00697432">
        <w:t xml:space="preserve">and </w:t>
      </w:r>
      <w:r w:rsidR="008A4C5C">
        <w:t xml:space="preserve">the </w:t>
      </w:r>
      <w:r w:rsidR="00697432">
        <w:t xml:space="preserve">outcome </w:t>
      </w:r>
      <w:r w:rsidR="008A4C5C">
        <w:t xml:space="preserve">of the annual update </w:t>
      </w:r>
      <w:r w:rsidR="00697432">
        <w:t>is minimised and changes are very small</w:t>
      </w:r>
      <w:r w:rsidRPr="00081541">
        <w:t>.</w:t>
      </w:r>
    </w:p>
    <w:p w:rsidR="00A9238F" w:rsidRDefault="00697432" w:rsidP="00A9238F">
      <w:r>
        <w:t>In this scenario approach B appears to minimise volatility.</w:t>
      </w:r>
    </w:p>
    <w:p w:rsidR="00A548AD" w:rsidRDefault="00146C9A" w:rsidP="00153518">
      <w:pPr>
        <w:pStyle w:val="HeadingOrange"/>
      </w:pPr>
      <w:r>
        <w:t>Additional scenarios</w:t>
      </w:r>
    </w:p>
    <w:p w:rsidR="00556356" w:rsidRDefault="00556356" w:rsidP="00295A46">
      <w:r>
        <w:t xml:space="preserve">The four scenarios above show relative large movements in the spot return on debt from year to year, relative to </w:t>
      </w:r>
      <w:r w:rsidR="00462298">
        <w:t xml:space="preserve">real world </w:t>
      </w:r>
      <w:r>
        <w:t xml:space="preserve">observed debt market movements. In this sense they are 'extreme' scenarios. Smaller changes in the spot return on debt would produce commensurately smaller changes in real revenue, but the general pattern would not change. The scenarios also illustrate the extent to which a change in the spot return on debt is reflected in the trailing average portfolio return. Since the trailing average includes ten measurements, </w:t>
      </w:r>
      <w:r w:rsidR="00790760">
        <w:t xml:space="preserve">even a large single </w:t>
      </w:r>
      <w:r>
        <w:t xml:space="preserve">year change in </w:t>
      </w:r>
      <w:r w:rsidR="00790760">
        <w:t>the spot return on debt produces a much smaller change in the portfolio return on debt.</w:t>
      </w:r>
    </w:p>
    <w:p w:rsidR="00FF0C86" w:rsidRDefault="00697432" w:rsidP="00746797">
      <w:r>
        <w:t xml:space="preserve">The </w:t>
      </w:r>
      <w:r w:rsidR="005A2BD9">
        <w:t xml:space="preserve">mechanism underlying the annual debt update (and X factor calculation) is symmetrical, so </w:t>
      </w:r>
      <w:r>
        <w:t xml:space="preserve">these illustrative scenarios also provide a means to </w:t>
      </w:r>
      <w:r w:rsidR="001C56B9">
        <w:t>infer</w:t>
      </w:r>
      <w:r>
        <w:t xml:space="preserve"> the outcomes under 'inverse' scenarios where the movements in the return on debt are the exact opposite of those depicted </w:t>
      </w:r>
      <w:r w:rsidR="00FE7E3C">
        <w:t>scenarios in this attachment</w:t>
      </w:r>
      <w:r>
        <w:t>. For example, t</w:t>
      </w:r>
      <w:r w:rsidR="005A2BD9">
        <w:t>he inverse of scenario 1 is a sudden decrease, then gradual increase</w:t>
      </w:r>
      <w:r w:rsidR="001C56B9">
        <w:t>, in the spot return on debt</w:t>
      </w:r>
      <w:r w:rsidR="005A2BD9">
        <w:t xml:space="preserve">. </w:t>
      </w:r>
      <w:r>
        <w:t xml:space="preserve">In such a situation, the direction of changes in real revenue will reverse, but the magnitude of the changes will </w:t>
      </w:r>
      <w:r w:rsidR="001C56B9">
        <w:t>be the same</w:t>
      </w:r>
      <w:r>
        <w:t xml:space="preserve">. </w:t>
      </w:r>
    </w:p>
    <w:p w:rsidR="00C702AD" w:rsidRDefault="00CE42E7" w:rsidP="002609DE">
      <w:pPr>
        <w:pStyle w:val="UnnumberedHeading"/>
      </w:pPr>
      <w:bookmarkStart w:id="54" w:name="_Toc395861699"/>
      <w:bookmarkStart w:id="55" w:name="_Toc400025145"/>
      <w:r>
        <w:lastRenderedPageBreak/>
        <w:t>Appendices</w:t>
      </w:r>
      <w:bookmarkEnd w:id="54"/>
      <w:bookmarkEnd w:id="55"/>
    </w:p>
    <w:p w:rsidR="002208AD" w:rsidRPr="002208AD" w:rsidRDefault="002208AD" w:rsidP="000B6708">
      <w:pPr>
        <w:pStyle w:val="AERbodytext"/>
      </w:pPr>
      <w:r>
        <w:t xml:space="preserve">The appendices include the proposed models and handbooks. As noted above, the proposed models include a </w:t>
      </w:r>
      <w:r w:rsidR="00520C3F">
        <w:rPr>
          <w:rStyle w:val="AERtextitalic"/>
        </w:rPr>
        <w:t>C</w:t>
      </w:r>
      <w:r w:rsidRPr="000B6708">
        <w:rPr>
          <w:rStyle w:val="AERtextitalic"/>
        </w:rPr>
        <w:t>hange log</w:t>
      </w:r>
      <w:r>
        <w:t xml:space="preserve"> </w:t>
      </w:r>
      <w:r w:rsidR="00534476">
        <w:t>work</w:t>
      </w:r>
      <w:r w:rsidR="000B6708">
        <w:t xml:space="preserve">sheet </w:t>
      </w:r>
      <w:r>
        <w:t>that will be removed from the final version</w:t>
      </w:r>
      <w:r w:rsidR="000B6708">
        <w:t>, with only a high level summary</w:t>
      </w:r>
      <w:r w:rsidR="003A594E">
        <w:t xml:space="preserve"> of changes</w:t>
      </w:r>
      <w:r w:rsidR="000B6708">
        <w:t xml:space="preserve"> in the</w:t>
      </w:r>
      <w:r w:rsidR="000B6708" w:rsidRPr="000B6708">
        <w:rPr>
          <w:rStyle w:val="AERtextitalic"/>
        </w:rPr>
        <w:t xml:space="preserve"> Intro</w:t>
      </w:r>
      <w:r w:rsidR="000B6708">
        <w:t xml:space="preserve"> </w:t>
      </w:r>
      <w:r w:rsidR="00534476">
        <w:t>work</w:t>
      </w:r>
      <w:r w:rsidR="000B6708">
        <w:t xml:space="preserve">sheet. </w:t>
      </w:r>
      <w:r>
        <w:t>The proposed handbooks currently include highlighted text to indicate where</w:t>
      </w:r>
      <w:r w:rsidR="000B6708">
        <w:t xml:space="preserve"> proposed</w:t>
      </w:r>
      <w:r>
        <w:t xml:space="preserve"> changes were made. This highlighting will be removed </w:t>
      </w:r>
      <w:r w:rsidR="003A594E">
        <w:t>for the final decision</w:t>
      </w:r>
      <w:r>
        <w:t>.</w:t>
      </w:r>
    </w:p>
    <w:p w:rsidR="00DD6F68" w:rsidRDefault="00CE42E7" w:rsidP="00E23724">
      <w:pPr>
        <w:pStyle w:val="Heading3"/>
        <w:numPr>
          <w:ilvl w:val="0"/>
          <w:numId w:val="0"/>
        </w:numPr>
      </w:pPr>
      <w:bookmarkStart w:id="56" w:name="_Toc400025146"/>
      <w:r>
        <w:t>Appendix A: Post-tax revenue model (</w:t>
      </w:r>
      <w:r w:rsidR="00140701">
        <w:t>t</w:t>
      </w:r>
      <w:r>
        <w:t>ransmission)</w:t>
      </w:r>
      <w:bookmarkEnd w:id="56"/>
    </w:p>
    <w:p w:rsidR="007113BD" w:rsidRDefault="00CE42E7" w:rsidP="00E23724">
      <w:pPr>
        <w:pStyle w:val="Heading3"/>
        <w:numPr>
          <w:ilvl w:val="0"/>
          <w:numId w:val="0"/>
        </w:numPr>
      </w:pPr>
      <w:bookmarkStart w:id="57" w:name="_Toc400025147"/>
      <w:r>
        <w:t>Appendix B</w:t>
      </w:r>
      <w:r w:rsidRPr="00CE42E7">
        <w:t>: Post-tax revenue model (</w:t>
      </w:r>
      <w:r w:rsidR="00140701">
        <w:t>d</w:t>
      </w:r>
      <w:r>
        <w:t>istribut</w:t>
      </w:r>
      <w:r w:rsidRPr="00CE42E7">
        <w:t>ion)</w:t>
      </w:r>
      <w:bookmarkEnd w:id="16"/>
      <w:bookmarkEnd w:id="17"/>
      <w:bookmarkEnd w:id="57"/>
    </w:p>
    <w:p w:rsidR="00CE42E7" w:rsidRDefault="00CE42E7" w:rsidP="00E23724">
      <w:pPr>
        <w:pStyle w:val="Heading3"/>
        <w:numPr>
          <w:ilvl w:val="0"/>
          <w:numId w:val="0"/>
        </w:numPr>
      </w:pPr>
      <w:bookmarkStart w:id="58" w:name="_Toc400025148"/>
      <w:r>
        <w:t>Appendix C</w:t>
      </w:r>
      <w:r w:rsidRPr="00CE42E7">
        <w:t xml:space="preserve">: Post-tax revenue model </w:t>
      </w:r>
      <w:r>
        <w:t xml:space="preserve">handbook </w:t>
      </w:r>
      <w:r w:rsidRPr="00CE42E7">
        <w:t>(</w:t>
      </w:r>
      <w:r w:rsidR="00140701">
        <w:t>t</w:t>
      </w:r>
      <w:r w:rsidRPr="00CE42E7">
        <w:t>ransmission)</w:t>
      </w:r>
      <w:bookmarkEnd w:id="58"/>
    </w:p>
    <w:p w:rsidR="00CE42E7" w:rsidRPr="00CE42E7" w:rsidRDefault="00CE42E7" w:rsidP="00E23724">
      <w:pPr>
        <w:pStyle w:val="Heading3"/>
        <w:numPr>
          <w:ilvl w:val="0"/>
          <w:numId w:val="0"/>
        </w:numPr>
      </w:pPr>
      <w:bookmarkStart w:id="59" w:name="_Toc400025149"/>
      <w:r>
        <w:t>Appendix D</w:t>
      </w:r>
      <w:r w:rsidRPr="00CE42E7">
        <w:t xml:space="preserve">: Post-tax revenue model </w:t>
      </w:r>
      <w:r>
        <w:t>handbook (</w:t>
      </w:r>
      <w:r w:rsidR="00140701">
        <w:t>d</w:t>
      </w:r>
      <w:r>
        <w:t>istribut</w:t>
      </w:r>
      <w:r w:rsidRPr="00CE42E7">
        <w:t>ion)</w:t>
      </w:r>
      <w:bookmarkEnd w:id="59"/>
    </w:p>
    <w:p w:rsidR="00CE42E7" w:rsidRPr="00CE42E7" w:rsidRDefault="00CE42E7" w:rsidP="00CE42E7">
      <w:pPr>
        <w:pStyle w:val="AERbodytext"/>
        <w:numPr>
          <w:ilvl w:val="0"/>
          <w:numId w:val="0"/>
        </w:numPr>
      </w:pPr>
    </w:p>
    <w:sectPr w:rsidR="00CE42E7" w:rsidRPr="00CE42E7" w:rsidSect="00456081">
      <w:footerReference w:type="even"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B0C" w:rsidRPr="00AB4345" w:rsidRDefault="00766B0C" w:rsidP="00AB4345">
      <w:r>
        <w:separator/>
      </w:r>
    </w:p>
  </w:endnote>
  <w:endnote w:type="continuationSeparator" w:id="0">
    <w:p w:rsidR="00766B0C" w:rsidRPr="00AB4345" w:rsidRDefault="00766B0C"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Content>
      <w:p w:rsidR="00766B0C" w:rsidRPr="00824CC8" w:rsidRDefault="00766B0C" w:rsidP="00824CC8">
        <w:pPr>
          <w:pStyle w:val="Footer"/>
        </w:pPr>
        <w:r w:rsidRPr="00824CC8">
          <w:fldChar w:fldCharType="begin"/>
        </w:r>
        <w:r w:rsidRPr="00824CC8">
          <w:instrText xml:space="preserve"> PAGE   \* MERGEFORMAT </w:instrText>
        </w:r>
        <w:r w:rsidRPr="00824CC8">
          <w:fldChar w:fldCharType="separate"/>
        </w:r>
        <w:r>
          <w:rPr>
            <w:noProof/>
          </w:rPr>
          <w:t>18</w:t>
        </w:r>
        <w:r w:rsidRPr="00824CC8">
          <w:fldChar w:fldCharType="end"/>
        </w:r>
        <w:r w:rsidRPr="00824CC8">
          <w:tab/>
        </w:r>
        <w:r w:rsidRPr="00824CC8">
          <w:rPr>
            <w:rStyle w:val="AERbody"/>
          </w:rPr>
          <w:t>Attachment heading | Distribution/transmission determination heading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0C" w:rsidRDefault="00766B0C" w:rsidP="00824CC8">
    <w:pPr>
      <w:pStyle w:val="Footer"/>
      <w:rPr>
        <w:rStyle w:val="AERbody"/>
      </w:rPr>
    </w:pPr>
    <w:r w:rsidRPr="0078730A">
      <w:rPr>
        <w:rStyle w:val="AERbody"/>
      </w:rPr>
      <w:t xml:space="preserve">Proposed amendments to the </w:t>
    </w:r>
    <w:r>
      <w:rPr>
        <w:rStyle w:val="AERbody"/>
      </w:rPr>
      <w:t>e</w:t>
    </w:r>
    <w:r w:rsidRPr="0078730A">
      <w:rPr>
        <w:rStyle w:val="AERbody"/>
      </w:rPr>
      <w:t xml:space="preserve">lectricity </w:t>
    </w:r>
    <w:r>
      <w:rPr>
        <w:rStyle w:val="AERbody"/>
      </w:rPr>
      <w:t>t</w:t>
    </w:r>
    <w:r w:rsidRPr="0078730A">
      <w:rPr>
        <w:rStyle w:val="AERbody"/>
      </w:rPr>
      <w:t xml:space="preserve">ransmission and </w:t>
    </w:r>
    <w:r>
      <w:rPr>
        <w:rStyle w:val="AERbody"/>
      </w:rPr>
      <w:t>d</w:t>
    </w:r>
    <w:r w:rsidRPr="0078730A">
      <w:rPr>
        <w:rStyle w:val="AERbody"/>
      </w:rPr>
      <w:t>istribution network service providers</w:t>
    </w:r>
    <w:r>
      <w:rPr>
        <w:rStyle w:val="AERbody"/>
      </w:rPr>
      <w:t xml:space="preserve"> </w:t>
    </w:r>
    <w:r>
      <w:rPr>
        <w:rStyle w:val="AERbody"/>
      </w:rPr>
      <w:br/>
      <w:t>p</w:t>
    </w:r>
    <w:r w:rsidRPr="0078730A">
      <w:rPr>
        <w:rStyle w:val="AERbody"/>
      </w:rPr>
      <w:t>ost-tax revenue model</w:t>
    </w:r>
    <w:r>
      <w:rPr>
        <w:rStyle w:val="AERbody"/>
      </w:rPr>
      <w:t xml:space="preserve">s </w:t>
    </w:r>
    <w:r w:rsidRPr="00210880">
      <w:rPr>
        <w:rStyle w:val="AERbody"/>
      </w:rPr>
      <w:t xml:space="preserve">| </w:t>
    </w:r>
    <w:r>
      <w:rPr>
        <w:rStyle w:val="AERbody"/>
      </w:rPr>
      <w:t>Explanatory statement</w:t>
    </w:r>
  </w:p>
  <w:p w:rsidR="00766B0C" w:rsidRPr="00824CC8" w:rsidRDefault="00766B0C" w:rsidP="00824CC8">
    <w:pPr>
      <w:pStyle w:val="Footer"/>
      <w:rPr>
        <w:rStyle w:val="AERbody"/>
      </w:rPr>
    </w:pP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BD7280">
      <w:rPr>
        <w:rStyle w:val="AERbody"/>
        <w:noProof/>
      </w:rPr>
      <w:t>26</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B0C" w:rsidRPr="00AB4345" w:rsidRDefault="00766B0C" w:rsidP="00AB4345">
      <w:r>
        <w:separator/>
      </w:r>
    </w:p>
  </w:footnote>
  <w:footnote w:type="continuationSeparator" w:id="0">
    <w:p w:rsidR="00766B0C" w:rsidRPr="00AB4345" w:rsidRDefault="00766B0C" w:rsidP="00AB4345">
      <w:r>
        <w:continuationSeparator/>
      </w:r>
    </w:p>
  </w:footnote>
  <w:footnote w:id="1">
    <w:p w:rsidR="00766B0C" w:rsidRDefault="00766B0C" w:rsidP="00E86BA6">
      <w:pPr>
        <w:pStyle w:val="FootnoteText"/>
      </w:pPr>
      <w:r>
        <w:rPr>
          <w:rStyle w:val="FootnoteReference"/>
        </w:rPr>
        <w:footnoteRef/>
      </w:r>
      <w:r>
        <w:t xml:space="preserve"> </w:t>
      </w:r>
      <w:r>
        <w:tab/>
      </w:r>
      <w:proofErr w:type="gramStart"/>
      <w:r w:rsidRPr="00563DBE">
        <w:t>Chapters 6A and 6 of t</w:t>
      </w:r>
      <w:r>
        <w:t>he NER for TNSPs and DNSPs respectively.</w:t>
      </w:r>
      <w:proofErr w:type="gramEnd"/>
    </w:p>
  </w:footnote>
  <w:footnote w:id="2">
    <w:p w:rsidR="00766B0C" w:rsidRDefault="00766B0C" w:rsidP="00E86BA6">
      <w:pPr>
        <w:pStyle w:val="FootnoteText"/>
      </w:pPr>
      <w:r>
        <w:rPr>
          <w:rStyle w:val="FootnoteReference"/>
        </w:rPr>
        <w:footnoteRef/>
      </w:r>
      <w:r>
        <w:t xml:space="preserve"> </w:t>
      </w:r>
      <w:r>
        <w:tab/>
        <w:t>NER, c</w:t>
      </w:r>
      <w:r w:rsidRPr="00563DBE">
        <w:t xml:space="preserve">lauses </w:t>
      </w:r>
      <w:proofErr w:type="gramStart"/>
      <w:r w:rsidRPr="00563DBE">
        <w:t>6A.5.2(</w:t>
      </w:r>
      <w:proofErr w:type="gramEnd"/>
      <w:r w:rsidRPr="00563DBE">
        <w:t xml:space="preserve">b) and </w:t>
      </w:r>
      <w:r>
        <w:t>6.4.1(b), read with the applicable consultation procedures.</w:t>
      </w:r>
    </w:p>
  </w:footnote>
  <w:footnote w:id="3">
    <w:p w:rsidR="00766B0C" w:rsidRDefault="00766B0C" w:rsidP="00E86BA6">
      <w:pPr>
        <w:pStyle w:val="FootnoteText"/>
      </w:pPr>
      <w:r>
        <w:rPr>
          <w:rStyle w:val="FootnoteReference"/>
        </w:rPr>
        <w:footnoteRef/>
      </w:r>
      <w:r>
        <w:t xml:space="preserve"> </w:t>
      </w:r>
      <w:r>
        <w:tab/>
      </w:r>
      <w:r w:rsidRPr="004A5246">
        <w:t xml:space="preserve">AER, </w:t>
      </w:r>
      <w:r w:rsidRPr="004A5246">
        <w:rPr>
          <w:rStyle w:val="AERtextitalic"/>
        </w:rPr>
        <w:t>Better regulation, Rate of return guideline</w:t>
      </w:r>
      <w:r w:rsidRPr="004A5246">
        <w:t>, December 2013</w:t>
      </w:r>
      <w:r>
        <w:t>.</w:t>
      </w:r>
    </w:p>
  </w:footnote>
  <w:footnote w:id="4">
    <w:p w:rsidR="00766B0C" w:rsidRDefault="00766B0C" w:rsidP="00E86BA6">
      <w:pPr>
        <w:pStyle w:val="FootnoteText"/>
      </w:pPr>
      <w:r>
        <w:rPr>
          <w:rStyle w:val="FootnoteReference"/>
        </w:rPr>
        <w:footnoteRef/>
      </w:r>
      <w:r>
        <w:t xml:space="preserve"> </w:t>
      </w:r>
      <w:r>
        <w:tab/>
      </w:r>
      <w:r w:rsidRPr="004A5246">
        <w:t xml:space="preserve">AEMC, </w:t>
      </w:r>
      <w:r w:rsidRPr="004A5246">
        <w:rPr>
          <w:rStyle w:val="AERtextitalic"/>
        </w:rPr>
        <w:t xml:space="preserve">Rule determination, National electricity amendment (Economic regulation of network service providers) rule 2012, National gas amendment (Price and revenue regulation of gas services) rule 2012, </w:t>
      </w:r>
      <w:r w:rsidRPr="004A5246">
        <w:t>29 November 2012.</w:t>
      </w:r>
    </w:p>
  </w:footnote>
  <w:footnote w:id="5">
    <w:p w:rsidR="00766B0C" w:rsidRDefault="00766B0C" w:rsidP="00E86BA6">
      <w:pPr>
        <w:pStyle w:val="FootnoteText"/>
      </w:pPr>
      <w:r>
        <w:rPr>
          <w:rStyle w:val="FootnoteReference"/>
        </w:rPr>
        <w:footnoteRef/>
      </w:r>
      <w:r>
        <w:t xml:space="preserve"> </w:t>
      </w:r>
      <w:r>
        <w:tab/>
        <w:t>NER, clauses</w:t>
      </w:r>
      <w:r w:rsidRPr="00844D8E">
        <w:t xml:space="preserve"> </w:t>
      </w:r>
      <w:proofErr w:type="gramStart"/>
      <w:r w:rsidRPr="00844D8E">
        <w:t>6A.5.2(</w:t>
      </w:r>
      <w:proofErr w:type="gramEnd"/>
      <w:r w:rsidRPr="00844D8E">
        <w:t xml:space="preserve">b) </w:t>
      </w:r>
      <w:r>
        <w:t>and 6.4.1(b).</w:t>
      </w:r>
    </w:p>
  </w:footnote>
  <w:footnote w:id="6">
    <w:p w:rsidR="00766B0C" w:rsidRDefault="00766B0C" w:rsidP="00E86BA6">
      <w:pPr>
        <w:pStyle w:val="FootnoteText"/>
      </w:pPr>
      <w:r>
        <w:rPr>
          <w:rStyle w:val="FootnoteReference"/>
        </w:rPr>
        <w:footnoteRef/>
      </w:r>
      <w:r>
        <w:t xml:space="preserve"> </w:t>
      </w:r>
      <w:r>
        <w:tab/>
        <w:t>NER, c</w:t>
      </w:r>
      <w:r w:rsidRPr="00282209">
        <w:t>l</w:t>
      </w:r>
      <w:r>
        <w:t>auses</w:t>
      </w:r>
      <w:r w:rsidRPr="00282209">
        <w:t xml:space="preserve"> </w:t>
      </w:r>
      <w:proofErr w:type="gramStart"/>
      <w:r w:rsidRPr="00282209">
        <w:t>6A.20(</w:t>
      </w:r>
      <w:proofErr w:type="gramEnd"/>
      <w:r w:rsidRPr="00282209">
        <w:t>b)</w:t>
      </w:r>
      <w:r>
        <w:t xml:space="preserve"> and 6.16(b).</w:t>
      </w:r>
    </w:p>
  </w:footnote>
  <w:footnote w:id="7">
    <w:p w:rsidR="00766B0C" w:rsidRDefault="00766B0C" w:rsidP="00E86BA6">
      <w:pPr>
        <w:pStyle w:val="FootnoteText"/>
      </w:pPr>
      <w:r>
        <w:rPr>
          <w:rStyle w:val="FootnoteReference"/>
        </w:rPr>
        <w:footnoteRef/>
      </w:r>
      <w:r>
        <w:t xml:space="preserve"> </w:t>
      </w:r>
      <w:r>
        <w:tab/>
      </w:r>
      <w:proofErr w:type="gramStart"/>
      <w:r>
        <w:t>NER, clauses 6A.20(c) and 6.16(c</w:t>
      </w:r>
      <w:r w:rsidRPr="00EF0959">
        <w:t>).</w:t>
      </w:r>
      <w:proofErr w:type="gramEnd"/>
    </w:p>
  </w:footnote>
  <w:footnote w:id="8">
    <w:p w:rsidR="00766B0C" w:rsidRDefault="00766B0C" w:rsidP="00E86BA6">
      <w:pPr>
        <w:pStyle w:val="FootnoteText"/>
      </w:pPr>
      <w:r>
        <w:rPr>
          <w:rStyle w:val="FootnoteReference"/>
        </w:rPr>
        <w:footnoteRef/>
      </w:r>
      <w:r>
        <w:t xml:space="preserve"> </w:t>
      </w:r>
      <w:r>
        <w:tab/>
        <w:t xml:space="preserve">NER, clauses </w:t>
      </w:r>
      <w:proofErr w:type="gramStart"/>
      <w:r>
        <w:t>6A.20(</w:t>
      </w:r>
      <w:proofErr w:type="gramEnd"/>
      <w:r>
        <w:t>e</w:t>
      </w:r>
      <w:r w:rsidRPr="00EF0959">
        <w:t>) and 6.1</w:t>
      </w:r>
      <w:r>
        <w:t>6(e</w:t>
      </w:r>
      <w:r w:rsidRPr="00EF0959">
        <w:t>).</w:t>
      </w:r>
    </w:p>
  </w:footnote>
  <w:footnote w:id="9">
    <w:p w:rsidR="00766B0C" w:rsidRDefault="00766B0C" w:rsidP="00E86BA6">
      <w:pPr>
        <w:pStyle w:val="FootnoteText"/>
      </w:pPr>
      <w:r>
        <w:rPr>
          <w:rStyle w:val="FootnoteReference"/>
        </w:rPr>
        <w:footnoteRef/>
      </w:r>
      <w:r>
        <w:t xml:space="preserve"> </w:t>
      </w:r>
      <w:r>
        <w:tab/>
      </w:r>
      <w:proofErr w:type="gramStart"/>
      <w:r>
        <w:t>NER, clauses</w:t>
      </w:r>
      <w:r w:rsidRPr="00844D8E">
        <w:t xml:space="preserve"> 6A.5.3 </w:t>
      </w:r>
      <w:r>
        <w:t>and 6.4.2.</w:t>
      </w:r>
      <w:proofErr w:type="gramEnd"/>
    </w:p>
  </w:footnote>
  <w:footnote w:id="10">
    <w:p w:rsidR="00766B0C" w:rsidRDefault="00766B0C" w:rsidP="00E86BA6">
      <w:pPr>
        <w:pStyle w:val="FootnoteText"/>
      </w:pPr>
      <w:r>
        <w:rPr>
          <w:rStyle w:val="FootnoteReference"/>
        </w:rPr>
        <w:footnoteRef/>
      </w:r>
      <w:r>
        <w:t xml:space="preserve"> </w:t>
      </w:r>
      <w:r>
        <w:tab/>
      </w:r>
      <w:proofErr w:type="gramStart"/>
      <w:r>
        <w:t>NER, clauses 6A.5.3 and 6A.6.8.</w:t>
      </w:r>
      <w:proofErr w:type="gramEnd"/>
    </w:p>
  </w:footnote>
  <w:footnote w:id="11">
    <w:p w:rsidR="00766B0C" w:rsidRDefault="00766B0C" w:rsidP="00E86BA6">
      <w:pPr>
        <w:pStyle w:val="FootnoteText"/>
      </w:pPr>
      <w:r>
        <w:rPr>
          <w:rStyle w:val="FootnoteReference"/>
        </w:rPr>
        <w:footnoteRef/>
      </w:r>
      <w:r>
        <w:t xml:space="preserve"> </w:t>
      </w:r>
      <w:r>
        <w:tab/>
      </w:r>
      <w:proofErr w:type="gramStart"/>
      <w:r>
        <w:t>NER, clauses 6.4.2 and 6.5.9.</w:t>
      </w:r>
      <w:proofErr w:type="gramEnd"/>
    </w:p>
  </w:footnote>
  <w:footnote w:id="12">
    <w:p w:rsidR="00766B0C" w:rsidRDefault="00766B0C" w:rsidP="00E86BA6">
      <w:pPr>
        <w:pStyle w:val="FootnoteText"/>
      </w:pPr>
      <w:r>
        <w:rPr>
          <w:rStyle w:val="FootnoteReference"/>
        </w:rPr>
        <w:footnoteRef/>
      </w:r>
      <w:r>
        <w:t xml:space="preserve"> </w:t>
      </w:r>
      <w:r>
        <w:tab/>
      </w:r>
      <w:proofErr w:type="gramStart"/>
      <w:r>
        <w:t>NER, clauses</w:t>
      </w:r>
      <w:r w:rsidRPr="00844D8E">
        <w:t xml:space="preserve"> 6A.5.4</w:t>
      </w:r>
      <w:r>
        <w:t xml:space="preserve"> and 6.4.3.</w:t>
      </w:r>
      <w:proofErr w:type="gramEnd"/>
    </w:p>
  </w:footnote>
  <w:footnote w:id="13">
    <w:p w:rsidR="00766B0C" w:rsidRDefault="00766B0C" w:rsidP="00E86BA6">
      <w:pPr>
        <w:pStyle w:val="FootnoteText"/>
      </w:pPr>
      <w:r>
        <w:rPr>
          <w:rStyle w:val="FootnoteReference"/>
        </w:rPr>
        <w:footnoteRef/>
      </w:r>
      <w:r>
        <w:t xml:space="preserve"> </w:t>
      </w:r>
      <w:r>
        <w:tab/>
        <w:t>The net total of the indexation of the RAB and depreciation building blocks is referred to as 'regulatory depreciation'.</w:t>
      </w:r>
    </w:p>
  </w:footnote>
  <w:footnote w:id="14">
    <w:p w:rsidR="00766B0C" w:rsidRDefault="00766B0C" w:rsidP="00E86BA6">
      <w:pPr>
        <w:pStyle w:val="FootnoteText"/>
      </w:pPr>
      <w:r>
        <w:rPr>
          <w:rStyle w:val="FootnoteReference"/>
        </w:rPr>
        <w:footnoteRef/>
      </w:r>
      <w:r>
        <w:t xml:space="preserve"> </w:t>
      </w:r>
      <w:r>
        <w:tab/>
        <w:t>Being any efficiency benefit sharing schemes, capital expenditure sharing schemes, service target performance incentive schemes, or small scale incentive schemes applied to the NSP (and, in the case of DNSPs, any applicable demand management and embedded generation schemes).</w:t>
      </w:r>
    </w:p>
  </w:footnote>
  <w:footnote w:id="15">
    <w:p w:rsidR="00766B0C" w:rsidRDefault="00766B0C" w:rsidP="00E86BA6">
      <w:pPr>
        <w:pStyle w:val="FootnoteText"/>
      </w:pPr>
      <w:r>
        <w:rPr>
          <w:rStyle w:val="FootnoteReference"/>
        </w:rPr>
        <w:footnoteRef/>
      </w:r>
      <w:r>
        <w:t xml:space="preserve"> </w:t>
      </w:r>
      <w:r>
        <w:tab/>
        <w:t xml:space="preserve">Minor changes are changes to formatting or labelling which, while noted for completeness, are not consequential to the operation of the PTRM. </w:t>
      </w:r>
    </w:p>
  </w:footnote>
  <w:footnote w:id="16">
    <w:p w:rsidR="00766B0C" w:rsidRDefault="00766B0C" w:rsidP="00520C3F">
      <w:pPr>
        <w:pStyle w:val="FootnoteText"/>
      </w:pPr>
      <w:r>
        <w:rPr>
          <w:rStyle w:val="FootnoteReference"/>
        </w:rPr>
        <w:footnoteRef/>
      </w:r>
      <w:r>
        <w:t xml:space="preserve"> </w:t>
      </w:r>
      <w:r>
        <w:tab/>
        <w:t xml:space="preserve">The DNSP PTRM has a </w:t>
      </w:r>
      <w:r w:rsidRPr="00DD72FF">
        <w:rPr>
          <w:rStyle w:val="AERtextitalic"/>
        </w:rPr>
        <w:t>Forecast revenues</w:t>
      </w:r>
      <w:r>
        <w:t xml:space="preserve"> worksheet that is not in the TNSP PTRM. This is because this worksheet relates to the use of a weighted average price cap control mechanism, and this form of control is not available to TNSPs under the NER.</w:t>
      </w:r>
    </w:p>
  </w:footnote>
  <w:footnote w:id="17">
    <w:p w:rsidR="00766B0C" w:rsidRDefault="00766B0C" w:rsidP="00520C3F">
      <w:pPr>
        <w:pStyle w:val="FootnoteText"/>
      </w:pPr>
      <w:r>
        <w:rPr>
          <w:rStyle w:val="FootnoteReference"/>
        </w:rPr>
        <w:footnoteRef/>
      </w:r>
      <w:r>
        <w:t xml:space="preserve"> </w:t>
      </w:r>
      <w:r>
        <w:tab/>
        <w:t xml:space="preserve">The updated calculations were reflected in the PTRM for the 2012 </w:t>
      </w:r>
      <w:proofErr w:type="spellStart"/>
      <w:r>
        <w:t>Powerlink</w:t>
      </w:r>
      <w:proofErr w:type="spellEnd"/>
      <w:r>
        <w:t xml:space="preserve"> transmission determination. See the discussion of these changes in AER, </w:t>
      </w:r>
      <w:r w:rsidRPr="00E64DD7">
        <w:rPr>
          <w:rStyle w:val="AERtextitalic"/>
        </w:rPr>
        <w:t xml:space="preserve">Final decision: </w:t>
      </w:r>
      <w:proofErr w:type="spellStart"/>
      <w:r w:rsidRPr="00E64DD7">
        <w:rPr>
          <w:rStyle w:val="AERtextitalic"/>
        </w:rPr>
        <w:t>Powerlink</w:t>
      </w:r>
      <w:proofErr w:type="spellEnd"/>
      <w:r w:rsidRPr="00E64DD7">
        <w:rPr>
          <w:rStyle w:val="AERtextitalic"/>
        </w:rPr>
        <w:t xml:space="preserve"> transmission determination 2012</w:t>
      </w:r>
      <w:r w:rsidRPr="00E64DD7">
        <w:rPr>
          <w:rStyle w:val="AERtextitalic"/>
          <w:rFonts w:hint="eastAsia"/>
        </w:rPr>
        <w:t>–</w:t>
      </w:r>
      <w:r w:rsidRPr="00E64DD7">
        <w:rPr>
          <w:rStyle w:val="AERtextitalic"/>
        </w:rPr>
        <w:t>13 to 2016</w:t>
      </w:r>
      <w:r w:rsidRPr="00E64DD7">
        <w:rPr>
          <w:rStyle w:val="AERtextitalic"/>
          <w:rFonts w:hint="eastAsia"/>
        </w:rPr>
        <w:t>–</w:t>
      </w:r>
      <w:r w:rsidRPr="00E64DD7">
        <w:rPr>
          <w:rStyle w:val="AERtextitalic"/>
        </w:rPr>
        <w:t>17</w:t>
      </w:r>
      <w:r>
        <w:t xml:space="preserve">, April 2012, pp. 145–152. These were also adopted in in the PTRMs for the 2013 </w:t>
      </w:r>
      <w:proofErr w:type="spellStart"/>
      <w:r>
        <w:t>ElectraNet</w:t>
      </w:r>
      <w:proofErr w:type="spellEnd"/>
      <w:r>
        <w:t xml:space="preserve"> transmission determination and the 2014 SP AusNet transmission determination.</w:t>
      </w:r>
    </w:p>
  </w:footnote>
  <w:footnote w:id="18">
    <w:p w:rsidR="00766B0C" w:rsidRPr="00A65415" w:rsidRDefault="00766B0C" w:rsidP="00D05D26">
      <w:pPr>
        <w:pStyle w:val="FootnoteText"/>
        <w:rPr>
          <w:szCs w:val="16"/>
        </w:rPr>
      </w:pPr>
      <w:r w:rsidRPr="00A65415">
        <w:rPr>
          <w:rStyle w:val="FootnoteReference"/>
          <w:szCs w:val="16"/>
        </w:rPr>
        <w:footnoteRef/>
      </w:r>
      <w:r w:rsidRPr="00A65415">
        <w:rPr>
          <w:szCs w:val="16"/>
        </w:rPr>
        <w:t xml:space="preserve"> </w:t>
      </w:r>
      <w:r w:rsidRPr="00A65415">
        <w:rPr>
          <w:szCs w:val="16"/>
        </w:rPr>
        <w:tab/>
        <w:t xml:space="preserve">AEMC, </w:t>
      </w:r>
      <w:r w:rsidRPr="00A65415">
        <w:rPr>
          <w:i/>
          <w:szCs w:val="16"/>
        </w:rPr>
        <w:t>Rule determination, National electricity amendment (Economic regulation of network service providers) rule 2012, National gas amendment (Price and revenue regulation of gas services) rule 2012</w:t>
      </w:r>
      <w:r w:rsidRPr="00A65415">
        <w:rPr>
          <w:szCs w:val="16"/>
        </w:rPr>
        <w:t>, 29 November 2012.</w:t>
      </w:r>
    </w:p>
  </w:footnote>
  <w:footnote w:id="19">
    <w:p w:rsidR="00766B0C" w:rsidRPr="00A65415" w:rsidRDefault="00766B0C" w:rsidP="00D05D26">
      <w:pPr>
        <w:pStyle w:val="FootnoteText"/>
        <w:rPr>
          <w:szCs w:val="16"/>
        </w:rPr>
      </w:pPr>
      <w:r w:rsidRPr="00A65415">
        <w:rPr>
          <w:rStyle w:val="FootnoteReference"/>
          <w:szCs w:val="16"/>
        </w:rPr>
        <w:footnoteRef/>
      </w:r>
      <w:r w:rsidRPr="00A65415">
        <w:rPr>
          <w:szCs w:val="16"/>
        </w:rPr>
        <w:t xml:space="preserve"> </w:t>
      </w:r>
      <w:r w:rsidRPr="00A65415">
        <w:rPr>
          <w:szCs w:val="16"/>
        </w:rPr>
        <w:tab/>
        <w:t xml:space="preserve">The rate of return on capital is often shortened to just ‘return on capital’. The key </w:t>
      </w:r>
      <w:r>
        <w:rPr>
          <w:szCs w:val="16"/>
        </w:rPr>
        <w:t>change</w:t>
      </w:r>
      <w:r w:rsidRPr="00A65415">
        <w:rPr>
          <w:szCs w:val="16"/>
        </w:rPr>
        <w:t>s relating to the return on capital are</w:t>
      </w:r>
      <w:r>
        <w:t xml:space="preserve"> at</w:t>
      </w:r>
      <w:r w:rsidRPr="00A65415">
        <w:rPr>
          <w:szCs w:val="16"/>
        </w:rPr>
        <w:t xml:space="preserve"> NER, cl</w:t>
      </w:r>
      <w:r>
        <w:t>au</w:t>
      </w:r>
      <w:r w:rsidRPr="00A65415">
        <w:rPr>
          <w:szCs w:val="16"/>
        </w:rPr>
        <w:t>s</w:t>
      </w:r>
      <w:r>
        <w:t>e</w:t>
      </w:r>
      <w:r w:rsidRPr="00A65415">
        <w:rPr>
          <w:szCs w:val="16"/>
        </w:rPr>
        <w:t> 6.5.2, 6A.6.2; and NGR, r. 87.</w:t>
      </w:r>
    </w:p>
  </w:footnote>
  <w:footnote w:id="20">
    <w:p w:rsidR="00766B0C" w:rsidRDefault="00766B0C" w:rsidP="00E86BA6">
      <w:pPr>
        <w:pStyle w:val="FootnoteText"/>
      </w:pPr>
      <w:r>
        <w:rPr>
          <w:rStyle w:val="FootnoteReference"/>
        </w:rPr>
        <w:footnoteRef/>
      </w:r>
      <w:r>
        <w:t xml:space="preserve"> </w:t>
      </w:r>
      <w:r>
        <w:tab/>
      </w:r>
      <w:proofErr w:type="gramStart"/>
      <w:r>
        <w:t>NER, clauses 6A.5.5 and 6.4.4</w:t>
      </w:r>
      <w:r w:rsidRPr="00BD0308">
        <w:t>.</w:t>
      </w:r>
      <w:proofErr w:type="gramEnd"/>
    </w:p>
  </w:footnote>
  <w:footnote w:id="21">
    <w:p w:rsidR="00766B0C" w:rsidRPr="00A65415" w:rsidRDefault="00766B0C" w:rsidP="00D05D26">
      <w:pPr>
        <w:pStyle w:val="FootnoteText"/>
        <w:rPr>
          <w:szCs w:val="16"/>
        </w:rPr>
      </w:pPr>
      <w:r w:rsidRPr="00A65415">
        <w:rPr>
          <w:rStyle w:val="FootnoteReference"/>
          <w:szCs w:val="16"/>
        </w:rPr>
        <w:footnoteRef/>
      </w:r>
      <w:r w:rsidRPr="00A65415">
        <w:rPr>
          <w:szCs w:val="16"/>
        </w:rPr>
        <w:t xml:space="preserve"> </w:t>
      </w:r>
      <w:r w:rsidRPr="00A65415">
        <w:rPr>
          <w:szCs w:val="16"/>
        </w:rPr>
        <w:tab/>
        <w:t xml:space="preserve">AER, </w:t>
      </w:r>
      <w:r w:rsidRPr="00A65415">
        <w:rPr>
          <w:i/>
          <w:szCs w:val="16"/>
        </w:rPr>
        <w:t>Better regulation, Rate of return guideline</w:t>
      </w:r>
      <w:r w:rsidRPr="00A65415">
        <w:rPr>
          <w:szCs w:val="16"/>
        </w:rPr>
        <w:t>, December 2013. The new rules required that we develop such a guideline; see NER cl</w:t>
      </w:r>
      <w:r>
        <w:t>au</w:t>
      </w:r>
      <w:r w:rsidRPr="00A65415">
        <w:rPr>
          <w:szCs w:val="16"/>
        </w:rPr>
        <w:t>s</w:t>
      </w:r>
      <w:r>
        <w:t>es</w:t>
      </w:r>
      <w:r w:rsidRPr="00A65415">
        <w:rPr>
          <w:szCs w:val="16"/>
        </w:rPr>
        <w:t xml:space="preserve"> 6.5.2(m)–(q), </w:t>
      </w:r>
      <w:proofErr w:type="gramStart"/>
      <w:r w:rsidRPr="00A65415">
        <w:rPr>
          <w:szCs w:val="16"/>
        </w:rPr>
        <w:t>6A.6.2(</w:t>
      </w:r>
      <w:proofErr w:type="gramEnd"/>
      <w:r w:rsidRPr="00A65415">
        <w:rPr>
          <w:szCs w:val="16"/>
        </w:rPr>
        <w:t>m)–(q); and NGR, r. 87(13)–(19).</w:t>
      </w:r>
    </w:p>
  </w:footnote>
  <w:footnote w:id="22">
    <w:p w:rsidR="00766B0C" w:rsidRPr="00A65415" w:rsidRDefault="00766B0C" w:rsidP="00D05D26">
      <w:pPr>
        <w:pStyle w:val="FootnoteText"/>
        <w:rPr>
          <w:szCs w:val="16"/>
        </w:rPr>
      </w:pPr>
      <w:r w:rsidRPr="00A65415">
        <w:rPr>
          <w:rStyle w:val="FootnoteReference"/>
          <w:szCs w:val="16"/>
        </w:rPr>
        <w:footnoteRef/>
      </w:r>
      <w:r w:rsidRPr="00A65415">
        <w:rPr>
          <w:szCs w:val="16"/>
        </w:rPr>
        <w:t xml:space="preserve"> </w:t>
      </w:r>
      <w:r w:rsidRPr="00A65415">
        <w:rPr>
          <w:szCs w:val="16"/>
        </w:rPr>
        <w:tab/>
        <w:t xml:space="preserve">AER, </w:t>
      </w:r>
      <w:r w:rsidRPr="00A65415">
        <w:rPr>
          <w:i/>
          <w:szCs w:val="16"/>
        </w:rPr>
        <w:t>Better regulation, Explanatory statement, Rate of return guideline</w:t>
      </w:r>
      <w:r w:rsidRPr="00A65415">
        <w:rPr>
          <w:szCs w:val="16"/>
        </w:rPr>
        <w:t>, December 2013.</w:t>
      </w:r>
    </w:p>
  </w:footnote>
  <w:footnote w:id="23">
    <w:p w:rsidR="00766B0C" w:rsidRPr="00A65415" w:rsidRDefault="00766B0C" w:rsidP="00D05D26">
      <w:pPr>
        <w:pStyle w:val="FootnoteText"/>
        <w:rPr>
          <w:szCs w:val="16"/>
        </w:rPr>
      </w:pPr>
      <w:r w:rsidRPr="00A65415">
        <w:rPr>
          <w:rStyle w:val="FootnoteReference"/>
          <w:szCs w:val="16"/>
        </w:rPr>
        <w:footnoteRef/>
      </w:r>
      <w:r w:rsidRPr="00A65415">
        <w:rPr>
          <w:szCs w:val="16"/>
        </w:rPr>
        <w:t xml:space="preserve"> </w:t>
      </w:r>
      <w:r w:rsidRPr="00A65415">
        <w:rPr>
          <w:szCs w:val="16"/>
        </w:rPr>
        <w:tab/>
        <w:t xml:space="preserve">AER, </w:t>
      </w:r>
      <w:r w:rsidRPr="00A65415">
        <w:rPr>
          <w:i/>
          <w:szCs w:val="16"/>
        </w:rPr>
        <w:t>Better regulation, Rate of return guideline</w:t>
      </w:r>
      <w:r w:rsidRPr="00A65415">
        <w:rPr>
          <w:szCs w:val="16"/>
        </w:rPr>
        <w:t>, December 2013, pp. 11–17.</w:t>
      </w:r>
      <w:r>
        <w:t xml:space="preserve"> There is further explanatory material in AER, </w:t>
      </w:r>
      <w:r w:rsidRPr="00C21F83">
        <w:rPr>
          <w:rStyle w:val="AERtextitalic"/>
        </w:rPr>
        <w:t>Better regulation, Explanatory statement, Rate of return guideline</w:t>
      </w:r>
      <w:r>
        <w:t>, December 2013, pp. 50–97.</w:t>
      </w:r>
    </w:p>
  </w:footnote>
  <w:footnote w:id="24">
    <w:p w:rsidR="00766B0C" w:rsidRPr="00A65415" w:rsidRDefault="00766B0C" w:rsidP="00D05D26">
      <w:pPr>
        <w:pStyle w:val="FootnoteText"/>
        <w:rPr>
          <w:szCs w:val="16"/>
        </w:rPr>
      </w:pPr>
      <w:r w:rsidRPr="00A65415">
        <w:rPr>
          <w:rStyle w:val="FootnoteReference"/>
          <w:szCs w:val="16"/>
        </w:rPr>
        <w:footnoteRef/>
      </w:r>
      <w:r w:rsidRPr="00A65415">
        <w:rPr>
          <w:szCs w:val="16"/>
        </w:rPr>
        <w:t xml:space="preserve"> </w:t>
      </w:r>
      <w:r w:rsidRPr="00A65415">
        <w:rPr>
          <w:szCs w:val="16"/>
        </w:rPr>
        <w:tab/>
        <w:t xml:space="preserve">AER, </w:t>
      </w:r>
      <w:r w:rsidRPr="00A65415">
        <w:rPr>
          <w:i/>
          <w:szCs w:val="16"/>
        </w:rPr>
        <w:t>Better regulation, Rate of return guideline</w:t>
      </w:r>
      <w:r w:rsidRPr="00A65415">
        <w:rPr>
          <w:szCs w:val="16"/>
        </w:rPr>
        <w:t>, December 2013, pp. 18–22.</w:t>
      </w:r>
      <w:r>
        <w:t xml:space="preserve"> There is further explanatory material in AER, </w:t>
      </w:r>
      <w:r w:rsidRPr="00C21F83">
        <w:rPr>
          <w:rStyle w:val="AERtextitalic"/>
        </w:rPr>
        <w:t>Better regulation, Explanatory statement, Rate of return guideline</w:t>
      </w:r>
      <w:r>
        <w:t>, December 2013, pp. 98–157.</w:t>
      </w:r>
    </w:p>
  </w:footnote>
  <w:footnote w:id="25">
    <w:p w:rsidR="00766B0C" w:rsidRPr="00A65415" w:rsidRDefault="00766B0C" w:rsidP="00D05D26">
      <w:pPr>
        <w:pStyle w:val="FootnoteText"/>
        <w:rPr>
          <w:szCs w:val="16"/>
        </w:rPr>
      </w:pPr>
      <w:r w:rsidRPr="00A65415">
        <w:rPr>
          <w:rStyle w:val="FootnoteReference"/>
          <w:szCs w:val="16"/>
        </w:rPr>
        <w:footnoteRef/>
      </w:r>
      <w:r w:rsidRPr="00A65415">
        <w:rPr>
          <w:szCs w:val="16"/>
        </w:rPr>
        <w:t xml:space="preserve"> </w:t>
      </w:r>
      <w:r w:rsidRPr="00A65415">
        <w:rPr>
          <w:szCs w:val="16"/>
        </w:rPr>
        <w:tab/>
        <w:t>Other aspects of the determination of the benchmark return on debt, such as the ten year term and the BBB+ credit rating, remain largely unchanged.</w:t>
      </w:r>
    </w:p>
  </w:footnote>
  <w:footnote w:id="26">
    <w:p w:rsidR="00766B0C" w:rsidRDefault="00766B0C" w:rsidP="00E86BA6">
      <w:pPr>
        <w:pStyle w:val="FootnoteText"/>
      </w:pPr>
      <w:r>
        <w:rPr>
          <w:rStyle w:val="FootnoteReference"/>
        </w:rPr>
        <w:footnoteRef/>
      </w:r>
      <w:r>
        <w:t xml:space="preserve"> </w:t>
      </w:r>
      <w:r>
        <w:tab/>
        <w:t>T</w:t>
      </w:r>
      <w:r w:rsidRPr="00745618">
        <w:t>he return on equity value is</w:t>
      </w:r>
      <w:r>
        <w:t xml:space="preserve"> also</w:t>
      </w:r>
      <w:r w:rsidRPr="00745618">
        <w:t xml:space="preserve"> rounded</w:t>
      </w:r>
      <w:r>
        <w:t xml:space="preserve"> to one decimal place</w:t>
      </w:r>
      <w:r w:rsidRPr="00745618">
        <w:t xml:space="preserve"> in</w:t>
      </w:r>
      <w:r>
        <w:t xml:space="preserve"> accordance with the guideline.</w:t>
      </w:r>
    </w:p>
  </w:footnote>
  <w:footnote w:id="27">
    <w:p w:rsidR="00766B0C" w:rsidRDefault="00766B0C">
      <w:pPr>
        <w:pStyle w:val="FootnoteText"/>
      </w:pPr>
      <w:r>
        <w:rPr>
          <w:rStyle w:val="FootnoteReference"/>
        </w:rPr>
        <w:footnoteRef/>
      </w:r>
      <w:r>
        <w:t xml:space="preserve"> </w:t>
      </w:r>
      <w:r>
        <w:tab/>
      </w:r>
      <w:r w:rsidRPr="00745618">
        <w:t xml:space="preserve">The determination of the overall return on equity will necessarily involve </w:t>
      </w:r>
      <w:r>
        <w:t>separate modelling</w:t>
      </w:r>
      <w:r w:rsidRPr="00745618">
        <w:t xml:space="preserve"> outside of the PTRM.</w:t>
      </w:r>
    </w:p>
  </w:footnote>
  <w:footnote w:id="28">
    <w:p w:rsidR="00766B0C" w:rsidRDefault="00766B0C">
      <w:pPr>
        <w:pStyle w:val="FootnoteText"/>
      </w:pPr>
      <w:r>
        <w:rPr>
          <w:rStyle w:val="FootnoteReference"/>
        </w:rPr>
        <w:footnoteRef/>
      </w:r>
      <w:r>
        <w:t xml:space="preserve"> </w:t>
      </w:r>
      <w:r>
        <w:tab/>
      </w:r>
      <w:r w:rsidRPr="00B06E6B">
        <w:t>As with the return o</w:t>
      </w:r>
      <w:r>
        <w:t>n equity, there will be separate</w:t>
      </w:r>
      <w:r w:rsidRPr="00B06E6B">
        <w:t xml:space="preserve"> modelling to derive the trailing average portfolio return on debt input.</w:t>
      </w:r>
    </w:p>
  </w:footnote>
  <w:footnote w:id="29">
    <w:p w:rsidR="00766B0C" w:rsidRPr="00A65415" w:rsidRDefault="00766B0C" w:rsidP="00D05D26">
      <w:pPr>
        <w:pStyle w:val="FootnoteText"/>
        <w:rPr>
          <w:szCs w:val="16"/>
        </w:rPr>
      </w:pPr>
      <w:r w:rsidRPr="00A65415">
        <w:rPr>
          <w:rStyle w:val="FootnoteReference"/>
          <w:szCs w:val="16"/>
        </w:rPr>
        <w:footnoteRef/>
      </w:r>
      <w:r w:rsidRPr="00A65415">
        <w:rPr>
          <w:szCs w:val="16"/>
        </w:rPr>
        <w:t xml:space="preserve"> </w:t>
      </w:r>
      <w:r w:rsidRPr="00A65415">
        <w:rPr>
          <w:szCs w:val="16"/>
        </w:rPr>
        <w:tab/>
        <w:t>This is linked to the cap</w:t>
      </w:r>
      <w:r>
        <w:t xml:space="preserve">ital </w:t>
      </w:r>
      <w:r w:rsidRPr="00A65415">
        <w:rPr>
          <w:szCs w:val="16"/>
        </w:rPr>
        <w:t>ex</w:t>
      </w:r>
      <w:r>
        <w:t>penditure</w:t>
      </w:r>
      <w:r w:rsidRPr="00A65415">
        <w:rPr>
          <w:szCs w:val="16"/>
        </w:rPr>
        <w:t xml:space="preserve"> timing assumption, and is a well-established element of the PTRM.</w:t>
      </w:r>
    </w:p>
  </w:footnote>
  <w:footnote w:id="30">
    <w:p w:rsidR="00766B0C" w:rsidRPr="00B03B49" w:rsidRDefault="00766B0C" w:rsidP="00E86BA6">
      <w:pPr>
        <w:pStyle w:val="FootnoteText"/>
        <w:rPr>
          <w:szCs w:val="16"/>
        </w:rPr>
      </w:pPr>
      <w:r w:rsidRPr="00B03B49">
        <w:rPr>
          <w:rStyle w:val="FootnoteReference"/>
          <w:szCs w:val="16"/>
        </w:rPr>
        <w:footnoteRef/>
      </w:r>
      <w:r w:rsidRPr="00B03B49">
        <w:rPr>
          <w:szCs w:val="16"/>
        </w:rPr>
        <w:t xml:space="preserve"> </w:t>
      </w:r>
      <w:r w:rsidRPr="00B03B49">
        <w:rPr>
          <w:szCs w:val="16"/>
        </w:rPr>
        <w:tab/>
        <w:t xml:space="preserve">Similarly, the nominal vanilla WACC for each year is defined using the variables ‘vanilla01, vanilla02, </w:t>
      </w:r>
      <w:proofErr w:type="gramStart"/>
      <w:r w:rsidRPr="00B03B49">
        <w:rPr>
          <w:szCs w:val="16"/>
        </w:rPr>
        <w:t>… ,</w:t>
      </w:r>
      <w:proofErr w:type="gramEnd"/>
      <w:r w:rsidRPr="00B03B49">
        <w:rPr>
          <w:szCs w:val="16"/>
        </w:rPr>
        <w:t xml:space="preserve"> vanilla10’. This replaces the previous single ‘vanilla’ variable</w:t>
      </w:r>
      <w:r>
        <w:rPr>
          <w:szCs w:val="16"/>
        </w:rPr>
        <w:t xml:space="preserve"> which was presumed constant across the entire regulatory </w:t>
      </w:r>
      <w:r>
        <w:t xml:space="preserve">control </w:t>
      </w:r>
      <w:r>
        <w:rPr>
          <w:szCs w:val="16"/>
        </w:rPr>
        <w:t>period</w:t>
      </w:r>
      <w:r w:rsidRPr="00B03B49">
        <w:rPr>
          <w:szCs w:val="16"/>
        </w:rPr>
        <w:t>.</w:t>
      </w:r>
    </w:p>
  </w:footnote>
  <w:footnote w:id="31">
    <w:p w:rsidR="00766B0C" w:rsidRDefault="00766B0C" w:rsidP="00E86BA6">
      <w:pPr>
        <w:pStyle w:val="FootnoteText"/>
      </w:pPr>
      <w:r>
        <w:rPr>
          <w:rStyle w:val="FootnoteReference"/>
        </w:rPr>
        <w:footnoteRef/>
      </w:r>
      <w:r>
        <w:t xml:space="preserve"> </w:t>
      </w:r>
      <w:r>
        <w:tab/>
        <w:t>This issue is discussed in detail in section 5.1.1 below.</w:t>
      </w:r>
    </w:p>
  </w:footnote>
  <w:footnote w:id="32">
    <w:p w:rsidR="00766B0C" w:rsidRDefault="00766B0C" w:rsidP="00E86BA6">
      <w:pPr>
        <w:pStyle w:val="FootnoteText"/>
      </w:pPr>
      <w:r>
        <w:rPr>
          <w:rStyle w:val="FootnoteReference"/>
        </w:rPr>
        <w:footnoteRef/>
      </w:r>
      <w:r>
        <w:t xml:space="preserve"> </w:t>
      </w:r>
      <w:r>
        <w:tab/>
        <w:t>The process for updating the annual return on debt necessarily entails a number of steps, and use of the PTRM to set the X factor for that year (only) needs to be placed in this context. Hence, any automatic application of a formula for the implementation of the annual return on debt update would need to be explicitly referenced in the final decision for that network. In this way, the process is set down in advance (automatic) and does not require the exercise of judgement within the regulatory control period.</w:t>
      </w:r>
    </w:p>
  </w:footnote>
  <w:footnote w:id="33">
    <w:p w:rsidR="00766B0C" w:rsidRDefault="00766B0C" w:rsidP="00E86BA6">
      <w:pPr>
        <w:pStyle w:val="FootnoteText"/>
      </w:pPr>
      <w:r>
        <w:rPr>
          <w:rStyle w:val="FootnoteReference"/>
        </w:rPr>
        <w:footnoteRef/>
      </w:r>
      <w:r>
        <w:t xml:space="preserve"> </w:t>
      </w:r>
      <w:r>
        <w:tab/>
        <w:t>The regulatory control period length must be an integer, i.e. whole years only.</w:t>
      </w:r>
    </w:p>
  </w:footnote>
  <w:footnote w:id="34">
    <w:p w:rsidR="00766B0C" w:rsidRDefault="00766B0C">
      <w:pPr>
        <w:pStyle w:val="FootnoteText"/>
      </w:pPr>
      <w:r>
        <w:rPr>
          <w:rStyle w:val="FootnoteReference"/>
        </w:rPr>
        <w:footnoteRef/>
      </w:r>
      <w:r>
        <w:t xml:space="preserve"> </w:t>
      </w:r>
      <w:r>
        <w:tab/>
        <w:t xml:space="preserve">NSPs with comments of their own included: Energex, </w:t>
      </w:r>
      <w:proofErr w:type="spellStart"/>
      <w:r>
        <w:t>TasNetworks</w:t>
      </w:r>
      <w:proofErr w:type="spellEnd"/>
      <w:r>
        <w:t xml:space="preserve">, </w:t>
      </w:r>
      <w:proofErr w:type="spellStart"/>
      <w:r w:rsidRPr="00D330F7">
        <w:t>CitiPower</w:t>
      </w:r>
      <w:proofErr w:type="spellEnd"/>
      <w:r w:rsidRPr="00D330F7">
        <w:t xml:space="preserve">, </w:t>
      </w:r>
      <w:proofErr w:type="spellStart"/>
      <w:r w:rsidRPr="00D330F7">
        <w:t>Powercor</w:t>
      </w:r>
      <w:proofErr w:type="spellEnd"/>
      <w:r w:rsidRPr="00D330F7">
        <w:t>, SA Power Networks</w:t>
      </w:r>
      <w:r>
        <w:t>, and Jemena.</w:t>
      </w:r>
    </w:p>
  </w:footnote>
  <w:footnote w:id="35">
    <w:p w:rsidR="00766B0C" w:rsidRDefault="00766B0C">
      <w:pPr>
        <w:pStyle w:val="FootnoteText"/>
      </w:pPr>
      <w:r>
        <w:rPr>
          <w:rStyle w:val="FootnoteReference"/>
        </w:rPr>
        <w:footnoteRef/>
      </w:r>
      <w:r>
        <w:t xml:space="preserve"> </w:t>
      </w:r>
      <w:r>
        <w:tab/>
        <w:t xml:space="preserve">They were </w:t>
      </w:r>
      <w:proofErr w:type="spellStart"/>
      <w:r>
        <w:t>ElectraNet</w:t>
      </w:r>
      <w:proofErr w:type="spellEnd"/>
      <w:r>
        <w:t xml:space="preserve"> and </w:t>
      </w:r>
      <w:proofErr w:type="spellStart"/>
      <w:r>
        <w:t>ActewAGL</w:t>
      </w:r>
      <w:proofErr w:type="spellEnd"/>
      <w:r>
        <w:t xml:space="preserve">. </w:t>
      </w:r>
      <w:proofErr w:type="spellStart"/>
      <w:r>
        <w:t>Envestra</w:t>
      </w:r>
      <w:proofErr w:type="spellEnd"/>
      <w:r>
        <w:t xml:space="preserve"> also responded noting that the AER's proposed changes to the PTRM give effect to the </w:t>
      </w:r>
      <w:r w:rsidRPr="00937CE8">
        <w:rPr>
          <w:rStyle w:val="AERtextitalic"/>
        </w:rPr>
        <w:t>Rate of return guideline</w:t>
      </w:r>
      <w:r>
        <w:t>.</w:t>
      </w:r>
    </w:p>
  </w:footnote>
  <w:footnote w:id="36">
    <w:p w:rsidR="00766B0C" w:rsidRDefault="00766B0C">
      <w:pPr>
        <w:pStyle w:val="FootnoteText"/>
      </w:pPr>
      <w:r>
        <w:rPr>
          <w:rStyle w:val="FootnoteReference"/>
        </w:rPr>
        <w:footnoteRef/>
      </w:r>
      <w:r>
        <w:t xml:space="preserve"> </w:t>
      </w:r>
      <w:r>
        <w:tab/>
        <w:t>The overall effect of delaying (some portion of) an adjustment to later years is that, in the event subsequent adjustments are made in the same direction, the cumulative effect can be much larger than any single-year effect in isolation. Attachment A contains example scenarios which illustrate the consequences of cumulative deferrals in the final years of the regulatory control period.</w:t>
      </w:r>
    </w:p>
  </w:footnote>
  <w:footnote w:id="37">
    <w:p w:rsidR="00766B0C" w:rsidRDefault="00766B0C">
      <w:pPr>
        <w:pStyle w:val="FootnoteText"/>
      </w:pPr>
      <w:r>
        <w:rPr>
          <w:rStyle w:val="FootnoteReference"/>
        </w:rPr>
        <w:footnoteRef/>
      </w:r>
      <w:r>
        <w:t xml:space="preserve"> </w:t>
      </w:r>
      <w:r>
        <w:tab/>
        <w:t>We note that simultaneous adjustment to all future year X factors can be implemented in the proposed PTRM, but this would require manual formula changes.</w:t>
      </w:r>
    </w:p>
  </w:footnote>
  <w:footnote w:id="38">
    <w:p w:rsidR="00766B0C" w:rsidRDefault="00766B0C">
      <w:pPr>
        <w:pStyle w:val="FootnoteText"/>
      </w:pPr>
      <w:r>
        <w:rPr>
          <w:rStyle w:val="FootnoteReference"/>
        </w:rPr>
        <w:footnoteRef/>
      </w:r>
      <w:r>
        <w:t xml:space="preserve"> </w:t>
      </w:r>
      <w:r>
        <w:tab/>
      </w:r>
      <w:r w:rsidRPr="00ED5AF0">
        <w:t xml:space="preserve">Conceptually, the return on debt should be the rate prevailing at the start of the relevant year, with due regard for the lock-in effect of past debt issuance (reflected in the </w:t>
      </w:r>
      <w:r>
        <w:t>construction of a trailing portfolio, after accounting for the transition from the previous benchmark</w:t>
      </w:r>
      <w:r w:rsidRPr="00ED5AF0">
        <w:t>).</w:t>
      </w:r>
    </w:p>
  </w:footnote>
  <w:footnote w:id="39">
    <w:p w:rsidR="00766B0C" w:rsidRDefault="00766B0C">
      <w:pPr>
        <w:pStyle w:val="FootnoteText"/>
      </w:pPr>
      <w:r>
        <w:rPr>
          <w:rStyle w:val="FootnoteReference"/>
        </w:rPr>
        <w:footnoteRef/>
      </w:r>
      <w:r>
        <w:t xml:space="preserve"> </w:t>
      </w:r>
      <w:r>
        <w:tab/>
        <w:t>The trailing average portfolio will also include nine other annual debt observations, each offset in exactly the same way.</w:t>
      </w:r>
    </w:p>
  </w:footnote>
  <w:footnote w:id="40">
    <w:p w:rsidR="00766B0C" w:rsidRDefault="00766B0C">
      <w:pPr>
        <w:pStyle w:val="FootnoteText"/>
      </w:pPr>
      <w:r>
        <w:rPr>
          <w:rStyle w:val="FootnoteReference"/>
        </w:rPr>
        <w:footnoteRef/>
      </w:r>
      <w:r>
        <w:t xml:space="preserve"> </w:t>
      </w:r>
      <w:r>
        <w:tab/>
        <w:t xml:space="preserve">The guideline notes that the averaging period </w:t>
      </w:r>
      <w:r w:rsidRPr="00ED5AF0">
        <w:t xml:space="preserve">should be </w:t>
      </w:r>
      <w:r>
        <w:t>'</w:t>
      </w:r>
      <w:r w:rsidRPr="00ED5AF0">
        <w:t>as close as practical to the commencement of each regulatory year in a regulatory control period</w:t>
      </w:r>
      <w:r>
        <w:t xml:space="preserve">'. See AER, </w:t>
      </w:r>
      <w:r w:rsidRPr="002208AD">
        <w:rPr>
          <w:rStyle w:val="AERtextitalic"/>
        </w:rPr>
        <w:t>Better regulation, Rate of return guideline</w:t>
      </w:r>
      <w:r>
        <w:t>, December 2013, p. 21.</w:t>
      </w:r>
    </w:p>
  </w:footnote>
  <w:footnote w:id="41">
    <w:p w:rsidR="00766B0C" w:rsidRDefault="00766B0C">
      <w:pPr>
        <w:pStyle w:val="FootnoteText"/>
      </w:pPr>
      <w:r>
        <w:rPr>
          <w:rStyle w:val="FootnoteReference"/>
        </w:rPr>
        <w:footnoteRef/>
      </w:r>
      <w:r>
        <w:t xml:space="preserve"> </w:t>
      </w:r>
      <w:r>
        <w:tab/>
        <w:t>That is, the return on equity is estimated with regard to an averaging period that ends several months before the start of the regulatory control period. The return on equity is not annually updated within a regulatory control period.</w:t>
      </w:r>
    </w:p>
  </w:footnote>
  <w:footnote w:id="42">
    <w:p w:rsidR="00766B0C" w:rsidRDefault="00766B0C">
      <w:pPr>
        <w:pStyle w:val="FootnoteText"/>
      </w:pPr>
      <w:r>
        <w:rPr>
          <w:rStyle w:val="FootnoteReference"/>
        </w:rPr>
        <w:footnoteRef/>
      </w:r>
      <w:r>
        <w:t xml:space="preserve"> </w:t>
      </w:r>
      <w:r>
        <w:tab/>
        <w:t>JGN initially raised this issue as part of its gas access arrangement proposal. See JGN</w:t>
      </w:r>
      <w:r w:rsidRPr="0004176A">
        <w:rPr>
          <w:rStyle w:val="AERtextitalic"/>
        </w:rPr>
        <w:t>, 2015–20 Access Arrangement information</w:t>
      </w:r>
      <w:r>
        <w:t>, 30 June 2014, p. 105 (and appendix 12.1).</w:t>
      </w:r>
    </w:p>
  </w:footnote>
  <w:footnote w:id="43">
    <w:p w:rsidR="00766B0C" w:rsidRDefault="00766B0C">
      <w:pPr>
        <w:pStyle w:val="FootnoteText"/>
      </w:pPr>
      <w:r>
        <w:rPr>
          <w:rStyle w:val="FootnoteReference"/>
        </w:rPr>
        <w:footnoteRef/>
      </w:r>
      <w:r>
        <w:t xml:space="preserve"> </w:t>
      </w:r>
      <w:r>
        <w:tab/>
        <w:t>NER, clauses</w:t>
      </w:r>
      <w:r w:rsidRPr="00844D8E">
        <w:t xml:space="preserve"> </w:t>
      </w:r>
      <w:r>
        <w:t xml:space="preserve">6.5.9(3), </w:t>
      </w:r>
      <w:r w:rsidRPr="00844D8E">
        <w:t>6A.5.3</w:t>
      </w:r>
      <w:r>
        <w:t>(c</w:t>
      </w:r>
      <w:proofErr w:type="gramStart"/>
      <w:r>
        <w:t>)(</w:t>
      </w:r>
      <w:proofErr w:type="gramEnd"/>
      <w:r>
        <w:t>1) and 6A.6.8(c).</w:t>
      </w:r>
    </w:p>
  </w:footnote>
  <w:footnote w:id="44">
    <w:p w:rsidR="00766B0C" w:rsidRDefault="00766B0C">
      <w:pPr>
        <w:pStyle w:val="FootnoteText"/>
      </w:pPr>
      <w:r>
        <w:rPr>
          <w:rStyle w:val="FootnoteReference"/>
        </w:rPr>
        <w:footnoteRef/>
      </w:r>
      <w:r>
        <w:t xml:space="preserve"> </w:t>
      </w:r>
      <w:r>
        <w:tab/>
        <w:t xml:space="preserve">The vanilla WACC is calculated using a pre-tax return on debt and post-tax return on equity. </w:t>
      </w:r>
    </w:p>
  </w:footnote>
  <w:footnote w:id="45">
    <w:p w:rsidR="00766B0C" w:rsidRDefault="00766B0C">
      <w:pPr>
        <w:pStyle w:val="FootnoteText"/>
      </w:pPr>
      <w:r>
        <w:rPr>
          <w:rStyle w:val="FootnoteReference"/>
        </w:rPr>
        <w:footnoteRef/>
      </w:r>
      <w:r>
        <w:t xml:space="preserve"> </w:t>
      </w:r>
      <w:r>
        <w:tab/>
        <w:t>The overall effect depends on the relative profiles of smoothed and unsmoothed revenues across the regulatory control period. If smoothed revenue is more 'front-ended' than unsmoothed revenue (that is, over-recovers in early years of the regulatory control period and under-recovers in later years), then increasing the discount rate (moving from vanilla to pre-tax) decreases the smoothed revenue requirement overall. Conversely, if smoothed revenue is 'back-ended' relative to unsmoothed revenue (that is, under-recovers in early years and then over-recovers in later years), then increasing the discount rate increases the smoothed revenue requirement overall.</w:t>
      </w:r>
    </w:p>
  </w:footnote>
  <w:footnote w:id="46">
    <w:p w:rsidR="00766B0C" w:rsidRDefault="00766B0C">
      <w:pPr>
        <w:pStyle w:val="FootnoteText"/>
      </w:pPr>
      <w:r>
        <w:rPr>
          <w:rStyle w:val="FootnoteReference"/>
        </w:rPr>
        <w:footnoteRef/>
      </w:r>
      <w:r>
        <w:t xml:space="preserve"> </w:t>
      </w:r>
      <w:r>
        <w:tab/>
      </w:r>
      <w:proofErr w:type="spellStart"/>
      <w:r>
        <w:t>Ausgrid</w:t>
      </w:r>
      <w:proofErr w:type="spellEnd"/>
      <w:r>
        <w:t xml:space="preserve"> and Essential Energy initially raised this issue as part of their regulatory proposals. See </w:t>
      </w:r>
      <w:proofErr w:type="spellStart"/>
      <w:r>
        <w:t>Ausgrid</w:t>
      </w:r>
      <w:proofErr w:type="spellEnd"/>
      <w:r>
        <w:t xml:space="preserve">, </w:t>
      </w:r>
      <w:r w:rsidRPr="00C62AE5">
        <w:rPr>
          <w:rStyle w:val="AERtextitalic"/>
        </w:rPr>
        <w:t>Regulatory Proposal, 1 July 2014 to 30 June 2019</w:t>
      </w:r>
      <w:r>
        <w:t xml:space="preserve">, May 2014, Attachment 9.02, p. 4; and Essential Energy, </w:t>
      </w:r>
      <w:r w:rsidRPr="00C62AE5">
        <w:rPr>
          <w:rStyle w:val="AERtextitalic"/>
        </w:rPr>
        <w:t>Regulatory proposal, 1 July 2014 to 30 June 2019</w:t>
      </w:r>
      <w:r>
        <w:t>, May 2014, Attachment 9.2, p. 13 (including appendix B to that attachment, the W-factor PTRM).</w:t>
      </w:r>
    </w:p>
  </w:footnote>
  <w:footnote w:id="47">
    <w:p w:rsidR="00766B0C" w:rsidRDefault="00766B0C">
      <w:pPr>
        <w:pStyle w:val="FootnoteText"/>
      </w:pPr>
      <w:r>
        <w:rPr>
          <w:rStyle w:val="FootnoteReference"/>
        </w:rPr>
        <w:footnoteRef/>
      </w:r>
      <w:r>
        <w:t xml:space="preserve"> </w:t>
      </w:r>
      <w:r>
        <w:tab/>
        <w:t>There are already a number of other factors in use across the DNSPs' control mechanism formula. In particular, the label 'D factor' is already used for adjustments in relation to demand management schemes.</w:t>
      </w:r>
    </w:p>
  </w:footnote>
  <w:footnote w:id="48">
    <w:p w:rsidR="00766B0C" w:rsidRDefault="00766B0C">
      <w:pPr>
        <w:pStyle w:val="FootnoteText"/>
      </w:pPr>
      <w:r>
        <w:rPr>
          <w:rStyle w:val="FootnoteReference"/>
        </w:rPr>
        <w:footnoteRef/>
      </w:r>
      <w:r>
        <w:t xml:space="preserve"> </w:t>
      </w:r>
      <w:r>
        <w:tab/>
        <w:t xml:space="preserve">For example, the standard CPI–X formula might change from </w:t>
      </w:r>
      <w:proofErr w:type="spellStart"/>
      <w:r>
        <w:t>AR</w:t>
      </w:r>
      <w:r w:rsidRPr="00C03D5B">
        <w:rPr>
          <w:rStyle w:val="AERsubscript"/>
        </w:rPr>
        <w:t>t</w:t>
      </w:r>
      <w:proofErr w:type="spellEnd"/>
      <w:r>
        <w:t>=AR</w:t>
      </w:r>
      <w:r w:rsidRPr="00C03D5B">
        <w:rPr>
          <w:rStyle w:val="AERsubscript"/>
        </w:rPr>
        <w:t>t-1</w:t>
      </w:r>
      <w:proofErr w:type="gramStart"/>
      <w:r w:rsidRPr="003774D1">
        <w:t>×</w:t>
      </w:r>
      <w:r>
        <w:t>(</w:t>
      </w:r>
      <w:proofErr w:type="gramEnd"/>
      <w:r>
        <w:t>1+CPI)</w:t>
      </w:r>
      <w:r>
        <w:rPr>
          <w:rFonts w:cs="Gautami"/>
        </w:rPr>
        <w:t>×</w:t>
      </w:r>
      <w:r>
        <w:t xml:space="preserve">(1–X) to </w:t>
      </w:r>
      <w:proofErr w:type="spellStart"/>
      <w:r>
        <w:t>AR</w:t>
      </w:r>
      <w:r w:rsidRPr="000342CC">
        <w:rPr>
          <w:rStyle w:val="AERsubscript"/>
        </w:rPr>
        <w:t>t</w:t>
      </w:r>
      <w:proofErr w:type="spellEnd"/>
      <w:r>
        <w:t>=AR</w:t>
      </w:r>
      <w:r w:rsidRPr="000342CC">
        <w:rPr>
          <w:rStyle w:val="AERsubscript"/>
        </w:rPr>
        <w:t>t-1</w:t>
      </w:r>
      <w:r w:rsidRPr="003774D1">
        <w:t>×</w:t>
      </w:r>
      <w:r>
        <w:t>(1+CPI)</w:t>
      </w:r>
      <w:r w:rsidRPr="003774D1">
        <w:t>×</w:t>
      </w:r>
      <w:r>
        <w:t>(1–X)</w:t>
      </w:r>
      <w:r w:rsidRPr="003774D1">
        <w:t>×</w:t>
      </w:r>
      <w:r>
        <w:t>(1–W).</w:t>
      </w:r>
    </w:p>
  </w:footnote>
  <w:footnote w:id="49">
    <w:p w:rsidR="00766B0C" w:rsidRDefault="00766B0C">
      <w:pPr>
        <w:pStyle w:val="FootnoteText"/>
      </w:pPr>
      <w:r>
        <w:rPr>
          <w:rStyle w:val="FootnoteReference"/>
        </w:rPr>
        <w:footnoteRef/>
      </w:r>
      <w:r>
        <w:t xml:space="preserve"> </w:t>
      </w:r>
      <w:r>
        <w:tab/>
        <w:t>Where other changes alter revenue within the regulatory control period, the order of resolution would determine whether the interaction effect was presented in the X factor or the W factor.</w:t>
      </w:r>
    </w:p>
  </w:footnote>
  <w:footnote w:id="50">
    <w:p w:rsidR="00766B0C" w:rsidRDefault="00766B0C" w:rsidP="00911C85">
      <w:pPr>
        <w:pStyle w:val="FootnoteText"/>
      </w:pPr>
      <w:r>
        <w:rPr>
          <w:rStyle w:val="FootnoteReference"/>
        </w:rPr>
        <w:footnoteRef/>
      </w:r>
      <w:r>
        <w:t xml:space="preserve"> </w:t>
      </w:r>
      <w:r>
        <w:tab/>
      </w:r>
      <w:r w:rsidRPr="00C77023">
        <w:t xml:space="preserve">This is because the return on debt for later years will determine the unsmoothed revenue for each of those </w:t>
      </w:r>
      <w:proofErr w:type="gramStart"/>
      <w:r w:rsidRPr="00C77023">
        <w:t>years,</w:t>
      </w:r>
      <w:proofErr w:type="gramEnd"/>
      <w:r w:rsidRPr="00C77023">
        <w:t xml:space="preserve"> and so in turn the smoothed revenue path across the entire</w:t>
      </w:r>
      <w:r>
        <w:t xml:space="preserve"> regulatory control</w:t>
      </w:r>
      <w:r w:rsidRPr="00C77023">
        <w:t xml:space="preserve"> period (and the current year)</w:t>
      </w:r>
      <w:r>
        <w:t>.</w:t>
      </w:r>
    </w:p>
  </w:footnote>
  <w:footnote w:id="51">
    <w:p w:rsidR="00766B0C" w:rsidRDefault="00766B0C">
      <w:pPr>
        <w:pStyle w:val="FootnoteText"/>
      </w:pPr>
      <w:r>
        <w:rPr>
          <w:rStyle w:val="FootnoteReference"/>
        </w:rPr>
        <w:footnoteRef/>
      </w:r>
      <w:r>
        <w:t xml:space="preserve"> </w:t>
      </w:r>
      <w:r>
        <w:tab/>
        <w:t>In other words, both approaches are revenue neutral with regard to the final smoothed revenue outcome.</w:t>
      </w:r>
    </w:p>
  </w:footnote>
  <w:footnote w:id="52">
    <w:p w:rsidR="00766B0C" w:rsidRDefault="00766B0C" w:rsidP="00146C9A">
      <w:pPr>
        <w:pStyle w:val="FootnoteText"/>
      </w:pPr>
      <w:r>
        <w:rPr>
          <w:rStyle w:val="FootnoteReference"/>
        </w:rPr>
        <w:footnoteRef/>
      </w:r>
      <w:r>
        <w:t xml:space="preserve"> </w:t>
      </w:r>
      <w:r>
        <w:tab/>
        <w:t>This does not imply that our proposed approach always minimises volatility relative to the alternative approach. As shown in scenario 4 of attachment A, our proposed approach will cause greater variation where the portfolio return on of debt is fluctuating (positive and negative) around the starting value.</w:t>
      </w:r>
    </w:p>
  </w:footnote>
  <w:footnote w:id="53">
    <w:p w:rsidR="00766B0C" w:rsidRDefault="00766B0C" w:rsidP="00F15933">
      <w:pPr>
        <w:pStyle w:val="FootnoteText"/>
      </w:pPr>
      <w:r>
        <w:rPr>
          <w:rStyle w:val="FootnoteReference"/>
        </w:rPr>
        <w:footnoteRef/>
      </w:r>
      <w:r>
        <w:t xml:space="preserve"> </w:t>
      </w:r>
      <w:r>
        <w:tab/>
        <w:t xml:space="preserve">The scenarios are described in more detail in attachment A. </w:t>
      </w:r>
    </w:p>
  </w:footnote>
  <w:footnote w:id="54">
    <w:p w:rsidR="00766B0C" w:rsidRDefault="00766B0C">
      <w:pPr>
        <w:pStyle w:val="FootnoteText"/>
      </w:pPr>
      <w:r>
        <w:rPr>
          <w:rStyle w:val="FootnoteReference"/>
        </w:rPr>
        <w:footnoteRef/>
      </w:r>
      <w:r>
        <w:t xml:space="preserve"> </w:t>
      </w:r>
      <w:r>
        <w:tab/>
        <w:t>Attachment A includes more material relevant to this issue.</w:t>
      </w:r>
    </w:p>
  </w:footnote>
  <w:footnote w:id="55">
    <w:p w:rsidR="00766B0C" w:rsidRDefault="00766B0C" w:rsidP="00652659">
      <w:pPr>
        <w:pStyle w:val="FootnoteText"/>
      </w:pPr>
      <w:r>
        <w:rPr>
          <w:rStyle w:val="FootnoteReference"/>
        </w:rPr>
        <w:footnoteRef/>
      </w:r>
      <w:r>
        <w:t xml:space="preserve"> </w:t>
      </w:r>
      <w:r>
        <w:tab/>
        <w:t>In contrast, this return on debt scenario produces considerable X factor volatility under approach A (setting the return on debt for later years equal to the most recent year's annual update).</w:t>
      </w:r>
    </w:p>
  </w:footnote>
  <w:footnote w:id="56">
    <w:p w:rsidR="00766B0C" w:rsidRDefault="00766B0C" w:rsidP="00652659">
      <w:pPr>
        <w:pStyle w:val="FootnoteText"/>
      </w:pPr>
      <w:r>
        <w:rPr>
          <w:rStyle w:val="FootnoteReference"/>
        </w:rPr>
        <w:footnoteRef/>
      </w:r>
      <w:r>
        <w:t xml:space="preserve"> </w:t>
      </w:r>
      <w:r>
        <w:tab/>
        <w:t xml:space="preserve">In contrast, this return on debt scenario minimises volatility under approach A. </w:t>
      </w:r>
    </w:p>
  </w:footnote>
  <w:footnote w:id="57">
    <w:p w:rsidR="00766B0C" w:rsidRDefault="00766B0C">
      <w:pPr>
        <w:pStyle w:val="FootnoteText"/>
      </w:pPr>
      <w:r>
        <w:rPr>
          <w:rStyle w:val="FootnoteReference"/>
        </w:rPr>
        <w:footnoteRef/>
      </w:r>
      <w:r>
        <w:t xml:space="preserve"> </w:t>
      </w:r>
      <w:r>
        <w:tab/>
        <w:t>The default approach can be overridden by entering the portfolio return on debt for all years in the regulatory control period at each annual debt update.</w:t>
      </w:r>
    </w:p>
  </w:footnote>
  <w:footnote w:id="58">
    <w:p w:rsidR="00766B0C" w:rsidRDefault="00766B0C" w:rsidP="00C77023">
      <w:pPr>
        <w:pStyle w:val="FootnoteText"/>
      </w:pPr>
      <w:r>
        <w:rPr>
          <w:rStyle w:val="FootnoteReference"/>
        </w:rPr>
        <w:footnoteRef/>
      </w:r>
      <w:r>
        <w:t xml:space="preserve"> </w:t>
      </w:r>
      <w:r>
        <w:tab/>
        <w:t>This alternative approach arose from our preliminary consultation with the ENA, as described in section 5.1.</w:t>
      </w:r>
    </w:p>
  </w:footnote>
  <w:footnote w:id="59">
    <w:p w:rsidR="00766B0C" w:rsidRDefault="00766B0C">
      <w:pPr>
        <w:pStyle w:val="FootnoteText"/>
      </w:pPr>
      <w:r>
        <w:rPr>
          <w:rStyle w:val="FootnoteReference"/>
        </w:rPr>
        <w:footnoteRef/>
      </w:r>
      <w:r>
        <w:t xml:space="preserve"> </w:t>
      </w:r>
      <w:r>
        <w:tab/>
        <w:t>The year 1 spot return on debt will be measured during an averaging period that ends prior to the start of year 1, in line with the discussion at section 5.1 on the lag between measurement and application.</w:t>
      </w:r>
    </w:p>
  </w:footnote>
  <w:footnote w:id="60">
    <w:p w:rsidR="00766B0C" w:rsidRDefault="00766B0C">
      <w:pPr>
        <w:pStyle w:val="FootnoteText"/>
      </w:pPr>
      <w:r>
        <w:rPr>
          <w:rStyle w:val="FootnoteReference"/>
        </w:rPr>
        <w:footnoteRef/>
      </w:r>
      <w:r>
        <w:t xml:space="preserve"> </w:t>
      </w:r>
      <w:r>
        <w:tab/>
        <w:t>In our illustrative example, the (spot) return on debt nine years ago was 6.5 per cent; for eight years ago it was 7 per cent, for seven years ago it was 8 per cent, and for five years ago it was 7.5 per cent. These spot return on debt figures matter because as the ten year trailing average portfolio rolls forward they are the individual observations that drop out of the portfolio in subsequent years.</w:t>
      </w:r>
    </w:p>
  </w:footnote>
  <w:footnote w:id="61">
    <w:p w:rsidR="00766B0C" w:rsidRDefault="00766B0C">
      <w:pPr>
        <w:pStyle w:val="FootnoteText"/>
      </w:pPr>
      <w:r>
        <w:rPr>
          <w:rStyle w:val="FootnoteReference"/>
        </w:rPr>
        <w:footnoteRef/>
      </w:r>
      <w:r>
        <w:t xml:space="preserve"> </w:t>
      </w:r>
      <w:r>
        <w:tab/>
        <w:t>Under the CPI–X control formula, a negative X factor means an increase in the real revenue requirement.</w:t>
      </w:r>
    </w:p>
  </w:footnote>
  <w:footnote w:id="62">
    <w:p w:rsidR="00766B0C" w:rsidRDefault="00766B0C">
      <w:pPr>
        <w:pStyle w:val="FootnoteText"/>
      </w:pPr>
      <w:r>
        <w:rPr>
          <w:rStyle w:val="FootnoteReference"/>
        </w:rPr>
        <w:footnoteRef/>
      </w:r>
      <w:r>
        <w:t xml:space="preserve"> </w:t>
      </w:r>
      <w:r>
        <w:tab/>
        <w:t>Since the X factors for years 2 to 5 were 0 per cent in the final decision, there is no real revenue change in those years in any case. The real revenue change in year 1 was +3 per cent (since the X factor for that year was –3.0 per cent), so constructing the graph as a comparison against the final decision outcome nets this figure back to 0 per cent.</w:t>
      </w:r>
    </w:p>
  </w:footnote>
  <w:footnote w:id="63">
    <w:p w:rsidR="00766B0C" w:rsidRDefault="00766B0C">
      <w:pPr>
        <w:pStyle w:val="FootnoteText"/>
      </w:pPr>
      <w:r>
        <w:rPr>
          <w:rStyle w:val="FootnoteReference"/>
        </w:rPr>
        <w:footnoteRef/>
      </w:r>
      <w:r>
        <w:t xml:space="preserve"> </w:t>
      </w:r>
      <w:r>
        <w:tab/>
        <w:t xml:space="preserve">This is </w:t>
      </w:r>
      <w:r w:rsidR="00BD7280">
        <w:t>approximately</w:t>
      </w:r>
      <w:bookmarkStart w:id="48" w:name="_GoBack"/>
      <w:bookmarkEnd w:id="48"/>
      <w:r>
        <w:t xml:space="preserve"> commensurate with the change observed during the global financial crisis.</w:t>
      </w:r>
    </w:p>
  </w:footnote>
  <w:footnote w:id="64">
    <w:p w:rsidR="00766B0C" w:rsidRDefault="00766B0C">
      <w:pPr>
        <w:pStyle w:val="FootnoteText"/>
      </w:pPr>
      <w:r>
        <w:rPr>
          <w:rStyle w:val="FootnoteReference"/>
        </w:rPr>
        <w:footnoteRef/>
      </w:r>
      <w:r>
        <w:t xml:space="preserve"> </w:t>
      </w:r>
      <w:r>
        <w:tab/>
        <w:t>For example, consider a case where the spot return on debt increases from 7.5 per cent last year to 12 per cent this year. Intuitively we expect the portfolio return on debt to increase; but if the return on debt ten years ago (the year dropping out of the ten year average) was higher than 12 per cent, the overall trailing average portfolio return on debt will decrease—despite the recent dramatic increase in (spot) debt costs.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6C3CD5A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B4F49178"/>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499"/>
        </w:tabs>
        <w:ind w:left="499"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4"/>
  </w:num>
  <w:num w:numId="3">
    <w:abstractNumId w:val="2"/>
  </w:num>
  <w:num w:numId="4">
    <w:abstractNumId w:val="6"/>
  </w:num>
  <w:num w:numId="5">
    <w:abstractNumId w:val="0"/>
  </w:num>
  <w:num w:numId="6">
    <w:abstractNumId w:val="5"/>
    <w:lvlOverride w:ilvl="0">
      <w:lvl w:ilvl="0">
        <w:start w:val="1"/>
        <w:numFmt w:val="none"/>
        <w:pStyle w:val="AERbodytext"/>
        <w:lvlText w:val="%1"/>
        <w:lvlJc w:val="left"/>
        <w:pPr>
          <w:tabs>
            <w:tab w:val="num" w:pos="0"/>
          </w:tabs>
          <w:ind w:left="0" w:firstLine="0"/>
        </w:pPr>
        <w:rPr>
          <w:rFonts w:hint="default"/>
        </w:rPr>
      </w:lvl>
    </w:lvlOverride>
  </w:num>
  <w:num w:numId="7">
    <w:abstractNumId w:val="3"/>
  </w:num>
  <w:num w:numId="8">
    <w:abstractNumId w:val="1"/>
  </w:num>
  <w:num w:numId="9">
    <w:abstractNumId w:val="5"/>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formatting="1" w:enforcement="1"/>
  <w:defaultTabStop w:val="720"/>
  <w:drawingGridHorizontalSpacing w:val="100"/>
  <w:displayHorizontalDrawingGridEvery w:val="2"/>
  <w:characterSpacingControl w:val="doNotCompress"/>
  <w:hdrShapeDefaults>
    <o:shapedefaults v:ext="edit" spidmax="140289">
      <o:colormru v:ext="edit" colors="silver,#ddd"/>
    </o:shapedefaults>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2368\D14 128830  Explanatory statement - proposed amendments to the transmission and distribution PTRMs - post board for release(2).DOCX"/>
  </w:docVars>
  <w:rsids>
    <w:rsidRoot w:val="000C052F"/>
    <w:rsid w:val="00000702"/>
    <w:rsid w:val="00000FBB"/>
    <w:rsid w:val="0000147B"/>
    <w:rsid w:val="0000257E"/>
    <w:rsid w:val="00002B65"/>
    <w:rsid w:val="00003188"/>
    <w:rsid w:val="00003434"/>
    <w:rsid w:val="00003849"/>
    <w:rsid w:val="00003B01"/>
    <w:rsid w:val="000042F6"/>
    <w:rsid w:val="000045C3"/>
    <w:rsid w:val="00004F2A"/>
    <w:rsid w:val="00005DBA"/>
    <w:rsid w:val="000061AF"/>
    <w:rsid w:val="00006CC4"/>
    <w:rsid w:val="000105B6"/>
    <w:rsid w:val="00010680"/>
    <w:rsid w:val="000109A9"/>
    <w:rsid w:val="00011129"/>
    <w:rsid w:val="0001161D"/>
    <w:rsid w:val="00011EFE"/>
    <w:rsid w:val="00012401"/>
    <w:rsid w:val="00012880"/>
    <w:rsid w:val="00012CD3"/>
    <w:rsid w:val="00013022"/>
    <w:rsid w:val="000131E1"/>
    <w:rsid w:val="00013950"/>
    <w:rsid w:val="000146C6"/>
    <w:rsid w:val="00015F8C"/>
    <w:rsid w:val="0001633E"/>
    <w:rsid w:val="00016C3F"/>
    <w:rsid w:val="00017813"/>
    <w:rsid w:val="00017E54"/>
    <w:rsid w:val="0002175A"/>
    <w:rsid w:val="00021E47"/>
    <w:rsid w:val="00022606"/>
    <w:rsid w:val="000232E0"/>
    <w:rsid w:val="00023674"/>
    <w:rsid w:val="0002443A"/>
    <w:rsid w:val="00024902"/>
    <w:rsid w:val="00024DB0"/>
    <w:rsid w:val="00025152"/>
    <w:rsid w:val="00025CFC"/>
    <w:rsid w:val="00027666"/>
    <w:rsid w:val="00027908"/>
    <w:rsid w:val="00030066"/>
    <w:rsid w:val="000313A0"/>
    <w:rsid w:val="00031B91"/>
    <w:rsid w:val="00031D8C"/>
    <w:rsid w:val="0003213B"/>
    <w:rsid w:val="00033BFF"/>
    <w:rsid w:val="00034A30"/>
    <w:rsid w:val="00034D1A"/>
    <w:rsid w:val="000359C0"/>
    <w:rsid w:val="00035D89"/>
    <w:rsid w:val="00036E33"/>
    <w:rsid w:val="00040498"/>
    <w:rsid w:val="00040599"/>
    <w:rsid w:val="00040749"/>
    <w:rsid w:val="00040DDE"/>
    <w:rsid w:val="0004176A"/>
    <w:rsid w:val="000428EE"/>
    <w:rsid w:val="00042B1E"/>
    <w:rsid w:val="00044BDE"/>
    <w:rsid w:val="00045878"/>
    <w:rsid w:val="00045E0A"/>
    <w:rsid w:val="00046402"/>
    <w:rsid w:val="000464A0"/>
    <w:rsid w:val="0004760F"/>
    <w:rsid w:val="00047802"/>
    <w:rsid w:val="0004794B"/>
    <w:rsid w:val="00050A09"/>
    <w:rsid w:val="00050F47"/>
    <w:rsid w:val="00050FB6"/>
    <w:rsid w:val="000514DD"/>
    <w:rsid w:val="00051551"/>
    <w:rsid w:val="000526A1"/>
    <w:rsid w:val="000526B3"/>
    <w:rsid w:val="000528EB"/>
    <w:rsid w:val="0005369A"/>
    <w:rsid w:val="00053B5C"/>
    <w:rsid w:val="0005467F"/>
    <w:rsid w:val="000554A5"/>
    <w:rsid w:val="00055759"/>
    <w:rsid w:val="00055D12"/>
    <w:rsid w:val="000561B9"/>
    <w:rsid w:val="00057870"/>
    <w:rsid w:val="00057EA2"/>
    <w:rsid w:val="00060100"/>
    <w:rsid w:val="00060770"/>
    <w:rsid w:val="000625D7"/>
    <w:rsid w:val="00062889"/>
    <w:rsid w:val="00062A5F"/>
    <w:rsid w:val="00063169"/>
    <w:rsid w:val="0006337E"/>
    <w:rsid w:val="000633E6"/>
    <w:rsid w:val="00064605"/>
    <w:rsid w:val="00064665"/>
    <w:rsid w:val="00064FE6"/>
    <w:rsid w:val="000650E0"/>
    <w:rsid w:val="00066E03"/>
    <w:rsid w:val="0006747A"/>
    <w:rsid w:val="00070053"/>
    <w:rsid w:val="00071B86"/>
    <w:rsid w:val="00072936"/>
    <w:rsid w:val="00073208"/>
    <w:rsid w:val="0007365F"/>
    <w:rsid w:val="0007367D"/>
    <w:rsid w:val="00074339"/>
    <w:rsid w:val="00074470"/>
    <w:rsid w:val="00074860"/>
    <w:rsid w:val="000749DE"/>
    <w:rsid w:val="00074B4C"/>
    <w:rsid w:val="00074FBA"/>
    <w:rsid w:val="000764EC"/>
    <w:rsid w:val="000778A8"/>
    <w:rsid w:val="00081068"/>
    <w:rsid w:val="00081541"/>
    <w:rsid w:val="0008259F"/>
    <w:rsid w:val="00083592"/>
    <w:rsid w:val="000836C8"/>
    <w:rsid w:val="00084120"/>
    <w:rsid w:val="000847BB"/>
    <w:rsid w:val="00084F34"/>
    <w:rsid w:val="000851F1"/>
    <w:rsid w:val="00085CB2"/>
    <w:rsid w:val="00085EB6"/>
    <w:rsid w:val="00086505"/>
    <w:rsid w:val="00090478"/>
    <w:rsid w:val="00090DAA"/>
    <w:rsid w:val="0009184A"/>
    <w:rsid w:val="00091B2E"/>
    <w:rsid w:val="00091E6C"/>
    <w:rsid w:val="00092094"/>
    <w:rsid w:val="00092CE0"/>
    <w:rsid w:val="000932B3"/>
    <w:rsid w:val="0009356D"/>
    <w:rsid w:val="00094452"/>
    <w:rsid w:val="000945EE"/>
    <w:rsid w:val="00095E6B"/>
    <w:rsid w:val="00096559"/>
    <w:rsid w:val="00096718"/>
    <w:rsid w:val="000A1A55"/>
    <w:rsid w:val="000A1CC2"/>
    <w:rsid w:val="000A2DF9"/>
    <w:rsid w:val="000A34E1"/>
    <w:rsid w:val="000A41C3"/>
    <w:rsid w:val="000A42CE"/>
    <w:rsid w:val="000A492C"/>
    <w:rsid w:val="000A4C7A"/>
    <w:rsid w:val="000A5216"/>
    <w:rsid w:val="000A5342"/>
    <w:rsid w:val="000A5512"/>
    <w:rsid w:val="000A647B"/>
    <w:rsid w:val="000A6680"/>
    <w:rsid w:val="000A7B22"/>
    <w:rsid w:val="000B03BA"/>
    <w:rsid w:val="000B066D"/>
    <w:rsid w:val="000B0F95"/>
    <w:rsid w:val="000B15CA"/>
    <w:rsid w:val="000B1720"/>
    <w:rsid w:val="000B2C24"/>
    <w:rsid w:val="000B2DD8"/>
    <w:rsid w:val="000B49F0"/>
    <w:rsid w:val="000B5321"/>
    <w:rsid w:val="000B54A6"/>
    <w:rsid w:val="000B57EA"/>
    <w:rsid w:val="000B5A02"/>
    <w:rsid w:val="000B6708"/>
    <w:rsid w:val="000B7DF0"/>
    <w:rsid w:val="000C052F"/>
    <w:rsid w:val="000C0F80"/>
    <w:rsid w:val="000C17B7"/>
    <w:rsid w:val="000C271A"/>
    <w:rsid w:val="000C2841"/>
    <w:rsid w:val="000C3062"/>
    <w:rsid w:val="000C3430"/>
    <w:rsid w:val="000C3976"/>
    <w:rsid w:val="000C4F08"/>
    <w:rsid w:val="000C53F0"/>
    <w:rsid w:val="000C6BFC"/>
    <w:rsid w:val="000C781B"/>
    <w:rsid w:val="000C7AA1"/>
    <w:rsid w:val="000C7D07"/>
    <w:rsid w:val="000D03A8"/>
    <w:rsid w:val="000D03C2"/>
    <w:rsid w:val="000D04B1"/>
    <w:rsid w:val="000D1B53"/>
    <w:rsid w:val="000D1C2F"/>
    <w:rsid w:val="000D1F02"/>
    <w:rsid w:val="000D231B"/>
    <w:rsid w:val="000D2A68"/>
    <w:rsid w:val="000D2F5B"/>
    <w:rsid w:val="000D3171"/>
    <w:rsid w:val="000D32DB"/>
    <w:rsid w:val="000D3958"/>
    <w:rsid w:val="000D401F"/>
    <w:rsid w:val="000D49C4"/>
    <w:rsid w:val="000D4A4B"/>
    <w:rsid w:val="000D4A6A"/>
    <w:rsid w:val="000D6111"/>
    <w:rsid w:val="000D613F"/>
    <w:rsid w:val="000D6261"/>
    <w:rsid w:val="000D6CF7"/>
    <w:rsid w:val="000D7073"/>
    <w:rsid w:val="000E02C7"/>
    <w:rsid w:val="000E1A25"/>
    <w:rsid w:val="000E20C4"/>
    <w:rsid w:val="000E2483"/>
    <w:rsid w:val="000E3444"/>
    <w:rsid w:val="000E3C98"/>
    <w:rsid w:val="000E44B3"/>
    <w:rsid w:val="000E45DF"/>
    <w:rsid w:val="000E49A3"/>
    <w:rsid w:val="000E5087"/>
    <w:rsid w:val="000E50FD"/>
    <w:rsid w:val="000E5145"/>
    <w:rsid w:val="000E540C"/>
    <w:rsid w:val="000E5416"/>
    <w:rsid w:val="000E5C53"/>
    <w:rsid w:val="000E6052"/>
    <w:rsid w:val="000E6238"/>
    <w:rsid w:val="000E66D1"/>
    <w:rsid w:val="000E676A"/>
    <w:rsid w:val="000E71D9"/>
    <w:rsid w:val="000E74F2"/>
    <w:rsid w:val="000E77E2"/>
    <w:rsid w:val="000E78BF"/>
    <w:rsid w:val="000E7C32"/>
    <w:rsid w:val="000E7E39"/>
    <w:rsid w:val="000F028A"/>
    <w:rsid w:val="000F0A33"/>
    <w:rsid w:val="000F0AAD"/>
    <w:rsid w:val="000F149F"/>
    <w:rsid w:val="000F1580"/>
    <w:rsid w:val="000F2699"/>
    <w:rsid w:val="000F30CC"/>
    <w:rsid w:val="000F3A6A"/>
    <w:rsid w:val="000F3B7B"/>
    <w:rsid w:val="000F41DC"/>
    <w:rsid w:val="000F4420"/>
    <w:rsid w:val="000F4708"/>
    <w:rsid w:val="000F4B85"/>
    <w:rsid w:val="000F56AA"/>
    <w:rsid w:val="000F6AB5"/>
    <w:rsid w:val="000F7618"/>
    <w:rsid w:val="001007F2"/>
    <w:rsid w:val="001008DB"/>
    <w:rsid w:val="0010192D"/>
    <w:rsid w:val="00101E24"/>
    <w:rsid w:val="00101E59"/>
    <w:rsid w:val="00102429"/>
    <w:rsid w:val="00102A34"/>
    <w:rsid w:val="001033B3"/>
    <w:rsid w:val="00104C88"/>
    <w:rsid w:val="00104CDE"/>
    <w:rsid w:val="00105636"/>
    <w:rsid w:val="00105DC1"/>
    <w:rsid w:val="001060C4"/>
    <w:rsid w:val="00106A70"/>
    <w:rsid w:val="001070C6"/>
    <w:rsid w:val="00107185"/>
    <w:rsid w:val="00110030"/>
    <w:rsid w:val="00110CDA"/>
    <w:rsid w:val="00112153"/>
    <w:rsid w:val="001131D4"/>
    <w:rsid w:val="00114397"/>
    <w:rsid w:val="001148B7"/>
    <w:rsid w:val="00114ABE"/>
    <w:rsid w:val="001159E8"/>
    <w:rsid w:val="001162DD"/>
    <w:rsid w:val="00116CC1"/>
    <w:rsid w:val="00116ED0"/>
    <w:rsid w:val="0012037E"/>
    <w:rsid w:val="00121A45"/>
    <w:rsid w:val="001223D4"/>
    <w:rsid w:val="001225E6"/>
    <w:rsid w:val="00123623"/>
    <w:rsid w:val="00124A3E"/>
    <w:rsid w:val="00126B50"/>
    <w:rsid w:val="0012741E"/>
    <w:rsid w:val="0012766E"/>
    <w:rsid w:val="001277E6"/>
    <w:rsid w:val="00127837"/>
    <w:rsid w:val="00127E36"/>
    <w:rsid w:val="00127EDB"/>
    <w:rsid w:val="001300DA"/>
    <w:rsid w:val="00130149"/>
    <w:rsid w:val="0013022D"/>
    <w:rsid w:val="001304F9"/>
    <w:rsid w:val="00130AFB"/>
    <w:rsid w:val="001324C8"/>
    <w:rsid w:val="00132996"/>
    <w:rsid w:val="00132C2F"/>
    <w:rsid w:val="00133150"/>
    <w:rsid w:val="0013368B"/>
    <w:rsid w:val="00133FAE"/>
    <w:rsid w:val="00134AC3"/>
    <w:rsid w:val="001363F4"/>
    <w:rsid w:val="00137605"/>
    <w:rsid w:val="00140701"/>
    <w:rsid w:val="00140FCF"/>
    <w:rsid w:val="00141A68"/>
    <w:rsid w:val="00141A81"/>
    <w:rsid w:val="00141FF1"/>
    <w:rsid w:val="0014219C"/>
    <w:rsid w:val="001421F4"/>
    <w:rsid w:val="00142296"/>
    <w:rsid w:val="00142384"/>
    <w:rsid w:val="001429FB"/>
    <w:rsid w:val="00143B2A"/>
    <w:rsid w:val="00143E5F"/>
    <w:rsid w:val="00144789"/>
    <w:rsid w:val="00144D88"/>
    <w:rsid w:val="0014577D"/>
    <w:rsid w:val="0014650D"/>
    <w:rsid w:val="0014692D"/>
    <w:rsid w:val="00146C9A"/>
    <w:rsid w:val="00146DA7"/>
    <w:rsid w:val="001471C9"/>
    <w:rsid w:val="001510AD"/>
    <w:rsid w:val="001517A6"/>
    <w:rsid w:val="00152426"/>
    <w:rsid w:val="00152AF2"/>
    <w:rsid w:val="00152C82"/>
    <w:rsid w:val="00152FF5"/>
    <w:rsid w:val="00153518"/>
    <w:rsid w:val="001538AF"/>
    <w:rsid w:val="00153E85"/>
    <w:rsid w:val="00153EF5"/>
    <w:rsid w:val="00153EF8"/>
    <w:rsid w:val="001542E7"/>
    <w:rsid w:val="001543D2"/>
    <w:rsid w:val="001549D0"/>
    <w:rsid w:val="00154E43"/>
    <w:rsid w:val="00154F6B"/>
    <w:rsid w:val="001553F0"/>
    <w:rsid w:val="00155958"/>
    <w:rsid w:val="00155DD0"/>
    <w:rsid w:val="00155E8D"/>
    <w:rsid w:val="001560F4"/>
    <w:rsid w:val="0015690E"/>
    <w:rsid w:val="00156A05"/>
    <w:rsid w:val="00156E8A"/>
    <w:rsid w:val="001570F0"/>
    <w:rsid w:val="00160294"/>
    <w:rsid w:val="00160538"/>
    <w:rsid w:val="001621C0"/>
    <w:rsid w:val="0016326F"/>
    <w:rsid w:val="001632B2"/>
    <w:rsid w:val="00163374"/>
    <w:rsid w:val="00163835"/>
    <w:rsid w:val="001640EB"/>
    <w:rsid w:val="001647B8"/>
    <w:rsid w:val="00164E80"/>
    <w:rsid w:val="00165BE2"/>
    <w:rsid w:val="00166CAA"/>
    <w:rsid w:val="001671F4"/>
    <w:rsid w:val="00167B00"/>
    <w:rsid w:val="00167C70"/>
    <w:rsid w:val="00167F52"/>
    <w:rsid w:val="00172E33"/>
    <w:rsid w:val="00172F30"/>
    <w:rsid w:val="00173A3E"/>
    <w:rsid w:val="00174026"/>
    <w:rsid w:val="00174B6F"/>
    <w:rsid w:val="0017503F"/>
    <w:rsid w:val="00175905"/>
    <w:rsid w:val="00175954"/>
    <w:rsid w:val="00175CBC"/>
    <w:rsid w:val="00176C19"/>
    <w:rsid w:val="00176D43"/>
    <w:rsid w:val="0017748D"/>
    <w:rsid w:val="00177514"/>
    <w:rsid w:val="001800EA"/>
    <w:rsid w:val="0018087D"/>
    <w:rsid w:val="00181402"/>
    <w:rsid w:val="0018268A"/>
    <w:rsid w:val="00182791"/>
    <w:rsid w:val="00184A47"/>
    <w:rsid w:val="001856EE"/>
    <w:rsid w:val="00186A17"/>
    <w:rsid w:val="00187306"/>
    <w:rsid w:val="00190CB4"/>
    <w:rsid w:val="00191862"/>
    <w:rsid w:val="00191C97"/>
    <w:rsid w:val="001923DC"/>
    <w:rsid w:val="0019284E"/>
    <w:rsid w:val="001936BB"/>
    <w:rsid w:val="00193785"/>
    <w:rsid w:val="00193F67"/>
    <w:rsid w:val="00194BF0"/>
    <w:rsid w:val="00194C3C"/>
    <w:rsid w:val="00194D21"/>
    <w:rsid w:val="00195B4C"/>
    <w:rsid w:val="00195BBB"/>
    <w:rsid w:val="00195F38"/>
    <w:rsid w:val="0019662B"/>
    <w:rsid w:val="0019686E"/>
    <w:rsid w:val="00196A28"/>
    <w:rsid w:val="001972E2"/>
    <w:rsid w:val="001A03F4"/>
    <w:rsid w:val="001A09D9"/>
    <w:rsid w:val="001A0F4D"/>
    <w:rsid w:val="001A0F87"/>
    <w:rsid w:val="001A2088"/>
    <w:rsid w:val="001A21B2"/>
    <w:rsid w:val="001A23DB"/>
    <w:rsid w:val="001A2CF8"/>
    <w:rsid w:val="001A38F7"/>
    <w:rsid w:val="001A42BA"/>
    <w:rsid w:val="001A5B13"/>
    <w:rsid w:val="001A5D0B"/>
    <w:rsid w:val="001A68D8"/>
    <w:rsid w:val="001A6DD9"/>
    <w:rsid w:val="001A7126"/>
    <w:rsid w:val="001A7127"/>
    <w:rsid w:val="001A75B4"/>
    <w:rsid w:val="001B0A4E"/>
    <w:rsid w:val="001B0E5F"/>
    <w:rsid w:val="001B1885"/>
    <w:rsid w:val="001B1E9F"/>
    <w:rsid w:val="001B215E"/>
    <w:rsid w:val="001B2AF5"/>
    <w:rsid w:val="001B3430"/>
    <w:rsid w:val="001B4246"/>
    <w:rsid w:val="001B43F8"/>
    <w:rsid w:val="001B560D"/>
    <w:rsid w:val="001B6DC7"/>
    <w:rsid w:val="001C0804"/>
    <w:rsid w:val="001C118C"/>
    <w:rsid w:val="001C12E5"/>
    <w:rsid w:val="001C1772"/>
    <w:rsid w:val="001C3523"/>
    <w:rsid w:val="001C36F5"/>
    <w:rsid w:val="001C3A09"/>
    <w:rsid w:val="001C3C62"/>
    <w:rsid w:val="001C3D19"/>
    <w:rsid w:val="001C4923"/>
    <w:rsid w:val="001C518E"/>
    <w:rsid w:val="001C56B9"/>
    <w:rsid w:val="001C586F"/>
    <w:rsid w:val="001C6836"/>
    <w:rsid w:val="001C6989"/>
    <w:rsid w:val="001C7109"/>
    <w:rsid w:val="001C7BDE"/>
    <w:rsid w:val="001D1580"/>
    <w:rsid w:val="001D15FE"/>
    <w:rsid w:val="001D1725"/>
    <w:rsid w:val="001D1CD2"/>
    <w:rsid w:val="001D369D"/>
    <w:rsid w:val="001D4F63"/>
    <w:rsid w:val="001D5760"/>
    <w:rsid w:val="001D5A94"/>
    <w:rsid w:val="001D5B10"/>
    <w:rsid w:val="001D5E25"/>
    <w:rsid w:val="001D6D50"/>
    <w:rsid w:val="001D7154"/>
    <w:rsid w:val="001D7C89"/>
    <w:rsid w:val="001E26C4"/>
    <w:rsid w:val="001E2758"/>
    <w:rsid w:val="001E32BF"/>
    <w:rsid w:val="001E3422"/>
    <w:rsid w:val="001E34DE"/>
    <w:rsid w:val="001E498A"/>
    <w:rsid w:val="001E4B02"/>
    <w:rsid w:val="001E4E7E"/>
    <w:rsid w:val="001E554F"/>
    <w:rsid w:val="001E5810"/>
    <w:rsid w:val="001E59D7"/>
    <w:rsid w:val="001E6976"/>
    <w:rsid w:val="001E6C66"/>
    <w:rsid w:val="001F0029"/>
    <w:rsid w:val="001F053A"/>
    <w:rsid w:val="001F0609"/>
    <w:rsid w:val="001F1034"/>
    <w:rsid w:val="001F144E"/>
    <w:rsid w:val="001F2FE3"/>
    <w:rsid w:val="001F41A9"/>
    <w:rsid w:val="001F4390"/>
    <w:rsid w:val="001F5262"/>
    <w:rsid w:val="001F5364"/>
    <w:rsid w:val="001F6CBC"/>
    <w:rsid w:val="001F7DC2"/>
    <w:rsid w:val="0020079E"/>
    <w:rsid w:val="00200DAD"/>
    <w:rsid w:val="00202ECA"/>
    <w:rsid w:val="0020348F"/>
    <w:rsid w:val="00203B4D"/>
    <w:rsid w:val="00203D93"/>
    <w:rsid w:val="00204238"/>
    <w:rsid w:val="002055BC"/>
    <w:rsid w:val="00205C50"/>
    <w:rsid w:val="00205F7A"/>
    <w:rsid w:val="00206FCA"/>
    <w:rsid w:val="0020711E"/>
    <w:rsid w:val="0020740F"/>
    <w:rsid w:val="00210029"/>
    <w:rsid w:val="002100AF"/>
    <w:rsid w:val="00210880"/>
    <w:rsid w:val="0021234D"/>
    <w:rsid w:val="00214C1C"/>
    <w:rsid w:val="00215660"/>
    <w:rsid w:val="00215827"/>
    <w:rsid w:val="002162FF"/>
    <w:rsid w:val="00217E39"/>
    <w:rsid w:val="0022049F"/>
    <w:rsid w:val="00220547"/>
    <w:rsid w:val="002208AD"/>
    <w:rsid w:val="00220D9D"/>
    <w:rsid w:val="002225A9"/>
    <w:rsid w:val="0022278C"/>
    <w:rsid w:val="0022350A"/>
    <w:rsid w:val="00223A15"/>
    <w:rsid w:val="00223C04"/>
    <w:rsid w:val="00223F9E"/>
    <w:rsid w:val="00224982"/>
    <w:rsid w:val="00224A10"/>
    <w:rsid w:val="00224AFC"/>
    <w:rsid w:val="002257B9"/>
    <w:rsid w:val="00225910"/>
    <w:rsid w:val="00226008"/>
    <w:rsid w:val="002261C1"/>
    <w:rsid w:val="00226695"/>
    <w:rsid w:val="0022669A"/>
    <w:rsid w:val="0022673F"/>
    <w:rsid w:val="00226ACC"/>
    <w:rsid w:val="00227CD8"/>
    <w:rsid w:val="0023116F"/>
    <w:rsid w:val="0023137D"/>
    <w:rsid w:val="00231586"/>
    <w:rsid w:val="00231D4E"/>
    <w:rsid w:val="00232523"/>
    <w:rsid w:val="002331F9"/>
    <w:rsid w:val="00233A2B"/>
    <w:rsid w:val="00234558"/>
    <w:rsid w:val="00235EC8"/>
    <w:rsid w:val="00236171"/>
    <w:rsid w:val="002365FD"/>
    <w:rsid w:val="002368D4"/>
    <w:rsid w:val="00237A11"/>
    <w:rsid w:val="00237D2E"/>
    <w:rsid w:val="0024000A"/>
    <w:rsid w:val="002402B9"/>
    <w:rsid w:val="00240815"/>
    <w:rsid w:val="00241898"/>
    <w:rsid w:val="00241933"/>
    <w:rsid w:val="00241AB0"/>
    <w:rsid w:val="002423F9"/>
    <w:rsid w:val="0024402E"/>
    <w:rsid w:val="00244A7D"/>
    <w:rsid w:val="0024523B"/>
    <w:rsid w:val="00245AED"/>
    <w:rsid w:val="002468DA"/>
    <w:rsid w:val="00247D18"/>
    <w:rsid w:val="00250023"/>
    <w:rsid w:val="00251873"/>
    <w:rsid w:val="00251AD6"/>
    <w:rsid w:val="0025234F"/>
    <w:rsid w:val="00252460"/>
    <w:rsid w:val="00252DE2"/>
    <w:rsid w:val="00254681"/>
    <w:rsid w:val="00254947"/>
    <w:rsid w:val="00254AB6"/>
    <w:rsid w:val="00255254"/>
    <w:rsid w:val="00256EE9"/>
    <w:rsid w:val="0025716A"/>
    <w:rsid w:val="00257C8E"/>
    <w:rsid w:val="00260420"/>
    <w:rsid w:val="0026085C"/>
    <w:rsid w:val="002609DE"/>
    <w:rsid w:val="00260D13"/>
    <w:rsid w:val="00262FF7"/>
    <w:rsid w:val="00263142"/>
    <w:rsid w:val="00263210"/>
    <w:rsid w:val="00264BAF"/>
    <w:rsid w:val="00264C4F"/>
    <w:rsid w:val="00265930"/>
    <w:rsid w:val="00266710"/>
    <w:rsid w:val="002669AE"/>
    <w:rsid w:val="00266E83"/>
    <w:rsid w:val="00267CA3"/>
    <w:rsid w:val="00270000"/>
    <w:rsid w:val="00271039"/>
    <w:rsid w:val="00271AD4"/>
    <w:rsid w:val="00271AFE"/>
    <w:rsid w:val="00272C34"/>
    <w:rsid w:val="00272DEA"/>
    <w:rsid w:val="002735E7"/>
    <w:rsid w:val="00273824"/>
    <w:rsid w:val="00273929"/>
    <w:rsid w:val="002740E5"/>
    <w:rsid w:val="002758BC"/>
    <w:rsid w:val="00276A11"/>
    <w:rsid w:val="002771A5"/>
    <w:rsid w:val="00277D08"/>
    <w:rsid w:val="002805B8"/>
    <w:rsid w:val="0028078E"/>
    <w:rsid w:val="00281D47"/>
    <w:rsid w:val="00282209"/>
    <w:rsid w:val="002829C2"/>
    <w:rsid w:val="002832BA"/>
    <w:rsid w:val="00283AAD"/>
    <w:rsid w:val="0028475D"/>
    <w:rsid w:val="00284B9D"/>
    <w:rsid w:val="00284C99"/>
    <w:rsid w:val="00285FF7"/>
    <w:rsid w:val="00287DB0"/>
    <w:rsid w:val="00290F02"/>
    <w:rsid w:val="002914D2"/>
    <w:rsid w:val="002921EE"/>
    <w:rsid w:val="00292750"/>
    <w:rsid w:val="00292ED2"/>
    <w:rsid w:val="00292F5A"/>
    <w:rsid w:val="002938CE"/>
    <w:rsid w:val="00293929"/>
    <w:rsid w:val="00293C09"/>
    <w:rsid w:val="00293ED1"/>
    <w:rsid w:val="00294A91"/>
    <w:rsid w:val="00294D56"/>
    <w:rsid w:val="0029516F"/>
    <w:rsid w:val="00295546"/>
    <w:rsid w:val="0029584F"/>
    <w:rsid w:val="00295A46"/>
    <w:rsid w:val="00295EE4"/>
    <w:rsid w:val="002960F5"/>
    <w:rsid w:val="00296807"/>
    <w:rsid w:val="002A0C7D"/>
    <w:rsid w:val="002A1B39"/>
    <w:rsid w:val="002A21E6"/>
    <w:rsid w:val="002A22E3"/>
    <w:rsid w:val="002A3246"/>
    <w:rsid w:val="002A33B5"/>
    <w:rsid w:val="002A3D7A"/>
    <w:rsid w:val="002A4067"/>
    <w:rsid w:val="002A4190"/>
    <w:rsid w:val="002A4216"/>
    <w:rsid w:val="002A5152"/>
    <w:rsid w:val="002A6517"/>
    <w:rsid w:val="002A737F"/>
    <w:rsid w:val="002A75D9"/>
    <w:rsid w:val="002B0005"/>
    <w:rsid w:val="002B0332"/>
    <w:rsid w:val="002B0834"/>
    <w:rsid w:val="002B0F56"/>
    <w:rsid w:val="002B11B1"/>
    <w:rsid w:val="002B122C"/>
    <w:rsid w:val="002B1714"/>
    <w:rsid w:val="002B1E90"/>
    <w:rsid w:val="002B29FE"/>
    <w:rsid w:val="002B2E31"/>
    <w:rsid w:val="002B419D"/>
    <w:rsid w:val="002B51E5"/>
    <w:rsid w:val="002B54C3"/>
    <w:rsid w:val="002B5AF2"/>
    <w:rsid w:val="002B5FD7"/>
    <w:rsid w:val="002B6640"/>
    <w:rsid w:val="002C019B"/>
    <w:rsid w:val="002C0290"/>
    <w:rsid w:val="002C02A8"/>
    <w:rsid w:val="002C0563"/>
    <w:rsid w:val="002C1197"/>
    <w:rsid w:val="002C1E35"/>
    <w:rsid w:val="002C2BAA"/>
    <w:rsid w:val="002C4A5E"/>
    <w:rsid w:val="002C6DD7"/>
    <w:rsid w:val="002C788E"/>
    <w:rsid w:val="002C78D6"/>
    <w:rsid w:val="002C7F7C"/>
    <w:rsid w:val="002D099A"/>
    <w:rsid w:val="002D0AB4"/>
    <w:rsid w:val="002D0C94"/>
    <w:rsid w:val="002D0D97"/>
    <w:rsid w:val="002D0DB0"/>
    <w:rsid w:val="002D2213"/>
    <w:rsid w:val="002D23FC"/>
    <w:rsid w:val="002D2451"/>
    <w:rsid w:val="002D3286"/>
    <w:rsid w:val="002D3660"/>
    <w:rsid w:val="002D39BF"/>
    <w:rsid w:val="002D3ACD"/>
    <w:rsid w:val="002D3B42"/>
    <w:rsid w:val="002D46C9"/>
    <w:rsid w:val="002D5239"/>
    <w:rsid w:val="002D5B7D"/>
    <w:rsid w:val="002D5F57"/>
    <w:rsid w:val="002D61AC"/>
    <w:rsid w:val="002D70D8"/>
    <w:rsid w:val="002E0F2C"/>
    <w:rsid w:val="002E1699"/>
    <w:rsid w:val="002E4720"/>
    <w:rsid w:val="002E4812"/>
    <w:rsid w:val="002E49AD"/>
    <w:rsid w:val="002E4D41"/>
    <w:rsid w:val="002E4DFF"/>
    <w:rsid w:val="002E5160"/>
    <w:rsid w:val="002E5812"/>
    <w:rsid w:val="002E64CA"/>
    <w:rsid w:val="002E7CFA"/>
    <w:rsid w:val="002F123E"/>
    <w:rsid w:val="002F158D"/>
    <w:rsid w:val="002F1A5F"/>
    <w:rsid w:val="002F1E97"/>
    <w:rsid w:val="002F2028"/>
    <w:rsid w:val="002F2251"/>
    <w:rsid w:val="002F27EF"/>
    <w:rsid w:val="002F39EE"/>
    <w:rsid w:val="002F3AE9"/>
    <w:rsid w:val="002F4557"/>
    <w:rsid w:val="002F4CE1"/>
    <w:rsid w:val="002F571D"/>
    <w:rsid w:val="002F5A81"/>
    <w:rsid w:val="002F62E6"/>
    <w:rsid w:val="002F6578"/>
    <w:rsid w:val="002F6DD7"/>
    <w:rsid w:val="002F6E6E"/>
    <w:rsid w:val="002F7E61"/>
    <w:rsid w:val="00300110"/>
    <w:rsid w:val="003009E4"/>
    <w:rsid w:val="00302645"/>
    <w:rsid w:val="00303397"/>
    <w:rsid w:val="00303452"/>
    <w:rsid w:val="00303D46"/>
    <w:rsid w:val="00304104"/>
    <w:rsid w:val="003043AE"/>
    <w:rsid w:val="00305644"/>
    <w:rsid w:val="003056DB"/>
    <w:rsid w:val="0030646D"/>
    <w:rsid w:val="00306E12"/>
    <w:rsid w:val="0030703A"/>
    <w:rsid w:val="003071CD"/>
    <w:rsid w:val="00307304"/>
    <w:rsid w:val="003073C8"/>
    <w:rsid w:val="00307F55"/>
    <w:rsid w:val="0031043E"/>
    <w:rsid w:val="00310AEA"/>
    <w:rsid w:val="003115F6"/>
    <w:rsid w:val="00311B5B"/>
    <w:rsid w:val="00313566"/>
    <w:rsid w:val="003135A0"/>
    <w:rsid w:val="0031375E"/>
    <w:rsid w:val="00313E30"/>
    <w:rsid w:val="003148D1"/>
    <w:rsid w:val="00316141"/>
    <w:rsid w:val="00316955"/>
    <w:rsid w:val="00316CCF"/>
    <w:rsid w:val="0031721B"/>
    <w:rsid w:val="00317357"/>
    <w:rsid w:val="00317714"/>
    <w:rsid w:val="00317AF6"/>
    <w:rsid w:val="00317E5B"/>
    <w:rsid w:val="00320520"/>
    <w:rsid w:val="0032093A"/>
    <w:rsid w:val="003209CE"/>
    <w:rsid w:val="00320EBF"/>
    <w:rsid w:val="003211C0"/>
    <w:rsid w:val="00323BAF"/>
    <w:rsid w:val="00324305"/>
    <w:rsid w:val="00325101"/>
    <w:rsid w:val="0032552B"/>
    <w:rsid w:val="00325EDB"/>
    <w:rsid w:val="00326017"/>
    <w:rsid w:val="00326D87"/>
    <w:rsid w:val="00327ED3"/>
    <w:rsid w:val="0033028D"/>
    <w:rsid w:val="00330A15"/>
    <w:rsid w:val="00330ED9"/>
    <w:rsid w:val="00331201"/>
    <w:rsid w:val="003312CF"/>
    <w:rsid w:val="0033165C"/>
    <w:rsid w:val="00331DEA"/>
    <w:rsid w:val="003320E1"/>
    <w:rsid w:val="003324F7"/>
    <w:rsid w:val="00332FDC"/>
    <w:rsid w:val="003334E0"/>
    <w:rsid w:val="00333B70"/>
    <w:rsid w:val="003341AF"/>
    <w:rsid w:val="00334993"/>
    <w:rsid w:val="00334F88"/>
    <w:rsid w:val="0033529D"/>
    <w:rsid w:val="0033535C"/>
    <w:rsid w:val="00336498"/>
    <w:rsid w:val="00336F69"/>
    <w:rsid w:val="00337CFC"/>
    <w:rsid w:val="00340853"/>
    <w:rsid w:val="003416C7"/>
    <w:rsid w:val="0034172F"/>
    <w:rsid w:val="0034216C"/>
    <w:rsid w:val="00343D6E"/>
    <w:rsid w:val="00343FD0"/>
    <w:rsid w:val="00343FD8"/>
    <w:rsid w:val="003451B7"/>
    <w:rsid w:val="00345484"/>
    <w:rsid w:val="003461CE"/>
    <w:rsid w:val="003464F1"/>
    <w:rsid w:val="00346EEA"/>
    <w:rsid w:val="00347A98"/>
    <w:rsid w:val="00347EAD"/>
    <w:rsid w:val="00350498"/>
    <w:rsid w:val="00350876"/>
    <w:rsid w:val="00351B6D"/>
    <w:rsid w:val="003527FE"/>
    <w:rsid w:val="003528C6"/>
    <w:rsid w:val="00353056"/>
    <w:rsid w:val="003530E8"/>
    <w:rsid w:val="00353440"/>
    <w:rsid w:val="003536A7"/>
    <w:rsid w:val="0035374B"/>
    <w:rsid w:val="00353930"/>
    <w:rsid w:val="00353BE7"/>
    <w:rsid w:val="00353C76"/>
    <w:rsid w:val="00353E35"/>
    <w:rsid w:val="00353EDE"/>
    <w:rsid w:val="003543F9"/>
    <w:rsid w:val="00354723"/>
    <w:rsid w:val="00354757"/>
    <w:rsid w:val="00354A72"/>
    <w:rsid w:val="003553C2"/>
    <w:rsid w:val="0035664E"/>
    <w:rsid w:val="00356977"/>
    <w:rsid w:val="00357427"/>
    <w:rsid w:val="00357695"/>
    <w:rsid w:val="003610DA"/>
    <w:rsid w:val="003612E5"/>
    <w:rsid w:val="00361317"/>
    <w:rsid w:val="0036148C"/>
    <w:rsid w:val="00361DAB"/>
    <w:rsid w:val="0036216C"/>
    <w:rsid w:val="00362253"/>
    <w:rsid w:val="00363CC5"/>
    <w:rsid w:val="003640EE"/>
    <w:rsid w:val="00364747"/>
    <w:rsid w:val="00364806"/>
    <w:rsid w:val="00364E93"/>
    <w:rsid w:val="003651B7"/>
    <w:rsid w:val="00365635"/>
    <w:rsid w:val="00365668"/>
    <w:rsid w:val="00365F18"/>
    <w:rsid w:val="00367393"/>
    <w:rsid w:val="00367494"/>
    <w:rsid w:val="0036797C"/>
    <w:rsid w:val="00367B22"/>
    <w:rsid w:val="00367BDB"/>
    <w:rsid w:val="00367DB7"/>
    <w:rsid w:val="00370403"/>
    <w:rsid w:val="003705F1"/>
    <w:rsid w:val="003707A0"/>
    <w:rsid w:val="003707DB"/>
    <w:rsid w:val="00370B67"/>
    <w:rsid w:val="00371C7A"/>
    <w:rsid w:val="00372E7E"/>
    <w:rsid w:val="00374892"/>
    <w:rsid w:val="00375AEC"/>
    <w:rsid w:val="003760F0"/>
    <w:rsid w:val="003761E1"/>
    <w:rsid w:val="00376236"/>
    <w:rsid w:val="003764E2"/>
    <w:rsid w:val="0037652C"/>
    <w:rsid w:val="003766A2"/>
    <w:rsid w:val="00376C95"/>
    <w:rsid w:val="003774D1"/>
    <w:rsid w:val="003800E4"/>
    <w:rsid w:val="003801EE"/>
    <w:rsid w:val="00380E1A"/>
    <w:rsid w:val="00380FF5"/>
    <w:rsid w:val="003815A8"/>
    <w:rsid w:val="0038275D"/>
    <w:rsid w:val="003829C3"/>
    <w:rsid w:val="003831C2"/>
    <w:rsid w:val="0038385B"/>
    <w:rsid w:val="0038681C"/>
    <w:rsid w:val="003873D4"/>
    <w:rsid w:val="003875F4"/>
    <w:rsid w:val="003900BE"/>
    <w:rsid w:val="003911F7"/>
    <w:rsid w:val="00392130"/>
    <w:rsid w:val="0039282E"/>
    <w:rsid w:val="00393C0A"/>
    <w:rsid w:val="0039456F"/>
    <w:rsid w:val="00394570"/>
    <w:rsid w:val="003950FA"/>
    <w:rsid w:val="00395108"/>
    <w:rsid w:val="003962A2"/>
    <w:rsid w:val="00396C37"/>
    <w:rsid w:val="00396E5F"/>
    <w:rsid w:val="00396ED5"/>
    <w:rsid w:val="003972A1"/>
    <w:rsid w:val="00397369"/>
    <w:rsid w:val="00397AD2"/>
    <w:rsid w:val="003A0F44"/>
    <w:rsid w:val="003A10A1"/>
    <w:rsid w:val="003A17B3"/>
    <w:rsid w:val="003A4475"/>
    <w:rsid w:val="003A44A0"/>
    <w:rsid w:val="003A594E"/>
    <w:rsid w:val="003A5EEC"/>
    <w:rsid w:val="003A6174"/>
    <w:rsid w:val="003A771A"/>
    <w:rsid w:val="003A78F0"/>
    <w:rsid w:val="003B054C"/>
    <w:rsid w:val="003B058E"/>
    <w:rsid w:val="003B0DEA"/>
    <w:rsid w:val="003B184B"/>
    <w:rsid w:val="003B286A"/>
    <w:rsid w:val="003B2D45"/>
    <w:rsid w:val="003B475C"/>
    <w:rsid w:val="003B4870"/>
    <w:rsid w:val="003B59A3"/>
    <w:rsid w:val="003B5CDD"/>
    <w:rsid w:val="003B671D"/>
    <w:rsid w:val="003B6CAE"/>
    <w:rsid w:val="003B7070"/>
    <w:rsid w:val="003B71F3"/>
    <w:rsid w:val="003B750E"/>
    <w:rsid w:val="003C0055"/>
    <w:rsid w:val="003C00B9"/>
    <w:rsid w:val="003C2014"/>
    <w:rsid w:val="003C2483"/>
    <w:rsid w:val="003C4A39"/>
    <w:rsid w:val="003C6BED"/>
    <w:rsid w:val="003C7308"/>
    <w:rsid w:val="003C74B1"/>
    <w:rsid w:val="003C7E57"/>
    <w:rsid w:val="003D0342"/>
    <w:rsid w:val="003D0CA6"/>
    <w:rsid w:val="003D0DB6"/>
    <w:rsid w:val="003D1EEA"/>
    <w:rsid w:val="003D288B"/>
    <w:rsid w:val="003D2BB1"/>
    <w:rsid w:val="003D2CE1"/>
    <w:rsid w:val="003D3B37"/>
    <w:rsid w:val="003D454D"/>
    <w:rsid w:val="003D45CA"/>
    <w:rsid w:val="003D4731"/>
    <w:rsid w:val="003D48A2"/>
    <w:rsid w:val="003D4E7A"/>
    <w:rsid w:val="003D5243"/>
    <w:rsid w:val="003D5696"/>
    <w:rsid w:val="003D6C50"/>
    <w:rsid w:val="003D6CFB"/>
    <w:rsid w:val="003E01EC"/>
    <w:rsid w:val="003E0C47"/>
    <w:rsid w:val="003E0D03"/>
    <w:rsid w:val="003E24FC"/>
    <w:rsid w:val="003E2EB4"/>
    <w:rsid w:val="003E39B2"/>
    <w:rsid w:val="003E5B5E"/>
    <w:rsid w:val="003E5C29"/>
    <w:rsid w:val="003E5F03"/>
    <w:rsid w:val="003E62CC"/>
    <w:rsid w:val="003E69DA"/>
    <w:rsid w:val="003E6F72"/>
    <w:rsid w:val="003E7CC1"/>
    <w:rsid w:val="003F0410"/>
    <w:rsid w:val="003F0738"/>
    <w:rsid w:val="003F143B"/>
    <w:rsid w:val="003F14F4"/>
    <w:rsid w:val="003F1B8F"/>
    <w:rsid w:val="003F22FD"/>
    <w:rsid w:val="003F2F35"/>
    <w:rsid w:val="003F3428"/>
    <w:rsid w:val="003F3EA8"/>
    <w:rsid w:val="003F557C"/>
    <w:rsid w:val="003F559E"/>
    <w:rsid w:val="003F59D0"/>
    <w:rsid w:val="003F5EE4"/>
    <w:rsid w:val="003F6187"/>
    <w:rsid w:val="003F665C"/>
    <w:rsid w:val="003F7FCF"/>
    <w:rsid w:val="0040020D"/>
    <w:rsid w:val="00400982"/>
    <w:rsid w:val="0040159D"/>
    <w:rsid w:val="00401B28"/>
    <w:rsid w:val="00402AA3"/>
    <w:rsid w:val="00402AF5"/>
    <w:rsid w:val="00402D26"/>
    <w:rsid w:val="00402D9F"/>
    <w:rsid w:val="004030AB"/>
    <w:rsid w:val="00403482"/>
    <w:rsid w:val="0040357E"/>
    <w:rsid w:val="004048D7"/>
    <w:rsid w:val="004054B2"/>
    <w:rsid w:val="004059C5"/>
    <w:rsid w:val="00405B2A"/>
    <w:rsid w:val="0040708A"/>
    <w:rsid w:val="004073A2"/>
    <w:rsid w:val="00407E8D"/>
    <w:rsid w:val="00407EE9"/>
    <w:rsid w:val="00410440"/>
    <w:rsid w:val="004106A7"/>
    <w:rsid w:val="00410C4C"/>
    <w:rsid w:val="00411628"/>
    <w:rsid w:val="004119B7"/>
    <w:rsid w:val="00412282"/>
    <w:rsid w:val="00413AAB"/>
    <w:rsid w:val="00414928"/>
    <w:rsid w:val="0041657A"/>
    <w:rsid w:val="00416774"/>
    <w:rsid w:val="004167F9"/>
    <w:rsid w:val="00416B67"/>
    <w:rsid w:val="00416E79"/>
    <w:rsid w:val="00417728"/>
    <w:rsid w:val="00417DE5"/>
    <w:rsid w:val="00420BBF"/>
    <w:rsid w:val="004215D2"/>
    <w:rsid w:val="00421B91"/>
    <w:rsid w:val="00421DC7"/>
    <w:rsid w:val="00422716"/>
    <w:rsid w:val="00422CDA"/>
    <w:rsid w:val="00422DC4"/>
    <w:rsid w:val="00423234"/>
    <w:rsid w:val="004242C4"/>
    <w:rsid w:val="0042432A"/>
    <w:rsid w:val="00424722"/>
    <w:rsid w:val="00424AB9"/>
    <w:rsid w:val="00424E0E"/>
    <w:rsid w:val="004253A4"/>
    <w:rsid w:val="004256BA"/>
    <w:rsid w:val="00425E6B"/>
    <w:rsid w:val="004260F1"/>
    <w:rsid w:val="00426CE3"/>
    <w:rsid w:val="0042767A"/>
    <w:rsid w:val="004279A5"/>
    <w:rsid w:val="00427EF1"/>
    <w:rsid w:val="004305F2"/>
    <w:rsid w:val="004307DB"/>
    <w:rsid w:val="00431999"/>
    <w:rsid w:val="00431B18"/>
    <w:rsid w:val="00431D93"/>
    <w:rsid w:val="00431FC8"/>
    <w:rsid w:val="0043205C"/>
    <w:rsid w:val="00432CF1"/>
    <w:rsid w:val="00432EC6"/>
    <w:rsid w:val="00433553"/>
    <w:rsid w:val="004337E1"/>
    <w:rsid w:val="00433E3E"/>
    <w:rsid w:val="004340D3"/>
    <w:rsid w:val="00434FB7"/>
    <w:rsid w:val="0043520E"/>
    <w:rsid w:val="00435682"/>
    <w:rsid w:val="00435908"/>
    <w:rsid w:val="004359D1"/>
    <w:rsid w:val="00435F12"/>
    <w:rsid w:val="004371B9"/>
    <w:rsid w:val="00440F9E"/>
    <w:rsid w:val="00441D75"/>
    <w:rsid w:val="00442EE8"/>
    <w:rsid w:val="004431FC"/>
    <w:rsid w:val="00443294"/>
    <w:rsid w:val="00443E76"/>
    <w:rsid w:val="00444423"/>
    <w:rsid w:val="0044527B"/>
    <w:rsid w:val="00445797"/>
    <w:rsid w:val="0044581E"/>
    <w:rsid w:val="00445F50"/>
    <w:rsid w:val="0044633C"/>
    <w:rsid w:val="004471C3"/>
    <w:rsid w:val="0044747F"/>
    <w:rsid w:val="00447850"/>
    <w:rsid w:val="004501EA"/>
    <w:rsid w:val="004515B1"/>
    <w:rsid w:val="00451AAD"/>
    <w:rsid w:val="0045224C"/>
    <w:rsid w:val="00453479"/>
    <w:rsid w:val="0045351C"/>
    <w:rsid w:val="00453930"/>
    <w:rsid w:val="00453CAF"/>
    <w:rsid w:val="00453CBD"/>
    <w:rsid w:val="00454281"/>
    <w:rsid w:val="004543A1"/>
    <w:rsid w:val="004544C3"/>
    <w:rsid w:val="00454D13"/>
    <w:rsid w:val="00455291"/>
    <w:rsid w:val="00455DCE"/>
    <w:rsid w:val="00456081"/>
    <w:rsid w:val="0045793A"/>
    <w:rsid w:val="0046087C"/>
    <w:rsid w:val="00460B7E"/>
    <w:rsid w:val="00460DD3"/>
    <w:rsid w:val="00461031"/>
    <w:rsid w:val="00461195"/>
    <w:rsid w:val="00462298"/>
    <w:rsid w:val="0046261B"/>
    <w:rsid w:val="00462659"/>
    <w:rsid w:val="00462C05"/>
    <w:rsid w:val="004634A4"/>
    <w:rsid w:val="0046357E"/>
    <w:rsid w:val="00463E08"/>
    <w:rsid w:val="00464309"/>
    <w:rsid w:val="00464BC3"/>
    <w:rsid w:val="00464F5D"/>
    <w:rsid w:val="004650B4"/>
    <w:rsid w:val="00465F52"/>
    <w:rsid w:val="00466182"/>
    <w:rsid w:val="0046623F"/>
    <w:rsid w:val="00466E3C"/>
    <w:rsid w:val="0046716F"/>
    <w:rsid w:val="00467F43"/>
    <w:rsid w:val="00471677"/>
    <w:rsid w:val="00472D74"/>
    <w:rsid w:val="00473B5B"/>
    <w:rsid w:val="00473EB2"/>
    <w:rsid w:val="00474CB4"/>
    <w:rsid w:val="00474FBD"/>
    <w:rsid w:val="00475377"/>
    <w:rsid w:val="00475AB6"/>
    <w:rsid w:val="00476009"/>
    <w:rsid w:val="00476411"/>
    <w:rsid w:val="004766CF"/>
    <w:rsid w:val="004770F1"/>
    <w:rsid w:val="0047741F"/>
    <w:rsid w:val="00480110"/>
    <w:rsid w:val="0048095D"/>
    <w:rsid w:val="00480BCB"/>
    <w:rsid w:val="00480BDF"/>
    <w:rsid w:val="00480D3C"/>
    <w:rsid w:val="00481478"/>
    <w:rsid w:val="00481AAC"/>
    <w:rsid w:val="0048240F"/>
    <w:rsid w:val="004827F4"/>
    <w:rsid w:val="00482FEC"/>
    <w:rsid w:val="00483C6F"/>
    <w:rsid w:val="00484827"/>
    <w:rsid w:val="004850EF"/>
    <w:rsid w:val="004856FD"/>
    <w:rsid w:val="0048574D"/>
    <w:rsid w:val="00485ACE"/>
    <w:rsid w:val="00485AE2"/>
    <w:rsid w:val="004860CB"/>
    <w:rsid w:val="00486438"/>
    <w:rsid w:val="0048681E"/>
    <w:rsid w:val="00486D78"/>
    <w:rsid w:val="00487084"/>
    <w:rsid w:val="00487CC6"/>
    <w:rsid w:val="004901B3"/>
    <w:rsid w:val="004901E9"/>
    <w:rsid w:val="00490608"/>
    <w:rsid w:val="00490628"/>
    <w:rsid w:val="004914CD"/>
    <w:rsid w:val="00491668"/>
    <w:rsid w:val="00491692"/>
    <w:rsid w:val="00491D7D"/>
    <w:rsid w:val="00493B02"/>
    <w:rsid w:val="0049483B"/>
    <w:rsid w:val="00494CC1"/>
    <w:rsid w:val="004963EA"/>
    <w:rsid w:val="0049711B"/>
    <w:rsid w:val="004A0825"/>
    <w:rsid w:val="004A0E4A"/>
    <w:rsid w:val="004A12A4"/>
    <w:rsid w:val="004A1379"/>
    <w:rsid w:val="004A1AE1"/>
    <w:rsid w:val="004A1D5E"/>
    <w:rsid w:val="004A1D6A"/>
    <w:rsid w:val="004A1D7B"/>
    <w:rsid w:val="004A1DF7"/>
    <w:rsid w:val="004A2785"/>
    <w:rsid w:val="004A2BE1"/>
    <w:rsid w:val="004A3247"/>
    <w:rsid w:val="004A3CF9"/>
    <w:rsid w:val="004A44B7"/>
    <w:rsid w:val="004A4B88"/>
    <w:rsid w:val="004A4EE3"/>
    <w:rsid w:val="004A5246"/>
    <w:rsid w:val="004A6937"/>
    <w:rsid w:val="004A6AA2"/>
    <w:rsid w:val="004A7544"/>
    <w:rsid w:val="004A768B"/>
    <w:rsid w:val="004A7741"/>
    <w:rsid w:val="004B05EE"/>
    <w:rsid w:val="004B0773"/>
    <w:rsid w:val="004B1208"/>
    <w:rsid w:val="004B2411"/>
    <w:rsid w:val="004B293A"/>
    <w:rsid w:val="004B350D"/>
    <w:rsid w:val="004B459E"/>
    <w:rsid w:val="004B4AD0"/>
    <w:rsid w:val="004B5777"/>
    <w:rsid w:val="004B5A22"/>
    <w:rsid w:val="004B5A42"/>
    <w:rsid w:val="004B5D3A"/>
    <w:rsid w:val="004B5FAC"/>
    <w:rsid w:val="004B6D39"/>
    <w:rsid w:val="004B6E23"/>
    <w:rsid w:val="004C01C2"/>
    <w:rsid w:val="004C05D2"/>
    <w:rsid w:val="004C0C0B"/>
    <w:rsid w:val="004C0F19"/>
    <w:rsid w:val="004C117D"/>
    <w:rsid w:val="004C1880"/>
    <w:rsid w:val="004C3590"/>
    <w:rsid w:val="004C3F45"/>
    <w:rsid w:val="004C485F"/>
    <w:rsid w:val="004C4AA1"/>
    <w:rsid w:val="004C5553"/>
    <w:rsid w:val="004C6708"/>
    <w:rsid w:val="004C67C1"/>
    <w:rsid w:val="004C6F33"/>
    <w:rsid w:val="004C70DC"/>
    <w:rsid w:val="004C71C8"/>
    <w:rsid w:val="004D0656"/>
    <w:rsid w:val="004D09DD"/>
    <w:rsid w:val="004D1440"/>
    <w:rsid w:val="004D1B6D"/>
    <w:rsid w:val="004D1DF5"/>
    <w:rsid w:val="004D2DAA"/>
    <w:rsid w:val="004D3047"/>
    <w:rsid w:val="004D482D"/>
    <w:rsid w:val="004D4FC9"/>
    <w:rsid w:val="004D6B1B"/>
    <w:rsid w:val="004D79C4"/>
    <w:rsid w:val="004E0D32"/>
    <w:rsid w:val="004E149E"/>
    <w:rsid w:val="004E19AB"/>
    <w:rsid w:val="004E29C0"/>
    <w:rsid w:val="004E357A"/>
    <w:rsid w:val="004E358E"/>
    <w:rsid w:val="004E390D"/>
    <w:rsid w:val="004E40EF"/>
    <w:rsid w:val="004E4B3B"/>
    <w:rsid w:val="004E50DD"/>
    <w:rsid w:val="004E681F"/>
    <w:rsid w:val="004E68A6"/>
    <w:rsid w:val="004E6EC3"/>
    <w:rsid w:val="004E7335"/>
    <w:rsid w:val="004E73F7"/>
    <w:rsid w:val="004F0E48"/>
    <w:rsid w:val="004F11F4"/>
    <w:rsid w:val="004F1453"/>
    <w:rsid w:val="004F16C3"/>
    <w:rsid w:val="004F1AC6"/>
    <w:rsid w:val="004F1C80"/>
    <w:rsid w:val="004F2619"/>
    <w:rsid w:val="004F26E7"/>
    <w:rsid w:val="004F2B2F"/>
    <w:rsid w:val="004F2ECB"/>
    <w:rsid w:val="004F35B5"/>
    <w:rsid w:val="004F368D"/>
    <w:rsid w:val="004F44BB"/>
    <w:rsid w:val="004F4634"/>
    <w:rsid w:val="004F516A"/>
    <w:rsid w:val="004F66E9"/>
    <w:rsid w:val="004F76A0"/>
    <w:rsid w:val="004F7C11"/>
    <w:rsid w:val="004F7E86"/>
    <w:rsid w:val="00500E7F"/>
    <w:rsid w:val="00501324"/>
    <w:rsid w:val="00502320"/>
    <w:rsid w:val="00502BAF"/>
    <w:rsid w:val="005031A7"/>
    <w:rsid w:val="005037B2"/>
    <w:rsid w:val="00504C31"/>
    <w:rsid w:val="0050523F"/>
    <w:rsid w:val="0050617A"/>
    <w:rsid w:val="005064EF"/>
    <w:rsid w:val="005066EE"/>
    <w:rsid w:val="0050732E"/>
    <w:rsid w:val="00511440"/>
    <w:rsid w:val="0051275D"/>
    <w:rsid w:val="0051289A"/>
    <w:rsid w:val="00512E4B"/>
    <w:rsid w:val="005134A5"/>
    <w:rsid w:val="00513676"/>
    <w:rsid w:val="00513A20"/>
    <w:rsid w:val="00513C38"/>
    <w:rsid w:val="00513D25"/>
    <w:rsid w:val="005145C5"/>
    <w:rsid w:val="0051531C"/>
    <w:rsid w:val="005157B8"/>
    <w:rsid w:val="00515D1D"/>
    <w:rsid w:val="00515E2C"/>
    <w:rsid w:val="00516B10"/>
    <w:rsid w:val="00516F79"/>
    <w:rsid w:val="00517141"/>
    <w:rsid w:val="00517A47"/>
    <w:rsid w:val="00517CDB"/>
    <w:rsid w:val="00517EA8"/>
    <w:rsid w:val="005202F3"/>
    <w:rsid w:val="00520C3F"/>
    <w:rsid w:val="005212D6"/>
    <w:rsid w:val="0052179D"/>
    <w:rsid w:val="0052268B"/>
    <w:rsid w:val="0052274B"/>
    <w:rsid w:val="00523B20"/>
    <w:rsid w:val="00523FC7"/>
    <w:rsid w:val="00524C1F"/>
    <w:rsid w:val="00524C50"/>
    <w:rsid w:val="00524C85"/>
    <w:rsid w:val="0052533C"/>
    <w:rsid w:val="00525349"/>
    <w:rsid w:val="005254A4"/>
    <w:rsid w:val="0052577F"/>
    <w:rsid w:val="00525F67"/>
    <w:rsid w:val="00526085"/>
    <w:rsid w:val="00526B23"/>
    <w:rsid w:val="0052752E"/>
    <w:rsid w:val="00527927"/>
    <w:rsid w:val="00530718"/>
    <w:rsid w:val="00530DFB"/>
    <w:rsid w:val="0053143B"/>
    <w:rsid w:val="00531CD6"/>
    <w:rsid w:val="00531CF2"/>
    <w:rsid w:val="00531F95"/>
    <w:rsid w:val="0053255A"/>
    <w:rsid w:val="00532898"/>
    <w:rsid w:val="005336AE"/>
    <w:rsid w:val="00534476"/>
    <w:rsid w:val="00534F3B"/>
    <w:rsid w:val="00535280"/>
    <w:rsid w:val="005357F1"/>
    <w:rsid w:val="00535F99"/>
    <w:rsid w:val="00536C25"/>
    <w:rsid w:val="00537465"/>
    <w:rsid w:val="00540029"/>
    <w:rsid w:val="00540F35"/>
    <w:rsid w:val="005417DF"/>
    <w:rsid w:val="00541909"/>
    <w:rsid w:val="005423E7"/>
    <w:rsid w:val="00542DA7"/>
    <w:rsid w:val="00542FF2"/>
    <w:rsid w:val="00543481"/>
    <w:rsid w:val="00543D0E"/>
    <w:rsid w:val="00544AB5"/>
    <w:rsid w:val="00544AD9"/>
    <w:rsid w:val="005456A9"/>
    <w:rsid w:val="00545F57"/>
    <w:rsid w:val="00546A0A"/>
    <w:rsid w:val="005478F4"/>
    <w:rsid w:val="00550493"/>
    <w:rsid w:val="00550AEF"/>
    <w:rsid w:val="00550CDC"/>
    <w:rsid w:val="00550F4A"/>
    <w:rsid w:val="00551962"/>
    <w:rsid w:val="00551EDC"/>
    <w:rsid w:val="005536D1"/>
    <w:rsid w:val="00553993"/>
    <w:rsid w:val="00553C05"/>
    <w:rsid w:val="005547E6"/>
    <w:rsid w:val="00554C96"/>
    <w:rsid w:val="00554F10"/>
    <w:rsid w:val="005554BB"/>
    <w:rsid w:val="005554EF"/>
    <w:rsid w:val="005557FD"/>
    <w:rsid w:val="0055588A"/>
    <w:rsid w:val="00555D52"/>
    <w:rsid w:val="00556356"/>
    <w:rsid w:val="00556373"/>
    <w:rsid w:val="005564E4"/>
    <w:rsid w:val="005566D7"/>
    <w:rsid w:val="005567E4"/>
    <w:rsid w:val="005569C6"/>
    <w:rsid w:val="005573F6"/>
    <w:rsid w:val="0055752A"/>
    <w:rsid w:val="005578D8"/>
    <w:rsid w:val="005609CC"/>
    <w:rsid w:val="00561F7F"/>
    <w:rsid w:val="00562A7F"/>
    <w:rsid w:val="0056366D"/>
    <w:rsid w:val="00563DBE"/>
    <w:rsid w:val="00563FEC"/>
    <w:rsid w:val="00564A22"/>
    <w:rsid w:val="00566112"/>
    <w:rsid w:val="00566B35"/>
    <w:rsid w:val="00566FE5"/>
    <w:rsid w:val="00567F77"/>
    <w:rsid w:val="00570A5A"/>
    <w:rsid w:val="0057124D"/>
    <w:rsid w:val="00571D2C"/>
    <w:rsid w:val="005732CC"/>
    <w:rsid w:val="00573697"/>
    <w:rsid w:val="00574504"/>
    <w:rsid w:val="00574636"/>
    <w:rsid w:val="00575422"/>
    <w:rsid w:val="00575E90"/>
    <w:rsid w:val="0057680D"/>
    <w:rsid w:val="005771A4"/>
    <w:rsid w:val="00577964"/>
    <w:rsid w:val="005803F5"/>
    <w:rsid w:val="00580D2D"/>
    <w:rsid w:val="00580F6F"/>
    <w:rsid w:val="005812E3"/>
    <w:rsid w:val="0058146D"/>
    <w:rsid w:val="00581D34"/>
    <w:rsid w:val="0058269F"/>
    <w:rsid w:val="005832E7"/>
    <w:rsid w:val="00583C35"/>
    <w:rsid w:val="00583DE7"/>
    <w:rsid w:val="00583F06"/>
    <w:rsid w:val="005843BA"/>
    <w:rsid w:val="00584947"/>
    <w:rsid w:val="005866EB"/>
    <w:rsid w:val="005868C1"/>
    <w:rsid w:val="0058728F"/>
    <w:rsid w:val="005879F4"/>
    <w:rsid w:val="00592350"/>
    <w:rsid w:val="00592361"/>
    <w:rsid w:val="0059288F"/>
    <w:rsid w:val="00592BE6"/>
    <w:rsid w:val="00592EF3"/>
    <w:rsid w:val="0059339E"/>
    <w:rsid w:val="005938C6"/>
    <w:rsid w:val="005938E1"/>
    <w:rsid w:val="005939C9"/>
    <w:rsid w:val="00593BAC"/>
    <w:rsid w:val="00594049"/>
    <w:rsid w:val="005947A5"/>
    <w:rsid w:val="00594E87"/>
    <w:rsid w:val="0059520B"/>
    <w:rsid w:val="005956F3"/>
    <w:rsid w:val="00596708"/>
    <w:rsid w:val="00596A75"/>
    <w:rsid w:val="00596D28"/>
    <w:rsid w:val="00597A9D"/>
    <w:rsid w:val="005A0387"/>
    <w:rsid w:val="005A0431"/>
    <w:rsid w:val="005A04F8"/>
    <w:rsid w:val="005A0CB5"/>
    <w:rsid w:val="005A1763"/>
    <w:rsid w:val="005A1F5B"/>
    <w:rsid w:val="005A20BA"/>
    <w:rsid w:val="005A2899"/>
    <w:rsid w:val="005A29F6"/>
    <w:rsid w:val="005A2BD9"/>
    <w:rsid w:val="005A427E"/>
    <w:rsid w:val="005A516C"/>
    <w:rsid w:val="005A5FB6"/>
    <w:rsid w:val="005A6063"/>
    <w:rsid w:val="005A64C4"/>
    <w:rsid w:val="005A6DB5"/>
    <w:rsid w:val="005A7190"/>
    <w:rsid w:val="005A746C"/>
    <w:rsid w:val="005A7AF5"/>
    <w:rsid w:val="005A7FD7"/>
    <w:rsid w:val="005B051C"/>
    <w:rsid w:val="005B06C4"/>
    <w:rsid w:val="005B0E5E"/>
    <w:rsid w:val="005B141E"/>
    <w:rsid w:val="005B1A6A"/>
    <w:rsid w:val="005B21F4"/>
    <w:rsid w:val="005B24AA"/>
    <w:rsid w:val="005B2F78"/>
    <w:rsid w:val="005B3752"/>
    <w:rsid w:val="005B5D7B"/>
    <w:rsid w:val="005B6130"/>
    <w:rsid w:val="005B61C2"/>
    <w:rsid w:val="005B64C7"/>
    <w:rsid w:val="005B73C9"/>
    <w:rsid w:val="005B7C49"/>
    <w:rsid w:val="005C0115"/>
    <w:rsid w:val="005C0AEF"/>
    <w:rsid w:val="005C0E2E"/>
    <w:rsid w:val="005C1214"/>
    <w:rsid w:val="005C218B"/>
    <w:rsid w:val="005C267F"/>
    <w:rsid w:val="005C278B"/>
    <w:rsid w:val="005C299A"/>
    <w:rsid w:val="005C2CFC"/>
    <w:rsid w:val="005C3084"/>
    <w:rsid w:val="005C314B"/>
    <w:rsid w:val="005C4036"/>
    <w:rsid w:val="005C4328"/>
    <w:rsid w:val="005C4C3C"/>
    <w:rsid w:val="005C4E27"/>
    <w:rsid w:val="005C5CBC"/>
    <w:rsid w:val="005C5ED4"/>
    <w:rsid w:val="005C6240"/>
    <w:rsid w:val="005C7A3A"/>
    <w:rsid w:val="005D03EF"/>
    <w:rsid w:val="005D0782"/>
    <w:rsid w:val="005D0CB7"/>
    <w:rsid w:val="005D1643"/>
    <w:rsid w:val="005D1E12"/>
    <w:rsid w:val="005D2480"/>
    <w:rsid w:val="005D25A0"/>
    <w:rsid w:val="005D26B7"/>
    <w:rsid w:val="005D2723"/>
    <w:rsid w:val="005D3D0D"/>
    <w:rsid w:val="005D41B2"/>
    <w:rsid w:val="005D4AA1"/>
    <w:rsid w:val="005D4B42"/>
    <w:rsid w:val="005D5172"/>
    <w:rsid w:val="005D6334"/>
    <w:rsid w:val="005D7EF7"/>
    <w:rsid w:val="005E02DB"/>
    <w:rsid w:val="005E0771"/>
    <w:rsid w:val="005E200A"/>
    <w:rsid w:val="005E2123"/>
    <w:rsid w:val="005E215E"/>
    <w:rsid w:val="005E228C"/>
    <w:rsid w:val="005E22FD"/>
    <w:rsid w:val="005E2355"/>
    <w:rsid w:val="005E262E"/>
    <w:rsid w:val="005E2B52"/>
    <w:rsid w:val="005E3A90"/>
    <w:rsid w:val="005E4A5A"/>
    <w:rsid w:val="005E4CBD"/>
    <w:rsid w:val="005E4EDF"/>
    <w:rsid w:val="005E5D3E"/>
    <w:rsid w:val="005E5ED8"/>
    <w:rsid w:val="005E6437"/>
    <w:rsid w:val="005E6DD8"/>
    <w:rsid w:val="005E6FBE"/>
    <w:rsid w:val="005E7351"/>
    <w:rsid w:val="005E7D02"/>
    <w:rsid w:val="005F1F86"/>
    <w:rsid w:val="005F2019"/>
    <w:rsid w:val="005F3835"/>
    <w:rsid w:val="005F3A5A"/>
    <w:rsid w:val="005F4EE4"/>
    <w:rsid w:val="005F4FA0"/>
    <w:rsid w:val="005F5B73"/>
    <w:rsid w:val="005F7245"/>
    <w:rsid w:val="005F7C10"/>
    <w:rsid w:val="005F7D5D"/>
    <w:rsid w:val="005F7EC8"/>
    <w:rsid w:val="005F7F03"/>
    <w:rsid w:val="005F7FC3"/>
    <w:rsid w:val="006012F4"/>
    <w:rsid w:val="0060146C"/>
    <w:rsid w:val="0060207D"/>
    <w:rsid w:val="00602492"/>
    <w:rsid w:val="006035B6"/>
    <w:rsid w:val="0060368E"/>
    <w:rsid w:val="006039F2"/>
    <w:rsid w:val="00604E1B"/>
    <w:rsid w:val="0060576E"/>
    <w:rsid w:val="0060582C"/>
    <w:rsid w:val="006061B0"/>
    <w:rsid w:val="00606821"/>
    <w:rsid w:val="006072EB"/>
    <w:rsid w:val="0060732E"/>
    <w:rsid w:val="006076A9"/>
    <w:rsid w:val="00607E68"/>
    <w:rsid w:val="006100FA"/>
    <w:rsid w:val="006104B8"/>
    <w:rsid w:val="00610874"/>
    <w:rsid w:val="00610C7F"/>
    <w:rsid w:val="006114DE"/>
    <w:rsid w:val="00611521"/>
    <w:rsid w:val="0061187C"/>
    <w:rsid w:val="00611D05"/>
    <w:rsid w:val="00611DCF"/>
    <w:rsid w:val="00612024"/>
    <w:rsid w:val="006120BD"/>
    <w:rsid w:val="006143D5"/>
    <w:rsid w:val="006160E0"/>
    <w:rsid w:val="00616924"/>
    <w:rsid w:val="006170E4"/>
    <w:rsid w:val="006172C4"/>
    <w:rsid w:val="00617440"/>
    <w:rsid w:val="006174F4"/>
    <w:rsid w:val="00617F19"/>
    <w:rsid w:val="0062061D"/>
    <w:rsid w:val="006208CB"/>
    <w:rsid w:val="00620D4D"/>
    <w:rsid w:val="00620F6C"/>
    <w:rsid w:val="00621685"/>
    <w:rsid w:val="00621DE2"/>
    <w:rsid w:val="006235C0"/>
    <w:rsid w:val="0062425F"/>
    <w:rsid w:val="006242DD"/>
    <w:rsid w:val="00624446"/>
    <w:rsid w:val="0062445B"/>
    <w:rsid w:val="00624472"/>
    <w:rsid w:val="006246B7"/>
    <w:rsid w:val="006259E9"/>
    <w:rsid w:val="00625E92"/>
    <w:rsid w:val="00625F2D"/>
    <w:rsid w:val="00627007"/>
    <w:rsid w:val="00627A91"/>
    <w:rsid w:val="006306F3"/>
    <w:rsid w:val="00630F66"/>
    <w:rsid w:val="006311BB"/>
    <w:rsid w:val="0063141B"/>
    <w:rsid w:val="00631D41"/>
    <w:rsid w:val="00632DD4"/>
    <w:rsid w:val="00633528"/>
    <w:rsid w:val="00634481"/>
    <w:rsid w:val="00634C1D"/>
    <w:rsid w:val="00634C22"/>
    <w:rsid w:val="00635952"/>
    <w:rsid w:val="00635C90"/>
    <w:rsid w:val="006360BD"/>
    <w:rsid w:val="006360F2"/>
    <w:rsid w:val="0063699B"/>
    <w:rsid w:val="0063716F"/>
    <w:rsid w:val="006410D0"/>
    <w:rsid w:val="0064149B"/>
    <w:rsid w:val="00641800"/>
    <w:rsid w:val="00641AA5"/>
    <w:rsid w:val="006448A3"/>
    <w:rsid w:val="0064495C"/>
    <w:rsid w:val="006467B8"/>
    <w:rsid w:val="00646C1D"/>
    <w:rsid w:val="006472F0"/>
    <w:rsid w:val="00647535"/>
    <w:rsid w:val="00647538"/>
    <w:rsid w:val="006507DC"/>
    <w:rsid w:val="006516C1"/>
    <w:rsid w:val="00652659"/>
    <w:rsid w:val="0065324B"/>
    <w:rsid w:val="006536D3"/>
    <w:rsid w:val="006544EA"/>
    <w:rsid w:val="00655A33"/>
    <w:rsid w:val="0065648F"/>
    <w:rsid w:val="00657133"/>
    <w:rsid w:val="00657241"/>
    <w:rsid w:val="006572B5"/>
    <w:rsid w:val="00657452"/>
    <w:rsid w:val="00660DF5"/>
    <w:rsid w:val="00660FC9"/>
    <w:rsid w:val="00661732"/>
    <w:rsid w:val="006629FD"/>
    <w:rsid w:val="00663401"/>
    <w:rsid w:val="006635B3"/>
    <w:rsid w:val="00664261"/>
    <w:rsid w:val="00664E1A"/>
    <w:rsid w:val="0066569F"/>
    <w:rsid w:val="006656B5"/>
    <w:rsid w:val="00665CFF"/>
    <w:rsid w:val="00666020"/>
    <w:rsid w:val="0066625F"/>
    <w:rsid w:val="0066631A"/>
    <w:rsid w:val="0066638D"/>
    <w:rsid w:val="00667564"/>
    <w:rsid w:val="00667C33"/>
    <w:rsid w:val="00670394"/>
    <w:rsid w:val="00670774"/>
    <w:rsid w:val="006712B2"/>
    <w:rsid w:val="00671576"/>
    <w:rsid w:val="00671D49"/>
    <w:rsid w:val="0067222A"/>
    <w:rsid w:val="006722E4"/>
    <w:rsid w:val="00672B50"/>
    <w:rsid w:val="00673C9A"/>
    <w:rsid w:val="00674A0C"/>
    <w:rsid w:val="00674CCF"/>
    <w:rsid w:val="00675F62"/>
    <w:rsid w:val="00676427"/>
    <w:rsid w:val="0067686A"/>
    <w:rsid w:val="00676E60"/>
    <w:rsid w:val="006772CA"/>
    <w:rsid w:val="0067730B"/>
    <w:rsid w:val="00680812"/>
    <w:rsid w:val="00680E67"/>
    <w:rsid w:val="006818CA"/>
    <w:rsid w:val="0068336E"/>
    <w:rsid w:val="00683B1A"/>
    <w:rsid w:val="0068497C"/>
    <w:rsid w:val="0068549E"/>
    <w:rsid w:val="006864C4"/>
    <w:rsid w:val="00687744"/>
    <w:rsid w:val="00687A31"/>
    <w:rsid w:val="00687FAF"/>
    <w:rsid w:val="0069004B"/>
    <w:rsid w:val="006906D9"/>
    <w:rsid w:val="006911E3"/>
    <w:rsid w:val="006913D5"/>
    <w:rsid w:val="00691954"/>
    <w:rsid w:val="00692672"/>
    <w:rsid w:val="00692EE2"/>
    <w:rsid w:val="006931F4"/>
    <w:rsid w:val="00695062"/>
    <w:rsid w:val="00695148"/>
    <w:rsid w:val="006959A9"/>
    <w:rsid w:val="006963D4"/>
    <w:rsid w:val="00696967"/>
    <w:rsid w:val="00697432"/>
    <w:rsid w:val="00697D05"/>
    <w:rsid w:val="006A08ED"/>
    <w:rsid w:val="006A2058"/>
    <w:rsid w:val="006A21CB"/>
    <w:rsid w:val="006A2F24"/>
    <w:rsid w:val="006A5BCC"/>
    <w:rsid w:val="006A668F"/>
    <w:rsid w:val="006A6F8D"/>
    <w:rsid w:val="006A7276"/>
    <w:rsid w:val="006A7EF2"/>
    <w:rsid w:val="006B0390"/>
    <w:rsid w:val="006B065E"/>
    <w:rsid w:val="006B08EB"/>
    <w:rsid w:val="006B0B54"/>
    <w:rsid w:val="006B11D0"/>
    <w:rsid w:val="006B13D1"/>
    <w:rsid w:val="006B4255"/>
    <w:rsid w:val="006B448C"/>
    <w:rsid w:val="006B481F"/>
    <w:rsid w:val="006B54AB"/>
    <w:rsid w:val="006B56B6"/>
    <w:rsid w:val="006B5BBB"/>
    <w:rsid w:val="006B5C72"/>
    <w:rsid w:val="006C04A7"/>
    <w:rsid w:val="006C0D83"/>
    <w:rsid w:val="006C1B7F"/>
    <w:rsid w:val="006C1E5B"/>
    <w:rsid w:val="006C1FE2"/>
    <w:rsid w:val="006C2076"/>
    <w:rsid w:val="006C2762"/>
    <w:rsid w:val="006C305D"/>
    <w:rsid w:val="006C39E9"/>
    <w:rsid w:val="006C3C67"/>
    <w:rsid w:val="006C3FBC"/>
    <w:rsid w:val="006C75B3"/>
    <w:rsid w:val="006C7636"/>
    <w:rsid w:val="006D180D"/>
    <w:rsid w:val="006D183B"/>
    <w:rsid w:val="006D27F4"/>
    <w:rsid w:val="006D4386"/>
    <w:rsid w:val="006D476D"/>
    <w:rsid w:val="006D4DAC"/>
    <w:rsid w:val="006D4DD8"/>
    <w:rsid w:val="006D4F78"/>
    <w:rsid w:val="006D5918"/>
    <w:rsid w:val="006D5B0A"/>
    <w:rsid w:val="006D63C0"/>
    <w:rsid w:val="006D70D6"/>
    <w:rsid w:val="006D71F8"/>
    <w:rsid w:val="006D770A"/>
    <w:rsid w:val="006D7887"/>
    <w:rsid w:val="006E0EAF"/>
    <w:rsid w:val="006E10A8"/>
    <w:rsid w:val="006E1466"/>
    <w:rsid w:val="006E2790"/>
    <w:rsid w:val="006E2797"/>
    <w:rsid w:val="006E2D2C"/>
    <w:rsid w:val="006E3B90"/>
    <w:rsid w:val="006E479A"/>
    <w:rsid w:val="006E4CA1"/>
    <w:rsid w:val="006E4E93"/>
    <w:rsid w:val="006E5EDE"/>
    <w:rsid w:val="006E6214"/>
    <w:rsid w:val="006E74AB"/>
    <w:rsid w:val="006E78F8"/>
    <w:rsid w:val="006E7E9B"/>
    <w:rsid w:val="006E7FB5"/>
    <w:rsid w:val="006F138C"/>
    <w:rsid w:val="006F1483"/>
    <w:rsid w:val="006F2519"/>
    <w:rsid w:val="006F2FC9"/>
    <w:rsid w:val="006F427C"/>
    <w:rsid w:val="006F436F"/>
    <w:rsid w:val="006F5216"/>
    <w:rsid w:val="006F5EBC"/>
    <w:rsid w:val="006F6328"/>
    <w:rsid w:val="006F638E"/>
    <w:rsid w:val="006F67F4"/>
    <w:rsid w:val="006F6BC2"/>
    <w:rsid w:val="006F78EC"/>
    <w:rsid w:val="006F7C80"/>
    <w:rsid w:val="006F7E6E"/>
    <w:rsid w:val="00700967"/>
    <w:rsid w:val="00701382"/>
    <w:rsid w:val="00701F54"/>
    <w:rsid w:val="007023EB"/>
    <w:rsid w:val="007026D4"/>
    <w:rsid w:val="0070329F"/>
    <w:rsid w:val="007033A9"/>
    <w:rsid w:val="00703CCF"/>
    <w:rsid w:val="00703E42"/>
    <w:rsid w:val="00704094"/>
    <w:rsid w:val="007045FC"/>
    <w:rsid w:val="00706928"/>
    <w:rsid w:val="00707E48"/>
    <w:rsid w:val="007108A2"/>
    <w:rsid w:val="007109EE"/>
    <w:rsid w:val="00710A27"/>
    <w:rsid w:val="00710C9F"/>
    <w:rsid w:val="00710D78"/>
    <w:rsid w:val="007113BD"/>
    <w:rsid w:val="007118D4"/>
    <w:rsid w:val="00712035"/>
    <w:rsid w:val="00712BA1"/>
    <w:rsid w:val="00713702"/>
    <w:rsid w:val="00714AD6"/>
    <w:rsid w:val="00715014"/>
    <w:rsid w:val="00715B0B"/>
    <w:rsid w:val="00715C8F"/>
    <w:rsid w:val="007161A6"/>
    <w:rsid w:val="007171D3"/>
    <w:rsid w:val="00717BE2"/>
    <w:rsid w:val="0072011C"/>
    <w:rsid w:val="007202AE"/>
    <w:rsid w:val="0072066E"/>
    <w:rsid w:val="00720D0A"/>
    <w:rsid w:val="007211E6"/>
    <w:rsid w:val="00721C5B"/>
    <w:rsid w:val="00721E33"/>
    <w:rsid w:val="0072292B"/>
    <w:rsid w:val="00723B28"/>
    <w:rsid w:val="0072401D"/>
    <w:rsid w:val="007244F9"/>
    <w:rsid w:val="0072452C"/>
    <w:rsid w:val="00724E88"/>
    <w:rsid w:val="00724FEA"/>
    <w:rsid w:val="0072545A"/>
    <w:rsid w:val="00725EC7"/>
    <w:rsid w:val="007272B0"/>
    <w:rsid w:val="0072766F"/>
    <w:rsid w:val="00727EB4"/>
    <w:rsid w:val="00730367"/>
    <w:rsid w:val="00730C75"/>
    <w:rsid w:val="00730F19"/>
    <w:rsid w:val="007314C1"/>
    <w:rsid w:val="0073157A"/>
    <w:rsid w:val="00731921"/>
    <w:rsid w:val="00731C94"/>
    <w:rsid w:val="00732949"/>
    <w:rsid w:val="007329F8"/>
    <w:rsid w:val="00733135"/>
    <w:rsid w:val="007336D2"/>
    <w:rsid w:val="00734675"/>
    <w:rsid w:val="00734945"/>
    <w:rsid w:val="00735078"/>
    <w:rsid w:val="007355CE"/>
    <w:rsid w:val="007360E3"/>
    <w:rsid w:val="0073668A"/>
    <w:rsid w:val="007368AD"/>
    <w:rsid w:val="00737296"/>
    <w:rsid w:val="00737556"/>
    <w:rsid w:val="00737AC7"/>
    <w:rsid w:val="0074092C"/>
    <w:rsid w:val="00741424"/>
    <w:rsid w:val="007425FA"/>
    <w:rsid w:val="007434E9"/>
    <w:rsid w:val="0074382F"/>
    <w:rsid w:val="00743B5B"/>
    <w:rsid w:val="00745618"/>
    <w:rsid w:val="0074562B"/>
    <w:rsid w:val="007459BC"/>
    <w:rsid w:val="00746797"/>
    <w:rsid w:val="007477C0"/>
    <w:rsid w:val="00747EEE"/>
    <w:rsid w:val="00750B2B"/>
    <w:rsid w:val="00750CCA"/>
    <w:rsid w:val="007516A0"/>
    <w:rsid w:val="007516DB"/>
    <w:rsid w:val="00751D2A"/>
    <w:rsid w:val="00751D6D"/>
    <w:rsid w:val="0075210C"/>
    <w:rsid w:val="00752EFA"/>
    <w:rsid w:val="00753760"/>
    <w:rsid w:val="0075415B"/>
    <w:rsid w:val="0075417F"/>
    <w:rsid w:val="007545A3"/>
    <w:rsid w:val="007548B7"/>
    <w:rsid w:val="00754945"/>
    <w:rsid w:val="00755095"/>
    <w:rsid w:val="0075524D"/>
    <w:rsid w:val="00755A32"/>
    <w:rsid w:val="00755B75"/>
    <w:rsid w:val="00755DD6"/>
    <w:rsid w:val="00756A24"/>
    <w:rsid w:val="00757F81"/>
    <w:rsid w:val="007607E1"/>
    <w:rsid w:val="007621C8"/>
    <w:rsid w:val="00763446"/>
    <w:rsid w:val="0076350A"/>
    <w:rsid w:val="00763DCE"/>
    <w:rsid w:val="0076533C"/>
    <w:rsid w:val="00766871"/>
    <w:rsid w:val="00766B0C"/>
    <w:rsid w:val="0076718C"/>
    <w:rsid w:val="007679EA"/>
    <w:rsid w:val="0077171B"/>
    <w:rsid w:val="00771E54"/>
    <w:rsid w:val="00772064"/>
    <w:rsid w:val="00772284"/>
    <w:rsid w:val="0077232D"/>
    <w:rsid w:val="0077256D"/>
    <w:rsid w:val="00772EFF"/>
    <w:rsid w:val="00773D47"/>
    <w:rsid w:val="007742DF"/>
    <w:rsid w:val="0077445B"/>
    <w:rsid w:val="00775C8C"/>
    <w:rsid w:val="0077632E"/>
    <w:rsid w:val="007768B8"/>
    <w:rsid w:val="00776B85"/>
    <w:rsid w:val="00780CA6"/>
    <w:rsid w:val="00780E29"/>
    <w:rsid w:val="00781517"/>
    <w:rsid w:val="007820EF"/>
    <w:rsid w:val="00783510"/>
    <w:rsid w:val="007836C7"/>
    <w:rsid w:val="00783B16"/>
    <w:rsid w:val="0078406B"/>
    <w:rsid w:val="0078413F"/>
    <w:rsid w:val="00784984"/>
    <w:rsid w:val="00785055"/>
    <w:rsid w:val="00785266"/>
    <w:rsid w:val="007855F3"/>
    <w:rsid w:val="007856EA"/>
    <w:rsid w:val="007858B1"/>
    <w:rsid w:val="00785A40"/>
    <w:rsid w:val="00785F65"/>
    <w:rsid w:val="00786450"/>
    <w:rsid w:val="0078730A"/>
    <w:rsid w:val="00790760"/>
    <w:rsid w:val="00790859"/>
    <w:rsid w:val="00790EA1"/>
    <w:rsid w:val="00791066"/>
    <w:rsid w:val="00792158"/>
    <w:rsid w:val="00792600"/>
    <w:rsid w:val="007928A3"/>
    <w:rsid w:val="0079466A"/>
    <w:rsid w:val="00795BBE"/>
    <w:rsid w:val="00796774"/>
    <w:rsid w:val="00796A07"/>
    <w:rsid w:val="00797847"/>
    <w:rsid w:val="007A05D3"/>
    <w:rsid w:val="007A0632"/>
    <w:rsid w:val="007A0E1D"/>
    <w:rsid w:val="007A154F"/>
    <w:rsid w:val="007A17A8"/>
    <w:rsid w:val="007A1BFE"/>
    <w:rsid w:val="007A2C7D"/>
    <w:rsid w:val="007A414C"/>
    <w:rsid w:val="007A4B9A"/>
    <w:rsid w:val="007A5B59"/>
    <w:rsid w:val="007A5C5C"/>
    <w:rsid w:val="007A5FF8"/>
    <w:rsid w:val="007A641B"/>
    <w:rsid w:val="007A677A"/>
    <w:rsid w:val="007A69A3"/>
    <w:rsid w:val="007A7287"/>
    <w:rsid w:val="007B10B4"/>
    <w:rsid w:val="007B131B"/>
    <w:rsid w:val="007B1744"/>
    <w:rsid w:val="007B276D"/>
    <w:rsid w:val="007B35C9"/>
    <w:rsid w:val="007B515A"/>
    <w:rsid w:val="007B5266"/>
    <w:rsid w:val="007B5ADA"/>
    <w:rsid w:val="007B5CAF"/>
    <w:rsid w:val="007C1250"/>
    <w:rsid w:val="007C2215"/>
    <w:rsid w:val="007C3128"/>
    <w:rsid w:val="007C32E8"/>
    <w:rsid w:val="007C3986"/>
    <w:rsid w:val="007C3B11"/>
    <w:rsid w:val="007C429E"/>
    <w:rsid w:val="007C5007"/>
    <w:rsid w:val="007C5E9A"/>
    <w:rsid w:val="007C6394"/>
    <w:rsid w:val="007C641B"/>
    <w:rsid w:val="007C698F"/>
    <w:rsid w:val="007C7065"/>
    <w:rsid w:val="007C729F"/>
    <w:rsid w:val="007C7D1B"/>
    <w:rsid w:val="007D0903"/>
    <w:rsid w:val="007D0B96"/>
    <w:rsid w:val="007D135D"/>
    <w:rsid w:val="007D1880"/>
    <w:rsid w:val="007D1983"/>
    <w:rsid w:val="007D2347"/>
    <w:rsid w:val="007D27A7"/>
    <w:rsid w:val="007D3558"/>
    <w:rsid w:val="007D3AB3"/>
    <w:rsid w:val="007D3B9A"/>
    <w:rsid w:val="007D3CD4"/>
    <w:rsid w:val="007D461D"/>
    <w:rsid w:val="007D470F"/>
    <w:rsid w:val="007D4C2A"/>
    <w:rsid w:val="007D4E90"/>
    <w:rsid w:val="007D59BE"/>
    <w:rsid w:val="007D62EF"/>
    <w:rsid w:val="007D660D"/>
    <w:rsid w:val="007D7A85"/>
    <w:rsid w:val="007E14A8"/>
    <w:rsid w:val="007E1810"/>
    <w:rsid w:val="007E1A6C"/>
    <w:rsid w:val="007E1BCF"/>
    <w:rsid w:val="007E1C61"/>
    <w:rsid w:val="007E2289"/>
    <w:rsid w:val="007E29B5"/>
    <w:rsid w:val="007E3C46"/>
    <w:rsid w:val="007E677A"/>
    <w:rsid w:val="007F0C9C"/>
    <w:rsid w:val="007F10E3"/>
    <w:rsid w:val="007F137C"/>
    <w:rsid w:val="007F17B2"/>
    <w:rsid w:val="007F18B8"/>
    <w:rsid w:val="007F214A"/>
    <w:rsid w:val="007F2C0E"/>
    <w:rsid w:val="007F336B"/>
    <w:rsid w:val="007F3380"/>
    <w:rsid w:val="007F345C"/>
    <w:rsid w:val="007F395C"/>
    <w:rsid w:val="007F3E80"/>
    <w:rsid w:val="007F3F3C"/>
    <w:rsid w:val="007F40EE"/>
    <w:rsid w:val="007F43CA"/>
    <w:rsid w:val="007F5084"/>
    <w:rsid w:val="007F63FB"/>
    <w:rsid w:val="007F6B8F"/>
    <w:rsid w:val="007F6C20"/>
    <w:rsid w:val="007F6D14"/>
    <w:rsid w:val="007F6D8E"/>
    <w:rsid w:val="007F6EAA"/>
    <w:rsid w:val="007F7610"/>
    <w:rsid w:val="007F79BA"/>
    <w:rsid w:val="00800576"/>
    <w:rsid w:val="00800AE9"/>
    <w:rsid w:val="00802398"/>
    <w:rsid w:val="008024FD"/>
    <w:rsid w:val="008027A3"/>
    <w:rsid w:val="008031BB"/>
    <w:rsid w:val="0080374B"/>
    <w:rsid w:val="00803C7F"/>
    <w:rsid w:val="00804751"/>
    <w:rsid w:val="0080484B"/>
    <w:rsid w:val="00804AEB"/>
    <w:rsid w:val="00804BFC"/>
    <w:rsid w:val="008059F7"/>
    <w:rsid w:val="00806046"/>
    <w:rsid w:val="008062F6"/>
    <w:rsid w:val="00806330"/>
    <w:rsid w:val="00806C1B"/>
    <w:rsid w:val="00806E55"/>
    <w:rsid w:val="00807500"/>
    <w:rsid w:val="008076A7"/>
    <w:rsid w:val="008079F0"/>
    <w:rsid w:val="00807C76"/>
    <w:rsid w:val="0081108C"/>
    <w:rsid w:val="00811170"/>
    <w:rsid w:val="0081153F"/>
    <w:rsid w:val="00811BE8"/>
    <w:rsid w:val="00813410"/>
    <w:rsid w:val="00813AE2"/>
    <w:rsid w:val="0081410A"/>
    <w:rsid w:val="008141C5"/>
    <w:rsid w:val="00814B0E"/>
    <w:rsid w:val="0081522E"/>
    <w:rsid w:val="00816A7A"/>
    <w:rsid w:val="00816BB5"/>
    <w:rsid w:val="008170B2"/>
    <w:rsid w:val="008170D7"/>
    <w:rsid w:val="008175FC"/>
    <w:rsid w:val="00817A44"/>
    <w:rsid w:val="0082125D"/>
    <w:rsid w:val="00821C20"/>
    <w:rsid w:val="00821FF8"/>
    <w:rsid w:val="00823388"/>
    <w:rsid w:val="008236C8"/>
    <w:rsid w:val="00823D95"/>
    <w:rsid w:val="00824C49"/>
    <w:rsid w:val="00824CC8"/>
    <w:rsid w:val="00825020"/>
    <w:rsid w:val="00826031"/>
    <w:rsid w:val="008262CE"/>
    <w:rsid w:val="008263A2"/>
    <w:rsid w:val="00826414"/>
    <w:rsid w:val="008265C1"/>
    <w:rsid w:val="008273CA"/>
    <w:rsid w:val="008301FD"/>
    <w:rsid w:val="00831445"/>
    <w:rsid w:val="008332E1"/>
    <w:rsid w:val="008337FF"/>
    <w:rsid w:val="0083401B"/>
    <w:rsid w:val="008350D0"/>
    <w:rsid w:val="00835343"/>
    <w:rsid w:val="008354FD"/>
    <w:rsid w:val="00836AD2"/>
    <w:rsid w:val="00836D17"/>
    <w:rsid w:val="00837028"/>
    <w:rsid w:val="00837263"/>
    <w:rsid w:val="00837E7A"/>
    <w:rsid w:val="00840449"/>
    <w:rsid w:val="00840A55"/>
    <w:rsid w:val="00840CEB"/>
    <w:rsid w:val="00840D83"/>
    <w:rsid w:val="008412AE"/>
    <w:rsid w:val="008412E7"/>
    <w:rsid w:val="00841E25"/>
    <w:rsid w:val="00841FBD"/>
    <w:rsid w:val="00841FEA"/>
    <w:rsid w:val="0084365A"/>
    <w:rsid w:val="00843F11"/>
    <w:rsid w:val="00844D8E"/>
    <w:rsid w:val="008454C6"/>
    <w:rsid w:val="00846269"/>
    <w:rsid w:val="008464CD"/>
    <w:rsid w:val="008466C8"/>
    <w:rsid w:val="0084684E"/>
    <w:rsid w:val="0084699D"/>
    <w:rsid w:val="00846B1A"/>
    <w:rsid w:val="0084798A"/>
    <w:rsid w:val="0085062E"/>
    <w:rsid w:val="008513B0"/>
    <w:rsid w:val="008515EE"/>
    <w:rsid w:val="008516E4"/>
    <w:rsid w:val="00852499"/>
    <w:rsid w:val="00852845"/>
    <w:rsid w:val="00852B53"/>
    <w:rsid w:val="00852BC8"/>
    <w:rsid w:val="00853F38"/>
    <w:rsid w:val="00854124"/>
    <w:rsid w:val="008550FB"/>
    <w:rsid w:val="00855488"/>
    <w:rsid w:val="00855566"/>
    <w:rsid w:val="00855917"/>
    <w:rsid w:val="00855D8C"/>
    <w:rsid w:val="0085600D"/>
    <w:rsid w:val="00856B1C"/>
    <w:rsid w:val="00856DCC"/>
    <w:rsid w:val="00856F7D"/>
    <w:rsid w:val="008575B9"/>
    <w:rsid w:val="008575E3"/>
    <w:rsid w:val="00857CDD"/>
    <w:rsid w:val="00860299"/>
    <w:rsid w:val="00860760"/>
    <w:rsid w:val="008609B3"/>
    <w:rsid w:val="008615F6"/>
    <w:rsid w:val="00861BD8"/>
    <w:rsid w:val="00861C4E"/>
    <w:rsid w:val="00861D3A"/>
    <w:rsid w:val="00862667"/>
    <w:rsid w:val="00863543"/>
    <w:rsid w:val="008641D8"/>
    <w:rsid w:val="0086490E"/>
    <w:rsid w:val="008659B7"/>
    <w:rsid w:val="00866079"/>
    <w:rsid w:val="008661DF"/>
    <w:rsid w:val="00866327"/>
    <w:rsid w:val="00866D21"/>
    <w:rsid w:val="00866DF9"/>
    <w:rsid w:val="008676A1"/>
    <w:rsid w:val="00867796"/>
    <w:rsid w:val="00867E8C"/>
    <w:rsid w:val="008701C4"/>
    <w:rsid w:val="00870A20"/>
    <w:rsid w:val="00870D0E"/>
    <w:rsid w:val="008710FA"/>
    <w:rsid w:val="0087190C"/>
    <w:rsid w:val="0087280B"/>
    <w:rsid w:val="00872D85"/>
    <w:rsid w:val="00872DCF"/>
    <w:rsid w:val="00873A9B"/>
    <w:rsid w:val="008740EE"/>
    <w:rsid w:val="008744DC"/>
    <w:rsid w:val="008745FB"/>
    <w:rsid w:val="00875620"/>
    <w:rsid w:val="00875720"/>
    <w:rsid w:val="008763AE"/>
    <w:rsid w:val="00876A2F"/>
    <w:rsid w:val="008773A6"/>
    <w:rsid w:val="0088147D"/>
    <w:rsid w:val="00881828"/>
    <w:rsid w:val="008818D7"/>
    <w:rsid w:val="00881DCA"/>
    <w:rsid w:val="00883446"/>
    <w:rsid w:val="00883DDA"/>
    <w:rsid w:val="00884CBD"/>
    <w:rsid w:val="00885EA8"/>
    <w:rsid w:val="00886648"/>
    <w:rsid w:val="00886791"/>
    <w:rsid w:val="00886F13"/>
    <w:rsid w:val="0088713B"/>
    <w:rsid w:val="008873E4"/>
    <w:rsid w:val="00890188"/>
    <w:rsid w:val="008903DF"/>
    <w:rsid w:val="00891755"/>
    <w:rsid w:val="00891FF9"/>
    <w:rsid w:val="00892298"/>
    <w:rsid w:val="008927D6"/>
    <w:rsid w:val="008928B2"/>
    <w:rsid w:val="00892DA2"/>
    <w:rsid w:val="00893367"/>
    <w:rsid w:val="00893612"/>
    <w:rsid w:val="0089379F"/>
    <w:rsid w:val="008939F6"/>
    <w:rsid w:val="00893D07"/>
    <w:rsid w:val="00893EDD"/>
    <w:rsid w:val="00895F40"/>
    <w:rsid w:val="008978DC"/>
    <w:rsid w:val="008A041A"/>
    <w:rsid w:val="008A0661"/>
    <w:rsid w:val="008A0929"/>
    <w:rsid w:val="008A1927"/>
    <w:rsid w:val="008A21C4"/>
    <w:rsid w:val="008A2435"/>
    <w:rsid w:val="008A2D4C"/>
    <w:rsid w:val="008A306D"/>
    <w:rsid w:val="008A43FC"/>
    <w:rsid w:val="008A442E"/>
    <w:rsid w:val="008A4C5C"/>
    <w:rsid w:val="008A4CED"/>
    <w:rsid w:val="008A5705"/>
    <w:rsid w:val="008A597A"/>
    <w:rsid w:val="008A65FD"/>
    <w:rsid w:val="008A66E4"/>
    <w:rsid w:val="008A6B05"/>
    <w:rsid w:val="008A7139"/>
    <w:rsid w:val="008A746B"/>
    <w:rsid w:val="008B0078"/>
    <w:rsid w:val="008B02A0"/>
    <w:rsid w:val="008B06FC"/>
    <w:rsid w:val="008B1D08"/>
    <w:rsid w:val="008B25DE"/>
    <w:rsid w:val="008B2746"/>
    <w:rsid w:val="008B2906"/>
    <w:rsid w:val="008B29AD"/>
    <w:rsid w:val="008B31CA"/>
    <w:rsid w:val="008B382B"/>
    <w:rsid w:val="008B3C64"/>
    <w:rsid w:val="008B40CD"/>
    <w:rsid w:val="008B53C4"/>
    <w:rsid w:val="008B76A1"/>
    <w:rsid w:val="008B7956"/>
    <w:rsid w:val="008B7FC5"/>
    <w:rsid w:val="008C0014"/>
    <w:rsid w:val="008C082D"/>
    <w:rsid w:val="008C0C5F"/>
    <w:rsid w:val="008C1B03"/>
    <w:rsid w:val="008C2B93"/>
    <w:rsid w:val="008C32F3"/>
    <w:rsid w:val="008C33BD"/>
    <w:rsid w:val="008C35C5"/>
    <w:rsid w:val="008C3722"/>
    <w:rsid w:val="008C3B67"/>
    <w:rsid w:val="008C3E91"/>
    <w:rsid w:val="008C3F48"/>
    <w:rsid w:val="008C4EDA"/>
    <w:rsid w:val="008C558F"/>
    <w:rsid w:val="008C5FDA"/>
    <w:rsid w:val="008C6418"/>
    <w:rsid w:val="008C6421"/>
    <w:rsid w:val="008C6913"/>
    <w:rsid w:val="008C697E"/>
    <w:rsid w:val="008C6BE6"/>
    <w:rsid w:val="008C71F8"/>
    <w:rsid w:val="008C726C"/>
    <w:rsid w:val="008C7585"/>
    <w:rsid w:val="008C7597"/>
    <w:rsid w:val="008C7FC9"/>
    <w:rsid w:val="008D1092"/>
    <w:rsid w:val="008D1610"/>
    <w:rsid w:val="008D413C"/>
    <w:rsid w:val="008D49B4"/>
    <w:rsid w:val="008D49E5"/>
    <w:rsid w:val="008D50B5"/>
    <w:rsid w:val="008D51F4"/>
    <w:rsid w:val="008D5DD9"/>
    <w:rsid w:val="008D63B1"/>
    <w:rsid w:val="008D66CB"/>
    <w:rsid w:val="008D6C1E"/>
    <w:rsid w:val="008D705D"/>
    <w:rsid w:val="008D7498"/>
    <w:rsid w:val="008D76D9"/>
    <w:rsid w:val="008D76F8"/>
    <w:rsid w:val="008D7CC1"/>
    <w:rsid w:val="008E09BC"/>
    <w:rsid w:val="008E1594"/>
    <w:rsid w:val="008E275D"/>
    <w:rsid w:val="008E3FA2"/>
    <w:rsid w:val="008E4AE5"/>
    <w:rsid w:val="008E52ED"/>
    <w:rsid w:val="008E58C0"/>
    <w:rsid w:val="008E74D4"/>
    <w:rsid w:val="008E7687"/>
    <w:rsid w:val="008F06B6"/>
    <w:rsid w:val="008F167D"/>
    <w:rsid w:val="008F2B9B"/>
    <w:rsid w:val="008F2BDE"/>
    <w:rsid w:val="008F3259"/>
    <w:rsid w:val="008F344E"/>
    <w:rsid w:val="008F35D3"/>
    <w:rsid w:val="008F444D"/>
    <w:rsid w:val="008F563A"/>
    <w:rsid w:val="008F616B"/>
    <w:rsid w:val="008F65A5"/>
    <w:rsid w:val="008F6F4F"/>
    <w:rsid w:val="008F7898"/>
    <w:rsid w:val="00900056"/>
    <w:rsid w:val="009007AD"/>
    <w:rsid w:val="00900C13"/>
    <w:rsid w:val="009010F7"/>
    <w:rsid w:val="00901268"/>
    <w:rsid w:val="00901423"/>
    <w:rsid w:val="00901431"/>
    <w:rsid w:val="00901AD6"/>
    <w:rsid w:val="0090264C"/>
    <w:rsid w:val="00904773"/>
    <w:rsid w:val="00904CF0"/>
    <w:rsid w:val="0090573C"/>
    <w:rsid w:val="00905D44"/>
    <w:rsid w:val="009072DA"/>
    <w:rsid w:val="00907454"/>
    <w:rsid w:val="009074E8"/>
    <w:rsid w:val="009103BF"/>
    <w:rsid w:val="009106E8"/>
    <w:rsid w:val="00910873"/>
    <w:rsid w:val="00910C47"/>
    <w:rsid w:val="009116EF"/>
    <w:rsid w:val="0091180C"/>
    <w:rsid w:val="00911C85"/>
    <w:rsid w:val="00912153"/>
    <w:rsid w:val="00912276"/>
    <w:rsid w:val="0091417F"/>
    <w:rsid w:val="0091438C"/>
    <w:rsid w:val="00915080"/>
    <w:rsid w:val="00915FF3"/>
    <w:rsid w:val="00916E44"/>
    <w:rsid w:val="00917054"/>
    <w:rsid w:val="0091727F"/>
    <w:rsid w:val="00917868"/>
    <w:rsid w:val="00917D0B"/>
    <w:rsid w:val="00917EED"/>
    <w:rsid w:val="009203A9"/>
    <w:rsid w:val="00920418"/>
    <w:rsid w:val="009223B4"/>
    <w:rsid w:val="00922CBC"/>
    <w:rsid w:val="0092342C"/>
    <w:rsid w:val="009236A3"/>
    <w:rsid w:val="00923B08"/>
    <w:rsid w:val="00923FD4"/>
    <w:rsid w:val="0092463B"/>
    <w:rsid w:val="00924A5F"/>
    <w:rsid w:val="00924B59"/>
    <w:rsid w:val="00924C6C"/>
    <w:rsid w:val="00924E24"/>
    <w:rsid w:val="00925C1D"/>
    <w:rsid w:val="00925CEA"/>
    <w:rsid w:val="00926450"/>
    <w:rsid w:val="00926F96"/>
    <w:rsid w:val="0092756B"/>
    <w:rsid w:val="00927698"/>
    <w:rsid w:val="00927F77"/>
    <w:rsid w:val="009302BC"/>
    <w:rsid w:val="00930502"/>
    <w:rsid w:val="00931A46"/>
    <w:rsid w:val="00932621"/>
    <w:rsid w:val="00932B7C"/>
    <w:rsid w:val="00932E96"/>
    <w:rsid w:val="00933960"/>
    <w:rsid w:val="00933E21"/>
    <w:rsid w:val="00934AC7"/>
    <w:rsid w:val="009357C1"/>
    <w:rsid w:val="00935AC9"/>
    <w:rsid w:val="00936ACD"/>
    <w:rsid w:val="00937CE8"/>
    <w:rsid w:val="0094013C"/>
    <w:rsid w:val="00940350"/>
    <w:rsid w:val="009412C9"/>
    <w:rsid w:val="00941700"/>
    <w:rsid w:val="009418E6"/>
    <w:rsid w:val="00941A02"/>
    <w:rsid w:val="00942143"/>
    <w:rsid w:val="0094235F"/>
    <w:rsid w:val="0094279F"/>
    <w:rsid w:val="009429A5"/>
    <w:rsid w:val="00942E5B"/>
    <w:rsid w:val="009444B6"/>
    <w:rsid w:val="009454FD"/>
    <w:rsid w:val="00946AD5"/>
    <w:rsid w:val="00946B98"/>
    <w:rsid w:val="00946F41"/>
    <w:rsid w:val="0095015D"/>
    <w:rsid w:val="0095036E"/>
    <w:rsid w:val="0095052A"/>
    <w:rsid w:val="00950EB5"/>
    <w:rsid w:val="00951C06"/>
    <w:rsid w:val="009529B2"/>
    <w:rsid w:val="00953AF4"/>
    <w:rsid w:val="00953C53"/>
    <w:rsid w:val="00954465"/>
    <w:rsid w:val="00954973"/>
    <w:rsid w:val="00954ABD"/>
    <w:rsid w:val="00954F42"/>
    <w:rsid w:val="00955E20"/>
    <w:rsid w:val="00956D0B"/>
    <w:rsid w:val="00956D5A"/>
    <w:rsid w:val="009604E8"/>
    <w:rsid w:val="00960E5E"/>
    <w:rsid w:val="00960F5D"/>
    <w:rsid w:val="00961CE6"/>
    <w:rsid w:val="00962182"/>
    <w:rsid w:val="009621B2"/>
    <w:rsid w:val="00964C26"/>
    <w:rsid w:val="00964F17"/>
    <w:rsid w:val="00964FC4"/>
    <w:rsid w:val="00965151"/>
    <w:rsid w:val="009658F0"/>
    <w:rsid w:val="00965B22"/>
    <w:rsid w:val="00966C81"/>
    <w:rsid w:val="009671BD"/>
    <w:rsid w:val="00967757"/>
    <w:rsid w:val="00967E7F"/>
    <w:rsid w:val="00971655"/>
    <w:rsid w:val="00971950"/>
    <w:rsid w:val="00971C63"/>
    <w:rsid w:val="009730A6"/>
    <w:rsid w:val="00973271"/>
    <w:rsid w:val="00973660"/>
    <w:rsid w:val="00973ECF"/>
    <w:rsid w:val="00974068"/>
    <w:rsid w:val="009741F8"/>
    <w:rsid w:val="009742FB"/>
    <w:rsid w:val="00974736"/>
    <w:rsid w:val="00974876"/>
    <w:rsid w:val="009748A2"/>
    <w:rsid w:val="00974DDC"/>
    <w:rsid w:val="00975139"/>
    <w:rsid w:val="0097532B"/>
    <w:rsid w:val="00975474"/>
    <w:rsid w:val="0097649B"/>
    <w:rsid w:val="0097652B"/>
    <w:rsid w:val="00976983"/>
    <w:rsid w:val="00977218"/>
    <w:rsid w:val="00977352"/>
    <w:rsid w:val="00977395"/>
    <w:rsid w:val="009775DF"/>
    <w:rsid w:val="009803D1"/>
    <w:rsid w:val="0098153C"/>
    <w:rsid w:val="0098181A"/>
    <w:rsid w:val="00982231"/>
    <w:rsid w:val="00982AF5"/>
    <w:rsid w:val="00983411"/>
    <w:rsid w:val="00984293"/>
    <w:rsid w:val="00984C4B"/>
    <w:rsid w:val="00985A69"/>
    <w:rsid w:val="00985CBA"/>
    <w:rsid w:val="00986D27"/>
    <w:rsid w:val="009879E2"/>
    <w:rsid w:val="009909E7"/>
    <w:rsid w:val="00990CDE"/>
    <w:rsid w:val="00990FD9"/>
    <w:rsid w:val="0099102F"/>
    <w:rsid w:val="00991435"/>
    <w:rsid w:val="00991876"/>
    <w:rsid w:val="00991A0A"/>
    <w:rsid w:val="00991EDD"/>
    <w:rsid w:val="00992B9F"/>
    <w:rsid w:val="009934D8"/>
    <w:rsid w:val="009934E3"/>
    <w:rsid w:val="00994B30"/>
    <w:rsid w:val="00994D62"/>
    <w:rsid w:val="00994F63"/>
    <w:rsid w:val="009963E7"/>
    <w:rsid w:val="00996D3A"/>
    <w:rsid w:val="009A25DE"/>
    <w:rsid w:val="009A2779"/>
    <w:rsid w:val="009A33FA"/>
    <w:rsid w:val="009A341D"/>
    <w:rsid w:val="009A38F8"/>
    <w:rsid w:val="009A4AE9"/>
    <w:rsid w:val="009A4CD0"/>
    <w:rsid w:val="009A5AA2"/>
    <w:rsid w:val="009A5E3A"/>
    <w:rsid w:val="009A6C18"/>
    <w:rsid w:val="009B09C5"/>
    <w:rsid w:val="009B204B"/>
    <w:rsid w:val="009B2A3A"/>
    <w:rsid w:val="009B2B01"/>
    <w:rsid w:val="009B2BD3"/>
    <w:rsid w:val="009B30EF"/>
    <w:rsid w:val="009B343D"/>
    <w:rsid w:val="009B3C96"/>
    <w:rsid w:val="009B47A7"/>
    <w:rsid w:val="009B5235"/>
    <w:rsid w:val="009B5878"/>
    <w:rsid w:val="009B77B5"/>
    <w:rsid w:val="009C0A54"/>
    <w:rsid w:val="009C1593"/>
    <w:rsid w:val="009C16F5"/>
    <w:rsid w:val="009C1B31"/>
    <w:rsid w:val="009C1DEC"/>
    <w:rsid w:val="009C1E47"/>
    <w:rsid w:val="009C2242"/>
    <w:rsid w:val="009C398C"/>
    <w:rsid w:val="009C3F50"/>
    <w:rsid w:val="009C40E1"/>
    <w:rsid w:val="009C4277"/>
    <w:rsid w:val="009C43D5"/>
    <w:rsid w:val="009C46E8"/>
    <w:rsid w:val="009C5993"/>
    <w:rsid w:val="009C64A9"/>
    <w:rsid w:val="009C71D5"/>
    <w:rsid w:val="009C7632"/>
    <w:rsid w:val="009C797F"/>
    <w:rsid w:val="009C7D77"/>
    <w:rsid w:val="009C7E36"/>
    <w:rsid w:val="009D059B"/>
    <w:rsid w:val="009D0E04"/>
    <w:rsid w:val="009D0E5F"/>
    <w:rsid w:val="009D1847"/>
    <w:rsid w:val="009D1B03"/>
    <w:rsid w:val="009D1D7A"/>
    <w:rsid w:val="009D3635"/>
    <w:rsid w:val="009D4370"/>
    <w:rsid w:val="009D449A"/>
    <w:rsid w:val="009D454B"/>
    <w:rsid w:val="009D4588"/>
    <w:rsid w:val="009D6A7F"/>
    <w:rsid w:val="009D71D5"/>
    <w:rsid w:val="009D764E"/>
    <w:rsid w:val="009E1C0C"/>
    <w:rsid w:val="009E2E65"/>
    <w:rsid w:val="009E3977"/>
    <w:rsid w:val="009E3EBA"/>
    <w:rsid w:val="009E420B"/>
    <w:rsid w:val="009E4BA9"/>
    <w:rsid w:val="009E665B"/>
    <w:rsid w:val="009E6C80"/>
    <w:rsid w:val="009E72A9"/>
    <w:rsid w:val="009E7DAD"/>
    <w:rsid w:val="009F092B"/>
    <w:rsid w:val="009F0A4D"/>
    <w:rsid w:val="009F0AE8"/>
    <w:rsid w:val="009F20AF"/>
    <w:rsid w:val="009F26E8"/>
    <w:rsid w:val="009F30FC"/>
    <w:rsid w:val="009F32BC"/>
    <w:rsid w:val="009F3816"/>
    <w:rsid w:val="009F49D0"/>
    <w:rsid w:val="009F49F8"/>
    <w:rsid w:val="009F4B43"/>
    <w:rsid w:val="009F4F5E"/>
    <w:rsid w:val="009F54AD"/>
    <w:rsid w:val="009F72FD"/>
    <w:rsid w:val="009F7868"/>
    <w:rsid w:val="009F7CE4"/>
    <w:rsid w:val="00A001F3"/>
    <w:rsid w:val="00A01873"/>
    <w:rsid w:val="00A01E96"/>
    <w:rsid w:val="00A0291E"/>
    <w:rsid w:val="00A043B7"/>
    <w:rsid w:val="00A054DD"/>
    <w:rsid w:val="00A05B91"/>
    <w:rsid w:val="00A10300"/>
    <w:rsid w:val="00A10768"/>
    <w:rsid w:val="00A10A10"/>
    <w:rsid w:val="00A10EF8"/>
    <w:rsid w:val="00A11162"/>
    <w:rsid w:val="00A118BC"/>
    <w:rsid w:val="00A11AA2"/>
    <w:rsid w:val="00A11E21"/>
    <w:rsid w:val="00A130F8"/>
    <w:rsid w:val="00A13674"/>
    <w:rsid w:val="00A143A5"/>
    <w:rsid w:val="00A14530"/>
    <w:rsid w:val="00A159A5"/>
    <w:rsid w:val="00A168C3"/>
    <w:rsid w:val="00A16BEB"/>
    <w:rsid w:val="00A20001"/>
    <w:rsid w:val="00A2075B"/>
    <w:rsid w:val="00A215F0"/>
    <w:rsid w:val="00A2175D"/>
    <w:rsid w:val="00A2283B"/>
    <w:rsid w:val="00A228CE"/>
    <w:rsid w:val="00A22AEC"/>
    <w:rsid w:val="00A23C07"/>
    <w:rsid w:val="00A2495C"/>
    <w:rsid w:val="00A2510E"/>
    <w:rsid w:val="00A25E64"/>
    <w:rsid w:val="00A26920"/>
    <w:rsid w:val="00A26E11"/>
    <w:rsid w:val="00A277E7"/>
    <w:rsid w:val="00A27C77"/>
    <w:rsid w:val="00A27E0F"/>
    <w:rsid w:val="00A300FF"/>
    <w:rsid w:val="00A301B7"/>
    <w:rsid w:val="00A306E7"/>
    <w:rsid w:val="00A30C3D"/>
    <w:rsid w:val="00A31075"/>
    <w:rsid w:val="00A310C1"/>
    <w:rsid w:val="00A310CC"/>
    <w:rsid w:val="00A31D84"/>
    <w:rsid w:val="00A325DB"/>
    <w:rsid w:val="00A326F9"/>
    <w:rsid w:val="00A32AE0"/>
    <w:rsid w:val="00A332C1"/>
    <w:rsid w:val="00A336A1"/>
    <w:rsid w:val="00A3372A"/>
    <w:rsid w:val="00A3390F"/>
    <w:rsid w:val="00A34DA2"/>
    <w:rsid w:val="00A369C5"/>
    <w:rsid w:val="00A36AD1"/>
    <w:rsid w:val="00A36C35"/>
    <w:rsid w:val="00A376B8"/>
    <w:rsid w:val="00A37700"/>
    <w:rsid w:val="00A378B6"/>
    <w:rsid w:val="00A37A58"/>
    <w:rsid w:val="00A37C87"/>
    <w:rsid w:val="00A37D64"/>
    <w:rsid w:val="00A430DD"/>
    <w:rsid w:val="00A43227"/>
    <w:rsid w:val="00A434E8"/>
    <w:rsid w:val="00A4364D"/>
    <w:rsid w:val="00A4391A"/>
    <w:rsid w:val="00A44AE0"/>
    <w:rsid w:val="00A459C2"/>
    <w:rsid w:val="00A45CE0"/>
    <w:rsid w:val="00A46503"/>
    <w:rsid w:val="00A46CCD"/>
    <w:rsid w:val="00A50A55"/>
    <w:rsid w:val="00A50D2D"/>
    <w:rsid w:val="00A5143D"/>
    <w:rsid w:val="00A51487"/>
    <w:rsid w:val="00A52ED0"/>
    <w:rsid w:val="00A53043"/>
    <w:rsid w:val="00A548AD"/>
    <w:rsid w:val="00A54A27"/>
    <w:rsid w:val="00A54F60"/>
    <w:rsid w:val="00A55504"/>
    <w:rsid w:val="00A55A40"/>
    <w:rsid w:val="00A55BB8"/>
    <w:rsid w:val="00A55C6B"/>
    <w:rsid w:val="00A56ECD"/>
    <w:rsid w:val="00A57E35"/>
    <w:rsid w:val="00A57F2F"/>
    <w:rsid w:val="00A60920"/>
    <w:rsid w:val="00A610A4"/>
    <w:rsid w:val="00A6138C"/>
    <w:rsid w:val="00A61ADE"/>
    <w:rsid w:val="00A62A14"/>
    <w:rsid w:val="00A632D2"/>
    <w:rsid w:val="00A63952"/>
    <w:rsid w:val="00A64041"/>
    <w:rsid w:val="00A641B6"/>
    <w:rsid w:val="00A6476E"/>
    <w:rsid w:val="00A64CD9"/>
    <w:rsid w:val="00A64E73"/>
    <w:rsid w:val="00A65133"/>
    <w:rsid w:val="00A651BA"/>
    <w:rsid w:val="00A652C5"/>
    <w:rsid w:val="00A65F47"/>
    <w:rsid w:val="00A660AC"/>
    <w:rsid w:val="00A6610B"/>
    <w:rsid w:val="00A6612E"/>
    <w:rsid w:val="00A673CF"/>
    <w:rsid w:val="00A719DB"/>
    <w:rsid w:val="00A71BDF"/>
    <w:rsid w:val="00A73787"/>
    <w:rsid w:val="00A73B31"/>
    <w:rsid w:val="00A73E4C"/>
    <w:rsid w:val="00A73EB2"/>
    <w:rsid w:val="00A74560"/>
    <w:rsid w:val="00A7500C"/>
    <w:rsid w:val="00A758EE"/>
    <w:rsid w:val="00A7598A"/>
    <w:rsid w:val="00A75C1F"/>
    <w:rsid w:val="00A75EC8"/>
    <w:rsid w:val="00A768E4"/>
    <w:rsid w:val="00A768F0"/>
    <w:rsid w:val="00A76AFB"/>
    <w:rsid w:val="00A76F0E"/>
    <w:rsid w:val="00A80BBF"/>
    <w:rsid w:val="00A81056"/>
    <w:rsid w:val="00A810FC"/>
    <w:rsid w:val="00A81733"/>
    <w:rsid w:val="00A81990"/>
    <w:rsid w:val="00A81C3E"/>
    <w:rsid w:val="00A827F3"/>
    <w:rsid w:val="00A831BC"/>
    <w:rsid w:val="00A84315"/>
    <w:rsid w:val="00A85C5A"/>
    <w:rsid w:val="00A87064"/>
    <w:rsid w:val="00A875A9"/>
    <w:rsid w:val="00A87604"/>
    <w:rsid w:val="00A877EC"/>
    <w:rsid w:val="00A908AA"/>
    <w:rsid w:val="00A91499"/>
    <w:rsid w:val="00A918C8"/>
    <w:rsid w:val="00A921AB"/>
    <w:rsid w:val="00A9238F"/>
    <w:rsid w:val="00A92472"/>
    <w:rsid w:val="00A93206"/>
    <w:rsid w:val="00A93796"/>
    <w:rsid w:val="00A93ED2"/>
    <w:rsid w:val="00A94324"/>
    <w:rsid w:val="00A94904"/>
    <w:rsid w:val="00A949B4"/>
    <w:rsid w:val="00A95C57"/>
    <w:rsid w:val="00A966C8"/>
    <w:rsid w:val="00A96A08"/>
    <w:rsid w:val="00A96EDF"/>
    <w:rsid w:val="00A97A9F"/>
    <w:rsid w:val="00A97B40"/>
    <w:rsid w:val="00AA0161"/>
    <w:rsid w:val="00AA09AE"/>
    <w:rsid w:val="00AA2113"/>
    <w:rsid w:val="00AA22B6"/>
    <w:rsid w:val="00AA2B7F"/>
    <w:rsid w:val="00AA41B4"/>
    <w:rsid w:val="00AA4E4C"/>
    <w:rsid w:val="00AA638F"/>
    <w:rsid w:val="00AA6AFE"/>
    <w:rsid w:val="00AA717F"/>
    <w:rsid w:val="00AA7E93"/>
    <w:rsid w:val="00AB0A8E"/>
    <w:rsid w:val="00AB1742"/>
    <w:rsid w:val="00AB1D08"/>
    <w:rsid w:val="00AB333E"/>
    <w:rsid w:val="00AB36A1"/>
    <w:rsid w:val="00AB4345"/>
    <w:rsid w:val="00AB45B2"/>
    <w:rsid w:val="00AB4F71"/>
    <w:rsid w:val="00AB4F79"/>
    <w:rsid w:val="00AB50D9"/>
    <w:rsid w:val="00AB5BD7"/>
    <w:rsid w:val="00AB5C0D"/>
    <w:rsid w:val="00AB612F"/>
    <w:rsid w:val="00AB6B32"/>
    <w:rsid w:val="00AB7794"/>
    <w:rsid w:val="00AC0135"/>
    <w:rsid w:val="00AC02B5"/>
    <w:rsid w:val="00AC070D"/>
    <w:rsid w:val="00AC0BC2"/>
    <w:rsid w:val="00AC105B"/>
    <w:rsid w:val="00AC13EA"/>
    <w:rsid w:val="00AC1514"/>
    <w:rsid w:val="00AC1B94"/>
    <w:rsid w:val="00AC248B"/>
    <w:rsid w:val="00AC2E36"/>
    <w:rsid w:val="00AC2FF4"/>
    <w:rsid w:val="00AC36F9"/>
    <w:rsid w:val="00AC39D9"/>
    <w:rsid w:val="00AC4CFC"/>
    <w:rsid w:val="00AC5753"/>
    <w:rsid w:val="00AC5930"/>
    <w:rsid w:val="00AC5E51"/>
    <w:rsid w:val="00AC6557"/>
    <w:rsid w:val="00AC677B"/>
    <w:rsid w:val="00AC6D3E"/>
    <w:rsid w:val="00AC6F25"/>
    <w:rsid w:val="00AC76DA"/>
    <w:rsid w:val="00AD0036"/>
    <w:rsid w:val="00AD0594"/>
    <w:rsid w:val="00AD05A6"/>
    <w:rsid w:val="00AD0616"/>
    <w:rsid w:val="00AD0753"/>
    <w:rsid w:val="00AD1E73"/>
    <w:rsid w:val="00AD2202"/>
    <w:rsid w:val="00AD34FF"/>
    <w:rsid w:val="00AD4DE6"/>
    <w:rsid w:val="00AD5DDD"/>
    <w:rsid w:val="00AD634F"/>
    <w:rsid w:val="00AD63C1"/>
    <w:rsid w:val="00AD698C"/>
    <w:rsid w:val="00AD78EF"/>
    <w:rsid w:val="00AE014D"/>
    <w:rsid w:val="00AE0A48"/>
    <w:rsid w:val="00AE2B44"/>
    <w:rsid w:val="00AE2F1F"/>
    <w:rsid w:val="00AE3356"/>
    <w:rsid w:val="00AE42A3"/>
    <w:rsid w:val="00AE43C4"/>
    <w:rsid w:val="00AE4EAC"/>
    <w:rsid w:val="00AE5609"/>
    <w:rsid w:val="00AE5633"/>
    <w:rsid w:val="00AE58B0"/>
    <w:rsid w:val="00AE636D"/>
    <w:rsid w:val="00AE678A"/>
    <w:rsid w:val="00AE6DBC"/>
    <w:rsid w:val="00AE7541"/>
    <w:rsid w:val="00AF16A9"/>
    <w:rsid w:val="00AF235D"/>
    <w:rsid w:val="00AF2AFF"/>
    <w:rsid w:val="00AF30DE"/>
    <w:rsid w:val="00AF3E95"/>
    <w:rsid w:val="00AF4AE6"/>
    <w:rsid w:val="00AF4FAD"/>
    <w:rsid w:val="00AF5F10"/>
    <w:rsid w:val="00AF688C"/>
    <w:rsid w:val="00AF6E3D"/>
    <w:rsid w:val="00AF7374"/>
    <w:rsid w:val="00AF7C67"/>
    <w:rsid w:val="00AF7F18"/>
    <w:rsid w:val="00B00145"/>
    <w:rsid w:val="00B020CC"/>
    <w:rsid w:val="00B024AA"/>
    <w:rsid w:val="00B02A6D"/>
    <w:rsid w:val="00B03324"/>
    <w:rsid w:val="00B03942"/>
    <w:rsid w:val="00B04459"/>
    <w:rsid w:val="00B059DF"/>
    <w:rsid w:val="00B05A13"/>
    <w:rsid w:val="00B06A99"/>
    <w:rsid w:val="00B06E6B"/>
    <w:rsid w:val="00B0701B"/>
    <w:rsid w:val="00B101A5"/>
    <w:rsid w:val="00B1029D"/>
    <w:rsid w:val="00B11AD7"/>
    <w:rsid w:val="00B11D10"/>
    <w:rsid w:val="00B11D75"/>
    <w:rsid w:val="00B12311"/>
    <w:rsid w:val="00B124E9"/>
    <w:rsid w:val="00B12B64"/>
    <w:rsid w:val="00B13240"/>
    <w:rsid w:val="00B13933"/>
    <w:rsid w:val="00B13CC4"/>
    <w:rsid w:val="00B14A0C"/>
    <w:rsid w:val="00B152A2"/>
    <w:rsid w:val="00B15FE9"/>
    <w:rsid w:val="00B1645F"/>
    <w:rsid w:val="00B16FF4"/>
    <w:rsid w:val="00B172C0"/>
    <w:rsid w:val="00B173E3"/>
    <w:rsid w:val="00B20058"/>
    <w:rsid w:val="00B20491"/>
    <w:rsid w:val="00B205AA"/>
    <w:rsid w:val="00B21022"/>
    <w:rsid w:val="00B2122A"/>
    <w:rsid w:val="00B219D7"/>
    <w:rsid w:val="00B227E4"/>
    <w:rsid w:val="00B2304F"/>
    <w:rsid w:val="00B232CB"/>
    <w:rsid w:val="00B24247"/>
    <w:rsid w:val="00B24FF7"/>
    <w:rsid w:val="00B27130"/>
    <w:rsid w:val="00B271B7"/>
    <w:rsid w:val="00B27711"/>
    <w:rsid w:val="00B27A11"/>
    <w:rsid w:val="00B3061F"/>
    <w:rsid w:val="00B307CA"/>
    <w:rsid w:val="00B31C70"/>
    <w:rsid w:val="00B322E9"/>
    <w:rsid w:val="00B328C0"/>
    <w:rsid w:val="00B341C5"/>
    <w:rsid w:val="00B347B4"/>
    <w:rsid w:val="00B3535A"/>
    <w:rsid w:val="00B35A07"/>
    <w:rsid w:val="00B36673"/>
    <w:rsid w:val="00B37226"/>
    <w:rsid w:val="00B37F88"/>
    <w:rsid w:val="00B40456"/>
    <w:rsid w:val="00B40DDB"/>
    <w:rsid w:val="00B417B8"/>
    <w:rsid w:val="00B42217"/>
    <w:rsid w:val="00B42BCA"/>
    <w:rsid w:val="00B43B78"/>
    <w:rsid w:val="00B4437A"/>
    <w:rsid w:val="00B45769"/>
    <w:rsid w:val="00B45793"/>
    <w:rsid w:val="00B45EB0"/>
    <w:rsid w:val="00B47892"/>
    <w:rsid w:val="00B47BE8"/>
    <w:rsid w:val="00B47D58"/>
    <w:rsid w:val="00B50596"/>
    <w:rsid w:val="00B506DB"/>
    <w:rsid w:val="00B50DC5"/>
    <w:rsid w:val="00B50DFB"/>
    <w:rsid w:val="00B5122D"/>
    <w:rsid w:val="00B5170F"/>
    <w:rsid w:val="00B51883"/>
    <w:rsid w:val="00B51DCD"/>
    <w:rsid w:val="00B5228A"/>
    <w:rsid w:val="00B523B1"/>
    <w:rsid w:val="00B524AF"/>
    <w:rsid w:val="00B527A3"/>
    <w:rsid w:val="00B52902"/>
    <w:rsid w:val="00B53444"/>
    <w:rsid w:val="00B53938"/>
    <w:rsid w:val="00B53AD1"/>
    <w:rsid w:val="00B54743"/>
    <w:rsid w:val="00B54987"/>
    <w:rsid w:val="00B552AA"/>
    <w:rsid w:val="00B56A8D"/>
    <w:rsid w:val="00B57509"/>
    <w:rsid w:val="00B57651"/>
    <w:rsid w:val="00B57C42"/>
    <w:rsid w:val="00B60CD4"/>
    <w:rsid w:val="00B61001"/>
    <w:rsid w:val="00B61FD4"/>
    <w:rsid w:val="00B622E9"/>
    <w:rsid w:val="00B62A1E"/>
    <w:rsid w:val="00B62AC5"/>
    <w:rsid w:val="00B63444"/>
    <w:rsid w:val="00B636DA"/>
    <w:rsid w:val="00B638D5"/>
    <w:rsid w:val="00B640CD"/>
    <w:rsid w:val="00B66292"/>
    <w:rsid w:val="00B662C5"/>
    <w:rsid w:val="00B66B19"/>
    <w:rsid w:val="00B66F95"/>
    <w:rsid w:val="00B67447"/>
    <w:rsid w:val="00B674DB"/>
    <w:rsid w:val="00B675F2"/>
    <w:rsid w:val="00B71534"/>
    <w:rsid w:val="00B71979"/>
    <w:rsid w:val="00B71C6D"/>
    <w:rsid w:val="00B72062"/>
    <w:rsid w:val="00B723EC"/>
    <w:rsid w:val="00B72924"/>
    <w:rsid w:val="00B73E35"/>
    <w:rsid w:val="00B73F44"/>
    <w:rsid w:val="00B74628"/>
    <w:rsid w:val="00B746F1"/>
    <w:rsid w:val="00B74D5B"/>
    <w:rsid w:val="00B75DB2"/>
    <w:rsid w:val="00B76392"/>
    <w:rsid w:val="00B76438"/>
    <w:rsid w:val="00B76785"/>
    <w:rsid w:val="00B76EC4"/>
    <w:rsid w:val="00B7756C"/>
    <w:rsid w:val="00B77954"/>
    <w:rsid w:val="00B80A8D"/>
    <w:rsid w:val="00B80DCD"/>
    <w:rsid w:val="00B81D65"/>
    <w:rsid w:val="00B82360"/>
    <w:rsid w:val="00B82E8D"/>
    <w:rsid w:val="00B83B8B"/>
    <w:rsid w:val="00B84BA6"/>
    <w:rsid w:val="00B851D6"/>
    <w:rsid w:val="00B85426"/>
    <w:rsid w:val="00B85991"/>
    <w:rsid w:val="00B86B93"/>
    <w:rsid w:val="00B8718A"/>
    <w:rsid w:val="00B8739B"/>
    <w:rsid w:val="00B876D2"/>
    <w:rsid w:val="00B87A75"/>
    <w:rsid w:val="00B90390"/>
    <w:rsid w:val="00B91D79"/>
    <w:rsid w:val="00B9264D"/>
    <w:rsid w:val="00B9272B"/>
    <w:rsid w:val="00B92E3D"/>
    <w:rsid w:val="00B93011"/>
    <w:rsid w:val="00B9329F"/>
    <w:rsid w:val="00B93398"/>
    <w:rsid w:val="00B944BE"/>
    <w:rsid w:val="00B94D99"/>
    <w:rsid w:val="00B95B4B"/>
    <w:rsid w:val="00B95DED"/>
    <w:rsid w:val="00B9652C"/>
    <w:rsid w:val="00B96C00"/>
    <w:rsid w:val="00B97106"/>
    <w:rsid w:val="00B97825"/>
    <w:rsid w:val="00B97F9D"/>
    <w:rsid w:val="00BA0BF9"/>
    <w:rsid w:val="00BA0C1A"/>
    <w:rsid w:val="00BA0D0F"/>
    <w:rsid w:val="00BA1158"/>
    <w:rsid w:val="00BA1B30"/>
    <w:rsid w:val="00BA1B7E"/>
    <w:rsid w:val="00BA2DC4"/>
    <w:rsid w:val="00BA2ED9"/>
    <w:rsid w:val="00BA309F"/>
    <w:rsid w:val="00BA3786"/>
    <w:rsid w:val="00BA38EF"/>
    <w:rsid w:val="00BA3B2F"/>
    <w:rsid w:val="00BA3D5D"/>
    <w:rsid w:val="00BA5147"/>
    <w:rsid w:val="00BA5C38"/>
    <w:rsid w:val="00BA5DC0"/>
    <w:rsid w:val="00BA65F7"/>
    <w:rsid w:val="00BA67DA"/>
    <w:rsid w:val="00BA6BCA"/>
    <w:rsid w:val="00BA6C74"/>
    <w:rsid w:val="00BA6EE5"/>
    <w:rsid w:val="00BA7508"/>
    <w:rsid w:val="00BA788E"/>
    <w:rsid w:val="00BA7FE4"/>
    <w:rsid w:val="00BB18F1"/>
    <w:rsid w:val="00BB1BFF"/>
    <w:rsid w:val="00BB23A8"/>
    <w:rsid w:val="00BB2459"/>
    <w:rsid w:val="00BB24C0"/>
    <w:rsid w:val="00BB2ADC"/>
    <w:rsid w:val="00BB3EBF"/>
    <w:rsid w:val="00BB3FA1"/>
    <w:rsid w:val="00BB4555"/>
    <w:rsid w:val="00BB4814"/>
    <w:rsid w:val="00BB4DE8"/>
    <w:rsid w:val="00BB52D9"/>
    <w:rsid w:val="00BB56A3"/>
    <w:rsid w:val="00BB62BB"/>
    <w:rsid w:val="00BB64E6"/>
    <w:rsid w:val="00BB6F8D"/>
    <w:rsid w:val="00BB761E"/>
    <w:rsid w:val="00BB79E7"/>
    <w:rsid w:val="00BC00FE"/>
    <w:rsid w:val="00BC05C5"/>
    <w:rsid w:val="00BC0FD1"/>
    <w:rsid w:val="00BC12B6"/>
    <w:rsid w:val="00BC16E8"/>
    <w:rsid w:val="00BC1A32"/>
    <w:rsid w:val="00BC1EA3"/>
    <w:rsid w:val="00BC25AF"/>
    <w:rsid w:val="00BC271C"/>
    <w:rsid w:val="00BC27B6"/>
    <w:rsid w:val="00BC2B94"/>
    <w:rsid w:val="00BC2E5F"/>
    <w:rsid w:val="00BC3963"/>
    <w:rsid w:val="00BC3C4F"/>
    <w:rsid w:val="00BC41AA"/>
    <w:rsid w:val="00BC421D"/>
    <w:rsid w:val="00BC49BC"/>
    <w:rsid w:val="00BC4AA6"/>
    <w:rsid w:val="00BC5689"/>
    <w:rsid w:val="00BC6450"/>
    <w:rsid w:val="00BC661A"/>
    <w:rsid w:val="00BD0098"/>
    <w:rsid w:val="00BD0308"/>
    <w:rsid w:val="00BD0356"/>
    <w:rsid w:val="00BD04BE"/>
    <w:rsid w:val="00BD1762"/>
    <w:rsid w:val="00BD1E20"/>
    <w:rsid w:val="00BD1F2D"/>
    <w:rsid w:val="00BD205C"/>
    <w:rsid w:val="00BD221D"/>
    <w:rsid w:val="00BD2B50"/>
    <w:rsid w:val="00BD307E"/>
    <w:rsid w:val="00BD42D9"/>
    <w:rsid w:val="00BD4B49"/>
    <w:rsid w:val="00BD4B92"/>
    <w:rsid w:val="00BD5DB6"/>
    <w:rsid w:val="00BD61B2"/>
    <w:rsid w:val="00BD6B38"/>
    <w:rsid w:val="00BD7039"/>
    <w:rsid w:val="00BD7280"/>
    <w:rsid w:val="00BD73BF"/>
    <w:rsid w:val="00BE0F10"/>
    <w:rsid w:val="00BE1DF4"/>
    <w:rsid w:val="00BE2298"/>
    <w:rsid w:val="00BE3381"/>
    <w:rsid w:val="00BE3A11"/>
    <w:rsid w:val="00BE3A41"/>
    <w:rsid w:val="00BE408A"/>
    <w:rsid w:val="00BE5090"/>
    <w:rsid w:val="00BE58C8"/>
    <w:rsid w:val="00BE5C92"/>
    <w:rsid w:val="00BE68FB"/>
    <w:rsid w:val="00BE6F28"/>
    <w:rsid w:val="00BE76F8"/>
    <w:rsid w:val="00BE7A73"/>
    <w:rsid w:val="00BF00BC"/>
    <w:rsid w:val="00BF017E"/>
    <w:rsid w:val="00BF0AF6"/>
    <w:rsid w:val="00BF0B03"/>
    <w:rsid w:val="00BF1074"/>
    <w:rsid w:val="00BF1860"/>
    <w:rsid w:val="00BF1876"/>
    <w:rsid w:val="00BF24F5"/>
    <w:rsid w:val="00BF29FA"/>
    <w:rsid w:val="00BF2F1F"/>
    <w:rsid w:val="00BF39D1"/>
    <w:rsid w:val="00BF5BDC"/>
    <w:rsid w:val="00BF6229"/>
    <w:rsid w:val="00C00758"/>
    <w:rsid w:val="00C00EE9"/>
    <w:rsid w:val="00C01455"/>
    <w:rsid w:val="00C0161A"/>
    <w:rsid w:val="00C017B4"/>
    <w:rsid w:val="00C02163"/>
    <w:rsid w:val="00C023DC"/>
    <w:rsid w:val="00C03611"/>
    <w:rsid w:val="00C03D5B"/>
    <w:rsid w:val="00C03F6E"/>
    <w:rsid w:val="00C041C9"/>
    <w:rsid w:val="00C04D2B"/>
    <w:rsid w:val="00C04E05"/>
    <w:rsid w:val="00C04F7E"/>
    <w:rsid w:val="00C0618F"/>
    <w:rsid w:val="00C06414"/>
    <w:rsid w:val="00C06657"/>
    <w:rsid w:val="00C06CE5"/>
    <w:rsid w:val="00C07609"/>
    <w:rsid w:val="00C1046F"/>
    <w:rsid w:val="00C1119B"/>
    <w:rsid w:val="00C1121C"/>
    <w:rsid w:val="00C118CF"/>
    <w:rsid w:val="00C11DBB"/>
    <w:rsid w:val="00C128B6"/>
    <w:rsid w:val="00C12D15"/>
    <w:rsid w:val="00C13191"/>
    <w:rsid w:val="00C131B2"/>
    <w:rsid w:val="00C1373B"/>
    <w:rsid w:val="00C13C31"/>
    <w:rsid w:val="00C1493F"/>
    <w:rsid w:val="00C14C75"/>
    <w:rsid w:val="00C15081"/>
    <w:rsid w:val="00C15A2F"/>
    <w:rsid w:val="00C15DB4"/>
    <w:rsid w:val="00C1682D"/>
    <w:rsid w:val="00C17B8D"/>
    <w:rsid w:val="00C17ED3"/>
    <w:rsid w:val="00C202D3"/>
    <w:rsid w:val="00C213CE"/>
    <w:rsid w:val="00C21F83"/>
    <w:rsid w:val="00C221F5"/>
    <w:rsid w:val="00C22B81"/>
    <w:rsid w:val="00C2398F"/>
    <w:rsid w:val="00C25143"/>
    <w:rsid w:val="00C25419"/>
    <w:rsid w:val="00C25568"/>
    <w:rsid w:val="00C259A8"/>
    <w:rsid w:val="00C260BF"/>
    <w:rsid w:val="00C262CE"/>
    <w:rsid w:val="00C262EF"/>
    <w:rsid w:val="00C26581"/>
    <w:rsid w:val="00C26EF6"/>
    <w:rsid w:val="00C27E06"/>
    <w:rsid w:val="00C305CE"/>
    <w:rsid w:val="00C308D9"/>
    <w:rsid w:val="00C30A58"/>
    <w:rsid w:val="00C30ADA"/>
    <w:rsid w:val="00C3122B"/>
    <w:rsid w:val="00C31283"/>
    <w:rsid w:val="00C31A95"/>
    <w:rsid w:val="00C331B2"/>
    <w:rsid w:val="00C40972"/>
    <w:rsid w:val="00C41533"/>
    <w:rsid w:val="00C42FE1"/>
    <w:rsid w:val="00C437D1"/>
    <w:rsid w:val="00C44ACC"/>
    <w:rsid w:val="00C44BD2"/>
    <w:rsid w:val="00C44F15"/>
    <w:rsid w:val="00C45493"/>
    <w:rsid w:val="00C45812"/>
    <w:rsid w:val="00C45C91"/>
    <w:rsid w:val="00C45DAF"/>
    <w:rsid w:val="00C46050"/>
    <w:rsid w:val="00C461AF"/>
    <w:rsid w:val="00C50AE4"/>
    <w:rsid w:val="00C5132E"/>
    <w:rsid w:val="00C51598"/>
    <w:rsid w:val="00C518E4"/>
    <w:rsid w:val="00C52301"/>
    <w:rsid w:val="00C52F34"/>
    <w:rsid w:val="00C53B4F"/>
    <w:rsid w:val="00C547D8"/>
    <w:rsid w:val="00C55AB1"/>
    <w:rsid w:val="00C57C4A"/>
    <w:rsid w:val="00C609E9"/>
    <w:rsid w:val="00C60BDD"/>
    <w:rsid w:val="00C6120F"/>
    <w:rsid w:val="00C613D3"/>
    <w:rsid w:val="00C61A7A"/>
    <w:rsid w:val="00C61CDD"/>
    <w:rsid w:val="00C61EF0"/>
    <w:rsid w:val="00C62AE5"/>
    <w:rsid w:val="00C640A1"/>
    <w:rsid w:val="00C643B1"/>
    <w:rsid w:val="00C64FAF"/>
    <w:rsid w:val="00C65469"/>
    <w:rsid w:val="00C6549D"/>
    <w:rsid w:val="00C65DFF"/>
    <w:rsid w:val="00C6642E"/>
    <w:rsid w:val="00C66F3E"/>
    <w:rsid w:val="00C679AE"/>
    <w:rsid w:val="00C67A74"/>
    <w:rsid w:val="00C702AD"/>
    <w:rsid w:val="00C70AB8"/>
    <w:rsid w:val="00C70B5D"/>
    <w:rsid w:val="00C71036"/>
    <w:rsid w:val="00C712C5"/>
    <w:rsid w:val="00C718CE"/>
    <w:rsid w:val="00C72284"/>
    <w:rsid w:val="00C7275E"/>
    <w:rsid w:val="00C73472"/>
    <w:rsid w:val="00C7370A"/>
    <w:rsid w:val="00C737C5"/>
    <w:rsid w:val="00C73FBC"/>
    <w:rsid w:val="00C74B76"/>
    <w:rsid w:val="00C75304"/>
    <w:rsid w:val="00C76FCE"/>
    <w:rsid w:val="00C77023"/>
    <w:rsid w:val="00C77068"/>
    <w:rsid w:val="00C8007F"/>
    <w:rsid w:val="00C800F3"/>
    <w:rsid w:val="00C804BA"/>
    <w:rsid w:val="00C80C46"/>
    <w:rsid w:val="00C80C6F"/>
    <w:rsid w:val="00C80ED2"/>
    <w:rsid w:val="00C82EEC"/>
    <w:rsid w:val="00C831DB"/>
    <w:rsid w:val="00C83999"/>
    <w:rsid w:val="00C8482D"/>
    <w:rsid w:val="00C86015"/>
    <w:rsid w:val="00C869AE"/>
    <w:rsid w:val="00C871FE"/>
    <w:rsid w:val="00C87B7F"/>
    <w:rsid w:val="00C87CB7"/>
    <w:rsid w:val="00C9088C"/>
    <w:rsid w:val="00C9365E"/>
    <w:rsid w:val="00C945D7"/>
    <w:rsid w:val="00C94970"/>
    <w:rsid w:val="00C95781"/>
    <w:rsid w:val="00C9769E"/>
    <w:rsid w:val="00CA07A6"/>
    <w:rsid w:val="00CA088C"/>
    <w:rsid w:val="00CA1C8A"/>
    <w:rsid w:val="00CA1E79"/>
    <w:rsid w:val="00CA25E4"/>
    <w:rsid w:val="00CA334C"/>
    <w:rsid w:val="00CA3540"/>
    <w:rsid w:val="00CA3D6D"/>
    <w:rsid w:val="00CA3D91"/>
    <w:rsid w:val="00CA5387"/>
    <w:rsid w:val="00CA5989"/>
    <w:rsid w:val="00CA5B61"/>
    <w:rsid w:val="00CA6DED"/>
    <w:rsid w:val="00CA6E79"/>
    <w:rsid w:val="00CB0215"/>
    <w:rsid w:val="00CB02F2"/>
    <w:rsid w:val="00CB0724"/>
    <w:rsid w:val="00CB09A2"/>
    <w:rsid w:val="00CB2392"/>
    <w:rsid w:val="00CB2A04"/>
    <w:rsid w:val="00CB2DA5"/>
    <w:rsid w:val="00CB3BCB"/>
    <w:rsid w:val="00CB4F24"/>
    <w:rsid w:val="00CB6067"/>
    <w:rsid w:val="00CB6B8B"/>
    <w:rsid w:val="00CB7477"/>
    <w:rsid w:val="00CC01BD"/>
    <w:rsid w:val="00CC112B"/>
    <w:rsid w:val="00CC1156"/>
    <w:rsid w:val="00CC1CD2"/>
    <w:rsid w:val="00CC1EC1"/>
    <w:rsid w:val="00CC27E4"/>
    <w:rsid w:val="00CC2EB8"/>
    <w:rsid w:val="00CC35C5"/>
    <w:rsid w:val="00CC4921"/>
    <w:rsid w:val="00CC49D4"/>
    <w:rsid w:val="00CC4E75"/>
    <w:rsid w:val="00CC54FF"/>
    <w:rsid w:val="00CC5685"/>
    <w:rsid w:val="00CC56F0"/>
    <w:rsid w:val="00CC7742"/>
    <w:rsid w:val="00CC799D"/>
    <w:rsid w:val="00CC7B06"/>
    <w:rsid w:val="00CD0783"/>
    <w:rsid w:val="00CD0CA0"/>
    <w:rsid w:val="00CD138A"/>
    <w:rsid w:val="00CD13C8"/>
    <w:rsid w:val="00CD1CE2"/>
    <w:rsid w:val="00CD1F76"/>
    <w:rsid w:val="00CD22B3"/>
    <w:rsid w:val="00CD35C9"/>
    <w:rsid w:val="00CD460D"/>
    <w:rsid w:val="00CD485F"/>
    <w:rsid w:val="00CD5B40"/>
    <w:rsid w:val="00CD60F8"/>
    <w:rsid w:val="00CD6A12"/>
    <w:rsid w:val="00CD748C"/>
    <w:rsid w:val="00CD7C96"/>
    <w:rsid w:val="00CE0223"/>
    <w:rsid w:val="00CE1141"/>
    <w:rsid w:val="00CE1518"/>
    <w:rsid w:val="00CE1587"/>
    <w:rsid w:val="00CE17B4"/>
    <w:rsid w:val="00CE307F"/>
    <w:rsid w:val="00CE323E"/>
    <w:rsid w:val="00CE340A"/>
    <w:rsid w:val="00CE396A"/>
    <w:rsid w:val="00CE3A4B"/>
    <w:rsid w:val="00CE42E7"/>
    <w:rsid w:val="00CE47D4"/>
    <w:rsid w:val="00CE4C2B"/>
    <w:rsid w:val="00CE5623"/>
    <w:rsid w:val="00CE56FE"/>
    <w:rsid w:val="00CE5C76"/>
    <w:rsid w:val="00CE6D91"/>
    <w:rsid w:val="00CE6F5A"/>
    <w:rsid w:val="00CE71BD"/>
    <w:rsid w:val="00CE7D31"/>
    <w:rsid w:val="00CE7D47"/>
    <w:rsid w:val="00CE7DF5"/>
    <w:rsid w:val="00CF139E"/>
    <w:rsid w:val="00CF3BF7"/>
    <w:rsid w:val="00CF3C9A"/>
    <w:rsid w:val="00CF405C"/>
    <w:rsid w:val="00CF42CF"/>
    <w:rsid w:val="00CF47F0"/>
    <w:rsid w:val="00CF4A19"/>
    <w:rsid w:val="00CF5841"/>
    <w:rsid w:val="00CF5988"/>
    <w:rsid w:val="00CF5AB5"/>
    <w:rsid w:val="00CF6E46"/>
    <w:rsid w:val="00CF7FC0"/>
    <w:rsid w:val="00D00BEE"/>
    <w:rsid w:val="00D0126E"/>
    <w:rsid w:val="00D0173E"/>
    <w:rsid w:val="00D01807"/>
    <w:rsid w:val="00D01BFA"/>
    <w:rsid w:val="00D0257E"/>
    <w:rsid w:val="00D02856"/>
    <w:rsid w:val="00D03424"/>
    <w:rsid w:val="00D03509"/>
    <w:rsid w:val="00D0386E"/>
    <w:rsid w:val="00D03D4C"/>
    <w:rsid w:val="00D03F3B"/>
    <w:rsid w:val="00D0441F"/>
    <w:rsid w:val="00D04F5B"/>
    <w:rsid w:val="00D0563A"/>
    <w:rsid w:val="00D0597A"/>
    <w:rsid w:val="00D05ADA"/>
    <w:rsid w:val="00D05C08"/>
    <w:rsid w:val="00D05D26"/>
    <w:rsid w:val="00D05E4F"/>
    <w:rsid w:val="00D101A1"/>
    <w:rsid w:val="00D102E9"/>
    <w:rsid w:val="00D1066A"/>
    <w:rsid w:val="00D115DD"/>
    <w:rsid w:val="00D11B39"/>
    <w:rsid w:val="00D11B9E"/>
    <w:rsid w:val="00D11CF9"/>
    <w:rsid w:val="00D11D6B"/>
    <w:rsid w:val="00D11F8E"/>
    <w:rsid w:val="00D12010"/>
    <w:rsid w:val="00D13453"/>
    <w:rsid w:val="00D13509"/>
    <w:rsid w:val="00D144E1"/>
    <w:rsid w:val="00D1571A"/>
    <w:rsid w:val="00D158FD"/>
    <w:rsid w:val="00D1688F"/>
    <w:rsid w:val="00D17121"/>
    <w:rsid w:val="00D17A21"/>
    <w:rsid w:val="00D17B23"/>
    <w:rsid w:val="00D20B51"/>
    <w:rsid w:val="00D20D8B"/>
    <w:rsid w:val="00D2117F"/>
    <w:rsid w:val="00D21C71"/>
    <w:rsid w:val="00D21DA2"/>
    <w:rsid w:val="00D21EF4"/>
    <w:rsid w:val="00D23147"/>
    <w:rsid w:val="00D23387"/>
    <w:rsid w:val="00D23887"/>
    <w:rsid w:val="00D23AFD"/>
    <w:rsid w:val="00D23C1B"/>
    <w:rsid w:val="00D24B8B"/>
    <w:rsid w:val="00D24DEE"/>
    <w:rsid w:val="00D25317"/>
    <w:rsid w:val="00D254FC"/>
    <w:rsid w:val="00D25BB9"/>
    <w:rsid w:val="00D27554"/>
    <w:rsid w:val="00D27A1B"/>
    <w:rsid w:val="00D30076"/>
    <w:rsid w:val="00D3030B"/>
    <w:rsid w:val="00D32396"/>
    <w:rsid w:val="00D32CF1"/>
    <w:rsid w:val="00D32FCF"/>
    <w:rsid w:val="00D330F7"/>
    <w:rsid w:val="00D34C97"/>
    <w:rsid w:val="00D35625"/>
    <w:rsid w:val="00D358A0"/>
    <w:rsid w:val="00D358E6"/>
    <w:rsid w:val="00D35E10"/>
    <w:rsid w:val="00D36AD0"/>
    <w:rsid w:val="00D36CDE"/>
    <w:rsid w:val="00D37487"/>
    <w:rsid w:val="00D377E3"/>
    <w:rsid w:val="00D400A7"/>
    <w:rsid w:val="00D406AD"/>
    <w:rsid w:val="00D41181"/>
    <w:rsid w:val="00D413D5"/>
    <w:rsid w:val="00D436B1"/>
    <w:rsid w:val="00D44602"/>
    <w:rsid w:val="00D44C42"/>
    <w:rsid w:val="00D4636A"/>
    <w:rsid w:val="00D46BA9"/>
    <w:rsid w:val="00D473F8"/>
    <w:rsid w:val="00D47448"/>
    <w:rsid w:val="00D47FF4"/>
    <w:rsid w:val="00D50493"/>
    <w:rsid w:val="00D50A1F"/>
    <w:rsid w:val="00D510F4"/>
    <w:rsid w:val="00D51F3E"/>
    <w:rsid w:val="00D53A77"/>
    <w:rsid w:val="00D54461"/>
    <w:rsid w:val="00D5564C"/>
    <w:rsid w:val="00D55670"/>
    <w:rsid w:val="00D55B9A"/>
    <w:rsid w:val="00D55DB2"/>
    <w:rsid w:val="00D56957"/>
    <w:rsid w:val="00D56CF2"/>
    <w:rsid w:val="00D56F13"/>
    <w:rsid w:val="00D575E0"/>
    <w:rsid w:val="00D57BAD"/>
    <w:rsid w:val="00D60AD7"/>
    <w:rsid w:val="00D6101A"/>
    <w:rsid w:val="00D6154F"/>
    <w:rsid w:val="00D624B5"/>
    <w:rsid w:val="00D62535"/>
    <w:rsid w:val="00D63422"/>
    <w:rsid w:val="00D6363F"/>
    <w:rsid w:val="00D644BD"/>
    <w:rsid w:val="00D6542E"/>
    <w:rsid w:val="00D65836"/>
    <w:rsid w:val="00D66959"/>
    <w:rsid w:val="00D66E8B"/>
    <w:rsid w:val="00D66E9A"/>
    <w:rsid w:val="00D6775F"/>
    <w:rsid w:val="00D67BB5"/>
    <w:rsid w:val="00D706DC"/>
    <w:rsid w:val="00D7090C"/>
    <w:rsid w:val="00D70F02"/>
    <w:rsid w:val="00D71037"/>
    <w:rsid w:val="00D71BB3"/>
    <w:rsid w:val="00D725F4"/>
    <w:rsid w:val="00D729C9"/>
    <w:rsid w:val="00D734FA"/>
    <w:rsid w:val="00D73E6A"/>
    <w:rsid w:val="00D741E7"/>
    <w:rsid w:val="00D7580F"/>
    <w:rsid w:val="00D7643D"/>
    <w:rsid w:val="00D767A3"/>
    <w:rsid w:val="00D77C96"/>
    <w:rsid w:val="00D80891"/>
    <w:rsid w:val="00D818D1"/>
    <w:rsid w:val="00D81E92"/>
    <w:rsid w:val="00D82364"/>
    <w:rsid w:val="00D83279"/>
    <w:rsid w:val="00D8467A"/>
    <w:rsid w:val="00D84686"/>
    <w:rsid w:val="00D85715"/>
    <w:rsid w:val="00D85AAF"/>
    <w:rsid w:val="00D85F30"/>
    <w:rsid w:val="00D8615E"/>
    <w:rsid w:val="00D86566"/>
    <w:rsid w:val="00D8706C"/>
    <w:rsid w:val="00D87EE8"/>
    <w:rsid w:val="00D90DAD"/>
    <w:rsid w:val="00D9193B"/>
    <w:rsid w:val="00D92850"/>
    <w:rsid w:val="00D934C2"/>
    <w:rsid w:val="00D95A76"/>
    <w:rsid w:val="00D95CDF"/>
    <w:rsid w:val="00D9606B"/>
    <w:rsid w:val="00D9641B"/>
    <w:rsid w:val="00D967BA"/>
    <w:rsid w:val="00D97737"/>
    <w:rsid w:val="00D979AF"/>
    <w:rsid w:val="00D97A48"/>
    <w:rsid w:val="00D97B19"/>
    <w:rsid w:val="00DA0AE1"/>
    <w:rsid w:val="00DA0B3F"/>
    <w:rsid w:val="00DA0E64"/>
    <w:rsid w:val="00DA142A"/>
    <w:rsid w:val="00DA2044"/>
    <w:rsid w:val="00DA36A1"/>
    <w:rsid w:val="00DA3843"/>
    <w:rsid w:val="00DA3DEB"/>
    <w:rsid w:val="00DA4187"/>
    <w:rsid w:val="00DA461E"/>
    <w:rsid w:val="00DA4633"/>
    <w:rsid w:val="00DA4C62"/>
    <w:rsid w:val="00DA4F8B"/>
    <w:rsid w:val="00DA54B9"/>
    <w:rsid w:val="00DA55DF"/>
    <w:rsid w:val="00DA5F87"/>
    <w:rsid w:val="00DB040D"/>
    <w:rsid w:val="00DB1731"/>
    <w:rsid w:val="00DB2CF5"/>
    <w:rsid w:val="00DB4244"/>
    <w:rsid w:val="00DB4817"/>
    <w:rsid w:val="00DB503F"/>
    <w:rsid w:val="00DB6A17"/>
    <w:rsid w:val="00DB6EFE"/>
    <w:rsid w:val="00DB70CF"/>
    <w:rsid w:val="00DB7F46"/>
    <w:rsid w:val="00DC029A"/>
    <w:rsid w:val="00DC0BA6"/>
    <w:rsid w:val="00DC0EEE"/>
    <w:rsid w:val="00DC1DD6"/>
    <w:rsid w:val="00DC201F"/>
    <w:rsid w:val="00DC27D7"/>
    <w:rsid w:val="00DC2876"/>
    <w:rsid w:val="00DC30A7"/>
    <w:rsid w:val="00DC331F"/>
    <w:rsid w:val="00DC3403"/>
    <w:rsid w:val="00DC3C78"/>
    <w:rsid w:val="00DC592F"/>
    <w:rsid w:val="00DC5C78"/>
    <w:rsid w:val="00DC60EC"/>
    <w:rsid w:val="00DC60F8"/>
    <w:rsid w:val="00DC6989"/>
    <w:rsid w:val="00DC7248"/>
    <w:rsid w:val="00DD04F5"/>
    <w:rsid w:val="00DD14C0"/>
    <w:rsid w:val="00DD1811"/>
    <w:rsid w:val="00DD1B72"/>
    <w:rsid w:val="00DD1D27"/>
    <w:rsid w:val="00DD2387"/>
    <w:rsid w:val="00DD297F"/>
    <w:rsid w:val="00DD2CB3"/>
    <w:rsid w:val="00DD37EA"/>
    <w:rsid w:val="00DD3B30"/>
    <w:rsid w:val="00DD3D26"/>
    <w:rsid w:val="00DD3E07"/>
    <w:rsid w:val="00DD430C"/>
    <w:rsid w:val="00DD4E84"/>
    <w:rsid w:val="00DD5520"/>
    <w:rsid w:val="00DD5E11"/>
    <w:rsid w:val="00DD67D6"/>
    <w:rsid w:val="00DD6F68"/>
    <w:rsid w:val="00DD72FF"/>
    <w:rsid w:val="00DD778E"/>
    <w:rsid w:val="00DE0359"/>
    <w:rsid w:val="00DE1DA5"/>
    <w:rsid w:val="00DE2087"/>
    <w:rsid w:val="00DE2281"/>
    <w:rsid w:val="00DE2844"/>
    <w:rsid w:val="00DE3867"/>
    <w:rsid w:val="00DE3A7A"/>
    <w:rsid w:val="00DE3ACF"/>
    <w:rsid w:val="00DE43E9"/>
    <w:rsid w:val="00DE4C88"/>
    <w:rsid w:val="00DE5FC9"/>
    <w:rsid w:val="00DE6672"/>
    <w:rsid w:val="00DE67A4"/>
    <w:rsid w:val="00DE6809"/>
    <w:rsid w:val="00DE7150"/>
    <w:rsid w:val="00DE723E"/>
    <w:rsid w:val="00DE7C84"/>
    <w:rsid w:val="00DF02EC"/>
    <w:rsid w:val="00DF03F5"/>
    <w:rsid w:val="00DF0593"/>
    <w:rsid w:val="00DF088F"/>
    <w:rsid w:val="00DF0ECC"/>
    <w:rsid w:val="00DF16C2"/>
    <w:rsid w:val="00DF1DFF"/>
    <w:rsid w:val="00DF2C70"/>
    <w:rsid w:val="00DF3452"/>
    <w:rsid w:val="00DF3C5E"/>
    <w:rsid w:val="00DF4F35"/>
    <w:rsid w:val="00DF542B"/>
    <w:rsid w:val="00DF770E"/>
    <w:rsid w:val="00E00F76"/>
    <w:rsid w:val="00E011C0"/>
    <w:rsid w:val="00E013A3"/>
    <w:rsid w:val="00E01457"/>
    <w:rsid w:val="00E01635"/>
    <w:rsid w:val="00E01A3A"/>
    <w:rsid w:val="00E02335"/>
    <w:rsid w:val="00E03824"/>
    <w:rsid w:val="00E03FCC"/>
    <w:rsid w:val="00E04509"/>
    <w:rsid w:val="00E04848"/>
    <w:rsid w:val="00E049E0"/>
    <w:rsid w:val="00E04D0F"/>
    <w:rsid w:val="00E05049"/>
    <w:rsid w:val="00E0529F"/>
    <w:rsid w:val="00E06872"/>
    <w:rsid w:val="00E06A22"/>
    <w:rsid w:val="00E07780"/>
    <w:rsid w:val="00E12340"/>
    <w:rsid w:val="00E12623"/>
    <w:rsid w:val="00E14490"/>
    <w:rsid w:val="00E14578"/>
    <w:rsid w:val="00E14880"/>
    <w:rsid w:val="00E15671"/>
    <w:rsid w:val="00E160B0"/>
    <w:rsid w:val="00E209A5"/>
    <w:rsid w:val="00E20B8B"/>
    <w:rsid w:val="00E21856"/>
    <w:rsid w:val="00E21E75"/>
    <w:rsid w:val="00E22458"/>
    <w:rsid w:val="00E22A67"/>
    <w:rsid w:val="00E2306E"/>
    <w:rsid w:val="00E231E9"/>
    <w:rsid w:val="00E23724"/>
    <w:rsid w:val="00E23B43"/>
    <w:rsid w:val="00E24C19"/>
    <w:rsid w:val="00E25230"/>
    <w:rsid w:val="00E26445"/>
    <w:rsid w:val="00E270E5"/>
    <w:rsid w:val="00E27A41"/>
    <w:rsid w:val="00E300AD"/>
    <w:rsid w:val="00E3018A"/>
    <w:rsid w:val="00E30925"/>
    <w:rsid w:val="00E30A88"/>
    <w:rsid w:val="00E30ECC"/>
    <w:rsid w:val="00E30EF5"/>
    <w:rsid w:val="00E31343"/>
    <w:rsid w:val="00E31A06"/>
    <w:rsid w:val="00E322EB"/>
    <w:rsid w:val="00E32E2D"/>
    <w:rsid w:val="00E337E9"/>
    <w:rsid w:val="00E33A10"/>
    <w:rsid w:val="00E348AA"/>
    <w:rsid w:val="00E3567E"/>
    <w:rsid w:val="00E37176"/>
    <w:rsid w:val="00E374E1"/>
    <w:rsid w:val="00E374F5"/>
    <w:rsid w:val="00E3760B"/>
    <w:rsid w:val="00E37823"/>
    <w:rsid w:val="00E37AAE"/>
    <w:rsid w:val="00E37C2C"/>
    <w:rsid w:val="00E37CB7"/>
    <w:rsid w:val="00E37FD3"/>
    <w:rsid w:val="00E411E9"/>
    <w:rsid w:val="00E4158F"/>
    <w:rsid w:val="00E42A95"/>
    <w:rsid w:val="00E43BB1"/>
    <w:rsid w:val="00E43EF9"/>
    <w:rsid w:val="00E44A48"/>
    <w:rsid w:val="00E44EC5"/>
    <w:rsid w:val="00E45657"/>
    <w:rsid w:val="00E45667"/>
    <w:rsid w:val="00E458C1"/>
    <w:rsid w:val="00E458E7"/>
    <w:rsid w:val="00E45F6A"/>
    <w:rsid w:val="00E4657E"/>
    <w:rsid w:val="00E4728A"/>
    <w:rsid w:val="00E473FA"/>
    <w:rsid w:val="00E47CA3"/>
    <w:rsid w:val="00E47CEB"/>
    <w:rsid w:val="00E504E8"/>
    <w:rsid w:val="00E50747"/>
    <w:rsid w:val="00E50DBD"/>
    <w:rsid w:val="00E519DC"/>
    <w:rsid w:val="00E51DC3"/>
    <w:rsid w:val="00E51EFF"/>
    <w:rsid w:val="00E525A5"/>
    <w:rsid w:val="00E52E4E"/>
    <w:rsid w:val="00E53DD9"/>
    <w:rsid w:val="00E553BC"/>
    <w:rsid w:val="00E556BD"/>
    <w:rsid w:val="00E55DB3"/>
    <w:rsid w:val="00E55FA5"/>
    <w:rsid w:val="00E56468"/>
    <w:rsid w:val="00E56B41"/>
    <w:rsid w:val="00E574E8"/>
    <w:rsid w:val="00E57BF1"/>
    <w:rsid w:val="00E61326"/>
    <w:rsid w:val="00E61EB8"/>
    <w:rsid w:val="00E62CB9"/>
    <w:rsid w:val="00E62E2A"/>
    <w:rsid w:val="00E630D4"/>
    <w:rsid w:val="00E63455"/>
    <w:rsid w:val="00E649EA"/>
    <w:rsid w:val="00E64AD7"/>
    <w:rsid w:val="00E64DD7"/>
    <w:rsid w:val="00E64F7D"/>
    <w:rsid w:val="00E65768"/>
    <w:rsid w:val="00E65832"/>
    <w:rsid w:val="00E65A56"/>
    <w:rsid w:val="00E670CE"/>
    <w:rsid w:val="00E709AD"/>
    <w:rsid w:val="00E70D7C"/>
    <w:rsid w:val="00E71203"/>
    <w:rsid w:val="00E71317"/>
    <w:rsid w:val="00E7140B"/>
    <w:rsid w:val="00E71FC5"/>
    <w:rsid w:val="00E72063"/>
    <w:rsid w:val="00E7248D"/>
    <w:rsid w:val="00E724AC"/>
    <w:rsid w:val="00E72BEB"/>
    <w:rsid w:val="00E7321E"/>
    <w:rsid w:val="00E741A4"/>
    <w:rsid w:val="00E74D9D"/>
    <w:rsid w:val="00E7559F"/>
    <w:rsid w:val="00E757D9"/>
    <w:rsid w:val="00E75F02"/>
    <w:rsid w:val="00E763F7"/>
    <w:rsid w:val="00E76C3E"/>
    <w:rsid w:val="00E77139"/>
    <w:rsid w:val="00E807DA"/>
    <w:rsid w:val="00E80A34"/>
    <w:rsid w:val="00E8175D"/>
    <w:rsid w:val="00E819A2"/>
    <w:rsid w:val="00E84E3A"/>
    <w:rsid w:val="00E850E6"/>
    <w:rsid w:val="00E85151"/>
    <w:rsid w:val="00E851F5"/>
    <w:rsid w:val="00E85937"/>
    <w:rsid w:val="00E862E6"/>
    <w:rsid w:val="00E86A05"/>
    <w:rsid w:val="00E86BA6"/>
    <w:rsid w:val="00E87174"/>
    <w:rsid w:val="00E879DB"/>
    <w:rsid w:val="00E87D4E"/>
    <w:rsid w:val="00E90738"/>
    <w:rsid w:val="00E91564"/>
    <w:rsid w:val="00E9165A"/>
    <w:rsid w:val="00E9184F"/>
    <w:rsid w:val="00E91E11"/>
    <w:rsid w:val="00E922E5"/>
    <w:rsid w:val="00E93C63"/>
    <w:rsid w:val="00E940B8"/>
    <w:rsid w:val="00E94144"/>
    <w:rsid w:val="00E94467"/>
    <w:rsid w:val="00E944CA"/>
    <w:rsid w:val="00E961FE"/>
    <w:rsid w:val="00E963DC"/>
    <w:rsid w:val="00E9668B"/>
    <w:rsid w:val="00E96F16"/>
    <w:rsid w:val="00E9709E"/>
    <w:rsid w:val="00E97274"/>
    <w:rsid w:val="00E97458"/>
    <w:rsid w:val="00EA040E"/>
    <w:rsid w:val="00EA05AF"/>
    <w:rsid w:val="00EA1381"/>
    <w:rsid w:val="00EA16AD"/>
    <w:rsid w:val="00EA245D"/>
    <w:rsid w:val="00EA2605"/>
    <w:rsid w:val="00EA3634"/>
    <w:rsid w:val="00EA3DC6"/>
    <w:rsid w:val="00EA40BA"/>
    <w:rsid w:val="00EA4AB9"/>
    <w:rsid w:val="00EA4D3F"/>
    <w:rsid w:val="00EA53CC"/>
    <w:rsid w:val="00EA5912"/>
    <w:rsid w:val="00EA60EB"/>
    <w:rsid w:val="00EA77BD"/>
    <w:rsid w:val="00EA7F7B"/>
    <w:rsid w:val="00EB0911"/>
    <w:rsid w:val="00EB215C"/>
    <w:rsid w:val="00EB2182"/>
    <w:rsid w:val="00EB4BDF"/>
    <w:rsid w:val="00EB4C18"/>
    <w:rsid w:val="00EB4E23"/>
    <w:rsid w:val="00EB5108"/>
    <w:rsid w:val="00EB54A7"/>
    <w:rsid w:val="00EB5CDF"/>
    <w:rsid w:val="00EB6B4F"/>
    <w:rsid w:val="00EB6CBE"/>
    <w:rsid w:val="00EB713C"/>
    <w:rsid w:val="00EC0188"/>
    <w:rsid w:val="00EC0462"/>
    <w:rsid w:val="00EC046E"/>
    <w:rsid w:val="00EC13B7"/>
    <w:rsid w:val="00EC1BBD"/>
    <w:rsid w:val="00EC25CE"/>
    <w:rsid w:val="00EC292F"/>
    <w:rsid w:val="00EC2D3D"/>
    <w:rsid w:val="00EC351C"/>
    <w:rsid w:val="00EC3597"/>
    <w:rsid w:val="00EC392A"/>
    <w:rsid w:val="00EC40E3"/>
    <w:rsid w:val="00EC4389"/>
    <w:rsid w:val="00EC43B9"/>
    <w:rsid w:val="00EC4F9D"/>
    <w:rsid w:val="00EC5E19"/>
    <w:rsid w:val="00EC5E1E"/>
    <w:rsid w:val="00EC6034"/>
    <w:rsid w:val="00EC6F32"/>
    <w:rsid w:val="00EC6F88"/>
    <w:rsid w:val="00EC72C9"/>
    <w:rsid w:val="00EC74B5"/>
    <w:rsid w:val="00EC7A54"/>
    <w:rsid w:val="00ED0947"/>
    <w:rsid w:val="00ED105B"/>
    <w:rsid w:val="00ED1073"/>
    <w:rsid w:val="00ED1233"/>
    <w:rsid w:val="00ED2139"/>
    <w:rsid w:val="00ED2F2B"/>
    <w:rsid w:val="00ED36E7"/>
    <w:rsid w:val="00ED3A28"/>
    <w:rsid w:val="00ED3E98"/>
    <w:rsid w:val="00ED4463"/>
    <w:rsid w:val="00ED477C"/>
    <w:rsid w:val="00ED4C8E"/>
    <w:rsid w:val="00ED4D69"/>
    <w:rsid w:val="00ED533C"/>
    <w:rsid w:val="00ED548E"/>
    <w:rsid w:val="00ED56C1"/>
    <w:rsid w:val="00ED5AF0"/>
    <w:rsid w:val="00ED61AA"/>
    <w:rsid w:val="00ED658E"/>
    <w:rsid w:val="00ED6882"/>
    <w:rsid w:val="00ED6CBE"/>
    <w:rsid w:val="00ED71CE"/>
    <w:rsid w:val="00ED72F3"/>
    <w:rsid w:val="00ED7440"/>
    <w:rsid w:val="00ED752A"/>
    <w:rsid w:val="00ED7A3E"/>
    <w:rsid w:val="00EE0174"/>
    <w:rsid w:val="00EE12A7"/>
    <w:rsid w:val="00EE1416"/>
    <w:rsid w:val="00EE2F42"/>
    <w:rsid w:val="00EE362F"/>
    <w:rsid w:val="00EE3843"/>
    <w:rsid w:val="00EE4322"/>
    <w:rsid w:val="00EE48DE"/>
    <w:rsid w:val="00EE5A0B"/>
    <w:rsid w:val="00EE5CD1"/>
    <w:rsid w:val="00EE61C5"/>
    <w:rsid w:val="00EF0959"/>
    <w:rsid w:val="00EF0B5B"/>
    <w:rsid w:val="00EF0CBC"/>
    <w:rsid w:val="00EF0E19"/>
    <w:rsid w:val="00EF15F1"/>
    <w:rsid w:val="00EF29F0"/>
    <w:rsid w:val="00EF3F08"/>
    <w:rsid w:val="00EF3FD2"/>
    <w:rsid w:val="00EF4CE5"/>
    <w:rsid w:val="00EF5003"/>
    <w:rsid w:val="00EF6A03"/>
    <w:rsid w:val="00EF71D3"/>
    <w:rsid w:val="00EF73A2"/>
    <w:rsid w:val="00F00911"/>
    <w:rsid w:val="00F00D70"/>
    <w:rsid w:val="00F01A97"/>
    <w:rsid w:val="00F02D81"/>
    <w:rsid w:val="00F02F8E"/>
    <w:rsid w:val="00F02FE6"/>
    <w:rsid w:val="00F03438"/>
    <w:rsid w:val="00F037E4"/>
    <w:rsid w:val="00F0437C"/>
    <w:rsid w:val="00F051BE"/>
    <w:rsid w:val="00F053C6"/>
    <w:rsid w:val="00F05AA7"/>
    <w:rsid w:val="00F07162"/>
    <w:rsid w:val="00F07EA5"/>
    <w:rsid w:val="00F10332"/>
    <w:rsid w:val="00F10B23"/>
    <w:rsid w:val="00F10E88"/>
    <w:rsid w:val="00F1119D"/>
    <w:rsid w:val="00F114AE"/>
    <w:rsid w:val="00F1195B"/>
    <w:rsid w:val="00F12107"/>
    <w:rsid w:val="00F13151"/>
    <w:rsid w:val="00F13227"/>
    <w:rsid w:val="00F13C11"/>
    <w:rsid w:val="00F13C17"/>
    <w:rsid w:val="00F13CB1"/>
    <w:rsid w:val="00F14DDC"/>
    <w:rsid w:val="00F1507A"/>
    <w:rsid w:val="00F15546"/>
    <w:rsid w:val="00F15933"/>
    <w:rsid w:val="00F15CE6"/>
    <w:rsid w:val="00F16D9B"/>
    <w:rsid w:val="00F17212"/>
    <w:rsid w:val="00F17920"/>
    <w:rsid w:val="00F17EF0"/>
    <w:rsid w:val="00F20D89"/>
    <w:rsid w:val="00F215E2"/>
    <w:rsid w:val="00F21660"/>
    <w:rsid w:val="00F21923"/>
    <w:rsid w:val="00F21FFC"/>
    <w:rsid w:val="00F22BB3"/>
    <w:rsid w:val="00F22D2A"/>
    <w:rsid w:val="00F2378A"/>
    <w:rsid w:val="00F250DF"/>
    <w:rsid w:val="00F257B6"/>
    <w:rsid w:val="00F259EB"/>
    <w:rsid w:val="00F26122"/>
    <w:rsid w:val="00F27952"/>
    <w:rsid w:val="00F30CC9"/>
    <w:rsid w:val="00F30F90"/>
    <w:rsid w:val="00F313A9"/>
    <w:rsid w:val="00F3159D"/>
    <w:rsid w:val="00F3190B"/>
    <w:rsid w:val="00F3387D"/>
    <w:rsid w:val="00F345C9"/>
    <w:rsid w:val="00F34B49"/>
    <w:rsid w:val="00F34C1A"/>
    <w:rsid w:val="00F34FAB"/>
    <w:rsid w:val="00F36E3F"/>
    <w:rsid w:val="00F36FB5"/>
    <w:rsid w:val="00F37275"/>
    <w:rsid w:val="00F372AE"/>
    <w:rsid w:val="00F376E9"/>
    <w:rsid w:val="00F4005D"/>
    <w:rsid w:val="00F40246"/>
    <w:rsid w:val="00F40A6D"/>
    <w:rsid w:val="00F40C2C"/>
    <w:rsid w:val="00F40CA9"/>
    <w:rsid w:val="00F4100E"/>
    <w:rsid w:val="00F41422"/>
    <w:rsid w:val="00F41549"/>
    <w:rsid w:val="00F41837"/>
    <w:rsid w:val="00F420F9"/>
    <w:rsid w:val="00F43CA0"/>
    <w:rsid w:val="00F43EE0"/>
    <w:rsid w:val="00F44327"/>
    <w:rsid w:val="00F4463B"/>
    <w:rsid w:val="00F44A26"/>
    <w:rsid w:val="00F45192"/>
    <w:rsid w:val="00F45429"/>
    <w:rsid w:val="00F45A86"/>
    <w:rsid w:val="00F50D64"/>
    <w:rsid w:val="00F50F1A"/>
    <w:rsid w:val="00F51826"/>
    <w:rsid w:val="00F51BB1"/>
    <w:rsid w:val="00F53503"/>
    <w:rsid w:val="00F54B2E"/>
    <w:rsid w:val="00F54BB8"/>
    <w:rsid w:val="00F54BCC"/>
    <w:rsid w:val="00F55030"/>
    <w:rsid w:val="00F55288"/>
    <w:rsid w:val="00F563E1"/>
    <w:rsid w:val="00F5688E"/>
    <w:rsid w:val="00F56DD2"/>
    <w:rsid w:val="00F601BE"/>
    <w:rsid w:val="00F601E9"/>
    <w:rsid w:val="00F606CC"/>
    <w:rsid w:val="00F60880"/>
    <w:rsid w:val="00F608CB"/>
    <w:rsid w:val="00F60A58"/>
    <w:rsid w:val="00F60B77"/>
    <w:rsid w:val="00F61183"/>
    <w:rsid w:val="00F619A4"/>
    <w:rsid w:val="00F63948"/>
    <w:rsid w:val="00F640E6"/>
    <w:rsid w:val="00F65A77"/>
    <w:rsid w:val="00F66088"/>
    <w:rsid w:val="00F704C1"/>
    <w:rsid w:val="00F71410"/>
    <w:rsid w:val="00F71C67"/>
    <w:rsid w:val="00F724C6"/>
    <w:rsid w:val="00F73704"/>
    <w:rsid w:val="00F74439"/>
    <w:rsid w:val="00F74B36"/>
    <w:rsid w:val="00F74BB0"/>
    <w:rsid w:val="00F74DCA"/>
    <w:rsid w:val="00F74F5C"/>
    <w:rsid w:val="00F74FD1"/>
    <w:rsid w:val="00F75547"/>
    <w:rsid w:val="00F761F6"/>
    <w:rsid w:val="00F7696F"/>
    <w:rsid w:val="00F77091"/>
    <w:rsid w:val="00F7737F"/>
    <w:rsid w:val="00F80069"/>
    <w:rsid w:val="00F8096B"/>
    <w:rsid w:val="00F816A1"/>
    <w:rsid w:val="00F81B7C"/>
    <w:rsid w:val="00F8209B"/>
    <w:rsid w:val="00F8255A"/>
    <w:rsid w:val="00F825F9"/>
    <w:rsid w:val="00F82FD1"/>
    <w:rsid w:val="00F83074"/>
    <w:rsid w:val="00F8448A"/>
    <w:rsid w:val="00F85489"/>
    <w:rsid w:val="00F858E6"/>
    <w:rsid w:val="00F85D5D"/>
    <w:rsid w:val="00F8608B"/>
    <w:rsid w:val="00F86B15"/>
    <w:rsid w:val="00F86F83"/>
    <w:rsid w:val="00F86FDF"/>
    <w:rsid w:val="00F90107"/>
    <w:rsid w:val="00F9023C"/>
    <w:rsid w:val="00F9038A"/>
    <w:rsid w:val="00F92477"/>
    <w:rsid w:val="00F9250F"/>
    <w:rsid w:val="00F9286A"/>
    <w:rsid w:val="00F934E9"/>
    <w:rsid w:val="00F945B9"/>
    <w:rsid w:val="00F95E05"/>
    <w:rsid w:val="00F96A4E"/>
    <w:rsid w:val="00F96CF7"/>
    <w:rsid w:val="00F978C2"/>
    <w:rsid w:val="00F97CD9"/>
    <w:rsid w:val="00F97F35"/>
    <w:rsid w:val="00FA0562"/>
    <w:rsid w:val="00FA0576"/>
    <w:rsid w:val="00FA0866"/>
    <w:rsid w:val="00FA0998"/>
    <w:rsid w:val="00FA1392"/>
    <w:rsid w:val="00FA1C04"/>
    <w:rsid w:val="00FA1F85"/>
    <w:rsid w:val="00FA2418"/>
    <w:rsid w:val="00FA3DA0"/>
    <w:rsid w:val="00FA5131"/>
    <w:rsid w:val="00FA6F5A"/>
    <w:rsid w:val="00FA7A3A"/>
    <w:rsid w:val="00FB007D"/>
    <w:rsid w:val="00FB0C53"/>
    <w:rsid w:val="00FB0FDB"/>
    <w:rsid w:val="00FB2662"/>
    <w:rsid w:val="00FB29F4"/>
    <w:rsid w:val="00FB34F2"/>
    <w:rsid w:val="00FB4B25"/>
    <w:rsid w:val="00FB50B4"/>
    <w:rsid w:val="00FB75E6"/>
    <w:rsid w:val="00FB795B"/>
    <w:rsid w:val="00FC0A2A"/>
    <w:rsid w:val="00FC0E31"/>
    <w:rsid w:val="00FC1966"/>
    <w:rsid w:val="00FC1CE9"/>
    <w:rsid w:val="00FC224C"/>
    <w:rsid w:val="00FC2F2D"/>
    <w:rsid w:val="00FC34C1"/>
    <w:rsid w:val="00FC3D5B"/>
    <w:rsid w:val="00FC4526"/>
    <w:rsid w:val="00FC4AC5"/>
    <w:rsid w:val="00FC4B1E"/>
    <w:rsid w:val="00FC5235"/>
    <w:rsid w:val="00FC53A3"/>
    <w:rsid w:val="00FC54B6"/>
    <w:rsid w:val="00FC597A"/>
    <w:rsid w:val="00FC6039"/>
    <w:rsid w:val="00FC632A"/>
    <w:rsid w:val="00FC6368"/>
    <w:rsid w:val="00FC7FAB"/>
    <w:rsid w:val="00FD093C"/>
    <w:rsid w:val="00FD0A25"/>
    <w:rsid w:val="00FD1A15"/>
    <w:rsid w:val="00FD2918"/>
    <w:rsid w:val="00FD34D2"/>
    <w:rsid w:val="00FD384F"/>
    <w:rsid w:val="00FD3B16"/>
    <w:rsid w:val="00FD4B97"/>
    <w:rsid w:val="00FD502C"/>
    <w:rsid w:val="00FD5158"/>
    <w:rsid w:val="00FD5595"/>
    <w:rsid w:val="00FD56C6"/>
    <w:rsid w:val="00FD5AC2"/>
    <w:rsid w:val="00FD5CEB"/>
    <w:rsid w:val="00FD63FD"/>
    <w:rsid w:val="00FD64A1"/>
    <w:rsid w:val="00FD70A6"/>
    <w:rsid w:val="00FD7B72"/>
    <w:rsid w:val="00FE009F"/>
    <w:rsid w:val="00FE09D4"/>
    <w:rsid w:val="00FE0A66"/>
    <w:rsid w:val="00FE0C80"/>
    <w:rsid w:val="00FE0ECE"/>
    <w:rsid w:val="00FE1770"/>
    <w:rsid w:val="00FE1F37"/>
    <w:rsid w:val="00FE2E42"/>
    <w:rsid w:val="00FE38E5"/>
    <w:rsid w:val="00FE399E"/>
    <w:rsid w:val="00FE4441"/>
    <w:rsid w:val="00FE4544"/>
    <w:rsid w:val="00FE4E24"/>
    <w:rsid w:val="00FE55EB"/>
    <w:rsid w:val="00FE60C3"/>
    <w:rsid w:val="00FE61B4"/>
    <w:rsid w:val="00FE6231"/>
    <w:rsid w:val="00FE637A"/>
    <w:rsid w:val="00FE68B5"/>
    <w:rsid w:val="00FE6DE9"/>
    <w:rsid w:val="00FE796C"/>
    <w:rsid w:val="00FE7E3C"/>
    <w:rsid w:val="00FF0A67"/>
    <w:rsid w:val="00FF0C86"/>
    <w:rsid w:val="00FF1367"/>
    <w:rsid w:val="00FF1BB4"/>
    <w:rsid w:val="00FF265B"/>
    <w:rsid w:val="00FF3C9C"/>
    <w:rsid w:val="00FF59C0"/>
    <w:rsid w:val="00FF64E8"/>
    <w:rsid w:val="00FF6AFD"/>
    <w:rsid w:val="00FF7128"/>
    <w:rsid w:val="00FF7D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0289">
      <o:colormru v:ext="edit" colors="silver,#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0E3444"/>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8"/>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9"/>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NormalWeb">
    <w:name w:val="Normal (Web)"/>
    <w:basedOn w:val="Normal"/>
    <w:uiPriority w:val="99"/>
    <w:semiHidden/>
    <w:unhideWhenUsed/>
    <w:locked/>
    <w:rsid w:val="00BC6450"/>
    <w:rPr>
      <w:rFonts w:ascii="Times New Roman" w:hAnsi="Times New Roman"/>
      <w:sz w:val="24"/>
      <w:szCs w:val="24"/>
    </w:rPr>
  </w:style>
  <w:style w:type="paragraph" w:styleId="Revision">
    <w:name w:val="Revision"/>
    <w:hidden/>
    <w:uiPriority w:val="99"/>
    <w:semiHidden/>
    <w:rsid w:val="00807C76"/>
    <w:rPr>
      <w:lang w:eastAsia="en-US"/>
    </w:rPr>
  </w:style>
  <w:style w:type="character" w:styleId="FollowedHyperlink">
    <w:name w:val="FollowedHyperlink"/>
    <w:basedOn w:val="DefaultParagraphFont"/>
    <w:uiPriority w:val="99"/>
    <w:semiHidden/>
    <w:unhideWhenUsed/>
    <w:rsid w:val="003829C3"/>
    <w:rPr>
      <w:color w:val="800080" w:themeColor="followedHyperlink"/>
      <w:u w:val="single"/>
    </w:rPr>
  </w:style>
  <w:style w:type="paragraph" w:styleId="ListBullet">
    <w:name w:val="List Bullet"/>
    <w:basedOn w:val="Normal"/>
    <w:uiPriority w:val="99"/>
    <w:semiHidden/>
    <w:unhideWhenUsed/>
    <w:locked/>
    <w:rsid w:val="00746797"/>
    <w:pPr>
      <w:tabs>
        <w:tab w:val="num" w:pos="0"/>
      </w:tabs>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8"/>
      </w:numPr>
    </w:pPr>
  </w:style>
  <w:style w:type="numbering" w:customStyle="1" w:styleId="Heading1Char">
    <w:name w:val="OldAERheadings"/>
    <w:pPr>
      <w:numPr>
        <w:numId w:val="7"/>
      </w:numPr>
    </w:pPr>
  </w:style>
  <w:style w:type="numbering" w:customStyle="1" w:styleId="Heading2Char">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24839">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03895143">
      <w:bodyDiv w:val="1"/>
      <w:marLeft w:val="0"/>
      <w:marRight w:val="0"/>
      <w:marTop w:val="0"/>
      <w:marBottom w:val="0"/>
      <w:divBdr>
        <w:top w:val="none" w:sz="0" w:space="0" w:color="auto"/>
        <w:left w:val="none" w:sz="0" w:space="0" w:color="auto"/>
        <w:bottom w:val="none" w:sz="0" w:space="0" w:color="auto"/>
        <w:right w:val="none" w:sz="0" w:space="0" w:color="auto"/>
      </w:divBdr>
      <w:divsChild>
        <w:div w:id="767769839">
          <w:marLeft w:val="0"/>
          <w:marRight w:val="0"/>
          <w:marTop w:val="0"/>
          <w:marBottom w:val="0"/>
          <w:divBdr>
            <w:top w:val="none" w:sz="0" w:space="0" w:color="auto"/>
            <w:left w:val="none" w:sz="0" w:space="0" w:color="auto"/>
            <w:bottom w:val="none" w:sz="0" w:space="0" w:color="auto"/>
            <w:right w:val="none" w:sz="0" w:space="0" w:color="auto"/>
          </w:divBdr>
          <w:divsChild>
            <w:div w:id="10184142">
              <w:marLeft w:val="0"/>
              <w:marRight w:val="0"/>
              <w:marTop w:val="0"/>
              <w:marBottom w:val="0"/>
              <w:divBdr>
                <w:top w:val="none" w:sz="0" w:space="0" w:color="auto"/>
                <w:left w:val="none" w:sz="0" w:space="0" w:color="auto"/>
                <w:bottom w:val="none" w:sz="0" w:space="0" w:color="auto"/>
                <w:right w:val="none" w:sz="0" w:space="0" w:color="auto"/>
              </w:divBdr>
              <w:divsChild>
                <w:div w:id="1078476808">
                  <w:marLeft w:val="0"/>
                  <w:marRight w:val="0"/>
                  <w:marTop w:val="0"/>
                  <w:marBottom w:val="0"/>
                  <w:divBdr>
                    <w:top w:val="none" w:sz="0" w:space="0" w:color="auto"/>
                    <w:left w:val="none" w:sz="0" w:space="0" w:color="auto"/>
                    <w:bottom w:val="none" w:sz="0" w:space="0" w:color="auto"/>
                    <w:right w:val="none" w:sz="0" w:space="0" w:color="auto"/>
                  </w:divBdr>
                  <w:divsChild>
                    <w:div w:id="1123500031">
                      <w:marLeft w:val="0"/>
                      <w:marRight w:val="0"/>
                      <w:marTop w:val="0"/>
                      <w:marBottom w:val="0"/>
                      <w:divBdr>
                        <w:top w:val="none" w:sz="0" w:space="0" w:color="auto"/>
                        <w:left w:val="none" w:sz="0" w:space="0" w:color="auto"/>
                        <w:bottom w:val="none" w:sz="0" w:space="0" w:color="auto"/>
                        <w:right w:val="none" w:sz="0" w:space="0" w:color="auto"/>
                      </w:divBdr>
                      <w:divsChild>
                        <w:div w:id="876622630">
                          <w:marLeft w:val="0"/>
                          <w:marRight w:val="0"/>
                          <w:marTop w:val="0"/>
                          <w:marBottom w:val="0"/>
                          <w:divBdr>
                            <w:top w:val="none" w:sz="0" w:space="0" w:color="auto"/>
                            <w:left w:val="none" w:sz="0" w:space="0" w:color="auto"/>
                            <w:bottom w:val="none" w:sz="0" w:space="0" w:color="auto"/>
                            <w:right w:val="none" w:sz="0" w:space="0" w:color="auto"/>
                          </w:divBdr>
                          <w:divsChild>
                            <w:div w:id="1129472899">
                              <w:marLeft w:val="0"/>
                              <w:marRight w:val="0"/>
                              <w:marTop w:val="0"/>
                              <w:marBottom w:val="0"/>
                              <w:divBdr>
                                <w:top w:val="none" w:sz="0" w:space="0" w:color="auto"/>
                                <w:left w:val="none" w:sz="0" w:space="0" w:color="auto"/>
                                <w:bottom w:val="none" w:sz="0" w:space="0" w:color="auto"/>
                                <w:right w:val="none" w:sz="0" w:space="0" w:color="auto"/>
                              </w:divBdr>
                              <w:divsChild>
                                <w:div w:id="562450376">
                                  <w:marLeft w:val="0"/>
                                  <w:marRight w:val="0"/>
                                  <w:marTop w:val="0"/>
                                  <w:marBottom w:val="0"/>
                                  <w:divBdr>
                                    <w:top w:val="none" w:sz="0" w:space="0" w:color="auto"/>
                                    <w:left w:val="none" w:sz="0" w:space="0" w:color="auto"/>
                                    <w:bottom w:val="none" w:sz="0" w:space="0" w:color="auto"/>
                                    <w:right w:val="none" w:sz="0" w:space="0" w:color="auto"/>
                                  </w:divBdr>
                                  <w:divsChild>
                                    <w:div w:id="2004894305">
                                      <w:marLeft w:val="240"/>
                                      <w:marRight w:val="240"/>
                                      <w:marTop w:val="240"/>
                                      <w:marBottom w:val="0"/>
                                      <w:divBdr>
                                        <w:top w:val="none" w:sz="0" w:space="0" w:color="auto"/>
                                        <w:left w:val="none" w:sz="0" w:space="0" w:color="auto"/>
                                        <w:bottom w:val="none" w:sz="0" w:space="0" w:color="auto"/>
                                        <w:right w:val="none" w:sz="0" w:space="0" w:color="auto"/>
                                      </w:divBdr>
                                      <w:divsChild>
                                        <w:div w:id="1518033439">
                                          <w:marLeft w:val="0"/>
                                          <w:marRight w:val="0"/>
                                          <w:marTop w:val="0"/>
                                          <w:marBottom w:val="0"/>
                                          <w:divBdr>
                                            <w:top w:val="none" w:sz="0" w:space="0" w:color="auto"/>
                                            <w:left w:val="none" w:sz="0" w:space="0" w:color="auto"/>
                                            <w:bottom w:val="none" w:sz="0" w:space="0" w:color="auto"/>
                                            <w:right w:val="none" w:sz="0" w:space="0" w:color="auto"/>
                                          </w:divBdr>
                                          <w:divsChild>
                                            <w:div w:id="426191323">
                                              <w:marLeft w:val="0"/>
                                              <w:marRight w:val="0"/>
                                              <w:marTop w:val="0"/>
                                              <w:marBottom w:val="0"/>
                                              <w:divBdr>
                                                <w:top w:val="none" w:sz="0" w:space="0" w:color="auto"/>
                                                <w:left w:val="none" w:sz="0" w:space="0" w:color="auto"/>
                                                <w:bottom w:val="none" w:sz="0" w:space="0" w:color="auto"/>
                                                <w:right w:val="none" w:sz="0" w:space="0" w:color="auto"/>
                                              </w:divBdr>
                                              <w:divsChild>
                                                <w:div w:id="846553779">
                                                  <w:marLeft w:val="0"/>
                                                  <w:marRight w:val="0"/>
                                                  <w:marTop w:val="0"/>
                                                  <w:marBottom w:val="0"/>
                                                  <w:divBdr>
                                                    <w:top w:val="none" w:sz="0" w:space="0" w:color="auto"/>
                                                    <w:left w:val="none" w:sz="0" w:space="0" w:color="auto"/>
                                                    <w:bottom w:val="none" w:sz="0" w:space="0" w:color="auto"/>
                                                    <w:right w:val="none" w:sz="0" w:space="0" w:color="auto"/>
                                                  </w:divBdr>
                                                  <w:divsChild>
                                                    <w:div w:id="1277984308">
                                                      <w:marLeft w:val="0"/>
                                                      <w:marRight w:val="0"/>
                                                      <w:marTop w:val="0"/>
                                                      <w:marBottom w:val="0"/>
                                                      <w:divBdr>
                                                        <w:top w:val="none" w:sz="0" w:space="0" w:color="auto"/>
                                                        <w:left w:val="none" w:sz="0" w:space="0" w:color="auto"/>
                                                        <w:bottom w:val="none" w:sz="0" w:space="0" w:color="auto"/>
                                                        <w:right w:val="none" w:sz="0" w:space="0" w:color="auto"/>
                                                      </w:divBdr>
                                                      <w:divsChild>
                                                        <w:div w:id="312681433">
                                                          <w:marLeft w:val="0"/>
                                                          <w:marRight w:val="0"/>
                                                          <w:marTop w:val="0"/>
                                                          <w:marBottom w:val="0"/>
                                                          <w:divBdr>
                                                            <w:top w:val="none" w:sz="0" w:space="0" w:color="auto"/>
                                                            <w:left w:val="none" w:sz="0" w:space="0" w:color="auto"/>
                                                            <w:bottom w:val="none" w:sz="0" w:space="0" w:color="auto"/>
                                                            <w:right w:val="none" w:sz="0" w:space="0" w:color="auto"/>
                                                          </w:divBdr>
                                                          <w:divsChild>
                                                            <w:div w:id="1365180903">
                                                              <w:marLeft w:val="0"/>
                                                              <w:marRight w:val="0"/>
                                                              <w:marTop w:val="0"/>
                                                              <w:marBottom w:val="0"/>
                                                              <w:divBdr>
                                                                <w:top w:val="none" w:sz="0" w:space="0" w:color="auto"/>
                                                                <w:left w:val="none" w:sz="0" w:space="0" w:color="auto"/>
                                                                <w:bottom w:val="none" w:sz="0" w:space="0" w:color="auto"/>
                                                                <w:right w:val="none" w:sz="0" w:space="0" w:color="auto"/>
                                                              </w:divBdr>
                                                              <w:divsChild>
                                                                <w:div w:id="631180004">
                                                                  <w:marLeft w:val="0"/>
                                                                  <w:marRight w:val="0"/>
                                                                  <w:marTop w:val="0"/>
                                                                  <w:marBottom w:val="0"/>
                                                                  <w:divBdr>
                                                                    <w:top w:val="none" w:sz="0" w:space="0" w:color="auto"/>
                                                                    <w:left w:val="none" w:sz="0" w:space="0" w:color="auto"/>
                                                                    <w:bottom w:val="none" w:sz="0" w:space="0" w:color="auto"/>
                                                                    <w:right w:val="none" w:sz="0" w:space="0" w:color="auto"/>
                                                                  </w:divBdr>
                                                                  <w:divsChild>
                                                                    <w:div w:id="939332784">
                                                                      <w:marLeft w:val="0"/>
                                                                      <w:marRight w:val="0"/>
                                                                      <w:marTop w:val="0"/>
                                                                      <w:marBottom w:val="0"/>
                                                                      <w:divBdr>
                                                                        <w:top w:val="none" w:sz="0" w:space="0" w:color="auto"/>
                                                                        <w:left w:val="none" w:sz="0" w:space="0" w:color="auto"/>
                                                                        <w:bottom w:val="none" w:sz="0" w:space="0" w:color="auto"/>
                                                                        <w:right w:val="none" w:sz="0" w:space="0" w:color="auto"/>
                                                                      </w:divBdr>
                                                                      <w:divsChild>
                                                                        <w:div w:id="388041310">
                                                                          <w:marLeft w:val="0"/>
                                                                          <w:marRight w:val="0"/>
                                                                          <w:marTop w:val="0"/>
                                                                          <w:marBottom w:val="120"/>
                                                                          <w:divBdr>
                                                                            <w:top w:val="none" w:sz="0" w:space="0" w:color="auto"/>
                                                                            <w:left w:val="none" w:sz="0" w:space="0" w:color="auto"/>
                                                                            <w:bottom w:val="none" w:sz="0" w:space="0" w:color="auto"/>
                                                                            <w:right w:val="none" w:sz="0" w:space="0" w:color="auto"/>
                                                                          </w:divBdr>
                                                                          <w:divsChild>
                                                                            <w:div w:id="497888827">
                                                                              <w:marLeft w:val="0"/>
                                                                              <w:marRight w:val="0"/>
                                                                              <w:marTop w:val="0"/>
                                                                              <w:marBottom w:val="0"/>
                                                                              <w:divBdr>
                                                                                <w:top w:val="none" w:sz="0" w:space="0" w:color="auto"/>
                                                                                <w:left w:val="none" w:sz="0" w:space="0" w:color="auto"/>
                                                                                <w:bottom w:val="none" w:sz="0" w:space="0" w:color="auto"/>
                                                                                <w:right w:val="none" w:sz="0" w:space="0" w:color="auto"/>
                                                                              </w:divBdr>
                                                                              <w:divsChild>
                                                                                <w:div w:id="719281946">
                                                                                  <w:marLeft w:val="0"/>
                                                                                  <w:marRight w:val="0"/>
                                                                                  <w:marTop w:val="0"/>
                                                                                  <w:marBottom w:val="0"/>
                                                                                  <w:divBdr>
                                                                                    <w:top w:val="none" w:sz="0" w:space="0" w:color="auto"/>
                                                                                    <w:left w:val="none" w:sz="0" w:space="0" w:color="auto"/>
                                                                                    <w:bottom w:val="none" w:sz="0" w:space="0" w:color="auto"/>
                                                                                    <w:right w:val="none" w:sz="0" w:space="0" w:color="auto"/>
                                                                                  </w:divBdr>
                                                                                  <w:divsChild>
                                                                                    <w:div w:id="1593583887">
                                                                                      <w:marLeft w:val="0"/>
                                                                                      <w:marRight w:val="0"/>
                                                                                      <w:marTop w:val="0"/>
                                                                                      <w:marBottom w:val="0"/>
                                                                                      <w:divBdr>
                                                                                        <w:top w:val="none" w:sz="0" w:space="0" w:color="auto"/>
                                                                                        <w:left w:val="none" w:sz="0" w:space="0" w:color="auto"/>
                                                                                        <w:bottom w:val="none" w:sz="0" w:space="0" w:color="auto"/>
                                                                                        <w:right w:val="none" w:sz="0" w:space="0" w:color="auto"/>
                                                                                      </w:divBdr>
                                                                                      <w:divsChild>
                                                                                        <w:div w:id="1218854822">
                                                                                          <w:marLeft w:val="0"/>
                                                                                          <w:marRight w:val="0"/>
                                                                                          <w:marTop w:val="0"/>
                                                                                          <w:marBottom w:val="0"/>
                                                                                          <w:divBdr>
                                                                                            <w:top w:val="none" w:sz="0" w:space="0" w:color="auto"/>
                                                                                            <w:left w:val="none" w:sz="0" w:space="0" w:color="auto"/>
                                                                                            <w:bottom w:val="none" w:sz="0" w:space="0" w:color="auto"/>
                                                                                            <w:right w:val="none" w:sz="0" w:space="0" w:color="auto"/>
                                                                                          </w:divBdr>
                                                                                          <w:divsChild>
                                                                                            <w:div w:id="463811372">
                                                                                              <w:marLeft w:val="0"/>
                                                                                              <w:marRight w:val="0"/>
                                                                                              <w:marTop w:val="0"/>
                                                                                              <w:marBottom w:val="0"/>
                                                                                              <w:divBdr>
                                                                                                <w:top w:val="none" w:sz="0" w:space="0" w:color="auto"/>
                                                                                                <w:left w:val="none" w:sz="0" w:space="0" w:color="auto"/>
                                                                                                <w:bottom w:val="none" w:sz="0" w:space="0" w:color="auto"/>
                                                                                                <w:right w:val="none" w:sz="0" w:space="0" w:color="auto"/>
                                                                                              </w:divBdr>
                                                                                              <w:divsChild>
                                                                                                <w:div w:id="1593930083">
                                                                                                  <w:marLeft w:val="0"/>
                                                                                                  <w:marRight w:val="0"/>
                                                                                                  <w:marTop w:val="0"/>
                                                                                                  <w:marBottom w:val="0"/>
                                                                                                  <w:divBdr>
                                                                                                    <w:top w:val="none" w:sz="0" w:space="0" w:color="auto"/>
                                                                                                    <w:left w:val="none" w:sz="0" w:space="0" w:color="auto"/>
                                                                                                    <w:bottom w:val="none" w:sz="0" w:space="0" w:color="auto"/>
                                                                                                    <w:right w:val="none" w:sz="0" w:space="0" w:color="auto"/>
                                                                                                  </w:divBdr>
                                                                                                  <w:divsChild>
                                                                                                    <w:div w:id="8449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614314">
      <w:bodyDiv w:val="1"/>
      <w:marLeft w:val="0"/>
      <w:marRight w:val="0"/>
      <w:marTop w:val="0"/>
      <w:marBottom w:val="0"/>
      <w:divBdr>
        <w:top w:val="none" w:sz="0" w:space="0" w:color="auto"/>
        <w:left w:val="none" w:sz="0" w:space="0" w:color="auto"/>
        <w:bottom w:val="none" w:sz="0" w:space="0" w:color="auto"/>
        <w:right w:val="none" w:sz="0" w:space="0" w:color="auto"/>
      </w:divBdr>
    </w:div>
    <w:div w:id="143127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ERInquiry@aer.gov.au" TargetMode="External"/><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mailto:AERInquiry@aer.gov.au"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shing.unit@accc.gov.au" TargetMode="Externa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er.gov.au" TargetMode="External"/><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27A11-1FE9-452E-A88E-BCBEDCB3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447BA406.dotm</Template>
  <TotalTime>161</TotalTime>
  <Pages>26</Pages>
  <Words>8211</Words>
  <Characters>46808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54910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dc:description/>
  <cp:lastModifiedBy>Yap, Kenny</cp:lastModifiedBy>
  <cp:revision>11</cp:revision>
  <cp:lastPrinted>2014-10-01T07:18:00Z</cp:lastPrinted>
  <dcterms:created xsi:type="dcterms:W3CDTF">2014-10-02T04:57:00Z</dcterms:created>
  <dcterms:modified xsi:type="dcterms:W3CDTF">2014-10-03T05:19:00Z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8272468</vt:lpwstr>
  </property>
  <property fmtid="{D5CDD505-2E9C-101B-9397-08002B2CF9AE}" pid="3" name="currfile">
    <vt:lpwstr>\\SCBRFS001\home$\KYAP\explanatory statement - propos (D2014-00128830).docx</vt:lpwstr>
  </property>
</Properties>
</file>