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74C21819" wp14:editId="552363E0">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0771DD"/>
        <w:p w:rsidR="00DB723B" w:rsidRPr="00DB723B" w:rsidRDefault="00DB723B" w:rsidP="000771DD"/>
        <w:p w:rsidR="00DB723B" w:rsidRPr="00DB723B" w:rsidRDefault="00DB723B" w:rsidP="000771DD"/>
        <w:p w:rsidR="00DB723B" w:rsidRPr="00DB723B" w:rsidRDefault="00DB723B" w:rsidP="000771DD"/>
        <w:p w:rsidR="00DB723B" w:rsidRPr="00DB723B" w:rsidRDefault="003655DB" w:rsidP="00327A1E">
          <w:pPr>
            <w:pStyle w:val="ReportTitle"/>
          </w:pPr>
          <w:r>
            <w:t xml:space="preserve">Explanatory </w:t>
          </w:r>
          <w:r w:rsidR="00724813">
            <w:t>s</w:t>
          </w:r>
          <w:r>
            <w:t>tatement</w:t>
          </w:r>
        </w:p>
        <w:p w:rsidR="00724813" w:rsidRDefault="003655DB" w:rsidP="00327A1E">
          <w:pPr>
            <w:pStyle w:val="ReportSubtitle"/>
          </w:pPr>
          <w:r>
            <w:t xml:space="preserve">Proposed </w:t>
          </w:r>
          <w:r w:rsidR="00724813">
            <w:t>a</w:t>
          </w:r>
          <w:r>
            <w:t>mendment</w:t>
          </w:r>
        </w:p>
        <w:p w:rsidR="00724813" w:rsidRDefault="00724813" w:rsidP="00327A1E">
          <w:pPr>
            <w:pStyle w:val="ReportSubtitle"/>
          </w:pPr>
        </w:p>
        <w:p w:rsidR="00724813" w:rsidRDefault="00724813" w:rsidP="00327A1E">
          <w:pPr>
            <w:pStyle w:val="ReportSubtitle"/>
          </w:pPr>
          <w:r>
            <w:t>Electricity</w:t>
          </w:r>
          <w:r w:rsidR="003655DB">
            <w:t xml:space="preserve"> </w:t>
          </w:r>
          <w:r>
            <w:t>t</w:t>
          </w:r>
          <w:r w:rsidR="00EF4CFB">
            <w:t>r</w:t>
          </w:r>
          <w:r w:rsidR="003655DB">
            <w:t xml:space="preserve">ansmission </w:t>
          </w:r>
          <w:r>
            <w:t>network service providers</w:t>
          </w:r>
        </w:p>
        <w:p w:rsidR="00724813" w:rsidRDefault="00724813" w:rsidP="00327A1E">
          <w:pPr>
            <w:pStyle w:val="ReportSubtitle"/>
          </w:pPr>
        </w:p>
        <w:p w:rsidR="00DB723B" w:rsidRPr="00DB723B" w:rsidRDefault="003655DB" w:rsidP="00327A1E">
          <w:pPr>
            <w:pStyle w:val="ReportSubtitle"/>
          </w:pPr>
          <w:r>
            <w:t xml:space="preserve">Roll </w:t>
          </w:r>
          <w:r w:rsidR="00724813">
            <w:t>f</w:t>
          </w:r>
          <w:r>
            <w:t xml:space="preserve">orward </w:t>
          </w:r>
          <w:r w:rsidR="00724813">
            <w:t>m</w:t>
          </w:r>
          <w:r>
            <w:t>odel</w:t>
          </w:r>
          <w:r w:rsidR="00724813">
            <w:t xml:space="preserve"> (version 3)</w:t>
          </w:r>
        </w:p>
        <w:p w:rsidR="00DB723B" w:rsidRPr="00DB723B" w:rsidRDefault="00EF4CFB" w:rsidP="00327A1E">
          <w:pPr>
            <w:pStyle w:val="ReportDate"/>
          </w:pPr>
          <w:r>
            <w:t>Ju</w:t>
          </w:r>
          <w:r w:rsidR="0038279F">
            <w:t>ly</w:t>
          </w:r>
          <w:r w:rsidR="00DB723B" w:rsidRPr="00DB723B">
            <w:t xml:space="preserve"> 201</w:t>
          </w:r>
          <w:r w:rsidR="00DB723B">
            <w:t>5</w:t>
          </w:r>
        </w:p>
        <w:p w:rsidR="003655DB" w:rsidRDefault="00DB723B" w:rsidP="003655DB">
          <w:pPr>
            <w:rPr>
              <w:rFonts w:eastAsiaTheme="majorEastAsia" w:cstheme="majorBidi"/>
              <w:b/>
              <w:noProof/>
              <w:sz w:val="72"/>
              <w:szCs w:val="72"/>
              <w:lang w:eastAsia="en-AU"/>
            </w:rPr>
          </w:pPr>
          <w:r w:rsidRPr="00DB723B">
            <w:br w:type="page"/>
          </w:r>
        </w:p>
      </w:sdtContent>
    </w:sdt>
    <w:p w:rsidR="000A6C7B" w:rsidRDefault="00876A8C" w:rsidP="00327A1E">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2252F9">
        <w:t>56886</w:t>
      </w:r>
    </w:p>
    <w:p w:rsidR="000A6C7B" w:rsidRDefault="000A6C7B" w:rsidP="000A6C7B"/>
    <w:p w:rsidR="00F009C2" w:rsidRDefault="00F009C2">
      <w:pPr>
        <w:spacing w:line="240" w:lineRule="auto"/>
      </w:pPr>
      <w:bookmarkStart w:id="0" w:name="_Toc341968859"/>
      <w:bookmarkStart w:id="1" w:name="_Toc383780211"/>
      <w:bookmarkStart w:id="2" w:name="_Toc395861690"/>
      <w:bookmarkStart w:id="3" w:name="_Toc398728895"/>
      <w:r>
        <w:br w:type="page"/>
      </w:r>
    </w:p>
    <w:p w:rsidR="00F009C2" w:rsidRPr="00F009C2" w:rsidRDefault="00F009C2" w:rsidP="00F009C2">
      <w:pPr>
        <w:pStyle w:val="Heading1notnumber"/>
      </w:pPr>
      <w:bookmarkStart w:id="4" w:name="_Toc416353201"/>
      <w:bookmarkStart w:id="5" w:name="_Toc417987283"/>
      <w:bookmarkStart w:id="6" w:name="_Toc421191256"/>
      <w:bookmarkStart w:id="7" w:name="_Toc421861601"/>
      <w:bookmarkStart w:id="8" w:name="_Toc423617112"/>
      <w:bookmarkStart w:id="9" w:name="_Toc423617162"/>
      <w:bookmarkStart w:id="10" w:name="_Toc423697137"/>
      <w:r w:rsidRPr="001D5B42">
        <w:lastRenderedPageBreak/>
        <w:t>Request for submissions</w:t>
      </w:r>
      <w:bookmarkEnd w:id="0"/>
      <w:bookmarkEnd w:id="1"/>
      <w:bookmarkEnd w:id="2"/>
      <w:bookmarkEnd w:id="3"/>
      <w:bookmarkEnd w:id="4"/>
      <w:bookmarkEnd w:id="5"/>
      <w:bookmarkEnd w:id="6"/>
      <w:bookmarkEnd w:id="7"/>
      <w:bookmarkEnd w:id="8"/>
      <w:bookmarkEnd w:id="9"/>
      <w:bookmarkEnd w:id="10"/>
    </w:p>
    <w:p w:rsidR="00F009C2" w:rsidRPr="00F009C2" w:rsidRDefault="00F009C2" w:rsidP="00F009C2">
      <w:r w:rsidRPr="0019405D">
        <w:t xml:space="preserve">Interested parties are invited to make written submissions </w:t>
      </w:r>
      <w:r w:rsidRPr="00F009C2">
        <w:t xml:space="preserve">on the proposed amendments to the </w:t>
      </w:r>
      <w:r>
        <w:t xml:space="preserve">roll forward </w:t>
      </w:r>
      <w:r w:rsidRPr="00F009C2">
        <w:t>model (</w:t>
      </w:r>
      <w:r>
        <w:t>RFM</w:t>
      </w:r>
      <w:r w:rsidRPr="00F009C2">
        <w:t xml:space="preserve">) to us, the Australian Energy Regulator (AER), by close of business, </w:t>
      </w:r>
      <w:r w:rsidR="00773951">
        <w:t xml:space="preserve">19 August </w:t>
      </w:r>
      <w:r w:rsidR="00DE3B68">
        <w:t>2015</w:t>
      </w:r>
      <w:r w:rsidRPr="00F009C2">
        <w:t>.</w:t>
      </w:r>
    </w:p>
    <w:p w:rsidR="00F009C2" w:rsidRDefault="00F009C2" w:rsidP="00F009C2">
      <w:r>
        <w:t>We prefer that all submissions sent in an electronic format are in Microsoft Word or other text readable document form.</w:t>
      </w:r>
      <w:r w:rsidRPr="00B746F1">
        <w:t xml:space="preserve"> </w:t>
      </w:r>
      <w:r w:rsidRPr="00552D1A">
        <w:t>Submissions should be sent electronically to</w:t>
      </w:r>
      <w:r>
        <w:t xml:space="preserve"> </w:t>
      </w:r>
      <w:hyperlink r:id="rId12" w:history="1">
        <w:r w:rsidRPr="003E184A">
          <w:rPr>
            <w:rStyle w:val="Hyperlink"/>
          </w:rPr>
          <w:t>AERInquiry@aer.gov.au</w:t>
        </w:r>
      </w:hyperlink>
      <w:r w:rsidRPr="00552D1A">
        <w:t xml:space="preserve"> </w:t>
      </w:r>
    </w:p>
    <w:p w:rsidR="00F009C2" w:rsidRPr="00433BD9" w:rsidRDefault="00F009C2" w:rsidP="00F009C2">
      <w:r w:rsidRPr="00433BD9">
        <w:t>Alternatively, submissions can be sent to:</w:t>
      </w:r>
    </w:p>
    <w:p w:rsidR="00F009C2" w:rsidRPr="00F009C2" w:rsidRDefault="00F009C2" w:rsidP="00F009C2">
      <w:r>
        <w:t xml:space="preserve">Mr </w:t>
      </w:r>
      <w:r w:rsidRPr="00F009C2">
        <w:t>Warwick Anderson</w:t>
      </w:r>
      <w:r w:rsidR="00724813">
        <w:br/>
      </w:r>
      <w:r>
        <w:t>General Manager</w:t>
      </w:r>
      <w:r w:rsidRPr="00F009C2">
        <w:t xml:space="preserve"> – Networks Finance and Reporting Branch</w:t>
      </w:r>
      <w:r w:rsidR="00724813">
        <w:br/>
      </w:r>
      <w:r>
        <w:t>Australian Energy Regulator</w:t>
      </w:r>
      <w:r w:rsidR="00724813">
        <w:br/>
      </w:r>
      <w:r>
        <w:t>GPO Box 3131</w:t>
      </w:r>
      <w:r w:rsidR="00724813">
        <w:br/>
      </w:r>
      <w:r>
        <w:t>Canberra ACT 2601</w:t>
      </w:r>
    </w:p>
    <w:p w:rsidR="00F009C2" w:rsidRPr="00F009C2" w:rsidRDefault="00F009C2" w:rsidP="00F009C2">
      <w:r w:rsidRPr="00540029">
        <w:t>We prefer that all submissions be publicly available to facilitate an informed and transparent consultative process. Submissions will be treated as public documents unless otherwise requested. Parties wishing to submit confidential information are requested to:</w:t>
      </w:r>
    </w:p>
    <w:p w:rsidR="00F009C2" w:rsidRPr="00F009C2" w:rsidRDefault="00F009C2" w:rsidP="00F009C2">
      <w:pPr>
        <w:pStyle w:val="Bulletpoint"/>
      </w:pPr>
      <w:r w:rsidRPr="00F35E5A">
        <w:t>clearly identify the information that is the subject of the confidentiality claim</w:t>
      </w:r>
    </w:p>
    <w:p w:rsidR="00F009C2" w:rsidRPr="00F009C2" w:rsidRDefault="00F009C2" w:rsidP="00F009C2">
      <w:pPr>
        <w:pStyle w:val="Bulletpoint"/>
      </w:pPr>
      <w:proofErr w:type="gramStart"/>
      <w:r w:rsidRPr="00F35E5A">
        <w:t>provide</w:t>
      </w:r>
      <w:proofErr w:type="gramEnd"/>
      <w:r w:rsidRPr="00F35E5A">
        <w:t xml:space="preserve"> a non-confidential version of the submission in a form suitable for publication.</w:t>
      </w:r>
    </w:p>
    <w:p w:rsidR="00F009C2" w:rsidRPr="00F009C2" w:rsidRDefault="00F009C2" w:rsidP="00F009C2">
      <w:r w:rsidRPr="00433BD9">
        <w:t xml:space="preserve">All non-confidential submissions will be placed on </w:t>
      </w:r>
      <w:r w:rsidRPr="00F009C2">
        <w:t xml:space="preserve">our website at </w:t>
      </w:r>
      <w:hyperlink r:id="rId13" w:history="1">
        <w:r w:rsidRPr="00F009C2">
          <w:rPr>
            <w:rStyle w:val="Hyperlink"/>
          </w:rPr>
          <w:t>www.aer.gov.au</w:t>
        </w:r>
      </w:hyperlink>
      <w:r w:rsidRPr="00F009C2">
        <w:t>. For further information regarding our use and disclosure of information provided to us, see the ACCC/AER Information Policy, October 2008 available on our website.</w:t>
      </w:r>
    </w:p>
    <w:p w:rsidR="00F009C2" w:rsidRPr="00433BD9" w:rsidRDefault="00F009C2" w:rsidP="00F009C2">
      <w:r w:rsidRPr="00433BD9">
        <w:t xml:space="preserve">Enquires about this paper, or about lodging submissions, should be directed to </w:t>
      </w:r>
      <w:r w:rsidR="00724813">
        <w:br/>
      </w:r>
      <w:r>
        <w:t>Kenny Yap</w:t>
      </w:r>
      <w:r w:rsidRPr="00552D1A">
        <w:t xml:space="preserve"> on (</w:t>
      </w:r>
      <w:r w:rsidRPr="00E04509">
        <w:t>02)</w:t>
      </w:r>
      <w:r>
        <w:t> </w:t>
      </w:r>
      <w:r w:rsidRPr="00E04509">
        <w:t xml:space="preserve">6243 </w:t>
      </w:r>
      <w:r>
        <w:t>1224</w:t>
      </w:r>
      <w:r w:rsidRPr="00E04509">
        <w:t>.</w:t>
      </w:r>
    </w:p>
    <w:p w:rsidR="00F009C2" w:rsidRPr="00F009C2" w:rsidRDefault="00F009C2" w:rsidP="00F009C2">
      <w:pPr>
        <w:pStyle w:val="Tabletitle"/>
      </w:pPr>
      <w:r>
        <w:t>Next steps</w:t>
      </w:r>
    </w:p>
    <w:p w:rsidR="00F009C2" w:rsidRPr="00F009C2" w:rsidRDefault="00F009C2" w:rsidP="00F009C2">
      <w:r>
        <w:t xml:space="preserve">We will consider and respond to submissions on </w:t>
      </w:r>
      <w:r w:rsidRPr="00F009C2">
        <w:t xml:space="preserve">this explanatory statement. Key dates for our amendment process are set out in </w:t>
      </w:r>
      <w:r w:rsidRPr="00F009C2">
        <w:fldChar w:fldCharType="begin"/>
      </w:r>
      <w:r w:rsidRPr="00F009C2">
        <w:instrText xml:space="preserve"> REF _Ref393869068 \h </w:instrText>
      </w:r>
      <w:r w:rsidRPr="00F009C2">
        <w:fldChar w:fldCharType="separate"/>
      </w:r>
      <w:r w:rsidR="00DA491F" w:rsidRPr="00491692">
        <w:t xml:space="preserve">Table </w:t>
      </w:r>
      <w:r w:rsidR="00DA491F">
        <w:rPr>
          <w:noProof/>
        </w:rPr>
        <w:t>1</w:t>
      </w:r>
      <w:r w:rsidRPr="00F009C2">
        <w:fldChar w:fldCharType="end"/>
      </w:r>
      <w:r w:rsidRPr="00F009C2">
        <w:t>.</w:t>
      </w:r>
    </w:p>
    <w:p w:rsidR="00F009C2" w:rsidRPr="00F009C2" w:rsidRDefault="00F009C2" w:rsidP="00B422CF">
      <w:pPr>
        <w:pStyle w:val="Caption"/>
      </w:pPr>
      <w:bookmarkStart w:id="11" w:name="_Ref393869068"/>
      <w:bookmarkStart w:id="12" w:name="_Ref390876259"/>
      <w:r w:rsidRPr="00491692">
        <w:t xml:space="preserve">Table </w:t>
      </w:r>
      <w:r w:rsidRPr="00F009C2">
        <w:fldChar w:fldCharType="begin"/>
      </w:r>
      <w:r>
        <w:instrText xml:space="preserve"> SEQ Table \* ARABIC </w:instrText>
      </w:r>
      <w:r w:rsidRPr="00F009C2">
        <w:fldChar w:fldCharType="separate"/>
      </w:r>
      <w:r w:rsidR="00DA491F">
        <w:rPr>
          <w:noProof/>
        </w:rPr>
        <w:t>1</w:t>
      </w:r>
      <w:r w:rsidRPr="00F009C2">
        <w:fldChar w:fldCharType="end"/>
      </w:r>
      <w:bookmarkEnd w:id="11"/>
      <w:r w:rsidRPr="00491692">
        <w:tab/>
      </w:r>
      <w:bookmarkEnd w:id="12"/>
      <w:r>
        <w:t>Amendment process</w:t>
      </w:r>
    </w:p>
    <w:tbl>
      <w:tblPr>
        <w:tblStyle w:val="AERTable-Text"/>
        <w:tblW w:w="8755" w:type="dxa"/>
        <w:tblLayout w:type="fixed"/>
        <w:tblLook w:val="04A0" w:firstRow="1" w:lastRow="0" w:firstColumn="1" w:lastColumn="0" w:noHBand="0" w:noVBand="1"/>
      </w:tblPr>
      <w:tblGrid>
        <w:gridCol w:w="5920"/>
        <w:gridCol w:w="2835"/>
      </w:tblGrid>
      <w:tr w:rsidR="00F009C2" w:rsidRPr="002E043D" w:rsidTr="002E043D">
        <w:trPr>
          <w:cnfStyle w:val="100000000000" w:firstRow="1" w:lastRow="0" w:firstColumn="0" w:lastColumn="0" w:oddVBand="0" w:evenVBand="0" w:oddHBand="0" w:evenHBand="0" w:firstRowFirstColumn="0" w:firstRowLastColumn="0" w:lastRowFirstColumn="0" w:lastRowLastColumn="0"/>
        </w:trPr>
        <w:tc>
          <w:tcPr>
            <w:tcW w:w="5920" w:type="dxa"/>
            <w:noWrap/>
          </w:tcPr>
          <w:p w:rsidR="00F009C2" w:rsidRPr="002E043D" w:rsidRDefault="00F009C2" w:rsidP="002E043D">
            <w:pPr>
              <w:pStyle w:val="Tabletext"/>
            </w:pPr>
            <w:r w:rsidRPr="002E043D">
              <w:t>Task</w:t>
            </w:r>
          </w:p>
        </w:tc>
        <w:tc>
          <w:tcPr>
            <w:tcW w:w="2835" w:type="dxa"/>
            <w:noWrap/>
          </w:tcPr>
          <w:p w:rsidR="00F009C2" w:rsidRPr="002E043D" w:rsidRDefault="00F009C2" w:rsidP="002E043D">
            <w:pPr>
              <w:pStyle w:val="Tabletext"/>
            </w:pPr>
            <w:r w:rsidRPr="002E043D">
              <w:t>Date</w:t>
            </w:r>
          </w:p>
        </w:tc>
      </w:tr>
      <w:tr w:rsidR="00F009C2" w:rsidRPr="00787AE3" w:rsidTr="002E043D">
        <w:tc>
          <w:tcPr>
            <w:tcW w:w="5920" w:type="dxa"/>
            <w:noWrap/>
          </w:tcPr>
          <w:p w:rsidR="00F009C2" w:rsidRPr="00F009C2" w:rsidRDefault="00F009C2" w:rsidP="00F009C2">
            <w:r w:rsidRPr="00787AE3">
              <w:t xml:space="preserve">AER issues </w:t>
            </w:r>
            <w:r w:rsidRPr="00F009C2">
              <w:t>explanatory statement on proposed amendments</w:t>
            </w:r>
          </w:p>
        </w:tc>
        <w:tc>
          <w:tcPr>
            <w:tcW w:w="2835" w:type="dxa"/>
            <w:noWrap/>
          </w:tcPr>
          <w:p w:rsidR="00F009C2" w:rsidRPr="00F009C2" w:rsidRDefault="00773951" w:rsidP="00CF31B5">
            <w:r>
              <w:t>8 July</w:t>
            </w:r>
            <w:r w:rsidR="00F009C2">
              <w:t xml:space="preserve"> 2015</w:t>
            </w:r>
          </w:p>
        </w:tc>
      </w:tr>
      <w:tr w:rsidR="00F009C2" w:rsidRPr="00787AE3" w:rsidTr="002E043D">
        <w:trPr>
          <w:cnfStyle w:val="000000010000" w:firstRow="0" w:lastRow="0" w:firstColumn="0" w:lastColumn="0" w:oddVBand="0" w:evenVBand="0" w:oddHBand="0" w:evenHBand="1" w:firstRowFirstColumn="0" w:firstRowLastColumn="0" w:lastRowFirstColumn="0" w:lastRowLastColumn="0"/>
        </w:trPr>
        <w:tc>
          <w:tcPr>
            <w:tcW w:w="5920" w:type="dxa"/>
            <w:noWrap/>
          </w:tcPr>
          <w:p w:rsidR="00F009C2" w:rsidRPr="00F009C2" w:rsidRDefault="00F009C2" w:rsidP="00F009C2">
            <w:r w:rsidRPr="00787AE3">
              <w:t xml:space="preserve">Stakeholder submissions on </w:t>
            </w:r>
            <w:r w:rsidRPr="00F009C2">
              <w:t>proposed amendments close</w:t>
            </w:r>
          </w:p>
        </w:tc>
        <w:tc>
          <w:tcPr>
            <w:tcW w:w="2835" w:type="dxa"/>
            <w:noWrap/>
          </w:tcPr>
          <w:p w:rsidR="00F009C2" w:rsidRPr="00F009C2" w:rsidRDefault="00773951" w:rsidP="00F009C2">
            <w:r>
              <w:t xml:space="preserve">19 August </w:t>
            </w:r>
            <w:r w:rsidR="00F009C2" w:rsidRPr="00F009C2">
              <w:t>201</w:t>
            </w:r>
            <w:r w:rsidR="00F009C2">
              <w:t>5</w:t>
            </w:r>
          </w:p>
        </w:tc>
      </w:tr>
      <w:tr w:rsidR="00F009C2" w:rsidRPr="00787AE3" w:rsidTr="002E043D">
        <w:tc>
          <w:tcPr>
            <w:tcW w:w="5920" w:type="dxa"/>
            <w:noWrap/>
          </w:tcPr>
          <w:p w:rsidR="00F009C2" w:rsidRPr="00F009C2" w:rsidRDefault="00F009C2" w:rsidP="00F009C2">
            <w:r w:rsidRPr="00787AE3">
              <w:t>AER issues final decision</w:t>
            </w:r>
          </w:p>
        </w:tc>
        <w:tc>
          <w:tcPr>
            <w:tcW w:w="2835" w:type="dxa"/>
            <w:noWrap/>
          </w:tcPr>
          <w:p w:rsidR="00F009C2" w:rsidRPr="00F009C2" w:rsidRDefault="00773951" w:rsidP="00F009C2">
            <w:r>
              <w:t xml:space="preserve">October </w:t>
            </w:r>
            <w:r w:rsidR="00F009C2" w:rsidRPr="00F009C2">
              <w:t>2015</w:t>
            </w:r>
          </w:p>
        </w:tc>
      </w:tr>
    </w:tbl>
    <w:p w:rsidR="002010BC" w:rsidRDefault="00A75077" w:rsidP="00A75077">
      <w:pPr>
        <w:pStyle w:val="TOCHeading"/>
      </w:pPr>
      <w:r>
        <w:t>Contents</w:t>
      </w:r>
      <w:bookmarkStart w:id="13" w:name="_GoBack"/>
      <w:bookmarkEnd w:id="13"/>
    </w:p>
    <w:p w:rsidR="007E644B"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23697138" w:history="1">
        <w:r w:rsidR="007E644B" w:rsidRPr="004D0907">
          <w:rPr>
            <w:rStyle w:val="Hyperlink"/>
          </w:rPr>
          <w:t>Shortened forms</w:t>
        </w:r>
        <w:r w:rsidR="007E644B">
          <w:rPr>
            <w:webHidden/>
          </w:rPr>
          <w:tab/>
        </w:r>
        <w:r w:rsidR="007E644B">
          <w:rPr>
            <w:webHidden/>
          </w:rPr>
          <w:fldChar w:fldCharType="begin"/>
        </w:r>
        <w:r w:rsidR="007E644B">
          <w:rPr>
            <w:webHidden/>
          </w:rPr>
          <w:instrText xml:space="preserve"> PAGEREF _Toc423697138 \h </w:instrText>
        </w:r>
        <w:r w:rsidR="007E644B">
          <w:rPr>
            <w:webHidden/>
          </w:rPr>
        </w:r>
        <w:r w:rsidR="007E644B">
          <w:rPr>
            <w:webHidden/>
          </w:rPr>
          <w:fldChar w:fldCharType="separate"/>
        </w:r>
        <w:r w:rsidR="00DA491F">
          <w:rPr>
            <w:webHidden/>
          </w:rPr>
          <w:t>i</w:t>
        </w:r>
        <w:r w:rsidR="007E644B">
          <w:rPr>
            <w:webHidden/>
          </w:rPr>
          <w:fldChar w:fldCharType="end"/>
        </w:r>
      </w:hyperlink>
    </w:p>
    <w:p w:rsidR="007E644B" w:rsidRDefault="007E644B">
      <w:pPr>
        <w:pStyle w:val="TOC1"/>
        <w:rPr>
          <w:rFonts w:asciiTheme="minorHAnsi" w:eastAsiaTheme="minorEastAsia" w:hAnsiTheme="minorHAnsi"/>
          <w:b w:val="0"/>
          <w:color w:val="auto"/>
          <w:sz w:val="22"/>
          <w:lang w:val="en-AU" w:eastAsia="en-AU"/>
        </w:rPr>
      </w:pPr>
      <w:hyperlink w:anchor="_Toc423697139" w:history="1">
        <w:r w:rsidRPr="004D0907">
          <w:rPr>
            <w:rStyle w:val="Hyperlink"/>
          </w:rPr>
          <w:t>1</w:t>
        </w:r>
        <w:r>
          <w:rPr>
            <w:rFonts w:asciiTheme="minorHAnsi" w:eastAsiaTheme="minorEastAsia" w:hAnsiTheme="minorHAnsi"/>
            <w:b w:val="0"/>
            <w:color w:val="auto"/>
            <w:sz w:val="22"/>
            <w:lang w:val="en-AU" w:eastAsia="en-AU"/>
          </w:rPr>
          <w:tab/>
        </w:r>
        <w:r w:rsidRPr="004D0907">
          <w:rPr>
            <w:rStyle w:val="Hyperlink"/>
          </w:rPr>
          <w:t>Introduction</w:t>
        </w:r>
        <w:r>
          <w:rPr>
            <w:webHidden/>
          </w:rPr>
          <w:tab/>
        </w:r>
        <w:r>
          <w:rPr>
            <w:webHidden/>
          </w:rPr>
          <w:fldChar w:fldCharType="begin"/>
        </w:r>
        <w:r>
          <w:rPr>
            <w:webHidden/>
          </w:rPr>
          <w:instrText xml:space="preserve"> PAGEREF _Toc423697139 \h </w:instrText>
        </w:r>
        <w:r>
          <w:rPr>
            <w:webHidden/>
          </w:rPr>
        </w:r>
        <w:r>
          <w:rPr>
            <w:webHidden/>
          </w:rPr>
          <w:fldChar w:fldCharType="separate"/>
        </w:r>
        <w:r w:rsidR="00DA491F">
          <w:rPr>
            <w:webHidden/>
          </w:rPr>
          <w:t>1</w:t>
        </w:r>
        <w:r>
          <w:rPr>
            <w:webHidden/>
          </w:rPr>
          <w:fldChar w:fldCharType="end"/>
        </w:r>
      </w:hyperlink>
    </w:p>
    <w:p w:rsidR="007E644B" w:rsidRDefault="007E644B">
      <w:pPr>
        <w:pStyle w:val="TOC1"/>
        <w:rPr>
          <w:rFonts w:asciiTheme="minorHAnsi" w:eastAsiaTheme="minorEastAsia" w:hAnsiTheme="minorHAnsi"/>
          <w:b w:val="0"/>
          <w:color w:val="auto"/>
          <w:sz w:val="22"/>
          <w:lang w:val="en-AU" w:eastAsia="en-AU"/>
        </w:rPr>
      </w:pPr>
      <w:hyperlink w:anchor="_Toc423697140" w:history="1">
        <w:r w:rsidRPr="004D0907">
          <w:rPr>
            <w:rStyle w:val="Hyperlink"/>
          </w:rPr>
          <w:t>2</w:t>
        </w:r>
        <w:r>
          <w:rPr>
            <w:rFonts w:asciiTheme="minorHAnsi" w:eastAsiaTheme="minorEastAsia" w:hAnsiTheme="minorHAnsi"/>
            <w:b w:val="0"/>
            <w:color w:val="auto"/>
            <w:sz w:val="22"/>
            <w:lang w:val="en-AU" w:eastAsia="en-AU"/>
          </w:rPr>
          <w:tab/>
        </w:r>
        <w:r w:rsidRPr="004D0907">
          <w:rPr>
            <w:rStyle w:val="Hyperlink"/>
          </w:rPr>
          <w:t>NER requirements</w:t>
        </w:r>
        <w:r>
          <w:rPr>
            <w:webHidden/>
          </w:rPr>
          <w:tab/>
        </w:r>
        <w:r>
          <w:rPr>
            <w:webHidden/>
          </w:rPr>
          <w:fldChar w:fldCharType="begin"/>
        </w:r>
        <w:r>
          <w:rPr>
            <w:webHidden/>
          </w:rPr>
          <w:instrText xml:space="preserve"> PAGEREF _Toc423697140 \h </w:instrText>
        </w:r>
        <w:r>
          <w:rPr>
            <w:webHidden/>
          </w:rPr>
        </w:r>
        <w:r>
          <w:rPr>
            <w:webHidden/>
          </w:rPr>
          <w:fldChar w:fldCharType="separate"/>
        </w:r>
        <w:r w:rsidR="00DA491F">
          <w:rPr>
            <w:webHidden/>
          </w:rPr>
          <w:t>3</w:t>
        </w:r>
        <w:r>
          <w:rPr>
            <w:webHidden/>
          </w:rPr>
          <w:fldChar w:fldCharType="end"/>
        </w:r>
      </w:hyperlink>
    </w:p>
    <w:p w:rsidR="007E644B" w:rsidRDefault="007E644B">
      <w:pPr>
        <w:pStyle w:val="TOC1"/>
        <w:rPr>
          <w:rFonts w:asciiTheme="minorHAnsi" w:eastAsiaTheme="minorEastAsia" w:hAnsiTheme="minorHAnsi"/>
          <w:b w:val="0"/>
          <w:color w:val="auto"/>
          <w:sz w:val="22"/>
          <w:lang w:val="en-AU" w:eastAsia="en-AU"/>
        </w:rPr>
      </w:pPr>
      <w:hyperlink w:anchor="_Toc423697141" w:history="1">
        <w:r w:rsidRPr="004D0907">
          <w:rPr>
            <w:rStyle w:val="Hyperlink"/>
          </w:rPr>
          <w:t>3</w:t>
        </w:r>
        <w:r>
          <w:rPr>
            <w:rFonts w:asciiTheme="minorHAnsi" w:eastAsiaTheme="minorEastAsia" w:hAnsiTheme="minorHAnsi"/>
            <w:b w:val="0"/>
            <w:color w:val="auto"/>
            <w:sz w:val="22"/>
            <w:lang w:val="en-AU" w:eastAsia="en-AU"/>
          </w:rPr>
          <w:tab/>
        </w:r>
        <w:r w:rsidRPr="004D0907">
          <w:rPr>
            <w:rStyle w:val="Hyperlink"/>
          </w:rPr>
          <w:t>Reasons for the RFM</w:t>
        </w:r>
        <w:r>
          <w:rPr>
            <w:webHidden/>
          </w:rPr>
          <w:tab/>
        </w:r>
        <w:r>
          <w:rPr>
            <w:webHidden/>
          </w:rPr>
          <w:fldChar w:fldCharType="begin"/>
        </w:r>
        <w:r>
          <w:rPr>
            <w:webHidden/>
          </w:rPr>
          <w:instrText xml:space="preserve"> PAGEREF _Toc423697141 \h </w:instrText>
        </w:r>
        <w:r>
          <w:rPr>
            <w:webHidden/>
          </w:rPr>
        </w:r>
        <w:r>
          <w:rPr>
            <w:webHidden/>
          </w:rPr>
          <w:fldChar w:fldCharType="separate"/>
        </w:r>
        <w:r w:rsidR="00DA491F">
          <w:rPr>
            <w:webHidden/>
          </w:rPr>
          <w:t>4</w:t>
        </w:r>
        <w:r>
          <w:rPr>
            <w:webHidden/>
          </w:rPr>
          <w:fldChar w:fldCharType="end"/>
        </w:r>
      </w:hyperlink>
    </w:p>
    <w:p w:rsidR="007E644B" w:rsidRDefault="007E644B">
      <w:pPr>
        <w:pStyle w:val="TOC1"/>
        <w:rPr>
          <w:rFonts w:asciiTheme="minorHAnsi" w:eastAsiaTheme="minorEastAsia" w:hAnsiTheme="minorHAnsi"/>
          <w:b w:val="0"/>
          <w:color w:val="auto"/>
          <w:sz w:val="22"/>
          <w:lang w:val="en-AU" w:eastAsia="en-AU"/>
        </w:rPr>
      </w:pPr>
      <w:hyperlink w:anchor="_Toc423697142" w:history="1">
        <w:r w:rsidRPr="004D0907">
          <w:rPr>
            <w:rStyle w:val="Hyperlink"/>
          </w:rPr>
          <w:t>4</w:t>
        </w:r>
        <w:r>
          <w:rPr>
            <w:rFonts w:asciiTheme="minorHAnsi" w:eastAsiaTheme="minorEastAsia" w:hAnsiTheme="minorHAnsi"/>
            <w:b w:val="0"/>
            <w:color w:val="auto"/>
            <w:sz w:val="22"/>
            <w:lang w:val="en-AU" w:eastAsia="en-AU"/>
          </w:rPr>
          <w:tab/>
        </w:r>
        <w:r w:rsidRPr="004D0907">
          <w:rPr>
            <w:rStyle w:val="Hyperlink"/>
          </w:rPr>
          <w:t>Proposed amendments</w:t>
        </w:r>
        <w:r>
          <w:rPr>
            <w:webHidden/>
          </w:rPr>
          <w:tab/>
        </w:r>
        <w:r>
          <w:rPr>
            <w:webHidden/>
          </w:rPr>
          <w:fldChar w:fldCharType="begin"/>
        </w:r>
        <w:r>
          <w:rPr>
            <w:webHidden/>
          </w:rPr>
          <w:instrText xml:space="preserve"> PAGEREF _Toc423697142 \h </w:instrText>
        </w:r>
        <w:r>
          <w:rPr>
            <w:webHidden/>
          </w:rPr>
        </w:r>
        <w:r>
          <w:rPr>
            <w:webHidden/>
          </w:rPr>
          <w:fldChar w:fldCharType="separate"/>
        </w:r>
        <w:r w:rsidR="00DA491F">
          <w:rPr>
            <w:webHidden/>
          </w:rPr>
          <w:t>5</w:t>
        </w:r>
        <w:r>
          <w:rPr>
            <w:webHidden/>
          </w:rPr>
          <w:fldChar w:fldCharType="end"/>
        </w:r>
      </w:hyperlink>
    </w:p>
    <w:p w:rsidR="007E644B" w:rsidRDefault="007E644B">
      <w:pPr>
        <w:pStyle w:val="TOC2"/>
        <w:rPr>
          <w:rFonts w:asciiTheme="minorHAnsi" w:eastAsiaTheme="minorEastAsia" w:hAnsiTheme="minorHAnsi"/>
          <w:b w:val="0"/>
          <w:color w:val="auto"/>
          <w:sz w:val="22"/>
          <w:lang w:eastAsia="en-AU"/>
        </w:rPr>
      </w:pPr>
      <w:hyperlink w:anchor="_Toc423697143" w:history="1">
        <w:r w:rsidRPr="004D0907">
          <w:rPr>
            <w:rStyle w:val="Hyperlink"/>
          </w:rPr>
          <w:t>4.1</w:t>
        </w:r>
        <w:r>
          <w:rPr>
            <w:rFonts w:asciiTheme="minorHAnsi" w:eastAsiaTheme="minorEastAsia" w:hAnsiTheme="minorHAnsi"/>
            <w:b w:val="0"/>
            <w:color w:val="auto"/>
            <w:sz w:val="22"/>
            <w:lang w:eastAsia="en-AU"/>
          </w:rPr>
          <w:tab/>
        </w:r>
        <w:r w:rsidRPr="004D0907">
          <w:rPr>
            <w:rStyle w:val="Hyperlink"/>
          </w:rPr>
          <w:t>Accommodating the as-commissioned opening RAB</w:t>
        </w:r>
        <w:r>
          <w:rPr>
            <w:webHidden/>
          </w:rPr>
          <w:tab/>
        </w:r>
        <w:r>
          <w:rPr>
            <w:webHidden/>
          </w:rPr>
          <w:fldChar w:fldCharType="begin"/>
        </w:r>
        <w:r>
          <w:rPr>
            <w:webHidden/>
          </w:rPr>
          <w:instrText xml:space="preserve"> PAGEREF _Toc423697143 \h </w:instrText>
        </w:r>
        <w:r>
          <w:rPr>
            <w:webHidden/>
          </w:rPr>
        </w:r>
        <w:r>
          <w:rPr>
            <w:webHidden/>
          </w:rPr>
          <w:fldChar w:fldCharType="separate"/>
        </w:r>
        <w:r w:rsidR="00DA491F">
          <w:rPr>
            <w:webHidden/>
          </w:rPr>
          <w:t>5</w:t>
        </w:r>
        <w:r>
          <w:rPr>
            <w:webHidden/>
          </w:rPr>
          <w:fldChar w:fldCharType="end"/>
        </w:r>
      </w:hyperlink>
    </w:p>
    <w:p w:rsidR="007E644B" w:rsidRDefault="007E644B">
      <w:pPr>
        <w:pStyle w:val="TOC2"/>
        <w:rPr>
          <w:rFonts w:asciiTheme="minorHAnsi" w:eastAsiaTheme="minorEastAsia" w:hAnsiTheme="minorHAnsi"/>
          <w:b w:val="0"/>
          <w:color w:val="auto"/>
          <w:sz w:val="22"/>
          <w:lang w:eastAsia="en-AU"/>
        </w:rPr>
      </w:pPr>
      <w:hyperlink w:anchor="_Toc423697144" w:history="1">
        <w:r w:rsidRPr="004D0907">
          <w:rPr>
            <w:rStyle w:val="Hyperlink"/>
          </w:rPr>
          <w:t>4.2</w:t>
        </w:r>
        <w:r>
          <w:rPr>
            <w:rFonts w:asciiTheme="minorHAnsi" w:eastAsiaTheme="minorEastAsia" w:hAnsiTheme="minorHAnsi"/>
            <w:b w:val="0"/>
            <w:color w:val="auto"/>
            <w:sz w:val="22"/>
            <w:lang w:eastAsia="en-AU"/>
          </w:rPr>
          <w:tab/>
        </w:r>
        <w:r w:rsidRPr="004D0907">
          <w:rPr>
            <w:rStyle w:val="Hyperlink"/>
          </w:rPr>
          <w:t>Forecast or actual depreciation in RAB roll forward</w:t>
        </w:r>
        <w:r>
          <w:rPr>
            <w:webHidden/>
          </w:rPr>
          <w:tab/>
        </w:r>
        <w:r>
          <w:rPr>
            <w:webHidden/>
          </w:rPr>
          <w:fldChar w:fldCharType="begin"/>
        </w:r>
        <w:r>
          <w:rPr>
            <w:webHidden/>
          </w:rPr>
          <w:instrText xml:space="preserve"> PAGEREF _Toc423697144 \h </w:instrText>
        </w:r>
        <w:r>
          <w:rPr>
            <w:webHidden/>
          </w:rPr>
        </w:r>
        <w:r>
          <w:rPr>
            <w:webHidden/>
          </w:rPr>
          <w:fldChar w:fldCharType="separate"/>
        </w:r>
        <w:r w:rsidR="00DA491F">
          <w:rPr>
            <w:webHidden/>
          </w:rPr>
          <w:t>6</w:t>
        </w:r>
        <w:r>
          <w:rPr>
            <w:webHidden/>
          </w:rPr>
          <w:fldChar w:fldCharType="end"/>
        </w:r>
      </w:hyperlink>
    </w:p>
    <w:p w:rsidR="007E644B" w:rsidRDefault="007E644B">
      <w:pPr>
        <w:pStyle w:val="TOC2"/>
        <w:rPr>
          <w:rFonts w:asciiTheme="minorHAnsi" w:eastAsiaTheme="minorEastAsia" w:hAnsiTheme="minorHAnsi"/>
          <w:b w:val="0"/>
          <w:color w:val="auto"/>
          <w:sz w:val="22"/>
          <w:lang w:eastAsia="en-AU"/>
        </w:rPr>
      </w:pPr>
      <w:hyperlink w:anchor="_Toc423697145" w:history="1">
        <w:r w:rsidRPr="004D0907">
          <w:rPr>
            <w:rStyle w:val="Hyperlink"/>
          </w:rPr>
          <w:t>4.3</w:t>
        </w:r>
        <w:r>
          <w:rPr>
            <w:rFonts w:asciiTheme="minorHAnsi" w:eastAsiaTheme="minorEastAsia" w:hAnsiTheme="minorHAnsi"/>
            <w:b w:val="0"/>
            <w:color w:val="auto"/>
            <w:sz w:val="22"/>
            <w:lang w:eastAsia="en-AU"/>
          </w:rPr>
          <w:tab/>
        </w:r>
        <w:r w:rsidRPr="004D0907">
          <w:rPr>
            <w:rStyle w:val="Hyperlink"/>
          </w:rPr>
          <w:t>Remaining asset lives</w:t>
        </w:r>
        <w:r>
          <w:rPr>
            <w:webHidden/>
          </w:rPr>
          <w:tab/>
        </w:r>
        <w:r>
          <w:rPr>
            <w:webHidden/>
          </w:rPr>
          <w:fldChar w:fldCharType="begin"/>
        </w:r>
        <w:r>
          <w:rPr>
            <w:webHidden/>
          </w:rPr>
          <w:instrText xml:space="preserve"> PAGEREF _Toc423697145 \h </w:instrText>
        </w:r>
        <w:r>
          <w:rPr>
            <w:webHidden/>
          </w:rPr>
        </w:r>
        <w:r>
          <w:rPr>
            <w:webHidden/>
          </w:rPr>
          <w:fldChar w:fldCharType="separate"/>
        </w:r>
        <w:r w:rsidR="00DA491F">
          <w:rPr>
            <w:webHidden/>
          </w:rPr>
          <w:t>6</w:t>
        </w:r>
        <w:r>
          <w:rPr>
            <w:webHidden/>
          </w:rPr>
          <w:fldChar w:fldCharType="end"/>
        </w:r>
      </w:hyperlink>
    </w:p>
    <w:p w:rsidR="007E644B" w:rsidRDefault="007E644B">
      <w:pPr>
        <w:pStyle w:val="TOC2"/>
        <w:rPr>
          <w:rFonts w:asciiTheme="minorHAnsi" w:eastAsiaTheme="minorEastAsia" w:hAnsiTheme="minorHAnsi"/>
          <w:b w:val="0"/>
          <w:color w:val="auto"/>
          <w:sz w:val="22"/>
          <w:lang w:eastAsia="en-AU"/>
        </w:rPr>
      </w:pPr>
      <w:hyperlink w:anchor="_Toc423697146" w:history="1">
        <w:r w:rsidRPr="004D0907">
          <w:rPr>
            <w:rStyle w:val="Hyperlink"/>
          </w:rPr>
          <w:t>4.4</w:t>
        </w:r>
        <w:r>
          <w:rPr>
            <w:rFonts w:asciiTheme="minorHAnsi" w:eastAsiaTheme="minorEastAsia" w:hAnsiTheme="minorHAnsi"/>
            <w:b w:val="0"/>
            <w:color w:val="auto"/>
            <w:sz w:val="22"/>
            <w:lang w:eastAsia="en-AU"/>
          </w:rPr>
          <w:tab/>
        </w:r>
        <w:r w:rsidRPr="004D0907">
          <w:rPr>
            <w:rStyle w:val="Hyperlink"/>
          </w:rPr>
          <w:t>Annual WACC updates</w:t>
        </w:r>
        <w:r>
          <w:rPr>
            <w:webHidden/>
          </w:rPr>
          <w:tab/>
        </w:r>
        <w:r>
          <w:rPr>
            <w:webHidden/>
          </w:rPr>
          <w:fldChar w:fldCharType="begin"/>
        </w:r>
        <w:r>
          <w:rPr>
            <w:webHidden/>
          </w:rPr>
          <w:instrText xml:space="preserve"> PAGEREF _Toc423697146 \h </w:instrText>
        </w:r>
        <w:r>
          <w:rPr>
            <w:webHidden/>
          </w:rPr>
        </w:r>
        <w:r>
          <w:rPr>
            <w:webHidden/>
          </w:rPr>
          <w:fldChar w:fldCharType="separate"/>
        </w:r>
        <w:r w:rsidR="00DA491F">
          <w:rPr>
            <w:webHidden/>
          </w:rPr>
          <w:t>7</w:t>
        </w:r>
        <w:r>
          <w:rPr>
            <w:webHidden/>
          </w:rPr>
          <w:fldChar w:fldCharType="end"/>
        </w:r>
      </w:hyperlink>
    </w:p>
    <w:p w:rsidR="007E644B" w:rsidRDefault="007E644B">
      <w:pPr>
        <w:pStyle w:val="TOC2"/>
        <w:rPr>
          <w:rFonts w:asciiTheme="minorHAnsi" w:eastAsiaTheme="minorEastAsia" w:hAnsiTheme="minorHAnsi"/>
          <w:b w:val="0"/>
          <w:color w:val="auto"/>
          <w:sz w:val="22"/>
          <w:lang w:eastAsia="en-AU"/>
        </w:rPr>
      </w:pPr>
      <w:hyperlink w:anchor="_Toc423697147" w:history="1">
        <w:r w:rsidRPr="004D0907">
          <w:rPr>
            <w:rStyle w:val="Hyperlink"/>
          </w:rPr>
          <w:t>4.5</w:t>
        </w:r>
        <w:r>
          <w:rPr>
            <w:rFonts w:asciiTheme="minorHAnsi" w:eastAsiaTheme="minorEastAsia" w:hAnsiTheme="minorHAnsi"/>
            <w:b w:val="0"/>
            <w:color w:val="auto"/>
            <w:sz w:val="22"/>
            <w:lang w:eastAsia="en-AU"/>
          </w:rPr>
          <w:tab/>
        </w:r>
        <w:r w:rsidRPr="004D0907">
          <w:rPr>
            <w:rStyle w:val="Hyperlink"/>
          </w:rPr>
          <w:t>Input worksheet for AER data management system</w:t>
        </w:r>
        <w:r>
          <w:rPr>
            <w:webHidden/>
          </w:rPr>
          <w:tab/>
        </w:r>
        <w:r>
          <w:rPr>
            <w:webHidden/>
          </w:rPr>
          <w:fldChar w:fldCharType="begin"/>
        </w:r>
        <w:r>
          <w:rPr>
            <w:webHidden/>
          </w:rPr>
          <w:instrText xml:space="preserve"> PAGEREF _Toc423697147 \h </w:instrText>
        </w:r>
        <w:r>
          <w:rPr>
            <w:webHidden/>
          </w:rPr>
        </w:r>
        <w:r>
          <w:rPr>
            <w:webHidden/>
          </w:rPr>
          <w:fldChar w:fldCharType="separate"/>
        </w:r>
        <w:r w:rsidR="00DA491F">
          <w:rPr>
            <w:webHidden/>
          </w:rPr>
          <w:t>8</w:t>
        </w:r>
        <w:r>
          <w:rPr>
            <w:webHidden/>
          </w:rPr>
          <w:fldChar w:fldCharType="end"/>
        </w:r>
      </w:hyperlink>
    </w:p>
    <w:p w:rsidR="007E644B" w:rsidRDefault="007E644B">
      <w:pPr>
        <w:pStyle w:val="TOC2"/>
        <w:rPr>
          <w:rFonts w:asciiTheme="minorHAnsi" w:eastAsiaTheme="minorEastAsia" w:hAnsiTheme="minorHAnsi"/>
          <w:b w:val="0"/>
          <w:color w:val="auto"/>
          <w:sz w:val="22"/>
          <w:lang w:eastAsia="en-AU"/>
        </w:rPr>
      </w:pPr>
      <w:hyperlink w:anchor="_Toc423697148" w:history="1">
        <w:r w:rsidRPr="004D0907">
          <w:rPr>
            <w:rStyle w:val="Hyperlink"/>
          </w:rPr>
          <w:t>4.6</w:t>
        </w:r>
        <w:r>
          <w:rPr>
            <w:rFonts w:asciiTheme="minorHAnsi" w:eastAsiaTheme="minorEastAsia" w:hAnsiTheme="minorHAnsi"/>
            <w:b w:val="0"/>
            <w:color w:val="auto"/>
            <w:sz w:val="22"/>
            <w:lang w:eastAsia="en-AU"/>
          </w:rPr>
          <w:tab/>
        </w:r>
        <w:r w:rsidRPr="004D0907">
          <w:rPr>
            <w:rStyle w:val="Hyperlink"/>
          </w:rPr>
          <w:t>Presentational and other functional improvements</w:t>
        </w:r>
        <w:r>
          <w:rPr>
            <w:webHidden/>
          </w:rPr>
          <w:tab/>
        </w:r>
        <w:r>
          <w:rPr>
            <w:webHidden/>
          </w:rPr>
          <w:fldChar w:fldCharType="begin"/>
        </w:r>
        <w:r>
          <w:rPr>
            <w:webHidden/>
          </w:rPr>
          <w:instrText xml:space="preserve"> PAGEREF _Toc423697148 \h </w:instrText>
        </w:r>
        <w:r>
          <w:rPr>
            <w:webHidden/>
          </w:rPr>
        </w:r>
        <w:r>
          <w:rPr>
            <w:webHidden/>
          </w:rPr>
          <w:fldChar w:fldCharType="separate"/>
        </w:r>
        <w:r w:rsidR="00DA491F">
          <w:rPr>
            <w:webHidden/>
          </w:rPr>
          <w:t>8</w:t>
        </w:r>
        <w:r>
          <w:rPr>
            <w:webHidden/>
          </w:rPr>
          <w:fldChar w:fldCharType="end"/>
        </w:r>
      </w:hyperlink>
    </w:p>
    <w:p w:rsidR="007E644B" w:rsidRDefault="007E644B">
      <w:pPr>
        <w:pStyle w:val="TOC1"/>
        <w:rPr>
          <w:rFonts w:asciiTheme="minorHAnsi" w:eastAsiaTheme="minorEastAsia" w:hAnsiTheme="minorHAnsi"/>
          <w:b w:val="0"/>
          <w:color w:val="auto"/>
          <w:sz w:val="22"/>
          <w:lang w:val="en-AU" w:eastAsia="en-AU"/>
        </w:rPr>
      </w:pPr>
      <w:hyperlink w:anchor="_Toc423697149" w:history="1">
        <w:r w:rsidRPr="004D0907">
          <w:rPr>
            <w:rStyle w:val="Hyperlink"/>
          </w:rPr>
          <w:t>5</w:t>
        </w:r>
        <w:r>
          <w:rPr>
            <w:rFonts w:asciiTheme="minorHAnsi" w:eastAsiaTheme="minorEastAsia" w:hAnsiTheme="minorHAnsi"/>
            <w:b w:val="0"/>
            <w:color w:val="auto"/>
            <w:sz w:val="22"/>
            <w:lang w:val="en-AU" w:eastAsia="en-AU"/>
          </w:rPr>
          <w:tab/>
        </w:r>
        <w:r w:rsidRPr="004D0907">
          <w:rPr>
            <w:rStyle w:val="Hyperlink"/>
          </w:rPr>
          <w:t>Consultation</w:t>
        </w:r>
        <w:r>
          <w:rPr>
            <w:webHidden/>
          </w:rPr>
          <w:tab/>
        </w:r>
        <w:r>
          <w:rPr>
            <w:webHidden/>
          </w:rPr>
          <w:fldChar w:fldCharType="begin"/>
        </w:r>
        <w:r>
          <w:rPr>
            <w:webHidden/>
          </w:rPr>
          <w:instrText xml:space="preserve"> PAGEREF _Toc423697149 \h </w:instrText>
        </w:r>
        <w:r>
          <w:rPr>
            <w:webHidden/>
          </w:rPr>
        </w:r>
        <w:r>
          <w:rPr>
            <w:webHidden/>
          </w:rPr>
          <w:fldChar w:fldCharType="separate"/>
        </w:r>
        <w:r w:rsidR="00DA491F">
          <w:rPr>
            <w:webHidden/>
          </w:rPr>
          <w:t>9</w:t>
        </w:r>
        <w:r>
          <w:rPr>
            <w:webHidden/>
          </w:rPr>
          <w:fldChar w:fldCharType="end"/>
        </w:r>
      </w:hyperlink>
    </w:p>
    <w:p w:rsidR="007E644B" w:rsidRDefault="007E644B">
      <w:pPr>
        <w:pStyle w:val="TOC2"/>
        <w:rPr>
          <w:rFonts w:asciiTheme="minorHAnsi" w:eastAsiaTheme="minorEastAsia" w:hAnsiTheme="minorHAnsi"/>
          <w:b w:val="0"/>
          <w:color w:val="auto"/>
          <w:sz w:val="22"/>
          <w:lang w:eastAsia="en-AU"/>
        </w:rPr>
      </w:pPr>
      <w:hyperlink w:anchor="_Toc423697150" w:history="1">
        <w:r w:rsidRPr="004D0907">
          <w:rPr>
            <w:rStyle w:val="Hyperlink"/>
          </w:rPr>
          <w:t>5.1</w:t>
        </w:r>
        <w:r>
          <w:rPr>
            <w:rFonts w:asciiTheme="minorHAnsi" w:eastAsiaTheme="minorEastAsia" w:hAnsiTheme="minorHAnsi"/>
            <w:b w:val="0"/>
            <w:color w:val="auto"/>
            <w:sz w:val="22"/>
            <w:lang w:eastAsia="en-AU"/>
          </w:rPr>
          <w:tab/>
        </w:r>
        <w:r w:rsidRPr="004D0907">
          <w:rPr>
            <w:rStyle w:val="Hyperlink"/>
          </w:rPr>
          <w:t>Initial consultation</w:t>
        </w:r>
        <w:r>
          <w:rPr>
            <w:webHidden/>
          </w:rPr>
          <w:tab/>
        </w:r>
        <w:r>
          <w:rPr>
            <w:webHidden/>
          </w:rPr>
          <w:fldChar w:fldCharType="begin"/>
        </w:r>
        <w:r>
          <w:rPr>
            <w:webHidden/>
          </w:rPr>
          <w:instrText xml:space="preserve"> PAGEREF _Toc423697150 \h </w:instrText>
        </w:r>
        <w:r>
          <w:rPr>
            <w:webHidden/>
          </w:rPr>
        </w:r>
        <w:r>
          <w:rPr>
            <w:webHidden/>
          </w:rPr>
          <w:fldChar w:fldCharType="separate"/>
        </w:r>
        <w:r w:rsidR="00DA491F">
          <w:rPr>
            <w:webHidden/>
          </w:rPr>
          <w:t>9</w:t>
        </w:r>
        <w:r>
          <w:rPr>
            <w:webHidden/>
          </w:rPr>
          <w:fldChar w:fldCharType="end"/>
        </w:r>
      </w:hyperlink>
    </w:p>
    <w:p w:rsidR="007E644B" w:rsidRDefault="007E644B">
      <w:pPr>
        <w:pStyle w:val="TOC2"/>
        <w:rPr>
          <w:rFonts w:asciiTheme="minorHAnsi" w:eastAsiaTheme="minorEastAsia" w:hAnsiTheme="minorHAnsi"/>
          <w:b w:val="0"/>
          <w:color w:val="auto"/>
          <w:sz w:val="22"/>
          <w:lang w:eastAsia="en-AU"/>
        </w:rPr>
      </w:pPr>
      <w:hyperlink w:anchor="_Toc423697151" w:history="1">
        <w:r w:rsidRPr="004D0907">
          <w:rPr>
            <w:rStyle w:val="Hyperlink"/>
          </w:rPr>
          <w:t>5.2</w:t>
        </w:r>
        <w:r>
          <w:rPr>
            <w:rFonts w:asciiTheme="minorHAnsi" w:eastAsiaTheme="minorEastAsia" w:hAnsiTheme="minorHAnsi"/>
            <w:b w:val="0"/>
            <w:color w:val="auto"/>
            <w:sz w:val="22"/>
            <w:lang w:eastAsia="en-AU"/>
          </w:rPr>
          <w:tab/>
        </w:r>
        <w:r w:rsidRPr="004D0907">
          <w:rPr>
            <w:rStyle w:val="Hyperlink"/>
          </w:rPr>
          <w:t>Key issues for comment</w:t>
        </w:r>
        <w:r>
          <w:rPr>
            <w:webHidden/>
          </w:rPr>
          <w:tab/>
        </w:r>
        <w:r>
          <w:rPr>
            <w:webHidden/>
          </w:rPr>
          <w:fldChar w:fldCharType="begin"/>
        </w:r>
        <w:r>
          <w:rPr>
            <w:webHidden/>
          </w:rPr>
          <w:instrText xml:space="preserve"> PAGEREF _Toc423697151 \h </w:instrText>
        </w:r>
        <w:r>
          <w:rPr>
            <w:webHidden/>
          </w:rPr>
        </w:r>
        <w:r>
          <w:rPr>
            <w:webHidden/>
          </w:rPr>
          <w:fldChar w:fldCharType="separate"/>
        </w:r>
        <w:r w:rsidR="00DA491F">
          <w:rPr>
            <w:webHidden/>
          </w:rPr>
          <w:t>10</w:t>
        </w:r>
        <w:r>
          <w:rPr>
            <w:webHidden/>
          </w:rPr>
          <w:fldChar w:fldCharType="end"/>
        </w:r>
      </w:hyperlink>
    </w:p>
    <w:p w:rsidR="007E644B" w:rsidRDefault="007E644B">
      <w:pPr>
        <w:pStyle w:val="TOC1"/>
        <w:rPr>
          <w:rFonts w:asciiTheme="minorHAnsi" w:eastAsiaTheme="minorEastAsia" w:hAnsiTheme="minorHAnsi"/>
          <w:b w:val="0"/>
          <w:color w:val="auto"/>
          <w:sz w:val="22"/>
          <w:lang w:val="en-AU" w:eastAsia="en-AU"/>
        </w:rPr>
      </w:pPr>
      <w:hyperlink w:anchor="_Toc423697152" w:history="1">
        <w:r w:rsidRPr="004D0907">
          <w:rPr>
            <w:rStyle w:val="Hyperlink"/>
          </w:rPr>
          <w:t>Appendices</w:t>
        </w:r>
        <w:r>
          <w:rPr>
            <w:webHidden/>
          </w:rPr>
          <w:tab/>
        </w:r>
        <w:r>
          <w:rPr>
            <w:webHidden/>
          </w:rPr>
          <w:fldChar w:fldCharType="begin"/>
        </w:r>
        <w:r>
          <w:rPr>
            <w:webHidden/>
          </w:rPr>
          <w:instrText xml:space="preserve"> PAGEREF _Toc423697152 \h </w:instrText>
        </w:r>
        <w:r>
          <w:rPr>
            <w:webHidden/>
          </w:rPr>
        </w:r>
        <w:r>
          <w:rPr>
            <w:webHidden/>
          </w:rPr>
          <w:fldChar w:fldCharType="separate"/>
        </w:r>
        <w:r w:rsidR="00DA491F">
          <w:rPr>
            <w:webHidden/>
          </w:rPr>
          <w:t>11</w:t>
        </w:r>
        <w:r>
          <w:rPr>
            <w:webHidden/>
          </w:rPr>
          <w:fldChar w:fldCharType="end"/>
        </w:r>
      </w:hyperlink>
    </w:p>
    <w:p w:rsidR="007E644B" w:rsidRDefault="007E644B">
      <w:pPr>
        <w:pStyle w:val="TOC2"/>
        <w:rPr>
          <w:rFonts w:asciiTheme="minorHAnsi" w:eastAsiaTheme="minorEastAsia" w:hAnsiTheme="minorHAnsi"/>
          <w:b w:val="0"/>
          <w:color w:val="auto"/>
          <w:sz w:val="22"/>
          <w:lang w:eastAsia="en-AU"/>
        </w:rPr>
      </w:pPr>
      <w:hyperlink w:anchor="_Toc423697153" w:history="1">
        <w:r w:rsidRPr="004D0907">
          <w:rPr>
            <w:rStyle w:val="Hyperlink"/>
          </w:rPr>
          <w:t>Appendix A: Roll forward model (transmission)</w:t>
        </w:r>
        <w:r>
          <w:rPr>
            <w:webHidden/>
          </w:rPr>
          <w:tab/>
        </w:r>
        <w:r>
          <w:rPr>
            <w:webHidden/>
          </w:rPr>
          <w:fldChar w:fldCharType="begin"/>
        </w:r>
        <w:r>
          <w:rPr>
            <w:webHidden/>
          </w:rPr>
          <w:instrText xml:space="preserve"> PAGEREF _Toc423697153 \h </w:instrText>
        </w:r>
        <w:r>
          <w:rPr>
            <w:webHidden/>
          </w:rPr>
        </w:r>
        <w:r>
          <w:rPr>
            <w:webHidden/>
          </w:rPr>
          <w:fldChar w:fldCharType="separate"/>
        </w:r>
        <w:r w:rsidR="00DA491F">
          <w:rPr>
            <w:webHidden/>
          </w:rPr>
          <w:t>11</w:t>
        </w:r>
        <w:r>
          <w:rPr>
            <w:webHidden/>
          </w:rPr>
          <w:fldChar w:fldCharType="end"/>
        </w:r>
      </w:hyperlink>
    </w:p>
    <w:p w:rsidR="007E644B" w:rsidRDefault="007E644B">
      <w:pPr>
        <w:pStyle w:val="TOC2"/>
        <w:rPr>
          <w:rFonts w:asciiTheme="minorHAnsi" w:eastAsiaTheme="minorEastAsia" w:hAnsiTheme="minorHAnsi"/>
          <w:b w:val="0"/>
          <w:color w:val="auto"/>
          <w:sz w:val="22"/>
          <w:lang w:eastAsia="en-AU"/>
        </w:rPr>
      </w:pPr>
      <w:hyperlink w:anchor="_Toc423697154" w:history="1">
        <w:r w:rsidRPr="004D0907">
          <w:rPr>
            <w:rStyle w:val="Hyperlink"/>
          </w:rPr>
          <w:t>Appendix B: Roll forward model handbook (transmission)</w:t>
        </w:r>
        <w:r>
          <w:rPr>
            <w:webHidden/>
          </w:rPr>
          <w:tab/>
        </w:r>
        <w:r>
          <w:rPr>
            <w:webHidden/>
          </w:rPr>
          <w:fldChar w:fldCharType="begin"/>
        </w:r>
        <w:r>
          <w:rPr>
            <w:webHidden/>
          </w:rPr>
          <w:instrText xml:space="preserve"> PAGEREF _Toc423697154 \h </w:instrText>
        </w:r>
        <w:r>
          <w:rPr>
            <w:webHidden/>
          </w:rPr>
        </w:r>
        <w:r>
          <w:rPr>
            <w:webHidden/>
          </w:rPr>
          <w:fldChar w:fldCharType="separate"/>
        </w:r>
        <w:r w:rsidR="00DA491F">
          <w:rPr>
            <w:webHidden/>
          </w:rPr>
          <w:t>11</w:t>
        </w:r>
        <w:r>
          <w:rPr>
            <w:webHidden/>
          </w:rPr>
          <w:fldChar w:fldCharType="end"/>
        </w:r>
      </w:hyperlink>
    </w:p>
    <w:p w:rsidR="007E644B" w:rsidRDefault="00A75077" w:rsidP="009F5BA1">
      <w:r>
        <w:fldChar w:fldCharType="end"/>
      </w:r>
      <w:r w:rsidR="0020492C">
        <w:tab/>
      </w:r>
    </w:p>
    <w:p w:rsidR="007E644B" w:rsidRDefault="007E644B" w:rsidP="007E644B"/>
    <w:p w:rsidR="007E644B" w:rsidRDefault="007E644B" w:rsidP="007E644B">
      <w:pPr>
        <w:sectPr w:rsidR="007E644B" w:rsidSect="007A4D1F">
          <w:footerReference w:type="default" r:id="rId14"/>
          <w:pgSz w:w="11906" w:h="16838" w:code="9"/>
          <w:pgMar w:top="1440" w:right="1700" w:bottom="1582" w:left="1729" w:header="720" w:footer="1009" w:gutter="0"/>
          <w:pgNumType w:fmt="lowerRoman"/>
          <w:cols w:space="720"/>
          <w:docGrid w:linePitch="326"/>
        </w:sectPr>
      </w:pPr>
    </w:p>
    <w:p w:rsidR="007E644B" w:rsidRPr="00F009C2" w:rsidRDefault="007E644B" w:rsidP="007E644B">
      <w:pPr>
        <w:pStyle w:val="Heading1notnumber"/>
      </w:pPr>
      <w:bookmarkStart w:id="14" w:name="_Toc384813019"/>
      <w:bookmarkStart w:id="15" w:name="_Toc395861691"/>
      <w:bookmarkStart w:id="16" w:name="_Toc398728896"/>
      <w:bookmarkStart w:id="17" w:name="_Toc423697138"/>
      <w:r>
        <w:t>Shortened forms</w:t>
      </w:r>
      <w:bookmarkEnd w:id="14"/>
      <w:bookmarkEnd w:id="15"/>
      <w:bookmarkEnd w:id="16"/>
      <w:bookmarkEnd w:id="17"/>
    </w:p>
    <w:tbl>
      <w:tblPr>
        <w:tblStyle w:val="AERTable-Text"/>
        <w:tblW w:w="0" w:type="auto"/>
        <w:tblLook w:val="01E0" w:firstRow="1" w:lastRow="1" w:firstColumn="1" w:lastColumn="1" w:noHBand="0" w:noVBand="0"/>
      </w:tblPr>
      <w:tblGrid>
        <w:gridCol w:w="2802"/>
        <w:gridCol w:w="5726"/>
      </w:tblGrid>
      <w:tr w:rsidR="007E644B" w:rsidRPr="00215BAE" w:rsidTr="005F0F57">
        <w:trPr>
          <w:cnfStyle w:val="100000000000" w:firstRow="1" w:lastRow="0" w:firstColumn="0" w:lastColumn="0" w:oddVBand="0" w:evenVBand="0" w:oddHBand="0" w:evenHBand="0" w:firstRowFirstColumn="0" w:firstRowLastColumn="0" w:lastRowFirstColumn="0" w:lastRowLastColumn="0"/>
        </w:trPr>
        <w:tc>
          <w:tcPr>
            <w:tcW w:w="2802" w:type="dxa"/>
            <w:noWrap/>
          </w:tcPr>
          <w:p w:rsidR="007E644B" w:rsidRPr="007E644B" w:rsidRDefault="007E644B" w:rsidP="007E644B">
            <w:pPr>
              <w:pStyle w:val="Tabletext"/>
            </w:pPr>
            <w:r w:rsidRPr="00C109F9">
              <w:t>Shortened form</w:t>
            </w:r>
          </w:p>
        </w:tc>
        <w:tc>
          <w:tcPr>
            <w:tcW w:w="5726" w:type="dxa"/>
            <w:noWrap/>
          </w:tcPr>
          <w:p w:rsidR="007E644B" w:rsidRPr="007E644B" w:rsidRDefault="007E644B" w:rsidP="007E644B">
            <w:pPr>
              <w:pStyle w:val="Tabletext"/>
            </w:pPr>
            <w:r w:rsidRPr="00C109F9">
              <w:t>Extended form</w:t>
            </w:r>
          </w:p>
        </w:tc>
      </w:tr>
      <w:tr w:rsidR="007E644B" w:rsidRPr="00D75DE7" w:rsidTr="005F0F57">
        <w:tc>
          <w:tcPr>
            <w:tcW w:w="2802" w:type="dxa"/>
            <w:noWrap/>
          </w:tcPr>
          <w:p w:rsidR="007E644B" w:rsidRPr="007E644B" w:rsidRDefault="007E644B" w:rsidP="007E644B">
            <w:r w:rsidRPr="00C109F9">
              <w:t>AER</w:t>
            </w:r>
          </w:p>
        </w:tc>
        <w:tc>
          <w:tcPr>
            <w:tcW w:w="5726" w:type="dxa"/>
            <w:noWrap/>
          </w:tcPr>
          <w:p w:rsidR="007E644B" w:rsidRPr="007E644B" w:rsidRDefault="007E644B" w:rsidP="007E644B">
            <w:r w:rsidRPr="00C109F9">
              <w:t xml:space="preserve">Australian </w:t>
            </w:r>
            <w:r w:rsidRPr="007E644B">
              <w:t>Energy Regulator</w:t>
            </w:r>
          </w:p>
        </w:tc>
      </w:tr>
      <w:tr w:rsidR="007E644B" w:rsidRPr="00D75DE7" w:rsidTr="005F0F57">
        <w:trPr>
          <w:cnfStyle w:val="000000010000" w:firstRow="0" w:lastRow="0" w:firstColumn="0" w:lastColumn="0" w:oddVBand="0" w:evenVBand="0" w:oddHBand="0" w:evenHBand="1" w:firstRowFirstColumn="0" w:firstRowLastColumn="0" w:lastRowFirstColumn="0" w:lastRowLastColumn="0"/>
        </w:trPr>
        <w:tc>
          <w:tcPr>
            <w:tcW w:w="2802" w:type="dxa"/>
            <w:noWrap/>
          </w:tcPr>
          <w:p w:rsidR="007E644B" w:rsidRPr="007E644B" w:rsidRDefault="007E644B" w:rsidP="007E644B">
            <w:r>
              <w:t>Capex</w:t>
            </w:r>
          </w:p>
        </w:tc>
        <w:tc>
          <w:tcPr>
            <w:tcW w:w="5726" w:type="dxa"/>
            <w:noWrap/>
          </w:tcPr>
          <w:p w:rsidR="007E644B" w:rsidRPr="007E644B" w:rsidRDefault="007E644B" w:rsidP="007E644B">
            <w:r>
              <w:t>Capital expenditure</w:t>
            </w:r>
          </w:p>
        </w:tc>
      </w:tr>
      <w:tr w:rsidR="007E644B" w:rsidRPr="00D75DE7" w:rsidTr="005F0F57">
        <w:tc>
          <w:tcPr>
            <w:tcW w:w="2802" w:type="dxa"/>
            <w:noWrap/>
          </w:tcPr>
          <w:p w:rsidR="007E644B" w:rsidRPr="007E644B" w:rsidRDefault="007E644B" w:rsidP="007E644B">
            <w:r>
              <w:t>CESS</w:t>
            </w:r>
          </w:p>
        </w:tc>
        <w:tc>
          <w:tcPr>
            <w:tcW w:w="5726" w:type="dxa"/>
            <w:noWrap/>
          </w:tcPr>
          <w:p w:rsidR="007E644B" w:rsidRPr="007E644B" w:rsidRDefault="007E644B" w:rsidP="007E644B">
            <w:r>
              <w:t>Capital expenditure sharing scheme</w:t>
            </w:r>
          </w:p>
        </w:tc>
      </w:tr>
      <w:tr w:rsidR="007E644B" w:rsidRPr="00D75DE7" w:rsidTr="005F0F57">
        <w:trPr>
          <w:cnfStyle w:val="000000010000" w:firstRow="0" w:lastRow="0" w:firstColumn="0" w:lastColumn="0" w:oddVBand="0" w:evenVBand="0" w:oddHBand="0" w:evenHBand="1" w:firstRowFirstColumn="0" w:firstRowLastColumn="0" w:lastRowFirstColumn="0" w:lastRowLastColumn="0"/>
        </w:trPr>
        <w:tc>
          <w:tcPr>
            <w:tcW w:w="2802" w:type="dxa"/>
            <w:noWrap/>
          </w:tcPr>
          <w:p w:rsidR="007E644B" w:rsidRPr="007E644B" w:rsidRDefault="007E644B" w:rsidP="007E644B">
            <w:r w:rsidRPr="00C109F9">
              <w:t>CPI</w:t>
            </w:r>
          </w:p>
        </w:tc>
        <w:tc>
          <w:tcPr>
            <w:tcW w:w="5726" w:type="dxa"/>
            <w:noWrap/>
          </w:tcPr>
          <w:p w:rsidR="007E644B" w:rsidRPr="007E644B" w:rsidRDefault="007E644B" w:rsidP="007E644B">
            <w:r w:rsidRPr="00C109F9">
              <w:t>consumer price index</w:t>
            </w:r>
          </w:p>
        </w:tc>
      </w:tr>
      <w:tr w:rsidR="007E644B" w:rsidRPr="00D75DE7" w:rsidTr="005F0F57">
        <w:tc>
          <w:tcPr>
            <w:tcW w:w="2802" w:type="dxa"/>
            <w:noWrap/>
          </w:tcPr>
          <w:p w:rsidR="007E644B" w:rsidRPr="007E644B" w:rsidRDefault="007E644B" w:rsidP="007E644B">
            <w:r>
              <w:t>DMS</w:t>
            </w:r>
          </w:p>
        </w:tc>
        <w:tc>
          <w:tcPr>
            <w:tcW w:w="5726" w:type="dxa"/>
            <w:noWrap/>
          </w:tcPr>
          <w:p w:rsidR="007E644B" w:rsidRPr="007E644B" w:rsidRDefault="007E644B" w:rsidP="007E644B">
            <w:r>
              <w:t>data management system</w:t>
            </w:r>
          </w:p>
        </w:tc>
      </w:tr>
      <w:tr w:rsidR="007E644B" w:rsidRPr="00D75DE7" w:rsidTr="005F0F57">
        <w:trPr>
          <w:cnfStyle w:val="000000010000" w:firstRow="0" w:lastRow="0" w:firstColumn="0" w:lastColumn="0" w:oddVBand="0" w:evenVBand="0" w:oddHBand="0" w:evenHBand="1" w:firstRowFirstColumn="0" w:firstRowLastColumn="0" w:lastRowFirstColumn="0" w:lastRowLastColumn="0"/>
        </w:trPr>
        <w:tc>
          <w:tcPr>
            <w:tcW w:w="2802" w:type="dxa"/>
            <w:noWrap/>
          </w:tcPr>
          <w:p w:rsidR="007E644B" w:rsidRPr="007E644B" w:rsidRDefault="007E644B" w:rsidP="007E644B">
            <w:r>
              <w:t>NEM</w:t>
            </w:r>
          </w:p>
        </w:tc>
        <w:tc>
          <w:tcPr>
            <w:tcW w:w="5726" w:type="dxa"/>
            <w:noWrap/>
          </w:tcPr>
          <w:p w:rsidR="007E644B" w:rsidRPr="007E644B" w:rsidRDefault="007E644B" w:rsidP="007E644B">
            <w:r>
              <w:t>National Electricity Market</w:t>
            </w:r>
          </w:p>
        </w:tc>
      </w:tr>
      <w:tr w:rsidR="007E644B" w:rsidRPr="00D75DE7" w:rsidTr="005F0F57">
        <w:tc>
          <w:tcPr>
            <w:tcW w:w="2802" w:type="dxa"/>
            <w:noWrap/>
          </w:tcPr>
          <w:p w:rsidR="007E644B" w:rsidRPr="007E644B" w:rsidRDefault="007E644B" w:rsidP="007E644B">
            <w:r w:rsidRPr="00C109F9">
              <w:t>NER</w:t>
            </w:r>
          </w:p>
        </w:tc>
        <w:tc>
          <w:tcPr>
            <w:tcW w:w="5726" w:type="dxa"/>
            <w:noWrap/>
          </w:tcPr>
          <w:p w:rsidR="007E644B" w:rsidRPr="007E644B" w:rsidRDefault="007E644B" w:rsidP="007E644B">
            <w:r w:rsidRPr="00C109F9">
              <w:t>National Electricity Rules</w:t>
            </w:r>
          </w:p>
        </w:tc>
      </w:tr>
      <w:tr w:rsidR="007E644B" w:rsidRPr="00D75DE7" w:rsidTr="005F0F57">
        <w:trPr>
          <w:cnfStyle w:val="000000010000" w:firstRow="0" w:lastRow="0" w:firstColumn="0" w:lastColumn="0" w:oddVBand="0" w:evenVBand="0" w:oddHBand="0" w:evenHBand="1" w:firstRowFirstColumn="0" w:firstRowLastColumn="0" w:lastRowFirstColumn="0" w:lastRowLastColumn="0"/>
        </w:trPr>
        <w:tc>
          <w:tcPr>
            <w:tcW w:w="2802" w:type="dxa"/>
            <w:noWrap/>
          </w:tcPr>
          <w:p w:rsidR="007E644B" w:rsidRPr="007E644B" w:rsidRDefault="007E644B" w:rsidP="007E644B">
            <w:r>
              <w:t>PTRM</w:t>
            </w:r>
          </w:p>
        </w:tc>
        <w:tc>
          <w:tcPr>
            <w:tcW w:w="5726" w:type="dxa"/>
            <w:noWrap/>
          </w:tcPr>
          <w:p w:rsidR="007E644B" w:rsidRPr="007E644B" w:rsidRDefault="007E644B" w:rsidP="007E644B">
            <w:r>
              <w:t xml:space="preserve">post-tax </w:t>
            </w:r>
            <w:r w:rsidRPr="007E644B">
              <w:t>revenue model</w:t>
            </w:r>
          </w:p>
        </w:tc>
      </w:tr>
      <w:tr w:rsidR="007E644B" w:rsidRPr="00D75DE7" w:rsidTr="005F0F57">
        <w:tc>
          <w:tcPr>
            <w:tcW w:w="2802" w:type="dxa"/>
            <w:noWrap/>
          </w:tcPr>
          <w:p w:rsidR="007E644B" w:rsidRPr="007E644B" w:rsidRDefault="007E644B" w:rsidP="007E644B">
            <w:r w:rsidRPr="00C109F9">
              <w:t>RAB</w:t>
            </w:r>
          </w:p>
        </w:tc>
        <w:tc>
          <w:tcPr>
            <w:tcW w:w="5726" w:type="dxa"/>
            <w:noWrap/>
          </w:tcPr>
          <w:p w:rsidR="007E644B" w:rsidRPr="007E644B" w:rsidRDefault="007E644B" w:rsidP="007E644B">
            <w:r w:rsidRPr="00C109F9">
              <w:t>regulatory asset base</w:t>
            </w:r>
          </w:p>
        </w:tc>
      </w:tr>
      <w:tr w:rsidR="007E644B" w:rsidRPr="00D75DE7" w:rsidTr="005F0F57">
        <w:trPr>
          <w:cnfStyle w:val="000000010000" w:firstRow="0" w:lastRow="0" w:firstColumn="0" w:lastColumn="0" w:oddVBand="0" w:evenVBand="0" w:oddHBand="0" w:evenHBand="1" w:firstRowFirstColumn="0" w:firstRowLastColumn="0" w:lastRowFirstColumn="0" w:lastRowLastColumn="0"/>
        </w:trPr>
        <w:tc>
          <w:tcPr>
            <w:tcW w:w="2802" w:type="dxa"/>
            <w:noWrap/>
          </w:tcPr>
          <w:p w:rsidR="007E644B" w:rsidRPr="007E644B" w:rsidRDefault="007E644B" w:rsidP="007E644B">
            <w:r>
              <w:t>RFM</w:t>
            </w:r>
          </w:p>
        </w:tc>
        <w:tc>
          <w:tcPr>
            <w:tcW w:w="5726" w:type="dxa"/>
            <w:noWrap/>
          </w:tcPr>
          <w:p w:rsidR="007E644B" w:rsidRPr="007E644B" w:rsidRDefault="007E644B" w:rsidP="007E644B">
            <w:r>
              <w:t>roll forward model</w:t>
            </w:r>
          </w:p>
        </w:tc>
      </w:tr>
      <w:tr w:rsidR="007E644B" w:rsidRPr="00D75DE7" w:rsidTr="005F0F57">
        <w:tc>
          <w:tcPr>
            <w:tcW w:w="2802" w:type="dxa"/>
            <w:noWrap/>
          </w:tcPr>
          <w:p w:rsidR="007E644B" w:rsidRPr="007E644B" w:rsidRDefault="007E644B" w:rsidP="007E644B">
            <w:r>
              <w:t>TAB</w:t>
            </w:r>
          </w:p>
        </w:tc>
        <w:tc>
          <w:tcPr>
            <w:tcW w:w="5726" w:type="dxa"/>
            <w:noWrap/>
          </w:tcPr>
          <w:p w:rsidR="007E644B" w:rsidRPr="007E644B" w:rsidRDefault="007E644B" w:rsidP="007E644B">
            <w:r>
              <w:t>tax asset base</w:t>
            </w:r>
          </w:p>
        </w:tc>
      </w:tr>
      <w:tr w:rsidR="007E644B" w:rsidRPr="00D75DE7" w:rsidTr="005F0F57">
        <w:trPr>
          <w:cnfStyle w:val="000000010000" w:firstRow="0" w:lastRow="0" w:firstColumn="0" w:lastColumn="0" w:oddVBand="0" w:evenVBand="0" w:oddHBand="0" w:evenHBand="1" w:firstRowFirstColumn="0" w:firstRowLastColumn="0" w:lastRowFirstColumn="0" w:lastRowLastColumn="0"/>
        </w:trPr>
        <w:tc>
          <w:tcPr>
            <w:tcW w:w="2802" w:type="dxa"/>
            <w:noWrap/>
          </w:tcPr>
          <w:p w:rsidR="007E644B" w:rsidRPr="007E644B" w:rsidRDefault="007E644B" w:rsidP="007E644B">
            <w:r>
              <w:t>TNSP</w:t>
            </w:r>
          </w:p>
        </w:tc>
        <w:tc>
          <w:tcPr>
            <w:tcW w:w="5726" w:type="dxa"/>
            <w:noWrap/>
          </w:tcPr>
          <w:p w:rsidR="007E644B" w:rsidRPr="007E644B" w:rsidRDefault="007E644B" w:rsidP="007E644B">
            <w:r>
              <w:t>transmission network service provider</w:t>
            </w:r>
          </w:p>
        </w:tc>
      </w:tr>
      <w:tr w:rsidR="007E644B" w:rsidRPr="00D75DE7" w:rsidTr="005F0F57">
        <w:tc>
          <w:tcPr>
            <w:tcW w:w="2802" w:type="dxa"/>
            <w:noWrap/>
          </w:tcPr>
          <w:p w:rsidR="007E644B" w:rsidRPr="007E644B" w:rsidRDefault="007E644B" w:rsidP="007E644B">
            <w:r w:rsidRPr="00C109F9">
              <w:t>WACC</w:t>
            </w:r>
          </w:p>
        </w:tc>
        <w:tc>
          <w:tcPr>
            <w:tcW w:w="5726" w:type="dxa"/>
            <w:noWrap/>
          </w:tcPr>
          <w:p w:rsidR="007E644B" w:rsidRPr="007E644B" w:rsidRDefault="007E644B" w:rsidP="007E644B">
            <w:r w:rsidRPr="00C109F9">
              <w:t>weighted average cost of capital</w:t>
            </w:r>
          </w:p>
        </w:tc>
      </w:tr>
      <w:tr w:rsidR="007E644B" w:rsidRPr="00D75DE7" w:rsidTr="005F0F57">
        <w:trPr>
          <w:cnfStyle w:val="000000010000" w:firstRow="0" w:lastRow="0" w:firstColumn="0" w:lastColumn="0" w:oddVBand="0" w:evenVBand="0" w:oddHBand="0" w:evenHBand="1" w:firstRowFirstColumn="0" w:firstRowLastColumn="0" w:lastRowFirstColumn="0" w:lastRowLastColumn="0"/>
        </w:trPr>
        <w:tc>
          <w:tcPr>
            <w:tcW w:w="2802" w:type="dxa"/>
            <w:noWrap/>
          </w:tcPr>
          <w:p w:rsidR="007E644B" w:rsidRPr="007E644B" w:rsidRDefault="007E644B" w:rsidP="007E644B">
            <w:r>
              <w:t>WARL</w:t>
            </w:r>
          </w:p>
        </w:tc>
        <w:tc>
          <w:tcPr>
            <w:tcW w:w="5726" w:type="dxa"/>
            <w:noWrap/>
          </w:tcPr>
          <w:p w:rsidR="007E644B" w:rsidRPr="007E644B" w:rsidRDefault="007E644B" w:rsidP="007E644B">
            <w:r>
              <w:t>weighted average remaining lives</w:t>
            </w:r>
          </w:p>
        </w:tc>
      </w:tr>
    </w:tbl>
    <w:p w:rsidR="0020492C" w:rsidRDefault="0020492C" w:rsidP="009F5BA1"/>
    <w:p w:rsidR="0020492C" w:rsidRDefault="0020492C" w:rsidP="0020492C">
      <w:pPr>
        <w:sectPr w:rsidR="0020492C" w:rsidSect="007E644B">
          <w:footerReference w:type="default" r:id="rId15"/>
          <w:pgSz w:w="11906" w:h="16838" w:code="9"/>
          <w:pgMar w:top="1440" w:right="1700" w:bottom="1582" w:left="1729" w:header="720" w:footer="1009" w:gutter="0"/>
          <w:pgNumType w:fmt="lowerRoman" w:start="1"/>
          <w:cols w:space="720"/>
          <w:docGrid w:linePitch="326"/>
        </w:sectPr>
      </w:pPr>
      <w:bookmarkStart w:id="18" w:name="_Toc213047617"/>
    </w:p>
    <w:p w:rsidR="0020492C" w:rsidRDefault="006027AF" w:rsidP="00562632">
      <w:pPr>
        <w:pStyle w:val="Heading1"/>
      </w:pPr>
      <w:bookmarkStart w:id="19" w:name="_Toc423697139"/>
      <w:bookmarkEnd w:id="18"/>
      <w:r>
        <w:t>Introduction</w:t>
      </w:r>
      <w:bookmarkEnd w:id="19"/>
    </w:p>
    <w:p w:rsidR="006027AF" w:rsidRPr="006027AF" w:rsidRDefault="006027AF" w:rsidP="006027AF">
      <w:r w:rsidRPr="006027AF">
        <w:t>The Australian Energy Regulator (AER) is responsible for the economic regulation of prescribed transmission services provided by transmission network service providers (TNSPs) in the National Electricity Market</w:t>
      </w:r>
      <w:r w:rsidR="00B422CF">
        <w:t xml:space="preserve"> (NEM)</w:t>
      </w:r>
      <w:r w:rsidRPr="006027AF">
        <w:t>, in accordance with the National Electricity Rules (NER).</w:t>
      </w:r>
    </w:p>
    <w:p w:rsidR="00B71588" w:rsidRDefault="006027AF" w:rsidP="006027AF">
      <w:r w:rsidRPr="006027AF">
        <w:t xml:space="preserve">Chapter 6A of the NER requires the AER to prepare and publish a roll forward model (RFM) for </w:t>
      </w:r>
      <w:r w:rsidR="001448D2">
        <w:t xml:space="preserve">the regulatory asset base (RAB) of </w:t>
      </w:r>
      <w:r w:rsidRPr="006027AF">
        <w:t>TNSPs.</w:t>
      </w:r>
      <w:r w:rsidR="001448D2">
        <w:rPr>
          <w:rStyle w:val="FootnoteReference"/>
        </w:rPr>
        <w:footnoteReference w:id="2"/>
      </w:r>
      <w:r w:rsidRPr="006027AF">
        <w:t xml:space="preserve"> In September 2007 </w:t>
      </w:r>
      <w:r w:rsidR="002D40D6">
        <w:t>we</w:t>
      </w:r>
      <w:r w:rsidRPr="006027AF">
        <w:t xml:space="preserve"> published the first version (version 1) of </w:t>
      </w:r>
      <w:r w:rsidR="00F11518">
        <w:t xml:space="preserve">the </w:t>
      </w:r>
      <w:r w:rsidRPr="006027AF">
        <w:t>RFM for TNSPs.</w:t>
      </w:r>
      <w:r w:rsidR="002D40D6">
        <w:t xml:space="preserve"> In December 2010, we published a second version (version 2).</w:t>
      </w:r>
      <w:r w:rsidR="00B71588">
        <w:t xml:space="preserve"> </w:t>
      </w:r>
    </w:p>
    <w:p w:rsidR="006027AF" w:rsidRPr="006027AF" w:rsidRDefault="00B71588" w:rsidP="006027AF">
      <w:r>
        <w:fldChar w:fldCharType="begin"/>
      </w:r>
      <w:r>
        <w:instrText xml:space="preserve"> REF _Ref420940572 \h </w:instrText>
      </w:r>
      <w:r>
        <w:fldChar w:fldCharType="separate"/>
      </w:r>
      <w:r w:rsidR="00DA491F">
        <w:t xml:space="preserve">Table </w:t>
      </w:r>
      <w:r w:rsidR="00DA491F">
        <w:rPr>
          <w:noProof/>
        </w:rPr>
        <w:t>2</w:t>
      </w:r>
      <w:r>
        <w:fldChar w:fldCharType="end"/>
      </w:r>
      <w:r>
        <w:t xml:space="preserve"> outlines the previous versions of the RFM for TNSPs, the key changes to the model</w:t>
      </w:r>
      <w:r w:rsidR="00234FBA">
        <w:t xml:space="preserve"> and</w:t>
      </w:r>
      <w:r>
        <w:t xml:space="preserve"> when they were made.</w:t>
      </w:r>
      <w:r w:rsidR="00253B87">
        <w:t xml:space="preserve"> </w:t>
      </w:r>
    </w:p>
    <w:p w:rsidR="00B71588" w:rsidRDefault="00B71588" w:rsidP="00B71588">
      <w:pPr>
        <w:pStyle w:val="Caption"/>
      </w:pPr>
      <w:bookmarkStart w:id="20" w:name="_Ref420940572"/>
      <w:r>
        <w:t xml:space="preserve">Table </w:t>
      </w:r>
      <w:r w:rsidRPr="00B71588">
        <w:fldChar w:fldCharType="begin"/>
      </w:r>
      <w:r>
        <w:instrText xml:space="preserve"> SEQ Table \* ARABIC </w:instrText>
      </w:r>
      <w:r w:rsidRPr="00B71588">
        <w:fldChar w:fldCharType="separate"/>
      </w:r>
      <w:r w:rsidR="00DA491F">
        <w:rPr>
          <w:noProof/>
        </w:rPr>
        <w:t>2</w:t>
      </w:r>
      <w:r w:rsidRPr="00B71588">
        <w:fldChar w:fldCharType="end"/>
      </w:r>
      <w:bookmarkEnd w:id="20"/>
      <w:r>
        <w:tab/>
        <w:t>RFM revisions</w:t>
      </w:r>
    </w:p>
    <w:tbl>
      <w:tblPr>
        <w:tblStyle w:val="AERTable-Text"/>
        <w:tblW w:w="9322" w:type="dxa"/>
        <w:tblLayout w:type="fixed"/>
        <w:tblLook w:val="04A0" w:firstRow="1" w:lastRow="0" w:firstColumn="1" w:lastColumn="0" w:noHBand="0" w:noVBand="1"/>
      </w:tblPr>
      <w:tblGrid>
        <w:gridCol w:w="1809"/>
        <w:gridCol w:w="1560"/>
        <w:gridCol w:w="5953"/>
      </w:tblGrid>
      <w:tr w:rsidR="00B71588" w:rsidRPr="003766A2" w:rsidTr="00AE6D78">
        <w:trPr>
          <w:cnfStyle w:val="100000000000" w:firstRow="1" w:lastRow="0" w:firstColumn="0" w:lastColumn="0" w:oddVBand="0" w:evenVBand="0" w:oddHBand="0" w:evenHBand="0" w:firstRowFirstColumn="0" w:firstRowLastColumn="0" w:lastRowFirstColumn="0" w:lastRowLastColumn="0"/>
        </w:trPr>
        <w:tc>
          <w:tcPr>
            <w:tcW w:w="1809" w:type="dxa"/>
          </w:tcPr>
          <w:p w:rsidR="00B71588" w:rsidRPr="00B71588" w:rsidRDefault="00B71588" w:rsidP="00B71588">
            <w:pPr>
              <w:pStyle w:val="Tabletext"/>
            </w:pPr>
            <w:r w:rsidRPr="003766A2">
              <w:t xml:space="preserve">Date </w:t>
            </w:r>
          </w:p>
        </w:tc>
        <w:tc>
          <w:tcPr>
            <w:tcW w:w="1560" w:type="dxa"/>
          </w:tcPr>
          <w:p w:rsidR="00B71588" w:rsidRPr="00B71588" w:rsidRDefault="00B71588" w:rsidP="00B71588">
            <w:pPr>
              <w:pStyle w:val="Tabletext"/>
            </w:pPr>
            <w:r w:rsidRPr="003766A2">
              <w:t xml:space="preserve">TNSP </w:t>
            </w:r>
            <w:r w:rsidRPr="00B71588">
              <w:t>version</w:t>
            </w:r>
          </w:p>
        </w:tc>
        <w:tc>
          <w:tcPr>
            <w:tcW w:w="5953" w:type="dxa"/>
          </w:tcPr>
          <w:p w:rsidR="00B71588" w:rsidRPr="00B71588" w:rsidRDefault="00B71588" w:rsidP="00B71588">
            <w:pPr>
              <w:pStyle w:val="Tabletext"/>
            </w:pPr>
            <w:r w:rsidRPr="003766A2">
              <w:t>Key changes</w:t>
            </w:r>
          </w:p>
        </w:tc>
      </w:tr>
      <w:tr w:rsidR="00B71588" w:rsidTr="00AE6D78">
        <w:tc>
          <w:tcPr>
            <w:tcW w:w="1809" w:type="dxa"/>
          </w:tcPr>
          <w:p w:rsidR="00B71588" w:rsidRPr="00B422CF" w:rsidRDefault="00B71588" w:rsidP="00B71588">
            <w:pPr>
              <w:pStyle w:val="Tabletext"/>
            </w:pPr>
            <w:r w:rsidRPr="00B422CF">
              <w:t>September 2007</w:t>
            </w:r>
          </w:p>
        </w:tc>
        <w:tc>
          <w:tcPr>
            <w:tcW w:w="1560" w:type="dxa"/>
          </w:tcPr>
          <w:p w:rsidR="00B71588" w:rsidRPr="00B71588" w:rsidRDefault="00B71588" w:rsidP="00B71588">
            <w:pPr>
              <w:pStyle w:val="Tabletext"/>
            </w:pPr>
            <w:r w:rsidRPr="00B422CF">
              <w:t>1</w:t>
            </w:r>
          </w:p>
        </w:tc>
        <w:tc>
          <w:tcPr>
            <w:tcW w:w="5953" w:type="dxa"/>
          </w:tcPr>
          <w:p w:rsidR="00B71588" w:rsidRPr="00296DFC" w:rsidRDefault="00B71588" w:rsidP="00B71588">
            <w:pPr>
              <w:pStyle w:val="Tabletext"/>
            </w:pPr>
            <w:r w:rsidRPr="00296DFC">
              <w:t>n/a</w:t>
            </w:r>
          </w:p>
        </w:tc>
      </w:tr>
      <w:tr w:rsidR="00B71588" w:rsidTr="00AE6D78">
        <w:trPr>
          <w:cnfStyle w:val="000000010000" w:firstRow="0" w:lastRow="0" w:firstColumn="0" w:lastColumn="0" w:oddVBand="0" w:evenVBand="0" w:oddHBand="0" w:evenHBand="1" w:firstRowFirstColumn="0" w:firstRowLastColumn="0" w:lastRowFirstColumn="0" w:lastRowLastColumn="0"/>
        </w:trPr>
        <w:tc>
          <w:tcPr>
            <w:tcW w:w="1809" w:type="dxa"/>
          </w:tcPr>
          <w:p w:rsidR="00B71588" w:rsidRPr="00B422CF" w:rsidRDefault="00B71588" w:rsidP="00B71588">
            <w:pPr>
              <w:pStyle w:val="Tabletext"/>
            </w:pPr>
            <w:r w:rsidRPr="00B422CF">
              <w:t>December 2010</w:t>
            </w:r>
          </w:p>
        </w:tc>
        <w:tc>
          <w:tcPr>
            <w:tcW w:w="1560" w:type="dxa"/>
          </w:tcPr>
          <w:p w:rsidR="00B71588" w:rsidRPr="00B71588" w:rsidRDefault="00B71588" w:rsidP="00B71588">
            <w:pPr>
              <w:pStyle w:val="Tabletext"/>
            </w:pPr>
            <w:r w:rsidRPr="00B422CF">
              <w:t>2</w:t>
            </w:r>
          </w:p>
        </w:tc>
        <w:tc>
          <w:tcPr>
            <w:tcW w:w="5953" w:type="dxa"/>
          </w:tcPr>
          <w:p w:rsidR="00B71588" w:rsidRPr="00B71588" w:rsidRDefault="00B71588" w:rsidP="00B71588">
            <w:pPr>
              <w:pStyle w:val="Tabletext"/>
            </w:pPr>
            <w:r w:rsidRPr="00B71588">
              <w:t xml:space="preserve">Modified calculations to allow for establishing a closing RAB based on as-commissioned capex. </w:t>
            </w:r>
          </w:p>
          <w:p w:rsidR="00B71588" w:rsidRPr="00B422CF" w:rsidRDefault="00B71588" w:rsidP="00B71588">
            <w:pPr>
              <w:pStyle w:val="Tabletext"/>
            </w:pPr>
            <w:r w:rsidRPr="00B422CF">
              <w:t>Formulae to calculate depreciation adjusted for the RAB roll forward.</w:t>
            </w:r>
          </w:p>
          <w:p w:rsidR="00B71588" w:rsidRPr="00B71588" w:rsidRDefault="00B71588" w:rsidP="00B71588">
            <w:pPr>
              <w:pStyle w:val="Tabletext"/>
            </w:pPr>
            <w:r w:rsidRPr="00B422CF">
              <w:t xml:space="preserve">Summary tables </w:t>
            </w:r>
            <w:r w:rsidRPr="00B71588">
              <w:t>and weighted average remaining asset lives calculations added.</w:t>
            </w:r>
          </w:p>
        </w:tc>
      </w:tr>
    </w:tbl>
    <w:p w:rsidR="00B71588" w:rsidRDefault="00B71588" w:rsidP="00AE6D78"/>
    <w:p w:rsidR="006027AF" w:rsidRPr="006027AF" w:rsidRDefault="00253B87" w:rsidP="006027AF">
      <w:r>
        <w:t xml:space="preserve">Version 3 is necessary to allow continuation of certain regulatory approaches. </w:t>
      </w:r>
      <w:r w:rsidR="008F16DE">
        <w:t>We</w:t>
      </w:r>
      <w:r w:rsidR="006027AF" w:rsidRPr="006027AF">
        <w:t xml:space="preserve"> use the RFM to determine the closing RAB value for a regulatory control period</w:t>
      </w:r>
      <w:r>
        <w:t>. This value</w:t>
      </w:r>
      <w:r w:rsidR="006027AF" w:rsidRPr="006027AF">
        <w:t xml:space="preserve"> becomes the opening RAB used in the </w:t>
      </w:r>
      <w:r w:rsidR="00C17AEA">
        <w:t>post-tax revenue model (</w:t>
      </w:r>
      <w:r w:rsidR="006027AF" w:rsidRPr="006027AF">
        <w:t>PTRM</w:t>
      </w:r>
      <w:r w:rsidR="00C17AEA">
        <w:t>)</w:t>
      </w:r>
      <w:r w:rsidR="006027AF" w:rsidRPr="006027AF">
        <w:t xml:space="preserve"> for the purposes of making a revenue determination for the next regulatory control period.</w:t>
      </w:r>
      <w:r>
        <w:t xml:space="preserve"> </w:t>
      </w:r>
    </w:p>
    <w:p w:rsidR="00D57C4C" w:rsidRDefault="006027AF" w:rsidP="006027AF">
      <w:r w:rsidRPr="006027AF">
        <w:t xml:space="preserve">In modelling the revenue requirements for a TNSP </w:t>
      </w:r>
      <w:r w:rsidR="008F16DE">
        <w:t>we</w:t>
      </w:r>
      <w:r w:rsidRPr="006027AF">
        <w:t xml:space="preserve"> use the PTRM. The PTRM employs certain assumptions, including how capital expenditure (capex) is to be recognised. The PTRM </w:t>
      </w:r>
      <w:r w:rsidR="00F11518">
        <w:t xml:space="preserve">for TNSPs </w:t>
      </w:r>
      <w:r w:rsidRPr="006027AF">
        <w:t>recognises capex on a ‘partially as-incurred’ approach—that is, the return on capital is calculated recognising capex on an as-incurred basis and the return of capital (regulatory depreciation) is calculated recognising capex on an as-commissioned basis.</w:t>
      </w:r>
      <w:r w:rsidR="00DD3538">
        <w:t xml:space="preserve"> This approach </w:t>
      </w:r>
      <w:r w:rsidR="00DB3BED">
        <w:t>requires</w:t>
      </w:r>
      <w:r w:rsidR="00D57C4C">
        <w:t xml:space="preserve"> the TNSPs to provide two profiles of capex: </w:t>
      </w:r>
    </w:p>
    <w:p w:rsidR="00D57C4C" w:rsidRDefault="00D57C4C" w:rsidP="00B0421C">
      <w:pPr>
        <w:pStyle w:val="ListNumber"/>
      </w:pPr>
      <w:r>
        <w:t>As-incurred capex—this represents the profile of capex as-spent (incurred) in each year of the regulatory control period</w:t>
      </w:r>
      <w:r w:rsidR="006B35BE">
        <w:t>. This is used to calculate the return on capital building block.</w:t>
      </w:r>
      <w:r>
        <w:t xml:space="preserve">  </w:t>
      </w:r>
    </w:p>
    <w:p w:rsidR="00D57C4C" w:rsidRDefault="006B35BE" w:rsidP="00B0421C">
      <w:pPr>
        <w:pStyle w:val="ListNumber"/>
      </w:pPr>
      <w:r>
        <w:t>A</w:t>
      </w:r>
      <w:r w:rsidR="00D57C4C">
        <w:t xml:space="preserve">s-commissioned capex—this represents the profile of capex reflecting </w:t>
      </w:r>
      <w:r>
        <w:t>when assets are com</w:t>
      </w:r>
      <w:r w:rsidR="00D57C4C">
        <w:t>m</w:t>
      </w:r>
      <w:r>
        <w:t>i</w:t>
      </w:r>
      <w:r w:rsidR="00D57C4C">
        <w:t>ssion</w:t>
      </w:r>
      <w:r>
        <w:t xml:space="preserve">ed </w:t>
      </w:r>
      <w:r w:rsidR="00D57C4C">
        <w:t>(placed in service) in each year of the regulatory control period.</w:t>
      </w:r>
      <w:r w:rsidR="00DD3538">
        <w:t xml:space="preserve"> </w:t>
      </w:r>
      <w:r>
        <w:t>This is used to calculate the depreciation building block.</w:t>
      </w:r>
    </w:p>
    <w:p w:rsidR="006B35BE" w:rsidRDefault="006B35BE" w:rsidP="006027AF">
      <w:r>
        <w:t xml:space="preserve">As a result, </w:t>
      </w:r>
      <w:r w:rsidR="00DD3538">
        <w:t xml:space="preserve">two RABs </w:t>
      </w:r>
      <w:r>
        <w:t>are</w:t>
      </w:r>
      <w:r w:rsidR="00DD3538">
        <w:t xml:space="preserve"> </w:t>
      </w:r>
      <w:r w:rsidR="00DB3BED">
        <w:t>rolled forward</w:t>
      </w:r>
      <w:r>
        <w:t xml:space="preserve"> over the regulatory control period:</w:t>
      </w:r>
    </w:p>
    <w:p w:rsidR="006B35BE" w:rsidRDefault="006B35BE" w:rsidP="00B0421C">
      <w:pPr>
        <w:pStyle w:val="ListNumber"/>
        <w:numPr>
          <w:ilvl w:val="0"/>
          <w:numId w:val="34"/>
        </w:numPr>
      </w:pPr>
      <w:r>
        <w:t>A partially</w:t>
      </w:r>
      <w:r w:rsidR="00DD3538" w:rsidRPr="006B35BE">
        <w:t xml:space="preserve"> as-incurred RAB</w:t>
      </w:r>
      <w:r>
        <w:t>—the opening RAB is rolled forward by adding as-incurred capex, subtracting straight-line depreciation based on as-commissioned capex/RAB</w:t>
      </w:r>
      <w:r w:rsidR="00DD3538" w:rsidRPr="006B35BE">
        <w:t xml:space="preserve"> </w:t>
      </w:r>
      <w:r>
        <w:t>and indexation of opening RAB by actual inflation.</w:t>
      </w:r>
    </w:p>
    <w:p w:rsidR="006B35BE" w:rsidRDefault="006B35BE" w:rsidP="00B0421C">
      <w:pPr>
        <w:pStyle w:val="ListNumber"/>
        <w:numPr>
          <w:ilvl w:val="0"/>
          <w:numId w:val="34"/>
        </w:numPr>
      </w:pPr>
      <w:r>
        <w:t xml:space="preserve">An </w:t>
      </w:r>
      <w:r w:rsidR="00DD3538" w:rsidRPr="006B35BE">
        <w:t>as-commissioned RAB</w:t>
      </w:r>
      <w:r>
        <w:t>—the opening RAB is rolled forward by adding as-commissioned capex, subtracting straight-line depreciation based on as-commissioned capex/RAB and indexation of opening RAB by actual inflation</w:t>
      </w:r>
      <w:r w:rsidR="00DD3538" w:rsidRPr="006B35BE">
        <w:t>.</w:t>
      </w:r>
      <w:r w:rsidR="00DD3538">
        <w:t xml:space="preserve"> </w:t>
      </w:r>
    </w:p>
    <w:p w:rsidR="00852169" w:rsidRDefault="003F650F" w:rsidP="006027AF">
      <w:r>
        <w:t>Version 2 of</w:t>
      </w:r>
      <w:r w:rsidR="00852169">
        <w:t xml:space="preserve"> </w:t>
      </w:r>
      <w:r w:rsidR="00D57C4C">
        <w:t xml:space="preserve">the </w:t>
      </w:r>
      <w:r w:rsidR="00852169">
        <w:t>RFM</w:t>
      </w:r>
      <w:r>
        <w:t xml:space="preserve"> </w:t>
      </w:r>
      <w:r w:rsidR="00840004">
        <w:t xml:space="preserve">allows for </w:t>
      </w:r>
      <w:r w:rsidR="00852169">
        <w:t>roll</w:t>
      </w:r>
      <w:r w:rsidR="00840004">
        <w:t>ing</w:t>
      </w:r>
      <w:r w:rsidR="00852169">
        <w:t xml:space="preserve"> forward </w:t>
      </w:r>
      <w:r>
        <w:t xml:space="preserve">both </w:t>
      </w:r>
      <w:r w:rsidR="00840004">
        <w:t xml:space="preserve">set of capex profiles into the </w:t>
      </w:r>
      <w:r w:rsidR="00DD3538">
        <w:t>RAB to obtain</w:t>
      </w:r>
      <w:r w:rsidR="00DB3BED">
        <w:t xml:space="preserve"> </w:t>
      </w:r>
      <w:r w:rsidR="00723547">
        <w:t xml:space="preserve">the </w:t>
      </w:r>
      <w:r w:rsidR="00DB3BED">
        <w:t>two</w:t>
      </w:r>
      <w:r w:rsidR="00DD3538">
        <w:t xml:space="preserve"> closing RABs</w:t>
      </w:r>
      <w:r w:rsidR="00852169">
        <w:t>.</w:t>
      </w:r>
      <w:r w:rsidR="00286829">
        <w:t xml:space="preserve"> </w:t>
      </w:r>
      <w:r>
        <w:t xml:space="preserve">However, version 2 </w:t>
      </w:r>
      <w:r w:rsidR="00DD3538">
        <w:t xml:space="preserve">of the RFM only </w:t>
      </w:r>
      <w:r w:rsidR="00723547">
        <w:t>accommodated</w:t>
      </w:r>
      <w:r>
        <w:t xml:space="preserve"> </w:t>
      </w:r>
      <w:r w:rsidR="00DD3538">
        <w:t>one</w:t>
      </w:r>
      <w:r>
        <w:t xml:space="preserve"> </w:t>
      </w:r>
      <w:r w:rsidR="00DD3538">
        <w:t xml:space="preserve">opening </w:t>
      </w:r>
      <w:r>
        <w:t>RAB as an input to RFM itself</w:t>
      </w:r>
      <w:r w:rsidR="00DD3538">
        <w:t>. This was because there was only a single RAB at that time</w:t>
      </w:r>
      <w:r w:rsidR="00723547">
        <w:t xml:space="preserve"> when TNSPs were transitioning to apply the partially as-incurred approach to recognising capex</w:t>
      </w:r>
      <w:r w:rsidR="00DD3538">
        <w:t xml:space="preserve">. Separate </w:t>
      </w:r>
      <w:r>
        <w:t>as-commissioned</w:t>
      </w:r>
      <w:r w:rsidR="00DD3538">
        <w:t xml:space="preserve"> </w:t>
      </w:r>
      <w:r>
        <w:t xml:space="preserve">and </w:t>
      </w:r>
      <w:r w:rsidR="00723547">
        <w:t xml:space="preserve">partially </w:t>
      </w:r>
      <w:r>
        <w:t xml:space="preserve">as-incurred </w:t>
      </w:r>
      <w:r w:rsidR="00DD3538">
        <w:t>RABs</w:t>
      </w:r>
      <w:r>
        <w:t xml:space="preserve"> </w:t>
      </w:r>
      <w:r w:rsidR="00DD3538">
        <w:t>have since developed</w:t>
      </w:r>
      <w:r>
        <w:t>.</w:t>
      </w:r>
      <w:r w:rsidR="00286829">
        <w:t xml:space="preserve"> In order to continue with recognising capex under the partially as-incurred approach in the RFM, the </w:t>
      </w:r>
      <w:r w:rsidR="00E400BB">
        <w:t>proposed</w:t>
      </w:r>
      <w:r w:rsidR="00286829">
        <w:t xml:space="preserve"> version of the RFM </w:t>
      </w:r>
      <w:r w:rsidR="00396EF7">
        <w:t>(version 3) has been m</w:t>
      </w:r>
      <w:r w:rsidR="00286829">
        <w:t>odifi</w:t>
      </w:r>
      <w:r w:rsidR="00396EF7">
        <w:t>ed</w:t>
      </w:r>
      <w:r w:rsidR="00286829">
        <w:t xml:space="preserve"> to allow for inputs associated with </w:t>
      </w:r>
      <w:r>
        <w:t>both an</w:t>
      </w:r>
      <w:r w:rsidR="00DD3538">
        <w:t xml:space="preserve"> opening</w:t>
      </w:r>
      <w:r>
        <w:t xml:space="preserve"> </w:t>
      </w:r>
      <w:r w:rsidR="00D57C4C">
        <w:t xml:space="preserve">partially </w:t>
      </w:r>
      <w:r>
        <w:t xml:space="preserve">as-incurred RAB and an </w:t>
      </w:r>
      <w:r w:rsidR="00DD3538">
        <w:t xml:space="preserve">opening </w:t>
      </w:r>
      <w:r w:rsidR="00286829">
        <w:t>as-commissioned RAB</w:t>
      </w:r>
      <w:r w:rsidR="00DD3538">
        <w:t xml:space="preserve">, rather than a single </w:t>
      </w:r>
      <w:r w:rsidR="00DB3BED">
        <w:t xml:space="preserve">opening </w:t>
      </w:r>
      <w:r w:rsidR="00DD3538">
        <w:t>RAB</w:t>
      </w:r>
      <w:r w:rsidR="00286829">
        <w:t xml:space="preserve">. </w:t>
      </w:r>
    </w:p>
    <w:p w:rsidR="002D40D6" w:rsidRDefault="00253B87" w:rsidP="006027AF">
      <w:r>
        <w:t xml:space="preserve">Version 3 is also necessary </w:t>
      </w:r>
      <w:r w:rsidRPr="00253B87">
        <w:t xml:space="preserve">to provide flexibility to implement recent </w:t>
      </w:r>
      <w:r w:rsidR="00DB3BED">
        <w:t>regulatory decisions</w:t>
      </w:r>
      <w:r>
        <w:t>.</w:t>
      </w:r>
      <w:r w:rsidRPr="00253B87">
        <w:t xml:space="preserve"> </w:t>
      </w:r>
      <w:r w:rsidR="00D57C4C">
        <w:t>This is because v</w:t>
      </w:r>
      <w:r w:rsidR="002D40D6">
        <w:t>ersion</w:t>
      </w:r>
      <w:r w:rsidR="00286829">
        <w:t xml:space="preserve"> 2</w:t>
      </w:r>
      <w:r w:rsidR="002D40D6">
        <w:t xml:space="preserve"> of the RFM used </w:t>
      </w:r>
      <w:r w:rsidR="00DB3BED">
        <w:t xml:space="preserve">only </w:t>
      </w:r>
      <w:r w:rsidR="002D40D6">
        <w:t xml:space="preserve">an actual depreciation approach </w:t>
      </w:r>
      <w:r w:rsidR="00286829">
        <w:t xml:space="preserve">(straight-line method) </w:t>
      </w:r>
      <w:r w:rsidR="002D40D6">
        <w:t xml:space="preserve">to roll forward the RAB. Under this approach the depreciation deducted from the RAB depended on the actual capex </w:t>
      </w:r>
      <w:r w:rsidR="00840004">
        <w:t>commissioned</w:t>
      </w:r>
      <w:r w:rsidR="002D40D6">
        <w:t xml:space="preserve"> </w:t>
      </w:r>
      <w:r w:rsidR="00286829">
        <w:t xml:space="preserve">and rolled into the RAB </w:t>
      </w:r>
      <w:r w:rsidR="002D40D6">
        <w:t xml:space="preserve">during the regulatory </w:t>
      </w:r>
      <w:r w:rsidR="00286829">
        <w:t xml:space="preserve">control </w:t>
      </w:r>
      <w:r w:rsidR="002D40D6">
        <w:t xml:space="preserve">period, rather than that forecast at the time of the reset. </w:t>
      </w:r>
      <w:r w:rsidR="00E400BB">
        <w:t>The proposed v</w:t>
      </w:r>
      <w:r w:rsidR="002D40D6">
        <w:t xml:space="preserve">ersion 3 of the RFM </w:t>
      </w:r>
      <w:r w:rsidR="00396EF7">
        <w:t>has been modified to give the option for selecting</w:t>
      </w:r>
      <w:r w:rsidR="002D40D6">
        <w:t xml:space="preserve"> a forecast or actual depreciation approach to be used to roll forward the RAB. The forecast depreciation approach deducts the real forecast depreciation approved at the time of the</w:t>
      </w:r>
      <w:r w:rsidR="008B015A">
        <w:t xml:space="preserve"> previous</w:t>
      </w:r>
      <w:r w:rsidR="002D40D6">
        <w:t xml:space="preserve"> reset</w:t>
      </w:r>
      <w:r w:rsidR="008B015A">
        <w:t xml:space="preserve"> from the RAB, and does not adjust for actual capex. This </w:t>
      </w:r>
      <w:r w:rsidR="002D40D6">
        <w:t xml:space="preserve">matches what the </w:t>
      </w:r>
      <w:r w:rsidR="00852169">
        <w:t>TNSP</w:t>
      </w:r>
      <w:r w:rsidR="002D40D6">
        <w:t xml:space="preserve"> received in real depreciation allow</w:t>
      </w:r>
      <w:r w:rsidR="00852169">
        <w:t>ed</w:t>
      </w:r>
      <w:r w:rsidR="002D40D6">
        <w:t xml:space="preserve"> during the regulatory control period.</w:t>
      </w:r>
      <w:r w:rsidR="00396EF7">
        <w:t xml:space="preserve"> This amendment reflects the AER's new </w:t>
      </w:r>
      <w:r w:rsidR="00396EF7" w:rsidRPr="00AE6D78">
        <w:rPr>
          <w:rStyle w:val="Emphasis"/>
        </w:rPr>
        <w:t>Capital expenditure incentive guideline</w:t>
      </w:r>
      <w:r w:rsidR="00396EF7">
        <w:t>, which discussed the use of forecast depreciation to roll forward the RAB in conjunction with the application of a capital expenditure sharing scheme (CESS)</w:t>
      </w:r>
      <w:r w:rsidR="00E400BB">
        <w:t>.</w:t>
      </w:r>
      <w:r w:rsidR="00E400BB">
        <w:rPr>
          <w:rStyle w:val="FootnoteReference"/>
        </w:rPr>
        <w:footnoteReference w:id="3"/>
      </w:r>
      <w:r w:rsidR="00B41C49">
        <w:t xml:space="preserve"> This policy change also has consequential impacts on the way remaining asset lives are calculated in the RFM.</w:t>
      </w:r>
    </w:p>
    <w:p w:rsidR="00396EF7" w:rsidRDefault="00E400BB" w:rsidP="006027AF">
      <w:r>
        <w:t>The proposed RFM has also been modified to accommodate inputs for different annual rates of return</w:t>
      </w:r>
      <w:r w:rsidR="00B33806">
        <w:t xml:space="preserve">. This gives effect to the AER's new </w:t>
      </w:r>
      <w:r w:rsidR="00B33806" w:rsidRPr="00AE6D78">
        <w:rPr>
          <w:rStyle w:val="Emphasis"/>
        </w:rPr>
        <w:t>Rate of return guideline</w:t>
      </w:r>
      <w:r w:rsidR="00B33806">
        <w:t>, which allows for an annual update for the return on debt.</w:t>
      </w:r>
      <w:r w:rsidR="00B33806">
        <w:rPr>
          <w:rStyle w:val="FootnoteReference"/>
        </w:rPr>
        <w:footnoteReference w:id="4"/>
      </w:r>
    </w:p>
    <w:p w:rsidR="00234FBA" w:rsidRDefault="00234FBA" w:rsidP="006027AF">
      <w:r>
        <w:t>Section 4 explains the above changes, and other minor changes, in further detail.</w:t>
      </w:r>
    </w:p>
    <w:p w:rsidR="000F48D1" w:rsidRDefault="000F48D1" w:rsidP="000F48D1">
      <w:pPr>
        <w:pStyle w:val="Heading1"/>
      </w:pPr>
      <w:bookmarkStart w:id="21" w:name="_Toc423697140"/>
      <w:r>
        <w:t>NER requirements</w:t>
      </w:r>
      <w:bookmarkEnd w:id="21"/>
    </w:p>
    <w:p w:rsidR="00445D3B" w:rsidRPr="00445D3B" w:rsidRDefault="002052C6" w:rsidP="00445D3B">
      <w:r>
        <w:t>T</w:t>
      </w:r>
      <w:r w:rsidR="00445D3B" w:rsidRPr="00445D3B">
        <w:t>he NER allows the AER to amend or replace the RFM and sets out the requirements the AER must comply with in doing so.</w:t>
      </w:r>
      <w:r>
        <w:rPr>
          <w:rStyle w:val="FootnoteReference"/>
        </w:rPr>
        <w:footnoteReference w:id="5"/>
      </w:r>
    </w:p>
    <w:p w:rsidR="000F48D1" w:rsidRDefault="00445D3B" w:rsidP="00445D3B">
      <w:r w:rsidRPr="00445D3B">
        <w:t>When amending the RFM, the transmission consultation procedures</w:t>
      </w:r>
      <w:r w:rsidR="005E3397">
        <w:t xml:space="preserve"> </w:t>
      </w:r>
      <w:r w:rsidR="000771DD">
        <w:t xml:space="preserve">in the NER </w:t>
      </w:r>
      <w:r w:rsidRPr="00445D3B">
        <w:t xml:space="preserve">require </w:t>
      </w:r>
      <w:r>
        <w:t>us</w:t>
      </w:r>
      <w:r w:rsidR="000771DD">
        <w:t xml:space="preserve"> to</w:t>
      </w:r>
      <w:r>
        <w:t>:</w:t>
      </w:r>
      <w:r w:rsidR="005E3397">
        <w:rPr>
          <w:rStyle w:val="FootnoteReference"/>
        </w:rPr>
        <w:footnoteReference w:id="6"/>
      </w:r>
    </w:p>
    <w:p w:rsidR="00445D3B" w:rsidRPr="00445D3B" w:rsidRDefault="00445D3B" w:rsidP="00445D3B">
      <w:pPr>
        <w:pStyle w:val="Bulletpoint"/>
      </w:pPr>
      <w:r w:rsidRPr="00445D3B">
        <w:t>publish the proposed amended model</w:t>
      </w:r>
    </w:p>
    <w:p w:rsidR="00445D3B" w:rsidRPr="00445D3B" w:rsidRDefault="00445D3B" w:rsidP="00445D3B">
      <w:pPr>
        <w:pStyle w:val="Bulletpoint"/>
      </w:pPr>
      <w:r w:rsidRPr="00445D3B">
        <w:t xml:space="preserve">publish an explanatory statement setting out the </w:t>
      </w:r>
      <w:r w:rsidR="00166CB7">
        <w:t>provision of the NER under which the model is proposed to be prepared, made or developed or is required to be reviewed and the reasons for</w:t>
      </w:r>
      <w:r w:rsidRPr="00445D3B">
        <w:t xml:space="preserve"> the proposed amended model</w:t>
      </w:r>
    </w:p>
    <w:p w:rsidR="00445D3B" w:rsidRDefault="00445D3B" w:rsidP="00445D3B">
      <w:pPr>
        <w:pStyle w:val="Bulletpoint"/>
      </w:pPr>
      <w:proofErr w:type="gramStart"/>
      <w:r w:rsidRPr="00445D3B">
        <w:t>invite</w:t>
      </w:r>
      <w:proofErr w:type="gramEnd"/>
      <w:r w:rsidRPr="00445D3B">
        <w:t xml:space="preserve"> </w:t>
      </w:r>
      <w:r w:rsidR="001509DA">
        <w:t xml:space="preserve">written </w:t>
      </w:r>
      <w:r w:rsidRPr="00445D3B">
        <w:t>submissions on the proposed amended model.</w:t>
      </w:r>
    </w:p>
    <w:p w:rsidR="001509DA" w:rsidRDefault="001509DA" w:rsidP="00445D3B">
      <w:r>
        <w:t>This explanatory statement complies with these requirements.</w:t>
      </w:r>
    </w:p>
    <w:p w:rsidR="00445D3B" w:rsidRPr="00445D3B" w:rsidRDefault="00445D3B" w:rsidP="00445D3B">
      <w:r w:rsidRPr="00445D3B">
        <w:t xml:space="preserve">Interested parties must be allowed </w:t>
      </w:r>
      <w:r w:rsidR="001509DA">
        <w:t>no less than</w:t>
      </w:r>
      <w:r w:rsidRPr="00445D3B">
        <w:t xml:space="preserve"> 30 business days to make submissions to the AER.</w:t>
      </w:r>
      <w:r w:rsidR="00B422CF">
        <w:rPr>
          <w:rStyle w:val="FootnoteReference"/>
        </w:rPr>
        <w:footnoteReference w:id="7"/>
      </w:r>
      <w:r w:rsidRPr="00445D3B">
        <w:t xml:space="preserve"> Within 80 business days of publishing the proposed amended RFM</w:t>
      </w:r>
      <w:r w:rsidR="005E3397">
        <w:t xml:space="preserve"> </w:t>
      </w:r>
      <w:r>
        <w:t>we</w:t>
      </w:r>
      <w:r w:rsidRPr="00445D3B">
        <w:t xml:space="preserve"> must publish:</w:t>
      </w:r>
      <w:r w:rsidR="005E3397">
        <w:rPr>
          <w:rStyle w:val="FootnoteReference"/>
        </w:rPr>
        <w:footnoteReference w:id="8"/>
      </w:r>
    </w:p>
    <w:p w:rsidR="00445D3B" w:rsidRPr="00445D3B" w:rsidRDefault="001509DA" w:rsidP="00445D3B">
      <w:pPr>
        <w:pStyle w:val="Bulletpoint"/>
      </w:pPr>
      <w:r>
        <w:t>our</w:t>
      </w:r>
      <w:r w:rsidR="00445D3B" w:rsidRPr="00445D3B">
        <w:t xml:space="preserve"> final decision that sets out:</w:t>
      </w:r>
    </w:p>
    <w:p w:rsidR="00445D3B" w:rsidRPr="00445D3B" w:rsidRDefault="00445D3B" w:rsidP="00AE6D78">
      <w:pPr>
        <w:pStyle w:val="Bulletpoint2"/>
      </w:pPr>
      <w:r w:rsidRPr="00445D3B">
        <w:t>the amended model</w:t>
      </w:r>
    </w:p>
    <w:p w:rsidR="00445D3B" w:rsidRPr="00445D3B" w:rsidRDefault="00445D3B" w:rsidP="00AE6D78">
      <w:pPr>
        <w:pStyle w:val="Bulletpoint2"/>
      </w:pPr>
      <w:r w:rsidRPr="00445D3B">
        <w:t>the p</w:t>
      </w:r>
      <w:r w:rsidR="001509DA">
        <w:t>rovision of the NER under which the model is being</w:t>
      </w:r>
      <w:r w:rsidRPr="00445D3B">
        <w:t xml:space="preserve"> amended</w:t>
      </w:r>
    </w:p>
    <w:p w:rsidR="00445D3B" w:rsidRPr="00445D3B" w:rsidRDefault="00445D3B" w:rsidP="00AE6D78">
      <w:pPr>
        <w:pStyle w:val="Bulletpoint2"/>
      </w:pPr>
      <w:r w:rsidRPr="00445D3B">
        <w:t>the reasons for the amend</w:t>
      </w:r>
      <w:r w:rsidR="001509DA">
        <w:t>ment</w:t>
      </w:r>
      <w:r w:rsidR="00B422CF">
        <w:t>; and</w:t>
      </w:r>
    </w:p>
    <w:p w:rsidR="00445D3B" w:rsidRPr="00445D3B" w:rsidRDefault="00445D3B" w:rsidP="00445D3B">
      <w:pPr>
        <w:pStyle w:val="Bulletpoint"/>
      </w:pPr>
      <w:proofErr w:type="gramStart"/>
      <w:r w:rsidRPr="00445D3B">
        <w:t>a</w:t>
      </w:r>
      <w:proofErr w:type="gramEnd"/>
      <w:r w:rsidRPr="00445D3B">
        <w:t xml:space="preserve"> notice of the making of the final decision.</w:t>
      </w:r>
    </w:p>
    <w:p w:rsidR="00A156F2" w:rsidRDefault="005E3397" w:rsidP="00445D3B">
      <w:r>
        <w:t>T</w:t>
      </w:r>
      <w:r w:rsidR="00445D3B" w:rsidRPr="00445D3B">
        <w:t xml:space="preserve">he NER </w:t>
      </w:r>
      <w:r w:rsidR="001509DA">
        <w:t xml:space="preserve">also </w:t>
      </w:r>
      <w:r w:rsidR="00445D3B" w:rsidRPr="00445D3B">
        <w:t>sets out the</w:t>
      </w:r>
      <w:r w:rsidR="001509DA">
        <w:t xml:space="preserve"> required</w:t>
      </w:r>
      <w:r w:rsidR="00445D3B" w:rsidRPr="00445D3B">
        <w:t xml:space="preserve"> contents of the RFM</w:t>
      </w:r>
      <w:r>
        <w:t>.</w:t>
      </w:r>
      <w:r>
        <w:rPr>
          <w:rStyle w:val="FootnoteReference"/>
        </w:rPr>
        <w:footnoteReference w:id="9"/>
      </w:r>
      <w:r w:rsidRPr="00445D3B">
        <w:t xml:space="preserve"> </w:t>
      </w:r>
      <w:r w:rsidR="00445D3B" w:rsidRPr="00445D3B">
        <w:t xml:space="preserve"> </w:t>
      </w:r>
      <w:r>
        <w:t>It</w:t>
      </w:r>
      <w:r w:rsidR="00445D3B" w:rsidRPr="00445D3B">
        <w:t xml:space="preserve"> must include the method for rolling forward the RAB from one regulatory control period to the next regulatory control period, and from one regulatory year to the next regulatory year in the same regulatory control period. </w:t>
      </w:r>
    </w:p>
    <w:p w:rsidR="00445D3B" w:rsidRDefault="00445D3B" w:rsidP="00445D3B">
      <w:r>
        <w:t>We</w:t>
      </w:r>
      <w:r w:rsidRPr="00445D3B">
        <w:t xml:space="preserve"> must also have regard to provisions related to the RAB contained in schedule 6A.2 of the NER.</w:t>
      </w:r>
      <w:r w:rsidR="00A156F2">
        <w:t xml:space="preserve"> This schedule covers:</w:t>
      </w:r>
    </w:p>
    <w:p w:rsidR="00A156F2" w:rsidRDefault="00A156F2" w:rsidP="00A156F2">
      <w:pPr>
        <w:pStyle w:val="Bulletpoint"/>
      </w:pPr>
      <w:r>
        <w:t xml:space="preserve">Establishment of the opening RAB </w:t>
      </w:r>
      <w:r w:rsidR="001509DA">
        <w:t>for a regulatory control period</w:t>
      </w:r>
    </w:p>
    <w:p w:rsidR="00A156F2" w:rsidRDefault="00DB7C39" w:rsidP="00A156F2">
      <w:pPr>
        <w:pStyle w:val="Bulletpoint"/>
      </w:pPr>
      <w:r>
        <w:t xml:space="preserve">Adjustments </w:t>
      </w:r>
      <w:r w:rsidR="00EC1CCF">
        <w:t>for prudent and efficient</w:t>
      </w:r>
      <w:r>
        <w:t xml:space="preserve"> capex</w:t>
      </w:r>
    </w:p>
    <w:p w:rsidR="00DB7C39" w:rsidRDefault="00DB7C39" w:rsidP="00A156F2">
      <w:pPr>
        <w:pStyle w:val="Bulletpoint"/>
      </w:pPr>
      <w:r>
        <w:t>De</w:t>
      </w:r>
      <w:r w:rsidR="00EC1CCF">
        <w:t>cision on de</w:t>
      </w:r>
      <w:r>
        <w:t xml:space="preserve">preciation </w:t>
      </w:r>
      <w:r w:rsidR="00EC1CCF">
        <w:t>approach</w:t>
      </w:r>
      <w:r>
        <w:t xml:space="preserve"> based on forecast or actual capex</w:t>
      </w:r>
    </w:p>
    <w:p w:rsidR="00DB7C39" w:rsidRDefault="00DB7C39" w:rsidP="00A156F2">
      <w:pPr>
        <w:pStyle w:val="Bulletpoint"/>
      </w:pPr>
      <w:r>
        <w:t>Circumstances where other assets may be removed from the RAB</w:t>
      </w:r>
    </w:p>
    <w:p w:rsidR="00DB7C39" w:rsidRDefault="001509DA" w:rsidP="00A156F2">
      <w:pPr>
        <w:pStyle w:val="Bulletpoint"/>
      </w:pPr>
      <w:r>
        <w:t>H</w:t>
      </w:r>
      <w:r w:rsidR="00DB7C39">
        <w:t xml:space="preserve">ow the </w:t>
      </w:r>
      <w:r w:rsidR="00586030">
        <w:t xml:space="preserve">(forecast) </w:t>
      </w:r>
      <w:r w:rsidR="00DB7C39">
        <w:t>roll forward should occur within the regulatory control period.</w:t>
      </w:r>
    </w:p>
    <w:p w:rsidR="00B71588" w:rsidRDefault="00B71588" w:rsidP="000F48D1">
      <w:pPr>
        <w:pStyle w:val="Heading1"/>
      </w:pPr>
      <w:bookmarkStart w:id="22" w:name="_Toc423697141"/>
      <w:r>
        <w:t>Reasons for the RFM</w:t>
      </w:r>
      <w:bookmarkEnd w:id="22"/>
    </w:p>
    <w:p w:rsidR="00EF1F71" w:rsidRDefault="00586030" w:rsidP="00586030">
      <w:r w:rsidRPr="00586030">
        <w:t>The principal reason for the RFM is to calculate the value of the closing RAB for a regulatory control period by rolling forward the RAB for each regulatory year of a regulatory control period to reflect</w:t>
      </w:r>
      <w:r w:rsidR="00FF257F">
        <w:t>:</w:t>
      </w:r>
      <w:r w:rsidR="008C30B1">
        <w:rPr>
          <w:rStyle w:val="FootnoteReference"/>
        </w:rPr>
        <w:footnoteReference w:id="10"/>
      </w:r>
    </w:p>
    <w:p w:rsidR="00EF1F71" w:rsidRDefault="008C30B1" w:rsidP="00AE6D78">
      <w:pPr>
        <w:pStyle w:val="Bulletpoint"/>
      </w:pPr>
      <w:r>
        <w:t xml:space="preserve">additions for </w:t>
      </w:r>
      <w:r w:rsidR="00EF1F71">
        <w:t>actual capex</w:t>
      </w:r>
    </w:p>
    <w:p w:rsidR="008C30B1" w:rsidRDefault="008C30B1" w:rsidP="00AE6D78">
      <w:pPr>
        <w:pStyle w:val="Bulletpoint"/>
      </w:pPr>
      <w:r>
        <w:t>reductions for the disposal value of assets</w:t>
      </w:r>
    </w:p>
    <w:p w:rsidR="008C30B1" w:rsidRDefault="008C30B1" w:rsidP="00AE6D78">
      <w:pPr>
        <w:pStyle w:val="Bulletpoint"/>
      </w:pPr>
      <w:r>
        <w:t xml:space="preserve">reductions for </w:t>
      </w:r>
      <w:r w:rsidR="00EF1F71">
        <w:t>depreciation</w:t>
      </w:r>
    </w:p>
    <w:p w:rsidR="00706EA6" w:rsidRDefault="00706EA6" w:rsidP="00AE6D78">
      <w:pPr>
        <w:pStyle w:val="Bulletpoint"/>
      </w:pPr>
      <w:r>
        <w:t>indexation for actual inflation</w:t>
      </w:r>
    </w:p>
    <w:p w:rsidR="008C30B1" w:rsidRDefault="008C30B1" w:rsidP="00AE6D78">
      <w:pPr>
        <w:pStyle w:val="Bulletpoint"/>
      </w:pPr>
      <w:r>
        <w:t>adjustment for the difference between estimated and actual capex for a previous regulatory control period</w:t>
      </w:r>
    </w:p>
    <w:p w:rsidR="00EF1F71" w:rsidRDefault="008C30B1" w:rsidP="00AE6D78">
      <w:pPr>
        <w:pStyle w:val="Bulletpoint"/>
      </w:pPr>
      <w:proofErr w:type="gramStart"/>
      <w:r>
        <w:t>other</w:t>
      </w:r>
      <w:proofErr w:type="gramEnd"/>
      <w:r>
        <w:t xml:space="preserve"> adjustments for removal or addition of assets made under</w:t>
      </w:r>
      <w:r w:rsidR="00575D6B">
        <w:t xml:space="preserve"> certain</w:t>
      </w:r>
      <w:r>
        <w:t xml:space="preserve"> circumstances </w:t>
      </w:r>
      <w:r w:rsidR="00AF786E">
        <w:t xml:space="preserve">(such as a change in </w:t>
      </w:r>
      <w:r w:rsidR="00F35998">
        <w:t xml:space="preserve">service </w:t>
      </w:r>
      <w:r w:rsidR="00AF786E">
        <w:t xml:space="preserve">classification) </w:t>
      </w:r>
      <w:r>
        <w:t>in accordance with the NER</w:t>
      </w:r>
      <w:r w:rsidR="00586030" w:rsidRPr="00586030">
        <w:t xml:space="preserve">. </w:t>
      </w:r>
    </w:p>
    <w:p w:rsidR="00586030" w:rsidRPr="00586030" w:rsidRDefault="00586030" w:rsidP="00586030">
      <w:r w:rsidRPr="00586030">
        <w:t>The closing RAB value for a regulatory control period as calculated by the RFM becomes the opening RAB to be used for the purposes of making a revenue determination for the next regulatory control period.</w:t>
      </w:r>
    </w:p>
    <w:p w:rsidR="00B71588" w:rsidRPr="00B71588" w:rsidRDefault="00586030" w:rsidP="00586030">
      <w:r w:rsidRPr="00586030">
        <w:t>The RAB values from the RFM are inputs into the PTRM, where they are rolled forward from one regulatory year to the next regulatory year on a forecast indicative basis</w:t>
      </w:r>
      <w:r w:rsidR="00FF257F">
        <w:t xml:space="preserve">. They are used in the PTRM as part of </w:t>
      </w:r>
      <w:r w:rsidRPr="00586030">
        <w:t>the calculation of the annual building block revenue requirements.</w:t>
      </w:r>
    </w:p>
    <w:p w:rsidR="000F48D1" w:rsidRDefault="000F48D1" w:rsidP="000F48D1">
      <w:pPr>
        <w:pStyle w:val="Heading1"/>
      </w:pPr>
      <w:bookmarkStart w:id="23" w:name="_Toc423697142"/>
      <w:r>
        <w:t>Proposed amendments</w:t>
      </w:r>
      <w:bookmarkEnd w:id="23"/>
    </w:p>
    <w:p w:rsidR="00C64DC5" w:rsidRPr="00C64DC5" w:rsidRDefault="00C64DC5" w:rsidP="00C64DC5">
      <w:r w:rsidRPr="00C64DC5">
        <w:t xml:space="preserve">This section sets out our proposed amendments to the </w:t>
      </w:r>
      <w:r>
        <w:t>RFM</w:t>
      </w:r>
      <w:r w:rsidRPr="00C64DC5">
        <w:t xml:space="preserve"> for the </w:t>
      </w:r>
      <w:r>
        <w:t xml:space="preserve">TNSPs and the </w:t>
      </w:r>
      <w:r w:rsidR="00DD5B11">
        <w:t>associated</w:t>
      </w:r>
      <w:r>
        <w:t xml:space="preserve"> handbook</w:t>
      </w:r>
      <w:r w:rsidRPr="00C64DC5">
        <w:t xml:space="preserve">. </w:t>
      </w:r>
      <w:r w:rsidR="00B422CF">
        <w:fldChar w:fldCharType="begin"/>
      </w:r>
      <w:r w:rsidR="00B422CF">
        <w:instrText xml:space="preserve"> REF _Ref396312295 \h </w:instrText>
      </w:r>
      <w:r w:rsidR="00B422CF">
        <w:fldChar w:fldCharType="separate"/>
      </w:r>
      <w:r w:rsidR="00DA491F">
        <w:t xml:space="preserve">Table </w:t>
      </w:r>
      <w:r w:rsidR="00DA491F">
        <w:rPr>
          <w:noProof/>
        </w:rPr>
        <w:t>3</w:t>
      </w:r>
      <w:r w:rsidR="00B422CF">
        <w:fldChar w:fldCharType="end"/>
      </w:r>
      <w:r w:rsidR="00B422CF">
        <w:t xml:space="preserve"> </w:t>
      </w:r>
      <w:r w:rsidRPr="00C64DC5">
        <w:t>show</w:t>
      </w:r>
      <w:r w:rsidR="0054005E">
        <w:t>s</w:t>
      </w:r>
      <w:r w:rsidRPr="00C64DC5">
        <w:t xml:space="preserve"> whi</w:t>
      </w:r>
      <w:r w:rsidR="0054005E">
        <w:t>ch worksheets have been amended or</w:t>
      </w:r>
      <w:r w:rsidRPr="00C64DC5">
        <w:t xml:space="preserve"> added.</w:t>
      </w:r>
      <w:r w:rsidR="00BD56D3">
        <w:rPr>
          <w:rStyle w:val="FootnoteReference"/>
        </w:rPr>
        <w:footnoteReference w:id="11"/>
      </w:r>
      <w:r w:rsidRPr="00C64DC5">
        <w:t xml:space="preserve"> </w:t>
      </w:r>
    </w:p>
    <w:p w:rsidR="000F48D1" w:rsidRPr="000F48D1" w:rsidRDefault="00C64DC5" w:rsidP="0029723E">
      <w:r w:rsidRPr="00C64DC5">
        <w:t xml:space="preserve">The specific changes are listed in a temporary </w:t>
      </w:r>
      <w:r w:rsidR="008E189E">
        <w:rPr>
          <w:rStyle w:val="Emphasis"/>
        </w:rPr>
        <w:t>'</w:t>
      </w:r>
      <w:r w:rsidR="00F445D2">
        <w:rPr>
          <w:rStyle w:val="Emphasis"/>
        </w:rPr>
        <w:t>C</w:t>
      </w:r>
      <w:r w:rsidRPr="00AE6D78">
        <w:rPr>
          <w:rStyle w:val="Emphasis"/>
        </w:rPr>
        <w:t>hange log</w:t>
      </w:r>
      <w:r w:rsidR="008E189E">
        <w:rPr>
          <w:rStyle w:val="Emphasis"/>
        </w:rPr>
        <w:t>'</w:t>
      </w:r>
      <w:r w:rsidRPr="00C64DC5">
        <w:t xml:space="preserve"> worksheet in the proposed amended </w:t>
      </w:r>
      <w:r>
        <w:t>RFM</w:t>
      </w:r>
      <w:r w:rsidRPr="00C64DC5">
        <w:t xml:space="preserve">. This detailed log will be deleted from the final version and a summary instead provided in the </w:t>
      </w:r>
      <w:r w:rsidR="008E189E">
        <w:t>'</w:t>
      </w:r>
      <w:r w:rsidRPr="00AE6D78">
        <w:rPr>
          <w:rStyle w:val="Emphasis"/>
        </w:rPr>
        <w:t>Intro</w:t>
      </w:r>
      <w:r w:rsidR="008E189E">
        <w:rPr>
          <w:rStyle w:val="Emphasis"/>
        </w:rPr>
        <w:t>'</w:t>
      </w:r>
      <w:r w:rsidRPr="00C64DC5">
        <w:t xml:space="preserve"> worksheet to the </w:t>
      </w:r>
      <w:r>
        <w:t>RFM</w:t>
      </w:r>
      <w:r w:rsidRPr="00C64DC5">
        <w:t>.</w:t>
      </w:r>
    </w:p>
    <w:p w:rsidR="000F48D1" w:rsidRPr="004A5246" w:rsidRDefault="000F48D1" w:rsidP="000F48D1">
      <w:pPr>
        <w:pStyle w:val="Caption"/>
      </w:pPr>
      <w:bookmarkStart w:id="24" w:name="_Ref396312295"/>
      <w:r>
        <w:t xml:space="preserve">Table </w:t>
      </w:r>
      <w:r w:rsidRPr="000F48D1">
        <w:fldChar w:fldCharType="begin"/>
      </w:r>
      <w:r>
        <w:instrText xml:space="preserve"> SEQ Table \* ARABIC </w:instrText>
      </w:r>
      <w:r w:rsidRPr="000F48D1">
        <w:fldChar w:fldCharType="separate"/>
      </w:r>
      <w:r w:rsidR="00DA491F">
        <w:rPr>
          <w:noProof/>
        </w:rPr>
        <w:t>3</w:t>
      </w:r>
      <w:r w:rsidRPr="000F48D1">
        <w:fldChar w:fldCharType="end"/>
      </w:r>
      <w:bookmarkEnd w:id="24"/>
      <w:r w:rsidR="00B422CF">
        <w:tab/>
      </w:r>
      <w:r>
        <w:t xml:space="preserve">Changes to the </w:t>
      </w:r>
      <w:r w:rsidR="00C64DC5">
        <w:t>transmissio</w:t>
      </w:r>
      <w:r>
        <w:t xml:space="preserve">n </w:t>
      </w:r>
      <w:r w:rsidR="00C64DC5">
        <w:t>RFM</w:t>
      </w:r>
      <w:r>
        <w:t xml:space="preserve"> worksheets</w:t>
      </w:r>
    </w:p>
    <w:tbl>
      <w:tblPr>
        <w:tblStyle w:val="AERTable-Text"/>
        <w:tblW w:w="9180" w:type="dxa"/>
        <w:tblLayout w:type="fixed"/>
        <w:tblLook w:val="04A0" w:firstRow="1" w:lastRow="0" w:firstColumn="1" w:lastColumn="0" w:noHBand="0" w:noVBand="1"/>
      </w:tblPr>
      <w:tblGrid>
        <w:gridCol w:w="3060"/>
        <w:gridCol w:w="3060"/>
        <w:gridCol w:w="3060"/>
      </w:tblGrid>
      <w:tr w:rsidR="000F48D1" w:rsidRPr="003766A2" w:rsidTr="000F48D1">
        <w:trPr>
          <w:cnfStyle w:val="100000000000" w:firstRow="1" w:lastRow="0" w:firstColumn="0" w:lastColumn="0" w:oddVBand="0" w:evenVBand="0" w:oddHBand="0" w:evenHBand="0" w:firstRowFirstColumn="0" w:firstRowLastColumn="0" w:lastRowFirstColumn="0" w:lastRowLastColumn="0"/>
        </w:trPr>
        <w:tc>
          <w:tcPr>
            <w:tcW w:w="3060" w:type="dxa"/>
          </w:tcPr>
          <w:p w:rsidR="000F48D1" w:rsidRPr="000F48D1" w:rsidRDefault="000F48D1" w:rsidP="00AE6D78">
            <w:pPr>
              <w:pStyle w:val="Tabletext"/>
            </w:pPr>
            <w:r>
              <w:t xml:space="preserve">Old </w:t>
            </w:r>
            <w:r w:rsidR="00C64DC5">
              <w:t>RFM</w:t>
            </w:r>
            <w:r w:rsidRPr="000F48D1">
              <w:t xml:space="preserve"> worksheets</w:t>
            </w:r>
          </w:p>
        </w:tc>
        <w:tc>
          <w:tcPr>
            <w:tcW w:w="3060" w:type="dxa"/>
          </w:tcPr>
          <w:p w:rsidR="000F48D1" w:rsidRPr="000F48D1" w:rsidRDefault="000F48D1" w:rsidP="00AE6D78">
            <w:pPr>
              <w:pStyle w:val="Tabletext"/>
            </w:pPr>
            <w:r>
              <w:t>Status</w:t>
            </w:r>
          </w:p>
        </w:tc>
        <w:tc>
          <w:tcPr>
            <w:tcW w:w="3060" w:type="dxa"/>
          </w:tcPr>
          <w:p w:rsidR="000F48D1" w:rsidRPr="000F48D1" w:rsidRDefault="000F48D1" w:rsidP="00AE6D78">
            <w:pPr>
              <w:pStyle w:val="Tabletext"/>
            </w:pPr>
            <w:r>
              <w:t xml:space="preserve">New </w:t>
            </w:r>
            <w:r w:rsidR="00C64DC5">
              <w:t>RFM</w:t>
            </w:r>
            <w:r>
              <w:t xml:space="preserve"> worksheets</w:t>
            </w:r>
          </w:p>
        </w:tc>
      </w:tr>
      <w:tr w:rsidR="000F48D1" w:rsidTr="000F48D1">
        <w:tc>
          <w:tcPr>
            <w:tcW w:w="3060" w:type="dxa"/>
          </w:tcPr>
          <w:p w:rsidR="000F48D1" w:rsidRPr="000F48D1" w:rsidRDefault="000F48D1" w:rsidP="002F10AE">
            <w:pPr>
              <w:pStyle w:val="Tabletext"/>
            </w:pPr>
            <w:r w:rsidRPr="00C1682D">
              <w:t>Intro</w:t>
            </w:r>
          </w:p>
        </w:tc>
        <w:tc>
          <w:tcPr>
            <w:tcW w:w="3060" w:type="dxa"/>
          </w:tcPr>
          <w:p w:rsidR="000F48D1" w:rsidRPr="000F48D1" w:rsidRDefault="000F48D1" w:rsidP="002F10AE">
            <w:pPr>
              <w:pStyle w:val="Tabletext"/>
            </w:pPr>
            <w:r w:rsidRPr="00C1682D">
              <w:t>Minor changes</w:t>
            </w:r>
            <w:r w:rsidRPr="000F48D1">
              <w:t xml:space="preserve"> only</w:t>
            </w:r>
          </w:p>
        </w:tc>
        <w:tc>
          <w:tcPr>
            <w:tcW w:w="3060" w:type="dxa"/>
          </w:tcPr>
          <w:p w:rsidR="000F48D1" w:rsidRPr="000F48D1" w:rsidRDefault="000F48D1" w:rsidP="002F10AE">
            <w:pPr>
              <w:pStyle w:val="Tabletext"/>
            </w:pPr>
            <w:r w:rsidRPr="00C1682D">
              <w:t>Intro</w:t>
            </w:r>
          </w:p>
        </w:tc>
      </w:tr>
      <w:tr w:rsidR="00C64DC5" w:rsidTr="000F48D1">
        <w:trPr>
          <w:cnfStyle w:val="000000010000" w:firstRow="0" w:lastRow="0" w:firstColumn="0" w:lastColumn="0" w:oddVBand="0" w:evenVBand="0" w:oddHBand="0" w:evenHBand="1" w:firstRowFirstColumn="0" w:firstRowLastColumn="0" w:lastRowFirstColumn="0" w:lastRowLastColumn="0"/>
        </w:trPr>
        <w:tc>
          <w:tcPr>
            <w:tcW w:w="3060" w:type="dxa"/>
          </w:tcPr>
          <w:p w:rsidR="00C64DC5" w:rsidRPr="00C1682D" w:rsidRDefault="00B579C6" w:rsidP="002F10AE">
            <w:pPr>
              <w:pStyle w:val="Tabletext"/>
            </w:pPr>
            <w:r>
              <w:t>N/a</w:t>
            </w:r>
          </w:p>
        </w:tc>
        <w:tc>
          <w:tcPr>
            <w:tcW w:w="3060" w:type="dxa"/>
          </w:tcPr>
          <w:p w:rsidR="00C64DC5" w:rsidRPr="00C1682D" w:rsidRDefault="0054005E" w:rsidP="002F10AE">
            <w:pPr>
              <w:pStyle w:val="Tabletext"/>
            </w:pPr>
            <w:r>
              <w:t>Added</w:t>
            </w:r>
          </w:p>
        </w:tc>
        <w:tc>
          <w:tcPr>
            <w:tcW w:w="3060" w:type="dxa"/>
          </w:tcPr>
          <w:p w:rsidR="00C64DC5" w:rsidRPr="00C1682D" w:rsidRDefault="00DD5B11" w:rsidP="002F10AE">
            <w:pPr>
              <w:pStyle w:val="Tabletext"/>
            </w:pPr>
            <w:r>
              <w:t>DMS i</w:t>
            </w:r>
            <w:r w:rsidR="0054005E">
              <w:t>nput</w:t>
            </w:r>
          </w:p>
        </w:tc>
      </w:tr>
      <w:tr w:rsidR="000F48D1" w:rsidTr="000F48D1">
        <w:tc>
          <w:tcPr>
            <w:tcW w:w="3060" w:type="dxa"/>
          </w:tcPr>
          <w:p w:rsidR="000F48D1" w:rsidRPr="000F48D1" w:rsidRDefault="000F48D1" w:rsidP="002F10AE">
            <w:pPr>
              <w:pStyle w:val="Tabletext"/>
            </w:pPr>
            <w:r w:rsidRPr="00C1682D">
              <w:t>Input</w:t>
            </w:r>
          </w:p>
        </w:tc>
        <w:tc>
          <w:tcPr>
            <w:tcW w:w="3060" w:type="dxa"/>
          </w:tcPr>
          <w:p w:rsidR="000F48D1" w:rsidRPr="000F48D1" w:rsidRDefault="000F48D1" w:rsidP="002F10AE">
            <w:pPr>
              <w:pStyle w:val="Tabletext"/>
            </w:pPr>
            <w:r w:rsidRPr="00C1682D">
              <w:t>Amended</w:t>
            </w:r>
          </w:p>
        </w:tc>
        <w:tc>
          <w:tcPr>
            <w:tcW w:w="3060" w:type="dxa"/>
          </w:tcPr>
          <w:p w:rsidR="000F48D1" w:rsidRPr="000F48D1" w:rsidRDefault="0054005E" w:rsidP="002F10AE">
            <w:pPr>
              <w:pStyle w:val="Tabletext"/>
            </w:pPr>
            <w:r>
              <w:t xml:space="preserve">RFM </w:t>
            </w:r>
            <w:r w:rsidR="00DD5B11">
              <w:t>i</w:t>
            </w:r>
            <w:r w:rsidR="000F48D1" w:rsidRPr="00C1682D">
              <w:t>nput</w:t>
            </w:r>
          </w:p>
        </w:tc>
      </w:tr>
      <w:tr w:rsidR="000F48D1" w:rsidTr="000F48D1">
        <w:trPr>
          <w:cnfStyle w:val="000000010000" w:firstRow="0" w:lastRow="0" w:firstColumn="0" w:lastColumn="0" w:oddVBand="0" w:evenVBand="0" w:oddHBand="0" w:evenHBand="1" w:firstRowFirstColumn="0" w:firstRowLastColumn="0" w:lastRowFirstColumn="0" w:lastRowLastColumn="0"/>
        </w:trPr>
        <w:tc>
          <w:tcPr>
            <w:tcW w:w="3060" w:type="dxa"/>
          </w:tcPr>
          <w:p w:rsidR="000F48D1" w:rsidRPr="000F48D1" w:rsidRDefault="000F48D1" w:rsidP="002F10AE">
            <w:pPr>
              <w:pStyle w:val="Tabletext"/>
            </w:pPr>
            <w:r w:rsidRPr="00C1682D">
              <w:t>A</w:t>
            </w:r>
            <w:r w:rsidR="0054005E">
              <w:t>djustment for previous period</w:t>
            </w:r>
          </w:p>
        </w:tc>
        <w:tc>
          <w:tcPr>
            <w:tcW w:w="3060" w:type="dxa"/>
          </w:tcPr>
          <w:p w:rsidR="000F48D1" w:rsidRPr="000F48D1" w:rsidRDefault="000F48D1" w:rsidP="002F10AE">
            <w:pPr>
              <w:pStyle w:val="Tabletext"/>
            </w:pPr>
            <w:r w:rsidRPr="00C1682D">
              <w:t>Amended</w:t>
            </w:r>
          </w:p>
        </w:tc>
        <w:tc>
          <w:tcPr>
            <w:tcW w:w="3060" w:type="dxa"/>
          </w:tcPr>
          <w:p w:rsidR="000F48D1" w:rsidRPr="000F48D1" w:rsidRDefault="0054005E" w:rsidP="002F10AE">
            <w:pPr>
              <w:pStyle w:val="Tabletext"/>
            </w:pPr>
            <w:r w:rsidRPr="0054005E">
              <w:t>Adjustment for previous period</w:t>
            </w:r>
          </w:p>
        </w:tc>
      </w:tr>
      <w:tr w:rsidR="000F48D1" w:rsidTr="000F48D1">
        <w:tc>
          <w:tcPr>
            <w:tcW w:w="3060" w:type="dxa"/>
          </w:tcPr>
          <w:p w:rsidR="000F48D1" w:rsidRPr="000F48D1" w:rsidRDefault="002E5CC2" w:rsidP="002F10AE">
            <w:pPr>
              <w:pStyle w:val="Tabletext"/>
            </w:pPr>
            <w:r>
              <w:t xml:space="preserve">Actual </w:t>
            </w:r>
            <w:r w:rsidR="0054005E">
              <w:t>RAB roll forward</w:t>
            </w:r>
          </w:p>
        </w:tc>
        <w:tc>
          <w:tcPr>
            <w:tcW w:w="3060" w:type="dxa"/>
          </w:tcPr>
          <w:p w:rsidR="000F48D1" w:rsidRPr="000F48D1" w:rsidRDefault="000F48D1" w:rsidP="002F10AE">
            <w:pPr>
              <w:pStyle w:val="Tabletext"/>
            </w:pPr>
            <w:r w:rsidRPr="00C1682D">
              <w:t>Amended</w:t>
            </w:r>
          </w:p>
        </w:tc>
        <w:tc>
          <w:tcPr>
            <w:tcW w:w="3060" w:type="dxa"/>
          </w:tcPr>
          <w:p w:rsidR="000F48D1" w:rsidRPr="000F48D1" w:rsidRDefault="0054005E" w:rsidP="002F10AE">
            <w:pPr>
              <w:pStyle w:val="Tabletext"/>
            </w:pPr>
            <w:r w:rsidRPr="0054005E">
              <w:t>RAB roll forward</w:t>
            </w:r>
          </w:p>
        </w:tc>
      </w:tr>
      <w:tr w:rsidR="000F48D1" w:rsidTr="000F48D1">
        <w:trPr>
          <w:cnfStyle w:val="000000010000" w:firstRow="0" w:lastRow="0" w:firstColumn="0" w:lastColumn="0" w:oddVBand="0" w:evenVBand="0" w:oddHBand="0" w:evenHBand="1" w:firstRowFirstColumn="0" w:firstRowLastColumn="0" w:lastRowFirstColumn="0" w:lastRowLastColumn="0"/>
        </w:trPr>
        <w:tc>
          <w:tcPr>
            <w:tcW w:w="3060" w:type="dxa"/>
          </w:tcPr>
          <w:p w:rsidR="000F48D1" w:rsidRPr="000F48D1" w:rsidRDefault="0054005E" w:rsidP="002E5CC2">
            <w:pPr>
              <w:pStyle w:val="Tabletext"/>
            </w:pPr>
            <w:r>
              <w:t xml:space="preserve">Total </w:t>
            </w:r>
            <w:r w:rsidR="002E5CC2">
              <w:t xml:space="preserve">actual </w:t>
            </w:r>
            <w:r>
              <w:t>RAB roll forward</w:t>
            </w:r>
          </w:p>
        </w:tc>
        <w:tc>
          <w:tcPr>
            <w:tcW w:w="3060" w:type="dxa"/>
          </w:tcPr>
          <w:p w:rsidR="000F48D1" w:rsidRPr="000F48D1" w:rsidRDefault="002E5CC2" w:rsidP="002F10AE">
            <w:pPr>
              <w:pStyle w:val="Tabletext"/>
            </w:pPr>
            <w:r>
              <w:t>Amended</w:t>
            </w:r>
          </w:p>
        </w:tc>
        <w:tc>
          <w:tcPr>
            <w:tcW w:w="3060" w:type="dxa"/>
          </w:tcPr>
          <w:p w:rsidR="000F48D1" w:rsidRPr="000F48D1" w:rsidRDefault="0054005E" w:rsidP="002F10AE">
            <w:pPr>
              <w:pStyle w:val="Tabletext"/>
            </w:pPr>
            <w:r w:rsidRPr="0054005E">
              <w:t>Total RAB roll forward</w:t>
            </w:r>
          </w:p>
        </w:tc>
      </w:tr>
      <w:tr w:rsidR="000F48D1" w:rsidTr="000F48D1">
        <w:tc>
          <w:tcPr>
            <w:tcW w:w="3060" w:type="dxa"/>
          </w:tcPr>
          <w:p w:rsidR="000F48D1" w:rsidRPr="00C1682D" w:rsidRDefault="0054005E" w:rsidP="002E5CC2">
            <w:pPr>
              <w:pStyle w:val="Tabletext"/>
            </w:pPr>
            <w:r>
              <w:t>T</w:t>
            </w:r>
            <w:r w:rsidR="002E5CC2">
              <w:t>ax value</w:t>
            </w:r>
            <w:r>
              <w:t xml:space="preserve"> roll forward</w:t>
            </w:r>
          </w:p>
        </w:tc>
        <w:tc>
          <w:tcPr>
            <w:tcW w:w="3060" w:type="dxa"/>
          </w:tcPr>
          <w:p w:rsidR="000F48D1" w:rsidRPr="000F48D1" w:rsidRDefault="002E5CC2" w:rsidP="002F10AE">
            <w:pPr>
              <w:pStyle w:val="Tabletext"/>
            </w:pPr>
            <w:r>
              <w:t>Amended</w:t>
            </w:r>
          </w:p>
        </w:tc>
        <w:tc>
          <w:tcPr>
            <w:tcW w:w="3060" w:type="dxa"/>
          </w:tcPr>
          <w:p w:rsidR="000F48D1" w:rsidRPr="000F48D1" w:rsidRDefault="0054005E" w:rsidP="002F10AE">
            <w:pPr>
              <w:pStyle w:val="Tabletext"/>
            </w:pPr>
            <w:r w:rsidRPr="0054005E">
              <w:t>TAB roll forward</w:t>
            </w:r>
          </w:p>
        </w:tc>
      </w:tr>
      <w:tr w:rsidR="00FF17D3" w:rsidTr="000F48D1">
        <w:trPr>
          <w:cnfStyle w:val="000000010000" w:firstRow="0" w:lastRow="0" w:firstColumn="0" w:lastColumn="0" w:oddVBand="0" w:evenVBand="0" w:oddHBand="0" w:evenHBand="1" w:firstRowFirstColumn="0" w:firstRowLastColumn="0" w:lastRowFirstColumn="0" w:lastRowLastColumn="0"/>
        </w:trPr>
        <w:tc>
          <w:tcPr>
            <w:tcW w:w="3060" w:type="dxa"/>
          </w:tcPr>
          <w:p w:rsidR="00FF17D3" w:rsidRDefault="00FF17D3" w:rsidP="002F10AE">
            <w:pPr>
              <w:pStyle w:val="Tabletext"/>
            </w:pPr>
            <w:r>
              <w:t>Asset lives roll forward</w:t>
            </w:r>
          </w:p>
        </w:tc>
        <w:tc>
          <w:tcPr>
            <w:tcW w:w="3060" w:type="dxa"/>
          </w:tcPr>
          <w:p w:rsidR="00FF17D3" w:rsidRDefault="001A5849" w:rsidP="002F10AE">
            <w:pPr>
              <w:pStyle w:val="Tabletext"/>
            </w:pPr>
            <w:r>
              <w:t>Split/amended</w:t>
            </w:r>
          </w:p>
        </w:tc>
        <w:tc>
          <w:tcPr>
            <w:tcW w:w="3060" w:type="dxa"/>
          </w:tcPr>
          <w:p w:rsidR="00FF17D3" w:rsidRPr="0054005E" w:rsidRDefault="00E47D7D" w:rsidP="009F798D">
            <w:pPr>
              <w:pStyle w:val="Tabletext"/>
            </w:pPr>
            <w:r>
              <w:t>R</w:t>
            </w:r>
            <w:r w:rsidR="00723547">
              <w:t>AB</w:t>
            </w:r>
            <w:r w:rsidR="00FF17D3">
              <w:t xml:space="preserve"> </w:t>
            </w:r>
            <w:r w:rsidR="009F798D">
              <w:t>remaining</w:t>
            </w:r>
            <w:r w:rsidR="00FF17D3">
              <w:t xml:space="preserve"> lives</w:t>
            </w:r>
          </w:p>
        </w:tc>
      </w:tr>
      <w:tr w:rsidR="000F48D1" w:rsidTr="000F48D1">
        <w:tc>
          <w:tcPr>
            <w:tcW w:w="3060" w:type="dxa"/>
          </w:tcPr>
          <w:p w:rsidR="000F48D1" w:rsidRPr="00C1682D" w:rsidRDefault="0054005E" w:rsidP="002F10AE">
            <w:pPr>
              <w:pStyle w:val="Tabletext"/>
            </w:pPr>
            <w:r>
              <w:t>Asset lives roll forward</w:t>
            </w:r>
          </w:p>
        </w:tc>
        <w:tc>
          <w:tcPr>
            <w:tcW w:w="3060" w:type="dxa"/>
          </w:tcPr>
          <w:p w:rsidR="000F48D1" w:rsidRPr="000F48D1" w:rsidRDefault="001A5849" w:rsidP="001A5849">
            <w:pPr>
              <w:pStyle w:val="Tabletext"/>
            </w:pPr>
            <w:r>
              <w:t>Split/amended</w:t>
            </w:r>
          </w:p>
        </w:tc>
        <w:tc>
          <w:tcPr>
            <w:tcW w:w="3060" w:type="dxa"/>
          </w:tcPr>
          <w:p w:rsidR="000F48D1" w:rsidRPr="000F48D1" w:rsidRDefault="00E47D7D" w:rsidP="009F798D">
            <w:pPr>
              <w:pStyle w:val="Tabletext"/>
            </w:pPr>
            <w:r>
              <w:t xml:space="preserve">TAB </w:t>
            </w:r>
            <w:r w:rsidR="009F798D">
              <w:t>remaining</w:t>
            </w:r>
            <w:r w:rsidR="00FF17D3">
              <w:t xml:space="preserve"> lives</w:t>
            </w:r>
          </w:p>
        </w:tc>
      </w:tr>
      <w:tr w:rsidR="000F48D1" w:rsidRPr="00C1682D" w:rsidTr="000F48D1">
        <w:trPr>
          <w:cnfStyle w:val="000000010000" w:firstRow="0" w:lastRow="0" w:firstColumn="0" w:lastColumn="0" w:oddVBand="0" w:evenVBand="0" w:oddHBand="0" w:evenHBand="1" w:firstRowFirstColumn="0" w:firstRowLastColumn="0" w:lastRowFirstColumn="0" w:lastRowLastColumn="0"/>
        </w:trPr>
        <w:tc>
          <w:tcPr>
            <w:tcW w:w="3060" w:type="dxa"/>
          </w:tcPr>
          <w:p w:rsidR="000F48D1" w:rsidRPr="000F48D1" w:rsidRDefault="001D1582" w:rsidP="002F10AE">
            <w:pPr>
              <w:pStyle w:val="Tabletext"/>
            </w:pPr>
            <w:r>
              <w:t>Output summary</w:t>
            </w:r>
          </w:p>
        </w:tc>
        <w:tc>
          <w:tcPr>
            <w:tcW w:w="3060" w:type="dxa"/>
          </w:tcPr>
          <w:p w:rsidR="000F48D1" w:rsidRPr="000F48D1" w:rsidRDefault="002E5CC2" w:rsidP="002F10AE">
            <w:pPr>
              <w:pStyle w:val="Tabletext"/>
            </w:pPr>
            <w:r>
              <w:t>Minor changes only</w:t>
            </w:r>
          </w:p>
        </w:tc>
        <w:tc>
          <w:tcPr>
            <w:tcW w:w="3060" w:type="dxa"/>
          </w:tcPr>
          <w:p w:rsidR="000F48D1" w:rsidRPr="000F48D1" w:rsidRDefault="0054005E" w:rsidP="002F10AE">
            <w:pPr>
              <w:pStyle w:val="Tabletext"/>
            </w:pPr>
            <w:r>
              <w:t xml:space="preserve">PTRM input </w:t>
            </w:r>
            <w:r w:rsidR="002E5CC2">
              <w:t>summary</w:t>
            </w:r>
          </w:p>
        </w:tc>
      </w:tr>
    </w:tbl>
    <w:p w:rsidR="00CF6035" w:rsidRPr="00CF6035" w:rsidRDefault="00C64DC5" w:rsidP="00CF6035">
      <w:r w:rsidRPr="00C64DC5">
        <w:t xml:space="preserve">The proposed amended </w:t>
      </w:r>
      <w:r>
        <w:t>RFM and handbook are</w:t>
      </w:r>
      <w:r w:rsidRPr="00C64DC5">
        <w:t xml:space="preserve"> at appendices A and B respectively. </w:t>
      </w:r>
      <w:r>
        <w:t>The changes are now discussed in more detail.</w:t>
      </w:r>
    </w:p>
    <w:p w:rsidR="003A57C4" w:rsidRDefault="00A80D63" w:rsidP="003A57C4">
      <w:pPr>
        <w:pStyle w:val="Heading2"/>
      </w:pPr>
      <w:bookmarkStart w:id="25" w:name="_Toc423697143"/>
      <w:r>
        <w:t xml:space="preserve">Accommodating </w:t>
      </w:r>
      <w:r w:rsidR="001D1582">
        <w:t>the</w:t>
      </w:r>
      <w:r>
        <w:t xml:space="preserve"> a</w:t>
      </w:r>
      <w:r w:rsidR="003A57C4">
        <w:t>s-commissioned opening RAB</w:t>
      </w:r>
      <w:bookmarkEnd w:id="25"/>
      <w:r w:rsidR="003A57C4">
        <w:t xml:space="preserve"> </w:t>
      </w:r>
    </w:p>
    <w:p w:rsidR="003A57C4" w:rsidRDefault="008F16DE" w:rsidP="003A57C4">
      <w:r>
        <w:t>We</w:t>
      </w:r>
      <w:r w:rsidR="00C45EDF" w:rsidRPr="00C45EDF">
        <w:t xml:space="preserve"> appl</w:t>
      </w:r>
      <w:r>
        <w:t>y</w:t>
      </w:r>
      <w:r w:rsidR="00C45EDF" w:rsidRPr="00C45EDF">
        <w:t xml:space="preserve"> a partially as-incurred approach to the recognition of capex</w:t>
      </w:r>
      <w:r w:rsidR="002E5CC2">
        <w:t xml:space="preserve"> for TNSPs</w:t>
      </w:r>
      <w:r w:rsidR="00C45EDF" w:rsidRPr="00C45EDF">
        <w:t>. Capex can be recognised as it is incurred (spent) or when the asset is commissioned (put into service). In the PTRM</w:t>
      </w:r>
      <w:r w:rsidR="002E5CC2">
        <w:t xml:space="preserve"> for TNSPs</w:t>
      </w:r>
      <w:r w:rsidR="00C45EDF" w:rsidRPr="00C45EDF">
        <w:t>, the partially as-incurred approach provides for the return on capital to be calculated using a RAB determined on an as-incurred basis and the return of capital (regulatory depreciation) is calculated using a RAB determined on an as-commissioned basis.</w:t>
      </w:r>
    </w:p>
    <w:p w:rsidR="00DB082F" w:rsidRDefault="00196D1E" w:rsidP="003A57C4">
      <w:r>
        <w:t>V</w:t>
      </w:r>
      <w:r w:rsidR="00BD56D3">
        <w:t xml:space="preserve">ersion 2 </w:t>
      </w:r>
      <w:r>
        <w:t xml:space="preserve">of the RFM </w:t>
      </w:r>
      <w:r w:rsidR="00DB082F">
        <w:t xml:space="preserve">was modified </w:t>
      </w:r>
      <w:r>
        <w:t xml:space="preserve">to allow </w:t>
      </w:r>
      <w:r w:rsidR="00E47D7D">
        <w:t xml:space="preserve">the roll forward of </w:t>
      </w:r>
      <w:r>
        <w:t>two</w:t>
      </w:r>
      <w:r w:rsidR="00DB082F">
        <w:t xml:space="preserve"> closing RAB</w:t>
      </w:r>
      <w:r>
        <w:t>s</w:t>
      </w:r>
      <w:r w:rsidR="00DB082F">
        <w:t xml:space="preserve"> </w:t>
      </w:r>
      <w:r w:rsidR="00DB082F" w:rsidRPr="00F009C2">
        <w:t>based on as-c</w:t>
      </w:r>
      <w:r w:rsidR="00DB082F">
        <w:t>ommissioned capex</w:t>
      </w:r>
      <w:r>
        <w:t xml:space="preserve"> and as-incurred capex</w:t>
      </w:r>
      <w:r w:rsidR="00E47D7D">
        <w:t>. This was because</w:t>
      </w:r>
      <w:r>
        <w:t xml:space="preserve"> all </w:t>
      </w:r>
      <w:r w:rsidRPr="00DB082F">
        <w:t xml:space="preserve">TNSPs transitioned </w:t>
      </w:r>
      <w:r>
        <w:t xml:space="preserve">from a single RAB </w:t>
      </w:r>
      <w:r w:rsidRPr="00DB082F">
        <w:t>to recognising capex under the partially as-incurred approach</w:t>
      </w:r>
      <w:r w:rsidR="00E47D7D">
        <w:t xml:space="preserve"> resulting in the need to keep track of</w:t>
      </w:r>
      <w:r>
        <w:t xml:space="preserve"> two RABs</w:t>
      </w:r>
      <w:r w:rsidR="00DB082F">
        <w:t>. Th</w:t>
      </w:r>
      <w:r>
        <w:t>e change</w:t>
      </w:r>
      <w:r w:rsidR="00DB082F">
        <w:t xml:space="preserve"> was</w:t>
      </w:r>
      <w:r>
        <w:t xml:space="preserve"> consistent with the </w:t>
      </w:r>
      <w:r w:rsidR="00DB082F" w:rsidRPr="00DB082F">
        <w:t xml:space="preserve">PTRM </w:t>
      </w:r>
      <w:r w:rsidR="00DB082F">
        <w:t>which</w:t>
      </w:r>
      <w:r w:rsidR="00DB082F" w:rsidRPr="00DB082F">
        <w:t xml:space="preserve"> require</w:t>
      </w:r>
      <w:r w:rsidR="002E5CC2">
        <w:t>d</w:t>
      </w:r>
      <w:r w:rsidR="00DB082F" w:rsidRPr="00DB082F">
        <w:t xml:space="preserve"> inputs for </w:t>
      </w:r>
      <w:r>
        <w:t xml:space="preserve">the two </w:t>
      </w:r>
      <w:r w:rsidR="00DB082F" w:rsidRPr="00DB082F">
        <w:t>separate RABs</w:t>
      </w:r>
      <w:r>
        <w:t xml:space="preserve">. Version 2 of the RFM, however, only </w:t>
      </w:r>
      <w:r w:rsidR="00E47D7D">
        <w:t xml:space="preserve">accommodated </w:t>
      </w:r>
      <w:r>
        <w:t>a single RAB as an input to itself.</w:t>
      </w:r>
    </w:p>
    <w:p w:rsidR="003E4661" w:rsidRDefault="00A80D63" w:rsidP="00E412BA">
      <w:r>
        <w:t xml:space="preserve">For the next round of transmission determinations the </w:t>
      </w:r>
      <w:r w:rsidR="00C45EDF">
        <w:t xml:space="preserve">RFM </w:t>
      </w:r>
      <w:r>
        <w:t xml:space="preserve">will also require </w:t>
      </w:r>
      <w:r w:rsidR="008E189E">
        <w:t xml:space="preserve">these </w:t>
      </w:r>
      <w:r w:rsidR="00196D1E">
        <w:t xml:space="preserve">two </w:t>
      </w:r>
      <w:r>
        <w:t xml:space="preserve">separate RAB inputs consistent with the PTRM. To </w:t>
      </w:r>
      <w:r w:rsidR="00C45EDF">
        <w:t xml:space="preserve">accommodate </w:t>
      </w:r>
      <w:r w:rsidR="008E189E">
        <w:t xml:space="preserve">the </w:t>
      </w:r>
      <w:r>
        <w:t xml:space="preserve">separate opening RAB values—one based </w:t>
      </w:r>
      <w:r w:rsidRPr="00DB082F">
        <w:t>on rolling in as-commissioned capex and another based on rolling in as-incurred capex</w:t>
      </w:r>
      <w:r w:rsidR="008E189E">
        <w:t>—</w:t>
      </w:r>
      <w:r w:rsidRPr="00A80D63">
        <w:t xml:space="preserve">amendments have been made to the </w:t>
      </w:r>
      <w:r w:rsidR="008E189E">
        <w:t>'</w:t>
      </w:r>
      <w:r w:rsidR="008E189E">
        <w:rPr>
          <w:rStyle w:val="Emphasis"/>
        </w:rPr>
        <w:t xml:space="preserve">RFM </w:t>
      </w:r>
      <w:r w:rsidR="002E5CC2">
        <w:rPr>
          <w:rStyle w:val="Emphasis"/>
        </w:rPr>
        <w:t>i</w:t>
      </w:r>
      <w:r>
        <w:rPr>
          <w:rStyle w:val="Emphasis"/>
        </w:rPr>
        <w:t>nput</w:t>
      </w:r>
      <w:r w:rsidR="008E189E">
        <w:rPr>
          <w:rStyle w:val="Emphasis"/>
        </w:rPr>
        <w:t>'</w:t>
      </w:r>
      <w:r w:rsidRPr="00A80D63">
        <w:t xml:space="preserve"> </w:t>
      </w:r>
      <w:r w:rsidR="003E4661">
        <w:t>worksheet</w:t>
      </w:r>
      <w:r w:rsidRPr="00A80D63">
        <w:t xml:space="preserve"> in the </w:t>
      </w:r>
      <w:r w:rsidR="00203097">
        <w:t xml:space="preserve">proposed </w:t>
      </w:r>
      <w:r w:rsidRPr="00A80D63">
        <w:t>RFM</w:t>
      </w:r>
      <w:r w:rsidR="002E5CC2">
        <w:t xml:space="preserve"> to allow for inputs associated with the as-commissioned RAB</w:t>
      </w:r>
      <w:r w:rsidRPr="00A80D63">
        <w:t>.</w:t>
      </w:r>
      <w:r w:rsidR="003E4661">
        <w:t xml:space="preserve"> The formulae on the </w:t>
      </w:r>
      <w:r w:rsidR="0029723E">
        <w:t xml:space="preserve">RAB roll forward </w:t>
      </w:r>
      <w:r w:rsidR="003E4661">
        <w:t>calculation</w:t>
      </w:r>
      <w:r w:rsidR="0029723E">
        <w:t>s for the '</w:t>
      </w:r>
      <w:r w:rsidR="0029723E" w:rsidRPr="00AE6D78">
        <w:rPr>
          <w:rStyle w:val="Emphasis"/>
        </w:rPr>
        <w:t>Adjustment for previous period'</w:t>
      </w:r>
      <w:r w:rsidR="0029723E">
        <w:t>, '</w:t>
      </w:r>
      <w:r w:rsidR="0029723E" w:rsidRPr="00AE6D78">
        <w:rPr>
          <w:rStyle w:val="Emphasis"/>
        </w:rPr>
        <w:t>RAB roll forward'</w:t>
      </w:r>
      <w:r w:rsidR="0029723E">
        <w:t>, '</w:t>
      </w:r>
      <w:r w:rsidR="0029723E" w:rsidRPr="00AE6D78">
        <w:rPr>
          <w:rStyle w:val="Emphasis"/>
        </w:rPr>
        <w:t>Total RAB roll forward'</w:t>
      </w:r>
      <w:r w:rsidR="0029723E">
        <w:t xml:space="preserve"> and '</w:t>
      </w:r>
      <w:r w:rsidR="0029723E" w:rsidRPr="00AE6D78">
        <w:rPr>
          <w:rStyle w:val="Emphasis"/>
        </w:rPr>
        <w:t>TAB roll forward'</w:t>
      </w:r>
      <w:r w:rsidR="003E4661">
        <w:t xml:space="preserve"> worksheets have also been amended to accommodate these inputs. </w:t>
      </w:r>
    </w:p>
    <w:p w:rsidR="000F48D1" w:rsidRDefault="000F48D1" w:rsidP="000F48D1">
      <w:pPr>
        <w:pStyle w:val="Heading2"/>
      </w:pPr>
      <w:bookmarkStart w:id="26" w:name="_Toc423697144"/>
      <w:r>
        <w:t xml:space="preserve">Forecast </w:t>
      </w:r>
      <w:r w:rsidR="00286829">
        <w:t xml:space="preserve">or actual </w:t>
      </w:r>
      <w:r>
        <w:t>depreciation</w:t>
      </w:r>
      <w:r w:rsidR="00286829">
        <w:t xml:space="preserve"> in RAB roll forward</w:t>
      </w:r>
      <w:bookmarkEnd w:id="26"/>
    </w:p>
    <w:p w:rsidR="00C70DFA" w:rsidRDefault="00CF32FB" w:rsidP="00185CB9">
      <w:r>
        <w:t xml:space="preserve">To date, all versions of the RFM calculated </w:t>
      </w:r>
      <w:r w:rsidR="008E189E">
        <w:t xml:space="preserve">the </w:t>
      </w:r>
      <w:r>
        <w:t>depreciation based on actual capex</w:t>
      </w:r>
      <w:r w:rsidR="008F16DE" w:rsidRPr="008F16DE">
        <w:t xml:space="preserve"> </w:t>
      </w:r>
      <w:r w:rsidR="008F16DE">
        <w:t>for use in the RAB roll forward</w:t>
      </w:r>
      <w:r>
        <w:t xml:space="preserve">. This approach is </w:t>
      </w:r>
      <w:r w:rsidR="008F16DE">
        <w:t>referred to as</w:t>
      </w:r>
      <w:r>
        <w:t xml:space="preserve"> an 'actual depreciation' approach. </w:t>
      </w:r>
      <w:r w:rsidR="00117E1C">
        <w:t>The use of actual depreciation reflected in part that there was no capex incentive schemes applied in the past</w:t>
      </w:r>
      <w:r w:rsidR="00196D1E">
        <w:t xml:space="preserve">. Under an actual depreciation approach the </w:t>
      </w:r>
      <w:r w:rsidR="00E47D7D">
        <w:t>TNSP</w:t>
      </w:r>
      <w:r w:rsidR="00196D1E">
        <w:t xml:space="preserve"> keeps the difference between actual and forecast depreciation </w:t>
      </w:r>
      <w:r w:rsidR="00E47D7D">
        <w:t xml:space="preserve">over the regulatory control period </w:t>
      </w:r>
      <w:r w:rsidR="00196D1E">
        <w:t>if it can reduce its actual capex below th</w:t>
      </w:r>
      <w:r w:rsidR="00E47D7D">
        <w:t>e amount th</w:t>
      </w:r>
      <w:r w:rsidR="00196D1E">
        <w:t xml:space="preserve">at </w:t>
      </w:r>
      <w:r w:rsidR="00E47D7D">
        <w:t xml:space="preserve">was </w:t>
      </w:r>
      <w:r w:rsidR="00196D1E">
        <w:t>forecast</w:t>
      </w:r>
      <w:r w:rsidR="00117E1C">
        <w:t xml:space="preserve">. </w:t>
      </w:r>
    </w:p>
    <w:p w:rsidR="00CF32FB" w:rsidRDefault="00CF32FB" w:rsidP="00185CB9">
      <w:r>
        <w:t xml:space="preserve">However, in recent decisions </w:t>
      </w:r>
      <w:r w:rsidR="008F16DE">
        <w:t xml:space="preserve">and based on the development of our </w:t>
      </w:r>
      <w:r w:rsidR="008F16DE" w:rsidRPr="00B50F12">
        <w:rPr>
          <w:rStyle w:val="Emphasis"/>
        </w:rPr>
        <w:t>Capital expenditure incentive guideline</w:t>
      </w:r>
      <w:r w:rsidR="008F16DE">
        <w:t>, we applied</w:t>
      </w:r>
      <w:r w:rsidR="00117E1C">
        <w:t xml:space="preserve"> </w:t>
      </w:r>
      <w:r w:rsidR="008F16DE">
        <w:t>the</w:t>
      </w:r>
      <w:r w:rsidR="00117E1C">
        <w:t xml:space="preserve"> </w:t>
      </w:r>
      <w:r w:rsidR="00F0627F">
        <w:t xml:space="preserve">CESS </w:t>
      </w:r>
      <w:r w:rsidR="00117E1C">
        <w:t xml:space="preserve">and </w:t>
      </w:r>
      <w:r>
        <w:t>decided that in future a 'forecast depreciation' approach</w:t>
      </w:r>
      <w:r w:rsidR="00F0627F">
        <w:t>—</w:t>
      </w:r>
      <w:r>
        <w:t>where the real forecast depreciation amount (based on forecast capex) approved at the last reset</w:t>
      </w:r>
      <w:r w:rsidR="008F16DE">
        <w:t xml:space="preserve"> for </w:t>
      </w:r>
      <w:r w:rsidR="00B363F8">
        <w:t>the</w:t>
      </w:r>
      <w:r w:rsidR="008F16DE">
        <w:t xml:space="preserve"> TNSP</w:t>
      </w:r>
      <w:r w:rsidR="00F0627F">
        <w:t>—be used to roll forward the RAB</w:t>
      </w:r>
      <w:r>
        <w:t>.</w:t>
      </w:r>
      <w:r w:rsidR="00117E1C">
        <w:rPr>
          <w:rStyle w:val="FootnoteReference"/>
        </w:rPr>
        <w:footnoteReference w:id="12"/>
      </w:r>
      <w:r>
        <w:t xml:space="preserve"> Using the forecast depreciation amount to roll forward the RAB means a service provider w</w:t>
      </w:r>
      <w:r w:rsidR="00B363F8">
        <w:t>ould</w:t>
      </w:r>
      <w:r>
        <w:t xml:space="preserve"> not receive any windfall gain/loss in terms of depreciation from actual capex being different from that forecast.</w:t>
      </w:r>
      <w:r w:rsidR="006B049F">
        <w:rPr>
          <w:rStyle w:val="FootnoteReference"/>
        </w:rPr>
        <w:footnoteReference w:id="13"/>
      </w:r>
      <w:r>
        <w:t xml:space="preserve"> The forecast depreciation subtracted from the RAB </w:t>
      </w:r>
      <w:r w:rsidR="00203097">
        <w:t>therefore reflects</w:t>
      </w:r>
      <w:r>
        <w:t xml:space="preserve"> the amount that was recovered by the </w:t>
      </w:r>
      <w:r w:rsidR="00203097">
        <w:t>TNSP</w:t>
      </w:r>
      <w:r>
        <w:t xml:space="preserve"> during the regulatory control period. </w:t>
      </w:r>
    </w:p>
    <w:p w:rsidR="000F6A7D" w:rsidRDefault="006B049F" w:rsidP="000F6A7D">
      <w:r>
        <w:t xml:space="preserve">Accordingly, </w:t>
      </w:r>
      <w:r w:rsidR="00615BE0">
        <w:t>we have created a section for recording forecast depreciation inputs in the '</w:t>
      </w:r>
      <w:r w:rsidR="00615BE0" w:rsidRPr="00AE6D78">
        <w:rPr>
          <w:rStyle w:val="Emphasis"/>
        </w:rPr>
        <w:t xml:space="preserve">RFM </w:t>
      </w:r>
      <w:r w:rsidR="00615BE0">
        <w:rPr>
          <w:rStyle w:val="Emphasis"/>
        </w:rPr>
        <w:t>i</w:t>
      </w:r>
      <w:r w:rsidR="00615BE0" w:rsidRPr="00AE6D78">
        <w:rPr>
          <w:rStyle w:val="Emphasis"/>
        </w:rPr>
        <w:t>nput</w:t>
      </w:r>
      <w:r w:rsidR="00615BE0" w:rsidRPr="00837CBA">
        <w:rPr>
          <w:rStyle w:val="Emphasis"/>
        </w:rPr>
        <w:t>'</w:t>
      </w:r>
      <w:r w:rsidR="00615BE0">
        <w:t xml:space="preserve"> worksheet of </w:t>
      </w:r>
      <w:r>
        <w:t>t</w:t>
      </w:r>
      <w:r w:rsidR="00CF32FB">
        <w:t xml:space="preserve">he </w:t>
      </w:r>
      <w:r w:rsidR="00203097">
        <w:t xml:space="preserve">proposed </w:t>
      </w:r>
      <w:r w:rsidR="00CF32FB">
        <w:t xml:space="preserve">RFM. </w:t>
      </w:r>
      <w:r w:rsidR="00F0627F">
        <w:t>T</w:t>
      </w:r>
      <w:r w:rsidR="00CF32FB">
        <w:t xml:space="preserve">he </w:t>
      </w:r>
      <w:r w:rsidR="00F0627F">
        <w:t xml:space="preserve">formulae in the </w:t>
      </w:r>
      <w:r w:rsidR="008E189E">
        <w:t>'</w:t>
      </w:r>
      <w:r w:rsidR="00CF32FB" w:rsidRPr="00AE6D78">
        <w:rPr>
          <w:rStyle w:val="Emphasis"/>
        </w:rPr>
        <w:t>RAB roll forward</w:t>
      </w:r>
      <w:r w:rsidR="008E189E">
        <w:rPr>
          <w:rStyle w:val="Emphasis"/>
        </w:rPr>
        <w:t>'</w:t>
      </w:r>
      <w:r w:rsidR="00CF32FB">
        <w:t xml:space="preserve"> </w:t>
      </w:r>
      <w:r w:rsidR="00630A38">
        <w:t xml:space="preserve">and </w:t>
      </w:r>
      <w:r w:rsidR="008E189E">
        <w:t>'</w:t>
      </w:r>
      <w:r w:rsidR="00630A38" w:rsidRPr="00AE6D78">
        <w:rPr>
          <w:rStyle w:val="Emphasis"/>
        </w:rPr>
        <w:t>Total RAB roll forward</w:t>
      </w:r>
      <w:r w:rsidR="008E189E">
        <w:rPr>
          <w:rStyle w:val="Emphasis"/>
        </w:rPr>
        <w:t>'</w:t>
      </w:r>
      <w:r w:rsidR="00630A38">
        <w:t xml:space="preserve"> work</w:t>
      </w:r>
      <w:r w:rsidR="00CF32FB">
        <w:t>sheet</w:t>
      </w:r>
      <w:r w:rsidR="008E189E">
        <w:t>s</w:t>
      </w:r>
      <w:r>
        <w:t xml:space="preserve"> </w:t>
      </w:r>
      <w:r w:rsidR="008E189E">
        <w:t>have</w:t>
      </w:r>
      <w:r w:rsidR="00F0627F">
        <w:t xml:space="preserve"> also been amended </w:t>
      </w:r>
      <w:r>
        <w:t>to allow either the forecast depreciation approach or actual depreciation approach to be used to roll forward the RAB. The forecast depreciation</w:t>
      </w:r>
      <w:r w:rsidR="00837CBA">
        <w:t xml:space="preserve"> amounts</w:t>
      </w:r>
      <w:r>
        <w:t xml:space="preserve"> </w:t>
      </w:r>
      <w:r w:rsidR="00837CBA">
        <w:t>are</w:t>
      </w:r>
      <w:r>
        <w:t xml:space="preserve"> entered in real terms, so that actual inflation is </w:t>
      </w:r>
      <w:r w:rsidR="00837CBA">
        <w:t>applied as part of</w:t>
      </w:r>
      <w:r>
        <w:t xml:space="preserve"> the RAB</w:t>
      </w:r>
      <w:r w:rsidR="00837CBA">
        <w:t xml:space="preserve"> roll forward</w:t>
      </w:r>
      <w:r>
        <w:t>, consistent with other components of the RAB.</w:t>
      </w:r>
      <w:r w:rsidR="00F0627F" w:rsidRPr="00F0627F">
        <w:t xml:space="preserve"> </w:t>
      </w:r>
    </w:p>
    <w:p w:rsidR="00FF17D3" w:rsidRDefault="00FF17D3" w:rsidP="00B0421C">
      <w:pPr>
        <w:pStyle w:val="Heading2"/>
      </w:pPr>
      <w:bookmarkStart w:id="27" w:name="_Toc423697145"/>
      <w:r>
        <w:t>Remaining asset lives</w:t>
      </w:r>
      <w:bookmarkEnd w:id="27"/>
    </w:p>
    <w:p w:rsidR="00FF17D3" w:rsidRDefault="00FF17D3" w:rsidP="000F6A7D">
      <w:r>
        <w:t xml:space="preserve">The adoption of forecast depreciation </w:t>
      </w:r>
      <w:r w:rsidR="00E47D7D">
        <w:t xml:space="preserve">in the RAB roll forward </w:t>
      </w:r>
      <w:r>
        <w:t xml:space="preserve">requires a modification to the way the weighted average remaining asset lives </w:t>
      </w:r>
      <w:r w:rsidR="00C36528">
        <w:t>(WARL) of each asset class is</w:t>
      </w:r>
      <w:r>
        <w:t xml:space="preserve"> calculated for the RAB. This is because </w:t>
      </w:r>
      <w:r w:rsidR="00C36528">
        <w:t xml:space="preserve">any </w:t>
      </w:r>
      <w:r>
        <w:t xml:space="preserve">differences between forecast and actual capex </w:t>
      </w:r>
      <w:r w:rsidR="00C36528">
        <w:t>could impact the weighting of the old and new assets.</w:t>
      </w:r>
      <w:r w:rsidR="001870B3">
        <w:rPr>
          <w:rStyle w:val="FootnoteReference"/>
        </w:rPr>
        <w:footnoteReference w:id="14"/>
      </w:r>
      <w:r w:rsidR="00C36528">
        <w:t xml:space="preserve"> The distortion created by any forecast error could result in </w:t>
      </w:r>
      <w:r w:rsidR="00C36528" w:rsidRPr="00C36528">
        <w:t>a</w:t>
      </w:r>
      <w:r w:rsidR="00C36528">
        <w:t>n</w:t>
      </w:r>
      <w:r w:rsidR="00C36528" w:rsidRPr="00C36528">
        <w:t xml:space="preserve"> </w:t>
      </w:r>
      <w:r w:rsidR="00C36528">
        <w:t xml:space="preserve">asset life </w:t>
      </w:r>
      <w:r w:rsidR="00C36528" w:rsidRPr="00C36528">
        <w:t xml:space="preserve">that </w:t>
      </w:r>
      <w:r w:rsidR="00C36528">
        <w:t xml:space="preserve">does not </w:t>
      </w:r>
      <w:r w:rsidR="00C36528" w:rsidRPr="00C36528">
        <w:t>re</w:t>
      </w:r>
      <w:r w:rsidR="003510FC">
        <w:t>flect</w:t>
      </w:r>
      <w:r w:rsidR="00C36528">
        <w:t xml:space="preserve"> the nature of the asset class </w:t>
      </w:r>
      <w:r w:rsidR="00C36528" w:rsidRPr="00C36528">
        <w:t xml:space="preserve">over the economic life of that asset </w:t>
      </w:r>
      <w:r w:rsidR="00C36528">
        <w:t>class.</w:t>
      </w:r>
      <w:r w:rsidR="00C36528">
        <w:rPr>
          <w:rStyle w:val="FootnoteReference"/>
        </w:rPr>
        <w:footnoteReference w:id="15"/>
      </w:r>
    </w:p>
    <w:p w:rsidR="0016228F" w:rsidRDefault="00C36528" w:rsidP="000F6A7D">
      <w:r>
        <w:t xml:space="preserve">To prevent any forecast error in capex from distorting the WARL, we have extended the </w:t>
      </w:r>
      <w:r w:rsidR="00BE66A5">
        <w:t>current</w:t>
      </w:r>
      <w:r>
        <w:t xml:space="preserve"> calculat</w:t>
      </w:r>
      <w:r w:rsidR="00BE66A5">
        <w:t>ions</w:t>
      </w:r>
      <w:r>
        <w:t xml:space="preserve"> </w:t>
      </w:r>
      <w:r w:rsidR="008661CE">
        <w:t>and propose to track the remaining asset life of each capital expenditure individual</w:t>
      </w:r>
      <w:r w:rsidR="00EF32FB">
        <w:t>ly</w:t>
      </w:r>
      <w:r w:rsidR="00BE66A5">
        <w:t xml:space="preserve"> over the period of its standard life</w:t>
      </w:r>
      <w:r w:rsidR="008661CE">
        <w:t xml:space="preserve">. Version 2 of the RFM calculated the WARL only over the 5 years of the </w:t>
      </w:r>
      <w:r w:rsidR="00EF32FB">
        <w:t xml:space="preserve">current </w:t>
      </w:r>
      <w:r w:rsidR="008661CE">
        <w:t>regulatory control period. Version 3 of the RFM will allow the WARL to be calculated over multiple regulatory control period</w:t>
      </w:r>
      <w:r w:rsidR="00EF32FB">
        <w:t>s</w:t>
      </w:r>
      <w:r w:rsidR="008661CE">
        <w:t>. For example, after 20 years of using version 3 of the RFM there w</w:t>
      </w:r>
      <w:r w:rsidR="00C40BC1">
        <w:t>ould</w:t>
      </w:r>
      <w:r w:rsidR="008661CE">
        <w:t xml:space="preserve"> be 20 individual capex expenditures for each asset class with their remaining lives individually tracked.</w:t>
      </w:r>
      <w:r w:rsidR="00B41C49">
        <w:rPr>
          <w:rStyle w:val="FootnoteReference"/>
        </w:rPr>
        <w:footnoteReference w:id="16"/>
      </w:r>
      <w:r w:rsidR="008661CE">
        <w:t xml:space="preserve"> These individual lives are then weighted by the expected remaining value of these assets </w:t>
      </w:r>
      <w:r w:rsidR="00BE66A5">
        <w:t>depreciated under</w:t>
      </w:r>
      <w:r w:rsidR="008661CE">
        <w:t xml:space="preserve"> a straight</w:t>
      </w:r>
      <w:r w:rsidR="00BE66A5">
        <w:t>-</w:t>
      </w:r>
      <w:r w:rsidR="008661CE">
        <w:t>line method and based on the expected standard life of the asset</w:t>
      </w:r>
      <w:r w:rsidR="00EF32FB">
        <w:t xml:space="preserve"> at the time they were acquired</w:t>
      </w:r>
      <w:r w:rsidR="008661CE">
        <w:t>.</w:t>
      </w:r>
    </w:p>
    <w:p w:rsidR="008661CE" w:rsidRPr="000F6A7D" w:rsidRDefault="00EF32FB" w:rsidP="000F6A7D">
      <w:r>
        <w:t>These calculations are made</w:t>
      </w:r>
      <w:r w:rsidR="008661CE">
        <w:t xml:space="preserve"> in the </w:t>
      </w:r>
      <w:r w:rsidR="009F798D">
        <w:t>'</w:t>
      </w:r>
      <w:r w:rsidR="004A0E3E">
        <w:rPr>
          <w:rStyle w:val="Emphasis"/>
        </w:rPr>
        <w:t xml:space="preserve">RAB </w:t>
      </w:r>
      <w:r w:rsidR="009F798D">
        <w:rPr>
          <w:rStyle w:val="Emphasis"/>
        </w:rPr>
        <w:t>remaining</w:t>
      </w:r>
      <w:r w:rsidR="008661CE" w:rsidRPr="00B0421C">
        <w:rPr>
          <w:rStyle w:val="Emphasis"/>
        </w:rPr>
        <w:t xml:space="preserve"> lives'</w:t>
      </w:r>
      <w:r w:rsidR="008661CE">
        <w:t xml:space="preserve"> worksheet for the RAB and the </w:t>
      </w:r>
      <w:r w:rsidR="009F798D">
        <w:t>'</w:t>
      </w:r>
      <w:r w:rsidR="008661CE" w:rsidRPr="00B0421C">
        <w:rPr>
          <w:rStyle w:val="Emphasis"/>
        </w:rPr>
        <w:t>T</w:t>
      </w:r>
      <w:r w:rsidR="004A0E3E">
        <w:rPr>
          <w:rStyle w:val="Emphasis"/>
        </w:rPr>
        <w:t>AB</w:t>
      </w:r>
      <w:r w:rsidR="008661CE" w:rsidRPr="00B0421C">
        <w:rPr>
          <w:rStyle w:val="Emphasis"/>
        </w:rPr>
        <w:t xml:space="preserve"> </w:t>
      </w:r>
      <w:r w:rsidR="009F798D">
        <w:rPr>
          <w:rStyle w:val="Emphasis"/>
        </w:rPr>
        <w:t>remaining</w:t>
      </w:r>
      <w:r w:rsidR="008661CE" w:rsidRPr="00B0421C">
        <w:rPr>
          <w:rStyle w:val="Emphasis"/>
        </w:rPr>
        <w:t xml:space="preserve"> lives'</w:t>
      </w:r>
      <w:r w:rsidR="008661CE">
        <w:t xml:space="preserve"> worksheet</w:t>
      </w:r>
      <w:r>
        <w:t xml:space="preserve"> for the tax asset base (T</w:t>
      </w:r>
      <w:r w:rsidR="008661CE">
        <w:t>AB</w:t>
      </w:r>
      <w:r>
        <w:t>).</w:t>
      </w:r>
      <w:r w:rsidR="00B50970">
        <w:t xml:space="preserve"> These two worksheets are also set up to </w:t>
      </w:r>
      <w:r>
        <w:t xml:space="preserve">accommodate the historical capex data </w:t>
      </w:r>
      <w:r w:rsidR="00B50970">
        <w:t xml:space="preserve">(that is, capex </w:t>
      </w:r>
      <w:r w:rsidR="009E04DE">
        <w:t>commissioned in one regulatory control period where this tracking started becomes historical data in future resets</w:t>
      </w:r>
      <w:r w:rsidR="00B50970">
        <w:t xml:space="preserve">) </w:t>
      </w:r>
      <w:r>
        <w:t>needed to track the remaining asset lives individually. Th</w:t>
      </w:r>
      <w:r w:rsidR="00B50970">
        <w:t>ere w</w:t>
      </w:r>
      <w:r w:rsidR="00C40BC1">
        <w:t>ould</w:t>
      </w:r>
      <w:r w:rsidR="00B50970">
        <w:t xml:space="preserve"> be no historical capex</w:t>
      </w:r>
      <w:r>
        <w:t xml:space="preserve"> </w:t>
      </w:r>
      <w:r w:rsidR="00B50970">
        <w:t>for</w:t>
      </w:r>
      <w:r>
        <w:t xml:space="preserve"> the first time the version 3 of the RFM is used as there is no scope to go back further than the remaining asset lives </w:t>
      </w:r>
      <w:r w:rsidR="00253F96">
        <w:t>the AER last approved.</w:t>
      </w:r>
      <w:r w:rsidR="00253F96">
        <w:rPr>
          <w:rStyle w:val="FootnoteReference"/>
        </w:rPr>
        <w:footnoteReference w:id="17"/>
      </w:r>
      <w:r w:rsidR="00253F96">
        <w:t xml:space="preserve"> Th</w:t>
      </w:r>
      <w:r w:rsidR="009E04DE">
        <w:t>e historical capex</w:t>
      </w:r>
      <w:r>
        <w:t xml:space="preserve">, however, </w:t>
      </w:r>
      <w:r w:rsidR="00253F96">
        <w:t>w</w:t>
      </w:r>
      <w:r w:rsidR="00C40BC1">
        <w:t>ould</w:t>
      </w:r>
      <w:r w:rsidR="00253F96">
        <w:t xml:space="preserve"> </w:t>
      </w:r>
      <w:r>
        <w:t xml:space="preserve">have to be </w:t>
      </w:r>
      <w:r w:rsidR="003D6A38">
        <w:t>recorded as inputs to the RFM</w:t>
      </w:r>
      <w:r>
        <w:t xml:space="preserve"> for subsequent resets.</w:t>
      </w:r>
      <w:r w:rsidR="00253F96">
        <w:t xml:space="preserve"> </w:t>
      </w:r>
    </w:p>
    <w:p w:rsidR="00A234C9" w:rsidRDefault="00A234C9" w:rsidP="00286829">
      <w:pPr>
        <w:pStyle w:val="Heading2"/>
      </w:pPr>
      <w:bookmarkStart w:id="28" w:name="_Toc423697146"/>
      <w:r>
        <w:t>Annual WACC updates</w:t>
      </w:r>
      <w:bookmarkEnd w:id="28"/>
    </w:p>
    <w:p w:rsidR="00C474A1" w:rsidRDefault="00D004A5" w:rsidP="00A234C9">
      <w:r>
        <w:t xml:space="preserve">The </w:t>
      </w:r>
      <w:r w:rsidR="00C474A1">
        <w:t>weighted average cost of capital (</w:t>
      </w:r>
      <w:r>
        <w:t>WACC</w:t>
      </w:r>
      <w:r w:rsidR="00C474A1">
        <w:t>)</w:t>
      </w:r>
      <w:r>
        <w:t xml:space="preserve"> is used </w:t>
      </w:r>
      <w:r w:rsidR="00C474A1">
        <w:t xml:space="preserve">as an input to the RFM </w:t>
      </w:r>
      <w:r>
        <w:t>to</w:t>
      </w:r>
      <w:r w:rsidR="00C474A1">
        <w:t>:</w:t>
      </w:r>
    </w:p>
    <w:p w:rsidR="00C474A1" w:rsidRDefault="00C474A1" w:rsidP="00AE6D78">
      <w:pPr>
        <w:pStyle w:val="Bulletpoint"/>
      </w:pPr>
      <w:r>
        <w:t>account for the timing assumption of capex being rolled into the RAB</w:t>
      </w:r>
    </w:p>
    <w:p w:rsidR="00C474A1" w:rsidRDefault="00C474A1" w:rsidP="00AE6D78">
      <w:pPr>
        <w:pStyle w:val="Bulletpoint"/>
      </w:pPr>
      <w:proofErr w:type="gramStart"/>
      <w:r>
        <w:t>calculate</w:t>
      </w:r>
      <w:proofErr w:type="gramEnd"/>
      <w:r>
        <w:t xml:space="preserve"> the accumulated return on capital associated with the difference between actual and estimated capex used in the previous regulatory control period</w:t>
      </w:r>
      <w:r w:rsidR="00D004A5">
        <w:t xml:space="preserve">. </w:t>
      </w:r>
    </w:p>
    <w:p w:rsidR="00B41C49" w:rsidRDefault="00A234C9" w:rsidP="00C474A1">
      <w:r>
        <w:t xml:space="preserve">The </w:t>
      </w:r>
      <w:r w:rsidR="00C474A1">
        <w:t>proposed RFM has been modified so that it can accommodate different annual WACCs over the regulatory control period in the '</w:t>
      </w:r>
      <w:r w:rsidRPr="00AE6D78">
        <w:rPr>
          <w:rStyle w:val="Emphasis"/>
        </w:rPr>
        <w:t>RFM input</w:t>
      </w:r>
      <w:r w:rsidR="00C474A1" w:rsidRPr="00AE6D78">
        <w:rPr>
          <w:rStyle w:val="Emphasis"/>
        </w:rPr>
        <w:t>'</w:t>
      </w:r>
      <w:r>
        <w:t xml:space="preserve"> </w:t>
      </w:r>
      <w:r w:rsidR="00C474A1">
        <w:t>work</w:t>
      </w:r>
      <w:r>
        <w:t xml:space="preserve">sheet. This change is a consequence of changes to the PTRM </w:t>
      </w:r>
      <w:r w:rsidR="00C474A1">
        <w:t xml:space="preserve">(version 3) </w:t>
      </w:r>
      <w:r>
        <w:t xml:space="preserve">in January 2015 </w:t>
      </w:r>
      <w:r w:rsidR="000F6A7D">
        <w:t xml:space="preserve">providing for </w:t>
      </w:r>
      <w:r>
        <w:t>annual WACC updates</w:t>
      </w:r>
      <w:r w:rsidR="000F6A7D">
        <w:t xml:space="preserve"> during the regulatory control period</w:t>
      </w:r>
      <w:r>
        <w:t>.</w:t>
      </w:r>
      <w:r>
        <w:rPr>
          <w:rStyle w:val="FootnoteReference"/>
        </w:rPr>
        <w:footnoteReference w:id="18"/>
      </w:r>
      <w:r w:rsidR="00C474A1">
        <w:t xml:space="preserve"> </w:t>
      </w:r>
      <w:r w:rsidR="000F6A7D">
        <w:t>Consistent with the changes to the PTRM, t</w:t>
      </w:r>
      <w:r w:rsidR="00C474A1">
        <w:t xml:space="preserve">he proposed RFM </w:t>
      </w:r>
      <w:r w:rsidR="000F6A7D">
        <w:t xml:space="preserve">gives </w:t>
      </w:r>
      <w:r w:rsidR="00C474A1">
        <w:t xml:space="preserve">effect to the AER's </w:t>
      </w:r>
      <w:r w:rsidR="00C474A1" w:rsidRPr="00B50F12">
        <w:rPr>
          <w:rStyle w:val="Emphasis"/>
        </w:rPr>
        <w:t>Rate of return guideline</w:t>
      </w:r>
      <w:r w:rsidR="00C474A1">
        <w:t>, which allows for an annual update for the return on debt.</w:t>
      </w:r>
      <w:r w:rsidR="00C474A1">
        <w:rPr>
          <w:rStyle w:val="FootnoteReference"/>
        </w:rPr>
        <w:footnoteReference w:id="19"/>
      </w:r>
    </w:p>
    <w:p w:rsidR="007351E8" w:rsidRPr="007351E8" w:rsidRDefault="007351E8" w:rsidP="007351E8">
      <w:pPr>
        <w:pStyle w:val="Heading2"/>
      </w:pPr>
      <w:bookmarkStart w:id="29" w:name="_Toc423697147"/>
      <w:r w:rsidRPr="007351E8">
        <w:t>Input worksheet for AER data management system</w:t>
      </w:r>
      <w:bookmarkEnd w:id="29"/>
    </w:p>
    <w:p w:rsidR="007351E8" w:rsidRDefault="000F6A7D" w:rsidP="007351E8">
      <w:r>
        <w:t>We have</w:t>
      </w:r>
      <w:r w:rsidR="007351E8" w:rsidRPr="007351E8">
        <w:t xml:space="preserve"> developed a data management system (DMS) to collect data from regulatory information notices and from the various regulatory models. We have added a new </w:t>
      </w:r>
      <w:r w:rsidR="008E189E">
        <w:t>'</w:t>
      </w:r>
      <w:r w:rsidR="007351E8" w:rsidRPr="00AE6D78">
        <w:rPr>
          <w:rStyle w:val="Emphasis"/>
        </w:rPr>
        <w:t xml:space="preserve">DMS </w:t>
      </w:r>
      <w:r w:rsidR="00DD5B11">
        <w:rPr>
          <w:rStyle w:val="Emphasis"/>
        </w:rPr>
        <w:t>i</w:t>
      </w:r>
      <w:r w:rsidR="007351E8" w:rsidRPr="00AE6D78">
        <w:rPr>
          <w:rStyle w:val="Emphasis"/>
        </w:rPr>
        <w:t>nput</w:t>
      </w:r>
      <w:r w:rsidR="008E189E">
        <w:rPr>
          <w:rStyle w:val="Emphasis"/>
        </w:rPr>
        <w:t>'</w:t>
      </w:r>
      <w:r w:rsidR="007351E8" w:rsidRPr="007351E8">
        <w:t xml:space="preserve"> worksheet to help our system ingest the relevant data from the </w:t>
      </w:r>
      <w:r w:rsidR="007351E8">
        <w:t>RFM</w:t>
      </w:r>
      <w:r w:rsidR="007351E8" w:rsidRPr="007351E8">
        <w:t xml:space="preserve">. This worksheet has no impact on the operation of the </w:t>
      </w:r>
      <w:r w:rsidR="007351E8">
        <w:t>RFM</w:t>
      </w:r>
      <w:r w:rsidR="007351E8" w:rsidRPr="007351E8">
        <w:t xml:space="preserve">. The worksheet previously labelled </w:t>
      </w:r>
      <w:r w:rsidR="00DD5B11">
        <w:t>'</w:t>
      </w:r>
      <w:r w:rsidR="007351E8" w:rsidRPr="00DD5B11">
        <w:rPr>
          <w:rStyle w:val="Emphasis"/>
        </w:rPr>
        <w:t>Input</w:t>
      </w:r>
      <w:r w:rsidR="00DD5B11" w:rsidRPr="00DD5B11">
        <w:rPr>
          <w:rStyle w:val="Emphasis"/>
        </w:rPr>
        <w:t>'</w:t>
      </w:r>
      <w:r w:rsidR="007351E8" w:rsidRPr="007351E8">
        <w:t xml:space="preserve"> has been renamed </w:t>
      </w:r>
      <w:r>
        <w:t>'</w:t>
      </w:r>
      <w:r w:rsidR="007351E8" w:rsidRPr="00AE6D78">
        <w:rPr>
          <w:rStyle w:val="Emphasis"/>
        </w:rPr>
        <w:t>RFM input</w:t>
      </w:r>
      <w:r w:rsidRPr="00AE6D78">
        <w:rPr>
          <w:rStyle w:val="Emphasis"/>
        </w:rPr>
        <w:t>'</w:t>
      </w:r>
      <w:r w:rsidR="007351E8" w:rsidRPr="007351E8">
        <w:t xml:space="preserve"> to distinguish the two input worksheets. </w:t>
      </w:r>
      <w:r w:rsidR="007351E8">
        <w:t>T</w:t>
      </w:r>
      <w:r w:rsidR="00DD5B11">
        <w:t>he T</w:t>
      </w:r>
      <w:r w:rsidR="007351E8">
        <w:t>NSP</w:t>
      </w:r>
      <w:r w:rsidR="00DD5B11">
        <w:t xml:space="preserve"> </w:t>
      </w:r>
      <w:r w:rsidR="007351E8" w:rsidRPr="007351E8">
        <w:t xml:space="preserve">will need to complete both input worksheets when submitting </w:t>
      </w:r>
      <w:r w:rsidR="00DD5B11">
        <w:t>i</w:t>
      </w:r>
      <w:r w:rsidR="007351E8" w:rsidRPr="007351E8">
        <w:t>t</w:t>
      </w:r>
      <w:r w:rsidR="00DD5B11">
        <w:t>s</w:t>
      </w:r>
      <w:r w:rsidR="007351E8" w:rsidRPr="007351E8">
        <w:t xml:space="preserve"> proposed </w:t>
      </w:r>
      <w:r w:rsidR="007351E8">
        <w:t>RFM</w:t>
      </w:r>
      <w:r w:rsidR="007351E8" w:rsidRPr="007351E8">
        <w:t xml:space="preserve">. The additional information required is minimal (contact details and a few cells identifying the context for the </w:t>
      </w:r>
      <w:r w:rsidR="007351E8">
        <w:t>RFM</w:t>
      </w:r>
      <w:r w:rsidR="007351E8" w:rsidRPr="007351E8">
        <w:t xml:space="preserve"> submission).</w:t>
      </w:r>
    </w:p>
    <w:p w:rsidR="000F48D1" w:rsidRDefault="00CF32FB" w:rsidP="00CF32FB">
      <w:pPr>
        <w:pStyle w:val="Heading2"/>
      </w:pPr>
      <w:bookmarkStart w:id="30" w:name="_Toc423697148"/>
      <w:r>
        <w:t>Presentational and other functional improvements</w:t>
      </w:r>
      <w:bookmarkEnd w:id="30"/>
    </w:p>
    <w:p w:rsidR="00CF32FB" w:rsidRDefault="00CF32FB" w:rsidP="00CF32FB">
      <w:r>
        <w:t>We have taken the opportunity to improve the presentation and functionality of some calculations</w:t>
      </w:r>
      <w:r w:rsidR="00B66798">
        <w:t xml:space="preserve"> in the RFM by making a few minor presentational and operational changes</w:t>
      </w:r>
      <w:r>
        <w:t>. The changes include:</w:t>
      </w:r>
    </w:p>
    <w:p w:rsidR="00CF32FB" w:rsidRDefault="00CF32FB" w:rsidP="00CF32FB">
      <w:pPr>
        <w:pStyle w:val="Bulletpoint"/>
      </w:pPr>
      <w:r>
        <w:t xml:space="preserve">Extending the number of asset classes from </w:t>
      </w:r>
      <w:r w:rsidR="008E189E">
        <w:t>3</w:t>
      </w:r>
      <w:r>
        <w:t>0 to 50.</w:t>
      </w:r>
    </w:p>
    <w:p w:rsidR="00CF32FB" w:rsidRDefault="008B015A" w:rsidP="00CF32FB">
      <w:pPr>
        <w:pStyle w:val="Bulletpoint"/>
      </w:pPr>
      <w:r>
        <w:t>Adjusting</w:t>
      </w:r>
      <w:r w:rsidR="00296DFC">
        <w:t xml:space="preserve"> the minimum </w:t>
      </w:r>
      <w:r w:rsidR="00066340" w:rsidRPr="00066340">
        <w:t>supported</w:t>
      </w:r>
      <w:r w:rsidR="00066340" w:rsidRPr="00066340" w:rsidDel="00296DFC">
        <w:t xml:space="preserve"> </w:t>
      </w:r>
      <w:r w:rsidR="00296DFC">
        <w:t>r</w:t>
      </w:r>
      <w:r w:rsidR="00DB317D">
        <w:t>egulatory</w:t>
      </w:r>
      <w:r w:rsidR="000F6A7D">
        <w:t xml:space="preserve"> control</w:t>
      </w:r>
      <w:r w:rsidR="00DB317D">
        <w:t xml:space="preserve"> period length</w:t>
      </w:r>
      <w:r w:rsidR="00066340">
        <w:t xml:space="preserve"> </w:t>
      </w:r>
      <w:r w:rsidR="00DD5B11">
        <w:t>from five</w:t>
      </w:r>
      <w:r w:rsidR="00296DFC">
        <w:t xml:space="preserve"> years to </w:t>
      </w:r>
      <w:r w:rsidR="00DD5B11">
        <w:t>two y</w:t>
      </w:r>
      <w:r w:rsidR="00296DFC">
        <w:t>ears</w:t>
      </w:r>
      <w:r w:rsidR="000F6A7D">
        <w:t xml:space="preserve"> for displaying RAB roll forward outputs</w:t>
      </w:r>
      <w:r w:rsidR="00296DFC">
        <w:t>.</w:t>
      </w:r>
    </w:p>
    <w:p w:rsidR="00A835D1" w:rsidRDefault="00AE6D78" w:rsidP="00CF32FB">
      <w:pPr>
        <w:pStyle w:val="Bulletpoint"/>
      </w:pPr>
      <w:r>
        <w:t xml:space="preserve">Adding a </w:t>
      </w:r>
      <w:r w:rsidR="00A835D1">
        <w:t>section for inputs relating to asset adjustments at the end of the</w:t>
      </w:r>
      <w:r>
        <w:t xml:space="preserve"> regulatory control period—for </w:t>
      </w:r>
      <w:r w:rsidR="00A835D1">
        <w:t>e</w:t>
      </w:r>
      <w:r>
        <w:t>xample,</w:t>
      </w:r>
      <w:r w:rsidR="00A835D1">
        <w:t xml:space="preserve"> due to a change in service c</w:t>
      </w:r>
      <w:r>
        <w:t>lassification</w:t>
      </w:r>
    </w:p>
    <w:p w:rsidR="00B66798" w:rsidRDefault="00B66798" w:rsidP="00CF32FB">
      <w:pPr>
        <w:pStyle w:val="Bulletpoint"/>
      </w:pPr>
      <w:r>
        <w:t>Removing sections that were made redundant or replicated in other worksheets.</w:t>
      </w:r>
    </w:p>
    <w:p w:rsidR="002D4B46" w:rsidRDefault="002D4B46">
      <w:pPr>
        <w:spacing w:line="240" w:lineRule="auto"/>
      </w:pPr>
      <w:r>
        <w:br w:type="page"/>
      </w:r>
    </w:p>
    <w:p w:rsidR="00CF32FB" w:rsidRDefault="002D4B46" w:rsidP="00AE6D78">
      <w:pPr>
        <w:pStyle w:val="Heading1"/>
      </w:pPr>
      <w:bookmarkStart w:id="31" w:name="_Toc423697149"/>
      <w:r>
        <w:t>Consultation</w:t>
      </w:r>
      <w:bookmarkEnd w:id="31"/>
    </w:p>
    <w:p w:rsidR="002D4B46" w:rsidRDefault="002D4B46">
      <w:r w:rsidRPr="002D4B46">
        <w:t xml:space="preserve">This section summarises the first steps in the consultation process already undertaken, and identifies key issues for comment on our proposed </w:t>
      </w:r>
      <w:r>
        <w:t>RFM</w:t>
      </w:r>
      <w:r w:rsidR="00B55770">
        <w:t xml:space="preserve"> for TNSPs</w:t>
      </w:r>
      <w:r w:rsidRPr="002D4B46">
        <w:t>.</w:t>
      </w:r>
    </w:p>
    <w:p w:rsidR="002D4B46" w:rsidRDefault="002D4B46" w:rsidP="00AE6D78">
      <w:pPr>
        <w:pStyle w:val="Heading2"/>
      </w:pPr>
      <w:bookmarkStart w:id="32" w:name="_Toc423697150"/>
      <w:r>
        <w:t>Initial consultation</w:t>
      </w:r>
      <w:bookmarkEnd w:id="32"/>
    </w:p>
    <w:p w:rsidR="00C70DFA" w:rsidRDefault="00AB28F5">
      <w:r>
        <w:t xml:space="preserve">In the lead up to </w:t>
      </w:r>
      <w:r w:rsidR="00B55770">
        <w:t>developing the proposed RFM</w:t>
      </w:r>
      <w:r>
        <w:t xml:space="preserve"> we conducted ad-hoc consultation with parties interested in the progress of the RFM </w:t>
      </w:r>
      <w:r w:rsidR="00B55770">
        <w:t>amendment</w:t>
      </w:r>
      <w:r>
        <w:t xml:space="preserve">. Most notably, </w:t>
      </w:r>
      <w:proofErr w:type="spellStart"/>
      <w:r>
        <w:t>AusNet</w:t>
      </w:r>
      <w:proofErr w:type="spellEnd"/>
      <w:r>
        <w:t xml:space="preserve"> Services </w:t>
      </w:r>
      <w:r w:rsidR="00B55770">
        <w:t xml:space="preserve">and </w:t>
      </w:r>
      <w:proofErr w:type="spellStart"/>
      <w:r w:rsidR="00B55770">
        <w:t>Powerlink</w:t>
      </w:r>
      <w:proofErr w:type="spellEnd"/>
      <w:r w:rsidR="00B55770">
        <w:t xml:space="preserve"> Queensland</w:t>
      </w:r>
      <w:r w:rsidR="00391C69">
        <w:t xml:space="preserve"> who</w:t>
      </w:r>
      <w:r w:rsidR="00B55770">
        <w:t xml:space="preserve"> are the two TNSPs due </w:t>
      </w:r>
      <w:r w:rsidR="00776642">
        <w:t xml:space="preserve">next </w:t>
      </w:r>
      <w:r w:rsidR="00B55770">
        <w:t xml:space="preserve">for their revenue resets (proposals due in end of October 2015 and end of January 2016) and would need to use the amended RFM for their proposals. They </w:t>
      </w:r>
      <w:r>
        <w:t xml:space="preserve">were provided with a </w:t>
      </w:r>
      <w:r w:rsidR="00B55770">
        <w:t>draft</w:t>
      </w:r>
      <w:r>
        <w:t xml:space="preserve"> model </w:t>
      </w:r>
      <w:r w:rsidR="00B55770">
        <w:t xml:space="preserve">(along with other TNSPs in Grid Australia) </w:t>
      </w:r>
      <w:r>
        <w:t xml:space="preserve">and </w:t>
      </w:r>
      <w:r w:rsidR="00DB50D7">
        <w:t>asked to provide</w:t>
      </w:r>
      <w:r>
        <w:t xml:space="preserve"> feedback on th</w:t>
      </w:r>
      <w:r w:rsidR="00DB50D7">
        <w:t>e</w:t>
      </w:r>
      <w:r>
        <w:t xml:space="preserve"> </w:t>
      </w:r>
      <w:r w:rsidR="00B55770">
        <w:t>proposed changes</w:t>
      </w:r>
      <w:r>
        <w:t>.</w:t>
      </w:r>
      <w:r w:rsidR="00F46637">
        <w:t xml:space="preserve"> </w:t>
      </w:r>
    </w:p>
    <w:p w:rsidR="006E6BC7" w:rsidRDefault="00F46637">
      <w:r>
        <w:t xml:space="preserve">A number of issues were </w:t>
      </w:r>
      <w:r w:rsidR="00B55770">
        <w:t>discussed</w:t>
      </w:r>
      <w:r>
        <w:t xml:space="preserve"> and</w:t>
      </w:r>
      <w:r w:rsidR="00AB28F5">
        <w:t xml:space="preserve"> </w:t>
      </w:r>
      <w:r>
        <w:t>addressed during this process</w:t>
      </w:r>
      <w:r w:rsidR="007B289C">
        <w:t>, as set out in section</w:t>
      </w:r>
      <w:r w:rsidR="00C70DFA">
        <w:t> </w:t>
      </w:r>
      <w:r w:rsidR="007B289C">
        <w:t>4</w:t>
      </w:r>
      <w:r>
        <w:t xml:space="preserve">. </w:t>
      </w:r>
    </w:p>
    <w:p w:rsidR="0003605C" w:rsidRDefault="007B289C" w:rsidP="008B744E">
      <w:r>
        <w:t xml:space="preserve">We also engaged </w:t>
      </w:r>
      <w:r w:rsidR="00152600">
        <w:t xml:space="preserve">an external </w:t>
      </w:r>
      <w:r w:rsidR="00D122C6">
        <w:t xml:space="preserve">consultant </w:t>
      </w:r>
      <w:r w:rsidR="00152600">
        <w:t>(</w:t>
      </w:r>
      <w:proofErr w:type="spellStart"/>
      <w:r>
        <w:t>Motorbis</w:t>
      </w:r>
      <w:proofErr w:type="spellEnd"/>
      <w:r>
        <w:t xml:space="preserve"> Pty Ltd</w:t>
      </w:r>
      <w:r w:rsidR="00152600">
        <w:t>)</w:t>
      </w:r>
      <w:r>
        <w:t xml:space="preserve"> to review our changes to the proposed RFM and </w:t>
      </w:r>
      <w:r w:rsidR="00D122C6">
        <w:t xml:space="preserve">identify </w:t>
      </w:r>
      <w:r w:rsidR="0003605C">
        <w:t>computational errors</w:t>
      </w:r>
      <w:r>
        <w:t xml:space="preserve"> in the spreadsheet calculations.</w:t>
      </w:r>
    </w:p>
    <w:p w:rsidR="00C70DFA" w:rsidRDefault="00AF786E" w:rsidP="008B744E">
      <w:r>
        <w:t xml:space="preserve">During this process an </w:t>
      </w:r>
      <w:r w:rsidRPr="00AF786E">
        <w:t xml:space="preserve">issue </w:t>
      </w:r>
      <w:r>
        <w:t xml:space="preserve">was raised </w:t>
      </w:r>
      <w:r w:rsidR="00D122C6">
        <w:t>regarding</w:t>
      </w:r>
      <w:r>
        <w:t xml:space="preserve"> the approach to </w:t>
      </w:r>
      <w:r w:rsidR="0003605C">
        <w:t>indexing</w:t>
      </w:r>
      <w:r>
        <w:t xml:space="preserve"> the </w:t>
      </w:r>
      <w:r w:rsidR="0003605C">
        <w:t xml:space="preserve">annual </w:t>
      </w:r>
      <w:r>
        <w:t>opening RAB</w:t>
      </w:r>
      <w:r w:rsidR="0003605C">
        <w:t xml:space="preserve"> value by CPI</w:t>
      </w:r>
      <w:r>
        <w:t xml:space="preserve">. </w:t>
      </w:r>
      <w:r w:rsidR="0003605C">
        <w:t>I</w:t>
      </w:r>
      <w:r w:rsidR="00AA0F7A">
        <w:t xml:space="preserve">n the </w:t>
      </w:r>
      <w:r w:rsidR="0003605C">
        <w:t>'</w:t>
      </w:r>
      <w:r w:rsidR="00AA0F7A" w:rsidRPr="00AE6D78">
        <w:rPr>
          <w:rStyle w:val="Emphasis"/>
        </w:rPr>
        <w:t>RAB roll forward'</w:t>
      </w:r>
      <w:r w:rsidR="00AA0F7A">
        <w:t xml:space="preserve"> worksheet </w:t>
      </w:r>
      <w:r w:rsidR="00AA0F7A" w:rsidRPr="00AA0F7A">
        <w:t>the '</w:t>
      </w:r>
      <w:r w:rsidR="0003605C">
        <w:t>N</w:t>
      </w:r>
      <w:r w:rsidR="00AA0F7A" w:rsidRPr="00AA0F7A">
        <w:t>ominal actual inflation on opening RAB'</w:t>
      </w:r>
      <w:r w:rsidR="00AA0F7A">
        <w:t xml:space="preserve"> is calculated by multiplying the opening RAB </w:t>
      </w:r>
      <w:r w:rsidR="0003605C">
        <w:t xml:space="preserve">value </w:t>
      </w:r>
      <w:r w:rsidR="007D199C">
        <w:t>with</w:t>
      </w:r>
      <w:r w:rsidR="00AA0F7A">
        <w:t xml:space="preserve"> the CPI rate for the given year. </w:t>
      </w:r>
      <w:r w:rsidR="003F1E4D">
        <w:t>However, t</w:t>
      </w:r>
      <w:r w:rsidR="00AA0F7A">
        <w:t xml:space="preserve">o </w:t>
      </w:r>
      <w:r w:rsidR="003F39E2">
        <w:t>calculate</w:t>
      </w:r>
      <w:r w:rsidR="00AA0F7A">
        <w:t xml:space="preserve"> the 'Nominal </w:t>
      </w:r>
      <w:r w:rsidR="0003605C">
        <w:t xml:space="preserve">(actual/forecast) </w:t>
      </w:r>
      <w:r w:rsidR="00AA0F7A">
        <w:t xml:space="preserve">straight-line depreciation' </w:t>
      </w:r>
      <w:r w:rsidR="003F39E2">
        <w:t>and 'Nominal actual net capex' values</w:t>
      </w:r>
      <w:r w:rsidR="00AA0F7A">
        <w:t xml:space="preserve"> </w:t>
      </w:r>
      <w:r w:rsidR="003F1E4D">
        <w:t>the RFM uses a</w:t>
      </w:r>
      <w:r w:rsidR="00AA0F7A">
        <w:t xml:space="preserve"> one-year lagged CPI index to </w:t>
      </w:r>
      <w:r w:rsidR="003F39E2">
        <w:t>inflate</w:t>
      </w:r>
      <w:r w:rsidR="00AA0F7A">
        <w:t xml:space="preserve"> the real values</w:t>
      </w:r>
      <w:r w:rsidR="003F39E2">
        <w:t xml:space="preserve"> to nominal</w:t>
      </w:r>
      <w:r w:rsidR="0003605C">
        <w:t xml:space="preserve"> terms</w:t>
      </w:r>
      <w:r w:rsidR="00AA0F7A">
        <w:t>.</w:t>
      </w:r>
      <w:r w:rsidR="000015B6">
        <w:t xml:space="preserve"> </w:t>
      </w:r>
      <w:r w:rsidR="00F1414F" w:rsidRPr="00F1414F">
        <w:t xml:space="preserve">This apparent mismatch has also been raised in the Victorian electricity distribution resets as the approach used by </w:t>
      </w:r>
      <w:r w:rsidR="00642B59">
        <w:t xml:space="preserve">the </w:t>
      </w:r>
      <w:r w:rsidR="00F1414F" w:rsidRPr="00F1414F">
        <w:t xml:space="preserve">Essential Services Commission </w:t>
      </w:r>
      <w:r w:rsidR="00642B59">
        <w:t xml:space="preserve">of </w:t>
      </w:r>
      <w:r w:rsidR="00F1414F" w:rsidRPr="00F1414F">
        <w:t xml:space="preserve">Victoria was to </w:t>
      </w:r>
      <w:r w:rsidR="00642B59">
        <w:t>apply</w:t>
      </w:r>
      <w:r w:rsidR="00F1414F" w:rsidRPr="00F1414F">
        <w:t xml:space="preserve"> a lagged CPI for all aspects of the RAB roll forward.</w:t>
      </w:r>
      <w:r w:rsidR="00F1414F">
        <w:t xml:space="preserve"> </w:t>
      </w:r>
    </w:p>
    <w:p w:rsidR="007B289C" w:rsidRDefault="003F1E4D" w:rsidP="008B744E">
      <w:r>
        <w:t xml:space="preserve">The current approach </w:t>
      </w:r>
      <w:r w:rsidR="00642B59">
        <w:t xml:space="preserve">in the RFM </w:t>
      </w:r>
      <w:r>
        <w:t xml:space="preserve">has been discussed during </w:t>
      </w:r>
      <w:r w:rsidR="00642B59">
        <w:t xml:space="preserve">our </w:t>
      </w:r>
      <w:r>
        <w:t xml:space="preserve">previous </w:t>
      </w:r>
      <w:r w:rsidR="00642B59">
        <w:t xml:space="preserve">development process for the </w:t>
      </w:r>
      <w:r w:rsidR="006A093B">
        <w:t>AER models</w:t>
      </w:r>
      <w:r w:rsidR="00941BBA">
        <w:t xml:space="preserve"> in 2007.</w:t>
      </w:r>
      <w:r w:rsidR="0070686D">
        <w:rPr>
          <w:rStyle w:val="FootnoteReference"/>
        </w:rPr>
        <w:footnoteReference w:id="20"/>
      </w:r>
      <w:r w:rsidR="00F1414F">
        <w:t xml:space="preserve"> </w:t>
      </w:r>
      <w:r w:rsidR="00941BBA">
        <w:t xml:space="preserve">At that time, stakeholders submitted that the indexation in the RAB roll forward should use a lagged CPI. </w:t>
      </w:r>
      <w:r w:rsidR="0070686D">
        <w:t xml:space="preserve">We </w:t>
      </w:r>
      <w:r w:rsidR="006A093B">
        <w:t>accepted</w:t>
      </w:r>
      <w:r w:rsidR="0070686D">
        <w:t xml:space="preserve"> this because it satisfied the requirements of the NER that the RAB be adjusted for actual inflation consistent with the methodology used for indexation of the annual revenue during the regulatory control period. </w:t>
      </w:r>
      <w:r w:rsidR="00F1414F" w:rsidRPr="00F1414F">
        <w:t>NERA Economic Consulting</w:t>
      </w:r>
      <w:r w:rsidR="00F1414F">
        <w:t xml:space="preserve"> submitted</w:t>
      </w:r>
      <w:r w:rsidR="0070686D">
        <w:t>,</w:t>
      </w:r>
      <w:r w:rsidR="00F1414F">
        <w:t xml:space="preserve"> </w:t>
      </w:r>
      <w:r w:rsidR="00642B59">
        <w:t>on behalf of</w:t>
      </w:r>
      <w:r w:rsidR="00F1414F">
        <w:t xml:space="preserve"> </w:t>
      </w:r>
      <w:r w:rsidR="007826D5">
        <w:t xml:space="preserve">the </w:t>
      </w:r>
      <w:r w:rsidR="00F1414F" w:rsidRPr="00F1414F">
        <w:t>Electricity Transmission Network Owners Forum</w:t>
      </w:r>
      <w:r w:rsidR="00F1414F">
        <w:t xml:space="preserve"> (</w:t>
      </w:r>
      <w:r w:rsidR="007826D5">
        <w:t>now Grid Australia</w:t>
      </w:r>
      <w:r w:rsidR="00F1414F">
        <w:t>)</w:t>
      </w:r>
      <w:r w:rsidR="0070686D">
        <w:t>,</w:t>
      </w:r>
      <w:r w:rsidR="00F1414F">
        <w:t xml:space="preserve"> </w:t>
      </w:r>
      <w:r w:rsidR="0070686D">
        <w:t>the relevant calculations for making the lagged CPI adjustment to the RFM</w:t>
      </w:r>
      <w:r>
        <w:t>.</w:t>
      </w:r>
      <w:r w:rsidR="00F1414F">
        <w:rPr>
          <w:rStyle w:val="FootnoteReference"/>
        </w:rPr>
        <w:footnoteReference w:id="21"/>
      </w:r>
      <w:r w:rsidR="00F1414F">
        <w:t xml:space="preserve"> </w:t>
      </w:r>
      <w:r w:rsidR="0070686D">
        <w:t>The current approach was therefore adopted</w:t>
      </w:r>
      <w:r w:rsidR="0019058C">
        <w:t xml:space="preserve"> based on NERA Economic Consulting's submission, which indexed</w:t>
      </w:r>
      <w:r w:rsidR="006A093B">
        <w:t xml:space="preserve"> the </w:t>
      </w:r>
      <w:r w:rsidR="00EC57A5">
        <w:t xml:space="preserve">'Real </w:t>
      </w:r>
      <w:r w:rsidR="00991DC0">
        <w:t xml:space="preserve">(actual/forecast) </w:t>
      </w:r>
      <w:r w:rsidR="006A093B">
        <w:t>straight-line depreciation' and '</w:t>
      </w:r>
      <w:r w:rsidR="00EC57A5">
        <w:t>Real</w:t>
      </w:r>
      <w:r w:rsidR="006A093B">
        <w:t xml:space="preserve"> actual net capex' values by lagged CPI, and the </w:t>
      </w:r>
      <w:r w:rsidR="006A093B" w:rsidRPr="00AA0F7A">
        <w:t>opening RAB</w:t>
      </w:r>
      <w:r w:rsidR="00EC57A5">
        <w:t xml:space="preserve"> value</w:t>
      </w:r>
      <w:r w:rsidR="006A093B">
        <w:t xml:space="preserve"> is indexed by the non-lagged CPI rate</w:t>
      </w:r>
      <w:r w:rsidR="0019058C">
        <w:t>.</w:t>
      </w:r>
      <w:r w:rsidR="0070686D">
        <w:t xml:space="preserve"> </w:t>
      </w:r>
      <w:r w:rsidR="008B744E" w:rsidRPr="008B744E">
        <w:t xml:space="preserve">At present, we have maintained the </w:t>
      </w:r>
      <w:r w:rsidR="008B744E">
        <w:t>current approach to indexation o</w:t>
      </w:r>
      <w:r w:rsidR="0003605C">
        <w:t xml:space="preserve">f the opening RAB </w:t>
      </w:r>
      <w:r w:rsidR="00AE6D78">
        <w:t xml:space="preserve">value </w:t>
      </w:r>
      <w:r w:rsidR="0003605C">
        <w:t>i</w:t>
      </w:r>
      <w:r w:rsidR="008B744E">
        <w:t xml:space="preserve">n the </w:t>
      </w:r>
      <w:r w:rsidR="0003605C">
        <w:t>'</w:t>
      </w:r>
      <w:r w:rsidR="008B744E" w:rsidRPr="008B744E">
        <w:rPr>
          <w:rStyle w:val="Emphasis"/>
        </w:rPr>
        <w:t>RAB roll forward'</w:t>
      </w:r>
      <w:r w:rsidR="008B744E" w:rsidRPr="008B744E">
        <w:t xml:space="preserve"> worksheet.</w:t>
      </w:r>
      <w:r w:rsidR="006A093B">
        <w:t xml:space="preserve"> </w:t>
      </w:r>
    </w:p>
    <w:p w:rsidR="006E6BC7" w:rsidRPr="006E6BC7" w:rsidRDefault="006E6BC7" w:rsidP="00AE6D78">
      <w:pPr>
        <w:pStyle w:val="Heading2"/>
      </w:pPr>
      <w:bookmarkStart w:id="33" w:name="_Toc423697151"/>
      <w:r>
        <w:t>Key issues for comment</w:t>
      </w:r>
      <w:bookmarkEnd w:id="33"/>
    </w:p>
    <w:p w:rsidR="002123FA" w:rsidRDefault="006E6BC7">
      <w:r w:rsidRPr="006E6BC7">
        <w:t xml:space="preserve">Our positions in the proposed amended </w:t>
      </w:r>
      <w:r>
        <w:t>RFM</w:t>
      </w:r>
      <w:r w:rsidRPr="006E6BC7">
        <w:t xml:space="preserve"> reflect our consideration of the issues raised during initial consultation. However, we are open to receiving submissions on </w:t>
      </w:r>
      <w:r w:rsidR="00C40BC1">
        <w:t xml:space="preserve">any aspects of </w:t>
      </w:r>
      <w:r w:rsidRPr="006E6BC7">
        <w:t xml:space="preserve">the proposed amendments. </w:t>
      </w:r>
    </w:p>
    <w:p w:rsidR="002D4B46" w:rsidRDefault="007B289C">
      <w:r>
        <w:t>Further</w:t>
      </w:r>
      <w:r w:rsidR="006E6BC7" w:rsidRPr="006E6BC7">
        <w:t>, we seek comment on:</w:t>
      </w:r>
    </w:p>
    <w:p w:rsidR="006E6BC7" w:rsidRDefault="00AA14E6" w:rsidP="00AE6D78">
      <w:pPr>
        <w:pStyle w:val="Bulletpoint"/>
      </w:pPr>
      <w:r>
        <w:t>The approach to indexation of the opening RAB</w:t>
      </w:r>
      <w:r w:rsidR="002E0335">
        <w:t xml:space="preserve"> in the '</w:t>
      </w:r>
      <w:r w:rsidR="002E0335" w:rsidRPr="00AE6D78">
        <w:rPr>
          <w:rStyle w:val="Emphasis"/>
        </w:rPr>
        <w:t>RAB roll forward'</w:t>
      </w:r>
      <w:r w:rsidR="002E0335">
        <w:t xml:space="preserve"> worksheet</w:t>
      </w:r>
      <w:r>
        <w:t xml:space="preserve">: </w:t>
      </w:r>
    </w:p>
    <w:p w:rsidR="006E6BC7" w:rsidRDefault="007D4C14" w:rsidP="00AE6D78">
      <w:pPr>
        <w:pStyle w:val="Bulletpoint2"/>
      </w:pPr>
      <w:r>
        <w:t xml:space="preserve">Should a lagged CPI be used to calculate the 'Nominal </w:t>
      </w:r>
      <w:r w:rsidR="002E0335">
        <w:t>a</w:t>
      </w:r>
      <w:r>
        <w:t xml:space="preserve">ctual inflation on </w:t>
      </w:r>
      <w:r w:rsidR="002E0335">
        <w:t>o</w:t>
      </w:r>
      <w:r>
        <w:t xml:space="preserve">pening RAB' value, consistent with the 'Nominal </w:t>
      </w:r>
      <w:r w:rsidR="002E0335">
        <w:t>(actual/forecast) straight-line</w:t>
      </w:r>
      <w:r>
        <w:t xml:space="preserve"> </w:t>
      </w:r>
      <w:r w:rsidR="002E0335">
        <w:t>d</w:t>
      </w:r>
      <w:r>
        <w:t xml:space="preserve">epreciation' </w:t>
      </w:r>
      <w:r w:rsidR="002E0335">
        <w:t xml:space="preserve">and 'Nominal actual net capex' </w:t>
      </w:r>
      <w:r>
        <w:t>value</w:t>
      </w:r>
      <w:r w:rsidR="002E0335">
        <w:t>s</w:t>
      </w:r>
      <w:r w:rsidR="00AA14E6">
        <w:t>?</w:t>
      </w:r>
    </w:p>
    <w:p w:rsidR="000F48D1" w:rsidRPr="000F48D1" w:rsidRDefault="000F48D1" w:rsidP="000F48D1">
      <w:pPr>
        <w:pStyle w:val="Heading1notnumber"/>
      </w:pPr>
      <w:bookmarkStart w:id="34" w:name="_Toc423697152"/>
      <w:r w:rsidRPr="000F48D1">
        <w:t>Appendices</w:t>
      </w:r>
      <w:bookmarkEnd w:id="34"/>
    </w:p>
    <w:p w:rsidR="000F48D1" w:rsidRPr="000F48D1" w:rsidRDefault="000F48D1" w:rsidP="000F48D1">
      <w:r w:rsidRPr="000F48D1">
        <w:t>The append</w:t>
      </w:r>
      <w:r w:rsidR="0054005E">
        <w:t xml:space="preserve">ices include the proposed </w:t>
      </w:r>
      <w:r w:rsidR="00F344B3">
        <w:t>RFM</w:t>
      </w:r>
      <w:r w:rsidR="0054005E">
        <w:t xml:space="preserve"> and handbook</w:t>
      </w:r>
      <w:r w:rsidRPr="000F48D1">
        <w:t xml:space="preserve">. As </w:t>
      </w:r>
      <w:r w:rsidR="0054005E">
        <w:t xml:space="preserve">noted above, the proposed </w:t>
      </w:r>
      <w:r w:rsidR="00F344B3">
        <w:t>RFM</w:t>
      </w:r>
      <w:r w:rsidRPr="000F48D1">
        <w:t xml:space="preserve"> include</w:t>
      </w:r>
      <w:r w:rsidR="0054005E">
        <w:t>s</w:t>
      </w:r>
      <w:r w:rsidRPr="000F48D1">
        <w:t xml:space="preserve"> a </w:t>
      </w:r>
      <w:r w:rsidR="00F344B3">
        <w:t>'</w:t>
      </w:r>
      <w:r w:rsidRPr="00AE6D78">
        <w:rPr>
          <w:rStyle w:val="Emphasis"/>
        </w:rPr>
        <w:t>Change log</w:t>
      </w:r>
      <w:r w:rsidR="00F344B3" w:rsidRPr="00AE6D78">
        <w:rPr>
          <w:rStyle w:val="Emphasis"/>
        </w:rPr>
        <w:t>'</w:t>
      </w:r>
      <w:r w:rsidRPr="000F48D1">
        <w:t xml:space="preserve"> worksheet that will be removed from the final version, with only a high level summary of changes in the </w:t>
      </w:r>
      <w:r w:rsidR="00F344B3">
        <w:t>'</w:t>
      </w:r>
      <w:r w:rsidRPr="00AE6D78">
        <w:rPr>
          <w:rStyle w:val="Emphasis"/>
        </w:rPr>
        <w:t>Intro</w:t>
      </w:r>
      <w:r w:rsidR="00F344B3" w:rsidRPr="00AE6D78">
        <w:rPr>
          <w:rStyle w:val="Emphasis"/>
        </w:rPr>
        <w:t>'</w:t>
      </w:r>
      <w:r w:rsidRPr="000F48D1">
        <w:t xml:space="preserve"> w</w:t>
      </w:r>
      <w:r w:rsidR="00AC099D">
        <w:t>orksheet. The proposed handbook</w:t>
      </w:r>
      <w:r w:rsidRPr="000F48D1">
        <w:t xml:space="preserve"> currently include</w:t>
      </w:r>
      <w:r w:rsidR="00AC099D">
        <w:t>s</w:t>
      </w:r>
      <w:r w:rsidRPr="000F48D1">
        <w:t xml:space="preserve"> highlighted text to indicate where proposed changes were made. This highlighting will be removed for the final decision.</w:t>
      </w:r>
    </w:p>
    <w:p w:rsidR="000F48D1" w:rsidRPr="000F48D1" w:rsidRDefault="000F48D1" w:rsidP="00991DC0">
      <w:pPr>
        <w:pStyle w:val="Heading2notnumbered"/>
      </w:pPr>
      <w:bookmarkStart w:id="35" w:name="_Toc423697153"/>
      <w:r w:rsidRPr="000F48D1">
        <w:t xml:space="preserve">Appendix A: </w:t>
      </w:r>
      <w:r w:rsidR="0054005E">
        <w:t>Roll forward</w:t>
      </w:r>
      <w:r w:rsidRPr="000F48D1">
        <w:t xml:space="preserve"> model (transmission)</w:t>
      </w:r>
      <w:bookmarkEnd w:id="35"/>
    </w:p>
    <w:p w:rsidR="000F48D1" w:rsidRPr="000F48D1" w:rsidRDefault="0054005E" w:rsidP="00991DC0">
      <w:pPr>
        <w:pStyle w:val="Heading2notnumbered"/>
      </w:pPr>
      <w:bookmarkStart w:id="36" w:name="_Toc423697154"/>
      <w:r>
        <w:t>Appendix B</w:t>
      </w:r>
      <w:r w:rsidR="000F48D1" w:rsidRPr="000F48D1">
        <w:t xml:space="preserve">: </w:t>
      </w:r>
      <w:r>
        <w:t>Roll forward</w:t>
      </w:r>
      <w:r w:rsidR="000F48D1" w:rsidRPr="000F48D1">
        <w:t xml:space="preserve"> model handbook (transmission)</w:t>
      </w:r>
      <w:bookmarkEnd w:id="36"/>
    </w:p>
    <w:p w:rsidR="000F48D1" w:rsidRDefault="000F48D1" w:rsidP="000F48D1"/>
    <w:sectPr w:rsidR="000F48D1" w:rsidSect="000F6A7D">
      <w:footerReference w:type="even" r:id="rId16"/>
      <w:footerReference w:type="default" r:id="rId17"/>
      <w:footerReference w:type="first" r:id="rId18"/>
      <w:pgSz w:w="11906" w:h="16838"/>
      <w:pgMar w:top="1440" w:right="1440" w:bottom="1440" w:left="1440" w:header="708" w:footer="8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D78" w:rsidRDefault="00AE6D78" w:rsidP="004B4412">
      <w:pPr>
        <w:spacing w:before="0"/>
      </w:pPr>
      <w:r>
        <w:separator/>
      </w:r>
    </w:p>
    <w:p w:rsidR="00AE6D78" w:rsidRDefault="00AE6D78"/>
    <w:p w:rsidR="00AE6D78" w:rsidRDefault="00AE6D78"/>
  </w:endnote>
  <w:endnote w:type="continuationSeparator" w:id="0">
    <w:p w:rsidR="00AE6D78" w:rsidRDefault="00AE6D78" w:rsidP="004B4412">
      <w:pPr>
        <w:spacing w:before="0"/>
      </w:pPr>
      <w:r>
        <w:continuationSeparator/>
      </w:r>
    </w:p>
    <w:p w:rsidR="00AE6D78" w:rsidRDefault="00AE6D78"/>
    <w:p w:rsidR="00AE6D78" w:rsidRDefault="00AE6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44B" w:rsidRPr="00C94456" w:rsidRDefault="007E644B" w:rsidP="002E043D">
    <w:pPr>
      <w:pStyle w:val="Footer"/>
      <w:rPr>
        <w:rStyle w:val="AERtextsize8"/>
      </w:rPr>
    </w:pPr>
    <w:r w:rsidRPr="002E043D">
      <w:rPr>
        <w:rStyle w:val="AERtextsize8"/>
        <w:color w:val="076A92" w:themeColor="text1"/>
        <w:sz w:val="18"/>
      </w:rPr>
      <w:t>Explanatory statement: Proposed amendments to electricity transmission roll forward model</w:t>
    </w:r>
    <w:r w:rsidRPr="00C94456">
      <w:rPr>
        <w:rStyle w:val="AERtextsize8"/>
      </w:rPr>
      <w:tab/>
    </w:r>
    <w:r w:rsidRPr="00C94456">
      <w:rPr>
        <w:rStyle w:val="AERtextsize8"/>
      </w:rPr>
      <w:tab/>
    </w:r>
  </w:p>
  <w:p w:rsidR="007E644B" w:rsidRDefault="007E644B"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78" w:rsidRPr="00C94456" w:rsidRDefault="00AE6D78" w:rsidP="002E043D">
    <w:pPr>
      <w:pStyle w:val="Footer"/>
      <w:rPr>
        <w:rStyle w:val="AERtextsize8"/>
      </w:rPr>
    </w:pPr>
    <w:r w:rsidRPr="002E043D">
      <w:rPr>
        <w:rStyle w:val="AERtextsize8"/>
        <w:color w:val="076A92" w:themeColor="text1"/>
        <w:sz w:val="18"/>
      </w:rPr>
      <w:t>Explanatory statement: Proposed amendments to electricity transmission roll forward model</w:t>
    </w:r>
    <w:r w:rsidRPr="00C94456">
      <w:rPr>
        <w:rStyle w:val="AERtextsize8"/>
      </w:rPr>
      <w:tab/>
    </w:r>
    <w:r w:rsidR="007E644B">
      <w:fldChar w:fldCharType="begin"/>
    </w:r>
    <w:r w:rsidR="007E644B">
      <w:instrText xml:space="preserve"> PAGE   \* MERGEFORMAT </w:instrText>
    </w:r>
    <w:r w:rsidR="007E644B">
      <w:fldChar w:fldCharType="separate"/>
    </w:r>
    <w:r w:rsidR="00DA491F">
      <w:rPr>
        <w:noProof/>
      </w:rPr>
      <w:t>i</w:t>
    </w:r>
    <w:r w:rsidR="007E644B" w:rsidRPr="007E644B">
      <w:fldChar w:fldCharType="end"/>
    </w:r>
    <w:r w:rsidRPr="00C94456">
      <w:rPr>
        <w:rStyle w:val="AERtextsize8"/>
      </w:rPr>
      <w:tab/>
    </w:r>
  </w:p>
  <w:p w:rsidR="00AE6D78" w:rsidRDefault="00AE6D78" w:rsidP="00A60023">
    <w:pPr>
      <w:pStyle w:val="Footer"/>
      <w:tabs>
        <w:tab w:val="clear" w:pos="4513"/>
        <w:tab w:val="clear" w:pos="9026"/>
        <w:tab w:val="left" w:pos="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78" w:rsidRPr="00A91A9E" w:rsidRDefault="00AE6D78" w:rsidP="000771DD">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AE6D78" w:rsidRDefault="00AE6D78"/>
  <w:p w:rsidR="00AE6D78" w:rsidRDefault="00AE6D7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78" w:rsidRDefault="00AE6D78" w:rsidP="00CC7F1D">
    <w:pPr>
      <w:pStyle w:val="Footer"/>
      <w:tabs>
        <w:tab w:val="clear" w:pos="9026"/>
        <w:tab w:val="right" w:pos="8505"/>
      </w:tabs>
    </w:pPr>
    <w:r>
      <w:t xml:space="preserve">Explanatory statement: </w:t>
    </w:r>
    <w:r w:rsidRPr="000F48D1">
      <w:t xml:space="preserve">Proposed </w:t>
    </w:r>
    <w:r>
      <w:t>a</w:t>
    </w:r>
    <w:r w:rsidRPr="000F48D1">
      <w:t xml:space="preserve">mendments to </w:t>
    </w:r>
    <w:r>
      <w:t>electricity</w:t>
    </w:r>
    <w:r w:rsidRPr="000F48D1">
      <w:t xml:space="preserve"> </w:t>
    </w:r>
    <w:r>
      <w:t>t</w:t>
    </w:r>
    <w:r w:rsidRPr="000F48D1">
      <w:t xml:space="preserve">ransmission </w:t>
    </w:r>
    <w:r>
      <w:t>r</w:t>
    </w:r>
    <w:r w:rsidRPr="000F48D1">
      <w:t xml:space="preserve">oll </w:t>
    </w:r>
    <w:r>
      <w:t>f</w:t>
    </w:r>
    <w:r w:rsidRPr="000F48D1">
      <w:t xml:space="preserve">orward </w:t>
    </w:r>
    <w:r>
      <w:t>m</w:t>
    </w:r>
    <w:r w:rsidRPr="000F48D1">
      <w:t>odel</w:t>
    </w:r>
    <w:r>
      <w:tab/>
    </w:r>
    <w:r w:rsidR="00D122C6">
      <w:t xml:space="preserve">        </w:t>
    </w:r>
    <w:r>
      <w:fldChar w:fldCharType="begin"/>
    </w:r>
    <w:r>
      <w:instrText xml:space="preserve"> PAGE   \* MERGEFORMAT </w:instrText>
    </w:r>
    <w:r>
      <w:fldChar w:fldCharType="separate"/>
    </w:r>
    <w:r w:rsidR="00DA491F">
      <w:rPr>
        <w:noProof/>
      </w:rPr>
      <w:t>5</w:t>
    </w:r>
    <w:r>
      <w:rPr>
        <w:noProof/>
      </w:rPr>
      <w:fldChar w:fldCharType="end"/>
    </w:r>
  </w:p>
  <w:p w:rsidR="00AE6D78" w:rsidRDefault="00AE6D78"/>
  <w:p w:rsidR="00AE6D78" w:rsidRDefault="00AE6D7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78" w:rsidRDefault="00AE6D78" w:rsidP="00CC7F1D">
    <w:pPr>
      <w:pStyle w:val="Footer"/>
      <w:tabs>
        <w:tab w:val="clear" w:pos="9026"/>
        <w:tab w:val="right" w:pos="8505"/>
      </w:tabs>
    </w:pPr>
    <w:r>
      <w:t>Explanatory statement: Proposed a</w:t>
    </w:r>
    <w:r w:rsidRPr="00F009C2">
      <w:t xml:space="preserve">mendments to </w:t>
    </w:r>
    <w:r>
      <w:t>electricity t</w:t>
    </w:r>
    <w:r w:rsidRPr="00F009C2">
      <w:t xml:space="preserve">ransmission </w:t>
    </w:r>
    <w:r>
      <w:t>r</w:t>
    </w:r>
    <w:r w:rsidRPr="00F009C2">
      <w:t xml:space="preserve">oll </w:t>
    </w:r>
    <w:r>
      <w:t>f</w:t>
    </w:r>
    <w:r w:rsidRPr="00F009C2">
      <w:t xml:space="preserve">orward </w:t>
    </w:r>
    <w:r>
      <w:t>m</w:t>
    </w:r>
    <w:r w:rsidRPr="00F009C2">
      <w:t>odel</w:t>
    </w:r>
    <w:r>
      <w:tab/>
    </w:r>
    <w:r>
      <w:tab/>
    </w:r>
    <w:r>
      <w:fldChar w:fldCharType="begin"/>
    </w:r>
    <w:r>
      <w:instrText xml:space="preserve"> PAGE   \* MERGEFORMAT </w:instrText>
    </w:r>
    <w:r>
      <w:fldChar w:fldCharType="separate"/>
    </w:r>
    <w:r>
      <w:rPr>
        <w:noProof/>
      </w:rPr>
      <w:t>1</w:t>
    </w:r>
    <w:r>
      <w:fldChar w:fldCharType="end"/>
    </w:r>
  </w:p>
  <w:p w:rsidR="00AE6D78" w:rsidRDefault="00AE6D78">
    <w:pPr>
      <w:pStyle w:val="Footer"/>
    </w:pPr>
  </w:p>
  <w:p w:rsidR="00AE6D78" w:rsidRDefault="00AE6D78"/>
  <w:p w:rsidR="00AE6D78" w:rsidRDefault="00AE6D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D78" w:rsidRDefault="00AE6D78" w:rsidP="00182906">
      <w:pPr>
        <w:spacing w:before="0"/>
      </w:pPr>
      <w:r>
        <w:separator/>
      </w:r>
    </w:p>
  </w:footnote>
  <w:footnote w:type="continuationSeparator" w:id="0">
    <w:p w:rsidR="00AE6D78" w:rsidRDefault="00AE6D78" w:rsidP="00182906">
      <w:pPr>
        <w:spacing w:before="0"/>
      </w:pPr>
      <w:r>
        <w:continuationSeparator/>
      </w:r>
    </w:p>
  </w:footnote>
  <w:footnote w:type="continuationNotice" w:id="1">
    <w:p w:rsidR="00AE6D78" w:rsidRDefault="00AE6D78">
      <w:pPr>
        <w:spacing w:before="0" w:line="240" w:lineRule="auto"/>
      </w:pPr>
    </w:p>
  </w:footnote>
  <w:footnote w:id="2">
    <w:p w:rsidR="00AE6D78" w:rsidRDefault="00AE6D78">
      <w:pPr>
        <w:pStyle w:val="FootnoteText"/>
      </w:pPr>
      <w:r>
        <w:rPr>
          <w:rStyle w:val="FootnoteReference"/>
        </w:rPr>
        <w:footnoteRef/>
      </w:r>
      <w:r>
        <w:t xml:space="preserve"> </w:t>
      </w:r>
      <w:r>
        <w:tab/>
        <w:t xml:space="preserve">NER, clause </w:t>
      </w:r>
      <w:proofErr w:type="gramStart"/>
      <w:r>
        <w:t>6A.6.1(</w:t>
      </w:r>
      <w:proofErr w:type="gramEnd"/>
      <w:r>
        <w:t>b).</w:t>
      </w:r>
    </w:p>
  </w:footnote>
  <w:footnote w:id="3">
    <w:p w:rsidR="00AE6D78" w:rsidRDefault="00AE6D78">
      <w:pPr>
        <w:pStyle w:val="FootnoteText"/>
      </w:pPr>
      <w:r>
        <w:rPr>
          <w:rStyle w:val="FootnoteReference"/>
        </w:rPr>
        <w:footnoteRef/>
      </w:r>
      <w:r>
        <w:t xml:space="preserve"> </w:t>
      </w:r>
      <w:r>
        <w:tab/>
      </w:r>
      <w:proofErr w:type="gramStart"/>
      <w:r>
        <w:t xml:space="preserve">AER, </w:t>
      </w:r>
      <w:r w:rsidRPr="00AE6D78">
        <w:rPr>
          <w:rStyle w:val="Emphasis"/>
        </w:rPr>
        <w:t>Better regulation, Capital expenditure incentive guideline</w:t>
      </w:r>
      <w:r>
        <w:t>, November 2013,</w:t>
      </w:r>
      <w:r w:rsidRPr="00E400BB">
        <w:t xml:space="preserve"> </w:t>
      </w:r>
      <w:r>
        <w:t>pp. 21–22.</w:t>
      </w:r>
      <w:proofErr w:type="gramEnd"/>
    </w:p>
  </w:footnote>
  <w:footnote w:id="4">
    <w:p w:rsidR="00AE6D78" w:rsidRDefault="00AE6D78">
      <w:pPr>
        <w:pStyle w:val="FootnoteText"/>
      </w:pPr>
      <w:r>
        <w:rPr>
          <w:rStyle w:val="FootnoteReference"/>
        </w:rPr>
        <w:footnoteRef/>
      </w:r>
      <w:r>
        <w:t xml:space="preserve"> </w:t>
      </w:r>
      <w:r>
        <w:tab/>
        <w:t>AER,</w:t>
      </w:r>
      <w:r w:rsidRPr="00B33806">
        <w:t xml:space="preserve"> </w:t>
      </w:r>
      <w:r w:rsidRPr="00AE6D78">
        <w:rPr>
          <w:rStyle w:val="Emphasis"/>
        </w:rPr>
        <w:t>Better regulation, Rate of return guideline</w:t>
      </w:r>
      <w:r>
        <w:t>, December 2013,</w:t>
      </w:r>
      <w:r w:rsidRPr="00E400BB">
        <w:t xml:space="preserve"> </w:t>
      </w:r>
      <w:r>
        <w:t>p. 19.</w:t>
      </w:r>
    </w:p>
  </w:footnote>
  <w:footnote w:id="5">
    <w:p w:rsidR="00AE6D78" w:rsidRDefault="00AE6D78">
      <w:pPr>
        <w:pStyle w:val="FootnoteText"/>
      </w:pPr>
      <w:r>
        <w:rPr>
          <w:rStyle w:val="FootnoteReference"/>
        </w:rPr>
        <w:footnoteRef/>
      </w:r>
      <w:r>
        <w:t xml:space="preserve"> </w:t>
      </w:r>
      <w:proofErr w:type="gramStart"/>
      <w:r>
        <w:t>NER, cl. 6A.6.1(c).</w:t>
      </w:r>
      <w:proofErr w:type="gramEnd"/>
    </w:p>
  </w:footnote>
  <w:footnote w:id="6">
    <w:p w:rsidR="00AE6D78" w:rsidRDefault="00AE6D78">
      <w:pPr>
        <w:pStyle w:val="FootnoteText"/>
      </w:pPr>
      <w:r>
        <w:rPr>
          <w:rStyle w:val="FootnoteReference"/>
        </w:rPr>
        <w:footnoteRef/>
      </w:r>
      <w:r>
        <w:t xml:space="preserve"> NER, cl. </w:t>
      </w:r>
      <w:proofErr w:type="gramStart"/>
      <w:r>
        <w:t>6A.20(</w:t>
      </w:r>
      <w:proofErr w:type="gramEnd"/>
      <w:r>
        <w:t>b</w:t>
      </w:r>
      <w:r w:rsidRPr="005E3397">
        <w:t>).</w:t>
      </w:r>
    </w:p>
  </w:footnote>
  <w:footnote w:id="7">
    <w:p w:rsidR="00AE6D78" w:rsidRDefault="00AE6D78">
      <w:pPr>
        <w:pStyle w:val="FootnoteText"/>
      </w:pPr>
      <w:r>
        <w:rPr>
          <w:rStyle w:val="FootnoteReference"/>
        </w:rPr>
        <w:footnoteRef/>
      </w:r>
      <w:r>
        <w:t xml:space="preserve"> </w:t>
      </w:r>
      <w:proofErr w:type="gramStart"/>
      <w:r>
        <w:t>NER, cl. 6A.20(c).</w:t>
      </w:r>
      <w:proofErr w:type="gramEnd"/>
    </w:p>
  </w:footnote>
  <w:footnote w:id="8">
    <w:p w:rsidR="00AE6D78" w:rsidRDefault="00AE6D78">
      <w:pPr>
        <w:pStyle w:val="FootnoteText"/>
      </w:pPr>
      <w:r>
        <w:rPr>
          <w:rStyle w:val="FootnoteReference"/>
        </w:rPr>
        <w:footnoteRef/>
      </w:r>
      <w:r>
        <w:t xml:space="preserve"> NER, cl.</w:t>
      </w:r>
      <w:r w:rsidRPr="005E3397">
        <w:t xml:space="preserve"> 6A.</w:t>
      </w:r>
      <w:r>
        <w:t>20</w:t>
      </w:r>
      <w:r w:rsidRPr="005E3397">
        <w:t>(e),</w:t>
      </w:r>
    </w:p>
  </w:footnote>
  <w:footnote w:id="9">
    <w:p w:rsidR="00AE6D78" w:rsidRDefault="00AE6D78" w:rsidP="005E3397">
      <w:pPr>
        <w:pStyle w:val="FootnoteText"/>
      </w:pPr>
      <w:r>
        <w:rPr>
          <w:rStyle w:val="FootnoteReference"/>
        </w:rPr>
        <w:footnoteRef/>
      </w:r>
      <w:r>
        <w:t xml:space="preserve"> NER, cl. </w:t>
      </w:r>
      <w:proofErr w:type="gramStart"/>
      <w:r>
        <w:t>6A.6.1(</w:t>
      </w:r>
      <w:proofErr w:type="gramEnd"/>
      <w:r>
        <w:t>e).</w:t>
      </w:r>
    </w:p>
  </w:footnote>
  <w:footnote w:id="10">
    <w:p w:rsidR="00AE6D78" w:rsidRDefault="00AE6D78">
      <w:pPr>
        <w:pStyle w:val="FootnoteText"/>
      </w:pPr>
      <w:r>
        <w:rPr>
          <w:rStyle w:val="FootnoteReference"/>
        </w:rPr>
        <w:footnoteRef/>
      </w:r>
      <w:r>
        <w:t xml:space="preserve"> </w:t>
      </w:r>
      <w:r>
        <w:tab/>
        <w:t xml:space="preserve">NER, clauses </w:t>
      </w:r>
      <w:proofErr w:type="gramStart"/>
      <w:r>
        <w:t>6A.6.1(</w:t>
      </w:r>
      <w:proofErr w:type="gramEnd"/>
      <w:r>
        <w:t>e) and S6A.2.</w:t>
      </w:r>
      <w:r w:rsidR="006E2669">
        <w:t>1</w:t>
      </w:r>
      <w:r>
        <w:t>(f)–(g).</w:t>
      </w:r>
    </w:p>
  </w:footnote>
  <w:footnote w:id="11">
    <w:p w:rsidR="00AE6D78" w:rsidRDefault="00AE6D78">
      <w:pPr>
        <w:pStyle w:val="FootnoteText"/>
      </w:pPr>
      <w:r>
        <w:rPr>
          <w:rStyle w:val="FootnoteReference"/>
        </w:rPr>
        <w:footnoteRef/>
      </w:r>
      <w:r>
        <w:t xml:space="preserve"> </w:t>
      </w:r>
      <w:r>
        <w:tab/>
        <w:t>Minor changes relate to formatting</w:t>
      </w:r>
      <w:r w:rsidR="00B579C6">
        <w:t>,</w:t>
      </w:r>
      <w:r>
        <w:t xml:space="preserve"> labelling</w:t>
      </w:r>
      <w:r w:rsidR="00B579C6">
        <w:t xml:space="preserve"> or</w:t>
      </w:r>
      <w:r>
        <w:t xml:space="preserve"> </w:t>
      </w:r>
      <w:r w:rsidR="001B20CB">
        <w:t xml:space="preserve">formula updates </w:t>
      </w:r>
      <w:r>
        <w:t>which, while noted for completeness, are not consequential to the operation of the RFM.</w:t>
      </w:r>
    </w:p>
  </w:footnote>
  <w:footnote w:id="12">
    <w:p w:rsidR="00AE6D78" w:rsidRDefault="00AE6D78" w:rsidP="004F6D88">
      <w:pPr>
        <w:pStyle w:val="FootnoteText"/>
      </w:pPr>
      <w:r>
        <w:rPr>
          <w:rStyle w:val="FootnoteReference"/>
        </w:rPr>
        <w:footnoteRef/>
      </w:r>
      <w:r>
        <w:t xml:space="preserve"> </w:t>
      </w:r>
      <w:r>
        <w:tab/>
        <w:t xml:space="preserve">A recent discussion on the choice of depreciation approach was in the AER decision on TransGrid. See AER, </w:t>
      </w:r>
      <w:r w:rsidRPr="004F6D88">
        <w:rPr>
          <w:rStyle w:val="Emphasis"/>
        </w:rPr>
        <w:t>Draft decision: TransGrid transmission determination 2015–16 to 2017–18, Attachment 2: Regulatory asset base,</w:t>
      </w:r>
      <w:r>
        <w:t xml:space="preserve"> November 2014, pp. 14–15 and AER</w:t>
      </w:r>
      <w:r w:rsidRPr="00AE6D78">
        <w:rPr>
          <w:rStyle w:val="Emphasis"/>
        </w:rPr>
        <w:t>, Final decision:</w:t>
      </w:r>
      <w:r>
        <w:t xml:space="preserve"> </w:t>
      </w:r>
      <w:r w:rsidRPr="004F6D88">
        <w:rPr>
          <w:rStyle w:val="Emphasis"/>
        </w:rPr>
        <w:t>TransGrid transmission determination 2015–16 to 2017–18, Attachment 2: Regulatory asset base,</w:t>
      </w:r>
      <w:r>
        <w:t xml:space="preserve"> April 2015, p. 6.</w:t>
      </w:r>
    </w:p>
  </w:footnote>
  <w:footnote w:id="13">
    <w:p w:rsidR="00AE6D78" w:rsidRDefault="00AE6D78">
      <w:pPr>
        <w:pStyle w:val="FootnoteText"/>
      </w:pPr>
      <w:r>
        <w:rPr>
          <w:rStyle w:val="FootnoteReference"/>
        </w:rPr>
        <w:footnoteRef/>
      </w:r>
      <w:r>
        <w:t xml:space="preserve"> </w:t>
      </w:r>
      <w:r>
        <w:tab/>
        <w:t xml:space="preserve">The tax asset base </w:t>
      </w:r>
      <w:r w:rsidR="0041697A">
        <w:t>is</w:t>
      </w:r>
      <w:r>
        <w:t xml:space="preserve"> rolled forward using depreciation based on actual capex, consistent with the tax framework.</w:t>
      </w:r>
    </w:p>
  </w:footnote>
  <w:footnote w:id="14">
    <w:p w:rsidR="001870B3" w:rsidRDefault="001870B3">
      <w:pPr>
        <w:pStyle w:val="FootnoteText"/>
      </w:pPr>
      <w:r>
        <w:rPr>
          <w:rStyle w:val="FootnoteReference"/>
        </w:rPr>
        <w:footnoteRef/>
      </w:r>
      <w:r>
        <w:t xml:space="preserve"> </w:t>
      </w:r>
      <w:r>
        <w:tab/>
        <w:t>For example, forecast depreciation for an asset class may be $60 million over the regulatory control period. However</w:t>
      </w:r>
      <w:r w:rsidR="00B73996">
        <w:t>,</w:t>
      </w:r>
      <w:r>
        <w:t xml:space="preserve"> based on actual</w:t>
      </w:r>
      <w:r w:rsidR="00B73996">
        <w:t xml:space="preserve"> capex the actual depreciation </w:t>
      </w:r>
      <w:r w:rsidR="00BE66A5">
        <w:t>is</w:t>
      </w:r>
      <w:r>
        <w:t xml:space="preserve"> $40 million. This means that $20 million of the $60 million removed from this asset class for forecast depreciation </w:t>
      </w:r>
      <w:r w:rsidR="00B73996">
        <w:t xml:space="preserve">at the end of the regulatory control period </w:t>
      </w:r>
      <w:r>
        <w:t>relates to asset</w:t>
      </w:r>
      <w:r w:rsidR="00081E82">
        <w:t>s</w:t>
      </w:r>
      <w:r>
        <w:t xml:space="preserve"> that never existed</w:t>
      </w:r>
      <w:r w:rsidR="00B73996">
        <w:t xml:space="preserve"> (although the </w:t>
      </w:r>
      <w:r w:rsidR="00BE66A5">
        <w:t>revenue</w:t>
      </w:r>
      <w:r w:rsidR="00B73996">
        <w:t xml:space="preserve"> was received by the </w:t>
      </w:r>
      <w:r w:rsidR="00BE66A5">
        <w:t>TNSP</w:t>
      </w:r>
      <w:r w:rsidR="00B73996">
        <w:t>)</w:t>
      </w:r>
      <w:r>
        <w:t xml:space="preserve">. </w:t>
      </w:r>
      <w:r w:rsidR="00B73996">
        <w:t>T</w:t>
      </w:r>
      <w:r>
        <w:t xml:space="preserve">o not control for this </w:t>
      </w:r>
      <w:r w:rsidR="00B73996">
        <w:t xml:space="preserve">impact </w:t>
      </w:r>
      <w:r>
        <w:t xml:space="preserve">would distort the </w:t>
      </w:r>
      <w:r w:rsidR="00B73996">
        <w:t>remaining</w:t>
      </w:r>
      <w:r>
        <w:t xml:space="preserve"> asset lives of </w:t>
      </w:r>
      <w:r w:rsidR="00BE66A5">
        <w:t>actual</w:t>
      </w:r>
      <w:r w:rsidR="00B73996">
        <w:t xml:space="preserve"> assets </w:t>
      </w:r>
      <w:r w:rsidR="00BE66A5">
        <w:t xml:space="preserve">(based on existing and new assets actually commissioned during the regulatory control period) </w:t>
      </w:r>
      <w:r w:rsidR="00B73996">
        <w:t>in that asset class.</w:t>
      </w:r>
    </w:p>
  </w:footnote>
  <w:footnote w:id="15">
    <w:p w:rsidR="00C36528" w:rsidRDefault="00C36528">
      <w:pPr>
        <w:pStyle w:val="FootnoteText"/>
      </w:pPr>
      <w:r>
        <w:rPr>
          <w:rStyle w:val="FootnoteReference"/>
        </w:rPr>
        <w:footnoteRef/>
      </w:r>
      <w:r>
        <w:t xml:space="preserve"> </w:t>
      </w:r>
      <w:r>
        <w:tab/>
        <w:t xml:space="preserve">NER, </w:t>
      </w:r>
      <w:r w:rsidR="00BE66A5">
        <w:t>c</w:t>
      </w:r>
      <w:r>
        <w:t xml:space="preserve">lause </w:t>
      </w:r>
      <w:r w:rsidRPr="00C36528">
        <w:t>6A.6.3</w:t>
      </w:r>
      <w:r>
        <w:t xml:space="preserve"> (b</w:t>
      </w:r>
      <w:proofErr w:type="gramStart"/>
      <w:r>
        <w:t>)(</w:t>
      </w:r>
      <w:proofErr w:type="gramEnd"/>
      <w:r>
        <w:t>1).</w:t>
      </w:r>
    </w:p>
  </w:footnote>
  <w:footnote w:id="16">
    <w:p w:rsidR="00B41C49" w:rsidRDefault="00B41C49">
      <w:pPr>
        <w:pStyle w:val="FootnoteText"/>
      </w:pPr>
      <w:r>
        <w:rPr>
          <w:rStyle w:val="FootnoteReference"/>
        </w:rPr>
        <w:footnoteRef/>
      </w:r>
      <w:r>
        <w:t xml:space="preserve"> </w:t>
      </w:r>
      <w:r>
        <w:tab/>
        <w:t>Individual tracking of rema</w:t>
      </w:r>
      <w:r w:rsidR="00BE66A5">
        <w:t>i</w:t>
      </w:r>
      <w:r>
        <w:t xml:space="preserve">ning asset lives also allows accurate switching back to an actual depreciation approach if required. </w:t>
      </w:r>
    </w:p>
  </w:footnote>
  <w:footnote w:id="17">
    <w:p w:rsidR="00253F96" w:rsidRDefault="00253F96">
      <w:pPr>
        <w:pStyle w:val="FootnoteText"/>
      </w:pPr>
      <w:r>
        <w:rPr>
          <w:rStyle w:val="FootnoteReference"/>
        </w:rPr>
        <w:footnoteRef/>
      </w:r>
      <w:r>
        <w:t xml:space="preserve"> </w:t>
      </w:r>
      <w:r>
        <w:tab/>
        <w:t xml:space="preserve">The first application of version 3 of the RFM results in the same WARLs as if version 2 were used a last time. </w:t>
      </w:r>
    </w:p>
  </w:footnote>
  <w:footnote w:id="18">
    <w:p w:rsidR="00AE6D78" w:rsidRDefault="00AE6D78" w:rsidP="004F6D88">
      <w:pPr>
        <w:pStyle w:val="FootnoteText"/>
      </w:pPr>
      <w:r>
        <w:rPr>
          <w:rStyle w:val="FootnoteReference"/>
        </w:rPr>
        <w:footnoteRef/>
      </w:r>
      <w:r>
        <w:t xml:space="preserve"> </w:t>
      </w:r>
      <w:r>
        <w:tab/>
        <w:t xml:space="preserve">Refer to the explanatory statement for the PTRM amendment for background on this change. See AER, </w:t>
      </w:r>
      <w:r w:rsidRPr="00DE32DB">
        <w:rPr>
          <w:rStyle w:val="Emphasis"/>
        </w:rPr>
        <w:t>Explanatory statement: Proposed amendment Electricity transmission and distribution network service providers Post-tax revenue models (version 3)</w:t>
      </w:r>
      <w:r>
        <w:t xml:space="preserve">, </w:t>
      </w:r>
      <w:r w:rsidRPr="004F6D88">
        <w:t>3 October 2014</w:t>
      </w:r>
      <w:r>
        <w:t>, pp. 10–11.</w:t>
      </w:r>
    </w:p>
  </w:footnote>
  <w:footnote w:id="19">
    <w:p w:rsidR="00AE6D78" w:rsidRDefault="00AE6D78" w:rsidP="00C474A1">
      <w:pPr>
        <w:pStyle w:val="FootnoteText"/>
      </w:pPr>
      <w:r>
        <w:rPr>
          <w:rStyle w:val="FootnoteReference"/>
        </w:rPr>
        <w:footnoteRef/>
      </w:r>
      <w:r>
        <w:t xml:space="preserve"> </w:t>
      </w:r>
      <w:r>
        <w:tab/>
        <w:t>AER,</w:t>
      </w:r>
      <w:r w:rsidRPr="00B33806">
        <w:t xml:space="preserve"> </w:t>
      </w:r>
      <w:r w:rsidRPr="00B50F12">
        <w:rPr>
          <w:rStyle w:val="Emphasis"/>
        </w:rPr>
        <w:t>Better regulation, Rate of return guideline</w:t>
      </w:r>
      <w:r>
        <w:t>, December 2013,</w:t>
      </w:r>
      <w:r w:rsidRPr="00E400BB">
        <w:t xml:space="preserve"> </w:t>
      </w:r>
      <w:r>
        <w:t>p. 19.</w:t>
      </w:r>
    </w:p>
  </w:footnote>
  <w:footnote w:id="20">
    <w:p w:rsidR="0070686D" w:rsidRDefault="0070686D">
      <w:pPr>
        <w:pStyle w:val="FootnoteText"/>
      </w:pPr>
      <w:r>
        <w:rPr>
          <w:rStyle w:val="FootnoteReference"/>
        </w:rPr>
        <w:footnoteRef/>
      </w:r>
      <w:r>
        <w:t xml:space="preserve"> </w:t>
      </w:r>
      <w:r>
        <w:tab/>
        <w:t xml:space="preserve">AER, </w:t>
      </w:r>
      <w:r w:rsidRPr="0070686D">
        <w:rPr>
          <w:rStyle w:val="Emphasis"/>
        </w:rPr>
        <w:t>Final decision, Electricity transmission network service providers roll forward model</w:t>
      </w:r>
      <w:r>
        <w:t>, September 2007, pp. 6–7.</w:t>
      </w:r>
    </w:p>
  </w:footnote>
  <w:footnote w:id="21">
    <w:p w:rsidR="00B579C6" w:rsidRDefault="00AE6D78">
      <w:pPr>
        <w:pStyle w:val="FootnoteText"/>
      </w:pPr>
      <w:r>
        <w:rPr>
          <w:rStyle w:val="FootnoteReference"/>
        </w:rPr>
        <w:footnoteRef/>
      </w:r>
      <w:r>
        <w:t xml:space="preserve"> </w:t>
      </w:r>
      <w:r>
        <w:tab/>
        <w:t xml:space="preserve">ETNOF, </w:t>
      </w:r>
      <w:r w:rsidRPr="00AE6D78">
        <w:rPr>
          <w:rStyle w:val="Emphasis"/>
        </w:rPr>
        <w:t>Roll forward model - Response to AER’s first proposed guidelines</w:t>
      </w:r>
      <w:r>
        <w:t xml:space="preserve">, 1 May 2007, pp. 2–3; </w:t>
      </w:r>
    </w:p>
    <w:p w:rsidR="00AE6D78" w:rsidRDefault="00B579C6">
      <w:pPr>
        <w:pStyle w:val="FootnoteText"/>
      </w:pPr>
      <w:r>
        <w:tab/>
      </w:r>
      <w:r w:rsidR="00AE6D78">
        <w:t xml:space="preserve">NERA, </w:t>
      </w:r>
      <w:r w:rsidR="00AE6D78" w:rsidRPr="00AE6D78">
        <w:rPr>
          <w:rStyle w:val="Emphasis"/>
        </w:rPr>
        <w:t>AER's first proposed post-tax revenue model, roll forward model and efficiency benefit sharing scheme</w:t>
      </w:r>
      <w:r w:rsidR="00AE6D78">
        <w:t>, 1 May 2007, pp.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374E0516"/>
    <w:lvl w:ilvl="0" w:tplc="724EB5A0">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 w:numId="31">
    <w:abstractNumId w:val="19"/>
    <w:lvlOverride w:ilvl="0">
      <w:lvl w:ilvl="0" w:tplc="D66A534E">
        <w:start w:val="1"/>
        <w:numFmt w:val="none"/>
        <w:pStyle w:val="ListBullet"/>
        <w:lvlText w:val="%1"/>
        <w:lvlJc w:val="left"/>
        <w:pPr>
          <w:tabs>
            <w:tab w:val="num" w:pos="0"/>
          </w:tabs>
          <w:ind w:left="0" w:firstLine="0"/>
        </w:pPr>
        <w:rPr>
          <w:rFonts w:hint="default"/>
        </w:rPr>
      </w:lvl>
    </w:lvlOverride>
    <w:lvlOverride w:ilvl="1">
      <w:lvl w:ilvl="1" w:tplc="0C090003">
        <w:start w:val="1"/>
        <w:numFmt w:val="decimal"/>
        <w:lvlText w:val="%1%2"/>
        <w:lvlJc w:val="left"/>
        <w:pPr>
          <w:tabs>
            <w:tab w:val="num" w:pos="0"/>
          </w:tabs>
          <w:ind w:left="0" w:hanging="851"/>
        </w:pPr>
        <w:rPr>
          <w:rFonts w:hint="default"/>
        </w:rPr>
      </w:lvl>
    </w:lvlOverride>
    <w:lvlOverride w:ilvl="2">
      <w:lvl w:ilvl="2" w:tplc="0C090005">
        <w:start w:val="1"/>
        <w:numFmt w:val="decimal"/>
        <w:lvlText w:val="%1%2.%3"/>
        <w:lvlJc w:val="left"/>
        <w:pPr>
          <w:tabs>
            <w:tab w:val="num" w:pos="0"/>
          </w:tabs>
          <w:ind w:left="0" w:hanging="851"/>
        </w:pPr>
        <w:rPr>
          <w:rFonts w:hint="default"/>
        </w:rPr>
      </w:lvl>
    </w:lvlOverride>
    <w:lvlOverride w:ilvl="3">
      <w:lvl w:ilvl="3" w:tplc="0C090001">
        <w:start w:val="1"/>
        <w:numFmt w:val="decimal"/>
        <w:lvlText w:val="%2.%3.%4"/>
        <w:lvlJc w:val="left"/>
        <w:pPr>
          <w:tabs>
            <w:tab w:val="num" w:pos="0"/>
          </w:tabs>
          <w:ind w:left="0" w:hanging="851"/>
        </w:pPr>
        <w:rPr>
          <w:rFonts w:hint="default"/>
        </w:rPr>
      </w:lvl>
    </w:lvlOverride>
    <w:lvlOverride w:ilvl="4">
      <w:lvl w:ilvl="4" w:tplc="0C090003">
        <w:start w:val="1"/>
        <w:numFmt w:val="upperLetter"/>
        <w:lvlRestart w:val="1"/>
        <w:lvlText w:val="%5"/>
        <w:lvlJc w:val="left"/>
        <w:pPr>
          <w:tabs>
            <w:tab w:val="num" w:pos="0"/>
          </w:tabs>
          <w:ind w:left="0" w:hanging="851"/>
        </w:pPr>
        <w:rPr>
          <w:rFonts w:hint="default"/>
        </w:rPr>
      </w:lvl>
    </w:lvlOverride>
    <w:lvlOverride w:ilvl="5">
      <w:lvl w:ilvl="5" w:tplc="0C090005">
        <w:start w:val="1"/>
        <w:numFmt w:val="decimal"/>
        <w:lvlText w:val="%5.%6"/>
        <w:lvlJc w:val="left"/>
        <w:pPr>
          <w:tabs>
            <w:tab w:val="num" w:pos="0"/>
          </w:tabs>
          <w:ind w:left="0" w:hanging="851"/>
        </w:pPr>
        <w:rPr>
          <w:rFonts w:hint="default"/>
        </w:rPr>
      </w:lvl>
    </w:lvlOverride>
    <w:lvlOverride w:ilvl="6">
      <w:lvl w:ilvl="6" w:tplc="0C090001">
        <w:start w:val="1"/>
        <w:numFmt w:val="decimal"/>
        <w:lvlText w:val="%5.%6.%7"/>
        <w:lvlJc w:val="left"/>
        <w:pPr>
          <w:tabs>
            <w:tab w:val="num" w:pos="0"/>
          </w:tabs>
          <w:ind w:left="0" w:hanging="851"/>
        </w:pPr>
        <w:rPr>
          <w:rFonts w:hint="default"/>
        </w:rPr>
      </w:lvl>
    </w:lvlOverride>
    <w:lvlOverride w:ilvl="7">
      <w:lvl w:ilvl="7" w:tplc="0C090003">
        <w:start w:val="1"/>
        <w:numFmt w:val="none"/>
        <w:lvlRestart w:val="0"/>
        <w:lvlText w:val=""/>
        <w:lvlJc w:val="left"/>
        <w:pPr>
          <w:tabs>
            <w:tab w:val="num" w:pos="0"/>
          </w:tabs>
          <w:ind w:left="0" w:firstLine="0"/>
        </w:pPr>
        <w:rPr>
          <w:rFonts w:hint="default"/>
        </w:rPr>
      </w:lvl>
    </w:lvlOverride>
    <w:lvlOverride w:ilvl="8">
      <w:lvl w:ilvl="8" w:tplc="0C090005">
        <w:start w:val="1"/>
        <w:numFmt w:val="none"/>
        <w:lvlRestart w:val="0"/>
        <w:lvlText w:val=""/>
        <w:lvlJc w:val="left"/>
        <w:pPr>
          <w:ind w:left="0" w:firstLine="0"/>
        </w:pPr>
        <w:rPr>
          <w:rFonts w:hint="default"/>
        </w:rPr>
      </w:lvl>
    </w:lvlOverride>
  </w:num>
  <w:num w:numId="32">
    <w:abstractNumId w:val="20"/>
  </w:num>
  <w:num w:numId="33">
    <w:abstractNumId w:val="23"/>
    <w:lvlOverride w:ilvl="0">
      <w:lvl w:ilvl="0">
        <w:start w:val="1"/>
        <w:numFmt w:val="none"/>
        <w:lvlText w:val="%1"/>
        <w:lvlJc w:val="left"/>
        <w:pPr>
          <w:tabs>
            <w:tab w:val="num" w:pos="0"/>
          </w:tabs>
          <w:ind w:left="0" w:firstLine="0"/>
        </w:pPr>
        <w:rPr>
          <w:rFonts w:hint="default"/>
        </w:rPr>
      </w:lvl>
    </w:lvlOverride>
  </w:num>
  <w:num w:numId="34">
    <w:abstractNumId w:val="8"/>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1044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seym\AER\Web loading\Explanatory statement - Proposed amendment to electricity transmission RFM.DOCX"/>
  </w:docVars>
  <w:rsids>
    <w:rsidRoot w:val="003655DB"/>
    <w:rsid w:val="000015B6"/>
    <w:rsid w:val="00021202"/>
    <w:rsid w:val="0002517F"/>
    <w:rsid w:val="0003578C"/>
    <w:rsid w:val="0003605C"/>
    <w:rsid w:val="00036D00"/>
    <w:rsid w:val="00044A22"/>
    <w:rsid w:val="00063247"/>
    <w:rsid w:val="00066340"/>
    <w:rsid w:val="00070F9F"/>
    <w:rsid w:val="0007137B"/>
    <w:rsid w:val="00074341"/>
    <w:rsid w:val="000771DD"/>
    <w:rsid w:val="00081E82"/>
    <w:rsid w:val="00085663"/>
    <w:rsid w:val="00085EBF"/>
    <w:rsid w:val="000A6C7B"/>
    <w:rsid w:val="000D122C"/>
    <w:rsid w:val="000E1819"/>
    <w:rsid w:val="000E6C72"/>
    <w:rsid w:val="000F48D1"/>
    <w:rsid w:val="000F6A7D"/>
    <w:rsid w:val="00107CC7"/>
    <w:rsid w:val="00116EB2"/>
    <w:rsid w:val="00117E1C"/>
    <w:rsid w:val="00124609"/>
    <w:rsid w:val="00130C3C"/>
    <w:rsid w:val="001448D2"/>
    <w:rsid w:val="0014573B"/>
    <w:rsid w:val="001509DA"/>
    <w:rsid w:val="00152600"/>
    <w:rsid w:val="001573E4"/>
    <w:rsid w:val="00160756"/>
    <w:rsid w:val="0016228F"/>
    <w:rsid w:val="00166CB7"/>
    <w:rsid w:val="00170114"/>
    <w:rsid w:val="0017232E"/>
    <w:rsid w:val="00174102"/>
    <w:rsid w:val="00180157"/>
    <w:rsid w:val="00182906"/>
    <w:rsid w:val="00185CB9"/>
    <w:rsid w:val="00186F77"/>
    <w:rsid w:val="001870B3"/>
    <w:rsid w:val="0019058C"/>
    <w:rsid w:val="001926A4"/>
    <w:rsid w:val="00192AD5"/>
    <w:rsid w:val="00196D1E"/>
    <w:rsid w:val="001A5849"/>
    <w:rsid w:val="001B20CB"/>
    <w:rsid w:val="001B45A0"/>
    <w:rsid w:val="001D055E"/>
    <w:rsid w:val="001D1582"/>
    <w:rsid w:val="001E6140"/>
    <w:rsid w:val="001F492E"/>
    <w:rsid w:val="001F6DA3"/>
    <w:rsid w:val="002010BC"/>
    <w:rsid w:val="00202E03"/>
    <w:rsid w:val="00203097"/>
    <w:rsid w:val="0020492C"/>
    <w:rsid w:val="002052C6"/>
    <w:rsid w:val="00207FDC"/>
    <w:rsid w:val="002123FA"/>
    <w:rsid w:val="00224DB9"/>
    <w:rsid w:val="002252F9"/>
    <w:rsid w:val="00233775"/>
    <w:rsid w:val="00234FBA"/>
    <w:rsid w:val="00242310"/>
    <w:rsid w:val="00251745"/>
    <w:rsid w:val="00253B87"/>
    <w:rsid w:val="00253F96"/>
    <w:rsid w:val="00263AC0"/>
    <w:rsid w:val="0026772D"/>
    <w:rsid w:val="00286829"/>
    <w:rsid w:val="00286874"/>
    <w:rsid w:val="00296B65"/>
    <w:rsid w:val="00296DFC"/>
    <w:rsid w:val="0029723E"/>
    <w:rsid w:val="002A7DEF"/>
    <w:rsid w:val="002D40D6"/>
    <w:rsid w:val="002D4B46"/>
    <w:rsid w:val="002E0335"/>
    <w:rsid w:val="002E043D"/>
    <w:rsid w:val="002E1BE5"/>
    <w:rsid w:val="002E2BFC"/>
    <w:rsid w:val="002E5CC2"/>
    <w:rsid w:val="002F10AE"/>
    <w:rsid w:val="002F7986"/>
    <w:rsid w:val="00301B40"/>
    <w:rsid w:val="00305CC8"/>
    <w:rsid w:val="00307F6D"/>
    <w:rsid w:val="003177A2"/>
    <w:rsid w:val="003271B5"/>
    <w:rsid w:val="00327A1E"/>
    <w:rsid w:val="00331264"/>
    <w:rsid w:val="00334C8D"/>
    <w:rsid w:val="003375D4"/>
    <w:rsid w:val="003510FC"/>
    <w:rsid w:val="003518B3"/>
    <w:rsid w:val="003655DB"/>
    <w:rsid w:val="0038279F"/>
    <w:rsid w:val="003846F1"/>
    <w:rsid w:val="00391C69"/>
    <w:rsid w:val="00396EF7"/>
    <w:rsid w:val="003A57C4"/>
    <w:rsid w:val="003D6A38"/>
    <w:rsid w:val="003E4661"/>
    <w:rsid w:val="003F1E4D"/>
    <w:rsid w:val="003F39E2"/>
    <w:rsid w:val="003F650F"/>
    <w:rsid w:val="0041697A"/>
    <w:rsid w:val="00445D3B"/>
    <w:rsid w:val="0046167F"/>
    <w:rsid w:val="00480B4B"/>
    <w:rsid w:val="00485DC4"/>
    <w:rsid w:val="00492CA5"/>
    <w:rsid w:val="004A0E3E"/>
    <w:rsid w:val="004A43D1"/>
    <w:rsid w:val="004B4412"/>
    <w:rsid w:val="004C348C"/>
    <w:rsid w:val="004D55BA"/>
    <w:rsid w:val="004D76BA"/>
    <w:rsid w:val="004E22EC"/>
    <w:rsid w:val="004F6D88"/>
    <w:rsid w:val="0051035F"/>
    <w:rsid w:val="00521F7F"/>
    <w:rsid w:val="00526756"/>
    <w:rsid w:val="00530128"/>
    <w:rsid w:val="00532467"/>
    <w:rsid w:val="0054005E"/>
    <w:rsid w:val="0056080A"/>
    <w:rsid w:val="00562632"/>
    <w:rsid w:val="00564A4D"/>
    <w:rsid w:val="00567BA5"/>
    <w:rsid w:val="00571B35"/>
    <w:rsid w:val="00571D57"/>
    <w:rsid w:val="00575D6B"/>
    <w:rsid w:val="00577A09"/>
    <w:rsid w:val="005829C2"/>
    <w:rsid w:val="00584D8F"/>
    <w:rsid w:val="00586030"/>
    <w:rsid w:val="005A404D"/>
    <w:rsid w:val="005B1E3C"/>
    <w:rsid w:val="005C26CC"/>
    <w:rsid w:val="005C4261"/>
    <w:rsid w:val="005E3397"/>
    <w:rsid w:val="005F5470"/>
    <w:rsid w:val="006027AF"/>
    <w:rsid w:val="006028EF"/>
    <w:rsid w:val="0061280C"/>
    <w:rsid w:val="00615BE0"/>
    <w:rsid w:val="00615C6B"/>
    <w:rsid w:val="00630A38"/>
    <w:rsid w:val="00632D6D"/>
    <w:rsid w:val="00642B59"/>
    <w:rsid w:val="00642C3E"/>
    <w:rsid w:val="00663DAD"/>
    <w:rsid w:val="00670957"/>
    <w:rsid w:val="00676679"/>
    <w:rsid w:val="006A093B"/>
    <w:rsid w:val="006B049F"/>
    <w:rsid w:val="006B35BE"/>
    <w:rsid w:val="006B4CF9"/>
    <w:rsid w:val="006B7AC8"/>
    <w:rsid w:val="006C0641"/>
    <w:rsid w:val="006C1FEB"/>
    <w:rsid w:val="006C40AE"/>
    <w:rsid w:val="006D550F"/>
    <w:rsid w:val="006E2669"/>
    <w:rsid w:val="006E6BC7"/>
    <w:rsid w:val="00701CAB"/>
    <w:rsid w:val="0070686D"/>
    <w:rsid w:val="00706EA6"/>
    <w:rsid w:val="00707563"/>
    <w:rsid w:val="0072348C"/>
    <w:rsid w:val="00723547"/>
    <w:rsid w:val="00724813"/>
    <w:rsid w:val="00724A37"/>
    <w:rsid w:val="007303C3"/>
    <w:rsid w:val="007351E8"/>
    <w:rsid w:val="00743223"/>
    <w:rsid w:val="00746E01"/>
    <w:rsid w:val="00757BDF"/>
    <w:rsid w:val="00763E5D"/>
    <w:rsid w:val="00767740"/>
    <w:rsid w:val="00773951"/>
    <w:rsid w:val="00776642"/>
    <w:rsid w:val="00777EE6"/>
    <w:rsid w:val="007826D5"/>
    <w:rsid w:val="00782EEA"/>
    <w:rsid w:val="0078526F"/>
    <w:rsid w:val="007A4D1F"/>
    <w:rsid w:val="007B289C"/>
    <w:rsid w:val="007B2C72"/>
    <w:rsid w:val="007C1BC8"/>
    <w:rsid w:val="007C1C53"/>
    <w:rsid w:val="007C74BB"/>
    <w:rsid w:val="007D199C"/>
    <w:rsid w:val="007D4C14"/>
    <w:rsid w:val="007E4904"/>
    <w:rsid w:val="007E4CB5"/>
    <w:rsid w:val="007E6424"/>
    <w:rsid w:val="007E644B"/>
    <w:rsid w:val="007F066B"/>
    <w:rsid w:val="008033C4"/>
    <w:rsid w:val="00806C88"/>
    <w:rsid w:val="0081034E"/>
    <w:rsid w:val="008344F6"/>
    <w:rsid w:val="0083510F"/>
    <w:rsid w:val="00837CBA"/>
    <w:rsid w:val="00840004"/>
    <w:rsid w:val="00843704"/>
    <w:rsid w:val="008468D1"/>
    <w:rsid w:val="00851209"/>
    <w:rsid w:val="00852169"/>
    <w:rsid w:val="008661CE"/>
    <w:rsid w:val="00876A8C"/>
    <w:rsid w:val="008837AC"/>
    <w:rsid w:val="008A3E3C"/>
    <w:rsid w:val="008A587D"/>
    <w:rsid w:val="008B015A"/>
    <w:rsid w:val="008B744E"/>
    <w:rsid w:val="008C30B1"/>
    <w:rsid w:val="008C5486"/>
    <w:rsid w:val="008D1661"/>
    <w:rsid w:val="008E189E"/>
    <w:rsid w:val="008E7031"/>
    <w:rsid w:val="008F0F02"/>
    <w:rsid w:val="008F16DE"/>
    <w:rsid w:val="008F2354"/>
    <w:rsid w:val="009233EE"/>
    <w:rsid w:val="00941BBA"/>
    <w:rsid w:val="00945408"/>
    <w:rsid w:val="009460AA"/>
    <w:rsid w:val="00951978"/>
    <w:rsid w:val="009661DE"/>
    <w:rsid w:val="00975AA0"/>
    <w:rsid w:val="009856B7"/>
    <w:rsid w:val="00991DC0"/>
    <w:rsid w:val="009A0063"/>
    <w:rsid w:val="009A5FC3"/>
    <w:rsid w:val="009B74B0"/>
    <w:rsid w:val="009D6769"/>
    <w:rsid w:val="009D6B46"/>
    <w:rsid w:val="009E04DE"/>
    <w:rsid w:val="009F4940"/>
    <w:rsid w:val="009F5BA1"/>
    <w:rsid w:val="009F798D"/>
    <w:rsid w:val="00A02A88"/>
    <w:rsid w:val="00A0562E"/>
    <w:rsid w:val="00A0726D"/>
    <w:rsid w:val="00A156F2"/>
    <w:rsid w:val="00A22495"/>
    <w:rsid w:val="00A234C9"/>
    <w:rsid w:val="00A32FBB"/>
    <w:rsid w:val="00A4478A"/>
    <w:rsid w:val="00A44852"/>
    <w:rsid w:val="00A5202F"/>
    <w:rsid w:val="00A571DA"/>
    <w:rsid w:val="00A57D04"/>
    <w:rsid w:val="00A60023"/>
    <w:rsid w:val="00A60A26"/>
    <w:rsid w:val="00A61598"/>
    <w:rsid w:val="00A64C0B"/>
    <w:rsid w:val="00A75077"/>
    <w:rsid w:val="00A80D63"/>
    <w:rsid w:val="00A835D1"/>
    <w:rsid w:val="00A84F46"/>
    <w:rsid w:val="00A871F4"/>
    <w:rsid w:val="00AA0F7A"/>
    <w:rsid w:val="00AA14E6"/>
    <w:rsid w:val="00AA7603"/>
    <w:rsid w:val="00AB28F5"/>
    <w:rsid w:val="00AC0183"/>
    <w:rsid w:val="00AC099D"/>
    <w:rsid w:val="00AC1B2C"/>
    <w:rsid w:val="00AC3264"/>
    <w:rsid w:val="00AE1BF1"/>
    <w:rsid w:val="00AE6D78"/>
    <w:rsid w:val="00AF0857"/>
    <w:rsid w:val="00AF0DD2"/>
    <w:rsid w:val="00AF1ED6"/>
    <w:rsid w:val="00AF5126"/>
    <w:rsid w:val="00AF55CE"/>
    <w:rsid w:val="00AF786E"/>
    <w:rsid w:val="00B0421C"/>
    <w:rsid w:val="00B13048"/>
    <w:rsid w:val="00B16C1E"/>
    <w:rsid w:val="00B1716D"/>
    <w:rsid w:val="00B17A1D"/>
    <w:rsid w:val="00B207A0"/>
    <w:rsid w:val="00B33806"/>
    <w:rsid w:val="00B363F8"/>
    <w:rsid w:val="00B37E38"/>
    <w:rsid w:val="00B41C49"/>
    <w:rsid w:val="00B422CF"/>
    <w:rsid w:val="00B50970"/>
    <w:rsid w:val="00B514DD"/>
    <w:rsid w:val="00B52AF0"/>
    <w:rsid w:val="00B55770"/>
    <w:rsid w:val="00B56E03"/>
    <w:rsid w:val="00B579C6"/>
    <w:rsid w:val="00B66798"/>
    <w:rsid w:val="00B71588"/>
    <w:rsid w:val="00B73996"/>
    <w:rsid w:val="00B8080B"/>
    <w:rsid w:val="00B87C39"/>
    <w:rsid w:val="00B927D8"/>
    <w:rsid w:val="00BA3C98"/>
    <w:rsid w:val="00BA4665"/>
    <w:rsid w:val="00BB2FB2"/>
    <w:rsid w:val="00BB3304"/>
    <w:rsid w:val="00BC64A9"/>
    <w:rsid w:val="00BC78E7"/>
    <w:rsid w:val="00BD3446"/>
    <w:rsid w:val="00BD56D3"/>
    <w:rsid w:val="00BE1F1B"/>
    <w:rsid w:val="00BE47B5"/>
    <w:rsid w:val="00BE66A5"/>
    <w:rsid w:val="00BF6321"/>
    <w:rsid w:val="00C17AEA"/>
    <w:rsid w:val="00C25FA6"/>
    <w:rsid w:val="00C27C1E"/>
    <w:rsid w:val="00C36528"/>
    <w:rsid w:val="00C40BC1"/>
    <w:rsid w:val="00C45EDF"/>
    <w:rsid w:val="00C474A1"/>
    <w:rsid w:val="00C538A9"/>
    <w:rsid w:val="00C53B5A"/>
    <w:rsid w:val="00C54F5A"/>
    <w:rsid w:val="00C569B4"/>
    <w:rsid w:val="00C64DC5"/>
    <w:rsid w:val="00C67A92"/>
    <w:rsid w:val="00C70DFA"/>
    <w:rsid w:val="00C74801"/>
    <w:rsid w:val="00C750CD"/>
    <w:rsid w:val="00C86679"/>
    <w:rsid w:val="00C94456"/>
    <w:rsid w:val="00CA489E"/>
    <w:rsid w:val="00CB35EF"/>
    <w:rsid w:val="00CB666B"/>
    <w:rsid w:val="00CC213C"/>
    <w:rsid w:val="00CC7F1D"/>
    <w:rsid w:val="00CD4177"/>
    <w:rsid w:val="00CE3A25"/>
    <w:rsid w:val="00CF31B5"/>
    <w:rsid w:val="00CF32FB"/>
    <w:rsid w:val="00CF6035"/>
    <w:rsid w:val="00D004A5"/>
    <w:rsid w:val="00D01CF0"/>
    <w:rsid w:val="00D0442A"/>
    <w:rsid w:val="00D122C6"/>
    <w:rsid w:val="00D2309D"/>
    <w:rsid w:val="00D57C4C"/>
    <w:rsid w:val="00D61388"/>
    <w:rsid w:val="00D61A54"/>
    <w:rsid w:val="00D64DEA"/>
    <w:rsid w:val="00D65A29"/>
    <w:rsid w:val="00D7168E"/>
    <w:rsid w:val="00D71E57"/>
    <w:rsid w:val="00D80893"/>
    <w:rsid w:val="00D92CF1"/>
    <w:rsid w:val="00D92D38"/>
    <w:rsid w:val="00D950F5"/>
    <w:rsid w:val="00DA491F"/>
    <w:rsid w:val="00DB082F"/>
    <w:rsid w:val="00DB0F93"/>
    <w:rsid w:val="00DB1A67"/>
    <w:rsid w:val="00DB1C30"/>
    <w:rsid w:val="00DB317D"/>
    <w:rsid w:val="00DB3BED"/>
    <w:rsid w:val="00DB5074"/>
    <w:rsid w:val="00DB50D7"/>
    <w:rsid w:val="00DB723B"/>
    <w:rsid w:val="00DB7C39"/>
    <w:rsid w:val="00DC7981"/>
    <w:rsid w:val="00DD3538"/>
    <w:rsid w:val="00DD5B11"/>
    <w:rsid w:val="00DE32DB"/>
    <w:rsid w:val="00DE3B68"/>
    <w:rsid w:val="00DE4EFA"/>
    <w:rsid w:val="00DE5520"/>
    <w:rsid w:val="00E04818"/>
    <w:rsid w:val="00E06442"/>
    <w:rsid w:val="00E137FB"/>
    <w:rsid w:val="00E16751"/>
    <w:rsid w:val="00E22820"/>
    <w:rsid w:val="00E22A3D"/>
    <w:rsid w:val="00E23993"/>
    <w:rsid w:val="00E25B17"/>
    <w:rsid w:val="00E25B8C"/>
    <w:rsid w:val="00E400BB"/>
    <w:rsid w:val="00E412BA"/>
    <w:rsid w:val="00E46FE3"/>
    <w:rsid w:val="00E47D7D"/>
    <w:rsid w:val="00E65C85"/>
    <w:rsid w:val="00E66199"/>
    <w:rsid w:val="00E73981"/>
    <w:rsid w:val="00E755EC"/>
    <w:rsid w:val="00E7624D"/>
    <w:rsid w:val="00EA3D42"/>
    <w:rsid w:val="00EA6B1B"/>
    <w:rsid w:val="00EB505D"/>
    <w:rsid w:val="00EC1CCF"/>
    <w:rsid w:val="00EC57A5"/>
    <w:rsid w:val="00EC679C"/>
    <w:rsid w:val="00EE28F3"/>
    <w:rsid w:val="00EF1F71"/>
    <w:rsid w:val="00EF32FB"/>
    <w:rsid w:val="00EF4CFB"/>
    <w:rsid w:val="00EF5110"/>
    <w:rsid w:val="00F009C2"/>
    <w:rsid w:val="00F0627F"/>
    <w:rsid w:val="00F11518"/>
    <w:rsid w:val="00F1414F"/>
    <w:rsid w:val="00F15882"/>
    <w:rsid w:val="00F171E0"/>
    <w:rsid w:val="00F20BD3"/>
    <w:rsid w:val="00F23AEB"/>
    <w:rsid w:val="00F344B3"/>
    <w:rsid w:val="00F35869"/>
    <w:rsid w:val="00F35998"/>
    <w:rsid w:val="00F373A5"/>
    <w:rsid w:val="00F3799C"/>
    <w:rsid w:val="00F41A44"/>
    <w:rsid w:val="00F445D2"/>
    <w:rsid w:val="00F46637"/>
    <w:rsid w:val="00F47559"/>
    <w:rsid w:val="00F64C7B"/>
    <w:rsid w:val="00F676DD"/>
    <w:rsid w:val="00F71778"/>
    <w:rsid w:val="00F75A26"/>
    <w:rsid w:val="00F835C9"/>
    <w:rsid w:val="00F83FAD"/>
    <w:rsid w:val="00F952A0"/>
    <w:rsid w:val="00FA3C7F"/>
    <w:rsid w:val="00FA425C"/>
    <w:rsid w:val="00FB74E2"/>
    <w:rsid w:val="00FC3CEB"/>
    <w:rsid w:val="00FC794A"/>
    <w:rsid w:val="00FD5614"/>
    <w:rsid w:val="00FE0BE1"/>
    <w:rsid w:val="00FE1DE9"/>
    <w:rsid w:val="00FE39C2"/>
    <w:rsid w:val="00FE3C32"/>
    <w:rsid w:val="00FE64AE"/>
    <w:rsid w:val="00FF17D3"/>
    <w:rsid w:val="00FF25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F009C2"/>
    <w:pPr>
      <w:spacing w:line="240" w:lineRule="auto"/>
    </w:pPr>
    <w:rPr>
      <w:sz w:val="20"/>
      <w:szCs w:val="20"/>
    </w:rPr>
  </w:style>
  <w:style w:type="character" w:customStyle="1" w:styleId="CommentTextChar">
    <w:name w:val="Comment Text Char"/>
    <w:basedOn w:val="DefaultParagraphFont"/>
    <w:link w:val="CommentText"/>
    <w:uiPriority w:val="99"/>
    <w:semiHidden/>
    <w:rsid w:val="00F009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009C2"/>
    <w:rPr>
      <w:b/>
      <w:bCs/>
    </w:rPr>
  </w:style>
  <w:style w:type="character" w:customStyle="1" w:styleId="CommentSubjectChar">
    <w:name w:val="Comment Subject Char"/>
    <w:basedOn w:val="CommentTextChar"/>
    <w:link w:val="CommentSubject"/>
    <w:uiPriority w:val="99"/>
    <w:semiHidden/>
    <w:rsid w:val="00F009C2"/>
    <w:rPr>
      <w:rFonts w:ascii="Arial" w:hAnsi="Arial"/>
      <w:b/>
      <w:bCs/>
      <w:sz w:val="20"/>
      <w:szCs w:val="20"/>
    </w:rPr>
  </w:style>
  <w:style w:type="paragraph" w:styleId="BodyText">
    <w:name w:val="Body Text"/>
    <w:basedOn w:val="Normal"/>
    <w:link w:val="BodyTextChar"/>
    <w:uiPriority w:val="99"/>
    <w:unhideWhenUsed/>
    <w:rsid w:val="002E043D"/>
    <w:pPr>
      <w:spacing w:after="120"/>
    </w:pPr>
  </w:style>
  <w:style w:type="character" w:customStyle="1" w:styleId="BodyTextChar">
    <w:name w:val="Body Text Char"/>
    <w:basedOn w:val="DefaultParagraphFont"/>
    <w:link w:val="BodyText"/>
    <w:uiPriority w:val="99"/>
    <w:rsid w:val="002E043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F009C2"/>
    <w:pPr>
      <w:spacing w:line="240" w:lineRule="auto"/>
    </w:pPr>
    <w:rPr>
      <w:sz w:val="20"/>
      <w:szCs w:val="20"/>
    </w:rPr>
  </w:style>
  <w:style w:type="character" w:customStyle="1" w:styleId="CommentTextChar">
    <w:name w:val="Comment Text Char"/>
    <w:basedOn w:val="DefaultParagraphFont"/>
    <w:link w:val="CommentText"/>
    <w:uiPriority w:val="99"/>
    <w:semiHidden/>
    <w:rsid w:val="00F009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009C2"/>
    <w:rPr>
      <w:b/>
      <w:bCs/>
    </w:rPr>
  </w:style>
  <w:style w:type="character" w:customStyle="1" w:styleId="CommentSubjectChar">
    <w:name w:val="Comment Subject Char"/>
    <w:basedOn w:val="CommentTextChar"/>
    <w:link w:val="CommentSubject"/>
    <w:uiPriority w:val="99"/>
    <w:semiHidden/>
    <w:rsid w:val="00F009C2"/>
    <w:rPr>
      <w:rFonts w:ascii="Arial" w:hAnsi="Arial"/>
      <w:b/>
      <w:bCs/>
      <w:sz w:val="20"/>
      <w:szCs w:val="20"/>
    </w:rPr>
  </w:style>
  <w:style w:type="paragraph" w:styleId="BodyText">
    <w:name w:val="Body Text"/>
    <w:basedOn w:val="Normal"/>
    <w:link w:val="BodyTextChar"/>
    <w:uiPriority w:val="99"/>
    <w:unhideWhenUsed/>
    <w:rsid w:val="002E043D"/>
    <w:pPr>
      <w:spacing w:after="120"/>
    </w:pPr>
  </w:style>
  <w:style w:type="character" w:customStyle="1" w:styleId="BodyTextChar">
    <w:name w:val="Body Text Char"/>
    <w:basedOn w:val="DefaultParagraphFont"/>
    <w:link w:val="BodyText"/>
    <w:uiPriority w:val="99"/>
    <w:rsid w:val="002E043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63814520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2572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 TargetMode="Externa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an%202015.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E915B2-70EB-4584-9EE9-97412D95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Jan 2015.dotm</Template>
  <TotalTime>2871</TotalTime>
  <Pages>16</Pages>
  <Words>3850</Words>
  <Characters>21947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Explanatory statement - Proposed amendment to electricity transmission RFM</vt:lpstr>
    </vt:vector>
  </TitlesOfParts>
  <Company>AER</Company>
  <LinksUpToDate>false</LinksUpToDate>
  <CharactersWithSpaces>25746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Proposed amendment to electricity transmission RFM</dc:title>
  <dc:creator>Australian Energy Regulator</dc:creator>
  <cp:lastModifiedBy>Seymour, Jonathan</cp:lastModifiedBy>
  <cp:revision>3</cp:revision>
  <cp:lastPrinted>2015-07-03T04:30:00Z</cp:lastPrinted>
  <dcterms:created xsi:type="dcterms:W3CDTF">2015-02-18T03:16:00Z</dcterms:created>
  <dcterms:modified xsi:type="dcterms:W3CDTF">2015-07-03T04:31:00Z</dcterms:modified>
  <cp:version>1</cp:version>
</cp:coreProperties>
</file>