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7B" w:rsidRDefault="00D4227B" w:rsidP="00D4227B">
      <w:pPr>
        <w:pStyle w:val="AERtitle1"/>
      </w:pPr>
      <w:bookmarkStart w:id="0" w:name="_GoBack"/>
      <w:bookmarkEnd w:id="0"/>
      <w:r>
        <w:rPr>
          <w:noProof/>
        </w:rPr>
        <w:drawing>
          <wp:anchor distT="0" distB="0" distL="114300" distR="114300" simplePos="0" relativeHeight="251657728" behindDoc="1" locked="0" layoutInCell="1" allowOverlap="1">
            <wp:simplePos x="0" y="0"/>
            <wp:positionH relativeFrom="column">
              <wp:posOffset>-916305</wp:posOffset>
            </wp:positionH>
            <wp:positionV relativeFrom="paragraph">
              <wp:posOffset>-935355</wp:posOffset>
            </wp:positionV>
            <wp:extent cx="7678420" cy="10781030"/>
            <wp:effectExtent l="1905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78420" cy="10781030"/>
                    </a:xfrm>
                    <a:prstGeom prst="rect">
                      <a:avLst/>
                    </a:prstGeom>
                    <a:noFill/>
                    <a:ln w="9525">
                      <a:noFill/>
                      <a:miter lim="800000"/>
                      <a:headEnd/>
                      <a:tailEnd/>
                    </a:ln>
                  </pic:spPr>
                </pic:pic>
              </a:graphicData>
            </a:graphic>
          </wp:anchor>
        </w:drawing>
      </w: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CC49D4" w:rsidP="00D4227B">
      <w:pPr>
        <w:pStyle w:val="AERtitle1"/>
      </w:pPr>
      <w:r>
        <w:rPr>
          <w:noProof/>
        </w:rPr>
        <w:drawing>
          <wp:anchor distT="0" distB="0" distL="114300" distR="114300" simplePos="0" relativeHeight="251656704" behindDoc="1" locked="0" layoutInCell="1" allowOverlap="1">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D4227B">
        <w:t>Better Regulation</w:t>
      </w:r>
    </w:p>
    <w:p w:rsidR="009C1826" w:rsidRDefault="009C1826" w:rsidP="00D4227B">
      <w:pPr>
        <w:pStyle w:val="AERtitle1"/>
      </w:pPr>
    </w:p>
    <w:p w:rsidR="009C1826" w:rsidRDefault="009C1826" w:rsidP="00D4227B">
      <w:pPr>
        <w:pStyle w:val="AERtitle1"/>
      </w:pPr>
      <w:r>
        <w:t>Explanatory statement</w:t>
      </w:r>
    </w:p>
    <w:p w:rsidR="00D4227B" w:rsidRDefault="00D4227B" w:rsidP="008A4FC8">
      <w:pPr>
        <w:pStyle w:val="AERtitle1"/>
      </w:pPr>
      <w:r>
        <w:t>Draft</w:t>
      </w:r>
      <w:r w:rsidR="009C1826">
        <w:t xml:space="preserve"> </w:t>
      </w:r>
      <w:r w:rsidR="008A4FC8" w:rsidRPr="0084352D">
        <w:t>Capital</w:t>
      </w:r>
      <w:r w:rsidR="008A4FC8">
        <w:t xml:space="preserve"> E</w:t>
      </w:r>
      <w:r w:rsidR="00165EBB">
        <w:t>xpenditure Incentive</w:t>
      </w:r>
      <w:r w:rsidR="00B62AE1">
        <w:t xml:space="preserve"> </w:t>
      </w:r>
      <w:r w:rsidR="0043387A">
        <w:t>Guidelines</w:t>
      </w:r>
    </w:p>
    <w:p w:rsidR="00D4227B" w:rsidRDefault="00D4227B" w:rsidP="00D4227B"/>
    <w:p w:rsidR="00D4227B" w:rsidRPr="00F6235D" w:rsidRDefault="00D4227B" w:rsidP="00D4227B"/>
    <w:p w:rsidR="00D4227B" w:rsidRPr="00F6235D" w:rsidRDefault="00D4227B" w:rsidP="00D4227B">
      <w:pPr>
        <w:pStyle w:val="AERtitle2"/>
      </w:pPr>
      <w:r>
        <w:t>August 2013</w:t>
      </w:r>
    </w:p>
    <w:p w:rsidR="00D4227B" w:rsidRPr="00F6235D" w:rsidRDefault="00D4227B" w:rsidP="00D4227B">
      <w:r w:rsidRPr="00F6235D">
        <w:t xml:space="preserve"> </w:t>
      </w:r>
    </w:p>
    <w:p w:rsidR="00D4227B" w:rsidRPr="00EF0E19" w:rsidRDefault="00D4227B" w:rsidP="00D4227B">
      <w:pPr>
        <w:rPr>
          <w:rStyle w:val="AERtextbold"/>
        </w:rPr>
      </w:pPr>
      <w:r>
        <w:rPr>
          <w:rStyle w:val="AERtextbold"/>
        </w:rPr>
        <w:br w:type="page"/>
      </w:r>
    </w:p>
    <w:p w:rsidR="00D4227B" w:rsidRPr="00BF45D0" w:rsidRDefault="00D4227B" w:rsidP="00BF45D0">
      <w:pPr>
        <w:pStyle w:val="AERbodytext"/>
        <w:rPr>
          <w:rStyle w:val="AERtextbold"/>
        </w:rPr>
      </w:pPr>
      <w:r w:rsidRPr="00BF45D0">
        <w:rPr>
          <w:rStyle w:val="AERtextbold"/>
        </w:rPr>
        <w:lastRenderedPageBreak/>
        <w:t>©</w:t>
      </w:r>
      <w:r w:rsidR="0091127A" w:rsidRPr="00BF45D0">
        <w:rPr>
          <w:rStyle w:val="AERtextbold"/>
        </w:rPr>
        <w:t xml:space="preserve"> Commonwealth of Australia </w:t>
      </w:r>
      <w:r w:rsidRPr="00BF45D0">
        <w:rPr>
          <w:rStyle w:val="AERtextbold"/>
        </w:rPr>
        <w:t>2013</w:t>
      </w:r>
    </w:p>
    <w:p w:rsidR="00D4227B" w:rsidRPr="00F6235D" w:rsidRDefault="00D4227B" w:rsidP="00BF45D0">
      <w:pPr>
        <w:pStyle w:val="AERbodytext"/>
      </w:pPr>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D4227B" w:rsidRPr="003324F7" w:rsidRDefault="00D4227B" w:rsidP="00A752C0">
      <w:pPr>
        <w:pStyle w:val="AERbodytext"/>
        <w:numPr>
          <w:ilvl w:val="0"/>
          <w:numId w:val="0"/>
        </w:numPr>
      </w:pPr>
    </w:p>
    <w:p w:rsidR="00790B06" w:rsidRPr="00790B06" w:rsidRDefault="00790B06" w:rsidP="00790B06">
      <w:pPr>
        <w:pStyle w:val="UnnumberedHeading"/>
      </w:pPr>
      <w:bookmarkStart w:id="1" w:name="_Toc363640466"/>
      <w:r w:rsidRPr="00790B06">
        <w:lastRenderedPageBreak/>
        <w:t>Shortened forms</w:t>
      </w:r>
      <w:bookmarkEnd w:id="1"/>
    </w:p>
    <w:tbl>
      <w:tblPr>
        <w:tblStyle w:val="AERtable-text"/>
        <w:tblW w:w="0" w:type="auto"/>
        <w:tblLook w:val="04A0" w:firstRow="1" w:lastRow="0" w:firstColumn="1" w:lastColumn="0" w:noHBand="0" w:noVBand="1"/>
      </w:tblPr>
      <w:tblGrid>
        <w:gridCol w:w="3227"/>
        <w:gridCol w:w="6015"/>
      </w:tblGrid>
      <w:tr w:rsidR="00790B06" w:rsidTr="00790B06">
        <w:trPr>
          <w:cnfStyle w:val="100000000000" w:firstRow="1" w:lastRow="0" w:firstColumn="0" w:lastColumn="0" w:oddVBand="0" w:evenVBand="0" w:oddHBand="0" w:evenHBand="0" w:firstRowFirstColumn="0" w:firstRowLastColumn="0" w:lastRowFirstColumn="0" w:lastRowLastColumn="0"/>
        </w:trPr>
        <w:tc>
          <w:tcPr>
            <w:tcW w:w="3227" w:type="dxa"/>
          </w:tcPr>
          <w:p w:rsidR="00790B06" w:rsidRDefault="00790B06" w:rsidP="00790B06">
            <w:pPr>
              <w:pStyle w:val="AERtabletextleft"/>
            </w:pPr>
            <w:r>
              <w:t>Shortened term</w:t>
            </w:r>
          </w:p>
        </w:tc>
        <w:tc>
          <w:tcPr>
            <w:tcW w:w="6015" w:type="dxa"/>
          </w:tcPr>
          <w:p w:rsidR="00790B06" w:rsidRDefault="00790B06" w:rsidP="00790B06">
            <w:pPr>
              <w:pStyle w:val="AERtabletextleft"/>
            </w:pPr>
            <w:r>
              <w:t>Full title</w:t>
            </w:r>
          </w:p>
        </w:tc>
      </w:tr>
      <w:tr w:rsidR="00D47F9C" w:rsidRPr="006F254C" w:rsidTr="00D47F9C">
        <w:tc>
          <w:tcPr>
            <w:tcW w:w="3227" w:type="dxa"/>
          </w:tcPr>
          <w:p w:rsidR="00D47F9C" w:rsidRPr="00D47F9C" w:rsidRDefault="00D47F9C" w:rsidP="00D47F9C">
            <w:pPr>
              <w:pStyle w:val="AERtabletextleft"/>
              <w:tabs>
                <w:tab w:val="num" w:pos="0"/>
              </w:tabs>
            </w:pPr>
            <w:r w:rsidRPr="00D47F9C">
              <w:t>AER</w:t>
            </w:r>
          </w:p>
        </w:tc>
        <w:tc>
          <w:tcPr>
            <w:tcW w:w="6015" w:type="dxa"/>
          </w:tcPr>
          <w:p w:rsidR="00D47F9C" w:rsidRPr="00D47F9C" w:rsidRDefault="00D47F9C" w:rsidP="00D47F9C">
            <w:pPr>
              <w:pStyle w:val="AERtabletextleft"/>
              <w:tabs>
                <w:tab w:val="num" w:pos="0"/>
              </w:tabs>
            </w:pPr>
            <w:r w:rsidRPr="00D47F9C">
              <w:t>Australian Energy Regulator</w:t>
            </w:r>
          </w:p>
        </w:tc>
      </w:tr>
      <w:tr w:rsidR="00507A05" w:rsidTr="00D47F9C">
        <w:trPr>
          <w:cnfStyle w:val="000000010000" w:firstRow="0" w:lastRow="0" w:firstColumn="0" w:lastColumn="0" w:oddVBand="0" w:evenVBand="0" w:oddHBand="0" w:evenHBand="1" w:firstRowFirstColumn="0" w:firstRowLastColumn="0" w:lastRowFirstColumn="0" w:lastRowLastColumn="0"/>
        </w:trPr>
        <w:tc>
          <w:tcPr>
            <w:tcW w:w="3227" w:type="dxa"/>
          </w:tcPr>
          <w:p w:rsidR="00507A05" w:rsidRDefault="00507A05" w:rsidP="00D47F9C">
            <w:pPr>
              <w:pStyle w:val="AERtabletextleft"/>
              <w:tabs>
                <w:tab w:val="num" w:pos="0"/>
              </w:tabs>
            </w:pPr>
            <w:r>
              <w:t>AEMC</w:t>
            </w:r>
          </w:p>
        </w:tc>
        <w:tc>
          <w:tcPr>
            <w:tcW w:w="6015" w:type="dxa"/>
          </w:tcPr>
          <w:p w:rsidR="00507A05" w:rsidRPr="00D47F9C" w:rsidRDefault="00507A05" w:rsidP="00D47F9C">
            <w:pPr>
              <w:pStyle w:val="AERtabletextleft"/>
              <w:tabs>
                <w:tab w:val="num" w:pos="0"/>
              </w:tabs>
            </w:pPr>
            <w:r>
              <w:t>Australian Energy Market Commission</w:t>
            </w:r>
          </w:p>
        </w:tc>
      </w:tr>
      <w:tr w:rsidR="00D47F9C" w:rsidTr="00D47F9C">
        <w:tc>
          <w:tcPr>
            <w:tcW w:w="3227" w:type="dxa"/>
          </w:tcPr>
          <w:p w:rsidR="00D47F9C" w:rsidRPr="00D47F9C" w:rsidRDefault="00D47F9C" w:rsidP="00D47F9C">
            <w:pPr>
              <w:pStyle w:val="AERtabletextleft"/>
              <w:tabs>
                <w:tab w:val="num" w:pos="0"/>
              </w:tabs>
            </w:pPr>
            <w:proofErr w:type="spellStart"/>
            <w:r>
              <w:t>a</w:t>
            </w:r>
            <w:r w:rsidRPr="00D47F9C">
              <w:t>ugex</w:t>
            </w:r>
            <w:proofErr w:type="spellEnd"/>
          </w:p>
        </w:tc>
        <w:tc>
          <w:tcPr>
            <w:tcW w:w="6015" w:type="dxa"/>
          </w:tcPr>
          <w:p w:rsidR="00D47F9C" w:rsidRPr="00D47F9C" w:rsidRDefault="00D47F9C" w:rsidP="00D47F9C">
            <w:pPr>
              <w:pStyle w:val="AERtabletextleft"/>
              <w:tabs>
                <w:tab w:val="num" w:pos="0"/>
              </w:tabs>
            </w:pPr>
            <w:r w:rsidRPr="00D47F9C">
              <w:t>Augmentation expenditure</w:t>
            </w:r>
          </w:p>
        </w:tc>
      </w:tr>
      <w:tr w:rsidR="00D47F9C" w:rsidTr="00D47F9C">
        <w:trPr>
          <w:cnfStyle w:val="000000010000" w:firstRow="0" w:lastRow="0" w:firstColumn="0" w:lastColumn="0" w:oddVBand="0" w:evenVBand="0" w:oddHBand="0" w:evenHBand="1" w:firstRowFirstColumn="0" w:firstRowLastColumn="0" w:lastRowFirstColumn="0" w:lastRowLastColumn="0"/>
        </w:trPr>
        <w:tc>
          <w:tcPr>
            <w:tcW w:w="3227" w:type="dxa"/>
          </w:tcPr>
          <w:p w:rsidR="00D47F9C" w:rsidRPr="00D47F9C" w:rsidRDefault="00D47F9C" w:rsidP="00D47F9C">
            <w:pPr>
              <w:pStyle w:val="AERtabletextleft"/>
              <w:tabs>
                <w:tab w:val="num" w:pos="0"/>
              </w:tabs>
            </w:pPr>
            <w:r w:rsidRPr="00D47F9C">
              <w:t>capex</w:t>
            </w:r>
          </w:p>
        </w:tc>
        <w:tc>
          <w:tcPr>
            <w:tcW w:w="6015" w:type="dxa"/>
          </w:tcPr>
          <w:p w:rsidR="00D47F9C" w:rsidRPr="00D47F9C" w:rsidRDefault="00D47F9C" w:rsidP="00D47F9C">
            <w:pPr>
              <w:pStyle w:val="AERtabletextleft"/>
              <w:tabs>
                <w:tab w:val="num" w:pos="0"/>
              </w:tabs>
            </w:pPr>
            <w:r w:rsidRPr="00D47F9C">
              <w:t>Capital expenditure</w:t>
            </w:r>
          </w:p>
        </w:tc>
      </w:tr>
      <w:tr w:rsidR="00633A76" w:rsidRPr="006F254C" w:rsidTr="00D47F9C">
        <w:tc>
          <w:tcPr>
            <w:tcW w:w="3227" w:type="dxa"/>
          </w:tcPr>
          <w:p w:rsidR="00633A76" w:rsidRPr="00D47F9C" w:rsidRDefault="00633A76" w:rsidP="00D47F9C">
            <w:pPr>
              <w:pStyle w:val="AERtabletextleft"/>
              <w:tabs>
                <w:tab w:val="num" w:pos="0"/>
              </w:tabs>
            </w:pPr>
            <w:r>
              <w:t>CEM</w:t>
            </w:r>
          </w:p>
        </w:tc>
        <w:tc>
          <w:tcPr>
            <w:tcW w:w="6015" w:type="dxa"/>
          </w:tcPr>
          <w:p w:rsidR="00633A76" w:rsidRPr="00D47F9C" w:rsidRDefault="00633A76" w:rsidP="00D47F9C">
            <w:pPr>
              <w:pStyle w:val="AERtabletextleft"/>
              <w:tabs>
                <w:tab w:val="num" w:pos="0"/>
              </w:tabs>
            </w:pPr>
            <w:r>
              <w:t>Carbon + Energy Markets</w:t>
            </w:r>
          </w:p>
        </w:tc>
      </w:tr>
      <w:tr w:rsidR="00D47F9C" w:rsidRPr="006F254C" w:rsidTr="00D47F9C">
        <w:trPr>
          <w:cnfStyle w:val="000000010000" w:firstRow="0" w:lastRow="0" w:firstColumn="0" w:lastColumn="0" w:oddVBand="0" w:evenVBand="0" w:oddHBand="0" w:evenHBand="1" w:firstRowFirstColumn="0" w:firstRowLastColumn="0" w:lastRowFirstColumn="0" w:lastRowLastColumn="0"/>
        </w:trPr>
        <w:tc>
          <w:tcPr>
            <w:tcW w:w="3227" w:type="dxa"/>
          </w:tcPr>
          <w:p w:rsidR="00D47F9C" w:rsidRPr="00D47F9C" w:rsidRDefault="00D47F9C" w:rsidP="00D47F9C">
            <w:pPr>
              <w:pStyle w:val="AERtabletextleft"/>
              <w:tabs>
                <w:tab w:val="num" w:pos="0"/>
              </w:tabs>
            </w:pPr>
            <w:r w:rsidRPr="00D47F9C">
              <w:t>CESS</w:t>
            </w:r>
          </w:p>
        </w:tc>
        <w:tc>
          <w:tcPr>
            <w:tcW w:w="6015" w:type="dxa"/>
          </w:tcPr>
          <w:p w:rsidR="00D47F9C" w:rsidRPr="00D47F9C" w:rsidRDefault="00D47F9C" w:rsidP="00D47F9C">
            <w:pPr>
              <w:pStyle w:val="AERtabletextleft"/>
              <w:tabs>
                <w:tab w:val="num" w:pos="0"/>
              </w:tabs>
            </w:pPr>
            <w:r w:rsidRPr="00D47F9C">
              <w:t>Capital Expenditure Sharing Scheme</w:t>
            </w:r>
          </w:p>
        </w:tc>
      </w:tr>
      <w:tr w:rsidR="00633A76" w:rsidRPr="006F254C" w:rsidTr="00D47F9C">
        <w:tc>
          <w:tcPr>
            <w:tcW w:w="3227" w:type="dxa"/>
          </w:tcPr>
          <w:p w:rsidR="00633A76" w:rsidRDefault="00DD5759" w:rsidP="00D47F9C">
            <w:pPr>
              <w:pStyle w:val="AERtabletextleft"/>
              <w:tabs>
                <w:tab w:val="num" w:pos="0"/>
              </w:tabs>
            </w:pPr>
            <w:r>
              <w:t>COSBOA</w:t>
            </w:r>
          </w:p>
        </w:tc>
        <w:tc>
          <w:tcPr>
            <w:tcW w:w="6015" w:type="dxa"/>
          </w:tcPr>
          <w:p w:rsidR="00633A76" w:rsidRPr="00633A76" w:rsidRDefault="00633A76" w:rsidP="00D47F9C">
            <w:pPr>
              <w:pStyle w:val="AERtabletextleft"/>
              <w:tabs>
                <w:tab w:val="num" w:pos="0"/>
              </w:tabs>
            </w:pPr>
            <w:r>
              <w:t>Council of Small Business Australia</w:t>
            </w:r>
          </w:p>
        </w:tc>
      </w:tr>
      <w:tr w:rsidR="00764DFC" w:rsidRPr="006F254C" w:rsidTr="00D47F9C">
        <w:trPr>
          <w:cnfStyle w:val="000000010000" w:firstRow="0" w:lastRow="0" w:firstColumn="0" w:lastColumn="0" w:oddVBand="0" w:evenVBand="0" w:oddHBand="0" w:evenHBand="1" w:firstRowFirstColumn="0" w:firstRowLastColumn="0" w:lastRowFirstColumn="0" w:lastRowLastColumn="0"/>
        </w:trPr>
        <w:tc>
          <w:tcPr>
            <w:tcW w:w="3227" w:type="dxa"/>
          </w:tcPr>
          <w:p w:rsidR="00764DFC" w:rsidRDefault="00764DFC" w:rsidP="00D47F9C">
            <w:pPr>
              <w:pStyle w:val="AERtabletextleft"/>
              <w:tabs>
                <w:tab w:val="num" w:pos="0"/>
              </w:tabs>
            </w:pPr>
            <w:r>
              <w:t>CRG</w:t>
            </w:r>
          </w:p>
        </w:tc>
        <w:tc>
          <w:tcPr>
            <w:tcW w:w="6015" w:type="dxa"/>
          </w:tcPr>
          <w:p w:rsidR="00764DFC" w:rsidRPr="00633A76" w:rsidRDefault="00764DFC" w:rsidP="00764DFC">
            <w:pPr>
              <w:pStyle w:val="AERtabletextleft"/>
              <w:tabs>
                <w:tab w:val="num" w:pos="0"/>
              </w:tabs>
            </w:pPr>
            <w:r>
              <w:t>Consumer Reference Group</w:t>
            </w:r>
          </w:p>
        </w:tc>
      </w:tr>
      <w:tr w:rsidR="00D23CC4" w:rsidRPr="006F254C" w:rsidTr="00D47F9C">
        <w:tc>
          <w:tcPr>
            <w:tcW w:w="3227" w:type="dxa"/>
          </w:tcPr>
          <w:p w:rsidR="00D23CC4" w:rsidRDefault="00D23CC4" w:rsidP="00D47F9C">
            <w:pPr>
              <w:pStyle w:val="AERtabletextleft"/>
              <w:tabs>
                <w:tab w:val="num" w:pos="0"/>
              </w:tabs>
            </w:pPr>
            <w:r>
              <w:t>DNSP</w:t>
            </w:r>
          </w:p>
        </w:tc>
        <w:tc>
          <w:tcPr>
            <w:tcW w:w="6015" w:type="dxa"/>
          </w:tcPr>
          <w:p w:rsidR="00D23CC4" w:rsidRPr="00633A76" w:rsidRDefault="00D23CC4" w:rsidP="00D47F9C">
            <w:pPr>
              <w:pStyle w:val="AERtabletextleft"/>
              <w:tabs>
                <w:tab w:val="num" w:pos="0"/>
              </w:tabs>
            </w:pPr>
            <w:r>
              <w:t>Distribution Network Service Provider</w:t>
            </w:r>
          </w:p>
        </w:tc>
      </w:tr>
      <w:tr w:rsidR="00633A76" w:rsidRPr="006F254C" w:rsidTr="00D47F9C">
        <w:trPr>
          <w:cnfStyle w:val="000000010000" w:firstRow="0" w:lastRow="0" w:firstColumn="0" w:lastColumn="0" w:oddVBand="0" w:evenVBand="0" w:oddHBand="0" w:evenHBand="1" w:firstRowFirstColumn="0" w:firstRowLastColumn="0" w:lastRowFirstColumn="0" w:lastRowLastColumn="0"/>
        </w:trPr>
        <w:tc>
          <w:tcPr>
            <w:tcW w:w="3227" w:type="dxa"/>
          </w:tcPr>
          <w:p w:rsidR="00633A76" w:rsidRPr="00D47F9C" w:rsidRDefault="00633A76" w:rsidP="00D47F9C">
            <w:pPr>
              <w:pStyle w:val="AERtabletextleft"/>
              <w:tabs>
                <w:tab w:val="num" w:pos="0"/>
              </w:tabs>
            </w:pPr>
            <w:r>
              <w:t>DSDBI</w:t>
            </w:r>
          </w:p>
        </w:tc>
        <w:tc>
          <w:tcPr>
            <w:tcW w:w="6015" w:type="dxa"/>
          </w:tcPr>
          <w:p w:rsidR="00633A76" w:rsidRPr="00D47F9C" w:rsidRDefault="00633A76" w:rsidP="00D47F9C">
            <w:pPr>
              <w:pStyle w:val="AERtabletextleft"/>
              <w:tabs>
                <w:tab w:val="num" w:pos="0"/>
              </w:tabs>
            </w:pPr>
            <w:r w:rsidRPr="00633A76">
              <w:t>Victorian Government Department of State Development and Business Innovation</w:t>
            </w:r>
          </w:p>
        </w:tc>
      </w:tr>
      <w:tr w:rsidR="00D47F9C" w:rsidRPr="006F254C" w:rsidTr="00D47F9C">
        <w:tc>
          <w:tcPr>
            <w:tcW w:w="3227" w:type="dxa"/>
          </w:tcPr>
          <w:p w:rsidR="00D47F9C" w:rsidRPr="00D47F9C" w:rsidRDefault="00D47F9C" w:rsidP="00D47F9C">
            <w:pPr>
              <w:pStyle w:val="AERtabletextleft"/>
              <w:tabs>
                <w:tab w:val="num" w:pos="0"/>
              </w:tabs>
            </w:pPr>
            <w:r w:rsidRPr="00D47F9C">
              <w:t>EBSS</w:t>
            </w:r>
          </w:p>
        </w:tc>
        <w:tc>
          <w:tcPr>
            <w:tcW w:w="6015" w:type="dxa"/>
          </w:tcPr>
          <w:p w:rsidR="00D47F9C" w:rsidRPr="00D47F9C" w:rsidRDefault="00D47F9C" w:rsidP="00D47F9C">
            <w:pPr>
              <w:pStyle w:val="AERtabletextleft"/>
              <w:tabs>
                <w:tab w:val="num" w:pos="0"/>
              </w:tabs>
            </w:pPr>
            <w:r w:rsidRPr="00D47F9C">
              <w:t>Efficiency Benefit Sharing Scheme</w:t>
            </w:r>
          </w:p>
        </w:tc>
      </w:tr>
      <w:tr w:rsidR="00633A76" w:rsidRPr="006F254C" w:rsidTr="00D47F9C">
        <w:trPr>
          <w:cnfStyle w:val="000000010000" w:firstRow="0" w:lastRow="0" w:firstColumn="0" w:lastColumn="0" w:oddVBand="0" w:evenVBand="0" w:oddHBand="0" w:evenHBand="1" w:firstRowFirstColumn="0" w:firstRowLastColumn="0" w:lastRowFirstColumn="0" w:lastRowLastColumn="0"/>
        </w:trPr>
        <w:tc>
          <w:tcPr>
            <w:tcW w:w="3227" w:type="dxa"/>
          </w:tcPr>
          <w:p w:rsidR="00633A76" w:rsidRDefault="00633A76" w:rsidP="00D47F9C">
            <w:pPr>
              <w:pStyle w:val="AERtabletextleft"/>
              <w:tabs>
                <w:tab w:val="num" w:pos="0"/>
              </w:tabs>
            </w:pPr>
            <w:r>
              <w:t>ENA</w:t>
            </w:r>
          </w:p>
        </w:tc>
        <w:tc>
          <w:tcPr>
            <w:tcW w:w="6015" w:type="dxa"/>
          </w:tcPr>
          <w:p w:rsidR="00633A76" w:rsidRPr="00D47F9C" w:rsidRDefault="00633A76" w:rsidP="00D47F9C">
            <w:pPr>
              <w:pStyle w:val="AERtabletextleft"/>
              <w:tabs>
                <w:tab w:val="num" w:pos="0"/>
              </w:tabs>
            </w:pPr>
            <w:r>
              <w:t>Energy Networks Australia</w:t>
            </w:r>
          </w:p>
        </w:tc>
      </w:tr>
      <w:tr w:rsidR="00633A76" w:rsidRPr="006F254C" w:rsidTr="00D47F9C">
        <w:tc>
          <w:tcPr>
            <w:tcW w:w="3227" w:type="dxa"/>
          </w:tcPr>
          <w:p w:rsidR="00633A76" w:rsidRDefault="00633A76" w:rsidP="00D47F9C">
            <w:pPr>
              <w:pStyle w:val="AERtabletextleft"/>
              <w:tabs>
                <w:tab w:val="num" w:pos="0"/>
              </w:tabs>
            </w:pPr>
            <w:r>
              <w:t>EUAA</w:t>
            </w:r>
          </w:p>
        </w:tc>
        <w:tc>
          <w:tcPr>
            <w:tcW w:w="6015" w:type="dxa"/>
          </w:tcPr>
          <w:p w:rsidR="00633A76" w:rsidRPr="00D47F9C" w:rsidRDefault="00633A76" w:rsidP="00D47F9C">
            <w:pPr>
              <w:pStyle w:val="AERtabletextleft"/>
              <w:tabs>
                <w:tab w:val="num" w:pos="0"/>
              </w:tabs>
            </w:pPr>
            <w:r>
              <w:t>Energy Users Association of Australia</w:t>
            </w:r>
          </w:p>
        </w:tc>
      </w:tr>
      <w:tr w:rsidR="00D47F9C" w:rsidRPr="006F254C" w:rsidTr="00D47F9C">
        <w:trPr>
          <w:cnfStyle w:val="000000010000" w:firstRow="0" w:lastRow="0" w:firstColumn="0" w:lastColumn="0" w:oddVBand="0" w:evenVBand="0" w:oddHBand="0" w:evenHBand="1" w:firstRowFirstColumn="0" w:firstRowLastColumn="0" w:lastRowFirstColumn="0" w:lastRowLastColumn="0"/>
        </w:trPr>
        <w:tc>
          <w:tcPr>
            <w:tcW w:w="3227" w:type="dxa"/>
          </w:tcPr>
          <w:p w:rsidR="00D47F9C" w:rsidRPr="00D47F9C" w:rsidRDefault="0043387A" w:rsidP="00D47F9C">
            <w:pPr>
              <w:pStyle w:val="AERtabletextleft"/>
              <w:tabs>
                <w:tab w:val="num" w:pos="0"/>
              </w:tabs>
            </w:pPr>
            <w:r>
              <w:t>guidelines</w:t>
            </w:r>
          </w:p>
        </w:tc>
        <w:tc>
          <w:tcPr>
            <w:tcW w:w="6015" w:type="dxa"/>
          </w:tcPr>
          <w:p w:rsidR="00D47F9C" w:rsidRPr="00D47F9C" w:rsidRDefault="00D47F9C" w:rsidP="00D47F9C">
            <w:pPr>
              <w:pStyle w:val="AERtabletextleft"/>
              <w:tabs>
                <w:tab w:val="num" w:pos="0"/>
              </w:tabs>
            </w:pPr>
            <w:r w:rsidRPr="00D47F9C">
              <w:t>Capital Expenditure Incent</w:t>
            </w:r>
            <w:r w:rsidR="00B62AE1">
              <w:t xml:space="preserve">ive </w:t>
            </w:r>
            <w:r w:rsidR="0043387A">
              <w:t>Guidelines</w:t>
            </w:r>
          </w:p>
        </w:tc>
      </w:tr>
      <w:tr w:rsidR="00633A76" w:rsidRPr="006F254C" w:rsidTr="00D47F9C">
        <w:tc>
          <w:tcPr>
            <w:tcW w:w="3227" w:type="dxa"/>
          </w:tcPr>
          <w:p w:rsidR="00633A76" w:rsidRPr="00D47F9C" w:rsidRDefault="00633A76" w:rsidP="00D47F9C">
            <w:pPr>
              <w:pStyle w:val="AERtabletextleft"/>
              <w:tabs>
                <w:tab w:val="num" w:pos="0"/>
              </w:tabs>
            </w:pPr>
            <w:r>
              <w:t>MEU</w:t>
            </w:r>
          </w:p>
        </w:tc>
        <w:tc>
          <w:tcPr>
            <w:tcW w:w="6015" w:type="dxa"/>
          </w:tcPr>
          <w:p w:rsidR="00633A76" w:rsidRPr="00D47F9C" w:rsidRDefault="00633A76" w:rsidP="00D47F9C">
            <w:pPr>
              <w:pStyle w:val="AERtabletextleft"/>
              <w:tabs>
                <w:tab w:val="num" w:pos="0"/>
              </w:tabs>
            </w:pPr>
            <w:r>
              <w:t>Major Energy Users Inc.</w:t>
            </w:r>
          </w:p>
        </w:tc>
      </w:tr>
      <w:tr w:rsidR="00D47F9C" w:rsidRPr="006F254C" w:rsidTr="00D47F9C">
        <w:trPr>
          <w:cnfStyle w:val="000000010000" w:firstRow="0" w:lastRow="0" w:firstColumn="0" w:lastColumn="0" w:oddVBand="0" w:evenVBand="0" w:oddHBand="0" w:evenHBand="1" w:firstRowFirstColumn="0" w:firstRowLastColumn="0" w:lastRowFirstColumn="0" w:lastRowLastColumn="0"/>
        </w:trPr>
        <w:tc>
          <w:tcPr>
            <w:tcW w:w="3227" w:type="dxa"/>
          </w:tcPr>
          <w:p w:rsidR="00D47F9C" w:rsidRPr="00D47F9C" w:rsidRDefault="00D47F9C" w:rsidP="00D47F9C">
            <w:pPr>
              <w:pStyle w:val="AERtabletextleft"/>
              <w:tabs>
                <w:tab w:val="num" w:pos="0"/>
              </w:tabs>
            </w:pPr>
            <w:r w:rsidRPr="00D47F9C">
              <w:t>National Electricity Rules (NER)</w:t>
            </w:r>
          </w:p>
        </w:tc>
        <w:tc>
          <w:tcPr>
            <w:tcW w:w="6015" w:type="dxa"/>
          </w:tcPr>
          <w:p w:rsidR="00D47F9C" w:rsidRPr="00D47F9C" w:rsidRDefault="00D47F9C" w:rsidP="00D47F9C">
            <w:pPr>
              <w:pStyle w:val="AERtabletextleft"/>
              <w:tabs>
                <w:tab w:val="num" w:pos="0"/>
              </w:tabs>
            </w:pPr>
            <w:r w:rsidRPr="00D47F9C">
              <w:t>The rules as defined in the National Electricity Law.</w:t>
            </w:r>
          </w:p>
        </w:tc>
      </w:tr>
      <w:tr w:rsidR="00D47F9C" w:rsidTr="00D47F9C">
        <w:tc>
          <w:tcPr>
            <w:tcW w:w="3227" w:type="dxa"/>
          </w:tcPr>
          <w:p w:rsidR="00D47F9C" w:rsidRPr="00D47F9C" w:rsidRDefault="00D47F9C" w:rsidP="00D47F9C">
            <w:pPr>
              <w:pStyle w:val="AERtabletextleft"/>
              <w:tabs>
                <w:tab w:val="num" w:pos="0"/>
              </w:tabs>
            </w:pPr>
            <w:r w:rsidRPr="00D47F9C">
              <w:t>NSP</w:t>
            </w:r>
          </w:p>
        </w:tc>
        <w:tc>
          <w:tcPr>
            <w:tcW w:w="6015" w:type="dxa"/>
          </w:tcPr>
          <w:p w:rsidR="00D47F9C" w:rsidRPr="00D47F9C" w:rsidRDefault="00D47F9C" w:rsidP="00D47F9C">
            <w:pPr>
              <w:pStyle w:val="AERtabletextleft"/>
              <w:tabs>
                <w:tab w:val="num" w:pos="0"/>
              </w:tabs>
            </w:pPr>
            <w:r w:rsidRPr="00D47F9C">
              <w:t>Network Service Provider</w:t>
            </w:r>
          </w:p>
        </w:tc>
      </w:tr>
      <w:tr w:rsidR="00D47F9C" w:rsidTr="00D47F9C">
        <w:trPr>
          <w:cnfStyle w:val="000000010000" w:firstRow="0" w:lastRow="0" w:firstColumn="0" w:lastColumn="0" w:oddVBand="0" w:evenVBand="0" w:oddHBand="0" w:evenHBand="1" w:firstRowFirstColumn="0" w:firstRowLastColumn="0" w:lastRowFirstColumn="0" w:lastRowLastColumn="0"/>
        </w:trPr>
        <w:tc>
          <w:tcPr>
            <w:tcW w:w="3227" w:type="dxa"/>
          </w:tcPr>
          <w:p w:rsidR="00D47F9C" w:rsidRPr="00D47F9C" w:rsidRDefault="00D47F9C" w:rsidP="00D47F9C">
            <w:pPr>
              <w:pStyle w:val="AERtabletextleft"/>
              <w:tabs>
                <w:tab w:val="num" w:pos="0"/>
              </w:tabs>
            </w:pPr>
            <w:r w:rsidRPr="00D47F9C">
              <w:t>opex</w:t>
            </w:r>
          </w:p>
        </w:tc>
        <w:tc>
          <w:tcPr>
            <w:tcW w:w="6015" w:type="dxa"/>
          </w:tcPr>
          <w:p w:rsidR="00D47F9C" w:rsidRPr="00D47F9C" w:rsidRDefault="00D47F9C" w:rsidP="00D47F9C">
            <w:pPr>
              <w:pStyle w:val="AERtabletextleft"/>
              <w:tabs>
                <w:tab w:val="num" w:pos="0"/>
              </w:tabs>
            </w:pPr>
            <w:r w:rsidRPr="00D47F9C">
              <w:t>Operating expenditure</w:t>
            </w:r>
          </w:p>
        </w:tc>
      </w:tr>
      <w:tr w:rsidR="00D47F9C" w:rsidTr="00D47F9C">
        <w:tc>
          <w:tcPr>
            <w:tcW w:w="3227" w:type="dxa"/>
          </w:tcPr>
          <w:p w:rsidR="00D47F9C" w:rsidRPr="00D47F9C" w:rsidRDefault="00D47F9C" w:rsidP="00D47F9C">
            <w:pPr>
              <w:pStyle w:val="AERtabletextleft"/>
              <w:tabs>
                <w:tab w:val="num" w:pos="0"/>
              </w:tabs>
            </w:pPr>
            <w:r>
              <w:t>r</w:t>
            </w:r>
            <w:r w:rsidRPr="00D47F9C">
              <w:t>epex</w:t>
            </w:r>
          </w:p>
        </w:tc>
        <w:tc>
          <w:tcPr>
            <w:tcW w:w="6015" w:type="dxa"/>
          </w:tcPr>
          <w:p w:rsidR="00D47F9C" w:rsidRPr="00D47F9C" w:rsidRDefault="00D47F9C" w:rsidP="00D47F9C">
            <w:pPr>
              <w:pStyle w:val="AERtabletextleft"/>
              <w:tabs>
                <w:tab w:val="num" w:pos="0"/>
              </w:tabs>
            </w:pPr>
            <w:r w:rsidRPr="00D47F9C">
              <w:t>Replacement expenditure</w:t>
            </w:r>
          </w:p>
        </w:tc>
      </w:tr>
      <w:tr w:rsidR="00633A76" w:rsidTr="00D47F9C">
        <w:trPr>
          <w:cnfStyle w:val="000000010000" w:firstRow="0" w:lastRow="0" w:firstColumn="0" w:lastColumn="0" w:oddVBand="0" w:evenVBand="0" w:oddHBand="0" w:evenHBand="1" w:firstRowFirstColumn="0" w:firstRowLastColumn="0" w:lastRowFirstColumn="0" w:lastRowLastColumn="0"/>
        </w:trPr>
        <w:tc>
          <w:tcPr>
            <w:tcW w:w="3227" w:type="dxa"/>
          </w:tcPr>
          <w:p w:rsidR="00633A76" w:rsidRPr="00D47F9C" w:rsidRDefault="00633A76" w:rsidP="00D47F9C">
            <w:pPr>
              <w:pStyle w:val="AERtabletextleft"/>
              <w:tabs>
                <w:tab w:val="num" w:pos="0"/>
              </w:tabs>
            </w:pPr>
            <w:r>
              <w:t>PIAC</w:t>
            </w:r>
          </w:p>
        </w:tc>
        <w:tc>
          <w:tcPr>
            <w:tcW w:w="6015" w:type="dxa"/>
          </w:tcPr>
          <w:p w:rsidR="00633A76" w:rsidRPr="00D47F9C" w:rsidRDefault="00633A76" w:rsidP="00D47F9C">
            <w:pPr>
              <w:pStyle w:val="AERtabletextleft"/>
              <w:tabs>
                <w:tab w:val="num" w:pos="0"/>
              </w:tabs>
            </w:pPr>
            <w:r>
              <w:t>Public Interest Advocacy Centre Ltd</w:t>
            </w:r>
            <w:r w:rsidR="00165EBB">
              <w:t>.</w:t>
            </w:r>
          </w:p>
        </w:tc>
      </w:tr>
      <w:tr w:rsidR="00D47F9C" w:rsidTr="00D47F9C">
        <w:tc>
          <w:tcPr>
            <w:tcW w:w="3227" w:type="dxa"/>
          </w:tcPr>
          <w:p w:rsidR="00D47F9C" w:rsidRPr="00D47F9C" w:rsidRDefault="00D47F9C" w:rsidP="00D47F9C">
            <w:pPr>
              <w:pStyle w:val="AERtabletextleft"/>
              <w:tabs>
                <w:tab w:val="num" w:pos="0"/>
              </w:tabs>
            </w:pPr>
            <w:r w:rsidRPr="00D47F9C">
              <w:t>RIT-D</w:t>
            </w:r>
          </w:p>
        </w:tc>
        <w:tc>
          <w:tcPr>
            <w:tcW w:w="6015" w:type="dxa"/>
          </w:tcPr>
          <w:p w:rsidR="00D47F9C" w:rsidRPr="00D47F9C" w:rsidRDefault="00D47F9C" w:rsidP="00D47F9C">
            <w:pPr>
              <w:pStyle w:val="AERtabletextleft"/>
              <w:tabs>
                <w:tab w:val="num" w:pos="0"/>
              </w:tabs>
            </w:pPr>
            <w:r w:rsidRPr="00D47F9C">
              <w:t>Regulatory Investment Test - Distribution</w:t>
            </w:r>
          </w:p>
        </w:tc>
      </w:tr>
      <w:tr w:rsidR="00D47F9C" w:rsidTr="00D47F9C">
        <w:trPr>
          <w:cnfStyle w:val="000000010000" w:firstRow="0" w:lastRow="0" w:firstColumn="0" w:lastColumn="0" w:oddVBand="0" w:evenVBand="0" w:oddHBand="0" w:evenHBand="1" w:firstRowFirstColumn="0" w:firstRowLastColumn="0" w:lastRowFirstColumn="0" w:lastRowLastColumn="0"/>
        </w:trPr>
        <w:tc>
          <w:tcPr>
            <w:tcW w:w="3227" w:type="dxa"/>
          </w:tcPr>
          <w:p w:rsidR="00D47F9C" w:rsidRPr="00D47F9C" w:rsidRDefault="00D47F9C" w:rsidP="00D47F9C">
            <w:pPr>
              <w:pStyle w:val="AERtabletextleft"/>
              <w:tabs>
                <w:tab w:val="num" w:pos="0"/>
              </w:tabs>
            </w:pPr>
            <w:r w:rsidRPr="00D47F9C">
              <w:t>RIT-T</w:t>
            </w:r>
          </w:p>
        </w:tc>
        <w:tc>
          <w:tcPr>
            <w:tcW w:w="6015" w:type="dxa"/>
          </w:tcPr>
          <w:p w:rsidR="00D47F9C" w:rsidRPr="00D47F9C" w:rsidRDefault="00D47F9C" w:rsidP="00D47F9C">
            <w:pPr>
              <w:pStyle w:val="AERtabletextleft"/>
              <w:tabs>
                <w:tab w:val="num" w:pos="0"/>
              </w:tabs>
            </w:pPr>
            <w:r w:rsidRPr="00D47F9C">
              <w:t>Regulatory Investment Test - Transmission</w:t>
            </w:r>
          </w:p>
        </w:tc>
      </w:tr>
      <w:tr w:rsidR="00FD48A3" w:rsidTr="00D47F9C">
        <w:tc>
          <w:tcPr>
            <w:tcW w:w="3227" w:type="dxa"/>
          </w:tcPr>
          <w:p w:rsidR="00FD48A3" w:rsidRDefault="00FD48A3" w:rsidP="00D47F9C">
            <w:pPr>
              <w:pStyle w:val="AERtabletextleft"/>
              <w:tabs>
                <w:tab w:val="num" w:pos="0"/>
              </w:tabs>
            </w:pPr>
            <w:r>
              <w:t>STPIS</w:t>
            </w:r>
          </w:p>
        </w:tc>
        <w:tc>
          <w:tcPr>
            <w:tcW w:w="6015" w:type="dxa"/>
          </w:tcPr>
          <w:p w:rsidR="00FD48A3" w:rsidRDefault="00FD48A3" w:rsidP="00D47F9C">
            <w:pPr>
              <w:pStyle w:val="AERtabletextleft"/>
              <w:tabs>
                <w:tab w:val="num" w:pos="0"/>
              </w:tabs>
            </w:pPr>
            <w:r>
              <w:t>Service Target Performan</w:t>
            </w:r>
            <w:r w:rsidR="006319B4">
              <w:t xml:space="preserve">ce </w:t>
            </w:r>
            <w:r>
              <w:t>Incentive Scheme</w:t>
            </w:r>
          </w:p>
        </w:tc>
      </w:tr>
      <w:tr w:rsidR="00633A76" w:rsidTr="00D47F9C">
        <w:trPr>
          <w:cnfStyle w:val="000000010000" w:firstRow="0" w:lastRow="0" w:firstColumn="0" w:lastColumn="0" w:oddVBand="0" w:evenVBand="0" w:oddHBand="0" w:evenHBand="1" w:firstRowFirstColumn="0" w:firstRowLastColumn="0" w:lastRowFirstColumn="0" w:lastRowLastColumn="0"/>
        </w:trPr>
        <w:tc>
          <w:tcPr>
            <w:tcW w:w="3227" w:type="dxa"/>
          </w:tcPr>
          <w:p w:rsidR="00633A76" w:rsidRPr="00D47F9C" w:rsidRDefault="00633A76" w:rsidP="00D47F9C">
            <w:pPr>
              <w:pStyle w:val="AERtabletextleft"/>
              <w:tabs>
                <w:tab w:val="num" w:pos="0"/>
              </w:tabs>
            </w:pPr>
            <w:r>
              <w:t>TEC</w:t>
            </w:r>
          </w:p>
        </w:tc>
        <w:tc>
          <w:tcPr>
            <w:tcW w:w="6015" w:type="dxa"/>
          </w:tcPr>
          <w:p w:rsidR="00633A76" w:rsidRPr="00D47F9C" w:rsidRDefault="00633A76" w:rsidP="00D47F9C">
            <w:pPr>
              <w:pStyle w:val="AERtabletextleft"/>
              <w:tabs>
                <w:tab w:val="num" w:pos="0"/>
              </w:tabs>
            </w:pPr>
            <w:r>
              <w:t>Total Environment Centre</w:t>
            </w:r>
          </w:p>
        </w:tc>
      </w:tr>
      <w:tr w:rsidR="00D23CC4" w:rsidTr="00D47F9C">
        <w:tc>
          <w:tcPr>
            <w:tcW w:w="3227" w:type="dxa"/>
          </w:tcPr>
          <w:p w:rsidR="00D23CC4" w:rsidRPr="00D47F9C" w:rsidRDefault="00D23CC4" w:rsidP="00D47F9C">
            <w:pPr>
              <w:pStyle w:val="AERtabletextleft"/>
              <w:tabs>
                <w:tab w:val="num" w:pos="0"/>
              </w:tabs>
            </w:pPr>
            <w:r>
              <w:t>TNSP</w:t>
            </w:r>
          </w:p>
        </w:tc>
        <w:tc>
          <w:tcPr>
            <w:tcW w:w="6015" w:type="dxa"/>
          </w:tcPr>
          <w:p w:rsidR="00D23CC4" w:rsidRPr="00D47F9C" w:rsidRDefault="00D23CC4" w:rsidP="00D47F9C">
            <w:pPr>
              <w:pStyle w:val="AERtabletextleft"/>
              <w:tabs>
                <w:tab w:val="num" w:pos="0"/>
              </w:tabs>
            </w:pPr>
            <w:r>
              <w:t>Transmission Network Service Provider</w:t>
            </w:r>
          </w:p>
        </w:tc>
      </w:tr>
      <w:tr w:rsidR="00D47F9C" w:rsidTr="00D47F9C">
        <w:trPr>
          <w:cnfStyle w:val="000000010000" w:firstRow="0" w:lastRow="0" w:firstColumn="0" w:lastColumn="0" w:oddVBand="0" w:evenVBand="0" w:oddHBand="0" w:evenHBand="1" w:firstRowFirstColumn="0" w:firstRowLastColumn="0" w:lastRowFirstColumn="0" w:lastRowLastColumn="0"/>
        </w:trPr>
        <w:tc>
          <w:tcPr>
            <w:tcW w:w="3227" w:type="dxa"/>
          </w:tcPr>
          <w:p w:rsidR="00D47F9C" w:rsidRPr="00D47F9C" w:rsidRDefault="00D47F9C" w:rsidP="00D47F9C">
            <w:pPr>
              <w:pStyle w:val="AERtabletextleft"/>
              <w:tabs>
                <w:tab w:val="num" w:pos="0"/>
              </w:tabs>
            </w:pPr>
            <w:r w:rsidRPr="00D47F9C">
              <w:t>WACC</w:t>
            </w:r>
          </w:p>
        </w:tc>
        <w:tc>
          <w:tcPr>
            <w:tcW w:w="6015" w:type="dxa"/>
          </w:tcPr>
          <w:p w:rsidR="00D47F9C" w:rsidRPr="00D47F9C" w:rsidRDefault="00D47F9C" w:rsidP="00D47F9C">
            <w:pPr>
              <w:pStyle w:val="AERtabletextleft"/>
              <w:tabs>
                <w:tab w:val="num" w:pos="0"/>
              </w:tabs>
            </w:pPr>
            <w:r w:rsidRPr="00D47F9C">
              <w:t>Weighted Average Cost of Capital</w:t>
            </w:r>
          </w:p>
        </w:tc>
      </w:tr>
    </w:tbl>
    <w:p w:rsidR="00790B06" w:rsidRDefault="00790B06" w:rsidP="00D47F9C">
      <w:pPr>
        <w:pStyle w:val="AERbodytext"/>
        <w:numPr>
          <w:ilvl w:val="0"/>
          <w:numId w:val="0"/>
        </w:numPr>
      </w:pPr>
    </w:p>
    <w:p w:rsidR="009C1826" w:rsidRDefault="009C1826" w:rsidP="0037652C">
      <w:pPr>
        <w:pStyle w:val="UnnumberedHeading"/>
        <w:numPr>
          <w:ilvl w:val="0"/>
          <w:numId w:val="2"/>
        </w:numPr>
      </w:pPr>
      <w:bookmarkStart w:id="2" w:name="_Toc363640467"/>
      <w:r>
        <w:lastRenderedPageBreak/>
        <w:t>Request for submissions</w:t>
      </w:r>
      <w:bookmarkEnd w:id="2"/>
    </w:p>
    <w:p w:rsidR="0091127A" w:rsidRPr="00A0625E" w:rsidRDefault="0091127A" w:rsidP="0091127A">
      <w:pPr>
        <w:pStyle w:val="AERbodytext"/>
        <w:numPr>
          <w:ilvl w:val="0"/>
          <w:numId w:val="13"/>
        </w:numPr>
      </w:pPr>
      <w:r w:rsidRPr="00A0625E">
        <w:t xml:space="preserve">This </w:t>
      </w:r>
      <w:r w:rsidR="0047538F">
        <w:t xml:space="preserve">explanatory statement </w:t>
      </w:r>
      <w:r w:rsidRPr="00A0625E">
        <w:t xml:space="preserve">is part of the </w:t>
      </w:r>
      <w:r>
        <w:t>Australian Energy Regulator's (</w:t>
      </w:r>
      <w:r w:rsidRPr="00A0625E">
        <w:t>AER</w:t>
      </w:r>
      <w:r>
        <w:t>)</w:t>
      </w:r>
      <w:r w:rsidRPr="00A0625E">
        <w:t xml:space="preserve"> Better Regulation program of work, which follows from changes to the National Electricity </w:t>
      </w:r>
      <w:r>
        <w:t xml:space="preserve">and Gas </w:t>
      </w:r>
      <w:r w:rsidRPr="00A0625E">
        <w:t>Rules announced in November 2012 by the Australian Energy Market Commission</w:t>
      </w:r>
      <w:r w:rsidR="002E337C">
        <w:t xml:space="preserve"> (AEMC)</w:t>
      </w:r>
      <w:r w:rsidRPr="00A0625E">
        <w:t>. The AER’s approach to regulation under the new framework will be s</w:t>
      </w:r>
      <w:r w:rsidR="00B62AE1">
        <w:t xml:space="preserve">et out in a series of </w:t>
      </w:r>
      <w:r w:rsidR="0043387A">
        <w:t>guidelines</w:t>
      </w:r>
      <w:r w:rsidRPr="00A0625E">
        <w:t xml:space="preserve"> to be published by the end of November 2013.</w:t>
      </w:r>
      <w:r w:rsidRPr="00A0625E">
        <w:rPr>
          <w:rStyle w:val="FootnoteReference"/>
        </w:rPr>
        <w:footnoteReference w:id="1"/>
      </w:r>
    </w:p>
    <w:p w:rsidR="0091127A" w:rsidRPr="00BE6419" w:rsidRDefault="0091127A" w:rsidP="00BE6419">
      <w:pPr>
        <w:pStyle w:val="AERbodytext"/>
      </w:pPr>
      <w:r w:rsidRPr="0019405D">
        <w:t xml:space="preserve">Interested parties are invited to make written submissions to the AER regarding this </w:t>
      </w:r>
      <w:r w:rsidR="00B62AE1">
        <w:t>explanatory statement</w:t>
      </w:r>
      <w:r>
        <w:t xml:space="preserve"> </w:t>
      </w:r>
      <w:r w:rsidR="00B62AE1">
        <w:t xml:space="preserve">and the associated Capital Expenditure Incentive </w:t>
      </w:r>
      <w:r w:rsidR="00783661">
        <w:t>Guidelines</w:t>
      </w:r>
      <w:r w:rsidR="00B62AE1">
        <w:t xml:space="preserve"> </w:t>
      </w:r>
      <w:r>
        <w:t xml:space="preserve">by </w:t>
      </w:r>
      <w:r w:rsidRPr="0019405D">
        <w:t xml:space="preserve">close of </w:t>
      </w:r>
      <w:r w:rsidRPr="00BE6419">
        <w:t xml:space="preserve">business, </w:t>
      </w:r>
      <w:r w:rsidR="00AC13FD">
        <w:t>Friday, 20</w:t>
      </w:r>
      <w:r w:rsidR="00BE6419" w:rsidRPr="00BE6419">
        <w:t xml:space="preserve"> September 2013</w:t>
      </w:r>
      <w:r w:rsidRPr="00BE6419">
        <w:t>.</w:t>
      </w:r>
    </w:p>
    <w:p w:rsidR="0091127A" w:rsidRPr="00F35E5A" w:rsidRDefault="0091127A" w:rsidP="0091127A">
      <w:pPr>
        <w:pStyle w:val="AERbodytext"/>
      </w:pPr>
      <w:r w:rsidRPr="001D5B42">
        <w:t>Submissions should be sent electronically to:</w:t>
      </w:r>
      <w:r>
        <w:t xml:space="preserve"> </w:t>
      </w:r>
      <w:hyperlink r:id="rId10" w:history="1">
        <w:r w:rsidR="00C51934" w:rsidRPr="000D39FE">
          <w:rPr>
            <w:rStyle w:val="Hyperlink"/>
          </w:rPr>
          <w:t>incentives@aer.gov.au</w:t>
        </w:r>
      </w:hyperlink>
      <w:r w:rsidR="00C51934">
        <w:t xml:space="preserve">. </w:t>
      </w:r>
      <w:r>
        <w:t>The AER prefers that all submissions sent in an electronic format are in Microsoft Word or other text readable document form.</w:t>
      </w:r>
    </w:p>
    <w:p w:rsidR="0091127A" w:rsidRPr="00433BD9" w:rsidRDefault="0091127A" w:rsidP="0091127A">
      <w:pPr>
        <w:pStyle w:val="AERbodytext"/>
        <w:numPr>
          <w:ilvl w:val="0"/>
          <w:numId w:val="13"/>
        </w:numPr>
      </w:pPr>
      <w:r w:rsidRPr="00433BD9">
        <w:t>Alternatively, submissions can be sent to:</w:t>
      </w:r>
    </w:p>
    <w:p w:rsidR="00C51934" w:rsidRPr="007D601E" w:rsidRDefault="00C51934" w:rsidP="00C51934">
      <w:pPr>
        <w:pStyle w:val="AERbodytextnospace"/>
        <w:numPr>
          <w:ilvl w:val="0"/>
          <w:numId w:val="13"/>
        </w:numPr>
        <w:rPr>
          <w:rStyle w:val="AERbody"/>
        </w:rPr>
      </w:pPr>
      <w:r w:rsidRPr="007D601E">
        <w:rPr>
          <w:rStyle w:val="AERbody"/>
        </w:rPr>
        <w:t>Sebastian Roberts</w:t>
      </w:r>
    </w:p>
    <w:p w:rsidR="00C51934" w:rsidRPr="007D601E" w:rsidRDefault="00C51934" w:rsidP="00C51934">
      <w:pPr>
        <w:pStyle w:val="AERbodytextnospace"/>
        <w:numPr>
          <w:ilvl w:val="0"/>
          <w:numId w:val="13"/>
        </w:numPr>
        <w:rPr>
          <w:rStyle w:val="AERbody"/>
        </w:rPr>
      </w:pPr>
      <w:r w:rsidRPr="007D601E">
        <w:rPr>
          <w:rStyle w:val="AERbody"/>
        </w:rPr>
        <w:t>General Manager</w:t>
      </w:r>
    </w:p>
    <w:p w:rsidR="00C51934" w:rsidRPr="00433BD9" w:rsidRDefault="00C51934" w:rsidP="00C51934">
      <w:pPr>
        <w:pStyle w:val="AERbodytextnospace"/>
        <w:numPr>
          <w:ilvl w:val="0"/>
          <w:numId w:val="13"/>
        </w:numPr>
      </w:pPr>
      <w:r w:rsidRPr="00433BD9">
        <w:t>Australian Energy Regulator</w:t>
      </w:r>
    </w:p>
    <w:p w:rsidR="00C51934" w:rsidRPr="005A4012" w:rsidRDefault="00C51934" w:rsidP="00C51934">
      <w:pPr>
        <w:pStyle w:val="AERbodytextnospace"/>
        <w:numPr>
          <w:ilvl w:val="0"/>
          <w:numId w:val="13"/>
        </w:numPr>
      </w:pPr>
      <w:r w:rsidRPr="005A4012">
        <w:t>GPO Box 520</w:t>
      </w:r>
    </w:p>
    <w:p w:rsidR="00C51934" w:rsidRPr="00433BD9" w:rsidRDefault="00C51934" w:rsidP="00C51934">
      <w:pPr>
        <w:pStyle w:val="AERbodytext"/>
        <w:numPr>
          <w:ilvl w:val="0"/>
          <w:numId w:val="13"/>
        </w:numPr>
      </w:pPr>
      <w:r w:rsidRPr="005A4012">
        <w:t>Melbourne Vic 3001</w:t>
      </w:r>
    </w:p>
    <w:p w:rsidR="0091127A" w:rsidRPr="00433BD9" w:rsidRDefault="0091127A" w:rsidP="0091127A">
      <w:pPr>
        <w:pStyle w:val="AERbodytext"/>
        <w:numPr>
          <w:ilvl w:val="0"/>
          <w:numId w:val="13"/>
        </w:numPr>
      </w:pPr>
      <w:r>
        <w:t xml:space="preserve">The AER </w:t>
      </w:r>
      <w:r w:rsidRPr="00433BD9">
        <w:t>prefers that all submissions be publicly available to facilitate an informed and transparent consultative process. Submissions will be treated as public documents unless otherwise requested. Parties wishing to submit confidential information are requested to:</w:t>
      </w:r>
    </w:p>
    <w:p w:rsidR="0091127A" w:rsidRPr="00F35E5A" w:rsidRDefault="0091127A" w:rsidP="0091127A">
      <w:pPr>
        <w:pStyle w:val="AERbulletlistfirststyle"/>
      </w:pPr>
      <w:r w:rsidRPr="00F35E5A">
        <w:t>clearly identify the information that is the subject of the confidentiality claim</w:t>
      </w:r>
    </w:p>
    <w:p w:rsidR="0091127A" w:rsidRPr="00F35E5A" w:rsidRDefault="0091127A" w:rsidP="0091127A">
      <w:pPr>
        <w:pStyle w:val="AERbulletlistfirststyle"/>
      </w:pPr>
      <w:r w:rsidRPr="00F35E5A">
        <w:t>provide a non-confidential version of the submission in a form suitable for publication.</w:t>
      </w:r>
    </w:p>
    <w:p w:rsidR="0091127A" w:rsidRPr="00433BD9" w:rsidRDefault="0091127A" w:rsidP="0091127A">
      <w:pPr>
        <w:pStyle w:val="AERbodytext"/>
        <w:numPr>
          <w:ilvl w:val="0"/>
          <w:numId w:val="13"/>
        </w:numPr>
      </w:pPr>
      <w:r w:rsidRPr="00433BD9">
        <w:t xml:space="preserve">All non-confidential submissions will be placed on </w:t>
      </w:r>
      <w:r>
        <w:t xml:space="preserve">the AER's </w:t>
      </w:r>
      <w:r w:rsidRPr="00433BD9">
        <w:t xml:space="preserve">website at </w:t>
      </w:r>
      <w:hyperlink r:id="rId11" w:history="1">
        <w:r w:rsidRPr="00433BD9">
          <w:rPr>
            <w:rStyle w:val="Hyperlink"/>
          </w:rPr>
          <w:t>www.aer.gov.au</w:t>
        </w:r>
      </w:hyperlink>
      <w:r w:rsidRPr="00433BD9">
        <w:t xml:space="preserve">. For further information regarding </w:t>
      </w:r>
      <w:r>
        <w:t xml:space="preserve">the AER's </w:t>
      </w:r>
      <w:r w:rsidRPr="00433BD9">
        <w:t xml:space="preserve">use and disclosure of information provided to it, see the ACCC/AER Information Policy, October 2008 available on </w:t>
      </w:r>
      <w:r>
        <w:t xml:space="preserve">the AER </w:t>
      </w:r>
      <w:r w:rsidRPr="00433BD9">
        <w:t>website.</w:t>
      </w:r>
    </w:p>
    <w:p w:rsidR="0091127A" w:rsidRPr="0091127A" w:rsidRDefault="0091127A" w:rsidP="0091127A">
      <w:pPr>
        <w:pStyle w:val="AERbodytext"/>
        <w:numPr>
          <w:ilvl w:val="0"/>
          <w:numId w:val="13"/>
        </w:numPr>
      </w:pPr>
      <w:r w:rsidRPr="00433BD9">
        <w:t xml:space="preserve">Enquires about this paper, or about lodging submissions, should be directed to </w:t>
      </w:r>
      <w:r w:rsidRPr="007D601E">
        <w:rPr>
          <w:rStyle w:val="AERbody"/>
        </w:rPr>
        <w:t xml:space="preserve">the </w:t>
      </w:r>
      <w:r w:rsidR="00C51934" w:rsidRPr="007D601E">
        <w:rPr>
          <w:rStyle w:val="AERbody"/>
        </w:rPr>
        <w:t>Network Operations and Development Branch of the AER on (03) 9290 1444.</w:t>
      </w:r>
    </w:p>
    <w:p w:rsidR="00AF3E95" w:rsidRDefault="00AF3E95" w:rsidP="0037652C">
      <w:pPr>
        <w:pStyle w:val="UnnumberedHeading"/>
        <w:numPr>
          <w:ilvl w:val="0"/>
          <w:numId w:val="2"/>
        </w:numPr>
      </w:pPr>
      <w:bookmarkStart w:id="3" w:name="_Toc363640468"/>
      <w:r>
        <w:t>Contents</w:t>
      </w:r>
      <w:bookmarkEnd w:id="3"/>
    </w:p>
    <w:p w:rsidR="00C95AE5" w:rsidRDefault="00904178">
      <w:pPr>
        <w:pStyle w:val="TOC1"/>
        <w:rPr>
          <w:rFonts w:asciiTheme="minorHAnsi" w:eastAsiaTheme="minorEastAsia" w:hAnsiTheme="minorHAnsi" w:cstheme="minorBidi"/>
          <w:b w:val="0"/>
          <w:bCs w:val="0"/>
          <w:noProof/>
          <w:sz w:val="22"/>
          <w:szCs w:val="22"/>
          <w:lang w:eastAsia="en-AU"/>
        </w:rPr>
      </w:pPr>
      <w:r>
        <w:fldChar w:fldCharType="begin"/>
      </w:r>
      <w:r w:rsidR="00AF3E95">
        <w:instrText xml:space="preserve"> TOC \o "1-2" \h \z \u \t "Heading 7,1,Heading 8,2" </w:instrText>
      </w:r>
      <w:r>
        <w:fldChar w:fldCharType="separate"/>
      </w:r>
      <w:hyperlink w:anchor="_Toc363640466" w:history="1">
        <w:r w:rsidR="00C95AE5" w:rsidRPr="007F0D80">
          <w:rPr>
            <w:rStyle w:val="Hyperlink"/>
            <w:noProof/>
          </w:rPr>
          <w:t>Shortened forms</w:t>
        </w:r>
        <w:r w:rsidR="00C95AE5">
          <w:rPr>
            <w:noProof/>
            <w:webHidden/>
          </w:rPr>
          <w:tab/>
        </w:r>
        <w:r w:rsidR="00C95AE5">
          <w:rPr>
            <w:noProof/>
            <w:webHidden/>
          </w:rPr>
          <w:fldChar w:fldCharType="begin"/>
        </w:r>
        <w:r w:rsidR="00C95AE5">
          <w:rPr>
            <w:noProof/>
            <w:webHidden/>
          </w:rPr>
          <w:instrText xml:space="preserve"> PAGEREF _Toc363640466 \h </w:instrText>
        </w:r>
        <w:r w:rsidR="00C95AE5">
          <w:rPr>
            <w:noProof/>
            <w:webHidden/>
          </w:rPr>
        </w:r>
        <w:r w:rsidR="00C95AE5">
          <w:rPr>
            <w:noProof/>
            <w:webHidden/>
          </w:rPr>
          <w:fldChar w:fldCharType="separate"/>
        </w:r>
        <w:r w:rsidR="000F43BD">
          <w:rPr>
            <w:noProof/>
            <w:webHidden/>
          </w:rPr>
          <w:t>3</w:t>
        </w:r>
        <w:r w:rsidR="00C95AE5">
          <w:rPr>
            <w:noProof/>
            <w:webHidden/>
          </w:rPr>
          <w:fldChar w:fldCharType="end"/>
        </w:r>
      </w:hyperlink>
    </w:p>
    <w:p w:rsidR="00C95AE5" w:rsidRDefault="000F43BD">
      <w:pPr>
        <w:pStyle w:val="TOC1"/>
        <w:rPr>
          <w:rFonts w:asciiTheme="minorHAnsi" w:eastAsiaTheme="minorEastAsia" w:hAnsiTheme="minorHAnsi" w:cstheme="minorBidi"/>
          <w:b w:val="0"/>
          <w:bCs w:val="0"/>
          <w:noProof/>
          <w:sz w:val="22"/>
          <w:szCs w:val="22"/>
          <w:lang w:eastAsia="en-AU"/>
        </w:rPr>
      </w:pPr>
      <w:hyperlink w:anchor="_Toc363640467" w:history="1">
        <w:r w:rsidR="00C95AE5" w:rsidRPr="007F0D80">
          <w:rPr>
            <w:rStyle w:val="Hyperlink"/>
            <w:noProof/>
          </w:rPr>
          <w:t>Request for submissions</w:t>
        </w:r>
        <w:r w:rsidR="00C95AE5">
          <w:rPr>
            <w:noProof/>
            <w:webHidden/>
          </w:rPr>
          <w:tab/>
        </w:r>
        <w:r w:rsidR="00C95AE5">
          <w:rPr>
            <w:noProof/>
            <w:webHidden/>
          </w:rPr>
          <w:fldChar w:fldCharType="begin"/>
        </w:r>
        <w:r w:rsidR="00C95AE5">
          <w:rPr>
            <w:noProof/>
            <w:webHidden/>
          </w:rPr>
          <w:instrText xml:space="preserve"> PAGEREF _Toc363640467 \h </w:instrText>
        </w:r>
        <w:r w:rsidR="00C95AE5">
          <w:rPr>
            <w:noProof/>
            <w:webHidden/>
          </w:rPr>
        </w:r>
        <w:r w:rsidR="00C95AE5">
          <w:rPr>
            <w:noProof/>
            <w:webHidden/>
          </w:rPr>
          <w:fldChar w:fldCharType="separate"/>
        </w:r>
        <w:r>
          <w:rPr>
            <w:noProof/>
            <w:webHidden/>
          </w:rPr>
          <w:t>4</w:t>
        </w:r>
        <w:r w:rsidR="00C95AE5">
          <w:rPr>
            <w:noProof/>
            <w:webHidden/>
          </w:rPr>
          <w:fldChar w:fldCharType="end"/>
        </w:r>
      </w:hyperlink>
    </w:p>
    <w:p w:rsidR="00C95AE5" w:rsidRDefault="000F43BD">
      <w:pPr>
        <w:pStyle w:val="TOC1"/>
        <w:rPr>
          <w:rFonts w:asciiTheme="minorHAnsi" w:eastAsiaTheme="minorEastAsia" w:hAnsiTheme="minorHAnsi" w:cstheme="minorBidi"/>
          <w:b w:val="0"/>
          <w:bCs w:val="0"/>
          <w:noProof/>
          <w:sz w:val="22"/>
          <w:szCs w:val="22"/>
          <w:lang w:eastAsia="en-AU"/>
        </w:rPr>
      </w:pPr>
      <w:hyperlink w:anchor="_Toc363640469" w:history="1">
        <w:r w:rsidR="00C95AE5" w:rsidRPr="007F0D80">
          <w:rPr>
            <w:rStyle w:val="Hyperlink"/>
            <w:noProof/>
          </w:rPr>
          <w:t>Executive Summary</w:t>
        </w:r>
        <w:r w:rsidR="00C95AE5">
          <w:rPr>
            <w:noProof/>
            <w:webHidden/>
          </w:rPr>
          <w:tab/>
        </w:r>
        <w:r w:rsidR="00C95AE5">
          <w:rPr>
            <w:noProof/>
            <w:webHidden/>
          </w:rPr>
          <w:fldChar w:fldCharType="begin"/>
        </w:r>
        <w:r w:rsidR="00C95AE5">
          <w:rPr>
            <w:noProof/>
            <w:webHidden/>
          </w:rPr>
          <w:instrText xml:space="preserve"> PAGEREF _Toc363640469 \h </w:instrText>
        </w:r>
        <w:r w:rsidR="00C95AE5">
          <w:rPr>
            <w:noProof/>
            <w:webHidden/>
          </w:rPr>
        </w:r>
        <w:r w:rsidR="00C95AE5">
          <w:rPr>
            <w:noProof/>
            <w:webHidden/>
          </w:rPr>
          <w:fldChar w:fldCharType="separate"/>
        </w:r>
        <w:r>
          <w:rPr>
            <w:noProof/>
            <w:webHidden/>
          </w:rPr>
          <w:t>6</w:t>
        </w:r>
        <w:r w:rsidR="00C95AE5">
          <w:rPr>
            <w:noProof/>
            <w:webHidden/>
          </w:rPr>
          <w:fldChar w:fldCharType="end"/>
        </w:r>
      </w:hyperlink>
    </w:p>
    <w:p w:rsidR="00C95AE5" w:rsidRDefault="000F43BD">
      <w:pPr>
        <w:pStyle w:val="TOC1"/>
        <w:rPr>
          <w:rFonts w:asciiTheme="minorHAnsi" w:eastAsiaTheme="minorEastAsia" w:hAnsiTheme="minorHAnsi" w:cstheme="minorBidi"/>
          <w:b w:val="0"/>
          <w:bCs w:val="0"/>
          <w:noProof/>
          <w:sz w:val="22"/>
          <w:szCs w:val="22"/>
          <w:lang w:eastAsia="en-AU"/>
        </w:rPr>
      </w:pPr>
      <w:hyperlink w:anchor="_Toc363640475" w:history="1">
        <w:r w:rsidR="00C95AE5" w:rsidRPr="007F0D80">
          <w:rPr>
            <w:rStyle w:val="Hyperlink"/>
            <w:noProof/>
          </w:rPr>
          <w:t>1</w:t>
        </w:r>
        <w:r w:rsidR="00C95AE5">
          <w:rPr>
            <w:rFonts w:asciiTheme="minorHAnsi" w:eastAsiaTheme="minorEastAsia" w:hAnsiTheme="minorHAnsi" w:cstheme="minorBidi"/>
            <w:b w:val="0"/>
            <w:bCs w:val="0"/>
            <w:noProof/>
            <w:sz w:val="22"/>
            <w:szCs w:val="22"/>
            <w:lang w:eastAsia="en-AU"/>
          </w:rPr>
          <w:tab/>
        </w:r>
        <w:r w:rsidR="00C95AE5" w:rsidRPr="007F0D80">
          <w:rPr>
            <w:rStyle w:val="Hyperlink"/>
            <w:noProof/>
          </w:rPr>
          <w:t>Introduction</w:t>
        </w:r>
        <w:r w:rsidR="00C95AE5">
          <w:rPr>
            <w:noProof/>
            <w:webHidden/>
          </w:rPr>
          <w:tab/>
        </w:r>
        <w:r w:rsidR="00C95AE5">
          <w:rPr>
            <w:noProof/>
            <w:webHidden/>
          </w:rPr>
          <w:fldChar w:fldCharType="begin"/>
        </w:r>
        <w:r w:rsidR="00C95AE5">
          <w:rPr>
            <w:noProof/>
            <w:webHidden/>
          </w:rPr>
          <w:instrText xml:space="preserve"> PAGEREF _Toc363640475 \h </w:instrText>
        </w:r>
        <w:r w:rsidR="00C95AE5">
          <w:rPr>
            <w:noProof/>
            <w:webHidden/>
          </w:rPr>
        </w:r>
        <w:r w:rsidR="00C95AE5">
          <w:rPr>
            <w:noProof/>
            <w:webHidden/>
          </w:rPr>
          <w:fldChar w:fldCharType="separate"/>
        </w:r>
        <w:r>
          <w:rPr>
            <w:noProof/>
            <w:webHidden/>
          </w:rPr>
          <w:t>11</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76" w:history="1">
        <w:r w:rsidR="00C95AE5" w:rsidRPr="007F0D80">
          <w:rPr>
            <w:rStyle w:val="Hyperlink"/>
            <w:noProof/>
          </w:rPr>
          <w:t>1.1</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Current arrangements</w:t>
        </w:r>
        <w:r w:rsidR="00C95AE5">
          <w:rPr>
            <w:noProof/>
            <w:webHidden/>
          </w:rPr>
          <w:tab/>
        </w:r>
        <w:r w:rsidR="00C95AE5">
          <w:rPr>
            <w:noProof/>
            <w:webHidden/>
          </w:rPr>
          <w:fldChar w:fldCharType="begin"/>
        </w:r>
        <w:r w:rsidR="00C95AE5">
          <w:rPr>
            <w:noProof/>
            <w:webHidden/>
          </w:rPr>
          <w:instrText xml:space="preserve"> PAGEREF _Toc363640476 \h </w:instrText>
        </w:r>
        <w:r w:rsidR="00C95AE5">
          <w:rPr>
            <w:noProof/>
            <w:webHidden/>
          </w:rPr>
        </w:r>
        <w:r w:rsidR="00C95AE5">
          <w:rPr>
            <w:noProof/>
            <w:webHidden/>
          </w:rPr>
          <w:fldChar w:fldCharType="separate"/>
        </w:r>
        <w:r>
          <w:rPr>
            <w:noProof/>
            <w:webHidden/>
          </w:rPr>
          <w:t>11</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77" w:history="1">
        <w:r w:rsidR="00C95AE5" w:rsidRPr="007F0D80">
          <w:rPr>
            <w:rStyle w:val="Hyperlink"/>
            <w:noProof/>
          </w:rPr>
          <w:t>1.2</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Rule changes</w:t>
        </w:r>
        <w:r w:rsidR="00C95AE5">
          <w:rPr>
            <w:noProof/>
            <w:webHidden/>
          </w:rPr>
          <w:tab/>
        </w:r>
        <w:r w:rsidR="00C95AE5">
          <w:rPr>
            <w:noProof/>
            <w:webHidden/>
          </w:rPr>
          <w:fldChar w:fldCharType="begin"/>
        </w:r>
        <w:r w:rsidR="00C95AE5">
          <w:rPr>
            <w:noProof/>
            <w:webHidden/>
          </w:rPr>
          <w:instrText xml:space="preserve"> PAGEREF _Toc363640477 \h </w:instrText>
        </w:r>
        <w:r w:rsidR="00C95AE5">
          <w:rPr>
            <w:noProof/>
            <w:webHidden/>
          </w:rPr>
        </w:r>
        <w:r w:rsidR="00C95AE5">
          <w:rPr>
            <w:noProof/>
            <w:webHidden/>
          </w:rPr>
          <w:fldChar w:fldCharType="separate"/>
        </w:r>
        <w:r>
          <w:rPr>
            <w:noProof/>
            <w:webHidden/>
          </w:rPr>
          <w:t>12</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78" w:history="1">
        <w:r w:rsidR="00C95AE5" w:rsidRPr="007F0D80">
          <w:rPr>
            <w:rStyle w:val="Hyperlink"/>
            <w:noProof/>
          </w:rPr>
          <w:t>1.3</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Scope of the guidelines</w:t>
        </w:r>
        <w:r w:rsidR="00C95AE5">
          <w:rPr>
            <w:noProof/>
            <w:webHidden/>
          </w:rPr>
          <w:tab/>
        </w:r>
        <w:r w:rsidR="00C95AE5">
          <w:rPr>
            <w:noProof/>
            <w:webHidden/>
          </w:rPr>
          <w:fldChar w:fldCharType="begin"/>
        </w:r>
        <w:r w:rsidR="00C95AE5">
          <w:rPr>
            <w:noProof/>
            <w:webHidden/>
          </w:rPr>
          <w:instrText xml:space="preserve"> PAGEREF _Toc363640478 \h </w:instrText>
        </w:r>
        <w:r w:rsidR="00C95AE5">
          <w:rPr>
            <w:noProof/>
            <w:webHidden/>
          </w:rPr>
        </w:r>
        <w:r w:rsidR="00C95AE5">
          <w:rPr>
            <w:noProof/>
            <w:webHidden/>
          </w:rPr>
          <w:fldChar w:fldCharType="separate"/>
        </w:r>
        <w:r>
          <w:rPr>
            <w:noProof/>
            <w:webHidden/>
          </w:rPr>
          <w:t>13</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79" w:history="1">
        <w:r w:rsidR="00C95AE5" w:rsidRPr="007F0D80">
          <w:rPr>
            <w:rStyle w:val="Hyperlink"/>
            <w:noProof/>
          </w:rPr>
          <w:t>1.4</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Consultation process</w:t>
        </w:r>
        <w:r w:rsidR="00C95AE5">
          <w:rPr>
            <w:noProof/>
            <w:webHidden/>
          </w:rPr>
          <w:tab/>
        </w:r>
        <w:r w:rsidR="00C95AE5">
          <w:rPr>
            <w:noProof/>
            <w:webHidden/>
          </w:rPr>
          <w:fldChar w:fldCharType="begin"/>
        </w:r>
        <w:r w:rsidR="00C95AE5">
          <w:rPr>
            <w:noProof/>
            <w:webHidden/>
          </w:rPr>
          <w:instrText xml:space="preserve"> PAGEREF _Toc363640479 \h </w:instrText>
        </w:r>
        <w:r w:rsidR="00C95AE5">
          <w:rPr>
            <w:noProof/>
            <w:webHidden/>
          </w:rPr>
        </w:r>
        <w:r w:rsidR="00C95AE5">
          <w:rPr>
            <w:noProof/>
            <w:webHidden/>
          </w:rPr>
          <w:fldChar w:fldCharType="separate"/>
        </w:r>
        <w:r>
          <w:rPr>
            <w:noProof/>
            <w:webHidden/>
          </w:rPr>
          <w:t>13</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80" w:history="1">
        <w:r w:rsidR="00C95AE5" w:rsidRPr="007F0D80">
          <w:rPr>
            <w:rStyle w:val="Hyperlink"/>
            <w:noProof/>
          </w:rPr>
          <w:t>1.5</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Structure</w:t>
        </w:r>
        <w:r w:rsidR="00C95AE5">
          <w:rPr>
            <w:noProof/>
            <w:webHidden/>
          </w:rPr>
          <w:tab/>
        </w:r>
        <w:r w:rsidR="00C95AE5">
          <w:rPr>
            <w:noProof/>
            <w:webHidden/>
          </w:rPr>
          <w:fldChar w:fldCharType="begin"/>
        </w:r>
        <w:r w:rsidR="00C95AE5">
          <w:rPr>
            <w:noProof/>
            <w:webHidden/>
          </w:rPr>
          <w:instrText xml:space="preserve"> PAGEREF _Toc363640480 \h </w:instrText>
        </w:r>
        <w:r w:rsidR="00C95AE5">
          <w:rPr>
            <w:noProof/>
            <w:webHidden/>
          </w:rPr>
        </w:r>
        <w:r w:rsidR="00C95AE5">
          <w:rPr>
            <w:noProof/>
            <w:webHidden/>
          </w:rPr>
          <w:fldChar w:fldCharType="separate"/>
        </w:r>
        <w:r>
          <w:rPr>
            <w:noProof/>
            <w:webHidden/>
          </w:rPr>
          <w:t>15</w:t>
        </w:r>
        <w:r w:rsidR="00C95AE5">
          <w:rPr>
            <w:noProof/>
            <w:webHidden/>
          </w:rPr>
          <w:fldChar w:fldCharType="end"/>
        </w:r>
      </w:hyperlink>
    </w:p>
    <w:p w:rsidR="00C95AE5" w:rsidRDefault="000F43BD">
      <w:pPr>
        <w:pStyle w:val="TOC1"/>
        <w:rPr>
          <w:rFonts w:asciiTheme="minorHAnsi" w:eastAsiaTheme="minorEastAsia" w:hAnsiTheme="minorHAnsi" w:cstheme="minorBidi"/>
          <w:b w:val="0"/>
          <w:bCs w:val="0"/>
          <w:noProof/>
          <w:sz w:val="22"/>
          <w:szCs w:val="22"/>
          <w:lang w:eastAsia="en-AU"/>
        </w:rPr>
      </w:pPr>
      <w:hyperlink w:anchor="_Toc363640481" w:history="1">
        <w:r w:rsidR="00C95AE5" w:rsidRPr="007F0D80">
          <w:rPr>
            <w:rStyle w:val="Hyperlink"/>
            <w:noProof/>
          </w:rPr>
          <w:t>2</w:t>
        </w:r>
        <w:r w:rsidR="00C95AE5">
          <w:rPr>
            <w:rFonts w:asciiTheme="minorHAnsi" w:eastAsiaTheme="minorEastAsia" w:hAnsiTheme="minorHAnsi" w:cstheme="minorBidi"/>
            <w:b w:val="0"/>
            <w:bCs w:val="0"/>
            <w:noProof/>
            <w:sz w:val="22"/>
            <w:szCs w:val="22"/>
            <w:lang w:eastAsia="en-AU"/>
          </w:rPr>
          <w:tab/>
        </w:r>
        <w:r w:rsidR="00C95AE5" w:rsidRPr="007F0D80">
          <w:rPr>
            <w:rStyle w:val="Hyperlink"/>
            <w:noProof/>
          </w:rPr>
          <w:t>Capital expenditure sharing scheme</w:t>
        </w:r>
        <w:r w:rsidR="00C95AE5">
          <w:rPr>
            <w:noProof/>
            <w:webHidden/>
          </w:rPr>
          <w:tab/>
        </w:r>
        <w:r w:rsidR="00C95AE5">
          <w:rPr>
            <w:noProof/>
            <w:webHidden/>
          </w:rPr>
          <w:fldChar w:fldCharType="begin"/>
        </w:r>
        <w:r w:rsidR="00C95AE5">
          <w:rPr>
            <w:noProof/>
            <w:webHidden/>
          </w:rPr>
          <w:instrText xml:space="preserve"> PAGEREF _Toc363640481 \h </w:instrText>
        </w:r>
        <w:r w:rsidR="00C95AE5">
          <w:rPr>
            <w:noProof/>
            <w:webHidden/>
          </w:rPr>
        </w:r>
        <w:r w:rsidR="00C95AE5">
          <w:rPr>
            <w:noProof/>
            <w:webHidden/>
          </w:rPr>
          <w:fldChar w:fldCharType="separate"/>
        </w:r>
        <w:r>
          <w:rPr>
            <w:noProof/>
            <w:webHidden/>
          </w:rPr>
          <w:t>16</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82" w:history="1">
        <w:r w:rsidR="00C95AE5" w:rsidRPr="007F0D80">
          <w:rPr>
            <w:rStyle w:val="Hyperlink"/>
            <w:noProof/>
          </w:rPr>
          <w:t>2.1</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Issue</w:t>
        </w:r>
        <w:r w:rsidR="00C95AE5">
          <w:rPr>
            <w:noProof/>
            <w:webHidden/>
          </w:rPr>
          <w:tab/>
        </w:r>
        <w:r w:rsidR="00C95AE5">
          <w:rPr>
            <w:noProof/>
            <w:webHidden/>
          </w:rPr>
          <w:fldChar w:fldCharType="begin"/>
        </w:r>
        <w:r w:rsidR="00C95AE5">
          <w:rPr>
            <w:noProof/>
            <w:webHidden/>
          </w:rPr>
          <w:instrText xml:space="preserve"> PAGEREF _Toc363640482 \h </w:instrText>
        </w:r>
        <w:r w:rsidR="00C95AE5">
          <w:rPr>
            <w:noProof/>
            <w:webHidden/>
          </w:rPr>
        </w:r>
        <w:r w:rsidR="00C95AE5">
          <w:rPr>
            <w:noProof/>
            <w:webHidden/>
          </w:rPr>
          <w:fldChar w:fldCharType="separate"/>
        </w:r>
        <w:r>
          <w:rPr>
            <w:noProof/>
            <w:webHidden/>
          </w:rPr>
          <w:t>16</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83" w:history="1">
        <w:r w:rsidR="00C95AE5" w:rsidRPr="007F0D80">
          <w:rPr>
            <w:rStyle w:val="Hyperlink"/>
            <w:noProof/>
          </w:rPr>
          <w:t>2.2</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Proposed approach</w:t>
        </w:r>
        <w:r w:rsidR="00C95AE5">
          <w:rPr>
            <w:noProof/>
            <w:webHidden/>
          </w:rPr>
          <w:tab/>
        </w:r>
        <w:r w:rsidR="00C95AE5">
          <w:rPr>
            <w:noProof/>
            <w:webHidden/>
          </w:rPr>
          <w:fldChar w:fldCharType="begin"/>
        </w:r>
        <w:r w:rsidR="00C95AE5">
          <w:rPr>
            <w:noProof/>
            <w:webHidden/>
          </w:rPr>
          <w:instrText xml:space="preserve"> PAGEREF _Toc363640483 \h </w:instrText>
        </w:r>
        <w:r w:rsidR="00C95AE5">
          <w:rPr>
            <w:noProof/>
            <w:webHidden/>
          </w:rPr>
        </w:r>
        <w:r w:rsidR="00C95AE5">
          <w:rPr>
            <w:noProof/>
            <w:webHidden/>
          </w:rPr>
          <w:fldChar w:fldCharType="separate"/>
        </w:r>
        <w:r>
          <w:rPr>
            <w:noProof/>
            <w:webHidden/>
          </w:rPr>
          <w:t>17</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84" w:history="1">
        <w:r w:rsidR="00C95AE5" w:rsidRPr="007F0D80">
          <w:rPr>
            <w:rStyle w:val="Hyperlink"/>
            <w:noProof/>
          </w:rPr>
          <w:t>2.3</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Reasons for the proposed approach</w:t>
        </w:r>
        <w:r w:rsidR="00C95AE5">
          <w:rPr>
            <w:noProof/>
            <w:webHidden/>
          </w:rPr>
          <w:tab/>
        </w:r>
        <w:r w:rsidR="00C95AE5">
          <w:rPr>
            <w:noProof/>
            <w:webHidden/>
          </w:rPr>
          <w:fldChar w:fldCharType="begin"/>
        </w:r>
        <w:r w:rsidR="00C95AE5">
          <w:rPr>
            <w:noProof/>
            <w:webHidden/>
          </w:rPr>
          <w:instrText xml:space="preserve"> PAGEREF _Toc363640484 \h </w:instrText>
        </w:r>
        <w:r w:rsidR="00C95AE5">
          <w:rPr>
            <w:noProof/>
            <w:webHidden/>
          </w:rPr>
        </w:r>
        <w:r w:rsidR="00C95AE5">
          <w:rPr>
            <w:noProof/>
            <w:webHidden/>
          </w:rPr>
          <w:fldChar w:fldCharType="separate"/>
        </w:r>
        <w:r>
          <w:rPr>
            <w:noProof/>
            <w:webHidden/>
          </w:rPr>
          <w:t>17</w:t>
        </w:r>
        <w:r w:rsidR="00C95AE5">
          <w:rPr>
            <w:noProof/>
            <w:webHidden/>
          </w:rPr>
          <w:fldChar w:fldCharType="end"/>
        </w:r>
      </w:hyperlink>
    </w:p>
    <w:p w:rsidR="00C95AE5" w:rsidRDefault="000F43BD">
      <w:pPr>
        <w:pStyle w:val="TOC1"/>
        <w:rPr>
          <w:rFonts w:asciiTheme="minorHAnsi" w:eastAsiaTheme="minorEastAsia" w:hAnsiTheme="minorHAnsi" w:cstheme="minorBidi"/>
          <w:b w:val="0"/>
          <w:bCs w:val="0"/>
          <w:noProof/>
          <w:sz w:val="22"/>
          <w:szCs w:val="22"/>
          <w:lang w:eastAsia="en-AU"/>
        </w:rPr>
      </w:pPr>
      <w:hyperlink w:anchor="_Toc363640485" w:history="1">
        <w:r w:rsidR="00C95AE5" w:rsidRPr="007F0D80">
          <w:rPr>
            <w:rStyle w:val="Hyperlink"/>
            <w:noProof/>
          </w:rPr>
          <w:t>3</w:t>
        </w:r>
        <w:r w:rsidR="00C95AE5">
          <w:rPr>
            <w:rFonts w:asciiTheme="minorHAnsi" w:eastAsiaTheme="minorEastAsia" w:hAnsiTheme="minorHAnsi" w:cstheme="minorBidi"/>
            <w:b w:val="0"/>
            <w:bCs w:val="0"/>
            <w:noProof/>
            <w:sz w:val="22"/>
            <w:szCs w:val="22"/>
            <w:lang w:eastAsia="en-AU"/>
          </w:rPr>
          <w:tab/>
        </w:r>
        <w:r w:rsidR="00C95AE5" w:rsidRPr="007F0D80">
          <w:rPr>
            <w:rStyle w:val="Hyperlink"/>
            <w:noProof/>
          </w:rPr>
          <w:t>Use of actual or forecast depreciation</w:t>
        </w:r>
        <w:r w:rsidR="00C95AE5">
          <w:rPr>
            <w:noProof/>
            <w:webHidden/>
          </w:rPr>
          <w:tab/>
        </w:r>
        <w:r w:rsidR="00C95AE5">
          <w:rPr>
            <w:noProof/>
            <w:webHidden/>
          </w:rPr>
          <w:fldChar w:fldCharType="begin"/>
        </w:r>
        <w:r w:rsidR="00C95AE5">
          <w:rPr>
            <w:noProof/>
            <w:webHidden/>
          </w:rPr>
          <w:instrText xml:space="preserve"> PAGEREF _Toc363640485 \h </w:instrText>
        </w:r>
        <w:r w:rsidR="00C95AE5">
          <w:rPr>
            <w:noProof/>
            <w:webHidden/>
          </w:rPr>
        </w:r>
        <w:r w:rsidR="00C95AE5">
          <w:rPr>
            <w:noProof/>
            <w:webHidden/>
          </w:rPr>
          <w:fldChar w:fldCharType="separate"/>
        </w:r>
        <w:r>
          <w:rPr>
            <w:noProof/>
            <w:webHidden/>
          </w:rPr>
          <w:t>29</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86" w:history="1">
        <w:r w:rsidR="00C95AE5" w:rsidRPr="007F0D80">
          <w:rPr>
            <w:rStyle w:val="Hyperlink"/>
            <w:noProof/>
          </w:rPr>
          <w:t>3.1</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Issue</w:t>
        </w:r>
        <w:r w:rsidR="00C95AE5">
          <w:rPr>
            <w:noProof/>
            <w:webHidden/>
          </w:rPr>
          <w:tab/>
        </w:r>
        <w:r w:rsidR="00C95AE5">
          <w:rPr>
            <w:noProof/>
            <w:webHidden/>
          </w:rPr>
          <w:fldChar w:fldCharType="begin"/>
        </w:r>
        <w:r w:rsidR="00C95AE5">
          <w:rPr>
            <w:noProof/>
            <w:webHidden/>
          </w:rPr>
          <w:instrText xml:space="preserve"> PAGEREF _Toc363640486 \h </w:instrText>
        </w:r>
        <w:r w:rsidR="00C95AE5">
          <w:rPr>
            <w:noProof/>
            <w:webHidden/>
          </w:rPr>
        </w:r>
        <w:r w:rsidR="00C95AE5">
          <w:rPr>
            <w:noProof/>
            <w:webHidden/>
          </w:rPr>
          <w:fldChar w:fldCharType="separate"/>
        </w:r>
        <w:r>
          <w:rPr>
            <w:noProof/>
            <w:webHidden/>
          </w:rPr>
          <w:t>29</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87" w:history="1">
        <w:r w:rsidR="00C95AE5" w:rsidRPr="007F0D80">
          <w:rPr>
            <w:rStyle w:val="Hyperlink"/>
            <w:noProof/>
          </w:rPr>
          <w:t>3.2</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Proposed approach</w:t>
        </w:r>
        <w:r w:rsidR="00C95AE5">
          <w:rPr>
            <w:noProof/>
            <w:webHidden/>
          </w:rPr>
          <w:tab/>
        </w:r>
        <w:r w:rsidR="00C95AE5">
          <w:rPr>
            <w:noProof/>
            <w:webHidden/>
          </w:rPr>
          <w:fldChar w:fldCharType="begin"/>
        </w:r>
        <w:r w:rsidR="00C95AE5">
          <w:rPr>
            <w:noProof/>
            <w:webHidden/>
          </w:rPr>
          <w:instrText xml:space="preserve"> PAGEREF _Toc363640487 \h </w:instrText>
        </w:r>
        <w:r w:rsidR="00C95AE5">
          <w:rPr>
            <w:noProof/>
            <w:webHidden/>
          </w:rPr>
        </w:r>
        <w:r w:rsidR="00C95AE5">
          <w:rPr>
            <w:noProof/>
            <w:webHidden/>
          </w:rPr>
          <w:fldChar w:fldCharType="separate"/>
        </w:r>
        <w:r>
          <w:rPr>
            <w:noProof/>
            <w:webHidden/>
          </w:rPr>
          <w:t>31</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88" w:history="1">
        <w:r w:rsidR="00C95AE5" w:rsidRPr="007F0D80">
          <w:rPr>
            <w:rStyle w:val="Hyperlink"/>
            <w:noProof/>
          </w:rPr>
          <w:t>3.3</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Reasons for the proposed approach</w:t>
        </w:r>
        <w:r w:rsidR="00C95AE5">
          <w:rPr>
            <w:noProof/>
            <w:webHidden/>
          </w:rPr>
          <w:tab/>
        </w:r>
        <w:r w:rsidR="00C95AE5">
          <w:rPr>
            <w:noProof/>
            <w:webHidden/>
          </w:rPr>
          <w:fldChar w:fldCharType="begin"/>
        </w:r>
        <w:r w:rsidR="00C95AE5">
          <w:rPr>
            <w:noProof/>
            <w:webHidden/>
          </w:rPr>
          <w:instrText xml:space="preserve"> PAGEREF _Toc363640488 \h </w:instrText>
        </w:r>
        <w:r w:rsidR="00C95AE5">
          <w:rPr>
            <w:noProof/>
            <w:webHidden/>
          </w:rPr>
        </w:r>
        <w:r w:rsidR="00C95AE5">
          <w:rPr>
            <w:noProof/>
            <w:webHidden/>
          </w:rPr>
          <w:fldChar w:fldCharType="separate"/>
        </w:r>
        <w:r>
          <w:rPr>
            <w:noProof/>
            <w:webHidden/>
          </w:rPr>
          <w:t>31</w:t>
        </w:r>
        <w:r w:rsidR="00C95AE5">
          <w:rPr>
            <w:noProof/>
            <w:webHidden/>
          </w:rPr>
          <w:fldChar w:fldCharType="end"/>
        </w:r>
      </w:hyperlink>
    </w:p>
    <w:p w:rsidR="00C95AE5" w:rsidRDefault="000F43BD">
      <w:pPr>
        <w:pStyle w:val="TOC1"/>
        <w:rPr>
          <w:rFonts w:asciiTheme="minorHAnsi" w:eastAsiaTheme="minorEastAsia" w:hAnsiTheme="minorHAnsi" w:cstheme="minorBidi"/>
          <w:b w:val="0"/>
          <w:bCs w:val="0"/>
          <w:noProof/>
          <w:sz w:val="22"/>
          <w:szCs w:val="22"/>
          <w:lang w:eastAsia="en-AU"/>
        </w:rPr>
      </w:pPr>
      <w:hyperlink w:anchor="_Toc363640489" w:history="1">
        <w:r w:rsidR="00C95AE5" w:rsidRPr="007F0D80">
          <w:rPr>
            <w:rStyle w:val="Hyperlink"/>
            <w:noProof/>
          </w:rPr>
          <w:t>4</w:t>
        </w:r>
        <w:r w:rsidR="00C95AE5">
          <w:rPr>
            <w:rFonts w:asciiTheme="minorHAnsi" w:eastAsiaTheme="minorEastAsia" w:hAnsiTheme="minorHAnsi" w:cstheme="minorBidi"/>
            <w:b w:val="0"/>
            <w:bCs w:val="0"/>
            <w:noProof/>
            <w:sz w:val="22"/>
            <w:szCs w:val="22"/>
            <w:lang w:eastAsia="en-AU"/>
          </w:rPr>
          <w:tab/>
        </w:r>
        <w:r w:rsidR="00C95AE5" w:rsidRPr="007F0D80">
          <w:rPr>
            <w:rStyle w:val="Hyperlink"/>
            <w:noProof/>
          </w:rPr>
          <w:t>Ex post measures</w:t>
        </w:r>
        <w:r w:rsidR="00C95AE5">
          <w:rPr>
            <w:noProof/>
            <w:webHidden/>
          </w:rPr>
          <w:tab/>
        </w:r>
        <w:r w:rsidR="00C95AE5">
          <w:rPr>
            <w:noProof/>
            <w:webHidden/>
          </w:rPr>
          <w:fldChar w:fldCharType="begin"/>
        </w:r>
        <w:r w:rsidR="00C95AE5">
          <w:rPr>
            <w:noProof/>
            <w:webHidden/>
          </w:rPr>
          <w:instrText xml:space="preserve"> PAGEREF _Toc363640489 \h </w:instrText>
        </w:r>
        <w:r w:rsidR="00C95AE5">
          <w:rPr>
            <w:noProof/>
            <w:webHidden/>
          </w:rPr>
        </w:r>
        <w:r w:rsidR="00C95AE5">
          <w:rPr>
            <w:noProof/>
            <w:webHidden/>
          </w:rPr>
          <w:fldChar w:fldCharType="separate"/>
        </w:r>
        <w:r>
          <w:rPr>
            <w:noProof/>
            <w:webHidden/>
          </w:rPr>
          <w:t>33</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90" w:history="1">
        <w:r w:rsidR="00C95AE5" w:rsidRPr="007F0D80">
          <w:rPr>
            <w:rStyle w:val="Hyperlink"/>
            <w:noProof/>
          </w:rPr>
          <w:t>4.1</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Issue</w:t>
        </w:r>
        <w:r w:rsidR="00C95AE5">
          <w:rPr>
            <w:noProof/>
            <w:webHidden/>
          </w:rPr>
          <w:tab/>
        </w:r>
        <w:r w:rsidR="00C95AE5">
          <w:rPr>
            <w:noProof/>
            <w:webHidden/>
          </w:rPr>
          <w:fldChar w:fldCharType="begin"/>
        </w:r>
        <w:r w:rsidR="00C95AE5">
          <w:rPr>
            <w:noProof/>
            <w:webHidden/>
          </w:rPr>
          <w:instrText xml:space="preserve"> PAGEREF _Toc363640490 \h </w:instrText>
        </w:r>
        <w:r w:rsidR="00C95AE5">
          <w:rPr>
            <w:noProof/>
            <w:webHidden/>
          </w:rPr>
        </w:r>
        <w:r w:rsidR="00C95AE5">
          <w:rPr>
            <w:noProof/>
            <w:webHidden/>
          </w:rPr>
          <w:fldChar w:fldCharType="separate"/>
        </w:r>
        <w:r>
          <w:rPr>
            <w:noProof/>
            <w:webHidden/>
          </w:rPr>
          <w:t>33</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91" w:history="1">
        <w:r w:rsidR="00C95AE5" w:rsidRPr="007F0D80">
          <w:rPr>
            <w:rStyle w:val="Hyperlink"/>
            <w:noProof/>
          </w:rPr>
          <w:t>4.2</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Proposed approach</w:t>
        </w:r>
        <w:r w:rsidR="00C95AE5">
          <w:rPr>
            <w:noProof/>
            <w:webHidden/>
          </w:rPr>
          <w:tab/>
        </w:r>
        <w:r w:rsidR="00C95AE5">
          <w:rPr>
            <w:noProof/>
            <w:webHidden/>
          </w:rPr>
          <w:fldChar w:fldCharType="begin"/>
        </w:r>
        <w:r w:rsidR="00C95AE5">
          <w:rPr>
            <w:noProof/>
            <w:webHidden/>
          </w:rPr>
          <w:instrText xml:space="preserve"> PAGEREF _Toc363640491 \h </w:instrText>
        </w:r>
        <w:r w:rsidR="00C95AE5">
          <w:rPr>
            <w:noProof/>
            <w:webHidden/>
          </w:rPr>
        </w:r>
        <w:r w:rsidR="00C95AE5">
          <w:rPr>
            <w:noProof/>
            <w:webHidden/>
          </w:rPr>
          <w:fldChar w:fldCharType="separate"/>
        </w:r>
        <w:r>
          <w:rPr>
            <w:noProof/>
            <w:webHidden/>
          </w:rPr>
          <w:t>33</w:t>
        </w:r>
        <w:r w:rsidR="00C95AE5">
          <w:rPr>
            <w:noProof/>
            <w:webHidden/>
          </w:rPr>
          <w:fldChar w:fldCharType="end"/>
        </w:r>
      </w:hyperlink>
    </w:p>
    <w:p w:rsidR="00C95AE5" w:rsidRDefault="000F43B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3640492" w:history="1">
        <w:r w:rsidR="00C95AE5" w:rsidRPr="007F0D80">
          <w:rPr>
            <w:rStyle w:val="Hyperlink"/>
            <w:noProof/>
          </w:rPr>
          <w:t>4.3</w:t>
        </w:r>
        <w:r w:rsidR="00C95AE5">
          <w:rPr>
            <w:rFonts w:asciiTheme="minorHAnsi" w:eastAsiaTheme="minorEastAsia" w:hAnsiTheme="minorHAnsi" w:cstheme="minorBidi"/>
            <w:iCs w:val="0"/>
            <w:noProof/>
            <w:sz w:val="22"/>
            <w:szCs w:val="22"/>
            <w:lang w:eastAsia="en-AU"/>
          </w:rPr>
          <w:tab/>
        </w:r>
        <w:r w:rsidR="00C95AE5" w:rsidRPr="007F0D80">
          <w:rPr>
            <w:rStyle w:val="Hyperlink"/>
            <w:noProof/>
          </w:rPr>
          <w:t>Reasons for the proposed approach</w:t>
        </w:r>
        <w:r w:rsidR="00C95AE5">
          <w:rPr>
            <w:noProof/>
            <w:webHidden/>
          </w:rPr>
          <w:tab/>
        </w:r>
        <w:r w:rsidR="00C95AE5">
          <w:rPr>
            <w:noProof/>
            <w:webHidden/>
          </w:rPr>
          <w:fldChar w:fldCharType="begin"/>
        </w:r>
        <w:r w:rsidR="00C95AE5">
          <w:rPr>
            <w:noProof/>
            <w:webHidden/>
          </w:rPr>
          <w:instrText xml:space="preserve"> PAGEREF _Toc363640492 \h </w:instrText>
        </w:r>
        <w:r w:rsidR="00C95AE5">
          <w:rPr>
            <w:noProof/>
            <w:webHidden/>
          </w:rPr>
        </w:r>
        <w:r w:rsidR="00C95AE5">
          <w:rPr>
            <w:noProof/>
            <w:webHidden/>
          </w:rPr>
          <w:fldChar w:fldCharType="separate"/>
        </w:r>
        <w:r>
          <w:rPr>
            <w:noProof/>
            <w:webHidden/>
          </w:rPr>
          <w:t>36</w:t>
        </w:r>
        <w:r w:rsidR="00C95AE5">
          <w:rPr>
            <w:noProof/>
            <w:webHidden/>
          </w:rPr>
          <w:fldChar w:fldCharType="end"/>
        </w:r>
      </w:hyperlink>
    </w:p>
    <w:p w:rsidR="00C95AE5" w:rsidRDefault="000F43BD">
      <w:pPr>
        <w:pStyle w:val="TOC1"/>
        <w:rPr>
          <w:rFonts w:asciiTheme="minorHAnsi" w:eastAsiaTheme="minorEastAsia" w:hAnsiTheme="minorHAnsi" w:cstheme="minorBidi"/>
          <w:b w:val="0"/>
          <w:bCs w:val="0"/>
          <w:noProof/>
          <w:sz w:val="22"/>
          <w:szCs w:val="22"/>
          <w:lang w:eastAsia="en-AU"/>
        </w:rPr>
      </w:pPr>
      <w:hyperlink w:anchor="_Toc363640493" w:history="1">
        <w:r w:rsidR="00C95AE5" w:rsidRPr="007F0D80">
          <w:rPr>
            <w:rStyle w:val="Hyperlink"/>
            <w:noProof/>
          </w:rPr>
          <w:t>A</w:t>
        </w:r>
        <w:r w:rsidR="00C95AE5">
          <w:rPr>
            <w:rFonts w:asciiTheme="minorHAnsi" w:eastAsiaTheme="minorEastAsia" w:hAnsiTheme="minorHAnsi" w:cstheme="minorBidi"/>
            <w:b w:val="0"/>
            <w:bCs w:val="0"/>
            <w:noProof/>
            <w:sz w:val="22"/>
            <w:szCs w:val="22"/>
            <w:lang w:eastAsia="en-AU"/>
          </w:rPr>
          <w:tab/>
        </w:r>
        <w:r w:rsidR="00C95AE5" w:rsidRPr="007F0D80">
          <w:rPr>
            <w:rStyle w:val="Hyperlink"/>
            <w:noProof/>
          </w:rPr>
          <w:t>Transitional arrangements for the guidelines</w:t>
        </w:r>
        <w:r w:rsidR="00C95AE5">
          <w:rPr>
            <w:noProof/>
            <w:webHidden/>
          </w:rPr>
          <w:tab/>
        </w:r>
        <w:r w:rsidR="00C95AE5">
          <w:rPr>
            <w:noProof/>
            <w:webHidden/>
          </w:rPr>
          <w:fldChar w:fldCharType="begin"/>
        </w:r>
        <w:r w:rsidR="00C95AE5">
          <w:rPr>
            <w:noProof/>
            <w:webHidden/>
          </w:rPr>
          <w:instrText xml:space="preserve"> PAGEREF _Toc363640493 \h </w:instrText>
        </w:r>
        <w:r w:rsidR="00C95AE5">
          <w:rPr>
            <w:noProof/>
            <w:webHidden/>
          </w:rPr>
        </w:r>
        <w:r w:rsidR="00C95AE5">
          <w:rPr>
            <w:noProof/>
            <w:webHidden/>
          </w:rPr>
          <w:fldChar w:fldCharType="separate"/>
        </w:r>
        <w:r>
          <w:rPr>
            <w:noProof/>
            <w:webHidden/>
          </w:rPr>
          <w:t>41</w:t>
        </w:r>
        <w:r w:rsidR="00C95AE5">
          <w:rPr>
            <w:noProof/>
            <w:webHidden/>
          </w:rPr>
          <w:fldChar w:fldCharType="end"/>
        </w:r>
      </w:hyperlink>
    </w:p>
    <w:p w:rsidR="00C95AE5" w:rsidRDefault="000F43BD">
      <w:pPr>
        <w:pStyle w:val="TOC2"/>
        <w:tabs>
          <w:tab w:val="right" w:leader="dot" w:pos="9016"/>
        </w:tabs>
        <w:rPr>
          <w:rFonts w:asciiTheme="minorHAnsi" w:eastAsiaTheme="minorEastAsia" w:hAnsiTheme="minorHAnsi" w:cstheme="minorBidi"/>
          <w:iCs w:val="0"/>
          <w:noProof/>
          <w:sz w:val="22"/>
          <w:szCs w:val="22"/>
          <w:lang w:eastAsia="en-AU"/>
        </w:rPr>
      </w:pPr>
      <w:hyperlink w:anchor="_Toc363640494" w:history="1">
        <w:r w:rsidR="00C95AE5" w:rsidRPr="007F0D80">
          <w:rPr>
            <w:rStyle w:val="Hyperlink"/>
            <w:noProof/>
          </w:rPr>
          <w:t>Transitional groups</w:t>
        </w:r>
        <w:r w:rsidR="00C95AE5">
          <w:rPr>
            <w:noProof/>
            <w:webHidden/>
          </w:rPr>
          <w:tab/>
        </w:r>
        <w:r w:rsidR="00C95AE5">
          <w:rPr>
            <w:noProof/>
            <w:webHidden/>
          </w:rPr>
          <w:fldChar w:fldCharType="begin"/>
        </w:r>
        <w:r w:rsidR="00C95AE5">
          <w:rPr>
            <w:noProof/>
            <w:webHidden/>
          </w:rPr>
          <w:instrText xml:space="preserve"> PAGEREF _Toc363640494 \h </w:instrText>
        </w:r>
        <w:r w:rsidR="00C95AE5">
          <w:rPr>
            <w:noProof/>
            <w:webHidden/>
          </w:rPr>
        </w:r>
        <w:r w:rsidR="00C95AE5">
          <w:rPr>
            <w:noProof/>
            <w:webHidden/>
          </w:rPr>
          <w:fldChar w:fldCharType="separate"/>
        </w:r>
        <w:r>
          <w:rPr>
            <w:noProof/>
            <w:webHidden/>
          </w:rPr>
          <w:t>41</w:t>
        </w:r>
        <w:r w:rsidR="00C95AE5">
          <w:rPr>
            <w:noProof/>
            <w:webHidden/>
          </w:rPr>
          <w:fldChar w:fldCharType="end"/>
        </w:r>
      </w:hyperlink>
    </w:p>
    <w:p w:rsidR="00C95AE5" w:rsidRDefault="000F43BD">
      <w:pPr>
        <w:pStyle w:val="TOC2"/>
        <w:tabs>
          <w:tab w:val="right" w:leader="dot" w:pos="9016"/>
        </w:tabs>
        <w:rPr>
          <w:rFonts w:asciiTheme="minorHAnsi" w:eastAsiaTheme="minorEastAsia" w:hAnsiTheme="minorHAnsi" w:cstheme="minorBidi"/>
          <w:iCs w:val="0"/>
          <w:noProof/>
          <w:sz w:val="22"/>
          <w:szCs w:val="22"/>
          <w:lang w:eastAsia="en-AU"/>
        </w:rPr>
      </w:pPr>
      <w:hyperlink w:anchor="_Toc363640495" w:history="1">
        <w:r w:rsidR="00C95AE5" w:rsidRPr="007F0D80">
          <w:rPr>
            <w:rStyle w:val="Hyperlink"/>
            <w:noProof/>
          </w:rPr>
          <w:t>Application of the Capital Expenditure Sharing Scheme</w:t>
        </w:r>
        <w:r w:rsidR="00C95AE5">
          <w:rPr>
            <w:noProof/>
            <w:webHidden/>
          </w:rPr>
          <w:tab/>
        </w:r>
        <w:r w:rsidR="00C95AE5">
          <w:rPr>
            <w:noProof/>
            <w:webHidden/>
          </w:rPr>
          <w:fldChar w:fldCharType="begin"/>
        </w:r>
        <w:r w:rsidR="00C95AE5">
          <w:rPr>
            <w:noProof/>
            <w:webHidden/>
          </w:rPr>
          <w:instrText xml:space="preserve"> PAGEREF _Toc363640495 \h </w:instrText>
        </w:r>
        <w:r w:rsidR="00C95AE5">
          <w:rPr>
            <w:noProof/>
            <w:webHidden/>
          </w:rPr>
        </w:r>
        <w:r w:rsidR="00C95AE5">
          <w:rPr>
            <w:noProof/>
            <w:webHidden/>
          </w:rPr>
          <w:fldChar w:fldCharType="separate"/>
        </w:r>
        <w:r>
          <w:rPr>
            <w:noProof/>
            <w:webHidden/>
          </w:rPr>
          <w:t>41</w:t>
        </w:r>
        <w:r w:rsidR="00C95AE5">
          <w:rPr>
            <w:noProof/>
            <w:webHidden/>
          </w:rPr>
          <w:fldChar w:fldCharType="end"/>
        </w:r>
      </w:hyperlink>
    </w:p>
    <w:p w:rsidR="00C95AE5" w:rsidRDefault="000F43BD">
      <w:pPr>
        <w:pStyle w:val="TOC2"/>
        <w:tabs>
          <w:tab w:val="right" w:leader="dot" w:pos="9016"/>
        </w:tabs>
        <w:rPr>
          <w:rFonts w:asciiTheme="minorHAnsi" w:eastAsiaTheme="minorEastAsia" w:hAnsiTheme="minorHAnsi" w:cstheme="minorBidi"/>
          <w:iCs w:val="0"/>
          <w:noProof/>
          <w:sz w:val="22"/>
          <w:szCs w:val="22"/>
          <w:lang w:eastAsia="en-AU"/>
        </w:rPr>
      </w:pPr>
      <w:hyperlink w:anchor="_Toc363640496" w:history="1">
        <w:r w:rsidR="00C95AE5" w:rsidRPr="007F0D80">
          <w:rPr>
            <w:rStyle w:val="Hyperlink"/>
            <w:noProof/>
          </w:rPr>
          <w:t>Depreciation approach</w:t>
        </w:r>
        <w:r w:rsidR="00C95AE5">
          <w:rPr>
            <w:noProof/>
            <w:webHidden/>
          </w:rPr>
          <w:tab/>
        </w:r>
        <w:r w:rsidR="00C95AE5">
          <w:rPr>
            <w:noProof/>
            <w:webHidden/>
          </w:rPr>
          <w:fldChar w:fldCharType="begin"/>
        </w:r>
        <w:r w:rsidR="00C95AE5">
          <w:rPr>
            <w:noProof/>
            <w:webHidden/>
          </w:rPr>
          <w:instrText xml:space="preserve"> PAGEREF _Toc363640496 \h </w:instrText>
        </w:r>
        <w:r w:rsidR="00C95AE5">
          <w:rPr>
            <w:noProof/>
            <w:webHidden/>
          </w:rPr>
        </w:r>
        <w:r w:rsidR="00C95AE5">
          <w:rPr>
            <w:noProof/>
            <w:webHidden/>
          </w:rPr>
          <w:fldChar w:fldCharType="separate"/>
        </w:r>
        <w:r>
          <w:rPr>
            <w:noProof/>
            <w:webHidden/>
          </w:rPr>
          <w:t>42</w:t>
        </w:r>
        <w:r w:rsidR="00C95AE5">
          <w:rPr>
            <w:noProof/>
            <w:webHidden/>
          </w:rPr>
          <w:fldChar w:fldCharType="end"/>
        </w:r>
      </w:hyperlink>
    </w:p>
    <w:p w:rsidR="00C95AE5" w:rsidRDefault="000F43BD">
      <w:pPr>
        <w:pStyle w:val="TOC2"/>
        <w:tabs>
          <w:tab w:val="right" w:leader="dot" w:pos="9016"/>
        </w:tabs>
        <w:rPr>
          <w:rFonts w:asciiTheme="minorHAnsi" w:eastAsiaTheme="minorEastAsia" w:hAnsiTheme="minorHAnsi" w:cstheme="minorBidi"/>
          <w:iCs w:val="0"/>
          <w:noProof/>
          <w:sz w:val="22"/>
          <w:szCs w:val="22"/>
          <w:lang w:eastAsia="en-AU"/>
        </w:rPr>
      </w:pPr>
      <w:hyperlink w:anchor="_Toc363640497" w:history="1">
        <w:r w:rsidR="00C95AE5" w:rsidRPr="007F0D80">
          <w:rPr>
            <w:rStyle w:val="Hyperlink"/>
            <w:noProof/>
          </w:rPr>
          <w:t>Ex post review</w:t>
        </w:r>
        <w:r w:rsidR="00C95AE5">
          <w:rPr>
            <w:noProof/>
            <w:webHidden/>
          </w:rPr>
          <w:tab/>
        </w:r>
        <w:r w:rsidR="00C95AE5">
          <w:rPr>
            <w:noProof/>
            <w:webHidden/>
          </w:rPr>
          <w:fldChar w:fldCharType="begin"/>
        </w:r>
        <w:r w:rsidR="00C95AE5">
          <w:rPr>
            <w:noProof/>
            <w:webHidden/>
          </w:rPr>
          <w:instrText xml:space="preserve"> PAGEREF _Toc363640497 \h </w:instrText>
        </w:r>
        <w:r w:rsidR="00C95AE5">
          <w:rPr>
            <w:noProof/>
            <w:webHidden/>
          </w:rPr>
        </w:r>
        <w:r w:rsidR="00C95AE5">
          <w:rPr>
            <w:noProof/>
            <w:webHidden/>
          </w:rPr>
          <w:fldChar w:fldCharType="separate"/>
        </w:r>
        <w:r>
          <w:rPr>
            <w:noProof/>
            <w:webHidden/>
          </w:rPr>
          <w:t>42</w:t>
        </w:r>
        <w:r w:rsidR="00C95AE5">
          <w:rPr>
            <w:noProof/>
            <w:webHidden/>
          </w:rPr>
          <w:fldChar w:fldCharType="end"/>
        </w:r>
      </w:hyperlink>
    </w:p>
    <w:p w:rsidR="00C95AE5" w:rsidRDefault="000F43BD">
      <w:pPr>
        <w:pStyle w:val="TOC1"/>
        <w:rPr>
          <w:rFonts w:asciiTheme="minorHAnsi" w:eastAsiaTheme="minorEastAsia" w:hAnsiTheme="minorHAnsi" w:cstheme="minorBidi"/>
          <w:b w:val="0"/>
          <w:bCs w:val="0"/>
          <w:noProof/>
          <w:sz w:val="22"/>
          <w:szCs w:val="22"/>
          <w:lang w:eastAsia="en-AU"/>
        </w:rPr>
      </w:pPr>
      <w:hyperlink w:anchor="_Toc363640498" w:history="1">
        <w:r w:rsidR="00C95AE5" w:rsidRPr="007F0D80">
          <w:rPr>
            <w:rStyle w:val="Hyperlink"/>
            <w:noProof/>
          </w:rPr>
          <w:t>B</w:t>
        </w:r>
        <w:r w:rsidR="00C95AE5">
          <w:rPr>
            <w:rFonts w:asciiTheme="minorHAnsi" w:eastAsiaTheme="minorEastAsia" w:hAnsiTheme="minorHAnsi" w:cstheme="minorBidi"/>
            <w:b w:val="0"/>
            <w:bCs w:val="0"/>
            <w:noProof/>
            <w:sz w:val="22"/>
            <w:szCs w:val="22"/>
            <w:lang w:eastAsia="en-AU"/>
          </w:rPr>
          <w:tab/>
        </w:r>
        <w:r w:rsidR="00C95AE5" w:rsidRPr="007F0D80">
          <w:rPr>
            <w:rStyle w:val="Hyperlink"/>
            <w:noProof/>
          </w:rPr>
          <w:t>Relevant parts of the rules</w:t>
        </w:r>
        <w:r w:rsidR="00C95AE5">
          <w:rPr>
            <w:noProof/>
            <w:webHidden/>
          </w:rPr>
          <w:tab/>
        </w:r>
        <w:r w:rsidR="00C95AE5">
          <w:rPr>
            <w:noProof/>
            <w:webHidden/>
          </w:rPr>
          <w:fldChar w:fldCharType="begin"/>
        </w:r>
        <w:r w:rsidR="00C95AE5">
          <w:rPr>
            <w:noProof/>
            <w:webHidden/>
          </w:rPr>
          <w:instrText xml:space="preserve"> PAGEREF _Toc363640498 \h </w:instrText>
        </w:r>
        <w:r w:rsidR="00C95AE5">
          <w:rPr>
            <w:noProof/>
            <w:webHidden/>
          </w:rPr>
        </w:r>
        <w:r w:rsidR="00C95AE5">
          <w:rPr>
            <w:noProof/>
            <w:webHidden/>
          </w:rPr>
          <w:fldChar w:fldCharType="separate"/>
        </w:r>
        <w:r>
          <w:rPr>
            <w:noProof/>
            <w:webHidden/>
          </w:rPr>
          <w:t>43</w:t>
        </w:r>
        <w:r w:rsidR="00C95AE5">
          <w:rPr>
            <w:noProof/>
            <w:webHidden/>
          </w:rPr>
          <w:fldChar w:fldCharType="end"/>
        </w:r>
      </w:hyperlink>
    </w:p>
    <w:p w:rsidR="00C95AE5" w:rsidRDefault="000F43BD">
      <w:pPr>
        <w:pStyle w:val="TOC1"/>
        <w:rPr>
          <w:rFonts w:asciiTheme="minorHAnsi" w:eastAsiaTheme="minorEastAsia" w:hAnsiTheme="minorHAnsi" w:cstheme="minorBidi"/>
          <w:b w:val="0"/>
          <w:bCs w:val="0"/>
          <w:noProof/>
          <w:sz w:val="22"/>
          <w:szCs w:val="22"/>
          <w:lang w:eastAsia="en-AU"/>
        </w:rPr>
      </w:pPr>
      <w:hyperlink w:anchor="_Toc363640499" w:history="1">
        <w:r w:rsidR="00C95AE5" w:rsidRPr="007F0D80">
          <w:rPr>
            <w:rStyle w:val="Hyperlink"/>
            <w:noProof/>
          </w:rPr>
          <w:t>C</w:t>
        </w:r>
        <w:r w:rsidR="00C95AE5">
          <w:rPr>
            <w:rFonts w:asciiTheme="minorHAnsi" w:eastAsiaTheme="minorEastAsia" w:hAnsiTheme="minorHAnsi" w:cstheme="minorBidi"/>
            <w:b w:val="0"/>
            <w:bCs w:val="0"/>
            <w:noProof/>
            <w:sz w:val="22"/>
            <w:szCs w:val="22"/>
            <w:lang w:eastAsia="en-AU"/>
          </w:rPr>
          <w:tab/>
        </w:r>
        <w:r w:rsidR="00C95AE5" w:rsidRPr="007F0D80">
          <w:rPr>
            <w:rStyle w:val="Hyperlink"/>
            <w:noProof/>
          </w:rPr>
          <w:t>Example of how the CESS works alongside an ex post exclusion</w:t>
        </w:r>
        <w:r w:rsidR="00C95AE5">
          <w:rPr>
            <w:noProof/>
            <w:webHidden/>
          </w:rPr>
          <w:tab/>
        </w:r>
        <w:r w:rsidR="00C95AE5">
          <w:rPr>
            <w:noProof/>
            <w:webHidden/>
          </w:rPr>
          <w:fldChar w:fldCharType="begin"/>
        </w:r>
        <w:r w:rsidR="00C95AE5">
          <w:rPr>
            <w:noProof/>
            <w:webHidden/>
          </w:rPr>
          <w:instrText xml:space="preserve"> PAGEREF _Toc363640499 \h </w:instrText>
        </w:r>
        <w:r w:rsidR="00C95AE5">
          <w:rPr>
            <w:noProof/>
            <w:webHidden/>
          </w:rPr>
        </w:r>
        <w:r w:rsidR="00C95AE5">
          <w:rPr>
            <w:noProof/>
            <w:webHidden/>
          </w:rPr>
          <w:fldChar w:fldCharType="separate"/>
        </w:r>
        <w:r>
          <w:rPr>
            <w:noProof/>
            <w:webHidden/>
          </w:rPr>
          <w:t>47</w:t>
        </w:r>
        <w:r w:rsidR="00C95AE5">
          <w:rPr>
            <w:noProof/>
            <w:webHidden/>
          </w:rPr>
          <w:fldChar w:fldCharType="end"/>
        </w:r>
      </w:hyperlink>
    </w:p>
    <w:p w:rsidR="00C95AE5" w:rsidRDefault="000F43BD">
      <w:pPr>
        <w:pStyle w:val="TOC1"/>
        <w:rPr>
          <w:rFonts w:asciiTheme="minorHAnsi" w:eastAsiaTheme="minorEastAsia" w:hAnsiTheme="minorHAnsi" w:cstheme="minorBidi"/>
          <w:b w:val="0"/>
          <w:bCs w:val="0"/>
          <w:noProof/>
          <w:sz w:val="22"/>
          <w:szCs w:val="22"/>
          <w:lang w:eastAsia="en-AU"/>
        </w:rPr>
      </w:pPr>
      <w:hyperlink w:anchor="_Toc363640500" w:history="1">
        <w:r w:rsidR="00C95AE5" w:rsidRPr="007F0D80">
          <w:rPr>
            <w:rStyle w:val="Hyperlink"/>
            <w:noProof/>
          </w:rPr>
          <w:t>D</w:t>
        </w:r>
        <w:r w:rsidR="00C95AE5">
          <w:rPr>
            <w:rFonts w:asciiTheme="minorHAnsi" w:eastAsiaTheme="minorEastAsia" w:hAnsiTheme="minorHAnsi" w:cstheme="minorBidi"/>
            <w:b w:val="0"/>
            <w:bCs w:val="0"/>
            <w:noProof/>
            <w:sz w:val="22"/>
            <w:szCs w:val="22"/>
            <w:lang w:eastAsia="en-AU"/>
          </w:rPr>
          <w:tab/>
        </w:r>
        <w:r w:rsidR="00C95AE5" w:rsidRPr="007F0D80">
          <w:rPr>
            <w:rStyle w:val="Hyperlink"/>
            <w:noProof/>
          </w:rPr>
          <w:t>Summary of submissions</w:t>
        </w:r>
        <w:r w:rsidR="00C95AE5">
          <w:rPr>
            <w:noProof/>
            <w:webHidden/>
          </w:rPr>
          <w:tab/>
        </w:r>
        <w:r w:rsidR="00C95AE5">
          <w:rPr>
            <w:noProof/>
            <w:webHidden/>
          </w:rPr>
          <w:fldChar w:fldCharType="begin"/>
        </w:r>
        <w:r w:rsidR="00C95AE5">
          <w:rPr>
            <w:noProof/>
            <w:webHidden/>
          </w:rPr>
          <w:instrText xml:space="preserve"> PAGEREF _Toc363640500 \h </w:instrText>
        </w:r>
        <w:r w:rsidR="00C95AE5">
          <w:rPr>
            <w:noProof/>
            <w:webHidden/>
          </w:rPr>
        </w:r>
        <w:r w:rsidR="00C95AE5">
          <w:rPr>
            <w:noProof/>
            <w:webHidden/>
          </w:rPr>
          <w:fldChar w:fldCharType="separate"/>
        </w:r>
        <w:r>
          <w:rPr>
            <w:noProof/>
            <w:webHidden/>
          </w:rPr>
          <w:t>52</w:t>
        </w:r>
        <w:r w:rsidR="00C95AE5">
          <w:rPr>
            <w:noProof/>
            <w:webHidden/>
          </w:rPr>
          <w:fldChar w:fldCharType="end"/>
        </w:r>
      </w:hyperlink>
    </w:p>
    <w:p w:rsidR="009F7CE4" w:rsidRDefault="00904178" w:rsidP="00D03A71">
      <w:pPr>
        <w:pStyle w:val="Heading1"/>
        <w:numPr>
          <w:ilvl w:val="0"/>
          <w:numId w:val="0"/>
        </w:numPr>
      </w:pPr>
      <w:r>
        <w:fldChar w:fldCharType="end"/>
      </w:r>
      <w:bookmarkStart w:id="4" w:name="_Toc363640469"/>
      <w:r w:rsidR="00F22D7D">
        <w:t xml:space="preserve">Executive </w:t>
      </w:r>
      <w:r w:rsidR="009C1826">
        <w:t>Summary</w:t>
      </w:r>
      <w:bookmarkEnd w:id="4"/>
    </w:p>
    <w:p w:rsidR="00750408" w:rsidRPr="00D43C98" w:rsidRDefault="000F43BD" w:rsidP="00D43C98">
      <w:pPr>
        <w:pStyle w:val="AERbodytext"/>
      </w:pPr>
      <w:r>
        <w:rPr>
          <w:lang w:val="en-US" w:eastAsia="zh-TW"/>
        </w:rPr>
        <w:pict>
          <v:rect id="_x0000_s1030" style="position:absolute;left:0;text-align:left;margin-left:313.5pt;margin-top:151.5pt;width:147pt;height:233.75pt;rotation:-360;z-index:251660288;mso-position-horizontal-relative:margin;mso-position-vertical-relative:page" o:allowincell="f" fillcolor="#a7bfde [1620]" stroked="f">
            <v:fill opacity="13107f"/>
            <v:imagedata embosscolor="shadow add(51)"/>
            <v:shadow on="t" color="#d4cfb3 [2734]" opacity=".5" offset="7pt,-6pt" offset2="2pt"/>
            <v:textbox style="mso-next-textbox:#_x0000_s1030" inset="28.8pt,7.2pt,14.4pt,28.8pt">
              <w:txbxContent>
                <w:p w:rsidR="00CC1485" w:rsidRPr="0060716C" w:rsidRDefault="00CC1485" w:rsidP="00750408">
                  <w:pPr>
                    <w:pStyle w:val="AERtabletextleft"/>
                    <w:rPr>
                      <w:rStyle w:val="AERtextbold"/>
                    </w:rPr>
                  </w:pPr>
                  <w:r w:rsidRPr="0060716C">
                    <w:rPr>
                      <w:rStyle w:val="AERtextbold"/>
                    </w:rPr>
                    <w:t xml:space="preserve">National </w:t>
                  </w:r>
                  <w:r>
                    <w:rPr>
                      <w:rStyle w:val="AERtextbold"/>
                    </w:rPr>
                    <w:t>e</w:t>
                  </w:r>
                  <w:r w:rsidRPr="0060716C">
                    <w:rPr>
                      <w:rStyle w:val="AERtextbold"/>
                    </w:rPr>
                    <w:t>lectricity</w:t>
                  </w:r>
                  <w:r>
                    <w:rPr>
                      <w:rStyle w:val="AERtextbold"/>
                    </w:rPr>
                    <w:t xml:space="preserve"> and gas</w:t>
                  </w:r>
                  <w:r w:rsidRPr="0060716C">
                    <w:rPr>
                      <w:rStyle w:val="AERtextbold"/>
                    </w:rPr>
                    <w:t xml:space="preserve"> </w:t>
                  </w:r>
                  <w:r>
                    <w:rPr>
                      <w:rStyle w:val="AERtextbold"/>
                    </w:rPr>
                    <w:t>objectives</w:t>
                  </w:r>
                </w:p>
                <w:p w:rsidR="00CC1485" w:rsidRPr="0060716C" w:rsidRDefault="00CC1485" w:rsidP="00750408">
                  <w:pPr>
                    <w:pStyle w:val="AERtabletextleft"/>
                  </w:pPr>
                  <w:r w:rsidRPr="0060716C">
                    <w:t>The objective of th</w:t>
                  </w:r>
                  <w:r>
                    <w:t xml:space="preserve">e Electricity and Gas </w:t>
                  </w:r>
                  <w:r w:rsidRPr="0060716C">
                    <w:t>Law</w:t>
                  </w:r>
                  <w:r>
                    <w:t>s</w:t>
                  </w:r>
                  <w:r w:rsidRPr="0060716C">
                    <w:t xml:space="preserve"> is to promote efficient investment in, and efficient operation and use of, </w:t>
                  </w:r>
                  <w:r>
                    <w:t xml:space="preserve">energy </w:t>
                  </w:r>
                  <w:r w:rsidRPr="0060716C">
                    <w:t xml:space="preserve">services for the long term interests of consumers of </w:t>
                  </w:r>
                  <w:r>
                    <w:t>energy</w:t>
                  </w:r>
                  <w:r w:rsidRPr="0060716C">
                    <w:t xml:space="preserve"> with respect to—</w:t>
                  </w:r>
                </w:p>
                <w:p w:rsidR="00CC1485" w:rsidRPr="0060716C" w:rsidRDefault="00CC1485" w:rsidP="00750408">
                  <w:pPr>
                    <w:pStyle w:val="AERtabletextleft"/>
                  </w:pPr>
                  <w:r w:rsidRPr="0060716C">
                    <w:t xml:space="preserve">(a) price, quality, safety, reliability and security of supply of </w:t>
                  </w:r>
                  <w:r>
                    <w:t>energy</w:t>
                  </w:r>
                  <w:r w:rsidRPr="0060716C">
                    <w:t>; and</w:t>
                  </w:r>
                </w:p>
                <w:p w:rsidR="00CC1485" w:rsidRDefault="00CC1485" w:rsidP="00D03A71">
                  <w:pPr>
                    <w:pStyle w:val="AERtabletextleft"/>
                    <w:rPr>
                      <w:i/>
                      <w:iCs/>
                      <w:color w:val="1F497D" w:themeColor="text2"/>
                      <w:sz w:val="28"/>
                      <w:szCs w:val="28"/>
                    </w:rPr>
                  </w:pPr>
                  <w:r w:rsidRPr="0060716C">
                    <w:t xml:space="preserve">(b) </w:t>
                  </w:r>
                  <w:proofErr w:type="gramStart"/>
                  <w:r w:rsidRPr="0060716C">
                    <w:t>the</w:t>
                  </w:r>
                  <w:proofErr w:type="gramEnd"/>
                  <w:r w:rsidRPr="0060716C">
                    <w:t xml:space="preserve"> reliability, safety and security of the national </w:t>
                  </w:r>
                  <w:r>
                    <w:t xml:space="preserve">energy </w:t>
                  </w:r>
                  <w:r w:rsidRPr="0060716C">
                    <w:t>system</w:t>
                  </w:r>
                  <w:r>
                    <w:t>s</w:t>
                  </w:r>
                  <w:r w:rsidRPr="0060716C">
                    <w:t>.</w:t>
                  </w:r>
                </w:p>
              </w:txbxContent>
            </v:textbox>
            <w10:wrap type="square" anchorx="margin" anchory="page"/>
          </v:rect>
        </w:pict>
      </w:r>
      <w:r w:rsidR="00750408" w:rsidRPr="00D43C98">
        <w:t>This explan</w:t>
      </w:r>
      <w:r w:rsidR="00D43C98" w:rsidRPr="00D43C98">
        <w:t xml:space="preserve">atory statement accompanies the </w:t>
      </w:r>
      <w:r w:rsidR="00AA3532">
        <w:t xml:space="preserve">draft </w:t>
      </w:r>
      <w:r w:rsidR="00D43C98" w:rsidRPr="00D43C98">
        <w:t xml:space="preserve">Capital Expenditure Incentive </w:t>
      </w:r>
      <w:r w:rsidR="0043387A">
        <w:t>Guidelines</w:t>
      </w:r>
      <w:r w:rsidR="00750408" w:rsidRPr="00D43C98">
        <w:t xml:space="preserve">, which aim to </w:t>
      </w:r>
      <w:r w:rsidR="00D43C98">
        <w:t xml:space="preserve">outline the Australian Energy Regulator's (AER) approach to incentivising electricity network service providers (NSPs) to pursue efficient capital expenditure (capex). </w:t>
      </w:r>
    </w:p>
    <w:p w:rsidR="00750408" w:rsidRDefault="00750408" w:rsidP="00750408">
      <w:pPr>
        <w:pStyle w:val="AERbodytext"/>
        <w:numPr>
          <w:ilvl w:val="0"/>
          <w:numId w:val="13"/>
        </w:numPr>
      </w:pPr>
      <w:r>
        <w:t xml:space="preserve">The </w:t>
      </w:r>
      <w:r w:rsidR="00D43C98">
        <w:t>AER</w:t>
      </w:r>
      <w:r>
        <w:t xml:space="preserve"> is Australia’s independent national energy market regulator. Our role is to promote the national electricity and gas objectives. Enshrined in the Electricity and Gas Laws, these objectives focus us on promoting the long term interests of consumers. </w:t>
      </w:r>
    </w:p>
    <w:p w:rsidR="00750408" w:rsidRDefault="00750408" w:rsidP="00750408">
      <w:pPr>
        <w:pStyle w:val="AERbodytext"/>
        <w:numPr>
          <w:ilvl w:val="0"/>
          <w:numId w:val="13"/>
        </w:numPr>
      </w:pPr>
      <w:r>
        <w:t xml:space="preserve">A major part of our work is </w:t>
      </w:r>
      <w:r w:rsidRPr="00CA5D06">
        <w:t xml:space="preserve">regulating </w:t>
      </w:r>
      <w:r>
        <w:t xml:space="preserve">the </w:t>
      </w:r>
      <w:r w:rsidRPr="00CA5D06">
        <w:t xml:space="preserve">energy </w:t>
      </w:r>
      <w:r>
        <w:t>networks</w:t>
      </w:r>
      <w:r w:rsidRPr="00CA5D06">
        <w:t xml:space="preserve"> </w:t>
      </w:r>
      <w:r>
        <w:t xml:space="preserve">that transport energy to consumers </w:t>
      </w:r>
      <w:r w:rsidRPr="00CA5D06">
        <w:t>(electricity poles and wires</w:t>
      </w:r>
      <w:r>
        <w:t>,</w:t>
      </w:r>
      <w:r w:rsidRPr="00CA5D06">
        <w:t xml:space="preserve"> and gas pipelines)</w:t>
      </w:r>
      <w:r>
        <w:t xml:space="preserve">. In 2012, the Australian Energy Market Commission (AEMC) announced </w:t>
      </w:r>
      <w:r w:rsidRPr="007F55E6">
        <w:t>important changes</w:t>
      </w:r>
      <w:r>
        <w:t xml:space="preserve"> </w:t>
      </w:r>
      <w:r w:rsidRPr="007F55E6">
        <w:t>to the electricity and gas rules</w:t>
      </w:r>
      <w:r>
        <w:t xml:space="preserve">, affecting our role in regulation. Our role is also changed by the </w:t>
      </w:r>
      <w:r w:rsidRPr="007F55E6">
        <w:t xml:space="preserve">energy market reforms </w:t>
      </w:r>
      <w:r>
        <w:t>that</w:t>
      </w:r>
      <w:r w:rsidRPr="007F55E6">
        <w:t xml:space="preserve"> the Prime Minister </w:t>
      </w:r>
      <w:r>
        <w:t xml:space="preserve">announced </w:t>
      </w:r>
      <w:r w:rsidRPr="007F55E6">
        <w:t>on 7</w:t>
      </w:r>
      <w:r w:rsidR="00D43C98">
        <w:t> </w:t>
      </w:r>
      <w:r w:rsidRPr="007F55E6">
        <w:t xml:space="preserve">December 2012. </w:t>
      </w:r>
    </w:p>
    <w:p w:rsidR="00750408" w:rsidRPr="007F55E6" w:rsidRDefault="00750408" w:rsidP="00750408">
      <w:r>
        <w:t xml:space="preserve">We initiated the Better Regulation program to draw together these important reforms and our work in developing our regulatory processes and systems. </w:t>
      </w:r>
      <w:r w:rsidRPr="007F55E6">
        <w:t xml:space="preserve">The Better Regulation </w:t>
      </w:r>
      <w:r>
        <w:t>p</w:t>
      </w:r>
      <w:r w:rsidRPr="007F55E6">
        <w:t>rogram involves</w:t>
      </w:r>
      <w:r>
        <w:t xml:space="preserve"> us</w:t>
      </w:r>
      <w:r w:rsidRPr="007F55E6">
        <w:t>:</w:t>
      </w:r>
    </w:p>
    <w:p w:rsidR="00750408" w:rsidRPr="00B643DC" w:rsidRDefault="00750408" w:rsidP="00750408">
      <w:pPr>
        <w:pStyle w:val="AERbulletlistfirststyle"/>
        <w:rPr>
          <w:rStyle w:val="AERbody"/>
        </w:rPr>
      </w:pPr>
      <w:r w:rsidRPr="00B643DC">
        <w:rPr>
          <w:rStyle w:val="AERbody"/>
        </w:rPr>
        <w:t>extensive</w:t>
      </w:r>
      <w:r>
        <w:rPr>
          <w:rStyle w:val="AERbody"/>
        </w:rPr>
        <w:t>ly</w:t>
      </w:r>
      <w:r w:rsidRPr="00B643DC">
        <w:rPr>
          <w:rStyle w:val="AERbody"/>
        </w:rPr>
        <w:t xml:space="preserve"> consult</w:t>
      </w:r>
      <w:r>
        <w:rPr>
          <w:rStyle w:val="AERbody"/>
        </w:rPr>
        <w:t>ing</w:t>
      </w:r>
      <w:r w:rsidRPr="00B643DC">
        <w:rPr>
          <w:rStyle w:val="AERbody"/>
        </w:rPr>
        <w:t xml:space="preserve"> on seven new </w:t>
      </w:r>
      <w:r w:rsidR="00783661">
        <w:rPr>
          <w:rStyle w:val="AERbody"/>
        </w:rPr>
        <w:t>guidelines</w:t>
      </w:r>
      <w:r w:rsidRPr="00B643DC">
        <w:rPr>
          <w:rStyle w:val="AERbody"/>
        </w:rPr>
        <w:t xml:space="preserve"> </w:t>
      </w:r>
      <w:r>
        <w:rPr>
          <w:rStyle w:val="AERbody"/>
        </w:rPr>
        <w:t xml:space="preserve">that </w:t>
      </w:r>
      <w:r w:rsidRPr="00B643DC">
        <w:rPr>
          <w:rStyle w:val="AERbody"/>
        </w:rPr>
        <w:t>outlin</w:t>
      </w:r>
      <w:r>
        <w:rPr>
          <w:rStyle w:val="AERbody"/>
        </w:rPr>
        <w:t>e</w:t>
      </w:r>
      <w:r w:rsidRPr="00B643DC">
        <w:rPr>
          <w:rStyle w:val="AERbody"/>
        </w:rPr>
        <w:t xml:space="preserve"> our approach to receiving and assessing network business</w:t>
      </w:r>
      <w:r>
        <w:rPr>
          <w:rStyle w:val="AERbody"/>
        </w:rPr>
        <w:t>es</w:t>
      </w:r>
      <w:r w:rsidRPr="00B643DC">
        <w:rPr>
          <w:rStyle w:val="AERbody"/>
        </w:rPr>
        <w:t>' expenditure proposals and determining electricity network revenues and prices</w:t>
      </w:r>
    </w:p>
    <w:p w:rsidR="00750408" w:rsidRPr="00B643DC" w:rsidRDefault="00750408" w:rsidP="00750408">
      <w:pPr>
        <w:pStyle w:val="AERbulletlistfirststyle"/>
        <w:rPr>
          <w:rStyle w:val="AERbody"/>
        </w:rPr>
      </w:pPr>
      <w:r w:rsidRPr="00B643DC">
        <w:rPr>
          <w:rStyle w:val="AERbody"/>
        </w:rPr>
        <w:t xml:space="preserve">establishing a consumer reference group specially for our </w:t>
      </w:r>
      <w:r w:rsidR="0043387A">
        <w:rPr>
          <w:rStyle w:val="AERbody"/>
        </w:rPr>
        <w:t>guidelines</w:t>
      </w:r>
      <w:r w:rsidRPr="00B643DC">
        <w:rPr>
          <w:rStyle w:val="AERbody"/>
        </w:rPr>
        <w:t xml:space="preserve"> development work</w:t>
      </w:r>
      <w:r>
        <w:rPr>
          <w:rStyle w:val="AERbody"/>
        </w:rPr>
        <w:t>,</w:t>
      </w:r>
      <w:r w:rsidRPr="00B643DC">
        <w:rPr>
          <w:rStyle w:val="AERbody"/>
        </w:rPr>
        <w:t xml:space="preserve"> to help consumers engage across the broad spectrum of issues </w:t>
      </w:r>
      <w:r>
        <w:rPr>
          <w:rStyle w:val="AERbody"/>
        </w:rPr>
        <w:t xml:space="preserve">that </w:t>
      </w:r>
      <w:r w:rsidRPr="00B643DC">
        <w:rPr>
          <w:rStyle w:val="AERbody"/>
        </w:rPr>
        <w:t>we are considering</w:t>
      </w:r>
    </w:p>
    <w:p w:rsidR="00750408" w:rsidRPr="00B643DC" w:rsidRDefault="00750408" w:rsidP="00750408">
      <w:pPr>
        <w:pStyle w:val="AERbulletlistfirststyle"/>
        <w:rPr>
          <w:rStyle w:val="AERbody"/>
        </w:rPr>
      </w:pPr>
      <w:r>
        <w:rPr>
          <w:rStyle w:val="AERbody"/>
        </w:rPr>
        <w:t xml:space="preserve">forming </w:t>
      </w:r>
      <w:r w:rsidRPr="00B643DC">
        <w:rPr>
          <w:rStyle w:val="AERbody"/>
        </w:rPr>
        <w:t>an ongoing Consumer Challenge Panel</w:t>
      </w:r>
      <w:r>
        <w:rPr>
          <w:rStyle w:val="AERbody"/>
        </w:rPr>
        <w:t xml:space="preserve"> (appointed </w:t>
      </w:r>
      <w:r w:rsidRPr="00B643DC">
        <w:rPr>
          <w:rStyle w:val="AERbody"/>
        </w:rPr>
        <w:t>1 July 2013</w:t>
      </w:r>
      <w:r>
        <w:rPr>
          <w:rStyle w:val="AERbody"/>
        </w:rPr>
        <w:t>)</w:t>
      </w:r>
      <w:r w:rsidRPr="00B643DC">
        <w:rPr>
          <w:rStyle w:val="AERbody"/>
        </w:rPr>
        <w:t xml:space="preserve"> to ensure our network regulatory determinations properly incorporate consumers’ interests</w:t>
      </w:r>
    </w:p>
    <w:p w:rsidR="00750408" w:rsidRPr="00B643DC" w:rsidRDefault="00750408" w:rsidP="00750408">
      <w:pPr>
        <w:pStyle w:val="AERbulletlistfirststyle"/>
        <w:rPr>
          <w:rStyle w:val="AERbody"/>
        </w:rPr>
      </w:pPr>
      <w:r w:rsidRPr="00B643DC">
        <w:rPr>
          <w:rStyle w:val="AERbody"/>
        </w:rPr>
        <w:t xml:space="preserve">improving our internal technical expertise and systems, and our engagement and communication with all our stakeholders. </w:t>
      </w:r>
    </w:p>
    <w:p w:rsidR="00BA7D89" w:rsidRDefault="000C3DFB" w:rsidP="00BA7D89">
      <w:r w:rsidRPr="000C3DFB">
        <w:t xml:space="preserve">This </w:t>
      </w:r>
      <w:r>
        <w:t xml:space="preserve">document concerns the development of one of the seven new </w:t>
      </w:r>
      <w:r w:rsidR="00783661">
        <w:t>guidelines</w:t>
      </w:r>
      <w:r>
        <w:rPr>
          <w:rFonts w:cs="Gautami"/>
        </w:rPr>
        <w:t>—</w:t>
      </w:r>
      <w:r>
        <w:t xml:space="preserve">the Capital </w:t>
      </w:r>
      <w:r w:rsidR="00D83F8D">
        <w:t xml:space="preserve">Expenditure Incentive </w:t>
      </w:r>
      <w:r w:rsidR="0043387A">
        <w:t>Guidelines</w:t>
      </w:r>
      <w:r w:rsidR="00D23CC4">
        <w:t xml:space="preserve"> (</w:t>
      </w:r>
      <w:r w:rsidR="0043387A">
        <w:t>guidelines</w:t>
      </w:r>
      <w:r>
        <w:t xml:space="preserve">). </w:t>
      </w:r>
    </w:p>
    <w:p w:rsidR="00A843CE" w:rsidRDefault="00BA7D89" w:rsidP="00A843CE">
      <w:r>
        <w:t>The</w:t>
      </w:r>
      <w:r w:rsidR="00D23CC4">
        <w:t>se</w:t>
      </w:r>
      <w:r>
        <w:t xml:space="preserve"> </w:t>
      </w:r>
      <w:r w:rsidR="00783661">
        <w:t>guidelines</w:t>
      </w:r>
      <w:r w:rsidR="00783661" w:rsidRPr="00BA7D89">
        <w:t xml:space="preserve"> </w:t>
      </w:r>
      <w:r w:rsidR="00783661">
        <w:t>are</w:t>
      </w:r>
      <w:r>
        <w:t xml:space="preserve"> concerned with introducing enhanced incentives for NSPs to pursue efficient capex during the regulatory control period. In particular, t</w:t>
      </w:r>
      <w:r w:rsidRPr="00BA7D89">
        <w:t xml:space="preserve">he </w:t>
      </w:r>
      <w:r>
        <w:t xml:space="preserve">AEMC </w:t>
      </w:r>
      <w:r w:rsidRPr="00BA7D89">
        <w:t xml:space="preserve">amended </w:t>
      </w:r>
      <w:r>
        <w:t>the NER to include a number of new 'tools'</w:t>
      </w:r>
      <w:r w:rsidRPr="00BA7D89">
        <w:t xml:space="preserve"> that the AER</w:t>
      </w:r>
      <w:r>
        <w:t xml:space="preserve"> </w:t>
      </w:r>
      <w:r w:rsidRPr="00BA7D89">
        <w:t xml:space="preserve">can apply to </w:t>
      </w:r>
      <w:r w:rsidR="00D23CC4">
        <w:t>incentivise</w:t>
      </w:r>
      <w:r w:rsidRPr="00BA7D89">
        <w:t xml:space="preserve"> NSPs to spend cap</w:t>
      </w:r>
      <w:r>
        <w:t xml:space="preserve">ex </w:t>
      </w:r>
      <w:r w:rsidRPr="00BA7D89">
        <w:t>efficiently, having regard to an overall capital expenditure objective.</w:t>
      </w:r>
      <w:r w:rsidR="00806D70">
        <w:t xml:space="preserve"> </w:t>
      </w:r>
      <w:r w:rsidR="00C15EBD">
        <w:t xml:space="preserve">Ultimately, </w:t>
      </w:r>
      <w:r>
        <w:t>the aim is that</w:t>
      </w:r>
      <w:r w:rsidR="00C15EBD">
        <w:t xml:space="preserve"> consumers pay only for efficient capex undertaken by NSPs. </w:t>
      </w:r>
    </w:p>
    <w:p w:rsidR="00806D70" w:rsidRDefault="00BA7D89" w:rsidP="00A843CE">
      <w:r>
        <w:t>T</w:t>
      </w:r>
      <w:r w:rsidR="00A843CE">
        <w:t xml:space="preserve">hese new 'tools' include ex ante </w:t>
      </w:r>
      <w:r w:rsidR="00806D70">
        <w:t>and ex post measures:</w:t>
      </w:r>
    </w:p>
    <w:p w:rsidR="00D83F8D" w:rsidRDefault="00D83F8D" w:rsidP="00D83F8D">
      <w:pPr>
        <w:pStyle w:val="AERbulletlistfirststyle"/>
      </w:pPr>
      <w:r>
        <w:t xml:space="preserve">Ex ante measures </w:t>
      </w:r>
      <w:r w:rsidR="00806D70">
        <w:t xml:space="preserve">provide up front incentives for NSPs to pursue efficient capex and </w:t>
      </w:r>
      <w:r>
        <w:t>include:</w:t>
      </w:r>
    </w:p>
    <w:p w:rsidR="00D83F8D" w:rsidRDefault="00D83F8D" w:rsidP="00D83F8D">
      <w:pPr>
        <w:pStyle w:val="AERbulletlistsecondstyle"/>
      </w:pPr>
      <w:r>
        <w:t>A new Capital Expenditure Sharing Scheme (CESS) to incentivise NSPs to undertake efficient capex by rewarding efficiency gains and penalising efficiency losses.</w:t>
      </w:r>
    </w:p>
    <w:p w:rsidR="00D83F8D" w:rsidRDefault="00D83F8D" w:rsidP="00D83F8D">
      <w:pPr>
        <w:pStyle w:val="AERbulletlistsecondstyle"/>
      </w:pPr>
      <w:r>
        <w:t>A decision on whether to use depreciation based on actual or forecast capex to update a NSP's Regulatory Asset Base (RAB) at the end of a regulatory control period.</w:t>
      </w:r>
    </w:p>
    <w:p w:rsidR="00D83F8D" w:rsidRDefault="00D83F8D" w:rsidP="00D83F8D">
      <w:pPr>
        <w:pStyle w:val="AERbulletlistfirststyle"/>
      </w:pPr>
      <w:r>
        <w:t xml:space="preserve">Ex post measures </w:t>
      </w:r>
      <w:r w:rsidR="00806D70">
        <w:t>ensure that consumers pay only for e</w:t>
      </w:r>
      <w:r w:rsidR="00BE6419">
        <w:t>fficient capex incurred by NSPs. A</w:t>
      </w:r>
      <w:r w:rsidR="00806D70">
        <w:t>s part of the new ex post measures</w:t>
      </w:r>
      <w:r>
        <w:t>:</w:t>
      </w:r>
    </w:p>
    <w:p w:rsidR="00D83F8D" w:rsidRDefault="00806D70" w:rsidP="00D83F8D">
      <w:pPr>
        <w:pStyle w:val="AERbulletlistsecondstyle"/>
      </w:pPr>
      <w:r>
        <w:t>We will make a</w:t>
      </w:r>
      <w:r w:rsidR="00D83F8D">
        <w:t xml:space="preserve"> statement on the efficiency and prudency of any capex being rolled into the RAB.</w:t>
      </w:r>
    </w:p>
    <w:p w:rsidR="00D83F8D" w:rsidRDefault="00806D70" w:rsidP="00D83F8D">
      <w:pPr>
        <w:pStyle w:val="AERbulletlistsecondstyle"/>
      </w:pPr>
      <w:r>
        <w:t xml:space="preserve">We may </w:t>
      </w:r>
      <w:r w:rsidR="00D83F8D">
        <w:t>exclude from the RAB:</w:t>
      </w:r>
    </w:p>
    <w:p w:rsidR="00D83F8D" w:rsidRDefault="00D83F8D" w:rsidP="00D83F8D">
      <w:pPr>
        <w:pStyle w:val="AERbulletlistthirdstyle"/>
      </w:pPr>
      <w:r>
        <w:t xml:space="preserve">inefficient </w:t>
      </w:r>
      <w:r w:rsidR="00806D70">
        <w:t xml:space="preserve">capex </w:t>
      </w:r>
      <w:r>
        <w:t>overspends</w:t>
      </w:r>
    </w:p>
    <w:p w:rsidR="00D83F8D" w:rsidRDefault="00D83F8D" w:rsidP="00D83F8D">
      <w:pPr>
        <w:pStyle w:val="AERbulletlistthirdstyle"/>
      </w:pPr>
      <w:r>
        <w:t>capitalised operating expenditure (opex)</w:t>
      </w:r>
    </w:p>
    <w:p w:rsidR="00D83F8D" w:rsidRDefault="00D83F8D" w:rsidP="00D83F8D">
      <w:pPr>
        <w:pStyle w:val="AERbulletlistthirdstyle"/>
      </w:pPr>
      <w:r>
        <w:t>inflated related party margins.</w:t>
      </w:r>
    </w:p>
    <w:p w:rsidR="00BE6419" w:rsidRPr="00BE6419" w:rsidRDefault="00BE6419" w:rsidP="00BE6419">
      <w:pPr>
        <w:pStyle w:val="AERbodytext"/>
      </w:pPr>
      <w:r w:rsidRPr="00BE6419">
        <w:t>Figure 1 shows how these measures fit together.</w:t>
      </w:r>
    </w:p>
    <w:p w:rsidR="00BE6419" w:rsidRDefault="00BE6419" w:rsidP="00BE6419">
      <w:pPr>
        <w:pStyle w:val="Caption"/>
      </w:pPr>
      <w:r>
        <w:t>Figure 1</w:t>
      </w:r>
      <w:r>
        <w:tab/>
        <w:t>How the new ex ante and ex post measures fit together</w:t>
      </w:r>
    </w:p>
    <w:p w:rsidR="00BE6419" w:rsidRPr="00E44F58" w:rsidRDefault="00BE6419" w:rsidP="00BE6419">
      <w:pPr>
        <w:pStyle w:val="Caption"/>
      </w:pPr>
      <w:r w:rsidRPr="00BE6419">
        <w:rPr>
          <w:noProof/>
          <w:lang w:eastAsia="en-AU"/>
        </w:rPr>
        <w:drawing>
          <wp:inline distT="0" distB="0" distL="0" distR="0" wp14:anchorId="1C2428DB" wp14:editId="32401CEC">
            <wp:extent cx="5589767" cy="33284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2166" t="21296" r="15660" b="23473"/>
                    <a:stretch/>
                  </pic:blipFill>
                  <pic:spPr bwMode="auto">
                    <a:xfrm>
                      <a:off x="0" y="0"/>
                      <a:ext cx="5613360" cy="3342469"/>
                    </a:xfrm>
                    <a:prstGeom prst="rect">
                      <a:avLst/>
                    </a:prstGeom>
                    <a:ln>
                      <a:noFill/>
                    </a:ln>
                    <a:extLst>
                      <a:ext uri="{53640926-AAD7-44D8-BBD7-CCE9431645EC}">
                        <a14:shadowObscured xmlns:a14="http://schemas.microsoft.com/office/drawing/2010/main"/>
                      </a:ext>
                    </a:extLst>
                  </pic:spPr>
                </pic:pic>
              </a:graphicData>
            </a:graphic>
          </wp:inline>
        </w:drawing>
      </w:r>
    </w:p>
    <w:p w:rsidR="0046030B" w:rsidRDefault="0046030B" w:rsidP="0046030B">
      <w:pPr>
        <w:pStyle w:val="AERbodytext"/>
      </w:pPr>
      <w:r>
        <w:t xml:space="preserve">Incentives for efficient opex are being </w:t>
      </w:r>
      <w:r w:rsidR="00C15EBD">
        <w:t>considered in a separate process. We already have an Efficiency Benefit Sharing Scheme (EBSS) in place for opex. Proposed changes to the EBSS are being considered through a parallel process involving a draft EBSS and associated explanatory statement.</w:t>
      </w:r>
    </w:p>
    <w:p w:rsidR="00D83F8D" w:rsidRDefault="00D83F8D" w:rsidP="00D83F8D">
      <w:pPr>
        <w:pStyle w:val="Heading2"/>
        <w:numPr>
          <w:ilvl w:val="0"/>
          <w:numId w:val="0"/>
        </w:numPr>
      </w:pPr>
      <w:bookmarkStart w:id="5" w:name="_Toc363475910"/>
      <w:bookmarkStart w:id="6" w:name="_Toc363640470"/>
      <w:r>
        <w:t>Capital expenditure sharing scheme</w:t>
      </w:r>
      <w:bookmarkEnd w:id="5"/>
      <w:bookmarkEnd w:id="6"/>
    </w:p>
    <w:p w:rsidR="00D83F8D" w:rsidRDefault="00AA3532" w:rsidP="00D83F8D">
      <w:pPr>
        <w:pStyle w:val="AERbodytext"/>
      </w:pPr>
      <w:r>
        <w:t xml:space="preserve">The aim of the CESS is to incentivise NSPs to pursue capex efficiency improvements during the regulatory control period. </w:t>
      </w:r>
      <w:r w:rsidR="00BE10E2">
        <w:t>After considering submissions to the issues paper</w:t>
      </w:r>
      <w:r>
        <w:t>,</w:t>
      </w:r>
      <w:r w:rsidR="00BE10E2">
        <w:t xml:space="preserve"> o</w:t>
      </w:r>
      <w:r w:rsidR="00D83F8D">
        <w:t>ur pr</w:t>
      </w:r>
      <w:r w:rsidR="00356A5F">
        <w:t>oposal is for a symmetric CESS that provides a 30 per cent reward for underspending and a 30 per cent penalty for overspending. The CESS would be continuous</w:t>
      </w:r>
      <w:r w:rsidR="00BE10E2">
        <w:t xml:space="preserve">. </w:t>
      </w:r>
      <w:r w:rsidR="00783661">
        <w:t xml:space="preserve">That is, it would provide the same reward/penalty in each year of the regulatory period. </w:t>
      </w:r>
      <w:r>
        <w:t>We are proposing that the same form of CESS will apply to all NSPs.</w:t>
      </w:r>
      <w:r w:rsidR="00C15EBD">
        <w:t xml:space="preserve"> We believe that this form of CESS, alongside our ex post review process, will best achieve the requirements of the NER</w:t>
      </w:r>
      <w:r w:rsidR="00081D50">
        <w:t xml:space="preserve"> without overly penalising </w:t>
      </w:r>
      <w:r w:rsidR="003C4B47">
        <w:t xml:space="preserve">or rewarding </w:t>
      </w:r>
      <w:r w:rsidR="00081D50">
        <w:t>NSPs for forecasting errors or unforseen events</w:t>
      </w:r>
      <w:r w:rsidR="00C15EBD">
        <w:t>.</w:t>
      </w:r>
    </w:p>
    <w:p w:rsidR="00356A5F" w:rsidRDefault="00356A5F" w:rsidP="00356A5F">
      <w:pPr>
        <w:pStyle w:val="AERbodytext"/>
      </w:pPr>
      <w:r>
        <w:t xml:space="preserve">This approach is a departure from our position in the issues paper (which was for an asymmetric CESS with greater penalties than rewards). </w:t>
      </w:r>
      <w:r w:rsidR="00C15EBD">
        <w:t xml:space="preserve">We are now </w:t>
      </w:r>
      <w:r w:rsidR="00D23CC4">
        <w:t>proposing</w:t>
      </w:r>
      <w:r w:rsidR="00C15EBD">
        <w:t xml:space="preserve"> a symmetric CESS</w:t>
      </w:r>
      <w:r w:rsidR="005D0438">
        <w:t>. In recommending a symmetric CESS we have considered the interactions between the CESS, the ex post review and our approach to capex forecasting. In particular, a symmetric CESS alongside these other measures should ensure that NSPs have sufficient incentives to undertake efficient capex. In particular:</w:t>
      </w:r>
    </w:p>
    <w:p w:rsidR="00351707" w:rsidRDefault="00351707" w:rsidP="00C15EBD">
      <w:pPr>
        <w:pStyle w:val="AERbulletlistfirststyle"/>
      </w:pPr>
      <w:r>
        <w:t xml:space="preserve">We think that an asymmetric CESS is not necessary to contain inefficient capex overspends. The ex post review alongside a symmetric CESS </w:t>
      </w:r>
      <w:r w:rsidR="00D23CC4">
        <w:t>sh</w:t>
      </w:r>
      <w:r>
        <w:t xml:space="preserve">ould achieve this. </w:t>
      </w:r>
    </w:p>
    <w:p w:rsidR="00C15EBD" w:rsidRDefault="00C15EBD" w:rsidP="00351707">
      <w:pPr>
        <w:pStyle w:val="AERbulletlistfirststyle"/>
        <w:numPr>
          <w:ilvl w:val="0"/>
          <w:numId w:val="0"/>
        </w:numPr>
        <w:ind w:left="357"/>
      </w:pPr>
      <w:r>
        <w:t xml:space="preserve">In the issues paper we raised concerns about some NSPs being less responsive to financial incentives. For these NSPs, we considered higher penalties were required to protect customers from inefficient capex overspends. However, </w:t>
      </w:r>
      <w:r w:rsidR="00081D50">
        <w:t xml:space="preserve">not all </w:t>
      </w:r>
      <w:r>
        <w:t xml:space="preserve">NSPs have </w:t>
      </w:r>
      <w:r w:rsidR="00FC1F8F">
        <w:t xml:space="preserve">consistently </w:t>
      </w:r>
      <w:r>
        <w:t xml:space="preserve">overspent in the past. </w:t>
      </w:r>
      <w:r w:rsidR="00081D50">
        <w:t>Further, since no ex post review of capex existed previously, we do not know whether past overspends were inefficient or simply a result of forecasting error</w:t>
      </w:r>
      <w:r w:rsidR="00351707">
        <w:t xml:space="preserve"> or </w:t>
      </w:r>
      <w:r w:rsidR="00BE6419">
        <w:t>unforeseen</w:t>
      </w:r>
      <w:r w:rsidR="00351707">
        <w:t xml:space="preserve"> circumstances</w:t>
      </w:r>
      <w:r w:rsidR="00081D50">
        <w:t xml:space="preserve">. </w:t>
      </w:r>
      <w:r>
        <w:t xml:space="preserve">To apply an asymmetric CESS </w:t>
      </w:r>
      <w:r w:rsidR="00081D50">
        <w:t xml:space="preserve">in these circumstances </w:t>
      </w:r>
      <w:r>
        <w:t xml:space="preserve">could lead to perverse outcomes. In particular, NSPs would be </w:t>
      </w:r>
      <w:r w:rsidR="00351707">
        <w:t xml:space="preserve">greatly </w:t>
      </w:r>
      <w:r>
        <w:t xml:space="preserve">penalised for overspending whether or not </w:t>
      </w:r>
      <w:r w:rsidR="00081D50">
        <w:t>their capex</w:t>
      </w:r>
      <w:r>
        <w:t xml:space="preserve"> </w:t>
      </w:r>
      <w:r w:rsidR="00D23CC4">
        <w:t xml:space="preserve">overspend </w:t>
      </w:r>
      <w:r>
        <w:t xml:space="preserve">is efficient. </w:t>
      </w:r>
      <w:r w:rsidR="00081D50">
        <w:t>T</w:t>
      </w:r>
      <w:r w:rsidR="00293F35">
        <w:t>his is because t</w:t>
      </w:r>
      <w:r w:rsidR="00081D50">
        <w:t xml:space="preserve">he CESS would apply mechanistically without any consideration of the efficiency of </w:t>
      </w:r>
      <w:proofErr w:type="gramStart"/>
      <w:r w:rsidR="00081D50">
        <w:t>the overspend</w:t>
      </w:r>
      <w:proofErr w:type="gramEnd"/>
      <w:r w:rsidR="00081D50">
        <w:t xml:space="preserve">. </w:t>
      </w:r>
      <w:r w:rsidR="00FC1F8F">
        <w:t>The revised NER allow us</w:t>
      </w:r>
      <w:r>
        <w:t xml:space="preserve"> to exclude inefficient overspends from a NSP's RAB through an ex post review</w:t>
      </w:r>
      <w:r w:rsidR="00351707">
        <w:t>. T</w:t>
      </w:r>
      <w:r w:rsidR="00D23CC4">
        <w:t>hrough t</w:t>
      </w:r>
      <w:r w:rsidR="00351707">
        <w:t xml:space="preserve">his </w:t>
      </w:r>
      <w:r w:rsidR="00D23CC4">
        <w:t>we can</w:t>
      </w:r>
      <w:r w:rsidR="00081D50">
        <w:t xml:space="preserve"> consider the efficiency of the capex overspend</w:t>
      </w:r>
      <w:r w:rsidR="00351707">
        <w:t xml:space="preserve"> explicitly</w:t>
      </w:r>
      <w:r w:rsidR="00081D50">
        <w:t xml:space="preserve">. This, alongside a symmetric CESS, </w:t>
      </w:r>
      <w:r w:rsidR="00D23CC4">
        <w:t>can</w:t>
      </w:r>
      <w:r w:rsidR="00081D50">
        <w:t xml:space="preserve"> better address the issue of less responsive</w:t>
      </w:r>
      <w:r w:rsidR="0072629F">
        <w:t xml:space="preserve"> or inefficient</w:t>
      </w:r>
      <w:r w:rsidR="00081D50">
        <w:t xml:space="preserve"> NSPs </w:t>
      </w:r>
      <w:r w:rsidR="00BE6419">
        <w:t xml:space="preserve">in a more targeted way </w:t>
      </w:r>
      <w:r w:rsidR="00081D50">
        <w:t xml:space="preserve">than would an asymmetric CESS. </w:t>
      </w:r>
      <w:r w:rsidR="005D0438">
        <w:t>Consumers will still be protected from capex overspends since all overspends will be subject to a 30 per cent penalty and inefficient overspends will be borne entirely by NSPs.</w:t>
      </w:r>
    </w:p>
    <w:p w:rsidR="00351707" w:rsidRDefault="00FC1F8F" w:rsidP="00356A5F">
      <w:pPr>
        <w:pStyle w:val="AERbulletlistfirststyle"/>
      </w:pPr>
      <w:r>
        <w:t xml:space="preserve">Our forecasting should </w:t>
      </w:r>
      <w:r w:rsidR="00E37EF6">
        <w:t>improve</w:t>
      </w:r>
      <w:r>
        <w:t xml:space="preserve"> meaning </w:t>
      </w:r>
      <w:r w:rsidR="005F352E">
        <w:t xml:space="preserve">a symmetric CESS is more </w:t>
      </w:r>
      <w:r>
        <w:t>appropriate</w:t>
      </w:r>
      <w:r w:rsidR="0072629F">
        <w:t>.</w:t>
      </w:r>
    </w:p>
    <w:p w:rsidR="000F2B30" w:rsidRDefault="00BE10E2" w:rsidP="00351707">
      <w:pPr>
        <w:pStyle w:val="AERbulletlistfirststyle"/>
        <w:numPr>
          <w:ilvl w:val="0"/>
          <w:numId w:val="0"/>
        </w:numPr>
        <w:ind w:left="357"/>
      </w:pPr>
      <w:r>
        <w:t xml:space="preserve">One of our reasons for an asymmetric CESS was </w:t>
      </w:r>
      <w:r w:rsidR="00FC47B6">
        <w:t xml:space="preserve">that NSPs should usually be able to spend within their allowance </w:t>
      </w:r>
      <w:r w:rsidR="00351707">
        <w:t>since allowances are likely to be upwardly biased</w:t>
      </w:r>
      <w:r w:rsidR="00FC47B6">
        <w:t xml:space="preserve">. </w:t>
      </w:r>
      <w:r w:rsidR="00695585">
        <w:t xml:space="preserve">This could be due to asymmetric information </w:t>
      </w:r>
      <w:r w:rsidR="00D23CC4">
        <w:t>for example</w:t>
      </w:r>
      <w:r w:rsidR="00695585">
        <w:t xml:space="preserve">. </w:t>
      </w:r>
      <w:r w:rsidR="00351707">
        <w:t>Instead of addressing th</w:t>
      </w:r>
      <w:r w:rsidR="00695585">
        <w:t>e issue of upwardly biased forecasts</w:t>
      </w:r>
      <w:r w:rsidR="00351707">
        <w:t xml:space="preserve"> through the incentives for capex, we </w:t>
      </w:r>
      <w:r w:rsidR="00FC47B6">
        <w:t xml:space="preserve">now consider that </w:t>
      </w:r>
      <w:r w:rsidR="00351707">
        <w:t>this should be</w:t>
      </w:r>
      <w:r w:rsidR="00AA3532">
        <w:t xml:space="preserve"> </w:t>
      </w:r>
      <w:r w:rsidR="000F2B30">
        <w:t xml:space="preserve">addressed </w:t>
      </w:r>
      <w:r w:rsidR="00FC47B6">
        <w:t xml:space="preserve">directly </w:t>
      </w:r>
      <w:r w:rsidR="000F2B30">
        <w:t>through our approach to forecasting</w:t>
      </w:r>
      <w:r w:rsidR="00AA3532">
        <w:t xml:space="preserve"> capex</w:t>
      </w:r>
      <w:r w:rsidR="000F2B30">
        <w:t xml:space="preserve">. </w:t>
      </w:r>
      <w:r w:rsidR="00FC47B6">
        <w:t xml:space="preserve">There were a number of changes made to the NER in respect of capex forecasting. </w:t>
      </w:r>
      <w:r w:rsidR="00BE6419">
        <w:t>In addition, we are currently developing new</w:t>
      </w:r>
      <w:r w:rsidR="00FC47B6">
        <w:t xml:space="preserve"> Ex</w:t>
      </w:r>
      <w:r w:rsidR="000F2B30">
        <w:t xml:space="preserve">penditure Forecasting Assessment </w:t>
      </w:r>
      <w:r w:rsidR="00783661">
        <w:t>Guidelines</w:t>
      </w:r>
      <w:r w:rsidR="00D23CC4">
        <w:t>,</w:t>
      </w:r>
      <w:r w:rsidR="000F2B30">
        <w:t xml:space="preserve"> which outline a number of new measures and techniques for determining </w:t>
      </w:r>
      <w:r w:rsidR="00AA3532">
        <w:t xml:space="preserve">capex </w:t>
      </w:r>
      <w:r w:rsidR="000F2B30">
        <w:t xml:space="preserve">allowances. </w:t>
      </w:r>
      <w:r w:rsidR="0072629F">
        <w:t>To the extent that we are concerned about allowances being biased upwards, we will address this through our forecasting approach rather than through our approach to capex incentives</w:t>
      </w:r>
      <w:r w:rsidR="0072629F" w:rsidRPr="0072629F">
        <w:t>.</w:t>
      </w:r>
    </w:p>
    <w:p w:rsidR="00FC1F8F" w:rsidRPr="00FC1F8F" w:rsidRDefault="00FC1F8F" w:rsidP="00FC1F8F">
      <w:pPr>
        <w:pStyle w:val="AERbulletlistfirststyle"/>
      </w:pPr>
      <w:r w:rsidRPr="00FC1F8F">
        <w:t>A symmetric CESS with a reward and penalty of 30 per cent will provide more balanced incentives across capex, opex and service than would an asymmetric CESS.</w:t>
      </w:r>
      <w:r w:rsidR="00E37EF6">
        <w:t xml:space="preserve"> This is because the current opex EBSS and the service target performance incentive scheme (STPIS)</w:t>
      </w:r>
      <w:r w:rsidR="004F7FFA">
        <w:rPr>
          <w:rStyle w:val="FootnoteReference"/>
        </w:rPr>
        <w:footnoteReference w:id="2"/>
      </w:r>
      <w:r w:rsidR="00E37EF6">
        <w:t xml:space="preserve"> provide an incentive of approximately 30 per cent for opex and service respectively. </w:t>
      </w:r>
    </w:p>
    <w:p w:rsidR="00BE10E2" w:rsidRDefault="00BE10E2" w:rsidP="00BE10E2">
      <w:pPr>
        <w:pStyle w:val="AERbodytext"/>
      </w:pPr>
      <w:r>
        <w:t xml:space="preserve">Chapter 2 of this document provides more discussion on our preferred approach for the CESS. Details of how the CESS would operate are outlined in chapter 3 of the draft </w:t>
      </w:r>
      <w:r w:rsidR="0043387A">
        <w:t>guidelines</w:t>
      </w:r>
      <w:r>
        <w:t>.</w:t>
      </w:r>
    </w:p>
    <w:p w:rsidR="00BE10E2" w:rsidRDefault="00BE10E2" w:rsidP="00BE10E2">
      <w:pPr>
        <w:pStyle w:val="Heading2"/>
        <w:numPr>
          <w:ilvl w:val="0"/>
          <w:numId w:val="0"/>
        </w:numPr>
      </w:pPr>
      <w:bookmarkStart w:id="7" w:name="_Toc363475911"/>
      <w:bookmarkStart w:id="8" w:name="_Toc363640471"/>
      <w:r>
        <w:t>Forecast or actual depreciation</w:t>
      </w:r>
      <w:bookmarkEnd w:id="7"/>
      <w:bookmarkEnd w:id="8"/>
    </w:p>
    <w:p w:rsidR="00EC1B8B" w:rsidRDefault="00E44F58" w:rsidP="00EC1B8B">
      <w:pPr>
        <w:pStyle w:val="AERbodytext"/>
      </w:pPr>
      <w:r>
        <w:t>Our proposed approach is that depreciation based on forecast capex will be the default except where no CESS applies</w:t>
      </w:r>
      <w:r w:rsidR="004F7FFA">
        <w:t>,</w:t>
      </w:r>
      <w:r>
        <w:t xml:space="preserve"> or there are concerns about persistent overspending or capex inefficiency. </w:t>
      </w:r>
      <w:r w:rsidR="00EC1B8B">
        <w:t>When considering whether to use actual depreciation in either of these circumstances we will consider</w:t>
      </w:r>
      <w:r w:rsidR="00E5660B">
        <w:t>:</w:t>
      </w:r>
    </w:p>
    <w:p w:rsidR="00EC1B8B" w:rsidRDefault="00EC1B8B" w:rsidP="00EC1B8B">
      <w:pPr>
        <w:pStyle w:val="AERbulletlistfirststyle"/>
      </w:pPr>
      <w:r w:rsidRPr="00FB2897">
        <w:t>substitutability between opex and capex and the balance of incentives between opex</w:t>
      </w:r>
      <w:r>
        <w:t xml:space="preserve">, </w:t>
      </w:r>
      <w:r w:rsidRPr="00FB2897">
        <w:t>capex</w:t>
      </w:r>
      <w:r>
        <w:t xml:space="preserve"> and service </w:t>
      </w:r>
    </w:p>
    <w:p w:rsidR="00EC1B8B" w:rsidRDefault="00EC1B8B" w:rsidP="00EC1B8B">
      <w:pPr>
        <w:pStyle w:val="AERbulletlistfirststyle"/>
      </w:pPr>
      <w:r>
        <w:t>the substitutability of assets of different asset lives</w:t>
      </w:r>
      <w:r w:rsidRPr="00FB2897">
        <w:t>.</w:t>
      </w:r>
    </w:p>
    <w:p w:rsidR="00BE10E2" w:rsidRDefault="00E44F58" w:rsidP="00BE10E2">
      <w:pPr>
        <w:pStyle w:val="AERbodytext"/>
      </w:pPr>
      <w:r>
        <w:t>This is consistent with th</w:t>
      </w:r>
      <w:r w:rsidR="00BE6419">
        <w:t>e approach</w:t>
      </w:r>
      <w:r>
        <w:t xml:space="preserve"> in the issues paper. </w:t>
      </w:r>
      <w:r w:rsidR="00EC1B8B">
        <w:t>The reasons for our approach are discussed in more detail in chapter 3. C</w:t>
      </w:r>
      <w:r w:rsidR="00B62AE1">
        <w:t xml:space="preserve">hapter 4 of the draft </w:t>
      </w:r>
      <w:r w:rsidR="0043387A">
        <w:t>guidelines</w:t>
      </w:r>
      <w:r w:rsidR="00EC1B8B">
        <w:t xml:space="preserve"> outlines our approach to this issue.</w:t>
      </w:r>
    </w:p>
    <w:p w:rsidR="00EC1B8B" w:rsidRDefault="00EC1B8B" w:rsidP="00EC1B8B">
      <w:pPr>
        <w:pStyle w:val="Heading2"/>
        <w:numPr>
          <w:ilvl w:val="0"/>
          <w:numId w:val="0"/>
        </w:numPr>
      </w:pPr>
      <w:bookmarkStart w:id="9" w:name="_Toc363475912"/>
      <w:bookmarkStart w:id="10" w:name="_Toc363640472"/>
      <w:r>
        <w:t>Ex post measures</w:t>
      </w:r>
      <w:bookmarkEnd w:id="9"/>
      <w:bookmarkEnd w:id="10"/>
    </w:p>
    <w:p w:rsidR="00EC1B8B" w:rsidRDefault="00EC1B8B" w:rsidP="00EC1B8B">
      <w:pPr>
        <w:pStyle w:val="AERbodytext"/>
      </w:pPr>
      <w:r>
        <w:t>We are proposing to undertake an ex post review of the efficiency and prudency of capex. This review will have two purposes:</w:t>
      </w:r>
    </w:p>
    <w:p w:rsidR="00EC1B8B" w:rsidRDefault="00E5660B" w:rsidP="00EC1B8B">
      <w:pPr>
        <w:pStyle w:val="AERbulletlistfirststyle"/>
      </w:pPr>
      <w:r>
        <w:t>i</w:t>
      </w:r>
      <w:r w:rsidR="00EC1B8B">
        <w:t>t will inform our statement of efficiency of capex being rolled into the RAB</w:t>
      </w:r>
    </w:p>
    <w:p w:rsidR="00EC1B8B" w:rsidRDefault="00E5660B" w:rsidP="00EC1B8B">
      <w:pPr>
        <w:pStyle w:val="AERbulletlistfirststyle"/>
      </w:pPr>
      <w:r>
        <w:t>i</w:t>
      </w:r>
      <w:r w:rsidR="00EC1B8B">
        <w:t>t will inform our decision on whether to exclude inefficient capex overspends from the RAB.</w:t>
      </w:r>
    </w:p>
    <w:p w:rsidR="00272B43" w:rsidRDefault="00EC1B8B" w:rsidP="00EC1B8B">
      <w:pPr>
        <w:pStyle w:val="AERbodytext"/>
      </w:pPr>
      <w:r>
        <w:t xml:space="preserve">We have proposed a two stage process for the ex post review. </w:t>
      </w:r>
    </w:p>
    <w:p w:rsidR="00E44F58" w:rsidRDefault="00EC1B8B" w:rsidP="00E44F58">
      <w:pPr>
        <w:pStyle w:val="AERbulletlistfirststyle"/>
      </w:pPr>
      <w:r>
        <w:t xml:space="preserve">The first stage will </w:t>
      </w:r>
      <w:r w:rsidR="00E44F58">
        <w:t>consider a number of factors including:</w:t>
      </w:r>
    </w:p>
    <w:p w:rsidR="00E44F58" w:rsidRDefault="00E44F58" w:rsidP="00E44F58">
      <w:pPr>
        <w:pStyle w:val="AERbulletlistsecondstyle"/>
      </w:pPr>
      <w:r>
        <w:t>whether the NSP has overspent</w:t>
      </w:r>
    </w:p>
    <w:p w:rsidR="00E44F58" w:rsidRDefault="00E44F58" w:rsidP="00E44F58">
      <w:pPr>
        <w:pStyle w:val="AERbulletlistsecondstyle"/>
      </w:pPr>
      <w:r>
        <w:t>whether the overspend is</w:t>
      </w:r>
      <w:r w:rsidR="00EC1B8B">
        <w:t xml:space="preserve"> significant</w:t>
      </w:r>
    </w:p>
    <w:p w:rsidR="00E44F58" w:rsidRDefault="00EC1B8B" w:rsidP="00E44F58">
      <w:pPr>
        <w:pStyle w:val="AERbulletlistsecondstyle"/>
      </w:pPr>
      <w:r>
        <w:t>the NSP</w:t>
      </w:r>
      <w:r w:rsidR="00D3616E">
        <w:t>'s</w:t>
      </w:r>
      <w:r>
        <w:t xml:space="preserve"> history of </w:t>
      </w:r>
      <w:r w:rsidR="00D3616E">
        <w:t>capital expenditure</w:t>
      </w:r>
    </w:p>
    <w:p w:rsidR="00E44F58" w:rsidRDefault="00EC1B8B" w:rsidP="00E44F58">
      <w:pPr>
        <w:pStyle w:val="AERbulletlistsecondstyle"/>
      </w:pPr>
      <w:proofErr w:type="gramStart"/>
      <w:r>
        <w:t>how</w:t>
      </w:r>
      <w:proofErr w:type="gramEnd"/>
      <w:r>
        <w:t xml:space="preserve"> the NSP</w:t>
      </w:r>
      <w:r w:rsidR="00D3616E">
        <w:t>'s capex</w:t>
      </w:r>
      <w:r>
        <w:t xml:space="preserve"> compares with similar NSPs. </w:t>
      </w:r>
    </w:p>
    <w:p w:rsidR="00272B43" w:rsidRDefault="00EC1B8B" w:rsidP="00E44F58">
      <w:pPr>
        <w:pStyle w:val="AERbulletlistfirststyle"/>
        <w:numPr>
          <w:ilvl w:val="0"/>
          <w:numId w:val="0"/>
        </w:numPr>
        <w:ind w:left="357"/>
      </w:pPr>
      <w:r>
        <w:t xml:space="preserve">If </w:t>
      </w:r>
      <w:r w:rsidR="00E44F58">
        <w:t>we have concerns after undertaking this</w:t>
      </w:r>
      <w:r>
        <w:t xml:space="preserve"> high level assessment</w:t>
      </w:r>
      <w:r w:rsidR="00E44F58">
        <w:t>,</w:t>
      </w:r>
      <w:r>
        <w:t xml:space="preserve"> we wi</w:t>
      </w:r>
      <w:r w:rsidR="00E44F58">
        <w:t>ll progress our review to stage </w:t>
      </w:r>
      <w:r>
        <w:t xml:space="preserve">2. </w:t>
      </w:r>
    </w:p>
    <w:p w:rsidR="00EC1B8B" w:rsidRDefault="00EC1B8B" w:rsidP="00E44F58">
      <w:pPr>
        <w:pStyle w:val="AERbulletlistfirststyle"/>
      </w:pPr>
      <w:r>
        <w:t>Stage 2 will be a more detailed assessment of the NSP's capex incl</w:t>
      </w:r>
      <w:r w:rsidR="00D23CC4">
        <w:t>uding an assessment of the NSP's</w:t>
      </w:r>
      <w:r>
        <w:t xml:space="preserve"> planning and management process</w:t>
      </w:r>
      <w:r w:rsidR="00D23CC4">
        <w:t>es</w:t>
      </w:r>
      <w:r>
        <w:t xml:space="preserve"> and a</w:t>
      </w:r>
      <w:r w:rsidR="00E44F58">
        <w:t>n</w:t>
      </w:r>
      <w:r>
        <w:t xml:space="preserve"> assessment of the efficiency of capex undertaken by the NSP.</w:t>
      </w:r>
      <w:r w:rsidR="00272B43">
        <w:t xml:space="preserve"> To the extent that inefficient overspends are identified in stage 2, </w:t>
      </w:r>
      <w:r w:rsidR="00E37EF6">
        <w:t>these will not be rolled into</w:t>
      </w:r>
      <w:r w:rsidR="00272B43">
        <w:t xml:space="preserve"> the NSP's RAB.</w:t>
      </w:r>
    </w:p>
    <w:p w:rsidR="00272B43" w:rsidRDefault="00272B43" w:rsidP="00EC1B8B">
      <w:pPr>
        <w:pStyle w:val="AERbodytext"/>
      </w:pPr>
      <w:r>
        <w:t>This process has changed from that</w:t>
      </w:r>
      <w:r w:rsidR="00BE6419">
        <w:t xml:space="preserve"> outlined</w:t>
      </w:r>
      <w:r>
        <w:t xml:space="preserve"> in the issues paper. While there was broad support for the </w:t>
      </w:r>
      <w:r w:rsidR="00BE6419">
        <w:t>stag</w:t>
      </w:r>
      <w:r>
        <w:t xml:space="preserve">ed approach in the issues paper, we were concerned that some of the stages would provide little benefit (for example, the stage considering the incentives faced by the NSP). For this reason those stages have been removed. In addition, we </w:t>
      </w:r>
      <w:r w:rsidR="00E44F58">
        <w:t xml:space="preserve">will now </w:t>
      </w:r>
      <w:r>
        <w:t xml:space="preserve">consider an NSP's management processes and practices </w:t>
      </w:r>
      <w:r w:rsidR="00E44F58">
        <w:t xml:space="preserve">at the same time that we undertake </w:t>
      </w:r>
      <w:r>
        <w:t>the more detailed assessment of its capex.</w:t>
      </w:r>
    </w:p>
    <w:p w:rsidR="00272B43" w:rsidRDefault="00272B43" w:rsidP="00EC1B8B">
      <w:pPr>
        <w:pStyle w:val="AERbodytext"/>
      </w:pPr>
      <w:r>
        <w:t>In addition to excluding inefficient overspends from the RAB, we also have the ability to exclude capitalised opex and inflated related party margins. We have broadly maintained the approach in the issues paper for these</w:t>
      </w:r>
      <w:r w:rsidR="00E44F58">
        <w:t xml:space="preserve"> two processes</w:t>
      </w:r>
      <w:r>
        <w:t xml:space="preserve">. </w:t>
      </w:r>
    </w:p>
    <w:p w:rsidR="00272B43" w:rsidRDefault="00272B43" w:rsidP="00EC1B8B">
      <w:pPr>
        <w:pStyle w:val="AERbodytext"/>
      </w:pPr>
      <w:r>
        <w:t xml:space="preserve">Ex post measures are discussed in chapter 4 of this document and chapter 5 of the draft </w:t>
      </w:r>
      <w:r w:rsidR="0043387A">
        <w:t>guidelines</w:t>
      </w:r>
      <w:r>
        <w:t>.</w:t>
      </w:r>
    </w:p>
    <w:p w:rsidR="00E44F58" w:rsidRDefault="00E44F58" w:rsidP="0046030B">
      <w:pPr>
        <w:pStyle w:val="Heading2"/>
        <w:numPr>
          <w:ilvl w:val="0"/>
          <w:numId w:val="0"/>
        </w:numPr>
      </w:pPr>
      <w:bookmarkStart w:id="11" w:name="_Toc363475913"/>
      <w:bookmarkStart w:id="12" w:name="_Toc363640473"/>
      <w:bookmarkStart w:id="13" w:name="_Toc351471365"/>
      <w:bookmarkStart w:id="14" w:name="_Toc351549108"/>
      <w:bookmarkStart w:id="15" w:name="_Toc351554169"/>
      <w:r>
        <w:t>How the measures work together</w:t>
      </w:r>
      <w:bookmarkEnd w:id="11"/>
      <w:bookmarkEnd w:id="12"/>
    </w:p>
    <w:p w:rsidR="00343A8A" w:rsidRDefault="00E44F58" w:rsidP="00E44F58">
      <w:pPr>
        <w:pStyle w:val="AERbodytext"/>
      </w:pPr>
      <w:r>
        <w:t xml:space="preserve">Taken together, the </w:t>
      </w:r>
      <w:proofErr w:type="gramStart"/>
      <w:r>
        <w:t>ex ante</w:t>
      </w:r>
      <w:proofErr w:type="gramEnd"/>
      <w:r>
        <w:t xml:space="preserve"> and ex post measures outlined in the </w:t>
      </w:r>
      <w:r w:rsidR="0043387A">
        <w:t>guidelines</w:t>
      </w:r>
      <w:r>
        <w:t xml:space="preserve"> should contribute to achieving the capital expenditure incentive objective. In particular, </w:t>
      </w:r>
      <w:r w:rsidR="00BE6419">
        <w:t>the CESS</w:t>
      </w:r>
      <w:r>
        <w:t xml:space="preserve"> will provide NSPs with clear incentives to pursue efficiency gains through the regulatory control period. </w:t>
      </w:r>
      <w:r w:rsidR="0072629F">
        <w:t xml:space="preserve">They will have a constant incentive to reduce capex irrespective of the year of the regulatory control period and </w:t>
      </w:r>
      <w:r w:rsidR="00343A8A">
        <w:t>whether they have overspent or underspent in total.</w:t>
      </w:r>
    </w:p>
    <w:p w:rsidR="00343A8A" w:rsidRDefault="00610F9E" w:rsidP="00E44F58">
      <w:pPr>
        <w:pStyle w:val="AERbodytext"/>
      </w:pPr>
      <w:r>
        <w:t xml:space="preserve">The ex post measures will complement the </w:t>
      </w:r>
      <w:r w:rsidR="00BE6419">
        <w:t>CESS</w:t>
      </w:r>
      <w:r>
        <w:t xml:space="preserve"> to provide NSPs </w:t>
      </w:r>
      <w:r w:rsidR="00343A8A">
        <w:t xml:space="preserve">with </w:t>
      </w:r>
      <w:r>
        <w:t xml:space="preserve">an additional incentive to ensure that any overspends are efficient. </w:t>
      </w:r>
      <w:r w:rsidR="00E37EF6">
        <w:t xml:space="preserve">Under the </w:t>
      </w:r>
      <w:r w:rsidR="0072629F">
        <w:t xml:space="preserve">CESS and the </w:t>
      </w:r>
      <w:r w:rsidR="00E37EF6">
        <w:t>ex post review</w:t>
      </w:r>
      <w:r w:rsidR="0072629F">
        <w:t xml:space="preserve"> together, </w:t>
      </w:r>
      <w:r>
        <w:t>NSP</w:t>
      </w:r>
      <w:r w:rsidR="00E37EF6">
        <w:t xml:space="preserve">s </w:t>
      </w:r>
      <w:r>
        <w:t xml:space="preserve">risk losing </w:t>
      </w:r>
      <w:r w:rsidR="0072629F">
        <w:t>between 30 and 100 per cent</w:t>
      </w:r>
      <w:r>
        <w:t xml:space="preserve"> of any overspend</w:t>
      </w:r>
      <w:r w:rsidR="0072629F">
        <w:t xml:space="preserve">. NSPs bear 30 per cent of </w:t>
      </w:r>
      <w:proofErr w:type="gramStart"/>
      <w:r w:rsidR="0072629F">
        <w:t>the overspend</w:t>
      </w:r>
      <w:proofErr w:type="gramEnd"/>
      <w:r w:rsidR="0072629F">
        <w:t xml:space="preserve"> whether it is efficient or not. If the overspend is found to be inefficient, however, the NSP will bear the entire cost of </w:t>
      </w:r>
      <w:proofErr w:type="gramStart"/>
      <w:r w:rsidR="0072629F">
        <w:t xml:space="preserve">the </w:t>
      </w:r>
      <w:r w:rsidR="00E37EF6">
        <w:t>overspend</w:t>
      </w:r>
      <w:proofErr w:type="gramEnd"/>
      <w:r>
        <w:t xml:space="preserve">. </w:t>
      </w:r>
      <w:r w:rsidR="00BE6419">
        <w:t xml:space="preserve">In addition, we now have the ability to ensure that the RAB includes only efficient related party margins and that </w:t>
      </w:r>
      <w:r w:rsidR="00DB70D0">
        <w:t xml:space="preserve">NSPs do not benefit from </w:t>
      </w:r>
      <w:r w:rsidR="00BE6419">
        <w:t>capitalis</w:t>
      </w:r>
      <w:r w:rsidR="00DB70D0">
        <w:t>ing opex</w:t>
      </w:r>
      <w:r w:rsidR="00BE6419">
        <w:t xml:space="preserve">. </w:t>
      </w:r>
    </w:p>
    <w:p w:rsidR="00E02055" w:rsidRDefault="00610F9E" w:rsidP="00E44F58">
      <w:pPr>
        <w:pStyle w:val="AERbodytext"/>
      </w:pPr>
      <w:r>
        <w:t xml:space="preserve">These new measures should mean that consumers pay only for efficient overspends and that consumers share part of the </w:t>
      </w:r>
      <w:r w:rsidR="00DB70D0">
        <w:t xml:space="preserve">benefits </w:t>
      </w:r>
      <w:r w:rsidR="0072629F">
        <w:t>f</w:t>
      </w:r>
      <w:r w:rsidR="00D23CC4">
        <w:t>rom</w:t>
      </w:r>
      <w:r w:rsidR="00DB70D0">
        <w:t xml:space="preserve"> </w:t>
      </w:r>
      <w:r>
        <w:t>any capex efficiency saving.</w:t>
      </w:r>
      <w:r w:rsidR="00E02055">
        <w:t xml:space="preserve"> </w:t>
      </w:r>
    </w:p>
    <w:p w:rsidR="0046030B" w:rsidRPr="0046030B" w:rsidRDefault="0046030B" w:rsidP="0046030B">
      <w:pPr>
        <w:pStyle w:val="Heading2"/>
        <w:numPr>
          <w:ilvl w:val="0"/>
          <w:numId w:val="0"/>
        </w:numPr>
      </w:pPr>
      <w:bookmarkStart w:id="16" w:name="_Toc363475914"/>
      <w:bookmarkStart w:id="17" w:name="_Toc363640474"/>
      <w:r>
        <w:t>Consultation strategy</w:t>
      </w:r>
      <w:bookmarkEnd w:id="13"/>
      <w:bookmarkEnd w:id="14"/>
      <w:bookmarkEnd w:id="15"/>
      <w:bookmarkEnd w:id="16"/>
      <w:bookmarkEnd w:id="17"/>
    </w:p>
    <w:p w:rsidR="0046030B" w:rsidRPr="009D32DE" w:rsidRDefault="0046030B" w:rsidP="0046030B">
      <w:pPr>
        <w:pStyle w:val="AERbodytext"/>
        <w:numPr>
          <w:ilvl w:val="0"/>
          <w:numId w:val="13"/>
        </w:numPr>
      </w:pPr>
      <w:r w:rsidRPr="009D32DE">
        <w:t xml:space="preserve">We are seeking direct input from </w:t>
      </w:r>
      <w:r>
        <w:t xml:space="preserve">interested parties into the development of the </w:t>
      </w:r>
      <w:r w:rsidR="0043387A">
        <w:t>guidelines</w:t>
      </w:r>
      <w:r w:rsidRPr="009D32DE">
        <w:t xml:space="preserve"> over the next </w:t>
      </w:r>
      <w:r>
        <w:t>few</w:t>
      </w:r>
      <w:r w:rsidRPr="009D32DE">
        <w:t xml:space="preserve"> months. </w:t>
      </w:r>
      <w:r>
        <w:t xml:space="preserve">Positions put forward </w:t>
      </w:r>
      <w:r w:rsidRPr="009D32DE">
        <w:t xml:space="preserve">in this paper </w:t>
      </w:r>
      <w:r>
        <w:t>will</w:t>
      </w:r>
      <w:r w:rsidRPr="009D32DE">
        <w:t xml:space="preserve"> form a basis for discussion </w:t>
      </w:r>
      <w:r>
        <w:t>with</w:t>
      </w:r>
      <w:r w:rsidRPr="009D32DE">
        <w:t xml:space="preserve"> </w:t>
      </w:r>
      <w:r>
        <w:t>stakeholders</w:t>
      </w:r>
      <w:r w:rsidRPr="009D32DE">
        <w:t xml:space="preserve">. </w:t>
      </w:r>
    </w:p>
    <w:p w:rsidR="0046030B" w:rsidRPr="00EC1B8B" w:rsidRDefault="0046030B" w:rsidP="00AC13FD">
      <w:pPr>
        <w:pStyle w:val="AERbodytext"/>
      </w:pPr>
      <w:r>
        <w:t>Our</w:t>
      </w:r>
      <w:r w:rsidRPr="002B686C">
        <w:t xml:space="preserve"> approach to consul</w:t>
      </w:r>
      <w:r>
        <w:t>tation is guided by the overarching approach that has been adopted for the Better Regulation work stream</w:t>
      </w:r>
      <w:r w:rsidRPr="002B686C">
        <w:t>.</w:t>
      </w:r>
      <w:r w:rsidRPr="002B686C">
        <w:rPr>
          <w:rStyle w:val="FootnoteReference"/>
        </w:rPr>
        <w:footnoteReference w:id="3"/>
      </w:r>
      <w:r w:rsidRPr="002B686C">
        <w:t xml:space="preserve"> The process </w:t>
      </w:r>
      <w:r>
        <w:t xml:space="preserve">has already involved an issues paper, meetings with stakeholders and a public forum. Written submissions are invited in response to this explanatory statement and the draft </w:t>
      </w:r>
      <w:r w:rsidR="0043387A">
        <w:t>guidelines</w:t>
      </w:r>
      <w:r w:rsidR="00B02220">
        <w:t xml:space="preserve"> by </w:t>
      </w:r>
      <w:r w:rsidR="00AC13FD">
        <w:t>close of business, Friday,</w:t>
      </w:r>
      <w:r w:rsidR="00AC13FD" w:rsidRPr="00AC13FD">
        <w:t xml:space="preserve"> 20</w:t>
      </w:r>
      <w:r w:rsidR="00B02220">
        <w:t xml:space="preserve"> September 2013. We are also prepared to discuss our positions directly with stakeholders either on the phone, via </w:t>
      </w:r>
      <w:r w:rsidR="00A94D9F">
        <w:t>video conference</w:t>
      </w:r>
      <w:r w:rsidR="00B02220">
        <w:t xml:space="preserve"> or in person. Enquiries can be directed to </w:t>
      </w:r>
      <w:hyperlink r:id="rId13" w:history="1">
        <w:r w:rsidR="00461659" w:rsidRPr="00133634">
          <w:rPr>
            <w:rStyle w:val="Hyperlink"/>
          </w:rPr>
          <w:t>incentives@aer.gov.au</w:t>
        </w:r>
      </w:hyperlink>
      <w:r w:rsidR="00B02220">
        <w:t>.</w:t>
      </w:r>
    </w:p>
    <w:p w:rsidR="0047538F" w:rsidRDefault="00F22D7D" w:rsidP="00F22D7D">
      <w:pPr>
        <w:pStyle w:val="Heading1"/>
      </w:pPr>
      <w:bookmarkStart w:id="18" w:name="_Toc363640475"/>
      <w:r>
        <w:t>Introduction</w:t>
      </w:r>
      <w:bookmarkEnd w:id="18"/>
    </w:p>
    <w:p w:rsidR="0047538F" w:rsidRDefault="0047538F" w:rsidP="00D43C98">
      <w:pPr>
        <w:pStyle w:val="AERbodytext"/>
      </w:pPr>
      <w:r w:rsidRPr="008756D7">
        <w:t xml:space="preserve">This </w:t>
      </w:r>
      <w:r w:rsidR="002E337C" w:rsidRPr="00D43C98">
        <w:t xml:space="preserve">explanatory statement </w:t>
      </w:r>
      <w:r w:rsidRPr="00D43C98">
        <w:t xml:space="preserve">is the </w:t>
      </w:r>
      <w:r w:rsidR="00D43C98">
        <w:t>second</w:t>
      </w:r>
      <w:r w:rsidR="002E337C" w:rsidRPr="00D43C98">
        <w:t xml:space="preserve"> part of</w:t>
      </w:r>
      <w:r w:rsidR="002E337C" w:rsidRPr="008756D7">
        <w:t xml:space="preserve"> our consultation </w:t>
      </w:r>
      <w:r w:rsidRPr="008756D7">
        <w:t xml:space="preserve">for the development </w:t>
      </w:r>
      <w:r w:rsidR="00D43C98">
        <w:t xml:space="preserve">of Capital Expenditure Incentive </w:t>
      </w:r>
      <w:r w:rsidR="0043387A">
        <w:t>Guidelines</w:t>
      </w:r>
      <w:r w:rsidR="00D43C98">
        <w:t xml:space="preserve"> (</w:t>
      </w:r>
      <w:r w:rsidR="0043387A">
        <w:t>guidelines</w:t>
      </w:r>
      <w:r w:rsidR="00D43C98">
        <w:t xml:space="preserve">) for electricity NSPs. </w:t>
      </w:r>
      <w:r w:rsidR="00B1305D">
        <w:t xml:space="preserve">It follows from an issues paper on the </w:t>
      </w:r>
      <w:r w:rsidR="0043387A">
        <w:t>guidelines</w:t>
      </w:r>
      <w:r w:rsidR="00D23CC4">
        <w:t xml:space="preserve"> released in March 2013.</w:t>
      </w:r>
      <w:r w:rsidR="000E01FA">
        <w:rPr>
          <w:rStyle w:val="FootnoteReference"/>
        </w:rPr>
        <w:footnoteReference w:id="4"/>
      </w:r>
      <w:r w:rsidR="00D23CC4">
        <w:t xml:space="preserve"> The</w:t>
      </w:r>
      <w:r w:rsidR="00B62AE1">
        <w:t xml:space="preserve"> </w:t>
      </w:r>
      <w:r w:rsidR="0043387A">
        <w:t>guidelines</w:t>
      </w:r>
      <w:r w:rsidR="00B1305D">
        <w:t xml:space="preserve"> form</w:t>
      </w:r>
      <w:r w:rsidRPr="008756D7">
        <w:t xml:space="preserve"> part of our Better Regulation program of work </w:t>
      </w:r>
      <w:r w:rsidR="002E337C" w:rsidRPr="008756D7">
        <w:t xml:space="preserve">following from the AEMC's </w:t>
      </w:r>
      <w:r w:rsidRPr="008756D7">
        <w:t>change</w:t>
      </w:r>
      <w:r w:rsidR="00D5330E">
        <w:t>s to the NER and NGR made on 29 </w:t>
      </w:r>
      <w:r w:rsidRPr="008756D7">
        <w:t>November 2012. The aim of these reforms is to deliver an improved regulator</w:t>
      </w:r>
      <w:r w:rsidR="004F7FFA">
        <w:t xml:space="preserve">y framework focused on the long </w:t>
      </w:r>
      <w:r w:rsidRPr="008756D7">
        <w:t>term interests of energy consumers.</w:t>
      </w:r>
    </w:p>
    <w:p w:rsidR="00B1305D" w:rsidRDefault="00B1305D" w:rsidP="00D43C98">
      <w:pPr>
        <w:pStyle w:val="AERbodytext"/>
      </w:pPr>
      <w:r>
        <w:t xml:space="preserve">The </w:t>
      </w:r>
      <w:r w:rsidR="00783661">
        <w:t>guidelines are</w:t>
      </w:r>
      <w:r>
        <w:t xml:space="preserve"> con</w:t>
      </w:r>
      <w:r w:rsidR="00E5660B">
        <w:t>cerned with introducing enhanced</w:t>
      </w:r>
      <w:r>
        <w:t xml:space="preserve"> incentives for NSPs to pursue efficient capex</w:t>
      </w:r>
      <w:r w:rsidR="00E5660B">
        <w:t xml:space="preserve"> during the regulatory control period</w:t>
      </w:r>
      <w:r>
        <w:t xml:space="preserve">. This is through the introduction of a new CESS and new ex post measures to ensure consumers pay only for efficient capex overspends. </w:t>
      </w:r>
    </w:p>
    <w:p w:rsidR="00B1305D" w:rsidRPr="008756D7" w:rsidRDefault="00B1305D" w:rsidP="00D43C98">
      <w:pPr>
        <w:pStyle w:val="AERbodytext"/>
      </w:pPr>
      <w:r>
        <w:t xml:space="preserve">This chapter provides an introduction and background to the </w:t>
      </w:r>
      <w:r w:rsidR="0043387A">
        <w:t>guidelines</w:t>
      </w:r>
      <w:r>
        <w:t xml:space="preserve">. Firstly, the current arrangements for incentivising efficient capex are discussed. This is followed by a summary of the rule change process, the resulting rule changes and the scope of the </w:t>
      </w:r>
      <w:r w:rsidR="0043387A">
        <w:t>guidelines</w:t>
      </w:r>
      <w:r>
        <w:t xml:space="preserve">. Lastly, our approach to consultation is </w:t>
      </w:r>
      <w:r w:rsidR="00D23CC4">
        <w:t>outlin</w:t>
      </w:r>
      <w:r>
        <w:t>ed.</w:t>
      </w:r>
    </w:p>
    <w:p w:rsidR="00191BDC" w:rsidRDefault="00191BDC" w:rsidP="00191BDC">
      <w:pPr>
        <w:pStyle w:val="Heading2"/>
      </w:pPr>
      <w:bookmarkStart w:id="19" w:name="_Toc363640476"/>
      <w:r w:rsidRPr="00191BDC">
        <w:t>Current</w:t>
      </w:r>
      <w:r w:rsidRPr="00B14A31">
        <w:t xml:space="preserve"> arrangements</w:t>
      </w:r>
      <w:bookmarkEnd w:id="19"/>
    </w:p>
    <w:p w:rsidR="00933362" w:rsidRDefault="00191BDC" w:rsidP="00191BDC">
      <w:pPr>
        <w:pStyle w:val="AERbodytext"/>
      </w:pPr>
      <w:r>
        <w:t xml:space="preserve">The AER applies incentive based regulation to incentivise NSPs to pursue efficiency improvements in the way they undertake expenditure to provide network services. </w:t>
      </w:r>
    </w:p>
    <w:p w:rsidR="00933362" w:rsidRPr="00191BDC" w:rsidRDefault="00933362" w:rsidP="00933362">
      <w:pPr>
        <w:pStyle w:val="AERbodytext"/>
        <w:numPr>
          <w:ilvl w:val="0"/>
          <w:numId w:val="13"/>
        </w:numPr>
      </w:pPr>
      <w:r>
        <w:t>At the start of a regulatory control period the AER sets a NSP's revenue allowance using the building block approach. This provides the NSP with revenue to cover its efficient capital costs (in the form of depreciation and a return on investment), operating costs and tax liabilities.</w:t>
      </w:r>
      <w:r>
        <w:rPr>
          <w:rStyle w:val="FootnoteReference"/>
        </w:rPr>
        <w:footnoteReference w:id="5"/>
      </w:r>
    </w:p>
    <w:p w:rsidR="00933362" w:rsidRDefault="00933362" w:rsidP="00191BDC">
      <w:pPr>
        <w:pStyle w:val="AERbodytext"/>
      </w:pPr>
      <w:r>
        <w:t xml:space="preserve">If a NSP can provide the </w:t>
      </w:r>
      <w:r w:rsidR="00B1305D">
        <w:t xml:space="preserve">required </w:t>
      </w:r>
      <w:r>
        <w:t xml:space="preserve">service at a lower cost than </w:t>
      </w:r>
      <w:r w:rsidR="004F7FFA">
        <w:t xml:space="preserve">what it was </w:t>
      </w:r>
      <w:r w:rsidR="00B1305D">
        <w:t>funded</w:t>
      </w:r>
      <w:r>
        <w:t xml:space="preserve"> under the AER's approved revenue allowance, it can benefit by keeping some of the difference. In particular, it will still earn revenue</w:t>
      </w:r>
      <w:r w:rsidR="00B1305D">
        <w:t xml:space="preserve"> equal</w:t>
      </w:r>
      <w:r>
        <w:t xml:space="preserve"> to </w:t>
      </w:r>
      <w:r w:rsidR="00B1305D">
        <w:t xml:space="preserve">the </w:t>
      </w:r>
      <w:r>
        <w:t xml:space="preserve">allowance but since its costs are lower, it will make a profit. Conversely, if a NSP exceeds its allowance it will have to bear some of the costs of this. </w:t>
      </w:r>
    </w:p>
    <w:p w:rsidR="00BB0849" w:rsidRDefault="00933362" w:rsidP="00191BDC">
      <w:pPr>
        <w:pStyle w:val="AERbodytext"/>
      </w:pPr>
      <w:r>
        <w:t xml:space="preserve">With capex, the benefits </w:t>
      </w:r>
      <w:r w:rsidR="00E5660B">
        <w:t>of</w:t>
      </w:r>
      <w:r>
        <w:t xml:space="preserve"> an underspend will be retained by the NSP until the end of the regulatory control period. At that time, the RAB will be updated for actual capex (and depreciation</w:t>
      </w:r>
      <w:r w:rsidR="00DB70D0">
        <w:rPr>
          <w:rStyle w:val="FootnoteReference"/>
        </w:rPr>
        <w:footnoteReference w:id="6"/>
      </w:r>
      <w:r>
        <w:t xml:space="preserve">). </w:t>
      </w:r>
      <w:r w:rsidR="00B1305D">
        <w:t>Where there is an underspend the updated RAB will be lower than if the NSP had spent its whole allowance. Hence, once the RAB is updated</w:t>
      </w:r>
      <w:r>
        <w:t xml:space="preserve"> </w:t>
      </w:r>
      <w:r w:rsidR="00B1305D">
        <w:t>consumers will benefit from</w:t>
      </w:r>
      <w:r>
        <w:t xml:space="preserve"> lower charges going forward.</w:t>
      </w:r>
      <w:r w:rsidR="00D23CC4">
        <w:t xml:space="preserve"> In this way, NSPs</w:t>
      </w:r>
      <w:r w:rsidR="00DB70D0">
        <w:t xml:space="preserve"> benefit during the regulatory control period </w:t>
      </w:r>
      <w:r w:rsidR="00D23CC4">
        <w:t>if</w:t>
      </w:r>
      <w:r w:rsidR="00DB70D0">
        <w:t xml:space="preserve"> they can</w:t>
      </w:r>
      <w:r w:rsidR="00BB0849">
        <w:t xml:space="preserve"> 'beat' the allowance. </w:t>
      </w:r>
      <w:r w:rsidR="00DB70D0">
        <w:t xml:space="preserve">Consumers then benefit when the RAB is rolled forward. </w:t>
      </w:r>
      <w:r w:rsidR="00BB0849">
        <w:t xml:space="preserve">This should encourage NSPs to pursue capex efficiency improvements that will ultimately benefit both the NSP and electricity consumers. </w:t>
      </w:r>
    </w:p>
    <w:p w:rsidR="00933362" w:rsidRDefault="00BB0849" w:rsidP="00BB0849">
      <w:pPr>
        <w:pStyle w:val="AERbodytext"/>
      </w:pPr>
      <w:r>
        <w:t>Since NSPs only retain the benefits/losses of any underspend/overspend</w:t>
      </w:r>
      <w:r w:rsidRPr="00387C87">
        <w:t xml:space="preserve"> until the end of the </w:t>
      </w:r>
      <w:r>
        <w:t>regulatory control period, the power of the incentive is influenced by the year in which the underspend/overspend occurs.</w:t>
      </w:r>
      <w:r>
        <w:rPr>
          <w:rStyle w:val="FootnoteReference"/>
        </w:rPr>
        <w:footnoteReference w:id="7"/>
      </w:r>
      <w:r w:rsidRPr="00387C87">
        <w:t xml:space="preserve"> </w:t>
      </w:r>
      <w:r>
        <w:t>I</w:t>
      </w:r>
      <w:r w:rsidRPr="00387C87">
        <w:t>n year one, any benefit/penalty from an underspend/overspend will last for four years before the RAB</w:t>
      </w:r>
      <w:r>
        <w:t xml:space="preserve"> is updated for actual capex. I</w:t>
      </w:r>
      <w:r w:rsidRPr="00387C87">
        <w:t>n year f</w:t>
      </w:r>
      <w:r>
        <w:t>ive</w:t>
      </w:r>
      <w:r w:rsidRPr="00387C87">
        <w:t xml:space="preserve">, </w:t>
      </w:r>
      <w:r>
        <w:t xml:space="preserve">however, </w:t>
      </w:r>
      <w:r w:rsidRPr="00387C87">
        <w:t xml:space="preserve">the benefit/penalty will </w:t>
      </w:r>
      <w:r>
        <w:t>be approximately zero</w:t>
      </w:r>
      <w:r w:rsidRPr="00387C87">
        <w:t xml:space="preserve">. Hence, the power of the incentive declines over the </w:t>
      </w:r>
      <w:r>
        <w:t>regulatory control period</w:t>
      </w:r>
      <w:r w:rsidRPr="00387C87">
        <w:t>.</w:t>
      </w:r>
    </w:p>
    <w:p w:rsidR="00610F9E" w:rsidRDefault="00610F9E" w:rsidP="00BB0849">
      <w:pPr>
        <w:pStyle w:val="AERbodytext"/>
      </w:pPr>
      <w:r>
        <w:t xml:space="preserve">Prior to the NER rule changes, all capex incurred by a NSP during a regulatory control period was rolled into the NSP's RAB at the end of the period. This meant that consumers potentially bore a large share of any capex overspend incurred by the NSP. This could potentially lead to inflated prices for a long period after the NSP had overspent. It also meant that NSPs could benefit from paying inflated related party margins and from capitalising opex, again at a cost to consumers. </w:t>
      </w:r>
    </w:p>
    <w:p w:rsidR="003A4AC4" w:rsidRDefault="00191BDC" w:rsidP="00191BDC">
      <w:pPr>
        <w:pStyle w:val="Heading2"/>
      </w:pPr>
      <w:bookmarkStart w:id="20" w:name="_Toc363640477"/>
      <w:r>
        <w:t>Rule changes</w:t>
      </w:r>
      <w:bookmarkEnd w:id="20"/>
    </w:p>
    <w:p w:rsidR="00D5330E" w:rsidRPr="00503473" w:rsidRDefault="00D5330E" w:rsidP="00D5330E">
      <w:pPr>
        <w:pStyle w:val="AERbodytext"/>
        <w:numPr>
          <w:ilvl w:val="0"/>
          <w:numId w:val="13"/>
        </w:numPr>
      </w:pPr>
      <w:r>
        <w:t>The changes to the NER made on 29 November 2012 were initiated by the AER in September 2011.</w:t>
      </w:r>
      <w:r w:rsidR="00F6159E">
        <w:rPr>
          <w:rStyle w:val="FootnoteReference"/>
        </w:rPr>
        <w:footnoteReference w:id="8"/>
      </w:r>
      <w:r>
        <w:t xml:space="preserve"> One of our concerns with the former NER was that the incentives for efficient capex did not appear to</w:t>
      </w:r>
      <w:r w:rsidR="00D23CC4">
        <w:t xml:space="preserve"> have been sufficient to ensure all NSPs remained within their capex allowance</w:t>
      </w:r>
      <w:r w:rsidR="00501D2D">
        <w:t>s</w:t>
      </w:r>
      <w:r w:rsidRPr="00503473">
        <w:t xml:space="preserve">. </w:t>
      </w:r>
      <w:r w:rsidR="00501D2D">
        <w:t xml:space="preserve">Since all capex was automatically rolled into the RAB, NSPs could potentially benefit from overspending in the later years of the regulatory control period. </w:t>
      </w:r>
      <w:r>
        <w:t xml:space="preserve">This meant that consumers were potentially paying more than they should for electricity </w:t>
      </w:r>
      <w:r w:rsidR="00610F9E">
        <w:t>network services. To address the</w:t>
      </w:r>
      <w:r>
        <w:t>s</w:t>
      </w:r>
      <w:r w:rsidR="00610F9E">
        <w:t>e</w:t>
      </w:r>
      <w:r>
        <w:t xml:space="preserve"> concerns we suggested </w:t>
      </w:r>
      <w:r w:rsidRPr="00503473">
        <w:t>changes to:</w:t>
      </w:r>
    </w:p>
    <w:p w:rsidR="00D5330E" w:rsidRPr="00503473" w:rsidRDefault="00D5330E" w:rsidP="00D5330E">
      <w:pPr>
        <w:pStyle w:val="AERnumberedlistfirststyle"/>
        <w:numPr>
          <w:ilvl w:val="1"/>
          <w:numId w:val="13"/>
        </w:numPr>
      </w:pPr>
      <w:r w:rsidRPr="00503473">
        <w:t>The incentives for efficient capex</w:t>
      </w:r>
      <w:r>
        <w:t xml:space="preserve"> </w:t>
      </w:r>
      <w:r w:rsidRPr="00503473">
        <w:rPr>
          <w:rFonts w:hint="eastAsia"/>
        </w:rPr>
        <w:t>―</w:t>
      </w:r>
      <w:r>
        <w:t xml:space="preserve"> we </w:t>
      </w:r>
      <w:r w:rsidRPr="00503473">
        <w:t xml:space="preserve">recommended that only 60 per cent of any capex overspend </w:t>
      </w:r>
      <w:r w:rsidR="00501D2D">
        <w:t>sh</w:t>
      </w:r>
      <w:r>
        <w:t>ould be rolled into the RAB</w:t>
      </w:r>
      <w:r w:rsidR="00961121">
        <w:t xml:space="preserve">, with </w:t>
      </w:r>
      <w:r w:rsidRPr="00503473">
        <w:t xml:space="preserve">the remaining 40 per cent </w:t>
      </w:r>
      <w:r w:rsidR="00961121">
        <w:t>to</w:t>
      </w:r>
      <w:r>
        <w:t xml:space="preserve"> be</w:t>
      </w:r>
      <w:r w:rsidRPr="00503473">
        <w:t xml:space="preserve"> borne by the NSP. </w:t>
      </w:r>
    </w:p>
    <w:p w:rsidR="00D5330E" w:rsidRPr="00503473" w:rsidRDefault="00D5330E" w:rsidP="00D5330E">
      <w:pPr>
        <w:pStyle w:val="AERnumberedlistfirststyle"/>
        <w:numPr>
          <w:ilvl w:val="1"/>
          <w:numId w:val="13"/>
        </w:numPr>
      </w:pPr>
      <w:r w:rsidRPr="00503473">
        <w:t>Allow discretion to use forecast depreciation</w:t>
      </w:r>
      <w:r>
        <w:t xml:space="preserve"> </w:t>
      </w:r>
      <w:r w:rsidRPr="00503473">
        <w:rPr>
          <w:rFonts w:hint="eastAsia"/>
        </w:rPr>
        <w:t>―</w:t>
      </w:r>
      <w:r>
        <w:t xml:space="preserve"> </w:t>
      </w:r>
      <w:r w:rsidR="00961121">
        <w:t xml:space="preserve">we requested this for both </w:t>
      </w:r>
      <w:r w:rsidR="00501D2D">
        <w:t>transmission network service providers (</w:t>
      </w:r>
      <w:r w:rsidR="00961121">
        <w:t>TNSPs</w:t>
      </w:r>
      <w:r w:rsidR="00501D2D">
        <w:t>)</w:t>
      </w:r>
      <w:r w:rsidR="00961121">
        <w:t xml:space="preserve"> and </w:t>
      </w:r>
      <w:r w:rsidR="00501D2D">
        <w:t>distribution network service providers (</w:t>
      </w:r>
      <w:r w:rsidR="00961121">
        <w:t>DNSPs</w:t>
      </w:r>
      <w:r w:rsidR="00501D2D">
        <w:t>)</w:t>
      </w:r>
      <w:r w:rsidR="00961121">
        <w:t xml:space="preserve"> </w:t>
      </w:r>
      <w:r w:rsidRPr="00503473">
        <w:t xml:space="preserve">(this discretion was already provided for </w:t>
      </w:r>
      <w:r>
        <w:t>D</w:t>
      </w:r>
      <w:r w:rsidRPr="00503473">
        <w:t xml:space="preserve">NSPs). </w:t>
      </w:r>
    </w:p>
    <w:p w:rsidR="00D5330E" w:rsidRPr="00503473" w:rsidRDefault="00D5330E" w:rsidP="00D5330E">
      <w:pPr>
        <w:pStyle w:val="AERnumberedlistfirststyle"/>
        <w:numPr>
          <w:ilvl w:val="1"/>
          <w:numId w:val="13"/>
        </w:numPr>
      </w:pPr>
      <w:r w:rsidRPr="00503473">
        <w:t>Review related party margins</w:t>
      </w:r>
      <w:r>
        <w:t xml:space="preserve"> </w:t>
      </w:r>
      <w:r w:rsidRPr="00503473">
        <w:rPr>
          <w:rFonts w:hint="eastAsia"/>
        </w:rPr>
        <w:t>―</w:t>
      </w:r>
      <w:r>
        <w:t xml:space="preserve"> to ensure</w:t>
      </w:r>
      <w:r w:rsidRPr="00503473">
        <w:t xml:space="preserve"> that only efficient related party margins </w:t>
      </w:r>
      <w:r>
        <w:t>are</w:t>
      </w:r>
      <w:r w:rsidRPr="00503473">
        <w:t xml:space="preserve"> rolled into the RAB (previously all capex </w:t>
      </w:r>
      <w:r>
        <w:t xml:space="preserve">incurred </w:t>
      </w:r>
      <w:r w:rsidRPr="00503473">
        <w:t>was rolled into the RAB).</w:t>
      </w:r>
    </w:p>
    <w:p w:rsidR="00D5330E" w:rsidRPr="00503473" w:rsidRDefault="00D5330E" w:rsidP="00D5330E">
      <w:pPr>
        <w:pStyle w:val="AERnumberedlistfirststyle"/>
        <w:numPr>
          <w:ilvl w:val="1"/>
          <w:numId w:val="13"/>
        </w:numPr>
      </w:pPr>
      <w:r w:rsidRPr="00503473">
        <w:t>Review capitalisation policy changes</w:t>
      </w:r>
      <w:r>
        <w:t xml:space="preserve"> </w:t>
      </w:r>
      <w:r w:rsidRPr="00503473">
        <w:rPr>
          <w:rFonts w:hint="eastAsia"/>
        </w:rPr>
        <w:t>―</w:t>
      </w:r>
      <w:r>
        <w:t xml:space="preserve"> </w:t>
      </w:r>
      <w:r w:rsidRPr="00503473">
        <w:t xml:space="preserve">to ensure that </w:t>
      </w:r>
      <w:r w:rsidR="00501D2D">
        <w:t>NSPs do not profit from capitalising opex</w:t>
      </w:r>
      <w:r w:rsidRPr="00503473">
        <w:t>.</w:t>
      </w:r>
    </w:p>
    <w:p w:rsidR="00E02055" w:rsidRDefault="00D5330E" w:rsidP="00191BDC">
      <w:pPr>
        <w:pStyle w:val="AERbodytext"/>
      </w:pPr>
      <w:r w:rsidRPr="00503473">
        <w:t>The AEMC</w:t>
      </w:r>
      <w:r w:rsidR="00E02055">
        <w:t xml:space="preserve"> agreed that there were issues with the existing incentives for efficient capex. It was concerned that the incentives for efficient capex declined over the regulatory control period. It was also concerned about a lack of regulatory scrutiny for capex overspends being rolled into the RAB.</w:t>
      </w:r>
      <w:r w:rsidR="00E02055">
        <w:rPr>
          <w:rStyle w:val="FootnoteReference"/>
        </w:rPr>
        <w:footnoteReference w:id="9"/>
      </w:r>
      <w:r w:rsidR="00E02055">
        <w:t xml:space="preserve"> </w:t>
      </w:r>
    </w:p>
    <w:p w:rsidR="003A4AC4" w:rsidRDefault="00E02055" w:rsidP="00191BDC">
      <w:pPr>
        <w:pStyle w:val="AERbodytext"/>
      </w:pPr>
      <w:r>
        <w:t>The AEMC</w:t>
      </w:r>
      <w:r w:rsidR="00D5330E" w:rsidRPr="00503473">
        <w:t xml:space="preserve">’s rule change gave effect to the last three of </w:t>
      </w:r>
      <w:r w:rsidR="00D5330E">
        <w:t>our proposals</w:t>
      </w:r>
      <w:r>
        <w:t xml:space="preserve"> above</w:t>
      </w:r>
      <w:r w:rsidR="00D5330E" w:rsidRPr="00503473">
        <w:t xml:space="preserve">. In response to the first </w:t>
      </w:r>
      <w:r w:rsidR="00D5330E">
        <w:t>proposal</w:t>
      </w:r>
      <w:r w:rsidR="00D5330E" w:rsidRPr="00503473">
        <w:t xml:space="preserve">, the AEMC gave </w:t>
      </w:r>
      <w:r w:rsidR="00D5330E">
        <w:t>us</w:t>
      </w:r>
      <w:r w:rsidR="00961121">
        <w:t xml:space="preserve"> the ability to develop Capital Expenditure Sharing S</w:t>
      </w:r>
      <w:r w:rsidR="00D5330E" w:rsidRPr="00503473">
        <w:t xml:space="preserve">chemes </w:t>
      </w:r>
      <w:r w:rsidR="00961121">
        <w:t>through</w:t>
      </w:r>
      <w:r w:rsidR="00D5330E" w:rsidRPr="00503473">
        <w:t xml:space="preserve"> </w:t>
      </w:r>
      <w:r w:rsidR="00961121">
        <w:t xml:space="preserve">the Capital Expenditure Incentive </w:t>
      </w:r>
      <w:r w:rsidR="0043387A">
        <w:t>Guidelines</w:t>
      </w:r>
      <w:r w:rsidR="00D5330E" w:rsidRPr="00503473">
        <w:t xml:space="preserve">. In addition, the AEMC’s rule change included a requirement </w:t>
      </w:r>
      <w:r w:rsidR="00D5330E">
        <w:t xml:space="preserve">for us </w:t>
      </w:r>
      <w:r w:rsidR="00D5330E" w:rsidRPr="00503473">
        <w:t xml:space="preserve">to undertake an ex post efficiency review of capex </w:t>
      </w:r>
      <w:r w:rsidR="00961121">
        <w:t>being rolled into the RAB</w:t>
      </w:r>
      <w:r w:rsidR="004F7FFA">
        <w:t>,</w:t>
      </w:r>
      <w:r w:rsidR="00961121">
        <w:t xml:space="preserve"> </w:t>
      </w:r>
      <w:r w:rsidR="00D5330E" w:rsidRPr="00503473">
        <w:t xml:space="preserve">and </w:t>
      </w:r>
      <w:r w:rsidR="00D5330E">
        <w:t xml:space="preserve">gave us </w:t>
      </w:r>
      <w:r w:rsidR="00D5330E" w:rsidRPr="00503473">
        <w:t>the ability to disallow from the RAB any cap</w:t>
      </w:r>
      <w:r w:rsidR="00D5330E">
        <w:t>ex (above the allowance) that i</w:t>
      </w:r>
      <w:r w:rsidR="00D5330E" w:rsidRPr="00503473">
        <w:t>s not efficient.</w:t>
      </w:r>
      <w:r w:rsidR="00610F9E">
        <w:t xml:space="preserve"> In developing these measures, the AER is required to consider a new capital expenditure incentive objective:</w:t>
      </w:r>
    </w:p>
    <w:p w:rsidR="00610F9E" w:rsidRDefault="00610F9E" w:rsidP="00610F9E">
      <w:pPr>
        <w:pStyle w:val="AERquote"/>
      </w:pPr>
      <w:r w:rsidRPr="00387C87">
        <w:t xml:space="preserve">The </w:t>
      </w:r>
      <w:r w:rsidRPr="00387C87">
        <w:rPr>
          <w:rStyle w:val="AERtextitalic"/>
        </w:rPr>
        <w:t>capital expenditure incentive objective</w:t>
      </w:r>
      <w:r w:rsidRPr="00387C87">
        <w:t xml:space="preserve"> is to ensure that, where the value of a regulatory asset base is subject to adjustment in accordance with the </w:t>
      </w:r>
      <w:r w:rsidRPr="00387C87">
        <w:rPr>
          <w:rStyle w:val="AERtextitalic"/>
        </w:rPr>
        <w:t>Rules</w:t>
      </w:r>
      <w:r w:rsidRPr="00387C87">
        <w:t xml:space="preserve">, then the only capital expenditure that is included in an adjustment that increases the value of that regulatory asset base is capital expenditure that reasonably reflects the </w:t>
      </w:r>
      <w:r w:rsidRPr="00387C87">
        <w:rPr>
          <w:rStyle w:val="AERtextitalic"/>
        </w:rPr>
        <w:t>capital expenditure criteria</w:t>
      </w:r>
      <w:r w:rsidRPr="00387C87">
        <w:t>.</w:t>
      </w:r>
      <w:r>
        <w:rPr>
          <w:rStyle w:val="FootnoteReference"/>
        </w:rPr>
        <w:footnoteReference w:id="10"/>
      </w:r>
    </w:p>
    <w:p w:rsidR="00191BDC" w:rsidRDefault="00191BDC" w:rsidP="00191BDC">
      <w:pPr>
        <w:pStyle w:val="Heading2"/>
      </w:pPr>
      <w:bookmarkStart w:id="21" w:name="_Toc363640478"/>
      <w:r>
        <w:t xml:space="preserve">Scope of the </w:t>
      </w:r>
      <w:r w:rsidR="0043387A">
        <w:t>guidelines</w:t>
      </w:r>
      <w:bookmarkEnd w:id="21"/>
    </w:p>
    <w:p w:rsidR="00191BDC" w:rsidRDefault="00191BDC" w:rsidP="00191BDC">
      <w:pPr>
        <w:pStyle w:val="AERbodytext"/>
        <w:numPr>
          <w:ilvl w:val="0"/>
          <w:numId w:val="13"/>
        </w:numPr>
      </w:pPr>
      <w:r>
        <w:t xml:space="preserve">To give effect to the new rules on capex incentives, we are required to develop and publish Capital Expenditure Incentive </w:t>
      </w:r>
      <w:r w:rsidR="0043387A">
        <w:t>Guidelines</w:t>
      </w:r>
      <w:r>
        <w:rPr>
          <w:rStyle w:val="FootnoteReference"/>
        </w:rPr>
        <w:footnoteReference w:id="11"/>
      </w:r>
      <w:r>
        <w:t xml:space="preserve"> covering:</w:t>
      </w:r>
    </w:p>
    <w:p w:rsidR="00191BDC" w:rsidRPr="00BA3B40" w:rsidRDefault="00191BDC" w:rsidP="00191BDC">
      <w:pPr>
        <w:pStyle w:val="AERbulletlistfirststyle"/>
      </w:pPr>
      <w:r>
        <w:t>the details of a</w:t>
      </w:r>
      <w:r w:rsidRPr="00BA3B40">
        <w:t xml:space="preserve">ny </w:t>
      </w:r>
      <w:r>
        <w:t>CESS we develop</w:t>
      </w:r>
    </w:p>
    <w:p w:rsidR="00191BDC" w:rsidRDefault="00191BDC" w:rsidP="00191BDC">
      <w:pPr>
        <w:pStyle w:val="AERbulletlistfirststyle"/>
      </w:pPr>
      <w:r>
        <w:t>details of how</w:t>
      </w:r>
      <w:r w:rsidRPr="00BA3B40">
        <w:t xml:space="preserve"> </w:t>
      </w:r>
      <w:r>
        <w:t xml:space="preserve">we will </w:t>
      </w:r>
      <w:r w:rsidRPr="00BA3B40">
        <w:t xml:space="preserve">determine whether to use </w:t>
      </w:r>
      <w:r>
        <w:t xml:space="preserve">depreciation based on </w:t>
      </w:r>
      <w:r w:rsidRPr="00BA3B40">
        <w:t xml:space="preserve">actual or forecast </w:t>
      </w:r>
      <w:r>
        <w:t>capex</w:t>
      </w:r>
      <w:r w:rsidRPr="00BA3B40">
        <w:t xml:space="preserve"> to roll forward the RAB at the commencement of a </w:t>
      </w:r>
      <w:r>
        <w:t xml:space="preserve">regulatory control period </w:t>
      </w:r>
    </w:p>
    <w:p w:rsidR="00191BDC" w:rsidRDefault="00191BDC" w:rsidP="00191BDC">
      <w:pPr>
        <w:pStyle w:val="AERbulletlistfirststyle"/>
      </w:pPr>
      <w:r>
        <w:t>our ex post capex review, including our process for:</w:t>
      </w:r>
    </w:p>
    <w:p w:rsidR="00191BDC" w:rsidRDefault="00191BDC" w:rsidP="00191BDC">
      <w:pPr>
        <w:pStyle w:val="AERbulletlistsecondstyle"/>
      </w:pPr>
      <w:r>
        <w:t xml:space="preserve">reviewing the efficiency of capex and for </w:t>
      </w:r>
      <w:r w:rsidRPr="00BA3B40">
        <w:t>assess</w:t>
      </w:r>
      <w:r>
        <w:t>ing</w:t>
      </w:r>
      <w:r w:rsidRPr="00BA3B40">
        <w:t xml:space="preserve"> whether to disallow </w:t>
      </w:r>
      <w:r>
        <w:t xml:space="preserve">inefficient </w:t>
      </w:r>
      <w:r w:rsidRPr="00BA3B40">
        <w:t xml:space="preserve">capex </w:t>
      </w:r>
      <w:r>
        <w:t>overspends from entering the RAB</w:t>
      </w:r>
    </w:p>
    <w:p w:rsidR="00191BDC" w:rsidRDefault="00191BDC" w:rsidP="00191BDC">
      <w:pPr>
        <w:pStyle w:val="AERbulletlistsecondstyle"/>
      </w:pPr>
      <w:r>
        <w:t xml:space="preserve">assessing </w:t>
      </w:r>
      <w:r w:rsidRPr="00BA3B40">
        <w:t>whether third party margins are efficient and whether these should be included in the RAB</w:t>
      </w:r>
    </w:p>
    <w:p w:rsidR="00191BDC" w:rsidRPr="00BA3B40" w:rsidRDefault="00191BDC" w:rsidP="00191BDC">
      <w:pPr>
        <w:pStyle w:val="AERbulletlistsecondstyle"/>
      </w:pPr>
      <w:r w:rsidRPr="00BA3B40">
        <w:t>assess</w:t>
      </w:r>
      <w:r>
        <w:t>ing</w:t>
      </w:r>
      <w:r w:rsidRPr="00BA3B40">
        <w:t xml:space="preserve"> whether </w:t>
      </w:r>
      <w:r>
        <w:t>a NSP</w:t>
      </w:r>
      <w:r w:rsidRPr="00BA3B40">
        <w:t xml:space="preserve">'s capex includes expenditure that was treated as opex at the </w:t>
      </w:r>
      <w:r>
        <w:t>time of the AER's determination</w:t>
      </w:r>
      <w:r w:rsidR="00501D2D">
        <w:t xml:space="preserve"> and whether this should be excluded from the RAB</w:t>
      </w:r>
    </w:p>
    <w:p w:rsidR="00191BDC" w:rsidRDefault="00191BDC" w:rsidP="00191BDC">
      <w:pPr>
        <w:pStyle w:val="AERbulletlistfirststyle"/>
      </w:pPr>
      <w:proofErr w:type="gramStart"/>
      <w:r>
        <w:t>how</w:t>
      </w:r>
      <w:proofErr w:type="gramEnd"/>
      <w:r>
        <w:t xml:space="preserve"> the above schemes and proposals, both individually and taken together, are consistent with the </w:t>
      </w:r>
      <w:r w:rsidRPr="00BA3B40">
        <w:t>capital expenditure incentive objective.</w:t>
      </w:r>
      <w:r w:rsidRPr="00BA3B40">
        <w:rPr>
          <w:rStyle w:val="FootnoteReference"/>
        </w:rPr>
        <w:footnoteReference w:id="12"/>
      </w:r>
    </w:p>
    <w:p w:rsidR="00786D92" w:rsidRPr="00961121" w:rsidRDefault="00786D92" w:rsidP="00786D92">
      <w:pPr>
        <w:pStyle w:val="AERbodytext"/>
      </w:pPr>
      <w:r>
        <w:t xml:space="preserve">The guidelines will have full effect from 2016. Before then transitional arrangements apply as </w:t>
      </w:r>
      <w:r w:rsidR="00501D2D">
        <w:t>outlin</w:t>
      </w:r>
      <w:r>
        <w:t xml:space="preserve">ed in </w:t>
      </w:r>
      <w:r w:rsidR="006939A2">
        <w:t>appendix</w:t>
      </w:r>
      <w:r>
        <w:t xml:space="preserve"> A.</w:t>
      </w:r>
    </w:p>
    <w:p w:rsidR="003A4AC4" w:rsidRDefault="00BB0849" w:rsidP="003A4AC4">
      <w:pPr>
        <w:pStyle w:val="Heading2"/>
      </w:pPr>
      <w:bookmarkStart w:id="22" w:name="_Toc363640479"/>
      <w:r>
        <w:t>C</w:t>
      </w:r>
      <w:r w:rsidR="003A4AC4">
        <w:t>onsultation</w:t>
      </w:r>
      <w:r w:rsidR="001020C1">
        <w:t xml:space="preserve"> process</w:t>
      </w:r>
      <w:bookmarkEnd w:id="22"/>
    </w:p>
    <w:p w:rsidR="003F326A" w:rsidRPr="003F326A" w:rsidRDefault="001020C1" w:rsidP="003F326A">
      <w:pPr>
        <w:pStyle w:val="AERbodytext"/>
      </w:pPr>
      <w:r>
        <w:t>Our consultation to date has included releasing an issues paper, holding a public forum and numerous bilateral meetings.</w:t>
      </w:r>
    </w:p>
    <w:p w:rsidR="003F326A" w:rsidRPr="003F326A" w:rsidRDefault="003F326A" w:rsidP="001F55BB">
      <w:pPr>
        <w:pStyle w:val="Heading3"/>
      </w:pPr>
      <w:r w:rsidRPr="003F326A">
        <w:t>Issues paper</w:t>
      </w:r>
    </w:p>
    <w:p w:rsidR="003F326A" w:rsidRPr="003F326A" w:rsidRDefault="00F6159E" w:rsidP="003F326A">
      <w:pPr>
        <w:pStyle w:val="AERbodytext"/>
        <w:numPr>
          <w:ilvl w:val="0"/>
          <w:numId w:val="13"/>
        </w:numPr>
      </w:pPr>
      <w:r>
        <w:t>We released an Issues P</w:t>
      </w:r>
      <w:r w:rsidR="003F326A" w:rsidRPr="003F326A">
        <w:t>aper on the Expenditure Incentive</w:t>
      </w:r>
      <w:r w:rsidR="004F7FFA">
        <w:t>s</w:t>
      </w:r>
      <w:r w:rsidR="003F326A" w:rsidRPr="003F326A">
        <w:t xml:space="preserve"> </w:t>
      </w:r>
      <w:r w:rsidR="0043387A">
        <w:t>Guidelines</w:t>
      </w:r>
      <w:r w:rsidR="003F326A" w:rsidRPr="003F326A">
        <w:t xml:space="preserve"> on 20 March 2013</w:t>
      </w:r>
      <w:r w:rsidR="001020C1">
        <w:t xml:space="preserve"> and received </w:t>
      </w:r>
      <w:r w:rsidR="004F7FFA">
        <w:t>21</w:t>
      </w:r>
      <w:r w:rsidR="003F326A" w:rsidRPr="003F326A">
        <w:t xml:space="preserve"> written submissions </w:t>
      </w:r>
      <w:r w:rsidR="001020C1">
        <w:t>in response</w:t>
      </w:r>
      <w:r w:rsidR="003F326A" w:rsidRPr="003F326A">
        <w:t xml:space="preserve"> (submissions closed on 10 May 2013).</w:t>
      </w:r>
      <w:r>
        <w:rPr>
          <w:rStyle w:val="FootnoteReference"/>
        </w:rPr>
        <w:footnoteReference w:id="13"/>
      </w:r>
      <w:r w:rsidR="001020C1">
        <w:t xml:space="preserve"> Submissions were from electricity NSPs, gas network businesses, consumer representative groups and consultant groups.</w:t>
      </w:r>
      <w:r w:rsidR="00786D92">
        <w:t xml:space="preserve"> A summary of thes</w:t>
      </w:r>
      <w:r w:rsidR="006939A2">
        <w:t>e submissions is at appendix D</w:t>
      </w:r>
      <w:r w:rsidR="00786D92">
        <w:t>.</w:t>
      </w:r>
    </w:p>
    <w:p w:rsidR="003F326A" w:rsidRPr="003F326A" w:rsidRDefault="003F326A" w:rsidP="003F326A">
      <w:pPr>
        <w:pStyle w:val="AERbodytext"/>
        <w:numPr>
          <w:ilvl w:val="0"/>
          <w:numId w:val="13"/>
        </w:numPr>
      </w:pPr>
      <w:r w:rsidRPr="003F326A">
        <w:t>The issues paper covered both capex and opex incentives and outlined our initial pos</w:t>
      </w:r>
      <w:r w:rsidR="00AA684A">
        <w:t>itions on a number of key issues</w:t>
      </w:r>
      <w:r w:rsidR="00501D2D">
        <w:t>. In relation to capex incentives</w:t>
      </w:r>
      <w:r w:rsidRPr="003F326A">
        <w:t>:</w:t>
      </w:r>
    </w:p>
    <w:p w:rsidR="003F326A" w:rsidRPr="003F326A" w:rsidRDefault="00AA684A" w:rsidP="003F326A">
      <w:pPr>
        <w:pStyle w:val="AERbulletlistfirststyle"/>
      </w:pPr>
      <w:r>
        <w:t>We recommended a</w:t>
      </w:r>
      <w:r w:rsidR="003F326A" w:rsidRPr="003F326A">
        <w:t xml:space="preserve"> </w:t>
      </w:r>
      <w:r w:rsidR="009E6F75" w:rsidRPr="003F326A">
        <w:t>continuous</w:t>
      </w:r>
      <w:r w:rsidR="003F326A" w:rsidRPr="003F326A">
        <w:t xml:space="preserve"> asymmetric CESS with a reward of 20 to 30 per cent and a penalty of greater than 30 per cent </w:t>
      </w:r>
      <w:r w:rsidR="00501D2D">
        <w:t>to</w:t>
      </w:r>
      <w:r w:rsidR="003F326A" w:rsidRPr="003F326A">
        <w:t xml:space="preserve"> apply to all NSPs.</w:t>
      </w:r>
    </w:p>
    <w:p w:rsidR="003F326A" w:rsidRPr="003F326A" w:rsidRDefault="00AA684A" w:rsidP="003F326A">
      <w:pPr>
        <w:pStyle w:val="AERbulletlistfirststyle"/>
      </w:pPr>
      <w:r>
        <w:t>We recommended that f</w:t>
      </w:r>
      <w:r w:rsidR="003F326A" w:rsidRPr="003F326A">
        <w:t>orecast depreciation will be the default approach for rolling forward the RAB except where a CESS does not apply or where there is persistent overspending by an NSP.</w:t>
      </w:r>
    </w:p>
    <w:p w:rsidR="003F326A" w:rsidRDefault="003F326A" w:rsidP="003F326A">
      <w:pPr>
        <w:pStyle w:val="AERbulletlistfirststyle"/>
      </w:pPr>
      <w:r w:rsidRPr="003F326A">
        <w:t xml:space="preserve">We </w:t>
      </w:r>
      <w:r w:rsidR="00AA684A">
        <w:t xml:space="preserve">recommended </w:t>
      </w:r>
      <w:r w:rsidRPr="003F326A">
        <w:t>a staged approach to the ex post review of capex.</w:t>
      </w:r>
    </w:p>
    <w:p w:rsidR="001020C1" w:rsidRPr="003F326A" w:rsidRDefault="00C95AE5" w:rsidP="001020C1">
      <w:pPr>
        <w:pStyle w:val="AERbodytext"/>
      </w:pPr>
      <w:r>
        <w:t>This explanatory s</w:t>
      </w:r>
      <w:r w:rsidR="001020C1">
        <w:t>tatement is focussed on capex incentives</w:t>
      </w:r>
      <w:r w:rsidR="00D00D45">
        <w:t xml:space="preserve"> and is the next stage of consultation following the issues paper</w:t>
      </w:r>
      <w:r w:rsidR="001020C1">
        <w:t xml:space="preserve">. The consultation on opex incentives </w:t>
      </w:r>
      <w:r w:rsidR="00712018">
        <w:t xml:space="preserve">is being </w:t>
      </w:r>
      <w:r>
        <w:t>progressed through a separate explanatory s</w:t>
      </w:r>
      <w:r w:rsidR="001020C1">
        <w:t>tatement and an amended Efficiency Benefit Sharing Scheme (EBSS).</w:t>
      </w:r>
      <w:r w:rsidR="00501D2D">
        <w:rPr>
          <w:rStyle w:val="FootnoteReference"/>
        </w:rPr>
        <w:footnoteReference w:id="14"/>
      </w:r>
    </w:p>
    <w:p w:rsidR="003F326A" w:rsidRDefault="001020C1" w:rsidP="001F55BB">
      <w:pPr>
        <w:pStyle w:val="Heading3"/>
      </w:pPr>
      <w:r>
        <w:t>Public forum</w:t>
      </w:r>
      <w:r w:rsidR="00D00D45">
        <w:t xml:space="preserve"> and meetings</w:t>
      </w:r>
    </w:p>
    <w:p w:rsidR="00D00D45" w:rsidRDefault="00D00D45" w:rsidP="00293F35">
      <w:pPr>
        <w:pStyle w:val="AERbodytext"/>
      </w:pPr>
      <w:r>
        <w:t>We</w:t>
      </w:r>
      <w:r w:rsidR="003F326A" w:rsidRPr="003F326A">
        <w:t xml:space="preserve"> held a joint stakeholder forum on 29 April 2013 to discuss expenditure incentives</w:t>
      </w:r>
      <w:r>
        <w:t xml:space="preserve"> and</w:t>
      </w:r>
      <w:r w:rsidR="003F326A" w:rsidRPr="003F326A">
        <w:t xml:space="preserve"> interaction</w:t>
      </w:r>
      <w:r>
        <w:t>s</w:t>
      </w:r>
      <w:r w:rsidR="003F326A" w:rsidRPr="003F326A">
        <w:t xml:space="preserve"> between expenditure incentives and expenditure assessments</w:t>
      </w:r>
      <w:r>
        <w:t>. We also attended a number of sessions with the Consumer Reference Group (CRG) to explain our initial proposals and discuss the key issues for the CRG in relation to expenditure incentives.</w:t>
      </w:r>
    </w:p>
    <w:p w:rsidR="00D00D45" w:rsidRDefault="00501D2D" w:rsidP="00BB0849">
      <w:pPr>
        <w:pStyle w:val="AERbodytext"/>
      </w:pPr>
      <w:r>
        <w:t>In addition, w</w:t>
      </w:r>
      <w:r w:rsidR="00D00D45">
        <w:t xml:space="preserve">e </w:t>
      </w:r>
      <w:r w:rsidR="009E6F75">
        <w:t>held</w:t>
      </w:r>
      <w:r w:rsidR="00D00D45">
        <w:t xml:space="preserve"> a number of bilateral meetings </w:t>
      </w:r>
      <w:r w:rsidR="00AC37F7">
        <w:t>with key stakeholders including:</w:t>
      </w:r>
    </w:p>
    <w:p w:rsidR="00D00D45" w:rsidRDefault="00D00D45" w:rsidP="00D00D45">
      <w:pPr>
        <w:pStyle w:val="AERbulletlistfirststyle"/>
      </w:pPr>
      <w:r>
        <w:t>11 April</w:t>
      </w:r>
      <w:r w:rsidR="00AC13FD">
        <w:t xml:space="preserve"> and 15 May</w:t>
      </w:r>
      <w:r>
        <w:t>: meeting with SP AusNet</w:t>
      </w:r>
      <w:r w:rsidR="00501D2D">
        <w:t>.</w:t>
      </w:r>
    </w:p>
    <w:p w:rsidR="00D00D45" w:rsidRDefault="00D00D45" w:rsidP="00D00D45">
      <w:pPr>
        <w:pStyle w:val="AERbulletlistfirststyle"/>
      </w:pPr>
      <w:r>
        <w:t xml:space="preserve">17 April: meeting with CitiPower, Powercor and </w:t>
      </w:r>
      <w:r w:rsidRPr="00D00D45">
        <w:t>SA Power Networks</w:t>
      </w:r>
      <w:r>
        <w:t>.</w:t>
      </w:r>
    </w:p>
    <w:p w:rsidR="00D00D45" w:rsidRDefault="00D00D45" w:rsidP="009E6F75">
      <w:pPr>
        <w:pStyle w:val="AERbulletlistfirststyle"/>
      </w:pPr>
      <w:r>
        <w:t xml:space="preserve">22 April: meeting with </w:t>
      </w:r>
      <w:r w:rsidR="009E6F75" w:rsidRPr="009E6F75">
        <w:t>TransGrid</w:t>
      </w:r>
      <w:r w:rsidR="009E6F75">
        <w:t xml:space="preserve">, </w:t>
      </w:r>
      <w:r w:rsidR="009E6F75" w:rsidRPr="009E6F75">
        <w:t>Essential Energy</w:t>
      </w:r>
      <w:r w:rsidR="009E6F75">
        <w:t xml:space="preserve">, </w:t>
      </w:r>
      <w:r w:rsidR="009E6F75" w:rsidRPr="009E6F75">
        <w:t>Endeavour Energy</w:t>
      </w:r>
      <w:r w:rsidR="009E6F75">
        <w:t xml:space="preserve"> and </w:t>
      </w:r>
      <w:r w:rsidR="00293F35">
        <w:t>AusGrid</w:t>
      </w:r>
      <w:r w:rsidR="00501D2D">
        <w:t>.</w:t>
      </w:r>
    </w:p>
    <w:p w:rsidR="00D00D45" w:rsidRDefault="00D00D45" w:rsidP="00D00D45">
      <w:pPr>
        <w:pStyle w:val="AERbulletlistfirststyle"/>
      </w:pPr>
      <w:r>
        <w:t xml:space="preserve">23 April: meeting with </w:t>
      </w:r>
      <w:r w:rsidRPr="00D00D45">
        <w:t>Ergon</w:t>
      </w:r>
      <w:r>
        <w:t xml:space="preserve"> Energy</w:t>
      </w:r>
      <w:r w:rsidRPr="00D00D45">
        <w:t>, Energex and Powerlink</w:t>
      </w:r>
      <w:r>
        <w:t>.</w:t>
      </w:r>
    </w:p>
    <w:p w:rsidR="00AC13FD" w:rsidRDefault="00AC13FD" w:rsidP="00D00D45">
      <w:pPr>
        <w:pStyle w:val="AERbulletlistfirststyle"/>
      </w:pPr>
      <w:r>
        <w:t>10 May: meeting with Jemena.</w:t>
      </w:r>
    </w:p>
    <w:p w:rsidR="00D00D45" w:rsidRDefault="00D07BF0" w:rsidP="00D00D45">
      <w:pPr>
        <w:pStyle w:val="AERbulletlistfirststyle"/>
      </w:pPr>
      <w:r>
        <w:t>14</w:t>
      </w:r>
      <w:r w:rsidR="009E6F75">
        <w:t xml:space="preserve"> May: meeting with </w:t>
      </w:r>
      <w:r>
        <w:t>Electranet</w:t>
      </w:r>
      <w:r w:rsidR="009E6F75">
        <w:t>.</w:t>
      </w:r>
    </w:p>
    <w:p w:rsidR="009E6F75" w:rsidRDefault="009E6F75" w:rsidP="00D00D45">
      <w:pPr>
        <w:pStyle w:val="AERbulletlistfirststyle"/>
      </w:pPr>
      <w:r>
        <w:t xml:space="preserve">5 June: meeting with </w:t>
      </w:r>
      <w:r w:rsidR="00AC13FD">
        <w:t>Carbon + Energy Markets (CEM) on behalf of Energy Users Association of Australia (EUAA</w:t>
      </w:r>
      <w:r w:rsidR="00293F35">
        <w:t>)</w:t>
      </w:r>
      <w:r>
        <w:t>.</w:t>
      </w:r>
    </w:p>
    <w:p w:rsidR="009E6F75" w:rsidRDefault="009E6F75" w:rsidP="001F55BB">
      <w:pPr>
        <w:pStyle w:val="Heading3"/>
      </w:pPr>
      <w:r>
        <w:t>Key dates</w:t>
      </w:r>
    </w:p>
    <w:p w:rsidR="009E6F75" w:rsidRDefault="009E6F75" w:rsidP="009E6F75">
      <w:pPr>
        <w:pStyle w:val="AERbodytext"/>
      </w:pPr>
      <w:r>
        <w:t xml:space="preserve">Key dates for the development of the </w:t>
      </w:r>
      <w:r w:rsidR="0043387A">
        <w:t>guidelines</w:t>
      </w:r>
      <w:r>
        <w:t xml:space="preserve"> are included in table 1 below.</w:t>
      </w:r>
    </w:p>
    <w:p w:rsidR="00AC37F7" w:rsidRPr="00AC37F7" w:rsidRDefault="00AC37F7" w:rsidP="00AC37F7">
      <w:pPr>
        <w:pStyle w:val="Caption"/>
      </w:pPr>
      <w:r w:rsidRPr="00AC37F7">
        <w:t>Table 1</w:t>
      </w:r>
      <w:r w:rsidRPr="00AC37F7">
        <w:tab/>
        <w:t>Timeline for developing the expenditure incentive</w:t>
      </w:r>
      <w:r w:rsidR="004F7FFA">
        <w:t>s</w:t>
      </w:r>
      <w:r w:rsidRPr="00AC37F7">
        <w:t xml:space="preserve"> </w:t>
      </w:r>
      <w:r w:rsidR="0043387A">
        <w:t>guidelines</w:t>
      </w:r>
    </w:p>
    <w:tbl>
      <w:tblPr>
        <w:tblStyle w:val="AERtable-text"/>
        <w:tblW w:w="0" w:type="auto"/>
        <w:tblLook w:val="04A0" w:firstRow="1" w:lastRow="0" w:firstColumn="1" w:lastColumn="0" w:noHBand="0" w:noVBand="1"/>
      </w:tblPr>
      <w:tblGrid>
        <w:gridCol w:w="1526"/>
        <w:gridCol w:w="2977"/>
        <w:gridCol w:w="4739"/>
      </w:tblGrid>
      <w:tr w:rsidR="00AC37F7" w:rsidRPr="00E77220" w:rsidTr="00501D2D">
        <w:trPr>
          <w:cnfStyle w:val="100000000000" w:firstRow="1" w:lastRow="0" w:firstColumn="0" w:lastColumn="0" w:oddVBand="0" w:evenVBand="0" w:oddHBand="0" w:evenHBand="0" w:firstRowFirstColumn="0" w:firstRowLastColumn="0" w:lastRowFirstColumn="0" w:lastRowLastColumn="0"/>
        </w:trPr>
        <w:tc>
          <w:tcPr>
            <w:tcW w:w="1526" w:type="dxa"/>
          </w:tcPr>
          <w:p w:rsidR="00AC37F7" w:rsidRPr="00AC37F7" w:rsidRDefault="00AC37F7" w:rsidP="00AC37F7">
            <w:pPr>
              <w:pStyle w:val="AERtabletextleft"/>
            </w:pPr>
            <w:r w:rsidRPr="00AC37F7">
              <w:t>Date</w:t>
            </w:r>
          </w:p>
        </w:tc>
        <w:tc>
          <w:tcPr>
            <w:tcW w:w="2977" w:type="dxa"/>
          </w:tcPr>
          <w:p w:rsidR="00AC37F7" w:rsidRPr="00AC37F7" w:rsidRDefault="000E37BE" w:rsidP="00AC37F7">
            <w:pPr>
              <w:pStyle w:val="AERtabletextleft"/>
            </w:pPr>
            <w:r>
              <w:t>Milestone</w:t>
            </w:r>
          </w:p>
        </w:tc>
        <w:tc>
          <w:tcPr>
            <w:tcW w:w="4739" w:type="dxa"/>
          </w:tcPr>
          <w:p w:rsidR="00AC37F7" w:rsidRPr="00AC37F7" w:rsidRDefault="00AC37F7" w:rsidP="00AC37F7">
            <w:pPr>
              <w:pStyle w:val="AERtabletextleft"/>
            </w:pPr>
            <w:r w:rsidRPr="00AC37F7">
              <w:t>Description</w:t>
            </w:r>
          </w:p>
        </w:tc>
      </w:tr>
      <w:tr w:rsidR="00AC37F7" w:rsidRPr="00A609EA" w:rsidTr="00501D2D">
        <w:tc>
          <w:tcPr>
            <w:tcW w:w="1526" w:type="dxa"/>
          </w:tcPr>
          <w:p w:rsidR="00AC37F7" w:rsidRPr="00A609EA" w:rsidRDefault="00AC37F7" w:rsidP="00A609EA">
            <w:pPr>
              <w:pStyle w:val="AERtabletextleft"/>
            </w:pPr>
            <w:r w:rsidRPr="00A609EA">
              <w:t>20 March</w:t>
            </w:r>
          </w:p>
        </w:tc>
        <w:tc>
          <w:tcPr>
            <w:tcW w:w="2977" w:type="dxa"/>
          </w:tcPr>
          <w:p w:rsidR="00AC37F7" w:rsidRPr="00A609EA" w:rsidRDefault="00AC37F7" w:rsidP="00A609EA">
            <w:pPr>
              <w:pStyle w:val="AERtabletextleft"/>
            </w:pPr>
            <w:r w:rsidRPr="00A609EA">
              <w:t>Issues paper released</w:t>
            </w:r>
          </w:p>
        </w:tc>
        <w:tc>
          <w:tcPr>
            <w:tcW w:w="4739" w:type="dxa"/>
          </w:tcPr>
          <w:p w:rsidR="00AC37F7" w:rsidRPr="00A609EA" w:rsidRDefault="00AC37F7" w:rsidP="00A609EA">
            <w:pPr>
              <w:pStyle w:val="AERtabletextleft"/>
            </w:pPr>
            <w:r w:rsidRPr="00A609EA">
              <w:t xml:space="preserve">Explained issues and preliminary thoughts on approach to the expenditure </w:t>
            </w:r>
            <w:r w:rsidR="00165EBB" w:rsidRPr="00A609EA">
              <w:t>incentives</w:t>
            </w:r>
            <w:r w:rsidRPr="00A609EA">
              <w:t xml:space="preserve"> </w:t>
            </w:r>
            <w:r w:rsidR="0043387A" w:rsidRPr="00A609EA">
              <w:t>guidelines</w:t>
            </w:r>
            <w:r w:rsidRPr="00A609EA">
              <w:t>. Invited written submissions.</w:t>
            </w:r>
          </w:p>
        </w:tc>
      </w:tr>
      <w:tr w:rsidR="00AC37F7" w:rsidRPr="00A609EA" w:rsidTr="00501D2D">
        <w:trPr>
          <w:cnfStyle w:val="000000010000" w:firstRow="0" w:lastRow="0" w:firstColumn="0" w:lastColumn="0" w:oddVBand="0" w:evenVBand="0" w:oddHBand="0" w:evenHBand="1" w:firstRowFirstColumn="0" w:firstRowLastColumn="0" w:lastRowFirstColumn="0" w:lastRowLastColumn="0"/>
        </w:trPr>
        <w:tc>
          <w:tcPr>
            <w:tcW w:w="1526" w:type="dxa"/>
          </w:tcPr>
          <w:p w:rsidR="00AC37F7" w:rsidRPr="00A609EA" w:rsidRDefault="00AC37F7" w:rsidP="00A609EA">
            <w:pPr>
              <w:pStyle w:val="AERtabletextleft"/>
            </w:pPr>
            <w:r w:rsidRPr="00A609EA">
              <w:t xml:space="preserve">April to May </w:t>
            </w:r>
          </w:p>
        </w:tc>
        <w:tc>
          <w:tcPr>
            <w:tcW w:w="2977" w:type="dxa"/>
          </w:tcPr>
          <w:p w:rsidR="00AC37F7" w:rsidRPr="00A609EA" w:rsidRDefault="00AC37F7" w:rsidP="00A609EA">
            <w:pPr>
              <w:pStyle w:val="AERtabletextleft"/>
            </w:pPr>
            <w:r w:rsidRPr="00A609EA">
              <w:t>Stakeholder meetings</w:t>
            </w:r>
          </w:p>
        </w:tc>
        <w:tc>
          <w:tcPr>
            <w:tcW w:w="4739" w:type="dxa"/>
          </w:tcPr>
          <w:p w:rsidR="00AC37F7" w:rsidRPr="00A609EA" w:rsidRDefault="00AC37F7" w:rsidP="00A609EA">
            <w:pPr>
              <w:pStyle w:val="AERtabletextleft"/>
            </w:pPr>
            <w:r w:rsidRPr="00A609EA">
              <w:t>Meetings with NSPs and the Consumer Reference Group.</w:t>
            </w:r>
          </w:p>
        </w:tc>
      </w:tr>
      <w:tr w:rsidR="00AC37F7" w:rsidRPr="00A609EA" w:rsidTr="00501D2D">
        <w:tc>
          <w:tcPr>
            <w:tcW w:w="1526" w:type="dxa"/>
          </w:tcPr>
          <w:p w:rsidR="00AC37F7" w:rsidRPr="00A609EA" w:rsidRDefault="00AC37F7" w:rsidP="00A609EA">
            <w:pPr>
              <w:pStyle w:val="AERtabletextleft"/>
            </w:pPr>
            <w:r w:rsidRPr="00A609EA">
              <w:t>29 April</w:t>
            </w:r>
          </w:p>
        </w:tc>
        <w:tc>
          <w:tcPr>
            <w:tcW w:w="2977" w:type="dxa"/>
          </w:tcPr>
          <w:p w:rsidR="00AC37F7" w:rsidRPr="00A609EA" w:rsidRDefault="00AC37F7" w:rsidP="00A609EA">
            <w:pPr>
              <w:pStyle w:val="AERtabletextleft"/>
            </w:pPr>
            <w:r w:rsidRPr="00A609EA">
              <w:t>Stakeholder forum</w:t>
            </w:r>
          </w:p>
        </w:tc>
        <w:tc>
          <w:tcPr>
            <w:tcW w:w="4739" w:type="dxa"/>
          </w:tcPr>
          <w:p w:rsidR="00AC37F7" w:rsidRPr="00A609EA" w:rsidRDefault="00AC37F7" w:rsidP="00A609EA">
            <w:pPr>
              <w:pStyle w:val="AERtabletextleft"/>
            </w:pPr>
            <w:r w:rsidRPr="00A609EA">
              <w:t xml:space="preserve">Public forum on the issues paper and interactions with expenditure forecast assessment </w:t>
            </w:r>
            <w:r w:rsidR="0043387A" w:rsidRPr="00A609EA">
              <w:t>guidelines</w:t>
            </w:r>
            <w:r w:rsidRPr="00A609EA">
              <w:t xml:space="preserve">. </w:t>
            </w:r>
          </w:p>
        </w:tc>
      </w:tr>
      <w:tr w:rsidR="00AC37F7" w:rsidRPr="00A609EA" w:rsidTr="00501D2D">
        <w:trPr>
          <w:cnfStyle w:val="000000010000" w:firstRow="0" w:lastRow="0" w:firstColumn="0" w:lastColumn="0" w:oddVBand="0" w:evenVBand="0" w:oddHBand="0" w:evenHBand="1" w:firstRowFirstColumn="0" w:firstRowLastColumn="0" w:lastRowFirstColumn="0" w:lastRowLastColumn="0"/>
        </w:trPr>
        <w:tc>
          <w:tcPr>
            <w:tcW w:w="1526" w:type="dxa"/>
          </w:tcPr>
          <w:p w:rsidR="00AC37F7" w:rsidRPr="00A609EA" w:rsidRDefault="00AC37F7" w:rsidP="00A609EA">
            <w:pPr>
              <w:pStyle w:val="AERtabletextleft"/>
            </w:pPr>
            <w:r w:rsidRPr="00A609EA">
              <w:t xml:space="preserve">10 May </w:t>
            </w:r>
          </w:p>
        </w:tc>
        <w:tc>
          <w:tcPr>
            <w:tcW w:w="2977" w:type="dxa"/>
          </w:tcPr>
          <w:p w:rsidR="00AC37F7" w:rsidRPr="00A609EA" w:rsidRDefault="00AC37F7" w:rsidP="00A609EA">
            <w:pPr>
              <w:pStyle w:val="AERtabletextleft"/>
            </w:pPr>
            <w:r w:rsidRPr="00A609EA">
              <w:t>Submission on issues paper due</w:t>
            </w:r>
          </w:p>
        </w:tc>
        <w:tc>
          <w:tcPr>
            <w:tcW w:w="4739" w:type="dxa"/>
          </w:tcPr>
          <w:p w:rsidR="00AC37F7" w:rsidRPr="00A609EA" w:rsidRDefault="00AC37F7" w:rsidP="00A609EA">
            <w:pPr>
              <w:pStyle w:val="AERtabletextleft"/>
            </w:pPr>
            <w:r w:rsidRPr="00A609EA">
              <w:t>Formal response</w:t>
            </w:r>
            <w:r w:rsidR="00501D2D" w:rsidRPr="00A609EA">
              <w:t>s by stakeholders</w:t>
            </w:r>
            <w:r w:rsidRPr="00A609EA">
              <w:t xml:space="preserve"> to</w:t>
            </w:r>
            <w:r w:rsidR="00501D2D" w:rsidRPr="00A609EA">
              <w:t xml:space="preserve"> the</w:t>
            </w:r>
            <w:r w:rsidRPr="00A609EA">
              <w:t xml:space="preserve"> issues paper.</w:t>
            </w:r>
          </w:p>
        </w:tc>
      </w:tr>
      <w:tr w:rsidR="00AC37F7" w:rsidRPr="00A609EA" w:rsidTr="00501D2D">
        <w:tc>
          <w:tcPr>
            <w:tcW w:w="1526" w:type="dxa"/>
          </w:tcPr>
          <w:p w:rsidR="00AC37F7" w:rsidRPr="00A609EA" w:rsidRDefault="00AC37F7" w:rsidP="00A609EA">
            <w:pPr>
              <w:pStyle w:val="AERtabletextleft"/>
            </w:pPr>
            <w:r w:rsidRPr="00A609EA">
              <w:t>9 August</w:t>
            </w:r>
          </w:p>
        </w:tc>
        <w:tc>
          <w:tcPr>
            <w:tcW w:w="2977" w:type="dxa"/>
          </w:tcPr>
          <w:p w:rsidR="00AC37F7" w:rsidRPr="00A609EA" w:rsidRDefault="00AC37F7" w:rsidP="00A609EA">
            <w:pPr>
              <w:pStyle w:val="AERtabletextleft"/>
            </w:pPr>
            <w:r w:rsidRPr="00A609EA">
              <w:t xml:space="preserve">Draft </w:t>
            </w:r>
            <w:r w:rsidR="0043387A" w:rsidRPr="00A609EA">
              <w:t>guidelines</w:t>
            </w:r>
            <w:r w:rsidRPr="00A609EA">
              <w:t xml:space="preserve"> </w:t>
            </w:r>
            <w:r w:rsidR="00501D2D" w:rsidRPr="00A609EA">
              <w:t xml:space="preserve">and explanatory statement </w:t>
            </w:r>
            <w:r w:rsidRPr="00A609EA">
              <w:t>published</w:t>
            </w:r>
          </w:p>
        </w:tc>
        <w:tc>
          <w:tcPr>
            <w:tcW w:w="4739" w:type="dxa"/>
          </w:tcPr>
          <w:p w:rsidR="00AC37F7" w:rsidRPr="00A609EA" w:rsidRDefault="00AC37F7" w:rsidP="00A609EA">
            <w:pPr>
              <w:pStyle w:val="AERtabletextleft"/>
            </w:pPr>
            <w:r w:rsidRPr="00A609EA">
              <w:t>Sets out AER's draft positions on incentives for efficient capital expenditure. Invites written submissions</w:t>
            </w:r>
            <w:r w:rsidR="00501D2D" w:rsidRPr="00A609EA">
              <w:t xml:space="preserve"> by 20 September.</w:t>
            </w:r>
          </w:p>
        </w:tc>
      </w:tr>
      <w:tr w:rsidR="00AC37F7" w:rsidRPr="00A609EA" w:rsidTr="00501D2D">
        <w:trPr>
          <w:cnfStyle w:val="000000010000" w:firstRow="0" w:lastRow="0" w:firstColumn="0" w:lastColumn="0" w:oddVBand="0" w:evenVBand="0" w:oddHBand="0" w:evenHBand="1" w:firstRowFirstColumn="0" w:firstRowLastColumn="0" w:lastRowFirstColumn="0" w:lastRowLastColumn="0"/>
        </w:trPr>
        <w:tc>
          <w:tcPr>
            <w:tcW w:w="1526" w:type="dxa"/>
          </w:tcPr>
          <w:p w:rsidR="00AC37F7" w:rsidRPr="00A609EA" w:rsidRDefault="00AC37F7" w:rsidP="00A609EA">
            <w:pPr>
              <w:pStyle w:val="AERtabletextleft"/>
            </w:pPr>
            <w:r w:rsidRPr="00A609EA">
              <w:t>August to October</w:t>
            </w:r>
          </w:p>
        </w:tc>
        <w:tc>
          <w:tcPr>
            <w:tcW w:w="2977" w:type="dxa"/>
          </w:tcPr>
          <w:p w:rsidR="00AC37F7" w:rsidRPr="00A609EA" w:rsidRDefault="00AC37F7" w:rsidP="00A609EA">
            <w:pPr>
              <w:pStyle w:val="AERtabletextleft"/>
            </w:pPr>
            <w:r w:rsidRPr="00A609EA">
              <w:t>Stakeholder consultation</w:t>
            </w:r>
          </w:p>
        </w:tc>
        <w:tc>
          <w:tcPr>
            <w:tcW w:w="4739" w:type="dxa"/>
          </w:tcPr>
          <w:p w:rsidR="00AC37F7" w:rsidRPr="00A609EA" w:rsidRDefault="00AC37F7" w:rsidP="00A609EA">
            <w:pPr>
              <w:pStyle w:val="AERtabletextleft"/>
            </w:pPr>
            <w:r w:rsidRPr="00A609EA">
              <w:t>Further discussions with stakeholders.</w:t>
            </w:r>
          </w:p>
        </w:tc>
      </w:tr>
      <w:tr w:rsidR="00AC37F7" w:rsidRPr="00A609EA" w:rsidTr="00501D2D">
        <w:tc>
          <w:tcPr>
            <w:tcW w:w="1526" w:type="dxa"/>
          </w:tcPr>
          <w:p w:rsidR="00AC37F7" w:rsidRPr="00A609EA" w:rsidRDefault="00F6159E" w:rsidP="00A609EA">
            <w:pPr>
              <w:pStyle w:val="AERtabletextleft"/>
            </w:pPr>
            <w:r w:rsidRPr="00A609EA">
              <w:t>20</w:t>
            </w:r>
            <w:r w:rsidR="00AC37F7" w:rsidRPr="00A609EA">
              <w:t xml:space="preserve"> September</w:t>
            </w:r>
          </w:p>
        </w:tc>
        <w:tc>
          <w:tcPr>
            <w:tcW w:w="2977" w:type="dxa"/>
          </w:tcPr>
          <w:p w:rsidR="00AC37F7" w:rsidRPr="00A609EA" w:rsidRDefault="00AC37F7" w:rsidP="00A609EA">
            <w:pPr>
              <w:pStyle w:val="AERtabletextleft"/>
            </w:pPr>
            <w:r w:rsidRPr="00A609EA">
              <w:t xml:space="preserve">Submissions on draft </w:t>
            </w:r>
            <w:r w:rsidR="0043387A" w:rsidRPr="00A609EA">
              <w:t>guidelines</w:t>
            </w:r>
            <w:r w:rsidRPr="00A609EA">
              <w:t xml:space="preserve"> due </w:t>
            </w:r>
          </w:p>
        </w:tc>
        <w:tc>
          <w:tcPr>
            <w:tcW w:w="4739" w:type="dxa"/>
          </w:tcPr>
          <w:p w:rsidR="00AC37F7" w:rsidRPr="00A609EA" w:rsidRDefault="00AC37F7" w:rsidP="00A609EA">
            <w:pPr>
              <w:pStyle w:val="AERtabletextleft"/>
            </w:pPr>
            <w:r w:rsidRPr="00A609EA">
              <w:t>Formal response</w:t>
            </w:r>
            <w:r w:rsidR="00501D2D" w:rsidRPr="00A609EA">
              <w:t>s</w:t>
            </w:r>
            <w:r w:rsidRPr="00A609EA">
              <w:t xml:space="preserve"> by stakeholders</w:t>
            </w:r>
            <w:r w:rsidR="00501D2D" w:rsidRPr="00A609EA">
              <w:t xml:space="preserve"> to the draft guidelines</w:t>
            </w:r>
            <w:r w:rsidRPr="00A609EA">
              <w:t>.</w:t>
            </w:r>
          </w:p>
        </w:tc>
      </w:tr>
      <w:tr w:rsidR="00AC37F7" w:rsidRPr="00A609EA" w:rsidTr="00501D2D">
        <w:trPr>
          <w:cnfStyle w:val="000000010000" w:firstRow="0" w:lastRow="0" w:firstColumn="0" w:lastColumn="0" w:oddVBand="0" w:evenVBand="0" w:oddHBand="0" w:evenHBand="1" w:firstRowFirstColumn="0" w:firstRowLastColumn="0" w:lastRowFirstColumn="0" w:lastRowLastColumn="0"/>
        </w:trPr>
        <w:tc>
          <w:tcPr>
            <w:tcW w:w="1526" w:type="dxa"/>
          </w:tcPr>
          <w:p w:rsidR="00AC37F7" w:rsidRPr="00A609EA" w:rsidRDefault="00AC37F7" w:rsidP="00A609EA">
            <w:pPr>
              <w:pStyle w:val="AERtabletextleft"/>
            </w:pPr>
            <w:r w:rsidRPr="00A609EA">
              <w:t>29 November</w:t>
            </w:r>
          </w:p>
        </w:tc>
        <w:tc>
          <w:tcPr>
            <w:tcW w:w="2977" w:type="dxa"/>
          </w:tcPr>
          <w:p w:rsidR="00AC37F7" w:rsidRPr="00A609EA" w:rsidRDefault="00AC37F7" w:rsidP="00A609EA">
            <w:pPr>
              <w:pStyle w:val="AERtabletextleft"/>
            </w:pPr>
            <w:r w:rsidRPr="00A609EA">
              <w:t xml:space="preserve">Publish final </w:t>
            </w:r>
            <w:r w:rsidR="0043387A" w:rsidRPr="00A609EA">
              <w:t>Guidelines</w:t>
            </w:r>
          </w:p>
        </w:tc>
        <w:tc>
          <w:tcPr>
            <w:tcW w:w="4739" w:type="dxa"/>
          </w:tcPr>
          <w:p w:rsidR="00AC37F7" w:rsidRPr="00A609EA" w:rsidRDefault="00AC37F7" w:rsidP="00A609EA">
            <w:pPr>
              <w:pStyle w:val="AERtabletextleft"/>
            </w:pPr>
            <w:r w:rsidRPr="00A609EA">
              <w:t xml:space="preserve">Publication of final </w:t>
            </w:r>
            <w:r w:rsidR="00165EBB" w:rsidRPr="00A609EA">
              <w:t>capital expenditure incentive</w:t>
            </w:r>
            <w:r w:rsidRPr="00A609EA">
              <w:t xml:space="preserve"> </w:t>
            </w:r>
            <w:r w:rsidR="0043387A" w:rsidRPr="00A609EA">
              <w:t>guidelines</w:t>
            </w:r>
            <w:r w:rsidRPr="00A609EA">
              <w:t>.</w:t>
            </w:r>
          </w:p>
        </w:tc>
      </w:tr>
    </w:tbl>
    <w:p w:rsidR="00AC37F7" w:rsidRPr="00AC37F7" w:rsidRDefault="00AC37F7" w:rsidP="00AC37F7">
      <w:pPr>
        <w:pStyle w:val="FootnoteText"/>
      </w:pPr>
    </w:p>
    <w:p w:rsidR="00961121" w:rsidRDefault="00C95AE5" w:rsidP="005F63DE">
      <w:pPr>
        <w:pStyle w:val="Heading2"/>
      </w:pPr>
      <w:bookmarkStart w:id="23" w:name="_Toc363640480"/>
      <w:r>
        <w:t>S</w:t>
      </w:r>
      <w:r w:rsidR="005F63DE">
        <w:t>tructure</w:t>
      </w:r>
      <w:bookmarkEnd w:id="23"/>
    </w:p>
    <w:p w:rsidR="005F63DE" w:rsidRDefault="00C95AE5" w:rsidP="005F63DE">
      <w:pPr>
        <w:pStyle w:val="AERbodytext"/>
      </w:pPr>
      <w:r>
        <w:t>This explanatory s</w:t>
      </w:r>
      <w:r w:rsidR="005F63DE">
        <w:t>tatement is structured as follows:</w:t>
      </w:r>
    </w:p>
    <w:p w:rsidR="005F63DE" w:rsidRDefault="005F63DE" w:rsidP="005F63DE">
      <w:pPr>
        <w:pStyle w:val="AERbulletlistfirststyle"/>
      </w:pPr>
      <w:r>
        <w:t>Chapter 2 discusses our proposed approach for the CESS</w:t>
      </w:r>
      <w:r w:rsidR="00AA684A">
        <w:t>.</w:t>
      </w:r>
    </w:p>
    <w:p w:rsidR="005F63DE" w:rsidRDefault="00856907" w:rsidP="005F63DE">
      <w:pPr>
        <w:pStyle w:val="AERbulletlistfirststyle"/>
      </w:pPr>
      <w:r>
        <w:t>Chapter 3 discusses</w:t>
      </w:r>
      <w:r w:rsidR="005F63DE">
        <w:t xml:space="preserve"> our proposed approach for determining whether</w:t>
      </w:r>
      <w:r>
        <w:t xml:space="preserve"> to use depreciation based on actual or forecast capex to roll forward the RAB</w:t>
      </w:r>
      <w:r w:rsidR="00AA684A">
        <w:t>.</w:t>
      </w:r>
    </w:p>
    <w:p w:rsidR="00856907" w:rsidRDefault="00856907" w:rsidP="005F63DE">
      <w:pPr>
        <w:pStyle w:val="AERbulletlistfirststyle"/>
      </w:pPr>
      <w:r>
        <w:t>Chapter 4 discusses our proposed approach for the new ex post measures including the statement of efficiency and the ability to exclude capex from the RAB where there is an inefficient overspend, inflated related party margin or capitalised opex.</w:t>
      </w:r>
    </w:p>
    <w:p w:rsidR="004F7FFA" w:rsidRDefault="004F7FFA" w:rsidP="005F63DE">
      <w:pPr>
        <w:pStyle w:val="AERbulletlistfirststyle"/>
      </w:pPr>
      <w:r>
        <w:t>Appendix A discusses the transitional arrangements.</w:t>
      </w:r>
    </w:p>
    <w:p w:rsidR="004F7FFA" w:rsidRDefault="004F7FFA" w:rsidP="005F63DE">
      <w:pPr>
        <w:pStyle w:val="AERbulletlistfirststyle"/>
      </w:pPr>
      <w:r>
        <w:t>Appendix B replicates key parts of the NER.</w:t>
      </w:r>
    </w:p>
    <w:p w:rsidR="004F7FFA" w:rsidRDefault="004F7FFA" w:rsidP="005F63DE">
      <w:pPr>
        <w:pStyle w:val="AERbulletlistfirststyle"/>
      </w:pPr>
      <w:r>
        <w:t>Appendix C provides two worked examples on how the CESS will be calculated where capex is excluded from the RAB as a result of the ex post review.</w:t>
      </w:r>
    </w:p>
    <w:p w:rsidR="004F7FFA" w:rsidRPr="005F63DE" w:rsidRDefault="004F7FFA" w:rsidP="005F63DE">
      <w:pPr>
        <w:pStyle w:val="AERbulletlistfirststyle"/>
      </w:pPr>
      <w:r>
        <w:t>Appendix D summarises submissions to the Expenditure Incentives Issues Paper and views of the Consumer Reference Group.</w:t>
      </w:r>
    </w:p>
    <w:p w:rsidR="00C256E0" w:rsidRDefault="00212DD2" w:rsidP="00212DD2">
      <w:pPr>
        <w:pStyle w:val="Heading1"/>
      </w:pPr>
      <w:bookmarkStart w:id="24" w:name="_Toc363640481"/>
      <w:r w:rsidRPr="00212DD2">
        <w:t>Capital</w:t>
      </w:r>
      <w:r>
        <w:t xml:space="preserve"> expenditure sharing scheme</w:t>
      </w:r>
      <w:bookmarkEnd w:id="24"/>
    </w:p>
    <w:p w:rsidR="00212DD2" w:rsidRDefault="00212DD2" w:rsidP="00212DD2">
      <w:pPr>
        <w:pStyle w:val="AERbodytext"/>
      </w:pPr>
      <w:r>
        <w:t xml:space="preserve">This chapter outlines our draft decision on the form of </w:t>
      </w:r>
      <w:r w:rsidR="00AA684A">
        <w:t>CESS</w:t>
      </w:r>
      <w:r>
        <w:t>.</w:t>
      </w:r>
      <w:r w:rsidR="004A0F72">
        <w:t xml:space="preserve"> The objective of the CESS is to provide an incentive for NSPs to pursue efficiency improvements in capex</w:t>
      </w:r>
      <w:r w:rsidR="00AA684A">
        <w:t xml:space="preserve"> during the regulatory control period</w:t>
      </w:r>
      <w:r w:rsidR="004A0F72">
        <w:t xml:space="preserve">. This is achieved by rewarding NSPs that can outperform their allowance and penalising NSPs that overspend </w:t>
      </w:r>
      <w:r w:rsidR="00DE633D">
        <w:t>against</w:t>
      </w:r>
      <w:r w:rsidR="004A0F72">
        <w:t xml:space="preserve"> their allowance.</w:t>
      </w:r>
    </w:p>
    <w:p w:rsidR="00613449" w:rsidRPr="00191A17" w:rsidRDefault="00613449" w:rsidP="00613449">
      <w:pPr>
        <w:pStyle w:val="AERbodytext"/>
        <w:numPr>
          <w:ilvl w:val="0"/>
          <w:numId w:val="13"/>
        </w:numPr>
      </w:pPr>
      <w:r w:rsidRPr="00191A17">
        <w:t xml:space="preserve">Requirements for the CESS are contained in </w:t>
      </w:r>
      <w:r>
        <w:t xml:space="preserve">clauses </w:t>
      </w:r>
      <w:r w:rsidRPr="00191A17">
        <w:t xml:space="preserve">6.5.8A </w:t>
      </w:r>
      <w:r>
        <w:t xml:space="preserve">and </w:t>
      </w:r>
      <w:r w:rsidRPr="00191A17">
        <w:t>6A.6.5A</w:t>
      </w:r>
      <w:r>
        <w:t xml:space="preserve"> of the NER</w:t>
      </w:r>
      <w:r w:rsidRPr="00191A17">
        <w:t xml:space="preserve">. These provide that </w:t>
      </w:r>
      <w:r>
        <w:t xml:space="preserve">any CESS must be consistent with the </w:t>
      </w:r>
      <w:r w:rsidRPr="00613449">
        <w:t>capital expenditure incentive objective</w:t>
      </w:r>
      <w:r w:rsidR="006939A2">
        <w:t xml:space="preserve"> (see appendix B</w:t>
      </w:r>
      <w:r w:rsidR="00C573A7">
        <w:t>)</w:t>
      </w:r>
      <w:r>
        <w:t>.</w:t>
      </w:r>
      <w:r w:rsidR="00C573A7" w:rsidRPr="00613449">
        <w:rPr>
          <w:rStyle w:val="FootnoteReference"/>
        </w:rPr>
        <w:footnoteReference w:id="15"/>
      </w:r>
      <w:r w:rsidRPr="00191A17">
        <w:t xml:space="preserve"> In </w:t>
      </w:r>
      <w:r>
        <w:t>addition, in developing any CESS</w:t>
      </w:r>
      <w:r w:rsidRPr="00191A17">
        <w:t xml:space="preserve"> the AER must take into account:</w:t>
      </w:r>
    </w:p>
    <w:p w:rsidR="00613449" w:rsidRPr="00501D2D" w:rsidRDefault="00613449" w:rsidP="00501D2D">
      <w:pPr>
        <w:pStyle w:val="AERbulletlistfirststyle"/>
      </w:pPr>
      <w:r w:rsidRPr="00191A17">
        <w:t xml:space="preserve">the </w:t>
      </w:r>
      <w:r w:rsidRPr="00501D2D">
        <w:t xml:space="preserve">following </w:t>
      </w:r>
      <w:r w:rsidRPr="00501D2D">
        <w:rPr>
          <w:rStyle w:val="AERtextitalic"/>
          <w:i w:val="0"/>
        </w:rPr>
        <w:t>capital expenditure sharing scheme principles</w:t>
      </w:r>
      <w:r w:rsidRPr="00501D2D">
        <w:t xml:space="preserve">: </w:t>
      </w:r>
    </w:p>
    <w:p w:rsidR="00613449" w:rsidRPr="00191A17" w:rsidRDefault="00613449" w:rsidP="00613449">
      <w:pPr>
        <w:pStyle w:val="AERbulletlistsecondstyle"/>
      </w:pPr>
      <w:r w:rsidRPr="00191A17">
        <w:t xml:space="preserve">NSPs should be rewarded or penalised for improvements or declines in </w:t>
      </w:r>
      <w:r>
        <w:t>capex</w:t>
      </w:r>
      <w:r w:rsidRPr="00191A17">
        <w:t xml:space="preserve"> efficiency</w:t>
      </w:r>
    </w:p>
    <w:p w:rsidR="00613449" w:rsidRPr="00191A17" w:rsidRDefault="00613449" w:rsidP="00613449">
      <w:pPr>
        <w:pStyle w:val="AERbulletlistsecondstyle"/>
      </w:pPr>
      <w:r w:rsidRPr="00191A17">
        <w:t xml:space="preserve">rewards and penalties should be commensurate with efficiencies or inefficiencies, but rewards and penalties do not have to be symmetric </w:t>
      </w:r>
    </w:p>
    <w:p w:rsidR="00613449" w:rsidRPr="00191A17" w:rsidRDefault="00613449" w:rsidP="00613449">
      <w:pPr>
        <w:pStyle w:val="AERbulletlistfirststyle"/>
      </w:pPr>
      <w:r w:rsidRPr="00191A17">
        <w:t>interaction</w:t>
      </w:r>
      <w:r>
        <w:t xml:space="preserve"> of the CESS</w:t>
      </w:r>
      <w:r w:rsidRPr="00191A17">
        <w:t xml:space="preserve"> with any other scheme</w:t>
      </w:r>
      <w:r>
        <w:t>s for</w:t>
      </w:r>
      <w:r w:rsidRPr="00191A17">
        <w:t xml:space="preserve"> efficient opex or capex</w:t>
      </w:r>
    </w:p>
    <w:p w:rsidR="00613449" w:rsidRPr="00501D2D" w:rsidRDefault="00613449" w:rsidP="00501D2D">
      <w:pPr>
        <w:pStyle w:val="AERbulletlistfirststyle"/>
      </w:pPr>
      <w:proofErr w:type="gramStart"/>
      <w:r w:rsidRPr="00501D2D">
        <w:t>the</w:t>
      </w:r>
      <w:proofErr w:type="gramEnd"/>
      <w:r w:rsidRPr="00501D2D">
        <w:t xml:space="preserve"> </w:t>
      </w:r>
      <w:r w:rsidRPr="00501D2D">
        <w:rPr>
          <w:rStyle w:val="AERtextitalic"/>
          <w:i w:val="0"/>
        </w:rPr>
        <w:t>capital expenditure objectives</w:t>
      </w:r>
      <w:r w:rsidR="00C573A7" w:rsidRPr="00501D2D">
        <w:rPr>
          <w:rStyle w:val="AERtextitalic"/>
          <w:i w:val="0"/>
        </w:rPr>
        <w:t xml:space="preserve"> </w:t>
      </w:r>
      <w:r w:rsidR="006939A2" w:rsidRPr="00501D2D">
        <w:t>(see appendix B</w:t>
      </w:r>
      <w:r w:rsidR="00C573A7" w:rsidRPr="00501D2D">
        <w:t xml:space="preserve">) </w:t>
      </w:r>
      <w:r w:rsidRPr="00501D2D">
        <w:t xml:space="preserve">and, if relevant, the </w:t>
      </w:r>
      <w:r w:rsidRPr="00501D2D">
        <w:rPr>
          <w:rStyle w:val="AERtextitalic"/>
          <w:i w:val="0"/>
        </w:rPr>
        <w:t>operating expenditure objectives</w:t>
      </w:r>
      <w:r w:rsidRPr="00501D2D">
        <w:t>.</w:t>
      </w:r>
    </w:p>
    <w:p w:rsidR="00613449" w:rsidRPr="00191A17" w:rsidRDefault="00613449" w:rsidP="00613449">
      <w:pPr>
        <w:pStyle w:val="AERbodytext"/>
        <w:numPr>
          <w:ilvl w:val="0"/>
          <w:numId w:val="13"/>
        </w:numPr>
      </w:pPr>
      <w:r>
        <w:t xml:space="preserve">In </w:t>
      </w:r>
      <w:r w:rsidRPr="00191A17">
        <w:t xml:space="preserve">deciding whether to apply a CESS to </w:t>
      </w:r>
      <w:r>
        <w:t>a NSP</w:t>
      </w:r>
      <w:r w:rsidRPr="00191A17">
        <w:t xml:space="preserve">, and the nature and details of any CESS that is to apply to </w:t>
      </w:r>
      <w:r>
        <w:t>a NSP</w:t>
      </w:r>
      <w:r w:rsidRPr="00191A17">
        <w:t>,</w:t>
      </w:r>
      <w:r>
        <w:t xml:space="preserve"> we</w:t>
      </w:r>
      <w:r w:rsidRPr="00191A17">
        <w:t xml:space="preserve"> must:</w:t>
      </w:r>
    </w:p>
    <w:p w:rsidR="00613449" w:rsidRPr="00501D2D" w:rsidRDefault="00613449" w:rsidP="00501D2D">
      <w:pPr>
        <w:pStyle w:val="AERbulletlistfirststyle"/>
        <w:rPr>
          <w:rStyle w:val="AERtextitalic"/>
          <w:i w:val="0"/>
        </w:rPr>
      </w:pPr>
      <w:r w:rsidRPr="00212DD2">
        <w:t>make th</w:t>
      </w:r>
      <w:r>
        <w:t>e</w:t>
      </w:r>
      <w:r w:rsidRPr="00212DD2">
        <w:t xml:space="preserve"> decision in a manner that contributes </w:t>
      </w:r>
      <w:r w:rsidRPr="00501D2D">
        <w:t xml:space="preserve">to the achievement of the </w:t>
      </w:r>
      <w:r w:rsidRPr="00501D2D">
        <w:rPr>
          <w:rStyle w:val="AERtextitalic"/>
          <w:i w:val="0"/>
        </w:rPr>
        <w:t>capital expenditure incentive objective</w:t>
      </w:r>
    </w:p>
    <w:p w:rsidR="00613449" w:rsidRPr="00501D2D" w:rsidRDefault="00613449" w:rsidP="00501D2D">
      <w:pPr>
        <w:pStyle w:val="AERbulletlistfirststyle"/>
      </w:pPr>
      <w:proofErr w:type="gramStart"/>
      <w:r w:rsidRPr="00501D2D">
        <w:t>take</w:t>
      </w:r>
      <w:proofErr w:type="gramEnd"/>
      <w:r w:rsidRPr="00501D2D">
        <w:t xml:space="preserve"> into account the </w:t>
      </w:r>
      <w:r w:rsidRPr="00501D2D">
        <w:rPr>
          <w:rStyle w:val="AERtextitalic"/>
          <w:i w:val="0"/>
        </w:rPr>
        <w:t>capital expenditure sharing scheme principles</w:t>
      </w:r>
      <w:r w:rsidRPr="00501D2D">
        <w:t xml:space="preserve"> (above) and the circumstances of the NSP.</w:t>
      </w:r>
    </w:p>
    <w:p w:rsidR="003A3D75" w:rsidRDefault="003A3D75" w:rsidP="003A3D75">
      <w:pPr>
        <w:pStyle w:val="Heading2"/>
      </w:pPr>
      <w:bookmarkStart w:id="25" w:name="_Toc363640482"/>
      <w:r w:rsidRPr="003A3D75">
        <w:t>Issue</w:t>
      </w:r>
      <w:bookmarkEnd w:id="25"/>
    </w:p>
    <w:p w:rsidR="000E37BE" w:rsidRDefault="000E37BE" w:rsidP="004A0F72">
      <w:pPr>
        <w:pStyle w:val="AERbodytext"/>
      </w:pPr>
      <w:r>
        <w:t xml:space="preserve">A CESS </w:t>
      </w:r>
      <w:r w:rsidR="00AC13FD">
        <w:t>is a mechanism that rewards NSPs</w:t>
      </w:r>
      <w:r>
        <w:t xml:space="preserve"> for </w:t>
      </w:r>
      <w:r w:rsidR="00501D2D">
        <w:t>capex efficiency gains</w:t>
      </w:r>
      <w:r>
        <w:t xml:space="preserve"> and penalises NSPs for </w:t>
      </w:r>
      <w:r w:rsidR="00501D2D">
        <w:t>capex efficiency losses</w:t>
      </w:r>
      <w:r>
        <w:t>. In this way it incentivises NSPs to pursue efficient capex.</w:t>
      </w:r>
      <w:r w:rsidR="00501D2D">
        <w:t xml:space="preserve"> For the purposes of the CESS, a NSP's capex allowance is used as the best estimate of efficient capex. Hence, </w:t>
      </w:r>
      <w:proofErr w:type="gramStart"/>
      <w:r w:rsidR="00501D2D">
        <w:t>an overspend</w:t>
      </w:r>
      <w:proofErr w:type="gramEnd"/>
      <w:r w:rsidR="00501D2D">
        <w:t xml:space="preserve"> against the allowance counts as an efficiency loss and an underspend counts as an efficiency benefit.</w:t>
      </w:r>
    </w:p>
    <w:p w:rsidR="004A0F72" w:rsidRDefault="004A0F72" w:rsidP="004A0F72">
      <w:pPr>
        <w:pStyle w:val="AERbodytext"/>
      </w:pPr>
      <w:r>
        <w:t xml:space="preserve">In our issues paper we proposed that one CESS </w:t>
      </w:r>
      <w:r w:rsidR="000E37BE">
        <w:t xml:space="preserve">should </w:t>
      </w:r>
      <w:r>
        <w:t>apply to all NSPs. This CESS would be:</w:t>
      </w:r>
    </w:p>
    <w:p w:rsidR="004A0F72" w:rsidRDefault="004A0F72" w:rsidP="004A0F72">
      <w:pPr>
        <w:pStyle w:val="AERbulletlistfirststyle"/>
      </w:pPr>
      <w:r>
        <w:t>continuous, in that the incentives would be the same for each year in the regulatory control period</w:t>
      </w:r>
    </w:p>
    <w:p w:rsidR="004A0F72" w:rsidRDefault="004A0F72" w:rsidP="004A0F72">
      <w:pPr>
        <w:pStyle w:val="AERbulletlistfirststyle"/>
      </w:pPr>
      <w:r>
        <w:t>cumulative, in that the reward/penalty would only apply to the cumulative underspend or overspend for the entire regulatory control period</w:t>
      </w:r>
    </w:p>
    <w:p w:rsidR="004A0F72" w:rsidRDefault="004A0F72" w:rsidP="004A0F72">
      <w:pPr>
        <w:pStyle w:val="AERbulletlistfirststyle"/>
      </w:pPr>
      <w:r>
        <w:t>asymmetric, in that the penalties for overspending would be higher than the rewards for underspending:</w:t>
      </w:r>
    </w:p>
    <w:p w:rsidR="004A0F72" w:rsidRPr="004A0F72" w:rsidRDefault="004A0F72" w:rsidP="004A0F72">
      <w:pPr>
        <w:pStyle w:val="AERbulletlistsecondstyle"/>
      </w:pPr>
      <w:proofErr w:type="gramStart"/>
      <w:r>
        <w:t>we</w:t>
      </w:r>
      <w:proofErr w:type="gramEnd"/>
      <w:r>
        <w:t xml:space="preserve"> recommended a reward of between</w:t>
      </w:r>
      <w:r w:rsidR="000E37BE">
        <w:t xml:space="preserve"> </w:t>
      </w:r>
      <w:r>
        <w:t>20 and 30 per cent</w:t>
      </w:r>
      <w:r w:rsidR="00461659">
        <w:t xml:space="preserve"> and </w:t>
      </w:r>
      <w:r>
        <w:t>a penalty of greater than 30 per cent.</w:t>
      </w:r>
    </w:p>
    <w:p w:rsidR="003A3D75" w:rsidRPr="003A3D75" w:rsidRDefault="003A3D75" w:rsidP="003A3D75">
      <w:pPr>
        <w:pStyle w:val="Heading2"/>
        <w:rPr>
          <w:rStyle w:val="AERbody"/>
          <w:color w:val="E36C0A"/>
          <w:sz w:val="28"/>
        </w:rPr>
      </w:pPr>
      <w:bookmarkStart w:id="26" w:name="_Toc363640483"/>
      <w:r w:rsidRPr="003A3D75">
        <w:t>Proposed approach</w:t>
      </w:r>
      <w:bookmarkEnd w:id="26"/>
    </w:p>
    <w:p w:rsidR="00613449" w:rsidRPr="003A3D75" w:rsidRDefault="00D14625" w:rsidP="003A3D75">
      <w:pPr>
        <w:pStyle w:val="AERbodytext"/>
        <w:numPr>
          <w:ilvl w:val="0"/>
          <w:numId w:val="13"/>
        </w:numPr>
      </w:pPr>
      <w:r>
        <w:t xml:space="preserve">After further consideration of the issues and submissions to the issues paper, we propose that a symmetric CESS should apply to </w:t>
      </w:r>
      <w:r w:rsidR="00613449">
        <w:t xml:space="preserve">all NSPs. This CESS would </w:t>
      </w:r>
      <w:r>
        <w:t xml:space="preserve">be </w:t>
      </w:r>
      <w:r w:rsidR="00613449">
        <w:t>continuous</w:t>
      </w:r>
      <w:r>
        <w:t xml:space="preserve"> and would have a power of 30 per cent. That is, if a NSP underspends </w:t>
      </w:r>
      <w:r w:rsidR="00613449">
        <w:t xml:space="preserve">against its allowance </w:t>
      </w:r>
      <w:r>
        <w:t>it will b</w:t>
      </w:r>
      <w:r w:rsidR="00613449">
        <w:t>e provided a 30 per cent reward;</w:t>
      </w:r>
      <w:r>
        <w:t xml:space="preserve"> if </w:t>
      </w:r>
      <w:r w:rsidR="0020320F">
        <w:t>it</w:t>
      </w:r>
      <w:r>
        <w:t xml:space="preserve"> overspends it will bear a 30 per cent penalty. </w:t>
      </w:r>
      <w:r w:rsidR="00F8728B">
        <w:t>The CESS benefit/penalty will form a separate building block used to determine a NSP's revenue allowance</w:t>
      </w:r>
      <w:r w:rsidR="00293F35">
        <w:t xml:space="preserve"> in the next regulatory control period</w:t>
      </w:r>
      <w:r w:rsidR="00F8728B">
        <w:t xml:space="preserve">. </w:t>
      </w:r>
      <w:r w:rsidR="00613449">
        <w:t xml:space="preserve">We consider that this form of CESS would meet the requirements under clauses </w:t>
      </w:r>
      <w:r w:rsidR="00613449" w:rsidRPr="00191A17">
        <w:t xml:space="preserve">6.5.8A </w:t>
      </w:r>
      <w:r w:rsidR="00613449">
        <w:t xml:space="preserve">and </w:t>
      </w:r>
      <w:r w:rsidR="00613449" w:rsidRPr="00191A17">
        <w:t>6A.6.5A</w:t>
      </w:r>
      <w:r w:rsidR="00613449">
        <w:t xml:space="preserve"> of the NER, as discussed below.</w:t>
      </w:r>
      <w:r w:rsidR="003008F0" w:rsidRPr="003008F0">
        <w:t xml:space="preserve"> </w:t>
      </w:r>
      <w:r w:rsidR="00E77DA7">
        <w:t xml:space="preserve">Two examples demonstrating </w:t>
      </w:r>
      <w:r w:rsidR="003008F0">
        <w:t>how the</w:t>
      </w:r>
      <w:r w:rsidR="00E77DA7">
        <w:t xml:space="preserve"> CESS would work in practice are</w:t>
      </w:r>
      <w:r w:rsidR="003008F0">
        <w:t xml:space="preserve"> provided at the end of this chapter.</w:t>
      </w:r>
    </w:p>
    <w:p w:rsidR="003A3D75" w:rsidRDefault="003A3D75" w:rsidP="003A3D75">
      <w:pPr>
        <w:pStyle w:val="Heading2"/>
      </w:pPr>
      <w:bookmarkStart w:id="27" w:name="_Toc363640484"/>
      <w:r w:rsidRPr="003A3D75">
        <w:t>Reasons for the proposed approach</w:t>
      </w:r>
      <w:bookmarkEnd w:id="27"/>
    </w:p>
    <w:p w:rsidR="0020320F" w:rsidRDefault="0020320F" w:rsidP="0020320F">
      <w:pPr>
        <w:pStyle w:val="AERbodytext"/>
        <w:numPr>
          <w:ilvl w:val="0"/>
          <w:numId w:val="0"/>
        </w:numPr>
      </w:pPr>
      <w:r>
        <w:t xml:space="preserve">In </w:t>
      </w:r>
      <w:r w:rsidR="004F7FFA">
        <w:t>reaching</w:t>
      </w:r>
      <w:r>
        <w:t xml:space="preserve"> our draft decision on the form of </w:t>
      </w:r>
      <w:r w:rsidR="000E37BE">
        <w:t>the</w:t>
      </w:r>
      <w:r>
        <w:t xml:space="preserve"> CESS, we have considered a number of design elements </w:t>
      </w:r>
      <w:r w:rsidR="000E37BE">
        <w:t xml:space="preserve">relevant to the capital expenditure sharing scheme principles, the capital expenditure objectives and the capital expenditure incentive objective. These </w:t>
      </w:r>
      <w:r>
        <w:t>includ</w:t>
      </w:r>
      <w:r w:rsidR="000E37BE">
        <w:t>e</w:t>
      </w:r>
      <w:r>
        <w:t>:</w:t>
      </w:r>
    </w:p>
    <w:p w:rsidR="0020320F" w:rsidRDefault="0020320F" w:rsidP="0020320F">
      <w:pPr>
        <w:pStyle w:val="AERbulletlistfirststyle"/>
      </w:pPr>
      <w:r>
        <w:t>whether the scheme should provide continuous incentives</w:t>
      </w:r>
    </w:p>
    <w:p w:rsidR="0020320F" w:rsidRDefault="0020320F" w:rsidP="0020320F">
      <w:pPr>
        <w:pStyle w:val="AERbulletlistfirststyle"/>
      </w:pPr>
      <w:r>
        <w:t xml:space="preserve">whether the scheme should be symmetric or asymmetric </w:t>
      </w:r>
    </w:p>
    <w:p w:rsidR="0020320F" w:rsidRDefault="0020320F" w:rsidP="0020320F">
      <w:pPr>
        <w:pStyle w:val="AERbulletlistfirststyle"/>
      </w:pPr>
      <w:r>
        <w:t xml:space="preserve">what </w:t>
      </w:r>
      <w:r w:rsidR="00613449">
        <w:t>rewards and penalties the scheme should provide</w:t>
      </w:r>
    </w:p>
    <w:p w:rsidR="0020320F" w:rsidRDefault="00613449" w:rsidP="0020320F">
      <w:pPr>
        <w:pStyle w:val="AERbulletlistfirststyle"/>
      </w:pPr>
      <w:r>
        <w:t>how many schemes should</w:t>
      </w:r>
      <w:r w:rsidR="0037090C">
        <w:t xml:space="preserve"> apply</w:t>
      </w:r>
    </w:p>
    <w:p w:rsidR="0037090C" w:rsidRDefault="0037090C" w:rsidP="0020320F">
      <w:pPr>
        <w:pStyle w:val="AERbulletlistfirststyle"/>
      </w:pPr>
      <w:r>
        <w:t>whether any categories of capex should be excluded from the CESS.</w:t>
      </w:r>
    </w:p>
    <w:p w:rsidR="0020320F" w:rsidRDefault="0020320F" w:rsidP="0020320F">
      <w:pPr>
        <w:pStyle w:val="AERbodytext"/>
      </w:pPr>
      <w:r>
        <w:t>Each of these issues is discussed in turn below.</w:t>
      </w:r>
      <w:r w:rsidR="00FA4FFA">
        <w:t xml:space="preserve"> </w:t>
      </w:r>
    </w:p>
    <w:p w:rsidR="0020320F" w:rsidRDefault="0020320F" w:rsidP="0020320F">
      <w:pPr>
        <w:pStyle w:val="Heading3"/>
      </w:pPr>
      <w:r>
        <w:t>Continuity</w:t>
      </w:r>
    </w:p>
    <w:p w:rsidR="00F50151" w:rsidRDefault="00F50151" w:rsidP="0020320F">
      <w:pPr>
        <w:pStyle w:val="AERbodytext"/>
      </w:pPr>
      <w:r>
        <w:t xml:space="preserve">We </w:t>
      </w:r>
      <w:r w:rsidR="000E37BE">
        <w:t>consider that the</w:t>
      </w:r>
      <w:r>
        <w:t xml:space="preserve"> CESS should provide continuous incentives for </w:t>
      </w:r>
      <w:r w:rsidR="00DB70D0">
        <w:t xml:space="preserve">NSPs to pursue </w:t>
      </w:r>
      <w:r>
        <w:t>efficient capex.</w:t>
      </w:r>
      <w:r w:rsidR="00C573A7">
        <w:t xml:space="preserve"> </w:t>
      </w:r>
    </w:p>
    <w:p w:rsidR="0020320F" w:rsidRDefault="0020320F" w:rsidP="0020320F">
      <w:pPr>
        <w:pStyle w:val="AERbodytext"/>
      </w:pPr>
      <w:r>
        <w:t xml:space="preserve">Continuity refers to whether the incentives for efficient capex are the same in each year of a regulatory period. In the issues paper we </w:t>
      </w:r>
      <w:r w:rsidR="007D136D">
        <w:t>noted that the current incentives for efficient capex decline over the regulatory control period</w:t>
      </w:r>
      <w:r>
        <w:t>. This could lead to perverse outcomes including:</w:t>
      </w:r>
    </w:p>
    <w:p w:rsidR="0020320F" w:rsidRDefault="004D6A92" w:rsidP="0020320F">
      <w:pPr>
        <w:pStyle w:val="AERbulletlistfirststyle"/>
      </w:pPr>
      <w:r>
        <w:t>O</w:t>
      </w:r>
      <w:r w:rsidR="0020320F">
        <w:t>verspending in year 5</w:t>
      </w:r>
      <w:r>
        <w:t>:</w:t>
      </w:r>
      <w:r w:rsidR="0020320F">
        <w:t xml:space="preserve"> since there is currently no incentive for efficient capex in year 5</w:t>
      </w:r>
      <w:r>
        <w:t xml:space="preserve"> NSPs can overspend without</w:t>
      </w:r>
      <w:r w:rsidR="0066199B">
        <w:t xml:space="preserve"> being penalised for it. That is, consumers will bear the whole overspend. This could lead NSPs to overspend in year 5.</w:t>
      </w:r>
    </w:p>
    <w:p w:rsidR="007D2D1F" w:rsidRDefault="0066199B" w:rsidP="0020320F">
      <w:pPr>
        <w:pStyle w:val="AERbulletlistfirststyle"/>
      </w:pPr>
      <w:r>
        <w:t>D</w:t>
      </w:r>
      <w:r w:rsidR="007D2D1F">
        <w:t>istorted decisions on whether to undertake capex or opex</w:t>
      </w:r>
      <w:r>
        <w:t>: since the incentives for capex decline while the incentives for opex are constant, this could distort NSPs' decision making on whether to undertake capex or opex.</w:t>
      </w:r>
    </w:p>
    <w:p w:rsidR="0020320F" w:rsidRDefault="0066199B" w:rsidP="0020320F">
      <w:pPr>
        <w:pStyle w:val="AERbulletlistfirststyle"/>
      </w:pPr>
      <w:r>
        <w:t>L</w:t>
      </w:r>
      <w:r w:rsidR="007D2D1F">
        <w:t xml:space="preserve">ess efficient capex since </w:t>
      </w:r>
      <w:r w:rsidR="004F7FFA">
        <w:t>a</w:t>
      </w:r>
      <w:r w:rsidR="007D2D1F">
        <w:t xml:space="preserve"> NSP's wor</w:t>
      </w:r>
      <w:r>
        <w:t>k program would be less stable: u</w:t>
      </w:r>
      <w:r w:rsidRPr="00B204D9">
        <w:t>nn</w:t>
      </w:r>
      <w:r>
        <w:t>ecessary peaks and troughs in a</w:t>
      </w:r>
      <w:r w:rsidRPr="00B204D9">
        <w:t xml:space="preserve"> NSP’s </w:t>
      </w:r>
      <w:r>
        <w:t xml:space="preserve">capex </w:t>
      </w:r>
      <w:r w:rsidRPr="00B204D9">
        <w:t>c</w:t>
      </w:r>
      <w:r>
        <w:t>an</w:t>
      </w:r>
      <w:r w:rsidRPr="00B204D9">
        <w:t xml:space="preserve"> result in higher costs th</w:t>
      </w:r>
      <w:r>
        <w:t xml:space="preserve">an a more stable work program. </w:t>
      </w:r>
    </w:p>
    <w:p w:rsidR="007D2D1F" w:rsidRDefault="004D6A92" w:rsidP="0020320F">
      <w:pPr>
        <w:pStyle w:val="AERbodytext"/>
      </w:pPr>
      <w:r>
        <w:t>We proposed a cont</w:t>
      </w:r>
      <w:r w:rsidR="0066199B">
        <w:t>inuous CESS in our issues paper. This was largely supported by stakeholders</w:t>
      </w:r>
      <w:r w:rsidR="0020320F" w:rsidRPr="0020320F">
        <w:t>.</w:t>
      </w:r>
      <w:r w:rsidR="0020320F">
        <w:rPr>
          <w:rStyle w:val="FootnoteReference"/>
        </w:rPr>
        <w:footnoteReference w:id="16"/>
      </w:r>
      <w:r w:rsidR="0020320F" w:rsidRPr="0020320F">
        <w:t xml:space="preserve"> Only a couple of consumer representative groups</w:t>
      </w:r>
      <w:r w:rsidR="007D2D1F">
        <w:rPr>
          <w:rStyle w:val="FootnoteReference"/>
        </w:rPr>
        <w:footnoteReference w:id="17"/>
      </w:r>
      <w:r w:rsidR="0020320F" w:rsidRPr="0020320F">
        <w:t xml:space="preserve"> did not support the principle of continuity. </w:t>
      </w:r>
      <w:r w:rsidR="007D2D1F">
        <w:t>P</w:t>
      </w:r>
      <w:r w:rsidR="00EC45E6">
        <w:t>ublic</w:t>
      </w:r>
      <w:r w:rsidR="00461659">
        <w:t> </w:t>
      </w:r>
      <w:r w:rsidR="007D2D1F">
        <w:t>I</w:t>
      </w:r>
      <w:r w:rsidR="00EC45E6">
        <w:t xml:space="preserve">nterest </w:t>
      </w:r>
      <w:r w:rsidR="007D2D1F">
        <w:t>A</w:t>
      </w:r>
      <w:r w:rsidR="00EC45E6">
        <w:t xml:space="preserve">dvocacy </w:t>
      </w:r>
      <w:r w:rsidR="007D2D1F">
        <w:t>C</w:t>
      </w:r>
      <w:r w:rsidR="00EC45E6">
        <w:t>entre (PIAC)</w:t>
      </w:r>
      <w:r w:rsidR="007D2D1F">
        <w:t xml:space="preserve"> was concerned that it would be difficult to provide constant incentives for assets of different lives. </w:t>
      </w:r>
      <w:r w:rsidR="00EC45E6">
        <w:t xml:space="preserve">CEM on behalf of the </w:t>
      </w:r>
      <w:r w:rsidR="00235191">
        <w:t>EUAA</w:t>
      </w:r>
      <w:r w:rsidR="00EC45E6">
        <w:t xml:space="preserve"> </w:t>
      </w:r>
      <w:r w:rsidR="00AC13FD">
        <w:t>stat</w:t>
      </w:r>
      <w:r w:rsidR="007D2D1F">
        <w:t xml:space="preserve">ed that declining incentives </w:t>
      </w:r>
      <w:r w:rsidR="007D136D">
        <w:t>are</w:t>
      </w:r>
      <w:r w:rsidR="007D2D1F">
        <w:t xml:space="preserve"> appropriate since it is more difficult to forecast further into the future. It also </w:t>
      </w:r>
      <w:r w:rsidR="00AC13FD">
        <w:t>not</w:t>
      </w:r>
      <w:r w:rsidR="007D2D1F">
        <w:t xml:space="preserve">ed that declining incentives might have the benefit of reducing the incentives for NSPs to defer capex between regulatory control periods. </w:t>
      </w:r>
    </w:p>
    <w:p w:rsidR="007D2D1F" w:rsidRDefault="007D2D1F" w:rsidP="0020320F">
      <w:pPr>
        <w:pStyle w:val="AERbodytext"/>
      </w:pPr>
      <w:r>
        <w:t xml:space="preserve">In terms of the effect of asset life on the power of the incentive, this is an issue with using </w:t>
      </w:r>
      <w:r w:rsidR="00C573A7">
        <w:t xml:space="preserve">depreciation based on </w:t>
      </w:r>
      <w:r>
        <w:t xml:space="preserve">actual </w:t>
      </w:r>
      <w:r w:rsidR="00C573A7">
        <w:t xml:space="preserve">capex </w:t>
      </w:r>
      <w:r>
        <w:t xml:space="preserve">rather than forecast </w:t>
      </w:r>
      <w:r w:rsidR="00C573A7">
        <w:t>capex</w:t>
      </w:r>
      <w:r>
        <w:t xml:space="preserve"> to roll forward the RAB</w:t>
      </w:r>
      <w:r w:rsidR="007D136D">
        <w:t>. W</w:t>
      </w:r>
      <w:r>
        <w:t xml:space="preserve">e will </w:t>
      </w:r>
      <w:r w:rsidR="007D136D">
        <w:t>discuss this issue later in the</w:t>
      </w:r>
      <w:r>
        <w:t xml:space="preserve"> context</w:t>
      </w:r>
      <w:r w:rsidR="007D136D">
        <w:t xml:space="preserve"> of whether to use actual or forecast depreciation to roll forward the RAB</w:t>
      </w:r>
      <w:r w:rsidR="00EC45E6">
        <w:t xml:space="preserve"> (</w:t>
      </w:r>
      <w:r w:rsidR="00235191">
        <w:t xml:space="preserve">see </w:t>
      </w:r>
      <w:r w:rsidR="00EC45E6">
        <w:t>chapter 3)</w:t>
      </w:r>
      <w:r>
        <w:t xml:space="preserve">. </w:t>
      </w:r>
      <w:r w:rsidR="00235191">
        <w:t>In summary, to the extent that we use forecast depreciation to roll forward the RAB, asset life does not affect the power of the incentive.</w:t>
      </w:r>
    </w:p>
    <w:p w:rsidR="00C573A7" w:rsidRDefault="007D2D1F" w:rsidP="0020320F">
      <w:pPr>
        <w:pStyle w:val="AERbodytext"/>
      </w:pPr>
      <w:r>
        <w:t xml:space="preserve">The issues identified by </w:t>
      </w:r>
      <w:r w:rsidRPr="00C35112">
        <w:t>CEM</w:t>
      </w:r>
      <w:r>
        <w:t xml:space="preserve"> </w:t>
      </w:r>
      <w:r w:rsidR="007D136D">
        <w:t>have some merit</w:t>
      </w:r>
      <w:r>
        <w:t xml:space="preserve">. </w:t>
      </w:r>
      <w:r w:rsidR="007D136D">
        <w:t>It is more difficult to accurately forecast capex</w:t>
      </w:r>
      <w:r>
        <w:t xml:space="preserve"> further </w:t>
      </w:r>
      <w:r w:rsidR="007D136D">
        <w:t>into the future</w:t>
      </w:r>
      <w:r>
        <w:t xml:space="preserve">. </w:t>
      </w:r>
      <w:r w:rsidR="007D136D">
        <w:t xml:space="preserve">For this reason there is some logic to having incentives that decline over the period. Declining incentives could also lead to less inter-period deferral. However, the issue of deferral is not straightforward and it is difficult to know when a decision to defer capex is efficient or opportunistic. </w:t>
      </w:r>
      <w:r w:rsidR="0066199B">
        <w:t xml:space="preserve">We consider that the issue of capex deferral is better addressed through our approach to forecasting </w:t>
      </w:r>
      <w:r w:rsidR="004E06E8">
        <w:t xml:space="preserve">and assessing proposed </w:t>
      </w:r>
      <w:r w:rsidR="0066199B">
        <w:t>capex.</w:t>
      </w:r>
      <w:r w:rsidR="007F113C">
        <w:rPr>
          <w:rStyle w:val="FootnoteReference"/>
        </w:rPr>
        <w:footnoteReference w:id="18"/>
      </w:r>
      <w:r w:rsidR="0066199B">
        <w:t xml:space="preserve"> Overall</w:t>
      </w:r>
      <w:r w:rsidR="00853CB0">
        <w:t>,</w:t>
      </w:r>
      <w:r w:rsidR="0066199B">
        <w:t xml:space="preserve"> we consider that the potential issues raised by CEM are less problematic than the potential outcomes that </w:t>
      </w:r>
      <w:r w:rsidR="00853CB0">
        <w:t>could occur</w:t>
      </w:r>
      <w:r w:rsidR="0066199B">
        <w:t xml:space="preserve"> from declining incentives</w:t>
      </w:r>
      <w:r w:rsidR="00853CB0">
        <w:t xml:space="preserve"> (</w:t>
      </w:r>
      <w:r w:rsidR="00293F35">
        <w:t>as outlined</w:t>
      </w:r>
      <w:r w:rsidR="00EC45E6">
        <w:t xml:space="preserve"> above</w:t>
      </w:r>
      <w:r w:rsidR="00853CB0">
        <w:t>)</w:t>
      </w:r>
      <w:r w:rsidR="007D136D">
        <w:t xml:space="preserve">. </w:t>
      </w:r>
    </w:p>
    <w:p w:rsidR="0020320F" w:rsidRDefault="00C573A7" w:rsidP="0020320F">
      <w:pPr>
        <w:pStyle w:val="AERbodytext"/>
      </w:pPr>
      <w:r>
        <w:t xml:space="preserve">In addition, we believe that a continuous CESS will better meet the NER requirements under clauses </w:t>
      </w:r>
      <w:r w:rsidRPr="00191A17">
        <w:t xml:space="preserve">6.5.8A </w:t>
      </w:r>
      <w:r>
        <w:t xml:space="preserve">and </w:t>
      </w:r>
      <w:r w:rsidRPr="00191A17">
        <w:t>6A.6.5A</w:t>
      </w:r>
      <w:r>
        <w:t xml:space="preserve">. In particular, a continuous scheme will </w:t>
      </w:r>
      <w:r w:rsidR="003B4C72">
        <w:t>provide</w:t>
      </w:r>
      <w:r>
        <w:t xml:space="preserve"> rewards</w:t>
      </w:r>
      <w:r w:rsidR="003B4C72">
        <w:t>/penalties</w:t>
      </w:r>
      <w:r>
        <w:t xml:space="preserve"> that are commensurate with </w:t>
      </w:r>
      <w:r w:rsidR="003B4C72">
        <w:t xml:space="preserve">efficiencies/inefficiencies. </w:t>
      </w:r>
      <w:r w:rsidR="00293D2E">
        <w:t xml:space="preserve">In comparison, </w:t>
      </w:r>
      <w:r w:rsidR="00235191">
        <w:t>with</w:t>
      </w:r>
      <w:r w:rsidR="00293D2E">
        <w:t xml:space="preserve"> declining </w:t>
      </w:r>
      <w:r w:rsidR="00235191">
        <w:t xml:space="preserve">incentives </w:t>
      </w:r>
      <w:r w:rsidR="003B4C72">
        <w:t>the reward</w:t>
      </w:r>
      <w:r w:rsidR="00235191">
        <w:t>/penalty would</w:t>
      </w:r>
      <w:r w:rsidR="003B4C72">
        <w:t xml:space="preserve"> decline over the period </w:t>
      </w:r>
      <w:r w:rsidR="00235191">
        <w:t xml:space="preserve">for a constant </w:t>
      </w:r>
      <w:r w:rsidR="003B4C72">
        <w:t>efficiency gain/loss.</w:t>
      </w:r>
      <w:r>
        <w:t xml:space="preserve"> </w:t>
      </w:r>
      <w:r w:rsidR="00293D2E">
        <w:t xml:space="preserve">In addition, since there are constant incentives for opex and service, a CESS with constant incentives will be easier to </w:t>
      </w:r>
      <w:r w:rsidR="00235191">
        <w:t xml:space="preserve">ensure </w:t>
      </w:r>
      <w:r w:rsidR="00293D2E">
        <w:t xml:space="preserve">balance </w:t>
      </w:r>
      <w:r w:rsidR="00235191">
        <w:t>with</w:t>
      </w:r>
      <w:r w:rsidR="00293D2E">
        <w:t xml:space="preserve"> opex and service</w:t>
      </w:r>
      <w:r w:rsidR="00235191">
        <w:t xml:space="preserve"> incentives</w:t>
      </w:r>
      <w:r w:rsidR="00293D2E">
        <w:t xml:space="preserve">. </w:t>
      </w:r>
      <w:r>
        <w:t>Hence</w:t>
      </w:r>
      <w:r w:rsidR="004874B7">
        <w:t>, our draft decision is that any CESS should be continuous.</w:t>
      </w:r>
    </w:p>
    <w:p w:rsidR="0020320F" w:rsidRDefault="0020320F" w:rsidP="0020320F">
      <w:pPr>
        <w:pStyle w:val="Heading3"/>
      </w:pPr>
      <w:r>
        <w:t>Symmetry of the scheme</w:t>
      </w:r>
    </w:p>
    <w:p w:rsidR="00293D2E" w:rsidRDefault="00F2776F" w:rsidP="00516B55">
      <w:pPr>
        <w:pStyle w:val="AERbodytext"/>
        <w:numPr>
          <w:ilvl w:val="0"/>
          <w:numId w:val="13"/>
        </w:numPr>
      </w:pPr>
      <w:r>
        <w:t xml:space="preserve">Our proposal is for a symmetric CESS. </w:t>
      </w:r>
    </w:p>
    <w:p w:rsidR="00516B55" w:rsidRDefault="004874B7" w:rsidP="00516B55">
      <w:pPr>
        <w:pStyle w:val="AERbodytext"/>
        <w:numPr>
          <w:ilvl w:val="0"/>
          <w:numId w:val="13"/>
        </w:numPr>
      </w:pPr>
      <w:r>
        <w:t xml:space="preserve">In our issues paper we </w:t>
      </w:r>
      <w:r w:rsidR="00AC13FD">
        <w:t>proposed that a</w:t>
      </w:r>
      <w:r>
        <w:t>n asymmetric scheme with higher penalties than rewards</w:t>
      </w:r>
      <w:r w:rsidR="00AC13FD">
        <w:t xml:space="preserve"> </w:t>
      </w:r>
      <w:r w:rsidR="00235191">
        <w:t xml:space="preserve">should </w:t>
      </w:r>
      <w:r w:rsidR="00AC13FD">
        <w:t>apply to all NSPs</w:t>
      </w:r>
      <w:r>
        <w:t xml:space="preserve">. </w:t>
      </w:r>
      <w:r w:rsidR="00516B55">
        <w:t>This was because:</w:t>
      </w:r>
    </w:p>
    <w:p w:rsidR="00516B55" w:rsidRDefault="00516B55" w:rsidP="00516B55">
      <w:pPr>
        <w:pStyle w:val="AERbulletlistfirststyle"/>
      </w:pPr>
      <w:r>
        <w:t xml:space="preserve">We were concerned a high reward for underspending could lead </w:t>
      </w:r>
      <w:r w:rsidRPr="00A2151A">
        <w:t xml:space="preserve">NSPs to </w:t>
      </w:r>
      <w:r>
        <w:t xml:space="preserve">underinvest or defer capex </w:t>
      </w:r>
      <w:r w:rsidRPr="00A2151A">
        <w:t>to</w:t>
      </w:r>
      <w:r>
        <w:t xml:space="preserve"> the detriment of service</w:t>
      </w:r>
      <w:r w:rsidRPr="00A2151A">
        <w:t xml:space="preserve">. </w:t>
      </w:r>
    </w:p>
    <w:p w:rsidR="00516B55" w:rsidRDefault="00516B55" w:rsidP="00516B55">
      <w:pPr>
        <w:pStyle w:val="AERbulletlistfirststyle"/>
      </w:pPr>
      <w:r>
        <w:t>We thought that NSPs should usually be able to spend within their allowance since:</w:t>
      </w:r>
    </w:p>
    <w:p w:rsidR="00516B55" w:rsidRDefault="00516B55" w:rsidP="00516B55">
      <w:pPr>
        <w:pStyle w:val="AERbulletlistsecondstyle"/>
      </w:pPr>
      <w:r>
        <w:t xml:space="preserve">we are required to provide </w:t>
      </w:r>
      <w:r w:rsidRPr="00AF4EFE">
        <w:t>'a reasonable opportunity to recover at least the efficient costs the operator incurs'</w:t>
      </w:r>
      <w:r w:rsidRPr="00283280">
        <w:rPr>
          <w:rStyle w:val="FootnoteReference"/>
        </w:rPr>
        <w:footnoteReference w:id="19"/>
      </w:r>
    </w:p>
    <w:p w:rsidR="00516B55" w:rsidRDefault="00516B55" w:rsidP="00516B55">
      <w:pPr>
        <w:pStyle w:val="AERbulletlistsecondstyle"/>
      </w:pPr>
      <w:r>
        <w:t>forecasts are likely biased upwards given asymmetric information</w:t>
      </w:r>
    </w:p>
    <w:p w:rsidR="00516B55" w:rsidRDefault="00516B55" w:rsidP="00516B55">
      <w:pPr>
        <w:pStyle w:val="AERbulletlistsecondstyle"/>
      </w:pPr>
      <w:r>
        <w:t>re-opening provisions, pass throughs and contingent projects protect NSPs from significant overspends in certain circumstances.</w:t>
      </w:r>
    </w:p>
    <w:p w:rsidR="00516B55" w:rsidRDefault="00516B55" w:rsidP="00516B55">
      <w:pPr>
        <w:pStyle w:val="AERbulletlistfirststyle"/>
      </w:pPr>
      <w:r>
        <w:t>Some NSPs are less responsive to financial incentives meaning greater protection of consumers from overspending is warranted.</w:t>
      </w:r>
    </w:p>
    <w:p w:rsidR="0053241B" w:rsidRDefault="004874B7" w:rsidP="0020320F">
      <w:pPr>
        <w:pStyle w:val="AERbodytext"/>
      </w:pPr>
      <w:r>
        <w:t xml:space="preserve">The issue of symmetry was a key </w:t>
      </w:r>
      <w:r w:rsidR="00FF4B9B">
        <w:t>issue</w:t>
      </w:r>
      <w:r>
        <w:t xml:space="preserve"> for a number of stakeholders.</w:t>
      </w:r>
      <w:r w:rsidR="00F50151">
        <w:t xml:space="preserve"> In general</w:t>
      </w:r>
      <w:r w:rsidR="00F06E7E">
        <w:t>,</w:t>
      </w:r>
      <w:r w:rsidR="00C45755">
        <w:t xml:space="preserve"> </w:t>
      </w:r>
      <w:r w:rsidR="00F50151">
        <w:t xml:space="preserve">NSPs </w:t>
      </w:r>
      <w:r w:rsidR="00AC13FD">
        <w:t>supported the CESS being</w:t>
      </w:r>
      <w:r w:rsidR="00F50151">
        <w:t xml:space="preserve"> symmetric</w:t>
      </w:r>
      <w:r w:rsidR="00F50151">
        <w:rPr>
          <w:rStyle w:val="FootnoteReference"/>
        </w:rPr>
        <w:footnoteReference w:id="20"/>
      </w:r>
      <w:r w:rsidR="00F50151">
        <w:t xml:space="preserve"> while consumer representative groups supported an asymmetric scheme</w:t>
      </w:r>
      <w:r w:rsidR="004F7FFA">
        <w:t>.</w:t>
      </w:r>
      <w:r w:rsidR="00F50151">
        <w:rPr>
          <w:rStyle w:val="FootnoteReference"/>
        </w:rPr>
        <w:footnoteReference w:id="21"/>
      </w:r>
      <w:r w:rsidR="00AC37F7">
        <w:t xml:space="preserve"> </w:t>
      </w:r>
    </w:p>
    <w:p w:rsidR="0053241B" w:rsidRDefault="00AC13FD" w:rsidP="0053241B">
      <w:pPr>
        <w:pStyle w:val="AERbodytext"/>
        <w:numPr>
          <w:ilvl w:val="0"/>
          <w:numId w:val="13"/>
        </w:numPr>
      </w:pPr>
      <w:r>
        <w:t>S</w:t>
      </w:r>
      <w:r w:rsidR="0053241B">
        <w:t>takeholders</w:t>
      </w:r>
      <w:r>
        <w:t>'</w:t>
      </w:r>
      <w:r w:rsidR="0053241B">
        <w:t xml:space="preserve"> </w:t>
      </w:r>
      <w:r>
        <w:t>reasons for supporting a symmetric CESS</w:t>
      </w:r>
      <w:r w:rsidR="0053241B">
        <w:t xml:space="preserve"> included:</w:t>
      </w:r>
    </w:p>
    <w:p w:rsidR="0053241B" w:rsidRDefault="0053241B" w:rsidP="0053241B">
      <w:pPr>
        <w:pStyle w:val="AERbulletlistfirststyle"/>
      </w:pPr>
      <w:r>
        <w:t>It is easier to align the incentives for efficient capex, opex and service with a symmetric CESS.</w:t>
      </w:r>
      <w:r>
        <w:rPr>
          <w:rStyle w:val="FootnoteReference"/>
        </w:rPr>
        <w:footnoteReference w:id="22"/>
      </w:r>
    </w:p>
    <w:p w:rsidR="0053241B" w:rsidRDefault="0053241B" w:rsidP="0053241B">
      <w:pPr>
        <w:pStyle w:val="AERbulletlistfirststyle"/>
      </w:pPr>
      <w:r>
        <w:t>A symmetric scheme is less likely to penalise NSPs for forecasting error compared with an asymmetric scheme with a higher penalty than reward.</w:t>
      </w:r>
      <w:r>
        <w:rPr>
          <w:rStyle w:val="FootnoteReference"/>
        </w:rPr>
        <w:footnoteReference w:id="23"/>
      </w:r>
    </w:p>
    <w:p w:rsidR="0053241B" w:rsidRDefault="0053241B" w:rsidP="0053241B">
      <w:pPr>
        <w:pStyle w:val="AERbulletlistfirststyle"/>
      </w:pPr>
      <w:r>
        <w:t>Since overspending is not necessarily inefficient, overspends should not be subject to a higher penalty than should underspends.</w:t>
      </w:r>
      <w:r>
        <w:rPr>
          <w:rStyle w:val="FootnoteReference"/>
        </w:rPr>
        <w:footnoteReference w:id="24"/>
      </w:r>
    </w:p>
    <w:p w:rsidR="0053241B" w:rsidRDefault="0053241B" w:rsidP="0053241B">
      <w:pPr>
        <w:pStyle w:val="AERbulletlistfirststyle"/>
      </w:pPr>
      <w:r>
        <w:t>An asymmetric scheme could lead to imprudent capex once a NSP exceeds its allowance.</w:t>
      </w:r>
      <w:r>
        <w:rPr>
          <w:rStyle w:val="FootnoteReference"/>
        </w:rPr>
        <w:footnoteReference w:id="25"/>
      </w:r>
    </w:p>
    <w:p w:rsidR="0053241B" w:rsidRDefault="0053241B" w:rsidP="0053241B">
      <w:pPr>
        <w:pStyle w:val="AERbulletlistfirststyle"/>
      </w:pPr>
      <w:r>
        <w:t>NSPs cannot ensure they spend within their allowances since allowances are not biased upwards and pass throughs, re-openers and contingent projects have high thresholds.</w:t>
      </w:r>
      <w:r>
        <w:rPr>
          <w:rStyle w:val="FootnoteReference"/>
        </w:rPr>
        <w:footnoteReference w:id="26"/>
      </w:r>
      <w:r>
        <w:t xml:space="preserve"> </w:t>
      </w:r>
    </w:p>
    <w:p w:rsidR="0053241B" w:rsidRDefault="0053241B" w:rsidP="0053241B">
      <w:pPr>
        <w:pStyle w:val="AERbulletlistfirststyle"/>
      </w:pPr>
      <w:r>
        <w:t>If forecasts are biased, this should be addressed through the forecasting methodology rather than through the CESS.</w:t>
      </w:r>
      <w:r>
        <w:rPr>
          <w:rStyle w:val="FootnoteReference"/>
        </w:rPr>
        <w:footnoteReference w:id="27"/>
      </w:r>
    </w:p>
    <w:p w:rsidR="0053241B" w:rsidRDefault="0053241B" w:rsidP="0053241B">
      <w:pPr>
        <w:pStyle w:val="AERbulletlistfirststyle"/>
      </w:pPr>
      <w:r>
        <w:t>Not all NSPs have overspent in the past so the case for an asymmetric scheme is not clear.</w:t>
      </w:r>
      <w:r>
        <w:rPr>
          <w:rStyle w:val="FootnoteReference"/>
        </w:rPr>
        <w:footnoteReference w:id="28"/>
      </w:r>
    </w:p>
    <w:p w:rsidR="0053241B" w:rsidRDefault="0053241B" w:rsidP="0053241B">
      <w:pPr>
        <w:pStyle w:val="AERbulletlistfirststyle"/>
      </w:pPr>
      <w:r>
        <w:t>The existence of the ex post exclusion provision means that the incentives are already asymmetric and no further asymmetry is warranted.</w:t>
      </w:r>
      <w:r>
        <w:rPr>
          <w:rStyle w:val="FootnoteReference"/>
        </w:rPr>
        <w:footnoteReference w:id="29"/>
      </w:r>
    </w:p>
    <w:p w:rsidR="0020320F" w:rsidRDefault="0053241B" w:rsidP="0020320F">
      <w:pPr>
        <w:pStyle w:val="AERbodytext"/>
      </w:pPr>
      <w:r>
        <w:t xml:space="preserve">Supporters of an asymmetric CESS agreed with the </w:t>
      </w:r>
      <w:r w:rsidR="00FF4B9B">
        <w:t>reasons for asy</w:t>
      </w:r>
      <w:r>
        <w:t>mmetry outlined in issues paper and also noted</w:t>
      </w:r>
      <w:r w:rsidR="00FF4B9B">
        <w:t xml:space="preserve"> that an asymmetric scheme would:</w:t>
      </w:r>
    </w:p>
    <w:p w:rsidR="00FF4B9B" w:rsidRPr="00FF4B9B" w:rsidRDefault="00FF4B9B" w:rsidP="00FF4B9B">
      <w:pPr>
        <w:pStyle w:val="AERbulletlistfirststyle"/>
      </w:pPr>
      <w:r w:rsidRPr="00FF4B9B">
        <w:t>better</w:t>
      </w:r>
      <w:r>
        <w:t xml:space="preserve"> mirror</w:t>
      </w:r>
      <w:r w:rsidRPr="00FF4B9B">
        <w:t xml:space="preserve"> what happens in the competitive</w:t>
      </w:r>
      <w:r>
        <w:t xml:space="preserve"> market</w:t>
      </w:r>
      <w:r w:rsidRPr="00FF4B9B">
        <w:rPr>
          <w:rStyle w:val="FootnoteReference"/>
        </w:rPr>
        <w:footnoteReference w:id="30"/>
      </w:r>
    </w:p>
    <w:p w:rsidR="00FF4B9B" w:rsidRPr="00FF4B9B" w:rsidRDefault="00FF4B9B" w:rsidP="00FF4B9B">
      <w:pPr>
        <w:pStyle w:val="AERbulletlistfirststyle"/>
      </w:pPr>
      <w:r w:rsidRPr="00FF4B9B">
        <w:t>better protect c</w:t>
      </w:r>
      <w:r w:rsidR="00235191">
        <w:t>onsumers</w:t>
      </w:r>
      <w:r w:rsidRPr="00FF4B9B">
        <w:t xml:space="preserve"> from inefficient capex overspends (especially in the case of government-owned NSPs) without limiting the extent to which customers will benefit fro</w:t>
      </w:r>
      <w:r w:rsidR="00EC45E6">
        <w:t>m efficiency savings</w:t>
      </w:r>
      <w:r w:rsidRPr="00FF4B9B">
        <w:rPr>
          <w:rStyle w:val="FootnoteReference"/>
        </w:rPr>
        <w:footnoteReference w:id="31"/>
      </w:r>
    </w:p>
    <w:p w:rsidR="00FF4B9B" w:rsidRPr="00FF4B9B" w:rsidRDefault="00FF4B9B" w:rsidP="00FF4B9B">
      <w:pPr>
        <w:pStyle w:val="AERbulletlistfirststyle"/>
      </w:pPr>
      <w:r>
        <w:t>protect customers</w:t>
      </w:r>
      <w:r w:rsidRPr="00FF4B9B">
        <w:t xml:space="preserve"> given that the current high prices in some jurisdictions were largely driven by capex overspends in the past.</w:t>
      </w:r>
      <w:r w:rsidRPr="00FF4B9B">
        <w:rPr>
          <w:rStyle w:val="FootnoteReference"/>
        </w:rPr>
        <w:footnoteReference w:id="32"/>
      </w:r>
    </w:p>
    <w:p w:rsidR="00516B55" w:rsidRDefault="00516B55" w:rsidP="00516B55">
      <w:pPr>
        <w:pStyle w:val="AERbodytext"/>
        <w:numPr>
          <w:ilvl w:val="0"/>
          <w:numId w:val="13"/>
        </w:numPr>
      </w:pPr>
      <w:r>
        <w:t xml:space="preserve">After further consideration of the issues, we are now proposing that the CESS be symmetric. </w:t>
      </w:r>
      <w:r w:rsidR="00FF4B9B">
        <w:t>The r</w:t>
      </w:r>
      <w:r w:rsidR="00293D2E">
        <w:t>ationale</w:t>
      </w:r>
      <w:r w:rsidR="00FF4B9B">
        <w:t xml:space="preserve"> for this </w:t>
      </w:r>
      <w:r w:rsidR="00293D2E">
        <w:t>is</w:t>
      </w:r>
      <w:r w:rsidR="00FF4B9B">
        <w:t xml:space="preserve"> discussed below.</w:t>
      </w:r>
    </w:p>
    <w:p w:rsidR="006007C3" w:rsidRDefault="006007C3" w:rsidP="003B4C72">
      <w:pPr>
        <w:pStyle w:val="AERbodytext"/>
      </w:pPr>
      <w:r>
        <w:t>A number of our</w:t>
      </w:r>
      <w:r w:rsidR="003B4C72">
        <w:t xml:space="preserve"> </w:t>
      </w:r>
      <w:r w:rsidR="00AC13FD">
        <w:t>reason</w:t>
      </w:r>
      <w:r w:rsidR="003B4C72">
        <w:t xml:space="preserve">s for an asymmetric scheme were </w:t>
      </w:r>
      <w:r>
        <w:t>related to</w:t>
      </w:r>
      <w:r w:rsidR="003B4C72">
        <w:t xml:space="preserve"> concerns </w:t>
      </w:r>
      <w:r>
        <w:t>about NSPs receiving</w:t>
      </w:r>
      <w:r w:rsidR="003B4C72">
        <w:t xml:space="preserve"> generous </w:t>
      </w:r>
      <w:r w:rsidR="00FE56F5">
        <w:t>capex allowances</w:t>
      </w:r>
      <w:r w:rsidR="003B4C72">
        <w:t xml:space="preserve">. This was </w:t>
      </w:r>
      <w:r>
        <w:t xml:space="preserve">largely </w:t>
      </w:r>
      <w:r w:rsidR="008C44B9">
        <w:t>contested by NSPs.</w:t>
      </w:r>
      <w:r w:rsidR="00516B55">
        <w:rPr>
          <w:rStyle w:val="FootnoteReference"/>
        </w:rPr>
        <w:footnoteReference w:id="33"/>
      </w:r>
      <w:r w:rsidR="00293D2E">
        <w:t xml:space="preserve"> </w:t>
      </w:r>
      <w:r>
        <w:t>NSPs also noted that the thresholds for pass throughs, re-openers and contingent projects are high</w:t>
      </w:r>
      <w:r w:rsidR="00FE56F5">
        <w:t>,</w:t>
      </w:r>
      <w:r>
        <w:t xml:space="preserve"> meaning they provide little comfort against cost overruns.</w:t>
      </w:r>
      <w:r w:rsidR="00516B55">
        <w:rPr>
          <w:rStyle w:val="FootnoteReference"/>
        </w:rPr>
        <w:footnoteReference w:id="34"/>
      </w:r>
      <w:r>
        <w:t xml:space="preserve"> We acknowledge that these thresholds are</w:t>
      </w:r>
      <w:r w:rsidR="008C44B9">
        <w:t>, and should be,</w:t>
      </w:r>
      <w:r w:rsidR="00FE56F5">
        <w:t xml:space="preserve"> high.</w:t>
      </w:r>
    </w:p>
    <w:p w:rsidR="003B4C72" w:rsidRDefault="00FE56F5" w:rsidP="003B4C72">
      <w:pPr>
        <w:pStyle w:val="AERbodytext"/>
      </w:pPr>
      <w:r>
        <w:t xml:space="preserve">Energex </w:t>
      </w:r>
      <w:r w:rsidR="002722F7">
        <w:t>stated</w:t>
      </w:r>
      <w:r>
        <w:t xml:space="preserve"> that if we are concerned about capex allowances being systematically biased upwards, we should address this through our forecasting methodology rather than through the introduction of an asymmetr</w:t>
      </w:r>
      <w:r w:rsidR="00B62AE1">
        <w:t xml:space="preserve">ic CESS. </w:t>
      </w:r>
      <w:r w:rsidR="00783661">
        <w:t xml:space="preserve">We acknowledge that these guidelines are being developed as part of a wider Better Regulation reform package. </w:t>
      </w:r>
      <w:r w:rsidR="006007C3">
        <w:t xml:space="preserve">This package includes new measures and techniques for determining allowances under the Expenditure Forecasting Assessment </w:t>
      </w:r>
      <w:r w:rsidR="0043387A">
        <w:t>Guidelines</w:t>
      </w:r>
      <w:r w:rsidR="006007C3">
        <w:t xml:space="preserve">. </w:t>
      </w:r>
      <w:r w:rsidR="0053241B">
        <w:t xml:space="preserve">A number of rule changes also clarified the AER's discretion in setting the capex allowance and in applying the capital expenditure criteria. </w:t>
      </w:r>
      <w:r w:rsidR="006007C3">
        <w:t xml:space="preserve">In this context, we </w:t>
      </w:r>
      <w:r w:rsidR="00FE5A00">
        <w:t>intend to</w:t>
      </w:r>
      <w:r w:rsidR="006007C3">
        <w:t xml:space="preserve"> improv</w:t>
      </w:r>
      <w:r w:rsidR="00FE5A00">
        <w:t>e</w:t>
      </w:r>
      <w:r w:rsidR="006007C3">
        <w:t xml:space="preserve"> our methods for forecasting capex into the future. Hence, </w:t>
      </w:r>
      <w:r w:rsidR="005346BF">
        <w:t xml:space="preserve">any </w:t>
      </w:r>
      <w:r w:rsidR="00235191">
        <w:t xml:space="preserve">past or present </w:t>
      </w:r>
      <w:r w:rsidR="006007C3">
        <w:t xml:space="preserve">concerns about generous </w:t>
      </w:r>
      <w:r>
        <w:t>allowances</w:t>
      </w:r>
      <w:r w:rsidR="006007C3">
        <w:t xml:space="preserve"> should </w:t>
      </w:r>
      <w:r w:rsidR="008C44B9">
        <w:t xml:space="preserve">decline </w:t>
      </w:r>
      <w:r w:rsidR="00235191">
        <w:t>into the future</w:t>
      </w:r>
      <w:r w:rsidR="008C44B9">
        <w:t xml:space="preserve">. </w:t>
      </w:r>
      <w:r w:rsidR="005346BF">
        <w:t>To the extent that concerns remain</w:t>
      </w:r>
      <w:r w:rsidR="009D1B2F">
        <w:t xml:space="preserve">, </w:t>
      </w:r>
      <w:r w:rsidR="008C44B9">
        <w:t xml:space="preserve">this </w:t>
      </w:r>
      <w:r>
        <w:t>may be</w:t>
      </w:r>
      <w:r w:rsidR="008C44B9">
        <w:t xml:space="preserve"> better addressed </w:t>
      </w:r>
      <w:r w:rsidR="009D1B2F">
        <w:t xml:space="preserve">directly </w:t>
      </w:r>
      <w:r w:rsidR="008C44B9">
        <w:t xml:space="preserve">through the Expenditure Forecasting Assessment </w:t>
      </w:r>
      <w:r w:rsidR="0043387A">
        <w:t>Guidelines</w:t>
      </w:r>
      <w:r w:rsidR="007F113C">
        <w:rPr>
          <w:rStyle w:val="FootnoteReference"/>
        </w:rPr>
        <w:footnoteReference w:id="35"/>
      </w:r>
      <w:r w:rsidR="008C44B9">
        <w:t xml:space="preserve"> </w:t>
      </w:r>
      <w:r>
        <w:t xml:space="preserve">rather </w:t>
      </w:r>
      <w:r w:rsidR="008C44B9">
        <w:t>than through any CESS.</w:t>
      </w:r>
      <w:r>
        <w:t xml:space="preserve"> </w:t>
      </w:r>
      <w:r w:rsidR="00CB260A">
        <w:t>In this context</w:t>
      </w:r>
      <w:r w:rsidR="009D1B2F">
        <w:t xml:space="preserve">, it would appear </w:t>
      </w:r>
      <w:r w:rsidR="00CB260A">
        <w:t xml:space="preserve">more </w:t>
      </w:r>
      <w:r w:rsidR="009D1B2F">
        <w:t xml:space="preserve">appropriate to apply a symmetric </w:t>
      </w:r>
      <w:r w:rsidR="00CB260A">
        <w:t xml:space="preserve">CESS rather than </w:t>
      </w:r>
      <w:r w:rsidR="009D1B2F">
        <w:t xml:space="preserve">an asymmetric </w:t>
      </w:r>
      <w:r w:rsidR="00CB260A">
        <w:t>CESS</w:t>
      </w:r>
      <w:r w:rsidR="009D1B2F">
        <w:t xml:space="preserve">. This has the added </w:t>
      </w:r>
      <w:r w:rsidR="00EC45E6">
        <w:t xml:space="preserve">benefit </w:t>
      </w:r>
      <w:r w:rsidR="00CB260A">
        <w:t xml:space="preserve">that </w:t>
      </w:r>
      <w:r w:rsidR="009D1B2F">
        <w:t>forecasting errors</w:t>
      </w:r>
      <w:r w:rsidR="00CB260A">
        <w:t xml:space="preserve"> will be treated equally whether they result in an underspend or an overspend</w:t>
      </w:r>
      <w:r w:rsidR="009D1B2F">
        <w:t>.</w:t>
      </w:r>
      <w:r w:rsidR="009D1B2F">
        <w:rPr>
          <w:rStyle w:val="FootnoteReference"/>
        </w:rPr>
        <w:footnoteReference w:id="36"/>
      </w:r>
      <w:r>
        <w:t xml:space="preserve"> </w:t>
      </w:r>
    </w:p>
    <w:p w:rsidR="006007C3" w:rsidRDefault="00293F35" w:rsidP="003B4C72">
      <w:pPr>
        <w:pStyle w:val="AERbodytext"/>
      </w:pPr>
      <w:r>
        <w:t>Another</w:t>
      </w:r>
      <w:r w:rsidR="006007C3">
        <w:t xml:space="preserve"> </w:t>
      </w:r>
      <w:r w:rsidR="00293D2E">
        <w:t xml:space="preserve">key </w:t>
      </w:r>
      <w:r w:rsidR="002722F7">
        <w:t>reason</w:t>
      </w:r>
      <w:r w:rsidR="006007C3">
        <w:t xml:space="preserve"> for an asymmetric scheme </w:t>
      </w:r>
      <w:r w:rsidR="00235191">
        <w:t xml:space="preserve">in our issues paper </w:t>
      </w:r>
      <w:r w:rsidR="006007C3">
        <w:t xml:space="preserve">was to protect consumers where NSPs </w:t>
      </w:r>
      <w:r w:rsidR="008C44B9">
        <w:t>are less</w:t>
      </w:r>
      <w:r w:rsidR="006007C3">
        <w:t xml:space="preserve"> respon</w:t>
      </w:r>
      <w:r w:rsidR="008C44B9">
        <w:t>sive</w:t>
      </w:r>
      <w:r w:rsidR="006007C3">
        <w:t xml:space="preserve"> to </w:t>
      </w:r>
      <w:r w:rsidR="008C44B9">
        <w:t xml:space="preserve">financial </w:t>
      </w:r>
      <w:r w:rsidR="006007C3">
        <w:t>incentives. W</w:t>
      </w:r>
      <w:r w:rsidR="008C44B9">
        <w:t xml:space="preserve">hile some NSPs may be less responsive to financial incentives, or may pursue multiple objectives (not always financial), this does not </w:t>
      </w:r>
      <w:r w:rsidR="009D1B2F">
        <w:t>characterise</w:t>
      </w:r>
      <w:r w:rsidR="008C44B9">
        <w:t xml:space="preserve"> all NSPs. </w:t>
      </w:r>
      <w:r w:rsidR="009D1B2F">
        <w:t xml:space="preserve">As </w:t>
      </w:r>
      <w:r w:rsidR="002722F7">
        <w:t>not</w:t>
      </w:r>
      <w:r w:rsidR="009D1B2F">
        <w:t>ed by Grid Australia and SP AusNet, not all NSPs have overspent in the past meaning the case for applying an asymmetric scheme to all NSPs is not clear.</w:t>
      </w:r>
      <w:r w:rsidR="008C44B9">
        <w:t xml:space="preserve"> If we were to apply an asymmetric CESS to all NSPs to address concerns with only a few NSPs this could lead to perverse outcomes. In particular, where a NSP undertakes only efficient capex but exceeds its allowance, it would be overly penalised for this.</w:t>
      </w:r>
      <w:r w:rsidR="00440407">
        <w:rPr>
          <w:rStyle w:val="FootnoteReference"/>
        </w:rPr>
        <w:footnoteReference w:id="37"/>
      </w:r>
      <w:r w:rsidR="008C44B9">
        <w:t xml:space="preserve"> Given we have the ability to exclude inefficient overspends from a NSP's RAB through an ex post review, this may be a better means of addressing NSPs that are less responsive to financial incentives. </w:t>
      </w:r>
      <w:r w:rsidR="005969F4">
        <w:t xml:space="preserve">Indeed, SP AusNet </w:t>
      </w:r>
      <w:r w:rsidR="002722F7">
        <w:t>not</w:t>
      </w:r>
      <w:r w:rsidR="005969F4">
        <w:t>ed that the existence of the ex post measures already means the capex incentives are asymmetric</w:t>
      </w:r>
      <w:r w:rsidR="00293D2E">
        <w:t>. These ex </w:t>
      </w:r>
      <w:r w:rsidR="0053241B">
        <w:t xml:space="preserve">post measures provide a significant disincentive to overspend </w:t>
      </w:r>
      <w:r w:rsidR="005969F4">
        <w:t xml:space="preserve">since </w:t>
      </w:r>
      <w:r w:rsidR="0053241B">
        <w:t>NSP</w:t>
      </w:r>
      <w:r w:rsidR="00235191">
        <w:t>s</w:t>
      </w:r>
      <w:r w:rsidR="005969F4">
        <w:t xml:space="preserve"> could lose up t</w:t>
      </w:r>
      <w:r w:rsidR="0053241B">
        <w:t>o 100 per cent of any overspend</w:t>
      </w:r>
      <w:r w:rsidR="0016093A">
        <w:t xml:space="preserve"> </w:t>
      </w:r>
      <w:proofErr w:type="gramStart"/>
      <w:r w:rsidR="0016093A">
        <w:t>we</w:t>
      </w:r>
      <w:proofErr w:type="gramEnd"/>
      <w:r w:rsidR="0016093A">
        <w:t xml:space="preserve"> find inefficient or imprudent</w:t>
      </w:r>
      <w:r w:rsidR="005969F4">
        <w:t>.</w:t>
      </w:r>
    </w:p>
    <w:p w:rsidR="00293D2E" w:rsidRPr="00293D2E" w:rsidRDefault="00293D2E" w:rsidP="00293D2E">
      <w:pPr>
        <w:pStyle w:val="AERbodytext"/>
        <w:numPr>
          <w:ilvl w:val="0"/>
          <w:numId w:val="13"/>
        </w:numPr>
      </w:pPr>
      <w:r w:rsidRPr="00293D2E">
        <w:t>In the issues paper we were also concerned that high rewards for underspending could incentivise capex deferral.</w:t>
      </w:r>
      <w:r w:rsidRPr="00293D2E">
        <w:rPr>
          <w:rStyle w:val="FootnoteReference"/>
        </w:rPr>
        <w:footnoteReference w:id="38"/>
      </w:r>
      <w:r w:rsidRPr="00293D2E">
        <w:t xml:space="preserve"> We still consider this to be a risk. However, this is more to do with the power of the reward rather than the symmetry of the CESS. The power of the scheme is discussed in the next section.</w:t>
      </w:r>
    </w:p>
    <w:p w:rsidR="00EC45E6" w:rsidRDefault="00EC45E6" w:rsidP="003B4C72">
      <w:pPr>
        <w:pStyle w:val="AERbodytext"/>
      </w:pPr>
      <w:r>
        <w:t xml:space="preserve">A symmetric scheme may also be more appropriate since this is the first time </w:t>
      </w:r>
      <w:r w:rsidR="0016093A">
        <w:t>we have</w:t>
      </w:r>
      <w:r>
        <w:t xml:space="preserve"> introduced a CESS. In particular, it is less likely to </w:t>
      </w:r>
      <w:r w:rsidR="00235191">
        <w:t>result in</w:t>
      </w:r>
      <w:r>
        <w:t xml:space="preserve"> perverse outcomes than would an asymmetric CESS. </w:t>
      </w:r>
      <w:r w:rsidR="007865DD">
        <w:t>It may be that a symmetric scheme coupled with the ex post review is sufficient to ensure that</w:t>
      </w:r>
      <w:r>
        <w:t xml:space="preserve"> </w:t>
      </w:r>
      <w:r w:rsidR="007865DD">
        <w:t>NSPs remain within their capex allowances. Introducing a symmetric CESS first allows us to review how NSPs have responded to the CESS with the option to change the CESS if it has not delivered the desired outcomes.</w:t>
      </w:r>
      <w:r w:rsidR="00293F35">
        <w:t xml:space="preserve"> We also note that the decision on whether to apply the CESS to a particular NSP will be made as part of the usual regulatory determination process undertaken before the commencement of each regulatory control period. </w:t>
      </w:r>
    </w:p>
    <w:p w:rsidR="008C44B9" w:rsidRDefault="008C44B9" w:rsidP="003B4C72">
      <w:pPr>
        <w:pStyle w:val="AERbodytext"/>
      </w:pPr>
      <w:r>
        <w:t xml:space="preserve">In regards to the requirements under the NER, </w:t>
      </w:r>
      <w:r w:rsidR="00843DBA">
        <w:t xml:space="preserve">a symmetric scheme </w:t>
      </w:r>
      <w:r w:rsidR="0081545F">
        <w:t xml:space="preserve">would better promote efficient </w:t>
      </w:r>
      <w:r w:rsidR="005969F4">
        <w:t xml:space="preserve">substitution between </w:t>
      </w:r>
      <w:r w:rsidR="0081545F">
        <w:t>capex and opex</w:t>
      </w:r>
      <w:r w:rsidR="00235191">
        <w:t xml:space="preserve"> than would an asymmetric CESS</w:t>
      </w:r>
      <w:r w:rsidR="0081545F">
        <w:t xml:space="preserve">. In particular, </w:t>
      </w:r>
      <w:r w:rsidR="005969F4">
        <w:t xml:space="preserve">it would be difficult to balance the incentives for opex and capex with </w:t>
      </w:r>
      <w:r w:rsidR="0081545F">
        <w:t xml:space="preserve">an asymmetric CESS </w:t>
      </w:r>
      <w:r w:rsidR="005969F4">
        <w:t>and</w:t>
      </w:r>
      <w:r w:rsidR="0081545F">
        <w:t xml:space="preserve"> a symmetric EBSS. This could lead to</w:t>
      </w:r>
      <w:r w:rsidR="00843DBA">
        <w:t xml:space="preserve"> perverse outcomes </w:t>
      </w:r>
      <w:r w:rsidR="00293D2E">
        <w:t>for</w:t>
      </w:r>
      <w:r w:rsidR="0081545F">
        <w:t xml:space="preserve"> substitution</w:t>
      </w:r>
      <w:r w:rsidR="00843DBA">
        <w:t xml:space="preserve"> between capex and opex. </w:t>
      </w:r>
      <w:r w:rsidR="0081545F">
        <w:t>In comparison, if both schemes are symmetric, it</w:t>
      </w:r>
      <w:r w:rsidR="005969F4">
        <w:t xml:space="preserve"> is easier </w:t>
      </w:r>
      <w:r w:rsidR="0081545F">
        <w:t>to balance the incentives</w:t>
      </w:r>
      <w:r w:rsidR="00C014C9">
        <w:t xml:space="preserve"> acro</w:t>
      </w:r>
      <w:r w:rsidR="0081545F">
        <w:t>ss opex and capex</w:t>
      </w:r>
      <w:r w:rsidR="00843DBA">
        <w:t>.</w:t>
      </w:r>
      <w:r w:rsidR="00C014C9" w:rsidRPr="00C014C9">
        <w:t xml:space="preserve"> </w:t>
      </w:r>
      <w:r w:rsidR="005969F4">
        <w:t xml:space="preserve">EnerNOC noted that its key </w:t>
      </w:r>
      <w:r w:rsidR="007865DD">
        <w:t>concern</w:t>
      </w:r>
      <w:r w:rsidR="005969F4">
        <w:t xml:space="preserve"> was </w:t>
      </w:r>
      <w:r w:rsidR="007865DD">
        <w:t>that there are</w:t>
      </w:r>
      <w:r w:rsidR="005969F4">
        <w:t xml:space="preserve"> balanced incentives across opex and capex. NSW DNSPs and Grid Australia </w:t>
      </w:r>
      <w:r w:rsidR="002722F7">
        <w:t>not</w:t>
      </w:r>
      <w:r w:rsidR="005969F4">
        <w:t xml:space="preserve">ed that a symmetric scheme was important to achieving balanced incentives between capex, opex and service. </w:t>
      </w:r>
      <w:r w:rsidR="00F2776F">
        <w:t>In principle</w:t>
      </w:r>
      <w:r w:rsidR="00C014C9">
        <w:t xml:space="preserve">, we consider that a symmetric scheme would best meet the requirements under clauses </w:t>
      </w:r>
      <w:r w:rsidR="00C014C9" w:rsidRPr="00191A17">
        <w:t xml:space="preserve">6.5.8A </w:t>
      </w:r>
      <w:r w:rsidR="00C014C9">
        <w:t xml:space="preserve">and </w:t>
      </w:r>
      <w:r w:rsidR="00C014C9" w:rsidRPr="00191A17">
        <w:t>6A.6.5A</w:t>
      </w:r>
      <w:r w:rsidR="00C014C9">
        <w:t xml:space="preserve"> of the NER.</w:t>
      </w:r>
    </w:p>
    <w:p w:rsidR="00843DBA" w:rsidRPr="004D5D1D" w:rsidRDefault="00843DBA" w:rsidP="003B4C72">
      <w:pPr>
        <w:pStyle w:val="AERbodytext"/>
      </w:pPr>
      <w:r>
        <w:t xml:space="preserve">Given the above considerations we consider that </w:t>
      </w:r>
      <w:r w:rsidR="00C014C9">
        <w:t>the</w:t>
      </w:r>
      <w:r>
        <w:t xml:space="preserve"> CESS should be symmetric. </w:t>
      </w:r>
    </w:p>
    <w:p w:rsidR="0020320F" w:rsidRDefault="0020320F" w:rsidP="0020320F">
      <w:pPr>
        <w:pStyle w:val="Heading3"/>
      </w:pPr>
      <w:r>
        <w:t xml:space="preserve">Level of </w:t>
      </w:r>
      <w:r w:rsidR="007F0813">
        <w:t>the reward and penalty</w:t>
      </w:r>
    </w:p>
    <w:p w:rsidR="0020320F" w:rsidRDefault="00F2776F" w:rsidP="0020320F">
      <w:pPr>
        <w:pStyle w:val="AERbodytext"/>
      </w:pPr>
      <w:r>
        <w:t xml:space="preserve">Our proposal is that the CESS should provide a reward and penalty of 30 per cent. </w:t>
      </w:r>
    </w:p>
    <w:p w:rsidR="00045676" w:rsidRDefault="007F48B5" w:rsidP="0020320F">
      <w:pPr>
        <w:pStyle w:val="AERbodytext"/>
      </w:pPr>
      <w:r>
        <w:t xml:space="preserve">Apart from commenting on the symmetry of any CESS, few submissions commented </w:t>
      </w:r>
      <w:r w:rsidR="003864A9">
        <w:t xml:space="preserve">specifically </w:t>
      </w:r>
      <w:r>
        <w:t xml:space="preserve">on the strength of the reward and penalty under the CESS. </w:t>
      </w:r>
      <w:r w:rsidR="00F2776F">
        <w:t>Suggested r</w:t>
      </w:r>
      <w:r>
        <w:t>ewards were in the range of 20 to 35 per cent</w:t>
      </w:r>
      <w:r w:rsidR="00F2776F">
        <w:t xml:space="preserve"> and </w:t>
      </w:r>
      <w:r>
        <w:t xml:space="preserve">penalties were in the range of 20 to 100 per cent. See table 2 for a summary of </w:t>
      </w:r>
      <w:r w:rsidR="00235191">
        <w:t xml:space="preserve">stakeholder </w:t>
      </w:r>
      <w:r>
        <w:t>views on the power of the reward and penalty.</w:t>
      </w:r>
    </w:p>
    <w:p w:rsidR="00FA4DC3" w:rsidRPr="00FA4DC3" w:rsidRDefault="00FA4DC3" w:rsidP="00FA4DC3">
      <w:pPr>
        <w:pStyle w:val="AERbodytext"/>
        <w:numPr>
          <w:ilvl w:val="0"/>
          <w:numId w:val="13"/>
        </w:numPr>
      </w:pPr>
      <w:r w:rsidRPr="00FA4DC3">
        <w:t xml:space="preserve">There are two key issues that </w:t>
      </w:r>
      <w:r w:rsidR="00893682">
        <w:t xml:space="preserve">we </w:t>
      </w:r>
      <w:r w:rsidRPr="00FA4DC3">
        <w:t xml:space="preserve">consider are relevant in setting the power of the incentive for the CESS: </w:t>
      </w:r>
    </w:p>
    <w:p w:rsidR="00FA4DC3" w:rsidRPr="00FA4DC3" w:rsidRDefault="00FA4DC3" w:rsidP="00FA4DC3">
      <w:pPr>
        <w:pStyle w:val="AERbulletlistfirststyle"/>
      </w:pPr>
      <w:r w:rsidRPr="00FA4DC3">
        <w:t xml:space="preserve">The reward should not be so high that it incentivises inefficient capex deferral. This could result in consumers paying too much for the capex (since they </w:t>
      </w:r>
      <w:r w:rsidR="00893682">
        <w:t xml:space="preserve">might </w:t>
      </w:r>
      <w:r w:rsidRPr="00FA4DC3">
        <w:t xml:space="preserve">fund </w:t>
      </w:r>
      <w:r w:rsidR="00893682">
        <w:t xml:space="preserve">the same project </w:t>
      </w:r>
      <w:r w:rsidRPr="00FA4DC3">
        <w:t xml:space="preserve">in multiple </w:t>
      </w:r>
      <w:r w:rsidR="00893682">
        <w:t xml:space="preserve">regulatory control </w:t>
      </w:r>
      <w:r w:rsidRPr="00FA4DC3">
        <w:t xml:space="preserve">periods). Alternatively, consumers could experience a decline in service levels. </w:t>
      </w:r>
    </w:p>
    <w:p w:rsidR="00FA4DC3" w:rsidRPr="00FA4DC3" w:rsidRDefault="00FA4DC3" w:rsidP="00FA4DC3">
      <w:pPr>
        <w:pStyle w:val="AERbulletlistfirststyle"/>
      </w:pPr>
      <w:r w:rsidRPr="00FA4DC3">
        <w:t>The power of the incentive should be set so as to achieve balance between</w:t>
      </w:r>
      <w:r w:rsidR="00235191">
        <w:t xml:space="preserve"> the </w:t>
      </w:r>
      <w:r w:rsidRPr="00FA4DC3">
        <w:t>incentives for capex, opex and service.</w:t>
      </w:r>
    </w:p>
    <w:p w:rsidR="007F48B5" w:rsidRDefault="007F48B5" w:rsidP="007F48B5">
      <w:pPr>
        <w:pStyle w:val="Caption"/>
      </w:pPr>
      <w:r>
        <w:t>Table 2</w:t>
      </w:r>
      <w:r>
        <w:tab/>
        <w:t>Stakeholder views on the power of the incentive</w:t>
      </w:r>
    </w:p>
    <w:tbl>
      <w:tblPr>
        <w:tblStyle w:val="AERtable-numbers"/>
        <w:tblW w:w="0" w:type="auto"/>
        <w:tblLook w:val="04A0" w:firstRow="1" w:lastRow="0" w:firstColumn="1" w:lastColumn="0" w:noHBand="0" w:noVBand="1"/>
      </w:tblPr>
      <w:tblGrid>
        <w:gridCol w:w="3080"/>
        <w:gridCol w:w="1848"/>
        <w:gridCol w:w="4314"/>
      </w:tblGrid>
      <w:tr w:rsidR="007F48B5" w:rsidTr="00A60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F48B5" w:rsidRDefault="007F48B5" w:rsidP="00A609EA">
            <w:pPr>
              <w:pStyle w:val="AERtabletextleft"/>
            </w:pPr>
            <w:r>
              <w:t>Stakeholder</w:t>
            </w:r>
          </w:p>
        </w:tc>
        <w:tc>
          <w:tcPr>
            <w:tcW w:w="1848" w:type="dxa"/>
          </w:tcPr>
          <w:p w:rsidR="007F48B5" w:rsidRDefault="007F48B5" w:rsidP="00A609EA">
            <w:pPr>
              <w:pStyle w:val="AERtabletextleft"/>
              <w:cnfStyle w:val="100000000000" w:firstRow="1" w:lastRow="0" w:firstColumn="0" w:lastColumn="0" w:oddVBand="0" w:evenVBand="0" w:oddHBand="0" w:evenHBand="0" w:firstRowFirstColumn="0" w:firstRowLastColumn="0" w:lastRowFirstColumn="0" w:lastRowLastColumn="0"/>
            </w:pPr>
            <w:r>
              <w:t>Reward</w:t>
            </w:r>
          </w:p>
        </w:tc>
        <w:tc>
          <w:tcPr>
            <w:tcW w:w="4314" w:type="dxa"/>
          </w:tcPr>
          <w:p w:rsidR="007F48B5" w:rsidRDefault="007F48B5" w:rsidP="00A609EA">
            <w:pPr>
              <w:pStyle w:val="AERtabletextleft"/>
              <w:cnfStyle w:val="100000000000" w:firstRow="1" w:lastRow="0" w:firstColumn="0" w:lastColumn="0" w:oddVBand="0" w:evenVBand="0" w:oddHBand="0" w:evenHBand="0" w:firstRowFirstColumn="0" w:firstRowLastColumn="0" w:lastRowFirstColumn="0" w:lastRowLastColumn="0"/>
            </w:pPr>
            <w:r>
              <w:t>Penalty</w:t>
            </w:r>
          </w:p>
        </w:tc>
      </w:tr>
      <w:tr w:rsidR="007F48B5" w:rsidTr="00A609EA">
        <w:tc>
          <w:tcPr>
            <w:cnfStyle w:val="001000000000" w:firstRow="0" w:lastRow="0" w:firstColumn="1" w:lastColumn="0" w:oddVBand="0" w:evenVBand="0" w:oddHBand="0" w:evenHBand="0" w:firstRowFirstColumn="0" w:firstRowLastColumn="0" w:lastRowFirstColumn="0" w:lastRowLastColumn="0"/>
            <w:tcW w:w="3080" w:type="dxa"/>
          </w:tcPr>
          <w:p w:rsidR="007F48B5" w:rsidRDefault="007F48B5" w:rsidP="00A609EA">
            <w:pPr>
              <w:pStyle w:val="AERtabletextleft"/>
            </w:pPr>
            <w:r>
              <w:t>PIAC</w:t>
            </w:r>
          </w:p>
        </w:tc>
        <w:tc>
          <w:tcPr>
            <w:tcW w:w="1848" w:type="dxa"/>
          </w:tcPr>
          <w:p w:rsidR="007F48B5" w:rsidRPr="00A609EA" w:rsidRDefault="007F48B5"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 20 %</w:t>
            </w:r>
          </w:p>
        </w:tc>
        <w:tc>
          <w:tcPr>
            <w:tcW w:w="4314" w:type="dxa"/>
          </w:tcPr>
          <w:p w:rsidR="007F48B5" w:rsidRPr="00A609EA" w:rsidRDefault="007F48B5"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50 %</w:t>
            </w:r>
          </w:p>
        </w:tc>
      </w:tr>
      <w:tr w:rsidR="007F48B5" w:rsidTr="00A609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F48B5" w:rsidRDefault="007F48B5" w:rsidP="00A609EA">
            <w:pPr>
              <w:pStyle w:val="AERtabletextleft"/>
            </w:pPr>
            <w:r>
              <w:t>EUAA</w:t>
            </w:r>
          </w:p>
        </w:tc>
        <w:tc>
          <w:tcPr>
            <w:tcW w:w="1848" w:type="dxa"/>
          </w:tcPr>
          <w:p w:rsidR="007F48B5" w:rsidRPr="00A609EA" w:rsidRDefault="007F48B5"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35 %</w:t>
            </w:r>
          </w:p>
        </w:tc>
        <w:tc>
          <w:tcPr>
            <w:tcW w:w="4314" w:type="dxa"/>
          </w:tcPr>
          <w:p w:rsidR="007F48B5" w:rsidRPr="00A609EA" w:rsidRDefault="007F48B5"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50 % for private; 70 % for government</w:t>
            </w:r>
          </w:p>
        </w:tc>
      </w:tr>
      <w:tr w:rsidR="007F48B5" w:rsidTr="00A609EA">
        <w:tc>
          <w:tcPr>
            <w:cnfStyle w:val="001000000000" w:firstRow="0" w:lastRow="0" w:firstColumn="1" w:lastColumn="0" w:oddVBand="0" w:evenVBand="0" w:oddHBand="0" w:evenHBand="0" w:firstRowFirstColumn="0" w:firstRowLastColumn="0" w:lastRowFirstColumn="0" w:lastRowLastColumn="0"/>
            <w:tcW w:w="3080" w:type="dxa"/>
          </w:tcPr>
          <w:p w:rsidR="007F48B5" w:rsidRDefault="007F48B5" w:rsidP="00A609EA">
            <w:pPr>
              <w:pStyle w:val="AERtabletextleft"/>
            </w:pPr>
            <w:r>
              <w:t>MEU</w:t>
            </w:r>
          </w:p>
        </w:tc>
        <w:tc>
          <w:tcPr>
            <w:tcW w:w="1848" w:type="dxa"/>
          </w:tcPr>
          <w:p w:rsidR="007F48B5" w:rsidRPr="00A609EA" w:rsidRDefault="007F48B5"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No comment</w:t>
            </w:r>
          </w:p>
        </w:tc>
        <w:tc>
          <w:tcPr>
            <w:tcW w:w="4314" w:type="dxa"/>
          </w:tcPr>
          <w:p w:rsidR="007F48B5" w:rsidRPr="00A609EA" w:rsidRDefault="007F48B5"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100 %</w:t>
            </w:r>
          </w:p>
        </w:tc>
      </w:tr>
      <w:tr w:rsidR="007F48B5" w:rsidTr="00A609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F48B5" w:rsidRDefault="007F48B5" w:rsidP="00A609EA">
            <w:pPr>
              <w:pStyle w:val="AERtabletextleft"/>
            </w:pPr>
            <w:r>
              <w:t>TEC</w:t>
            </w:r>
          </w:p>
        </w:tc>
        <w:tc>
          <w:tcPr>
            <w:tcW w:w="1848" w:type="dxa"/>
          </w:tcPr>
          <w:p w:rsidR="007F48B5" w:rsidRPr="00A609EA" w:rsidRDefault="007F48B5"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No comment</w:t>
            </w:r>
          </w:p>
        </w:tc>
        <w:tc>
          <w:tcPr>
            <w:tcW w:w="4314" w:type="dxa"/>
          </w:tcPr>
          <w:p w:rsidR="007F48B5" w:rsidRPr="00A609EA" w:rsidRDefault="007F48B5"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&gt; 30 %</w:t>
            </w:r>
          </w:p>
        </w:tc>
      </w:tr>
      <w:tr w:rsidR="007F48B5" w:rsidTr="00A609EA">
        <w:tc>
          <w:tcPr>
            <w:cnfStyle w:val="001000000000" w:firstRow="0" w:lastRow="0" w:firstColumn="1" w:lastColumn="0" w:oddVBand="0" w:evenVBand="0" w:oddHBand="0" w:evenHBand="0" w:firstRowFirstColumn="0" w:firstRowLastColumn="0" w:lastRowFirstColumn="0" w:lastRowLastColumn="0"/>
            <w:tcW w:w="3080" w:type="dxa"/>
          </w:tcPr>
          <w:p w:rsidR="007F48B5" w:rsidRDefault="007F48B5" w:rsidP="00A609EA">
            <w:pPr>
              <w:pStyle w:val="AERtabletextleft"/>
            </w:pPr>
            <w:r>
              <w:t>NSW DNSPs</w:t>
            </w:r>
          </w:p>
        </w:tc>
        <w:tc>
          <w:tcPr>
            <w:tcW w:w="1848" w:type="dxa"/>
          </w:tcPr>
          <w:p w:rsidR="007F48B5" w:rsidRPr="00A609EA" w:rsidRDefault="007F48B5"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Moderate</w:t>
            </w:r>
          </w:p>
        </w:tc>
        <w:tc>
          <w:tcPr>
            <w:tcW w:w="4314" w:type="dxa"/>
          </w:tcPr>
          <w:p w:rsidR="007F48B5" w:rsidRPr="00A609EA" w:rsidRDefault="007F48B5"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Moderate</w:t>
            </w:r>
          </w:p>
        </w:tc>
      </w:tr>
      <w:tr w:rsidR="007F48B5" w:rsidTr="00A609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F48B5" w:rsidRDefault="007F48B5" w:rsidP="00A609EA">
            <w:pPr>
              <w:pStyle w:val="AERtabletextleft"/>
            </w:pPr>
            <w:r>
              <w:t>Energex</w:t>
            </w:r>
          </w:p>
        </w:tc>
        <w:tc>
          <w:tcPr>
            <w:tcW w:w="1848" w:type="dxa"/>
          </w:tcPr>
          <w:p w:rsidR="007F48B5" w:rsidRPr="00A609EA" w:rsidRDefault="007F48B5"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Low</w:t>
            </w:r>
          </w:p>
        </w:tc>
        <w:tc>
          <w:tcPr>
            <w:tcW w:w="4314" w:type="dxa"/>
          </w:tcPr>
          <w:p w:rsidR="007F48B5" w:rsidRPr="00A609EA" w:rsidRDefault="007F48B5"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Low</w:t>
            </w:r>
          </w:p>
        </w:tc>
      </w:tr>
      <w:tr w:rsidR="007F48B5" w:rsidTr="00A609EA">
        <w:tc>
          <w:tcPr>
            <w:cnfStyle w:val="001000000000" w:firstRow="0" w:lastRow="0" w:firstColumn="1" w:lastColumn="0" w:oddVBand="0" w:evenVBand="0" w:oddHBand="0" w:evenHBand="0" w:firstRowFirstColumn="0" w:firstRowLastColumn="0" w:lastRowFirstColumn="0" w:lastRowLastColumn="0"/>
            <w:tcW w:w="3080" w:type="dxa"/>
          </w:tcPr>
          <w:p w:rsidR="007F48B5" w:rsidRDefault="007F48B5" w:rsidP="00A609EA">
            <w:pPr>
              <w:pStyle w:val="AERtabletextleft"/>
            </w:pPr>
            <w:r>
              <w:t>Ergon Energy</w:t>
            </w:r>
          </w:p>
        </w:tc>
        <w:tc>
          <w:tcPr>
            <w:tcW w:w="1848" w:type="dxa"/>
          </w:tcPr>
          <w:p w:rsidR="007F48B5" w:rsidRPr="00A609EA" w:rsidRDefault="007F48B5"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Low</w:t>
            </w:r>
          </w:p>
        </w:tc>
        <w:tc>
          <w:tcPr>
            <w:tcW w:w="4314" w:type="dxa"/>
          </w:tcPr>
          <w:p w:rsidR="007F48B5" w:rsidRPr="00A609EA" w:rsidRDefault="007F48B5"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Low</w:t>
            </w:r>
          </w:p>
        </w:tc>
      </w:tr>
      <w:tr w:rsidR="007F48B5" w:rsidTr="00A609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F48B5" w:rsidRDefault="007F48B5" w:rsidP="00A609EA">
            <w:pPr>
              <w:pStyle w:val="AERtabletextleft"/>
            </w:pPr>
            <w:r>
              <w:t>SP AusNet</w:t>
            </w:r>
          </w:p>
        </w:tc>
        <w:tc>
          <w:tcPr>
            <w:tcW w:w="1848" w:type="dxa"/>
          </w:tcPr>
          <w:p w:rsidR="007F48B5" w:rsidRPr="00A609EA" w:rsidRDefault="007F48B5"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 xml:space="preserve">20 - 30 % </w:t>
            </w:r>
          </w:p>
        </w:tc>
        <w:tc>
          <w:tcPr>
            <w:tcW w:w="4314" w:type="dxa"/>
          </w:tcPr>
          <w:p w:rsidR="007F48B5" w:rsidRPr="00A609EA" w:rsidRDefault="007F48B5"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20 - 30 %</w:t>
            </w:r>
          </w:p>
        </w:tc>
      </w:tr>
    </w:tbl>
    <w:p w:rsidR="006E5327" w:rsidRDefault="003864A9" w:rsidP="0020320F">
      <w:pPr>
        <w:pStyle w:val="AERbodytext"/>
      </w:pPr>
      <w:r>
        <w:br/>
        <w:t xml:space="preserve">In respect of the level of the reward, the </w:t>
      </w:r>
      <w:r w:rsidRPr="003B4C72">
        <w:t>Victorian Government Department of State Development and Business Innovation</w:t>
      </w:r>
      <w:r w:rsidR="00B14754">
        <w:t xml:space="preserve"> (DSDBI) noted the experience of the Victorian Essential Service Commission (ESC) in applying a capex sharing scheme</w:t>
      </w:r>
      <w:r>
        <w:t xml:space="preserve"> </w:t>
      </w:r>
      <w:r w:rsidR="00B14754">
        <w:t>between 2002 and 2005</w:t>
      </w:r>
      <w:r>
        <w:t>.</w:t>
      </w:r>
      <w:r w:rsidR="001D5442">
        <w:rPr>
          <w:rStyle w:val="FootnoteReference"/>
        </w:rPr>
        <w:footnoteReference w:id="39"/>
      </w:r>
      <w:r>
        <w:t xml:space="preserve"> </w:t>
      </w:r>
      <w:r w:rsidR="006E5327">
        <w:t xml:space="preserve">The scheme was similar to the AER's EBSS in that it applied a five year roller with a resulting power of around 30 per cent. </w:t>
      </w:r>
      <w:r w:rsidR="00B14754">
        <w:t xml:space="preserve">In reviewing the scheme in 2005 the ESC was concerned that it had </w:t>
      </w:r>
      <w:r w:rsidR="00235191">
        <w:t>incentivised</w:t>
      </w:r>
      <w:r w:rsidR="00B14754">
        <w:t xml:space="preserve"> greater</w:t>
      </w:r>
      <w:r>
        <w:t xml:space="preserve"> </w:t>
      </w:r>
      <w:r w:rsidR="00235191">
        <w:t xml:space="preserve">levels of </w:t>
      </w:r>
      <w:r>
        <w:t>inter</w:t>
      </w:r>
      <w:r w:rsidR="00235191">
        <w:noBreakHyphen/>
      </w:r>
      <w:r>
        <w:t>period capex deferral</w:t>
      </w:r>
      <w:r w:rsidR="006E5327">
        <w:t xml:space="preserve">. In particular, NSPs had generally underspent but asked for much higher capex allowances </w:t>
      </w:r>
      <w:r w:rsidR="00235191">
        <w:t>for</w:t>
      </w:r>
      <w:r w:rsidR="006E5327">
        <w:t xml:space="preserve"> the next regulatory period. This could have led to consumers funding capex in two periods and paying an efficiency payment as well. This concern led the ESC to remove</w:t>
      </w:r>
      <w:r>
        <w:t xml:space="preserve"> the scheme</w:t>
      </w:r>
      <w:r w:rsidR="006E5327">
        <w:t xml:space="preserve"> for the 2006-10 regulatory </w:t>
      </w:r>
      <w:proofErr w:type="gramStart"/>
      <w:r w:rsidR="006E5327">
        <w:t>period</w:t>
      </w:r>
      <w:proofErr w:type="gramEnd"/>
      <w:r>
        <w:t>.</w:t>
      </w:r>
      <w:r w:rsidR="00FE5006">
        <w:rPr>
          <w:rStyle w:val="FootnoteReference"/>
        </w:rPr>
        <w:footnoteReference w:id="40"/>
      </w:r>
      <w:r>
        <w:t xml:space="preserve"> </w:t>
      </w:r>
    </w:p>
    <w:p w:rsidR="003864A9" w:rsidRDefault="00B14754" w:rsidP="0020320F">
      <w:pPr>
        <w:pStyle w:val="AERbodytext"/>
      </w:pPr>
      <w:r>
        <w:t>While we acknowledge this concern we believe that it is somewhat mitigated if:</w:t>
      </w:r>
    </w:p>
    <w:p w:rsidR="00FF4B9B" w:rsidRDefault="00FF4B9B" w:rsidP="00B14754">
      <w:pPr>
        <w:pStyle w:val="AERbulletlistfirststyle"/>
      </w:pPr>
      <w:r>
        <w:t xml:space="preserve">The power of the reward is </w:t>
      </w:r>
      <w:r w:rsidR="00F2776F">
        <w:t>moderate rather than high.</w:t>
      </w:r>
      <w:r>
        <w:t xml:space="preserve"> </w:t>
      </w:r>
    </w:p>
    <w:p w:rsidR="00B14754" w:rsidRDefault="00B14754" w:rsidP="00B14754">
      <w:pPr>
        <w:pStyle w:val="AERbulletlistfirststyle"/>
      </w:pPr>
      <w:r>
        <w:t>Our capex forecasting becomes better so we are less likely to fund capex that is ultimately not required in the period. In some circumstances this could make use of the contingent project provisions in the NER.</w:t>
      </w:r>
      <w:r w:rsidR="00293D2E">
        <w:t xml:space="preserve"> </w:t>
      </w:r>
    </w:p>
    <w:p w:rsidR="00B14754" w:rsidRDefault="00B14754" w:rsidP="00B14754">
      <w:pPr>
        <w:pStyle w:val="AERbulletlistfirststyle"/>
      </w:pPr>
      <w:r>
        <w:t xml:space="preserve">The incentives for capex, opex and service are </w:t>
      </w:r>
      <w:r w:rsidR="007865DD">
        <w:t>balanced</w:t>
      </w:r>
      <w:r>
        <w:t xml:space="preserve"> so that any capex deferral either increases opex or reduces payments under the Service Target Performance I</w:t>
      </w:r>
      <w:r w:rsidRPr="00AE3140">
        <w:t>ncentiv</w:t>
      </w:r>
      <w:r>
        <w:t>e S</w:t>
      </w:r>
      <w:r w:rsidRPr="00AE3140">
        <w:t>cheme (STPIS)</w:t>
      </w:r>
      <w:r w:rsidR="006E5327">
        <w:t>.</w:t>
      </w:r>
    </w:p>
    <w:p w:rsidR="007F113C" w:rsidRDefault="007F113C" w:rsidP="00132A01">
      <w:pPr>
        <w:pStyle w:val="AERbodytext"/>
      </w:pPr>
      <w:r>
        <w:t>In particular, we are developing our approach to forecasting capex through the development of Expenditure Forecasting Assessm</w:t>
      </w:r>
      <w:r w:rsidR="00C95AE5">
        <w:t>ent Guidelines. The associated explanatory s</w:t>
      </w:r>
      <w:r>
        <w:t xml:space="preserve">tatement for the draft version of these guidelines discusses our approach </w:t>
      </w:r>
      <w:r w:rsidR="00235191">
        <w:t xml:space="preserve">to </w:t>
      </w:r>
      <w:r w:rsidR="00132A01">
        <w:t>forecasting capex and monitoring</w:t>
      </w:r>
      <w:r>
        <w:t xml:space="preserve"> capex deferral.</w:t>
      </w:r>
      <w:r w:rsidR="00415F10">
        <w:rPr>
          <w:rStyle w:val="FootnoteReference"/>
        </w:rPr>
        <w:footnoteReference w:id="41"/>
      </w:r>
      <w:r w:rsidR="00132A01">
        <w:t xml:space="preserve"> For example, in assessing capex forecasts we will consider levels of capex deferral in previous periods and the outcomes delivered by the NSP in those periods. Such outcomes will be included into our </w:t>
      </w:r>
      <w:r w:rsidR="00132A01" w:rsidRPr="00533B91">
        <w:t>replacement and augmentation modellin</w:t>
      </w:r>
      <w:r w:rsidR="00132A01">
        <w:t>g. We will also be monitoring capex deferral on an ongoing basis through our annual performance reports.</w:t>
      </w:r>
    </w:p>
    <w:p w:rsidR="00B14754" w:rsidRDefault="00FF4B9B" w:rsidP="00B14754">
      <w:pPr>
        <w:pStyle w:val="AERbodytext"/>
      </w:pPr>
      <w:r>
        <w:t>Th</w:t>
      </w:r>
      <w:r w:rsidR="00293D2E">
        <w:t xml:space="preserve">e second consideration in setting the power of the incentive is that the incentives for efficient capex should be balanced with the incentives for efficient opex and service. </w:t>
      </w:r>
      <w:r w:rsidR="006E5327">
        <w:t>As discussed above, this goes towards achieving efficient capex and opex as required under the NER. We believe that the best way to achieve this is to set the power of the CESS equal to the power of the existing EBSS and STP</w:t>
      </w:r>
      <w:r w:rsidR="00235191">
        <w:t>I</w:t>
      </w:r>
      <w:r w:rsidR="006E5327">
        <w:t>S. That is, a reward and penalty of 30 per cent.</w:t>
      </w:r>
    </w:p>
    <w:p w:rsidR="0020320F" w:rsidRDefault="0020320F" w:rsidP="0020320F">
      <w:pPr>
        <w:pStyle w:val="Heading3"/>
      </w:pPr>
      <w:r>
        <w:t>Number of schemes</w:t>
      </w:r>
    </w:p>
    <w:p w:rsidR="001C36CA" w:rsidRDefault="00F2776F" w:rsidP="0037090C">
      <w:pPr>
        <w:pStyle w:val="AERbodytext"/>
      </w:pPr>
      <w:r>
        <w:t>Our proposal is for</w:t>
      </w:r>
      <w:r w:rsidR="001C36CA">
        <w:t xml:space="preserve"> one CESS to apply to all NSPs. </w:t>
      </w:r>
      <w:r>
        <w:t>This is consistent with our proposal in the issues paper.</w:t>
      </w:r>
    </w:p>
    <w:p w:rsidR="0037090C" w:rsidRDefault="001C36CA" w:rsidP="0037090C">
      <w:pPr>
        <w:pStyle w:val="AERbodytext"/>
      </w:pPr>
      <w:r>
        <w:t xml:space="preserve">Stakeholder views on the </w:t>
      </w:r>
      <w:r w:rsidR="00375299">
        <w:t xml:space="preserve">number </w:t>
      </w:r>
      <w:r>
        <w:t xml:space="preserve">of schemes varied: </w:t>
      </w:r>
    </w:p>
    <w:p w:rsidR="002B2383" w:rsidRPr="002B2383" w:rsidRDefault="002B2383" w:rsidP="002B2383">
      <w:pPr>
        <w:pStyle w:val="AERbulletlistfirststyle"/>
      </w:pPr>
      <w:r w:rsidRPr="002B2383">
        <w:t xml:space="preserve">MEU supported </w:t>
      </w:r>
      <w:r>
        <w:t>one scheme</w:t>
      </w:r>
      <w:r w:rsidRPr="002B2383">
        <w:t xml:space="preserve"> applying to all NSPs.</w:t>
      </w:r>
      <w:r w:rsidR="001D5442">
        <w:rPr>
          <w:rStyle w:val="FootnoteReference"/>
        </w:rPr>
        <w:footnoteReference w:id="42"/>
      </w:r>
      <w:r w:rsidRPr="002B2383">
        <w:t xml:space="preserve"> </w:t>
      </w:r>
    </w:p>
    <w:p w:rsidR="002B2383" w:rsidRPr="002B2383" w:rsidRDefault="007865DD" w:rsidP="002B2383">
      <w:pPr>
        <w:pStyle w:val="AERbulletlistfirststyle"/>
      </w:pPr>
      <w:r>
        <w:t>CEM on behalf of EUAA</w:t>
      </w:r>
      <w:r w:rsidR="002B2383" w:rsidRPr="002B2383">
        <w:t xml:space="preserve"> </w:t>
      </w:r>
      <w:r w:rsidR="002722F7">
        <w:t>stat</w:t>
      </w:r>
      <w:r w:rsidR="002B2383" w:rsidRPr="002B2383">
        <w:t>ed that two schemes should be developed, one for private</w:t>
      </w:r>
      <w:r w:rsidR="00235191">
        <w:t>ly owned</w:t>
      </w:r>
      <w:r w:rsidR="002B2383" w:rsidRPr="002B2383">
        <w:t xml:space="preserve"> NSPs and one for government owned NSPs.</w:t>
      </w:r>
      <w:r w:rsidR="001D5442">
        <w:rPr>
          <w:rStyle w:val="FootnoteReference"/>
        </w:rPr>
        <w:footnoteReference w:id="43"/>
      </w:r>
      <w:r w:rsidR="002B2383" w:rsidRPr="002B2383">
        <w:t xml:space="preserve"> </w:t>
      </w:r>
    </w:p>
    <w:p w:rsidR="002B2383" w:rsidRPr="002B2383" w:rsidRDefault="002B2383" w:rsidP="002B2383">
      <w:pPr>
        <w:pStyle w:val="AERbulletlistfirststyle"/>
      </w:pPr>
      <w:r w:rsidRPr="002B2383">
        <w:t xml:space="preserve">Grid Australia and APA Group </w:t>
      </w:r>
      <w:r w:rsidR="002722F7">
        <w:t>supported there being</w:t>
      </w:r>
      <w:r w:rsidRPr="002B2383">
        <w:t xml:space="preserve"> two schemes on the basis of NSP type; that is, distribution or transmission. E</w:t>
      </w:r>
      <w:r w:rsidR="007865DD">
        <w:t xml:space="preserve">nergy </w:t>
      </w:r>
      <w:r w:rsidRPr="002B2383">
        <w:t>N</w:t>
      </w:r>
      <w:r w:rsidR="007865DD">
        <w:t xml:space="preserve">etworks </w:t>
      </w:r>
      <w:r w:rsidRPr="002B2383">
        <w:t>A</w:t>
      </w:r>
      <w:r w:rsidR="007865DD">
        <w:t>ssociation (ENA)</w:t>
      </w:r>
      <w:r w:rsidRPr="002B2383">
        <w:t xml:space="preserve"> also suggested that NSP type was an important consideration.</w:t>
      </w:r>
      <w:r w:rsidR="001D5442">
        <w:rPr>
          <w:rStyle w:val="FootnoteReference"/>
        </w:rPr>
        <w:footnoteReference w:id="44"/>
      </w:r>
    </w:p>
    <w:p w:rsidR="002B2383" w:rsidRPr="002B2383" w:rsidRDefault="007865DD" w:rsidP="002B2383">
      <w:pPr>
        <w:pStyle w:val="AERbulletlistfirststyle"/>
      </w:pPr>
      <w:r>
        <w:t>PIAC</w:t>
      </w:r>
      <w:r w:rsidR="002B2383" w:rsidRPr="002B2383">
        <w:t xml:space="preserve"> and Total Environment Centre’s National Electricity Market Advocacy (TEC) suggested that perhaps both ownership and type are important, meaning there could be four schemes.</w:t>
      </w:r>
      <w:r w:rsidR="00F5545D">
        <w:rPr>
          <w:rStyle w:val="FootnoteReference"/>
        </w:rPr>
        <w:footnoteReference w:id="45"/>
      </w:r>
    </w:p>
    <w:p w:rsidR="001C36CA" w:rsidRDefault="002B2383" w:rsidP="002B2383">
      <w:pPr>
        <w:pStyle w:val="AERbulletlistfirststyle"/>
      </w:pPr>
      <w:r w:rsidRPr="002B2383">
        <w:t xml:space="preserve">Six </w:t>
      </w:r>
      <w:r>
        <w:t>stakeholders</w:t>
      </w:r>
      <w:r w:rsidRPr="002B2383">
        <w:t xml:space="preserve"> suggested that while the scheme could be broadly the same, the </w:t>
      </w:r>
      <w:r w:rsidR="00454FA0">
        <w:t xml:space="preserve">power of </w:t>
      </w:r>
      <w:r w:rsidRPr="002B2383">
        <w:t xml:space="preserve">scheme </w:t>
      </w:r>
      <w:r w:rsidR="00F907AB">
        <w:t>(</w:t>
      </w:r>
      <w:r w:rsidR="00454FA0">
        <w:t xml:space="preserve">or other aspects of the scheme) </w:t>
      </w:r>
      <w:r w:rsidRPr="002B2383">
        <w:t>could be varied to account for differences between NSPs (performance, jurisdiction, type and ownership were mentioned as rele</w:t>
      </w:r>
      <w:r>
        <w:t>vant factors to be considered).</w:t>
      </w:r>
      <w:r>
        <w:rPr>
          <w:rStyle w:val="FootnoteReference"/>
        </w:rPr>
        <w:footnoteReference w:id="46"/>
      </w:r>
    </w:p>
    <w:p w:rsidR="004B3BC1" w:rsidRDefault="004C719C" w:rsidP="004C719C">
      <w:pPr>
        <w:pStyle w:val="AERbodytext"/>
      </w:pPr>
      <w:r>
        <w:t>We have considered developing different schem</w:t>
      </w:r>
      <w:r w:rsidR="00F2776F">
        <w:t>es on the basis of ownership and</w:t>
      </w:r>
      <w:r>
        <w:t xml:space="preserve"> NSP type. </w:t>
      </w:r>
      <w:r w:rsidR="00F2776F">
        <w:t>We have also considered whether the CESS should be varied on a case by case basis.</w:t>
      </w:r>
    </w:p>
    <w:p w:rsidR="004C719C" w:rsidRDefault="00532FF6" w:rsidP="004C719C">
      <w:pPr>
        <w:pStyle w:val="AERbodytext"/>
      </w:pPr>
      <w:r>
        <w:t xml:space="preserve">CEM (on behalf of </w:t>
      </w:r>
      <w:r w:rsidR="004C719C">
        <w:t>EUAA</w:t>
      </w:r>
      <w:r>
        <w:t>)</w:t>
      </w:r>
      <w:r w:rsidR="004C719C">
        <w:t xml:space="preserve"> and PIAC noted a number of reasons why ownership could influence the responsiveness of NSPs to financial incentives. While these reasons have been </w:t>
      </w:r>
      <w:r w:rsidR="004B3BC1">
        <w:t xml:space="preserve">discussed widely in the literature, it is </w:t>
      </w:r>
      <w:r w:rsidR="00F2776F">
        <w:t xml:space="preserve">not </w:t>
      </w:r>
      <w:r w:rsidR="00235191">
        <w:t>entirely</w:t>
      </w:r>
      <w:r w:rsidR="00F2776F">
        <w:t xml:space="preserve"> </w:t>
      </w:r>
      <w:r w:rsidR="004B3BC1">
        <w:t xml:space="preserve">clear what this means for incentive design. </w:t>
      </w:r>
      <w:r>
        <w:t xml:space="preserve">CEM suggested that the penalty for overspending should be higher for government owned NSPs. However, to the extent that government owned NSPs are potentially </w:t>
      </w:r>
      <w:r w:rsidR="004B3BC1">
        <w:t xml:space="preserve">less responsive </w:t>
      </w:r>
      <w:r>
        <w:t>to financial incentives, it is not clear that a</w:t>
      </w:r>
      <w:r w:rsidR="004B3BC1">
        <w:t xml:space="preserve"> higher powered incentive </w:t>
      </w:r>
      <w:r>
        <w:t xml:space="preserve">would </w:t>
      </w:r>
      <w:r w:rsidR="004B3BC1">
        <w:t xml:space="preserve">achieve the </w:t>
      </w:r>
      <w:r>
        <w:t xml:space="preserve">desired </w:t>
      </w:r>
      <w:r w:rsidR="004B3BC1">
        <w:t>results</w:t>
      </w:r>
      <w:r>
        <w:t>. Instead we consider that perhaps some o</w:t>
      </w:r>
      <w:r w:rsidR="004B3BC1">
        <w:t xml:space="preserve">ther form of </w:t>
      </w:r>
      <w:r w:rsidR="00D417EE">
        <w:t>mechanism is</w:t>
      </w:r>
      <w:r w:rsidR="004B3BC1">
        <w:t xml:space="preserve"> justified. In particular, we </w:t>
      </w:r>
      <w:r>
        <w:t xml:space="preserve">now </w:t>
      </w:r>
      <w:r w:rsidR="004B3BC1">
        <w:t xml:space="preserve">have the ability to exclude inefficient capex </w:t>
      </w:r>
      <w:r w:rsidR="00893682">
        <w:t xml:space="preserve">overspends </w:t>
      </w:r>
      <w:r w:rsidR="004B3BC1">
        <w:t>from the RAB ex post</w:t>
      </w:r>
      <w:r w:rsidR="005F54B4">
        <w:t>. To the extent that NSPs are less responsive to financial incentives, the ex post review should provide some protection against customers paying for inefficient overspends</w:t>
      </w:r>
      <w:r w:rsidR="004B3BC1">
        <w:t>.</w:t>
      </w:r>
      <w:r w:rsidR="007865DD">
        <w:t xml:space="preserve"> </w:t>
      </w:r>
      <w:r w:rsidR="009A2114" w:rsidRPr="009A2114">
        <w:t xml:space="preserve">In addition, to the extent that NSPs (government or privately owned) may have incentives to overspend due to having a lower WACC, this can also be addressed through the ex post review. The ex post review will consider the efficiency or otherwise of all overspends regardless of the cause of </w:t>
      </w:r>
      <w:proofErr w:type="gramStart"/>
      <w:r w:rsidR="009A2114" w:rsidRPr="009A2114">
        <w:t>the overspend</w:t>
      </w:r>
      <w:proofErr w:type="gramEnd"/>
      <w:r w:rsidR="009A2114" w:rsidRPr="009A2114">
        <w:t>.</w:t>
      </w:r>
      <w:r w:rsidR="009A2114">
        <w:t xml:space="preserve"> </w:t>
      </w:r>
      <w:r w:rsidR="007865DD">
        <w:t>For this reason, we do not consider different schemes are warranted on the basis of NSP ownership.</w:t>
      </w:r>
    </w:p>
    <w:p w:rsidR="004B3BC1" w:rsidRDefault="004B3BC1" w:rsidP="005805D6">
      <w:pPr>
        <w:pStyle w:val="AERbodytext"/>
      </w:pPr>
      <w:r>
        <w:t xml:space="preserve">While Grid Australia and APA Group noted </w:t>
      </w:r>
      <w:r w:rsidR="005805D6">
        <w:t xml:space="preserve">a number of </w:t>
      </w:r>
      <w:r>
        <w:t xml:space="preserve">differences between transmission and distribution NSPs, they did not state the implications for </w:t>
      </w:r>
      <w:r w:rsidR="005F54B4">
        <w:t xml:space="preserve">capex </w:t>
      </w:r>
      <w:r>
        <w:t>incentive design.</w:t>
      </w:r>
      <w:r w:rsidR="00F907AB">
        <w:rPr>
          <w:rStyle w:val="FootnoteReference"/>
        </w:rPr>
        <w:footnoteReference w:id="47"/>
      </w:r>
      <w:r>
        <w:t xml:space="preserve"> </w:t>
      </w:r>
      <w:r w:rsidR="00D417EE">
        <w:t xml:space="preserve">While we understand that there are differences between TNSPs and DNSPs, we are not convinced that these </w:t>
      </w:r>
      <w:proofErr w:type="gramStart"/>
      <w:r w:rsidR="00D417EE">
        <w:t>difference</w:t>
      </w:r>
      <w:proofErr w:type="gramEnd"/>
      <w:r w:rsidR="00D417EE">
        <w:t xml:space="preserve"> warrant different CESSs</w:t>
      </w:r>
      <w:r w:rsidR="005805D6" w:rsidRPr="005805D6">
        <w:t xml:space="preserve">. For this reason we have not developed different schemes </w:t>
      </w:r>
      <w:r w:rsidR="005805D6">
        <w:t>for</w:t>
      </w:r>
      <w:r w:rsidR="005805D6" w:rsidRPr="005805D6">
        <w:t xml:space="preserve"> </w:t>
      </w:r>
      <w:r w:rsidR="005805D6">
        <w:t>T</w:t>
      </w:r>
      <w:r w:rsidR="005805D6" w:rsidRPr="005805D6">
        <w:t xml:space="preserve">NSPs and </w:t>
      </w:r>
      <w:r w:rsidR="005805D6">
        <w:t>D</w:t>
      </w:r>
      <w:r w:rsidR="005805D6" w:rsidRPr="005805D6">
        <w:t>NSPs.</w:t>
      </w:r>
    </w:p>
    <w:p w:rsidR="00AD4970" w:rsidRDefault="004B3BC1" w:rsidP="004C719C">
      <w:pPr>
        <w:pStyle w:val="AERbodytext"/>
      </w:pPr>
      <w:r>
        <w:t xml:space="preserve">Other stakeholders </w:t>
      </w:r>
      <w:r w:rsidR="002722F7">
        <w:t xml:space="preserve">supported </w:t>
      </w:r>
      <w:r>
        <w:t xml:space="preserve">a flexible scheme that could be varied to suit the individual characteristics of different NSPs. While this approach has some appeal, it is difficult to determine what </w:t>
      </w:r>
      <w:r w:rsidR="00293D2E">
        <w:t xml:space="preserve">readily observable </w:t>
      </w:r>
      <w:r>
        <w:t>factors would in practice influence a change of approach between NSPs</w:t>
      </w:r>
      <w:r w:rsidR="00433F6B">
        <w:t xml:space="preserve"> and how these could be precisely applied to affect the design of the scheme</w:t>
      </w:r>
      <w:r>
        <w:t>.</w:t>
      </w:r>
      <w:r w:rsidR="00AD4970">
        <w:t xml:space="preserve"> In addition, </w:t>
      </w:r>
      <w:r w:rsidR="005F54B4">
        <w:t>this</w:t>
      </w:r>
      <w:r w:rsidR="00AD4970">
        <w:t xml:space="preserve"> approach would appear less warranted under a moderate symmetric CESS</w:t>
      </w:r>
      <w:r w:rsidR="005F54B4">
        <w:t xml:space="preserve"> such as the scheme we are proposing</w:t>
      </w:r>
      <w:r w:rsidR="00AD4970">
        <w:t xml:space="preserve">. </w:t>
      </w:r>
    </w:p>
    <w:p w:rsidR="004B3BC1" w:rsidRPr="004C719C" w:rsidRDefault="00AD4970" w:rsidP="004C719C">
      <w:pPr>
        <w:pStyle w:val="AERbodytext"/>
      </w:pPr>
      <w:r>
        <w:t>Given this, our preference is for an approach that provides certainty to NSPs rather than introducing additional discretion at the time of the determination.</w:t>
      </w:r>
      <w:r w:rsidR="001072C5">
        <w:rPr>
          <w:rStyle w:val="FootnoteReference"/>
        </w:rPr>
        <w:footnoteReference w:id="48"/>
      </w:r>
      <w:r>
        <w:t xml:space="preserve"> In summary, our preference is to apply the same CESS to all NSPs.</w:t>
      </w:r>
      <w:r w:rsidR="00B42F90">
        <w:t xml:space="preserve"> </w:t>
      </w:r>
    </w:p>
    <w:p w:rsidR="0037090C" w:rsidRDefault="0037090C" w:rsidP="0037090C">
      <w:pPr>
        <w:pStyle w:val="Heading3"/>
      </w:pPr>
      <w:r>
        <w:t>Exclusions from the scheme</w:t>
      </w:r>
    </w:p>
    <w:p w:rsidR="005F54B4" w:rsidRDefault="00B42F90" w:rsidP="003A4AC4">
      <w:pPr>
        <w:pStyle w:val="AERbodytext"/>
      </w:pPr>
      <w:r>
        <w:t xml:space="preserve">We are proposing not to allow for any exclusions from the CESS. </w:t>
      </w:r>
      <w:r w:rsidR="002B2383">
        <w:t xml:space="preserve">We did not put forward an initial position on whether certain categories of capex should be excluded from the CESS in our issues paper. Instead we invited stakeholders to comment on the issue. </w:t>
      </w:r>
    </w:p>
    <w:p w:rsidR="005F54B4" w:rsidRDefault="005F54B4" w:rsidP="005F54B4">
      <w:pPr>
        <w:pStyle w:val="AERbodytext"/>
        <w:numPr>
          <w:ilvl w:val="0"/>
          <w:numId w:val="13"/>
        </w:numPr>
      </w:pPr>
      <w:r>
        <w:t>A number of stakeholders suggested that certain types of capex should be excluded from the operation of the CESS.</w:t>
      </w:r>
      <w:r>
        <w:rPr>
          <w:rStyle w:val="FootnoteReference"/>
        </w:rPr>
        <w:footnoteReference w:id="49"/>
      </w:r>
      <w:r>
        <w:t xml:space="preserve"> Potential categories of capex that were suggested for exclusion included capex driven by changes in:</w:t>
      </w:r>
    </w:p>
    <w:p w:rsidR="005F54B4" w:rsidRDefault="005F54B4" w:rsidP="005F54B4">
      <w:pPr>
        <w:pStyle w:val="AERbulletlistfirststyle"/>
      </w:pPr>
      <w:r>
        <w:t>economic conditions</w:t>
      </w:r>
      <w:r>
        <w:rPr>
          <w:rStyle w:val="FootnoteReference"/>
        </w:rPr>
        <w:footnoteReference w:id="50"/>
      </w:r>
    </w:p>
    <w:p w:rsidR="005F54B4" w:rsidRDefault="005F54B4" w:rsidP="005F54B4">
      <w:pPr>
        <w:pStyle w:val="AERbulletlistfirststyle"/>
      </w:pPr>
      <w:r>
        <w:t>customer demand (including customer driven extensions/expansions)</w:t>
      </w:r>
      <w:r>
        <w:rPr>
          <w:rStyle w:val="FootnoteReference"/>
        </w:rPr>
        <w:footnoteReference w:id="51"/>
      </w:r>
    </w:p>
    <w:p w:rsidR="005F54B4" w:rsidRDefault="005F54B4" w:rsidP="005F54B4">
      <w:pPr>
        <w:pStyle w:val="AERbulletlistfirststyle"/>
      </w:pPr>
      <w:r>
        <w:t>actual growth</w:t>
      </w:r>
      <w:r>
        <w:rPr>
          <w:rStyle w:val="FootnoteReference"/>
        </w:rPr>
        <w:footnoteReference w:id="52"/>
      </w:r>
    </w:p>
    <w:p w:rsidR="005F54B4" w:rsidRDefault="005F54B4" w:rsidP="005F54B4">
      <w:pPr>
        <w:pStyle w:val="AERbulletlistfirststyle"/>
      </w:pPr>
      <w:r>
        <w:t>legislative or regulatory obligations.</w:t>
      </w:r>
      <w:r>
        <w:rPr>
          <w:rStyle w:val="FootnoteReference"/>
        </w:rPr>
        <w:footnoteReference w:id="53"/>
      </w:r>
    </w:p>
    <w:p w:rsidR="005F54B4" w:rsidRDefault="005F54B4" w:rsidP="005F54B4">
      <w:pPr>
        <w:pStyle w:val="AERbodytext"/>
      </w:pPr>
      <w:r>
        <w:t>Other stakeholders</w:t>
      </w:r>
      <w:r>
        <w:rPr>
          <w:rStyle w:val="FootnoteReference"/>
        </w:rPr>
        <w:footnoteReference w:id="54"/>
      </w:r>
      <w:r>
        <w:t xml:space="preserve"> suggested that we could include criteria for excluding capex from the CESS in the </w:t>
      </w:r>
      <w:r w:rsidR="0043387A">
        <w:t>guidelines</w:t>
      </w:r>
      <w:r>
        <w:t xml:space="preserve"> and then determine </w:t>
      </w:r>
      <w:r w:rsidR="00F21DD9">
        <w:t>what categories of capex should be excluded at</w:t>
      </w:r>
      <w:r>
        <w:t xml:space="preserve"> each regulatory period as part of the usual determination process.</w:t>
      </w:r>
    </w:p>
    <w:p w:rsidR="00EB64C0" w:rsidRDefault="00EB64C0" w:rsidP="005F54B4">
      <w:pPr>
        <w:pStyle w:val="AERbodytext"/>
      </w:pPr>
      <w:r>
        <w:t xml:space="preserve">Some stakeholders also suggested that </w:t>
      </w:r>
      <w:r w:rsidRPr="00C35112">
        <w:t>capex associated with contingent projects, pa</w:t>
      </w:r>
      <w:r>
        <w:t>ss throughs and re-openers should be</w:t>
      </w:r>
      <w:r w:rsidRPr="00C35112">
        <w:t xml:space="preserve"> excluded from the CESS</w:t>
      </w:r>
      <w:r>
        <w:t>.</w:t>
      </w:r>
      <w:r>
        <w:rPr>
          <w:rStyle w:val="FootnoteReference"/>
        </w:rPr>
        <w:footnoteReference w:id="55"/>
      </w:r>
      <w:r w:rsidR="00F21DD9">
        <w:t xml:space="preserve"> </w:t>
      </w:r>
      <w:r w:rsidR="00433F6B">
        <w:t>W</w:t>
      </w:r>
      <w:r w:rsidR="00F21DD9">
        <w:t>e are proposing that</w:t>
      </w:r>
      <w:r>
        <w:t xml:space="preserve"> for the purposes of </w:t>
      </w:r>
      <w:r w:rsidR="00D417EE">
        <w:t xml:space="preserve">calculating </w:t>
      </w:r>
      <w:r>
        <w:t xml:space="preserve">the </w:t>
      </w:r>
      <w:r w:rsidR="00F21DD9">
        <w:t>CESS</w:t>
      </w:r>
      <w:r>
        <w:t xml:space="preserve"> the allowance will include any approved capex associated with </w:t>
      </w:r>
      <w:r w:rsidRPr="00C35112">
        <w:t>contingent projects, pa</w:t>
      </w:r>
      <w:r>
        <w:t>ss throughs and re-openers</w:t>
      </w:r>
      <w:r w:rsidR="00433F6B">
        <w:t xml:space="preserve">. </w:t>
      </w:r>
      <w:r w:rsidR="00D417EE">
        <w:t xml:space="preserve">In this way, approved capex for </w:t>
      </w:r>
      <w:r w:rsidR="00D417EE" w:rsidRPr="00C35112">
        <w:t>contingent projects, pa</w:t>
      </w:r>
      <w:r w:rsidR="00D417EE">
        <w:t>ss throughs and re-openers will have the same status as the rest of the NSP's capex allowance. This allows the NSP the same opportunity to</w:t>
      </w:r>
      <w:r w:rsidR="00BD6A22">
        <w:t xml:space="preserve"> benefit from</w:t>
      </w:r>
      <w:r w:rsidR="00D417EE">
        <w:t xml:space="preserve"> efficiency gains in respect of these categories of capex as for all other categories of capex. </w:t>
      </w:r>
      <w:r w:rsidR="00BD6A22">
        <w:t>We consider this to be more appropriate than simply excluding these categories of capex from the CESS.</w:t>
      </w:r>
    </w:p>
    <w:p w:rsidR="003A4AC4" w:rsidRDefault="00EB64C0" w:rsidP="003A4AC4">
      <w:pPr>
        <w:pStyle w:val="AERbodytext"/>
      </w:pPr>
      <w:r>
        <w:t xml:space="preserve">In response to the other suggested exclusions, we are not convinced that any categories of capex should be excluded from the operation of the CESS. In regards to possible forecasting error, the application of a </w:t>
      </w:r>
      <w:r w:rsidR="006D563B">
        <w:t xml:space="preserve">symmetric scheme </w:t>
      </w:r>
      <w:r>
        <w:t xml:space="preserve">will mean that overs and unders will be treated equally. </w:t>
      </w:r>
      <w:r w:rsidR="00F21DD9">
        <w:t xml:space="preserve">In relation to capex that is outside of a NSP's control, application of the scheme will mean that the NSP bears 30 per cent of the cost of any unforseen event that requires </w:t>
      </w:r>
      <w:r w:rsidR="00235191">
        <w:t xml:space="preserve">additional </w:t>
      </w:r>
      <w:r w:rsidR="00F21DD9">
        <w:t>capex. Conversely, if a cost does not arise, the NSP will save 30 per cent of the avoided cost. If the CESS did not apply however, the amount to be borne by the NSP w</w:t>
      </w:r>
      <w:r w:rsidR="007865DD">
        <w:t>ould</w:t>
      </w:r>
      <w:r w:rsidR="00F21DD9">
        <w:t xml:space="preserve"> depend on the year in which the cost (cost saving) occurs. </w:t>
      </w:r>
      <w:r w:rsidR="00231EEE">
        <w:t xml:space="preserve">For example, the power of the incentive can be anything from </w:t>
      </w:r>
      <w:r w:rsidR="009261AD">
        <w:t>around 23</w:t>
      </w:r>
      <w:r w:rsidR="00231EEE">
        <w:t xml:space="preserve"> per cent in year 1 of the regulatory control period to </w:t>
      </w:r>
      <w:r w:rsidR="009261AD">
        <w:t xml:space="preserve">close to </w:t>
      </w:r>
      <w:r w:rsidR="00231EEE">
        <w:t>zero per cent in year 5 of the regulatory control period.</w:t>
      </w:r>
      <w:r w:rsidR="00231EEE">
        <w:rPr>
          <w:rStyle w:val="FootnoteReference"/>
        </w:rPr>
        <w:footnoteReference w:id="56"/>
      </w:r>
      <w:r w:rsidR="00231EEE">
        <w:t xml:space="preserve"> </w:t>
      </w:r>
      <w:r w:rsidR="00F21DD9">
        <w:t>W</w:t>
      </w:r>
      <w:r w:rsidR="007865DD">
        <w:t>e</w:t>
      </w:r>
      <w:r w:rsidR="00F21DD9">
        <w:t xml:space="preserve"> see no reason why this should be the case and instead view 30 per cent as a fair sharing of risks between NSPs and their customers.</w:t>
      </w:r>
      <w:r w:rsidR="007865DD">
        <w:t xml:space="preserve"> Hence, we have not provided for exclusions from the CESS in our draft </w:t>
      </w:r>
      <w:r w:rsidR="0043387A">
        <w:t>guidelines</w:t>
      </w:r>
      <w:r w:rsidR="007865DD">
        <w:t>.</w:t>
      </w:r>
    </w:p>
    <w:p w:rsidR="00FA4FFA" w:rsidRDefault="003008F0" w:rsidP="00675444">
      <w:pPr>
        <w:pStyle w:val="Heading3"/>
      </w:pPr>
      <w:r>
        <w:t>Worked example</w:t>
      </w:r>
      <w:r w:rsidR="00064767">
        <w:t>s</w:t>
      </w:r>
    </w:p>
    <w:p w:rsidR="006479DB" w:rsidRDefault="006479DB" w:rsidP="00A609EA">
      <w:pPr>
        <w:pStyle w:val="AERbodytext"/>
        <w:numPr>
          <w:ilvl w:val="0"/>
          <w:numId w:val="13"/>
        </w:numPr>
      </w:pPr>
      <w:r>
        <w:t xml:space="preserve">This section works through two examples to illustrate how the CESS </w:t>
      </w:r>
      <w:r w:rsidR="00720EAA">
        <w:t>will work</w:t>
      </w:r>
      <w:r>
        <w:t xml:space="preserve"> in practice. </w:t>
      </w:r>
      <w:r w:rsidR="00A609EA">
        <w:t>The</w:t>
      </w:r>
      <w:r w:rsidR="00A609EA" w:rsidRPr="00A609EA">
        <w:t>s</w:t>
      </w:r>
      <w:r w:rsidR="00A609EA">
        <w:t>e</w:t>
      </w:r>
      <w:r w:rsidR="00A609EA" w:rsidRPr="00A609EA">
        <w:t xml:space="preserve"> example</w:t>
      </w:r>
      <w:r w:rsidR="00A609EA">
        <w:t>s</w:t>
      </w:r>
      <w:r w:rsidR="00A609EA" w:rsidRPr="00A609EA">
        <w:t xml:space="preserve"> can also be found in the sheet</w:t>
      </w:r>
      <w:r w:rsidR="00A609EA">
        <w:t>s</w:t>
      </w:r>
      <w:r w:rsidR="00A609EA" w:rsidRPr="00A609EA">
        <w:t xml:space="preserve"> named 'ES - example 1' </w:t>
      </w:r>
      <w:r w:rsidR="00A609EA">
        <w:t xml:space="preserve">and 'ES - example 2' </w:t>
      </w:r>
      <w:r w:rsidR="00A609EA" w:rsidRPr="00A609EA">
        <w:t>in the CESS excel model that was released for consultation alongside this explanatory statement.</w:t>
      </w:r>
      <w:r w:rsidR="00A609EA" w:rsidRPr="00A609EA">
        <w:rPr>
          <w:rStyle w:val="FootnoteReference"/>
        </w:rPr>
        <w:footnoteReference w:id="57"/>
      </w:r>
    </w:p>
    <w:p w:rsidR="006479DB" w:rsidRDefault="006479DB" w:rsidP="006479DB">
      <w:pPr>
        <w:pStyle w:val="HeadingBoldBlue"/>
      </w:pPr>
      <w:r>
        <w:t>Example 1</w:t>
      </w:r>
      <w:r w:rsidR="00F96565">
        <w:t>: Cumulative underspend over the period</w:t>
      </w:r>
    </w:p>
    <w:p w:rsidR="003008F0" w:rsidRPr="00FD4E89" w:rsidRDefault="003008F0" w:rsidP="00675444">
      <w:pPr>
        <w:pStyle w:val="AERbodytext"/>
      </w:pPr>
      <w:r w:rsidRPr="00FD4E89">
        <w:t xml:space="preserve">Assume that a NSP's capex allowance and actual expenditure </w:t>
      </w:r>
      <w:r w:rsidR="00421C35">
        <w:t>are</w:t>
      </w:r>
      <w:r w:rsidRPr="00675444">
        <w:t xml:space="preserve"> that shown in table 3.</w:t>
      </w:r>
      <w:r>
        <w:t xml:space="preserve"> The </w:t>
      </w:r>
      <w:r w:rsidR="00FD4E89">
        <w:t>resulting underspend is given by</w:t>
      </w:r>
      <w:r>
        <w:t xml:space="preserve"> subtracting the actual capex from the allowance.</w:t>
      </w:r>
    </w:p>
    <w:p w:rsidR="003008F0" w:rsidRPr="00FD4E89" w:rsidRDefault="003008F0" w:rsidP="00675444">
      <w:pPr>
        <w:pStyle w:val="Caption"/>
      </w:pPr>
      <w:r w:rsidRPr="00FD4E89">
        <w:t xml:space="preserve">Table </w:t>
      </w:r>
      <w:r>
        <w:t>3</w:t>
      </w:r>
      <w:r w:rsidRPr="00FD4E89">
        <w:tab/>
      </w:r>
      <w:r>
        <w:t>NSP capital expenditure allowance and actual capital expenditure</w:t>
      </w:r>
      <w:r w:rsidR="008B6E33">
        <w:t xml:space="preserve"> ($ million)</w:t>
      </w:r>
    </w:p>
    <w:tbl>
      <w:tblPr>
        <w:tblStyle w:val="AERtable-numbers"/>
        <w:tblW w:w="0" w:type="auto"/>
        <w:tblLook w:val="04A0" w:firstRow="1" w:lastRow="0" w:firstColumn="1" w:lastColumn="0" w:noHBand="0" w:noVBand="1"/>
      </w:tblPr>
      <w:tblGrid>
        <w:gridCol w:w="1540"/>
        <w:gridCol w:w="1540"/>
        <w:gridCol w:w="1540"/>
        <w:gridCol w:w="1540"/>
        <w:gridCol w:w="1541"/>
        <w:gridCol w:w="1541"/>
      </w:tblGrid>
      <w:tr w:rsidR="003008F0" w:rsidTr="00675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3008F0" w:rsidRDefault="003008F0" w:rsidP="003008F0"/>
        </w:tc>
        <w:tc>
          <w:tcPr>
            <w:tcW w:w="1540" w:type="dxa"/>
          </w:tcPr>
          <w:p w:rsidR="003008F0" w:rsidRDefault="003008F0" w:rsidP="00675444">
            <w:pPr>
              <w:pStyle w:val="AERtabletextleft"/>
              <w:cnfStyle w:val="100000000000" w:firstRow="1" w:lastRow="0" w:firstColumn="0" w:lastColumn="0" w:oddVBand="0" w:evenVBand="0" w:oddHBand="0" w:evenHBand="0" w:firstRowFirstColumn="0" w:firstRowLastColumn="0" w:lastRowFirstColumn="0" w:lastRowLastColumn="0"/>
            </w:pPr>
            <w:r>
              <w:t>Year 1</w:t>
            </w:r>
          </w:p>
        </w:tc>
        <w:tc>
          <w:tcPr>
            <w:tcW w:w="1540" w:type="dxa"/>
          </w:tcPr>
          <w:p w:rsidR="003008F0" w:rsidRDefault="003008F0" w:rsidP="00675444">
            <w:pPr>
              <w:pStyle w:val="AERtabletextleft"/>
              <w:cnfStyle w:val="100000000000" w:firstRow="1" w:lastRow="0" w:firstColumn="0" w:lastColumn="0" w:oddVBand="0" w:evenVBand="0" w:oddHBand="0" w:evenHBand="0" w:firstRowFirstColumn="0" w:firstRowLastColumn="0" w:lastRowFirstColumn="0" w:lastRowLastColumn="0"/>
            </w:pPr>
            <w:r>
              <w:t>Year 2</w:t>
            </w:r>
          </w:p>
        </w:tc>
        <w:tc>
          <w:tcPr>
            <w:tcW w:w="1540" w:type="dxa"/>
          </w:tcPr>
          <w:p w:rsidR="003008F0" w:rsidRDefault="003008F0" w:rsidP="00675444">
            <w:pPr>
              <w:pStyle w:val="AERtabletextleft"/>
              <w:cnfStyle w:val="100000000000" w:firstRow="1" w:lastRow="0" w:firstColumn="0" w:lastColumn="0" w:oddVBand="0" w:evenVBand="0" w:oddHBand="0" w:evenHBand="0" w:firstRowFirstColumn="0" w:firstRowLastColumn="0" w:lastRowFirstColumn="0" w:lastRowLastColumn="0"/>
            </w:pPr>
            <w:r>
              <w:t>Year 3</w:t>
            </w:r>
          </w:p>
        </w:tc>
        <w:tc>
          <w:tcPr>
            <w:tcW w:w="1541" w:type="dxa"/>
          </w:tcPr>
          <w:p w:rsidR="003008F0" w:rsidRDefault="003008F0" w:rsidP="00675444">
            <w:pPr>
              <w:pStyle w:val="AERtabletextleft"/>
              <w:cnfStyle w:val="100000000000" w:firstRow="1" w:lastRow="0" w:firstColumn="0" w:lastColumn="0" w:oddVBand="0" w:evenVBand="0" w:oddHBand="0" w:evenHBand="0" w:firstRowFirstColumn="0" w:firstRowLastColumn="0" w:lastRowFirstColumn="0" w:lastRowLastColumn="0"/>
            </w:pPr>
            <w:r>
              <w:t>Year 4</w:t>
            </w:r>
          </w:p>
        </w:tc>
        <w:tc>
          <w:tcPr>
            <w:tcW w:w="1541" w:type="dxa"/>
          </w:tcPr>
          <w:p w:rsidR="003008F0" w:rsidRDefault="003008F0" w:rsidP="00675444">
            <w:pPr>
              <w:pStyle w:val="AERtabletextleft"/>
              <w:cnfStyle w:val="100000000000" w:firstRow="1" w:lastRow="0" w:firstColumn="0" w:lastColumn="0" w:oddVBand="0" w:evenVBand="0" w:oddHBand="0" w:evenHBand="0" w:firstRowFirstColumn="0" w:firstRowLastColumn="0" w:lastRowFirstColumn="0" w:lastRowLastColumn="0"/>
            </w:pPr>
            <w:r>
              <w:t>Year 5</w:t>
            </w:r>
          </w:p>
        </w:tc>
      </w:tr>
      <w:tr w:rsidR="003008F0" w:rsidTr="00675444">
        <w:tc>
          <w:tcPr>
            <w:cnfStyle w:val="001000000000" w:firstRow="0" w:lastRow="0" w:firstColumn="1" w:lastColumn="0" w:oddVBand="0" w:evenVBand="0" w:oddHBand="0" w:evenHBand="0" w:firstRowFirstColumn="0" w:firstRowLastColumn="0" w:lastRowFirstColumn="0" w:lastRowLastColumn="0"/>
            <w:tcW w:w="1540" w:type="dxa"/>
          </w:tcPr>
          <w:p w:rsidR="003008F0" w:rsidRPr="003008F0" w:rsidRDefault="003008F0" w:rsidP="00A609EA">
            <w:pPr>
              <w:pStyle w:val="AERtabletextleft"/>
            </w:pPr>
            <w:r>
              <w:t>Capex allowance</w:t>
            </w:r>
          </w:p>
        </w:tc>
        <w:tc>
          <w:tcPr>
            <w:tcW w:w="1540" w:type="dxa"/>
            <w:vAlign w:val="bottom"/>
          </w:tcPr>
          <w:p w:rsidR="003008F0" w:rsidRPr="003008F0" w:rsidRDefault="003008F0" w:rsidP="00A609EA">
            <w:pPr>
              <w:pStyle w:val="AERtabletextleft"/>
              <w:cnfStyle w:val="000000000000" w:firstRow="0" w:lastRow="0" w:firstColumn="0" w:lastColumn="0" w:oddVBand="0" w:evenVBand="0" w:oddHBand="0" w:evenHBand="0" w:firstRowFirstColumn="0" w:firstRowLastColumn="0" w:lastRowFirstColumn="0" w:lastRowLastColumn="0"/>
            </w:pPr>
            <w:r w:rsidRPr="003008F0">
              <w:t>300</w:t>
            </w:r>
          </w:p>
        </w:tc>
        <w:tc>
          <w:tcPr>
            <w:tcW w:w="1540" w:type="dxa"/>
            <w:vAlign w:val="bottom"/>
          </w:tcPr>
          <w:p w:rsidR="003008F0" w:rsidRPr="003008F0" w:rsidRDefault="003008F0" w:rsidP="00A609EA">
            <w:pPr>
              <w:pStyle w:val="AERtabletextleft"/>
              <w:cnfStyle w:val="000000000000" w:firstRow="0" w:lastRow="0" w:firstColumn="0" w:lastColumn="0" w:oddVBand="0" w:evenVBand="0" w:oddHBand="0" w:evenHBand="0" w:firstRowFirstColumn="0" w:firstRowLastColumn="0" w:lastRowFirstColumn="0" w:lastRowLastColumn="0"/>
            </w:pPr>
            <w:r w:rsidRPr="003008F0">
              <w:t>330</w:t>
            </w:r>
          </w:p>
        </w:tc>
        <w:tc>
          <w:tcPr>
            <w:tcW w:w="1540" w:type="dxa"/>
            <w:vAlign w:val="bottom"/>
          </w:tcPr>
          <w:p w:rsidR="003008F0" w:rsidRPr="003008F0" w:rsidRDefault="003008F0" w:rsidP="00A609EA">
            <w:pPr>
              <w:pStyle w:val="AERtabletextleft"/>
              <w:cnfStyle w:val="000000000000" w:firstRow="0" w:lastRow="0" w:firstColumn="0" w:lastColumn="0" w:oddVBand="0" w:evenVBand="0" w:oddHBand="0" w:evenHBand="0" w:firstRowFirstColumn="0" w:firstRowLastColumn="0" w:lastRowFirstColumn="0" w:lastRowLastColumn="0"/>
            </w:pPr>
            <w:r w:rsidRPr="003008F0">
              <w:t>270</w:t>
            </w:r>
          </w:p>
        </w:tc>
        <w:tc>
          <w:tcPr>
            <w:tcW w:w="1541" w:type="dxa"/>
            <w:vAlign w:val="bottom"/>
          </w:tcPr>
          <w:p w:rsidR="003008F0" w:rsidRPr="003008F0" w:rsidRDefault="003008F0" w:rsidP="00A609EA">
            <w:pPr>
              <w:pStyle w:val="AERtabletextleft"/>
              <w:cnfStyle w:val="000000000000" w:firstRow="0" w:lastRow="0" w:firstColumn="0" w:lastColumn="0" w:oddVBand="0" w:evenVBand="0" w:oddHBand="0" w:evenHBand="0" w:firstRowFirstColumn="0" w:firstRowLastColumn="0" w:lastRowFirstColumn="0" w:lastRowLastColumn="0"/>
            </w:pPr>
            <w:r w:rsidRPr="003008F0">
              <w:t>300</w:t>
            </w:r>
          </w:p>
        </w:tc>
        <w:tc>
          <w:tcPr>
            <w:tcW w:w="1541" w:type="dxa"/>
            <w:vAlign w:val="bottom"/>
          </w:tcPr>
          <w:p w:rsidR="003008F0" w:rsidRPr="003008F0" w:rsidRDefault="003008F0" w:rsidP="00A609EA">
            <w:pPr>
              <w:pStyle w:val="AERtabletextleft"/>
              <w:cnfStyle w:val="000000000000" w:firstRow="0" w:lastRow="0" w:firstColumn="0" w:lastColumn="0" w:oddVBand="0" w:evenVBand="0" w:oddHBand="0" w:evenHBand="0" w:firstRowFirstColumn="0" w:firstRowLastColumn="0" w:lastRowFirstColumn="0" w:lastRowLastColumn="0"/>
            </w:pPr>
            <w:r w:rsidRPr="003008F0">
              <w:t>330</w:t>
            </w:r>
          </w:p>
        </w:tc>
      </w:tr>
      <w:tr w:rsidR="003008F0" w:rsidTr="006754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3008F0" w:rsidRPr="003008F0" w:rsidRDefault="003008F0" w:rsidP="00A609EA">
            <w:pPr>
              <w:pStyle w:val="AERtabletextleft"/>
            </w:pPr>
            <w:r>
              <w:t>Actual capex</w:t>
            </w:r>
          </w:p>
        </w:tc>
        <w:tc>
          <w:tcPr>
            <w:tcW w:w="1540" w:type="dxa"/>
            <w:vAlign w:val="bottom"/>
          </w:tcPr>
          <w:p w:rsidR="003008F0" w:rsidRPr="003008F0" w:rsidRDefault="003008F0" w:rsidP="00A609EA">
            <w:pPr>
              <w:pStyle w:val="AERtabletextleft"/>
              <w:cnfStyle w:val="000000010000" w:firstRow="0" w:lastRow="0" w:firstColumn="0" w:lastColumn="0" w:oddVBand="0" w:evenVBand="0" w:oddHBand="0" w:evenHBand="1" w:firstRowFirstColumn="0" w:firstRowLastColumn="0" w:lastRowFirstColumn="0" w:lastRowLastColumn="0"/>
            </w:pPr>
            <w:r w:rsidRPr="003008F0">
              <w:t>280</w:t>
            </w:r>
          </w:p>
        </w:tc>
        <w:tc>
          <w:tcPr>
            <w:tcW w:w="1540" w:type="dxa"/>
            <w:vAlign w:val="bottom"/>
          </w:tcPr>
          <w:p w:rsidR="003008F0" w:rsidRPr="003008F0" w:rsidRDefault="003008F0" w:rsidP="00A609EA">
            <w:pPr>
              <w:pStyle w:val="AERtabletextleft"/>
              <w:cnfStyle w:val="000000010000" w:firstRow="0" w:lastRow="0" w:firstColumn="0" w:lastColumn="0" w:oddVBand="0" w:evenVBand="0" w:oddHBand="0" w:evenHBand="1" w:firstRowFirstColumn="0" w:firstRowLastColumn="0" w:lastRowFirstColumn="0" w:lastRowLastColumn="0"/>
            </w:pPr>
            <w:r w:rsidRPr="003008F0">
              <w:t>310</w:t>
            </w:r>
          </w:p>
        </w:tc>
        <w:tc>
          <w:tcPr>
            <w:tcW w:w="1540" w:type="dxa"/>
            <w:vAlign w:val="bottom"/>
          </w:tcPr>
          <w:p w:rsidR="003008F0" w:rsidRPr="003008F0" w:rsidRDefault="003008F0" w:rsidP="00A609EA">
            <w:pPr>
              <w:pStyle w:val="AERtabletextleft"/>
              <w:cnfStyle w:val="000000010000" w:firstRow="0" w:lastRow="0" w:firstColumn="0" w:lastColumn="0" w:oddVBand="0" w:evenVBand="0" w:oddHBand="0" w:evenHBand="1" w:firstRowFirstColumn="0" w:firstRowLastColumn="0" w:lastRowFirstColumn="0" w:lastRowLastColumn="0"/>
            </w:pPr>
            <w:r w:rsidRPr="003008F0">
              <w:t>300</w:t>
            </w:r>
          </w:p>
        </w:tc>
        <w:tc>
          <w:tcPr>
            <w:tcW w:w="1541" w:type="dxa"/>
            <w:vAlign w:val="bottom"/>
          </w:tcPr>
          <w:p w:rsidR="003008F0" w:rsidRPr="003008F0" w:rsidRDefault="003008F0" w:rsidP="00A609EA">
            <w:pPr>
              <w:pStyle w:val="AERtabletextleft"/>
              <w:cnfStyle w:val="000000010000" w:firstRow="0" w:lastRow="0" w:firstColumn="0" w:lastColumn="0" w:oddVBand="0" w:evenVBand="0" w:oddHBand="0" w:evenHBand="1" w:firstRowFirstColumn="0" w:firstRowLastColumn="0" w:lastRowFirstColumn="0" w:lastRowLastColumn="0"/>
            </w:pPr>
            <w:r w:rsidRPr="003008F0">
              <w:t>290</w:t>
            </w:r>
          </w:p>
        </w:tc>
        <w:tc>
          <w:tcPr>
            <w:tcW w:w="1541" w:type="dxa"/>
            <w:vAlign w:val="bottom"/>
          </w:tcPr>
          <w:p w:rsidR="003008F0" w:rsidRPr="003008F0" w:rsidRDefault="003008F0" w:rsidP="00A609EA">
            <w:pPr>
              <w:pStyle w:val="AERtabletextleft"/>
              <w:cnfStyle w:val="000000010000" w:firstRow="0" w:lastRow="0" w:firstColumn="0" w:lastColumn="0" w:oddVBand="0" w:evenVBand="0" w:oddHBand="0" w:evenHBand="1" w:firstRowFirstColumn="0" w:firstRowLastColumn="0" w:lastRowFirstColumn="0" w:lastRowLastColumn="0"/>
            </w:pPr>
            <w:r w:rsidRPr="003008F0">
              <w:t>320</w:t>
            </w:r>
          </w:p>
        </w:tc>
      </w:tr>
      <w:tr w:rsidR="003008F0" w:rsidTr="00675444">
        <w:tc>
          <w:tcPr>
            <w:cnfStyle w:val="001000000000" w:firstRow="0" w:lastRow="0" w:firstColumn="1" w:lastColumn="0" w:oddVBand="0" w:evenVBand="0" w:oddHBand="0" w:evenHBand="0" w:firstRowFirstColumn="0" w:firstRowLastColumn="0" w:lastRowFirstColumn="0" w:lastRowLastColumn="0"/>
            <w:tcW w:w="1540" w:type="dxa"/>
          </w:tcPr>
          <w:p w:rsidR="003008F0" w:rsidRPr="003008F0" w:rsidRDefault="003008F0" w:rsidP="00A609EA">
            <w:pPr>
              <w:pStyle w:val="AERtabletextleft"/>
            </w:pPr>
            <w:r>
              <w:t>Underspend</w:t>
            </w:r>
          </w:p>
        </w:tc>
        <w:tc>
          <w:tcPr>
            <w:tcW w:w="1540" w:type="dxa"/>
            <w:vAlign w:val="bottom"/>
          </w:tcPr>
          <w:p w:rsidR="003008F0" w:rsidRPr="003008F0" w:rsidRDefault="003008F0" w:rsidP="00A609EA">
            <w:pPr>
              <w:pStyle w:val="AERtabletextleft"/>
              <w:cnfStyle w:val="000000000000" w:firstRow="0" w:lastRow="0" w:firstColumn="0" w:lastColumn="0" w:oddVBand="0" w:evenVBand="0" w:oddHBand="0" w:evenHBand="0" w:firstRowFirstColumn="0" w:firstRowLastColumn="0" w:lastRowFirstColumn="0" w:lastRowLastColumn="0"/>
            </w:pPr>
            <w:r w:rsidRPr="003008F0">
              <w:t>20</w:t>
            </w:r>
          </w:p>
        </w:tc>
        <w:tc>
          <w:tcPr>
            <w:tcW w:w="1540" w:type="dxa"/>
            <w:vAlign w:val="bottom"/>
          </w:tcPr>
          <w:p w:rsidR="003008F0" w:rsidRPr="003008F0" w:rsidRDefault="003008F0" w:rsidP="00A609EA">
            <w:pPr>
              <w:pStyle w:val="AERtabletextleft"/>
              <w:cnfStyle w:val="000000000000" w:firstRow="0" w:lastRow="0" w:firstColumn="0" w:lastColumn="0" w:oddVBand="0" w:evenVBand="0" w:oddHBand="0" w:evenHBand="0" w:firstRowFirstColumn="0" w:firstRowLastColumn="0" w:lastRowFirstColumn="0" w:lastRowLastColumn="0"/>
            </w:pPr>
            <w:r w:rsidRPr="003008F0">
              <w:t>20</w:t>
            </w:r>
          </w:p>
        </w:tc>
        <w:tc>
          <w:tcPr>
            <w:tcW w:w="1540" w:type="dxa"/>
            <w:vAlign w:val="bottom"/>
          </w:tcPr>
          <w:p w:rsidR="003008F0" w:rsidRPr="003008F0" w:rsidRDefault="003008F0" w:rsidP="00A609EA">
            <w:pPr>
              <w:pStyle w:val="AERtabletextleft"/>
              <w:cnfStyle w:val="000000000000" w:firstRow="0" w:lastRow="0" w:firstColumn="0" w:lastColumn="0" w:oddVBand="0" w:evenVBand="0" w:oddHBand="0" w:evenHBand="0" w:firstRowFirstColumn="0" w:firstRowLastColumn="0" w:lastRowFirstColumn="0" w:lastRowLastColumn="0"/>
            </w:pPr>
            <w:r w:rsidRPr="003008F0">
              <w:t>-30</w:t>
            </w:r>
          </w:p>
        </w:tc>
        <w:tc>
          <w:tcPr>
            <w:tcW w:w="1541" w:type="dxa"/>
            <w:vAlign w:val="bottom"/>
          </w:tcPr>
          <w:p w:rsidR="003008F0" w:rsidRPr="003008F0" w:rsidRDefault="003008F0" w:rsidP="00A609EA">
            <w:pPr>
              <w:pStyle w:val="AERtabletextleft"/>
              <w:cnfStyle w:val="000000000000" w:firstRow="0" w:lastRow="0" w:firstColumn="0" w:lastColumn="0" w:oddVBand="0" w:evenVBand="0" w:oddHBand="0" w:evenHBand="0" w:firstRowFirstColumn="0" w:firstRowLastColumn="0" w:lastRowFirstColumn="0" w:lastRowLastColumn="0"/>
            </w:pPr>
            <w:r w:rsidRPr="003008F0">
              <w:t>10</w:t>
            </w:r>
          </w:p>
        </w:tc>
        <w:tc>
          <w:tcPr>
            <w:tcW w:w="1541" w:type="dxa"/>
            <w:vAlign w:val="bottom"/>
          </w:tcPr>
          <w:p w:rsidR="003008F0" w:rsidRPr="003008F0" w:rsidRDefault="003008F0" w:rsidP="00A609EA">
            <w:pPr>
              <w:pStyle w:val="AERtabletextleft"/>
              <w:cnfStyle w:val="000000000000" w:firstRow="0" w:lastRow="0" w:firstColumn="0" w:lastColumn="0" w:oddVBand="0" w:evenVBand="0" w:oddHBand="0" w:evenHBand="0" w:firstRowFirstColumn="0" w:firstRowLastColumn="0" w:lastRowFirstColumn="0" w:lastRowLastColumn="0"/>
            </w:pPr>
            <w:r w:rsidRPr="003008F0">
              <w:t>10</w:t>
            </w:r>
          </w:p>
        </w:tc>
      </w:tr>
    </w:tbl>
    <w:p w:rsidR="005F1F41" w:rsidRDefault="00A609EA" w:rsidP="00675444">
      <w:pPr>
        <w:pStyle w:val="AERbodytext"/>
      </w:pPr>
      <w:r>
        <w:br/>
      </w:r>
      <w:r w:rsidR="005F1F41">
        <w:t xml:space="preserve">We then need to convert </w:t>
      </w:r>
      <w:proofErr w:type="gramStart"/>
      <w:r w:rsidR="005F1F41">
        <w:t>the underspends</w:t>
      </w:r>
      <w:proofErr w:type="gramEnd"/>
      <w:r w:rsidR="005F1F41">
        <w:t xml:space="preserve"> into their net present value (NPV) at the end of year 5. This is done by multiplying </w:t>
      </w:r>
      <w:proofErr w:type="gramStart"/>
      <w:r w:rsidR="005F1F41">
        <w:t>the underspend</w:t>
      </w:r>
      <w:proofErr w:type="gramEnd"/>
      <w:r w:rsidR="005F1F41">
        <w:t xml:space="preserve"> by the relevant discount rate. </w:t>
      </w:r>
      <w:r w:rsidR="00235191">
        <w:t>In this example, t</w:t>
      </w:r>
      <w:r w:rsidR="005F1F41">
        <w:t>he discount rate is calculated on the basis of a weighted average cost of capital (WACC) of 6 per cent</w:t>
      </w:r>
      <w:r w:rsidR="005466BD">
        <w:t>. Since capex is assumed to occur mid-year, we use a mid-year discount rate.</w:t>
      </w:r>
      <w:r w:rsidR="005466BD">
        <w:rPr>
          <w:rStyle w:val="FootnoteReference"/>
        </w:rPr>
        <w:footnoteReference w:id="58"/>
      </w:r>
      <w:r w:rsidR="005466BD">
        <w:t xml:space="preserve"> </w:t>
      </w:r>
      <w:r w:rsidR="005F1F41">
        <w:t xml:space="preserve">The resulting discount rates and the </w:t>
      </w:r>
      <w:r w:rsidR="00901AC6">
        <w:t>NPV</w:t>
      </w:r>
      <w:r w:rsidR="005F1F41">
        <w:t xml:space="preserve"> of </w:t>
      </w:r>
      <w:proofErr w:type="gramStart"/>
      <w:r w:rsidR="005F1F41">
        <w:t>the underspend</w:t>
      </w:r>
      <w:proofErr w:type="gramEnd"/>
      <w:r w:rsidR="005F1F41">
        <w:t xml:space="preserve"> is given in table 4.</w:t>
      </w:r>
    </w:p>
    <w:p w:rsidR="005F1F41" w:rsidRPr="005F1F41" w:rsidRDefault="007A44C0" w:rsidP="005F1F41">
      <w:pPr>
        <w:pStyle w:val="Caption"/>
      </w:pPr>
      <w:r>
        <w:t>Table 4</w:t>
      </w:r>
      <w:r w:rsidR="005F1F41" w:rsidRPr="005F1F41">
        <w:tab/>
      </w:r>
      <w:r w:rsidR="005F1F41">
        <w:t>Discount rate and net present value of the underspend</w:t>
      </w:r>
    </w:p>
    <w:tbl>
      <w:tblPr>
        <w:tblStyle w:val="AERtable-numbers"/>
        <w:tblW w:w="0" w:type="auto"/>
        <w:tblLook w:val="04A0" w:firstRow="1" w:lastRow="0" w:firstColumn="1" w:lastColumn="0" w:noHBand="0" w:noVBand="1"/>
      </w:tblPr>
      <w:tblGrid>
        <w:gridCol w:w="2093"/>
        <w:gridCol w:w="1417"/>
        <w:gridCol w:w="1417"/>
        <w:gridCol w:w="1418"/>
        <w:gridCol w:w="1417"/>
        <w:gridCol w:w="1418"/>
      </w:tblGrid>
      <w:tr w:rsidR="007A44C0" w:rsidTr="007A44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A44C0" w:rsidRDefault="007A44C0" w:rsidP="007A44C0">
            <w:pPr>
              <w:pStyle w:val="AERtabletextleft"/>
            </w:pPr>
          </w:p>
        </w:tc>
        <w:tc>
          <w:tcPr>
            <w:tcW w:w="1417" w:type="dxa"/>
          </w:tcPr>
          <w:p w:rsidR="007A44C0" w:rsidRPr="005F1F41" w:rsidRDefault="007A44C0" w:rsidP="007A44C0">
            <w:pPr>
              <w:pStyle w:val="AERtabletextright"/>
              <w:cnfStyle w:val="100000000000" w:firstRow="1" w:lastRow="0" w:firstColumn="0" w:lastColumn="0" w:oddVBand="0" w:evenVBand="0" w:oddHBand="0" w:evenHBand="0" w:firstRowFirstColumn="0" w:firstRowLastColumn="0" w:lastRowFirstColumn="0" w:lastRowLastColumn="0"/>
            </w:pPr>
            <w:r>
              <w:t>Year 1</w:t>
            </w:r>
          </w:p>
        </w:tc>
        <w:tc>
          <w:tcPr>
            <w:tcW w:w="1417" w:type="dxa"/>
          </w:tcPr>
          <w:p w:rsidR="007A44C0" w:rsidRPr="005F1F41" w:rsidRDefault="007A44C0" w:rsidP="007A44C0">
            <w:pPr>
              <w:pStyle w:val="AERtabletextright"/>
              <w:cnfStyle w:val="100000000000" w:firstRow="1" w:lastRow="0" w:firstColumn="0" w:lastColumn="0" w:oddVBand="0" w:evenVBand="0" w:oddHBand="0" w:evenHBand="0" w:firstRowFirstColumn="0" w:firstRowLastColumn="0" w:lastRowFirstColumn="0" w:lastRowLastColumn="0"/>
            </w:pPr>
            <w:r>
              <w:t>Year 2</w:t>
            </w:r>
          </w:p>
        </w:tc>
        <w:tc>
          <w:tcPr>
            <w:tcW w:w="1418" w:type="dxa"/>
          </w:tcPr>
          <w:p w:rsidR="007A44C0" w:rsidRPr="005F1F41" w:rsidRDefault="007A44C0" w:rsidP="007A44C0">
            <w:pPr>
              <w:pStyle w:val="AERtabletextright"/>
              <w:cnfStyle w:val="100000000000" w:firstRow="1" w:lastRow="0" w:firstColumn="0" w:lastColumn="0" w:oddVBand="0" w:evenVBand="0" w:oddHBand="0" w:evenHBand="0" w:firstRowFirstColumn="0" w:firstRowLastColumn="0" w:lastRowFirstColumn="0" w:lastRowLastColumn="0"/>
            </w:pPr>
            <w:r>
              <w:t>Year 3</w:t>
            </w:r>
          </w:p>
        </w:tc>
        <w:tc>
          <w:tcPr>
            <w:tcW w:w="1417" w:type="dxa"/>
          </w:tcPr>
          <w:p w:rsidR="007A44C0" w:rsidRPr="005F1F41" w:rsidRDefault="007A44C0" w:rsidP="007A44C0">
            <w:pPr>
              <w:pStyle w:val="AERtabletextright"/>
              <w:cnfStyle w:val="100000000000" w:firstRow="1" w:lastRow="0" w:firstColumn="0" w:lastColumn="0" w:oddVBand="0" w:evenVBand="0" w:oddHBand="0" w:evenHBand="0" w:firstRowFirstColumn="0" w:firstRowLastColumn="0" w:lastRowFirstColumn="0" w:lastRowLastColumn="0"/>
            </w:pPr>
            <w:r>
              <w:t>Year 4</w:t>
            </w:r>
          </w:p>
        </w:tc>
        <w:tc>
          <w:tcPr>
            <w:tcW w:w="1418" w:type="dxa"/>
          </w:tcPr>
          <w:p w:rsidR="007A44C0" w:rsidRPr="005F1F41" w:rsidRDefault="007A44C0" w:rsidP="007A44C0">
            <w:pPr>
              <w:pStyle w:val="AERtabletextright"/>
              <w:cnfStyle w:val="100000000000" w:firstRow="1" w:lastRow="0" w:firstColumn="0" w:lastColumn="0" w:oddVBand="0" w:evenVBand="0" w:oddHBand="0" w:evenHBand="0" w:firstRowFirstColumn="0" w:firstRowLastColumn="0" w:lastRowFirstColumn="0" w:lastRowLastColumn="0"/>
            </w:pPr>
            <w:r>
              <w:t>Year 5</w:t>
            </w:r>
          </w:p>
        </w:tc>
      </w:tr>
      <w:tr w:rsidR="007A44C0" w:rsidTr="007A44C0">
        <w:tc>
          <w:tcPr>
            <w:cnfStyle w:val="001000000000" w:firstRow="0" w:lastRow="0" w:firstColumn="1" w:lastColumn="0" w:oddVBand="0" w:evenVBand="0" w:oddHBand="0" w:evenHBand="0" w:firstRowFirstColumn="0" w:firstRowLastColumn="0" w:lastRowFirstColumn="0" w:lastRowLastColumn="0"/>
            <w:tcW w:w="2093" w:type="dxa"/>
          </w:tcPr>
          <w:p w:rsidR="007A44C0" w:rsidRPr="005F1F41" w:rsidRDefault="007A44C0" w:rsidP="00A609EA">
            <w:pPr>
              <w:pStyle w:val="AERtabletextleft"/>
            </w:pPr>
            <w:r w:rsidRPr="005F1F41">
              <w:t>Discount rate</w:t>
            </w:r>
            <w:r w:rsidR="00A947F1">
              <w:t xml:space="preserve"> (mid-year)</w:t>
            </w:r>
          </w:p>
        </w:tc>
        <w:tc>
          <w:tcPr>
            <w:tcW w:w="1417" w:type="dxa"/>
            <w:vAlign w:val="top"/>
          </w:tcPr>
          <w:p w:rsidR="007A44C0" w:rsidRPr="005F1F41" w:rsidRDefault="007A44C0" w:rsidP="00A609EA">
            <w:pPr>
              <w:pStyle w:val="AERtabletextleft"/>
              <w:cnfStyle w:val="000000000000" w:firstRow="0" w:lastRow="0" w:firstColumn="0" w:lastColumn="0" w:oddVBand="0" w:evenVBand="0" w:oddHBand="0" w:evenHBand="0" w:firstRowFirstColumn="0" w:firstRowLastColumn="0" w:lastRowFirstColumn="0" w:lastRowLastColumn="0"/>
            </w:pPr>
            <w:r w:rsidRPr="005F1F41">
              <w:t>1.30</w:t>
            </w:r>
          </w:p>
        </w:tc>
        <w:tc>
          <w:tcPr>
            <w:tcW w:w="1417" w:type="dxa"/>
            <w:vAlign w:val="top"/>
          </w:tcPr>
          <w:p w:rsidR="007A44C0" w:rsidRPr="005F1F41" w:rsidRDefault="007A44C0" w:rsidP="00A609EA">
            <w:pPr>
              <w:pStyle w:val="AERtabletextleft"/>
              <w:cnfStyle w:val="000000000000" w:firstRow="0" w:lastRow="0" w:firstColumn="0" w:lastColumn="0" w:oddVBand="0" w:evenVBand="0" w:oddHBand="0" w:evenHBand="0" w:firstRowFirstColumn="0" w:firstRowLastColumn="0" w:lastRowFirstColumn="0" w:lastRowLastColumn="0"/>
            </w:pPr>
            <w:r w:rsidRPr="005F1F41">
              <w:t>1.23</w:t>
            </w:r>
          </w:p>
        </w:tc>
        <w:tc>
          <w:tcPr>
            <w:tcW w:w="1418" w:type="dxa"/>
            <w:vAlign w:val="top"/>
          </w:tcPr>
          <w:p w:rsidR="007A44C0" w:rsidRPr="005F1F41" w:rsidRDefault="007A44C0" w:rsidP="00A609EA">
            <w:pPr>
              <w:pStyle w:val="AERtabletextleft"/>
              <w:cnfStyle w:val="000000000000" w:firstRow="0" w:lastRow="0" w:firstColumn="0" w:lastColumn="0" w:oddVBand="0" w:evenVBand="0" w:oddHBand="0" w:evenHBand="0" w:firstRowFirstColumn="0" w:firstRowLastColumn="0" w:lastRowFirstColumn="0" w:lastRowLastColumn="0"/>
            </w:pPr>
            <w:r w:rsidRPr="005F1F41">
              <w:t>1.16</w:t>
            </w:r>
          </w:p>
        </w:tc>
        <w:tc>
          <w:tcPr>
            <w:tcW w:w="1417" w:type="dxa"/>
            <w:vAlign w:val="top"/>
          </w:tcPr>
          <w:p w:rsidR="007A44C0" w:rsidRPr="005F1F41" w:rsidRDefault="007A44C0" w:rsidP="00A609EA">
            <w:pPr>
              <w:pStyle w:val="AERtabletextleft"/>
              <w:cnfStyle w:val="000000000000" w:firstRow="0" w:lastRow="0" w:firstColumn="0" w:lastColumn="0" w:oddVBand="0" w:evenVBand="0" w:oddHBand="0" w:evenHBand="0" w:firstRowFirstColumn="0" w:firstRowLastColumn="0" w:lastRowFirstColumn="0" w:lastRowLastColumn="0"/>
            </w:pPr>
            <w:r w:rsidRPr="005F1F41">
              <w:t>1.09</w:t>
            </w:r>
          </w:p>
        </w:tc>
        <w:tc>
          <w:tcPr>
            <w:tcW w:w="1418" w:type="dxa"/>
            <w:vAlign w:val="top"/>
          </w:tcPr>
          <w:p w:rsidR="007A44C0" w:rsidRPr="005F1F41" w:rsidRDefault="007A44C0" w:rsidP="00A609EA">
            <w:pPr>
              <w:pStyle w:val="AERtabletextleft"/>
              <w:cnfStyle w:val="000000000000" w:firstRow="0" w:lastRow="0" w:firstColumn="0" w:lastColumn="0" w:oddVBand="0" w:evenVBand="0" w:oddHBand="0" w:evenHBand="0" w:firstRowFirstColumn="0" w:firstRowLastColumn="0" w:lastRowFirstColumn="0" w:lastRowLastColumn="0"/>
            </w:pPr>
            <w:r w:rsidRPr="005F1F41">
              <w:t>1.03</w:t>
            </w:r>
          </w:p>
        </w:tc>
      </w:tr>
      <w:tr w:rsidR="007A44C0" w:rsidTr="007A44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A44C0" w:rsidRPr="005F1F41" w:rsidRDefault="007A44C0" w:rsidP="00A609EA">
            <w:pPr>
              <w:pStyle w:val="AERtabletextleft"/>
            </w:pPr>
            <w:r w:rsidRPr="005F1F41">
              <w:t>NPV underspend</w:t>
            </w:r>
            <w:r>
              <w:br/>
              <w:t>($ million)</w:t>
            </w:r>
          </w:p>
        </w:tc>
        <w:tc>
          <w:tcPr>
            <w:tcW w:w="1417" w:type="dxa"/>
            <w:vAlign w:val="top"/>
          </w:tcPr>
          <w:p w:rsidR="007A44C0" w:rsidRPr="005F1F41" w:rsidRDefault="007A44C0" w:rsidP="00A609EA">
            <w:pPr>
              <w:pStyle w:val="AERtabletextleft"/>
              <w:cnfStyle w:val="000000010000" w:firstRow="0" w:lastRow="0" w:firstColumn="0" w:lastColumn="0" w:oddVBand="0" w:evenVBand="0" w:oddHBand="0" w:evenHBand="1" w:firstRowFirstColumn="0" w:firstRowLastColumn="0" w:lastRowFirstColumn="0" w:lastRowLastColumn="0"/>
            </w:pPr>
            <w:r w:rsidRPr="005F1F41">
              <w:t>26.00</w:t>
            </w:r>
          </w:p>
        </w:tc>
        <w:tc>
          <w:tcPr>
            <w:tcW w:w="1417" w:type="dxa"/>
            <w:vAlign w:val="top"/>
          </w:tcPr>
          <w:p w:rsidR="007A44C0" w:rsidRPr="005F1F41" w:rsidRDefault="007A44C0" w:rsidP="00A609EA">
            <w:pPr>
              <w:pStyle w:val="AERtabletextleft"/>
              <w:cnfStyle w:val="000000010000" w:firstRow="0" w:lastRow="0" w:firstColumn="0" w:lastColumn="0" w:oddVBand="0" w:evenVBand="0" w:oddHBand="0" w:evenHBand="1" w:firstRowFirstColumn="0" w:firstRowLastColumn="0" w:lastRowFirstColumn="0" w:lastRowLastColumn="0"/>
            </w:pPr>
            <w:r w:rsidRPr="005F1F41">
              <w:t>24.52</w:t>
            </w:r>
          </w:p>
        </w:tc>
        <w:tc>
          <w:tcPr>
            <w:tcW w:w="1418" w:type="dxa"/>
            <w:vAlign w:val="top"/>
          </w:tcPr>
          <w:p w:rsidR="007A44C0" w:rsidRPr="005F1F41" w:rsidRDefault="007A44C0" w:rsidP="00A609EA">
            <w:pPr>
              <w:pStyle w:val="AERtabletextleft"/>
              <w:cnfStyle w:val="000000010000" w:firstRow="0" w:lastRow="0" w:firstColumn="0" w:lastColumn="0" w:oddVBand="0" w:evenVBand="0" w:oddHBand="0" w:evenHBand="1" w:firstRowFirstColumn="0" w:firstRowLastColumn="0" w:lastRowFirstColumn="0" w:lastRowLastColumn="0"/>
            </w:pPr>
            <w:r w:rsidRPr="005F1F41">
              <w:t>-34.70</w:t>
            </w:r>
          </w:p>
        </w:tc>
        <w:tc>
          <w:tcPr>
            <w:tcW w:w="1417" w:type="dxa"/>
            <w:vAlign w:val="top"/>
          </w:tcPr>
          <w:p w:rsidR="007A44C0" w:rsidRPr="005F1F41" w:rsidRDefault="007A44C0" w:rsidP="00A609EA">
            <w:pPr>
              <w:pStyle w:val="AERtabletextleft"/>
              <w:cnfStyle w:val="000000010000" w:firstRow="0" w:lastRow="0" w:firstColumn="0" w:lastColumn="0" w:oddVBand="0" w:evenVBand="0" w:oddHBand="0" w:evenHBand="1" w:firstRowFirstColumn="0" w:firstRowLastColumn="0" w:lastRowFirstColumn="0" w:lastRowLastColumn="0"/>
            </w:pPr>
            <w:r w:rsidRPr="005F1F41">
              <w:t>10.91</w:t>
            </w:r>
          </w:p>
        </w:tc>
        <w:tc>
          <w:tcPr>
            <w:tcW w:w="1418" w:type="dxa"/>
            <w:vAlign w:val="top"/>
          </w:tcPr>
          <w:p w:rsidR="007A44C0" w:rsidRPr="005F1F41" w:rsidRDefault="007A44C0" w:rsidP="00A609EA">
            <w:pPr>
              <w:pStyle w:val="AERtabletextleft"/>
              <w:cnfStyle w:val="000000010000" w:firstRow="0" w:lastRow="0" w:firstColumn="0" w:lastColumn="0" w:oddVBand="0" w:evenVBand="0" w:oddHBand="0" w:evenHBand="1" w:firstRowFirstColumn="0" w:firstRowLastColumn="0" w:lastRowFirstColumn="0" w:lastRowLastColumn="0"/>
            </w:pPr>
            <w:r w:rsidRPr="005F1F41">
              <w:t>10.30</w:t>
            </w:r>
          </w:p>
        </w:tc>
      </w:tr>
    </w:tbl>
    <w:p w:rsidR="00A30FE5" w:rsidRDefault="007A44C0" w:rsidP="00675444">
      <w:pPr>
        <w:pStyle w:val="AERbodytext"/>
      </w:pPr>
      <w:r>
        <w:br/>
      </w:r>
      <w:r w:rsidR="00FD4E89">
        <w:t>T</w:t>
      </w:r>
      <w:r w:rsidR="00A30FE5">
        <w:t>he total</w:t>
      </w:r>
      <w:r w:rsidR="00FD4E89">
        <w:t xml:space="preserve"> underspend</w:t>
      </w:r>
      <w:r w:rsidR="00A30FE5">
        <w:t xml:space="preserve"> </w:t>
      </w:r>
      <w:r>
        <w:t xml:space="preserve">in NPV terms </w:t>
      </w:r>
      <w:r w:rsidR="00A30FE5">
        <w:t xml:space="preserve">is given by summing the </w:t>
      </w:r>
      <w:r>
        <w:t xml:space="preserve">NPV of </w:t>
      </w:r>
      <w:proofErr w:type="gramStart"/>
      <w:r>
        <w:t xml:space="preserve">the </w:t>
      </w:r>
      <w:r w:rsidR="00A30FE5">
        <w:t>underspend</w:t>
      </w:r>
      <w:r>
        <w:t>s</w:t>
      </w:r>
      <w:proofErr w:type="gramEnd"/>
      <w:r w:rsidR="00A30FE5">
        <w:t xml:space="preserve"> in years 1 to 5. </w:t>
      </w:r>
    </w:p>
    <w:p w:rsidR="008B6E33" w:rsidRPr="00675444" w:rsidRDefault="008B6E33" w:rsidP="00675444">
      <w:pPr>
        <w:pStyle w:val="AERbodytextindent2"/>
        <w:rPr>
          <w:rStyle w:val="AERtextitalic"/>
        </w:rPr>
      </w:pPr>
      <w:r w:rsidRPr="00675444">
        <w:rPr>
          <w:rStyle w:val="AERtextitalic"/>
        </w:rPr>
        <w:t xml:space="preserve">Total </w:t>
      </w:r>
      <w:r w:rsidR="007A44C0">
        <w:rPr>
          <w:rStyle w:val="AERtextitalic"/>
        </w:rPr>
        <w:t xml:space="preserve">NPV </w:t>
      </w:r>
      <w:r w:rsidRPr="00675444">
        <w:rPr>
          <w:rStyle w:val="AERtextitalic"/>
        </w:rPr>
        <w:t>underspend = $</w:t>
      </w:r>
      <w:r w:rsidR="007A44C0">
        <w:rPr>
          <w:rStyle w:val="AERtextitalic"/>
        </w:rPr>
        <w:t>26 million + $24.52 million - 34.7 million +</w:t>
      </w:r>
      <w:r w:rsidR="00901AC6">
        <w:rPr>
          <w:rStyle w:val="AERtextitalic"/>
        </w:rPr>
        <w:t xml:space="preserve"> </w:t>
      </w:r>
      <w:r w:rsidR="007A44C0">
        <w:rPr>
          <w:rStyle w:val="AERtextitalic"/>
        </w:rPr>
        <w:t>$10.91 million +</w:t>
      </w:r>
      <w:r w:rsidR="00695585">
        <w:rPr>
          <w:rStyle w:val="AERtextitalic"/>
        </w:rPr>
        <w:t xml:space="preserve"> $</w:t>
      </w:r>
      <w:r w:rsidR="007A44C0">
        <w:rPr>
          <w:rStyle w:val="AERtextitalic"/>
        </w:rPr>
        <w:t>10.3</w:t>
      </w:r>
      <w:r w:rsidR="00695585">
        <w:rPr>
          <w:rStyle w:val="AERtextitalic"/>
        </w:rPr>
        <w:t> </w:t>
      </w:r>
      <w:r w:rsidR="007A44C0">
        <w:rPr>
          <w:rStyle w:val="AERtextitalic"/>
        </w:rPr>
        <w:t>million = $</w:t>
      </w:r>
      <w:r w:rsidRPr="00675444">
        <w:rPr>
          <w:rStyle w:val="AERtextitalic"/>
        </w:rPr>
        <w:t>3</w:t>
      </w:r>
      <w:r w:rsidR="007A44C0">
        <w:rPr>
          <w:rStyle w:val="AERtextitalic"/>
        </w:rPr>
        <w:t>7.03</w:t>
      </w:r>
      <w:r w:rsidRPr="00675444">
        <w:rPr>
          <w:rStyle w:val="AERtextitalic"/>
        </w:rPr>
        <w:t xml:space="preserve"> million</w:t>
      </w:r>
    </w:p>
    <w:p w:rsidR="007A44C0" w:rsidRDefault="007A44C0" w:rsidP="007A44C0">
      <w:pPr>
        <w:pStyle w:val="AERbodytext"/>
      </w:pPr>
      <w:r>
        <w:t>To work out the NSP's share of the total NPV underspend, the sharing ratio is applied to the total NPV underspend.</w:t>
      </w:r>
    </w:p>
    <w:p w:rsidR="008B6E33" w:rsidRPr="00675444" w:rsidRDefault="008B6E33" w:rsidP="00675444">
      <w:pPr>
        <w:pStyle w:val="AERbodytextindent2"/>
        <w:rPr>
          <w:rStyle w:val="AERtextitalic"/>
        </w:rPr>
      </w:pPr>
      <w:r w:rsidRPr="00675444">
        <w:rPr>
          <w:rStyle w:val="AERtextitalic"/>
        </w:rPr>
        <w:t>Sharing ratio = 30 per cent</w:t>
      </w:r>
    </w:p>
    <w:p w:rsidR="008B6E33" w:rsidRPr="00675444" w:rsidRDefault="008B6E33" w:rsidP="00675444">
      <w:pPr>
        <w:pStyle w:val="AERbodytextindent2"/>
        <w:rPr>
          <w:rStyle w:val="AERtextitalic"/>
        </w:rPr>
      </w:pPr>
      <w:r w:rsidRPr="00675444">
        <w:rPr>
          <w:rStyle w:val="AERtextitalic"/>
        </w:rPr>
        <w:t>NSP share = 30 per cent x $3</w:t>
      </w:r>
      <w:r w:rsidR="007A44C0">
        <w:rPr>
          <w:rStyle w:val="AERtextitalic"/>
        </w:rPr>
        <w:t>7.03</w:t>
      </w:r>
      <w:r w:rsidRPr="00675444">
        <w:rPr>
          <w:rStyle w:val="AERtextitalic"/>
        </w:rPr>
        <w:t xml:space="preserve"> million = $</w:t>
      </w:r>
      <w:r w:rsidR="007A44C0">
        <w:rPr>
          <w:rStyle w:val="AERtextitalic"/>
        </w:rPr>
        <w:t>11.11</w:t>
      </w:r>
      <w:r w:rsidRPr="00675444">
        <w:rPr>
          <w:rStyle w:val="AERtextitalic"/>
        </w:rPr>
        <w:t xml:space="preserve"> million</w:t>
      </w:r>
    </w:p>
    <w:p w:rsidR="008010C8" w:rsidRDefault="008B6E33" w:rsidP="00675444">
      <w:pPr>
        <w:pStyle w:val="AERbodytext"/>
      </w:pPr>
      <w:r>
        <w:t xml:space="preserve">So </w:t>
      </w:r>
      <w:r w:rsidR="007A44C0">
        <w:t xml:space="preserve">now </w:t>
      </w:r>
      <w:r w:rsidR="008010C8">
        <w:t xml:space="preserve">we know that the </w:t>
      </w:r>
      <w:r>
        <w:t>NSP should recover $</w:t>
      </w:r>
      <w:r w:rsidR="007A44C0">
        <w:t>11.11</w:t>
      </w:r>
      <w:r>
        <w:t xml:space="preserve"> million in total. </w:t>
      </w:r>
      <w:r w:rsidR="007A44C0">
        <w:t>W</w:t>
      </w:r>
      <w:r>
        <w:t xml:space="preserve">e </w:t>
      </w:r>
      <w:r w:rsidR="007A44C0">
        <w:t xml:space="preserve">then </w:t>
      </w:r>
      <w:r w:rsidR="000F0EA2">
        <w:t xml:space="preserve">need to </w:t>
      </w:r>
      <w:r>
        <w:t xml:space="preserve">account for the </w:t>
      </w:r>
      <w:r w:rsidR="00A85BDC">
        <w:t xml:space="preserve">return on </w:t>
      </w:r>
      <w:proofErr w:type="gramStart"/>
      <w:r w:rsidR="00A85BDC">
        <w:t>the underspend</w:t>
      </w:r>
      <w:proofErr w:type="gramEnd"/>
      <w:r>
        <w:t xml:space="preserve"> that the NSP has already recovered </w:t>
      </w:r>
      <w:r w:rsidR="00A85BDC">
        <w:t>during</w:t>
      </w:r>
      <w:r>
        <w:t xml:space="preserve"> the regulatory control period. </w:t>
      </w:r>
      <w:r w:rsidR="008010C8">
        <w:t xml:space="preserve">This is in the form of retained return on capital. We need to account for this to ensure that the CESS provides constant incentives. That is, so that the benefit/penalty of </w:t>
      </w:r>
      <w:proofErr w:type="gramStart"/>
      <w:r w:rsidR="008010C8">
        <w:t>an underspend</w:t>
      </w:r>
      <w:proofErr w:type="gramEnd"/>
      <w:r w:rsidR="008010C8">
        <w:t>/overspend is equal in each year of the regulatory period.</w:t>
      </w:r>
    </w:p>
    <w:p w:rsidR="00E87D38" w:rsidRDefault="008010C8" w:rsidP="00675444">
      <w:pPr>
        <w:pStyle w:val="AERbodytext"/>
      </w:pPr>
      <w:r>
        <w:t>It is assumed that the return on capital</w:t>
      </w:r>
      <w:r w:rsidR="00E87D38">
        <w:t xml:space="preserve"> </w:t>
      </w:r>
      <w:r>
        <w:t xml:space="preserve">accrues </w:t>
      </w:r>
      <w:r w:rsidR="005466BD">
        <w:t>at the end</w:t>
      </w:r>
      <w:r>
        <w:t xml:space="preserve"> of each </w:t>
      </w:r>
      <w:r w:rsidR="00E87D38">
        <w:t>year</w:t>
      </w:r>
      <w:r>
        <w:t xml:space="preserve">. </w:t>
      </w:r>
      <w:r w:rsidR="007A44C0">
        <w:t>F</w:t>
      </w:r>
      <w:r>
        <w:t>or each underspend the NSP will get a half year of retained return on capital in the same year. In following years the NSP will gain a full year of retained return on capital.</w:t>
      </w:r>
      <w:r w:rsidR="008B6E33">
        <w:t xml:space="preserve"> </w:t>
      </w:r>
    </w:p>
    <w:p w:rsidR="00E87D38" w:rsidRDefault="000519FF" w:rsidP="00675444">
      <w:pPr>
        <w:pStyle w:val="AERbulletlistfirststyle"/>
      </w:pPr>
      <w:r>
        <w:t xml:space="preserve">To </w:t>
      </w:r>
      <w:r w:rsidR="008010C8">
        <w:t>calculate</w:t>
      </w:r>
      <w:r>
        <w:t xml:space="preserve"> a half year of </w:t>
      </w:r>
      <w:r w:rsidR="008010C8">
        <w:t>retained return on capital,</w:t>
      </w:r>
      <w:r>
        <w:t xml:space="preserve"> </w:t>
      </w:r>
      <w:proofErr w:type="gramStart"/>
      <w:r>
        <w:t>the underspend</w:t>
      </w:r>
      <w:proofErr w:type="gramEnd"/>
      <w:r>
        <w:t xml:space="preserve"> is multiplied by </w:t>
      </w:r>
      <w:r w:rsidR="008010C8">
        <w:br/>
      </w:r>
      <w:r w:rsidR="00E87D38">
        <w:t>[</w:t>
      </w:r>
      <m:oMath>
        <m:sSup>
          <m:sSupPr>
            <m:ctrlPr>
              <w:rPr>
                <w:rFonts w:ascii="Cambria Math" w:hAnsi="Cambria Math"/>
              </w:rPr>
            </m:ctrlPr>
          </m:sSupPr>
          <m:e>
            <m:d>
              <m:dPr>
                <m:ctrlPr>
                  <w:rPr>
                    <w:rFonts w:ascii="Cambria Math" w:hAnsi="Cambria Math"/>
                  </w:rPr>
                </m:ctrlPr>
              </m:dPr>
              <m:e>
                <m:r>
                  <w:rPr>
                    <w:rFonts w:ascii="Cambria Math" w:hAnsi="Cambria Math"/>
                  </w:rPr>
                  <m:t>1+WACC</m:t>
                </m:r>
              </m:e>
            </m:d>
          </m:e>
          <m:sup>
            <m:r>
              <w:rPr>
                <w:rFonts w:ascii="Cambria Math" w:hAnsi="Cambria Math"/>
              </w:rPr>
              <m:t>0.5</m:t>
            </m:r>
          </m:sup>
        </m:sSup>
        <m:r>
          <w:rPr>
            <w:rFonts w:ascii="Cambria Math" w:hAnsi="Cambria Math"/>
          </w:rPr>
          <m:t>-1</m:t>
        </m:r>
      </m:oMath>
      <w:r w:rsidR="00E87D38">
        <w:t>)]</w:t>
      </w:r>
      <w:r>
        <w:t xml:space="preserve">. </w:t>
      </w:r>
    </w:p>
    <w:p w:rsidR="008B6E33" w:rsidRDefault="000519FF" w:rsidP="00675444">
      <w:pPr>
        <w:pStyle w:val="AERbulletlistfirststyle"/>
      </w:pPr>
      <w:r>
        <w:t>To</w:t>
      </w:r>
      <w:r w:rsidR="008010C8">
        <w:t xml:space="preserve"> calculate a </w:t>
      </w:r>
      <w:r>
        <w:t xml:space="preserve">full year </w:t>
      </w:r>
      <w:r w:rsidR="008010C8">
        <w:t>of retained return on capital</w:t>
      </w:r>
      <w:r>
        <w:t xml:space="preserve">, </w:t>
      </w:r>
      <w:proofErr w:type="gramStart"/>
      <w:r>
        <w:t>the underspend</w:t>
      </w:r>
      <w:proofErr w:type="gramEnd"/>
      <w:r>
        <w:t xml:space="preserve"> is </w:t>
      </w:r>
      <w:r w:rsidR="005466BD">
        <w:t xml:space="preserve">simply </w:t>
      </w:r>
      <w:r>
        <w:t>multiplied by the WACC.</w:t>
      </w:r>
    </w:p>
    <w:p w:rsidR="00E87D38" w:rsidRDefault="007A44C0" w:rsidP="00675444">
      <w:r>
        <w:t>This is shown in table 5</w:t>
      </w:r>
      <w:r w:rsidR="00B81D26">
        <w:t xml:space="preserve">. </w:t>
      </w:r>
      <w:r w:rsidR="009644C2">
        <w:t>The</w:t>
      </w:r>
      <w:r w:rsidR="00B81D26">
        <w:t xml:space="preserve"> benefit </w:t>
      </w:r>
      <w:r w:rsidR="009644C2">
        <w:t xml:space="preserve">for each year is shown in one row with the equations for calculating that benefit shown </w:t>
      </w:r>
      <w:r w:rsidR="00B81D26">
        <w:t>in the following row</w:t>
      </w:r>
      <w:r w:rsidR="009644C2">
        <w:t xml:space="preserve"> for reference</w:t>
      </w:r>
      <w:r w:rsidR="00B81D26">
        <w:t>. To get the final benefit for each year, the columns are summed together.</w:t>
      </w:r>
      <w:r>
        <w:t xml:space="preserve"> To express this in NPV terms, we then </w:t>
      </w:r>
      <w:r w:rsidR="005466BD">
        <w:t>apply a discount rate. Since these values accrue at the end of the year, we need a different discount rate from that applied in table 4</w:t>
      </w:r>
      <w:r>
        <w:t>.</w:t>
      </w:r>
      <w:r w:rsidR="005466BD">
        <w:rPr>
          <w:rStyle w:val="FootnoteReference"/>
        </w:rPr>
        <w:footnoteReference w:id="59"/>
      </w:r>
    </w:p>
    <w:p w:rsidR="00B81D26" w:rsidRDefault="007A44C0" w:rsidP="00875806">
      <w:pPr>
        <w:pStyle w:val="Caption"/>
      </w:pPr>
      <w:r>
        <w:t>Table 5</w:t>
      </w:r>
      <w:r w:rsidR="00B81D26">
        <w:tab/>
      </w:r>
      <w:r w:rsidR="008010C8">
        <w:t>Retained return on capital</w:t>
      </w:r>
      <w:r w:rsidR="00B81D26">
        <w:t xml:space="preserve"> ($ millions)</w:t>
      </w:r>
    </w:p>
    <w:tbl>
      <w:tblPr>
        <w:tblStyle w:val="AERtable-numbers"/>
        <w:tblW w:w="0" w:type="auto"/>
        <w:tblLook w:val="04A0" w:firstRow="1" w:lastRow="0" w:firstColumn="1" w:lastColumn="0" w:noHBand="0" w:noVBand="1"/>
      </w:tblPr>
      <w:tblGrid>
        <w:gridCol w:w="1242"/>
        <w:gridCol w:w="1600"/>
        <w:gridCol w:w="1600"/>
        <w:gridCol w:w="1600"/>
        <w:gridCol w:w="1600"/>
        <w:gridCol w:w="1600"/>
      </w:tblGrid>
      <w:tr w:rsidR="00E87D38" w:rsidTr="00675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81D26" w:rsidRDefault="00B81D26" w:rsidP="00BD6A22">
            <w:pPr>
              <w:pStyle w:val="AERtabletextright"/>
            </w:pPr>
          </w:p>
        </w:tc>
        <w:tc>
          <w:tcPr>
            <w:tcW w:w="1600" w:type="dxa"/>
          </w:tcPr>
          <w:p w:rsidR="00E87D38" w:rsidRDefault="00E87D38" w:rsidP="00BD6A22">
            <w:pPr>
              <w:pStyle w:val="AERtabletextright"/>
              <w:cnfStyle w:val="100000000000" w:firstRow="1" w:lastRow="0" w:firstColumn="0" w:lastColumn="0" w:oddVBand="0" w:evenVBand="0" w:oddHBand="0" w:evenHBand="0" w:firstRowFirstColumn="0" w:firstRowLastColumn="0" w:lastRowFirstColumn="0" w:lastRowLastColumn="0"/>
            </w:pPr>
            <w:r>
              <w:t>Year 1</w:t>
            </w:r>
          </w:p>
        </w:tc>
        <w:tc>
          <w:tcPr>
            <w:tcW w:w="1600" w:type="dxa"/>
          </w:tcPr>
          <w:p w:rsidR="00E87D38" w:rsidRDefault="00E87D38" w:rsidP="00BD6A22">
            <w:pPr>
              <w:pStyle w:val="AERtabletextright"/>
              <w:cnfStyle w:val="100000000000" w:firstRow="1" w:lastRow="0" w:firstColumn="0" w:lastColumn="0" w:oddVBand="0" w:evenVBand="0" w:oddHBand="0" w:evenHBand="0" w:firstRowFirstColumn="0" w:firstRowLastColumn="0" w:lastRowFirstColumn="0" w:lastRowLastColumn="0"/>
            </w:pPr>
            <w:r>
              <w:t>Year 2</w:t>
            </w:r>
          </w:p>
        </w:tc>
        <w:tc>
          <w:tcPr>
            <w:tcW w:w="1600" w:type="dxa"/>
          </w:tcPr>
          <w:p w:rsidR="00E87D38" w:rsidRDefault="00E87D38" w:rsidP="00BD6A22">
            <w:pPr>
              <w:pStyle w:val="AERtabletextright"/>
              <w:cnfStyle w:val="100000000000" w:firstRow="1" w:lastRow="0" w:firstColumn="0" w:lastColumn="0" w:oddVBand="0" w:evenVBand="0" w:oddHBand="0" w:evenHBand="0" w:firstRowFirstColumn="0" w:firstRowLastColumn="0" w:lastRowFirstColumn="0" w:lastRowLastColumn="0"/>
            </w:pPr>
            <w:r>
              <w:t>Year 3</w:t>
            </w:r>
          </w:p>
        </w:tc>
        <w:tc>
          <w:tcPr>
            <w:tcW w:w="1600" w:type="dxa"/>
          </w:tcPr>
          <w:p w:rsidR="00E87D38" w:rsidRDefault="00E87D38" w:rsidP="00BD6A22">
            <w:pPr>
              <w:pStyle w:val="AERtabletextright"/>
              <w:cnfStyle w:val="100000000000" w:firstRow="1" w:lastRow="0" w:firstColumn="0" w:lastColumn="0" w:oddVBand="0" w:evenVBand="0" w:oddHBand="0" w:evenHBand="0" w:firstRowFirstColumn="0" w:firstRowLastColumn="0" w:lastRowFirstColumn="0" w:lastRowLastColumn="0"/>
            </w:pPr>
            <w:r>
              <w:t>Year 4</w:t>
            </w:r>
          </w:p>
        </w:tc>
        <w:tc>
          <w:tcPr>
            <w:tcW w:w="1600" w:type="dxa"/>
          </w:tcPr>
          <w:p w:rsidR="00E87D38" w:rsidRDefault="00E87D38" w:rsidP="00BD6A22">
            <w:pPr>
              <w:pStyle w:val="AERtabletextright"/>
              <w:cnfStyle w:val="100000000000" w:firstRow="1" w:lastRow="0" w:firstColumn="0" w:lastColumn="0" w:oddVBand="0" w:evenVBand="0" w:oddHBand="0" w:evenHBand="0" w:firstRowFirstColumn="0" w:firstRowLastColumn="0" w:lastRowFirstColumn="0" w:lastRowLastColumn="0"/>
            </w:pPr>
            <w:r>
              <w:t>Year 5</w:t>
            </w:r>
          </w:p>
        </w:tc>
      </w:tr>
      <w:tr w:rsidR="009644C2" w:rsidRPr="00875806" w:rsidTr="009644C2">
        <w:tc>
          <w:tcPr>
            <w:cnfStyle w:val="001000000000" w:firstRow="0" w:lastRow="0" w:firstColumn="1" w:lastColumn="0" w:oddVBand="0" w:evenVBand="0" w:oddHBand="0" w:evenHBand="0" w:firstRowFirstColumn="0" w:firstRowLastColumn="0" w:lastRowFirstColumn="0" w:lastRowLastColumn="0"/>
            <w:tcW w:w="1242" w:type="dxa"/>
          </w:tcPr>
          <w:p w:rsidR="009644C2" w:rsidRPr="00875806" w:rsidRDefault="009644C2" w:rsidP="00A609EA">
            <w:pPr>
              <w:pStyle w:val="AERtabletextleft"/>
            </w:pPr>
            <w:r w:rsidRPr="00875806">
              <w:t>Year 1 benefit</w:t>
            </w: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rsidRPr="00875806">
              <w:t>0.59</w:t>
            </w:r>
          </w:p>
        </w:tc>
        <w:tc>
          <w:tcPr>
            <w:tcW w:w="1600" w:type="dxa"/>
          </w:tcPr>
          <w:p w:rsidR="009644C2" w:rsidRPr="009644C2"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rsidRPr="00875806">
              <w:t>1.2</w:t>
            </w:r>
            <w:r w:rsidR="00295E3F">
              <w:t>0</w:t>
            </w:r>
          </w:p>
        </w:tc>
        <w:tc>
          <w:tcPr>
            <w:tcW w:w="1600" w:type="dxa"/>
          </w:tcPr>
          <w:p w:rsidR="009644C2" w:rsidRPr="009644C2"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rsidRPr="00875806">
              <w:t>1.</w:t>
            </w:r>
            <w:r w:rsidR="00295E3F">
              <w:t>20</w:t>
            </w:r>
          </w:p>
        </w:tc>
        <w:tc>
          <w:tcPr>
            <w:tcW w:w="1600" w:type="dxa"/>
          </w:tcPr>
          <w:p w:rsidR="009644C2" w:rsidRPr="009644C2"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t>1.</w:t>
            </w:r>
            <w:r w:rsidR="00295E3F">
              <w:t>20</w:t>
            </w:r>
          </w:p>
        </w:tc>
        <w:tc>
          <w:tcPr>
            <w:tcW w:w="1600" w:type="dxa"/>
          </w:tcPr>
          <w:p w:rsidR="009644C2" w:rsidRPr="009644C2"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t>1.</w:t>
            </w:r>
            <w:r w:rsidR="00295E3F">
              <w:t>20</w:t>
            </w:r>
          </w:p>
        </w:tc>
      </w:tr>
      <w:tr w:rsidR="009644C2" w:rsidRPr="00875806" w:rsidTr="009644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9644C2" w:rsidRPr="00675444" w:rsidRDefault="009644C2" w:rsidP="00A609EA">
            <w:pPr>
              <w:pStyle w:val="AERtabletextleft"/>
            </w:pPr>
            <w:r w:rsidRPr="00675444">
              <w:t>Year 1 calculation</w:t>
            </w:r>
          </w:p>
        </w:tc>
        <w:tc>
          <w:tcPr>
            <w:tcW w:w="1600" w:type="dxa"/>
          </w:tcPr>
          <w:p w:rsidR="009644C2" w:rsidRPr="009644C2"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rsidRPr="00675444">
              <w:t xml:space="preserve">20 x </w:t>
            </w:r>
            <m:oMath>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Style w:val="AERtextitalic"/>
                              <w:rFonts w:ascii="Cambria Math" w:hAnsi="Cambria Math"/>
                            </w:rPr>
                            <m:t>1.06</m:t>
                          </m:r>
                        </m:e>
                      </m:d>
                    </m:e>
                    <m:sup>
                      <m:r>
                        <m:rPr>
                          <m:sty m:val="p"/>
                        </m:rPr>
                        <w:rPr>
                          <w:rFonts w:ascii="Cambria Math" w:hAnsi="Cambria Math"/>
                        </w:rPr>
                        <m:t>0.5</m:t>
                      </m:r>
                    </m:sup>
                  </m:sSup>
                  <m:r>
                    <m:rPr>
                      <m:sty m:val="p"/>
                    </m:rPr>
                    <w:rPr>
                      <w:rFonts w:ascii="Cambria Math" w:hAnsi="Cambria Math"/>
                    </w:rPr>
                    <m:t>-1</m:t>
                  </m:r>
                </m:e>
              </m:d>
            </m:oMath>
          </w:p>
        </w:tc>
        <w:tc>
          <w:tcPr>
            <w:tcW w:w="1600" w:type="dxa"/>
          </w:tcPr>
          <w:p w:rsidR="009644C2" w:rsidRPr="009644C2"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rsidRPr="009644C2">
              <w:t>20 x 0.06</w:t>
            </w:r>
          </w:p>
        </w:tc>
        <w:tc>
          <w:tcPr>
            <w:tcW w:w="1600" w:type="dxa"/>
          </w:tcPr>
          <w:p w:rsidR="009644C2" w:rsidRPr="009644C2"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rsidRPr="009644C2">
              <w:t>20 x 0.06</w:t>
            </w:r>
          </w:p>
        </w:tc>
        <w:tc>
          <w:tcPr>
            <w:tcW w:w="1600" w:type="dxa"/>
          </w:tcPr>
          <w:p w:rsidR="009644C2" w:rsidRPr="009644C2"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rsidRPr="009644C2">
              <w:t>20 x 0.06</w:t>
            </w:r>
          </w:p>
        </w:tc>
        <w:tc>
          <w:tcPr>
            <w:tcW w:w="1600" w:type="dxa"/>
          </w:tcPr>
          <w:p w:rsidR="009644C2" w:rsidRPr="009644C2"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rsidRPr="009644C2">
              <w:t>20 x 0.06</w:t>
            </w:r>
          </w:p>
        </w:tc>
      </w:tr>
      <w:tr w:rsidR="009644C2" w:rsidRPr="00875806" w:rsidTr="009644C2">
        <w:tc>
          <w:tcPr>
            <w:cnfStyle w:val="001000000000" w:firstRow="0" w:lastRow="0" w:firstColumn="1" w:lastColumn="0" w:oddVBand="0" w:evenVBand="0" w:oddHBand="0" w:evenHBand="0" w:firstRowFirstColumn="0" w:firstRowLastColumn="0" w:lastRowFirstColumn="0" w:lastRowLastColumn="0"/>
            <w:tcW w:w="1242" w:type="dxa"/>
          </w:tcPr>
          <w:p w:rsidR="009644C2" w:rsidRPr="00875806" w:rsidRDefault="009644C2" w:rsidP="00A609EA">
            <w:pPr>
              <w:pStyle w:val="AERtabletextleft"/>
            </w:pPr>
            <w:r w:rsidRPr="00875806">
              <w:t>Year 2 benefit</w:t>
            </w: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rsidRPr="00875806">
              <w:t>0.59</w:t>
            </w:r>
          </w:p>
        </w:tc>
        <w:tc>
          <w:tcPr>
            <w:tcW w:w="1600" w:type="dxa"/>
          </w:tcPr>
          <w:p w:rsidR="009644C2" w:rsidRPr="009644C2"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rsidRPr="00875806">
              <w:t>1.2</w:t>
            </w:r>
            <w:r w:rsidR="00295E3F">
              <w:t>0</w:t>
            </w:r>
          </w:p>
        </w:tc>
        <w:tc>
          <w:tcPr>
            <w:tcW w:w="1600" w:type="dxa"/>
          </w:tcPr>
          <w:p w:rsidR="009644C2" w:rsidRPr="009644C2"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rsidRPr="00875806">
              <w:t>1.</w:t>
            </w:r>
            <w:r w:rsidR="00295E3F">
              <w:t>20</w:t>
            </w:r>
          </w:p>
        </w:tc>
        <w:tc>
          <w:tcPr>
            <w:tcW w:w="1600" w:type="dxa"/>
          </w:tcPr>
          <w:p w:rsidR="009644C2" w:rsidRPr="009644C2"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t>1.</w:t>
            </w:r>
            <w:r w:rsidR="00295E3F">
              <w:t>20</w:t>
            </w:r>
          </w:p>
        </w:tc>
      </w:tr>
      <w:tr w:rsidR="009644C2" w:rsidRPr="00875806" w:rsidTr="009644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9644C2" w:rsidRPr="00875806" w:rsidRDefault="009644C2" w:rsidP="00A609EA">
            <w:pPr>
              <w:pStyle w:val="AERtabletextleft"/>
            </w:pPr>
            <w:r w:rsidRPr="00875806">
              <w:t>Year 2 calculation</w:t>
            </w:r>
          </w:p>
        </w:tc>
        <w:tc>
          <w:tcPr>
            <w:tcW w:w="1600" w:type="dxa"/>
          </w:tcPr>
          <w:p w:rsidR="009644C2" w:rsidRPr="00875806"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9644C2" w:rsidRPr="009644C2"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rsidRPr="00875806">
              <w:t xml:space="preserve">20 x </w:t>
            </w:r>
            <m:oMath>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1.06</m:t>
                          </m:r>
                        </m:e>
                      </m:d>
                    </m:e>
                    <m:sup>
                      <m:r>
                        <w:rPr>
                          <w:rFonts w:ascii="Cambria Math" w:hAnsi="Cambria Math"/>
                        </w:rPr>
                        <m:t>0.5</m:t>
                      </m:r>
                    </m:sup>
                  </m:sSup>
                  <m:r>
                    <w:rPr>
                      <w:rFonts w:ascii="Cambria Math" w:hAnsi="Cambria Math"/>
                    </w:rPr>
                    <m:t>-1</m:t>
                  </m:r>
                </m:e>
              </m:d>
            </m:oMath>
          </w:p>
        </w:tc>
        <w:tc>
          <w:tcPr>
            <w:tcW w:w="1600" w:type="dxa"/>
            <w:vAlign w:val="top"/>
          </w:tcPr>
          <w:p w:rsidR="009644C2" w:rsidRPr="009644C2" w:rsidRDefault="00295E3F" w:rsidP="00A609EA">
            <w:pPr>
              <w:pStyle w:val="AERtabletextleft"/>
              <w:cnfStyle w:val="000000010000" w:firstRow="0" w:lastRow="0" w:firstColumn="0" w:lastColumn="0" w:oddVBand="0" w:evenVBand="0" w:oddHBand="0" w:evenHBand="1" w:firstRowFirstColumn="0" w:firstRowLastColumn="0" w:lastRowFirstColumn="0" w:lastRowLastColumn="0"/>
            </w:pPr>
            <w:r w:rsidRPr="009644C2">
              <w:t xml:space="preserve">20 </w:t>
            </w:r>
            <w:r w:rsidRPr="00295E3F">
              <w:t>x 0.06</w:t>
            </w:r>
          </w:p>
        </w:tc>
        <w:tc>
          <w:tcPr>
            <w:tcW w:w="1600" w:type="dxa"/>
            <w:vAlign w:val="top"/>
          </w:tcPr>
          <w:p w:rsidR="009644C2" w:rsidRPr="009644C2" w:rsidRDefault="00295E3F" w:rsidP="00A609EA">
            <w:pPr>
              <w:pStyle w:val="AERtabletextleft"/>
              <w:cnfStyle w:val="000000010000" w:firstRow="0" w:lastRow="0" w:firstColumn="0" w:lastColumn="0" w:oddVBand="0" w:evenVBand="0" w:oddHBand="0" w:evenHBand="1" w:firstRowFirstColumn="0" w:firstRowLastColumn="0" w:lastRowFirstColumn="0" w:lastRowLastColumn="0"/>
            </w:pPr>
            <w:r w:rsidRPr="009644C2">
              <w:t xml:space="preserve">20 </w:t>
            </w:r>
            <w:r w:rsidRPr="00295E3F">
              <w:t>x 0.06</w:t>
            </w:r>
          </w:p>
        </w:tc>
        <w:tc>
          <w:tcPr>
            <w:tcW w:w="1600" w:type="dxa"/>
            <w:vAlign w:val="top"/>
          </w:tcPr>
          <w:p w:rsidR="009644C2" w:rsidRPr="009644C2" w:rsidRDefault="00295E3F" w:rsidP="00A609EA">
            <w:pPr>
              <w:pStyle w:val="AERtabletextleft"/>
              <w:cnfStyle w:val="000000010000" w:firstRow="0" w:lastRow="0" w:firstColumn="0" w:lastColumn="0" w:oddVBand="0" w:evenVBand="0" w:oddHBand="0" w:evenHBand="1" w:firstRowFirstColumn="0" w:firstRowLastColumn="0" w:lastRowFirstColumn="0" w:lastRowLastColumn="0"/>
            </w:pPr>
            <w:r w:rsidRPr="009644C2">
              <w:t xml:space="preserve">20 </w:t>
            </w:r>
            <w:r w:rsidRPr="00295E3F">
              <w:t>x 0.06</w:t>
            </w:r>
          </w:p>
        </w:tc>
      </w:tr>
      <w:tr w:rsidR="009644C2" w:rsidRPr="00875806" w:rsidTr="009644C2">
        <w:tc>
          <w:tcPr>
            <w:cnfStyle w:val="001000000000" w:firstRow="0" w:lastRow="0" w:firstColumn="1" w:lastColumn="0" w:oddVBand="0" w:evenVBand="0" w:oddHBand="0" w:evenHBand="0" w:firstRowFirstColumn="0" w:firstRowLastColumn="0" w:lastRowFirstColumn="0" w:lastRowLastColumn="0"/>
            <w:tcW w:w="1242" w:type="dxa"/>
          </w:tcPr>
          <w:p w:rsidR="009644C2" w:rsidRPr="00875806" w:rsidRDefault="009644C2" w:rsidP="00A609EA">
            <w:pPr>
              <w:pStyle w:val="AERtabletextleft"/>
            </w:pPr>
            <w:r w:rsidRPr="00875806">
              <w:t>Year 3 benefit</w:t>
            </w: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9644C2" w:rsidRPr="009644C2"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rsidRPr="00875806">
              <w:t>-0.89</w:t>
            </w:r>
          </w:p>
        </w:tc>
        <w:tc>
          <w:tcPr>
            <w:tcW w:w="1600" w:type="dxa"/>
          </w:tcPr>
          <w:p w:rsidR="009644C2" w:rsidRPr="009644C2" w:rsidRDefault="00295E3F" w:rsidP="00A609EA">
            <w:pPr>
              <w:pStyle w:val="AERtabletextleft"/>
              <w:cnfStyle w:val="000000000000" w:firstRow="0" w:lastRow="0" w:firstColumn="0" w:lastColumn="0" w:oddVBand="0" w:evenVBand="0" w:oddHBand="0" w:evenHBand="0" w:firstRowFirstColumn="0" w:firstRowLastColumn="0" w:lastRowFirstColumn="0" w:lastRowLastColumn="0"/>
            </w:pPr>
            <w:r>
              <w:t>-1.80</w:t>
            </w:r>
          </w:p>
        </w:tc>
        <w:tc>
          <w:tcPr>
            <w:tcW w:w="1600" w:type="dxa"/>
          </w:tcPr>
          <w:p w:rsidR="009644C2" w:rsidRPr="009644C2"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t>-1.</w:t>
            </w:r>
            <w:r w:rsidR="00295E3F">
              <w:t>80</w:t>
            </w:r>
          </w:p>
        </w:tc>
      </w:tr>
      <w:tr w:rsidR="009644C2" w:rsidRPr="00875806" w:rsidTr="009644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9644C2" w:rsidRPr="00875806" w:rsidRDefault="009644C2" w:rsidP="00A609EA">
            <w:pPr>
              <w:pStyle w:val="AERtabletextleft"/>
            </w:pPr>
            <w:r w:rsidRPr="00875806">
              <w:t>Year 3 calculation</w:t>
            </w:r>
          </w:p>
        </w:tc>
        <w:tc>
          <w:tcPr>
            <w:tcW w:w="1600" w:type="dxa"/>
          </w:tcPr>
          <w:p w:rsidR="009644C2" w:rsidRPr="00875806"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9644C2" w:rsidRPr="00875806"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9644C2" w:rsidRPr="009644C2"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rsidRPr="00875806">
              <w:t xml:space="preserve">-30 x </w:t>
            </w:r>
            <m:oMath>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1.06</m:t>
                          </m:r>
                        </m:e>
                      </m:d>
                    </m:e>
                    <m:sup>
                      <m:r>
                        <w:rPr>
                          <w:rFonts w:ascii="Cambria Math" w:hAnsi="Cambria Math"/>
                        </w:rPr>
                        <m:t>0.5</m:t>
                      </m:r>
                    </m:sup>
                  </m:sSup>
                  <m:r>
                    <w:rPr>
                      <w:rFonts w:ascii="Cambria Math" w:hAnsi="Cambria Math"/>
                    </w:rPr>
                    <m:t>-1</m:t>
                  </m:r>
                </m:e>
              </m:d>
            </m:oMath>
          </w:p>
        </w:tc>
        <w:tc>
          <w:tcPr>
            <w:tcW w:w="1600" w:type="dxa"/>
          </w:tcPr>
          <w:p w:rsidR="009644C2" w:rsidRPr="009644C2"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rsidRPr="009644C2">
              <w:t>-30 x 0.06</w:t>
            </w:r>
          </w:p>
        </w:tc>
        <w:tc>
          <w:tcPr>
            <w:tcW w:w="1600" w:type="dxa"/>
          </w:tcPr>
          <w:p w:rsidR="009644C2" w:rsidRPr="009644C2"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rsidRPr="009644C2">
              <w:t>-30 x 0.06</w:t>
            </w:r>
          </w:p>
        </w:tc>
      </w:tr>
      <w:tr w:rsidR="009644C2" w:rsidRPr="00875806" w:rsidTr="009644C2">
        <w:tc>
          <w:tcPr>
            <w:cnfStyle w:val="001000000000" w:firstRow="0" w:lastRow="0" w:firstColumn="1" w:lastColumn="0" w:oddVBand="0" w:evenVBand="0" w:oddHBand="0" w:evenHBand="0" w:firstRowFirstColumn="0" w:firstRowLastColumn="0" w:lastRowFirstColumn="0" w:lastRowLastColumn="0"/>
            <w:tcW w:w="1242" w:type="dxa"/>
          </w:tcPr>
          <w:p w:rsidR="009644C2" w:rsidRPr="00875806" w:rsidRDefault="009644C2" w:rsidP="00A609EA">
            <w:pPr>
              <w:pStyle w:val="AERtabletextleft"/>
            </w:pPr>
            <w:r w:rsidRPr="00875806">
              <w:t>Year 4 benefit</w:t>
            </w: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rsidRPr="00875806">
              <w:t>0.3</w:t>
            </w:r>
            <w:r>
              <w:t>0</w:t>
            </w: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rsidRPr="00875806">
              <w:t>0.6</w:t>
            </w:r>
            <w:r w:rsidR="00AA4004">
              <w:t>0</w:t>
            </w:r>
          </w:p>
        </w:tc>
      </w:tr>
      <w:tr w:rsidR="00B81D26" w:rsidRPr="00875806" w:rsidTr="00E87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81D26" w:rsidRPr="00875806" w:rsidRDefault="00B81D26" w:rsidP="00A609EA">
            <w:pPr>
              <w:pStyle w:val="AERtabletextleft"/>
            </w:pPr>
            <w:r w:rsidRPr="00875806">
              <w:t>Year 4 calculation</w:t>
            </w:r>
          </w:p>
        </w:tc>
        <w:tc>
          <w:tcPr>
            <w:tcW w:w="1600" w:type="dxa"/>
          </w:tcPr>
          <w:p w:rsidR="00B81D26" w:rsidRPr="00875806" w:rsidRDefault="00B81D26" w:rsidP="00A609EA">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B81D26" w:rsidRPr="00875806" w:rsidRDefault="00B81D26" w:rsidP="00A609EA">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B81D26" w:rsidRPr="00875806" w:rsidRDefault="00B81D26" w:rsidP="00A609EA">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B81D26" w:rsidRPr="00875806" w:rsidRDefault="00B81D26" w:rsidP="00A609EA">
            <w:pPr>
              <w:pStyle w:val="AERtabletextleft"/>
              <w:cnfStyle w:val="000000010000" w:firstRow="0" w:lastRow="0" w:firstColumn="0" w:lastColumn="0" w:oddVBand="0" w:evenVBand="0" w:oddHBand="0" w:evenHBand="1" w:firstRowFirstColumn="0" w:firstRowLastColumn="0" w:lastRowFirstColumn="0" w:lastRowLastColumn="0"/>
            </w:pPr>
            <w:r w:rsidRPr="00875806">
              <w:t xml:space="preserve">10 x </w:t>
            </w:r>
            <m:oMath>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1.06</m:t>
                          </m:r>
                        </m:e>
                      </m:d>
                    </m:e>
                    <m:sup>
                      <m:r>
                        <w:rPr>
                          <w:rFonts w:ascii="Cambria Math" w:hAnsi="Cambria Math"/>
                        </w:rPr>
                        <m:t>0.5</m:t>
                      </m:r>
                    </m:sup>
                  </m:sSup>
                  <m:r>
                    <w:rPr>
                      <w:rFonts w:ascii="Cambria Math" w:hAnsi="Cambria Math"/>
                    </w:rPr>
                    <m:t>-1</m:t>
                  </m:r>
                </m:e>
              </m:d>
            </m:oMath>
          </w:p>
        </w:tc>
        <w:tc>
          <w:tcPr>
            <w:tcW w:w="1600" w:type="dxa"/>
          </w:tcPr>
          <w:p w:rsidR="00B81D26" w:rsidRPr="00875806" w:rsidRDefault="00B81D26" w:rsidP="00A609EA">
            <w:pPr>
              <w:pStyle w:val="AERtabletextleft"/>
              <w:cnfStyle w:val="000000010000" w:firstRow="0" w:lastRow="0" w:firstColumn="0" w:lastColumn="0" w:oddVBand="0" w:evenVBand="0" w:oddHBand="0" w:evenHBand="1" w:firstRowFirstColumn="0" w:firstRowLastColumn="0" w:lastRowFirstColumn="0" w:lastRowLastColumn="0"/>
            </w:pPr>
            <w:r w:rsidRPr="00875806">
              <w:t>10</w:t>
            </w:r>
            <w:r w:rsidR="009644C2">
              <w:t xml:space="preserve"> </w:t>
            </w:r>
            <w:r w:rsidRPr="00875806">
              <w:t>x 0.06</w:t>
            </w:r>
          </w:p>
        </w:tc>
      </w:tr>
      <w:tr w:rsidR="009644C2" w:rsidRPr="00875806" w:rsidTr="009644C2">
        <w:tc>
          <w:tcPr>
            <w:cnfStyle w:val="001000000000" w:firstRow="0" w:lastRow="0" w:firstColumn="1" w:lastColumn="0" w:oddVBand="0" w:evenVBand="0" w:oddHBand="0" w:evenHBand="0" w:firstRowFirstColumn="0" w:firstRowLastColumn="0" w:lastRowFirstColumn="0" w:lastRowLastColumn="0"/>
            <w:tcW w:w="1242" w:type="dxa"/>
          </w:tcPr>
          <w:p w:rsidR="009644C2" w:rsidRPr="00875806" w:rsidRDefault="009644C2" w:rsidP="00A609EA">
            <w:pPr>
              <w:pStyle w:val="AERtabletextleft"/>
            </w:pPr>
            <w:r w:rsidRPr="00875806">
              <w:t>Year 5 benefit</w:t>
            </w: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9644C2"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rsidRPr="00875806">
              <w:t>0.3</w:t>
            </w:r>
          </w:p>
        </w:tc>
      </w:tr>
      <w:tr w:rsidR="00B81D26" w:rsidRPr="00875806" w:rsidTr="00DF49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81D26" w:rsidRPr="00875806" w:rsidRDefault="00B81D26" w:rsidP="00A609EA">
            <w:pPr>
              <w:pStyle w:val="AERtabletextleft"/>
            </w:pPr>
            <w:r w:rsidRPr="00875806">
              <w:t>Year 5 calculation</w:t>
            </w:r>
          </w:p>
        </w:tc>
        <w:tc>
          <w:tcPr>
            <w:tcW w:w="1600" w:type="dxa"/>
          </w:tcPr>
          <w:p w:rsidR="00B81D26" w:rsidRPr="00875806" w:rsidRDefault="00B81D26" w:rsidP="00A609EA">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B81D26" w:rsidRPr="00875806" w:rsidRDefault="00B81D26" w:rsidP="00A609EA">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B81D26" w:rsidRPr="00875806" w:rsidRDefault="00B81D26" w:rsidP="00A609EA">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B81D26" w:rsidRPr="00875806" w:rsidRDefault="00B81D26" w:rsidP="00A609EA">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B81D26" w:rsidRPr="00875806" w:rsidRDefault="00B81D26" w:rsidP="00A609EA">
            <w:pPr>
              <w:pStyle w:val="AERtabletextleft"/>
              <w:cnfStyle w:val="000000010000" w:firstRow="0" w:lastRow="0" w:firstColumn="0" w:lastColumn="0" w:oddVBand="0" w:evenVBand="0" w:oddHBand="0" w:evenHBand="1" w:firstRowFirstColumn="0" w:firstRowLastColumn="0" w:lastRowFirstColumn="0" w:lastRowLastColumn="0"/>
            </w:pPr>
            <w:r w:rsidRPr="00875806">
              <w:t xml:space="preserve">10 x </w:t>
            </w:r>
            <m:oMath>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1.06</m:t>
                          </m:r>
                        </m:e>
                      </m:d>
                    </m:e>
                    <m:sup>
                      <m:r>
                        <w:rPr>
                          <w:rFonts w:ascii="Cambria Math" w:hAnsi="Cambria Math"/>
                        </w:rPr>
                        <m:t>0.5</m:t>
                      </m:r>
                    </m:sup>
                  </m:sSup>
                  <m:r>
                    <w:rPr>
                      <w:rFonts w:ascii="Cambria Math" w:hAnsi="Cambria Math"/>
                    </w:rPr>
                    <m:t>-1</m:t>
                  </m:r>
                </m:e>
              </m:d>
            </m:oMath>
          </w:p>
        </w:tc>
      </w:tr>
      <w:tr w:rsidR="00B81D26" w:rsidRPr="00875806" w:rsidTr="00E87D38">
        <w:tc>
          <w:tcPr>
            <w:cnfStyle w:val="001000000000" w:firstRow="0" w:lastRow="0" w:firstColumn="1" w:lastColumn="0" w:oddVBand="0" w:evenVBand="0" w:oddHBand="0" w:evenHBand="0" w:firstRowFirstColumn="0" w:firstRowLastColumn="0" w:lastRowFirstColumn="0" w:lastRowLastColumn="0"/>
            <w:tcW w:w="1242" w:type="dxa"/>
          </w:tcPr>
          <w:p w:rsidR="00B81D26" w:rsidRPr="00875806" w:rsidRDefault="007A44C0" w:rsidP="00A609EA">
            <w:pPr>
              <w:pStyle w:val="AERtabletextleft"/>
            </w:pPr>
            <w:r>
              <w:t>Annual benefit</w:t>
            </w:r>
          </w:p>
        </w:tc>
        <w:tc>
          <w:tcPr>
            <w:tcW w:w="1600" w:type="dxa"/>
          </w:tcPr>
          <w:p w:rsidR="00B81D26" w:rsidRPr="00875806" w:rsidRDefault="00B81D26" w:rsidP="00A609EA">
            <w:pPr>
              <w:pStyle w:val="AERtabletextleft"/>
              <w:cnfStyle w:val="000000000000" w:firstRow="0" w:lastRow="0" w:firstColumn="0" w:lastColumn="0" w:oddVBand="0" w:evenVBand="0" w:oddHBand="0" w:evenHBand="0" w:firstRowFirstColumn="0" w:firstRowLastColumn="0" w:lastRowFirstColumn="0" w:lastRowLastColumn="0"/>
            </w:pPr>
            <w:r w:rsidRPr="00875806">
              <w:t>0.59</w:t>
            </w:r>
          </w:p>
        </w:tc>
        <w:tc>
          <w:tcPr>
            <w:tcW w:w="1600" w:type="dxa"/>
          </w:tcPr>
          <w:p w:rsidR="00B81D26"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t>1.</w:t>
            </w:r>
            <w:r w:rsidR="00AA4004">
              <w:t>79</w:t>
            </w:r>
          </w:p>
        </w:tc>
        <w:tc>
          <w:tcPr>
            <w:tcW w:w="1600" w:type="dxa"/>
          </w:tcPr>
          <w:p w:rsidR="00B81D26"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t>1.</w:t>
            </w:r>
            <w:r w:rsidR="00AA4004">
              <w:t>51</w:t>
            </w:r>
          </w:p>
        </w:tc>
        <w:tc>
          <w:tcPr>
            <w:tcW w:w="1600" w:type="dxa"/>
          </w:tcPr>
          <w:p w:rsidR="00B81D26" w:rsidRPr="00875806" w:rsidRDefault="00AA4004" w:rsidP="00A609EA">
            <w:pPr>
              <w:pStyle w:val="AERtabletextleft"/>
              <w:cnfStyle w:val="000000000000" w:firstRow="0" w:lastRow="0" w:firstColumn="0" w:lastColumn="0" w:oddVBand="0" w:evenVBand="0" w:oddHBand="0" w:evenHBand="0" w:firstRowFirstColumn="0" w:firstRowLastColumn="0" w:lastRowFirstColumn="0" w:lastRowLastColumn="0"/>
            </w:pPr>
            <w:r>
              <w:t>0.90</w:t>
            </w:r>
          </w:p>
        </w:tc>
        <w:tc>
          <w:tcPr>
            <w:tcW w:w="1600" w:type="dxa"/>
          </w:tcPr>
          <w:p w:rsidR="00B81D26" w:rsidRPr="00875806"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t>1.</w:t>
            </w:r>
            <w:r w:rsidR="00AA4004">
              <w:t>50</w:t>
            </w:r>
          </w:p>
        </w:tc>
      </w:tr>
      <w:tr w:rsidR="00CC15B6" w:rsidRPr="00875806" w:rsidTr="001C33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top"/>
          </w:tcPr>
          <w:p w:rsidR="00CC15B6" w:rsidRPr="00CC15B6" w:rsidRDefault="00CC15B6" w:rsidP="00A609EA">
            <w:pPr>
              <w:pStyle w:val="AERtabletextleft"/>
            </w:pPr>
            <w:r w:rsidRPr="00CC15B6">
              <w:t>Discount rate</w:t>
            </w:r>
            <w:r w:rsidR="00A947F1">
              <w:br/>
              <w:t>(end of year)</w:t>
            </w:r>
          </w:p>
        </w:tc>
        <w:tc>
          <w:tcPr>
            <w:tcW w:w="1600" w:type="dxa"/>
            <w:vAlign w:val="top"/>
          </w:tcPr>
          <w:p w:rsidR="00CC15B6" w:rsidRPr="00CC15B6" w:rsidRDefault="00AA4004" w:rsidP="00A609EA">
            <w:pPr>
              <w:pStyle w:val="AERtabletextleft"/>
              <w:cnfStyle w:val="000000010000" w:firstRow="0" w:lastRow="0" w:firstColumn="0" w:lastColumn="0" w:oddVBand="0" w:evenVBand="0" w:oddHBand="0" w:evenHBand="1" w:firstRowFirstColumn="0" w:firstRowLastColumn="0" w:lastRowFirstColumn="0" w:lastRowLastColumn="0"/>
            </w:pPr>
            <w:r>
              <w:t>1.26</w:t>
            </w:r>
          </w:p>
        </w:tc>
        <w:tc>
          <w:tcPr>
            <w:tcW w:w="1600" w:type="dxa"/>
            <w:vAlign w:val="top"/>
          </w:tcPr>
          <w:p w:rsidR="00CC15B6" w:rsidRPr="00CC15B6" w:rsidRDefault="00AA4004" w:rsidP="00A609EA">
            <w:pPr>
              <w:pStyle w:val="AERtabletextleft"/>
              <w:cnfStyle w:val="000000010000" w:firstRow="0" w:lastRow="0" w:firstColumn="0" w:lastColumn="0" w:oddVBand="0" w:evenVBand="0" w:oddHBand="0" w:evenHBand="1" w:firstRowFirstColumn="0" w:firstRowLastColumn="0" w:lastRowFirstColumn="0" w:lastRowLastColumn="0"/>
            </w:pPr>
            <w:r>
              <w:t>1.19</w:t>
            </w:r>
          </w:p>
        </w:tc>
        <w:tc>
          <w:tcPr>
            <w:tcW w:w="1600" w:type="dxa"/>
            <w:vAlign w:val="top"/>
          </w:tcPr>
          <w:p w:rsidR="00CC15B6" w:rsidRPr="00CC15B6" w:rsidRDefault="00AA4004" w:rsidP="00A609EA">
            <w:pPr>
              <w:pStyle w:val="AERtabletextleft"/>
              <w:cnfStyle w:val="000000010000" w:firstRow="0" w:lastRow="0" w:firstColumn="0" w:lastColumn="0" w:oddVBand="0" w:evenVBand="0" w:oddHBand="0" w:evenHBand="1" w:firstRowFirstColumn="0" w:firstRowLastColumn="0" w:lastRowFirstColumn="0" w:lastRowLastColumn="0"/>
            </w:pPr>
            <w:r>
              <w:t>1.12</w:t>
            </w:r>
          </w:p>
        </w:tc>
        <w:tc>
          <w:tcPr>
            <w:tcW w:w="1600" w:type="dxa"/>
            <w:vAlign w:val="top"/>
          </w:tcPr>
          <w:p w:rsidR="00CC15B6" w:rsidRPr="00CC15B6" w:rsidRDefault="00AA4004" w:rsidP="00A609EA">
            <w:pPr>
              <w:pStyle w:val="AERtabletextleft"/>
              <w:cnfStyle w:val="000000010000" w:firstRow="0" w:lastRow="0" w:firstColumn="0" w:lastColumn="0" w:oddVBand="0" w:evenVBand="0" w:oddHBand="0" w:evenHBand="1" w:firstRowFirstColumn="0" w:firstRowLastColumn="0" w:lastRowFirstColumn="0" w:lastRowLastColumn="0"/>
            </w:pPr>
            <w:r>
              <w:t>1.06</w:t>
            </w:r>
          </w:p>
        </w:tc>
        <w:tc>
          <w:tcPr>
            <w:tcW w:w="1600" w:type="dxa"/>
            <w:vAlign w:val="top"/>
          </w:tcPr>
          <w:p w:rsidR="00CC15B6" w:rsidRPr="00CC15B6" w:rsidRDefault="00AA4004" w:rsidP="00A609EA">
            <w:pPr>
              <w:pStyle w:val="AERtabletextleft"/>
              <w:cnfStyle w:val="000000010000" w:firstRow="0" w:lastRow="0" w:firstColumn="0" w:lastColumn="0" w:oddVBand="0" w:evenVBand="0" w:oddHBand="0" w:evenHBand="1" w:firstRowFirstColumn="0" w:firstRowLastColumn="0" w:lastRowFirstColumn="0" w:lastRowLastColumn="0"/>
            </w:pPr>
            <w:r>
              <w:t>1.00</w:t>
            </w:r>
          </w:p>
        </w:tc>
      </w:tr>
      <w:tr w:rsidR="007A44C0" w:rsidRPr="00875806" w:rsidTr="007A44C0">
        <w:tc>
          <w:tcPr>
            <w:cnfStyle w:val="001000000000" w:firstRow="0" w:lastRow="0" w:firstColumn="1" w:lastColumn="0" w:oddVBand="0" w:evenVBand="0" w:oddHBand="0" w:evenHBand="0" w:firstRowFirstColumn="0" w:firstRowLastColumn="0" w:lastRowFirstColumn="0" w:lastRowLastColumn="0"/>
            <w:tcW w:w="1242" w:type="dxa"/>
          </w:tcPr>
          <w:p w:rsidR="007A44C0" w:rsidRPr="007A44C0" w:rsidRDefault="007A44C0" w:rsidP="00A609EA">
            <w:pPr>
              <w:pStyle w:val="AERtabletextleft"/>
            </w:pPr>
            <w:r w:rsidRPr="007A44C0">
              <w:t xml:space="preserve">NPV </w:t>
            </w:r>
            <w:r>
              <w:t>annual benefit</w:t>
            </w:r>
          </w:p>
        </w:tc>
        <w:tc>
          <w:tcPr>
            <w:tcW w:w="1600" w:type="dxa"/>
            <w:vAlign w:val="top"/>
          </w:tcPr>
          <w:p w:rsidR="007A44C0" w:rsidRPr="007A44C0" w:rsidRDefault="00AA4004" w:rsidP="00A609EA">
            <w:pPr>
              <w:pStyle w:val="AERtabletextleft"/>
              <w:cnfStyle w:val="000000000000" w:firstRow="0" w:lastRow="0" w:firstColumn="0" w:lastColumn="0" w:oddVBand="0" w:evenVBand="0" w:oddHBand="0" w:evenHBand="0" w:firstRowFirstColumn="0" w:firstRowLastColumn="0" w:lastRowFirstColumn="0" w:lastRowLastColumn="0"/>
            </w:pPr>
            <w:r>
              <w:t>0.75</w:t>
            </w:r>
          </w:p>
        </w:tc>
        <w:tc>
          <w:tcPr>
            <w:tcW w:w="1600" w:type="dxa"/>
            <w:vAlign w:val="top"/>
          </w:tcPr>
          <w:p w:rsidR="007A44C0" w:rsidRPr="007A44C0"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t>2.</w:t>
            </w:r>
            <w:r w:rsidR="00AA4004">
              <w:t>13</w:t>
            </w:r>
          </w:p>
        </w:tc>
        <w:tc>
          <w:tcPr>
            <w:tcW w:w="1600" w:type="dxa"/>
            <w:vAlign w:val="top"/>
          </w:tcPr>
          <w:p w:rsidR="007A44C0" w:rsidRPr="007A44C0"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t>1.</w:t>
            </w:r>
            <w:r w:rsidR="00AA4004">
              <w:t>70</w:t>
            </w:r>
          </w:p>
        </w:tc>
        <w:tc>
          <w:tcPr>
            <w:tcW w:w="1600" w:type="dxa"/>
            <w:vAlign w:val="top"/>
          </w:tcPr>
          <w:p w:rsidR="007A44C0" w:rsidRPr="007A44C0" w:rsidRDefault="00AA4004" w:rsidP="00A609EA">
            <w:pPr>
              <w:pStyle w:val="AERtabletextleft"/>
              <w:cnfStyle w:val="000000000000" w:firstRow="0" w:lastRow="0" w:firstColumn="0" w:lastColumn="0" w:oddVBand="0" w:evenVBand="0" w:oddHBand="0" w:evenHBand="0" w:firstRowFirstColumn="0" w:firstRowLastColumn="0" w:lastRowFirstColumn="0" w:lastRowLastColumn="0"/>
            </w:pPr>
            <w:r>
              <w:t>0</w:t>
            </w:r>
            <w:r w:rsidR="009644C2">
              <w:t>.</w:t>
            </w:r>
            <w:r>
              <w:t>95</w:t>
            </w:r>
          </w:p>
        </w:tc>
        <w:tc>
          <w:tcPr>
            <w:tcW w:w="1600" w:type="dxa"/>
            <w:vAlign w:val="top"/>
          </w:tcPr>
          <w:p w:rsidR="007A44C0" w:rsidRPr="007A44C0" w:rsidRDefault="009644C2" w:rsidP="00A609EA">
            <w:pPr>
              <w:pStyle w:val="AERtabletextleft"/>
              <w:cnfStyle w:val="000000000000" w:firstRow="0" w:lastRow="0" w:firstColumn="0" w:lastColumn="0" w:oddVBand="0" w:evenVBand="0" w:oddHBand="0" w:evenHBand="0" w:firstRowFirstColumn="0" w:firstRowLastColumn="0" w:lastRowFirstColumn="0" w:lastRowLastColumn="0"/>
            </w:pPr>
            <w:r>
              <w:t>1.</w:t>
            </w:r>
            <w:r w:rsidR="00AA4004">
              <w:t>50</w:t>
            </w:r>
          </w:p>
        </w:tc>
      </w:tr>
    </w:tbl>
    <w:p w:rsidR="00B81D26" w:rsidRDefault="00B81D26" w:rsidP="00DF4986">
      <w:pPr>
        <w:pStyle w:val="AERbodytextindent2"/>
        <w:ind w:left="0"/>
      </w:pPr>
      <w:r>
        <w:br/>
        <w:t xml:space="preserve">To get the total </w:t>
      </w:r>
      <w:r w:rsidR="008010C8">
        <w:t>benefit of the retained return on capital</w:t>
      </w:r>
      <w:r>
        <w:t xml:space="preserve">, the </w:t>
      </w:r>
      <w:r w:rsidR="00770A5A">
        <w:t xml:space="preserve">NPV annual benefits </w:t>
      </w:r>
      <w:r>
        <w:t>are</w:t>
      </w:r>
      <w:r w:rsidR="00770A5A">
        <w:t xml:space="preserve"> summed together</w:t>
      </w:r>
      <w:r w:rsidR="00A947F1">
        <w:t xml:space="preserve"> ($0.75 million + $2.13 million + $1.70</w:t>
      </w:r>
      <w:r w:rsidR="009644C2">
        <w:t xml:space="preserve"> million + $</w:t>
      </w:r>
      <w:r w:rsidR="00A947F1">
        <w:t>0.95</w:t>
      </w:r>
      <w:r w:rsidR="009644C2">
        <w:t xml:space="preserve"> million + $1.</w:t>
      </w:r>
      <w:r w:rsidR="00A947F1">
        <w:t>50</w:t>
      </w:r>
      <w:r w:rsidR="00F96565">
        <w:t xml:space="preserve"> million)</w:t>
      </w:r>
      <w:r w:rsidR="00A947F1">
        <w:t>. This gives $7</w:t>
      </w:r>
      <w:r w:rsidR="009644C2">
        <w:t>.0</w:t>
      </w:r>
      <w:r w:rsidR="00770A5A">
        <w:t>3</w:t>
      </w:r>
      <w:r>
        <w:t> million.</w:t>
      </w:r>
    </w:p>
    <w:p w:rsidR="00875806" w:rsidRDefault="00B81D26" w:rsidP="00875806">
      <w:pPr>
        <w:pStyle w:val="AERbodytext"/>
      </w:pPr>
      <w:r>
        <w:t xml:space="preserve">To </w:t>
      </w:r>
      <w:r w:rsidRPr="00875806">
        <w:t xml:space="preserve">calculate the resulting CESS payment to go to the NSP, the benefit already </w:t>
      </w:r>
      <w:r w:rsidR="006479DB">
        <w:t>retained by</w:t>
      </w:r>
      <w:r w:rsidRPr="00875806">
        <w:t xml:space="preserve"> the NSP is subtracted </w:t>
      </w:r>
      <w:r w:rsidR="006479DB">
        <w:t>from</w:t>
      </w:r>
      <w:r w:rsidRPr="00875806">
        <w:t xml:space="preserve"> the </w:t>
      </w:r>
      <w:r w:rsidR="00052944" w:rsidRPr="00875806">
        <w:t>NSP</w:t>
      </w:r>
      <w:r w:rsidR="006479DB">
        <w:t xml:space="preserve">'s share of </w:t>
      </w:r>
      <w:proofErr w:type="gramStart"/>
      <w:r w:rsidR="006479DB">
        <w:t>the underspend</w:t>
      </w:r>
      <w:proofErr w:type="gramEnd"/>
      <w:r w:rsidR="00875806" w:rsidRPr="00875806">
        <w:t xml:space="preserve">. </w:t>
      </w:r>
    </w:p>
    <w:p w:rsidR="00875806" w:rsidRDefault="00770A5A" w:rsidP="00875806">
      <w:pPr>
        <w:pStyle w:val="AERbodytextindent2"/>
        <w:rPr>
          <w:rStyle w:val="AERtextitalic"/>
        </w:rPr>
      </w:pPr>
      <w:r>
        <w:rPr>
          <w:rStyle w:val="AERtextitalic"/>
        </w:rPr>
        <w:t>CESS payment = $11.11 million - $</w:t>
      </w:r>
      <w:r w:rsidR="00A947F1">
        <w:rPr>
          <w:rStyle w:val="AERtextitalic"/>
        </w:rPr>
        <w:t>7</w:t>
      </w:r>
      <w:r w:rsidR="009644C2">
        <w:rPr>
          <w:rStyle w:val="AERtextitalic"/>
        </w:rPr>
        <w:t>.0</w:t>
      </w:r>
      <w:r>
        <w:rPr>
          <w:rStyle w:val="AERtextitalic"/>
        </w:rPr>
        <w:t>3</w:t>
      </w:r>
      <w:r w:rsidR="00B81D26" w:rsidRPr="00875806">
        <w:rPr>
          <w:rStyle w:val="AERtextitalic"/>
        </w:rPr>
        <w:t xml:space="preserve"> million = $</w:t>
      </w:r>
      <w:r w:rsidR="00A947F1">
        <w:rPr>
          <w:rStyle w:val="AERtextitalic"/>
        </w:rPr>
        <w:t>4</w:t>
      </w:r>
      <w:r w:rsidR="00B81D26" w:rsidRPr="00875806">
        <w:rPr>
          <w:rStyle w:val="AERtextitalic"/>
        </w:rPr>
        <w:t>.</w:t>
      </w:r>
      <w:r w:rsidR="009644C2">
        <w:rPr>
          <w:rStyle w:val="AERtextitalic"/>
        </w:rPr>
        <w:t>0</w:t>
      </w:r>
      <w:r w:rsidR="00A947F1">
        <w:rPr>
          <w:rStyle w:val="AERtextitalic"/>
        </w:rPr>
        <w:t>8</w:t>
      </w:r>
      <w:r w:rsidR="00875806" w:rsidRPr="00875806">
        <w:rPr>
          <w:rStyle w:val="AERtextitalic"/>
        </w:rPr>
        <w:t> </w:t>
      </w:r>
      <w:r w:rsidR="00B81D26" w:rsidRPr="00875806">
        <w:rPr>
          <w:rStyle w:val="AERtextitalic"/>
        </w:rPr>
        <w:t>million</w:t>
      </w:r>
    </w:p>
    <w:p w:rsidR="00A609EA" w:rsidRDefault="00A947F1" w:rsidP="00875806">
      <w:pPr>
        <w:pStyle w:val="AERbodytext"/>
      </w:pPr>
      <w:r>
        <w:t>Hence, the NSP will receive $4</w:t>
      </w:r>
      <w:r w:rsidR="009644C2">
        <w:t>.0</w:t>
      </w:r>
      <w:r>
        <w:t>8</w:t>
      </w:r>
      <w:r w:rsidR="00875806">
        <w:t xml:space="preserve"> </w:t>
      </w:r>
      <w:r w:rsidR="00695585">
        <w:t xml:space="preserve">million </w:t>
      </w:r>
      <w:r w:rsidR="00875806">
        <w:t xml:space="preserve">under the CESS in the next regulatory control period to reward it for </w:t>
      </w:r>
      <w:r w:rsidR="009644C2">
        <w:t>the net efficiency gain</w:t>
      </w:r>
      <w:r w:rsidR="00875806">
        <w:t xml:space="preserve"> made during the previous regulatory control period.</w:t>
      </w:r>
      <w:r w:rsidR="00EC4D6B">
        <w:t xml:space="preserve"> </w:t>
      </w:r>
    </w:p>
    <w:p w:rsidR="006479DB" w:rsidRDefault="006479DB" w:rsidP="006479DB">
      <w:pPr>
        <w:pStyle w:val="HeadingBoldBlue"/>
      </w:pPr>
      <w:r>
        <w:t>Example 2</w:t>
      </w:r>
      <w:r w:rsidR="00F96565">
        <w:t xml:space="preserve">: Overspend in year </w:t>
      </w:r>
      <w:r w:rsidR="00E32FB7">
        <w:t>3</w:t>
      </w:r>
    </w:p>
    <w:p w:rsidR="00907CE3" w:rsidRPr="00E32FB7" w:rsidRDefault="00067C63" w:rsidP="00E32FB7">
      <w:pPr>
        <w:pStyle w:val="AERbodytext"/>
      </w:pPr>
      <w:r w:rsidRPr="00E32FB7">
        <w:t xml:space="preserve">Another example is provided below. In this example there is a </w:t>
      </w:r>
      <w:r w:rsidR="00197ABF" w:rsidRPr="00E32FB7">
        <w:t>$20 million</w:t>
      </w:r>
      <w:r w:rsidRPr="00E32FB7">
        <w:t xml:space="preserve"> overspend in year </w:t>
      </w:r>
      <w:r w:rsidR="00E32FB7" w:rsidRPr="00E32FB7">
        <w:t>3</w:t>
      </w:r>
      <w:r w:rsidRPr="00E32FB7">
        <w:t xml:space="preserve">. </w:t>
      </w:r>
      <w:r w:rsidR="00197ABF" w:rsidRPr="00E32FB7">
        <w:t>Table </w:t>
      </w:r>
      <w:r w:rsidR="00907CE3" w:rsidRPr="00E32FB7">
        <w:t>6</w:t>
      </w:r>
      <w:r w:rsidR="00197ABF" w:rsidRPr="00E32FB7">
        <w:t xml:space="preserve"> shows the capex allowance, actual capex, overspend and </w:t>
      </w:r>
      <w:r w:rsidR="006479DB" w:rsidRPr="00E32FB7">
        <w:t xml:space="preserve">the cost of the return on </w:t>
      </w:r>
      <w:proofErr w:type="gramStart"/>
      <w:r w:rsidR="006479DB" w:rsidRPr="00E32FB7">
        <w:t>the overspend</w:t>
      </w:r>
      <w:proofErr w:type="gramEnd"/>
      <w:r w:rsidR="00197ABF" w:rsidRPr="00E32FB7">
        <w:t xml:space="preserve">. In particular, the overspend in year </w:t>
      </w:r>
      <w:r w:rsidR="00E32FB7" w:rsidRPr="00E32FB7">
        <w:t>3</w:t>
      </w:r>
      <w:r w:rsidR="00197ABF" w:rsidRPr="00E32FB7">
        <w:t xml:space="preserve"> leads to a </w:t>
      </w:r>
      <w:r w:rsidR="006479DB" w:rsidRPr="00E32FB7">
        <w:t xml:space="preserve">financing </w:t>
      </w:r>
      <w:r w:rsidR="00197ABF" w:rsidRPr="00E32FB7">
        <w:t xml:space="preserve">cost for a half year in year </w:t>
      </w:r>
      <w:r w:rsidR="00E32FB7" w:rsidRPr="00E32FB7">
        <w:t>3</w:t>
      </w:r>
      <w:r w:rsidR="00197ABF" w:rsidRPr="00E32FB7">
        <w:t xml:space="preserve"> and a full year in year</w:t>
      </w:r>
      <w:r w:rsidR="00E32FB7" w:rsidRPr="00E32FB7">
        <w:t>s</w:t>
      </w:r>
      <w:r w:rsidR="00197ABF" w:rsidRPr="00E32FB7">
        <w:t> </w:t>
      </w:r>
      <w:r w:rsidR="00E32FB7" w:rsidRPr="00E32FB7">
        <w:t xml:space="preserve">4 and </w:t>
      </w:r>
      <w:r w:rsidR="00197ABF" w:rsidRPr="00E32FB7">
        <w:t>5</w:t>
      </w:r>
      <w:r w:rsidR="00EF495F" w:rsidRPr="00E32FB7">
        <w:t xml:space="preserve"> (see row called 'Year </w:t>
      </w:r>
      <w:r w:rsidR="00E32FB7" w:rsidRPr="00E32FB7">
        <w:t>3</w:t>
      </w:r>
      <w:r w:rsidR="00EF495F" w:rsidRPr="00E32FB7">
        <w:t xml:space="preserve"> </w:t>
      </w:r>
      <w:r w:rsidR="00E32FB7">
        <w:t xml:space="preserve">overspend </w:t>
      </w:r>
      <w:r w:rsidR="00EF495F" w:rsidRPr="00E32FB7">
        <w:t>cost')</w:t>
      </w:r>
      <w:r w:rsidR="00197ABF" w:rsidRPr="00E32FB7">
        <w:t>. The h</w:t>
      </w:r>
      <w:r w:rsidR="009644C2" w:rsidRPr="00E32FB7">
        <w:t xml:space="preserve">alf year cost is calculated as </w:t>
      </w:r>
      <w:r w:rsidR="00197ABF" w:rsidRPr="00E32FB7">
        <w:t xml:space="preserve">$20 million x </w:t>
      </w:r>
      <m:oMath>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WACC</m:t>
                    </m:r>
                  </m:e>
                </m:d>
              </m:e>
              <m:sup>
                <m:r>
                  <m:rPr>
                    <m:sty m:val="p"/>
                  </m:rPr>
                  <w:rPr>
                    <w:rFonts w:ascii="Cambria Math" w:hAnsi="Cambria Math"/>
                  </w:rPr>
                  <m:t>0.5</m:t>
                </m:r>
              </m:sup>
            </m:sSup>
            <m:r>
              <m:rPr>
                <m:sty m:val="p"/>
              </m:rPr>
              <w:rPr>
                <w:rFonts w:ascii="Cambria Math" w:hAnsi="Cambria Math"/>
              </w:rPr>
              <m:t>-1</m:t>
            </m:r>
          </m:e>
        </m:d>
      </m:oMath>
      <w:r w:rsidR="00EF495F" w:rsidRPr="00E32FB7">
        <w:t xml:space="preserve"> (</w:t>
      </w:r>
      <w:r w:rsidR="00C1336E">
        <w:t xml:space="preserve">equalling </w:t>
      </w:r>
      <w:r w:rsidR="00EF495F" w:rsidRPr="00E32FB7">
        <w:t>$0.59 million)</w:t>
      </w:r>
      <w:r w:rsidR="00E32FB7" w:rsidRPr="00E32FB7">
        <w:t>. The cost in year</w:t>
      </w:r>
      <w:r w:rsidR="00A947F1">
        <w:t>s</w:t>
      </w:r>
      <w:r w:rsidR="00E32FB7" w:rsidRPr="00E32FB7">
        <w:t xml:space="preserve"> 4 </w:t>
      </w:r>
      <w:r w:rsidR="00A947F1">
        <w:t>and 5 is</w:t>
      </w:r>
      <w:r w:rsidR="00E32FB7" w:rsidRPr="00E32FB7">
        <w:t xml:space="preserve"> </w:t>
      </w:r>
      <w:r w:rsidR="006479DB" w:rsidRPr="00E32FB7">
        <w:t>calculated as</w:t>
      </w:r>
      <w:r w:rsidR="00E905F9" w:rsidRPr="00E32FB7">
        <w:t xml:space="preserve"> </w:t>
      </w:r>
      <w:r w:rsidR="00A947F1">
        <w:t>$20 million</w:t>
      </w:r>
      <w:r w:rsidR="009644C2" w:rsidRPr="00E32FB7">
        <w:t xml:space="preserve"> </w:t>
      </w:r>
      <w:r w:rsidR="00E905F9" w:rsidRPr="00E32FB7">
        <w:t>x WACC</w:t>
      </w:r>
      <w:r w:rsidR="00EF495F" w:rsidRPr="00E32FB7">
        <w:t xml:space="preserve"> (</w:t>
      </w:r>
      <w:r w:rsidR="00E32FB7" w:rsidRPr="00E32FB7">
        <w:t xml:space="preserve">equalling </w:t>
      </w:r>
      <w:r w:rsidR="00EF495F" w:rsidRPr="00E32FB7">
        <w:t>$1.2</w:t>
      </w:r>
      <w:r w:rsidR="00A947F1">
        <w:t>0</w:t>
      </w:r>
      <w:r w:rsidR="00EF495F" w:rsidRPr="00E32FB7">
        <w:t> million)</w:t>
      </w:r>
      <w:r w:rsidR="00A947F1">
        <w:t>.</w:t>
      </w:r>
    </w:p>
    <w:p w:rsidR="00067C63" w:rsidRPr="00067C63" w:rsidRDefault="00907CE3" w:rsidP="00067C63">
      <w:pPr>
        <w:pStyle w:val="Caption"/>
      </w:pPr>
      <w:r>
        <w:t>Table 6</w:t>
      </w:r>
      <w:r w:rsidR="00067C63" w:rsidRPr="00067C63">
        <w:tab/>
      </w:r>
      <w:r w:rsidR="00067C63">
        <w:t>Example with a singl</w:t>
      </w:r>
      <w:r w:rsidR="00BD6A22">
        <w:t>e overspend in year 3</w:t>
      </w:r>
      <w:r w:rsidR="00197ABF">
        <w:t xml:space="preserve"> ($ million)</w:t>
      </w:r>
    </w:p>
    <w:tbl>
      <w:tblPr>
        <w:tblStyle w:val="AERtable-numbers"/>
        <w:tblW w:w="0" w:type="auto"/>
        <w:tblLook w:val="04A0" w:firstRow="1" w:lastRow="0" w:firstColumn="1" w:lastColumn="0" w:noHBand="0" w:noVBand="1"/>
      </w:tblPr>
      <w:tblGrid>
        <w:gridCol w:w="2235"/>
        <w:gridCol w:w="1401"/>
        <w:gridCol w:w="1401"/>
        <w:gridCol w:w="1402"/>
        <w:gridCol w:w="1401"/>
        <w:gridCol w:w="1402"/>
      </w:tblGrid>
      <w:tr w:rsidR="00067C63" w:rsidTr="00A947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067C63" w:rsidRDefault="00067C63" w:rsidP="00BD6A22">
            <w:pPr>
              <w:pStyle w:val="AERtabletextright"/>
            </w:pPr>
          </w:p>
        </w:tc>
        <w:tc>
          <w:tcPr>
            <w:tcW w:w="1401" w:type="dxa"/>
          </w:tcPr>
          <w:p w:rsidR="00067C63" w:rsidRDefault="00067C63" w:rsidP="00BD6A22">
            <w:pPr>
              <w:pStyle w:val="AERtabletextright"/>
              <w:cnfStyle w:val="100000000000" w:firstRow="1" w:lastRow="0" w:firstColumn="0" w:lastColumn="0" w:oddVBand="0" w:evenVBand="0" w:oddHBand="0" w:evenHBand="0" w:firstRowFirstColumn="0" w:firstRowLastColumn="0" w:lastRowFirstColumn="0" w:lastRowLastColumn="0"/>
            </w:pPr>
            <w:r>
              <w:t>Year 1</w:t>
            </w:r>
          </w:p>
        </w:tc>
        <w:tc>
          <w:tcPr>
            <w:tcW w:w="1401" w:type="dxa"/>
          </w:tcPr>
          <w:p w:rsidR="00067C63" w:rsidRDefault="00067C63" w:rsidP="00BD6A22">
            <w:pPr>
              <w:pStyle w:val="AERtabletextright"/>
              <w:cnfStyle w:val="100000000000" w:firstRow="1" w:lastRow="0" w:firstColumn="0" w:lastColumn="0" w:oddVBand="0" w:evenVBand="0" w:oddHBand="0" w:evenHBand="0" w:firstRowFirstColumn="0" w:firstRowLastColumn="0" w:lastRowFirstColumn="0" w:lastRowLastColumn="0"/>
            </w:pPr>
            <w:r>
              <w:t>Year 2</w:t>
            </w:r>
          </w:p>
        </w:tc>
        <w:tc>
          <w:tcPr>
            <w:tcW w:w="1402" w:type="dxa"/>
          </w:tcPr>
          <w:p w:rsidR="00067C63" w:rsidRDefault="00067C63" w:rsidP="00BD6A22">
            <w:pPr>
              <w:pStyle w:val="AERtabletextright"/>
              <w:cnfStyle w:val="100000000000" w:firstRow="1" w:lastRow="0" w:firstColumn="0" w:lastColumn="0" w:oddVBand="0" w:evenVBand="0" w:oddHBand="0" w:evenHBand="0" w:firstRowFirstColumn="0" w:firstRowLastColumn="0" w:lastRowFirstColumn="0" w:lastRowLastColumn="0"/>
            </w:pPr>
            <w:r>
              <w:t>Year 3</w:t>
            </w:r>
          </w:p>
        </w:tc>
        <w:tc>
          <w:tcPr>
            <w:tcW w:w="1401" w:type="dxa"/>
          </w:tcPr>
          <w:p w:rsidR="00067C63" w:rsidRDefault="00067C63" w:rsidP="00BD6A22">
            <w:pPr>
              <w:pStyle w:val="AERtabletextright"/>
              <w:cnfStyle w:val="100000000000" w:firstRow="1" w:lastRow="0" w:firstColumn="0" w:lastColumn="0" w:oddVBand="0" w:evenVBand="0" w:oddHBand="0" w:evenHBand="0" w:firstRowFirstColumn="0" w:firstRowLastColumn="0" w:lastRowFirstColumn="0" w:lastRowLastColumn="0"/>
            </w:pPr>
            <w:r>
              <w:t>Year 4</w:t>
            </w:r>
          </w:p>
        </w:tc>
        <w:tc>
          <w:tcPr>
            <w:tcW w:w="1402" w:type="dxa"/>
          </w:tcPr>
          <w:p w:rsidR="00067C63" w:rsidRDefault="00067C63" w:rsidP="00BD6A22">
            <w:pPr>
              <w:pStyle w:val="AERtabletextright"/>
              <w:cnfStyle w:val="100000000000" w:firstRow="1" w:lastRow="0" w:firstColumn="0" w:lastColumn="0" w:oddVBand="0" w:evenVBand="0" w:oddHBand="0" w:evenHBand="0" w:firstRowFirstColumn="0" w:firstRowLastColumn="0" w:lastRowFirstColumn="0" w:lastRowLastColumn="0"/>
            </w:pPr>
            <w:r>
              <w:t>Year 5</w:t>
            </w:r>
          </w:p>
        </w:tc>
      </w:tr>
      <w:tr w:rsidR="00067C63" w:rsidRPr="00875806" w:rsidTr="00A947F1">
        <w:tc>
          <w:tcPr>
            <w:cnfStyle w:val="001000000000" w:firstRow="0" w:lastRow="0" w:firstColumn="1" w:lastColumn="0" w:oddVBand="0" w:evenVBand="0" w:oddHBand="0" w:evenHBand="0" w:firstRowFirstColumn="0" w:firstRowLastColumn="0" w:lastRowFirstColumn="0" w:lastRowLastColumn="0"/>
            <w:tcW w:w="2235" w:type="dxa"/>
          </w:tcPr>
          <w:p w:rsidR="00067C63" w:rsidRPr="00675444" w:rsidRDefault="00067C63" w:rsidP="00A609EA">
            <w:pPr>
              <w:pStyle w:val="AERtabletextleft"/>
            </w:pPr>
            <w:r>
              <w:t>Capex allowance</w:t>
            </w:r>
          </w:p>
        </w:tc>
        <w:tc>
          <w:tcPr>
            <w:tcW w:w="1401" w:type="dxa"/>
          </w:tcPr>
          <w:p w:rsidR="00067C63" w:rsidRPr="00067C63" w:rsidRDefault="00197ABF" w:rsidP="00A609EA">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401" w:type="dxa"/>
          </w:tcPr>
          <w:p w:rsidR="00067C63" w:rsidRPr="004503FA" w:rsidRDefault="00197ABF" w:rsidP="00A609EA">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402" w:type="dxa"/>
          </w:tcPr>
          <w:p w:rsidR="00067C63" w:rsidRPr="00875806" w:rsidRDefault="00197ABF" w:rsidP="00A609EA">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401" w:type="dxa"/>
          </w:tcPr>
          <w:p w:rsidR="00067C63" w:rsidRPr="00875806" w:rsidRDefault="00197ABF" w:rsidP="00A609EA">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402" w:type="dxa"/>
          </w:tcPr>
          <w:p w:rsidR="00067C63" w:rsidRPr="00875806" w:rsidRDefault="00197ABF" w:rsidP="00A609EA">
            <w:pPr>
              <w:pStyle w:val="AERtabletextleft"/>
              <w:cnfStyle w:val="000000000000" w:firstRow="0" w:lastRow="0" w:firstColumn="0" w:lastColumn="0" w:oddVBand="0" w:evenVBand="0" w:oddHBand="0" w:evenHBand="0" w:firstRowFirstColumn="0" w:firstRowLastColumn="0" w:lastRowFirstColumn="0" w:lastRowLastColumn="0"/>
            </w:pPr>
            <w:r>
              <w:t>100</w:t>
            </w:r>
          </w:p>
        </w:tc>
      </w:tr>
      <w:tr w:rsidR="00067C63" w:rsidRPr="00875806" w:rsidTr="00A947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067C63" w:rsidRPr="00875806" w:rsidRDefault="00067C63" w:rsidP="00A609EA">
            <w:pPr>
              <w:pStyle w:val="AERtabletextleft"/>
            </w:pPr>
            <w:r>
              <w:t>Actual capex</w:t>
            </w:r>
          </w:p>
        </w:tc>
        <w:tc>
          <w:tcPr>
            <w:tcW w:w="1401" w:type="dxa"/>
          </w:tcPr>
          <w:p w:rsidR="00067C63" w:rsidRPr="00875806" w:rsidRDefault="00197ABF" w:rsidP="00A609EA">
            <w:pPr>
              <w:pStyle w:val="AERtabletextleft"/>
              <w:cnfStyle w:val="000000010000" w:firstRow="0" w:lastRow="0" w:firstColumn="0" w:lastColumn="0" w:oddVBand="0" w:evenVBand="0" w:oddHBand="0" w:evenHBand="1" w:firstRowFirstColumn="0" w:firstRowLastColumn="0" w:lastRowFirstColumn="0" w:lastRowLastColumn="0"/>
            </w:pPr>
            <w:r>
              <w:t>100</w:t>
            </w:r>
          </w:p>
        </w:tc>
        <w:tc>
          <w:tcPr>
            <w:tcW w:w="1401" w:type="dxa"/>
          </w:tcPr>
          <w:p w:rsidR="00067C63" w:rsidRPr="00067C63" w:rsidRDefault="00197ABF" w:rsidP="00A609EA">
            <w:pPr>
              <w:pStyle w:val="AERtabletextleft"/>
              <w:cnfStyle w:val="000000010000" w:firstRow="0" w:lastRow="0" w:firstColumn="0" w:lastColumn="0" w:oddVBand="0" w:evenVBand="0" w:oddHBand="0" w:evenHBand="1" w:firstRowFirstColumn="0" w:firstRowLastColumn="0" w:lastRowFirstColumn="0" w:lastRowLastColumn="0"/>
            </w:pPr>
            <w:r>
              <w:t>100</w:t>
            </w:r>
          </w:p>
        </w:tc>
        <w:tc>
          <w:tcPr>
            <w:tcW w:w="1402" w:type="dxa"/>
          </w:tcPr>
          <w:p w:rsidR="00067C63" w:rsidRPr="00067C63" w:rsidRDefault="00E32FB7" w:rsidP="00A609EA">
            <w:pPr>
              <w:pStyle w:val="AERtabletextleft"/>
              <w:cnfStyle w:val="000000010000" w:firstRow="0" w:lastRow="0" w:firstColumn="0" w:lastColumn="0" w:oddVBand="0" w:evenVBand="0" w:oddHBand="0" w:evenHBand="1" w:firstRowFirstColumn="0" w:firstRowLastColumn="0" w:lastRowFirstColumn="0" w:lastRowLastColumn="0"/>
            </w:pPr>
            <w:r>
              <w:t>12</w:t>
            </w:r>
            <w:r w:rsidR="00197ABF">
              <w:t>0</w:t>
            </w:r>
          </w:p>
        </w:tc>
        <w:tc>
          <w:tcPr>
            <w:tcW w:w="1401" w:type="dxa"/>
          </w:tcPr>
          <w:p w:rsidR="00067C63" w:rsidRPr="00067C63" w:rsidRDefault="00E32FB7" w:rsidP="00A609EA">
            <w:pPr>
              <w:pStyle w:val="AERtabletextleft"/>
              <w:cnfStyle w:val="000000010000" w:firstRow="0" w:lastRow="0" w:firstColumn="0" w:lastColumn="0" w:oddVBand="0" w:evenVBand="0" w:oddHBand="0" w:evenHBand="1" w:firstRowFirstColumn="0" w:firstRowLastColumn="0" w:lastRowFirstColumn="0" w:lastRowLastColumn="0"/>
            </w:pPr>
            <w:r>
              <w:t>10</w:t>
            </w:r>
            <w:r w:rsidR="00197ABF">
              <w:t>0</w:t>
            </w:r>
          </w:p>
        </w:tc>
        <w:tc>
          <w:tcPr>
            <w:tcW w:w="1402" w:type="dxa"/>
          </w:tcPr>
          <w:p w:rsidR="00067C63" w:rsidRPr="00067C63" w:rsidRDefault="00197ABF" w:rsidP="00A609EA">
            <w:pPr>
              <w:pStyle w:val="AERtabletextleft"/>
              <w:cnfStyle w:val="000000010000" w:firstRow="0" w:lastRow="0" w:firstColumn="0" w:lastColumn="0" w:oddVBand="0" w:evenVBand="0" w:oddHBand="0" w:evenHBand="1" w:firstRowFirstColumn="0" w:firstRowLastColumn="0" w:lastRowFirstColumn="0" w:lastRowLastColumn="0"/>
            </w:pPr>
            <w:r>
              <w:t>100</w:t>
            </w:r>
          </w:p>
        </w:tc>
      </w:tr>
      <w:tr w:rsidR="00067C63" w:rsidRPr="00875806" w:rsidTr="00A947F1">
        <w:tc>
          <w:tcPr>
            <w:cnfStyle w:val="001000000000" w:firstRow="0" w:lastRow="0" w:firstColumn="1" w:lastColumn="0" w:oddVBand="0" w:evenVBand="0" w:oddHBand="0" w:evenHBand="0" w:firstRowFirstColumn="0" w:firstRowLastColumn="0" w:lastRowFirstColumn="0" w:lastRowLastColumn="0"/>
            <w:tcW w:w="2235" w:type="dxa"/>
          </w:tcPr>
          <w:p w:rsidR="00067C63" w:rsidRPr="00875806" w:rsidRDefault="006479DB" w:rsidP="00A609EA">
            <w:pPr>
              <w:pStyle w:val="AERtabletextleft"/>
            </w:pPr>
            <w:r>
              <w:t>Ove</w:t>
            </w:r>
            <w:r w:rsidR="00067C63">
              <w:t>rspend</w:t>
            </w:r>
          </w:p>
        </w:tc>
        <w:tc>
          <w:tcPr>
            <w:tcW w:w="1401" w:type="dxa"/>
          </w:tcPr>
          <w:p w:rsidR="00067C63" w:rsidRPr="00875806" w:rsidRDefault="00197ABF" w:rsidP="00A609EA">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401" w:type="dxa"/>
          </w:tcPr>
          <w:p w:rsidR="00067C63" w:rsidRPr="00067C63" w:rsidRDefault="00197ABF" w:rsidP="00A609EA">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402" w:type="dxa"/>
            <w:vAlign w:val="top"/>
          </w:tcPr>
          <w:p w:rsidR="00067C63" w:rsidRPr="00875806" w:rsidRDefault="00E32FB7" w:rsidP="00A609EA">
            <w:pPr>
              <w:pStyle w:val="AERtabletextleft"/>
              <w:cnfStyle w:val="000000000000" w:firstRow="0" w:lastRow="0" w:firstColumn="0" w:lastColumn="0" w:oddVBand="0" w:evenVBand="0" w:oddHBand="0" w:evenHBand="0" w:firstRowFirstColumn="0" w:firstRowLastColumn="0" w:lastRowFirstColumn="0" w:lastRowLastColumn="0"/>
            </w:pPr>
            <w:r>
              <w:t>2</w:t>
            </w:r>
            <w:r w:rsidR="00197ABF">
              <w:t>0</w:t>
            </w:r>
          </w:p>
        </w:tc>
        <w:tc>
          <w:tcPr>
            <w:tcW w:w="1401" w:type="dxa"/>
            <w:vAlign w:val="top"/>
          </w:tcPr>
          <w:p w:rsidR="00067C63" w:rsidRPr="00875806" w:rsidRDefault="00197ABF" w:rsidP="00A609EA">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402" w:type="dxa"/>
            <w:vAlign w:val="top"/>
          </w:tcPr>
          <w:p w:rsidR="00067C63" w:rsidRPr="00875806" w:rsidRDefault="00197ABF" w:rsidP="00A609EA">
            <w:pPr>
              <w:pStyle w:val="AERtabletextleft"/>
              <w:cnfStyle w:val="000000000000" w:firstRow="0" w:lastRow="0" w:firstColumn="0" w:lastColumn="0" w:oddVBand="0" w:evenVBand="0" w:oddHBand="0" w:evenHBand="0" w:firstRowFirstColumn="0" w:firstRowLastColumn="0" w:lastRowFirstColumn="0" w:lastRowLastColumn="0"/>
            </w:pPr>
            <w:r>
              <w:t>0</w:t>
            </w:r>
          </w:p>
        </w:tc>
      </w:tr>
      <w:tr w:rsidR="009644C2" w:rsidRPr="00875806" w:rsidTr="00A947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9644C2" w:rsidRPr="009644C2" w:rsidRDefault="00E32FB7" w:rsidP="00A609EA">
            <w:pPr>
              <w:pStyle w:val="AERtabletextleft"/>
            </w:pPr>
            <w:r>
              <w:t>Year 3</w:t>
            </w:r>
            <w:r w:rsidR="009644C2">
              <w:t xml:space="preserve"> </w:t>
            </w:r>
            <w:r>
              <w:t xml:space="preserve">overspend </w:t>
            </w:r>
            <w:r w:rsidR="009644C2" w:rsidRPr="009644C2">
              <w:t>cost</w:t>
            </w:r>
          </w:p>
        </w:tc>
        <w:tc>
          <w:tcPr>
            <w:tcW w:w="1401" w:type="dxa"/>
          </w:tcPr>
          <w:p w:rsidR="009644C2" w:rsidRPr="009644C2"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401" w:type="dxa"/>
          </w:tcPr>
          <w:p w:rsidR="009644C2" w:rsidRPr="009644C2"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402" w:type="dxa"/>
          </w:tcPr>
          <w:p w:rsidR="009644C2" w:rsidRPr="009644C2"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t>0</w:t>
            </w:r>
            <w:r w:rsidR="00E32FB7">
              <w:t>.59</w:t>
            </w:r>
          </w:p>
        </w:tc>
        <w:tc>
          <w:tcPr>
            <w:tcW w:w="1401" w:type="dxa"/>
          </w:tcPr>
          <w:p w:rsidR="009644C2" w:rsidRPr="009644C2" w:rsidRDefault="00A947F1" w:rsidP="00A609EA">
            <w:pPr>
              <w:pStyle w:val="AERtabletextleft"/>
              <w:cnfStyle w:val="000000010000" w:firstRow="0" w:lastRow="0" w:firstColumn="0" w:lastColumn="0" w:oddVBand="0" w:evenVBand="0" w:oddHBand="0" w:evenHBand="1" w:firstRowFirstColumn="0" w:firstRowLastColumn="0" w:lastRowFirstColumn="0" w:lastRowLastColumn="0"/>
            </w:pPr>
            <w:r>
              <w:t>1.20</w:t>
            </w:r>
          </w:p>
        </w:tc>
        <w:tc>
          <w:tcPr>
            <w:tcW w:w="1402" w:type="dxa"/>
          </w:tcPr>
          <w:p w:rsidR="009644C2" w:rsidRPr="009644C2"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t>1</w:t>
            </w:r>
            <w:r w:rsidR="00A947F1">
              <w:t>.20</w:t>
            </w:r>
          </w:p>
        </w:tc>
      </w:tr>
      <w:tr w:rsidR="009F1C4C" w:rsidRPr="00875806" w:rsidTr="00A947F1">
        <w:tc>
          <w:tcPr>
            <w:cnfStyle w:val="001000000000" w:firstRow="0" w:lastRow="0" w:firstColumn="1" w:lastColumn="0" w:oddVBand="0" w:evenVBand="0" w:oddHBand="0" w:evenHBand="0" w:firstRowFirstColumn="0" w:firstRowLastColumn="0" w:lastRowFirstColumn="0" w:lastRowLastColumn="0"/>
            <w:tcW w:w="2235" w:type="dxa"/>
            <w:vAlign w:val="top"/>
          </w:tcPr>
          <w:p w:rsidR="009F1C4C" w:rsidRPr="009F1C4C" w:rsidRDefault="009F1C4C" w:rsidP="00A609EA">
            <w:pPr>
              <w:pStyle w:val="AERtabletextleft"/>
            </w:pPr>
            <w:r w:rsidRPr="009F1C4C">
              <w:t>Discount rate</w:t>
            </w:r>
            <w:r w:rsidR="00A947F1">
              <w:t xml:space="preserve"> (mid-year)</w:t>
            </w:r>
          </w:p>
        </w:tc>
        <w:tc>
          <w:tcPr>
            <w:tcW w:w="1401" w:type="dxa"/>
            <w:vAlign w:val="top"/>
          </w:tcPr>
          <w:p w:rsidR="009F1C4C" w:rsidRPr="009F1C4C" w:rsidRDefault="009F1C4C" w:rsidP="00A609EA">
            <w:pPr>
              <w:pStyle w:val="AERtabletextleft"/>
              <w:cnfStyle w:val="000000000000" w:firstRow="0" w:lastRow="0" w:firstColumn="0" w:lastColumn="0" w:oddVBand="0" w:evenVBand="0" w:oddHBand="0" w:evenHBand="0" w:firstRowFirstColumn="0" w:firstRowLastColumn="0" w:lastRowFirstColumn="0" w:lastRowLastColumn="0"/>
            </w:pPr>
            <w:r w:rsidRPr="009F1C4C">
              <w:t>1.30</w:t>
            </w:r>
          </w:p>
        </w:tc>
        <w:tc>
          <w:tcPr>
            <w:tcW w:w="1401" w:type="dxa"/>
            <w:vAlign w:val="top"/>
          </w:tcPr>
          <w:p w:rsidR="009F1C4C" w:rsidRPr="009F1C4C" w:rsidRDefault="009F1C4C" w:rsidP="00A609EA">
            <w:pPr>
              <w:pStyle w:val="AERtabletextleft"/>
              <w:cnfStyle w:val="000000000000" w:firstRow="0" w:lastRow="0" w:firstColumn="0" w:lastColumn="0" w:oddVBand="0" w:evenVBand="0" w:oddHBand="0" w:evenHBand="0" w:firstRowFirstColumn="0" w:firstRowLastColumn="0" w:lastRowFirstColumn="0" w:lastRowLastColumn="0"/>
            </w:pPr>
            <w:r w:rsidRPr="009F1C4C">
              <w:t>1.23</w:t>
            </w:r>
          </w:p>
        </w:tc>
        <w:tc>
          <w:tcPr>
            <w:tcW w:w="1402" w:type="dxa"/>
            <w:vAlign w:val="top"/>
          </w:tcPr>
          <w:p w:rsidR="009F1C4C" w:rsidRPr="009F1C4C" w:rsidRDefault="009F1C4C" w:rsidP="00A609EA">
            <w:pPr>
              <w:pStyle w:val="AERtabletextleft"/>
              <w:cnfStyle w:val="000000000000" w:firstRow="0" w:lastRow="0" w:firstColumn="0" w:lastColumn="0" w:oddVBand="0" w:evenVBand="0" w:oddHBand="0" w:evenHBand="0" w:firstRowFirstColumn="0" w:firstRowLastColumn="0" w:lastRowFirstColumn="0" w:lastRowLastColumn="0"/>
            </w:pPr>
            <w:r w:rsidRPr="009F1C4C">
              <w:t>1.16</w:t>
            </w:r>
          </w:p>
        </w:tc>
        <w:tc>
          <w:tcPr>
            <w:tcW w:w="1401" w:type="dxa"/>
            <w:vAlign w:val="top"/>
          </w:tcPr>
          <w:p w:rsidR="009F1C4C" w:rsidRPr="009F1C4C" w:rsidRDefault="009F1C4C" w:rsidP="00A609EA">
            <w:pPr>
              <w:pStyle w:val="AERtabletextleft"/>
              <w:cnfStyle w:val="000000000000" w:firstRow="0" w:lastRow="0" w:firstColumn="0" w:lastColumn="0" w:oddVBand="0" w:evenVBand="0" w:oddHBand="0" w:evenHBand="0" w:firstRowFirstColumn="0" w:firstRowLastColumn="0" w:lastRowFirstColumn="0" w:lastRowLastColumn="0"/>
            </w:pPr>
            <w:r w:rsidRPr="009F1C4C">
              <w:t>1.09</w:t>
            </w:r>
          </w:p>
        </w:tc>
        <w:tc>
          <w:tcPr>
            <w:tcW w:w="1402" w:type="dxa"/>
            <w:vAlign w:val="top"/>
          </w:tcPr>
          <w:p w:rsidR="009F1C4C" w:rsidRPr="009F1C4C" w:rsidRDefault="009F1C4C" w:rsidP="00A609EA">
            <w:pPr>
              <w:pStyle w:val="AERtabletextleft"/>
              <w:cnfStyle w:val="000000000000" w:firstRow="0" w:lastRow="0" w:firstColumn="0" w:lastColumn="0" w:oddVBand="0" w:evenVBand="0" w:oddHBand="0" w:evenHBand="0" w:firstRowFirstColumn="0" w:firstRowLastColumn="0" w:lastRowFirstColumn="0" w:lastRowLastColumn="0"/>
            </w:pPr>
            <w:r w:rsidRPr="009F1C4C">
              <w:t>1.03</w:t>
            </w:r>
          </w:p>
        </w:tc>
      </w:tr>
      <w:tr w:rsidR="00A947F1" w:rsidRPr="00875806" w:rsidTr="00A947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top"/>
          </w:tcPr>
          <w:p w:rsidR="00A947F1" w:rsidRPr="00A947F1" w:rsidRDefault="00A947F1" w:rsidP="00A609EA">
            <w:pPr>
              <w:pStyle w:val="AERtabletextleft"/>
            </w:pPr>
            <w:r>
              <w:t>Discount rate (end of year)</w:t>
            </w:r>
          </w:p>
        </w:tc>
        <w:tc>
          <w:tcPr>
            <w:tcW w:w="1401" w:type="dxa"/>
            <w:vAlign w:val="top"/>
          </w:tcPr>
          <w:p w:rsidR="00A947F1" w:rsidRPr="00A947F1" w:rsidRDefault="00A947F1" w:rsidP="00A609EA">
            <w:pPr>
              <w:pStyle w:val="AERtabletextleft"/>
              <w:cnfStyle w:val="000000010000" w:firstRow="0" w:lastRow="0" w:firstColumn="0" w:lastColumn="0" w:oddVBand="0" w:evenVBand="0" w:oddHBand="0" w:evenHBand="1" w:firstRowFirstColumn="0" w:firstRowLastColumn="0" w:lastRowFirstColumn="0" w:lastRowLastColumn="0"/>
            </w:pPr>
            <w:r>
              <w:t>1.</w:t>
            </w:r>
            <w:r w:rsidRPr="00A947F1">
              <w:t>26</w:t>
            </w:r>
          </w:p>
        </w:tc>
        <w:tc>
          <w:tcPr>
            <w:tcW w:w="1401" w:type="dxa"/>
            <w:vAlign w:val="top"/>
          </w:tcPr>
          <w:p w:rsidR="00A947F1" w:rsidRPr="00A947F1" w:rsidRDefault="00A947F1" w:rsidP="00A609EA">
            <w:pPr>
              <w:pStyle w:val="AERtabletextleft"/>
              <w:cnfStyle w:val="000000010000" w:firstRow="0" w:lastRow="0" w:firstColumn="0" w:lastColumn="0" w:oddVBand="0" w:evenVBand="0" w:oddHBand="0" w:evenHBand="1" w:firstRowFirstColumn="0" w:firstRowLastColumn="0" w:lastRowFirstColumn="0" w:lastRowLastColumn="0"/>
            </w:pPr>
            <w:r>
              <w:t>1.</w:t>
            </w:r>
            <w:r w:rsidRPr="00A947F1">
              <w:t>19</w:t>
            </w:r>
          </w:p>
        </w:tc>
        <w:tc>
          <w:tcPr>
            <w:tcW w:w="1402" w:type="dxa"/>
            <w:vAlign w:val="top"/>
          </w:tcPr>
          <w:p w:rsidR="00A947F1" w:rsidRPr="00A947F1" w:rsidRDefault="00A947F1" w:rsidP="00A609EA">
            <w:pPr>
              <w:pStyle w:val="AERtabletextleft"/>
              <w:cnfStyle w:val="000000010000" w:firstRow="0" w:lastRow="0" w:firstColumn="0" w:lastColumn="0" w:oddVBand="0" w:evenVBand="0" w:oddHBand="0" w:evenHBand="1" w:firstRowFirstColumn="0" w:firstRowLastColumn="0" w:lastRowFirstColumn="0" w:lastRowLastColumn="0"/>
            </w:pPr>
            <w:r>
              <w:t>1.1</w:t>
            </w:r>
            <w:r w:rsidRPr="00A947F1">
              <w:t>2</w:t>
            </w:r>
          </w:p>
        </w:tc>
        <w:tc>
          <w:tcPr>
            <w:tcW w:w="1401" w:type="dxa"/>
            <w:vAlign w:val="top"/>
          </w:tcPr>
          <w:p w:rsidR="00A947F1" w:rsidRPr="00A947F1" w:rsidRDefault="00A947F1" w:rsidP="00A609EA">
            <w:pPr>
              <w:pStyle w:val="AERtabletextleft"/>
              <w:cnfStyle w:val="000000010000" w:firstRow="0" w:lastRow="0" w:firstColumn="0" w:lastColumn="0" w:oddVBand="0" w:evenVBand="0" w:oddHBand="0" w:evenHBand="1" w:firstRowFirstColumn="0" w:firstRowLastColumn="0" w:lastRowFirstColumn="0" w:lastRowLastColumn="0"/>
            </w:pPr>
            <w:r>
              <w:t>1.0</w:t>
            </w:r>
            <w:r w:rsidRPr="00A947F1">
              <w:t>6</w:t>
            </w:r>
          </w:p>
        </w:tc>
        <w:tc>
          <w:tcPr>
            <w:tcW w:w="1402" w:type="dxa"/>
            <w:vAlign w:val="top"/>
          </w:tcPr>
          <w:p w:rsidR="00A947F1" w:rsidRPr="00A947F1" w:rsidRDefault="00A947F1" w:rsidP="00A609EA">
            <w:pPr>
              <w:pStyle w:val="AERtabletextleft"/>
              <w:cnfStyle w:val="000000010000" w:firstRow="0" w:lastRow="0" w:firstColumn="0" w:lastColumn="0" w:oddVBand="0" w:evenVBand="0" w:oddHBand="0" w:evenHBand="1" w:firstRowFirstColumn="0" w:firstRowLastColumn="0" w:lastRowFirstColumn="0" w:lastRowLastColumn="0"/>
            </w:pPr>
            <w:r>
              <w:t>1.0</w:t>
            </w:r>
            <w:r w:rsidRPr="00A947F1">
              <w:t>0</w:t>
            </w:r>
          </w:p>
        </w:tc>
      </w:tr>
      <w:tr w:rsidR="00907CE3" w:rsidRPr="00875806" w:rsidTr="00A947F1">
        <w:tc>
          <w:tcPr>
            <w:cnfStyle w:val="001000000000" w:firstRow="0" w:lastRow="0" w:firstColumn="1" w:lastColumn="0" w:oddVBand="0" w:evenVBand="0" w:oddHBand="0" w:evenHBand="0" w:firstRowFirstColumn="0" w:firstRowLastColumn="0" w:lastRowFirstColumn="0" w:lastRowLastColumn="0"/>
            <w:tcW w:w="2235" w:type="dxa"/>
          </w:tcPr>
          <w:p w:rsidR="00907CE3" w:rsidRDefault="00907CE3" w:rsidP="00A609EA">
            <w:pPr>
              <w:pStyle w:val="AERtabletextleft"/>
            </w:pPr>
            <w:r>
              <w:t>NPV overspend</w:t>
            </w:r>
          </w:p>
        </w:tc>
        <w:tc>
          <w:tcPr>
            <w:tcW w:w="1401" w:type="dxa"/>
          </w:tcPr>
          <w:p w:rsidR="00907CE3" w:rsidRPr="00907CE3" w:rsidRDefault="00907CE3" w:rsidP="00A609EA">
            <w:pPr>
              <w:pStyle w:val="AERtabletextleft"/>
              <w:cnfStyle w:val="000000000000" w:firstRow="0" w:lastRow="0" w:firstColumn="0" w:lastColumn="0" w:oddVBand="0" w:evenVBand="0" w:oddHBand="0" w:evenHBand="0" w:firstRowFirstColumn="0" w:firstRowLastColumn="0" w:lastRowFirstColumn="0" w:lastRowLastColumn="0"/>
            </w:pPr>
            <w:r w:rsidRPr="00907CE3">
              <w:t>0</w:t>
            </w:r>
          </w:p>
        </w:tc>
        <w:tc>
          <w:tcPr>
            <w:tcW w:w="1401" w:type="dxa"/>
          </w:tcPr>
          <w:p w:rsidR="00907CE3" w:rsidRPr="00907CE3" w:rsidRDefault="00907CE3" w:rsidP="00A609EA">
            <w:pPr>
              <w:pStyle w:val="AERtabletextleft"/>
              <w:cnfStyle w:val="000000000000" w:firstRow="0" w:lastRow="0" w:firstColumn="0" w:lastColumn="0" w:oddVBand="0" w:evenVBand="0" w:oddHBand="0" w:evenHBand="0" w:firstRowFirstColumn="0" w:firstRowLastColumn="0" w:lastRowFirstColumn="0" w:lastRowLastColumn="0"/>
            </w:pPr>
            <w:r w:rsidRPr="00907CE3">
              <w:t>0</w:t>
            </w:r>
          </w:p>
        </w:tc>
        <w:tc>
          <w:tcPr>
            <w:tcW w:w="1402" w:type="dxa"/>
            <w:vAlign w:val="top"/>
          </w:tcPr>
          <w:p w:rsidR="00907CE3" w:rsidRPr="00907CE3" w:rsidRDefault="00E32FB7" w:rsidP="00A609EA">
            <w:pPr>
              <w:pStyle w:val="AERtabletextleft"/>
              <w:cnfStyle w:val="000000000000" w:firstRow="0" w:lastRow="0" w:firstColumn="0" w:lastColumn="0" w:oddVBand="0" w:evenVBand="0" w:oddHBand="0" w:evenHBand="0" w:firstRowFirstColumn="0" w:firstRowLastColumn="0" w:lastRowFirstColumn="0" w:lastRowLastColumn="0"/>
            </w:pPr>
            <w:r>
              <w:t>23.14</w:t>
            </w:r>
          </w:p>
        </w:tc>
        <w:tc>
          <w:tcPr>
            <w:tcW w:w="1401" w:type="dxa"/>
            <w:vAlign w:val="top"/>
          </w:tcPr>
          <w:p w:rsidR="00907CE3" w:rsidRPr="00907CE3" w:rsidRDefault="00E32FB7" w:rsidP="00A609EA">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402" w:type="dxa"/>
            <w:vAlign w:val="top"/>
          </w:tcPr>
          <w:p w:rsidR="00907CE3" w:rsidRPr="00907CE3" w:rsidRDefault="005464FE" w:rsidP="00A609EA">
            <w:pPr>
              <w:pStyle w:val="AERtabletextleft"/>
              <w:cnfStyle w:val="000000000000" w:firstRow="0" w:lastRow="0" w:firstColumn="0" w:lastColumn="0" w:oddVBand="0" w:evenVBand="0" w:oddHBand="0" w:evenHBand="0" w:firstRowFirstColumn="0" w:firstRowLastColumn="0" w:lastRowFirstColumn="0" w:lastRowLastColumn="0"/>
            </w:pPr>
            <w:r>
              <w:t>0</w:t>
            </w:r>
          </w:p>
        </w:tc>
      </w:tr>
      <w:tr w:rsidR="005464FE" w:rsidRPr="00875806" w:rsidTr="00A947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5464FE" w:rsidRDefault="00BD6A22" w:rsidP="00A609EA">
            <w:pPr>
              <w:pStyle w:val="AERtabletextleft"/>
            </w:pPr>
            <w:r>
              <w:t>NPV year 3</w:t>
            </w:r>
            <w:r w:rsidR="005464FE">
              <w:t xml:space="preserve"> cost</w:t>
            </w:r>
          </w:p>
        </w:tc>
        <w:tc>
          <w:tcPr>
            <w:tcW w:w="1401" w:type="dxa"/>
          </w:tcPr>
          <w:p w:rsidR="005464FE" w:rsidRDefault="005464FE" w:rsidP="00A609EA">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401" w:type="dxa"/>
          </w:tcPr>
          <w:p w:rsidR="005464FE" w:rsidRDefault="005464FE" w:rsidP="00A609EA">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402" w:type="dxa"/>
          </w:tcPr>
          <w:p w:rsidR="005464FE" w:rsidRDefault="005464FE" w:rsidP="00A609EA">
            <w:pPr>
              <w:pStyle w:val="AERtabletextleft"/>
              <w:cnfStyle w:val="000000010000" w:firstRow="0" w:lastRow="0" w:firstColumn="0" w:lastColumn="0" w:oddVBand="0" w:evenVBand="0" w:oddHBand="0" w:evenHBand="1" w:firstRowFirstColumn="0" w:firstRowLastColumn="0" w:lastRowFirstColumn="0" w:lastRowLastColumn="0"/>
            </w:pPr>
            <w:r>
              <w:t>0</w:t>
            </w:r>
            <w:r w:rsidR="00A947F1">
              <w:t>.66</w:t>
            </w:r>
          </w:p>
        </w:tc>
        <w:tc>
          <w:tcPr>
            <w:tcW w:w="1401" w:type="dxa"/>
          </w:tcPr>
          <w:p w:rsidR="005464FE" w:rsidRDefault="00A947F1" w:rsidP="00A609EA">
            <w:pPr>
              <w:pStyle w:val="AERtabletextleft"/>
              <w:cnfStyle w:val="000000010000" w:firstRow="0" w:lastRow="0" w:firstColumn="0" w:lastColumn="0" w:oddVBand="0" w:evenVBand="0" w:oddHBand="0" w:evenHBand="1" w:firstRowFirstColumn="0" w:firstRowLastColumn="0" w:lastRowFirstColumn="0" w:lastRowLastColumn="0"/>
            </w:pPr>
            <w:r>
              <w:t>1.27</w:t>
            </w:r>
          </w:p>
        </w:tc>
        <w:tc>
          <w:tcPr>
            <w:tcW w:w="1402" w:type="dxa"/>
          </w:tcPr>
          <w:p w:rsidR="005464FE" w:rsidRDefault="009644C2" w:rsidP="00A609EA">
            <w:pPr>
              <w:pStyle w:val="AERtabletextleft"/>
              <w:cnfStyle w:val="000000010000" w:firstRow="0" w:lastRow="0" w:firstColumn="0" w:lastColumn="0" w:oddVBand="0" w:evenVBand="0" w:oddHBand="0" w:evenHBand="1" w:firstRowFirstColumn="0" w:firstRowLastColumn="0" w:lastRowFirstColumn="0" w:lastRowLastColumn="0"/>
            </w:pPr>
            <w:r>
              <w:t>1.</w:t>
            </w:r>
            <w:r w:rsidR="00A947F1">
              <w:t>20</w:t>
            </w:r>
          </w:p>
        </w:tc>
      </w:tr>
    </w:tbl>
    <w:p w:rsidR="005464FE" w:rsidRDefault="00E905F9" w:rsidP="00E905F9">
      <w:pPr>
        <w:pStyle w:val="AERbodytext"/>
      </w:pPr>
      <w:r>
        <w:br/>
      </w:r>
      <w:r w:rsidR="008B4388">
        <w:t>Table 7</w:t>
      </w:r>
      <w:r>
        <w:t xml:space="preserve"> shows the calculations </w:t>
      </w:r>
      <w:r w:rsidR="006479DB">
        <w:t>for</w:t>
      </w:r>
      <w:r w:rsidR="005464FE">
        <w:t xml:space="preserve"> the CESS payment:</w:t>
      </w:r>
    </w:p>
    <w:p w:rsidR="005464FE" w:rsidRDefault="005464FE" w:rsidP="005464FE">
      <w:pPr>
        <w:pStyle w:val="AERbulletlistfirststyle"/>
      </w:pPr>
      <w:r>
        <w:t>T</w:t>
      </w:r>
      <w:r w:rsidR="00E905F9">
        <w:t xml:space="preserve">he total </w:t>
      </w:r>
      <w:r>
        <w:t>ov</w:t>
      </w:r>
      <w:r w:rsidR="00E905F9">
        <w:t xml:space="preserve">erspend </w:t>
      </w:r>
      <w:r>
        <w:t>is</w:t>
      </w:r>
      <w:r w:rsidR="00907CE3">
        <w:t xml:space="preserve"> simply the NPV of </w:t>
      </w:r>
      <w:proofErr w:type="gramStart"/>
      <w:r w:rsidR="00907CE3">
        <w:t>the underspend</w:t>
      </w:r>
      <w:proofErr w:type="gramEnd"/>
      <w:r w:rsidR="00907CE3">
        <w:t xml:space="preserve"> in year </w:t>
      </w:r>
      <w:r w:rsidR="00E32FB7">
        <w:t>3</w:t>
      </w:r>
      <w:r w:rsidR="00907CE3">
        <w:t xml:space="preserve">, </w:t>
      </w:r>
      <w:r w:rsidR="00E32FB7">
        <w:t>$23.14</w:t>
      </w:r>
      <w:r>
        <w:t xml:space="preserve"> million</w:t>
      </w:r>
      <w:r w:rsidR="00E905F9">
        <w:t xml:space="preserve">. </w:t>
      </w:r>
    </w:p>
    <w:p w:rsidR="005464FE" w:rsidRDefault="00064767" w:rsidP="005464FE">
      <w:pPr>
        <w:pStyle w:val="AERbulletlistfirststyle"/>
      </w:pPr>
      <w:r>
        <w:t xml:space="preserve">The NSP share of </w:t>
      </w:r>
      <w:proofErr w:type="gramStart"/>
      <w:r>
        <w:t xml:space="preserve">the </w:t>
      </w:r>
      <w:r w:rsidR="005464FE">
        <w:t>ove</w:t>
      </w:r>
      <w:r>
        <w:t>rspend</w:t>
      </w:r>
      <w:proofErr w:type="gramEnd"/>
      <w:r>
        <w:t xml:space="preserve"> is then calculated. This is given by multiplying the total </w:t>
      </w:r>
      <w:r w:rsidR="005464FE">
        <w:t>ove</w:t>
      </w:r>
      <w:r w:rsidR="00B9380B">
        <w:t>rspend</w:t>
      </w:r>
      <w:r w:rsidR="005464FE">
        <w:t xml:space="preserve"> </w:t>
      </w:r>
      <w:r>
        <w:t>by the sharing ratio (</w:t>
      </w:r>
      <w:r w:rsidR="00B9380B">
        <w:t>$2</w:t>
      </w:r>
      <w:r w:rsidR="00E32FB7">
        <w:t>3</w:t>
      </w:r>
      <w:r w:rsidR="00B9380B">
        <w:t>.</w:t>
      </w:r>
      <w:r w:rsidR="00E32FB7">
        <w:t>14</w:t>
      </w:r>
      <w:r w:rsidR="00B9380B">
        <w:t xml:space="preserve"> million x </w:t>
      </w:r>
      <w:r w:rsidR="00E905F9">
        <w:t>30 per cent</w:t>
      </w:r>
      <w:r w:rsidR="00E32FB7">
        <w:t xml:space="preserve"> = $6.94</w:t>
      </w:r>
      <w:r w:rsidR="00B9380B">
        <w:t xml:space="preserve"> million</w:t>
      </w:r>
      <w:r>
        <w:t xml:space="preserve">). </w:t>
      </w:r>
    </w:p>
    <w:p w:rsidR="005464FE" w:rsidRDefault="00064767" w:rsidP="005464FE">
      <w:pPr>
        <w:pStyle w:val="AERbulletlistfirststyle"/>
      </w:pPr>
      <w:r>
        <w:t xml:space="preserve">The </w:t>
      </w:r>
      <w:r w:rsidR="006479DB">
        <w:t xml:space="preserve">total </w:t>
      </w:r>
      <w:r w:rsidR="005464FE">
        <w:t xml:space="preserve">cost of financing </w:t>
      </w:r>
      <w:proofErr w:type="gramStart"/>
      <w:r w:rsidR="005464FE">
        <w:t>the overspend</w:t>
      </w:r>
      <w:proofErr w:type="gramEnd"/>
      <w:r>
        <w:t xml:space="preserve"> is then </w:t>
      </w:r>
      <w:r w:rsidR="006479DB">
        <w:t xml:space="preserve">calculated as </w:t>
      </w:r>
      <w:r>
        <w:t>the sum of all benefits recovered</w:t>
      </w:r>
      <w:r w:rsidR="006479DB">
        <w:t>/costs borne</w:t>
      </w:r>
      <w:r>
        <w:t xml:space="preserve"> </w:t>
      </w:r>
      <w:r w:rsidR="00E52F36">
        <w:t>i</w:t>
      </w:r>
      <w:r>
        <w:t>n years 1 to 5</w:t>
      </w:r>
      <w:r w:rsidR="009644C2">
        <w:t xml:space="preserve"> (</w:t>
      </w:r>
      <w:r w:rsidR="00B9380B">
        <w:t>$</w:t>
      </w:r>
      <w:r w:rsidR="00E32FB7">
        <w:t>0.6</w:t>
      </w:r>
      <w:r w:rsidR="00A947F1">
        <w:t>6</w:t>
      </w:r>
      <w:r w:rsidR="00B9380B">
        <w:t xml:space="preserve"> million</w:t>
      </w:r>
      <w:r w:rsidR="009644C2">
        <w:t xml:space="preserve"> + </w:t>
      </w:r>
      <w:r w:rsidR="00B9380B">
        <w:t>$</w:t>
      </w:r>
      <w:r w:rsidR="00A947F1">
        <w:t>1.27</w:t>
      </w:r>
      <w:r w:rsidR="00B9380B">
        <w:t xml:space="preserve"> million</w:t>
      </w:r>
      <w:r w:rsidR="009644C2">
        <w:t xml:space="preserve"> </w:t>
      </w:r>
      <w:r w:rsidR="00A947F1">
        <w:t>+ $1.2</w:t>
      </w:r>
      <w:r w:rsidR="00E32FB7">
        <w:t xml:space="preserve"> million </w:t>
      </w:r>
      <w:r w:rsidR="009644C2">
        <w:t xml:space="preserve">= </w:t>
      </w:r>
      <w:r w:rsidR="00B9380B">
        <w:t>$</w:t>
      </w:r>
      <w:r w:rsidR="00E32FB7">
        <w:t>3.</w:t>
      </w:r>
      <w:r w:rsidR="00A947F1">
        <w:t>14</w:t>
      </w:r>
      <w:r w:rsidR="00E32FB7">
        <w:t> </w:t>
      </w:r>
      <w:r w:rsidR="00B9380B">
        <w:t>million</w:t>
      </w:r>
      <w:r w:rsidR="005464FE">
        <w:t>)</w:t>
      </w:r>
      <w:r>
        <w:t xml:space="preserve">. </w:t>
      </w:r>
    </w:p>
    <w:p w:rsidR="00E905F9" w:rsidRDefault="00064767" w:rsidP="005464FE">
      <w:pPr>
        <w:pStyle w:val="AERbulletlistfirststyle"/>
      </w:pPr>
      <w:r>
        <w:t>The CESS payment is then calculated as the NSP</w:t>
      </w:r>
      <w:r w:rsidR="00E32FB7">
        <w:t>'s</w:t>
      </w:r>
      <w:r>
        <w:t xml:space="preserve"> share of </w:t>
      </w:r>
      <w:proofErr w:type="gramStart"/>
      <w:r>
        <w:t xml:space="preserve">the </w:t>
      </w:r>
      <w:r w:rsidR="00E32FB7">
        <w:t>overspend</w:t>
      </w:r>
      <w:proofErr w:type="gramEnd"/>
      <w:r w:rsidR="00E32FB7">
        <w:t xml:space="preserve"> minus the financing costs already borne by the NSP</w:t>
      </w:r>
      <w:r w:rsidR="00B9380B">
        <w:t xml:space="preserve"> ($6.</w:t>
      </w:r>
      <w:r w:rsidR="00E32FB7">
        <w:t>94</w:t>
      </w:r>
      <w:r w:rsidR="00B9380B">
        <w:t xml:space="preserve"> million - $</w:t>
      </w:r>
      <w:r w:rsidR="00E32FB7">
        <w:t>3.</w:t>
      </w:r>
      <w:r w:rsidR="00A947F1">
        <w:t>14</w:t>
      </w:r>
      <w:r w:rsidR="00B9380B">
        <w:t xml:space="preserve"> million = $</w:t>
      </w:r>
      <w:r w:rsidR="00E32FB7">
        <w:t>3.</w:t>
      </w:r>
      <w:r w:rsidR="00A947F1">
        <w:t>80</w:t>
      </w:r>
      <w:r w:rsidR="00B9380B">
        <w:t xml:space="preserve"> million)</w:t>
      </w:r>
      <w:r>
        <w:t>.</w:t>
      </w:r>
      <w:r w:rsidR="006479DB">
        <w:t xml:space="preserve"> </w:t>
      </w:r>
    </w:p>
    <w:p w:rsidR="00E905F9" w:rsidRDefault="00E905F9" w:rsidP="00E905F9">
      <w:pPr>
        <w:pStyle w:val="Caption"/>
      </w:pPr>
      <w:r>
        <w:t xml:space="preserve">Table </w:t>
      </w:r>
      <w:r w:rsidR="008B4388">
        <w:t>7</w:t>
      </w:r>
      <w:r w:rsidRPr="00E905F9">
        <w:tab/>
      </w:r>
      <w:r>
        <w:t>CESS calculation</w:t>
      </w:r>
      <w:r w:rsidR="008B4388">
        <w:t>s</w:t>
      </w:r>
    </w:p>
    <w:tbl>
      <w:tblPr>
        <w:tblStyle w:val="AERtable-numbers"/>
        <w:tblW w:w="0" w:type="auto"/>
        <w:tblLook w:val="04A0" w:firstRow="1" w:lastRow="0" w:firstColumn="1" w:lastColumn="0" w:noHBand="0" w:noVBand="1"/>
      </w:tblPr>
      <w:tblGrid>
        <w:gridCol w:w="3652"/>
        <w:gridCol w:w="2977"/>
        <w:gridCol w:w="2551"/>
      </w:tblGrid>
      <w:tr w:rsidR="008B4388" w:rsidTr="008B4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B4388" w:rsidRDefault="008B4388" w:rsidP="00E905F9">
            <w:pPr>
              <w:pStyle w:val="AERtabletextleft"/>
            </w:pPr>
          </w:p>
        </w:tc>
        <w:tc>
          <w:tcPr>
            <w:tcW w:w="2977" w:type="dxa"/>
          </w:tcPr>
          <w:p w:rsidR="008B4388" w:rsidRPr="008B4388" w:rsidRDefault="008B4388" w:rsidP="008B4388">
            <w:pPr>
              <w:pStyle w:val="AERtabletextleft"/>
              <w:cnfStyle w:val="100000000000" w:firstRow="1" w:lastRow="0" w:firstColumn="0" w:lastColumn="0" w:oddVBand="0" w:evenVBand="0" w:oddHBand="0" w:evenHBand="0" w:firstRowFirstColumn="0" w:firstRowLastColumn="0" w:lastRowFirstColumn="0" w:lastRowLastColumn="0"/>
            </w:pPr>
            <w:r w:rsidRPr="008B4388">
              <w:t>Calculation</w:t>
            </w:r>
          </w:p>
        </w:tc>
        <w:tc>
          <w:tcPr>
            <w:tcW w:w="2551" w:type="dxa"/>
          </w:tcPr>
          <w:p w:rsidR="008B4388" w:rsidRDefault="008B4388" w:rsidP="00E905F9">
            <w:pPr>
              <w:pStyle w:val="AERtabletextright"/>
              <w:cnfStyle w:val="100000000000" w:firstRow="1" w:lastRow="0" w:firstColumn="0" w:lastColumn="0" w:oddVBand="0" w:evenVBand="0" w:oddHBand="0" w:evenHBand="0" w:firstRowFirstColumn="0" w:firstRowLastColumn="0" w:lastRowFirstColumn="0" w:lastRowLastColumn="0"/>
            </w:pPr>
            <w:r>
              <w:t>Result</w:t>
            </w:r>
          </w:p>
        </w:tc>
      </w:tr>
      <w:tr w:rsidR="008B4388" w:rsidTr="008B4388">
        <w:tc>
          <w:tcPr>
            <w:cnfStyle w:val="001000000000" w:firstRow="0" w:lastRow="0" w:firstColumn="1" w:lastColumn="0" w:oddVBand="0" w:evenVBand="0" w:oddHBand="0" w:evenHBand="0" w:firstRowFirstColumn="0" w:firstRowLastColumn="0" w:lastRowFirstColumn="0" w:lastRowLastColumn="0"/>
            <w:tcW w:w="3652" w:type="dxa"/>
          </w:tcPr>
          <w:p w:rsidR="008B4388" w:rsidRDefault="008B4388" w:rsidP="00A609EA">
            <w:pPr>
              <w:pStyle w:val="AERtabletextleft"/>
            </w:pPr>
            <w:r>
              <w:t>Total NPV overspend</w:t>
            </w:r>
          </w:p>
        </w:tc>
        <w:tc>
          <w:tcPr>
            <w:tcW w:w="2977" w:type="dxa"/>
          </w:tcPr>
          <w:p w:rsidR="008B4388" w:rsidRPr="008B4388" w:rsidRDefault="008B4388" w:rsidP="00A609EA">
            <w:pPr>
              <w:pStyle w:val="AERtabletextleft"/>
              <w:cnfStyle w:val="000000000000" w:firstRow="0" w:lastRow="0" w:firstColumn="0" w:lastColumn="0" w:oddVBand="0" w:evenVBand="0" w:oddHBand="0" w:evenHBand="0" w:firstRowFirstColumn="0" w:firstRowLastColumn="0" w:lastRowFirstColumn="0" w:lastRowLastColumn="0"/>
            </w:pPr>
            <w:r w:rsidRPr="008B4388">
              <w:t>NPV overspend in year 4</w:t>
            </w:r>
          </w:p>
        </w:tc>
        <w:tc>
          <w:tcPr>
            <w:tcW w:w="2551" w:type="dxa"/>
          </w:tcPr>
          <w:p w:rsidR="008B4388" w:rsidRDefault="00E32FB7" w:rsidP="00A609EA">
            <w:pPr>
              <w:pStyle w:val="AERtabletextleft"/>
              <w:cnfStyle w:val="000000000000" w:firstRow="0" w:lastRow="0" w:firstColumn="0" w:lastColumn="0" w:oddVBand="0" w:evenVBand="0" w:oddHBand="0" w:evenHBand="0" w:firstRowFirstColumn="0" w:firstRowLastColumn="0" w:lastRowFirstColumn="0" w:lastRowLastColumn="0"/>
            </w:pPr>
            <w:r>
              <w:t>$23</w:t>
            </w:r>
            <w:r w:rsidR="008B4388">
              <w:t>.</w:t>
            </w:r>
            <w:r>
              <w:t>14</w:t>
            </w:r>
            <w:r w:rsidR="008B4388">
              <w:t> million</w:t>
            </w:r>
          </w:p>
        </w:tc>
      </w:tr>
      <w:tr w:rsidR="008B4388" w:rsidTr="008B4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B4388" w:rsidRDefault="008B4388" w:rsidP="00A609EA">
            <w:pPr>
              <w:pStyle w:val="AERtabletextleft"/>
            </w:pPr>
            <w:r>
              <w:t>NSP share of overspend</w:t>
            </w:r>
          </w:p>
        </w:tc>
        <w:tc>
          <w:tcPr>
            <w:tcW w:w="2977" w:type="dxa"/>
          </w:tcPr>
          <w:p w:rsidR="008B4388" w:rsidRPr="008B4388" w:rsidRDefault="00BD6A22" w:rsidP="00A609EA">
            <w:pPr>
              <w:pStyle w:val="AERtabletextleft"/>
              <w:cnfStyle w:val="000000010000" w:firstRow="0" w:lastRow="0" w:firstColumn="0" w:lastColumn="0" w:oddVBand="0" w:evenVBand="0" w:oddHBand="0" w:evenHBand="1" w:firstRowFirstColumn="0" w:firstRowLastColumn="0" w:lastRowFirstColumn="0" w:lastRowLastColumn="0"/>
            </w:pPr>
            <w:r>
              <w:t>$23</w:t>
            </w:r>
            <w:r w:rsidR="008B4388" w:rsidRPr="008B4388">
              <w:t>.</w:t>
            </w:r>
            <w:r>
              <w:t>1</w:t>
            </w:r>
            <w:r w:rsidR="008B4388" w:rsidRPr="008B4388">
              <w:t>4 million x 30 %</w:t>
            </w:r>
          </w:p>
        </w:tc>
        <w:tc>
          <w:tcPr>
            <w:tcW w:w="2551" w:type="dxa"/>
          </w:tcPr>
          <w:p w:rsidR="008B4388" w:rsidRDefault="008B4388" w:rsidP="00A609EA">
            <w:pPr>
              <w:pStyle w:val="AERtabletextleft"/>
              <w:cnfStyle w:val="000000010000" w:firstRow="0" w:lastRow="0" w:firstColumn="0" w:lastColumn="0" w:oddVBand="0" w:evenVBand="0" w:oddHBand="0" w:evenHBand="1" w:firstRowFirstColumn="0" w:firstRowLastColumn="0" w:lastRowFirstColumn="0" w:lastRowLastColumn="0"/>
            </w:pPr>
            <w:r>
              <w:t>$6.</w:t>
            </w:r>
            <w:r w:rsidR="00E32FB7">
              <w:t>94</w:t>
            </w:r>
            <w:r>
              <w:t xml:space="preserve"> million</w:t>
            </w:r>
          </w:p>
        </w:tc>
      </w:tr>
      <w:tr w:rsidR="008B4388" w:rsidTr="008B4388">
        <w:tc>
          <w:tcPr>
            <w:cnfStyle w:val="001000000000" w:firstRow="0" w:lastRow="0" w:firstColumn="1" w:lastColumn="0" w:oddVBand="0" w:evenVBand="0" w:oddHBand="0" w:evenHBand="0" w:firstRowFirstColumn="0" w:firstRowLastColumn="0" w:lastRowFirstColumn="0" w:lastRowLastColumn="0"/>
            <w:tcW w:w="3652" w:type="dxa"/>
          </w:tcPr>
          <w:p w:rsidR="008B4388" w:rsidRDefault="008B4388" w:rsidP="00A609EA">
            <w:pPr>
              <w:pStyle w:val="AERtabletextleft"/>
            </w:pPr>
            <w:r>
              <w:t xml:space="preserve">Total cost of financing the overspend </w:t>
            </w:r>
          </w:p>
        </w:tc>
        <w:tc>
          <w:tcPr>
            <w:tcW w:w="2977" w:type="dxa"/>
          </w:tcPr>
          <w:p w:rsidR="008B4388" w:rsidRPr="008B4388" w:rsidRDefault="008B4388" w:rsidP="00A609EA">
            <w:pPr>
              <w:pStyle w:val="AERtabletextleft"/>
              <w:cnfStyle w:val="000000000000" w:firstRow="0" w:lastRow="0" w:firstColumn="0" w:lastColumn="0" w:oddVBand="0" w:evenVBand="0" w:oddHBand="0" w:evenHBand="0" w:firstRowFirstColumn="0" w:firstRowLastColumn="0" w:lastRowFirstColumn="0" w:lastRowLastColumn="0"/>
            </w:pPr>
            <w:r>
              <w:t>$0.6</w:t>
            </w:r>
            <w:r w:rsidR="00A947F1">
              <w:t>6 million + $1.27</w:t>
            </w:r>
            <w:r>
              <w:t xml:space="preserve"> million</w:t>
            </w:r>
            <w:r w:rsidR="00A947F1">
              <w:t xml:space="preserve"> + $1.20 million</w:t>
            </w:r>
          </w:p>
        </w:tc>
        <w:tc>
          <w:tcPr>
            <w:tcW w:w="2551" w:type="dxa"/>
          </w:tcPr>
          <w:p w:rsidR="008B4388" w:rsidRDefault="00B9380B" w:rsidP="00A609EA">
            <w:pPr>
              <w:pStyle w:val="AERtabletextleft"/>
              <w:cnfStyle w:val="000000000000" w:firstRow="0" w:lastRow="0" w:firstColumn="0" w:lastColumn="0" w:oddVBand="0" w:evenVBand="0" w:oddHBand="0" w:evenHBand="0" w:firstRowFirstColumn="0" w:firstRowLastColumn="0" w:lastRowFirstColumn="0" w:lastRowLastColumn="0"/>
            </w:pPr>
            <w:r>
              <w:t>$</w:t>
            </w:r>
            <w:r w:rsidR="00E32FB7">
              <w:t>3.</w:t>
            </w:r>
            <w:r w:rsidR="00A947F1">
              <w:t>14</w:t>
            </w:r>
            <w:r w:rsidR="008B4388">
              <w:t xml:space="preserve"> million</w:t>
            </w:r>
          </w:p>
        </w:tc>
      </w:tr>
      <w:tr w:rsidR="008B4388" w:rsidTr="008B4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B4388" w:rsidRDefault="008B4388" w:rsidP="00A609EA">
            <w:pPr>
              <w:pStyle w:val="AERtabletextleft"/>
            </w:pPr>
            <w:r>
              <w:t>CESS penalty</w:t>
            </w:r>
          </w:p>
        </w:tc>
        <w:tc>
          <w:tcPr>
            <w:tcW w:w="2977" w:type="dxa"/>
          </w:tcPr>
          <w:p w:rsidR="008B4388" w:rsidRPr="008B4388" w:rsidRDefault="008B4388" w:rsidP="00A609EA">
            <w:pPr>
              <w:pStyle w:val="AERtabletextleft"/>
              <w:cnfStyle w:val="000000010000" w:firstRow="0" w:lastRow="0" w:firstColumn="0" w:lastColumn="0" w:oddVBand="0" w:evenVBand="0" w:oddHBand="0" w:evenHBand="1" w:firstRowFirstColumn="0" w:firstRowLastColumn="0" w:lastRowFirstColumn="0" w:lastRowLastColumn="0"/>
            </w:pPr>
            <w:r>
              <w:t>$6.</w:t>
            </w:r>
            <w:r w:rsidR="00A947F1">
              <w:t>94</w:t>
            </w:r>
            <w:r>
              <w:t xml:space="preserve"> mil</w:t>
            </w:r>
            <w:r w:rsidR="00A947F1">
              <w:t>lion - $3.14</w:t>
            </w:r>
            <w:r>
              <w:t xml:space="preserve"> million</w:t>
            </w:r>
          </w:p>
        </w:tc>
        <w:tc>
          <w:tcPr>
            <w:tcW w:w="2551" w:type="dxa"/>
          </w:tcPr>
          <w:p w:rsidR="008B4388" w:rsidRDefault="00B9380B" w:rsidP="00A609EA">
            <w:pPr>
              <w:pStyle w:val="AERtabletextleft"/>
              <w:cnfStyle w:val="000000010000" w:firstRow="0" w:lastRow="0" w:firstColumn="0" w:lastColumn="0" w:oddVBand="0" w:evenVBand="0" w:oddHBand="0" w:evenHBand="1" w:firstRowFirstColumn="0" w:firstRowLastColumn="0" w:lastRowFirstColumn="0" w:lastRowLastColumn="0"/>
            </w:pPr>
            <w:r>
              <w:t>$</w:t>
            </w:r>
            <w:r w:rsidR="00E32FB7">
              <w:t>3.</w:t>
            </w:r>
            <w:r w:rsidR="00A947F1">
              <w:t>80</w:t>
            </w:r>
            <w:r w:rsidR="008B4388">
              <w:t xml:space="preserve"> million</w:t>
            </w:r>
          </w:p>
        </w:tc>
      </w:tr>
    </w:tbl>
    <w:p w:rsidR="00E32FB7" w:rsidRPr="00E905F9" w:rsidRDefault="00E32FB7" w:rsidP="00E32FB7">
      <w:pPr>
        <w:pStyle w:val="AERbodytext"/>
        <w:numPr>
          <w:ilvl w:val="0"/>
          <w:numId w:val="13"/>
        </w:numPr>
        <w:rPr>
          <w:rStyle w:val="AERbody"/>
        </w:rPr>
      </w:pPr>
      <w:r>
        <w:br/>
        <w:t>A $3.</w:t>
      </w:r>
      <w:r w:rsidR="00A947F1">
        <w:t>80</w:t>
      </w:r>
      <w:r>
        <w:t> million penalty will apply to the NSP in the next regulatory period due to it overspending by $20 million in year 3.</w:t>
      </w:r>
      <w:r w:rsidR="00A609EA">
        <w:t xml:space="preserve"> </w:t>
      </w:r>
    </w:p>
    <w:p w:rsidR="00212DD2" w:rsidRDefault="00212DD2" w:rsidP="00212DD2">
      <w:pPr>
        <w:pStyle w:val="Heading1"/>
      </w:pPr>
      <w:bookmarkStart w:id="28" w:name="_Toc363640485"/>
      <w:r w:rsidRPr="00212DD2">
        <w:t>U</w:t>
      </w:r>
      <w:r>
        <w:t>se of actual or forecast depreciation</w:t>
      </w:r>
      <w:bookmarkEnd w:id="28"/>
    </w:p>
    <w:p w:rsidR="00901AC6" w:rsidRDefault="006D0467" w:rsidP="006D0467">
      <w:pPr>
        <w:pStyle w:val="AERbodytext"/>
        <w:numPr>
          <w:ilvl w:val="0"/>
          <w:numId w:val="13"/>
        </w:numPr>
      </w:pPr>
      <w:r>
        <w:t xml:space="preserve">This chapter outlines our approach to deciding whether to use actual or forecast depreciation to roll forward the RAB at the end of a </w:t>
      </w:r>
      <w:r w:rsidR="002C3B4A">
        <w:t>regulatory control period</w:t>
      </w:r>
      <w:r w:rsidR="00974E50">
        <w:t xml:space="preserve">. </w:t>
      </w:r>
    </w:p>
    <w:p w:rsidR="006D0467" w:rsidRDefault="00901AC6" w:rsidP="006D0467">
      <w:pPr>
        <w:pStyle w:val="AERbodytext"/>
        <w:numPr>
          <w:ilvl w:val="0"/>
          <w:numId w:val="13"/>
        </w:numPr>
      </w:pPr>
      <w:r>
        <w:t xml:space="preserve">The incentives for efficient capex come from the way the RAB is rolled forward at the end of a regulatory control period. Assuming that the RAB is rolled forward for actual (rather than forecast) capex, this has an inherent incentive power. In particular, in the absence of a CESS, this will lead to a declining incentive over the regulatory control period. The CESS proposed in chapter 2 addresses this declining incentive by accounting for the NSP's retained return on </w:t>
      </w:r>
      <w:proofErr w:type="gramStart"/>
      <w:r>
        <w:t>the overspend</w:t>
      </w:r>
      <w:proofErr w:type="gramEnd"/>
      <w:r>
        <w:t>/underspend during the regulatory control period.</w:t>
      </w:r>
    </w:p>
    <w:p w:rsidR="00974E50" w:rsidRDefault="00901AC6" w:rsidP="006D0467">
      <w:pPr>
        <w:pStyle w:val="AERbodytext"/>
        <w:numPr>
          <w:ilvl w:val="0"/>
          <w:numId w:val="13"/>
        </w:numPr>
      </w:pPr>
      <w:r>
        <w:t xml:space="preserve">The other factor that influences the power of the incentive is the form of depreciation used to roll forward the RAB. </w:t>
      </w:r>
      <w:r w:rsidR="006D0467">
        <w:t>When updating the RAB for actual capex, d</w:t>
      </w:r>
      <w:r w:rsidR="002C3B4A">
        <w:t>epreciation can be based on actual capex (</w:t>
      </w:r>
      <w:r w:rsidR="006D0467">
        <w:t xml:space="preserve">called </w:t>
      </w:r>
      <w:r w:rsidR="002C3B4A">
        <w:t xml:space="preserve">actual </w:t>
      </w:r>
      <w:r w:rsidR="00BF7D1D">
        <w:t>depreciation)</w:t>
      </w:r>
      <w:r w:rsidR="002C3B4A">
        <w:t xml:space="preserve"> or forecast capex (</w:t>
      </w:r>
      <w:r w:rsidR="006D0467">
        <w:t xml:space="preserve">called </w:t>
      </w:r>
      <w:r w:rsidR="002C3B4A">
        <w:t xml:space="preserve">forecast depreciation). </w:t>
      </w:r>
      <w:r>
        <w:t xml:space="preserve">Using forecast depreciation means that a NSP's actual capex performance will not influence the amount of depreciation used to </w:t>
      </w:r>
      <w:r w:rsidR="00080C6E">
        <w:t>roll forward the RAB</w:t>
      </w:r>
      <w:r w:rsidR="00655D18">
        <w:t xml:space="preserve"> at the end of a regulatory control period</w:t>
      </w:r>
      <w:r w:rsidR="00080C6E">
        <w:t>. In contrast, us</w:t>
      </w:r>
      <w:r w:rsidR="00BF7D1D">
        <w:t>e of a</w:t>
      </w:r>
      <w:r w:rsidR="00974E50">
        <w:t xml:space="preserve">ctual depreciation </w:t>
      </w:r>
      <w:r w:rsidR="00BF7D1D">
        <w:t>increases the incentive</w:t>
      </w:r>
      <w:r>
        <w:t xml:space="preserve"> for efficient capex</w:t>
      </w:r>
      <w:r w:rsidR="00974E50">
        <w:t>:</w:t>
      </w:r>
    </w:p>
    <w:p w:rsidR="00856D24" w:rsidRDefault="00974E50" w:rsidP="00856D24">
      <w:pPr>
        <w:pStyle w:val="AERbulletlistfirststyle"/>
      </w:pPr>
      <w:r>
        <w:t xml:space="preserve">If there is a capex overspend, actual depreciation will be higher than forecast depreciation. This means that the RAB will increase </w:t>
      </w:r>
      <w:r w:rsidR="00BF7D1D">
        <w:t xml:space="preserve">by a </w:t>
      </w:r>
      <w:r>
        <w:t>less</w:t>
      </w:r>
      <w:r w:rsidR="00BF7D1D">
        <w:t>er amount</w:t>
      </w:r>
      <w:r>
        <w:t xml:space="preserve"> than if forecast depreciation were used. Hence, the NSP will earn less </w:t>
      </w:r>
      <w:r w:rsidR="00BF7D1D">
        <w:t xml:space="preserve">revenue </w:t>
      </w:r>
      <w:r>
        <w:t xml:space="preserve">into the future (i.e. it will bear more of the cost of </w:t>
      </w:r>
      <w:r w:rsidR="00856D24">
        <w:t>the overspend into the future).</w:t>
      </w:r>
    </w:p>
    <w:p w:rsidR="00974E50" w:rsidRDefault="00974E50" w:rsidP="00856D24">
      <w:pPr>
        <w:pStyle w:val="AERbulletlistfirststyle"/>
      </w:pPr>
      <w:r>
        <w:t xml:space="preserve">If there is a capex underspend, actual depreciation will be lower than forecast depreciation. This means that the RAB will increase </w:t>
      </w:r>
      <w:r w:rsidR="00BF7D1D">
        <w:t xml:space="preserve">by a greater amount </w:t>
      </w:r>
      <w:r>
        <w:t xml:space="preserve">than if forecast depreciation were used. Hence, the NSP will earn </w:t>
      </w:r>
      <w:r w:rsidR="00BF7D1D">
        <w:t>greater</w:t>
      </w:r>
      <w:r>
        <w:t xml:space="preserve"> </w:t>
      </w:r>
      <w:r w:rsidR="00BF7D1D">
        <w:t xml:space="preserve">revenue </w:t>
      </w:r>
      <w:r>
        <w:t>into the future (i.e. it will retain more of the benefit of an underspend into the future).</w:t>
      </w:r>
    </w:p>
    <w:p w:rsidR="007E152B" w:rsidRPr="007E152B" w:rsidRDefault="007E152B" w:rsidP="007E152B">
      <w:pPr>
        <w:pStyle w:val="AERbodytext"/>
        <w:numPr>
          <w:ilvl w:val="0"/>
          <w:numId w:val="13"/>
        </w:numPr>
      </w:pPr>
      <w:r>
        <w:t xml:space="preserve">Under the </w:t>
      </w:r>
      <w:r w:rsidRPr="00382B12">
        <w:t xml:space="preserve">NER </w:t>
      </w:r>
      <w:r>
        <w:t xml:space="preserve">we have </w:t>
      </w:r>
      <w:r w:rsidR="006D0467">
        <w:t>the</w:t>
      </w:r>
      <w:r w:rsidRPr="00382B12">
        <w:t xml:space="preserve"> flexibility to roll forward the </w:t>
      </w:r>
      <w:r>
        <w:t xml:space="preserve">RAB </w:t>
      </w:r>
      <w:r w:rsidRPr="00382B12">
        <w:t>on the basis of either actual or forecast depreciati</w:t>
      </w:r>
      <w:r>
        <w:t>on</w:t>
      </w:r>
      <w:r w:rsidRPr="00382B12">
        <w:t>.</w:t>
      </w:r>
      <w:r>
        <w:rPr>
          <w:rStyle w:val="FootnoteReference"/>
        </w:rPr>
        <w:footnoteReference w:id="60"/>
      </w:r>
      <w:r w:rsidRPr="00382B12">
        <w:t xml:space="preserve"> </w:t>
      </w:r>
      <w:r>
        <w:t xml:space="preserve">We are required to set out our approach to making this decision in the </w:t>
      </w:r>
      <w:r w:rsidR="0043387A">
        <w:t>guidelines</w:t>
      </w:r>
      <w:r w:rsidRPr="00473AD1">
        <w:t>.</w:t>
      </w:r>
      <w:r>
        <w:rPr>
          <w:rStyle w:val="FootnoteReference"/>
        </w:rPr>
        <w:footnoteReference w:id="61"/>
      </w:r>
      <w:r w:rsidRPr="007E152B">
        <w:rPr>
          <w:rFonts w:eastAsia="Calibri"/>
        </w:rPr>
        <w:t xml:space="preserve"> In making this decision we are required to </w:t>
      </w:r>
      <w:r w:rsidRPr="00382B12">
        <w:t>consider</w:t>
      </w:r>
      <w:r>
        <w:t>:</w:t>
      </w:r>
      <w:r w:rsidRPr="00382B12">
        <w:t xml:space="preserve"> </w:t>
      </w:r>
    </w:p>
    <w:p w:rsidR="007E152B" w:rsidRPr="007E152B" w:rsidRDefault="007E152B" w:rsidP="007E152B">
      <w:pPr>
        <w:pStyle w:val="AERbulletlistfirststyle"/>
        <w:rPr>
          <w:rFonts w:eastAsia="Calibri"/>
        </w:rPr>
      </w:pPr>
      <w:r w:rsidRPr="00382B12">
        <w:t>the cap</w:t>
      </w:r>
      <w:r>
        <w:t xml:space="preserve">ital expenditure incentive objective (see </w:t>
      </w:r>
      <w:r w:rsidR="006939A2">
        <w:t>appendix</w:t>
      </w:r>
      <w:r>
        <w:t xml:space="preserve"> </w:t>
      </w:r>
      <w:r w:rsidR="00786D92">
        <w:t>B</w:t>
      </w:r>
      <w:r>
        <w:t>)</w:t>
      </w:r>
    </w:p>
    <w:p w:rsidR="007E152B" w:rsidRPr="00382B12" w:rsidRDefault="007E152B" w:rsidP="007E152B">
      <w:pPr>
        <w:pStyle w:val="AERbulletlistfirststyle"/>
      </w:pPr>
      <w:r>
        <w:t>o</w:t>
      </w:r>
      <w:r w:rsidRPr="00382B12">
        <w:t>ther incentives the NSP has to undertake efficient capex</w:t>
      </w:r>
    </w:p>
    <w:p w:rsidR="007E152B" w:rsidRPr="00382B12" w:rsidRDefault="007E152B" w:rsidP="007E152B">
      <w:pPr>
        <w:pStyle w:val="AERbulletlistfirststyle"/>
      </w:pPr>
      <w:r>
        <w:t>s</w:t>
      </w:r>
      <w:r w:rsidRPr="00382B12">
        <w:t>ubstitution possibilities between assets with different lives</w:t>
      </w:r>
    </w:p>
    <w:p w:rsidR="007E152B" w:rsidRPr="00974E50" w:rsidRDefault="007E152B" w:rsidP="007E152B">
      <w:pPr>
        <w:pStyle w:val="AERbulletlistfirststyle"/>
      </w:pPr>
      <w:r>
        <w:t>the extent of over</w:t>
      </w:r>
      <w:r w:rsidRPr="00382B12">
        <w:t>spending and inefficient overspending relative to the allowed forecast.</w:t>
      </w:r>
      <w:r>
        <w:rPr>
          <w:rStyle w:val="FootnoteReference"/>
        </w:rPr>
        <w:footnoteReference w:id="62"/>
      </w:r>
      <w:r w:rsidRPr="00835CFA">
        <w:t xml:space="preserve"> </w:t>
      </w:r>
    </w:p>
    <w:p w:rsidR="00FC59A1" w:rsidRPr="003A3D75" w:rsidRDefault="00FC59A1" w:rsidP="00196D10">
      <w:pPr>
        <w:pStyle w:val="Heading2"/>
      </w:pPr>
      <w:bookmarkStart w:id="29" w:name="_Toc363640486"/>
      <w:r w:rsidRPr="003A3D75">
        <w:t>Issue</w:t>
      </w:r>
      <w:bookmarkEnd w:id="29"/>
    </w:p>
    <w:p w:rsidR="00080C6E" w:rsidRDefault="004D1914" w:rsidP="007E152B">
      <w:pPr>
        <w:pStyle w:val="AERbodytext"/>
        <w:numPr>
          <w:ilvl w:val="0"/>
          <w:numId w:val="13"/>
        </w:numPr>
      </w:pPr>
      <w:r>
        <w:t>T</w:t>
      </w:r>
      <w:r w:rsidRPr="00133013">
        <w:t>he choice of depreciation approach is one part of the overall capex incentive framework</w:t>
      </w:r>
      <w:r w:rsidRPr="00C0040B">
        <w:t xml:space="preserve"> and needs t</w:t>
      </w:r>
      <w:r>
        <w:t>o be considered in that context. Where a CESS is applied, a NSP will already have incentives to pursue capex efficiencies. The use of forecast depreciation would maintain these incentives whereas the use of actual depreciation would increase these incentives.</w:t>
      </w:r>
      <w:r w:rsidR="004262F9">
        <w:t xml:space="preserve"> </w:t>
      </w:r>
    </w:p>
    <w:p w:rsidR="00BD6A22" w:rsidRDefault="004262F9" w:rsidP="007E152B">
      <w:pPr>
        <w:pStyle w:val="AERbodytext"/>
        <w:numPr>
          <w:ilvl w:val="0"/>
          <w:numId w:val="13"/>
        </w:numPr>
      </w:pPr>
      <w:r>
        <w:t xml:space="preserve">The power of the incentive when using actual depreciation alongside </w:t>
      </w:r>
      <w:r w:rsidR="00BD6A22">
        <w:t>a</w:t>
      </w:r>
      <w:r>
        <w:t xml:space="preserve"> </w:t>
      </w:r>
      <w:r w:rsidR="00BD6A22">
        <w:t xml:space="preserve">symmetric </w:t>
      </w:r>
      <w:r>
        <w:t xml:space="preserve">CESS will decline over the regulatory control period and with the life of the asset. </w:t>
      </w:r>
      <w:r w:rsidR="00080C6E">
        <w:t xml:space="preserve">In contrast, use of forecast depreciation alongside a symmetric CESS will result in an incentive power </w:t>
      </w:r>
      <w:r w:rsidR="00BD6A22">
        <w:t xml:space="preserve">equal to that of the CESS. So for the CESS we are proposing, the combined power of the incentive with the CESS and using forecast depreciation will be </w:t>
      </w:r>
      <w:r w:rsidR="00080C6E">
        <w:t xml:space="preserve">30 per cent in each year of the regulatory control period. </w:t>
      </w:r>
      <w:r>
        <w:t>This is shown in figure 2 below.</w:t>
      </w:r>
      <w:r w:rsidR="004D1914">
        <w:t xml:space="preserve"> </w:t>
      </w:r>
    </w:p>
    <w:p w:rsidR="00BD6A22" w:rsidRDefault="004472DE" w:rsidP="00BD6A22">
      <w:pPr>
        <w:pStyle w:val="AERbodytext"/>
        <w:numPr>
          <w:ilvl w:val="0"/>
          <w:numId w:val="13"/>
        </w:numPr>
      </w:pPr>
      <w:r>
        <w:t xml:space="preserve">These outcomes differ from those that would occur in the absence of a CESS. This is because </w:t>
      </w:r>
      <w:r w:rsidR="00BD6A22">
        <w:t>t</w:t>
      </w:r>
      <w:r>
        <w:t>he CESS ensures a constant incentive</w:t>
      </w:r>
      <w:r w:rsidR="00BD6A22">
        <w:t xml:space="preserve"> </w:t>
      </w:r>
      <w:r>
        <w:t>of 30 </w:t>
      </w:r>
      <w:r w:rsidR="00BD6A22">
        <w:t xml:space="preserve">per cent in each year by taking into account the return on </w:t>
      </w:r>
      <w:proofErr w:type="gramStart"/>
      <w:r>
        <w:t>the underspend</w:t>
      </w:r>
      <w:proofErr w:type="gramEnd"/>
      <w:r>
        <w:t>/overspend during</w:t>
      </w:r>
      <w:r w:rsidR="00BD6A22">
        <w:t xml:space="preserve"> the period. </w:t>
      </w:r>
      <w:r>
        <w:t xml:space="preserve">Without a CESS, both depreciation approaches </w:t>
      </w:r>
      <w:r w:rsidR="009261AD">
        <w:t xml:space="preserve">(alongside use of actual capex to roll forward the RAB) </w:t>
      </w:r>
      <w:r>
        <w:t>provide</w:t>
      </w:r>
      <w:r w:rsidR="00BD6A22">
        <w:t xml:space="preserve"> a declining incentive over the regulatory control period. However, the incentive under actual depreciation will </w:t>
      </w:r>
      <w:r>
        <w:t xml:space="preserve">always </w:t>
      </w:r>
      <w:r w:rsidR="00BD6A22">
        <w:t xml:space="preserve">be higher </w:t>
      </w:r>
      <w:r>
        <w:t xml:space="preserve">than the incentive under forecast depreciation. Further, the incentive under actual depreciation </w:t>
      </w:r>
      <w:r w:rsidR="00BD6A22">
        <w:t>will vary by asset life</w:t>
      </w:r>
      <w:r>
        <w:t xml:space="preserve"> (whereas the incentive does not vary by asset life when using forecast depreciation)</w:t>
      </w:r>
      <w:r w:rsidR="00BD6A22">
        <w:t>.</w:t>
      </w:r>
      <w:r w:rsidR="00222F63">
        <w:rPr>
          <w:rStyle w:val="FootnoteReference"/>
        </w:rPr>
        <w:footnoteReference w:id="63"/>
      </w:r>
    </w:p>
    <w:p w:rsidR="004262F9" w:rsidRDefault="004262F9" w:rsidP="004262F9">
      <w:pPr>
        <w:pStyle w:val="Caption"/>
      </w:pPr>
      <w:r>
        <w:t>Figure 2</w:t>
      </w:r>
      <w:r>
        <w:tab/>
        <w:t>Incentive power using actual or forecast depreciation alongside the CESS</w:t>
      </w:r>
    </w:p>
    <w:p w:rsidR="004262F9" w:rsidRPr="004262F9" w:rsidRDefault="00F634AD" w:rsidP="004262F9">
      <w:pPr>
        <w:pStyle w:val="AERbodytext"/>
      </w:pPr>
      <w:r w:rsidRPr="00F634AD">
        <w:rPr>
          <w:noProof/>
          <w:lang w:eastAsia="en-AU"/>
        </w:rPr>
        <w:drawing>
          <wp:inline distT="0" distB="0" distL="0" distR="0" wp14:anchorId="2642F7F9" wp14:editId="722FC4ED">
            <wp:extent cx="5731510" cy="3964294"/>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E152B" w:rsidRPr="007E152B" w:rsidRDefault="007E152B" w:rsidP="007E152B">
      <w:pPr>
        <w:pStyle w:val="AERbodytext"/>
        <w:numPr>
          <w:ilvl w:val="0"/>
          <w:numId w:val="13"/>
        </w:numPr>
      </w:pPr>
      <w:r>
        <w:t xml:space="preserve">In our issues paper we proposed that forecast depreciation </w:t>
      </w:r>
      <w:r w:rsidR="00627371">
        <w:t>sh</w:t>
      </w:r>
      <w:r>
        <w:t xml:space="preserve">ould be the default </w:t>
      </w:r>
      <w:r w:rsidR="006D0467">
        <w:t xml:space="preserve">approach </w:t>
      </w:r>
      <w:r>
        <w:t xml:space="preserve">except in circumstances where </w:t>
      </w:r>
      <w:r w:rsidRPr="007E152B">
        <w:t>there is no CESS or</w:t>
      </w:r>
      <w:r>
        <w:t xml:space="preserve"> where a NSP has persistently overspent against its capex allowance. </w:t>
      </w:r>
      <w:r w:rsidRPr="007E152B">
        <w:t>In considering whether to apply actual depreciation in either of the</w:t>
      </w:r>
      <w:r>
        <w:t>se</w:t>
      </w:r>
      <w:r w:rsidRPr="007E152B">
        <w:t xml:space="preserve"> circumstances we would consider:</w:t>
      </w:r>
    </w:p>
    <w:p w:rsidR="007E152B" w:rsidRPr="007E152B" w:rsidRDefault="007E152B" w:rsidP="007E152B">
      <w:pPr>
        <w:pStyle w:val="AERbulletlistfirststyle"/>
      </w:pPr>
      <w:r w:rsidRPr="007E152B">
        <w:t>substitutability between opex and capex and the balance of incentives between opex and capex</w:t>
      </w:r>
    </w:p>
    <w:p w:rsidR="007E152B" w:rsidRPr="007E152B" w:rsidRDefault="007E152B" w:rsidP="007E152B">
      <w:pPr>
        <w:pStyle w:val="AERbulletlistfirststyle"/>
      </w:pPr>
      <w:r w:rsidRPr="007E152B">
        <w:t>the balance of incentives with service performance schemes</w:t>
      </w:r>
    </w:p>
    <w:p w:rsidR="007E152B" w:rsidRDefault="007E152B" w:rsidP="007E152B">
      <w:pPr>
        <w:pStyle w:val="AERbulletlistfirststyle"/>
      </w:pPr>
      <w:r w:rsidRPr="007E152B">
        <w:t>the relative incentive for expenditure on ass</w:t>
      </w:r>
      <w:r>
        <w:t>ets with different asset lives.</w:t>
      </w:r>
    </w:p>
    <w:p w:rsidR="00212DD2" w:rsidRPr="00447C4B" w:rsidRDefault="00212DD2" w:rsidP="00447C4B">
      <w:pPr>
        <w:pStyle w:val="Heading2"/>
        <w:rPr>
          <w:rStyle w:val="AERbody"/>
          <w:color w:val="E36C0A"/>
          <w:sz w:val="28"/>
        </w:rPr>
      </w:pPr>
      <w:bookmarkStart w:id="30" w:name="_Toc363640487"/>
      <w:r w:rsidRPr="00447C4B">
        <w:t>Proposed approach</w:t>
      </w:r>
      <w:bookmarkEnd w:id="30"/>
    </w:p>
    <w:p w:rsidR="00CC66F4" w:rsidRDefault="00433F6B" w:rsidP="00212DD2">
      <w:pPr>
        <w:pStyle w:val="AERbodytext"/>
        <w:numPr>
          <w:ilvl w:val="0"/>
          <w:numId w:val="13"/>
        </w:numPr>
      </w:pPr>
      <w:r>
        <w:t xml:space="preserve">We propose that </w:t>
      </w:r>
      <w:r w:rsidR="007E152B">
        <w:t xml:space="preserve">forecast depreciation </w:t>
      </w:r>
      <w:r w:rsidR="00627371">
        <w:t>should</w:t>
      </w:r>
      <w:r w:rsidR="007E152B">
        <w:t xml:space="preserve"> be the default </w:t>
      </w:r>
      <w:r>
        <w:t xml:space="preserve">approach for rolling forward the RAB </w:t>
      </w:r>
      <w:r w:rsidR="004D1914">
        <w:t>except where</w:t>
      </w:r>
      <w:r w:rsidR="00CC66F4">
        <w:t>:</w:t>
      </w:r>
    </w:p>
    <w:p w:rsidR="00CC66F4" w:rsidRDefault="007E152B" w:rsidP="00CC66F4">
      <w:pPr>
        <w:pStyle w:val="AERbulletlistfirststyle"/>
      </w:pPr>
      <w:r>
        <w:t>a NSP is not subject to a CESS</w:t>
      </w:r>
      <w:r w:rsidR="00CC66F4">
        <w:t>,</w:t>
      </w:r>
      <w:r>
        <w:t xml:space="preserve"> or </w:t>
      </w:r>
    </w:p>
    <w:p w:rsidR="00CC66F4" w:rsidRDefault="00CC66F4" w:rsidP="00CC66F4">
      <w:pPr>
        <w:pStyle w:val="AERbulletlistfirststyle"/>
      </w:pPr>
      <w:r>
        <w:t>a NSP has persistently overspent on capex or persistently incurred inefficient capex.</w:t>
      </w:r>
      <w:r w:rsidR="007E152B">
        <w:t xml:space="preserve"> </w:t>
      </w:r>
    </w:p>
    <w:p w:rsidR="00212DD2" w:rsidRDefault="007E152B" w:rsidP="00CC66F4">
      <w:pPr>
        <w:pStyle w:val="AERbodytext"/>
      </w:pPr>
      <w:r>
        <w:t>In making our decision on whether to use actual depreciation in either of these circumstances we will consider:</w:t>
      </w:r>
    </w:p>
    <w:p w:rsidR="007E152B" w:rsidRDefault="007E152B" w:rsidP="007E152B">
      <w:pPr>
        <w:pStyle w:val="AERbulletlistfirststyle"/>
      </w:pPr>
      <w:r>
        <w:t>the substitutability between capex and opex and the balance of incentives between these</w:t>
      </w:r>
    </w:p>
    <w:p w:rsidR="007E152B" w:rsidRDefault="007E152B" w:rsidP="007E152B">
      <w:pPr>
        <w:pStyle w:val="AERbulletlistfirststyle"/>
      </w:pPr>
      <w:r>
        <w:t>the balance of incentives with service</w:t>
      </w:r>
    </w:p>
    <w:p w:rsidR="007E152B" w:rsidRDefault="007E152B" w:rsidP="007E152B">
      <w:pPr>
        <w:pStyle w:val="AERbulletlistfirststyle"/>
      </w:pPr>
      <w:r>
        <w:t xml:space="preserve">the </w:t>
      </w:r>
      <w:r w:rsidR="00975E08">
        <w:t>substitutability of assets of different asset lives</w:t>
      </w:r>
      <w:r>
        <w:t>.</w:t>
      </w:r>
    </w:p>
    <w:p w:rsidR="00433F6B" w:rsidRPr="003A3D75" w:rsidRDefault="00433F6B" w:rsidP="00433F6B">
      <w:pPr>
        <w:pStyle w:val="AERbodytext"/>
      </w:pPr>
      <w:r>
        <w:t>This approach is consistent with that in the issues paper.</w:t>
      </w:r>
    </w:p>
    <w:p w:rsidR="00212DD2" w:rsidRPr="003A3D75" w:rsidRDefault="00212DD2" w:rsidP="00447C4B">
      <w:pPr>
        <w:pStyle w:val="Heading2"/>
      </w:pPr>
      <w:bookmarkStart w:id="31" w:name="_Toc363640488"/>
      <w:r w:rsidRPr="003A3D75">
        <w:t>Reasons for the proposed approach</w:t>
      </w:r>
      <w:bookmarkEnd w:id="31"/>
    </w:p>
    <w:p w:rsidR="000D3608" w:rsidRDefault="00485EC6" w:rsidP="00485EC6">
      <w:pPr>
        <w:pStyle w:val="AERbodytext"/>
        <w:numPr>
          <w:ilvl w:val="0"/>
          <w:numId w:val="0"/>
        </w:numPr>
      </w:pPr>
      <w:r>
        <w:t xml:space="preserve">The majority of stakeholders that commented on the </w:t>
      </w:r>
      <w:r w:rsidR="004D1914">
        <w:t>form</w:t>
      </w:r>
      <w:r>
        <w:t xml:space="preserve"> of depreciation supported our position in the issues paper that forecast depreciation should be the default approach</w:t>
      </w:r>
      <w:r w:rsidR="004D1914">
        <w:t xml:space="preserve"> where a CESS i</w:t>
      </w:r>
      <w:r>
        <w:t>s in place.</w:t>
      </w:r>
      <w:r>
        <w:rPr>
          <w:rStyle w:val="FootnoteReference"/>
        </w:rPr>
        <w:footnoteReference w:id="64"/>
      </w:r>
      <w:r>
        <w:t xml:space="preserve"> Only CitiPower, </w:t>
      </w:r>
      <w:r w:rsidRPr="00485EC6">
        <w:t xml:space="preserve">Powercor </w:t>
      </w:r>
      <w:r>
        <w:t xml:space="preserve">and </w:t>
      </w:r>
      <w:r w:rsidRPr="00485EC6">
        <w:t>SA Power</w:t>
      </w:r>
      <w:r>
        <w:t xml:space="preserve"> (in their joint submission) </w:t>
      </w:r>
      <w:r w:rsidR="002722F7">
        <w:t>preferred</w:t>
      </w:r>
      <w:r>
        <w:t xml:space="preserve"> actual depreciation.</w:t>
      </w:r>
      <w:r w:rsidR="00645188">
        <w:rPr>
          <w:rStyle w:val="FootnoteReference"/>
        </w:rPr>
        <w:footnoteReference w:id="65"/>
      </w:r>
      <w:r>
        <w:t xml:space="preserve"> </w:t>
      </w:r>
    </w:p>
    <w:p w:rsidR="00485EC6" w:rsidRDefault="00485EC6" w:rsidP="00485EC6">
      <w:pPr>
        <w:pStyle w:val="AERbodytext"/>
        <w:numPr>
          <w:ilvl w:val="0"/>
          <w:numId w:val="0"/>
        </w:numPr>
      </w:pPr>
      <w:r>
        <w:t xml:space="preserve">Grid Australia </w:t>
      </w:r>
      <w:r w:rsidR="00FC40B0">
        <w:t xml:space="preserve">disagreed that </w:t>
      </w:r>
      <w:r>
        <w:t xml:space="preserve">actual depreciation should </w:t>
      </w:r>
      <w:r w:rsidR="00FC40B0">
        <w:t>be considered where there is persistent ov</w:t>
      </w:r>
      <w:r>
        <w:t>erspending</w:t>
      </w:r>
      <w:r w:rsidR="00FC40B0">
        <w:t>. It</w:t>
      </w:r>
      <w:r>
        <w:t xml:space="preserve"> </w:t>
      </w:r>
      <w:r w:rsidR="00FC40B0">
        <w:t xml:space="preserve">suggested that </w:t>
      </w:r>
      <w:r>
        <w:t>persistent inefficiency</w:t>
      </w:r>
      <w:r w:rsidR="00FC40B0">
        <w:t xml:space="preserve"> is </w:t>
      </w:r>
      <w:r w:rsidR="000D3608">
        <w:t>the relevant issue rather than persistent overspending</w:t>
      </w:r>
      <w:r>
        <w:t>.</w:t>
      </w:r>
      <w:r w:rsidR="00645188">
        <w:rPr>
          <w:rStyle w:val="FootnoteReference"/>
        </w:rPr>
        <w:footnoteReference w:id="66"/>
      </w:r>
      <w:r w:rsidR="00DF3C96">
        <w:t xml:space="preserve"> </w:t>
      </w:r>
    </w:p>
    <w:p w:rsidR="00485EC6" w:rsidRDefault="00B42F90" w:rsidP="00485EC6">
      <w:pPr>
        <w:pStyle w:val="AERbodytext"/>
        <w:numPr>
          <w:ilvl w:val="0"/>
          <w:numId w:val="0"/>
        </w:numPr>
      </w:pPr>
      <w:r>
        <w:t>O</w:t>
      </w:r>
      <w:r w:rsidR="00433F6B">
        <w:t>nly three parties commented on the f</w:t>
      </w:r>
      <w:r w:rsidR="00485EC6">
        <w:t>actors that we would consider if we were to consider applying actual depreciation</w:t>
      </w:r>
      <w:r w:rsidR="00433F6B">
        <w:t>. These parties supported our approach in the issues paper</w:t>
      </w:r>
      <w:r w:rsidR="00485EC6">
        <w:t>.</w:t>
      </w:r>
      <w:r w:rsidR="00485EC6" w:rsidRPr="00485EC6">
        <w:rPr>
          <w:rStyle w:val="FootnoteReference"/>
        </w:rPr>
        <w:footnoteReference w:id="67"/>
      </w:r>
      <w:r w:rsidR="00485EC6">
        <w:t xml:space="preserve"> </w:t>
      </w:r>
    </w:p>
    <w:p w:rsidR="00FC40B0" w:rsidRDefault="00FC40B0" w:rsidP="00086569">
      <w:pPr>
        <w:pStyle w:val="AERbodytext"/>
        <w:numPr>
          <w:ilvl w:val="0"/>
          <w:numId w:val="13"/>
        </w:numPr>
      </w:pPr>
      <w:r>
        <w:t>Given that we are recommending a symmetric CESS to apply to all NSPs, and the general support for our approach in the issues paper, we maintain that forecast depreciation should be the default approach.</w:t>
      </w:r>
      <w:r w:rsidR="00CC66F4">
        <w:t xml:space="preserve"> This is because we can already choose the strength of the incentive through the CESS and use of forecast depreciation results in constant incentives across </w:t>
      </w:r>
      <w:r w:rsidR="00655D18">
        <w:t xml:space="preserve">the regulatory control period and across </w:t>
      </w:r>
      <w:r w:rsidR="00CC66F4">
        <w:t xml:space="preserve">assets of different lives. In comparison, actual depreciation </w:t>
      </w:r>
      <w:r w:rsidR="00655D18">
        <w:t xml:space="preserve">would result in a declining incentive over the regulatory control period. Further, use of actual depreciation </w:t>
      </w:r>
      <w:r w:rsidR="00CC66F4">
        <w:t xml:space="preserve">provides </w:t>
      </w:r>
      <w:r w:rsidR="00655D18">
        <w:t>a higher incentive</w:t>
      </w:r>
      <w:r w:rsidR="00CC66F4">
        <w:t xml:space="preserve"> for assets with shorter lives. </w:t>
      </w:r>
      <w:r w:rsidR="00655D18">
        <w:t xml:space="preserve">This is because </w:t>
      </w:r>
      <w:r w:rsidR="00655D18" w:rsidRPr="00655D18">
        <w:t xml:space="preserve">for shorter lived assets, more of the depreciation will occur during the regulatory period than for longer lived assets. </w:t>
      </w:r>
      <w:r w:rsidR="00CC66F4">
        <w:t>This could potentially lead NSPs to substitute between assets of different asset lives</w:t>
      </w:r>
      <w:r w:rsidR="00433F6B">
        <w:t xml:space="preserve"> to the extent that these are substitutable</w:t>
      </w:r>
      <w:r w:rsidR="00CC66F4">
        <w:t>.</w:t>
      </w:r>
    </w:p>
    <w:p w:rsidR="00FC40B0" w:rsidRDefault="00FC40B0" w:rsidP="00086569">
      <w:pPr>
        <w:pStyle w:val="AERbodytext"/>
        <w:numPr>
          <w:ilvl w:val="0"/>
          <w:numId w:val="13"/>
        </w:numPr>
      </w:pPr>
      <w:r>
        <w:t xml:space="preserve">In the event that a NSP is not subject to a CESS, there may be a case for using actual depreciation to strengthen the incentives for efficient capex. In addition, if we believe that the incentives provided through the CESS are not </w:t>
      </w:r>
      <w:r w:rsidR="00CC66F4">
        <w:t>leading to efficient capex outcomes</w:t>
      </w:r>
      <w:r>
        <w:t>, there could be a case for</w:t>
      </w:r>
      <w:r w:rsidR="00CC66F4">
        <w:t xml:space="preserve"> using</w:t>
      </w:r>
      <w:r>
        <w:t xml:space="preserve"> actual depreciation. </w:t>
      </w:r>
      <w:r w:rsidR="00CC66F4">
        <w:t>Evidence of persistent overspending and/or capex inefficiency could be used to assess whether</w:t>
      </w:r>
      <w:r>
        <w:t xml:space="preserve"> </w:t>
      </w:r>
      <w:r w:rsidR="00CC66F4">
        <w:t>the incentives are sufficient.</w:t>
      </w:r>
    </w:p>
    <w:p w:rsidR="00CC66F4" w:rsidRDefault="00CC66F4" w:rsidP="00086569">
      <w:pPr>
        <w:pStyle w:val="AERbodytext"/>
        <w:numPr>
          <w:ilvl w:val="0"/>
          <w:numId w:val="13"/>
        </w:numPr>
      </w:pPr>
      <w:r>
        <w:t>Hence, there remain two circumstances in which we would consider applying actual depreciation:</w:t>
      </w:r>
    </w:p>
    <w:p w:rsidR="00CC66F4" w:rsidRDefault="00CC66F4" w:rsidP="00CC66F4">
      <w:pPr>
        <w:pStyle w:val="AERbulletlistfirststyle"/>
      </w:pPr>
      <w:r>
        <w:t>where a CESS does not apply, or</w:t>
      </w:r>
    </w:p>
    <w:p w:rsidR="00CC66F4" w:rsidRDefault="00CC66F4" w:rsidP="00CC66F4">
      <w:pPr>
        <w:pStyle w:val="AERbulletlistfirststyle"/>
      </w:pPr>
      <w:proofErr w:type="gramStart"/>
      <w:r>
        <w:t>where</w:t>
      </w:r>
      <w:proofErr w:type="gramEnd"/>
      <w:r>
        <w:t xml:space="preserve"> the NSP has persistently overspent on capex or </w:t>
      </w:r>
      <w:r w:rsidR="00627371">
        <w:t xml:space="preserve">persistently </w:t>
      </w:r>
      <w:r>
        <w:t>incurred inefficient capex.</w:t>
      </w:r>
    </w:p>
    <w:p w:rsidR="00086569" w:rsidRPr="00FB2897" w:rsidRDefault="00FC59A1" w:rsidP="00CC66F4">
      <w:pPr>
        <w:pStyle w:val="AERbodytext"/>
      </w:pPr>
      <w:r>
        <w:t>I</w:t>
      </w:r>
      <w:r w:rsidR="00CC66F4">
        <w:t>n deciding whether to apply actual depreciation in these circumstances we will consider</w:t>
      </w:r>
      <w:r w:rsidR="00086569" w:rsidRPr="00FB2897">
        <w:t>:</w:t>
      </w:r>
    </w:p>
    <w:p w:rsidR="00086569" w:rsidRPr="00FB2897" w:rsidRDefault="00086569" w:rsidP="00086569">
      <w:pPr>
        <w:pStyle w:val="AERbulletlistfirststyle"/>
      </w:pPr>
      <w:r w:rsidRPr="00FB2897">
        <w:t>the substitutability between opex and capex and the balance of incentives between opex and capex</w:t>
      </w:r>
    </w:p>
    <w:p w:rsidR="00485EC6" w:rsidRDefault="00086569" w:rsidP="00086569">
      <w:pPr>
        <w:pStyle w:val="AERbulletlistfirststyle"/>
      </w:pPr>
      <w:r w:rsidRPr="00FB2897">
        <w:t>the balance of incentives w</w:t>
      </w:r>
      <w:r w:rsidR="00485EC6">
        <w:t xml:space="preserve">ith service </w:t>
      </w:r>
    </w:p>
    <w:p w:rsidR="00212DD2" w:rsidRDefault="00485EC6" w:rsidP="00086569">
      <w:pPr>
        <w:pStyle w:val="AERbulletlistfirststyle"/>
      </w:pPr>
      <w:r>
        <w:t>the substitutability of assets of different asset lives</w:t>
      </w:r>
      <w:r w:rsidR="00086569" w:rsidRPr="00FB2897">
        <w:t>.</w:t>
      </w:r>
    </w:p>
    <w:p w:rsidR="00120D39" w:rsidRDefault="00120D39" w:rsidP="00120D39">
      <w:pPr>
        <w:pStyle w:val="AERbodytext"/>
      </w:pPr>
      <w:r>
        <w:t xml:space="preserve">We consider that this approach meets </w:t>
      </w:r>
      <w:r w:rsidR="00627371">
        <w:t xml:space="preserve">the </w:t>
      </w:r>
      <w:r>
        <w:t>necessary requirements of the NER</w:t>
      </w:r>
      <w:r w:rsidR="006D0467">
        <w:t>, outlined above</w:t>
      </w:r>
      <w:r>
        <w:t>.</w:t>
      </w:r>
    </w:p>
    <w:p w:rsidR="00212DD2" w:rsidRDefault="00212DD2" w:rsidP="00212DD2">
      <w:pPr>
        <w:pStyle w:val="Heading1"/>
      </w:pPr>
      <w:bookmarkStart w:id="32" w:name="_Toc363640489"/>
      <w:r>
        <w:t>Ex post measures</w:t>
      </w:r>
      <w:bookmarkEnd w:id="32"/>
    </w:p>
    <w:p w:rsidR="006D0467" w:rsidRDefault="006D0467" w:rsidP="006D0467">
      <w:pPr>
        <w:pStyle w:val="AERbodytext"/>
        <w:numPr>
          <w:ilvl w:val="0"/>
          <w:numId w:val="13"/>
        </w:numPr>
      </w:pPr>
      <w:r>
        <w:t xml:space="preserve">This </w:t>
      </w:r>
      <w:r w:rsidR="00DD39A5">
        <w:t xml:space="preserve">chapter </w:t>
      </w:r>
      <w:r>
        <w:t xml:space="preserve">considers </w:t>
      </w:r>
      <w:r w:rsidR="00C84352">
        <w:t xml:space="preserve">our process for implementing the new </w:t>
      </w:r>
      <w:r>
        <w:t xml:space="preserve">ex post measures for </w:t>
      </w:r>
      <w:r w:rsidR="00893682">
        <w:t xml:space="preserve">incentivising </w:t>
      </w:r>
      <w:r>
        <w:t>efficient capex</w:t>
      </w:r>
      <w:r w:rsidR="00DD39A5">
        <w:t>. These include</w:t>
      </w:r>
      <w:r>
        <w:t>:</w:t>
      </w:r>
    </w:p>
    <w:p w:rsidR="006D0467" w:rsidRDefault="006D0467" w:rsidP="006D0467">
      <w:pPr>
        <w:pStyle w:val="AERbulletlistfirststyle"/>
      </w:pPr>
      <w:r>
        <w:t>the AER</w:t>
      </w:r>
      <w:r w:rsidR="00DD39A5">
        <w:t xml:space="preserve">'s process for making a </w:t>
      </w:r>
      <w:r w:rsidR="00C84352">
        <w:t>statement on the efficiency of</w:t>
      </w:r>
      <w:r w:rsidR="00DD39A5">
        <w:t xml:space="preserve"> capex </w:t>
      </w:r>
      <w:r w:rsidR="00C84352">
        <w:t>being rolled into</w:t>
      </w:r>
      <w:r w:rsidR="00DD39A5">
        <w:t xml:space="preserve"> the RAB</w:t>
      </w:r>
    </w:p>
    <w:p w:rsidR="006D0467" w:rsidRDefault="006D0467" w:rsidP="006D0467">
      <w:pPr>
        <w:pStyle w:val="AERbulletlistfirststyle"/>
      </w:pPr>
      <w:r>
        <w:t xml:space="preserve">the AER's </w:t>
      </w:r>
      <w:r w:rsidR="00C84352">
        <w:t xml:space="preserve">process for determining whether to </w:t>
      </w:r>
      <w:r>
        <w:t>exclude from the RAB:</w:t>
      </w:r>
    </w:p>
    <w:p w:rsidR="006D0467" w:rsidRDefault="00C84352" w:rsidP="006D0467">
      <w:pPr>
        <w:pStyle w:val="AERbulletlistsecondstyle"/>
      </w:pPr>
      <w:r>
        <w:t>inefficient capex overspends</w:t>
      </w:r>
    </w:p>
    <w:p w:rsidR="006D0467" w:rsidRDefault="006D0467" w:rsidP="006D0467">
      <w:pPr>
        <w:pStyle w:val="AERbulletlistsecondstyle"/>
      </w:pPr>
      <w:r>
        <w:t>inefficient related party margins</w:t>
      </w:r>
    </w:p>
    <w:p w:rsidR="006D0467" w:rsidRPr="006D5762" w:rsidRDefault="006D0467" w:rsidP="006D0467">
      <w:pPr>
        <w:pStyle w:val="AERbulletlistsecondstyle"/>
      </w:pPr>
      <w:r>
        <w:t xml:space="preserve">opex that has been capitalised due to a change in </w:t>
      </w:r>
      <w:r w:rsidR="00C84352">
        <w:t xml:space="preserve">a NSP's </w:t>
      </w:r>
      <w:r>
        <w:t xml:space="preserve">capitalisation </w:t>
      </w:r>
      <w:r w:rsidR="00C84352">
        <w:t>policy</w:t>
      </w:r>
      <w:r>
        <w:t>.</w:t>
      </w:r>
    </w:p>
    <w:p w:rsidR="00212DD2" w:rsidRPr="003A3D75" w:rsidRDefault="00212DD2" w:rsidP="00447C4B">
      <w:pPr>
        <w:pStyle w:val="Heading2"/>
      </w:pPr>
      <w:bookmarkStart w:id="33" w:name="_Toc363640490"/>
      <w:r w:rsidRPr="003A3D75">
        <w:t>Issue</w:t>
      </w:r>
      <w:bookmarkEnd w:id="33"/>
    </w:p>
    <w:p w:rsidR="006D0467" w:rsidRDefault="006D0467" w:rsidP="006D0467">
      <w:pPr>
        <w:pStyle w:val="AERbodytext"/>
      </w:pPr>
      <w:r w:rsidRPr="006D0467">
        <w:t>Clause</w:t>
      </w:r>
      <w:r>
        <w:t>s</w:t>
      </w:r>
      <w:r w:rsidRPr="006D0467">
        <w:t xml:space="preserve"> 6.12.2(b)</w:t>
      </w:r>
      <w:r>
        <w:t xml:space="preserve"> and</w:t>
      </w:r>
      <w:r w:rsidRPr="006D0467">
        <w:t xml:space="preserve"> 6A.14.2(b) </w:t>
      </w:r>
      <w:r>
        <w:t xml:space="preserve">of the NER </w:t>
      </w:r>
      <w:r w:rsidRPr="006D0467">
        <w:t xml:space="preserve">require the AER to make a </w:t>
      </w:r>
      <w:r w:rsidR="0050267D">
        <w:t xml:space="preserve">statement (as part of any draft and final determination decision) on </w:t>
      </w:r>
      <w:r w:rsidRPr="006D0467">
        <w:t>whether the roll forward of the RAB meets the capital expenditure ince</w:t>
      </w:r>
      <w:r w:rsidR="0050267D">
        <w:t xml:space="preserve">ntive objective (see </w:t>
      </w:r>
      <w:r w:rsidR="006939A2">
        <w:t>appendix</w:t>
      </w:r>
      <w:r w:rsidR="0050267D">
        <w:t> </w:t>
      </w:r>
      <w:r w:rsidR="006939A2">
        <w:t>B</w:t>
      </w:r>
      <w:r w:rsidRPr="006D0467">
        <w:t xml:space="preserve">). </w:t>
      </w:r>
      <w:r>
        <w:t>Th</w:t>
      </w:r>
      <w:r w:rsidR="0050267D">
        <w:t xml:space="preserve">e relevant period for this statement is the </w:t>
      </w:r>
      <w:r>
        <w:t>regulatory control period.</w:t>
      </w:r>
    </w:p>
    <w:p w:rsidR="006D0467" w:rsidRPr="006D0467" w:rsidRDefault="006D0467" w:rsidP="006D0467">
      <w:pPr>
        <w:pStyle w:val="AERbodytext"/>
        <w:numPr>
          <w:ilvl w:val="0"/>
          <w:numId w:val="13"/>
        </w:numPr>
        <w:rPr>
          <w:rFonts w:eastAsia="Calibri"/>
        </w:rPr>
      </w:pPr>
      <w:r>
        <w:rPr>
          <w:rFonts w:eastAsia="Calibri"/>
        </w:rPr>
        <w:t xml:space="preserve">Clauses </w:t>
      </w:r>
      <w:r w:rsidRPr="006D0467">
        <w:rPr>
          <w:rFonts w:eastAsia="Calibri"/>
        </w:rPr>
        <w:t xml:space="preserve">S6.2.2A </w:t>
      </w:r>
      <w:r>
        <w:rPr>
          <w:rFonts w:eastAsia="Calibri"/>
        </w:rPr>
        <w:t xml:space="preserve">and </w:t>
      </w:r>
      <w:r w:rsidRPr="006D0467">
        <w:rPr>
          <w:rFonts w:eastAsia="Calibri"/>
        </w:rPr>
        <w:t xml:space="preserve">S6A.2.2A </w:t>
      </w:r>
      <w:r>
        <w:rPr>
          <w:rFonts w:eastAsia="Calibri"/>
        </w:rPr>
        <w:t xml:space="preserve">of the NER </w:t>
      </w:r>
      <w:r w:rsidRPr="006D0467">
        <w:rPr>
          <w:rFonts w:eastAsia="Calibri"/>
        </w:rPr>
        <w:t xml:space="preserve">provide that the AER may </w:t>
      </w:r>
      <w:r w:rsidR="0050267D">
        <w:rPr>
          <w:rFonts w:eastAsia="Calibri"/>
        </w:rPr>
        <w:t xml:space="preserve">exclude capex from being rolled into the </w:t>
      </w:r>
      <w:r w:rsidRPr="006D0467">
        <w:rPr>
          <w:rFonts w:eastAsia="Calibri"/>
        </w:rPr>
        <w:t>RAB</w:t>
      </w:r>
      <w:r w:rsidR="0050267D">
        <w:rPr>
          <w:rFonts w:eastAsia="Calibri"/>
        </w:rPr>
        <w:t xml:space="preserve"> in certain circumstances</w:t>
      </w:r>
      <w:r w:rsidRPr="006D0467">
        <w:rPr>
          <w:rFonts w:eastAsia="Calibri"/>
        </w:rPr>
        <w:t>:</w:t>
      </w:r>
    </w:p>
    <w:p w:rsidR="006D0467" w:rsidRPr="006D0467" w:rsidRDefault="006D0467" w:rsidP="006D0467">
      <w:pPr>
        <w:pStyle w:val="AERbulletlistfirststyle"/>
        <w:rPr>
          <w:rFonts w:eastAsia="Calibri"/>
        </w:rPr>
      </w:pPr>
      <w:r w:rsidRPr="006D0467">
        <w:rPr>
          <w:rFonts w:eastAsia="Calibri"/>
        </w:rPr>
        <w:t>where a NSP has spent more than its capex allowance</w:t>
      </w:r>
      <w:r w:rsidRPr="006D0467">
        <w:rPr>
          <w:rStyle w:val="FootnoteReference"/>
          <w:rFonts w:eastAsia="Calibri"/>
        </w:rPr>
        <w:footnoteReference w:id="68"/>
      </w:r>
      <w:r w:rsidRPr="006D0467">
        <w:rPr>
          <w:rFonts w:eastAsia="Calibri"/>
        </w:rPr>
        <w:t xml:space="preserve">, the AER may exclude inefficient capex </w:t>
      </w:r>
      <w:r w:rsidR="0050267D">
        <w:rPr>
          <w:rFonts w:eastAsia="Calibri"/>
        </w:rPr>
        <w:t>overspends</w:t>
      </w:r>
      <w:r w:rsidRPr="006D0467">
        <w:rPr>
          <w:rFonts w:eastAsia="Calibri"/>
        </w:rPr>
        <w:t xml:space="preserve"> from being included in the RAB </w:t>
      </w:r>
    </w:p>
    <w:p w:rsidR="006D0467" w:rsidRPr="006D0467" w:rsidRDefault="006D0467" w:rsidP="006D0467">
      <w:pPr>
        <w:pStyle w:val="AERbulletlistfirststyle"/>
        <w:rPr>
          <w:rFonts w:eastAsia="Calibri"/>
        </w:rPr>
      </w:pPr>
      <w:r w:rsidRPr="006D0467">
        <w:rPr>
          <w:rFonts w:eastAsia="Calibri"/>
        </w:rPr>
        <w:t xml:space="preserve">where a NSP </w:t>
      </w:r>
      <w:r w:rsidR="0050267D">
        <w:rPr>
          <w:rFonts w:eastAsia="Calibri"/>
        </w:rPr>
        <w:t xml:space="preserve">has paid a </w:t>
      </w:r>
      <w:r>
        <w:rPr>
          <w:rStyle w:val="AERbody"/>
        </w:rPr>
        <w:t xml:space="preserve">margin </w:t>
      </w:r>
      <w:r w:rsidR="0050267D">
        <w:rPr>
          <w:rStyle w:val="AERbody"/>
        </w:rPr>
        <w:t>to a related party</w:t>
      </w:r>
      <w:r>
        <w:rPr>
          <w:rStyle w:val="AERbody"/>
        </w:rPr>
        <w:t xml:space="preserve">, the AER </w:t>
      </w:r>
      <w:r w:rsidRPr="006D0467">
        <w:rPr>
          <w:rFonts w:eastAsia="Calibri"/>
        </w:rPr>
        <w:t xml:space="preserve">may exclude </w:t>
      </w:r>
      <w:r w:rsidR="0050267D">
        <w:rPr>
          <w:rFonts w:eastAsia="Calibri"/>
        </w:rPr>
        <w:t>any inflated</w:t>
      </w:r>
      <w:r w:rsidRPr="006D0467">
        <w:rPr>
          <w:rFonts w:eastAsia="Calibri"/>
        </w:rPr>
        <w:t xml:space="preserve"> portion of the margin from entering the RAB </w:t>
      </w:r>
    </w:p>
    <w:p w:rsidR="006D0467" w:rsidRPr="006D0467" w:rsidRDefault="006D0467" w:rsidP="006D0467">
      <w:pPr>
        <w:pStyle w:val="AERbulletlistfirststyle"/>
        <w:rPr>
          <w:rFonts w:eastAsia="Calibri"/>
        </w:rPr>
      </w:pPr>
      <w:r w:rsidRPr="006D0467">
        <w:rPr>
          <w:rFonts w:eastAsia="Calibri"/>
        </w:rPr>
        <w:t>where a NSP's capex includes expenditure that was classified as opex at the time of the determination, the AER may exclude this from the RAB.</w:t>
      </w:r>
    </w:p>
    <w:p w:rsidR="006D0467" w:rsidRPr="006D0467" w:rsidRDefault="006D0467" w:rsidP="006D0467">
      <w:pPr>
        <w:pStyle w:val="AERbodytext"/>
      </w:pPr>
      <w:r w:rsidRPr="006D0467">
        <w:rPr>
          <w:rFonts w:eastAsia="Calibri"/>
        </w:rPr>
        <w:t xml:space="preserve">The relevant period </w:t>
      </w:r>
      <w:r>
        <w:rPr>
          <w:rFonts w:eastAsia="Calibri"/>
        </w:rPr>
        <w:t>for such exclusions is</w:t>
      </w:r>
      <w:r w:rsidRPr="006D0467">
        <w:rPr>
          <w:rFonts w:eastAsia="Calibri"/>
        </w:rPr>
        <w:t xml:space="preserve"> the first three years of the regulatory control period just ending and the last two years of the preceding regulatory control period.</w:t>
      </w:r>
    </w:p>
    <w:p w:rsidR="006D0467" w:rsidRPr="006D0467" w:rsidRDefault="006D0467" w:rsidP="006D0467">
      <w:pPr>
        <w:pStyle w:val="AERbodytext"/>
      </w:pPr>
      <w:r>
        <w:t>In</w:t>
      </w:r>
      <w:r w:rsidR="00E40A1F">
        <w:t xml:space="preserve"> our issues paper we proposed a staged</w:t>
      </w:r>
      <w:r>
        <w:t xml:space="preserve"> approach to assessing a NSP's capex efficiency</w:t>
      </w:r>
      <w:r w:rsidR="00627371">
        <w:t xml:space="preserve"> ex post</w:t>
      </w:r>
      <w:r>
        <w:t xml:space="preserve">. This could be used to inform the statement of efficiency and any ex post exclusion of inefficient capex from the RAB. </w:t>
      </w:r>
      <w:r w:rsidR="00231126">
        <w:t xml:space="preserve">We noted that while ex post measures can be effective, our preference was to use ex ante measures as the primary means of driving efficient capex. </w:t>
      </w:r>
      <w:r>
        <w:t>The issues paper also outlined a proposed approach for assessing related party margins and capitalisation of opex.</w:t>
      </w:r>
      <w:r w:rsidR="00231126">
        <w:t xml:space="preserve"> </w:t>
      </w:r>
    </w:p>
    <w:p w:rsidR="00212DD2" w:rsidRPr="00447C4B" w:rsidRDefault="00212DD2" w:rsidP="00447C4B">
      <w:pPr>
        <w:pStyle w:val="Heading2"/>
        <w:rPr>
          <w:rStyle w:val="AERbody"/>
          <w:color w:val="E36C0A"/>
          <w:sz w:val="28"/>
        </w:rPr>
      </w:pPr>
      <w:bookmarkStart w:id="34" w:name="_Toc363640491"/>
      <w:r w:rsidRPr="003A3D75">
        <w:t xml:space="preserve">Proposed </w:t>
      </w:r>
      <w:r w:rsidRPr="00447C4B">
        <w:t>approach</w:t>
      </w:r>
      <w:bookmarkEnd w:id="34"/>
    </w:p>
    <w:p w:rsidR="00212DD2" w:rsidRDefault="006D0467" w:rsidP="00212DD2">
      <w:pPr>
        <w:pStyle w:val="AERbodytext"/>
        <w:numPr>
          <w:ilvl w:val="0"/>
          <w:numId w:val="13"/>
        </w:numPr>
      </w:pPr>
      <w:r>
        <w:t xml:space="preserve">Our draft decision is </w:t>
      </w:r>
      <w:r w:rsidR="00723DB3">
        <w:t xml:space="preserve">to </w:t>
      </w:r>
      <w:r w:rsidR="00E40A1F">
        <w:t>apply a t</w:t>
      </w:r>
      <w:r w:rsidR="000B5A80">
        <w:t>wo</w:t>
      </w:r>
      <w:r w:rsidR="00E40A1F">
        <w:t xml:space="preserve"> staged process to assess the efficiency of capex</w:t>
      </w:r>
      <w:r w:rsidR="00DB442D">
        <w:t xml:space="preserve"> (figure </w:t>
      </w:r>
      <w:r w:rsidR="00602E56">
        <w:t>3</w:t>
      </w:r>
      <w:r w:rsidR="00DB442D">
        <w:t>)</w:t>
      </w:r>
      <w:r w:rsidR="00E40A1F">
        <w:t>:</w:t>
      </w:r>
    </w:p>
    <w:p w:rsidR="00B42F90" w:rsidRDefault="00E40A1F" w:rsidP="00B42F90">
      <w:pPr>
        <w:pStyle w:val="AERbodytext"/>
      </w:pPr>
      <w:r>
        <w:t xml:space="preserve">The first stage would consider </w:t>
      </w:r>
      <w:r w:rsidR="00B42F90">
        <w:t>a number of factors including:</w:t>
      </w:r>
    </w:p>
    <w:p w:rsidR="00B42F90" w:rsidRDefault="00B42F90" w:rsidP="00B42F90">
      <w:pPr>
        <w:pStyle w:val="AERbulletlistsecondstyle"/>
      </w:pPr>
      <w:r>
        <w:t>whether the NSP had overspent over the period</w:t>
      </w:r>
    </w:p>
    <w:p w:rsidR="00B42F90" w:rsidRDefault="00E40A1F" w:rsidP="00B42F90">
      <w:pPr>
        <w:pStyle w:val="AERbulletlistsecondstyle"/>
      </w:pPr>
      <w:r>
        <w:t>the si</w:t>
      </w:r>
      <w:r w:rsidR="00B42F90">
        <w:t>gnificance of any overspend</w:t>
      </w:r>
    </w:p>
    <w:p w:rsidR="005D47B6" w:rsidRDefault="00E33796" w:rsidP="005D47B6">
      <w:pPr>
        <w:pStyle w:val="AERbulletlistsecondstyle"/>
      </w:pPr>
      <w:r>
        <w:t>the NSP's capex history</w:t>
      </w:r>
    </w:p>
    <w:p w:rsidR="00E40A1F" w:rsidRDefault="00B42F90" w:rsidP="00B42F90">
      <w:pPr>
        <w:pStyle w:val="AERbulletlistsecondstyle"/>
      </w:pPr>
      <w:proofErr w:type="gramStart"/>
      <w:r>
        <w:t>how</w:t>
      </w:r>
      <w:proofErr w:type="gramEnd"/>
      <w:r>
        <w:t xml:space="preserve"> the NSP had performed relative to</w:t>
      </w:r>
      <w:r w:rsidR="00E40A1F">
        <w:t xml:space="preserve"> similar NSPs.</w:t>
      </w:r>
    </w:p>
    <w:p w:rsidR="00E40A1F" w:rsidRDefault="00E40A1F" w:rsidP="00B42F90">
      <w:pPr>
        <w:pStyle w:val="AERbodytext"/>
      </w:pPr>
      <w:r>
        <w:t>The second stage would consider the NSP's p</w:t>
      </w:r>
      <w:r w:rsidR="00B9037C">
        <w:t>rocesses for project management alongside a</w:t>
      </w:r>
      <w:r>
        <w:t xml:space="preserve"> detailed review of the NSP's capex.</w:t>
      </w:r>
      <w:r w:rsidR="00CB260A">
        <w:t xml:space="preserve"> </w:t>
      </w:r>
    </w:p>
    <w:p w:rsidR="00CA7BC7" w:rsidRDefault="00CA7BC7" w:rsidP="00CA7BC7">
      <w:pPr>
        <w:pStyle w:val="Caption"/>
      </w:pPr>
      <w:r w:rsidRPr="00E40A1F">
        <w:t xml:space="preserve">Figure </w:t>
      </w:r>
      <w:r w:rsidR="00602E56">
        <w:t>3</w:t>
      </w:r>
      <w:r w:rsidRPr="00E40A1F">
        <w:tab/>
        <w:t>St</w:t>
      </w:r>
      <w:r>
        <w:t>aged process for ex post review</w:t>
      </w:r>
    </w:p>
    <w:p w:rsidR="00CA7BC7" w:rsidRPr="00CA7BC7" w:rsidRDefault="00E33796" w:rsidP="00E33796">
      <w:pPr>
        <w:pStyle w:val="AERbodytext"/>
      </w:pPr>
      <w:r w:rsidRPr="00E33796">
        <w:rPr>
          <w:noProof/>
          <w:lang w:eastAsia="en-AU"/>
        </w:rPr>
        <w:drawing>
          <wp:inline distT="0" distB="0" distL="0" distR="0" wp14:anchorId="1A7ABD16" wp14:editId="71B4BFB1">
            <wp:extent cx="5731510" cy="42371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237136"/>
                    </a:xfrm>
                    <a:prstGeom prst="rect">
                      <a:avLst/>
                    </a:prstGeom>
                    <a:noFill/>
                    <a:ln>
                      <a:noFill/>
                    </a:ln>
                  </pic:spPr>
                </pic:pic>
              </a:graphicData>
            </a:graphic>
          </wp:inline>
        </w:drawing>
      </w:r>
    </w:p>
    <w:p w:rsidR="00231126" w:rsidRPr="00231126" w:rsidRDefault="00231126" w:rsidP="00231126">
      <w:pPr>
        <w:pStyle w:val="AERbodytext"/>
        <w:numPr>
          <w:ilvl w:val="0"/>
          <w:numId w:val="13"/>
        </w:numPr>
      </w:pPr>
      <w:r w:rsidRPr="00231126">
        <w:t>The intention is that this process would be used to inform both the AER's decision on whether to exclude inefficient overspends from the RAB and the AER's statement on the efficiency of capex being included in the RAB. In respect of any decision to exclude inefficient capex overspends from the RAB, the AER can 'only take into account information and analysis that the NSP could reasonably be expected to have considered or undertaken at the time that it undertook the relevant capital expenditure'.</w:t>
      </w:r>
      <w:r w:rsidRPr="00231126">
        <w:rPr>
          <w:rStyle w:val="FootnoteReference"/>
        </w:rPr>
        <w:footnoteReference w:id="69"/>
      </w:r>
    </w:p>
    <w:p w:rsidR="00CA7BC7" w:rsidRPr="00231126" w:rsidRDefault="00B42F90" w:rsidP="00B42F90">
      <w:pPr>
        <w:pStyle w:val="AERbodytext"/>
        <w:numPr>
          <w:ilvl w:val="0"/>
          <w:numId w:val="13"/>
        </w:numPr>
      </w:pPr>
      <w:r>
        <w:t>As part of a determination we</w:t>
      </w:r>
      <w:r w:rsidR="00E95E5F">
        <w:t xml:space="preserve"> would </w:t>
      </w:r>
      <w:r w:rsidR="00E33796">
        <w:t xml:space="preserve">also </w:t>
      </w:r>
      <w:r w:rsidR="00E95E5F">
        <w:t xml:space="preserve">consider whether we need to adjust the RAB for any changes to a NSP's capitalisation policy. Firstly we will consider whether the </w:t>
      </w:r>
      <w:r w:rsidR="00893682">
        <w:t xml:space="preserve">NSP is subject to a CESS and EBSS that provide relatively balanced </w:t>
      </w:r>
      <w:r w:rsidR="00E95E5F">
        <w:t xml:space="preserve">incentives for </w:t>
      </w:r>
      <w:r w:rsidR="00893682">
        <w:t xml:space="preserve">capex and </w:t>
      </w:r>
      <w:r w:rsidR="00E95E5F">
        <w:t xml:space="preserve">opex. If so, no adjustments need be made to the RAB. </w:t>
      </w:r>
      <w:r w:rsidR="00893682">
        <w:t xml:space="preserve">The NSP's actual capex would be included in the RAB, subject to it </w:t>
      </w:r>
      <w:r w:rsidR="00920061">
        <w:t>passing</w:t>
      </w:r>
      <w:r w:rsidR="00893682">
        <w:t xml:space="preserve"> the ex post review. </w:t>
      </w:r>
      <w:r w:rsidR="00E95E5F">
        <w:t>Where incentives are not balanced we will consider</w:t>
      </w:r>
      <w:r w:rsidR="00CA7BC7" w:rsidRPr="00231126">
        <w:t xml:space="preserve"> </w:t>
      </w:r>
      <w:r w:rsidR="00893682">
        <w:t xml:space="preserve">whether the </w:t>
      </w:r>
      <w:r w:rsidR="00CA7BC7" w:rsidRPr="00231126">
        <w:t xml:space="preserve">NSP changed its capitalisation policy during the period, whether this resulted in opex being treated as capex and if so, whether this should be excluded from the RAB. </w:t>
      </w:r>
      <w:r w:rsidR="00CA7BC7">
        <w:t xml:space="preserve">The process for this is outlined in figure </w:t>
      </w:r>
      <w:r w:rsidR="00602E56">
        <w:t>4</w:t>
      </w:r>
      <w:r w:rsidR="00CA7BC7">
        <w:t>.</w:t>
      </w:r>
    </w:p>
    <w:p w:rsidR="00CA7BC7" w:rsidRDefault="00602E56" w:rsidP="00CA7BC7">
      <w:pPr>
        <w:pStyle w:val="Caption"/>
      </w:pPr>
      <w:r>
        <w:t>Figure 4</w:t>
      </w:r>
      <w:r w:rsidR="00CA7BC7" w:rsidRPr="00CA7BC7">
        <w:tab/>
      </w:r>
      <w:r w:rsidR="00CA7BC7">
        <w:t>Process for assessing capitalisation policy changes</w:t>
      </w:r>
    </w:p>
    <w:p w:rsidR="00CA7BC7" w:rsidRPr="00231126" w:rsidRDefault="00FA575A" w:rsidP="00FA575A">
      <w:pPr>
        <w:pStyle w:val="AERbodytext"/>
      </w:pPr>
      <w:r w:rsidRPr="00FA575A">
        <w:rPr>
          <w:noProof/>
          <w:lang w:eastAsia="en-AU"/>
        </w:rPr>
        <w:drawing>
          <wp:inline distT="0" distB="0" distL="0" distR="0" wp14:anchorId="5BA20C97" wp14:editId="72C9E1C8">
            <wp:extent cx="5731510" cy="27448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744851"/>
                    </a:xfrm>
                    <a:prstGeom prst="rect">
                      <a:avLst/>
                    </a:prstGeom>
                    <a:noFill/>
                    <a:ln>
                      <a:noFill/>
                    </a:ln>
                  </pic:spPr>
                </pic:pic>
              </a:graphicData>
            </a:graphic>
          </wp:inline>
        </w:drawing>
      </w:r>
    </w:p>
    <w:p w:rsidR="00AC22F2" w:rsidRDefault="00AC22F2" w:rsidP="00AC22F2">
      <w:pPr>
        <w:pStyle w:val="AERbodytext"/>
        <w:numPr>
          <w:ilvl w:val="0"/>
          <w:numId w:val="13"/>
        </w:numPr>
      </w:pPr>
      <w:r w:rsidRPr="00AC22F2">
        <w:t>Related party margins would also be assessed to ensure inflated margins are not included in the RAB. If contract arrangements have not changed since the determination, the AER's approved margin would be rolled into the RAB. If arrangements had change</w:t>
      </w:r>
      <w:r w:rsidR="00682B50">
        <w:t>d</w:t>
      </w:r>
      <w:r w:rsidRPr="00AC22F2">
        <w:t xml:space="preserve"> we would have to reconsider the margin using the same process currently used during a determination. This involves a consideration of whether there was an incentive to agree to an inflated margin. If so, the AER would consider whether a competitive tender was held to award the contract. If the NSP had no incentive to agree to an inflated margin or if a competitive tender was used to award the contract, the full contract charge would be included in the RAB. If neither of these conditions held, the AER would only allow the contractor’s actual costs to be rolled into the RAB. A ‘margin’ would only be permitted where the service provider could establish the efficiency and prudency of such a margin.</w:t>
      </w:r>
      <w:r w:rsidRPr="00AC22F2">
        <w:rPr>
          <w:rStyle w:val="FootnoteReference"/>
        </w:rPr>
        <w:footnoteReference w:id="70"/>
      </w:r>
      <w:r w:rsidRPr="00AC22F2">
        <w:t xml:space="preserve"> The process for this is outlined in figure </w:t>
      </w:r>
      <w:r w:rsidR="00602E56">
        <w:t>5</w:t>
      </w:r>
      <w:r w:rsidRPr="00AC22F2">
        <w:t>.</w:t>
      </w:r>
    </w:p>
    <w:p w:rsidR="00461659" w:rsidRPr="00461659" w:rsidRDefault="00461659" w:rsidP="00461659">
      <w:pPr>
        <w:pStyle w:val="AERbodytext"/>
        <w:numPr>
          <w:ilvl w:val="0"/>
          <w:numId w:val="13"/>
        </w:numPr>
      </w:pPr>
      <w:r w:rsidRPr="00461659">
        <w:t>These two processes are detailed in chapter 5 of our draft guidelines.</w:t>
      </w:r>
    </w:p>
    <w:p w:rsidR="00461659" w:rsidRPr="00461659" w:rsidRDefault="00461659" w:rsidP="00461659">
      <w:pPr>
        <w:pStyle w:val="AERbodytext"/>
        <w:numPr>
          <w:ilvl w:val="0"/>
          <w:numId w:val="13"/>
        </w:numPr>
      </w:pPr>
      <w:r w:rsidRPr="00461659">
        <w:t xml:space="preserve">Where we choose not to include capex in the RAB, we will make a corresponding adjustment to the CESS so that NSPs do not incur a 'double penalty'. </w:t>
      </w:r>
    </w:p>
    <w:p w:rsidR="00461659" w:rsidRPr="00461659" w:rsidRDefault="00461659" w:rsidP="00461659">
      <w:pPr>
        <w:pStyle w:val="AERbodytext"/>
        <w:numPr>
          <w:ilvl w:val="0"/>
          <w:numId w:val="13"/>
        </w:numPr>
      </w:pPr>
      <w:r w:rsidRPr="00461659">
        <w:t xml:space="preserve">For years 1, 2 and 3, the ex post review and the CESS will be calculated at the same time (at the end of the relevant regulatory control period). An example of this is outlined in appendix C (and in section 3.5 of the guidelines). </w:t>
      </w:r>
    </w:p>
    <w:p w:rsidR="00461659" w:rsidRPr="00461659" w:rsidRDefault="00461659" w:rsidP="00461659">
      <w:pPr>
        <w:pStyle w:val="AERbodytext"/>
        <w:numPr>
          <w:ilvl w:val="0"/>
          <w:numId w:val="13"/>
        </w:numPr>
      </w:pPr>
      <w:r w:rsidRPr="00461659">
        <w:t>For years 4 and 5, the ex post review will be undertaken later, at the end of the next regulatory control period (so, for a five year regulatory period, five years later). In this case the CESS will have already have been calculated and the RAB rolled forward at the end of the relevant regulatory control period (i.e. at the end of year 5). The CESS and the RAB may need to be amended for actual capex and the outcomes of the ex post review at the end of the following regulatory control period (i.e. five years later). The process for achieving this is outlined in section 3.5 of the guidelines. An example is also provided in appendix C.</w:t>
      </w:r>
    </w:p>
    <w:p w:rsidR="00CA7BC7" w:rsidRDefault="00CA7BC7" w:rsidP="00CA7BC7">
      <w:pPr>
        <w:pStyle w:val="Caption"/>
      </w:pPr>
      <w:r w:rsidRPr="00CA7BC7">
        <w:t xml:space="preserve">Figure </w:t>
      </w:r>
      <w:r w:rsidR="00602E56">
        <w:t>5</w:t>
      </w:r>
      <w:r w:rsidRPr="00CA7BC7">
        <w:tab/>
        <w:t xml:space="preserve">Process for assessing </w:t>
      </w:r>
      <w:r>
        <w:t>related party margins</w:t>
      </w:r>
    </w:p>
    <w:p w:rsidR="00CA7BC7" w:rsidRPr="00CA7BC7" w:rsidRDefault="00CA7BC7" w:rsidP="00AC22F2">
      <w:r w:rsidRPr="00AC22F2">
        <w:rPr>
          <w:noProof/>
          <w:lang w:eastAsia="en-AU"/>
        </w:rPr>
        <w:drawing>
          <wp:inline distT="0" distB="0" distL="0" distR="0" wp14:anchorId="397E9E96" wp14:editId="4996B709">
            <wp:extent cx="5731510" cy="28534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853438"/>
                    </a:xfrm>
                    <a:prstGeom prst="rect">
                      <a:avLst/>
                    </a:prstGeom>
                    <a:noFill/>
                    <a:ln>
                      <a:noFill/>
                    </a:ln>
                  </pic:spPr>
                </pic:pic>
              </a:graphicData>
            </a:graphic>
          </wp:inline>
        </w:drawing>
      </w:r>
    </w:p>
    <w:p w:rsidR="00DB442D" w:rsidRPr="00447C4B" w:rsidRDefault="00DB442D" w:rsidP="0062750D">
      <w:pPr>
        <w:pStyle w:val="Heading2"/>
      </w:pPr>
      <w:bookmarkStart w:id="35" w:name="_Toc363640492"/>
      <w:r w:rsidRPr="00447C4B">
        <w:t>Reasons for the proposed approach</w:t>
      </w:r>
      <w:bookmarkEnd w:id="35"/>
    </w:p>
    <w:p w:rsidR="00DB442D" w:rsidRDefault="002F34A1" w:rsidP="00DB442D">
      <w:r>
        <w:t>There are three main elements to our ex post measures:</w:t>
      </w:r>
    </w:p>
    <w:p w:rsidR="002F34A1" w:rsidRDefault="002F34A1" w:rsidP="002F34A1">
      <w:pPr>
        <w:pStyle w:val="AERbulletlistfirststyle"/>
      </w:pPr>
      <w:r>
        <w:t>our ex post review, to inform our efficiency statement and the exclusion of inefficient capex overspends from the RAB</w:t>
      </w:r>
    </w:p>
    <w:p w:rsidR="00B673C6" w:rsidRDefault="002F34A1" w:rsidP="00B673C6">
      <w:pPr>
        <w:pStyle w:val="AERbulletlistfirststyle"/>
      </w:pPr>
      <w:r>
        <w:t>our ex post assessment of changes t</w:t>
      </w:r>
      <w:r w:rsidR="00B673C6">
        <w:t>o a NSP's capitalisation policy</w:t>
      </w:r>
    </w:p>
    <w:p w:rsidR="002F34A1" w:rsidRDefault="00B673C6" w:rsidP="00B673C6">
      <w:pPr>
        <w:pStyle w:val="AERbulletlistfirststyle"/>
      </w:pPr>
      <w:r>
        <w:t>our ex post assessment of related party margins.</w:t>
      </w:r>
    </w:p>
    <w:p w:rsidR="002F34A1" w:rsidRDefault="000B5A80" w:rsidP="002F34A1">
      <w:pPr>
        <w:pStyle w:val="AERbodytext"/>
      </w:pPr>
      <w:r>
        <w:t>T</w:t>
      </w:r>
      <w:r w:rsidR="002F34A1">
        <w:t>he</w:t>
      </w:r>
      <w:r w:rsidR="00B42F90">
        <w:t xml:space="preserve"> reasons for our proposed approach</w:t>
      </w:r>
      <w:r w:rsidR="002F34A1">
        <w:t xml:space="preserve"> are discussed below.</w:t>
      </w:r>
    </w:p>
    <w:p w:rsidR="002F34A1" w:rsidRDefault="002F34A1" w:rsidP="002F34A1">
      <w:pPr>
        <w:pStyle w:val="Heading3"/>
      </w:pPr>
      <w:r>
        <w:t>Ex post review</w:t>
      </w:r>
    </w:p>
    <w:p w:rsidR="00C42363" w:rsidRDefault="00231126" w:rsidP="002F34A1">
      <w:pPr>
        <w:pStyle w:val="AERbodytext"/>
      </w:pPr>
      <w:r>
        <w:t>PIAC</w:t>
      </w:r>
      <w:r w:rsidR="005114FC">
        <w:t xml:space="preserve">, </w:t>
      </w:r>
      <w:r w:rsidR="009C1742">
        <w:t xml:space="preserve">the </w:t>
      </w:r>
      <w:r w:rsidR="005114FC">
        <w:t>C</w:t>
      </w:r>
      <w:r w:rsidR="009C1742">
        <w:t xml:space="preserve">ouncil of </w:t>
      </w:r>
      <w:r w:rsidR="005114FC">
        <w:t>S</w:t>
      </w:r>
      <w:r w:rsidR="009C1742">
        <w:t>mall Business Austra</w:t>
      </w:r>
      <w:r w:rsidR="00165EBB">
        <w:t>lia (</w:t>
      </w:r>
      <w:r w:rsidR="00DD5759">
        <w:t>COSBOA</w:t>
      </w:r>
      <w:r w:rsidR="009C1742">
        <w:t>)</w:t>
      </w:r>
      <w:r>
        <w:t xml:space="preserve"> and ActewAGL supported our position in the issues paper that ex post measures should be secondary to ex ante measures in incentivising efficient capex.</w:t>
      </w:r>
      <w:r>
        <w:rPr>
          <w:rStyle w:val="FootnoteReference"/>
        </w:rPr>
        <w:footnoteReference w:id="71"/>
      </w:r>
      <w:r>
        <w:t xml:space="preserve"> However, MEU disagreed with this position, </w:t>
      </w:r>
      <w:r w:rsidR="002722F7">
        <w:t>stat</w:t>
      </w:r>
      <w:r>
        <w:t>ing instead that the ex post measures should be used in preference to any CESS.</w:t>
      </w:r>
      <w:r w:rsidR="000656D4">
        <w:rPr>
          <w:rStyle w:val="FootnoteReference"/>
        </w:rPr>
        <w:footnoteReference w:id="72"/>
      </w:r>
      <w:r w:rsidR="00C42363">
        <w:t xml:space="preserve"> </w:t>
      </w:r>
      <w:r w:rsidR="007E09F3">
        <w:t>Aurora also preferred ex post measures above ex ante measures.</w:t>
      </w:r>
      <w:r w:rsidR="007E09F3">
        <w:rPr>
          <w:rStyle w:val="FootnoteReference"/>
        </w:rPr>
        <w:footnoteReference w:id="73"/>
      </w:r>
    </w:p>
    <w:p w:rsidR="002F34A1" w:rsidRDefault="00C42363" w:rsidP="000B5A80">
      <w:pPr>
        <w:pStyle w:val="AERbodytext"/>
      </w:pPr>
      <w:r>
        <w:t xml:space="preserve">Grid Australia </w:t>
      </w:r>
      <w:r w:rsidR="002722F7">
        <w:t>not</w:t>
      </w:r>
      <w:r>
        <w:t>ed that ex post exclusions should only apply in extreme circumstances.</w:t>
      </w:r>
      <w:r w:rsidR="000656D4">
        <w:rPr>
          <w:rStyle w:val="FootnoteReference"/>
        </w:rPr>
        <w:footnoteReference w:id="74"/>
      </w:r>
      <w:r>
        <w:t xml:space="preserve"> Energex suggested that an</w:t>
      </w:r>
      <w:r w:rsidR="000B5A80">
        <w:t>y</w:t>
      </w:r>
      <w:r>
        <w:t xml:space="preserve"> ex post exclusions should only apply where there is a cumulative overspend over the period rather than </w:t>
      </w:r>
      <w:r w:rsidR="00627371">
        <w:t xml:space="preserve">for </w:t>
      </w:r>
      <w:proofErr w:type="gramStart"/>
      <w:r>
        <w:t>an overspend</w:t>
      </w:r>
      <w:proofErr w:type="gramEnd"/>
      <w:r>
        <w:t xml:space="preserve"> in any </w:t>
      </w:r>
      <w:r w:rsidR="000B5A80">
        <w:t xml:space="preserve">single </w:t>
      </w:r>
      <w:r>
        <w:t xml:space="preserve">year of the </w:t>
      </w:r>
      <w:r w:rsidR="00627371">
        <w:t xml:space="preserve">regulatory control </w:t>
      </w:r>
      <w:r>
        <w:t>period.</w:t>
      </w:r>
      <w:r w:rsidR="000656D4">
        <w:rPr>
          <w:rStyle w:val="FootnoteReference"/>
        </w:rPr>
        <w:footnoteReference w:id="75"/>
      </w:r>
      <w:r w:rsidR="000B5A80">
        <w:t xml:space="preserve"> We note that under clauses </w:t>
      </w:r>
      <w:r w:rsidR="000B5A80" w:rsidRPr="000B5A80">
        <w:t>S6.2.2A</w:t>
      </w:r>
      <w:r w:rsidR="000B5A80">
        <w:t xml:space="preserve">(c) and </w:t>
      </w:r>
      <w:r w:rsidR="000B5A80" w:rsidRPr="000B5A80">
        <w:t>S6A.2.2A</w:t>
      </w:r>
      <w:r w:rsidR="000B5A80">
        <w:t>(c)</w:t>
      </w:r>
      <w:r w:rsidR="005825B7">
        <w:t xml:space="preserve"> we can only exclude capex from the RAB if the NSP has overspent in total over the relevant period.</w:t>
      </w:r>
    </w:p>
    <w:p w:rsidR="00466ABD" w:rsidRDefault="00C42363" w:rsidP="00466ABD">
      <w:pPr>
        <w:pStyle w:val="AERbodytext"/>
      </w:pPr>
      <w:r>
        <w:t>The CESS we have recommended is less high powered in respect of overspend</w:t>
      </w:r>
      <w:r w:rsidR="00466ABD">
        <w:t>s</w:t>
      </w:r>
      <w:r>
        <w:t xml:space="preserve"> than </w:t>
      </w:r>
      <w:r w:rsidR="005825B7">
        <w:t>that</w:t>
      </w:r>
      <w:r>
        <w:t xml:space="preserve"> we </w:t>
      </w:r>
      <w:r w:rsidR="00B9037C">
        <w:t>were considering</w:t>
      </w:r>
      <w:r>
        <w:t xml:space="preserve"> in the issues paper. For this reason the CESS i</w:t>
      </w:r>
      <w:r w:rsidR="00920061">
        <w:t>n isolation</w:t>
      </w:r>
      <w:r>
        <w:t xml:space="preserve"> might provide less protection for customers against inefficient overspends. Given this, the role of the ex post review </w:t>
      </w:r>
      <w:r w:rsidR="00466ABD">
        <w:t>will</w:t>
      </w:r>
      <w:r>
        <w:t xml:space="preserve"> potentially </w:t>
      </w:r>
      <w:r w:rsidR="00466ABD">
        <w:t xml:space="preserve">be </w:t>
      </w:r>
      <w:r>
        <w:t xml:space="preserve">greater than what we foresaw when drafting the issues paper. That said, </w:t>
      </w:r>
      <w:r w:rsidR="00B9037C">
        <w:t xml:space="preserve">the </w:t>
      </w:r>
      <w:r w:rsidR="005825B7">
        <w:t>existence</w:t>
      </w:r>
      <w:r w:rsidR="00B9037C">
        <w:t xml:space="preserve"> of the</w:t>
      </w:r>
      <w:r>
        <w:t xml:space="preserve"> CESS and the threat of the ex post review</w:t>
      </w:r>
      <w:r w:rsidR="00B9037C">
        <w:t xml:space="preserve"> should provide NSPs with an incentive to be more</w:t>
      </w:r>
      <w:r>
        <w:t xml:space="preserve"> </w:t>
      </w:r>
      <w:r w:rsidR="00466ABD">
        <w:t xml:space="preserve">efficient and </w:t>
      </w:r>
      <w:r>
        <w:t>prudent in their capex</w:t>
      </w:r>
      <w:r w:rsidR="00B9037C">
        <w:t xml:space="preserve">. This should limit our need to progress the ex post review and our need to </w:t>
      </w:r>
      <w:r>
        <w:t xml:space="preserve">exclude inefficient capex </w:t>
      </w:r>
      <w:r w:rsidR="00B9037C">
        <w:t xml:space="preserve">overspends </w:t>
      </w:r>
      <w:r>
        <w:t>from the RAB.</w:t>
      </w:r>
    </w:p>
    <w:p w:rsidR="000F3B68" w:rsidRPr="000F3B68" w:rsidRDefault="000F3B68" w:rsidP="000F3B68">
      <w:pPr>
        <w:pStyle w:val="AERbodytext"/>
        <w:numPr>
          <w:ilvl w:val="0"/>
          <w:numId w:val="13"/>
        </w:numPr>
      </w:pPr>
      <w:r w:rsidRPr="000F3B68">
        <w:t>While our staged approach to the ex post review was supported by the ENA, NSW DNSPs, PIAC, Grid Australia and SP AusNet</w:t>
      </w:r>
      <w:r w:rsidR="000656D4">
        <w:rPr>
          <w:rStyle w:val="FootnoteReference"/>
        </w:rPr>
        <w:footnoteReference w:id="76"/>
      </w:r>
      <w:r w:rsidR="005825B7">
        <w:t>,</w:t>
      </w:r>
      <w:r w:rsidRPr="000F3B68">
        <w:t xml:space="preserve"> we have made a number of changes to </w:t>
      </w:r>
      <w:r w:rsidR="005825B7">
        <w:t>the position</w:t>
      </w:r>
      <w:r>
        <w:t xml:space="preserve"> </w:t>
      </w:r>
      <w:r w:rsidRPr="000F3B68">
        <w:t>outlined in the issues paper</w:t>
      </w:r>
      <w:r>
        <w:t>. This has resulted in the two staged approach detailed above.</w:t>
      </w:r>
      <w:r w:rsidR="00B42F90">
        <w:t xml:space="preserve"> </w:t>
      </w:r>
      <w:r>
        <w:t>Reasons for these changes include</w:t>
      </w:r>
      <w:r w:rsidRPr="000F3B68">
        <w:t>:</w:t>
      </w:r>
    </w:p>
    <w:p w:rsidR="000F3B68" w:rsidRPr="000F3B68" w:rsidRDefault="000F3B68" w:rsidP="000F3B68">
      <w:pPr>
        <w:pStyle w:val="AERbulletlistfirststyle"/>
      </w:pPr>
      <w:r>
        <w:t xml:space="preserve">Removal of consideration of service standards from stage 1: </w:t>
      </w:r>
      <w:r w:rsidR="00B42F90">
        <w:t>w</w:t>
      </w:r>
      <w:r w:rsidRPr="000F3B68">
        <w:t>e have reassessed the need to assess service standards as part of the ex post review. We initially included this to</w:t>
      </w:r>
      <w:r>
        <w:t xml:space="preserve"> allow us to</w:t>
      </w:r>
      <w:r w:rsidRPr="000F3B68">
        <w:t xml:space="preserve"> assess whether underspends were from NSPs deferring capex (to the detriment of service) rather than from efficiency improvements. This is of particular concern if the CESS increases the incentive to underspend.</w:t>
      </w:r>
      <w:r>
        <w:rPr>
          <w:rStyle w:val="FootnoteReference"/>
        </w:rPr>
        <w:footnoteReference w:id="77"/>
      </w:r>
      <w:r w:rsidRPr="000F3B68">
        <w:t xml:space="preserve"> Upon refl</w:t>
      </w:r>
      <w:r w:rsidR="00627371">
        <w:t>ection we are not convinced the ex post review</w:t>
      </w:r>
      <w:r w:rsidRPr="000F3B68">
        <w:t xml:space="preserve"> is the right mechanism for </w:t>
      </w:r>
      <w:r w:rsidR="00627371">
        <w:t xml:space="preserve">assessing </w:t>
      </w:r>
      <w:r w:rsidRPr="000F3B68">
        <w:t>this. NSPs already have incentives to improve service through the STPIS. Further, if we are concerned about capex deferral between periods, this is better addressed when we set the capex allowance for the following period.</w:t>
      </w:r>
      <w:r w:rsidR="00627371">
        <w:rPr>
          <w:rStyle w:val="FootnoteReference"/>
        </w:rPr>
        <w:footnoteReference w:id="78"/>
      </w:r>
      <w:r w:rsidRPr="000F3B68">
        <w:t xml:space="preserve"> </w:t>
      </w:r>
      <w:r w:rsidR="00920061">
        <w:t>Hence,</w:t>
      </w:r>
      <w:r w:rsidR="00B42F90">
        <w:t xml:space="preserve"> we have removed </w:t>
      </w:r>
      <w:r w:rsidR="00B42F90" w:rsidRPr="000F3B68">
        <w:t xml:space="preserve">service standards </w:t>
      </w:r>
      <w:r w:rsidR="00B42F90">
        <w:t xml:space="preserve">from </w:t>
      </w:r>
      <w:r w:rsidR="00B42F90" w:rsidRPr="000F3B68">
        <w:t>stage</w:t>
      </w:r>
      <w:r w:rsidR="00CB260A">
        <w:t xml:space="preserve"> 1 of the </w:t>
      </w:r>
      <w:r w:rsidR="00B42F90">
        <w:t>ex post review</w:t>
      </w:r>
      <w:r w:rsidR="00B42F90" w:rsidRPr="000F3B68">
        <w:t>.</w:t>
      </w:r>
      <w:r w:rsidR="00CB260A">
        <w:t xml:space="preserve"> </w:t>
      </w:r>
      <w:r w:rsidR="00920061">
        <w:t>However</w:t>
      </w:r>
      <w:r w:rsidR="00CB260A">
        <w:t xml:space="preserve">, </w:t>
      </w:r>
      <w:r w:rsidR="00920061">
        <w:t>we</w:t>
      </w:r>
      <w:r w:rsidR="00CB260A">
        <w:t xml:space="preserve"> may consider indicators of service </w:t>
      </w:r>
      <w:r w:rsidR="00BE78D7">
        <w:t xml:space="preserve">performance </w:t>
      </w:r>
      <w:r w:rsidR="00CB260A">
        <w:t xml:space="preserve">as part of </w:t>
      </w:r>
      <w:r w:rsidR="00920061">
        <w:t xml:space="preserve">our </w:t>
      </w:r>
      <w:r w:rsidR="00CB260A">
        <w:t>detailed review of capex in stage 2.</w:t>
      </w:r>
    </w:p>
    <w:p w:rsidR="000F3B68" w:rsidRDefault="000F3B68" w:rsidP="000F3B68">
      <w:pPr>
        <w:pStyle w:val="AERbulletlistfirststyle"/>
      </w:pPr>
      <w:r>
        <w:t xml:space="preserve">Removal of the stage considering incentives for efficient capex: </w:t>
      </w:r>
      <w:r w:rsidRPr="000F3B68">
        <w:t xml:space="preserve">We </w:t>
      </w:r>
      <w:r>
        <w:t xml:space="preserve">have </w:t>
      </w:r>
      <w:r w:rsidRPr="000F3B68">
        <w:t xml:space="preserve">removed the former stage 2 which considered what incentives the NSP is subject to and whether the NSP responds to those incentives. This is for two reasons. Firstly, we are recommending that all NSPs should be subject to </w:t>
      </w:r>
      <w:r w:rsidR="00B42F90">
        <w:t>the same</w:t>
      </w:r>
      <w:r w:rsidRPr="000F3B68">
        <w:t xml:space="preserve"> symmetric CESS</w:t>
      </w:r>
      <w:r w:rsidR="00B42F90">
        <w:t>,</w:t>
      </w:r>
      <w:r w:rsidRPr="000F3B68">
        <w:t xml:space="preserve"> meaning the same incentives should apply to all NSPs. Secondly, it is difficult to conclude whether a NSP has responded to its incentives. An underspend could indicate responsiveness to </w:t>
      </w:r>
      <w:r w:rsidR="00EE5E85" w:rsidRPr="000F3B68">
        <w:t>incentives</w:t>
      </w:r>
      <w:r w:rsidR="005825B7">
        <w:t xml:space="preserve"> or</w:t>
      </w:r>
      <w:r w:rsidRPr="000F3B68">
        <w:t xml:space="preserve"> a generous forecast. Hence, we believe that this stage would have added little </w:t>
      </w:r>
      <w:r w:rsidR="005825B7">
        <w:t xml:space="preserve">benefit </w:t>
      </w:r>
      <w:r w:rsidR="00682B50">
        <w:t>to the ex post process.</w:t>
      </w:r>
    </w:p>
    <w:p w:rsidR="000F3B68" w:rsidRPr="000F3B68" w:rsidRDefault="000F3B68" w:rsidP="000F3B68">
      <w:pPr>
        <w:pStyle w:val="AERbulletlistfirststyle"/>
      </w:pPr>
      <w:r>
        <w:t xml:space="preserve">Combining the consideration of a NSP's planning and </w:t>
      </w:r>
      <w:r w:rsidR="005825B7">
        <w:t xml:space="preserve">management processes with the </w:t>
      </w:r>
      <w:r>
        <w:t>detailed assessment of the NSP's capex: We have combined the former stages 3 and 4. Upon further consideration we are not convinced that evidence of appropriate processes and plans alone would lead us to stop our ex post assessment</w:t>
      </w:r>
      <w:r w:rsidR="00682B50">
        <w:t xml:space="preserve"> in all circumstances</w:t>
      </w:r>
      <w:r>
        <w:t>. Indeed,</w:t>
      </w:r>
      <w:r w:rsidRPr="000F3B68">
        <w:t xml:space="preserve"> EnerNOC</w:t>
      </w:r>
      <w:r>
        <w:t xml:space="preserve"> noted</w:t>
      </w:r>
      <w:r w:rsidRPr="000F3B68">
        <w:t xml:space="preserve"> concern that we might not consider the efficiency of </w:t>
      </w:r>
      <w:proofErr w:type="gramStart"/>
      <w:r w:rsidRPr="000F3B68">
        <w:t>an overspend</w:t>
      </w:r>
      <w:proofErr w:type="gramEnd"/>
      <w:r w:rsidRPr="000F3B68">
        <w:t xml:space="preserve"> if we find that the NSP had the appropriate processes and plans in place.</w:t>
      </w:r>
      <w:r w:rsidR="007E09F3">
        <w:rPr>
          <w:rStyle w:val="FootnoteReference"/>
        </w:rPr>
        <w:footnoteReference w:id="79"/>
      </w:r>
      <w:r>
        <w:t xml:space="preserve"> In addition, we think it is difficult to assess whether a NSP has followed the appropriate plans, processes and procedures without </w:t>
      </w:r>
      <w:r w:rsidR="00C1336E">
        <w:t>undertaking</w:t>
      </w:r>
      <w:r>
        <w:t xml:space="preserve"> a more detailed assessment of individual projects. Hence, under our new process we will consider a NSP's management and planning processes alongside our more detailed review of its capex projects</w:t>
      </w:r>
      <w:r w:rsidR="00627371">
        <w:t xml:space="preserve"> in stage 2</w:t>
      </w:r>
      <w:r>
        <w:t>.</w:t>
      </w:r>
    </w:p>
    <w:p w:rsidR="005825B7" w:rsidRDefault="005825B7" w:rsidP="005825B7">
      <w:pPr>
        <w:pStyle w:val="AERbodytext"/>
        <w:numPr>
          <w:ilvl w:val="0"/>
          <w:numId w:val="13"/>
        </w:numPr>
      </w:pPr>
      <w:r>
        <w:t>In respect of stage 1, ENA and CitiPower, Powercor and SA Power Networks requested further guidance on our interpretation of a 'significant' overspend where we are deciding whether to progress our assessment.</w:t>
      </w:r>
      <w:r w:rsidR="007E09F3">
        <w:rPr>
          <w:rStyle w:val="FootnoteReference"/>
        </w:rPr>
        <w:footnoteReference w:id="80"/>
      </w:r>
      <w:r>
        <w:t xml:space="preserve"> </w:t>
      </w:r>
      <w:r w:rsidR="00EA2B44">
        <w:t xml:space="preserve">Firstly, the significance of any overspend is only one of the factors that we will consider in deciding whether to progress our ex post review from stage 1 to stage 2. Secondly, we have concerns about the potential for perverse outcomes if we included a specific threshold in the </w:t>
      </w:r>
      <w:r w:rsidR="00783661">
        <w:t>guidelines</w:t>
      </w:r>
      <w:r w:rsidR="00EA2B44">
        <w:t>. While a threshold c</w:t>
      </w:r>
      <w:r>
        <w:t xml:space="preserve">ould </w:t>
      </w:r>
      <w:r w:rsidR="00EA2B44">
        <w:t>provide</w:t>
      </w:r>
      <w:r>
        <w:t xml:space="preserve"> greater transparency and consistency in assessing different NSPs' capex overspends</w:t>
      </w:r>
      <w:r w:rsidR="00EA2B44">
        <w:t>, it could create</w:t>
      </w:r>
      <w:r>
        <w:t xml:space="preserve"> a new 'target' for NSPs to overspend by. There may also be perverse outcomes if we cannot </w:t>
      </w:r>
      <w:r w:rsidR="00C1336E">
        <w:t>undertake</w:t>
      </w:r>
      <w:r>
        <w:t xml:space="preserve"> a detailed review of inefficient overspends below the threshold, or if our threshold requires us to do a detailed review of all overspends above the threshold. It is also difficult to derive and justify an appropriate threshold that works for all NSPs. For these reasons, we </w:t>
      </w:r>
      <w:r w:rsidR="00682B50">
        <w:t>do not consider it is appropriate to specify a particular threshold</w:t>
      </w:r>
      <w:r>
        <w:t xml:space="preserve">. </w:t>
      </w:r>
    </w:p>
    <w:p w:rsidR="005825B7" w:rsidRDefault="005825B7" w:rsidP="005825B7">
      <w:pPr>
        <w:pStyle w:val="AERbodytext"/>
        <w:numPr>
          <w:ilvl w:val="0"/>
          <w:numId w:val="13"/>
        </w:numPr>
      </w:pPr>
      <w:r>
        <w:t xml:space="preserve">A number of stakeholders also stated that the </w:t>
      </w:r>
      <w:r w:rsidR="0043387A">
        <w:t>guidelines</w:t>
      </w:r>
      <w:r>
        <w:t xml:space="preserve"> should bind us to only considering information available at the time the NSP made the decision to undertake capex.</w:t>
      </w:r>
      <w:r>
        <w:rPr>
          <w:rStyle w:val="FootnoteReference"/>
        </w:rPr>
        <w:footnoteReference w:id="81"/>
      </w:r>
      <w:r>
        <w:t xml:space="preserve"> We note this is already required under the NER. Clauses S6.2.2A(h) and S6A.2.2A(h) of the NER</w:t>
      </w:r>
      <w:r w:rsidRPr="00231126">
        <w:t xml:space="preserve"> </w:t>
      </w:r>
      <w:r>
        <w:t xml:space="preserve">state </w:t>
      </w:r>
      <w:r w:rsidRPr="00231126">
        <w:t>the AER can 'only take into account information and analysis that the NSP could reasonably be expected to have considered or undertaken at the time that it undertook the</w:t>
      </w:r>
      <w:r>
        <w:t xml:space="preserve"> relevant capital expenditure'.</w:t>
      </w:r>
    </w:p>
    <w:p w:rsidR="000F3B68" w:rsidRDefault="00EE5E85" w:rsidP="000F3B68">
      <w:pPr>
        <w:pStyle w:val="AERbodytext"/>
      </w:pPr>
      <w:r>
        <w:t>In relation to stage 2</w:t>
      </w:r>
      <w:r w:rsidR="000F3B68" w:rsidRPr="000F3B68">
        <w:t>, Grid Australia noted that it would be inappropriate to extrapolate from the outcomes of an assessment of a limited number of projects to a wider range of projects.</w:t>
      </w:r>
      <w:r w:rsidR="00153C39">
        <w:rPr>
          <w:rStyle w:val="FootnoteReference"/>
        </w:rPr>
        <w:footnoteReference w:id="82"/>
      </w:r>
      <w:r w:rsidR="000F3B68" w:rsidRPr="000F3B68">
        <w:t xml:space="preserve"> </w:t>
      </w:r>
      <w:r w:rsidR="005825B7">
        <w:t xml:space="preserve">We do not </w:t>
      </w:r>
      <w:r w:rsidR="00627371">
        <w:t xml:space="preserve">support </w:t>
      </w:r>
      <w:r w:rsidR="005825B7">
        <w:t>Grid Australia's position. T</w:t>
      </w:r>
      <w:r w:rsidR="000F3B68" w:rsidRPr="000F3B68">
        <w:t>o the extent that a NSP's unit costs, for example, are inflated, an adjustment could be made to a number of projects.</w:t>
      </w:r>
      <w:r w:rsidR="005825B7">
        <w:t xml:space="preserve"> Similarly, if systematic problems are exposed in a NSP's asset management processes, for example, this could have led to widespread inefficiencies in all areas of asset management. Hence, we </w:t>
      </w:r>
      <w:r w:rsidR="00EA2B44">
        <w:t>consider it appropriate to</w:t>
      </w:r>
      <w:r w:rsidR="005825B7">
        <w:t xml:space="preserve"> retain discretion on how we determine how much of a NSP's overspend is inefficient.</w:t>
      </w:r>
    </w:p>
    <w:p w:rsidR="005825B7" w:rsidRDefault="00641CAC" w:rsidP="005825B7">
      <w:pPr>
        <w:pStyle w:val="AERbodytext"/>
        <w:numPr>
          <w:ilvl w:val="0"/>
          <w:numId w:val="13"/>
        </w:numPr>
      </w:pPr>
      <w:r>
        <w:t>A number of NSPs also requested guidance on how the AER would deal with excluded capex that later becomes efficient.</w:t>
      </w:r>
      <w:r>
        <w:rPr>
          <w:rStyle w:val="FootnoteReference"/>
        </w:rPr>
        <w:footnoteReference w:id="83"/>
      </w:r>
      <w:r>
        <w:t xml:space="preserve"> </w:t>
      </w:r>
      <w:r w:rsidRPr="003A4C1A">
        <w:t>In practice this is challenging as</w:t>
      </w:r>
      <w:r>
        <w:t xml:space="preserve"> w</w:t>
      </w:r>
      <w:r w:rsidRPr="003C6BD3">
        <w:t xml:space="preserve">e cannot include in the RAB capex we disallowed in a previous ex post review, even if we find it has become efficient at some later time. The previous RAB must be increased by the amount of all </w:t>
      </w:r>
      <w:r w:rsidR="005825B7">
        <w:t>capex</w:t>
      </w:r>
      <w:r w:rsidRPr="003C6BD3">
        <w:t xml:space="preserve"> incurred during the previous control period</w:t>
      </w:r>
      <w:r w:rsidR="005825B7">
        <w:t xml:space="preserve"> (except for exclusions discussed in this chapter)</w:t>
      </w:r>
      <w:r w:rsidRPr="003C6BD3">
        <w:t>.</w:t>
      </w:r>
      <w:r w:rsidR="001E180E">
        <w:rPr>
          <w:rStyle w:val="FootnoteReference"/>
        </w:rPr>
        <w:footnoteReference w:id="84"/>
      </w:r>
      <w:r w:rsidRPr="003C6BD3">
        <w:t xml:space="preserve"> If we exclude capex from a previous RAB roll forward we cannot add that capex to the RAB in a subsequent period because that capex was not incurred during the immediately preceding period.</w:t>
      </w:r>
      <w:r>
        <w:t xml:space="preserve"> That said, when assessing the amount of capex to exclude from the RAB</w:t>
      </w:r>
      <w:r w:rsidR="00EA2B44">
        <w:t>,</w:t>
      </w:r>
      <w:r>
        <w:t xml:space="preserve"> </w:t>
      </w:r>
      <w:r w:rsidRPr="003C6BD3">
        <w:t xml:space="preserve">we </w:t>
      </w:r>
      <w:r>
        <w:t>may</w:t>
      </w:r>
      <w:r w:rsidRPr="003C6BD3">
        <w:t xml:space="preserve"> take into account (among other things) the extent to which that capex may become efficient</w:t>
      </w:r>
      <w:r>
        <w:t xml:space="preserve"> in the future</w:t>
      </w:r>
      <w:r w:rsidR="00295CD0">
        <w:t>. In assessing whether to include a capex overspend in the RAB, o</w:t>
      </w:r>
      <w:r w:rsidR="00682B50">
        <w:t xml:space="preserve">ur overarching consideration is whether the capex complies </w:t>
      </w:r>
      <w:r w:rsidR="00EA2B44">
        <w:t>with the capital expenditure criteria</w:t>
      </w:r>
      <w:r w:rsidRPr="003C6BD3">
        <w:t>.</w:t>
      </w:r>
      <w:r w:rsidR="005825B7" w:rsidRPr="005825B7">
        <w:t xml:space="preserve"> </w:t>
      </w:r>
    </w:p>
    <w:p w:rsidR="00567DB3" w:rsidRDefault="005825B7" w:rsidP="005825B7">
      <w:pPr>
        <w:pStyle w:val="AERbodytext"/>
        <w:numPr>
          <w:ilvl w:val="0"/>
          <w:numId w:val="13"/>
        </w:numPr>
      </w:pPr>
      <w:r>
        <w:t>CitiPower, Powercor and SA Power Networks requested guidance on when NSPs would be involved in the review process.</w:t>
      </w:r>
      <w:r w:rsidR="00153C39">
        <w:rPr>
          <w:rStyle w:val="FootnoteReference"/>
        </w:rPr>
        <w:footnoteReference w:id="85"/>
      </w:r>
      <w:r>
        <w:t xml:space="preserve"> Our position is that NSPs will be involved in each stage of the process. </w:t>
      </w:r>
      <w:r w:rsidR="00920061">
        <w:t xml:space="preserve">In particular, it is expected that NSPs will provide information to the AER to support any claim that </w:t>
      </w:r>
      <w:proofErr w:type="gramStart"/>
      <w:r w:rsidR="00920061">
        <w:t>an overspend</w:t>
      </w:r>
      <w:proofErr w:type="gramEnd"/>
      <w:r w:rsidR="00920061">
        <w:t xml:space="preserve"> was justified and/or efficient.</w:t>
      </w:r>
    </w:p>
    <w:p w:rsidR="00B673C6" w:rsidRDefault="00B673C6" w:rsidP="00B673C6">
      <w:pPr>
        <w:pStyle w:val="Heading3"/>
      </w:pPr>
      <w:r>
        <w:t>Capitalisation policy changes</w:t>
      </w:r>
    </w:p>
    <w:p w:rsidR="00B673C6" w:rsidRDefault="00B673C6" w:rsidP="00B673C6">
      <w:pPr>
        <w:pStyle w:val="AERbodytext"/>
        <w:numPr>
          <w:ilvl w:val="0"/>
          <w:numId w:val="13"/>
        </w:numPr>
      </w:pPr>
      <w:r>
        <w:t xml:space="preserve">In assessing whether opex has been capitalised as a result of a change to a NSP's capitalisation policy we are proposing to maintain the </w:t>
      </w:r>
      <w:r w:rsidR="00E95E5F">
        <w:t xml:space="preserve">general </w:t>
      </w:r>
      <w:r>
        <w:t>approach outlined in the issues paper. This approach was supported by Ergon Energy, Energex and ENA.</w:t>
      </w:r>
      <w:r w:rsidR="00C23EC0">
        <w:rPr>
          <w:rStyle w:val="FootnoteReference"/>
        </w:rPr>
        <w:footnoteReference w:id="86"/>
      </w:r>
      <w:r>
        <w:t xml:space="preserve"> </w:t>
      </w:r>
    </w:p>
    <w:p w:rsidR="00E95E5F" w:rsidRDefault="00E95E5F" w:rsidP="00B673C6">
      <w:pPr>
        <w:pStyle w:val="AERbodytext"/>
        <w:numPr>
          <w:ilvl w:val="0"/>
          <w:numId w:val="13"/>
        </w:numPr>
      </w:pPr>
      <w:r>
        <w:t xml:space="preserve">The only </w:t>
      </w:r>
      <w:r w:rsidR="00C1336E">
        <w:t>factor</w:t>
      </w:r>
      <w:r>
        <w:t xml:space="preserve"> we have changed is an additional first step to consider whether the incentives for opex and capex are relatively balanced. </w:t>
      </w:r>
      <w:r w:rsidR="00920061">
        <w:t xml:space="preserve">That is, whether the penalty under the CESS is approximately equal to the reward under the EBSS. </w:t>
      </w:r>
      <w:r>
        <w:t xml:space="preserve">To the extent that these are balanced, the </w:t>
      </w:r>
      <w:r w:rsidR="00920061">
        <w:t xml:space="preserve">EBSS </w:t>
      </w:r>
      <w:r>
        <w:t xml:space="preserve">reward </w:t>
      </w:r>
      <w:r w:rsidR="00920061">
        <w:t xml:space="preserve">for </w:t>
      </w:r>
      <w:r>
        <w:t>underspending on opex will be offset by the</w:t>
      </w:r>
      <w:r w:rsidR="00920061">
        <w:t xml:space="preserve"> CESS</w:t>
      </w:r>
      <w:r>
        <w:t xml:space="preserve"> penalty f</w:t>
      </w:r>
      <w:r w:rsidR="00920061">
        <w:t>or</w:t>
      </w:r>
      <w:r>
        <w:t xml:space="preserve"> overspending on capex. Hence, there is no need to account for any changes in a NSP's capitalisation policy where the incentives for capex and opex are balanced.</w:t>
      </w:r>
      <w:r w:rsidR="00920061">
        <w:t xml:space="preserve"> In this scenario we will simply roll into the RAB whatever the NSP has classified as capex at the time of the roll forward</w:t>
      </w:r>
      <w:r w:rsidR="008F210B">
        <w:t>, subject to this meeting the requirements under the ex post review.</w:t>
      </w:r>
    </w:p>
    <w:p w:rsidR="00B673C6" w:rsidRDefault="00E95E5F" w:rsidP="00B673C6">
      <w:pPr>
        <w:pStyle w:val="AERbodytext"/>
        <w:numPr>
          <w:ilvl w:val="0"/>
          <w:numId w:val="13"/>
        </w:numPr>
      </w:pPr>
      <w:r>
        <w:t>Where the incentives for capex and opex differ, t</w:t>
      </w:r>
      <w:r w:rsidR="00B673C6">
        <w:t>he problem of opex being capitalised is only relevant if a NSP's capitalisation policy has changed and</w:t>
      </w:r>
      <w:r w:rsidR="005368FF">
        <w:t xml:space="preserve"> </w:t>
      </w:r>
      <w:r w:rsidR="00B673C6" w:rsidRPr="00981E24">
        <w:t xml:space="preserve">opex has been reclassified as capex </w:t>
      </w:r>
      <w:r w:rsidR="00B673C6">
        <w:t>due to</w:t>
      </w:r>
      <w:r w:rsidR="00B673C6" w:rsidRPr="00981E24">
        <w:t xml:space="preserve"> those changes.</w:t>
      </w:r>
      <w:r w:rsidR="005368FF">
        <w:t xml:space="preserve"> </w:t>
      </w:r>
      <w:r w:rsidR="00B673C6">
        <w:t xml:space="preserve">Hence, </w:t>
      </w:r>
      <w:r w:rsidR="00C27A58">
        <w:t xml:space="preserve">to the extent that a NSP has different incentives for capex and opex, </w:t>
      </w:r>
      <w:r w:rsidR="00B673C6">
        <w:t xml:space="preserve">we will require information </w:t>
      </w:r>
      <w:r w:rsidR="005368FF">
        <w:t xml:space="preserve">from </w:t>
      </w:r>
      <w:r w:rsidR="00627371">
        <w:t>the</w:t>
      </w:r>
      <w:r w:rsidR="005368FF">
        <w:t xml:space="preserve"> NSP </w:t>
      </w:r>
      <w:r w:rsidR="00B673C6">
        <w:t xml:space="preserve">on whether </w:t>
      </w:r>
      <w:r w:rsidR="005368FF">
        <w:t xml:space="preserve">its </w:t>
      </w:r>
      <w:r w:rsidR="00B673C6">
        <w:t>capitalisation policy has changed</w:t>
      </w:r>
      <w:r w:rsidR="00C27A58">
        <w:t>,</w:t>
      </w:r>
      <w:r w:rsidR="00B673C6">
        <w:t xml:space="preserve"> and the implications of this</w:t>
      </w:r>
      <w:r w:rsidR="005368FF">
        <w:t>,</w:t>
      </w:r>
      <w:r w:rsidR="00B673C6">
        <w:t xml:space="preserve"> as part of the </w:t>
      </w:r>
      <w:r w:rsidR="00B673C6" w:rsidRPr="00981E24">
        <w:t>regulatory determination</w:t>
      </w:r>
      <w:r w:rsidR="00B673C6">
        <w:t xml:space="preserve"> process. Where we identify that opex has been capitalised as a result of a change to </w:t>
      </w:r>
      <w:r w:rsidR="00627371">
        <w:t>a</w:t>
      </w:r>
      <w:r w:rsidR="00B673C6">
        <w:t xml:space="preserve"> NSP's capitalisation policy, the corresponding expenditure will be excluded from the RAB</w:t>
      </w:r>
      <w:r w:rsidR="00C27A58">
        <w:t xml:space="preserve"> (and the CESS calculation)</w:t>
      </w:r>
      <w:r w:rsidR="00B673C6">
        <w:t xml:space="preserve">. For the purposes of calculating the payment due under the opex </w:t>
      </w:r>
      <w:r w:rsidR="00627371">
        <w:t>EBSS</w:t>
      </w:r>
      <w:r w:rsidR="00B673C6">
        <w:t>, this expenditure will count as opex.</w:t>
      </w:r>
      <w:r w:rsidR="00B673C6" w:rsidRPr="00B673C6">
        <w:t xml:space="preserve"> </w:t>
      </w:r>
    </w:p>
    <w:p w:rsidR="008F210B" w:rsidRDefault="008F210B" w:rsidP="00B673C6">
      <w:pPr>
        <w:pStyle w:val="AERbodytext"/>
        <w:numPr>
          <w:ilvl w:val="0"/>
          <w:numId w:val="13"/>
        </w:numPr>
      </w:pPr>
      <w:r>
        <w:t>In summary, we will only make an adjustment to the RAB to account for capitalised opex where:</w:t>
      </w:r>
    </w:p>
    <w:p w:rsidR="008F210B" w:rsidRDefault="008F210B" w:rsidP="00FE0C79">
      <w:pPr>
        <w:pStyle w:val="AERbulletlistfirststyle"/>
      </w:pPr>
      <w:r>
        <w:t>the incentives for capex and opex are not balanced</w:t>
      </w:r>
      <w:r w:rsidR="00FA575A">
        <w:t xml:space="preserve"> (i.e. the penalty under the CESS is not approximately equal to the reward under the EBSS)</w:t>
      </w:r>
      <w:r>
        <w:t>, and</w:t>
      </w:r>
    </w:p>
    <w:p w:rsidR="008F210B" w:rsidRDefault="008F210B" w:rsidP="00FE0C79">
      <w:pPr>
        <w:pStyle w:val="AERbulletlistfirststyle"/>
      </w:pPr>
      <w:proofErr w:type="gramStart"/>
      <w:r>
        <w:t>opex</w:t>
      </w:r>
      <w:proofErr w:type="gramEnd"/>
      <w:r>
        <w:t xml:space="preserve"> has been capitalised as a result of a change in the NSP's capitalisation policy during the regulatory control period.</w:t>
      </w:r>
    </w:p>
    <w:p w:rsidR="00FA575A" w:rsidRDefault="00627371" w:rsidP="00FE0C79">
      <w:pPr>
        <w:pStyle w:val="AERbodytext"/>
      </w:pPr>
      <w:r>
        <w:t>Where we make such an</w:t>
      </w:r>
      <w:r w:rsidR="00FA575A">
        <w:t xml:space="preserve"> adjustment to the RAB we will make a corresponding adjustment to the CESS and the EBSS.</w:t>
      </w:r>
    </w:p>
    <w:p w:rsidR="008F210B" w:rsidRDefault="008F210B" w:rsidP="00FE0C79">
      <w:pPr>
        <w:pStyle w:val="AERbodytext"/>
      </w:pPr>
      <w:r>
        <w:t>In all other circumstances the NSP's RAB will be rolled forward for actual capex, subject to this meeting the requirements of the ex post review.</w:t>
      </w:r>
    </w:p>
    <w:p w:rsidR="00B673C6" w:rsidRDefault="00B673C6" w:rsidP="00B673C6">
      <w:pPr>
        <w:pStyle w:val="AERbodytext"/>
        <w:numPr>
          <w:ilvl w:val="0"/>
          <w:numId w:val="13"/>
        </w:numPr>
      </w:pPr>
      <w:r>
        <w:t xml:space="preserve">We note that a couple of stakeholders </w:t>
      </w:r>
      <w:r w:rsidR="0044646B">
        <w:t>commented on the</w:t>
      </w:r>
      <w:r>
        <w:t xml:space="preserve"> standardisation of capitalisation policies.</w:t>
      </w:r>
      <w:r>
        <w:rPr>
          <w:rStyle w:val="FootnoteReference"/>
        </w:rPr>
        <w:footnoteReference w:id="87"/>
      </w:r>
      <w:r>
        <w:t xml:space="preserve"> </w:t>
      </w:r>
      <w:r w:rsidR="00783661">
        <w:t>This issue is for the Expenditure Forecasting Assessment Guidelines rather than for these guidelines.</w:t>
      </w:r>
    </w:p>
    <w:p w:rsidR="002F34A1" w:rsidRDefault="005832F0" w:rsidP="002F34A1">
      <w:pPr>
        <w:pStyle w:val="Heading3"/>
      </w:pPr>
      <w:r>
        <w:t>Related party margin</w:t>
      </w:r>
      <w:r w:rsidR="001C2EEE">
        <w:t>s</w:t>
      </w:r>
    </w:p>
    <w:p w:rsidR="005368FF" w:rsidRDefault="005368FF" w:rsidP="005368FF">
      <w:pPr>
        <w:pStyle w:val="AERbodytext"/>
        <w:numPr>
          <w:ilvl w:val="0"/>
          <w:numId w:val="13"/>
        </w:numPr>
      </w:pPr>
      <w:r>
        <w:t>The assessment of related party margins is only relevant where a NSP is provided services from a related party</w:t>
      </w:r>
      <w:r>
        <w:rPr>
          <w:rStyle w:val="FootnoteReference"/>
        </w:rPr>
        <w:footnoteReference w:id="88"/>
      </w:r>
      <w:r>
        <w:t xml:space="preserve"> and where there is a margin included in the contract. </w:t>
      </w:r>
    </w:p>
    <w:p w:rsidR="005368FF" w:rsidRDefault="005368FF" w:rsidP="005368FF">
      <w:pPr>
        <w:pStyle w:val="AERbodytext"/>
        <w:numPr>
          <w:ilvl w:val="0"/>
          <w:numId w:val="13"/>
        </w:numPr>
      </w:pPr>
      <w:r>
        <w:t>We have maintained the approach to assessing related party margins that was outlined in the issues paper. This approach is largely the same as the approach applied ex ante as part of a revenue determination process. This approach was supported by Grid Australia and Energex.</w:t>
      </w:r>
      <w:r w:rsidR="002235C8">
        <w:rPr>
          <w:rStyle w:val="FootnoteReference"/>
        </w:rPr>
        <w:footnoteReference w:id="89"/>
      </w:r>
      <w:r>
        <w:t xml:space="preserve"> </w:t>
      </w:r>
    </w:p>
    <w:p w:rsidR="002F34A1" w:rsidRPr="002F34A1" w:rsidRDefault="005368FF" w:rsidP="005368FF">
      <w:pPr>
        <w:pStyle w:val="AERbodytext"/>
        <w:numPr>
          <w:ilvl w:val="0"/>
          <w:numId w:val="0"/>
        </w:numPr>
      </w:pPr>
      <w:r>
        <w:t xml:space="preserve">ENA requested details of how the CESS will be adjusted for a margin that is not included in the RAB. We can confirm that any exclusion from the RAB (either an inefficient overspend, an inflated portion of a related party margin or capitalised opex) will be excluded from the NSP's capex for the purposes of calculating the CESS. Section 3.5 of the </w:t>
      </w:r>
      <w:r w:rsidR="0043387A">
        <w:t>guidelines</w:t>
      </w:r>
      <w:r>
        <w:t xml:space="preserve"> outlines the method for </w:t>
      </w:r>
      <w:r w:rsidR="0044646B">
        <w:t>achieving</w:t>
      </w:r>
      <w:r>
        <w:t xml:space="preserve"> this.</w:t>
      </w:r>
    </w:p>
    <w:p w:rsidR="00507A05" w:rsidRDefault="00507A05" w:rsidP="007C5C43">
      <w:pPr>
        <w:pStyle w:val="Heading7"/>
      </w:pPr>
      <w:bookmarkStart w:id="36" w:name="_Toc363640493"/>
      <w:r>
        <w:t>Transitional arrangements for the guidelines</w:t>
      </w:r>
      <w:bookmarkEnd w:id="36"/>
    </w:p>
    <w:p w:rsidR="00304B63" w:rsidRDefault="00304B63" w:rsidP="00507A05">
      <w:pPr>
        <w:pStyle w:val="AERbodytext"/>
      </w:pPr>
      <w:r>
        <w:t xml:space="preserve">This </w:t>
      </w:r>
      <w:r w:rsidR="006939A2">
        <w:t>appendix</w:t>
      </w:r>
      <w:r>
        <w:t xml:space="preserve"> </w:t>
      </w:r>
      <w:r w:rsidR="004E50D1">
        <w:t>outline</w:t>
      </w:r>
      <w:r>
        <w:t xml:space="preserve">s how the guidelines will apply over the </w:t>
      </w:r>
      <w:r w:rsidR="00D710E0">
        <w:t xml:space="preserve">various </w:t>
      </w:r>
      <w:r>
        <w:t>transitional period</w:t>
      </w:r>
      <w:r w:rsidR="00D710E0">
        <w:t>s</w:t>
      </w:r>
      <w:r>
        <w:t>.</w:t>
      </w:r>
      <w:r w:rsidR="007720EB">
        <w:rPr>
          <w:rStyle w:val="FootnoteReference"/>
        </w:rPr>
        <w:footnoteReference w:id="90"/>
      </w:r>
    </w:p>
    <w:p w:rsidR="00304B63" w:rsidRDefault="00304B63" w:rsidP="00304B63">
      <w:pPr>
        <w:pStyle w:val="Heading2"/>
        <w:numPr>
          <w:ilvl w:val="0"/>
          <w:numId w:val="0"/>
        </w:numPr>
      </w:pPr>
      <w:bookmarkStart w:id="37" w:name="_Toc363640494"/>
      <w:r>
        <w:t>Transitional groups</w:t>
      </w:r>
      <w:bookmarkEnd w:id="37"/>
    </w:p>
    <w:p w:rsidR="00507A05" w:rsidRDefault="00507A05" w:rsidP="00507A05">
      <w:pPr>
        <w:pStyle w:val="AERbodytext"/>
      </w:pPr>
      <w:r>
        <w:t>The AEMC has grouped NSPs and transitional arrangements based on when the AER will consider their proposals.</w:t>
      </w:r>
      <w:r w:rsidR="00304B63">
        <w:t xml:space="preserve"> </w:t>
      </w:r>
      <w:r>
        <w:t xml:space="preserve">In summary: </w:t>
      </w:r>
    </w:p>
    <w:p w:rsidR="004E50D1" w:rsidRDefault="004E50D1" w:rsidP="004E50D1">
      <w:pPr>
        <w:pStyle w:val="AERbulletlistfirststyle"/>
      </w:pPr>
      <w:r w:rsidRPr="004E50D1">
        <w:t>SP AusNet (transmission), which is due to commence its next regulatory</w:t>
      </w:r>
      <w:r>
        <w:t xml:space="preserve"> </w:t>
      </w:r>
      <w:r w:rsidR="00E33796">
        <w:t xml:space="preserve">control </w:t>
      </w:r>
      <w:r w:rsidRPr="004E50D1">
        <w:t>period on 1 April 2014, will be subject to the old Chapter 6A rules for three</w:t>
      </w:r>
      <w:r>
        <w:t xml:space="preserve"> </w:t>
      </w:r>
      <w:r w:rsidRPr="004E50D1">
        <w:t>years befo</w:t>
      </w:r>
      <w:r>
        <w:t>re moving to the new rules on 1 </w:t>
      </w:r>
      <w:r w:rsidRPr="004E50D1">
        <w:t>April 2017.</w:t>
      </w:r>
    </w:p>
    <w:p w:rsidR="00507A05" w:rsidRDefault="004E50D1" w:rsidP="00304B63">
      <w:pPr>
        <w:pStyle w:val="AERbulletlistfirststyle"/>
      </w:pPr>
      <w:r>
        <w:t xml:space="preserve">2014 group: NSPs </w:t>
      </w:r>
      <w:r w:rsidR="004530A7">
        <w:t>with their</w:t>
      </w:r>
      <w:r w:rsidRPr="004E50D1">
        <w:t xml:space="preserve"> next regulatory period </w:t>
      </w:r>
      <w:r w:rsidR="004530A7">
        <w:t xml:space="preserve">commencing </w:t>
      </w:r>
      <w:r w:rsidRPr="004E50D1">
        <w:t>on 1 July</w:t>
      </w:r>
      <w:r>
        <w:t xml:space="preserve"> </w:t>
      </w:r>
      <w:r w:rsidRPr="004E50D1">
        <w:t>2014</w:t>
      </w:r>
      <w:r>
        <w:t xml:space="preserve"> </w:t>
      </w:r>
      <w:r w:rsidR="00E33796">
        <w:t xml:space="preserve">(TNSPs in NSW and Tasmania and DNSPs in NSW and </w:t>
      </w:r>
      <w:r w:rsidR="00E33796" w:rsidRPr="00507A05">
        <w:t>ACT</w:t>
      </w:r>
      <w:r w:rsidR="00E33796">
        <w:t>)</w:t>
      </w:r>
      <w:r w:rsidR="00E33796" w:rsidRPr="00507A05">
        <w:rPr>
          <w:rStyle w:val="FootnoteReference"/>
        </w:rPr>
        <w:footnoteReference w:id="91"/>
      </w:r>
      <w:r w:rsidR="00E33796">
        <w:t xml:space="preserve"> </w:t>
      </w:r>
      <w:r>
        <w:t xml:space="preserve">will </w:t>
      </w:r>
      <w:r w:rsidR="00507A05">
        <w:t xml:space="preserve">have a </w:t>
      </w:r>
      <w:r w:rsidR="00507A05" w:rsidRPr="00507A05">
        <w:t xml:space="preserve">one year placeholder </w:t>
      </w:r>
      <w:r w:rsidR="00507A05">
        <w:t xml:space="preserve">determination </w:t>
      </w:r>
      <w:r w:rsidR="00507A05" w:rsidRPr="00507A05">
        <w:t xml:space="preserve">with </w:t>
      </w:r>
      <w:r w:rsidR="00507A05">
        <w:t xml:space="preserve">a determination for years 2 to 5 to be undertaken during that first year with a </w:t>
      </w:r>
      <w:r w:rsidR="00507A05" w:rsidRPr="00507A05">
        <w:t>true-up</w:t>
      </w:r>
      <w:r w:rsidR="00507A05">
        <w:t>.</w:t>
      </w:r>
      <w:r w:rsidR="00507A05">
        <w:rPr>
          <w:rStyle w:val="FootnoteReference"/>
        </w:rPr>
        <w:footnoteReference w:id="92"/>
      </w:r>
      <w:r w:rsidR="00507A05">
        <w:t xml:space="preserve"> </w:t>
      </w:r>
    </w:p>
    <w:p w:rsidR="00507A05" w:rsidRDefault="00507A05" w:rsidP="004E50D1">
      <w:pPr>
        <w:pStyle w:val="AERbulletlistfirststyle"/>
      </w:pPr>
      <w:proofErr w:type="spellStart"/>
      <w:r w:rsidRPr="00507A05">
        <w:t>Directlink</w:t>
      </w:r>
      <w:proofErr w:type="spellEnd"/>
      <w:r w:rsidR="004E50D1">
        <w:t xml:space="preserve">, </w:t>
      </w:r>
      <w:r w:rsidR="004E50D1" w:rsidRPr="004E50D1">
        <w:t>which is due to commence its next regulatory period on 1 July</w:t>
      </w:r>
      <w:r w:rsidR="004E50D1">
        <w:t xml:space="preserve"> </w:t>
      </w:r>
      <w:r w:rsidR="004E50D1" w:rsidRPr="004E50D1">
        <w:t>2014,</w:t>
      </w:r>
      <w:r>
        <w:t xml:space="preserve"> will have a </w:t>
      </w:r>
      <w:r w:rsidRPr="00507A05">
        <w:t>shorter determination process (11 months instead of 15)</w:t>
      </w:r>
      <w:r>
        <w:t>.</w:t>
      </w:r>
      <w:r w:rsidR="00495638" w:rsidRPr="00495638">
        <w:t xml:space="preserve"> </w:t>
      </w:r>
      <w:proofErr w:type="spellStart"/>
      <w:r w:rsidR="00495638" w:rsidRPr="00495638">
        <w:t>Directlink</w:t>
      </w:r>
      <w:proofErr w:type="spellEnd"/>
      <w:r w:rsidR="00495638" w:rsidRPr="00495638">
        <w:t xml:space="preserve"> is not subject to transitional arrangements because of its relatively small size.</w:t>
      </w:r>
    </w:p>
    <w:p w:rsidR="00304B63" w:rsidRDefault="00304B63" w:rsidP="00E33796">
      <w:pPr>
        <w:pStyle w:val="AERbulletlistfirststyle"/>
      </w:pPr>
      <w:r>
        <w:t xml:space="preserve">2015-16 </w:t>
      </w:r>
      <w:proofErr w:type="gramStart"/>
      <w:r>
        <w:t>group</w:t>
      </w:r>
      <w:proofErr w:type="gramEnd"/>
      <w:r>
        <w:t xml:space="preserve">: </w:t>
      </w:r>
      <w:r w:rsidR="004E50D1">
        <w:t xml:space="preserve">NSPs </w:t>
      </w:r>
      <w:r w:rsidR="004530A7">
        <w:t>with</w:t>
      </w:r>
      <w:r w:rsidR="004E50D1" w:rsidRPr="004E50D1">
        <w:t xml:space="preserve"> their next</w:t>
      </w:r>
      <w:r w:rsidR="004E50D1">
        <w:t xml:space="preserve"> </w:t>
      </w:r>
      <w:r w:rsidR="004E50D1" w:rsidRPr="004E50D1">
        <w:t xml:space="preserve">regulatory period </w:t>
      </w:r>
      <w:r w:rsidR="004530A7">
        <w:t xml:space="preserve">commencing </w:t>
      </w:r>
      <w:r w:rsidR="004E50D1" w:rsidRPr="004E50D1">
        <w:t>on 1 July 2015</w:t>
      </w:r>
      <w:r w:rsidR="004E50D1">
        <w:t xml:space="preserve"> or 1 </w:t>
      </w:r>
      <w:r w:rsidR="004E50D1" w:rsidRPr="004E50D1">
        <w:t>January 2016</w:t>
      </w:r>
      <w:r w:rsidR="00507A05">
        <w:t xml:space="preserve"> </w:t>
      </w:r>
      <w:r w:rsidR="00E33796">
        <w:t xml:space="preserve">(DNSPs in Queensland, South Australia and Victoria) </w:t>
      </w:r>
      <w:r w:rsidR="00507A05">
        <w:t xml:space="preserve">will be </w:t>
      </w:r>
      <w:r w:rsidR="004E50D1">
        <w:t xml:space="preserve">subject to </w:t>
      </w:r>
      <w:r w:rsidR="00507A05">
        <w:t xml:space="preserve">a </w:t>
      </w:r>
      <w:r w:rsidR="00507A05" w:rsidRPr="00507A05">
        <w:t xml:space="preserve">preliminary determination with </w:t>
      </w:r>
      <w:r>
        <w:t xml:space="preserve">a </w:t>
      </w:r>
      <w:r w:rsidR="00507A05" w:rsidRPr="00507A05">
        <w:t>mandatory re-opener</w:t>
      </w:r>
      <w:r>
        <w:t xml:space="preserve">. </w:t>
      </w:r>
    </w:p>
    <w:p w:rsidR="00304B63" w:rsidRDefault="00304B63" w:rsidP="00304B63">
      <w:pPr>
        <w:pStyle w:val="AERbulletlistsecondstyle"/>
      </w:pPr>
      <w:r>
        <w:t>W</w:t>
      </w:r>
      <w:r w:rsidR="00507A05" w:rsidRPr="00507A05">
        <w:t xml:space="preserve">e </w:t>
      </w:r>
      <w:r>
        <w:t xml:space="preserve">will </w:t>
      </w:r>
      <w:r w:rsidR="00507A05" w:rsidRPr="00507A05">
        <w:t>make a placeholder determination two months before the start of the period (equivalent to a draft determination) which will then actually apply for the first four months of the period</w:t>
      </w:r>
      <w:r>
        <w:t>.</w:t>
      </w:r>
      <w:r w:rsidR="00507A05" w:rsidRPr="00507A05">
        <w:rPr>
          <w:rStyle w:val="FootnoteReference"/>
        </w:rPr>
        <w:footnoteReference w:id="93"/>
      </w:r>
    </w:p>
    <w:p w:rsidR="00304B63" w:rsidRPr="00507A05" w:rsidRDefault="00304B63" w:rsidP="00E33796">
      <w:pPr>
        <w:pStyle w:val="AERbulletlistsecondstyle"/>
      </w:pPr>
      <w:r>
        <w:t>W</w:t>
      </w:r>
      <w:r w:rsidR="00507A05" w:rsidRPr="00507A05">
        <w:t xml:space="preserve">e </w:t>
      </w:r>
      <w:r>
        <w:t xml:space="preserve">will </w:t>
      </w:r>
      <w:r w:rsidR="00507A05" w:rsidRPr="00507A05">
        <w:t>revoke the preliminary determination no later than four months into the first regulatory year of the period, and replace it with a substitute determination (equivalent to a final determination) with an adjustment mechanism to account for differences between the preliminary and substitute determinations.</w:t>
      </w:r>
    </w:p>
    <w:p w:rsidR="00507A05" w:rsidRPr="00507A05" w:rsidRDefault="00507A05" w:rsidP="00304B63">
      <w:pPr>
        <w:pStyle w:val="AERbulletlistfirststyle"/>
      </w:pPr>
      <w:r w:rsidRPr="00507A05">
        <w:t xml:space="preserve">Post 2016 </w:t>
      </w:r>
      <w:r w:rsidR="00304B63">
        <w:t xml:space="preserve">there will be </w:t>
      </w:r>
      <w:r w:rsidRPr="00507A05">
        <w:t>no transitional arrangements</w:t>
      </w:r>
      <w:r w:rsidR="00304B63">
        <w:t xml:space="preserve">. This applies to Tasmanian DNSPs, TNSPs in </w:t>
      </w:r>
      <w:r w:rsidR="00304B63" w:rsidRPr="00507A05">
        <w:t>Q</w:t>
      </w:r>
      <w:r w:rsidR="00304B63">
        <w:t xml:space="preserve">ueensland and South Australia and </w:t>
      </w:r>
      <w:proofErr w:type="spellStart"/>
      <w:r w:rsidRPr="00507A05">
        <w:t>Murraylink</w:t>
      </w:r>
      <w:proofErr w:type="spellEnd"/>
      <w:r w:rsidR="00304B63">
        <w:t>.</w:t>
      </w:r>
    </w:p>
    <w:p w:rsidR="00507A05" w:rsidRDefault="00304B63" w:rsidP="00304B63">
      <w:pPr>
        <w:pStyle w:val="Heading2"/>
        <w:numPr>
          <w:ilvl w:val="0"/>
          <w:numId w:val="0"/>
        </w:numPr>
      </w:pPr>
      <w:bookmarkStart w:id="38" w:name="_Toc363640495"/>
      <w:r>
        <w:t>Application of the Capital Expenditure Sharing Scheme</w:t>
      </w:r>
      <w:bookmarkEnd w:id="38"/>
    </w:p>
    <w:p w:rsidR="00304B63" w:rsidRDefault="00304B63" w:rsidP="00304B63">
      <w:pPr>
        <w:pStyle w:val="AERbodytext"/>
        <w:numPr>
          <w:ilvl w:val="0"/>
          <w:numId w:val="0"/>
        </w:numPr>
      </w:pPr>
      <w:r>
        <w:t xml:space="preserve">For the 2014 group, the CESS will not operate in the transitional </w:t>
      </w:r>
      <w:r w:rsidR="00795EE4">
        <w:t>period</w:t>
      </w:r>
      <w:r>
        <w:t xml:space="preserve"> </w:t>
      </w:r>
      <w:r w:rsidR="007B01A5">
        <w:t xml:space="preserve">(1 July 2014 to 30 June 2015) </w:t>
      </w:r>
      <w:r>
        <w:t>as it has not been applied before. The CESS may commence fo</w:t>
      </w:r>
      <w:r w:rsidR="007720EB">
        <w:t xml:space="preserve">r years 2 to </w:t>
      </w:r>
      <w:r>
        <w:t>5.</w:t>
      </w:r>
      <w:r w:rsidR="007720EB">
        <w:t xml:space="preserve"> We </w:t>
      </w:r>
      <w:r w:rsidR="007720EB" w:rsidRPr="007720EB">
        <w:t>must set out how</w:t>
      </w:r>
      <w:r w:rsidR="007720EB">
        <w:t xml:space="preserve"> the CESS will apply in years 2 to </w:t>
      </w:r>
      <w:r w:rsidR="007720EB" w:rsidRPr="007720EB">
        <w:t>5 in our Framework and Approach (F&amp;A) stage 2 paper. We will publish this by 31 January 2014.</w:t>
      </w:r>
    </w:p>
    <w:p w:rsidR="00495638" w:rsidRDefault="00495638" w:rsidP="00495638">
      <w:r>
        <w:t xml:space="preserve">For the 2015-16 </w:t>
      </w:r>
      <w:proofErr w:type="gramStart"/>
      <w:r>
        <w:t>group</w:t>
      </w:r>
      <w:proofErr w:type="gramEnd"/>
      <w:r>
        <w:t xml:space="preserve">, the CESS may apply normally over the period. We must set out our proposed application of </w:t>
      </w:r>
      <w:r w:rsidRPr="00495638">
        <w:t xml:space="preserve">incentive schemes in </w:t>
      </w:r>
      <w:r w:rsidR="007720EB">
        <w:t xml:space="preserve">the </w:t>
      </w:r>
      <w:r>
        <w:t>F&amp;A stage. Where relevant</w:t>
      </w:r>
      <w:r w:rsidRPr="00495638">
        <w:t>, we may apply schemes differently in year one</w:t>
      </w:r>
      <w:r>
        <w:t>.</w:t>
      </w:r>
    </w:p>
    <w:p w:rsidR="00F50240" w:rsidRDefault="00F50240" w:rsidP="00495638">
      <w:r>
        <w:t>For all subsequent determinations the CESS</w:t>
      </w:r>
      <w:r w:rsidRPr="00F50240">
        <w:t xml:space="preserve"> </w:t>
      </w:r>
      <w:r>
        <w:t>may apply normally over the period.</w:t>
      </w:r>
    </w:p>
    <w:p w:rsidR="00304B63" w:rsidRDefault="00304B63" w:rsidP="00304B63">
      <w:pPr>
        <w:pStyle w:val="Heading2"/>
        <w:numPr>
          <w:ilvl w:val="0"/>
          <w:numId w:val="0"/>
        </w:numPr>
      </w:pPr>
      <w:bookmarkStart w:id="39" w:name="_Toc363640496"/>
      <w:r>
        <w:t>Depreciation approach</w:t>
      </w:r>
      <w:bookmarkEnd w:id="39"/>
    </w:p>
    <w:p w:rsidR="00E33796" w:rsidRDefault="00304B63" w:rsidP="00304B63">
      <w:pPr>
        <w:pStyle w:val="AERbodytext"/>
        <w:numPr>
          <w:ilvl w:val="0"/>
          <w:numId w:val="0"/>
        </w:numPr>
      </w:pPr>
      <w:r>
        <w:t xml:space="preserve">For the 2014 group, the </w:t>
      </w:r>
      <w:r w:rsidRPr="00304B63">
        <w:t xml:space="preserve">use of actual or forecast depreciation to calculate the opening value of the RAB </w:t>
      </w:r>
      <w:r w:rsidR="00B003A3">
        <w:t>at the start of</w:t>
      </w:r>
      <w:r w:rsidRPr="00304B63">
        <w:t xml:space="preserve"> the transitional period and subsequent period will be as set out in the current regulatory determination</w:t>
      </w:r>
      <w:r w:rsidR="007720EB">
        <w:t xml:space="preserve"> for the relevant business</w:t>
      </w:r>
      <w:r w:rsidRPr="00304B63">
        <w:t xml:space="preserve">. </w:t>
      </w:r>
      <w:r w:rsidR="00E33796">
        <w:t xml:space="preserve">This is because the incentive power in the current regulatory control period relies on the type of depreciation used to roll forward the RAB at the end of that period (the opening RAB for the next period). </w:t>
      </w:r>
      <w:r w:rsidRPr="00304B63">
        <w:t xml:space="preserve">We can determine the </w:t>
      </w:r>
      <w:r w:rsidR="00E33796">
        <w:t xml:space="preserve">depreciation </w:t>
      </w:r>
      <w:r w:rsidRPr="00304B63">
        <w:t xml:space="preserve">method used </w:t>
      </w:r>
      <w:r w:rsidR="00B003A3">
        <w:t xml:space="preserve">to roll forward the RAB at the end of </w:t>
      </w:r>
      <w:r w:rsidRPr="00304B63">
        <w:t xml:space="preserve">the subsequent regulatory period when we make the subsequent regulatory determination. </w:t>
      </w:r>
      <w:r w:rsidR="00E33796">
        <w:t>Hence, we can decide on the form of depreciation at the same time that we decide whether to apply the CESS</w:t>
      </w:r>
      <w:r w:rsidR="004530A7">
        <w:t xml:space="preserve"> for the first time</w:t>
      </w:r>
      <w:r w:rsidR="00E33796">
        <w:t xml:space="preserve">. </w:t>
      </w:r>
      <w:r w:rsidRPr="00304B63">
        <w:t>We must set out the</w:t>
      </w:r>
      <w:r w:rsidR="00495638">
        <w:t xml:space="preserve"> method we intend to use in the F&amp;A stage</w:t>
      </w:r>
      <w:r w:rsidRPr="00304B63">
        <w:t>.</w:t>
      </w:r>
    </w:p>
    <w:p w:rsidR="00495638" w:rsidRPr="00495638" w:rsidRDefault="00495638" w:rsidP="00495638">
      <w:r>
        <w:t xml:space="preserve">For the 2015-16 </w:t>
      </w:r>
      <w:proofErr w:type="gramStart"/>
      <w:r>
        <w:t>group</w:t>
      </w:r>
      <w:proofErr w:type="gramEnd"/>
      <w:r>
        <w:t xml:space="preserve">, we have discretion </w:t>
      </w:r>
      <w:r w:rsidRPr="00495638">
        <w:t xml:space="preserve">to decide whether to use actual or forecast depreciation to establish the opening value of the RAB for the following regulatory period. </w:t>
      </w:r>
      <w:r w:rsidR="00F50240">
        <w:t>This will also be the case for subsequent determinations.</w:t>
      </w:r>
    </w:p>
    <w:p w:rsidR="00304B63" w:rsidRDefault="00304B63" w:rsidP="00304B63">
      <w:pPr>
        <w:pStyle w:val="Heading2"/>
        <w:numPr>
          <w:ilvl w:val="0"/>
          <w:numId w:val="0"/>
        </w:numPr>
      </w:pPr>
      <w:bookmarkStart w:id="40" w:name="_Toc363640497"/>
      <w:r>
        <w:t>Ex post review</w:t>
      </w:r>
      <w:bookmarkEnd w:id="40"/>
    </w:p>
    <w:p w:rsidR="00F50240" w:rsidRDefault="00304B63" w:rsidP="007B01A5">
      <w:r>
        <w:t xml:space="preserve">For the 2014 group, we cannot exclude from the RAB any </w:t>
      </w:r>
      <w:r w:rsidR="007B01A5">
        <w:t xml:space="preserve">inefficient capex overspend </w:t>
      </w:r>
      <w:r>
        <w:t xml:space="preserve">incurred during or before the transitional </w:t>
      </w:r>
      <w:r w:rsidR="00795EE4">
        <w:t>period</w:t>
      </w:r>
      <w:r>
        <w:t>.</w:t>
      </w:r>
      <w:r w:rsidR="00147EA5">
        <w:rPr>
          <w:rStyle w:val="FootnoteReference"/>
        </w:rPr>
        <w:footnoteReference w:id="94"/>
      </w:r>
      <w:r>
        <w:t xml:space="preserve"> </w:t>
      </w:r>
      <w:r w:rsidR="007B01A5">
        <w:t xml:space="preserve">That is, </w:t>
      </w:r>
      <w:r w:rsidR="004E50D1">
        <w:t xml:space="preserve">ex post </w:t>
      </w:r>
      <w:r w:rsidR="007B01A5">
        <w:t xml:space="preserve">exclusions from the RAB for inefficient capex overspends can only be </w:t>
      </w:r>
      <w:r w:rsidR="00F50240">
        <w:t>in relation to</w:t>
      </w:r>
      <w:r w:rsidR="004E50D1">
        <w:t xml:space="preserve"> capex incurred </w:t>
      </w:r>
      <w:r w:rsidR="007B01A5">
        <w:t>after 30 June</w:t>
      </w:r>
      <w:r w:rsidR="004E50D1">
        <w:t xml:space="preserve"> 2015. </w:t>
      </w:r>
      <w:r w:rsidR="00795EE4">
        <w:t xml:space="preserve">The AEMC's reason for this was because these </w:t>
      </w:r>
      <w:r w:rsidR="007B01A5" w:rsidRPr="007B01A5">
        <w:t>NSP</w:t>
      </w:r>
      <w:r w:rsidR="00795EE4">
        <w:t>s will not know what their</w:t>
      </w:r>
      <w:r w:rsidR="007B01A5" w:rsidRPr="007B01A5">
        <w:t xml:space="preserve"> cap</w:t>
      </w:r>
      <w:r w:rsidR="007B01A5">
        <w:t>ex</w:t>
      </w:r>
      <w:r w:rsidR="007B01A5" w:rsidRPr="007B01A5">
        <w:t xml:space="preserve"> allowance is for the transitional </w:t>
      </w:r>
      <w:r w:rsidR="00795EE4">
        <w:t>period</w:t>
      </w:r>
      <w:r w:rsidR="007B01A5">
        <w:t xml:space="preserve"> </w:t>
      </w:r>
      <w:r w:rsidR="00795EE4">
        <w:t>(1 </w:t>
      </w:r>
      <w:r w:rsidR="00F50240">
        <w:t xml:space="preserve">July 2014 to 30 June 2015) </w:t>
      </w:r>
      <w:r w:rsidR="007B01A5" w:rsidRPr="007B01A5">
        <w:t>until towards the end of the period</w:t>
      </w:r>
      <w:r w:rsidR="007B01A5">
        <w:t xml:space="preserve">. </w:t>
      </w:r>
    </w:p>
    <w:p w:rsidR="00F50240" w:rsidRDefault="007B01A5" w:rsidP="007B01A5">
      <w:r>
        <w:t xml:space="preserve">Hence, the first full ex post capex review </w:t>
      </w:r>
      <w:r w:rsidR="00F50240">
        <w:t xml:space="preserve">for the 2014 group </w:t>
      </w:r>
      <w:r>
        <w:t xml:space="preserve">will be undertaken </w:t>
      </w:r>
      <w:r w:rsidR="00F50240">
        <w:t>at the time we undertake the regulatory determination for</w:t>
      </w:r>
      <w:r>
        <w:t xml:space="preserve"> the regulatory contro</w:t>
      </w:r>
      <w:r w:rsidR="00F50240">
        <w:t>l period commencing 1 July 2019</w:t>
      </w:r>
      <w:r>
        <w:t xml:space="preserve"> </w:t>
      </w:r>
      <w:r w:rsidR="00F50240">
        <w:t>(</w:t>
      </w:r>
      <w:r>
        <w:t>assuming a five year regulatory control period</w:t>
      </w:r>
      <w:r w:rsidR="00F50240">
        <w:t>)</w:t>
      </w:r>
      <w:r>
        <w:t>. At this time, capex will be reviewed for the period 1</w:t>
      </w:r>
      <w:r w:rsidR="00F50240">
        <w:t> </w:t>
      </w:r>
      <w:r>
        <w:t xml:space="preserve">July 2015 to 30 June 2017. </w:t>
      </w:r>
    </w:p>
    <w:p w:rsidR="00304B63" w:rsidRDefault="00495638" w:rsidP="007B01A5">
      <w:r>
        <w:t>For</w:t>
      </w:r>
      <w:r w:rsidR="00304B63">
        <w:t xml:space="preserve"> related party margins and capitalised opex, we cannot exclude from the RAB any capex incurred in a regulatory year commencing b</w:t>
      </w:r>
      <w:r w:rsidR="007B01A5">
        <w:t>efore we publish the guidelines</w:t>
      </w:r>
      <w:r w:rsidR="00F50240">
        <w:t xml:space="preserve"> for the 2014 group.</w:t>
      </w:r>
      <w:r w:rsidR="00147EA5">
        <w:rPr>
          <w:rStyle w:val="FootnoteReference"/>
        </w:rPr>
        <w:footnoteReference w:id="95"/>
      </w:r>
      <w:r w:rsidR="00F50240">
        <w:t xml:space="preserve"> That is, this assessment will only consider capex in regulatory years following 29 November 2013.</w:t>
      </w:r>
    </w:p>
    <w:p w:rsidR="00304B63" w:rsidRDefault="00495638" w:rsidP="00304B63">
      <w:pPr>
        <w:pStyle w:val="AERbodytext"/>
      </w:pPr>
      <w:r>
        <w:t>For the 2015-16 group, we can only exclude from the RAB capex incurred in regulatory years following our publication of the guidelines (</w:t>
      </w:r>
      <w:r w:rsidR="007B01A5">
        <w:t>where there is an inefficient overspend</w:t>
      </w:r>
      <w:r w:rsidRPr="00262145">
        <w:t xml:space="preserve">, </w:t>
      </w:r>
      <w:r w:rsidR="007B01A5">
        <w:t>inflated margin or</w:t>
      </w:r>
      <w:r w:rsidRPr="00262145">
        <w:t xml:space="preserve"> capitalised opex</w:t>
      </w:r>
      <w:r>
        <w:t>).</w:t>
      </w:r>
      <w:r w:rsidR="0097668B">
        <w:rPr>
          <w:rStyle w:val="FootnoteReference"/>
        </w:rPr>
        <w:footnoteReference w:id="96"/>
      </w:r>
      <w:r w:rsidR="007B01A5">
        <w:t xml:space="preserve"> That is, </w:t>
      </w:r>
      <w:r w:rsidR="00F50240">
        <w:t xml:space="preserve">we can only consider </w:t>
      </w:r>
      <w:r w:rsidR="007B01A5">
        <w:t>capex in regulatory years following 29 November 2013.</w:t>
      </w:r>
      <w:r w:rsidR="00F50240">
        <w:t xml:space="preserve"> Assuming a five year regulatory control period, the first ex post review for this group will be undertaken before the commencement of the 2020-21 regulatory control </w:t>
      </w:r>
      <w:proofErr w:type="gramStart"/>
      <w:r w:rsidR="00F50240">
        <w:t>period</w:t>
      </w:r>
      <w:proofErr w:type="gramEnd"/>
      <w:r w:rsidR="00F50240">
        <w:t>. At this time capex from 30 November 2013 until mid or late 2018 will be reviewed (depending on the NSP).</w:t>
      </w:r>
    </w:p>
    <w:p w:rsidR="0097668B" w:rsidRPr="00304B63" w:rsidRDefault="0097668B" w:rsidP="00E33796">
      <w:pPr>
        <w:pStyle w:val="AERbodytext"/>
        <w:numPr>
          <w:ilvl w:val="0"/>
          <w:numId w:val="13"/>
        </w:numPr>
      </w:pPr>
      <w:r w:rsidRPr="0097668B">
        <w:t>For all subsequent determinations</w:t>
      </w:r>
      <w:r>
        <w:t>, we may exclude from the RAB capex incurred any time after we have released our guidelines (where there is an inefficient overspend</w:t>
      </w:r>
      <w:r w:rsidRPr="00262145">
        <w:t xml:space="preserve">, </w:t>
      </w:r>
      <w:r>
        <w:t>inflated margin or</w:t>
      </w:r>
      <w:r w:rsidRPr="00262145">
        <w:t xml:space="preserve"> capitalised opex</w:t>
      </w:r>
      <w:r>
        <w:t>).</w:t>
      </w:r>
      <w:r>
        <w:rPr>
          <w:rStyle w:val="FootnoteReference"/>
        </w:rPr>
        <w:footnoteReference w:id="97"/>
      </w:r>
    </w:p>
    <w:p w:rsidR="007C5C43" w:rsidRPr="007C5C43" w:rsidRDefault="00BC63BA" w:rsidP="007C5C43">
      <w:pPr>
        <w:pStyle w:val="Heading7"/>
      </w:pPr>
      <w:bookmarkStart w:id="41" w:name="_Toc363640498"/>
      <w:r>
        <w:t>Relevant parts of the rules</w:t>
      </w:r>
      <w:bookmarkEnd w:id="41"/>
    </w:p>
    <w:p w:rsidR="007C5C43" w:rsidRPr="00E14FD8" w:rsidRDefault="007C5C43" w:rsidP="007C5C43">
      <w:pPr>
        <w:pStyle w:val="AERbodytext"/>
        <w:numPr>
          <w:ilvl w:val="0"/>
          <w:numId w:val="13"/>
        </w:numPr>
      </w:pPr>
      <w:r>
        <w:t xml:space="preserve">This </w:t>
      </w:r>
      <w:r w:rsidR="006939A2">
        <w:t>appendix</w:t>
      </w:r>
      <w:r>
        <w:t xml:space="preserve"> provides a summary of relevant terms and definitions. </w:t>
      </w:r>
    </w:p>
    <w:p w:rsidR="007C5C43" w:rsidRPr="00E14FD8" w:rsidRDefault="007C5C43" w:rsidP="001F55BB">
      <w:pPr>
        <w:pStyle w:val="HeadingBoldBlue"/>
      </w:pPr>
      <w:r>
        <w:t xml:space="preserve">Capital </w:t>
      </w:r>
      <w:r w:rsidRPr="00E14FD8">
        <w:t xml:space="preserve">expenditure incentive </w:t>
      </w:r>
      <w:r w:rsidR="0043387A">
        <w:t>guidelines</w:t>
      </w:r>
    </w:p>
    <w:p w:rsidR="007C5C43" w:rsidRDefault="007C5C43" w:rsidP="007C5C43">
      <w:pPr>
        <w:pStyle w:val="AERbodytext"/>
        <w:numPr>
          <w:ilvl w:val="0"/>
          <w:numId w:val="13"/>
        </w:numPr>
      </w:pPr>
      <w:r w:rsidRPr="00387C87">
        <w:t xml:space="preserve">The </w:t>
      </w:r>
      <w:r>
        <w:t>required content of the Capital Expenditure I</w:t>
      </w:r>
      <w:r w:rsidRPr="00387C87">
        <w:t xml:space="preserve">ncentive </w:t>
      </w:r>
      <w:r w:rsidR="0043387A">
        <w:t>Guidelines</w:t>
      </w:r>
      <w:r>
        <w:t xml:space="preserve"> is prescribed in clauses 6.4A and 6A.5A of the NER:</w:t>
      </w:r>
    </w:p>
    <w:p w:rsidR="007C5C43" w:rsidRPr="004464B7" w:rsidRDefault="007C5C43" w:rsidP="007C5C43">
      <w:pPr>
        <w:pStyle w:val="AERquote"/>
      </w:pPr>
      <w:r>
        <w:t>(b</w:t>
      </w:r>
      <w:r w:rsidRPr="004464B7">
        <w:t xml:space="preserve">) </w:t>
      </w:r>
      <w:r w:rsidRPr="00953045">
        <w:t xml:space="preserve">The AER must, in accordance with the distribution consultation procedures, make and publish </w:t>
      </w:r>
      <w:r w:rsidR="00783661">
        <w:t>guidelines</w:t>
      </w:r>
      <w:r w:rsidRPr="00953045">
        <w:t xml:space="preserve"> (</w:t>
      </w:r>
      <w:r w:rsidRPr="00387C87">
        <w:rPr>
          <w:rStyle w:val="AERtextitalic"/>
        </w:rPr>
        <w:t xml:space="preserve">capital expenditure incentive </w:t>
      </w:r>
      <w:r w:rsidR="00783661">
        <w:rPr>
          <w:rStyle w:val="AERtextitalic"/>
        </w:rPr>
        <w:t>guidelines</w:t>
      </w:r>
      <w:r w:rsidRPr="00953045">
        <w:t>) that set out:</w:t>
      </w:r>
    </w:p>
    <w:p w:rsidR="007C5C43" w:rsidRPr="00953045" w:rsidRDefault="007C5C43" w:rsidP="007C5C43">
      <w:pPr>
        <w:pStyle w:val="AERquoteindent1"/>
      </w:pPr>
      <w:r>
        <w:t>(1)</w:t>
      </w:r>
      <w:r>
        <w:tab/>
      </w:r>
      <w:r w:rsidRPr="00953045">
        <w:t>any capital expenditure sharing schemes developed by the AER in accordance with clause 6.5.8A, and how the AER has taken into account the capital expenditure sharing scheme principles in developing those schemes;</w:t>
      </w:r>
    </w:p>
    <w:p w:rsidR="007C5C43" w:rsidRPr="00953045" w:rsidRDefault="007C5C43" w:rsidP="007C5C43">
      <w:pPr>
        <w:pStyle w:val="AERquoteindent1"/>
      </w:pPr>
      <w:r w:rsidRPr="00953045">
        <w:t>(2)</w:t>
      </w:r>
      <w:r w:rsidRPr="00953045">
        <w:tab/>
        <w:t>the manner in which it proposes to make determinations under clause S6.2.2A(a) if the overspending requirement is satisfied;</w:t>
      </w:r>
    </w:p>
    <w:p w:rsidR="007C5C43" w:rsidRPr="00953045" w:rsidRDefault="007C5C43" w:rsidP="007C5C43">
      <w:pPr>
        <w:pStyle w:val="AERquoteindent1"/>
      </w:pPr>
      <w:r w:rsidRPr="00953045">
        <w:t>(3)</w:t>
      </w:r>
      <w:r w:rsidRPr="00953045">
        <w:tab/>
        <w:t>the manner in which it proposes to determine whether depreciation for establishing a regulatory asset base as at the commencement of a regulatory control period is to be based on actual or forecast capital expenditure;</w:t>
      </w:r>
    </w:p>
    <w:p w:rsidR="007C5C43" w:rsidRPr="00953045" w:rsidRDefault="007C5C43" w:rsidP="007C5C43">
      <w:pPr>
        <w:pStyle w:val="AERquoteindent1"/>
      </w:pPr>
      <w:r w:rsidRPr="00953045">
        <w:t>(4)</w:t>
      </w:r>
      <w:r w:rsidRPr="00953045">
        <w:tab/>
        <w:t>the manner in which it proposes to make determinations under clause S6.2.2A(i) if the margin requirement is satisfied; and</w:t>
      </w:r>
    </w:p>
    <w:p w:rsidR="007C5C43" w:rsidRPr="00953045" w:rsidRDefault="007C5C43" w:rsidP="007C5C43">
      <w:pPr>
        <w:pStyle w:val="AERquoteindent1"/>
      </w:pPr>
      <w:r w:rsidRPr="00953045">
        <w:t>(5)</w:t>
      </w:r>
      <w:r w:rsidRPr="00953045">
        <w:tab/>
        <w:t>the manner in which it proposes to make determinations under clause S6.2.2A(j) if the capitalisation requirement is satisfied; and</w:t>
      </w:r>
    </w:p>
    <w:p w:rsidR="007C5C43" w:rsidRDefault="007C5C43" w:rsidP="007C5C43">
      <w:pPr>
        <w:pStyle w:val="AERquoteindent1"/>
      </w:pPr>
      <w:r w:rsidRPr="00953045">
        <w:t>(6)</w:t>
      </w:r>
      <w:r w:rsidRPr="00953045">
        <w:tab/>
        <w:t xml:space="preserve">how each scheme and proposal referred to in subparagraphs (1) to (5), and all of them taken together, are consistent with the capital expenditure incentive objective. </w:t>
      </w:r>
      <w:r>
        <w:t>(c</w:t>
      </w:r>
      <w:r w:rsidRPr="00723261">
        <w:t xml:space="preserve">) If the </w:t>
      </w:r>
      <w:r w:rsidRPr="00723261">
        <w:rPr>
          <w:rStyle w:val="AERtextitalic"/>
        </w:rPr>
        <w:t>AER</w:t>
      </w:r>
      <w:r w:rsidRPr="00723261">
        <w:t xml:space="preserve"> is not satisfied as referred to in paragraph (c), it must not accept the forecast of required capital expenditure of a </w:t>
      </w:r>
      <w:r w:rsidRPr="00723261">
        <w:rPr>
          <w:rStyle w:val="AERtextitalic"/>
        </w:rPr>
        <w:t>Transmission Network Service Provider</w:t>
      </w:r>
      <w:r>
        <w:rPr>
          <w:rStyle w:val="AERtextitalic"/>
        </w:rPr>
        <w:t xml:space="preserve"> [DNSP]</w:t>
      </w:r>
      <w:r w:rsidRPr="00723261">
        <w:t>.</w:t>
      </w:r>
    </w:p>
    <w:p w:rsidR="007C5C43" w:rsidRPr="00E14FD8" w:rsidRDefault="007C5C43" w:rsidP="007C5C43">
      <w:pPr>
        <w:pStyle w:val="AERquote"/>
      </w:pPr>
      <w:r>
        <w:t xml:space="preserve">(c) </w:t>
      </w:r>
      <w:r w:rsidRPr="00953045">
        <w:t xml:space="preserve">There must be Capital Expenditure Incentive </w:t>
      </w:r>
      <w:r w:rsidR="00783661">
        <w:t>Guidelines</w:t>
      </w:r>
      <w:r w:rsidRPr="00953045">
        <w:t xml:space="preserve"> in force at all times after the date on which the AER first publishes the Capital Expenditure Incentive </w:t>
      </w:r>
      <w:r w:rsidR="00783661">
        <w:t>Guidelines</w:t>
      </w:r>
      <w:r w:rsidRPr="00953045">
        <w:t xml:space="preserve"> under these Rules.</w:t>
      </w:r>
    </w:p>
    <w:p w:rsidR="00EA2B44" w:rsidRPr="00E14FD8" w:rsidRDefault="00EA2B44" w:rsidP="001F55BB">
      <w:pPr>
        <w:pStyle w:val="HeadingBoldBlue"/>
      </w:pPr>
      <w:r>
        <w:t xml:space="preserve">Capital </w:t>
      </w:r>
      <w:r w:rsidRPr="00E14FD8">
        <w:t>expenditure incentive objective</w:t>
      </w:r>
    </w:p>
    <w:p w:rsidR="00EA2B44" w:rsidRPr="00387C87" w:rsidRDefault="00EA2B44" w:rsidP="00EA2B44">
      <w:pPr>
        <w:pStyle w:val="AERbodytext"/>
        <w:numPr>
          <w:ilvl w:val="0"/>
          <w:numId w:val="13"/>
        </w:numPr>
      </w:pPr>
      <w:r w:rsidRPr="00387C87">
        <w:t>The capital expenditure incentive objective is given by clause</w:t>
      </w:r>
      <w:r>
        <w:t>s</w:t>
      </w:r>
      <w:r w:rsidRPr="00387C87">
        <w:t xml:space="preserve"> 6.4A(a) and 6A.5A(a) of the NER:</w:t>
      </w:r>
    </w:p>
    <w:p w:rsidR="00EA2B44" w:rsidRDefault="00EA2B44" w:rsidP="00EA2B44">
      <w:pPr>
        <w:pStyle w:val="AERquote"/>
      </w:pPr>
      <w:r w:rsidRPr="00387C87">
        <w:t xml:space="preserve">The </w:t>
      </w:r>
      <w:r w:rsidRPr="00387C87">
        <w:rPr>
          <w:rStyle w:val="AERtextitalic"/>
        </w:rPr>
        <w:t>capital expenditure incentive objective</w:t>
      </w:r>
      <w:r w:rsidRPr="00387C87">
        <w:t xml:space="preserve"> is to ensure that, where the value of a regulatory asset base is subject to adjustment in accordance with the </w:t>
      </w:r>
      <w:r w:rsidRPr="00387C87">
        <w:rPr>
          <w:rStyle w:val="AERtextitalic"/>
        </w:rPr>
        <w:t>Rules</w:t>
      </w:r>
      <w:r w:rsidRPr="00387C87">
        <w:t xml:space="preserve">, then the only capital expenditure that is included in an adjustment that increases the value of that regulatory asset base is capital expenditure that reasonably reflects the </w:t>
      </w:r>
      <w:r w:rsidRPr="00387C87">
        <w:rPr>
          <w:rStyle w:val="AERtextitalic"/>
        </w:rPr>
        <w:t>capital expenditure criteria</w:t>
      </w:r>
      <w:r w:rsidRPr="00387C87">
        <w:t>.</w:t>
      </w:r>
    </w:p>
    <w:p w:rsidR="007C5C43" w:rsidRDefault="007C5C43" w:rsidP="001F55BB">
      <w:pPr>
        <w:pStyle w:val="HeadingBoldBlue"/>
      </w:pPr>
      <w:r>
        <w:t>Capital expenditure criteria</w:t>
      </w:r>
    </w:p>
    <w:p w:rsidR="007C5C43" w:rsidRDefault="007C5C43" w:rsidP="007C5C43">
      <w:pPr>
        <w:pStyle w:val="AERbodytext"/>
        <w:numPr>
          <w:ilvl w:val="0"/>
          <w:numId w:val="13"/>
        </w:numPr>
      </w:pPr>
      <w:r>
        <w:t xml:space="preserve">The </w:t>
      </w:r>
      <w:r w:rsidRPr="00AB2722">
        <w:t>capital expenditure criteria</w:t>
      </w:r>
      <w:r>
        <w:t xml:space="preserve"> are contained in clauses 6A.6.7(c) and 6.5.7(c) of the NER:</w:t>
      </w:r>
    </w:p>
    <w:p w:rsidR="007C5C43" w:rsidRPr="004464B7" w:rsidRDefault="007C5C43" w:rsidP="007C5C43">
      <w:pPr>
        <w:pStyle w:val="AERquote"/>
      </w:pPr>
      <w:r w:rsidRPr="004464B7">
        <w:t xml:space="preserve">(c) The AER must accept the forecast of required capital expenditure of a </w:t>
      </w:r>
      <w:r w:rsidRPr="00723261">
        <w:rPr>
          <w:rStyle w:val="AERtextitalic"/>
        </w:rPr>
        <w:t>Transmission Network Service Provider [DNSP]</w:t>
      </w:r>
      <w:r>
        <w:t xml:space="preserve"> </w:t>
      </w:r>
      <w:r w:rsidRPr="004464B7">
        <w:t xml:space="preserve">that is included in a </w:t>
      </w:r>
      <w:r w:rsidRPr="00723261">
        <w:rPr>
          <w:rStyle w:val="AERtextitalic"/>
        </w:rPr>
        <w:t>Revenue Proposal</w:t>
      </w:r>
      <w:r>
        <w:rPr>
          <w:rStyle w:val="AERtextitalic"/>
        </w:rPr>
        <w:t xml:space="preserve"> [building block proposal]</w:t>
      </w:r>
      <w:r w:rsidRPr="004464B7">
        <w:t xml:space="preserve"> if the </w:t>
      </w:r>
      <w:r w:rsidRPr="00723261">
        <w:rPr>
          <w:rStyle w:val="AERtextitalic"/>
        </w:rPr>
        <w:t>AER</w:t>
      </w:r>
      <w:r w:rsidRPr="004464B7">
        <w:t xml:space="preserve"> is satisfied that the total of the forecast capital expenditure for the </w:t>
      </w:r>
      <w:r w:rsidRPr="00723261">
        <w:rPr>
          <w:rStyle w:val="AERtextitalic"/>
        </w:rPr>
        <w:t>regulatory control period</w:t>
      </w:r>
      <w:r w:rsidRPr="004464B7">
        <w:t xml:space="preserve"> reasonably reflects each of the following (</w:t>
      </w:r>
      <w:r>
        <w:t xml:space="preserve">the </w:t>
      </w:r>
      <w:r w:rsidRPr="00723261">
        <w:rPr>
          <w:rStyle w:val="AERtextitalic"/>
        </w:rPr>
        <w:t>capital expenditure criteria</w:t>
      </w:r>
      <w:r w:rsidRPr="004464B7">
        <w:t>):</w:t>
      </w:r>
    </w:p>
    <w:p w:rsidR="007C5C43" w:rsidRPr="004464B7" w:rsidRDefault="007C5C43" w:rsidP="007C5C43">
      <w:pPr>
        <w:pStyle w:val="AERquoteindent1"/>
      </w:pPr>
      <w:r w:rsidRPr="004464B7">
        <w:t>(1) the efficient costs of achieving the capital expenditure objectives;</w:t>
      </w:r>
    </w:p>
    <w:p w:rsidR="007C5C43" w:rsidRPr="004464B7" w:rsidRDefault="007C5C43" w:rsidP="007C5C43">
      <w:pPr>
        <w:pStyle w:val="AERquoteindent1"/>
      </w:pPr>
      <w:r w:rsidRPr="004464B7">
        <w:t xml:space="preserve">(2) the costs that a prudent operator would require to achieve the </w:t>
      </w:r>
      <w:r w:rsidRPr="00723261">
        <w:rPr>
          <w:rStyle w:val="AERtextitalic"/>
        </w:rPr>
        <w:t>capital expenditure objectives</w:t>
      </w:r>
      <w:r w:rsidRPr="004464B7">
        <w:t>; and</w:t>
      </w:r>
    </w:p>
    <w:p w:rsidR="007C5C43" w:rsidRDefault="007C5C43" w:rsidP="007C5C43">
      <w:pPr>
        <w:pStyle w:val="AERquoteindent1"/>
      </w:pPr>
      <w:r w:rsidRPr="004464B7">
        <w:t xml:space="preserve">(3) a realistic expectation of the demand forecast and cost inputs required to achieve the </w:t>
      </w:r>
      <w:r w:rsidRPr="00723261">
        <w:rPr>
          <w:rStyle w:val="AERtextitalic"/>
        </w:rPr>
        <w:t>capital expenditure objectives</w:t>
      </w:r>
      <w:r w:rsidRPr="004464B7">
        <w:t>.</w:t>
      </w:r>
    </w:p>
    <w:p w:rsidR="007C5C43" w:rsidRPr="00E14FD8" w:rsidRDefault="007C5C43" w:rsidP="007C5C43">
      <w:pPr>
        <w:pStyle w:val="AERquote"/>
      </w:pPr>
      <w:r w:rsidRPr="00723261">
        <w:t xml:space="preserve">(d) If the </w:t>
      </w:r>
      <w:r w:rsidRPr="00723261">
        <w:rPr>
          <w:rStyle w:val="AERtextitalic"/>
        </w:rPr>
        <w:t>AER</w:t>
      </w:r>
      <w:r w:rsidRPr="00723261">
        <w:t xml:space="preserve"> is not satisfied as referred to in paragraph (c), it must not accept the forecast of required capital expenditure of a </w:t>
      </w:r>
      <w:r w:rsidRPr="00723261">
        <w:rPr>
          <w:rStyle w:val="AERtextitalic"/>
        </w:rPr>
        <w:t>Transmission Network Service Provider</w:t>
      </w:r>
      <w:r>
        <w:rPr>
          <w:rStyle w:val="AERtextitalic"/>
        </w:rPr>
        <w:t xml:space="preserve"> [DNSP]</w:t>
      </w:r>
      <w:r w:rsidRPr="00723261">
        <w:t>.</w:t>
      </w:r>
    </w:p>
    <w:p w:rsidR="00EA2B44" w:rsidRDefault="00EA2B44" w:rsidP="001F55BB">
      <w:pPr>
        <w:pStyle w:val="HeadingBoldBlue"/>
      </w:pPr>
      <w:r>
        <w:t>Capital expenditure objectives</w:t>
      </w:r>
    </w:p>
    <w:p w:rsidR="00EA2B44" w:rsidRDefault="00EA2B44" w:rsidP="00EA2B44">
      <w:pPr>
        <w:pStyle w:val="AERbodytext"/>
      </w:pPr>
      <w:r>
        <w:t xml:space="preserve">The capital expenditure objectives are contained in clauses in 6.5.7(a) and </w:t>
      </w:r>
      <w:r w:rsidRPr="00EA2B44">
        <w:t>6A.6.7</w:t>
      </w:r>
      <w:r>
        <w:t>(a) of the NER:</w:t>
      </w:r>
    </w:p>
    <w:p w:rsidR="00EA2B44" w:rsidRPr="00EA2B44" w:rsidRDefault="00EA2B44" w:rsidP="00EA2B44">
      <w:pPr>
        <w:pStyle w:val="AERquote"/>
      </w:pPr>
      <w:r w:rsidRPr="00EA2B44">
        <w:t>(a)</w:t>
      </w:r>
      <w:r w:rsidRPr="00EA2B44">
        <w:tab/>
        <w:t xml:space="preserve">A building block proposal must include the total forecast capital expenditure for the relevant regulatory control period which the Distribution Network Service Provider </w:t>
      </w:r>
      <w:r>
        <w:t xml:space="preserve">[TNSP] </w:t>
      </w:r>
      <w:r w:rsidRPr="00EA2B44">
        <w:t xml:space="preserve">considers is required in order to achieve each of the following (the </w:t>
      </w:r>
      <w:r w:rsidRPr="00EA2B44">
        <w:rPr>
          <w:rStyle w:val="AERtextitalic"/>
        </w:rPr>
        <w:t>capital expenditure objectives</w:t>
      </w:r>
      <w:r w:rsidRPr="00EA2B44">
        <w:t>):</w:t>
      </w:r>
    </w:p>
    <w:p w:rsidR="00EA2B44" w:rsidRPr="00EA2B44" w:rsidRDefault="00EA2B44" w:rsidP="00EA2B44">
      <w:pPr>
        <w:pStyle w:val="AERquoteindent1"/>
      </w:pPr>
      <w:r w:rsidRPr="00EA2B44">
        <w:t>(1)</w:t>
      </w:r>
      <w:r w:rsidRPr="00EA2B44">
        <w:tab/>
        <w:t>meet or manage the expected demand for standard control services over that period;</w:t>
      </w:r>
    </w:p>
    <w:p w:rsidR="00EA2B44" w:rsidRPr="00EA2B44" w:rsidRDefault="00EA2B44" w:rsidP="00EA2B44">
      <w:pPr>
        <w:pStyle w:val="AERquoteindent1"/>
      </w:pPr>
      <w:r w:rsidRPr="00EA2B44">
        <w:t>(2)</w:t>
      </w:r>
      <w:r w:rsidRPr="00EA2B44">
        <w:tab/>
        <w:t>comply with all applicable regulatory obligations or requirements associated with the provision of standard control services;</w:t>
      </w:r>
    </w:p>
    <w:p w:rsidR="00EA2B44" w:rsidRPr="00EA2B44" w:rsidRDefault="00EA2B44" w:rsidP="00EA2B44">
      <w:pPr>
        <w:pStyle w:val="AERquoteindent1"/>
      </w:pPr>
      <w:r w:rsidRPr="00EA2B44">
        <w:t>(3)</w:t>
      </w:r>
      <w:r w:rsidRPr="00EA2B44">
        <w:tab/>
        <w:t>maintain the quality, reliability and security of supply of standard control services; and</w:t>
      </w:r>
    </w:p>
    <w:p w:rsidR="00EA2B44" w:rsidRPr="00EA2B44" w:rsidRDefault="00EA2B44" w:rsidP="00EA2B44">
      <w:pPr>
        <w:pStyle w:val="AERquoteindent1"/>
      </w:pPr>
      <w:r w:rsidRPr="00EA2B44">
        <w:t>(4)</w:t>
      </w:r>
      <w:r w:rsidRPr="00EA2B44">
        <w:tab/>
        <w:t>maintain the reliability, safety and security of the distribution system through the supply of standard control services.</w:t>
      </w:r>
    </w:p>
    <w:p w:rsidR="007C5C43" w:rsidRDefault="007C5C43" w:rsidP="001F55BB">
      <w:pPr>
        <w:pStyle w:val="HeadingBoldBlue"/>
      </w:pPr>
      <w:r>
        <w:t>Capital expenditure factors</w:t>
      </w:r>
    </w:p>
    <w:p w:rsidR="007C5C43" w:rsidRPr="00A11F42" w:rsidRDefault="007C5C43" w:rsidP="007C5C43">
      <w:pPr>
        <w:pStyle w:val="AERbodytext"/>
        <w:numPr>
          <w:ilvl w:val="0"/>
          <w:numId w:val="13"/>
        </w:numPr>
        <w:rPr>
          <w:rStyle w:val="AERbody"/>
        </w:rPr>
      </w:pPr>
      <w:r w:rsidRPr="00A11F42">
        <w:rPr>
          <w:rStyle w:val="AERbody"/>
        </w:rPr>
        <w:t>The capital expenditure factors are contained in clause</w:t>
      </w:r>
      <w:r>
        <w:rPr>
          <w:rStyle w:val="AERbody"/>
        </w:rPr>
        <w:t>s</w:t>
      </w:r>
      <w:r w:rsidRPr="00A11F42">
        <w:rPr>
          <w:rStyle w:val="AERbody"/>
        </w:rPr>
        <w:t xml:space="preserve"> </w:t>
      </w:r>
      <w:r w:rsidR="00EA2B44">
        <w:rPr>
          <w:rStyle w:val="AERbody"/>
        </w:rPr>
        <w:t xml:space="preserve">6.5.7(e) and </w:t>
      </w:r>
      <w:r w:rsidRPr="00A11F42">
        <w:rPr>
          <w:rStyle w:val="AERbody"/>
        </w:rPr>
        <w:t>6A.6.7</w:t>
      </w:r>
      <w:r w:rsidR="00EA2B44">
        <w:rPr>
          <w:rStyle w:val="AERbody"/>
        </w:rPr>
        <w:t xml:space="preserve">(e) </w:t>
      </w:r>
      <w:r>
        <w:rPr>
          <w:rStyle w:val="AERbody"/>
        </w:rPr>
        <w:t>of the NER:</w:t>
      </w:r>
    </w:p>
    <w:p w:rsidR="007C5C43" w:rsidRPr="00723261" w:rsidRDefault="007C5C43" w:rsidP="007C5C43">
      <w:pPr>
        <w:pStyle w:val="AERquote"/>
      </w:pPr>
      <w:r w:rsidRPr="00723261">
        <w:t xml:space="preserve">(4) the most recent annual benchmarking report that has been published under clause 6A.31 and benchmark capital expenditure that would be incurred by an efficient </w:t>
      </w:r>
      <w:r w:rsidRPr="00723261">
        <w:rPr>
          <w:rStyle w:val="AERtextitalic"/>
        </w:rPr>
        <w:t>Transmission Network Service Provider</w:t>
      </w:r>
      <w:r>
        <w:rPr>
          <w:rStyle w:val="AERtextitalic"/>
        </w:rPr>
        <w:t xml:space="preserve"> [DNSP]</w:t>
      </w:r>
      <w:r w:rsidRPr="00723261">
        <w:t xml:space="preserve"> over the relevant </w:t>
      </w:r>
      <w:r w:rsidRPr="00723261">
        <w:rPr>
          <w:rStyle w:val="AERtextitalic"/>
        </w:rPr>
        <w:t>regulatory control period</w:t>
      </w:r>
      <w:r w:rsidRPr="00723261">
        <w:t>;</w:t>
      </w:r>
    </w:p>
    <w:p w:rsidR="007C5C43" w:rsidRPr="00723261" w:rsidRDefault="007C5C43" w:rsidP="007C5C43">
      <w:pPr>
        <w:pStyle w:val="AERquote"/>
      </w:pPr>
      <w:r w:rsidRPr="00723261">
        <w:t xml:space="preserve">(5) the actual and expected capital expenditure of the </w:t>
      </w:r>
      <w:r w:rsidRPr="00723261">
        <w:rPr>
          <w:rStyle w:val="AERtextitalic"/>
        </w:rPr>
        <w:t>Transmission Network Service Provider</w:t>
      </w:r>
      <w:r>
        <w:rPr>
          <w:rStyle w:val="AERtextitalic"/>
        </w:rPr>
        <w:t xml:space="preserve"> [DNSP]</w:t>
      </w:r>
      <w:r w:rsidRPr="00723261">
        <w:t xml:space="preserve"> during any preceding </w:t>
      </w:r>
      <w:r w:rsidRPr="00723261">
        <w:rPr>
          <w:rStyle w:val="AERtextitalic"/>
        </w:rPr>
        <w:t>regulatory control periods</w:t>
      </w:r>
      <w:r w:rsidRPr="00723261">
        <w:t>;</w:t>
      </w:r>
    </w:p>
    <w:p w:rsidR="007C5C43" w:rsidRPr="00723261" w:rsidRDefault="007C5C43" w:rsidP="007C5C43">
      <w:pPr>
        <w:pStyle w:val="AERquote"/>
      </w:pPr>
      <w:r w:rsidRPr="00723261">
        <w:t xml:space="preserve">(5A) the extent to which the capital expenditure forecast includes expenditure to address the concerns of electricity consumers as identified by the </w:t>
      </w:r>
      <w:r w:rsidRPr="00723261">
        <w:rPr>
          <w:rStyle w:val="AERtextitalic"/>
        </w:rPr>
        <w:t>Transmission Network Service Provider</w:t>
      </w:r>
      <w:r>
        <w:rPr>
          <w:rStyle w:val="AERtextitalic"/>
        </w:rPr>
        <w:t xml:space="preserve"> [DNSP]</w:t>
      </w:r>
      <w:r w:rsidRPr="00723261">
        <w:t xml:space="preserve"> in the course of its engagement with electricity consumers;</w:t>
      </w:r>
    </w:p>
    <w:p w:rsidR="007C5C43" w:rsidRPr="00723261" w:rsidRDefault="007C5C43" w:rsidP="007C5C43">
      <w:pPr>
        <w:pStyle w:val="AERquote"/>
      </w:pPr>
      <w:r w:rsidRPr="00723261">
        <w:t>(6) the relative prices of operating and capital inputs;</w:t>
      </w:r>
    </w:p>
    <w:p w:rsidR="007C5C43" w:rsidRPr="00723261" w:rsidRDefault="007C5C43" w:rsidP="007C5C43">
      <w:pPr>
        <w:pStyle w:val="AERquote"/>
      </w:pPr>
      <w:r w:rsidRPr="00723261">
        <w:t>(7) the substitution possibilities between operating and capital expenditure;</w:t>
      </w:r>
    </w:p>
    <w:p w:rsidR="007C5C43" w:rsidRDefault="007C5C43" w:rsidP="007C5C43">
      <w:pPr>
        <w:pStyle w:val="AERquote"/>
      </w:pPr>
      <w:r w:rsidRPr="00723261">
        <w:t xml:space="preserve">(8) whether the capital expenditure forecast is consistent with any incentive scheme or schemes that apply to the </w:t>
      </w:r>
      <w:r w:rsidRPr="00723261">
        <w:rPr>
          <w:rStyle w:val="AERtextitalic"/>
        </w:rPr>
        <w:t>Transmission Network Service Provider</w:t>
      </w:r>
      <w:r>
        <w:rPr>
          <w:rStyle w:val="AERtextitalic"/>
        </w:rPr>
        <w:t xml:space="preserve"> [DNSP]</w:t>
      </w:r>
      <w:r w:rsidRPr="00723261">
        <w:t xml:space="preserve"> under clauses 6A.6.5A, 6A.7.4 or 6A.7.5</w:t>
      </w:r>
      <w:r>
        <w:t xml:space="preserve"> [</w:t>
      </w:r>
      <w:r w:rsidRPr="00723261">
        <w:t>6.5.8A or 6.6.2 to 6.6.4</w:t>
      </w:r>
      <w:r>
        <w:t>]</w:t>
      </w:r>
      <w:r w:rsidRPr="00723261">
        <w:t>;</w:t>
      </w:r>
    </w:p>
    <w:p w:rsidR="007C5C43" w:rsidRPr="00723261" w:rsidRDefault="007C5C43" w:rsidP="007C5C43">
      <w:pPr>
        <w:pStyle w:val="AERquote"/>
      </w:pPr>
      <w:r w:rsidRPr="00723261">
        <w:t xml:space="preserve">(9) the extent to which the capital expenditure forecast is referable to arrangements with a person other than the </w:t>
      </w:r>
      <w:r w:rsidRPr="00BA7DF4">
        <w:rPr>
          <w:rStyle w:val="AERtextitalic"/>
        </w:rPr>
        <w:t>Transmission Network Service Provider</w:t>
      </w:r>
      <w:r>
        <w:rPr>
          <w:rStyle w:val="AERtextitalic"/>
        </w:rPr>
        <w:t xml:space="preserve"> [DNSP]</w:t>
      </w:r>
      <w:r w:rsidRPr="00723261">
        <w:t xml:space="preserve"> that, in the opinion of the </w:t>
      </w:r>
      <w:r w:rsidRPr="00BA7DF4">
        <w:rPr>
          <w:rStyle w:val="AERtextitalic"/>
        </w:rPr>
        <w:t>AER</w:t>
      </w:r>
      <w:r w:rsidRPr="00723261">
        <w:t>, do not reflect arm’s length terms;</w:t>
      </w:r>
    </w:p>
    <w:p w:rsidR="007C5C43" w:rsidRDefault="007C5C43" w:rsidP="007C5C43">
      <w:pPr>
        <w:pStyle w:val="AERquote"/>
      </w:pPr>
      <w:r w:rsidRPr="00723261">
        <w:t xml:space="preserve">(10) </w:t>
      </w:r>
      <w:r>
        <w:t xml:space="preserve">[9A] </w:t>
      </w:r>
      <w:r w:rsidRPr="00723261">
        <w:t xml:space="preserve">whether the capital expenditure forecast includes an amount relating to a project that should more appropriately be included as a </w:t>
      </w:r>
      <w:r w:rsidRPr="00BA7DF4">
        <w:rPr>
          <w:rStyle w:val="AERtextitalic"/>
        </w:rPr>
        <w:t>contingent project</w:t>
      </w:r>
      <w:r w:rsidRPr="00723261">
        <w:t xml:space="preserve"> under clause 6A.8.1(b)</w:t>
      </w:r>
      <w:r>
        <w:t xml:space="preserve"> [</w:t>
      </w:r>
      <w:r w:rsidRPr="00BA7DF4">
        <w:t>6.6A.1(b)</w:t>
      </w:r>
      <w:r>
        <w:t>]</w:t>
      </w:r>
      <w:r w:rsidRPr="00723261">
        <w:t xml:space="preserve">; </w:t>
      </w:r>
    </w:p>
    <w:p w:rsidR="007C5C43" w:rsidRDefault="007C5C43" w:rsidP="007C5C43">
      <w:pPr>
        <w:pStyle w:val="AERquote"/>
      </w:pPr>
      <w:r w:rsidRPr="00723261">
        <w:t>(11) the most recent NTNDP</w:t>
      </w:r>
      <w:r>
        <w:rPr>
          <w:rStyle w:val="FootnoteReference"/>
        </w:rPr>
        <w:footnoteReference w:id="98"/>
      </w:r>
      <w:r w:rsidRPr="00723261">
        <w:t xml:space="preserve">, and any submissions made by </w:t>
      </w:r>
      <w:r w:rsidRPr="00C56043">
        <w:rPr>
          <w:rStyle w:val="AERtextitalic"/>
        </w:rPr>
        <w:t>AEMO</w:t>
      </w:r>
      <w:r w:rsidRPr="00723261">
        <w:t xml:space="preserve">, in accordance with the </w:t>
      </w:r>
      <w:r w:rsidRPr="00C56043">
        <w:rPr>
          <w:rStyle w:val="AERtextitalic"/>
        </w:rPr>
        <w:t>Rules</w:t>
      </w:r>
      <w:r w:rsidRPr="00723261">
        <w:t xml:space="preserve">, on the forecast of the </w:t>
      </w:r>
      <w:r w:rsidRPr="00C56043">
        <w:rPr>
          <w:rStyle w:val="AERtextitalic"/>
        </w:rPr>
        <w:t>Transmission Network Service Provider's</w:t>
      </w:r>
      <w:r w:rsidRPr="00723261">
        <w:t xml:space="preserve"> required capital expenditure;</w:t>
      </w:r>
      <w:r>
        <w:t xml:space="preserve"> [does not apply for DNSPs]</w:t>
      </w:r>
    </w:p>
    <w:p w:rsidR="007C5C43" w:rsidRPr="00723261" w:rsidRDefault="007C5C43" w:rsidP="007C5C43">
      <w:pPr>
        <w:pStyle w:val="AERquote"/>
      </w:pPr>
      <w:r w:rsidRPr="00723261">
        <w:t xml:space="preserve">(12) </w:t>
      </w:r>
      <w:r>
        <w:t xml:space="preserve">[10] </w:t>
      </w:r>
      <w:r w:rsidRPr="00723261">
        <w:t xml:space="preserve">the extent to which the </w:t>
      </w:r>
      <w:r w:rsidRPr="00C56043">
        <w:rPr>
          <w:rStyle w:val="AERtextitalic"/>
        </w:rPr>
        <w:t>Transmission Network Service Provider</w:t>
      </w:r>
      <w:r w:rsidRPr="00723261">
        <w:t xml:space="preserve"> </w:t>
      </w:r>
      <w:r>
        <w:rPr>
          <w:rStyle w:val="AERtextitalic"/>
        </w:rPr>
        <w:t xml:space="preserve">[DNSP] </w:t>
      </w:r>
      <w:r w:rsidRPr="00723261">
        <w:t>has considered and made provision for efficient and prudent non-</w:t>
      </w:r>
      <w:r w:rsidRPr="00C56043">
        <w:rPr>
          <w:rStyle w:val="AERtextitalic"/>
        </w:rPr>
        <w:t>network</w:t>
      </w:r>
      <w:r w:rsidRPr="00723261">
        <w:t xml:space="preserve"> alternatives;</w:t>
      </w:r>
      <w:r>
        <w:t xml:space="preserve"> </w:t>
      </w:r>
    </w:p>
    <w:p w:rsidR="007C5C43" w:rsidRDefault="007C5C43" w:rsidP="007C5C43">
      <w:pPr>
        <w:pStyle w:val="AERquote"/>
      </w:pPr>
      <w:r w:rsidRPr="00723261">
        <w:t xml:space="preserve">(13) any relevant </w:t>
      </w:r>
      <w:r w:rsidRPr="00C56043">
        <w:rPr>
          <w:rStyle w:val="AERtextitalic"/>
        </w:rPr>
        <w:t>project assessment conclusions report</w:t>
      </w:r>
      <w:r w:rsidRPr="00723261">
        <w:t xml:space="preserve"> required under clause 5.6.6; and</w:t>
      </w:r>
      <w:r>
        <w:t xml:space="preserve"> [does not apply for DNSPs]</w:t>
      </w:r>
    </w:p>
    <w:p w:rsidR="007C5C43" w:rsidRDefault="007C5C43" w:rsidP="007C5C43">
      <w:pPr>
        <w:pStyle w:val="AERquote"/>
      </w:pPr>
      <w:r w:rsidRPr="00723261">
        <w:t xml:space="preserve">(14) </w:t>
      </w:r>
      <w:r>
        <w:t xml:space="preserve">[12] </w:t>
      </w:r>
      <w:r w:rsidRPr="00723261">
        <w:t xml:space="preserve">any other factor the </w:t>
      </w:r>
      <w:r w:rsidRPr="00C56043">
        <w:rPr>
          <w:rStyle w:val="AERtextitalic"/>
        </w:rPr>
        <w:t>AER</w:t>
      </w:r>
      <w:r w:rsidRPr="00723261">
        <w:t xml:space="preserve"> considers relevant and which the </w:t>
      </w:r>
      <w:r w:rsidRPr="00C56043">
        <w:rPr>
          <w:rStyle w:val="AERtextitalic"/>
        </w:rPr>
        <w:t>AER</w:t>
      </w:r>
      <w:r w:rsidRPr="00723261">
        <w:t xml:space="preserve"> has notified the </w:t>
      </w:r>
      <w:r w:rsidRPr="00C56043">
        <w:rPr>
          <w:rStyle w:val="AERtextitalic"/>
        </w:rPr>
        <w:t>Transmission Network Service Provider</w:t>
      </w:r>
      <w:r>
        <w:rPr>
          <w:rStyle w:val="AERtextitalic"/>
        </w:rPr>
        <w:t xml:space="preserve"> [DNSP]</w:t>
      </w:r>
      <w:r w:rsidRPr="00723261">
        <w:t xml:space="preserve"> in writing, prior to the submission of its revised </w:t>
      </w:r>
      <w:r w:rsidRPr="00C56043">
        <w:rPr>
          <w:rStyle w:val="AERtextitalic"/>
        </w:rPr>
        <w:t>Revenue Proposal</w:t>
      </w:r>
      <w:r w:rsidRPr="00723261">
        <w:t xml:space="preserve"> </w:t>
      </w:r>
      <w:r>
        <w:rPr>
          <w:rStyle w:val="AERtextitalic"/>
        </w:rPr>
        <w:t xml:space="preserve">[regulatory proposal] </w:t>
      </w:r>
      <w:r w:rsidRPr="00723261">
        <w:t>under clause 6A.12.3</w:t>
      </w:r>
      <w:r>
        <w:t xml:space="preserve"> [</w:t>
      </w:r>
      <w:r w:rsidRPr="00C56043">
        <w:t>6.10.3</w:t>
      </w:r>
      <w:r>
        <w:t>]</w:t>
      </w:r>
      <w:r w:rsidRPr="00723261">
        <w:t xml:space="preserve">, is a </w:t>
      </w:r>
      <w:r w:rsidRPr="00E86F51">
        <w:rPr>
          <w:rStyle w:val="AERtextitalic"/>
        </w:rPr>
        <w:t>capital expenditure factor</w:t>
      </w:r>
      <w:r w:rsidRPr="00723261">
        <w:t>.</w:t>
      </w:r>
    </w:p>
    <w:p w:rsidR="007C5C43" w:rsidRDefault="007C5C43" w:rsidP="001F55BB">
      <w:pPr>
        <w:pStyle w:val="HeadingBoldBlue"/>
      </w:pPr>
      <w:r>
        <w:t>C</w:t>
      </w:r>
      <w:r w:rsidRPr="005E7A55">
        <w:t>apital expenditure sharing scheme principles</w:t>
      </w:r>
    </w:p>
    <w:p w:rsidR="007C5C43" w:rsidRDefault="007C5C43" w:rsidP="007C5C43">
      <w:pPr>
        <w:pStyle w:val="AERbodytext"/>
        <w:numPr>
          <w:ilvl w:val="0"/>
          <w:numId w:val="13"/>
        </w:numPr>
        <w:rPr>
          <w:rStyle w:val="AERbody"/>
        </w:rPr>
      </w:pPr>
      <w:r>
        <w:rPr>
          <w:rStyle w:val="AERbody"/>
        </w:rPr>
        <w:t xml:space="preserve">The </w:t>
      </w:r>
      <w:r w:rsidRPr="004E4424">
        <w:rPr>
          <w:rStyle w:val="AERbody"/>
        </w:rPr>
        <w:t xml:space="preserve">capital expenditure sharing scheme </w:t>
      </w:r>
      <w:r>
        <w:rPr>
          <w:rStyle w:val="AERbody"/>
        </w:rPr>
        <w:t xml:space="preserve">principles are </w:t>
      </w:r>
      <w:r w:rsidRPr="004E4424">
        <w:rPr>
          <w:rStyle w:val="AERbody"/>
        </w:rPr>
        <w:t xml:space="preserve">contained in </w:t>
      </w:r>
      <w:r>
        <w:rPr>
          <w:rStyle w:val="AERbody"/>
        </w:rPr>
        <w:t xml:space="preserve">clauses </w:t>
      </w:r>
      <w:r w:rsidRPr="004E4424">
        <w:rPr>
          <w:rStyle w:val="AERbody"/>
        </w:rPr>
        <w:t xml:space="preserve">6A.6.5A </w:t>
      </w:r>
      <w:r>
        <w:rPr>
          <w:rStyle w:val="AERbody"/>
        </w:rPr>
        <w:t>and 6.5.8A of the NER:</w:t>
      </w:r>
    </w:p>
    <w:p w:rsidR="007C5C43" w:rsidRPr="005E7A55" w:rsidRDefault="007C5C43" w:rsidP="007C5C43">
      <w:pPr>
        <w:pStyle w:val="AERquote"/>
      </w:pPr>
      <w:r w:rsidRPr="005E7A55">
        <w:t xml:space="preserve">(c) In developing a </w:t>
      </w:r>
      <w:r w:rsidRPr="005E7A55">
        <w:rPr>
          <w:rStyle w:val="AERtextitalic"/>
        </w:rPr>
        <w:t>capital expenditure sharing scheme</w:t>
      </w:r>
      <w:r w:rsidRPr="005E7A55">
        <w:t xml:space="preserve">, the AER must take into account the following principles (the </w:t>
      </w:r>
      <w:r w:rsidRPr="005E7A55">
        <w:rPr>
          <w:rStyle w:val="AERtextitalic"/>
        </w:rPr>
        <w:t>capital expenditure sharing scheme principles</w:t>
      </w:r>
      <w:r w:rsidRPr="005E7A55">
        <w:t>):</w:t>
      </w:r>
    </w:p>
    <w:p w:rsidR="007C5C43" w:rsidRPr="005E7A55" w:rsidRDefault="007C5C43" w:rsidP="007C5C43">
      <w:pPr>
        <w:pStyle w:val="AERquote"/>
      </w:pPr>
      <w:r w:rsidRPr="005E7A55">
        <w:t xml:space="preserve">(1) </w:t>
      </w:r>
      <w:r w:rsidRPr="005E7A55">
        <w:rPr>
          <w:rStyle w:val="AERtextitalic"/>
        </w:rPr>
        <w:t>Transmission Network Service Providers [DNSPs]</w:t>
      </w:r>
      <w:r w:rsidRPr="005E7A55">
        <w:t xml:space="preserve"> should be rewarded or penalised for improvements or declines in efficiency of capital expenditure; and</w:t>
      </w:r>
    </w:p>
    <w:p w:rsidR="007C5C43" w:rsidRDefault="007C5C43" w:rsidP="007C5C43">
      <w:pPr>
        <w:pStyle w:val="AERquote"/>
      </w:pPr>
      <w:r w:rsidRPr="005E7A55">
        <w:t>(2) the rewards and penalties should be commensurate with the efficiencies or inefficiencies in capital expenditure, but a reward for efficient capital expenditure need not correspond in amount to a penalty for the same amount of inefficient capital expenditure.</w:t>
      </w:r>
    </w:p>
    <w:p w:rsidR="007C5C43" w:rsidRDefault="007C5C43" w:rsidP="001F55BB">
      <w:pPr>
        <w:pStyle w:val="HeadingBoldBlue"/>
      </w:pPr>
      <w:r>
        <w:t>Actual or forecast d</w:t>
      </w:r>
      <w:r w:rsidRPr="00FE63A4">
        <w:t>epreciation</w:t>
      </w:r>
    </w:p>
    <w:p w:rsidR="007C5C43" w:rsidRDefault="007C5C43" w:rsidP="007C5C43">
      <w:pPr>
        <w:pStyle w:val="AERbodytext"/>
        <w:numPr>
          <w:ilvl w:val="0"/>
          <w:numId w:val="13"/>
        </w:numPr>
        <w:rPr>
          <w:rStyle w:val="AERbody"/>
        </w:rPr>
      </w:pPr>
      <w:r>
        <w:rPr>
          <w:rStyle w:val="AERbody"/>
        </w:rPr>
        <w:t xml:space="preserve">The principles guiding the decision on whether to use depreciation based on actual or forecast capex are </w:t>
      </w:r>
      <w:r w:rsidRPr="004E4424">
        <w:rPr>
          <w:rStyle w:val="AERbody"/>
        </w:rPr>
        <w:t xml:space="preserve">contained in </w:t>
      </w:r>
      <w:r>
        <w:rPr>
          <w:rStyle w:val="AERbody"/>
        </w:rPr>
        <w:t xml:space="preserve">clauses </w:t>
      </w:r>
      <w:r w:rsidRPr="00FE63A4">
        <w:rPr>
          <w:rStyle w:val="AERbody"/>
        </w:rPr>
        <w:t xml:space="preserve">S6A.2.2B </w:t>
      </w:r>
      <w:r w:rsidRPr="004E4424">
        <w:rPr>
          <w:rStyle w:val="AERbody"/>
        </w:rPr>
        <w:t xml:space="preserve">and </w:t>
      </w:r>
      <w:r w:rsidRPr="00FE63A4">
        <w:rPr>
          <w:rStyle w:val="AERbody"/>
        </w:rPr>
        <w:t>S6.2.2B</w:t>
      </w:r>
      <w:r w:rsidRPr="004E4424">
        <w:rPr>
          <w:rStyle w:val="AERbody"/>
        </w:rPr>
        <w:t xml:space="preserve"> </w:t>
      </w:r>
      <w:r>
        <w:rPr>
          <w:rStyle w:val="AERbody"/>
        </w:rPr>
        <w:t>of the NER:</w:t>
      </w:r>
    </w:p>
    <w:p w:rsidR="007C5C43" w:rsidRPr="00FE63A4" w:rsidRDefault="007C5C43" w:rsidP="007C5C43">
      <w:pPr>
        <w:pStyle w:val="AERquote"/>
      </w:pPr>
      <w:r>
        <w:t xml:space="preserve">(b) </w:t>
      </w:r>
      <w:r w:rsidRPr="00FE63A4">
        <w:t>The decision referred to in paragraph (a) must be consistent with the capital expenditure incentive objective.</w:t>
      </w:r>
    </w:p>
    <w:p w:rsidR="007C5C43" w:rsidRPr="00FE63A4" w:rsidRDefault="007C5C43" w:rsidP="007C5C43">
      <w:pPr>
        <w:pStyle w:val="AERquote"/>
      </w:pPr>
      <w:r w:rsidRPr="00FE63A4">
        <w:t>(c)</w:t>
      </w:r>
      <w:r>
        <w:t xml:space="preserve"> </w:t>
      </w:r>
      <w:r w:rsidRPr="00FE63A4">
        <w:t>In making the decision referred to in paragraph (a), the AER must have regard to:</w:t>
      </w:r>
    </w:p>
    <w:p w:rsidR="007C5C43" w:rsidRPr="00FE63A4" w:rsidRDefault="007C5C43" w:rsidP="007C5C43">
      <w:pPr>
        <w:pStyle w:val="AERquoteindent1"/>
      </w:pPr>
      <w:r w:rsidRPr="00FE63A4">
        <w:t>(1)</w:t>
      </w:r>
      <w:r>
        <w:t xml:space="preserve"> </w:t>
      </w:r>
      <w:r w:rsidRPr="00FE63A4">
        <w:t>the incentives that the Distribution Network Service Provider has in relation to undertaking efficient capital expenditure, including as a result of the application of any incentive scheme or any other incentives under the Rules;</w:t>
      </w:r>
    </w:p>
    <w:p w:rsidR="007C5C43" w:rsidRPr="00FE63A4" w:rsidRDefault="007C5C43" w:rsidP="007C5C43">
      <w:pPr>
        <w:pStyle w:val="AERquoteindent1"/>
      </w:pPr>
      <w:r>
        <w:t xml:space="preserve">(2) </w:t>
      </w:r>
      <w:r w:rsidRPr="00FE63A4">
        <w:t>the substitution possibilities between assets with relatively short economic lives and assets with relatively long economic lives and the relative benefits of such asset types;</w:t>
      </w:r>
    </w:p>
    <w:p w:rsidR="007C5C43" w:rsidRPr="00FE63A4" w:rsidRDefault="007C5C43" w:rsidP="007C5C43">
      <w:pPr>
        <w:pStyle w:val="AERquoteindent1"/>
      </w:pPr>
      <w:r w:rsidRPr="00FE63A4">
        <w:t>(3)</w:t>
      </w:r>
      <w:r>
        <w:t xml:space="preserve"> </w:t>
      </w:r>
      <w:r w:rsidRPr="00FE63A4">
        <w:t>the extent to which any capital expenditure incurred by the Distribution Network Service Provider has exceeded the corresponding amount of forecast capital expenditure accepted or substituted by the AER and the amount of that excess expenditure which is not efficient;</w:t>
      </w:r>
    </w:p>
    <w:p w:rsidR="007C5C43" w:rsidRPr="00FE63A4" w:rsidRDefault="007C5C43" w:rsidP="007C5C43">
      <w:pPr>
        <w:pStyle w:val="AERquoteindent1"/>
      </w:pPr>
      <w:r w:rsidRPr="00FE63A4">
        <w:t>(4)</w:t>
      </w:r>
      <w:r>
        <w:t xml:space="preserve"> </w:t>
      </w:r>
      <w:r w:rsidRPr="00FE63A4">
        <w:t xml:space="preserve">the Capital Expenditure Incentive </w:t>
      </w:r>
      <w:r w:rsidR="00783661">
        <w:t>Guidelines</w:t>
      </w:r>
      <w:r w:rsidRPr="00FE63A4">
        <w:t>; and</w:t>
      </w:r>
    </w:p>
    <w:p w:rsidR="007C5C43" w:rsidRDefault="007C5C43" w:rsidP="007C5C43">
      <w:pPr>
        <w:pStyle w:val="AERquoteindent1"/>
      </w:pPr>
      <w:r w:rsidRPr="00FE63A4">
        <w:t>(5)</w:t>
      </w:r>
      <w:r>
        <w:t xml:space="preserve"> </w:t>
      </w:r>
      <w:r w:rsidRPr="00FE63A4">
        <w:t>the capital expenditure factors.</w:t>
      </w:r>
    </w:p>
    <w:p w:rsidR="006E3889" w:rsidRDefault="006E3889" w:rsidP="001F55BB">
      <w:pPr>
        <w:pStyle w:val="HeadingBoldBlue"/>
      </w:pPr>
      <w:r>
        <w:t>Overspending requirement</w:t>
      </w:r>
    </w:p>
    <w:p w:rsidR="006E3889" w:rsidRPr="006E3889" w:rsidRDefault="006E3889" w:rsidP="006E3889">
      <w:pPr>
        <w:pStyle w:val="AERbodytext"/>
        <w:numPr>
          <w:ilvl w:val="0"/>
          <w:numId w:val="13"/>
        </w:numPr>
        <w:rPr>
          <w:rStyle w:val="AERbody"/>
        </w:rPr>
      </w:pPr>
      <w:r w:rsidRPr="006E3889">
        <w:rPr>
          <w:rStyle w:val="AERbody"/>
        </w:rPr>
        <w:t xml:space="preserve">The </w:t>
      </w:r>
      <w:r>
        <w:rPr>
          <w:rStyle w:val="AERbody"/>
        </w:rPr>
        <w:t>overspending</w:t>
      </w:r>
      <w:r w:rsidRPr="006E3889">
        <w:rPr>
          <w:rStyle w:val="AERbody"/>
        </w:rPr>
        <w:t xml:space="preserve"> re</w:t>
      </w:r>
      <w:r w:rsidR="00EA2B44">
        <w:rPr>
          <w:rStyle w:val="AERbody"/>
        </w:rPr>
        <w:t>quirement is set out in clauses</w:t>
      </w:r>
      <w:r>
        <w:rPr>
          <w:rStyle w:val="AERbody"/>
        </w:rPr>
        <w:t xml:space="preserve"> </w:t>
      </w:r>
      <w:r w:rsidR="00EA2B44">
        <w:rPr>
          <w:rStyle w:val="AERbody"/>
        </w:rPr>
        <w:t xml:space="preserve">S6.2.2A(c) </w:t>
      </w:r>
      <w:r w:rsidR="00EA2B44" w:rsidRPr="004E4424">
        <w:rPr>
          <w:rStyle w:val="AERbody"/>
        </w:rPr>
        <w:t xml:space="preserve">and </w:t>
      </w:r>
      <w:r w:rsidR="00EA2B44" w:rsidRPr="00787672">
        <w:rPr>
          <w:rStyle w:val="AERbody"/>
        </w:rPr>
        <w:t>S6A.2.2A</w:t>
      </w:r>
      <w:r w:rsidR="00EA2B44">
        <w:rPr>
          <w:rStyle w:val="AERbody"/>
        </w:rPr>
        <w:t xml:space="preserve">(c) </w:t>
      </w:r>
      <w:r w:rsidRPr="006E3889">
        <w:rPr>
          <w:rStyle w:val="AERbody"/>
        </w:rPr>
        <w:t>of the NER:</w:t>
      </w:r>
    </w:p>
    <w:p w:rsidR="006E3889" w:rsidRPr="006E3889" w:rsidRDefault="00EA2B44" w:rsidP="006E3889">
      <w:pPr>
        <w:pStyle w:val="AERquote"/>
      </w:pPr>
      <w:r>
        <w:t xml:space="preserve">(c) </w:t>
      </w:r>
      <w:r w:rsidR="006E3889" w:rsidRPr="006E3889">
        <w:t>The overspending requirement is satisfied where the sum of all capital expenditure incurred during the review period exceeds the sum of:</w:t>
      </w:r>
    </w:p>
    <w:p w:rsidR="006E3889" w:rsidRPr="006E3889" w:rsidRDefault="006E3889" w:rsidP="00EA2B44">
      <w:pPr>
        <w:pStyle w:val="AERquoteindent1"/>
      </w:pPr>
      <w:r>
        <w:t xml:space="preserve">(1) </w:t>
      </w:r>
      <w:r w:rsidRPr="006E3889">
        <w:t>the forecast capital expenditure accepted or substituted by the AER for the review period as such forecast capital expenditure has been adjusted in accordance with clauses 6.6.5(f) and 6.6A.2(h); and</w:t>
      </w:r>
    </w:p>
    <w:p w:rsidR="006E3889" w:rsidRPr="006E3889" w:rsidRDefault="006E3889" w:rsidP="00EA2B44">
      <w:pPr>
        <w:pStyle w:val="AERquoteindent1"/>
      </w:pPr>
      <w:r w:rsidRPr="006E3889">
        <w:t>(2)</w:t>
      </w:r>
      <w:r>
        <w:t xml:space="preserve"> </w:t>
      </w:r>
      <w:r w:rsidRPr="006E3889">
        <w:t>any capital expenditure that is recovered by way of such part of an approved pass through amount as is permitted to be passed through to Distribution Network Users during the review period less any capital expenditure that is included in a negative pass through amount that is required to be passed through to Distribution Network Users during the review period.</w:t>
      </w:r>
    </w:p>
    <w:p w:rsidR="007C5C43" w:rsidRDefault="007C5C43" w:rsidP="001F55BB">
      <w:pPr>
        <w:pStyle w:val="HeadingBoldBlue"/>
      </w:pPr>
      <w:r>
        <w:t>M</w:t>
      </w:r>
      <w:r w:rsidRPr="00787672">
        <w:t>argin requirement</w:t>
      </w:r>
    </w:p>
    <w:p w:rsidR="007C5C43" w:rsidRDefault="007C5C43" w:rsidP="007C5C43">
      <w:pPr>
        <w:pStyle w:val="AERbodytext"/>
        <w:numPr>
          <w:ilvl w:val="0"/>
          <w:numId w:val="13"/>
        </w:numPr>
        <w:rPr>
          <w:rStyle w:val="AERbody"/>
        </w:rPr>
      </w:pPr>
      <w:r>
        <w:rPr>
          <w:rStyle w:val="AERbody"/>
        </w:rPr>
        <w:t xml:space="preserve">The </w:t>
      </w:r>
      <w:r w:rsidRPr="00787672">
        <w:rPr>
          <w:rStyle w:val="AERbody"/>
        </w:rPr>
        <w:t xml:space="preserve">margin requirement </w:t>
      </w:r>
      <w:r>
        <w:rPr>
          <w:rStyle w:val="AERbody"/>
        </w:rPr>
        <w:t>is set out</w:t>
      </w:r>
      <w:r w:rsidRPr="004E4424">
        <w:rPr>
          <w:rStyle w:val="AERbody"/>
        </w:rPr>
        <w:t xml:space="preserve"> in </w:t>
      </w:r>
      <w:r>
        <w:rPr>
          <w:rStyle w:val="AERbody"/>
        </w:rPr>
        <w:t xml:space="preserve">clauses S6.2.2A(d) </w:t>
      </w:r>
      <w:r w:rsidRPr="004E4424">
        <w:rPr>
          <w:rStyle w:val="AERbody"/>
        </w:rPr>
        <w:t xml:space="preserve">and </w:t>
      </w:r>
      <w:r w:rsidRPr="00787672">
        <w:rPr>
          <w:rStyle w:val="AERbody"/>
        </w:rPr>
        <w:t>S6A.2.2A</w:t>
      </w:r>
      <w:r>
        <w:rPr>
          <w:rStyle w:val="AERbody"/>
        </w:rPr>
        <w:t>(d) of the NER:</w:t>
      </w:r>
    </w:p>
    <w:p w:rsidR="007C5C43" w:rsidRPr="00787672" w:rsidRDefault="007C5C43" w:rsidP="007C5C43">
      <w:pPr>
        <w:pStyle w:val="AERquote"/>
      </w:pPr>
      <w:r>
        <w:t xml:space="preserve">(d) </w:t>
      </w:r>
      <w:r w:rsidRPr="00787672">
        <w:t>The margin requirement is satisfied where the amount of the capital expenditure as a result of which the previous value of the regulatory asset base would otherwise be increased in accordance with clause S6.2.1(e) includes capital expenditure that represents a margin paid by the Distribution Network Service Provider in circumstances where the margin is referable to arrangements that, in the opinion of the AER, do not reflect arm's length terms.</w:t>
      </w:r>
    </w:p>
    <w:p w:rsidR="007C5C43" w:rsidRDefault="007C5C43" w:rsidP="001F55BB">
      <w:pPr>
        <w:pStyle w:val="HeadingBoldBlue"/>
      </w:pPr>
      <w:r>
        <w:t>C</w:t>
      </w:r>
      <w:r w:rsidRPr="00CF650F">
        <w:t>apitalisation</w:t>
      </w:r>
      <w:r w:rsidRPr="00787672">
        <w:t xml:space="preserve"> requirement</w:t>
      </w:r>
    </w:p>
    <w:p w:rsidR="007C5C43" w:rsidRDefault="007C5C43" w:rsidP="007C5C43">
      <w:pPr>
        <w:pStyle w:val="AERbodytext"/>
        <w:numPr>
          <w:ilvl w:val="0"/>
          <w:numId w:val="13"/>
        </w:numPr>
        <w:rPr>
          <w:rStyle w:val="AERbody"/>
        </w:rPr>
      </w:pPr>
      <w:r>
        <w:rPr>
          <w:rStyle w:val="AERbody"/>
        </w:rPr>
        <w:t>The capitalisation</w:t>
      </w:r>
      <w:r w:rsidRPr="00787672">
        <w:rPr>
          <w:rStyle w:val="AERbody"/>
        </w:rPr>
        <w:t xml:space="preserve"> requirement </w:t>
      </w:r>
      <w:r>
        <w:rPr>
          <w:rStyle w:val="AERbody"/>
        </w:rPr>
        <w:t>is set out</w:t>
      </w:r>
      <w:r w:rsidRPr="004E4424">
        <w:rPr>
          <w:rStyle w:val="AERbody"/>
        </w:rPr>
        <w:t xml:space="preserve"> in </w:t>
      </w:r>
      <w:r>
        <w:rPr>
          <w:rStyle w:val="AERbody"/>
        </w:rPr>
        <w:t xml:space="preserve">clauses </w:t>
      </w:r>
      <w:r w:rsidRPr="00787672">
        <w:rPr>
          <w:rStyle w:val="AERbody"/>
        </w:rPr>
        <w:t>S6.2.2A</w:t>
      </w:r>
      <w:r>
        <w:rPr>
          <w:rStyle w:val="AERbody"/>
        </w:rPr>
        <w:t>(e)</w:t>
      </w:r>
      <w:r w:rsidRPr="00787672">
        <w:rPr>
          <w:rStyle w:val="AERbody"/>
        </w:rPr>
        <w:t xml:space="preserve"> </w:t>
      </w:r>
      <w:r w:rsidRPr="004E4424">
        <w:rPr>
          <w:rStyle w:val="AERbody"/>
        </w:rPr>
        <w:t xml:space="preserve">and </w:t>
      </w:r>
      <w:r w:rsidRPr="00787672">
        <w:rPr>
          <w:rStyle w:val="AERbody"/>
        </w:rPr>
        <w:t>S6A.2.2A</w:t>
      </w:r>
      <w:r>
        <w:rPr>
          <w:rStyle w:val="AERbody"/>
        </w:rPr>
        <w:t>(e) of the NER:</w:t>
      </w:r>
    </w:p>
    <w:p w:rsidR="007C5C43" w:rsidRPr="00F33261" w:rsidRDefault="007C5C43" w:rsidP="007C5C43">
      <w:pPr>
        <w:pStyle w:val="AERquote"/>
      </w:pPr>
      <w:r>
        <w:t xml:space="preserve">(e) </w:t>
      </w:r>
      <w:r w:rsidRPr="00CF650F">
        <w:t>The capitalisation requirement is satisfied where the amount of the capital expenditure as a result of which the previous value of the regulatory asset base would otherwise be increased in accordance with clause S6.2.1(e) includes expenditure that, under the Distribution Network Service Provider's applicable capitalisation policy submitted to the AER as part of a regulatory proposal, should have been treated as operating expenditure.</w:t>
      </w:r>
    </w:p>
    <w:p w:rsidR="003C6AC7" w:rsidRDefault="003C6AC7">
      <w:pPr>
        <w:spacing w:after="0" w:line="240" w:lineRule="auto"/>
        <w:jc w:val="left"/>
      </w:pPr>
    </w:p>
    <w:p w:rsidR="003C6AC7" w:rsidRDefault="008B4388" w:rsidP="003C6AC7">
      <w:pPr>
        <w:pStyle w:val="Heading7"/>
      </w:pPr>
      <w:bookmarkStart w:id="42" w:name="_Toc363640499"/>
      <w:r>
        <w:t>Example of h</w:t>
      </w:r>
      <w:r w:rsidR="003C6AC7">
        <w:t xml:space="preserve">ow the </w:t>
      </w:r>
      <w:r w:rsidR="006D6DD5">
        <w:t>CESS</w:t>
      </w:r>
      <w:r w:rsidR="003C6AC7">
        <w:t xml:space="preserve"> works alongside an ex post exclusion</w:t>
      </w:r>
      <w:bookmarkEnd w:id="42"/>
    </w:p>
    <w:p w:rsidR="00153705" w:rsidRDefault="0044646B" w:rsidP="00A609EA">
      <w:pPr>
        <w:pStyle w:val="AERbodytext"/>
        <w:numPr>
          <w:ilvl w:val="0"/>
          <w:numId w:val="13"/>
        </w:numPr>
      </w:pPr>
      <w:r>
        <w:t>The</w:t>
      </w:r>
      <w:r w:rsidR="00EF495F">
        <w:t>s</w:t>
      </w:r>
      <w:r>
        <w:t>e</w:t>
      </w:r>
      <w:r w:rsidR="00EF495F">
        <w:t xml:space="preserve"> example</w:t>
      </w:r>
      <w:r>
        <w:t>s show</w:t>
      </w:r>
      <w:r w:rsidR="00EF495F">
        <w:t xml:space="preserve"> how the CESS is calculated where an amount of capex </w:t>
      </w:r>
      <w:r w:rsidR="00E32FB7">
        <w:t>i</w:t>
      </w:r>
      <w:r w:rsidR="00EF495F">
        <w:t xml:space="preserve">s not included in the RAB as a result of the ex post review. </w:t>
      </w:r>
      <w:r>
        <w:t>Example C.1 shows how the adjustment will be made in the case of an exclusion from year 3 of the regulatory control period (i.e. where the CESS and the ex post exclusion occur in the same period). Example C.2 shows how the adjustment will be made for an adjustment in year 4 (i.e. where there is a lag between the CESS and the ex post exclusion).</w:t>
      </w:r>
      <w:r w:rsidR="00A609EA">
        <w:t xml:space="preserve"> </w:t>
      </w:r>
    </w:p>
    <w:p w:rsidR="00EF495F" w:rsidRDefault="00A609EA" w:rsidP="00A609EA">
      <w:pPr>
        <w:pStyle w:val="AERbodytext"/>
        <w:numPr>
          <w:ilvl w:val="0"/>
          <w:numId w:val="13"/>
        </w:numPr>
      </w:pPr>
      <w:r w:rsidRPr="00A609EA">
        <w:t>Th</w:t>
      </w:r>
      <w:r>
        <w:t>e</w:t>
      </w:r>
      <w:r w:rsidRPr="00A609EA">
        <w:t>s</w:t>
      </w:r>
      <w:r>
        <w:t>e</w:t>
      </w:r>
      <w:r w:rsidRPr="00A609EA">
        <w:t xml:space="preserve"> example</w:t>
      </w:r>
      <w:r>
        <w:t>s</w:t>
      </w:r>
      <w:r w:rsidRPr="00A609EA">
        <w:t xml:space="preserve"> can also be found in the sheet</w:t>
      </w:r>
      <w:r>
        <w:t>s</w:t>
      </w:r>
      <w:r w:rsidRPr="00A609EA">
        <w:t xml:space="preserve"> named 'ES - </w:t>
      </w:r>
      <w:r>
        <w:t>appendix</w:t>
      </w:r>
      <w:r w:rsidRPr="00A609EA">
        <w:t xml:space="preserve"> </w:t>
      </w:r>
      <w:proofErr w:type="gramStart"/>
      <w:r>
        <w:t>C(</w:t>
      </w:r>
      <w:proofErr w:type="gramEnd"/>
      <w:r w:rsidRPr="00A609EA">
        <w:t>1</w:t>
      </w:r>
      <w:r>
        <w:t>)</w:t>
      </w:r>
      <w:r w:rsidRPr="00A609EA">
        <w:t xml:space="preserve">' </w:t>
      </w:r>
      <w:r>
        <w:t xml:space="preserve">and </w:t>
      </w:r>
      <w:r w:rsidRPr="00A609EA">
        <w:t>'ES - appendix C(</w:t>
      </w:r>
      <w:r>
        <w:t>2</w:t>
      </w:r>
      <w:r w:rsidRPr="00A609EA">
        <w:t>)' in the CESS excel model that was released for consultation alongside this explanatory statement.</w:t>
      </w:r>
      <w:r w:rsidRPr="00A609EA">
        <w:rPr>
          <w:rStyle w:val="FootnoteReference"/>
        </w:rPr>
        <w:footnoteReference w:id="99"/>
      </w:r>
    </w:p>
    <w:p w:rsidR="0044646B" w:rsidRDefault="0044646B" w:rsidP="0044646B">
      <w:pPr>
        <w:pStyle w:val="Heading4"/>
      </w:pPr>
      <w:r>
        <w:t>Example C.1</w:t>
      </w:r>
      <w:r>
        <w:tab/>
        <w:t>Ex post exclusion from year 3 of the regulatory control period</w:t>
      </w:r>
    </w:p>
    <w:p w:rsidR="003C6AC7" w:rsidRPr="003C6AC7" w:rsidRDefault="003C6AC7" w:rsidP="003C6AC7">
      <w:pPr>
        <w:pStyle w:val="AERbodytext"/>
        <w:numPr>
          <w:ilvl w:val="0"/>
          <w:numId w:val="13"/>
        </w:numPr>
      </w:pPr>
      <w:r w:rsidRPr="003C6AC7">
        <w:t xml:space="preserve">Consider example </w:t>
      </w:r>
      <w:r w:rsidR="00E32FB7">
        <w:t>2</w:t>
      </w:r>
      <w:r w:rsidRPr="003C6AC7">
        <w:t xml:space="preserve"> in </w:t>
      </w:r>
      <w:r>
        <w:t>section 2.3.6</w:t>
      </w:r>
      <w:r w:rsidR="00E32FB7">
        <w:t xml:space="preserve"> (a $20 million overspend in year 3)</w:t>
      </w:r>
      <w:r w:rsidRPr="003C6AC7">
        <w:t>. Now, consider that in undertaking our ex post review we find that $1</w:t>
      </w:r>
      <w:r w:rsidR="00E32FB7">
        <w:t>0</w:t>
      </w:r>
      <w:r w:rsidRPr="003C6AC7">
        <w:t xml:space="preserve"> million of </w:t>
      </w:r>
      <w:proofErr w:type="gramStart"/>
      <w:r w:rsidRPr="003C6AC7">
        <w:t>the overspend</w:t>
      </w:r>
      <w:proofErr w:type="gramEnd"/>
      <w:r w:rsidRPr="003C6AC7">
        <w:t xml:space="preserve"> in year 3 was inefficient and decide not to roll this amount into the RAB. </w:t>
      </w:r>
      <w:r w:rsidR="008B4388">
        <w:t>The NSP will bear the full costs of this as it has not yet been funded and it will not be included in the RAB. W</w:t>
      </w:r>
      <w:r w:rsidR="00EF495F">
        <w:t>e will need to calculate</w:t>
      </w:r>
      <w:r w:rsidR="008B4388">
        <w:t xml:space="preserve"> the CESS</w:t>
      </w:r>
      <w:r w:rsidRPr="003C6AC7">
        <w:t xml:space="preserve"> </w:t>
      </w:r>
      <w:r w:rsidR="00EF495F">
        <w:t xml:space="preserve">differently </w:t>
      </w:r>
      <w:r w:rsidRPr="003C6AC7">
        <w:t xml:space="preserve">to ensure we don't also penalise the NSP through the CESS. </w:t>
      </w:r>
    </w:p>
    <w:p w:rsidR="003C6AC7" w:rsidRPr="003C6AC7" w:rsidRDefault="003C6AC7" w:rsidP="003C6AC7">
      <w:pPr>
        <w:pStyle w:val="AERbodytext"/>
        <w:numPr>
          <w:ilvl w:val="0"/>
          <w:numId w:val="13"/>
        </w:numPr>
      </w:pPr>
      <w:r w:rsidRPr="003C6AC7">
        <w:t>We do this by excluding the inefficient $1</w:t>
      </w:r>
      <w:r w:rsidR="004C3BCA">
        <w:t>0</w:t>
      </w:r>
      <w:r w:rsidRPr="003C6AC7">
        <w:t xml:space="preserve"> million from the CESS calculation. We subtract $1</w:t>
      </w:r>
      <w:r w:rsidR="004C3BCA">
        <w:t>0</w:t>
      </w:r>
      <w:r w:rsidRPr="003C6AC7">
        <w:t xml:space="preserve"> million from the original $</w:t>
      </w:r>
      <w:r w:rsidR="004C3BCA">
        <w:t>120</w:t>
      </w:r>
      <w:r w:rsidRPr="003C6AC7">
        <w:t xml:space="preserve"> million of actual capex in year 3. This gives actual capex of $</w:t>
      </w:r>
      <w:r w:rsidR="004C3BCA">
        <w:t>110</w:t>
      </w:r>
      <w:r w:rsidRPr="003C6AC7">
        <w:t xml:space="preserve"> in year 3 and the rest of the calculations are made on the basis of this updated figure. Tables </w:t>
      </w:r>
      <w:r w:rsidR="000F0EA2">
        <w:t>8</w:t>
      </w:r>
      <w:r w:rsidRPr="003C6AC7">
        <w:t xml:space="preserve"> and </w:t>
      </w:r>
      <w:r w:rsidR="000F0EA2">
        <w:t>9</w:t>
      </w:r>
      <w:r w:rsidRPr="003C6AC7">
        <w:t xml:space="preserve"> show the recalculation of the CESS</w:t>
      </w:r>
      <w:r w:rsidR="00EF495F">
        <w:t>. The</w:t>
      </w:r>
      <w:r w:rsidRPr="003C6AC7">
        <w:t xml:space="preserve"> previous values </w:t>
      </w:r>
      <w:r w:rsidR="00EF495F">
        <w:t xml:space="preserve">from example </w:t>
      </w:r>
      <w:r w:rsidR="004C3BCA">
        <w:t>2</w:t>
      </w:r>
      <w:r w:rsidR="00EF495F">
        <w:t xml:space="preserve"> are </w:t>
      </w:r>
      <w:r w:rsidRPr="003C6AC7">
        <w:t>sho</w:t>
      </w:r>
      <w:r w:rsidR="00EF495F">
        <w:t>wn in parenthesis for reference</w:t>
      </w:r>
      <w:r w:rsidRPr="003C6AC7">
        <w:t>.</w:t>
      </w:r>
      <w:r w:rsidR="00EF495F">
        <w:t xml:space="preserve"> However, in practice, the CESS would only be calculated once </w:t>
      </w:r>
      <w:r w:rsidR="00F84119">
        <w:t xml:space="preserve">for this example </w:t>
      </w:r>
      <w:r w:rsidR="00EF495F">
        <w:t>(after the ex post exclusion is taken out)</w:t>
      </w:r>
      <w:r w:rsidR="00554393">
        <w:t xml:space="preserve"> since the results of the ex post review will already be known for year 3</w:t>
      </w:r>
      <w:r w:rsidR="00EF495F">
        <w:t>.</w:t>
      </w:r>
    </w:p>
    <w:p w:rsidR="003C6AC7" w:rsidRPr="00067C63" w:rsidRDefault="003C6AC7" w:rsidP="003C6AC7">
      <w:pPr>
        <w:pStyle w:val="Caption"/>
      </w:pPr>
      <w:r>
        <w:t xml:space="preserve">Table </w:t>
      </w:r>
      <w:r w:rsidR="008B4388">
        <w:t>8</w:t>
      </w:r>
      <w:r w:rsidRPr="00067C63">
        <w:tab/>
      </w:r>
      <w:r>
        <w:t>Example with a $15 million ex post exclusion in year 3 ($ million)</w:t>
      </w:r>
    </w:p>
    <w:tbl>
      <w:tblPr>
        <w:tblStyle w:val="AERtable-numbers"/>
        <w:tblW w:w="0" w:type="auto"/>
        <w:tblLook w:val="04A0" w:firstRow="1" w:lastRow="0" w:firstColumn="1" w:lastColumn="0" w:noHBand="0" w:noVBand="1"/>
      </w:tblPr>
      <w:tblGrid>
        <w:gridCol w:w="2802"/>
        <w:gridCol w:w="1275"/>
        <w:gridCol w:w="13"/>
        <w:gridCol w:w="1263"/>
        <w:gridCol w:w="25"/>
        <w:gridCol w:w="1250"/>
        <w:gridCol w:w="38"/>
        <w:gridCol w:w="1238"/>
        <w:gridCol w:w="50"/>
        <w:gridCol w:w="1226"/>
        <w:gridCol w:w="62"/>
      </w:tblGrid>
      <w:tr w:rsidR="003C6AC7" w:rsidRPr="003C6AC7" w:rsidTr="004C3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3C6AC7" w:rsidRPr="003C6AC7" w:rsidRDefault="003C6AC7" w:rsidP="003C6AC7">
            <w:pPr>
              <w:pStyle w:val="AERtabletextright"/>
              <w:rPr>
                <w:rStyle w:val="AERtextbold"/>
              </w:rPr>
            </w:pPr>
          </w:p>
        </w:tc>
        <w:tc>
          <w:tcPr>
            <w:tcW w:w="1288" w:type="dxa"/>
            <w:gridSpan w:val="2"/>
          </w:tcPr>
          <w:p w:rsidR="003C6AC7" w:rsidRPr="003C6AC7" w:rsidRDefault="003C6AC7" w:rsidP="003C6AC7">
            <w:pPr>
              <w:pStyle w:val="AERtabletextright"/>
              <w:cnfStyle w:val="100000000000" w:firstRow="1" w:lastRow="0" w:firstColumn="0" w:lastColumn="0" w:oddVBand="0" w:evenVBand="0" w:oddHBand="0" w:evenHBand="0" w:firstRowFirstColumn="0" w:firstRowLastColumn="0" w:lastRowFirstColumn="0" w:lastRowLastColumn="0"/>
              <w:rPr>
                <w:rStyle w:val="AERtextbold"/>
              </w:rPr>
            </w:pPr>
            <w:r w:rsidRPr="003C6AC7">
              <w:rPr>
                <w:rStyle w:val="AERtextbold"/>
              </w:rPr>
              <w:t>Year 1</w:t>
            </w:r>
          </w:p>
        </w:tc>
        <w:tc>
          <w:tcPr>
            <w:tcW w:w="1288" w:type="dxa"/>
            <w:gridSpan w:val="2"/>
          </w:tcPr>
          <w:p w:rsidR="003C6AC7" w:rsidRPr="003C6AC7" w:rsidRDefault="003C6AC7" w:rsidP="003C6AC7">
            <w:pPr>
              <w:pStyle w:val="AERtabletextright"/>
              <w:cnfStyle w:val="100000000000" w:firstRow="1" w:lastRow="0" w:firstColumn="0" w:lastColumn="0" w:oddVBand="0" w:evenVBand="0" w:oddHBand="0" w:evenHBand="0" w:firstRowFirstColumn="0" w:firstRowLastColumn="0" w:lastRowFirstColumn="0" w:lastRowLastColumn="0"/>
              <w:rPr>
                <w:rStyle w:val="AERtextbold"/>
              </w:rPr>
            </w:pPr>
            <w:r w:rsidRPr="003C6AC7">
              <w:rPr>
                <w:rStyle w:val="AERtextbold"/>
              </w:rPr>
              <w:t>Year 2</w:t>
            </w:r>
          </w:p>
        </w:tc>
        <w:tc>
          <w:tcPr>
            <w:tcW w:w="1288" w:type="dxa"/>
            <w:gridSpan w:val="2"/>
          </w:tcPr>
          <w:p w:rsidR="003C6AC7" w:rsidRPr="003C6AC7" w:rsidRDefault="003C6AC7" w:rsidP="003C6AC7">
            <w:pPr>
              <w:pStyle w:val="AERtabletextright"/>
              <w:cnfStyle w:val="100000000000" w:firstRow="1" w:lastRow="0" w:firstColumn="0" w:lastColumn="0" w:oddVBand="0" w:evenVBand="0" w:oddHBand="0" w:evenHBand="0" w:firstRowFirstColumn="0" w:firstRowLastColumn="0" w:lastRowFirstColumn="0" w:lastRowLastColumn="0"/>
              <w:rPr>
                <w:rStyle w:val="AERtextbold"/>
              </w:rPr>
            </w:pPr>
            <w:r w:rsidRPr="003C6AC7">
              <w:rPr>
                <w:rStyle w:val="AERtextbold"/>
              </w:rPr>
              <w:t>Year 3</w:t>
            </w:r>
          </w:p>
        </w:tc>
        <w:tc>
          <w:tcPr>
            <w:tcW w:w="1288" w:type="dxa"/>
            <w:gridSpan w:val="2"/>
          </w:tcPr>
          <w:p w:rsidR="003C6AC7" w:rsidRPr="003C6AC7" w:rsidRDefault="003C6AC7" w:rsidP="003C6AC7">
            <w:pPr>
              <w:pStyle w:val="AERtabletextright"/>
              <w:cnfStyle w:val="100000000000" w:firstRow="1" w:lastRow="0" w:firstColumn="0" w:lastColumn="0" w:oddVBand="0" w:evenVBand="0" w:oddHBand="0" w:evenHBand="0" w:firstRowFirstColumn="0" w:firstRowLastColumn="0" w:lastRowFirstColumn="0" w:lastRowLastColumn="0"/>
              <w:rPr>
                <w:rStyle w:val="AERtextbold"/>
              </w:rPr>
            </w:pPr>
            <w:r w:rsidRPr="003C6AC7">
              <w:rPr>
                <w:rStyle w:val="AERtextbold"/>
              </w:rPr>
              <w:t>Year 4</w:t>
            </w:r>
          </w:p>
        </w:tc>
        <w:tc>
          <w:tcPr>
            <w:tcW w:w="1288" w:type="dxa"/>
            <w:gridSpan w:val="2"/>
          </w:tcPr>
          <w:p w:rsidR="003C6AC7" w:rsidRPr="003C6AC7" w:rsidRDefault="003C6AC7" w:rsidP="003C6AC7">
            <w:pPr>
              <w:pStyle w:val="AERtabletextright"/>
              <w:cnfStyle w:val="100000000000" w:firstRow="1" w:lastRow="0" w:firstColumn="0" w:lastColumn="0" w:oddVBand="0" w:evenVBand="0" w:oddHBand="0" w:evenHBand="0" w:firstRowFirstColumn="0" w:firstRowLastColumn="0" w:lastRowFirstColumn="0" w:lastRowLastColumn="0"/>
              <w:rPr>
                <w:rStyle w:val="AERtextbold"/>
              </w:rPr>
            </w:pPr>
            <w:r w:rsidRPr="003C6AC7">
              <w:rPr>
                <w:rStyle w:val="AERtextbold"/>
              </w:rPr>
              <w:t>Year 5</w:t>
            </w:r>
          </w:p>
        </w:tc>
      </w:tr>
      <w:tr w:rsidR="004C3BCA" w:rsidRPr="00875806" w:rsidTr="004C3BCA">
        <w:tc>
          <w:tcPr>
            <w:cnfStyle w:val="001000000000" w:firstRow="0" w:lastRow="0" w:firstColumn="1" w:lastColumn="0" w:oddVBand="0" w:evenVBand="0" w:oddHBand="0" w:evenHBand="0" w:firstRowFirstColumn="0" w:firstRowLastColumn="0" w:lastRowFirstColumn="0" w:lastRowLastColumn="0"/>
            <w:tcW w:w="2802" w:type="dxa"/>
          </w:tcPr>
          <w:p w:rsidR="004C3BCA" w:rsidRPr="004C3BCA" w:rsidRDefault="004C3BCA" w:rsidP="00A609EA">
            <w:pPr>
              <w:pStyle w:val="AERtabletextleft"/>
            </w:pPr>
            <w:r>
              <w:t>Capex allowance</w:t>
            </w:r>
          </w:p>
        </w:tc>
        <w:tc>
          <w:tcPr>
            <w:tcW w:w="1288" w:type="dxa"/>
            <w:gridSpan w:val="2"/>
          </w:tcPr>
          <w:p w:rsidR="004C3BCA" w:rsidRPr="004C3BCA"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t>1</w:t>
            </w:r>
            <w:r w:rsidRPr="004C3BCA">
              <w:t>00</w:t>
            </w:r>
          </w:p>
        </w:tc>
        <w:tc>
          <w:tcPr>
            <w:tcW w:w="1288" w:type="dxa"/>
            <w:gridSpan w:val="2"/>
          </w:tcPr>
          <w:p w:rsidR="004C3BCA" w:rsidRPr="004C3BCA"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t>1</w:t>
            </w:r>
            <w:r w:rsidRPr="004C3BCA">
              <w:t>00</w:t>
            </w:r>
          </w:p>
        </w:tc>
        <w:tc>
          <w:tcPr>
            <w:tcW w:w="1288" w:type="dxa"/>
            <w:gridSpan w:val="2"/>
          </w:tcPr>
          <w:p w:rsidR="004C3BCA" w:rsidRPr="003008F0"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288" w:type="dxa"/>
            <w:gridSpan w:val="2"/>
          </w:tcPr>
          <w:p w:rsidR="004C3BCA" w:rsidRPr="003008F0"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288" w:type="dxa"/>
            <w:gridSpan w:val="2"/>
          </w:tcPr>
          <w:p w:rsidR="004C3BCA" w:rsidRPr="004C3BCA"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t>1</w:t>
            </w:r>
            <w:r w:rsidRPr="004C3BCA">
              <w:t>00</w:t>
            </w:r>
          </w:p>
        </w:tc>
      </w:tr>
      <w:tr w:rsidR="004C3BCA" w:rsidRPr="00875806" w:rsidTr="004C3B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C3BCA" w:rsidRPr="004C3BCA" w:rsidRDefault="004C3BCA" w:rsidP="00A609EA">
            <w:pPr>
              <w:pStyle w:val="AERtabletextleft"/>
            </w:pPr>
            <w:r>
              <w:t>Actual capex</w:t>
            </w:r>
          </w:p>
        </w:tc>
        <w:tc>
          <w:tcPr>
            <w:tcW w:w="1288" w:type="dxa"/>
            <w:gridSpan w:val="2"/>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1</w:t>
            </w:r>
            <w:r w:rsidRPr="004C3BCA">
              <w:t>00</w:t>
            </w:r>
          </w:p>
        </w:tc>
        <w:tc>
          <w:tcPr>
            <w:tcW w:w="1288" w:type="dxa"/>
            <w:gridSpan w:val="2"/>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1</w:t>
            </w:r>
            <w:r w:rsidRPr="004C3BCA">
              <w:t>00</w:t>
            </w:r>
          </w:p>
        </w:tc>
        <w:tc>
          <w:tcPr>
            <w:tcW w:w="1288" w:type="dxa"/>
            <w:gridSpan w:val="2"/>
          </w:tcPr>
          <w:p w:rsidR="004C3BCA" w:rsidRPr="003008F0"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110</w:t>
            </w:r>
            <w:r>
              <w:br/>
              <w:t>(120)</w:t>
            </w:r>
          </w:p>
        </w:tc>
        <w:tc>
          <w:tcPr>
            <w:tcW w:w="1288" w:type="dxa"/>
            <w:gridSpan w:val="2"/>
          </w:tcPr>
          <w:p w:rsidR="004C3BCA" w:rsidRPr="003008F0"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100</w:t>
            </w:r>
          </w:p>
        </w:tc>
        <w:tc>
          <w:tcPr>
            <w:tcW w:w="1288" w:type="dxa"/>
            <w:gridSpan w:val="2"/>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1</w:t>
            </w:r>
            <w:r w:rsidRPr="004C3BCA">
              <w:t>00</w:t>
            </w:r>
          </w:p>
        </w:tc>
      </w:tr>
      <w:tr w:rsidR="004C3BCA" w:rsidRPr="00875806" w:rsidTr="004C3BCA">
        <w:tc>
          <w:tcPr>
            <w:cnfStyle w:val="001000000000" w:firstRow="0" w:lastRow="0" w:firstColumn="1" w:lastColumn="0" w:oddVBand="0" w:evenVBand="0" w:oddHBand="0" w:evenHBand="0" w:firstRowFirstColumn="0" w:firstRowLastColumn="0" w:lastRowFirstColumn="0" w:lastRowLastColumn="0"/>
            <w:tcW w:w="2802" w:type="dxa"/>
          </w:tcPr>
          <w:p w:rsidR="004C3BCA" w:rsidRPr="004C3BCA" w:rsidRDefault="004C3BCA" w:rsidP="00A609EA">
            <w:pPr>
              <w:pStyle w:val="AERtabletextleft"/>
            </w:pPr>
            <w:r>
              <w:t>Ov</w:t>
            </w:r>
            <w:r w:rsidRPr="004C3BCA">
              <w:t>erspend</w:t>
            </w:r>
          </w:p>
        </w:tc>
        <w:tc>
          <w:tcPr>
            <w:tcW w:w="1288" w:type="dxa"/>
            <w:gridSpan w:val="2"/>
          </w:tcPr>
          <w:p w:rsidR="004C3BCA" w:rsidRPr="003008F0"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288" w:type="dxa"/>
            <w:gridSpan w:val="2"/>
          </w:tcPr>
          <w:p w:rsidR="004C3BCA" w:rsidRPr="003008F0"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288" w:type="dxa"/>
            <w:gridSpan w:val="2"/>
          </w:tcPr>
          <w:p w:rsidR="004C3BCA" w:rsidRPr="004C3BCA"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t>10</w:t>
            </w:r>
            <w:r>
              <w:br/>
              <w:t>(2</w:t>
            </w:r>
            <w:r w:rsidRPr="004C3BCA">
              <w:t>0)</w:t>
            </w:r>
          </w:p>
        </w:tc>
        <w:tc>
          <w:tcPr>
            <w:tcW w:w="1288" w:type="dxa"/>
            <w:gridSpan w:val="2"/>
          </w:tcPr>
          <w:p w:rsidR="004C3BCA" w:rsidRPr="003008F0"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288" w:type="dxa"/>
            <w:gridSpan w:val="2"/>
          </w:tcPr>
          <w:p w:rsidR="004C3BCA" w:rsidRPr="003008F0"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t>0</w:t>
            </w:r>
          </w:p>
        </w:tc>
      </w:tr>
      <w:tr w:rsidR="004C3BCA" w:rsidRPr="00875806" w:rsidTr="004C3B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C3BCA" w:rsidRPr="004C3BCA" w:rsidRDefault="004C3BCA" w:rsidP="00A609EA">
            <w:pPr>
              <w:pStyle w:val="AERtabletextleft"/>
            </w:pPr>
            <w:r>
              <w:t xml:space="preserve">Year 3 </w:t>
            </w:r>
            <w:r w:rsidR="0044646B">
              <w:t xml:space="preserve">financing </w:t>
            </w:r>
            <w:r>
              <w:t>cost</w:t>
            </w:r>
          </w:p>
        </w:tc>
        <w:tc>
          <w:tcPr>
            <w:tcW w:w="1288" w:type="dxa"/>
            <w:gridSpan w:val="2"/>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rsidRPr="00875806">
              <w:t>0.</w:t>
            </w:r>
            <w:r>
              <w:t>30</w:t>
            </w:r>
            <w:r>
              <w:br/>
              <w:t>(0.5</w:t>
            </w:r>
            <w:r w:rsidRPr="004C3BCA">
              <w:t>9)</w:t>
            </w:r>
          </w:p>
        </w:tc>
        <w:tc>
          <w:tcPr>
            <w:tcW w:w="1288" w:type="dxa"/>
            <w:gridSpan w:val="2"/>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0</w:t>
            </w:r>
            <w:r w:rsidRPr="004C3BCA">
              <w:t>.</w:t>
            </w:r>
            <w:r w:rsidR="0044646B">
              <w:t>60</w:t>
            </w:r>
            <w:r>
              <w:br/>
              <w:t>(</w:t>
            </w:r>
            <w:r w:rsidRPr="004C3BCA">
              <w:t>1.</w:t>
            </w:r>
            <w:r w:rsidR="00E55DF9">
              <w:t>20</w:t>
            </w:r>
            <w:r w:rsidRPr="004C3BCA">
              <w:t>)</w:t>
            </w:r>
          </w:p>
        </w:tc>
        <w:tc>
          <w:tcPr>
            <w:tcW w:w="1288" w:type="dxa"/>
            <w:gridSpan w:val="2"/>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0.6</w:t>
            </w:r>
            <w:r w:rsidR="00E55DF9">
              <w:t>0</w:t>
            </w:r>
            <w:r>
              <w:br/>
              <w:t>(</w:t>
            </w:r>
            <w:r w:rsidRPr="004C3BCA">
              <w:t>1.</w:t>
            </w:r>
            <w:r w:rsidR="00D37731">
              <w:t>2</w:t>
            </w:r>
            <w:r w:rsidR="00E55DF9">
              <w:t>0</w:t>
            </w:r>
            <w:r w:rsidRPr="004C3BCA">
              <w:t>)</w:t>
            </w:r>
          </w:p>
        </w:tc>
      </w:tr>
      <w:tr w:rsidR="004C3BCA" w:rsidTr="004C3BCA">
        <w:trPr>
          <w:gridAfter w:val="1"/>
          <w:wAfter w:w="62" w:type="dxa"/>
        </w:trPr>
        <w:tc>
          <w:tcPr>
            <w:cnfStyle w:val="001000000000" w:firstRow="0" w:lastRow="0" w:firstColumn="1" w:lastColumn="0" w:oddVBand="0" w:evenVBand="0" w:oddHBand="0" w:evenHBand="0" w:firstRowFirstColumn="0" w:firstRowLastColumn="0" w:lastRowFirstColumn="0" w:lastRowLastColumn="0"/>
            <w:tcW w:w="2802" w:type="dxa"/>
          </w:tcPr>
          <w:p w:rsidR="004C3BCA" w:rsidRPr="005F1F41" w:rsidRDefault="004C3BCA" w:rsidP="00A609EA">
            <w:pPr>
              <w:pStyle w:val="AERtabletextleft"/>
            </w:pPr>
            <w:r w:rsidRPr="005F1F41">
              <w:t>Discount rate</w:t>
            </w:r>
            <w:r w:rsidR="0044646B">
              <w:t xml:space="preserve"> (mid-year)</w:t>
            </w:r>
          </w:p>
        </w:tc>
        <w:tc>
          <w:tcPr>
            <w:tcW w:w="1275" w:type="dxa"/>
            <w:vAlign w:val="top"/>
          </w:tcPr>
          <w:p w:rsidR="004C3BCA" w:rsidRPr="005F1F41"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rsidRPr="005F1F41">
              <w:t>1.30</w:t>
            </w:r>
          </w:p>
        </w:tc>
        <w:tc>
          <w:tcPr>
            <w:tcW w:w="1276" w:type="dxa"/>
            <w:gridSpan w:val="2"/>
            <w:vAlign w:val="top"/>
          </w:tcPr>
          <w:p w:rsidR="004C3BCA" w:rsidRPr="005F1F41"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rsidRPr="005F1F41">
              <w:t>1.23</w:t>
            </w:r>
          </w:p>
        </w:tc>
        <w:tc>
          <w:tcPr>
            <w:tcW w:w="1275" w:type="dxa"/>
            <w:gridSpan w:val="2"/>
            <w:vAlign w:val="top"/>
          </w:tcPr>
          <w:p w:rsidR="004C3BCA" w:rsidRPr="005F1F41"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rsidRPr="005F1F41">
              <w:t>1.16</w:t>
            </w:r>
          </w:p>
        </w:tc>
        <w:tc>
          <w:tcPr>
            <w:tcW w:w="1276" w:type="dxa"/>
            <w:gridSpan w:val="2"/>
            <w:vAlign w:val="top"/>
          </w:tcPr>
          <w:p w:rsidR="004C3BCA" w:rsidRPr="005F1F41"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rsidRPr="005F1F41">
              <w:t>1.09</w:t>
            </w:r>
          </w:p>
        </w:tc>
        <w:tc>
          <w:tcPr>
            <w:tcW w:w="1276" w:type="dxa"/>
            <w:gridSpan w:val="2"/>
            <w:vAlign w:val="top"/>
          </w:tcPr>
          <w:p w:rsidR="004C3BCA" w:rsidRPr="005F1F41" w:rsidRDefault="004C3BCA" w:rsidP="00A609EA">
            <w:pPr>
              <w:pStyle w:val="AERtabletextleft"/>
              <w:cnfStyle w:val="000000000000" w:firstRow="0" w:lastRow="0" w:firstColumn="0" w:lastColumn="0" w:oddVBand="0" w:evenVBand="0" w:oddHBand="0" w:evenHBand="0" w:firstRowFirstColumn="0" w:firstRowLastColumn="0" w:lastRowFirstColumn="0" w:lastRowLastColumn="0"/>
            </w:pPr>
            <w:r w:rsidRPr="005F1F41">
              <w:t>1.03</w:t>
            </w:r>
          </w:p>
        </w:tc>
      </w:tr>
      <w:tr w:rsidR="004C3BCA" w:rsidRPr="00875806" w:rsidTr="004C3B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C3BCA" w:rsidRDefault="004C3BCA" w:rsidP="00A609EA">
            <w:pPr>
              <w:pStyle w:val="AERtabletextleft"/>
            </w:pPr>
            <w:r>
              <w:t>NPV overspend</w:t>
            </w:r>
          </w:p>
        </w:tc>
        <w:tc>
          <w:tcPr>
            <w:tcW w:w="1288" w:type="dxa"/>
            <w:gridSpan w:val="2"/>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11.57</w:t>
            </w:r>
            <w:r>
              <w:br/>
              <w:t>(23.14)</w:t>
            </w:r>
          </w:p>
        </w:tc>
        <w:tc>
          <w:tcPr>
            <w:tcW w:w="1288" w:type="dxa"/>
            <w:gridSpan w:val="2"/>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0</w:t>
            </w:r>
          </w:p>
        </w:tc>
      </w:tr>
      <w:tr w:rsidR="00E55DF9" w:rsidTr="00E55DF9">
        <w:trPr>
          <w:gridAfter w:val="1"/>
          <w:wAfter w:w="62" w:type="dxa"/>
        </w:trPr>
        <w:tc>
          <w:tcPr>
            <w:cnfStyle w:val="001000000000" w:firstRow="0" w:lastRow="0" w:firstColumn="1" w:lastColumn="0" w:oddVBand="0" w:evenVBand="0" w:oddHBand="0" w:evenHBand="0" w:firstRowFirstColumn="0" w:firstRowLastColumn="0" w:lastRowFirstColumn="0" w:lastRowLastColumn="0"/>
            <w:tcW w:w="2802" w:type="dxa"/>
          </w:tcPr>
          <w:p w:rsidR="00E55DF9" w:rsidRPr="00E55DF9" w:rsidRDefault="00E55DF9" w:rsidP="00A609EA">
            <w:pPr>
              <w:pStyle w:val="AERtabletextleft"/>
            </w:pPr>
            <w:r w:rsidRPr="005F1F41">
              <w:t>Discount rate</w:t>
            </w:r>
            <w:r w:rsidRPr="00E55DF9">
              <w:t xml:space="preserve"> (end of year)</w:t>
            </w:r>
          </w:p>
        </w:tc>
        <w:tc>
          <w:tcPr>
            <w:tcW w:w="1275" w:type="dxa"/>
            <w:vAlign w:val="top"/>
          </w:tcPr>
          <w:p w:rsidR="00E55DF9" w:rsidRPr="00E55DF9" w:rsidRDefault="00E55DF9" w:rsidP="00A609EA">
            <w:pPr>
              <w:pStyle w:val="AERtabletextleft"/>
              <w:cnfStyle w:val="000000000000" w:firstRow="0" w:lastRow="0" w:firstColumn="0" w:lastColumn="0" w:oddVBand="0" w:evenVBand="0" w:oddHBand="0" w:evenHBand="0" w:firstRowFirstColumn="0" w:firstRowLastColumn="0" w:lastRowFirstColumn="0" w:lastRowLastColumn="0"/>
            </w:pPr>
            <w:r>
              <w:t>1.26</w:t>
            </w:r>
          </w:p>
        </w:tc>
        <w:tc>
          <w:tcPr>
            <w:tcW w:w="1276" w:type="dxa"/>
            <w:gridSpan w:val="2"/>
            <w:vAlign w:val="top"/>
          </w:tcPr>
          <w:p w:rsidR="00E55DF9" w:rsidRPr="00E55DF9" w:rsidRDefault="00E55DF9" w:rsidP="00A609EA">
            <w:pPr>
              <w:pStyle w:val="AERtabletextleft"/>
              <w:cnfStyle w:val="000000000000" w:firstRow="0" w:lastRow="0" w:firstColumn="0" w:lastColumn="0" w:oddVBand="0" w:evenVBand="0" w:oddHBand="0" w:evenHBand="0" w:firstRowFirstColumn="0" w:firstRowLastColumn="0" w:lastRowFirstColumn="0" w:lastRowLastColumn="0"/>
            </w:pPr>
            <w:r>
              <w:t>1.19</w:t>
            </w:r>
          </w:p>
        </w:tc>
        <w:tc>
          <w:tcPr>
            <w:tcW w:w="1275" w:type="dxa"/>
            <w:gridSpan w:val="2"/>
            <w:vAlign w:val="top"/>
          </w:tcPr>
          <w:p w:rsidR="00E55DF9" w:rsidRPr="00E55DF9" w:rsidRDefault="00E55DF9" w:rsidP="00A609EA">
            <w:pPr>
              <w:pStyle w:val="AERtabletextleft"/>
              <w:cnfStyle w:val="000000000000" w:firstRow="0" w:lastRow="0" w:firstColumn="0" w:lastColumn="0" w:oddVBand="0" w:evenVBand="0" w:oddHBand="0" w:evenHBand="0" w:firstRowFirstColumn="0" w:firstRowLastColumn="0" w:lastRowFirstColumn="0" w:lastRowLastColumn="0"/>
            </w:pPr>
            <w:r>
              <w:t>1.12</w:t>
            </w:r>
          </w:p>
        </w:tc>
        <w:tc>
          <w:tcPr>
            <w:tcW w:w="1276" w:type="dxa"/>
            <w:gridSpan w:val="2"/>
            <w:vAlign w:val="top"/>
          </w:tcPr>
          <w:p w:rsidR="00E55DF9" w:rsidRPr="00E55DF9" w:rsidRDefault="00E55DF9" w:rsidP="00A609EA">
            <w:pPr>
              <w:pStyle w:val="AERtabletextleft"/>
              <w:cnfStyle w:val="000000000000" w:firstRow="0" w:lastRow="0" w:firstColumn="0" w:lastColumn="0" w:oddVBand="0" w:evenVBand="0" w:oddHBand="0" w:evenHBand="0" w:firstRowFirstColumn="0" w:firstRowLastColumn="0" w:lastRowFirstColumn="0" w:lastRowLastColumn="0"/>
            </w:pPr>
            <w:r>
              <w:t>1.06</w:t>
            </w:r>
          </w:p>
        </w:tc>
        <w:tc>
          <w:tcPr>
            <w:tcW w:w="1276" w:type="dxa"/>
            <w:gridSpan w:val="2"/>
            <w:vAlign w:val="top"/>
          </w:tcPr>
          <w:p w:rsidR="00E55DF9" w:rsidRPr="00E55DF9" w:rsidRDefault="00E55DF9" w:rsidP="00A609EA">
            <w:pPr>
              <w:pStyle w:val="AERtabletextleft"/>
              <w:cnfStyle w:val="000000000000" w:firstRow="0" w:lastRow="0" w:firstColumn="0" w:lastColumn="0" w:oddVBand="0" w:evenVBand="0" w:oddHBand="0" w:evenHBand="0" w:firstRowFirstColumn="0" w:firstRowLastColumn="0" w:lastRowFirstColumn="0" w:lastRowLastColumn="0"/>
            </w:pPr>
            <w:r>
              <w:t>1.00</w:t>
            </w:r>
          </w:p>
        </w:tc>
      </w:tr>
      <w:tr w:rsidR="004C3BCA" w:rsidRPr="00875806" w:rsidTr="004C3B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C3BCA" w:rsidRPr="001D3791" w:rsidRDefault="004C3BCA" w:rsidP="00A609EA">
            <w:pPr>
              <w:pStyle w:val="AERtabletextleft"/>
            </w:pPr>
            <w:r w:rsidRPr="001D3791">
              <w:t xml:space="preserve">NPV annual </w:t>
            </w:r>
            <w:r>
              <w:t>cost of overspend</w:t>
            </w:r>
          </w:p>
        </w:tc>
        <w:tc>
          <w:tcPr>
            <w:tcW w:w="1288" w:type="dxa"/>
            <w:gridSpan w:val="2"/>
            <w:vAlign w:val="top"/>
          </w:tcPr>
          <w:p w:rsidR="004C3BCA" w:rsidRPr="001D3791"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vAlign w:val="top"/>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vAlign w:val="top"/>
          </w:tcPr>
          <w:p w:rsidR="004C3BCA" w:rsidRPr="004C3BCA" w:rsidRDefault="0044646B" w:rsidP="00A609EA">
            <w:pPr>
              <w:pStyle w:val="AERtabletextleft"/>
              <w:cnfStyle w:val="000000010000" w:firstRow="0" w:lastRow="0" w:firstColumn="0" w:lastColumn="0" w:oddVBand="0" w:evenVBand="0" w:oddHBand="0" w:evenHBand="1" w:firstRowFirstColumn="0" w:firstRowLastColumn="0" w:lastRowFirstColumn="0" w:lastRowLastColumn="0"/>
            </w:pPr>
            <w:r>
              <w:t>0.33</w:t>
            </w:r>
            <w:r>
              <w:br/>
              <w:t>(0.66</w:t>
            </w:r>
            <w:r w:rsidR="004C3BCA" w:rsidRPr="004C3BCA">
              <w:t>)</w:t>
            </w:r>
          </w:p>
        </w:tc>
        <w:tc>
          <w:tcPr>
            <w:tcW w:w="1288" w:type="dxa"/>
            <w:gridSpan w:val="2"/>
            <w:vAlign w:val="top"/>
          </w:tcPr>
          <w:p w:rsidR="004C3BCA" w:rsidRPr="004C3BCA" w:rsidRDefault="0044646B" w:rsidP="00A609EA">
            <w:pPr>
              <w:pStyle w:val="AERtabletextleft"/>
              <w:cnfStyle w:val="000000010000" w:firstRow="0" w:lastRow="0" w:firstColumn="0" w:lastColumn="0" w:oddVBand="0" w:evenVBand="0" w:oddHBand="0" w:evenHBand="1" w:firstRowFirstColumn="0" w:firstRowLastColumn="0" w:lastRowFirstColumn="0" w:lastRowLastColumn="0"/>
            </w:pPr>
            <w:r>
              <w:t>0.64</w:t>
            </w:r>
            <w:r w:rsidR="004C3BCA" w:rsidRPr="004C3BCA">
              <w:br/>
              <w:t>(</w:t>
            </w:r>
            <w:r>
              <w:t>1.27</w:t>
            </w:r>
            <w:r w:rsidR="004C3BCA" w:rsidRPr="004C3BCA">
              <w:t>)</w:t>
            </w:r>
          </w:p>
        </w:tc>
        <w:tc>
          <w:tcPr>
            <w:tcW w:w="1288" w:type="dxa"/>
            <w:gridSpan w:val="2"/>
            <w:vAlign w:val="top"/>
          </w:tcPr>
          <w:p w:rsidR="004C3BCA" w:rsidRPr="004C3BCA" w:rsidRDefault="004C3BCA" w:rsidP="00A609EA">
            <w:pPr>
              <w:pStyle w:val="AERtabletextleft"/>
              <w:cnfStyle w:val="000000010000" w:firstRow="0" w:lastRow="0" w:firstColumn="0" w:lastColumn="0" w:oddVBand="0" w:evenVBand="0" w:oddHBand="0" w:evenHBand="1" w:firstRowFirstColumn="0" w:firstRowLastColumn="0" w:lastRowFirstColumn="0" w:lastRowLastColumn="0"/>
            </w:pPr>
            <w:r>
              <w:t>0.6</w:t>
            </w:r>
            <w:r w:rsidR="0044646B">
              <w:t>0</w:t>
            </w:r>
            <w:r w:rsidRPr="004C3BCA">
              <w:br/>
              <w:t>(1.</w:t>
            </w:r>
            <w:r w:rsidR="0044646B">
              <w:t>20</w:t>
            </w:r>
            <w:r w:rsidRPr="004C3BCA">
              <w:t>)</w:t>
            </w:r>
          </w:p>
        </w:tc>
      </w:tr>
    </w:tbl>
    <w:p w:rsidR="00A609EA" w:rsidRDefault="00A609EA" w:rsidP="001D3791">
      <w:pPr>
        <w:pStyle w:val="AERbodytext"/>
      </w:pPr>
    </w:p>
    <w:p w:rsidR="003C6AC7" w:rsidRDefault="001D3791" w:rsidP="001D3791">
      <w:pPr>
        <w:pStyle w:val="AERbodytext"/>
      </w:pPr>
      <w:r>
        <w:t xml:space="preserve">Table 9 shows the </w:t>
      </w:r>
      <w:r w:rsidR="0040762E">
        <w:t>CESS calculations. In particular:</w:t>
      </w:r>
    </w:p>
    <w:p w:rsidR="0040762E" w:rsidRDefault="0040762E" w:rsidP="0040762E">
      <w:pPr>
        <w:pStyle w:val="AERbulletlistfirststyle"/>
      </w:pPr>
      <w:r>
        <w:t xml:space="preserve">The NPV of the total </w:t>
      </w:r>
      <w:r w:rsidR="00620953">
        <w:t>overspend</w:t>
      </w:r>
      <w:r>
        <w:t xml:space="preserve"> is the </w:t>
      </w:r>
      <w:r w:rsidR="00620953">
        <w:t xml:space="preserve">NPV of </w:t>
      </w:r>
      <w:proofErr w:type="gramStart"/>
      <w:r w:rsidR="00620953">
        <w:t>the</w:t>
      </w:r>
      <w:r>
        <w:t xml:space="preserve"> </w:t>
      </w:r>
      <w:r w:rsidR="00620953">
        <w:t>over</w:t>
      </w:r>
      <w:r>
        <w:t>spend</w:t>
      </w:r>
      <w:proofErr w:type="gramEnd"/>
      <w:r w:rsidR="00620953">
        <w:t xml:space="preserve"> in year 3 ($11.57 million).</w:t>
      </w:r>
    </w:p>
    <w:p w:rsidR="0040762E" w:rsidRDefault="0040762E" w:rsidP="0040762E">
      <w:pPr>
        <w:pStyle w:val="AERbulletlistfirststyle"/>
      </w:pPr>
      <w:r>
        <w:t>The NSP share of this is calculated by multiplying this by 30 per cent</w:t>
      </w:r>
      <w:r w:rsidR="00620953">
        <w:t xml:space="preserve"> ($11</w:t>
      </w:r>
      <w:r w:rsidR="00860A0C">
        <w:t>.</w:t>
      </w:r>
      <w:r w:rsidR="00620953">
        <w:t>57</w:t>
      </w:r>
      <w:r w:rsidR="00860A0C">
        <w:t> million x 30 per cent = $</w:t>
      </w:r>
      <w:r w:rsidR="00620953">
        <w:t>3</w:t>
      </w:r>
      <w:r w:rsidR="00860A0C">
        <w:t>.</w:t>
      </w:r>
      <w:r w:rsidR="00620953">
        <w:t>47</w:t>
      </w:r>
      <w:r w:rsidR="00860A0C">
        <w:t xml:space="preserve"> million)</w:t>
      </w:r>
      <w:r>
        <w:t>.</w:t>
      </w:r>
    </w:p>
    <w:p w:rsidR="0040762E" w:rsidRDefault="0040762E" w:rsidP="0040762E">
      <w:pPr>
        <w:pStyle w:val="AERbulletlistfirststyle"/>
      </w:pPr>
      <w:r>
        <w:t xml:space="preserve">The financing benefit already accrued is calculated by summing the </w:t>
      </w:r>
      <w:r w:rsidR="00620953">
        <w:t xml:space="preserve">annual cost of </w:t>
      </w:r>
      <w:proofErr w:type="gramStart"/>
      <w:r w:rsidR="00620953">
        <w:t>the overspend</w:t>
      </w:r>
      <w:proofErr w:type="gramEnd"/>
      <w:r w:rsidR="00620953">
        <w:t xml:space="preserve"> for</w:t>
      </w:r>
      <w:r>
        <w:t xml:space="preserve"> each year in NPV terms</w:t>
      </w:r>
      <w:r w:rsidR="00860A0C">
        <w:t xml:space="preserve"> ($0.</w:t>
      </w:r>
      <w:r w:rsidR="00E55DF9">
        <w:t>33</w:t>
      </w:r>
      <w:r w:rsidR="00860A0C">
        <w:t xml:space="preserve"> million + $</w:t>
      </w:r>
      <w:r w:rsidR="00E55DF9">
        <w:t>0.64</w:t>
      </w:r>
      <w:r w:rsidR="00BC01E5">
        <w:t xml:space="preserve"> million + $</w:t>
      </w:r>
      <w:r w:rsidR="00E55DF9">
        <w:t>0.60</w:t>
      </w:r>
      <w:r w:rsidR="00BC01E5">
        <w:t xml:space="preserve"> million = $1</w:t>
      </w:r>
      <w:r w:rsidR="00860A0C">
        <w:t>.</w:t>
      </w:r>
      <w:r w:rsidR="00E55DF9">
        <w:t>57</w:t>
      </w:r>
      <w:r w:rsidR="00860A0C">
        <w:t xml:space="preserve"> million)</w:t>
      </w:r>
      <w:r>
        <w:t>.</w:t>
      </w:r>
    </w:p>
    <w:p w:rsidR="0040762E" w:rsidRPr="0040762E" w:rsidRDefault="0040762E" w:rsidP="0040762E">
      <w:pPr>
        <w:pStyle w:val="AERbulletlistfirststyle"/>
        <w:spacing w:after="0" w:line="240" w:lineRule="auto"/>
        <w:jc w:val="left"/>
      </w:pPr>
      <w:r>
        <w:t xml:space="preserve">The CESS payment is given by subtracting the </w:t>
      </w:r>
      <w:r w:rsidR="00620953">
        <w:t xml:space="preserve">NPV </w:t>
      </w:r>
      <w:r>
        <w:t xml:space="preserve">financing </w:t>
      </w:r>
      <w:r w:rsidR="00620953">
        <w:t>costs</w:t>
      </w:r>
      <w:r>
        <w:t xml:space="preserve"> already </w:t>
      </w:r>
      <w:r w:rsidR="00620953">
        <w:t>borne</w:t>
      </w:r>
      <w:r w:rsidR="00D37731">
        <w:t>,</w:t>
      </w:r>
      <w:r>
        <w:t xml:space="preserve"> </w:t>
      </w:r>
      <w:r w:rsidR="00620953">
        <w:t xml:space="preserve">from the NSP's share of </w:t>
      </w:r>
      <w:proofErr w:type="gramStart"/>
      <w:r w:rsidR="00620953">
        <w:t>the overspend</w:t>
      </w:r>
      <w:proofErr w:type="gramEnd"/>
      <w:r w:rsidR="00BC01E5">
        <w:t xml:space="preserve"> ($</w:t>
      </w:r>
      <w:r w:rsidR="00620953">
        <w:t>3.47</w:t>
      </w:r>
      <w:r w:rsidR="00BC01E5">
        <w:t xml:space="preserve"> million - $1</w:t>
      </w:r>
      <w:r w:rsidR="00860A0C">
        <w:t>.</w:t>
      </w:r>
      <w:r w:rsidR="00E55DF9">
        <w:t>57</w:t>
      </w:r>
      <w:r w:rsidR="00860A0C">
        <w:t xml:space="preserve"> million = $</w:t>
      </w:r>
      <w:r w:rsidR="00620953">
        <w:t>1.</w:t>
      </w:r>
      <w:r w:rsidR="00E55DF9">
        <w:t>90</w:t>
      </w:r>
      <w:r w:rsidR="00860A0C">
        <w:t xml:space="preserve"> million)</w:t>
      </w:r>
      <w:r>
        <w:t>.</w:t>
      </w:r>
      <w:r w:rsidR="00D37731">
        <w:br/>
      </w:r>
    </w:p>
    <w:p w:rsidR="003C6AC7" w:rsidRDefault="008B4388" w:rsidP="003C6AC7">
      <w:pPr>
        <w:pStyle w:val="Caption"/>
      </w:pPr>
      <w:r>
        <w:t>Table 9</w:t>
      </w:r>
      <w:r w:rsidR="003C6AC7" w:rsidRPr="00E905F9">
        <w:tab/>
      </w:r>
      <w:r w:rsidR="0040762E">
        <w:t>CESS calculations</w:t>
      </w:r>
    </w:p>
    <w:tbl>
      <w:tblPr>
        <w:tblStyle w:val="AERtable-numbers"/>
        <w:tblW w:w="9322" w:type="dxa"/>
        <w:tblLook w:val="04A0" w:firstRow="1" w:lastRow="0" w:firstColumn="1" w:lastColumn="0" w:noHBand="0" w:noVBand="1"/>
      </w:tblPr>
      <w:tblGrid>
        <w:gridCol w:w="4361"/>
        <w:gridCol w:w="2268"/>
        <w:gridCol w:w="2693"/>
      </w:tblGrid>
      <w:tr w:rsidR="00B449F0" w:rsidTr="00B44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B449F0" w:rsidRDefault="00B449F0" w:rsidP="003C6AC7">
            <w:pPr>
              <w:pStyle w:val="AERtabletextleft"/>
            </w:pPr>
          </w:p>
        </w:tc>
        <w:tc>
          <w:tcPr>
            <w:tcW w:w="2268" w:type="dxa"/>
          </w:tcPr>
          <w:p w:rsidR="00B449F0" w:rsidRDefault="00B449F0" w:rsidP="003C6AC7">
            <w:pPr>
              <w:pStyle w:val="AERtabletextright"/>
              <w:cnfStyle w:val="100000000000" w:firstRow="1" w:lastRow="0" w:firstColumn="0" w:lastColumn="0" w:oddVBand="0" w:evenVBand="0" w:oddHBand="0" w:evenHBand="0" w:firstRowFirstColumn="0" w:firstRowLastColumn="0" w:lastRowFirstColumn="0" w:lastRowLastColumn="0"/>
            </w:pPr>
            <w:r>
              <w:t>This example</w:t>
            </w:r>
          </w:p>
        </w:tc>
        <w:tc>
          <w:tcPr>
            <w:tcW w:w="2693" w:type="dxa"/>
          </w:tcPr>
          <w:p w:rsidR="00B449F0" w:rsidRDefault="00B449F0" w:rsidP="003C6AC7">
            <w:pPr>
              <w:pStyle w:val="AERtabletextright"/>
              <w:cnfStyle w:val="100000000000" w:firstRow="1" w:lastRow="0" w:firstColumn="0" w:lastColumn="0" w:oddVBand="0" w:evenVBand="0" w:oddHBand="0" w:evenHBand="0" w:firstRowFirstColumn="0" w:firstRowLastColumn="0" w:lastRowFirstColumn="0" w:lastRowLastColumn="0"/>
            </w:pPr>
            <w:r>
              <w:t>Example 1</w:t>
            </w:r>
          </w:p>
        </w:tc>
      </w:tr>
      <w:tr w:rsidR="00B449F0" w:rsidTr="00B449F0">
        <w:tc>
          <w:tcPr>
            <w:cnfStyle w:val="001000000000" w:firstRow="0" w:lastRow="0" w:firstColumn="1" w:lastColumn="0" w:oddVBand="0" w:evenVBand="0" w:oddHBand="0" w:evenHBand="0" w:firstRowFirstColumn="0" w:firstRowLastColumn="0" w:lastRowFirstColumn="0" w:lastRowLastColumn="0"/>
            <w:tcW w:w="4361" w:type="dxa"/>
          </w:tcPr>
          <w:p w:rsidR="00B449F0" w:rsidRDefault="00B449F0" w:rsidP="00A609EA">
            <w:pPr>
              <w:pStyle w:val="AERtabletextleft"/>
            </w:pPr>
            <w:r>
              <w:t xml:space="preserve">Total NPV </w:t>
            </w:r>
            <w:r w:rsidR="00620953">
              <w:t>ov</w:t>
            </w:r>
            <w:r>
              <w:t>erspend</w:t>
            </w:r>
          </w:p>
        </w:tc>
        <w:tc>
          <w:tcPr>
            <w:tcW w:w="2268" w:type="dxa"/>
          </w:tcPr>
          <w:p w:rsidR="00B449F0" w:rsidRPr="003C6AC7" w:rsidRDefault="00B449F0" w:rsidP="00A609EA">
            <w:pPr>
              <w:pStyle w:val="AERtabletextleft"/>
              <w:cnfStyle w:val="000000000000" w:firstRow="0" w:lastRow="0" w:firstColumn="0" w:lastColumn="0" w:oddVBand="0" w:evenVBand="0" w:oddHBand="0" w:evenHBand="0" w:firstRowFirstColumn="0" w:firstRowLastColumn="0" w:lastRowFirstColumn="0" w:lastRowLastColumn="0"/>
            </w:pPr>
            <w:r>
              <w:t>$</w:t>
            </w:r>
            <w:r w:rsidR="00620953">
              <w:t>11.57</w:t>
            </w:r>
            <w:r w:rsidRPr="003C6AC7">
              <w:t xml:space="preserve"> million</w:t>
            </w:r>
          </w:p>
        </w:tc>
        <w:tc>
          <w:tcPr>
            <w:tcW w:w="2693" w:type="dxa"/>
          </w:tcPr>
          <w:p w:rsidR="00B449F0" w:rsidRDefault="00B449F0" w:rsidP="00A609EA">
            <w:pPr>
              <w:pStyle w:val="AERtabletextleft"/>
              <w:cnfStyle w:val="000000000000" w:firstRow="0" w:lastRow="0" w:firstColumn="0" w:lastColumn="0" w:oddVBand="0" w:evenVBand="0" w:oddHBand="0" w:evenHBand="0" w:firstRowFirstColumn="0" w:firstRowLastColumn="0" w:lastRowFirstColumn="0" w:lastRowLastColumn="0"/>
            </w:pPr>
            <w:r w:rsidRPr="003C6AC7">
              <w:t>($</w:t>
            </w:r>
            <w:r w:rsidR="00620953">
              <w:t>23</w:t>
            </w:r>
            <w:r w:rsidRPr="00B449F0">
              <w:t>.</w:t>
            </w:r>
            <w:r w:rsidR="00620953">
              <w:t>14</w:t>
            </w:r>
            <w:r w:rsidRPr="00B449F0">
              <w:t> million)</w:t>
            </w:r>
          </w:p>
        </w:tc>
      </w:tr>
      <w:tr w:rsidR="00B449F0" w:rsidTr="00B44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B449F0" w:rsidRDefault="00B449F0" w:rsidP="00A609EA">
            <w:pPr>
              <w:pStyle w:val="AERtabletextleft"/>
            </w:pPr>
            <w:r>
              <w:t>NSP share of underspend</w:t>
            </w:r>
          </w:p>
        </w:tc>
        <w:tc>
          <w:tcPr>
            <w:tcW w:w="2268" w:type="dxa"/>
          </w:tcPr>
          <w:p w:rsidR="00B449F0" w:rsidRPr="003C6AC7" w:rsidRDefault="00620953" w:rsidP="00A609EA">
            <w:pPr>
              <w:pStyle w:val="AERtabletextleft"/>
              <w:cnfStyle w:val="000000010000" w:firstRow="0" w:lastRow="0" w:firstColumn="0" w:lastColumn="0" w:oddVBand="0" w:evenVBand="0" w:oddHBand="0" w:evenHBand="1" w:firstRowFirstColumn="0" w:firstRowLastColumn="0" w:lastRowFirstColumn="0" w:lastRowLastColumn="0"/>
            </w:pPr>
            <w:r>
              <w:t>$</w:t>
            </w:r>
            <w:r w:rsidRPr="00620953">
              <w:t>3.47 million</w:t>
            </w:r>
          </w:p>
        </w:tc>
        <w:tc>
          <w:tcPr>
            <w:tcW w:w="2693" w:type="dxa"/>
          </w:tcPr>
          <w:p w:rsidR="00B449F0" w:rsidRDefault="00620953" w:rsidP="00A609EA">
            <w:pPr>
              <w:pStyle w:val="AERtabletextleft"/>
              <w:cnfStyle w:val="000000010000" w:firstRow="0" w:lastRow="0" w:firstColumn="0" w:lastColumn="0" w:oddVBand="0" w:evenVBand="0" w:oddHBand="0" w:evenHBand="1" w:firstRowFirstColumn="0" w:firstRowLastColumn="0" w:lastRowFirstColumn="0" w:lastRowLastColumn="0"/>
            </w:pPr>
            <w:r>
              <w:t>($</w:t>
            </w:r>
            <w:r w:rsidRPr="00620953">
              <w:t>6.94 million</w:t>
            </w:r>
            <w:r>
              <w:t>)</w:t>
            </w:r>
          </w:p>
        </w:tc>
      </w:tr>
      <w:tr w:rsidR="00B449F0" w:rsidTr="00B449F0">
        <w:tc>
          <w:tcPr>
            <w:cnfStyle w:val="001000000000" w:firstRow="0" w:lastRow="0" w:firstColumn="1" w:lastColumn="0" w:oddVBand="0" w:evenVBand="0" w:oddHBand="0" w:evenHBand="0" w:firstRowFirstColumn="0" w:firstRowLastColumn="0" w:lastRowFirstColumn="0" w:lastRowLastColumn="0"/>
            <w:tcW w:w="4361" w:type="dxa"/>
          </w:tcPr>
          <w:p w:rsidR="00B449F0" w:rsidRDefault="00B449F0" w:rsidP="00A609EA">
            <w:pPr>
              <w:pStyle w:val="AERtabletextleft"/>
            </w:pPr>
            <w:r>
              <w:t xml:space="preserve">Financing benefit already accrued </w:t>
            </w:r>
          </w:p>
        </w:tc>
        <w:tc>
          <w:tcPr>
            <w:tcW w:w="2268" w:type="dxa"/>
          </w:tcPr>
          <w:p w:rsidR="00B449F0" w:rsidRPr="003C6AC7" w:rsidRDefault="00620953" w:rsidP="00A609EA">
            <w:pPr>
              <w:pStyle w:val="AERtabletextleft"/>
              <w:cnfStyle w:val="000000000000" w:firstRow="0" w:lastRow="0" w:firstColumn="0" w:lastColumn="0" w:oddVBand="0" w:evenVBand="0" w:oddHBand="0" w:evenHBand="0" w:firstRowFirstColumn="0" w:firstRowLastColumn="0" w:lastRowFirstColumn="0" w:lastRowLastColumn="0"/>
            </w:pPr>
            <w:r w:rsidRPr="003C6AC7">
              <w:t>$</w:t>
            </w:r>
            <w:r w:rsidR="00E55DF9">
              <w:t>1.57</w:t>
            </w:r>
            <w:r w:rsidRPr="00620953">
              <w:t xml:space="preserve"> million </w:t>
            </w:r>
          </w:p>
        </w:tc>
        <w:tc>
          <w:tcPr>
            <w:tcW w:w="2693" w:type="dxa"/>
          </w:tcPr>
          <w:p w:rsidR="00B449F0" w:rsidRDefault="00B449F0" w:rsidP="00A609EA">
            <w:pPr>
              <w:pStyle w:val="AERtabletextleft"/>
              <w:cnfStyle w:val="000000000000" w:firstRow="0" w:lastRow="0" w:firstColumn="0" w:lastColumn="0" w:oddVBand="0" w:evenVBand="0" w:oddHBand="0" w:evenHBand="0" w:firstRowFirstColumn="0" w:firstRowLastColumn="0" w:lastRowFirstColumn="0" w:lastRowLastColumn="0"/>
            </w:pPr>
            <w:r w:rsidRPr="003C6AC7">
              <w:t>(</w:t>
            </w:r>
            <w:r w:rsidR="00620953">
              <w:t>$</w:t>
            </w:r>
            <w:r w:rsidR="00E55DF9">
              <w:t>3.14</w:t>
            </w:r>
            <w:r w:rsidR="00620953" w:rsidRPr="00620953">
              <w:t xml:space="preserve"> million</w:t>
            </w:r>
            <w:r w:rsidRPr="00B449F0">
              <w:t>)</w:t>
            </w:r>
          </w:p>
        </w:tc>
      </w:tr>
      <w:tr w:rsidR="00B449F0" w:rsidTr="00B44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B449F0" w:rsidRDefault="00B449F0" w:rsidP="00A609EA">
            <w:pPr>
              <w:pStyle w:val="AERtabletextleft"/>
            </w:pPr>
            <w:r>
              <w:t xml:space="preserve">CESS payment </w:t>
            </w:r>
          </w:p>
        </w:tc>
        <w:tc>
          <w:tcPr>
            <w:tcW w:w="2268" w:type="dxa"/>
          </w:tcPr>
          <w:p w:rsidR="00B449F0" w:rsidRPr="003C6AC7" w:rsidRDefault="00620953" w:rsidP="00A609EA">
            <w:pPr>
              <w:pStyle w:val="AERtabletextleft"/>
              <w:cnfStyle w:val="000000010000" w:firstRow="0" w:lastRow="0" w:firstColumn="0" w:lastColumn="0" w:oddVBand="0" w:evenVBand="0" w:oddHBand="0" w:evenHBand="1" w:firstRowFirstColumn="0" w:firstRowLastColumn="0" w:lastRowFirstColumn="0" w:lastRowLastColumn="0"/>
            </w:pPr>
            <w:r>
              <w:t>$</w:t>
            </w:r>
            <w:r w:rsidRPr="00620953">
              <w:t>1.</w:t>
            </w:r>
            <w:r w:rsidR="00E55DF9">
              <w:t>90</w:t>
            </w:r>
            <w:r w:rsidRPr="00620953">
              <w:t xml:space="preserve"> million</w:t>
            </w:r>
          </w:p>
        </w:tc>
        <w:tc>
          <w:tcPr>
            <w:tcW w:w="2693" w:type="dxa"/>
          </w:tcPr>
          <w:p w:rsidR="00B449F0" w:rsidRDefault="00620953" w:rsidP="00A609EA">
            <w:pPr>
              <w:pStyle w:val="AERtabletextleft"/>
              <w:cnfStyle w:val="000000010000" w:firstRow="0" w:lastRow="0" w:firstColumn="0" w:lastColumn="0" w:oddVBand="0" w:evenVBand="0" w:oddHBand="0" w:evenHBand="1" w:firstRowFirstColumn="0" w:firstRowLastColumn="0" w:lastRowFirstColumn="0" w:lastRowLastColumn="0"/>
            </w:pPr>
            <w:r>
              <w:t>($</w:t>
            </w:r>
            <w:r w:rsidR="00E55DF9">
              <w:t>3.80</w:t>
            </w:r>
            <w:r w:rsidRPr="00620953">
              <w:t xml:space="preserve"> million</w:t>
            </w:r>
            <w:r w:rsidR="00B449F0" w:rsidRPr="00B449F0">
              <w:t>)</w:t>
            </w:r>
          </w:p>
        </w:tc>
      </w:tr>
    </w:tbl>
    <w:p w:rsidR="005C77DF" w:rsidRDefault="001D3791" w:rsidP="003C6AC7">
      <w:pPr>
        <w:pStyle w:val="AERbodytext"/>
        <w:numPr>
          <w:ilvl w:val="0"/>
          <w:numId w:val="0"/>
        </w:numPr>
      </w:pPr>
      <w:r>
        <w:br/>
      </w:r>
      <w:r w:rsidR="003C6AC7">
        <w:t>This gives a</w:t>
      </w:r>
      <w:r w:rsidR="0040762E">
        <w:t xml:space="preserve"> </w:t>
      </w:r>
      <w:r w:rsidR="00620953">
        <w:t>penalty</w:t>
      </w:r>
      <w:r w:rsidR="0040762E">
        <w:t xml:space="preserve"> of $</w:t>
      </w:r>
      <w:r w:rsidR="00620953">
        <w:t>1</w:t>
      </w:r>
      <w:r w:rsidR="003C6AC7">
        <w:t>.</w:t>
      </w:r>
      <w:r w:rsidR="00E55DF9">
        <w:t>90</w:t>
      </w:r>
      <w:r w:rsidR="003C6AC7">
        <w:t xml:space="preserve"> </w:t>
      </w:r>
      <w:r w:rsidR="0040762E">
        <w:t>million</w:t>
      </w:r>
      <w:r w:rsidR="00860A0C">
        <w:t xml:space="preserve">. This is </w:t>
      </w:r>
      <w:r w:rsidR="00620953">
        <w:t>lower</w:t>
      </w:r>
      <w:r w:rsidR="00860A0C">
        <w:t xml:space="preserve"> than the CESS </w:t>
      </w:r>
      <w:r w:rsidR="00620953">
        <w:t>penalty calculated in example 2</w:t>
      </w:r>
      <w:r w:rsidR="00860A0C">
        <w:t xml:space="preserve"> ($3.</w:t>
      </w:r>
      <w:r w:rsidR="00E55DF9">
        <w:t>80</w:t>
      </w:r>
      <w:r w:rsidR="00860A0C">
        <w:t> million) since it does not include any</w:t>
      </w:r>
      <w:r w:rsidR="00620953">
        <w:t xml:space="preserve"> penalty for the inefficient $10</w:t>
      </w:r>
      <w:r w:rsidR="00860A0C">
        <w:t xml:space="preserve"> million overspend. </w:t>
      </w:r>
      <w:r w:rsidR="00B449F0">
        <w:t xml:space="preserve">Instead the </w:t>
      </w:r>
      <w:r w:rsidR="00620953">
        <w:t>NSP is penalised through the $10</w:t>
      </w:r>
      <w:r w:rsidR="00B449F0">
        <w:t xml:space="preserve"> million not being included in the RAB.</w:t>
      </w:r>
    </w:p>
    <w:p w:rsidR="006B5140" w:rsidRDefault="00860A0C" w:rsidP="003C6AC7">
      <w:pPr>
        <w:pStyle w:val="AERbodytext"/>
        <w:numPr>
          <w:ilvl w:val="0"/>
          <w:numId w:val="0"/>
        </w:numPr>
      </w:pPr>
      <w:r>
        <w:t xml:space="preserve">The net </w:t>
      </w:r>
      <w:r w:rsidRPr="00860A0C">
        <w:t xml:space="preserve">difference between this example and example </w:t>
      </w:r>
      <w:r w:rsidR="00620953">
        <w:t>2</w:t>
      </w:r>
      <w:r w:rsidRPr="00860A0C">
        <w:t xml:space="preserve"> is that the NSP bears the full cost of the inefficient overspend</w:t>
      </w:r>
      <w:r w:rsidR="00B449F0">
        <w:t xml:space="preserve"> in this example, rather than the 30 per cent borne in example </w:t>
      </w:r>
      <w:r w:rsidR="00620953">
        <w:t>2</w:t>
      </w:r>
      <w:r w:rsidRPr="00860A0C">
        <w:t>.</w:t>
      </w:r>
      <w:r w:rsidR="005C77DF">
        <w:t xml:space="preserve"> </w:t>
      </w:r>
      <w:r>
        <w:t>Table 10 shows that t</w:t>
      </w:r>
      <w:r w:rsidR="00230CE6">
        <w:t xml:space="preserve">he change in the NSP's financing benefit and the CESS is exactly equal to the NSP's share of </w:t>
      </w:r>
      <w:proofErr w:type="gramStart"/>
      <w:r w:rsidR="00230CE6">
        <w:t>the overspend</w:t>
      </w:r>
      <w:proofErr w:type="gramEnd"/>
      <w:r w:rsidR="00230CE6">
        <w:t xml:space="preserve"> (both are equal to $</w:t>
      </w:r>
      <w:r w:rsidR="00620953">
        <w:t>3.47</w:t>
      </w:r>
      <w:r w:rsidR="00230CE6">
        <w:t xml:space="preserve"> million). Hence, the n</w:t>
      </w:r>
      <w:r w:rsidR="00620953">
        <w:t>et impact for the NSP is the $10</w:t>
      </w:r>
      <w:r w:rsidR="00230CE6">
        <w:t xml:space="preserve"> million overspend. </w:t>
      </w:r>
      <w:r w:rsidR="00A374BD">
        <w:t xml:space="preserve">Since this amount was not funded up front or through the RAB, consumers will bear none of </w:t>
      </w:r>
      <w:r w:rsidR="001D5BEE">
        <w:t xml:space="preserve">the costs associated with </w:t>
      </w:r>
      <w:r w:rsidR="00620953">
        <w:t>this $10</w:t>
      </w:r>
      <w:r w:rsidR="00A374BD">
        <w:t> million.</w:t>
      </w:r>
    </w:p>
    <w:p w:rsidR="006B5140" w:rsidRDefault="006B5140" w:rsidP="006B5140">
      <w:pPr>
        <w:pStyle w:val="Caption"/>
      </w:pPr>
      <w:r>
        <w:t>Table 10</w:t>
      </w:r>
      <w:r>
        <w:tab/>
        <w:t>Net effect on NSP</w:t>
      </w:r>
    </w:p>
    <w:tbl>
      <w:tblPr>
        <w:tblStyle w:val="AERtable-numbers"/>
        <w:tblW w:w="0" w:type="auto"/>
        <w:tblLook w:val="04A0" w:firstRow="1" w:lastRow="0" w:firstColumn="1" w:lastColumn="0" w:noHBand="0" w:noVBand="1"/>
      </w:tblPr>
      <w:tblGrid>
        <w:gridCol w:w="3652"/>
        <w:gridCol w:w="3686"/>
        <w:gridCol w:w="1904"/>
      </w:tblGrid>
      <w:tr w:rsidR="006B5140" w:rsidTr="00230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B5140" w:rsidRDefault="006B5140" w:rsidP="006B5140">
            <w:pPr>
              <w:pStyle w:val="Caption"/>
              <w:ind w:left="0" w:firstLine="0"/>
            </w:pPr>
          </w:p>
        </w:tc>
        <w:tc>
          <w:tcPr>
            <w:tcW w:w="3686" w:type="dxa"/>
          </w:tcPr>
          <w:p w:rsidR="006B5140" w:rsidRDefault="006B5140" w:rsidP="006B5140">
            <w:pPr>
              <w:pStyle w:val="AERtabletextright"/>
              <w:cnfStyle w:val="100000000000" w:firstRow="1" w:lastRow="0" w:firstColumn="0" w:lastColumn="0" w:oddVBand="0" w:evenVBand="0" w:oddHBand="0" w:evenHBand="0" w:firstRowFirstColumn="0" w:firstRowLastColumn="0" w:lastRowFirstColumn="0" w:lastRowLastColumn="0"/>
            </w:pPr>
            <w:r>
              <w:t>Calculation</w:t>
            </w:r>
          </w:p>
        </w:tc>
        <w:tc>
          <w:tcPr>
            <w:tcW w:w="1904" w:type="dxa"/>
          </w:tcPr>
          <w:p w:rsidR="006B5140" w:rsidRDefault="006B5140" w:rsidP="006B5140">
            <w:pPr>
              <w:pStyle w:val="AERtabletextright"/>
              <w:cnfStyle w:val="100000000000" w:firstRow="1" w:lastRow="0" w:firstColumn="0" w:lastColumn="0" w:oddVBand="0" w:evenVBand="0" w:oddHBand="0" w:evenHBand="0" w:firstRowFirstColumn="0" w:firstRowLastColumn="0" w:lastRowFirstColumn="0" w:lastRowLastColumn="0"/>
            </w:pPr>
            <w:r>
              <w:t>Result</w:t>
            </w:r>
          </w:p>
        </w:tc>
      </w:tr>
      <w:tr w:rsidR="006B5140" w:rsidRPr="00A609EA" w:rsidTr="00230CE6">
        <w:tc>
          <w:tcPr>
            <w:cnfStyle w:val="001000000000" w:firstRow="0" w:lastRow="0" w:firstColumn="1" w:lastColumn="0" w:oddVBand="0" w:evenVBand="0" w:oddHBand="0" w:evenHBand="0" w:firstRowFirstColumn="0" w:firstRowLastColumn="0" w:lastRowFirstColumn="0" w:lastRowLastColumn="0"/>
            <w:tcW w:w="3652" w:type="dxa"/>
          </w:tcPr>
          <w:p w:rsidR="006B5140" w:rsidRPr="00A609EA" w:rsidRDefault="006B5140" w:rsidP="00A609EA">
            <w:pPr>
              <w:pStyle w:val="AERtabletextleft"/>
            </w:pPr>
            <w:r w:rsidRPr="00A609EA">
              <w:t>Impact on RAB</w:t>
            </w:r>
          </w:p>
        </w:tc>
        <w:tc>
          <w:tcPr>
            <w:tcW w:w="3686" w:type="dxa"/>
          </w:tcPr>
          <w:p w:rsidR="006B5140" w:rsidRPr="00A609EA" w:rsidRDefault="00466BA5"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w:t>
            </w:r>
            <w:r w:rsidR="00230CE6" w:rsidRPr="00A609EA">
              <w:t>$1</w:t>
            </w:r>
            <w:r w:rsidR="00620953" w:rsidRPr="00A609EA">
              <w:t>0</w:t>
            </w:r>
            <w:r w:rsidR="00230CE6" w:rsidRPr="00A609EA">
              <w:t xml:space="preserve"> million</w:t>
            </w:r>
          </w:p>
        </w:tc>
        <w:tc>
          <w:tcPr>
            <w:tcW w:w="1904" w:type="dxa"/>
          </w:tcPr>
          <w:p w:rsidR="006B5140" w:rsidRPr="00A609EA" w:rsidRDefault="00466BA5"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w:t>
            </w:r>
            <w:r w:rsidR="00230CE6" w:rsidRPr="00A609EA">
              <w:t>$1</w:t>
            </w:r>
            <w:r w:rsidR="00620953" w:rsidRPr="00A609EA">
              <w:t>0</w:t>
            </w:r>
            <w:r w:rsidR="006B5140" w:rsidRPr="00A609EA">
              <w:t xml:space="preserve"> million</w:t>
            </w:r>
          </w:p>
        </w:tc>
      </w:tr>
      <w:tr w:rsidR="006B5140" w:rsidRPr="00A609EA" w:rsidTr="00230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B5140" w:rsidRPr="00A609EA" w:rsidRDefault="00230CE6" w:rsidP="00A609EA">
            <w:pPr>
              <w:pStyle w:val="AERtabletextleft"/>
            </w:pPr>
            <w:r w:rsidRPr="00A609EA">
              <w:t>Difference in</w:t>
            </w:r>
            <w:r w:rsidR="002070DB" w:rsidRPr="00A609EA">
              <w:t xml:space="preserve"> financing </w:t>
            </w:r>
            <w:r w:rsidR="0032664E" w:rsidRPr="00A609EA">
              <w:t>cost</w:t>
            </w:r>
          </w:p>
        </w:tc>
        <w:tc>
          <w:tcPr>
            <w:tcW w:w="3686" w:type="dxa"/>
          </w:tcPr>
          <w:p w:rsidR="006B5140" w:rsidRPr="00A609EA" w:rsidRDefault="00BC01E5"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w:t>
            </w:r>
            <w:r w:rsidR="0032664E" w:rsidRPr="00A609EA">
              <w:t>3.</w:t>
            </w:r>
            <w:r w:rsidR="00E55DF9" w:rsidRPr="00A609EA">
              <w:t>14</w:t>
            </w:r>
            <w:r w:rsidR="00466BA5" w:rsidRPr="00A609EA">
              <w:t xml:space="preserve"> million - </w:t>
            </w:r>
            <w:r w:rsidR="0032664E" w:rsidRPr="00A609EA">
              <w:t>$1.</w:t>
            </w:r>
            <w:r w:rsidR="00E55DF9" w:rsidRPr="00A609EA">
              <w:t>57</w:t>
            </w:r>
            <w:r w:rsidR="002070DB" w:rsidRPr="00A609EA">
              <w:t xml:space="preserve"> million </w:t>
            </w:r>
          </w:p>
        </w:tc>
        <w:tc>
          <w:tcPr>
            <w:tcW w:w="1904" w:type="dxa"/>
          </w:tcPr>
          <w:p w:rsidR="006B5140" w:rsidRPr="00A609EA" w:rsidRDefault="0032664E"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$1</w:t>
            </w:r>
            <w:r w:rsidR="001D5BEE" w:rsidRPr="00A609EA">
              <w:t>.</w:t>
            </w:r>
            <w:r w:rsidR="00E55DF9" w:rsidRPr="00A609EA">
              <w:t>57</w:t>
            </w:r>
            <w:r w:rsidR="002070DB" w:rsidRPr="00A609EA">
              <w:t xml:space="preserve"> million</w:t>
            </w:r>
          </w:p>
        </w:tc>
      </w:tr>
      <w:tr w:rsidR="006B5140" w:rsidRPr="00A609EA" w:rsidTr="00230CE6">
        <w:tc>
          <w:tcPr>
            <w:cnfStyle w:val="001000000000" w:firstRow="0" w:lastRow="0" w:firstColumn="1" w:lastColumn="0" w:oddVBand="0" w:evenVBand="0" w:oddHBand="0" w:evenHBand="0" w:firstRowFirstColumn="0" w:firstRowLastColumn="0" w:lastRowFirstColumn="0" w:lastRowLastColumn="0"/>
            <w:tcW w:w="3652" w:type="dxa"/>
          </w:tcPr>
          <w:p w:rsidR="006B5140" w:rsidRPr="00A609EA" w:rsidRDefault="002070DB" w:rsidP="00A609EA">
            <w:pPr>
              <w:pStyle w:val="AERtabletextleft"/>
            </w:pPr>
            <w:r w:rsidRPr="00A609EA">
              <w:t>Difference in CESS</w:t>
            </w:r>
            <w:r w:rsidR="0032664E" w:rsidRPr="00A609EA">
              <w:t xml:space="preserve"> penalty</w:t>
            </w:r>
          </w:p>
        </w:tc>
        <w:tc>
          <w:tcPr>
            <w:tcW w:w="3686" w:type="dxa"/>
          </w:tcPr>
          <w:p w:rsidR="006B5140" w:rsidRPr="00A609EA" w:rsidRDefault="002070DB"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w:t>
            </w:r>
            <w:r w:rsidR="0032664E" w:rsidRPr="00A609EA">
              <w:t>3.</w:t>
            </w:r>
            <w:r w:rsidR="00E55DF9" w:rsidRPr="00A609EA">
              <w:t>80</w:t>
            </w:r>
            <w:r w:rsidR="001D5BEE" w:rsidRPr="00A609EA">
              <w:t xml:space="preserve"> million  - $</w:t>
            </w:r>
            <w:r w:rsidR="0032664E" w:rsidRPr="00A609EA">
              <w:t>1.</w:t>
            </w:r>
            <w:r w:rsidR="00E55DF9" w:rsidRPr="00A609EA">
              <w:t>90</w:t>
            </w:r>
            <w:r w:rsidRPr="00A609EA">
              <w:t xml:space="preserve"> million </w:t>
            </w:r>
          </w:p>
        </w:tc>
        <w:tc>
          <w:tcPr>
            <w:tcW w:w="1904" w:type="dxa"/>
          </w:tcPr>
          <w:p w:rsidR="006B5140" w:rsidRPr="00A609EA" w:rsidRDefault="002070DB"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w:t>
            </w:r>
            <w:r w:rsidR="0032664E" w:rsidRPr="00A609EA">
              <w:t>1.</w:t>
            </w:r>
            <w:r w:rsidR="00E55DF9" w:rsidRPr="00A609EA">
              <w:t>90</w:t>
            </w:r>
            <w:r w:rsidRPr="00A609EA">
              <w:t xml:space="preserve"> million</w:t>
            </w:r>
          </w:p>
        </w:tc>
      </w:tr>
      <w:tr w:rsidR="00230CE6" w:rsidRPr="00A609EA" w:rsidTr="00230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30CE6" w:rsidRPr="00A609EA" w:rsidRDefault="00230CE6" w:rsidP="00A609EA">
            <w:pPr>
              <w:pStyle w:val="AERtabletextleft"/>
            </w:pPr>
            <w:r w:rsidRPr="00A609EA">
              <w:t>Net difference in financing benefit and CESS</w:t>
            </w:r>
          </w:p>
        </w:tc>
        <w:tc>
          <w:tcPr>
            <w:tcW w:w="3686" w:type="dxa"/>
          </w:tcPr>
          <w:p w:rsidR="00230CE6" w:rsidRPr="00A609EA" w:rsidRDefault="00230CE6"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w:t>
            </w:r>
            <w:r w:rsidR="0032664E" w:rsidRPr="00A609EA">
              <w:t>1.</w:t>
            </w:r>
            <w:r w:rsidR="00E55DF9" w:rsidRPr="00A609EA">
              <w:t>57</w:t>
            </w:r>
            <w:r w:rsidR="0032664E" w:rsidRPr="00A609EA">
              <w:t xml:space="preserve"> </w:t>
            </w:r>
            <w:r w:rsidR="001D5BEE" w:rsidRPr="00A609EA">
              <w:t xml:space="preserve"> million + $</w:t>
            </w:r>
            <w:r w:rsidR="0032664E" w:rsidRPr="00A609EA">
              <w:t>1.</w:t>
            </w:r>
            <w:r w:rsidR="00E55DF9" w:rsidRPr="00A609EA">
              <w:t>90</w:t>
            </w:r>
            <w:r w:rsidRPr="00A609EA">
              <w:t xml:space="preserve"> million</w:t>
            </w:r>
          </w:p>
        </w:tc>
        <w:tc>
          <w:tcPr>
            <w:tcW w:w="1904" w:type="dxa"/>
          </w:tcPr>
          <w:p w:rsidR="00230CE6" w:rsidRPr="00A609EA" w:rsidRDefault="00230CE6"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w:t>
            </w:r>
            <w:r w:rsidR="0032664E" w:rsidRPr="00A609EA">
              <w:t xml:space="preserve">3.47 </w:t>
            </w:r>
            <w:r w:rsidRPr="00A609EA">
              <w:t>million</w:t>
            </w:r>
          </w:p>
        </w:tc>
      </w:tr>
      <w:tr w:rsidR="002070DB" w:rsidRPr="00A609EA" w:rsidTr="00230CE6">
        <w:tc>
          <w:tcPr>
            <w:cnfStyle w:val="001000000000" w:firstRow="0" w:lastRow="0" w:firstColumn="1" w:lastColumn="0" w:oddVBand="0" w:evenVBand="0" w:oddHBand="0" w:evenHBand="0" w:firstRowFirstColumn="0" w:firstRowLastColumn="0" w:lastRowFirstColumn="0" w:lastRowLastColumn="0"/>
            <w:tcW w:w="3652" w:type="dxa"/>
          </w:tcPr>
          <w:p w:rsidR="002070DB" w:rsidRPr="00A609EA" w:rsidRDefault="00230CE6" w:rsidP="00A609EA">
            <w:pPr>
              <w:pStyle w:val="AERtabletextleft"/>
            </w:pPr>
            <w:r w:rsidRPr="00A609EA">
              <w:t>Difference in NSP's share of the overspend</w:t>
            </w:r>
          </w:p>
        </w:tc>
        <w:tc>
          <w:tcPr>
            <w:tcW w:w="3686" w:type="dxa"/>
          </w:tcPr>
          <w:p w:rsidR="002070DB" w:rsidRPr="00A609EA" w:rsidRDefault="00230CE6"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w:t>
            </w:r>
            <w:r w:rsidR="0032664E" w:rsidRPr="00A609EA">
              <w:t>6.94</w:t>
            </w:r>
            <w:r w:rsidRPr="00A609EA">
              <w:t xml:space="preserve"> million - $</w:t>
            </w:r>
            <w:r w:rsidR="0032664E" w:rsidRPr="00A609EA">
              <w:t xml:space="preserve">3.47 </w:t>
            </w:r>
            <w:r w:rsidRPr="00A609EA">
              <w:t>million</w:t>
            </w:r>
            <w:r w:rsidR="001D5BEE" w:rsidRPr="00A609EA">
              <w:t xml:space="preserve"> = </w:t>
            </w:r>
            <w:r w:rsidR="001D5BEE" w:rsidRPr="00A609EA">
              <w:br/>
              <w:t xml:space="preserve">30 % x </w:t>
            </w:r>
            <w:r w:rsidR="00B449F0" w:rsidRPr="00A609EA">
              <w:t>$1</w:t>
            </w:r>
            <w:r w:rsidR="0032664E" w:rsidRPr="00A609EA">
              <w:t>1.</w:t>
            </w:r>
            <w:r w:rsidR="00B449F0" w:rsidRPr="00A609EA">
              <w:t>5</w:t>
            </w:r>
            <w:r w:rsidR="0032664E" w:rsidRPr="00A609EA">
              <w:t>7</w:t>
            </w:r>
            <w:r w:rsidR="00B449F0" w:rsidRPr="00A609EA">
              <w:t xml:space="preserve"> million</w:t>
            </w:r>
          </w:p>
        </w:tc>
        <w:tc>
          <w:tcPr>
            <w:tcW w:w="1904" w:type="dxa"/>
          </w:tcPr>
          <w:p w:rsidR="002070DB" w:rsidRPr="00A609EA" w:rsidRDefault="0032664E" w:rsidP="00A609EA">
            <w:pPr>
              <w:pStyle w:val="AERtabletextleft"/>
              <w:cnfStyle w:val="000000000000" w:firstRow="0" w:lastRow="0" w:firstColumn="0" w:lastColumn="0" w:oddVBand="0" w:evenVBand="0" w:oddHBand="0" w:evenHBand="0" w:firstRowFirstColumn="0" w:firstRowLastColumn="0" w:lastRowFirstColumn="0" w:lastRowLastColumn="0"/>
            </w:pPr>
            <w:r w:rsidRPr="00A609EA">
              <w:t>$3</w:t>
            </w:r>
            <w:r w:rsidR="00230CE6" w:rsidRPr="00A609EA">
              <w:t>.</w:t>
            </w:r>
            <w:r w:rsidRPr="00A609EA">
              <w:t>47</w:t>
            </w:r>
            <w:r w:rsidR="00230CE6" w:rsidRPr="00A609EA">
              <w:t xml:space="preserve"> million</w:t>
            </w:r>
          </w:p>
        </w:tc>
      </w:tr>
      <w:tr w:rsidR="00230CE6" w:rsidRPr="00A609EA" w:rsidTr="00230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30CE6" w:rsidRPr="00A609EA" w:rsidRDefault="00230CE6" w:rsidP="00A609EA">
            <w:pPr>
              <w:pStyle w:val="AERtabletextleft"/>
            </w:pPr>
            <w:r w:rsidRPr="00A609EA">
              <w:t>Net impact on NSP</w:t>
            </w:r>
          </w:p>
        </w:tc>
        <w:tc>
          <w:tcPr>
            <w:tcW w:w="3686" w:type="dxa"/>
          </w:tcPr>
          <w:p w:rsidR="00230CE6" w:rsidRPr="00A609EA" w:rsidRDefault="00230CE6"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-$1</w:t>
            </w:r>
            <w:r w:rsidR="0032664E" w:rsidRPr="00A609EA">
              <w:t>0 million + $3</w:t>
            </w:r>
            <w:r w:rsidRPr="00A609EA">
              <w:t>.</w:t>
            </w:r>
            <w:r w:rsidR="0032664E" w:rsidRPr="00A609EA">
              <w:t>47</w:t>
            </w:r>
            <w:r w:rsidRPr="00A609EA">
              <w:t xml:space="preserve"> million - $</w:t>
            </w:r>
            <w:r w:rsidR="0032664E" w:rsidRPr="00A609EA">
              <w:t>3</w:t>
            </w:r>
            <w:r w:rsidRPr="00A609EA">
              <w:t>.</w:t>
            </w:r>
            <w:r w:rsidR="0032664E" w:rsidRPr="00A609EA">
              <w:t>47</w:t>
            </w:r>
            <w:r w:rsidRPr="00A609EA">
              <w:t xml:space="preserve"> million</w:t>
            </w:r>
          </w:p>
        </w:tc>
        <w:tc>
          <w:tcPr>
            <w:tcW w:w="1904" w:type="dxa"/>
          </w:tcPr>
          <w:p w:rsidR="00230CE6" w:rsidRPr="00A609EA" w:rsidRDefault="00230CE6" w:rsidP="00A609EA">
            <w:pPr>
              <w:pStyle w:val="AERtabletextleft"/>
              <w:cnfStyle w:val="000000010000" w:firstRow="0" w:lastRow="0" w:firstColumn="0" w:lastColumn="0" w:oddVBand="0" w:evenVBand="0" w:oddHBand="0" w:evenHBand="1" w:firstRowFirstColumn="0" w:firstRowLastColumn="0" w:lastRowFirstColumn="0" w:lastRowLastColumn="0"/>
            </w:pPr>
            <w:r w:rsidRPr="00A609EA">
              <w:t>-$1</w:t>
            </w:r>
            <w:r w:rsidR="0032664E" w:rsidRPr="00A609EA">
              <w:t>0</w:t>
            </w:r>
            <w:r w:rsidRPr="00A609EA">
              <w:t xml:space="preserve"> million</w:t>
            </w:r>
          </w:p>
        </w:tc>
      </w:tr>
    </w:tbl>
    <w:p w:rsidR="0044646B" w:rsidRDefault="00153705" w:rsidP="0044646B">
      <w:pPr>
        <w:pStyle w:val="Heading4"/>
      </w:pPr>
      <w:r>
        <w:br/>
      </w:r>
      <w:r w:rsidR="0044646B">
        <w:t>Example C.2</w:t>
      </w:r>
      <w:r w:rsidR="0044646B">
        <w:tab/>
        <w:t>Ex post exclusion from year 4 of the regulatory control period</w:t>
      </w:r>
    </w:p>
    <w:p w:rsidR="00153705" w:rsidRDefault="004530A7">
      <w:r>
        <w:t>There are two reasons why we might need to adjust the CESS in a fol</w:t>
      </w:r>
      <w:r w:rsidR="00153705">
        <w:t>lowing regulatory determination:</w:t>
      </w:r>
    </w:p>
    <w:p w:rsidR="00153705" w:rsidRDefault="00153705" w:rsidP="00153705">
      <w:pPr>
        <w:pStyle w:val="AERbulletlistfirststyle"/>
      </w:pPr>
      <w:r>
        <w:t>W</w:t>
      </w:r>
      <w:r w:rsidR="004530A7">
        <w:t>here the forecast amounts of capex in years 4 and 5 that were used to ca</w:t>
      </w:r>
      <w:r w:rsidR="00185E95">
        <w:t>lculate</w:t>
      </w:r>
      <w:r w:rsidR="004530A7">
        <w:t xml:space="preserve"> the CESS differ from the actual amount</w:t>
      </w:r>
      <w:r>
        <w:t>s</w:t>
      </w:r>
      <w:r w:rsidR="004530A7">
        <w:t xml:space="preserve"> of capex incurred in years 4 or 5. </w:t>
      </w:r>
    </w:p>
    <w:p w:rsidR="00153705" w:rsidRDefault="00153705" w:rsidP="00153705">
      <w:pPr>
        <w:pStyle w:val="AERbulletlistfirststyle"/>
      </w:pPr>
      <w:r>
        <w:t>W</w:t>
      </w:r>
      <w:r w:rsidR="004530A7">
        <w:t xml:space="preserve">here </w:t>
      </w:r>
      <w:r w:rsidR="00185E95">
        <w:t xml:space="preserve">we exclude capex from the RAB for an inefficient overspend in years 4 or 5. </w:t>
      </w:r>
    </w:p>
    <w:p w:rsidR="004530A7" w:rsidRDefault="00185E95" w:rsidP="00153705">
      <w:pPr>
        <w:pStyle w:val="AERbodytext"/>
      </w:pPr>
      <w:r>
        <w:t xml:space="preserve">These </w:t>
      </w:r>
      <w:r w:rsidR="00153705">
        <w:t xml:space="preserve">two events </w:t>
      </w:r>
      <w:r>
        <w:t xml:space="preserve">could occur individually or </w:t>
      </w:r>
      <w:r w:rsidR="00153705">
        <w:t>at the same time</w:t>
      </w:r>
      <w:r>
        <w:t xml:space="preserve"> and </w:t>
      </w:r>
      <w:r w:rsidR="00153705">
        <w:t xml:space="preserve">will </w:t>
      </w:r>
      <w:r>
        <w:t xml:space="preserve">require an adjustment to the RAB </w:t>
      </w:r>
      <w:proofErr w:type="gramStart"/>
      <w:r>
        <w:t>and  the</w:t>
      </w:r>
      <w:proofErr w:type="gramEnd"/>
      <w:r>
        <w:t xml:space="preserve"> CESS.</w:t>
      </w:r>
    </w:p>
    <w:p w:rsidR="00185E95" w:rsidRDefault="00E55DF9">
      <w:r>
        <w:t xml:space="preserve">This example </w:t>
      </w:r>
      <w:r w:rsidR="00185E95">
        <w:t>illustrates</w:t>
      </w:r>
      <w:r>
        <w:t xml:space="preserve"> how we will adjust the CESS </w:t>
      </w:r>
      <w:r w:rsidR="004472DE">
        <w:t>where there is an inefficient overspend in year 4</w:t>
      </w:r>
      <w:r w:rsidR="00185E95">
        <w:t xml:space="preserve"> (though the </w:t>
      </w:r>
      <w:r w:rsidR="008B75D5">
        <w:t xml:space="preserve">CESS </w:t>
      </w:r>
      <w:r w:rsidR="00185E95">
        <w:t xml:space="preserve">adjustment will be much the same </w:t>
      </w:r>
      <w:r w:rsidR="008B75D5">
        <w:t>whether the change is due to a difference between actual and forecast capex or due to an ex post exclusion</w:t>
      </w:r>
      <w:r w:rsidR="00185E95">
        <w:t>). The adjustment to the RAB will occur as per our usual method for accounting for year 5 differences in the existing roll forward model.</w:t>
      </w:r>
    </w:p>
    <w:p w:rsidR="0044646B" w:rsidRDefault="00185E95">
      <w:r>
        <w:t xml:space="preserve">In this example we decide as part of the ex post </w:t>
      </w:r>
      <w:r w:rsidR="008B75D5">
        <w:t>review t</w:t>
      </w:r>
      <w:r>
        <w:t>o</w:t>
      </w:r>
      <w:r w:rsidR="00E55DF9">
        <w:t xml:space="preserve"> exclude </w:t>
      </w:r>
      <w:r>
        <w:t xml:space="preserve">$5 million of </w:t>
      </w:r>
      <w:r w:rsidR="00E55DF9">
        <w:t xml:space="preserve">capex </w:t>
      </w:r>
      <w:r>
        <w:t xml:space="preserve">in </w:t>
      </w:r>
      <w:r w:rsidR="008B75D5">
        <w:t>year </w:t>
      </w:r>
      <w:r w:rsidR="00E55DF9">
        <w:t>4 of a regulatory control period</w:t>
      </w:r>
      <w:r>
        <w:t xml:space="preserve"> from the RAB</w:t>
      </w:r>
      <w:r w:rsidR="00E55DF9">
        <w:t xml:space="preserve">. Assume </w:t>
      </w:r>
      <w:r w:rsidR="00137F9D">
        <w:t>we have the pattern of exp</w:t>
      </w:r>
      <w:r w:rsidR="00153705">
        <w:t>enditure shown in table </w:t>
      </w:r>
      <w:r w:rsidR="00137F9D">
        <w:t xml:space="preserve">11. For simplicity, assume that no ex post adjustments were made in years 1, 2 and 3 for the first regulatory control period. </w:t>
      </w:r>
    </w:p>
    <w:p w:rsidR="00E55DF9" w:rsidRDefault="00E55DF9" w:rsidP="00E55DF9">
      <w:pPr>
        <w:pStyle w:val="Caption"/>
      </w:pPr>
      <w:r>
        <w:t>Table 11</w:t>
      </w:r>
      <w:r>
        <w:tab/>
        <w:t>Capex over two periods</w:t>
      </w:r>
      <w:r w:rsidR="00EA6595">
        <w:t xml:space="preserve"> ($ million)</w:t>
      </w:r>
    </w:p>
    <w:tbl>
      <w:tblPr>
        <w:tblStyle w:val="AERtable-text"/>
        <w:tblW w:w="0" w:type="auto"/>
        <w:tblLook w:val="04A0" w:firstRow="1" w:lastRow="0" w:firstColumn="1" w:lastColumn="0" w:noHBand="0" w:noVBand="1"/>
      </w:tblPr>
      <w:tblGrid>
        <w:gridCol w:w="1088"/>
        <w:gridCol w:w="814"/>
        <w:gridCol w:w="814"/>
        <w:gridCol w:w="815"/>
        <w:gridCol w:w="815"/>
        <w:gridCol w:w="815"/>
        <w:gridCol w:w="815"/>
        <w:gridCol w:w="816"/>
        <w:gridCol w:w="816"/>
        <w:gridCol w:w="816"/>
        <w:gridCol w:w="818"/>
      </w:tblGrid>
      <w:tr w:rsidR="00EA6595" w:rsidRPr="00A609EA" w:rsidTr="00EA6595">
        <w:trPr>
          <w:cnfStyle w:val="100000000000" w:firstRow="1" w:lastRow="0" w:firstColumn="0" w:lastColumn="0" w:oddVBand="0" w:evenVBand="0" w:oddHBand="0" w:evenHBand="0" w:firstRowFirstColumn="0" w:firstRowLastColumn="0" w:lastRowFirstColumn="0" w:lastRowLastColumn="0"/>
        </w:trPr>
        <w:tc>
          <w:tcPr>
            <w:tcW w:w="1088" w:type="dxa"/>
          </w:tcPr>
          <w:p w:rsidR="00E55DF9" w:rsidRPr="00A609EA" w:rsidRDefault="00E55DF9" w:rsidP="00A609EA">
            <w:pPr>
              <w:pStyle w:val="AERtabletextright"/>
            </w:pPr>
          </w:p>
        </w:tc>
        <w:tc>
          <w:tcPr>
            <w:tcW w:w="814" w:type="dxa"/>
          </w:tcPr>
          <w:p w:rsidR="00E55DF9" w:rsidRPr="00A609EA" w:rsidRDefault="00E55DF9" w:rsidP="00A609EA">
            <w:pPr>
              <w:pStyle w:val="AERtabletextright"/>
            </w:pPr>
            <w:r w:rsidRPr="00A609EA">
              <w:t>Y1</w:t>
            </w:r>
          </w:p>
        </w:tc>
        <w:tc>
          <w:tcPr>
            <w:tcW w:w="814" w:type="dxa"/>
          </w:tcPr>
          <w:p w:rsidR="00E55DF9" w:rsidRPr="00A609EA" w:rsidRDefault="00E55DF9" w:rsidP="00A609EA">
            <w:pPr>
              <w:pStyle w:val="AERtabletextright"/>
            </w:pPr>
            <w:r w:rsidRPr="00A609EA">
              <w:t>Y2</w:t>
            </w:r>
          </w:p>
        </w:tc>
        <w:tc>
          <w:tcPr>
            <w:tcW w:w="815" w:type="dxa"/>
          </w:tcPr>
          <w:p w:rsidR="00E55DF9" w:rsidRPr="00A609EA" w:rsidRDefault="00E55DF9" w:rsidP="00A609EA">
            <w:pPr>
              <w:pStyle w:val="AERtabletextright"/>
            </w:pPr>
            <w:r w:rsidRPr="00A609EA">
              <w:t>Y3</w:t>
            </w:r>
          </w:p>
        </w:tc>
        <w:tc>
          <w:tcPr>
            <w:tcW w:w="815" w:type="dxa"/>
          </w:tcPr>
          <w:p w:rsidR="00E55DF9" w:rsidRPr="00A609EA" w:rsidRDefault="00E55DF9" w:rsidP="00A609EA">
            <w:pPr>
              <w:pStyle w:val="AERtabletextright"/>
            </w:pPr>
            <w:r w:rsidRPr="00A609EA">
              <w:t>Y4</w:t>
            </w:r>
          </w:p>
        </w:tc>
        <w:tc>
          <w:tcPr>
            <w:tcW w:w="815" w:type="dxa"/>
          </w:tcPr>
          <w:p w:rsidR="00E55DF9" w:rsidRPr="00A609EA" w:rsidRDefault="00E55DF9" w:rsidP="00A609EA">
            <w:pPr>
              <w:pStyle w:val="AERtabletextright"/>
            </w:pPr>
            <w:r w:rsidRPr="00A609EA">
              <w:t>Y5</w:t>
            </w:r>
          </w:p>
        </w:tc>
        <w:tc>
          <w:tcPr>
            <w:tcW w:w="815" w:type="dxa"/>
          </w:tcPr>
          <w:p w:rsidR="00E55DF9" w:rsidRPr="00A609EA" w:rsidRDefault="00E55DF9" w:rsidP="00A609EA">
            <w:pPr>
              <w:pStyle w:val="AERtabletextright"/>
            </w:pPr>
            <w:r w:rsidRPr="00A609EA">
              <w:t>Y6</w:t>
            </w:r>
          </w:p>
        </w:tc>
        <w:tc>
          <w:tcPr>
            <w:tcW w:w="816" w:type="dxa"/>
          </w:tcPr>
          <w:p w:rsidR="00E55DF9" w:rsidRPr="00A609EA" w:rsidRDefault="00E55DF9" w:rsidP="00A609EA">
            <w:pPr>
              <w:pStyle w:val="AERtabletextright"/>
            </w:pPr>
            <w:r w:rsidRPr="00A609EA">
              <w:t>Y7</w:t>
            </w:r>
          </w:p>
        </w:tc>
        <w:tc>
          <w:tcPr>
            <w:tcW w:w="816" w:type="dxa"/>
          </w:tcPr>
          <w:p w:rsidR="00E55DF9" w:rsidRPr="00A609EA" w:rsidRDefault="00E55DF9" w:rsidP="00A609EA">
            <w:pPr>
              <w:pStyle w:val="AERtabletextright"/>
            </w:pPr>
            <w:r w:rsidRPr="00A609EA">
              <w:t>Y8</w:t>
            </w:r>
          </w:p>
        </w:tc>
        <w:tc>
          <w:tcPr>
            <w:tcW w:w="816" w:type="dxa"/>
          </w:tcPr>
          <w:p w:rsidR="00E55DF9" w:rsidRPr="00A609EA" w:rsidRDefault="00E55DF9" w:rsidP="00A609EA">
            <w:pPr>
              <w:pStyle w:val="AERtabletextright"/>
            </w:pPr>
            <w:r w:rsidRPr="00A609EA">
              <w:t>Y9</w:t>
            </w:r>
          </w:p>
        </w:tc>
        <w:tc>
          <w:tcPr>
            <w:tcW w:w="818" w:type="dxa"/>
          </w:tcPr>
          <w:p w:rsidR="00E55DF9" w:rsidRPr="00A609EA" w:rsidRDefault="00E55DF9" w:rsidP="00A609EA">
            <w:pPr>
              <w:pStyle w:val="AERtabletextright"/>
            </w:pPr>
            <w:r w:rsidRPr="00A609EA">
              <w:t>Y10</w:t>
            </w:r>
          </w:p>
        </w:tc>
      </w:tr>
      <w:tr w:rsidR="00137F9D" w:rsidTr="00EA6595">
        <w:tc>
          <w:tcPr>
            <w:tcW w:w="1088" w:type="dxa"/>
          </w:tcPr>
          <w:p w:rsidR="00137F9D" w:rsidRPr="00137F9D" w:rsidRDefault="00137F9D" w:rsidP="00A609EA">
            <w:pPr>
              <w:pStyle w:val="AERtabletextleft"/>
            </w:pPr>
            <w:r w:rsidRPr="00137F9D">
              <w:t>Allowance</w:t>
            </w:r>
          </w:p>
        </w:tc>
        <w:tc>
          <w:tcPr>
            <w:tcW w:w="814" w:type="dxa"/>
          </w:tcPr>
          <w:p w:rsidR="00137F9D" w:rsidRPr="00137F9D" w:rsidRDefault="00137F9D" w:rsidP="00A609EA">
            <w:pPr>
              <w:pStyle w:val="AERtabletextright"/>
            </w:pPr>
            <w:r w:rsidRPr="00137F9D">
              <w:t>100</w:t>
            </w:r>
          </w:p>
        </w:tc>
        <w:tc>
          <w:tcPr>
            <w:tcW w:w="814" w:type="dxa"/>
          </w:tcPr>
          <w:p w:rsidR="00137F9D" w:rsidRPr="00137F9D" w:rsidRDefault="00137F9D" w:rsidP="00A609EA">
            <w:pPr>
              <w:pStyle w:val="AERtabletextright"/>
            </w:pPr>
            <w:r w:rsidRPr="00137F9D">
              <w:t>100</w:t>
            </w:r>
          </w:p>
        </w:tc>
        <w:tc>
          <w:tcPr>
            <w:tcW w:w="815" w:type="dxa"/>
          </w:tcPr>
          <w:p w:rsidR="00137F9D" w:rsidRPr="00137F9D" w:rsidRDefault="00137F9D" w:rsidP="00A609EA">
            <w:pPr>
              <w:pStyle w:val="AERtabletextright"/>
            </w:pPr>
            <w:r w:rsidRPr="00137F9D">
              <w:t>100</w:t>
            </w:r>
          </w:p>
        </w:tc>
        <w:tc>
          <w:tcPr>
            <w:tcW w:w="815" w:type="dxa"/>
          </w:tcPr>
          <w:p w:rsidR="00137F9D" w:rsidRPr="00137F9D" w:rsidRDefault="00137F9D" w:rsidP="00A609EA">
            <w:pPr>
              <w:pStyle w:val="AERtabletextright"/>
            </w:pPr>
            <w:r w:rsidRPr="00137F9D">
              <w:t>100</w:t>
            </w:r>
          </w:p>
        </w:tc>
        <w:tc>
          <w:tcPr>
            <w:tcW w:w="815" w:type="dxa"/>
          </w:tcPr>
          <w:p w:rsidR="00137F9D" w:rsidRPr="00137F9D" w:rsidRDefault="00137F9D" w:rsidP="00A609EA">
            <w:pPr>
              <w:pStyle w:val="AERtabletextright"/>
            </w:pPr>
            <w:r w:rsidRPr="00137F9D">
              <w:t>100</w:t>
            </w:r>
          </w:p>
        </w:tc>
        <w:tc>
          <w:tcPr>
            <w:tcW w:w="815" w:type="dxa"/>
          </w:tcPr>
          <w:p w:rsidR="00137F9D" w:rsidRPr="00137F9D" w:rsidRDefault="00137F9D" w:rsidP="00A609EA">
            <w:pPr>
              <w:pStyle w:val="AERtabletextright"/>
            </w:pPr>
            <w:r w:rsidRPr="00137F9D">
              <w:t>100</w:t>
            </w:r>
          </w:p>
        </w:tc>
        <w:tc>
          <w:tcPr>
            <w:tcW w:w="816" w:type="dxa"/>
          </w:tcPr>
          <w:p w:rsidR="00137F9D" w:rsidRPr="00137F9D" w:rsidRDefault="00137F9D" w:rsidP="00A609EA">
            <w:pPr>
              <w:pStyle w:val="AERtabletextright"/>
            </w:pPr>
            <w:r w:rsidRPr="00137F9D">
              <w:t>100</w:t>
            </w:r>
          </w:p>
        </w:tc>
        <w:tc>
          <w:tcPr>
            <w:tcW w:w="816" w:type="dxa"/>
          </w:tcPr>
          <w:p w:rsidR="00137F9D" w:rsidRPr="00137F9D" w:rsidRDefault="00137F9D" w:rsidP="00A609EA">
            <w:pPr>
              <w:pStyle w:val="AERtabletextright"/>
            </w:pPr>
            <w:r w:rsidRPr="00137F9D">
              <w:t>100</w:t>
            </w:r>
          </w:p>
        </w:tc>
        <w:tc>
          <w:tcPr>
            <w:tcW w:w="816" w:type="dxa"/>
          </w:tcPr>
          <w:p w:rsidR="00137F9D" w:rsidRPr="00137F9D" w:rsidRDefault="00137F9D" w:rsidP="00A609EA">
            <w:pPr>
              <w:pStyle w:val="AERtabletextright"/>
            </w:pPr>
            <w:r w:rsidRPr="00137F9D">
              <w:t>100</w:t>
            </w:r>
          </w:p>
        </w:tc>
        <w:tc>
          <w:tcPr>
            <w:tcW w:w="818" w:type="dxa"/>
          </w:tcPr>
          <w:p w:rsidR="00137F9D" w:rsidRPr="00137F9D" w:rsidRDefault="00137F9D" w:rsidP="00A609EA">
            <w:pPr>
              <w:pStyle w:val="AERtabletextright"/>
            </w:pPr>
            <w:r w:rsidRPr="00137F9D">
              <w:t>100</w:t>
            </w:r>
          </w:p>
        </w:tc>
      </w:tr>
      <w:tr w:rsidR="00EA6595" w:rsidTr="00EA6595">
        <w:trPr>
          <w:cnfStyle w:val="000000010000" w:firstRow="0" w:lastRow="0" w:firstColumn="0" w:lastColumn="0" w:oddVBand="0" w:evenVBand="0" w:oddHBand="0" w:evenHBand="1" w:firstRowFirstColumn="0" w:firstRowLastColumn="0" w:lastRowFirstColumn="0" w:lastRowLastColumn="0"/>
        </w:trPr>
        <w:tc>
          <w:tcPr>
            <w:tcW w:w="1088" w:type="dxa"/>
          </w:tcPr>
          <w:p w:rsidR="00137F9D" w:rsidRPr="00137F9D" w:rsidRDefault="00137F9D" w:rsidP="00A609EA">
            <w:pPr>
              <w:pStyle w:val="AERtabletextleft"/>
            </w:pPr>
            <w:r w:rsidRPr="00137F9D">
              <w:t>Actual</w:t>
            </w:r>
          </w:p>
        </w:tc>
        <w:tc>
          <w:tcPr>
            <w:tcW w:w="814" w:type="dxa"/>
          </w:tcPr>
          <w:p w:rsidR="00137F9D" w:rsidRPr="00137F9D" w:rsidRDefault="00137F9D" w:rsidP="00A609EA">
            <w:pPr>
              <w:pStyle w:val="AERtabletextright"/>
            </w:pPr>
            <w:r w:rsidRPr="00137F9D">
              <w:t>100</w:t>
            </w:r>
          </w:p>
        </w:tc>
        <w:tc>
          <w:tcPr>
            <w:tcW w:w="814" w:type="dxa"/>
          </w:tcPr>
          <w:p w:rsidR="00137F9D" w:rsidRPr="00137F9D" w:rsidRDefault="00137F9D" w:rsidP="00A609EA">
            <w:pPr>
              <w:pStyle w:val="AERtabletextright"/>
            </w:pPr>
            <w:r w:rsidRPr="00137F9D">
              <w:t>100</w:t>
            </w:r>
          </w:p>
        </w:tc>
        <w:tc>
          <w:tcPr>
            <w:tcW w:w="815" w:type="dxa"/>
          </w:tcPr>
          <w:p w:rsidR="00137F9D" w:rsidRPr="00137F9D" w:rsidRDefault="00137F9D" w:rsidP="00A609EA">
            <w:pPr>
              <w:pStyle w:val="AERtabletextright"/>
            </w:pPr>
            <w:r w:rsidRPr="00137F9D">
              <w:t>120</w:t>
            </w:r>
          </w:p>
        </w:tc>
        <w:tc>
          <w:tcPr>
            <w:tcW w:w="815" w:type="dxa"/>
          </w:tcPr>
          <w:p w:rsidR="00137F9D" w:rsidRPr="00137F9D" w:rsidRDefault="00137F9D" w:rsidP="00A609EA">
            <w:pPr>
              <w:pStyle w:val="AERtabletextright"/>
            </w:pPr>
            <w:r w:rsidRPr="00137F9D">
              <w:t>110</w:t>
            </w:r>
          </w:p>
        </w:tc>
        <w:tc>
          <w:tcPr>
            <w:tcW w:w="815" w:type="dxa"/>
          </w:tcPr>
          <w:p w:rsidR="00137F9D" w:rsidRPr="00137F9D" w:rsidRDefault="00137F9D" w:rsidP="00A609EA">
            <w:pPr>
              <w:pStyle w:val="AERtabletextright"/>
            </w:pPr>
            <w:r w:rsidRPr="00137F9D">
              <w:t>100</w:t>
            </w:r>
          </w:p>
        </w:tc>
        <w:tc>
          <w:tcPr>
            <w:tcW w:w="815" w:type="dxa"/>
          </w:tcPr>
          <w:p w:rsidR="00137F9D" w:rsidRPr="00137F9D" w:rsidRDefault="00137F9D" w:rsidP="00A609EA">
            <w:pPr>
              <w:pStyle w:val="AERtabletextright"/>
            </w:pPr>
            <w:r w:rsidRPr="00137F9D">
              <w:t>100</w:t>
            </w:r>
          </w:p>
        </w:tc>
        <w:tc>
          <w:tcPr>
            <w:tcW w:w="816" w:type="dxa"/>
          </w:tcPr>
          <w:p w:rsidR="00137F9D" w:rsidRPr="00137F9D" w:rsidRDefault="00137F9D" w:rsidP="00A609EA">
            <w:pPr>
              <w:pStyle w:val="AERtabletextright"/>
            </w:pPr>
            <w:r w:rsidRPr="00137F9D">
              <w:t>100</w:t>
            </w:r>
          </w:p>
        </w:tc>
        <w:tc>
          <w:tcPr>
            <w:tcW w:w="816" w:type="dxa"/>
          </w:tcPr>
          <w:p w:rsidR="00137F9D" w:rsidRPr="00137F9D" w:rsidRDefault="00137F9D" w:rsidP="00A609EA">
            <w:pPr>
              <w:pStyle w:val="AERtabletextright"/>
            </w:pPr>
            <w:r w:rsidRPr="00137F9D">
              <w:t>100</w:t>
            </w:r>
          </w:p>
        </w:tc>
        <w:tc>
          <w:tcPr>
            <w:tcW w:w="816" w:type="dxa"/>
          </w:tcPr>
          <w:p w:rsidR="00137F9D" w:rsidRPr="00137F9D" w:rsidRDefault="00137F9D" w:rsidP="00A609EA">
            <w:pPr>
              <w:pStyle w:val="AERtabletextright"/>
            </w:pPr>
            <w:r w:rsidRPr="00137F9D">
              <w:t>100</w:t>
            </w:r>
          </w:p>
        </w:tc>
        <w:tc>
          <w:tcPr>
            <w:tcW w:w="818" w:type="dxa"/>
          </w:tcPr>
          <w:p w:rsidR="00137F9D" w:rsidRPr="00137F9D" w:rsidRDefault="00137F9D" w:rsidP="00A609EA">
            <w:pPr>
              <w:pStyle w:val="AERtabletextright"/>
            </w:pPr>
            <w:r w:rsidRPr="00137F9D">
              <w:t>100</w:t>
            </w:r>
          </w:p>
        </w:tc>
      </w:tr>
      <w:tr w:rsidR="00137F9D" w:rsidTr="00EA6595">
        <w:tc>
          <w:tcPr>
            <w:tcW w:w="1088" w:type="dxa"/>
          </w:tcPr>
          <w:p w:rsidR="00137F9D" w:rsidRPr="00137F9D" w:rsidRDefault="00137F9D" w:rsidP="00A609EA">
            <w:pPr>
              <w:pStyle w:val="AERtabletextleft"/>
            </w:pPr>
            <w:r w:rsidRPr="00137F9D">
              <w:t>Underspend</w:t>
            </w:r>
          </w:p>
        </w:tc>
        <w:tc>
          <w:tcPr>
            <w:tcW w:w="814" w:type="dxa"/>
          </w:tcPr>
          <w:p w:rsidR="00137F9D" w:rsidRPr="00137F9D" w:rsidRDefault="00137F9D" w:rsidP="00A609EA">
            <w:pPr>
              <w:pStyle w:val="AERtabletextright"/>
            </w:pPr>
            <w:r w:rsidRPr="00137F9D">
              <w:t>0</w:t>
            </w:r>
          </w:p>
        </w:tc>
        <w:tc>
          <w:tcPr>
            <w:tcW w:w="814" w:type="dxa"/>
          </w:tcPr>
          <w:p w:rsidR="00137F9D" w:rsidRPr="00137F9D" w:rsidRDefault="00137F9D" w:rsidP="00A609EA">
            <w:pPr>
              <w:pStyle w:val="AERtabletextright"/>
            </w:pPr>
            <w:r w:rsidRPr="00137F9D">
              <w:t>0</w:t>
            </w:r>
          </w:p>
        </w:tc>
        <w:tc>
          <w:tcPr>
            <w:tcW w:w="815" w:type="dxa"/>
          </w:tcPr>
          <w:p w:rsidR="00137F9D" w:rsidRPr="00137F9D" w:rsidRDefault="00137F9D" w:rsidP="00A609EA">
            <w:pPr>
              <w:pStyle w:val="AERtabletextright"/>
            </w:pPr>
            <w:r w:rsidRPr="00137F9D">
              <w:t>-20</w:t>
            </w:r>
          </w:p>
        </w:tc>
        <w:tc>
          <w:tcPr>
            <w:tcW w:w="815" w:type="dxa"/>
          </w:tcPr>
          <w:p w:rsidR="00137F9D" w:rsidRPr="00137F9D" w:rsidRDefault="00137F9D" w:rsidP="00A609EA">
            <w:pPr>
              <w:pStyle w:val="AERtabletextright"/>
            </w:pPr>
            <w:r w:rsidRPr="00137F9D">
              <w:t>-10</w:t>
            </w:r>
          </w:p>
        </w:tc>
        <w:tc>
          <w:tcPr>
            <w:tcW w:w="815" w:type="dxa"/>
          </w:tcPr>
          <w:p w:rsidR="00137F9D" w:rsidRPr="00137F9D" w:rsidRDefault="00137F9D" w:rsidP="00A609EA">
            <w:pPr>
              <w:pStyle w:val="AERtabletextright"/>
            </w:pPr>
            <w:r w:rsidRPr="00137F9D">
              <w:t>0</w:t>
            </w:r>
          </w:p>
        </w:tc>
        <w:tc>
          <w:tcPr>
            <w:tcW w:w="815" w:type="dxa"/>
          </w:tcPr>
          <w:p w:rsidR="00137F9D" w:rsidRPr="00137F9D" w:rsidRDefault="00137F9D" w:rsidP="00A609EA">
            <w:pPr>
              <w:pStyle w:val="AERtabletextright"/>
            </w:pPr>
            <w:r w:rsidRPr="00137F9D">
              <w:t>0</w:t>
            </w:r>
          </w:p>
        </w:tc>
        <w:tc>
          <w:tcPr>
            <w:tcW w:w="816" w:type="dxa"/>
          </w:tcPr>
          <w:p w:rsidR="00137F9D" w:rsidRPr="00137F9D" w:rsidRDefault="00137F9D" w:rsidP="00A609EA">
            <w:pPr>
              <w:pStyle w:val="AERtabletextright"/>
            </w:pPr>
            <w:r w:rsidRPr="00137F9D">
              <w:t>0</w:t>
            </w:r>
          </w:p>
        </w:tc>
        <w:tc>
          <w:tcPr>
            <w:tcW w:w="816" w:type="dxa"/>
          </w:tcPr>
          <w:p w:rsidR="00137F9D" w:rsidRPr="00137F9D" w:rsidRDefault="00137F9D" w:rsidP="00A609EA">
            <w:pPr>
              <w:pStyle w:val="AERtabletextright"/>
            </w:pPr>
            <w:r w:rsidRPr="00137F9D">
              <w:t>0</w:t>
            </w:r>
          </w:p>
        </w:tc>
        <w:tc>
          <w:tcPr>
            <w:tcW w:w="816" w:type="dxa"/>
          </w:tcPr>
          <w:p w:rsidR="00137F9D" w:rsidRPr="00137F9D" w:rsidRDefault="00137F9D" w:rsidP="00A609EA">
            <w:pPr>
              <w:pStyle w:val="AERtabletextright"/>
            </w:pPr>
            <w:r w:rsidRPr="00137F9D">
              <w:t>0</w:t>
            </w:r>
          </w:p>
        </w:tc>
        <w:tc>
          <w:tcPr>
            <w:tcW w:w="818" w:type="dxa"/>
          </w:tcPr>
          <w:p w:rsidR="00137F9D" w:rsidRPr="00137F9D" w:rsidRDefault="00137F9D" w:rsidP="00A609EA">
            <w:pPr>
              <w:pStyle w:val="AERtabletextright"/>
            </w:pPr>
            <w:r w:rsidRPr="00137F9D">
              <w:t>0</w:t>
            </w:r>
          </w:p>
        </w:tc>
      </w:tr>
      <w:tr w:rsidR="00EA6595" w:rsidTr="00EA6595">
        <w:trPr>
          <w:cnfStyle w:val="000000010000" w:firstRow="0" w:lastRow="0" w:firstColumn="0" w:lastColumn="0" w:oddVBand="0" w:evenVBand="0" w:oddHBand="0" w:evenHBand="1" w:firstRowFirstColumn="0" w:firstRowLastColumn="0" w:lastRowFirstColumn="0" w:lastRowLastColumn="0"/>
        </w:trPr>
        <w:tc>
          <w:tcPr>
            <w:tcW w:w="1088" w:type="dxa"/>
          </w:tcPr>
          <w:p w:rsidR="00137F9D" w:rsidRPr="00137F9D" w:rsidRDefault="00137F9D" w:rsidP="00A609EA">
            <w:pPr>
              <w:pStyle w:val="AERtabletextleft"/>
            </w:pPr>
            <w:r>
              <w:t>Y1</w:t>
            </w:r>
            <w:r w:rsidRPr="00137F9D">
              <w:t xml:space="preserve"> benefit</w:t>
            </w:r>
          </w:p>
        </w:tc>
        <w:tc>
          <w:tcPr>
            <w:tcW w:w="814" w:type="dxa"/>
          </w:tcPr>
          <w:p w:rsidR="00137F9D" w:rsidRPr="00137F9D" w:rsidRDefault="00137F9D" w:rsidP="00A609EA">
            <w:pPr>
              <w:pStyle w:val="AERtabletextright"/>
            </w:pPr>
            <w:r w:rsidRPr="00137F9D">
              <w:t>0</w:t>
            </w:r>
          </w:p>
        </w:tc>
        <w:tc>
          <w:tcPr>
            <w:tcW w:w="814" w:type="dxa"/>
          </w:tcPr>
          <w:p w:rsidR="00137F9D" w:rsidRPr="00137F9D" w:rsidRDefault="00137F9D" w:rsidP="00A609EA">
            <w:pPr>
              <w:pStyle w:val="AERtabletextright"/>
            </w:pPr>
            <w:r w:rsidRPr="00137F9D">
              <w:t>0</w:t>
            </w:r>
          </w:p>
        </w:tc>
        <w:tc>
          <w:tcPr>
            <w:tcW w:w="815" w:type="dxa"/>
          </w:tcPr>
          <w:p w:rsidR="00137F9D" w:rsidRPr="00137F9D" w:rsidRDefault="00137F9D" w:rsidP="00A609EA">
            <w:pPr>
              <w:pStyle w:val="AERtabletextright"/>
            </w:pPr>
            <w:r w:rsidRPr="00137F9D">
              <w:t>0</w:t>
            </w:r>
          </w:p>
        </w:tc>
        <w:tc>
          <w:tcPr>
            <w:tcW w:w="815" w:type="dxa"/>
          </w:tcPr>
          <w:p w:rsidR="00137F9D" w:rsidRPr="00137F9D" w:rsidRDefault="00137F9D" w:rsidP="00A609EA">
            <w:pPr>
              <w:pStyle w:val="AERtabletextright"/>
            </w:pPr>
            <w:r w:rsidRPr="00137F9D">
              <w:t>0</w:t>
            </w:r>
          </w:p>
        </w:tc>
        <w:tc>
          <w:tcPr>
            <w:tcW w:w="815" w:type="dxa"/>
          </w:tcPr>
          <w:p w:rsidR="00137F9D" w:rsidRPr="00137F9D" w:rsidRDefault="00137F9D" w:rsidP="00A609EA">
            <w:pPr>
              <w:pStyle w:val="AERtabletextright"/>
            </w:pPr>
            <w:r w:rsidRPr="00137F9D">
              <w:t>0</w:t>
            </w:r>
          </w:p>
        </w:tc>
        <w:tc>
          <w:tcPr>
            <w:tcW w:w="815" w:type="dxa"/>
          </w:tcPr>
          <w:p w:rsidR="00137F9D" w:rsidRPr="00137F9D" w:rsidRDefault="00137F9D" w:rsidP="00A609EA">
            <w:pPr>
              <w:pStyle w:val="AERtabletextright"/>
            </w:pPr>
            <w:r w:rsidRPr="00137F9D">
              <w:t>0</w:t>
            </w:r>
          </w:p>
        </w:tc>
        <w:tc>
          <w:tcPr>
            <w:tcW w:w="816" w:type="dxa"/>
          </w:tcPr>
          <w:p w:rsidR="00137F9D" w:rsidRPr="00137F9D" w:rsidRDefault="00137F9D" w:rsidP="00A609EA">
            <w:pPr>
              <w:pStyle w:val="AERtabletextright"/>
            </w:pPr>
            <w:r w:rsidRPr="00137F9D">
              <w:t>0</w:t>
            </w:r>
          </w:p>
        </w:tc>
        <w:tc>
          <w:tcPr>
            <w:tcW w:w="816" w:type="dxa"/>
          </w:tcPr>
          <w:p w:rsidR="00137F9D" w:rsidRPr="00137F9D" w:rsidRDefault="00137F9D" w:rsidP="00A609EA">
            <w:pPr>
              <w:pStyle w:val="AERtabletextright"/>
            </w:pPr>
            <w:r w:rsidRPr="00137F9D">
              <w:t>0</w:t>
            </w:r>
          </w:p>
        </w:tc>
        <w:tc>
          <w:tcPr>
            <w:tcW w:w="816" w:type="dxa"/>
          </w:tcPr>
          <w:p w:rsidR="00137F9D" w:rsidRPr="00137F9D" w:rsidRDefault="00137F9D" w:rsidP="00A609EA">
            <w:pPr>
              <w:pStyle w:val="AERtabletextright"/>
            </w:pPr>
            <w:r w:rsidRPr="00137F9D">
              <w:t>0</w:t>
            </w:r>
          </w:p>
        </w:tc>
        <w:tc>
          <w:tcPr>
            <w:tcW w:w="818" w:type="dxa"/>
          </w:tcPr>
          <w:p w:rsidR="00137F9D" w:rsidRPr="00137F9D" w:rsidRDefault="00137F9D" w:rsidP="00A609EA">
            <w:pPr>
              <w:pStyle w:val="AERtabletextright"/>
            </w:pPr>
            <w:r w:rsidRPr="00137F9D">
              <w:t>0</w:t>
            </w:r>
          </w:p>
        </w:tc>
      </w:tr>
      <w:tr w:rsidR="00137F9D" w:rsidTr="00EA6595">
        <w:tc>
          <w:tcPr>
            <w:tcW w:w="1088" w:type="dxa"/>
          </w:tcPr>
          <w:p w:rsidR="00137F9D" w:rsidRPr="00137F9D" w:rsidRDefault="00137F9D" w:rsidP="00A609EA">
            <w:pPr>
              <w:pStyle w:val="AERtabletextleft"/>
            </w:pPr>
            <w:r>
              <w:t>Y2</w:t>
            </w:r>
            <w:r w:rsidRPr="00137F9D">
              <w:t xml:space="preserve"> benefit</w:t>
            </w:r>
          </w:p>
        </w:tc>
        <w:tc>
          <w:tcPr>
            <w:tcW w:w="814" w:type="dxa"/>
          </w:tcPr>
          <w:p w:rsidR="00137F9D" w:rsidRDefault="00137F9D" w:rsidP="00A609EA">
            <w:pPr>
              <w:pStyle w:val="AERtabletextright"/>
            </w:pPr>
          </w:p>
        </w:tc>
        <w:tc>
          <w:tcPr>
            <w:tcW w:w="814" w:type="dxa"/>
          </w:tcPr>
          <w:p w:rsidR="00137F9D" w:rsidRDefault="00137F9D" w:rsidP="00A609EA">
            <w:pPr>
              <w:pStyle w:val="AERtabletextright"/>
            </w:pPr>
            <w:r w:rsidRPr="00137F9D">
              <w:t>0</w:t>
            </w:r>
          </w:p>
        </w:tc>
        <w:tc>
          <w:tcPr>
            <w:tcW w:w="815" w:type="dxa"/>
          </w:tcPr>
          <w:p w:rsidR="00137F9D" w:rsidRDefault="00137F9D" w:rsidP="00A609EA">
            <w:pPr>
              <w:pStyle w:val="AERtabletextright"/>
            </w:pPr>
            <w:r w:rsidRPr="00137F9D">
              <w:t>0</w:t>
            </w:r>
          </w:p>
        </w:tc>
        <w:tc>
          <w:tcPr>
            <w:tcW w:w="815" w:type="dxa"/>
          </w:tcPr>
          <w:p w:rsidR="00137F9D" w:rsidRDefault="00137F9D" w:rsidP="00A609EA">
            <w:pPr>
              <w:pStyle w:val="AERtabletextright"/>
            </w:pPr>
            <w:r w:rsidRPr="00137F9D">
              <w:t>0</w:t>
            </w:r>
          </w:p>
        </w:tc>
        <w:tc>
          <w:tcPr>
            <w:tcW w:w="815" w:type="dxa"/>
          </w:tcPr>
          <w:p w:rsidR="00137F9D" w:rsidRDefault="00137F9D" w:rsidP="00A609EA">
            <w:pPr>
              <w:pStyle w:val="AERtabletextright"/>
            </w:pPr>
            <w:r w:rsidRPr="00137F9D">
              <w:t>0</w:t>
            </w:r>
          </w:p>
        </w:tc>
        <w:tc>
          <w:tcPr>
            <w:tcW w:w="815" w:type="dxa"/>
          </w:tcPr>
          <w:p w:rsidR="00137F9D" w:rsidRDefault="00137F9D" w:rsidP="00A609EA">
            <w:pPr>
              <w:pStyle w:val="AERtabletextright"/>
            </w:pPr>
          </w:p>
        </w:tc>
        <w:tc>
          <w:tcPr>
            <w:tcW w:w="816" w:type="dxa"/>
          </w:tcPr>
          <w:p w:rsidR="00137F9D" w:rsidRPr="00137F9D" w:rsidRDefault="00137F9D" w:rsidP="00A609EA">
            <w:pPr>
              <w:pStyle w:val="AERtabletextright"/>
            </w:pPr>
            <w:r w:rsidRPr="00137F9D">
              <w:t>0</w:t>
            </w:r>
          </w:p>
        </w:tc>
        <w:tc>
          <w:tcPr>
            <w:tcW w:w="816" w:type="dxa"/>
          </w:tcPr>
          <w:p w:rsidR="00137F9D" w:rsidRPr="00137F9D" w:rsidRDefault="00137F9D" w:rsidP="00A609EA">
            <w:pPr>
              <w:pStyle w:val="AERtabletextright"/>
            </w:pPr>
            <w:r w:rsidRPr="00137F9D">
              <w:t>0</w:t>
            </w:r>
          </w:p>
        </w:tc>
        <w:tc>
          <w:tcPr>
            <w:tcW w:w="816" w:type="dxa"/>
          </w:tcPr>
          <w:p w:rsidR="00137F9D" w:rsidRPr="00137F9D" w:rsidRDefault="00137F9D" w:rsidP="00A609EA">
            <w:pPr>
              <w:pStyle w:val="AERtabletextright"/>
            </w:pPr>
            <w:r w:rsidRPr="00137F9D">
              <w:t>0</w:t>
            </w:r>
          </w:p>
        </w:tc>
        <w:tc>
          <w:tcPr>
            <w:tcW w:w="818" w:type="dxa"/>
          </w:tcPr>
          <w:p w:rsidR="00137F9D" w:rsidRDefault="00137F9D" w:rsidP="00A609EA">
            <w:pPr>
              <w:pStyle w:val="AERtabletextright"/>
            </w:pPr>
            <w:r w:rsidRPr="00137F9D">
              <w:t>0</w:t>
            </w:r>
          </w:p>
        </w:tc>
      </w:tr>
      <w:tr w:rsidR="00EA6595" w:rsidTr="00EA6595">
        <w:trPr>
          <w:cnfStyle w:val="000000010000" w:firstRow="0" w:lastRow="0" w:firstColumn="0" w:lastColumn="0" w:oddVBand="0" w:evenVBand="0" w:oddHBand="0" w:evenHBand="1" w:firstRowFirstColumn="0" w:firstRowLastColumn="0" w:lastRowFirstColumn="0" w:lastRowLastColumn="0"/>
        </w:trPr>
        <w:tc>
          <w:tcPr>
            <w:tcW w:w="1088" w:type="dxa"/>
          </w:tcPr>
          <w:p w:rsidR="00137F9D" w:rsidRPr="00137F9D" w:rsidRDefault="00137F9D" w:rsidP="00A609EA">
            <w:pPr>
              <w:pStyle w:val="AERtabletextleft"/>
            </w:pPr>
            <w:r>
              <w:t>Y3</w:t>
            </w:r>
            <w:r w:rsidRPr="00137F9D">
              <w:t xml:space="preserve"> benefit</w:t>
            </w:r>
          </w:p>
        </w:tc>
        <w:tc>
          <w:tcPr>
            <w:tcW w:w="814" w:type="dxa"/>
          </w:tcPr>
          <w:p w:rsidR="00137F9D" w:rsidRDefault="00137F9D" w:rsidP="00A609EA">
            <w:pPr>
              <w:pStyle w:val="AERtabletextright"/>
            </w:pPr>
          </w:p>
        </w:tc>
        <w:tc>
          <w:tcPr>
            <w:tcW w:w="814" w:type="dxa"/>
          </w:tcPr>
          <w:p w:rsidR="00137F9D" w:rsidRDefault="00137F9D" w:rsidP="00A609EA">
            <w:pPr>
              <w:pStyle w:val="AERtabletextright"/>
            </w:pPr>
          </w:p>
        </w:tc>
        <w:tc>
          <w:tcPr>
            <w:tcW w:w="815" w:type="dxa"/>
          </w:tcPr>
          <w:p w:rsidR="00137F9D" w:rsidRDefault="00137F9D" w:rsidP="00A609EA">
            <w:pPr>
              <w:pStyle w:val="AERtabletextright"/>
            </w:pPr>
            <w:r>
              <w:t>-0.59</w:t>
            </w:r>
          </w:p>
        </w:tc>
        <w:tc>
          <w:tcPr>
            <w:tcW w:w="815" w:type="dxa"/>
          </w:tcPr>
          <w:p w:rsidR="00137F9D" w:rsidRDefault="00137F9D" w:rsidP="00A609EA">
            <w:pPr>
              <w:pStyle w:val="AERtabletextright"/>
            </w:pPr>
            <w:r>
              <w:t>-1.20</w:t>
            </w:r>
          </w:p>
        </w:tc>
        <w:tc>
          <w:tcPr>
            <w:tcW w:w="815" w:type="dxa"/>
          </w:tcPr>
          <w:p w:rsidR="00137F9D" w:rsidRDefault="00137F9D" w:rsidP="00A609EA">
            <w:pPr>
              <w:pStyle w:val="AERtabletextright"/>
            </w:pPr>
            <w:r>
              <w:t>-1.20</w:t>
            </w:r>
          </w:p>
        </w:tc>
        <w:tc>
          <w:tcPr>
            <w:tcW w:w="815" w:type="dxa"/>
          </w:tcPr>
          <w:p w:rsidR="00137F9D" w:rsidRDefault="00137F9D" w:rsidP="00A609EA">
            <w:pPr>
              <w:pStyle w:val="AERtabletextright"/>
            </w:pPr>
          </w:p>
        </w:tc>
        <w:tc>
          <w:tcPr>
            <w:tcW w:w="816" w:type="dxa"/>
          </w:tcPr>
          <w:p w:rsidR="00137F9D" w:rsidRDefault="00137F9D" w:rsidP="00A609EA">
            <w:pPr>
              <w:pStyle w:val="AERtabletextright"/>
            </w:pPr>
          </w:p>
        </w:tc>
        <w:tc>
          <w:tcPr>
            <w:tcW w:w="816" w:type="dxa"/>
          </w:tcPr>
          <w:p w:rsidR="00137F9D" w:rsidRPr="00137F9D" w:rsidRDefault="00137F9D" w:rsidP="00A609EA">
            <w:pPr>
              <w:pStyle w:val="AERtabletextright"/>
            </w:pPr>
            <w:r w:rsidRPr="00137F9D">
              <w:t>0</w:t>
            </w:r>
          </w:p>
        </w:tc>
        <w:tc>
          <w:tcPr>
            <w:tcW w:w="816" w:type="dxa"/>
          </w:tcPr>
          <w:p w:rsidR="00137F9D" w:rsidRPr="00137F9D" w:rsidRDefault="00137F9D" w:rsidP="00A609EA">
            <w:pPr>
              <w:pStyle w:val="AERtabletextright"/>
            </w:pPr>
            <w:r w:rsidRPr="00137F9D">
              <w:t>0</w:t>
            </w:r>
          </w:p>
        </w:tc>
        <w:tc>
          <w:tcPr>
            <w:tcW w:w="818" w:type="dxa"/>
          </w:tcPr>
          <w:p w:rsidR="00137F9D" w:rsidRDefault="00137F9D" w:rsidP="00A609EA">
            <w:pPr>
              <w:pStyle w:val="AERtabletextright"/>
            </w:pPr>
            <w:r w:rsidRPr="00137F9D">
              <w:t>0</w:t>
            </w:r>
          </w:p>
        </w:tc>
      </w:tr>
      <w:tr w:rsidR="00137F9D" w:rsidTr="00EA6595">
        <w:tc>
          <w:tcPr>
            <w:tcW w:w="1088" w:type="dxa"/>
          </w:tcPr>
          <w:p w:rsidR="00137F9D" w:rsidRPr="00137F9D" w:rsidRDefault="00137F9D" w:rsidP="00A609EA">
            <w:pPr>
              <w:pStyle w:val="AERtabletextleft"/>
            </w:pPr>
            <w:r>
              <w:t xml:space="preserve">Y4 </w:t>
            </w:r>
            <w:r w:rsidRPr="00137F9D">
              <w:t>benefit</w:t>
            </w:r>
          </w:p>
        </w:tc>
        <w:tc>
          <w:tcPr>
            <w:tcW w:w="814" w:type="dxa"/>
          </w:tcPr>
          <w:p w:rsidR="00137F9D" w:rsidRDefault="00137F9D" w:rsidP="00A609EA">
            <w:pPr>
              <w:pStyle w:val="AERtabletextright"/>
            </w:pPr>
          </w:p>
        </w:tc>
        <w:tc>
          <w:tcPr>
            <w:tcW w:w="814" w:type="dxa"/>
          </w:tcPr>
          <w:p w:rsidR="00137F9D" w:rsidRDefault="00137F9D" w:rsidP="00A609EA">
            <w:pPr>
              <w:pStyle w:val="AERtabletextright"/>
            </w:pPr>
          </w:p>
        </w:tc>
        <w:tc>
          <w:tcPr>
            <w:tcW w:w="815" w:type="dxa"/>
          </w:tcPr>
          <w:p w:rsidR="00137F9D" w:rsidRDefault="00137F9D" w:rsidP="00A609EA">
            <w:pPr>
              <w:pStyle w:val="AERtabletextright"/>
            </w:pPr>
          </w:p>
        </w:tc>
        <w:tc>
          <w:tcPr>
            <w:tcW w:w="815" w:type="dxa"/>
          </w:tcPr>
          <w:p w:rsidR="00137F9D" w:rsidRDefault="00137F9D" w:rsidP="00A609EA">
            <w:pPr>
              <w:pStyle w:val="AERtabletextright"/>
            </w:pPr>
            <w:r>
              <w:t>-0.30</w:t>
            </w:r>
          </w:p>
        </w:tc>
        <w:tc>
          <w:tcPr>
            <w:tcW w:w="815" w:type="dxa"/>
          </w:tcPr>
          <w:p w:rsidR="00137F9D" w:rsidRDefault="00137F9D" w:rsidP="00A609EA">
            <w:pPr>
              <w:pStyle w:val="AERtabletextright"/>
            </w:pPr>
            <w:r>
              <w:t>-0.60</w:t>
            </w:r>
          </w:p>
        </w:tc>
        <w:tc>
          <w:tcPr>
            <w:tcW w:w="815" w:type="dxa"/>
          </w:tcPr>
          <w:p w:rsidR="00137F9D" w:rsidRDefault="00137F9D" w:rsidP="00A609EA">
            <w:pPr>
              <w:pStyle w:val="AERtabletextright"/>
            </w:pPr>
          </w:p>
        </w:tc>
        <w:tc>
          <w:tcPr>
            <w:tcW w:w="816" w:type="dxa"/>
          </w:tcPr>
          <w:p w:rsidR="00137F9D" w:rsidRDefault="00137F9D" w:rsidP="00A609EA">
            <w:pPr>
              <w:pStyle w:val="AERtabletextright"/>
            </w:pPr>
          </w:p>
        </w:tc>
        <w:tc>
          <w:tcPr>
            <w:tcW w:w="816" w:type="dxa"/>
          </w:tcPr>
          <w:p w:rsidR="00137F9D" w:rsidRDefault="00137F9D" w:rsidP="00A609EA">
            <w:pPr>
              <w:pStyle w:val="AERtabletextright"/>
            </w:pPr>
          </w:p>
        </w:tc>
        <w:tc>
          <w:tcPr>
            <w:tcW w:w="816" w:type="dxa"/>
          </w:tcPr>
          <w:p w:rsidR="00137F9D" w:rsidRDefault="00137F9D" w:rsidP="00A609EA">
            <w:pPr>
              <w:pStyle w:val="AERtabletextright"/>
            </w:pPr>
            <w:r w:rsidRPr="00137F9D">
              <w:t>0</w:t>
            </w:r>
          </w:p>
        </w:tc>
        <w:tc>
          <w:tcPr>
            <w:tcW w:w="818" w:type="dxa"/>
          </w:tcPr>
          <w:p w:rsidR="00137F9D" w:rsidRDefault="00137F9D" w:rsidP="00A609EA">
            <w:pPr>
              <w:pStyle w:val="AERtabletextright"/>
            </w:pPr>
            <w:r w:rsidRPr="00137F9D">
              <w:t>0</w:t>
            </w:r>
          </w:p>
        </w:tc>
      </w:tr>
      <w:tr w:rsidR="00EA6595" w:rsidTr="00EA6595">
        <w:trPr>
          <w:cnfStyle w:val="000000010000" w:firstRow="0" w:lastRow="0" w:firstColumn="0" w:lastColumn="0" w:oddVBand="0" w:evenVBand="0" w:oddHBand="0" w:evenHBand="1" w:firstRowFirstColumn="0" w:firstRowLastColumn="0" w:lastRowFirstColumn="0" w:lastRowLastColumn="0"/>
        </w:trPr>
        <w:tc>
          <w:tcPr>
            <w:tcW w:w="1088" w:type="dxa"/>
          </w:tcPr>
          <w:p w:rsidR="00137F9D" w:rsidRPr="00137F9D" w:rsidRDefault="00137F9D" w:rsidP="00A609EA">
            <w:pPr>
              <w:pStyle w:val="AERtabletextleft"/>
            </w:pPr>
            <w:r>
              <w:t xml:space="preserve">Y5 </w:t>
            </w:r>
            <w:r w:rsidRPr="00137F9D">
              <w:t>benefit</w:t>
            </w:r>
          </w:p>
        </w:tc>
        <w:tc>
          <w:tcPr>
            <w:tcW w:w="814" w:type="dxa"/>
          </w:tcPr>
          <w:p w:rsidR="00137F9D" w:rsidRDefault="00137F9D" w:rsidP="00A609EA">
            <w:pPr>
              <w:pStyle w:val="AERtabletextright"/>
            </w:pPr>
          </w:p>
        </w:tc>
        <w:tc>
          <w:tcPr>
            <w:tcW w:w="814" w:type="dxa"/>
          </w:tcPr>
          <w:p w:rsidR="00137F9D" w:rsidRDefault="00137F9D" w:rsidP="00A609EA">
            <w:pPr>
              <w:pStyle w:val="AERtabletextright"/>
            </w:pPr>
          </w:p>
        </w:tc>
        <w:tc>
          <w:tcPr>
            <w:tcW w:w="815" w:type="dxa"/>
          </w:tcPr>
          <w:p w:rsidR="00137F9D" w:rsidRDefault="00137F9D" w:rsidP="00A609EA">
            <w:pPr>
              <w:pStyle w:val="AERtabletextright"/>
            </w:pPr>
          </w:p>
        </w:tc>
        <w:tc>
          <w:tcPr>
            <w:tcW w:w="815" w:type="dxa"/>
          </w:tcPr>
          <w:p w:rsidR="00137F9D" w:rsidRDefault="00137F9D" w:rsidP="00A609EA">
            <w:pPr>
              <w:pStyle w:val="AERtabletextright"/>
            </w:pPr>
          </w:p>
        </w:tc>
        <w:tc>
          <w:tcPr>
            <w:tcW w:w="815" w:type="dxa"/>
          </w:tcPr>
          <w:p w:rsidR="00137F9D" w:rsidRDefault="00137F9D" w:rsidP="00A609EA">
            <w:pPr>
              <w:pStyle w:val="AERtabletextright"/>
            </w:pPr>
            <w:r>
              <w:t>0</w:t>
            </w:r>
          </w:p>
        </w:tc>
        <w:tc>
          <w:tcPr>
            <w:tcW w:w="815" w:type="dxa"/>
          </w:tcPr>
          <w:p w:rsidR="00137F9D" w:rsidRDefault="00137F9D" w:rsidP="00A609EA">
            <w:pPr>
              <w:pStyle w:val="AERtabletextright"/>
            </w:pPr>
          </w:p>
        </w:tc>
        <w:tc>
          <w:tcPr>
            <w:tcW w:w="816" w:type="dxa"/>
          </w:tcPr>
          <w:p w:rsidR="00137F9D" w:rsidRDefault="00137F9D" w:rsidP="00A609EA">
            <w:pPr>
              <w:pStyle w:val="AERtabletextright"/>
            </w:pPr>
          </w:p>
        </w:tc>
        <w:tc>
          <w:tcPr>
            <w:tcW w:w="816" w:type="dxa"/>
          </w:tcPr>
          <w:p w:rsidR="00137F9D" w:rsidRDefault="00137F9D" w:rsidP="00A609EA">
            <w:pPr>
              <w:pStyle w:val="AERtabletextright"/>
            </w:pPr>
          </w:p>
        </w:tc>
        <w:tc>
          <w:tcPr>
            <w:tcW w:w="816" w:type="dxa"/>
          </w:tcPr>
          <w:p w:rsidR="00137F9D" w:rsidRDefault="00137F9D" w:rsidP="00A609EA">
            <w:pPr>
              <w:pStyle w:val="AERtabletextright"/>
            </w:pPr>
          </w:p>
        </w:tc>
        <w:tc>
          <w:tcPr>
            <w:tcW w:w="818" w:type="dxa"/>
          </w:tcPr>
          <w:p w:rsidR="00137F9D" w:rsidRDefault="00137F9D" w:rsidP="00A609EA">
            <w:pPr>
              <w:pStyle w:val="AERtabletextright"/>
            </w:pPr>
            <w:r w:rsidRPr="00137F9D">
              <w:t>0</w:t>
            </w:r>
          </w:p>
        </w:tc>
      </w:tr>
      <w:tr w:rsidR="00137F9D" w:rsidTr="00EA6595">
        <w:tc>
          <w:tcPr>
            <w:tcW w:w="1088" w:type="dxa"/>
          </w:tcPr>
          <w:p w:rsidR="00137F9D" w:rsidRDefault="00137F9D" w:rsidP="00A609EA">
            <w:pPr>
              <w:pStyle w:val="AERtabletextleft"/>
            </w:pPr>
            <w:r>
              <w:t>Total benefit</w:t>
            </w:r>
          </w:p>
        </w:tc>
        <w:tc>
          <w:tcPr>
            <w:tcW w:w="814" w:type="dxa"/>
          </w:tcPr>
          <w:p w:rsidR="00137F9D" w:rsidRDefault="00137F9D" w:rsidP="00A609EA">
            <w:pPr>
              <w:pStyle w:val="AERtabletextright"/>
            </w:pPr>
            <w:r>
              <w:t>0</w:t>
            </w:r>
          </w:p>
        </w:tc>
        <w:tc>
          <w:tcPr>
            <w:tcW w:w="814" w:type="dxa"/>
          </w:tcPr>
          <w:p w:rsidR="00137F9D" w:rsidRDefault="00137F9D" w:rsidP="00A609EA">
            <w:pPr>
              <w:pStyle w:val="AERtabletextright"/>
            </w:pPr>
            <w:r>
              <w:t>0</w:t>
            </w:r>
          </w:p>
        </w:tc>
        <w:tc>
          <w:tcPr>
            <w:tcW w:w="815" w:type="dxa"/>
          </w:tcPr>
          <w:p w:rsidR="00137F9D" w:rsidRDefault="00137F9D" w:rsidP="00A609EA">
            <w:pPr>
              <w:pStyle w:val="AERtabletextright"/>
            </w:pPr>
            <w:r>
              <w:t>-0.59</w:t>
            </w:r>
          </w:p>
        </w:tc>
        <w:tc>
          <w:tcPr>
            <w:tcW w:w="815" w:type="dxa"/>
          </w:tcPr>
          <w:p w:rsidR="00137F9D" w:rsidRDefault="00137F9D" w:rsidP="00A609EA">
            <w:pPr>
              <w:pStyle w:val="AERtabletextright"/>
            </w:pPr>
            <w:r>
              <w:t>-1.50</w:t>
            </w:r>
          </w:p>
        </w:tc>
        <w:tc>
          <w:tcPr>
            <w:tcW w:w="815" w:type="dxa"/>
          </w:tcPr>
          <w:p w:rsidR="00137F9D" w:rsidRDefault="00137F9D" w:rsidP="00A609EA">
            <w:pPr>
              <w:pStyle w:val="AERtabletextright"/>
            </w:pPr>
            <w:r>
              <w:t>-1.80</w:t>
            </w:r>
          </w:p>
        </w:tc>
        <w:tc>
          <w:tcPr>
            <w:tcW w:w="815" w:type="dxa"/>
          </w:tcPr>
          <w:p w:rsidR="00137F9D" w:rsidRDefault="00137F9D" w:rsidP="00A609EA">
            <w:pPr>
              <w:pStyle w:val="AERtabletextright"/>
            </w:pPr>
            <w:r>
              <w:t>0</w:t>
            </w:r>
          </w:p>
        </w:tc>
        <w:tc>
          <w:tcPr>
            <w:tcW w:w="816" w:type="dxa"/>
          </w:tcPr>
          <w:p w:rsidR="00137F9D" w:rsidRDefault="00137F9D" w:rsidP="00A609EA">
            <w:pPr>
              <w:pStyle w:val="AERtabletextright"/>
            </w:pPr>
            <w:r>
              <w:t>0</w:t>
            </w:r>
          </w:p>
        </w:tc>
        <w:tc>
          <w:tcPr>
            <w:tcW w:w="816" w:type="dxa"/>
          </w:tcPr>
          <w:p w:rsidR="00137F9D" w:rsidRDefault="00137F9D" w:rsidP="00A609EA">
            <w:pPr>
              <w:pStyle w:val="AERtabletextright"/>
            </w:pPr>
            <w:r>
              <w:t>0</w:t>
            </w:r>
          </w:p>
        </w:tc>
        <w:tc>
          <w:tcPr>
            <w:tcW w:w="816" w:type="dxa"/>
          </w:tcPr>
          <w:p w:rsidR="00137F9D" w:rsidRDefault="00137F9D" w:rsidP="00A609EA">
            <w:pPr>
              <w:pStyle w:val="AERtabletextright"/>
            </w:pPr>
            <w:r>
              <w:t>0</w:t>
            </w:r>
          </w:p>
        </w:tc>
        <w:tc>
          <w:tcPr>
            <w:tcW w:w="818" w:type="dxa"/>
          </w:tcPr>
          <w:p w:rsidR="00137F9D" w:rsidRDefault="00137F9D" w:rsidP="00A609EA">
            <w:pPr>
              <w:pStyle w:val="AERtabletextright"/>
            </w:pPr>
            <w:r>
              <w:t>0</w:t>
            </w:r>
          </w:p>
        </w:tc>
      </w:tr>
      <w:tr w:rsidR="00EA6595" w:rsidTr="00EA6595">
        <w:trPr>
          <w:cnfStyle w:val="000000010000" w:firstRow="0" w:lastRow="0" w:firstColumn="0" w:lastColumn="0" w:oddVBand="0" w:evenVBand="0" w:oddHBand="0" w:evenHBand="1" w:firstRowFirstColumn="0" w:firstRowLastColumn="0" w:lastRowFirstColumn="0" w:lastRowLastColumn="0"/>
        </w:trPr>
        <w:tc>
          <w:tcPr>
            <w:tcW w:w="1088" w:type="dxa"/>
          </w:tcPr>
          <w:p w:rsidR="00137F9D" w:rsidRPr="00137F9D" w:rsidRDefault="00137F9D" w:rsidP="00A609EA">
            <w:pPr>
              <w:pStyle w:val="AERtabletextleft"/>
            </w:pPr>
            <w:r w:rsidRPr="00137F9D">
              <w:t>D</w:t>
            </w:r>
            <w:r>
              <w:t>iscount (mid-year</w:t>
            </w:r>
            <w:r w:rsidRPr="00137F9D">
              <w:t>)</w:t>
            </w:r>
          </w:p>
        </w:tc>
        <w:tc>
          <w:tcPr>
            <w:tcW w:w="814" w:type="dxa"/>
          </w:tcPr>
          <w:p w:rsidR="00137F9D" w:rsidRPr="00137F9D" w:rsidRDefault="00137F9D" w:rsidP="00A609EA">
            <w:pPr>
              <w:pStyle w:val="AERtabletextright"/>
            </w:pPr>
            <w:r w:rsidRPr="00137F9D">
              <w:t>1.30</w:t>
            </w:r>
          </w:p>
        </w:tc>
        <w:tc>
          <w:tcPr>
            <w:tcW w:w="814" w:type="dxa"/>
          </w:tcPr>
          <w:p w:rsidR="00137F9D" w:rsidRPr="00137F9D" w:rsidRDefault="00137F9D" w:rsidP="00A609EA">
            <w:pPr>
              <w:pStyle w:val="AERtabletextright"/>
            </w:pPr>
            <w:r w:rsidRPr="00137F9D">
              <w:t>1.23</w:t>
            </w:r>
          </w:p>
        </w:tc>
        <w:tc>
          <w:tcPr>
            <w:tcW w:w="815" w:type="dxa"/>
          </w:tcPr>
          <w:p w:rsidR="00137F9D" w:rsidRPr="00137F9D" w:rsidRDefault="00137F9D" w:rsidP="00A609EA">
            <w:pPr>
              <w:pStyle w:val="AERtabletextright"/>
            </w:pPr>
            <w:r w:rsidRPr="00137F9D">
              <w:t>1.16</w:t>
            </w:r>
          </w:p>
        </w:tc>
        <w:tc>
          <w:tcPr>
            <w:tcW w:w="815" w:type="dxa"/>
          </w:tcPr>
          <w:p w:rsidR="00137F9D" w:rsidRPr="00137F9D" w:rsidRDefault="00137F9D" w:rsidP="00A609EA">
            <w:pPr>
              <w:pStyle w:val="AERtabletextright"/>
            </w:pPr>
            <w:r w:rsidRPr="00137F9D">
              <w:t>1.09</w:t>
            </w:r>
          </w:p>
        </w:tc>
        <w:tc>
          <w:tcPr>
            <w:tcW w:w="815" w:type="dxa"/>
          </w:tcPr>
          <w:p w:rsidR="00137F9D" w:rsidRPr="00137F9D" w:rsidRDefault="00137F9D" w:rsidP="00A609EA">
            <w:pPr>
              <w:pStyle w:val="AERtabletextright"/>
            </w:pPr>
            <w:r w:rsidRPr="00137F9D">
              <w:t>1.03</w:t>
            </w:r>
          </w:p>
        </w:tc>
        <w:tc>
          <w:tcPr>
            <w:tcW w:w="815" w:type="dxa"/>
          </w:tcPr>
          <w:p w:rsidR="00137F9D" w:rsidRPr="00137F9D" w:rsidRDefault="00137F9D" w:rsidP="00A609EA">
            <w:pPr>
              <w:pStyle w:val="AERtabletextright"/>
            </w:pPr>
            <w:r w:rsidRPr="00137F9D">
              <w:t>0.97</w:t>
            </w:r>
          </w:p>
        </w:tc>
        <w:tc>
          <w:tcPr>
            <w:tcW w:w="816" w:type="dxa"/>
          </w:tcPr>
          <w:p w:rsidR="00137F9D" w:rsidRPr="00137F9D" w:rsidRDefault="00137F9D" w:rsidP="00A609EA">
            <w:pPr>
              <w:pStyle w:val="AERtabletextright"/>
            </w:pPr>
            <w:r w:rsidRPr="00137F9D">
              <w:t>0.92</w:t>
            </w:r>
          </w:p>
        </w:tc>
        <w:tc>
          <w:tcPr>
            <w:tcW w:w="816" w:type="dxa"/>
          </w:tcPr>
          <w:p w:rsidR="00137F9D" w:rsidRPr="00137F9D" w:rsidRDefault="00137F9D" w:rsidP="00A609EA">
            <w:pPr>
              <w:pStyle w:val="AERtabletextright"/>
            </w:pPr>
            <w:r w:rsidRPr="00137F9D">
              <w:t>0.86</w:t>
            </w:r>
          </w:p>
        </w:tc>
        <w:tc>
          <w:tcPr>
            <w:tcW w:w="816" w:type="dxa"/>
          </w:tcPr>
          <w:p w:rsidR="00137F9D" w:rsidRPr="00137F9D" w:rsidRDefault="00137F9D" w:rsidP="00A609EA">
            <w:pPr>
              <w:pStyle w:val="AERtabletextright"/>
            </w:pPr>
            <w:r w:rsidRPr="00137F9D">
              <w:t>0.82</w:t>
            </w:r>
          </w:p>
        </w:tc>
        <w:tc>
          <w:tcPr>
            <w:tcW w:w="818" w:type="dxa"/>
          </w:tcPr>
          <w:p w:rsidR="00137F9D" w:rsidRPr="00137F9D" w:rsidRDefault="00137F9D" w:rsidP="00A609EA">
            <w:pPr>
              <w:pStyle w:val="AERtabletextright"/>
            </w:pPr>
            <w:r w:rsidRPr="00137F9D">
              <w:t>0.77</w:t>
            </w:r>
          </w:p>
        </w:tc>
      </w:tr>
      <w:tr w:rsidR="00137F9D" w:rsidTr="00EA6595">
        <w:tc>
          <w:tcPr>
            <w:tcW w:w="1088" w:type="dxa"/>
          </w:tcPr>
          <w:p w:rsidR="00137F9D" w:rsidRPr="00137F9D" w:rsidRDefault="00137F9D" w:rsidP="00A609EA">
            <w:pPr>
              <w:pStyle w:val="AERtabletextleft"/>
            </w:pPr>
            <w:r>
              <w:t>Discount (end year</w:t>
            </w:r>
            <w:r w:rsidRPr="00137F9D">
              <w:t>)</w:t>
            </w:r>
          </w:p>
        </w:tc>
        <w:tc>
          <w:tcPr>
            <w:tcW w:w="814" w:type="dxa"/>
          </w:tcPr>
          <w:p w:rsidR="00137F9D" w:rsidRPr="00137F9D" w:rsidRDefault="00137F9D" w:rsidP="00A609EA">
            <w:pPr>
              <w:pStyle w:val="AERtabletextright"/>
            </w:pPr>
            <w:r w:rsidRPr="00137F9D">
              <w:t>1.26</w:t>
            </w:r>
          </w:p>
        </w:tc>
        <w:tc>
          <w:tcPr>
            <w:tcW w:w="814" w:type="dxa"/>
          </w:tcPr>
          <w:p w:rsidR="00137F9D" w:rsidRPr="00137F9D" w:rsidRDefault="00137F9D" w:rsidP="00A609EA">
            <w:pPr>
              <w:pStyle w:val="AERtabletextright"/>
            </w:pPr>
            <w:r w:rsidRPr="00137F9D">
              <w:t>1.19</w:t>
            </w:r>
          </w:p>
        </w:tc>
        <w:tc>
          <w:tcPr>
            <w:tcW w:w="815" w:type="dxa"/>
          </w:tcPr>
          <w:p w:rsidR="00137F9D" w:rsidRPr="00137F9D" w:rsidRDefault="00137F9D" w:rsidP="00A609EA">
            <w:pPr>
              <w:pStyle w:val="AERtabletextright"/>
            </w:pPr>
            <w:r w:rsidRPr="00137F9D">
              <w:t>1.12</w:t>
            </w:r>
          </w:p>
        </w:tc>
        <w:tc>
          <w:tcPr>
            <w:tcW w:w="815" w:type="dxa"/>
          </w:tcPr>
          <w:p w:rsidR="00137F9D" w:rsidRPr="00137F9D" w:rsidRDefault="00137F9D" w:rsidP="00A609EA">
            <w:pPr>
              <w:pStyle w:val="AERtabletextright"/>
            </w:pPr>
            <w:r w:rsidRPr="00137F9D">
              <w:t>1.06</w:t>
            </w:r>
          </w:p>
        </w:tc>
        <w:tc>
          <w:tcPr>
            <w:tcW w:w="815" w:type="dxa"/>
          </w:tcPr>
          <w:p w:rsidR="00137F9D" w:rsidRPr="00137F9D" w:rsidRDefault="00137F9D" w:rsidP="00A609EA">
            <w:pPr>
              <w:pStyle w:val="AERtabletextright"/>
            </w:pPr>
            <w:r w:rsidRPr="00137F9D">
              <w:t>1.00</w:t>
            </w:r>
          </w:p>
        </w:tc>
        <w:tc>
          <w:tcPr>
            <w:tcW w:w="815" w:type="dxa"/>
          </w:tcPr>
          <w:p w:rsidR="00137F9D" w:rsidRPr="00137F9D" w:rsidRDefault="00137F9D" w:rsidP="00A609EA">
            <w:pPr>
              <w:pStyle w:val="AERtabletextright"/>
            </w:pPr>
            <w:r w:rsidRPr="00137F9D">
              <w:t>0.94</w:t>
            </w:r>
          </w:p>
        </w:tc>
        <w:tc>
          <w:tcPr>
            <w:tcW w:w="816" w:type="dxa"/>
          </w:tcPr>
          <w:p w:rsidR="00137F9D" w:rsidRPr="00137F9D" w:rsidRDefault="00137F9D" w:rsidP="00A609EA">
            <w:pPr>
              <w:pStyle w:val="AERtabletextright"/>
            </w:pPr>
            <w:r w:rsidRPr="00137F9D">
              <w:t>0.89</w:t>
            </w:r>
          </w:p>
        </w:tc>
        <w:tc>
          <w:tcPr>
            <w:tcW w:w="816" w:type="dxa"/>
          </w:tcPr>
          <w:p w:rsidR="00137F9D" w:rsidRPr="00137F9D" w:rsidRDefault="00137F9D" w:rsidP="00A609EA">
            <w:pPr>
              <w:pStyle w:val="AERtabletextright"/>
            </w:pPr>
            <w:r w:rsidRPr="00137F9D">
              <w:t>0.84</w:t>
            </w:r>
          </w:p>
        </w:tc>
        <w:tc>
          <w:tcPr>
            <w:tcW w:w="816" w:type="dxa"/>
          </w:tcPr>
          <w:p w:rsidR="00137F9D" w:rsidRPr="00137F9D" w:rsidRDefault="00137F9D" w:rsidP="00A609EA">
            <w:pPr>
              <w:pStyle w:val="AERtabletextright"/>
            </w:pPr>
            <w:r w:rsidRPr="00137F9D">
              <w:t>0.79</w:t>
            </w:r>
          </w:p>
        </w:tc>
        <w:tc>
          <w:tcPr>
            <w:tcW w:w="818" w:type="dxa"/>
          </w:tcPr>
          <w:p w:rsidR="00137F9D" w:rsidRPr="00137F9D" w:rsidRDefault="00137F9D" w:rsidP="00A609EA">
            <w:pPr>
              <w:pStyle w:val="AERtabletextright"/>
            </w:pPr>
            <w:r w:rsidRPr="00137F9D">
              <w:t>0.75</w:t>
            </w:r>
          </w:p>
        </w:tc>
      </w:tr>
      <w:tr w:rsidR="00EA6595" w:rsidTr="00EA6595">
        <w:trPr>
          <w:cnfStyle w:val="000000010000" w:firstRow="0" w:lastRow="0" w:firstColumn="0" w:lastColumn="0" w:oddVBand="0" w:evenVBand="0" w:oddHBand="0" w:evenHBand="1" w:firstRowFirstColumn="0" w:firstRowLastColumn="0" w:lastRowFirstColumn="0" w:lastRowLastColumn="0"/>
        </w:trPr>
        <w:tc>
          <w:tcPr>
            <w:tcW w:w="1088" w:type="dxa"/>
          </w:tcPr>
          <w:p w:rsidR="00137F9D" w:rsidRDefault="00137F9D" w:rsidP="00A609EA">
            <w:pPr>
              <w:pStyle w:val="AERtabletextleft"/>
            </w:pPr>
            <w:r>
              <w:t>NPV underspend</w:t>
            </w:r>
          </w:p>
        </w:tc>
        <w:tc>
          <w:tcPr>
            <w:tcW w:w="814" w:type="dxa"/>
          </w:tcPr>
          <w:p w:rsidR="00137F9D" w:rsidRDefault="00137F9D" w:rsidP="00A609EA">
            <w:pPr>
              <w:pStyle w:val="AERtabletextright"/>
            </w:pPr>
            <w:r>
              <w:t>0</w:t>
            </w:r>
          </w:p>
        </w:tc>
        <w:tc>
          <w:tcPr>
            <w:tcW w:w="814" w:type="dxa"/>
          </w:tcPr>
          <w:p w:rsidR="00137F9D" w:rsidRDefault="00137F9D" w:rsidP="00A609EA">
            <w:pPr>
              <w:pStyle w:val="AERtabletextright"/>
            </w:pPr>
            <w:r>
              <w:t>0</w:t>
            </w:r>
          </w:p>
        </w:tc>
        <w:tc>
          <w:tcPr>
            <w:tcW w:w="815" w:type="dxa"/>
          </w:tcPr>
          <w:p w:rsidR="00137F9D" w:rsidRDefault="00137F9D" w:rsidP="00A609EA">
            <w:pPr>
              <w:pStyle w:val="AERtabletextright"/>
            </w:pPr>
            <w:r>
              <w:t>-23.14</w:t>
            </w:r>
          </w:p>
        </w:tc>
        <w:tc>
          <w:tcPr>
            <w:tcW w:w="815" w:type="dxa"/>
          </w:tcPr>
          <w:p w:rsidR="00137F9D" w:rsidRDefault="00137F9D" w:rsidP="00A609EA">
            <w:pPr>
              <w:pStyle w:val="AERtabletextright"/>
            </w:pPr>
            <w:r>
              <w:t>-10.91</w:t>
            </w:r>
          </w:p>
        </w:tc>
        <w:tc>
          <w:tcPr>
            <w:tcW w:w="815" w:type="dxa"/>
          </w:tcPr>
          <w:p w:rsidR="00137F9D" w:rsidRDefault="00137F9D" w:rsidP="00A609EA">
            <w:pPr>
              <w:pStyle w:val="AERtabletextright"/>
            </w:pPr>
            <w:r>
              <w:t>0</w:t>
            </w:r>
          </w:p>
        </w:tc>
        <w:tc>
          <w:tcPr>
            <w:tcW w:w="815" w:type="dxa"/>
          </w:tcPr>
          <w:p w:rsidR="00137F9D" w:rsidRDefault="00137F9D" w:rsidP="00A609EA">
            <w:pPr>
              <w:pStyle w:val="AERtabletextright"/>
            </w:pPr>
            <w:r>
              <w:t>0</w:t>
            </w:r>
          </w:p>
        </w:tc>
        <w:tc>
          <w:tcPr>
            <w:tcW w:w="816" w:type="dxa"/>
          </w:tcPr>
          <w:p w:rsidR="00137F9D" w:rsidRDefault="00137F9D" w:rsidP="00A609EA">
            <w:pPr>
              <w:pStyle w:val="AERtabletextright"/>
            </w:pPr>
            <w:r>
              <w:t>0</w:t>
            </w:r>
          </w:p>
        </w:tc>
        <w:tc>
          <w:tcPr>
            <w:tcW w:w="816" w:type="dxa"/>
          </w:tcPr>
          <w:p w:rsidR="00137F9D" w:rsidRDefault="00137F9D" w:rsidP="00A609EA">
            <w:pPr>
              <w:pStyle w:val="AERtabletextright"/>
            </w:pPr>
            <w:r>
              <w:t>0</w:t>
            </w:r>
          </w:p>
        </w:tc>
        <w:tc>
          <w:tcPr>
            <w:tcW w:w="816" w:type="dxa"/>
          </w:tcPr>
          <w:p w:rsidR="00137F9D" w:rsidRDefault="00137F9D" w:rsidP="00A609EA">
            <w:pPr>
              <w:pStyle w:val="AERtabletextright"/>
            </w:pPr>
            <w:r>
              <w:t>0</w:t>
            </w:r>
          </w:p>
        </w:tc>
        <w:tc>
          <w:tcPr>
            <w:tcW w:w="818" w:type="dxa"/>
          </w:tcPr>
          <w:p w:rsidR="00137F9D" w:rsidRDefault="00137F9D" w:rsidP="00A609EA">
            <w:pPr>
              <w:pStyle w:val="AERtabletextright"/>
            </w:pPr>
            <w:r>
              <w:t>0</w:t>
            </w:r>
          </w:p>
        </w:tc>
      </w:tr>
      <w:tr w:rsidR="00137F9D" w:rsidTr="00EA6595">
        <w:tc>
          <w:tcPr>
            <w:tcW w:w="1088" w:type="dxa"/>
          </w:tcPr>
          <w:p w:rsidR="00137F9D" w:rsidRDefault="00137F9D" w:rsidP="00A609EA">
            <w:pPr>
              <w:pStyle w:val="AERtabletextleft"/>
            </w:pPr>
            <w:r>
              <w:t>NPV benefit</w:t>
            </w:r>
          </w:p>
        </w:tc>
        <w:tc>
          <w:tcPr>
            <w:tcW w:w="814" w:type="dxa"/>
          </w:tcPr>
          <w:p w:rsidR="00137F9D" w:rsidRDefault="00137F9D" w:rsidP="00A609EA">
            <w:pPr>
              <w:pStyle w:val="AERtabletextright"/>
            </w:pPr>
            <w:r>
              <w:t>0</w:t>
            </w:r>
          </w:p>
        </w:tc>
        <w:tc>
          <w:tcPr>
            <w:tcW w:w="814" w:type="dxa"/>
          </w:tcPr>
          <w:p w:rsidR="00137F9D" w:rsidRDefault="00137F9D" w:rsidP="00A609EA">
            <w:pPr>
              <w:pStyle w:val="AERtabletextright"/>
            </w:pPr>
            <w:r>
              <w:t>0</w:t>
            </w:r>
          </w:p>
        </w:tc>
        <w:tc>
          <w:tcPr>
            <w:tcW w:w="815" w:type="dxa"/>
          </w:tcPr>
          <w:p w:rsidR="00137F9D" w:rsidRDefault="00137F9D" w:rsidP="00A609EA">
            <w:pPr>
              <w:pStyle w:val="AERtabletextright"/>
            </w:pPr>
            <w:r>
              <w:t>-0.66</w:t>
            </w:r>
          </w:p>
        </w:tc>
        <w:tc>
          <w:tcPr>
            <w:tcW w:w="815" w:type="dxa"/>
          </w:tcPr>
          <w:p w:rsidR="00137F9D" w:rsidRDefault="00137F9D" w:rsidP="00A609EA">
            <w:pPr>
              <w:pStyle w:val="AERtabletextright"/>
            </w:pPr>
            <w:r>
              <w:t>-1.59</w:t>
            </w:r>
          </w:p>
        </w:tc>
        <w:tc>
          <w:tcPr>
            <w:tcW w:w="815" w:type="dxa"/>
          </w:tcPr>
          <w:p w:rsidR="00137F9D" w:rsidRDefault="00137F9D" w:rsidP="00A609EA">
            <w:pPr>
              <w:pStyle w:val="AERtabletextright"/>
            </w:pPr>
            <w:r>
              <w:t>-1.80</w:t>
            </w:r>
          </w:p>
        </w:tc>
        <w:tc>
          <w:tcPr>
            <w:tcW w:w="815" w:type="dxa"/>
          </w:tcPr>
          <w:p w:rsidR="00137F9D" w:rsidRDefault="00137F9D" w:rsidP="00A609EA">
            <w:pPr>
              <w:pStyle w:val="AERtabletextright"/>
            </w:pPr>
            <w:r>
              <w:t>0</w:t>
            </w:r>
          </w:p>
        </w:tc>
        <w:tc>
          <w:tcPr>
            <w:tcW w:w="816" w:type="dxa"/>
          </w:tcPr>
          <w:p w:rsidR="00137F9D" w:rsidRDefault="00137F9D" w:rsidP="00A609EA">
            <w:pPr>
              <w:pStyle w:val="AERtabletextright"/>
            </w:pPr>
            <w:r>
              <w:t>0</w:t>
            </w:r>
          </w:p>
        </w:tc>
        <w:tc>
          <w:tcPr>
            <w:tcW w:w="816" w:type="dxa"/>
          </w:tcPr>
          <w:p w:rsidR="00137F9D" w:rsidRDefault="00137F9D" w:rsidP="00A609EA">
            <w:pPr>
              <w:pStyle w:val="AERtabletextright"/>
            </w:pPr>
            <w:r>
              <w:t>0</w:t>
            </w:r>
          </w:p>
        </w:tc>
        <w:tc>
          <w:tcPr>
            <w:tcW w:w="816" w:type="dxa"/>
          </w:tcPr>
          <w:p w:rsidR="00137F9D" w:rsidRDefault="00137F9D" w:rsidP="00A609EA">
            <w:pPr>
              <w:pStyle w:val="AERtabletextright"/>
            </w:pPr>
            <w:r>
              <w:t>0</w:t>
            </w:r>
          </w:p>
        </w:tc>
        <w:tc>
          <w:tcPr>
            <w:tcW w:w="818" w:type="dxa"/>
          </w:tcPr>
          <w:p w:rsidR="00137F9D" w:rsidRDefault="00137F9D" w:rsidP="00A609EA">
            <w:pPr>
              <w:pStyle w:val="AERtabletextright"/>
            </w:pPr>
            <w:r>
              <w:t>0</w:t>
            </w:r>
          </w:p>
        </w:tc>
      </w:tr>
    </w:tbl>
    <w:p w:rsidR="00E55DF9" w:rsidRDefault="00A81E68">
      <w:r>
        <w:br/>
        <w:t xml:space="preserve">The CESS for both regulatory control periods would be calculated as usual. </w:t>
      </w:r>
      <w:r w:rsidR="00EA6595">
        <w:t xml:space="preserve">Since the NSP spent exactly its allowance in period 2, no CESS payment would apply in period 2. </w:t>
      </w:r>
      <w:r>
        <w:t xml:space="preserve">The </w:t>
      </w:r>
      <w:r w:rsidR="00EA6595">
        <w:t xml:space="preserve">CESS calculations for period 1 </w:t>
      </w:r>
      <w:r>
        <w:t>are shown in table 12.</w:t>
      </w:r>
    </w:p>
    <w:p w:rsidR="00A81E68" w:rsidRDefault="00A81E68" w:rsidP="00A81E68">
      <w:pPr>
        <w:pStyle w:val="Caption"/>
      </w:pPr>
      <w:r>
        <w:t>Table 12</w:t>
      </w:r>
      <w:r>
        <w:tab/>
        <w:t>C</w:t>
      </w:r>
      <w:r w:rsidR="00EA6595">
        <w:t xml:space="preserve">ESS for </w:t>
      </w:r>
      <w:r>
        <w:t>period</w:t>
      </w:r>
      <w:r w:rsidR="00EA6595">
        <w:t xml:space="preserve"> 1</w:t>
      </w:r>
    </w:p>
    <w:tbl>
      <w:tblPr>
        <w:tblStyle w:val="AERtable-numbers"/>
        <w:tblW w:w="0" w:type="auto"/>
        <w:tblLook w:val="04A0" w:firstRow="1" w:lastRow="0" w:firstColumn="1" w:lastColumn="0" w:noHBand="0" w:noVBand="1"/>
      </w:tblPr>
      <w:tblGrid>
        <w:gridCol w:w="2518"/>
        <w:gridCol w:w="3643"/>
        <w:gridCol w:w="3081"/>
      </w:tblGrid>
      <w:tr w:rsidR="00EA6595" w:rsidTr="00EA65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A6595" w:rsidRDefault="00EA6595" w:rsidP="00EA6595">
            <w:pPr>
              <w:pStyle w:val="AERtabletextright"/>
            </w:pPr>
          </w:p>
        </w:tc>
        <w:tc>
          <w:tcPr>
            <w:tcW w:w="3643" w:type="dxa"/>
          </w:tcPr>
          <w:p w:rsidR="00EA6595" w:rsidRDefault="00EA6595" w:rsidP="00EA6595">
            <w:pPr>
              <w:pStyle w:val="AERtabletextright"/>
              <w:cnfStyle w:val="100000000000" w:firstRow="1" w:lastRow="0" w:firstColumn="0" w:lastColumn="0" w:oddVBand="0" w:evenVBand="0" w:oddHBand="0" w:evenHBand="0" w:firstRowFirstColumn="0" w:firstRowLastColumn="0" w:lastRowFirstColumn="0" w:lastRowLastColumn="0"/>
            </w:pPr>
            <w:r>
              <w:t>Calculation</w:t>
            </w:r>
          </w:p>
        </w:tc>
        <w:tc>
          <w:tcPr>
            <w:tcW w:w="3081" w:type="dxa"/>
          </w:tcPr>
          <w:p w:rsidR="00EA6595" w:rsidRDefault="00EA6595" w:rsidP="00EA6595">
            <w:pPr>
              <w:pStyle w:val="AERtabletextright"/>
              <w:cnfStyle w:val="100000000000" w:firstRow="1" w:lastRow="0" w:firstColumn="0" w:lastColumn="0" w:oddVBand="0" w:evenVBand="0" w:oddHBand="0" w:evenHBand="0" w:firstRowFirstColumn="0" w:firstRowLastColumn="0" w:lastRowFirstColumn="0" w:lastRowLastColumn="0"/>
            </w:pPr>
            <w:r>
              <w:t>Amount</w:t>
            </w:r>
          </w:p>
        </w:tc>
      </w:tr>
      <w:tr w:rsidR="00EA6595" w:rsidTr="00EA6595">
        <w:tc>
          <w:tcPr>
            <w:cnfStyle w:val="001000000000" w:firstRow="0" w:lastRow="0" w:firstColumn="1" w:lastColumn="0" w:oddVBand="0" w:evenVBand="0" w:oddHBand="0" w:evenHBand="0" w:firstRowFirstColumn="0" w:firstRowLastColumn="0" w:lastRowFirstColumn="0" w:lastRowLastColumn="0"/>
            <w:tcW w:w="2518" w:type="dxa"/>
          </w:tcPr>
          <w:p w:rsidR="00EA6595" w:rsidRDefault="00EA6595" w:rsidP="00A609EA">
            <w:pPr>
              <w:pStyle w:val="AERtabletextleft"/>
            </w:pPr>
            <w:r>
              <w:t>Total overspend (NPV)</w:t>
            </w:r>
          </w:p>
        </w:tc>
        <w:tc>
          <w:tcPr>
            <w:tcW w:w="3643" w:type="dxa"/>
          </w:tcPr>
          <w:p w:rsidR="00EA6595" w:rsidRDefault="00EA6595" w:rsidP="00A609EA">
            <w:pPr>
              <w:pStyle w:val="AERtabletextleft"/>
              <w:cnfStyle w:val="000000000000" w:firstRow="0" w:lastRow="0" w:firstColumn="0" w:lastColumn="0" w:oddVBand="0" w:evenVBand="0" w:oddHBand="0" w:evenHBand="0" w:firstRowFirstColumn="0" w:firstRowLastColumn="0" w:lastRowFirstColumn="0" w:lastRowLastColumn="0"/>
            </w:pPr>
            <w:r>
              <w:t>$23.41 million + $10.91 million</w:t>
            </w:r>
          </w:p>
        </w:tc>
        <w:tc>
          <w:tcPr>
            <w:tcW w:w="3081" w:type="dxa"/>
          </w:tcPr>
          <w:p w:rsidR="00EA6595" w:rsidRDefault="00EA6595" w:rsidP="00A609EA">
            <w:pPr>
              <w:pStyle w:val="AERtabletextleft"/>
              <w:cnfStyle w:val="000000000000" w:firstRow="0" w:lastRow="0" w:firstColumn="0" w:lastColumn="0" w:oddVBand="0" w:evenVBand="0" w:oddHBand="0" w:evenHBand="0" w:firstRowFirstColumn="0" w:firstRowLastColumn="0" w:lastRowFirstColumn="0" w:lastRowLastColumn="0"/>
            </w:pPr>
            <w:r>
              <w:t>$34.05 million</w:t>
            </w:r>
          </w:p>
        </w:tc>
      </w:tr>
      <w:tr w:rsidR="00EA6595" w:rsidTr="00EA6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A6595" w:rsidRDefault="00EA6595" w:rsidP="00A609EA">
            <w:pPr>
              <w:pStyle w:val="AERtabletextleft"/>
            </w:pPr>
            <w:r>
              <w:t>NSP share</w:t>
            </w:r>
          </w:p>
        </w:tc>
        <w:tc>
          <w:tcPr>
            <w:tcW w:w="3643" w:type="dxa"/>
          </w:tcPr>
          <w:p w:rsidR="00EA6595" w:rsidRDefault="00EA6595" w:rsidP="00A609EA">
            <w:pPr>
              <w:pStyle w:val="AERtabletextleft"/>
              <w:cnfStyle w:val="000000010000" w:firstRow="0" w:lastRow="0" w:firstColumn="0" w:lastColumn="0" w:oddVBand="0" w:evenVBand="0" w:oddHBand="0" w:evenHBand="1" w:firstRowFirstColumn="0" w:firstRowLastColumn="0" w:lastRowFirstColumn="0" w:lastRowLastColumn="0"/>
            </w:pPr>
            <w:r>
              <w:t>30 per cent x $34.05 million</w:t>
            </w:r>
          </w:p>
        </w:tc>
        <w:tc>
          <w:tcPr>
            <w:tcW w:w="3081" w:type="dxa"/>
          </w:tcPr>
          <w:p w:rsidR="00EA6595" w:rsidRDefault="00EA6595" w:rsidP="00A609EA">
            <w:pPr>
              <w:pStyle w:val="AERtabletextleft"/>
              <w:cnfStyle w:val="000000010000" w:firstRow="0" w:lastRow="0" w:firstColumn="0" w:lastColumn="0" w:oddVBand="0" w:evenVBand="0" w:oddHBand="0" w:evenHBand="1" w:firstRowFirstColumn="0" w:firstRowLastColumn="0" w:lastRowFirstColumn="0" w:lastRowLastColumn="0"/>
            </w:pPr>
            <w:r>
              <w:t>$10.21 million</w:t>
            </w:r>
          </w:p>
        </w:tc>
      </w:tr>
      <w:tr w:rsidR="00EA6595" w:rsidTr="00EA6595">
        <w:tc>
          <w:tcPr>
            <w:cnfStyle w:val="001000000000" w:firstRow="0" w:lastRow="0" w:firstColumn="1" w:lastColumn="0" w:oddVBand="0" w:evenVBand="0" w:oddHBand="0" w:evenHBand="0" w:firstRowFirstColumn="0" w:firstRowLastColumn="0" w:lastRowFirstColumn="0" w:lastRowLastColumn="0"/>
            <w:tcW w:w="2518" w:type="dxa"/>
          </w:tcPr>
          <w:p w:rsidR="00EA6595" w:rsidRDefault="00EA6595" w:rsidP="00A609EA">
            <w:pPr>
              <w:pStyle w:val="AERtabletextleft"/>
            </w:pPr>
            <w:r>
              <w:t>Total financing cost (NPV)</w:t>
            </w:r>
          </w:p>
        </w:tc>
        <w:tc>
          <w:tcPr>
            <w:tcW w:w="3643" w:type="dxa"/>
          </w:tcPr>
          <w:p w:rsidR="00EA6595" w:rsidRDefault="00EA6595" w:rsidP="00A609EA">
            <w:pPr>
              <w:pStyle w:val="AERtabletextleft"/>
              <w:cnfStyle w:val="000000000000" w:firstRow="0" w:lastRow="0" w:firstColumn="0" w:lastColumn="0" w:oddVBand="0" w:evenVBand="0" w:oddHBand="0" w:evenHBand="0" w:firstRowFirstColumn="0" w:firstRowLastColumn="0" w:lastRowFirstColumn="0" w:lastRowLastColumn="0"/>
            </w:pPr>
            <w:r>
              <w:t>$0.66 million + $1.59 million +$1.80 million</w:t>
            </w:r>
          </w:p>
        </w:tc>
        <w:tc>
          <w:tcPr>
            <w:tcW w:w="3081" w:type="dxa"/>
          </w:tcPr>
          <w:p w:rsidR="00EA6595" w:rsidRDefault="00EA6595" w:rsidP="00A609EA">
            <w:pPr>
              <w:pStyle w:val="AERtabletextleft"/>
              <w:cnfStyle w:val="000000000000" w:firstRow="0" w:lastRow="0" w:firstColumn="0" w:lastColumn="0" w:oddVBand="0" w:evenVBand="0" w:oddHBand="0" w:evenHBand="0" w:firstRowFirstColumn="0" w:firstRowLastColumn="0" w:lastRowFirstColumn="0" w:lastRowLastColumn="0"/>
            </w:pPr>
            <w:r>
              <w:t>$4.05 million</w:t>
            </w:r>
          </w:p>
        </w:tc>
      </w:tr>
      <w:tr w:rsidR="00EA6595" w:rsidTr="00EA6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A6595" w:rsidRDefault="00EA6595" w:rsidP="00A609EA">
            <w:pPr>
              <w:pStyle w:val="AERtabletextleft"/>
            </w:pPr>
            <w:r>
              <w:t>CESS penalty</w:t>
            </w:r>
          </w:p>
        </w:tc>
        <w:tc>
          <w:tcPr>
            <w:tcW w:w="3643" w:type="dxa"/>
          </w:tcPr>
          <w:p w:rsidR="00EA6595" w:rsidRDefault="00EA6595" w:rsidP="00A609EA">
            <w:pPr>
              <w:pStyle w:val="AERtabletextleft"/>
              <w:cnfStyle w:val="000000010000" w:firstRow="0" w:lastRow="0" w:firstColumn="0" w:lastColumn="0" w:oddVBand="0" w:evenVBand="0" w:oddHBand="0" w:evenHBand="1" w:firstRowFirstColumn="0" w:firstRowLastColumn="0" w:lastRowFirstColumn="0" w:lastRowLastColumn="0"/>
            </w:pPr>
            <w:r>
              <w:t>$10.21 million - $4.05 million</w:t>
            </w:r>
          </w:p>
        </w:tc>
        <w:tc>
          <w:tcPr>
            <w:tcW w:w="3081" w:type="dxa"/>
          </w:tcPr>
          <w:p w:rsidR="00EA6595" w:rsidRDefault="00EA6595" w:rsidP="00A609EA">
            <w:pPr>
              <w:pStyle w:val="AERtabletextleft"/>
              <w:cnfStyle w:val="000000010000" w:firstRow="0" w:lastRow="0" w:firstColumn="0" w:lastColumn="0" w:oddVBand="0" w:evenVBand="0" w:oddHBand="0" w:evenHBand="1" w:firstRowFirstColumn="0" w:firstRowLastColumn="0" w:lastRowFirstColumn="0" w:lastRowLastColumn="0"/>
            </w:pPr>
            <w:r>
              <w:t>$6.17 million</w:t>
            </w:r>
          </w:p>
        </w:tc>
      </w:tr>
    </w:tbl>
    <w:p w:rsidR="00A81E68" w:rsidRPr="00A81E68" w:rsidRDefault="00153705" w:rsidP="00A81E68">
      <w:pPr>
        <w:pStyle w:val="AERbodytext"/>
      </w:pPr>
      <w:r>
        <w:br/>
      </w:r>
      <w:r w:rsidR="00C1336E">
        <w:t>Assume</w:t>
      </w:r>
      <w:r w:rsidR="00EA6595">
        <w:t xml:space="preserve"> when we undertake the ex post review at the end period 2, we find that the efficient amount of capex in year 4 should have been $105 million. Put differently, imagine we find that $5 million of the NSP's overspend is inefficient. We will then exclude $5 million from the RAB and make an adjustment to the RAB to account for the time value of money. We will also have to adjust the CESS</w:t>
      </w:r>
      <w:r w:rsidR="007F665D">
        <w:t xml:space="preserve"> for period 2</w:t>
      </w:r>
      <w:r w:rsidR="00EA6595">
        <w:t>.</w:t>
      </w:r>
      <w:r w:rsidR="00B47ADD">
        <w:t xml:space="preserve"> The </w:t>
      </w:r>
      <w:r w:rsidR="00540173">
        <w:t xml:space="preserve">new cash flows for this </w:t>
      </w:r>
      <w:r w:rsidR="008B75D5">
        <w:t xml:space="preserve">adjustment </w:t>
      </w:r>
      <w:r w:rsidR="00B47ADD">
        <w:t>are in table 13.</w:t>
      </w:r>
      <w:r w:rsidR="008B75D5">
        <w:t xml:space="preserve"> The exclusion can simply be counted as an additional </w:t>
      </w:r>
      <w:proofErr w:type="gramStart"/>
      <w:r w:rsidR="008B75D5">
        <w:t>underspend</w:t>
      </w:r>
      <w:proofErr w:type="gramEnd"/>
      <w:r w:rsidR="008B75D5">
        <w:t xml:space="preserve"> for the purposes of the CESS (which is why it is positive).</w:t>
      </w:r>
    </w:p>
    <w:p w:rsidR="00540173" w:rsidRDefault="00540173" w:rsidP="00B47ADD">
      <w:pPr>
        <w:pStyle w:val="Caption"/>
      </w:pPr>
      <w:r>
        <w:t>Table 13</w:t>
      </w:r>
      <w:r>
        <w:tab/>
      </w:r>
      <w:r w:rsidR="008B75D5">
        <w:t>E</w:t>
      </w:r>
      <w:r>
        <w:t>x post exclusion</w:t>
      </w:r>
      <w:r w:rsidR="008B75D5">
        <w:t>s</w:t>
      </w:r>
      <w:r>
        <w:t xml:space="preserve"> </w:t>
      </w:r>
      <w:r w:rsidR="008B75D5">
        <w:t>for</w:t>
      </w:r>
      <w:r>
        <w:t xml:space="preserve"> year</w:t>
      </w:r>
      <w:r w:rsidR="008B75D5">
        <w:t>s</w:t>
      </w:r>
      <w:r>
        <w:t xml:space="preserve"> 4</w:t>
      </w:r>
      <w:r w:rsidR="008B75D5">
        <w:t xml:space="preserve"> and 5</w:t>
      </w:r>
    </w:p>
    <w:tbl>
      <w:tblPr>
        <w:tblStyle w:val="AERtable-text"/>
        <w:tblW w:w="0" w:type="auto"/>
        <w:tblLook w:val="04A0" w:firstRow="1" w:lastRow="0" w:firstColumn="1" w:lastColumn="0" w:noHBand="0" w:noVBand="1"/>
      </w:tblPr>
      <w:tblGrid>
        <w:gridCol w:w="2518"/>
        <w:gridCol w:w="1332"/>
        <w:gridCol w:w="1332"/>
        <w:gridCol w:w="1333"/>
        <w:gridCol w:w="1332"/>
        <w:gridCol w:w="1333"/>
      </w:tblGrid>
      <w:tr w:rsidR="00540173" w:rsidRPr="00A609EA" w:rsidTr="00540173">
        <w:trPr>
          <w:cnfStyle w:val="100000000000" w:firstRow="1" w:lastRow="0" w:firstColumn="0" w:lastColumn="0" w:oddVBand="0" w:evenVBand="0" w:oddHBand="0" w:evenHBand="0" w:firstRowFirstColumn="0" w:firstRowLastColumn="0" w:lastRowFirstColumn="0" w:lastRowLastColumn="0"/>
        </w:trPr>
        <w:tc>
          <w:tcPr>
            <w:tcW w:w="2518" w:type="dxa"/>
          </w:tcPr>
          <w:p w:rsidR="00540173" w:rsidRPr="00A609EA" w:rsidRDefault="00540173" w:rsidP="00A609EA">
            <w:pPr>
              <w:pStyle w:val="AERtabletextright"/>
            </w:pPr>
          </w:p>
        </w:tc>
        <w:tc>
          <w:tcPr>
            <w:tcW w:w="1332" w:type="dxa"/>
          </w:tcPr>
          <w:p w:rsidR="00540173" w:rsidRPr="00A609EA" w:rsidRDefault="00540173" w:rsidP="00A609EA">
            <w:pPr>
              <w:pStyle w:val="AERtabletextright"/>
            </w:pPr>
            <w:r w:rsidRPr="00A609EA">
              <w:t>Y1</w:t>
            </w:r>
          </w:p>
        </w:tc>
        <w:tc>
          <w:tcPr>
            <w:tcW w:w="1332" w:type="dxa"/>
          </w:tcPr>
          <w:p w:rsidR="00540173" w:rsidRPr="00A609EA" w:rsidRDefault="00540173" w:rsidP="00A609EA">
            <w:pPr>
              <w:pStyle w:val="AERtabletextright"/>
            </w:pPr>
            <w:r w:rsidRPr="00A609EA">
              <w:t>Y2</w:t>
            </w:r>
          </w:p>
        </w:tc>
        <w:tc>
          <w:tcPr>
            <w:tcW w:w="1333" w:type="dxa"/>
          </w:tcPr>
          <w:p w:rsidR="00540173" w:rsidRPr="00A609EA" w:rsidRDefault="00540173" w:rsidP="00A609EA">
            <w:pPr>
              <w:pStyle w:val="AERtabletextright"/>
            </w:pPr>
            <w:r w:rsidRPr="00A609EA">
              <w:t>Y3</w:t>
            </w:r>
          </w:p>
        </w:tc>
        <w:tc>
          <w:tcPr>
            <w:tcW w:w="1332" w:type="dxa"/>
          </w:tcPr>
          <w:p w:rsidR="00540173" w:rsidRPr="00A609EA" w:rsidRDefault="00540173" w:rsidP="00A609EA">
            <w:pPr>
              <w:pStyle w:val="AERtabletextright"/>
            </w:pPr>
            <w:r w:rsidRPr="00A609EA">
              <w:t>Y4</w:t>
            </w:r>
          </w:p>
        </w:tc>
        <w:tc>
          <w:tcPr>
            <w:tcW w:w="1333" w:type="dxa"/>
          </w:tcPr>
          <w:p w:rsidR="00540173" w:rsidRPr="00A609EA" w:rsidRDefault="00540173" w:rsidP="00A609EA">
            <w:pPr>
              <w:pStyle w:val="AERtabletextright"/>
            </w:pPr>
            <w:r w:rsidRPr="00A609EA">
              <w:t>Y5</w:t>
            </w:r>
          </w:p>
        </w:tc>
      </w:tr>
      <w:tr w:rsidR="00540173" w:rsidTr="00540173">
        <w:tc>
          <w:tcPr>
            <w:tcW w:w="2518" w:type="dxa"/>
          </w:tcPr>
          <w:p w:rsidR="00540173" w:rsidRPr="00137F9D" w:rsidRDefault="008B75D5" w:rsidP="00A609EA">
            <w:pPr>
              <w:pStyle w:val="AERtabletextleft"/>
            </w:pPr>
            <w:r>
              <w:t>Ex post exclusion</w:t>
            </w:r>
          </w:p>
        </w:tc>
        <w:tc>
          <w:tcPr>
            <w:tcW w:w="1332" w:type="dxa"/>
          </w:tcPr>
          <w:p w:rsidR="00540173" w:rsidRPr="00137F9D" w:rsidRDefault="00540173" w:rsidP="00A609EA">
            <w:pPr>
              <w:pStyle w:val="AERtabletextright"/>
            </w:pPr>
            <w:r w:rsidRPr="00137F9D">
              <w:t>0</w:t>
            </w:r>
          </w:p>
        </w:tc>
        <w:tc>
          <w:tcPr>
            <w:tcW w:w="1332" w:type="dxa"/>
          </w:tcPr>
          <w:p w:rsidR="00540173" w:rsidRPr="00137F9D" w:rsidRDefault="00540173" w:rsidP="00A609EA">
            <w:pPr>
              <w:pStyle w:val="AERtabletextright"/>
            </w:pPr>
            <w:r w:rsidRPr="00137F9D">
              <w:t>0</w:t>
            </w:r>
          </w:p>
        </w:tc>
        <w:tc>
          <w:tcPr>
            <w:tcW w:w="1333" w:type="dxa"/>
          </w:tcPr>
          <w:p w:rsidR="00540173" w:rsidRPr="00137F9D" w:rsidRDefault="008B75D5" w:rsidP="00A609EA">
            <w:pPr>
              <w:pStyle w:val="AERtabletextright"/>
            </w:pPr>
            <w:r>
              <w:t>0</w:t>
            </w:r>
          </w:p>
        </w:tc>
        <w:tc>
          <w:tcPr>
            <w:tcW w:w="1332" w:type="dxa"/>
          </w:tcPr>
          <w:p w:rsidR="00540173" w:rsidRPr="00137F9D" w:rsidRDefault="00540173" w:rsidP="00A609EA">
            <w:pPr>
              <w:pStyle w:val="AERtabletextright"/>
            </w:pPr>
            <w:r>
              <w:t>5</w:t>
            </w:r>
          </w:p>
        </w:tc>
        <w:tc>
          <w:tcPr>
            <w:tcW w:w="1333" w:type="dxa"/>
          </w:tcPr>
          <w:p w:rsidR="00540173" w:rsidRPr="00137F9D" w:rsidRDefault="00540173" w:rsidP="00A609EA">
            <w:pPr>
              <w:pStyle w:val="AERtabletextright"/>
            </w:pPr>
            <w:r w:rsidRPr="00137F9D">
              <w:t>0</w:t>
            </w:r>
          </w:p>
        </w:tc>
      </w:tr>
      <w:tr w:rsidR="00540173" w:rsidTr="00540173">
        <w:trPr>
          <w:cnfStyle w:val="000000010000" w:firstRow="0" w:lastRow="0" w:firstColumn="0" w:lastColumn="0" w:oddVBand="0" w:evenVBand="0" w:oddHBand="0" w:evenHBand="1" w:firstRowFirstColumn="0" w:firstRowLastColumn="0" w:lastRowFirstColumn="0" w:lastRowLastColumn="0"/>
        </w:trPr>
        <w:tc>
          <w:tcPr>
            <w:tcW w:w="2518" w:type="dxa"/>
          </w:tcPr>
          <w:p w:rsidR="00540173" w:rsidRPr="00540173" w:rsidRDefault="00540173" w:rsidP="00A609EA">
            <w:pPr>
              <w:pStyle w:val="AERtabletextleft"/>
            </w:pPr>
            <w:r>
              <w:t>Y1</w:t>
            </w:r>
            <w:r w:rsidRPr="00540173">
              <w:t xml:space="preserve"> benefit</w:t>
            </w:r>
          </w:p>
        </w:tc>
        <w:tc>
          <w:tcPr>
            <w:tcW w:w="1332" w:type="dxa"/>
          </w:tcPr>
          <w:p w:rsidR="00540173" w:rsidRPr="00137F9D" w:rsidRDefault="00540173" w:rsidP="00A609EA">
            <w:pPr>
              <w:pStyle w:val="AERtabletextright"/>
            </w:pPr>
            <w:r w:rsidRPr="00137F9D">
              <w:t>0</w:t>
            </w:r>
          </w:p>
        </w:tc>
        <w:tc>
          <w:tcPr>
            <w:tcW w:w="1332" w:type="dxa"/>
          </w:tcPr>
          <w:p w:rsidR="00540173" w:rsidRPr="00137F9D" w:rsidRDefault="00540173" w:rsidP="00A609EA">
            <w:pPr>
              <w:pStyle w:val="AERtabletextright"/>
            </w:pPr>
            <w:r w:rsidRPr="00137F9D">
              <w:t>0</w:t>
            </w:r>
          </w:p>
        </w:tc>
        <w:tc>
          <w:tcPr>
            <w:tcW w:w="1333" w:type="dxa"/>
          </w:tcPr>
          <w:p w:rsidR="00540173" w:rsidRPr="00137F9D" w:rsidRDefault="00540173" w:rsidP="00A609EA">
            <w:pPr>
              <w:pStyle w:val="AERtabletextright"/>
            </w:pPr>
            <w:r w:rsidRPr="00137F9D">
              <w:t>0</w:t>
            </w:r>
          </w:p>
        </w:tc>
        <w:tc>
          <w:tcPr>
            <w:tcW w:w="1332" w:type="dxa"/>
          </w:tcPr>
          <w:p w:rsidR="00540173" w:rsidRPr="00137F9D" w:rsidRDefault="00540173" w:rsidP="00A609EA">
            <w:pPr>
              <w:pStyle w:val="AERtabletextright"/>
            </w:pPr>
            <w:r w:rsidRPr="00137F9D">
              <w:t>0</w:t>
            </w:r>
          </w:p>
        </w:tc>
        <w:tc>
          <w:tcPr>
            <w:tcW w:w="1333" w:type="dxa"/>
          </w:tcPr>
          <w:p w:rsidR="00540173" w:rsidRPr="00137F9D" w:rsidRDefault="00540173" w:rsidP="00A609EA">
            <w:pPr>
              <w:pStyle w:val="AERtabletextright"/>
            </w:pPr>
            <w:r w:rsidRPr="00137F9D">
              <w:t>0</w:t>
            </w:r>
          </w:p>
        </w:tc>
      </w:tr>
      <w:tr w:rsidR="00540173" w:rsidTr="00540173">
        <w:tc>
          <w:tcPr>
            <w:tcW w:w="2518" w:type="dxa"/>
          </w:tcPr>
          <w:p w:rsidR="00540173" w:rsidRPr="00540173" w:rsidRDefault="00540173" w:rsidP="00A609EA">
            <w:pPr>
              <w:pStyle w:val="AERtabletextleft"/>
            </w:pPr>
            <w:r>
              <w:t>Y2</w:t>
            </w:r>
            <w:r w:rsidRPr="00540173">
              <w:t xml:space="preserve"> benefit</w:t>
            </w:r>
          </w:p>
        </w:tc>
        <w:tc>
          <w:tcPr>
            <w:tcW w:w="1332" w:type="dxa"/>
          </w:tcPr>
          <w:p w:rsidR="00540173" w:rsidRDefault="00540173" w:rsidP="00A609EA">
            <w:pPr>
              <w:pStyle w:val="AERtabletextright"/>
            </w:pPr>
          </w:p>
        </w:tc>
        <w:tc>
          <w:tcPr>
            <w:tcW w:w="1332" w:type="dxa"/>
          </w:tcPr>
          <w:p w:rsidR="00540173" w:rsidRPr="00540173" w:rsidRDefault="00540173" w:rsidP="00A609EA">
            <w:pPr>
              <w:pStyle w:val="AERtabletextright"/>
            </w:pPr>
            <w:r w:rsidRPr="00137F9D">
              <w:t>0</w:t>
            </w:r>
          </w:p>
        </w:tc>
        <w:tc>
          <w:tcPr>
            <w:tcW w:w="1333" w:type="dxa"/>
          </w:tcPr>
          <w:p w:rsidR="00540173" w:rsidRPr="00540173" w:rsidRDefault="00540173" w:rsidP="00A609EA">
            <w:pPr>
              <w:pStyle w:val="AERtabletextright"/>
            </w:pPr>
            <w:r w:rsidRPr="00137F9D">
              <w:t>0</w:t>
            </w:r>
          </w:p>
        </w:tc>
        <w:tc>
          <w:tcPr>
            <w:tcW w:w="1332" w:type="dxa"/>
          </w:tcPr>
          <w:p w:rsidR="00540173" w:rsidRPr="00540173" w:rsidRDefault="00540173" w:rsidP="00A609EA">
            <w:pPr>
              <w:pStyle w:val="AERtabletextright"/>
            </w:pPr>
            <w:r w:rsidRPr="00137F9D">
              <w:t>0</w:t>
            </w:r>
          </w:p>
        </w:tc>
        <w:tc>
          <w:tcPr>
            <w:tcW w:w="1333" w:type="dxa"/>
          </w:tcPr>
          <w:p w:rsidR="00540173" w:rsidRPr="00540173" w:rsidRDefault="00540173" w:rsidP="00A609EA">
            <w:pPr>
              <w:pStyle w:val="AERtabletextright"/>
            </w:pPr>
            <w:r w:rsidRPr="00137F9D">
              <w:t>0</w:t>
            </w:r>
          </w:p>
        </w:tc>
      </w:tr>
      <w:tr w:rsidR="00540173" w:rsidTr="00540173">
        <w:trPr>
          <w:cnfStyle w:val="000000010000" w:firstRow="0" w:lastRow="0" w:firstColumn="0" w:lastColumn="0" w:oddVBand="0" w:evenVBand="0" w:oddHBand="0" w:evenHBand="1" w:firstRowFirstColumn="0" w:firstRowLastColumn="0" w:lastRowFirstColumn="0" w:lastRowLastColumn="0"/>
        </w:trPr>
        <w:tc>
          <w:tcPr>
            <w:tcW w:w="2518" w:type="dxa"/>
          </w:tcPr>
          <w:p w:rsidR="00540173" w:rsidRPr="00540173" w:rsidRDefault="00540173" w:rsidP="00A609EA">
            <w:pPr>
              <w:pStyle w:val="AERtabletextleft"/>
            </w:pPr>
            <w:r>
              <w:t>Y3</w:t>
            </w:r>
            <w:r w:rsidRPr="00540173">
              <w:t xml:space="preserve"> benefit</w:t>
            </w:r>
          </w:p>
        </w:tc>
        <w:tc>
          <w:tcPr>
            <w:tcW w:w="1332" w:type="dxa"/>
          </w:tcPr>
          <w:p w:rsidR="00540173" w:rsidRDefault="00540173" w:rsidP="00A609EA">
            <w:pPr>
              <w:pStyle w:val="AERtabletextright"/>
            </w:pPr>
          </w:p>
        </w:tc>
        <w:tc>
          <w:tcPr>
            <w:tcW w:w="1332" w:type="dxa"/>
          </w:tcPr>
          <w:p w:rsidR="00540173" w:rsidRDefault="00540173" w:rsidP="00A609EA">
            <w:pPr>
              <w:pStyle w:val="AERtabletextright"/>
            </w:pPr>
          </w:p>
        </w:tc>
        <w:tc>
          <w:tcPr>
            <w:tcW w:w="1333" w:type="dxa"/>
          </w:tcPr>
          <w:p w:rsidR="00540173" w:rsidRDefault="008B75D5" w:rsidP="00A609EA">
            <w:pPr>
              <w:pStyle w:val="AERtabletextright"/>
            </w:pPr>
            <w:r>
              <w:t>0</w:t>
            </w:r>
          </w:p>
        </w:tc>
        <w:tc>
          <w:tcPr>
            <w:tcW w:w="1332" w:type="dxa"/>
          </w:tcPr>
          <w:p w:rsidR="00540173" w:rsidRDefault="008B75D5" w:rsidP="00A609EA">
            <w:pPr>
              <w:pStyle w:val="AERtabletextright"/>
            </w:pPr>
            <w:r>
              <w:t>0</w:t>
            </w:r>
          </w:p>
        </w:tc>
        <w:tc>
          <w:tcPr>
            <w:tcW w:w="1333" w:type="dxa"/>
          </w:tcPr>
          <w:p w:rsidR="00540173" w:rsidRDefault="008B75D5" w:rsidP="00A609EA">
            <w:pPr>
              <w:pStyle w:val="AERtabletextright"/>
            </w:pPr>
            <w:r>
              <w:t>0</w:t>
            </w:r>
          </w:p>
        </w:tc>
      </w:tr>
      <w:tr w:rsidR="00540173" w:rsidTr="00540173">
        <w:tc>
          <w:tcPr>
            <w:tcW w:w="2518" w:type="dxa"/>
          </w:tcPr>
          <w:p w:rsidR="00540173" w:rsidRPr="00540173" w:rsidRDefault="00540173" w:rsidP="00A609EA">
            <w:pPr>
              <w:pStyle w:val="AERtabletextleft"/>
            </w:pPr>
            <w:r>
              <w:t xml:space="preserve">Y4 </w:t>
            </w:r>
            <w:r w:rsidRPr="00540173">
              <w:t>benefit</w:t>
            </w:r>
          </w:p>
        </w:tc>
        <w:tc>
          <w:tcPr>
            <w:tcW w:w="1332" w:type="dxa"/>
          </w:tcPr>
          <w:p w:rsidR="00540173" w:rsidRDefault="00540173" w:rsidP="00A609EA">
            <w:pPr>
              <w:pStyle w:val="AERtabletextright"/>
            </w:pPr>
          </w:p>
        </w:tc>
        <w:tc>
          <w:tcPr>
            <w:tcW w:w="1332" w:type="dxa"/>
          </w:tcPr>
          <w:p w:rsidR="00540173" w:rsidRDefault="00540173" w:rsidP="00A609EA">
            <w:pPr>
              <w:pStyle w:val="AERtabletextright"/>
            </w:pPr>
          </w:p>
        </w:tc>
        <w:tc>
          <w:tcPr>
            <w:tcW w:w="1333" w:type="dxa"/>
          </w:tcPr>
          <w:p w:rsidR="00540173" w:rsidRDefault="00540173" w:rsidP="00A609EA">
            <w:pPr>
              <w:pStyle w:val="AERtabletextright"/>
            </w:pPr>
          </w:p>
        </w:tc>
        <w:tc>
          <w:tcPr>
            <w:tcW w:w="1332" w:type="dxa"/>
          </w:tcPr>
          <w:p w:rsidR="00540173" w:rsidRDefault="00540173" w:rsidP="00A609EA">
            <w:pPr>
              <w:pStyle w:val="AERtabletextright"/>
            </w:pPr>
            <w:r>
              <w:t>0.15</w:t>
            </w:r>
          </w:p>
        </w:tc>
        <w:tc>
          <w:tcPr>
            <w:tcW w:w="1333" w:type="dxa"/>
          </w:tcPr>
          <w:p w:rsidR="00540173" w:rsidRDefault="00540173" w:rsidP="00A609EA">
            <w:pPr>
              <w:pStyle w:val="AERtabletextright"/>
            </w:pPr>
            <w:r>
              <w:t>0.30</w:t>
            </w:r>
          </w:p>
        </w:tc>
      </w:tr>
      <w:tr w:rsidR="00540173" w:rsidTr="00540173">
        <w:trPr>
          <w:cnfStyle w:val="000000010000" w:firstRow="0" w:lastRow="0" w:firstColumn="0" w:lastColumn="0" w:oddVBand="0" w:evenVBand="0" w:oddHBand="0" w:evenHBand="1" w:firstRowFirstColumn="0" w:firstRowLastColumn="0" w:lastRowFirstColumn="0" w:lastRowLastColumn="0"/>
        </w:trPr>
        <w:tc>
          <w:tcPr>
            <w:tcW w:w="2518" w:type="dxa"/>
          </w:tcPr>
          <w:p w:rsidR="00540173" w:rsidRPr="00540173" w:rsidRDefault="00540173" w:rsidP="00A609EA">
            <w:pPr>
              <w:pStyle w:val="AERtabletextleft"/>
            </w:pPr>
            <w:r>
              <w:t xml:space="preserve">Y5 </w:t>
            </w:r>
            <w:r w:rsidRPr="00540173">
              <w:t>benefit</w:t>
            </w:r>
          </w:p>
        </w:tc>
        <w:tc>
          <w:tcPr>
            <w:tcW w:w="1332" w:type="dxa"/>
          </w:tcPr>
          <w:p w:rsidR="00540173" w:rsidRDefault="00540173" w:rsidP="00A609EA">
            <w:pPr>
              <w:pStyle w:val="AERtabletextright"/>
            </w:pPr>
          </w:p>
        </w:tc>
        <w:tc>
          <w:tcPr>
            <w:tcW w:w="1332" w:type="dxa"/>
          </w:tcPr>
          <w:p w:rsidR="00540173" w:rsidRDefault="00540173" w:rsidP="00A609EA">
            <w:pPr>
              <w:pStyle w:val="AERtabletextright"/>
            </w:pPr>
          </w:p>
        </w:tc>
        <w:tc>
          <w:tcPr>
            <w:tcW w:w="1333" w:type="dxa"/>
          </w:tcPr>
          <w:p w:rsidR="00540173" w:rsidRDefault="00540173" w:rsidP="00A609EA">
            <w:pPr>
              <w:pStyle w:val="AERtabletextright"/>
            </w:pPr>
          </w:p>
        </w:tc>
        <w:tc>
          <w:tcPr>
            <w:tcW w:w="1332" w:type="dxa"/>
          </w:tcPr>
          <w:p w:rsidR="00540173" w:rsidRDefault="00540173" w:rsidP="00A609EA">
            <w:pPr>
              <w:pStyle w:val="AERtabletextright"/>
            </w:pPr>
          </w:p>
        </w:tc>
        <w:tc>
          <w:tcPr>
            <w:tcW w:w="1333" w:type="dxa"/>
          </w:tcPr>
          <w:p w:rsidR="00540173" w:rsidRDefault="00540173" w:rsidP="00A609EA">
            <w:pPr>
              <w:pStyle w:val="AERtabletextright"/>
            </w:pPr>
            <w:r>
              <w:t>0</w:t>
            </w:r>
          </w:p>
        </w:tc>
      </w:tr>
      <w:tr w:rsidR="00540173" w:rsidTr="00540173">
        <w:tc>
          <w:tcPr>
            <w:tcW w:w="2518" w:type="dxa"/>
          </w:tcPr>
          <w:p w:rsidR="00540173" w:rsidRDefault="00540173" w:rsidP="00A609EA">
            <w:pPr>
              <w:pStyle w:val="AERtabletextleft"/>
            </w:pPr>
            <w:r>
              <w:t>Total benefit</w:t>
            </w:r>
          </w:p>
        </w:tc>
        <w:tc>
          <w:tcPr>
            <w:tcW w:w="1332" w:type="dxa"/>
          </w:tcPr>
          <w:p w:rsidR="00540173" w:rsidRDefault="00540173" w:rsidP="00A609EA">
            <w:pPr>
              <w:pStyle w:val="AERtabletextright"/>
            </w:pPr>
            <w:r>
              <w:t>0</w:t>
            </w:r>
          </w:p>
        </w:tc>
        <w:tc>
          <w:tcPr>
            <w:tcW w:w="1332" w:type="dxa"/>
          </w:tcPr>
          <w:p w:rsidR="00540173" w:rsidRDefault="00540173" w:rsidP="00A609EA">
            <w:pPr>
              <w:pStyle w:val="AERtabletextright"/>
            </w:pPr>
            <w:r>
              <w:t>0</w:t>
            </w:r>
          </w:p>
        </w:tc>
        <w:tc>
          <w:tcPr>
            <w:tcW w:w="1333" w:type="dxa"/>
          </w:tcPr>
          <w:p w:rsidR="00540173" w:rsidRDefault="008B75D5" w:rsidP="00A609EA">
            <w:pPr>
              <w:pStyle w:val="AERtabletextright"/>
            </w:pPr>
            <w:r>
              <w:t>0</w:t>
            </w:r>
          </w:p>
        </w:tc>
        <w:tc>
          <w:tcPr>
            <w:tcW w:w="1332" w:type="dxa"/>
          </w:tcPr>
          <w:p w:rsidR="00540173" w:rsidRDefault="008B75D5" w:rsidP="00A609EA">
            <w:pPr>
              <w:pStyle w:val="AERtabletextright"/>
            </w:pPr>
            <w:r>
              <w:t>0.15</w:t>
            </w:r>
          </w:p>
        </w:tc>
        <w:tc>
          <w:tcPr>
            <w:tcW w:w="1333" w:type="dxa"/>
          </w:tcPr>
          <w:p w:rsidR="00540173" w:rsidRDefault="008B75D5" w:rsidP="00A609EA">
            <w:pPr>
              <w:pStyle w:val="AERtabletextright"/>
            </w:pPr>
            <w:r>
              <w:t>0.30</w:t>
            </w:r>
          </w:p>
        </w:tc>
      </w:tr>
      <w:tr w:rsidR="00540173" w:rsidTr="00540173">
        <w:trPr>
          <w:cnfStyle w:val="000000010000" w:firstRow="0" w:lastRow="0" w:firstColumn="0" w:lastColumn="0" w:oddVBand="0" w:evenVBand="0" w:oddHBand="0" w:evenHBand="1" w:firstRowFirstColumn="0" w:firstRowLastColumn="0" w:lastRowFirstColumn="0" w:lastRowLastColumn="0"/>
        </w:trPr>
        <w:tc>
          <w:tcPr>
            <w:tcW w:w="2518" w:type="dxa"/>
          </w:tcPr>
          <w:p w:rsidR="00540173" w:rsidRPr="00540173" w:rsidRDefault="00540173" w:rsidP="00A609EA">
            <w:pPr>
              <w:pStyle w:val="AERtabletextleft"/>
            </w:pPr>
            <w:r w:rsidRPr="00137F9D">
              <w:t>D</w:t>
            </w:r>
            <w:r w:rsidRPr="00540173">
              <w:t>iscount (mid-year)</w:t>
            </w:r>
          </w:p>
        </w:tc>
        <w:tc>
          <w:tcPr>
            <w:tcW w:w="1332" w:type="dxa"/>
          </w:tcPr>
          <w:p w:rsidR="00540173" w:rsidRPr="00137F9D" w:rsidRDefault="00540173" w:rsidP="00A609EA">
            <w:pPr>
              <w:pStyle w:val="AERtabletextright"/>
            </w:pPr>
            <w:r w:rsidRPr="00137F9D">
              <w:t>1.30</w:t>
            </w:r>
          </w:p>
        </w:tc>
        <w:tc>
          <w:tcPr>
            <w:tcW w:w="1332" w:type="dxa"/>
          </w:tcPr>
          <w:p w:rsidR="00540173" w:rsidRPr="00137F9D" w:rsidRDefault="00540173" w:rsidP="00A609EA">
            <w:pPr>
              <w:pStyle w:val="AERtabletextright"/>
            </w:pPr>
            <w:r w:rsidRPr="00137F9D">
              <w:t>1.23</w:t>
            </w:r>
          </w:p>
        </w:tc>
        <w:tc>
          <w:tcPr>
            <w:tcW w:w="1333" w:type="dxa"/>
          </w:tcPr>
          <w:p w:rsidR="00540173" w:rsidRPr="00137F9D" w:rsidRDefault="00540173" w:rsidP="00A609EA">
            <w:pPr>
              <w:pStyle w:val="AERtabletextright"/>
            </w:pPr>
            <w:r w:rsidRPr="00137F9D">
              <w:t>1.16</w:t>
            </w:r>
          </w:p>
        </w:tc>
        <w:tc>
          <w:tcPr>
            <w:tcW w:w="1332" w:type="dxa"/>
          </w:tcPr>
          <w:p w:rsidR="00540173" w:rsidRPr="00137F9D" w:rsidRDefault="00540173" w:rsidP="00A609EA">
            <w:pPr>
              <w:pStyle w:val="AERtabletextright"/>
            </w:pPr>
            <w:r w:rsidRPr="00137F9D">
              <w:t>1.09</w:t>
            </w:r>
          </w:p>
        </w:tc>
        <w:tc>
          <w:tcPr>
            <w:tcW w:w="1333" w:type="dxa"/>
          </w:tcPr>
          <w:p w:rsidR="00540173" w:rsidRPr="00137F9D" w:rsidRDefault="00540173" w:rsidP="00A609EA">
            <w:pPr>
              <w:pStyle w:val="AERtabletextright"/>
            </w:pPr>
            <w:r w:rsidRPr="00137F9D">
              <w:t>1.03</w:t>
            </w:r>
          </w:p>
        </w:tc>
      </w:tr>
      <w:tr w:rsidR="00540173" w:rsidTr="00540173">
        <w:tc>
          <w:tcPr>
            <w:tcW w:w="2518" w:type="dxa"/>
          </w:tcPr>
          <w:p w:rsidR="00540173" w:rsidRPr="00540173" w:rsidRDefault="00540173" w:rsidP="00A609EA">
            <w:pPr>
              <w:pStyle w:val="AERtabletextleft"/>
            </w:pPr>
            <w:r>
              <w:t>Discount (end year</w:t>
            </w:r>
            <w:r w:rsidRPr="00540173">
              <w:t>)</w:t>
            </w:r>
          </w:p>
        </w:tc>
        <w:tc>
          <w:tcPr>
            <w:tcW w:w="1332" w:type="dxa"/>
          </w:tcPr>
          <w:p w:rsidR="00540173" w:rsidRPr="00137F9D" w:rsidRDefault="00540173" w:rsidP="00A609EA">
            <w:pPr>
              <w:pStyle w:val="AERtabletextright"/>
            </w:pPr>
            <w:r w:rsidRPr="00137F9D">
              <w:t>1.26</w:t>
            </w:r>
          </w:p>
        </w:tc>
        <w:tc>
          <w:tcPr>
            <w:tcW w:w="1332" w:type="dxa"/>
          </w:tcPr>
          <w:p w:rsidR="00540173" w:rsidRPr="00137F9D" w:rsidRDefault="00540173" w:rsidP="00A609EA">
            <w:pPr>
              <w:pStyle w:val="AERtabletextright"/>
            </w:pPr>
            <w:r w:rsidRPr="00137F9D">
              <w:t>1.19</w:t>
            </w:r>
          </w:p>
        </w:tc>
        <w:tc>
          <w:tcPr>
            <w:tcW w:w="1333" w:type="dxa"/>
          </w:tcPr>
          <w:p w:rsidR="00540173" w:rsidRPr="00137F9D" w:rsidRDefault="00540173" w:rsidP="00A609EA">
            <w:pPr>
              <w:pStyle w:val="AERtabletextright"/>
            </w:pPr>
            <w:r w:rsidRPr="00137F9D">
              <w:t>1.12</w:t>
            </w:r>
          </w:p>
        </w:tc>
        <w:tc>
          <w:tcPr>
            <w:tcW w:w="1332" w:type="dxa"/>
          </w:tcPr>
          <w:p w:rsidR="00540173" w:rsidRPr="00137F9D" w:rsidRDefault="00540173" w:rsidP="00A609EA">
            <w:pPr>
              <w:pStyle w:val="AERtabletextright"/>
            </w:pPr>
            <w:r w:rsidRPr="00137F9D">
              <w:t>1.06</w:t>
            </w:r>
          </w:p>
        </w:tc>
        <w:tc>
          <w:tcPr>
            <w:tcW w:w="1333" w:type="dxa"/>
          </w:tcPr>
          <w:p w:rsidR="00540173" w:rsidRPr="00137F9D" w:rsidRDefault="00540173" w:rsidP="00A609EA">
            <w:pPr>
              <w:pStyle w:val="AERtabletextright"/>
            </w:pPr>
            <w:r w:rsidRPr="00137F9D">
              <w:t>1.00</w:t>
            </w:r>
          </w:p>
        </w:tc>
      </w:tr>
      <w:tr w:rsidR="00540173" w:rsidTr="00540173">
        <w:trPr>
          <w:cnfStyle w:val="000000010000" w:firstRow="0" w:lastRow="0" w:firstColumn="0" w:lastColumn="0" w:oddVBand="0" w:evenVBand="0" w:oddHBand="0" w:evenHBand="1" w:firstRowFirstColumn="0" w:firstRowLastColumn="0" w:lastRowFirstColumn="0" w:lastRowLastColumn="0"/>
        </w:trPr>
        <w:tc>
          <w:tcPr>
            <w:tcW w:w="2518" w:type="dxa"/>
          </w:tcPr>
          <w:p w:rsidR="00540173" w:rsidRDefault="00540173" w:rsidP="00A609EA">
            <w:pPr>
              <w:pStyle w:val="AERtabletextleft"/>
            </w:pPr>
            <w:r>
              <w:t>NPV underspend</w:t>
            </w:r>
          </w:p>
        </w:tc>
        <w:tc>
          <w:tcPr>
            <w:tcW w:w="1332" w:type="dxa"/>
          </w:tcPr>
          <w:p w:rsidR="00540173" w:rsidRDefault="00540173" w:rsidP="00A609EA">
            <w:pPr>
              <w:pStyle w:val="AERtabletextright"/>
            </w:pPr>
            <w:r>
              <w:t>0</w:t>
            </w:r>
          </w:p>
        </w:tc>
        <w:tc>
          <w:tcPr>
            <w:tcW w:w="1332" w:type="dxa"/>
          </w:tcPr>
          <w:p w:rsidR="00540173" w:rsidRDefault="00540173" w:rsidP="00A609EA">
            <w:pPr>
              <w:pStyle w:val="AERtabletextright"/>
            </w:pPr>
            <w:r>
              <w:t>0</w:t>
            </w:r>
          </w:p>
        </w:tc>
        <w:tc>
          <w:tcPr>
            <w:tcW w:w="1333" w:type="dxa"/>
          </w:tcPr>
          <w:p w:rsidR="00540173" w:rsidRDefault="008B75D5" w:rsidP="00A609EA">
            <w:pPr>
              <w:pStyle w:val="AERtabletextright"/>
            </w:pPr>
            <w:r>
              <w:t>0</w:t>
            </w:r>
          </w:p>
        </w:tc>
        <w:tc>
          <w:tcPr>
            <w:tcW w:w="1332" w:type="dxa"/>
          </w:tcPr>
          <w:p w:rsidR="00540173" w:rsidRDefault="00540173" w:rsidP="00A609EA">
            <w:pPr>
              <w:pStyle w:val="AERtabletextright"/>
            </w:pPr>
            <w:r>
              <w:t>5.46</w:t>
            </w:r>
          </w:p>
        </w:tc>
        <w:tc>
          <w:tcPr>
            <w:tcW w:w="1333" w:type="dxa"/>
          </w:tcPr>
          <w:p w:rsidR="00540173" w:rsidRDefault="00540173" w:rsidP="00A609EA">
            <w:pPr>
              <w:pStyle w:val="AERtabletextright"/>
            </w:pPr>
            <w:r>
              <w:t>0</w:t>
            </w:r>
          </w:p>
        </w:tc>
      </w:tr>
      <w:tr w:rsidR="00540173" w:rsidTr="00540173">
        <w:tc>
          <w:tcPr>
            <w:tcW w:w="2518" w:type="dxa"/>
          </w:tcPr>
          <w:p w:rsidR="00540173" w:rsidRDefault="00540173" w:rsidP="00A609EA">
            <w:pPr>
              <w:pStyle w:val="AERtabletextleft"/>
            </w:pPr>
            <w:r>
              <w:t>NPV benefit</w:t>
            </w:r>
          </w:p>
        </w:tc>
        <w:tc>
          <w:tcPr>
            <w:tcW w:w="1332" w:type="dxa"/>
          </w:tcPr>
          <w:p w:rsidR="00540173" w:rsidRDefault="00540173" w:rsidP="00A609EA">
            <w:pPr>
              <w:pStyle w:val="AERtabletextright"/>
            </w:pPr>
            <w:r>
              <w:t>0</w:t>
            </w:r>
          </w:p>
        </w:tc>
        <w:tc>
          <w:tcPr>
            <w:tcW w:w="1332" w:type="dxa"/>
          </w:tcPr>
          <w:p w:rsidR="00540173" w:rsidRDefault="00540173" w:rsidP="00A609EA">
            <w:pPr>
              <w:pStyle w:val="AERtabletextright"/>
            </w:pPr>
            <w:r>
              <w:t>0</w:t>
            </w:r>
          </w:p>
        </w:tc>
        <w:tc>
          <w:tcPr>
            <w:tcW w:w="1333" w:type="dxa"/>
          </w:tcPr>
          <w:p w:rsidR="00540173" w:rsidRDefault="008B75D5" w:rsidP="00A609EA">
            <w:pPr>
              <w:pStyle w:val="AERtabletextright"/>
            </w:pPr>
            <w:r>
              <w:t>0</w:t>
            </w:r>
          </w:p>
        </w:tc>
        <w:tc>
          <w:tcPr>
            <w:tcW w:w="1332" w:type="dxa"/>
          </w:tcPr>
          <w:p w:rsidR="00540173" w:rsidRDefault="008B75D5" w:rsidP="00A609EA">
            <w:pPr>
              <w:pStyle w:val="AERtabletextright"/>
            </w:pPr>
            <w:r>
              <w:t>0</w:t>
            </w:r>
            <w:r w:rsidR="00540173">
              <w:t>.</w:t>
            </w:r>
            <w:r>
              <w:t>16</w:t>
            </w:r>
          </w:p>
        </w:tc>
        <w:tc>
          <w:tcPr>
            <w:tcW w:w="1333" w:type="dxa"/>
          </w:tcPr>
          <w:p w:rsidR="00540173" w:rsidRDefault="008B75D5" w:rsidP="00A609EA">
            <w:pPr>
              <w:pStyle w:val="AERtabletextright"/>
            </w:pPr>
            <w:r>
              <w:t>0</w:t>
            </w:r>
            <w:r w:rsidR="00540173">
              <w:t>.</w:t>
            </w:r>
            <w:r>
              <w:t>3</w:t>
            </w:r>
            <w:r w:rsidR="00540173">
              <w:t>0</w:t>
            </w:r>
          </w:p>
        </w:tc>
      </w:tr>
    </w:tbl>
    <w:p w:rsidR="00540173" w:rsidRPr="00540173" w:rsidRDefault="00540173" w:rsidP="00540173">
      <w:pPr>
        <w:pStyle w:val="AERbodytext"/>
      </w:pPr>
      <w:r>
        <w:br/>
        <w:t>We now have to recalculate the CESS</w:t>
      </w:r>
      <w:r w:rsidR="008B75D5">
        <w:t xml:space="preserve"> for the ex post exclusion</w:t>
      </w:r>
      <w:r>
        <w:t>. This is done in table 14.</w:t>
      </w:r>
    </w:p>
    <w:p w:rsidR="00B47ADD" w:rsidRPr="00B47ADD" w:rsidRDefault="00B47ADD" w:rsidP="00B47ADD">
      <w:pPr>
        <w:pStyle w:val="Caption"/>
      </w:pPr>
      <w:r>
        <w:t>Table 1</w:t>
      </w:r>
      <w:r w:rsidR="004841F0">
        <w:t>4</w:t>
      </w:r>
      <w:r w:rsidRPr="00B47ADD">
        <w:tab/>
        <w:t xml:space="preserve">CESS for period </w:t>
      </w:r>
      <w:r w:rsidR="007F665D">
        <w:t>2 once $5 million has been excluded from year 4</w:t>
      </w:r>
    </w:p>
    <w:tbl>
      <w:tblPr>
        <w:tblStyle w:val="AERtable-numbers"/>
        <w:tblW w:w="0" w:type="auto"/>
        <w:tblLook w:val="04A0" w:firstRow="1" w:lastRow="0" w:firstColumn="1" w:lastColumn="0" w:noHBand="0" w:noVBand="1"/>
      </w:tblPr>
      <w:tblGrid>
        <w:gridCol w:w="3936"/>
        <w:gridCol w:w="3543"/>
        <w:gridCol w:w="1763"/>
      </w:tblGrid>
      <w:tr w:rsidR="00B47ADD" w:rsidRPr="00A609EA" w:rsidTr="00333E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B47ADD" w:rsidRPr="00A609EA" w:rsidRDefault="00B47ADD" w:rsidP="00A609EA">
            <w:pPr>
              <w:pStyle w:val="AERtabletextright"/>
            </w:pPr>
          </w:p>
        </w:tc>
        <w:tc>
          <w:tcPr>
            <w:tcW w:w="3543" w:type="dxa"/>
          </w:tcPr>
          <w:p w:rsidR="00B47ADD" w:rsidRPr="00A609EA" w:rsidRDefault="00B47ADD" w:rsidP="00A609EA">
            <w:pPr>
              <w:pStyle w:val="AERtabletextright"/>
              <w:cnfStyle w:val="100000000000" w:firstRow="1" w:lastRow="0" w:firstColumn="0" w:lastColumn="0" w:oddVBand="0" w:evenVBand="0" w:oddHBand="0" w:evenHBand="0" w:firstRowFirstColumn="0" w:firstRowLastColumn="0" w:lastRowFirstColumn="0" w:lastRowLastColumn="0"/>
            </w:pPr>
            <w:r w:rsidRPr="00A609EA">
              <w:t>Calculation</w:t>
            </w:r>
          </w:p>
        </w:tc>
        <w:tc>
          <w:tcPr>
            <w:tcW w:w="1763" w:type="dxa"/>
          </w:tcPr>
          <w:p w:rsidR="00B47ADD" w:rsidRPr="00A609EA" w:rsidRDefault="00B47ADD" w:rsidP="00A609EA">
            <w:pPr>
              <w:pStyle w:val="AERtabletextright"/>
              <w:cnfStyle w:val="100000000000" w:firstRow="1" w:lastRow="0" w:firstColumn="0" w:lastColumn="0" w:oddVBand="0" w:evenVBand="0" w:oddHBand="0" w:evenHBand="0" w:firstRowFirstColumn="0" w:firstRowLastColumn="0" w:lastRowFirstColumn="0" w:lastRowLastColumn="0"/>
            </w:pPr>
            <w:r w:rsidRPr="00A609EA">
              <w:t>Amount</w:t>
            </w:r>
          </w:p>
        </w:tc>
      </w:tr>
      <w:tr w:rsidR="007F665D" w:rsidTr="00333E1A">
        <w:tc>
          <w:tcPr>
            <w:cnfStyle w:val="001000000000" w:firstRow="0" w:lastRow="0" w:firstColumn="1" w:lastColumn="0" w:oddVBand="0" w:evenVBand="0" w:oddHBand="0" w:evenHBand="0" w:firstRowFirstColumn="0" w:firstRowLastColumn="0" w:lastRowFirstColumn="0" w:lastRowLastColumn="0"/>
            <w:tcW w:w="3936" w:type="dxa"/>
          </w:tcPr>
          <w:p w:rsidR="007F665D" w:rsidRPr="007F665D" w:rsidRDefault="008B75D5" w:rsidP="00A609EA">
            <w:pPr>
              <w:pStyle w:val="AERtabletextleft"/>
            </w:pPr>
            <w:r>
              <w:t>Ex post exclusions</w:t>
            </w:r>
            <w:r w:rsidR="007F665D">
              <w:t xml:space="preserve"> (NPV)</w:t>
            </w:r>
          </w:p>
        </w:tc>
        <w:tc>
          <w:tcPr>
            <w:tcW w:w="3543" w:type="dxa"/>
          </w:tcPr>
          <w:p w:rsidR="007F665D" w:rsidRDefault="008B75D5" w:rsidP="00A609EA">
            <w:pPr>
              <w:pStyle w:val="AERtabletextleft"/>
              <w:cnfStyle w:val="000000000000" w:firstRow="0" w:lastRow="0" w:firstColumn="0" w:lastColumn="0" w:oddVBand="0" w:evenVBand="0" w:oddHBand="0" w:evenHBand="0" w:firstRowFirstColumn="0" w:firstRowLastColumn="0" w:lastRowFirstColumn="0" w:lastRowLastColumn="0"/>
            </w:pPr>
            <w:r>
              <w:t>$5 million x 1.09</w:t>
            </w:r>
          </w:p>
        </w:tc>
        <w:tc>
          <w:tcPr>
            <w:tcW w:w="1763" w:type="dxa"/>
          </w:tcPr>
          <w:p w:rsidR="007F665D" w:rsidRDefault="007F665D" w:rsidP="00A609EA">
            <w:pPr>
              <w:pStyle w:val="AERtabletextleft"/>
              <w:cnfStyle w:val="000000000000" w:firstRow="0" w:lastRow="0" w:firstColumn="0" w:lastColumn="0" w:oddVBand="0" w:evenVBand="0" w:oddHBand="0" w:evenHBand="0" w:firstRowFirstColumn="0" w:firstRowLastColumn="0" w:lastRowFirstColumn="0" w:lastRowLastColumn="0"/>
            </w:pPr>
            <w:r>
              <w:t>$</w:t>
            </w:r>
            <w:r w:rsidR="00D85513">
              <w:t>5.46</w:t>
            </w:r>
            <w:r>
              <w:t> million</w:t>
            </w:r>
          </w:p>
        </w:tc>
      </w:tr>
      <w:tr w:rsidR="007F665D" w:rsidTr="00333E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F665D" w:rsidRDefault="007F665D" w:rsidP="00A609EA">
            <w:pPr>
              <w:pStyle w:val="AERtabletextleft"/>
            </w:pPr>
            <w:r>
              <w:t>NSP share</w:t>
            </w:r>
          </w:p>
        </w:tc>
        <w:tc>
          <w:tcPr>
            <w:tcW w:w="3543" w:type="dxa"/>
          </w:tcPr>
          <w:p w:rsidR="007F665D" w:rsidRDefault="007F665D" w:rsidP="00A609EA">
            <w:pPr>
              <w:pStyle w:val="AERtabletextleft"/>
              <w:cnfStyle w:val="000000010000" w:firstRow="0" w:lastRow="0" w:firstColumn="0" w:lastColumn="0" w:oddVBand="0" w:evenVBand="0" w:oddHBand="0" w:evenHBand="1" w:firstRowFirstColumn="0" w:firstRowLastColumn="0" w:lastRowFirstColumn="0" w:lastRowLastColumn="0"/>
            </w:pPr>
            <w:r>
              <w:t>30 per cent x $</w:t>
            </w:r>
            <w:r w:rsidR="00D85513">
              <w:t>5.46</w:t>
            </w:r>
            <w:r>
              <w:t xml:space="preserve"> million</w:t>
            </w:r>
          </w:p>
        </w:tc>
        <w:tc>
          <w:tcPr>
            <w:tcW w:w="1763" w:type="dxa"/>
          </w:tcPr>
          <w:p w:rsidR="007F665D" w:rsidRDefault="007F665D" w:rsidP="00A609EA">
            <w:pPr>
              <w:pStyle w:val="AERtabletextleft"/>
              <w:cnfStyle w:val="000000010000" w:firstRow="0" w:lastRow="0" w:firstColumn="0" w:lastColumn="0" w:oddVBand="0" w:evenVBand="0" w:oddHBand="0" w:evenHBand="1" w:firstRowFirstColumn="0" w:firstRowLastColumn="0" w:lastRowFirstColumn="0" w:lastRowLastColumn="0"/>
            </w:pPr>
            <w:r>
              <w:t>$</w:t>
            </w:r>
            <w:r w:rsidR="00D85513">
              <w:t>1.64</w:t>
            </w:r>
            <w:r>
              <w:t xml:space="preserve"> million</w:t>
            </w:r>
          </w:p>
        </w:tc>
      </w:tr>
      <w:tr w:rsidR="007F665D" w:rsidTr="00333E1A">
        <w:tc>
          <w:tcPr>
            <w:cnfStyle w:val="001000000000" w:firstRow="0" w:lastRow="0" w:firstColumn="1" w:lastColumn="0" w:oddVBand="0" w:evenVBand="0" w:oddHBand="0" w:evenHBand="0" w:firstRowFirstColumn="0" w:firstRowLastColumn="0" w:lastRowFirstColumn="0" w:lastRowLastColumn="0"/>
            <w:tcW w:w="3936" w:type="dxa"/>
          </w:tcPr>
          <w:p w:rsidR="007F665D" w:rsidRPr="007F665D" w:rsidRDefault="00D85513" w:rsidP="00A609EA">
            <w:pPr>
              <w:pStyle w:val="AERtabletextleft"/>
            </w:pPr>
            <w:r>
              <w:t xml:space="preserve">Total </w:t>
            </w:r>
            <w:r w:rsidR="007F665D" w:rsidRPr="007F665D">
              <w:t>financing cost (NPV)</w:t>
            </w:r>
          </w:p>
        </w:tc>
        <w:tc>
          <w:tcPr>
            <w:tcW w:w="3543" w:type="dxa"/>
          </w:tcPr>
          <w:p w:rsidR="007F665D" w:rsidRPr="007F665D" w:rsidRDefault="00333E1A" w:rsidP="00A609EA">
            <w:pPr>
              <w:pStyle w:val="AERtabletextleft"/>
              <w:cnfStyle w:val="000000000000" w:firstRow="0" w:lastRow="0" w:firstColumn="0" w:lastColumn="0" w:oddVBand="0" w:evenVBand="0" w:oddHBand="0" w:evenHBand="0" w:firstRowFirstColumn="0" w:firstRowLastColumn="0" w:lastRowFirstColumn="0" w:lastRowLastColumn="0"/>
            </w:pPr>
            <w:r>
              <w:t>$0.</w:t>
            </w:r>
            <w:r w:rsidR="00D85513">
              <w:t>16</w:t>
            </w:r>
            <w:r>
              <w:t xml:space="preserve"> million + $</w:t>
            </w:r>
            <w:r w:rsidR="00D85513">
              <w:t>0.30</w:t>
            </w:r>
            <w:r>
              <w:t xml:space="preserve"> million</w:t>
            </w:r>
          </w:p>
        </w:tc>
        <w:tc>
          <w:tcPr>
            <w:tcW w:w="1763" w:type="dxa"/>
          </w:tcPr>
          <w:p w:rsidR="007F665D" w:rsidRDefault="007F665D" w:rsidP="00A609EA">
            <w:pPr>
              <w:pStyle w:val="AERtabletextleft"/>
              <w:cnfStyle w:val="000000000000" w:firstRow="0" w:lastRow="0" w:firstColumn="0" w:lastColumn="0" w:oddVBand="0" w:evenVBand="0" w:oddHBand="0" w:evenHBand="0" w:firstRowFirstColumn="0" w:firstRowLastColumn="0" w:lastRowFirstColumn="0" w:lastRowLastColumn="0"/>
            </w:pPr>
            <w:r>
              <w:t>$</w:t>
            </w:r>
            <w:r w:rsidR="00D85513">
              <w:t>0</w:t>
            </w:r>
            <w:r w:rsidR="00333E1A">
              <w:t>.</w:t>
            </w:r>
            <w:r w:rsidR="00D85513">
              <w:t>46</w:t>
            </w:r>
            <w:r>
              <w:t xml:space="preserve"> million</w:t>
            </w:r>
          </w:p>
        </w:tc>
      </w:tr>
      <w:tr w:rsidR="00333E1A" w:rsidTr="00333E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333E1A" w:rsidRDefault="00333E1A" w:rsidP="00A609EA">
            <w:pPr>
              <w:pStyle w:val="AERtabletextleft"/>
            </w:pPr>
            <w:r>
              <w:t xml:space="preserve">CESS </w:t>
            </w:r>
            <w:r w:rsidR="00D85513">
              <w:t>at end of year 5</w:t>
            </w:r>
          </w:p>
        </w:tc>
        <w:tc>
          <w:tcPr>
            <w:tcW w:w="3543" w:type="dxa"/>
          </w:tcPr>
          <w:p w:rsidR="00333E1A" w:rsidRDefault="00333E1A" w:rsidP="00A609EA">
            <w:pPr>
              <w:pStyle w:val="AERtabletextleft"/>
              <w:cnfStyle w:val="000000010000" w:firstRow="0" w:lastRow="0" w:firstColumn="0" w:lastColumn="0" w:oddVBand="0" w:evenVBand="0" w:oddHBand="0" w:evenHBand="1" w:firstRowFirstColumn="0" w:firstRowLastColumn="0" w:lastRowFirstColumn="0" w:lastRowLastColumn="0"/>
            </w:pPr>
            <w:r>
              <w:t>$</w:t>
            </w:r>
            <w:r w:rsidR="00D85513">
              <w:t>1.64 million - $0</w:t>
            </w:r>
            <w:r>
              <w:t>.</w:t>
            </w:r>
            <w:r w:rsidR="00D85513">
              <w:t>46</w:t>
            </w:r>
            <w:r>
              <w:t xml:space="preserve"> million</w:t>
            </w:r>
          </w:p>
        </w:tc>
        <w:tc>
          <w:tcPr>
            <w:tcW w:w="1763" w:type="dxa"/>
          </w:tcPr>
          <w:p w:rsidR="00333E1A" w:rsidRDefault="00333E1A" w:rsidP="00A609EA">
            <w:pPr>
              <w:pStyle w:val="AERtabletextleft"/>
              <w:cnfStyle w:val="000000010000" w:firstRow="0" w:lastRow="0" w:firstColumn="0" w:lastColumn="0" w:oddVBand="0" w:evenVBand="0" w:oddHBand="0" w:evenHBand="1" w:firstRowFirstColumn="0" w:firstRowLastColumn="0" w:lastRowFirstColumn="0" w:lastRowLastColumn="0"/>
            </w:pPr>
            <w:r>
              <w:t>$1.18 million</w:t>
            </w:r>
          </w:p>
        </w:tc>
      </w:tr>
      <w:tr w:rsidR="00333E1A" w:rsidTr="00333E1A">
        <w:tc>
          <w:tcPr>
            <w:cnfStyle w:val="001000000000" w:firstRow="0" w:lastRow="0" w:firstColumn="1" w:lastColumn="0" w:oddVBand="0" w:evenVBand="0" w:oddHBand="0" w:evenHBand="0" w:firstRowFirstColumn="0" w:firstRowLastColumn="0" w:lastRowFirstColumn="0" w:lastRowLastColumn="0"/>
            <w:tcW w:w="3936" w:type="dxa"/>
          </w:tcPr>
          <w:p w:rsidR="00333E1A" w:rsidRDefault="00D85513" w:rsidP="00A609EA">
            <w:pPr>
              <w:pStyle w:val="AERtabletextleft"/>
            </w:pPr>
            <w:r>
              <w:t>CESS</w:t>
            </w:r>
            <w:r w:rsidR="00333E1A">
              <w:t xml:space="preserve"> in end of year 10 dollars</w:t>
            </w:r>
          </w:p>
        </w:tc>
        <w:tc>
          <w:tcPr>
            <w:tcW w:w="3543" w:type="dxa"/>
          </w:tcPr>
          <w:p w:rsidR="00333E1A" w:rsidRDefault="00D85513" w:rsidP="00A609EA">
            <w:pPr>
              <w:pStyle w:val="AERtabletextleft"/>
              <w:cnfStyle w:val="000000000000" w:firstRow="0" w:lastRow="0" w:firstColumn="0" w:lastColumn="0" w:oddVBand="0" w:evenVBand="0" w:oddHBand="0" w:evenHBand="0" w:firstRowFirstColumn="0" w:firstRowLastColumn="0" w:lastRowFirstColumn="0" w:lastRowLastColumn="0"/>
            </w:pPr>
            <w:r>
              <w:t xml:space="preserve">$1.18 x </w:t>
            </w:r>
            <w:r w:rsidR="00333E1A">
              <w:t>(1/</w:t>
            </w:r>
            <w:r>
              <w:t>0.75</w:t>
            </w:r>
            <w:r w:rsidR="00333E1A">
              <w:t>)</w:t>
            </w:r>
          </w:p>
        </w:tc>
        <w:tc>
          <w:tcPr>
            <w:tcW w:w="1763" w:type="dxa"/>
          </w:tcPr>
          <w:p w:rsidR="00333E1A" w:rsidRDefault="00333E1A" w:rsidP="00A609EA">
            <w:pPr>
              <w:pStyle w:val="AERtabletextleft"/>
              <w:cnfStyle w:val="000000000000" w:firstRow="0" w:lastRow="0" w:firstColumn="0" w:lastColumn="0" w:oddVBand="0" w:evenVBand="0" w:oddHBand="0" w:evenHBand="0" w:firstRowFirstColumn="0" w:firstRowLastColumn="0" w:lastRowFirstColumn="0" w:lastRowLastColumn="0"/>
            </w:pPr>
            <w:r>
              <w:t>$1.58 million</w:t>
            </w:r>
          </w:p>
        </w:tc>
      </w:tr>
    </w:tbl>
    <w:p w:rsidR="00A81E68" w:rsidRDefault="00333E1A" w:rsidP="00B47ADD">
      <w:pPr>
        <w:pStyle w:val="AERbodytext"/>
      </w:pPr>
      <w:r>
        <w:t>In summary, the NSP will be given a CESS payment of $1.58 million in the third regulatory control period to adjust for the extra CESS penalty incurred in the second regulatory control period.</w:t>
      </w:r>
      <w:r w:rsidR="00185E95">
        <w:t xml:space="preserve"> The NSP's RAB will also be adjusted; the NPV of the inefficient $5 million will be taken out of the RAB. </w:t>
      </w:r>
      <w:r w:rsidR="00B70775">
        <w:t>Consumers will bear none of the inefficient $5 million in NPV terms.</w:t>
      </w:r>
    </w:p>
    <w:p w:rsidR="0044646B" w:rsidRDefault="0044646B">
      <w:r>
        <w:br w:type="page"/>
      </w:r>
    </w:p>
    <w:p w:rsidR="0077722D" w:rsidRDefault="0077722D" w:rsidP="0077722D">
      <w:pPr>
        <w:pStyle w:val="Heading7"/>
      </w:pPr>
      <w:bookmarkStart w:id="43" w:name="_Toc363640500"/>
      <w:r>
        <w:t>Summary of submissions</w:t>
      </w:r>
      <w:bookmarkEnd w:id="43"/>
    </w:p>
    <w:p w:rsidR="00335B8E" w:rsidRPr="00C8391D" w:rsidRDefault="00335B8E" w:rsidP="00335B8E">
      <w:pPr>
        <w:pStyle w:val="Caption"/>
      </w:pPr>
      <w:proofErr w:type="gramStart"/>
      <w:r>
        <w:t xml:space="preserve">Table </w:t>
      </w:r>
      <w:r w:rsidR="003C6AC7">
        <w:t>D</w:t>
      </w:r>
      <w:r>
        <w:t>.</w:t>
      </w:r>
      <w:proofErr w:type="gramEnd"/>
      <w:r w:rsidR="00507A05">
        <w:fldChar w:fldCharType="begin"/>
      </w:r>
      <w:r w:rsidR="00507A05">
        <w:instrText xml:space="preserve"> SEQ Table \* ARABIC \s 1 </w:instrText>
      </w:r>
      <w:r w:rsidR="00507A05">
        <w:fldChar w:fldCharType="separate"/>
      </w:r>
      <w:r w:rsidR="000F43BD">
        <w:rPr>
          <w:noProof/>
        </w:rPr>
        <w:t>1</w:t>
      </w:r>
      <w:r w:rsidR="00507A05">
        <w:fldChar w:fldCharType="end"/>
      </w:r>
      <w:r>
        <w:tab/>
        <w:t>Summary of submissions on the capital expenditure sharing scheme</w:t>
      </w:r>
    </w:p>
    <w:tbl>
      <w:tblPr>
        <w:tblStyle w:val="AERtable-text"/>
        <w:tblW w:w="0" w:type="auto"/>
        <w:tblLook w:val="0020" w:firstRow="1" w:lastRow="0" w:firstColumn="0" w:lastColumn="0" w:noHBand="0" w:noVBand="0"/>
      </w:tblPr>
      <w:tblGrid>
        <w:gridCol w:w="1741"/>
        <w:gridCol w:w="2080"/>
        <w:gridCol w:w="4707"/>
      </w:tblGrid>
      <w:tr w:rsidR="00335B8E" w:rsidRPr="00335B8E" w:rsidTr="00335B8E">
        <w:trPr>
          <w:cnfStyle w:val="100000000000" w:firstRow="1" w:lastRow="0" w:firstColumn="0" w:lastColumn="0" w:oddVBand="0" w:evenVBand="0" w:oddHBand="0" w:evenHBand="0" w:firstRowFirstColumn="0" w:firstRowLastColumn="0" w:lastRowFirstColumn="0" w:lastRowLastColumn="0"/>
        </w:trPr>
        <w:tc>
          <w:tcPr>
            <w:tcW w:w="1741" w:type="dxa"/>
          </w:tcPr>
          <w:p w:rsidR="00335B8E" w:rsidRPr="00335B8E" w:rsidRDefault="00335B8E" w:rsidP="00335B8E">
            <w:pPr>
              <w:pStyle w:val="AERtabletextleft"/>
              <w:rPr>
                <w:rStyle w:val="AERtextbold"/>
                <w:b/>
              </w:rPr>
            </w:pPr>
            <w:r w:rsidRPr="00335B8E">
              <w:rPr>
                <w:rStyle w:val="AERtextbold"/>
                <w:b/>
              </w:rPr>
              <w:t>Issue</w:t>
            </w:r>
          </w:p>
        </w:tc>
        <w:tc>
          <w:tcPr>
            <w:tcW w:w="2080" w:type="dxa"/>
          </w:tcPr>
          <w:p w:rsidR="00335B8E" w:rsidRPr="00335B8E" w:rsidRDefault="00335B8E" w:rsidP="00335B8E">
            <w:pPr>
              <w:pStyle w:val="AERtabletextleft"/>
              <w:rPr>
                <w:rStyle w:val="AERtextbold"/>
                <w:b/>
              </w:rPr>
            </w:pPr>
            <w:r w:rsidRPr="00335B8E">
              <w:rPr>
                <w:rStyle w:val="AERtextbold"/>
                <w:b/>
              </w:rPr>
              <w:t>Respondent</w:t>
            </w:r>
          </w:p>
        </w:tc>
        <w:tc>
          <w:tcPr>
            <w:tcW w:w="4707" w:type="dxa"/>
          </w:tcPr>
          <w:p w:rsidR="00335B8E" w:rsidRPr="00335B8E" w:rsidRDefault="00335B8E" w:rsidP="00335B8E">
            <w:pPr>
              <w:pStyle w:val="AERtabletextleft"/>
              <w:rPr>
                <w:rStyle w:val="AERtextbold"/>
                <w:b/>
              </w:rPr>
            </w:pPr>
            <w:r w:rsidRPr="00335B8E">
              <w:rPr>
                <w:rStyle w:val="AERtextbold"/>
                <w:b/>
              </w:rPr>
              <w:t>Comments</w:t>
            </w:r>
          </w:p>
        </w:tc>
      </w:tr>
      <w:tr w:rsidR="00335B8E" w:rsidRPr="00C35112" w:rsidTr="00335B8E">
        <w:tc>
          <w:tcPr>
            <w:tcW w:w="1741" w:type="dxa"/>
          </w:tcPr>
          <w:p w:rsidR="00335B8E" w:rsidRPr="00C35112" w:rsidRDefault="00335B8E" w:rsidP="00335B8E">
            <w:pPr>
              <w:pStyle w:val="AERtabletextleft"/>
            </w:pPr>
            <w:r w:rsidRPr="00C35112">
              <w:t>General</w:t>
            </w:r>
            <w:r>
              <w:t xml:space="preserve"> CESS</w:t>
            </w:r>
          </w:p>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Grid Australia</w:t>
            </w:r>
          </w:p>
        </w:tc>
        <w:tc>
          <w:tcPr>
            <w:tcW w:w="4707" w:type="dxa"/>
          </w:tcPr>
          <w:p w:rsidR="00335B8E" w:rsidRPr="00C35112" w:rsidRDefault="00335B8E" w:rsidP="00335B8E">
            <w:pPr>
              <w:pStyle w:val="AERtabletextleft"/>
            </w:pPr>
            <w:r w:rsidRPr="00C35112">
              <w:t xml:space="preserve">Requested that the AER include guidance on its interpretation of the capital expenditure incentive objective, including the impact of other incentive schemes on this. Also, a description of likely scenarios in which the AER might depart from the </w:t>
            </w:r>
            <w:r w:rsidR="00783661">
              <w:t>guidelines</w:t>
            </w:r>
            <w:r w:rsidRPr="00C35112">
              <w:t>. Also, a glossary of terms.</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NSW DNSPs</w:t>
            </w:r>
          </w:p>
        </w:tc>
        <w:tc>
          <w:tcPr>
            <w:tcW w:w="4707" w:type="dxa"/>
          </w:tcPr>
          <w:p w:rsidR="00335B8E" w:rsidRPr="00C35112" w:rsidRDefault="00335B8E" w:rsidP="00335B8E">
            <w:pPr>
              <w:pStyle w:val="AERtabletextleft"/>
            </w:pPr>
            <w:r w:rsidRPr="00C35112">
              <w:t>Suggested that the AER provide more guidance on the objectives underlying the development of incentive schemes, and how these align with the NEO and the pricing principles under the NEL.</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ENA</w:t>
            </w:r>
          </w:p>
        </w:tc>
        <w:tc>
          <w:tcPr>
            <w:tcW w:w="4707" w:type="dxa"/>
          </w:tcPr>
          <w:p w:rsidR="00335B8E" w:rsidRPr="00C35112" w:rsidRDefault="00335B8E" w:rsidP="00335B8E">
            <w:pPr>
              <w:pStyle w:val="AERtabletextleft"/>
            </w:pPr>
            <w:r w:rsidRPr="00C35112">
              <w:t>Suggested we use the term 'spending above the allowance' instead of 'overspending' and 'spending below the allowance' instead of 'underspending'.</w:t>
            </w:r>
          </w:p>
        </w:tc>
      </w:tr>
      <w:tr w:rsidR="005114FC"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5114FC" w:rsidRDefault="005114FC" w:rsidP="00335B8E">
            <w:pPr>
              <w:pStyle w:val="AERtabletextleft"/>
            </w:pPr>
          </w:p>
        </w:tc>
        <w:tc>
          <w:tcPr>
            <w:tcW w:w="2080" w:type="dxa"/>
          </w:tcPr>
          <w:p w:rsidR="005114FC" w:rsidRPr="00C35112" w:rsidRDefault="005114FC" w:rsidP="00335B8E">
            <w:pPr>
              <w:pStyle w:val="AERtabletextleft"/>
            </w:pPr>
            <w:r>
              <w:t>Council of</w:t>
            </w:r>
            <w:r w:rsidR="00165EBB">
              <w:t xml:space="preserve"> Small Business Australia (</w:t>
            </w:r>
            <w:r w:rsidR="00DD5759">
              <w:t>COSBOA</w:t>
            </w:r>
            <w:r>
              <w:t>)</w:t>
            </w:r>
          </w:p>
        </w:tc>
        <w:tc>
          <w:tcPr>
            <w:tcW w:w="4707" w:type="dxa"/>
          </w:tcPr>
          <w:p w:rsidR="005114FC" w:rsidRPr="00C35112" w:rsidRDefault="005114FC" w:rsidP="00335B8E">
            <w:pPr>
              <w:pStyle w:val="AERtabletextleft"/>
            </w:pPr>
            <w:r>
              <w:t>Supported the development of a CESS.</w:t>
            </w:r>
          </w:p>
        </w:tc>
      </w:tr>
      <w:tr w:rsidR="00335B8E" w:rsidRPr="00C35112" w:rsidTr="00335B8E">
        <w:tc>
          <w:tcPr>
            <w:tcW w:w="1741" w:type="dxa"/>
          </w:tcPr>
          <w:p w:rsidR="00335B8E" w:rsidRPr="00C35112" w:rsidRDefault="00335B8E" w:rsidP="00335B8E">
            <w:pPr>
              <w:pStyle w:val="AERtabletextleft"/>
            </w:pPr>
            <w:r>
              <w:t>Declining incentives</w:t>
            </w:r>
          </w:p>
        </w:tc>
        <w:tc>
          <w:tcPr>
            <w:tcW w:w="2080" w:type="dxa"/>
          </w:tcPr>
          <w:p w:rsidR="00335B8E" w:rsidRPr="00C35112" w:rsidRDefault="00335B8E" w:rsidP="00335B8E">
            <w:pPr>
              <w:pStyle w:val="AERtabletextleft"/>
            </w:pPr>
            <w:r w:rsidRPr="00C35112">
              <w:t>Total Environment Centre’s National Electricity Market Advocacy (TEC)</w:t>
            </w:r>
          </w:p>
        </w:tc>
        <w:tc>
          <w:tcPr>
            <w:tcW w:w="4707" w:type="dxa"/>
          </w:tcPr>
          <w:p w:rsidR="00335B8E" w:rsidRPr="00C35112" w:rsidRDefault="00335B8E" w:rsidP="00335B8E">
            <w:pPr>
              <w:pStyle w:val="AERtabletextleft"/>
            </w:pPr>
            <w:r w:rsidRPr="00C35112">
              <w:t>Agreed that there are declining incentives for efficient capex and this could be a problem in year five.</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NSW DNSPs</w:t>
            </w:r>
          </w:p>
        </w:tc>
        <w:tc>
          <w:tcPr>
            <w:tcW w:w="4707" w:type="dxa"/>
          </w:tcPr>
          <w:p w:rsidR="00335B8E" w:rsidRPr="00C35112" w:rsidRDefault="00335B8E" w:rsidP="00335B8E">
            <w:pPr>
              <w:pStyle w:val="AERtabletextleft"/>
            </w:pPr>
            <w:r w:rsidRPr="00C35112">
              <w:t>Agreed that there are declining incentives that may lead to inefficient timing of investment.</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EnerNOC</w:t>
            </w:r>
          </w:p>
        </w:tc>
        <w:tc>
          <w:tcPr>
            <w:tcW w:w="4707" w:type="dxa"/>
          </w:tcPr>
          <w:p w:rsidR="00335B8E" w:rsidRPr="00C35112" w:rsidRDefault="00335B8E" w:rsidP="00335B8E">
            <w:pPr>
              <w:pStyle w:val="AERtabletextleft"/>
            </w:pPr>
            <w:r w:rsidRPr="00C35112">
              <w:t>Stated that anecdotally, it seems that NSPs' attitudes towards demand side response initiatives vary over the regulatory period (since opex solutions become relatively less attractive over the period).</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 xml:space="preserve">Major Energy Users </w:t>
            </w:r>
            <w:r w:rsidR="00783661" w:rsidRPr="00C35112">
              <w:t>Inc.</w:t>
            </w:r>
            <w:r w:rsidRPr="00C35112">
              <w:t xml:space="preserve"> (MEU)</w:t>
            </w:r>
          </w:p>
        </w:tc>
        <w:tc>
          <w:tcPr>
            <w:tcW w:w="4707" w:type="dxa"/>
          </w:tcPr>
          <w:p w:rsidR="00335B8E" w:rsidRPr="00C35112" w:rsidRDefault="00335B8E" w:rsidP="00335B8E">
            <w:pPr>
              <w:pStyle w:val="AERtabletextleft"/>
            </w:pPr>
            <w:r w:rsidRPr="00C35112">
              <w:t>Stated that there is an incentive for NSPs to defer capex to later in the regulatory period.</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ENA</w:t>
            </w:r>
          </w:p>
        </w:tc>
        <w:tc>
          <w:tcPr>
            <w:tcW w:w="4707" w:type="dxa"/>
          </w:tcPr>
          <w:p w:rsidR="00335B8E" w:rsidRPr="00C35112" w:rsidRDefault="00335B8E" w:rsidP="00335B8E">
            <w:pPr>
              <w:pStyle w:val="AERtabletextleft"/>
            </w:pPr>
            <w:r w:rsidRPr="00C35112">
              <w:t xml:space="preserve">Acknowledged that the incentives decline but </w:t>
            </w:r>
            <w:r w:rsidR="002722F7">
              <w:t>not</w:t>
            </w:r>
            <w:r w:rsidRPr="00C35112">
              <w:t>ed that there is little evidence that this has been an issue in practice.</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SP AusNet</w:t>
            </w:r>
          </w:p>
        </w:tc>
        <w:tc>
          <w:tcPr>
            <w:tcW w:w="4707" w:type="dxa"/>
          </w:tcPr>
          <w:p w:rsidR="00335B8E" w:rsidRPr="00C35112" w:rsidRDefault="00335B8E" w:rsidP="00335B8E">
            <w:pPr>
              <w:pStyle w:val="AERtabletextleft"/>
            </w:pPr>
            <w:r w:rsidRPr="00C35112">
              <w:t>Agreed that there are declining incentives over the regulatory period but did not agree that there was any evidence of NSPs taking advantage of this.</w:t>
            </w:r>
          </w:p>
        </w:tc>
      </w:tr>
      <w:tr w:rsidR="00FE4600" w:rsidRPr="00C35112" w:rsidTr="00DF3C96">
        <w:tc>
          <w:tcPr>
            <w:tcW w:w="1741" w:type="dxa"/>
          </w:tcPr>
          <w:p w:rsidR="00FE4600" w:rsidRPr="00C35112" w:rsidRDefault="00FE4600" w:rsidP="00FE4600">
            <w:pPr>
              <w:pStyle w:val="AERtabletextleft"/>
              <w:tabs>
                <w:tab w:val="num" w:pos="0"/>
              </w:tabs>
            </w:pPr>
          </w:p>
        </w:tc>
        <w:tc>
          <w:tcPr>
            <w:tcW w:w="2080" w:type="dxa"/>
          </w:tcPr>
          <w:p w:rsidR="00FE4600" w:rsidRPr="00C35112" w:rsidRDefault="00E21668" w:rsidP="00FE4600">
            <w:pPr>
              <w:pStyle w:val="AERtabletextleft"/>
              <w:tabs>
                <w:tab w:val="num" w:pos="0"/>
              </w:tabs>
            </w:pPr>
            <w:r>
              <w:t>Vic</w:t>
            </w:r>
            <w:r w:rsidR="00DF3C96">
              <w:t xml:space="preserve"> </w:t>
            </w:r>
            <w:r w:rsidR="00FE4600" w:rsidRPr="001F658C">
              <w:t>Department of State Development, Business and Innovation</w:t>
            </w:r>
            <w:r w:rsidR="00FE4600">
              <w:t xml:space="preserve"> (DSDBI)</w:t>
            </w:r>
          </w:p>
        </w:tc>
        <w:tc>
          <w:tcPr>
            <w:tcW w:w="4707" w:type="dxa"/>
          </w:tcPr>
          <w:p w:rsidR="00FE4600" w:rsidRPr="00C35112" w:rsidRDefault="00FE4600" w:rsidP="00FE4600">
            <w:pPr>
              <w:pStyle w:val="AERtabletextleft"/>
              <w:tabs>
                <w:tab w:val="num" w:pos="0"/>
              </w:tabs>
            </w:pPr>
            <w:r>
              <w:t>Noted that there was no trend towards overspending later in the period for Victorian NSPs, whether a capex incentive scheme applied or not.</w:t>
            </w:r>
          </w:p>
        </w:tc>
      </w:tr>
      <w:tr w:rsidR="005114FC"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5114FC" w:rsidRPr="00C35112" w:rsidRDefault="005114FC" w:rsidP="00335B8E">
            <w:pPr>
              <w:pStyle w:val="AERtabletextleft"/>
            </w:pPr>
          </w:p>
        </w:tc>
        <w:tc>
          <w:tcPr>
            <w:tcW w:w="2080" w:type="dxa"/>
          </w:tcPr>
          <w:p w:rsidR="005114FC" w:rsidRPr="00C35112" w:rsidRDefault="00DD5759" w:rsidP="00335B8E">
            <w:pPr>
              <w:pStyle w:val="AERtabletextleft"/>
            </w:pPr>
            <w:r>
              <w:t>COSBOA</w:t>
            </w:r>
          </w:p>
        </w:tc>
        <w:tc>
          <w:tcPr>
            <w:tcW w:w="4707" w:type="dxa"/>
          </w:tcPr>
          <w:p w:rsidR="005114FC" w:rsidRPr="00C35112" w:rsidRDefault="005114FC" w:rsidP="00335B8E">
            <w:pPr>
              <w:pStyle w:val="AERtabletextleft"/>
            </w:pPr>
            <w:r>
              <w:t>Was not convinced that the data conclusively suggests that NSP ramp up capex towards the end of the regulatory control period.</w:t>
            </w:r>
            <w:r w:rsidR="00EE5E7E">
              <w:t xml:space="preserve"> Suggested alternative means for addressing declining incentives.</w:t>
            </w:r>
          </w:p>
        </w:tc>
      </w:tr>
      <w:tr w:rsidR="00335B8E" w:rsidRPr="00C35112" w:rsidTr="00335B8E">
        <w:tc>
          <w:tcPr>
            <w:tcW w:w="1741" w:type="dxa"/>
          </w:tcPr>
          <w:p w:rsidR="00335B8E" w:rsidRPr="00C35112" w:rsidRDefault="00335B8E" w:rsidP="00335B8E">
            <w:pPr>
              <w:pStyle w:val="AERtabletextleft"/>
            </w:pPr>
            <w:r w:rsidRPr="00C35112">
              <w:t>Whether NSPs respond to financial incentives</w:t>
            </w:r>
          </w:p>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Aurora</w:t>
            </w:r>
          </w:p>
        </w:tc>
        <w:tc>
          <w:tcPr>
            <w:tcW w:w="4707" w:type="dxa"/>
          </w:tcPr>
          <w:p w:rsidR="00335B8E" w:rsidRPr="00C35112" w:rsidRDefault="00335B8E" w:rsidP="00335B8E">
            <w:pPr>
              <w:pStyle w:val="AERtabletextleft"/>
            </w:pPr>
            <w:r w:rsidRPr="00C35112">
              <w:t>Noted that its strategy centres around minimising the effects of its operations on customers. That is, their main incentive is not financial.</w:t>
            </w:r>
          </w:p>
        </w:tc>
      </w:tr>
    </w:tbl>
    <w:p w:rsidR="007969AE" w:rsidRDefault="007969AE">
      <w:r>
        <w:br w:type="page"/>
      </w:r>
    </w:p>
    <w:tbl>
      <w:tblPr>
        <w:tblStyle w:val="AERtable-text"/>
        <w:tblW w:w="0" w:type="auto"/>
        <w:tblLook w:val="0020" w:firstRow="1" w:lastRow="0" w:firstColumn="0" w:lastColumn="0" w:noHBand="0" w:noVBand="0"/>
      </w:tblPr>
      <w:tblGrid>
        <w:gridCol w:w="1741"/>
        <w:gridCol w:w="2080"/>
        <w:gridCol w:w="4707"/>
      </w:tblGrid>
      <w:tr w:rsidR="007969AE" w:rsidRPr="00335B8E" w:rsidTr="00AE3655">
        <w:trPr>
          <w:cnfStyle w:val="100000000000" w:firstRow="1" w:lastRow="0" w:firstColumn="0" w:lastColumn="0" w:oddVBand="0" w:evenVBand="0" w:oddHBand="0" w:evenHBand="0" w:firstRowFirstColumn="0" w:firstRowLastColumn="0" w:lastRowFirstColumn="0" w:lastRowLastColumn="0"/>
        </w:trPr>
        <w:tc>
          <w:tcPr>
            <w:tcW w:w="1741" w:type="dxa"/>
          </w:tcPr>
          <w:p w:rsidR="007969AE" w:rsidRPr="007969AE" w:rsidRDefault="007969AE" w:rsidP="007969AE">
            <w:pPr>
              <w:pStyle w:val="AERtabletextleft"/>
              <w:rPr>
                <w:rStyle w:val="AERtextbold"/>
              </w:rPr>
            </w:pPr>
            <w:r w:rsidRPr="007969AE">
              <w:rPr>
                <w:rStyle w:val="AERtextbold"/>
              </w:rPr>
              <w:t>Issue</w:t>
            </w:r>
          </w:p>
        </w:tc>
        <w:tc>
          <w:tcPr>
            <w:tcW w:w="2080" w:type="dxa"/>
          </w:tcPr>
          <w:p w:rsidR="007969AE" w:rsidRPr="007969AE" w:rsidRDefault="007969AE" w:rsidP="007969AE">
            <w:pPr>
              <w:pStyle w:val="AERtabletextleft"/>
              <w:rPr>
                <w:rStyle w:val="AERtextbold"/>
              </w:rPr>
            </w:pPr>
            <w:r w:rsidRPr="007969AE">
              <w:rPr>
                <w:rStyle w:val="AERtextbold"/>
              </w:rPr>
              <w:t>Respondent</w:t>
            </w:r>
          </w:p>
        </w:tc>
        <w:tc>
          <w:tcPr>
            <w:tcW w:w="4707" w:type="dxa"/>
          </w:tcPr>
          <w:p w:rsidR="007969AE" w:rsidRPr="007969AE" w:rsidRDefault="007969AE" w:rsidP="007969AE">
            <w:pPr>
              <w:pStyle w:val="AERtabletextleft"/>
              <w:rPr>
                <w:rStyle w:val="AERtextbold"/>
              </w:rPr>
            </w:pPr>
            <w:r w:rsidRPr="007969AE">
              <w:rPr>
                <w:rStyle w:val="AERtextbold"/>
              </w:rPr>
              <w:t>Comments</w:t>
            </w:r>
          </w:p>
        </w:tc>
      </w:tr>
      <w:tr w:rsidR="00335B8E" w:rsidRPr="00C35112" w:rsidTr="00AE3655">
        <w:tc>
          <w:tcPr>
            <w:tcW w:w="1741" w:type="dxa"/>
          </w:tcPr>
          <w:p w:rsidR="00335B8E" w:rsidRPr="00C35112" w:rsidRDefault="007969AE" w:rsidP="00335B8E">
            <w:pPr>
              <w:pStyle w:val="AERtabletextleft"/>
            </w:pPr>
            <w:r w:rsidRPr="00C35112">
              <w:t>Whether NSPs respond to financial incentives</w:t>
            </w:r>
          </w:p>
        </w:tc>
        <w:tc>
          <w:tcPr>
            <w:tcW w:w="2080" w:type="dxa"/>
          </w:tcPr>
          <w:p w:rsidR="00335B8E" w:rsidRPr="00C35112" w:rsidRDefault="00335B8E" w:rsidP="00335B8E">
            <w:pPr>
              <w:pStyle w:val="AERtabletextleft"/>
            </w:pPr>
            <w:r w:rsidRPr="00C35112">
              <w:t>Energy Users Association of Australia (EUAA)/ Carbon + Energy Markets (CEM)</w:t>
            </w:r>
          </w:p>
        </w:tc>
        <w:tc>
          <w:tcPr>
            <w:tcW w:w="4707" w:type="dxa"/>
          </w:tcPr>
          <w:p w:rsidR="00335B8E" w:rsidRPr="00C35112" w:rsidRDefault="00C1336E" w:rsidP="00335B8E">
            <w:pPr>
              <w:pStyle w:val="AERtabletextleft"/>
            </w:pPr>
            <w:r>
              <w:t>C</w:t>
            </w:r>
            <w:r w:rsidR="00335B8E" w:rsidRPr="00C35112">
              <w:t xml:space="preserve">ited a range of evidence to suggest that government-owned NSPs pursue a range of objectives, not just financial. Also </w:t>
            </w:r>
            <w:r w:rsidR="002722F7">
              <w:t>not</w:t>
            </w:r>
            <w:r w:rsidR="00335B8E" w:rsidRPr="00C35112">
              <w:t>ed that due to a lower cost of capital and the state government owner also being the recipient of income tax, government-owned NSPs have an incentive to overinvest.</w:t>
            </w:r>
          </w:p>
        </w:tc>
      </w:tr>
      <w:tr w:rsidR="00335B8E" w:rsidRPr="00C35112" w:rsidTr="00AE3655">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Public Interest Advocacy Centre (PIAC)</w:t>
            </w:r>
          </w:p>
        </w:tc>
        <w:tc>
          <w:tcPr>
            <w:tcW w:w="4707" w:type="dxa"/>
          </w:tcPr>
          <w:p w:rsidR="00335B8E" w:rsidRPr="00C35112" w:rsidRDefault="00335B8E" w:rsidP="00335B8E">
            <w:pPr>
              <w:pStyle w:val="AERtabletextleft"/>
            </w:pPr>
            <w:r w:rsidRPr="00C35112">
              <w:t>Stated that where NSPs have multiple objectives (other than financial objectives), they will respond less to sharing schemes, and hence the power should be higher.</w:t>
            </w:r>
          </w:p>
        </w:tc>
      </w:tr>
      <w:tr w:rsidR="00335B8E" w:rsidRPr="00C35112" w:rsidTr="00AE3655">
        <w:tc>
          <w:tcPr>
            <w:tcW w:w="1741" w:type="dxa"/>
          </w:tcPr>
          <w:p w:rsidR="00335B8E" w:rsidRPr="00C35112" w:rsidRDefault="00335B8E" w:rsidP="00335B8E">
            <w:pPr>
              <w:pStyle w:val="AERtabletextleft"/>
            </w:pPr>
            <w:r w:rsidRPr="00C35112">
              <w:t>Whether a CESS should apply</w:t>
            </w:r>
          </w:p>
        </w:tc>
        <w:tc>
          <w:tcPr>
            <w:tcW w:w="2080" w:type="dxa"/>
          </w:tcPr>
          <w:p w:rsidR="00335B8E" w:rsidRPr="00C35112" w:rsidRDefault="00335B8E" w:rsidP="00335B8E">
            <w:pPr>
              <w:pStyle w:val="AERtabletextleft"/>
            </w:pPr>
            <w:r w:rsidRPr="00C35112">
              <w:t>Aurora</w:t>
            </w:r>
          </w:p>
        </w:tc>
        <w:tc>
          <w:tcPr>
            <w:tcW w:w="4707" w:type="dxa"/>
          </w:tcPr>
          <w:p w:rsidR="00335B8E" w:rsidRPr="00C35112" w:rsidRDefault="00335B8E" w:rsidP="00335B8E">
            <w:pPr>
              <w:pStyle w:val="AERtabletextleft"/>
            </w:pPr>
            <w:r w:rsidRPr="00C35112">
              <w:t>Noted that since a forecast is just that, it is not necessarily a good estimate of what the efficient level of capex actually is. Also noted that capex deferrals could result in wins and losses for a NSP under a CESS. Unforeseeable events could also have this effect. Instead of a CESS, Aurora suggested an approach similar to that taken for demand management could be appropriate. Aurora also supported an ex post approach in favour of the CESS.</w:t>
            </w:r>
          </w:p>
        </w:tc>
      </w:tr>
      <w:tr w:rsidR="00335B8E" w:rsidRPr="00C35112" w:rsidTr="00AE3655">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r w:rsidRPr="00C35112">
              <w:t>C</w:t>
            </w:r>
            <w:r w:rsidR="00225084">
              <w:t>ESS c</w:t>
            </w:r>
            <w:r w:rsidRPr="00C35112">
              <w:t>ontinuity</w:t>
            </w:r>
          </w:p>
        </w:tc>
        <w:tc>
          <w:tcPr>
            <w:tcW w:w="2080" w:type="dxa"/>
          </w:tcPr>
          <w:p w:rsidR="00335B8E" w:rsidRPr="00C35112" w:rsidRDefault="00335B8E" w:rsidP="00335B8E">
            <w:pPr>
              <w:pStyle w:val="AERtabletextleft"/>
            </w:pPr>
            <w:r w:rsidRPr="00C35112">
              <w:t>TEC</w:t>
            </w:r>
          </w:p>
        </w:tc>
        <w:tc>
          <w:tcPr>
            <w:tcW w:w="4707" w:type="dxa"/>
          </w:tcPr>
          <w:p w:rsidR="00335B8E" w:rsidRPr="00C35112" w:rsidRDefault="00335B8E" w:rsidP="00335B8E">
            <w:pPr>
              <w:pStyle w:val="AERtabletextleft"/>
            </w:pPr>
            <w:r w:rsidRPr="00C35112">
              <w:t>Agreed that the CESS should provide continuous incentives.</w:t>
            </w:r>
          </w:p>
        </w:tc>
      </w:tr>
      <w:tr w:rsidR="00335B8E" w:rsidRPr="00C35112" w:rsidTr="00AE3655">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EUAA/ CEM</w:t>
            </w:r>
          </w:p>
        </w:tc>
        <w:tc>
          <w:tcPr>
            <w:tcW w:w="4707" w:type="dxa"/>
          </w:tcPr>
          <w:p w:rsidR="00335B8E" w:rsidRPr="00C35112" w:rsidRDefault="002722F7" w:rsidP="00335B8E">
            <w:pPr>
              <w:pStyle w:val="AERtabletextleft"/>
            </w:pPr>
            <w:r>
              <w:t>Did not support</w:t>
            </w:r>
            <w:r w:rsidR="00335B8E" w:rsidRPr="00C35112">
              <w:t xml:space="preserve"> constant incentives on the basis that there does not appear to have been a problem in practice and that providing constant incentives for assets of different lives would be overly difficult.</w:t>
            </w:r>
          </w:p>
        </w:tc>
      </w:tr>
      <w:tr w:rsidR="00335B8E" w:rsidRPr="00C35112" w:rsidTr="00AE3655">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EnerNOC</w:t>
            </w:r>
          </w:p>
        </w:tc>
        <w:tc>
          <w:tcPr>
            <w:tcW w:w="4707" w:type="dxa"/>
          </w:tcPr>
          <w:p w:rsidR="00335B8E" w:rsidRPr="00C35112" w:rsidRDefault="00335B8E" w:rsidP="00335B8E">
            <w:pPr>
              <w:pStyle w:val="AERtabletextleft"/>
            </w:pPr>
            <w:r w:rsidRPr="00C35112">
              <w:t>Supported removing any distortions that might change the attractiveness of demand side response over the regulatory period. That is, EnerNOC supported continuous incentives.</w:t>
            </w:r>
          </w:p>
        </w:tc>
      </w:tr>
      <w:tr w:rsidR="00335B8E" w:rsidRPr="00C35112" w:rsidTr="00AE3655">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PIAC</w:t>
            </w:r>
          </w:p>
        </w:tc>
        <w:tc>
          <w:tcPr>
            <w:tcW w:w="4707" w:type="dxa"/>
          </w:tcPr>
          <w:p w:rsidR="00335B8E" w:rsidRPr="00C35112" w:rsidRDefault="00335B8E" w:rsidP="00335B8E">
            <w:pPr>
              <w:pStyle w:val="AERtabletextleft"/>
            </w:pPr>
            <w:r w:rsidRPr="00C35112">
              <w:t>Expressed concerns about making the incentives continuous on the basis that this would be difficult for assets of varying asset lives.</w:t>
            </w:r>
          </w:p>
        </w:tc>
      </w:tr>
      <w:tr w:rsidR="00335B8E" w:rsidRPr="00C35112" w:rsidTr="00AE3655">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MEU</w:t>
            </w:r>
          </w:p>
        </w:tc>
        <w:tc>
          <w:tcPr>
            <w:tcW w:w="4707" w:type="dxa"/>
          </w:tcPr>
          <w:p w:rsidR="00335B8E" w:rsidRPr="00C35112" w:rsidRDefault="00335B8E" w:rsidP="00335B8E">
            <w:pPr>
              <w:pStyle w:val="AERtabletextleft"/>
            </w:pPr>
            <w:r w:rsidRPr="00C35112">
              <w:t>Supported continuous incentives applying to capex.</w:t>
            </w:r>
          </w:p>
        </w:tc>
      </w:tr>
      <w:tr w:rsidR="00335B8E" w:rsidRPr="00C35112" w:rsidTr="00AE3655">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CitiPower, Powercor and SA Power Networks</w:t>
            </w:r>
          </w:p>
        </w:tc>
        <w:tc>
          <w:tcPr>
            <w:tcW w:w="4707" w:type="dxa"/>
          </w:tcPr>
          <w:p w:rsidR="00335B8E" w:rsidRPr="00C35112" w:rsidRDefault="00335B8E" w:rsidP="00335B8E">
            <w:pPr>
              <w:pStyle w:val="AERtabletextleft"/>
            </w:pPr>
            <w:r w:rsidRPr="00C35112">
              <w:t>Supported a continuous and cumulative CESS.</w:t>
            </w:r>
          </w:p>
        </w:tc>
      </w:tr>
      <w:tr w:rsidR="00335B8E" w:rsidRPr="00C35112" w:rsidTr="00AE3655">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ENA</w:t>
            </w:r>
          </w:p>
        </w:tc>
        <w:tc>
          <w:tcPr>
            <w:tcW w:w="4707" w:type="dxa"/>
          </w:tcPr>
          <w:p w:rsidR="00335B8E" w:rsidRPr="00C35112" w:rsidRDefault="00335B8E" w:rsidP="00335B8E">
            <w:pPr>
              <w:pStyle w:val="AERtabletextleft"/>
            </w:pPr>
            <w:r w:rsidRPr="00C35112">
              <w:t>Supported continuous incentives.</w:t>
            </w:r>
          </w:p>
        </w:tc>
      </w:tr>
      <w:tr w:rsidR="00335B8E" w:rsidRPr="00C35112" w:rsidTr="00AE3655">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SP AusNet</w:t>
            </w:r>
          </w:p>
        </w:tc>
        <w:tc>
          <w:tcPr>
            <w:tcW w:w="4707" w:type="dxa"/>
          </w:tcPr>
          <w:p w:rsidR="00335B8E" w:rsidRPr="00C35112" w:rsidRDefault="00335B8E" w:rsidP="00335B8E">
            <w:pPr>
              <w:pStyle w:val="AERtabletextleft"/>
            </w:pPr>
            <w:r w:rsidRPr="00C35112">
              <w:t>Supported a continuous CESS.</w:t>
            </w:r>
          </w:p>
        </w:tc>
      </w:tr>
      <w:tr w:rsidR="00335B8E" w:rsidRPr="00C35112" w:rsidTr="00AE3655">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Energex</w:t>
            </w:r>
          </w:p>
        </w:tc>
        <w:tc>
          <w:tcPr>
            <w:tcW w:w="4707" w:type="dxa"/>
          </w:tcPr>
          <w:p w:rsidR="00335B8E" w:rsidRPr="00C35112" w:rsidRDefault="00335B8E" w:rsidP="00335B8E">
            <w:pPr>
              <w:pStyle w:val="AERtabletextleft"/>
            </w:pPr>
            <w:r w:rsidRPr="00C35112">
              <w:t>To the extent that a CESS is introduced, Energex supported it being continuous.</w:t>
            </w:r>
          </w:p>
        </w:tc>
      </w:tr>
      <w:tr w:rsidR="00335B8E" w:rsidRPr="00C35112" w:rsidTr="00AE3655">
        <w:tc>
          <w:tcPr>
            <w:tcW w:w="1741" w:type="dxa"/>
          </w:tcPr>
          <w:p w:rsidR="00335B8E" w:rsidRPr="00C35112" w:rsidRDefault="00335B8E" w:rsidP="00335B8E">
            <w:pPr>
              <w:pStyle w:val="AERtabletextleft"/>
            </w:pPr>
            <w:r w:rsidRPr="00C35112">
              <w:t>Whether NSPs should be rewarded for underspending</w:t>
            </w:r>
          </w:p>
        </w:tc>
        <w:tc>
          <w:tcPr>
            <w:tcW w:w="2080" w:type="dxa"/>
          </w:tcPr>
          <w:p w:rsidR="00335B8E" w:rsidRPr="00C35112" w:rsidRDefault="00335B8E" w:rsidP="00335B8E">
            <w:pPr>
              <w:pStyle w:val="AERtabletextleft"/>
            </w:pPr>
            <w:r w:rsidRPr="00C35112">
              <w:t>Aurora</w:t>
            </w:r>
          </w:p>
        </w:tc>
        <w:tc>
          <w:tcPr>
            <w:tcW w:w="4707" w:type="dxa"/>
          </w:tcPr>
          <w:p w:rsidR="00335B8E" w:rsidRPr="00C35112" w:rsidRDefault="00335B8E" w:rsidP="00335B8E">
            <w:pPr>
              <w:pStyle w:val="AERtabletextleft"/>
            </w:pPr>
            <w:r w:rsidRPr="00C35112">
              <w:t>Noted that its customers would expect the price to fall if the NSP had been able to restrict expenditure.</w:t>
            </w:r>
          </w:p>
        </w:tc>
      </w:tr>
      <w:tr w:rsidR="00335B8E" w:rsidRPr="00C35112" w:rsidTr="00AE3655">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APA Group</w:t>
            </w:r>
          </w:p>
        </w:tc>
        <w:tc>
          <w:tcPr>
            <w:tcW w:w="4707" w:type="dxa"/>
          </w:tcPr>
          <w:p w:rsidR="00335B8E" w:rsidRPr="00C35112" w:rsidRDefault="00335B8E" w:rsidP="00335B8E">
            <w:pPr>
              <w:pStyle w:val="AERtabletextleft"/>
            </w:pPr>
            <w:r w:rsidRPr="00C35112">
              <w:t>Noted concerns about whether the proposed CESS would actually identify areas of efficiency gains rather than simply removing cost cutting (regardless of the cause).</w:t>
            </w:r>
          </w:p>
        </w:tc>
      </w:tr>
      <w:tr w:rsidR="00335B8E" w:rsidRPr="00C35112" w:rsidTr="00AE3655">
        <w:tc>
          <w:tcPr>
            <w:tcW w:w="1741" w:type="dxa"/>
          </w:tcPr>
          <w:p w:rsidR="00335B8E" w:rsidRPr="00C35112" w:rsidRDefault="00335B8E" w:rsidP="00335B8E">
            <w:pPr>
              <w:pStyle w:val="AERtabletextleft"/>
            </w:pPr>
            <w:r w:rsidRPr="00C35112">
              <w:t xml:space="preserve">Symmetry </w:t>
            </w:r>
            <w:r w:rsidR="00225084">
              <w:t>of a CESS</w:t>
            </w:r>
          </w:p>
        </w:tc>
        <w:tc>
          <w:tcPr>
            <w:tcW w:w="2080" w:type="dxa"/>
          </w:tcPr>
          <w:p w:rsidR="00335B8E" w:rsidRPr="00C35112" w:rsidRDefault="00335B8E" w:rsidP="00335B8E">
            <w:pPr>
              <w:pStyle w:val="AERtabletextleft"/>
            </w:pPr>
            <w:r w:rsidRPr="00C35112">
              <w:t>TEC</w:t>
            </w:r>
          </w:p>
        </w:tc>
        <w:tc>
          <w:tcPr>
            <w:tcW w:w="4707" w:type="dxa"/>
          </w:tcPr>
          <w:p w:rsidR="00335B8E" w:rsidRPr="00C35112" w:rsidRDefault="00335B8E" w:rsidP="00335B8E">
            <w:pPr>
              <w:pStyle w:val="AERtabletextleft"/>
            </w:pPr>
            <w:r w:rsidRPr="00C35112">
              <w:t>Supported an asymmetric scheme with greater penalties than rewards</w:t>
            </w:r>
          </w:p>
        </w:tc>
      </w:tr>
      <w:tr w:rsidR="00335B8E" w:rsidRPr="00C35112" w:rsidTr="00AE3655">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NSW DNSPs</w:t>
            </w:r>
          </w:p>
        </w:tc>
        <w:tc>
          <w:tcPr>
            <w:tcW w:w="4707" w:type="dxa"/>
          </w:tcPr>
          <w:p w:rsidR="00335B8E" w:rsidRPr="00C35112" w:rsidRDefault="00335B8E" w:rsidP="00335B8E">
            <w:pPr>
              <w:pStyle w:val="AERtabletextleft"/>
            </w:pPr>
            <w:r w:rsidRPr="00C35112">
              <w:t>Supported a symmetric scheme. Thought this was more consistent with aligning incentives between capex and opex. Also stated that a symmetric scheme would be less biased in light of forecasting errors.</w:t>
            </w:r>
          </w:p>
        </w:tc>
      </w:tr>
    </w:tbl>
    <w:p w:rsidR="00AE3655" w:rsidRDefault="00AE3655"/>
    <w:tbl>
      <w:tblPr>
        <w:tblStyle w:val="AERtable-text"/>
        <w:tblW w:w="0" w:type="auto"/>
        <w:tblLook w:val="0020" w:firstRow="1" w:lastRow="0" w:firstColumn="0" w:lastColumn="0" w:noHBand="0" w:noVBand="0"/>
      </w:tblPr>
      <w:tblGrid>
        <w:gridCol w:w="1741"/>
        <w:gridCol w:w="2080"/>
        <w:gridCol w:w="4707"/>
      </w:tblGrid>
      <w:tr w:rsidR="00CC1522" w:rsidRPr="00335B8E" w:rsidTr="00AE3655">
        <w:trPr>
          <w:cnfStyle w:val="100000000000" w:firstRow="1" w:lastRow="0" w:firstColumn="0" w:lastColumn="0" w:oddVBand="0" w:evenVBand="0" w:oddHBand="0" w:evenHBand="0" w:firstRowFirstColumn="0" w:firstRowLastColumn="0" w:lastRowFirstColumn="0" w:lastRowLastColumn="0"/>
        </w:trPr>
        <w:tc>
          <w:tcPr>
            <w:tcW w:w="1741" w:type="dxa"/>
          </w:tcPr>
          <w:p w:rsidR="00CC1522" w:rsidRPr="00CC1522" w:rsidRDefault="00AE3655" w:rsidP="00CC1522">
            <w:pPr>
              <w:pStyle w:val="AERtabletextleft"/>
              <w:rPr>
                <w:rStyle w:val="AERtextbold"/>
              </w:rPr>
            </w:pPr>
            <w:r>
              <w:rPr>
                <w:rFonts w:eastAsia="Calibri"/>
                <w:sz w:val="20"/>
                <w:szCs w:val="20"/>
              </w:rPr>
              <w:br w:type="page"/>
            </w:r>
            <w:r w:rsidR="00CC1522" w:rsidRPr="00CC1522">
              <w:rPr>
                <w:rStyle w:val="AERtextbold"/>
              </w:rPr>
              <w:t>Issue</w:t>
            </w:r>
          </w:p>
        </w:tc>
        <w:tc>
          <w:tcPr>
            <w:tcW w:w="2080" w:type="dxa"/>
          </w:tcPr>
          <w:p w:rsidR="00CC1522" w:rsidRPr="00CC1522" w:rsidRDefault="00CC1522" w:rsidP="00CC1522">
            <w:pPr>
              <w:pStyle w:val="AERtabletextleft"/>
              <w:rPr>
                <w:rStyle w:val="AERtextbold"/>
              </w:rPr>
            </w:pPr>
            <w:r w:rsidRPr="00CC1522">
              <w:rPr>
                <w:rStyle w:val="AERtextbold"/>
              </w:rPr>
              <w:t>Respondent</w:t>
            </w:r>
          </w:p>
        </w:tc>
        <w:tc>
          <w:tcPr>
            <w:tcW w:w="4707" w:type="dxa"/>
          </w:tcPr>
          <w:p w:rsidR="00CC1522" w:rsidRPr="00CC1522" w:rsidRDefault="00CC1522" w:rsidP="00CC1522">
            <w:pPr>
              <w:pStyle w:val="AERtabletextleft"/>
              <w:rPr>
                <w:rStyle w:val="AERtextbold"/>
              </w:rPr>
            </w:pPr>
            <w:r w:rsidRPr="00CC1522">
              <w:rPr>
                <w:rStyle w:val="AERtextbold"/>
              </w:rPr>
              <w:t>Comments</w:t>
            </w:r>
          </w:p>
        </w:tc>
      </w:tr>
      <w:tr w:rsidR="00335B8E" w:rsidRPr="00C35112" w:rsidTr="00AE3655">
        <w:tc>
          <w:tcPr>
            <w:tcW w:w="1741" w:type="dxa"/>
          </w:tcPr>
          <w:p w:rsidR="00335B8E" w:rsidRPr="00C35112" w:rsidRDefault="00CC1522" w:rsidP="00335B8E">
            <w:pPr>
              <w:pStyle w:val="AERtabletextleft"/>
            </w:pPr>
            <w:r w:rsidRPr="00CC1522">
              <w:t>Symmetry of a CESS</w:t>
            </w:r>
          </w:p>
        </w:tc>
        <w:tc>
          <w:tcPr>
            <w:tcW w:w="2080" w:type="dxa"/>
          </w:tcPr>
          <w:p w:rsidR="00335B8E" w:rsidRPr="00C35112" w:rsidRDefault="00335B8E" w:rsidP="00335B8E">
            <w:pPr>
              <w:pStyle w:val="AERtabletextleft"/>
            </w:pPr>
            <w:r w:rsidRPr="00C35112">
              <w:t>EnerNOC</w:t>
            </w:r>
          </w:p>
        </w:tc>
        <w:tc>
          <w:tcPr>
            <w:tcW w:w="4707" w:type="dxa"/>
          </w:tcPr>
          <w:p w:rsidR="00335B8E" w:rsidRPr="00C35112" w:rsidRDefault="00335B8E" w:rsidP="002722F7">
            <w:pPr>
              <w:pStyle w:val="AERtabletextleft"/>
            </w:pPr>
            <w:r w:rsidRPr="00C35112">
              <w:t xml:space="preserve">Stated that while the </w:t>
            </w:r>
            <w:r w:rsidR="002722F7">
              <w:t>reason</w:t>
            </w:r>
            <w:r w:rsidR="00D37731">
              <w:t>s for an asymmetric CESS make</w:t>
            </w:r>
            <w:r w:rsidRPr="00C35112">
              <w:t xml:space="preserve"> sense, their key objective is for equal incentives across opex and capex.</w:t>
            </w:r>
          </w:p>
        </w:tc>
      </w:tr>
      <w:tr w:rsidR="00335B8E" w:rsidRPr="00C35112" w:rsidTr="00AE3655">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7969AE">
            <w:pPr>
              <w:spacing w:after="0" w:line="240" w:lineRule="auto"/>
              <w:jc w:val="left"/>
            </w:pPr>
          </w:p>
        </w:tc>
        <w:tc>
          <w:tcPr>
            <w:tcW w:w="2080" w:type="dxa"/>
          </w:tcPr>
          <w:p w:rsidR="00335B8E" w:rsidRPr="00C35112" w:rsidRDefault="00335B8E" w:rsidP="00335B8E">
            <w:pPr>
              <w:pStyle w:val="AERtabletextleft"/>
            </w:pPr>
            <w:r w:rsidRPr="00C35112">
              <w:t>PIAC</w:t>
            </w:r>
          </w:p>
        </w:tc>
        <w:tc>
          <w:tcPr>
            <w:tcW w:w="4707" w:type="dxa"/>
          </w:tcPr>
          <w:p w:rsidR="00335B8E" w:rsidRPr="00C35112" w:rsidRDefault="00335B8E" w:rsidP="00335B8E">
            <w:pPr>
              <w:pStyle w:val="AERtabletextleft"/>
            </w:pPr>
            <w:r w:rsidRPr="00C35112">
              <w:t>Stated there is no theoretical reason why incentives should be symmetric. Supported the AER's reasons for asymmetry.</w:t>
            </w:r>
          </w:p>
        </w:tc>
      </w:tr>
      <w:tr w:rsidR="00335B8E" w:rsidRPr="00C35112" w:rsidTr="00AE3655">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ActewAGL Distribution</w:t>
            </w:r>
          </w:p>
        </w:tc>
        <w:tc>
          <w:tcPr>
            <w:tcW w:w="4707" w:type="dxa"/>
          </w:tcPr>
          <w:p w:rsidR="00335B8E" w:rsidRPr="00C35112" w:rsidRDefault="00335B8E" w:rsidP="00D37731">
            <w:pPr>
              <w:pStyle w:val="AERtabletextleft"/>
            </w:pPr>
            <w:r w:rsidRPr="00C35112">
              <w:t xml:space="preserve">Did not support an asymmetric scheme. Stated that this could lead to imprudent decisions once a NSP is over its allowance. Also noted that thresholds for pass throughs and contingent projects are too high to be of use in mitigating </w:t>
            </w:r>
            <w:r w:rsidR="00D37731">
              <w:t>spending above the allowance in some circumstances</w:t>
            </w:r>
            <w:r w:rsidRPr="00C35112">
              <w:t>.</w:t>
            </w:r>
          </w:p>
        </w:tc>
      </w:tr>
      <w:tr w:rsidR="00335B8E" w:rsidRPr="00C35112" w:rsidTr="00AE3655">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MEU</w:t>
            </w:r>
          </w:p>
        </w:tc>
        <w:tc>
          <w:tcPr>
            <w:tcW w:w="4707" w:type="dxa"/>
          </w:tcPr>
          <w:p w:rsidR="00335B8E" w:rsidRPr="00C35112" w:rsidRDefault="00335B8E" w:rsidP="00335B8E">
            <w:pPr>
              <w:pStyle w:val="AERtabletextleft"/>
            </w:pPr>
            <w:r w:rsidRPr="00C35112">
              <w:t xml:space="preserve">Supported an asymmetric scheme, </w:t>
            </w:r>
            <w:r w:rsidR="002722F7">
              <w:t>not</w:t>
            </w:r>
            <w:r w:rsidRPr="00C35112">
              <w:t>ing that this is what occurs in the competitive market.</w:t>
            </w:r>
          </w:p>
        </w:tc>
      </w:tr>
      <w:tr w:rsidR="00335B8E" w:rsidRPr="00C35112" w:rsidTr="00AE3655">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CitiPower, Powercor and SA Power Networks</w:t>
            </w:r>
          </w:p>
        </w:tc>
        <w:tc>
          <w:tcPr>
            <w:tcW w:w="4707" w:type="dxa"/>
          </w:tcPr>
          <w:p w:rsidR="00335B8E" w:rsidRPr="00C35112" w:rsidRDefault="00335B8E" w:rsidP="00335B8E">
            <w:pPr>
              <w:pStyle w:val="AERtabletextleft"/>
            </w:pPr>
            <w:r w:rsidRPr="00C35112">
              <w:t xml:space="preserve">Did not support an asymmetric scheme on the basis that forecasts could be inaccurate, capex above the allowance is not necessarily inefficient and reopeners </w:t>
            </w:r>
            <w:r w:rsidR="00783661" w:rsidRPr="00C35112">
              <w:t>etc.</w:t>
            </w:r>
            <w:r w:rsidRPr="00C35112">
              <w:t xml:space="preserve"> provide little protection against overspending.</w:t>
            </w:r>
          </w:p>
        </w:tc>
      </w:tr>
      <w:tr w:rsidR="00335B8E" w:rsidRPr="00C35112" w:rsidTr="00AE3655">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Grid Australia</w:t>
            </w:r>
          </w:p>
        </w:tc>
        <w:tc>
          <w:tcPr>
            <w:tcW w:w="4707" w:type="dxa"/>
          </w:tcPr>
          <w:p w:rsidR="00335B8E" w:rsidRPr="00C35112" w:rsidRDefault="00335B8E" w:rsidP="00335B8E">
            <w:pPr>
              <w:pStyle w:val="AERtabletextleft"/>
            </w:pPr>
            <w:r w:rsidRPr="00C35112">
              <w:t xml:space="preserve">Did not support an asymmetric scheme. </w:t>
            </w:r>
            <w:r w:rsidR="002722F7">
              <w:t>Not</w:t>
            </w:r>
            <w:r w:rsidRPr="00C35112">
              <w:t xml:space="preserve">ed that this would not allow for balanced incentives across capex, opex and service. Also </w:t>
            </w:r>
            <w:r w:rsidR="002722F7">
              <w:t>not</w:t>
            </w:r>
            <w:r w:rsidRPr="00C35112">
              <w:t>ed that there is little evidence of overspending by TNSPs and that allowances are not biased upwards. Also, the NSP will only know what its incentive is once it knows whether it will overspend or underspend.</w:t>
            </w:r>
          </w:p>
        </w:tc>
      </w:tr>
      <w:tr w:rsidR="00335B8E" w:rsidRPr="00C35112" w:rsidTr="00AE3655">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APA Group</w:t>
            </w:r>
          </w:p>
        </w:tc>
        <w:tc>
          <w:tcPr>
            <w:tcW w:w="4707" w:type="dxa"/>
          </w:tcPr>
          <w:p w:rsidR="00335B8E" w:rsidRPr="00C35112" w:rsidRDefault="00335B8E" w:rsidP="00335B8E">
            <w:pPr>
              <w:pStyle w:val="AERtabletextleft"/>
            </w:pPr>
            <w:r w:rsidRPr="00C35112">
              <w:t>Supported a symmetric scheme (if any). Noted concerns that an asymmetric CESS will significantly increase the investment hurdle meaning more efficient NSPs are less likely to strive for harder or riskier efficiency gains. Also concerned about unintended consequences in how it interacts with service. Also noted an asymmetric CESS increases a NSP's exposure to forecasting error.</w:t>
            </w:r>
          </w:p>
        </w:tc>
      </w:tr>
      <w:tr w:rsidR="00335B8E" w:rsidRPr="00C35112" w:rsidTr="00AE3655">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ENA</w:t>
            </w:r>
          </w:p>
        </w:tc>
        <w:tc>
          <w:tcPr>
            <w:tcW w:w="4707" w:type="dxa"/>
          </w:tcPr>
          <w:p w:rsidR="00335B8E" w:rsidRPr="00C35112" w:rsidRDefault="00335B8E" w:rsidP="00335B8E">
            <w:pPr>
              <w:pStyle w:val="AERtabletextleft"/>
            </w:pPr>
            <w:r w:rsidRPr="00C35112">
              <w:t xml:space="preserve">Supported a symmetric scheme. Did not believe there is sufficient evidence to conclude that forecasts will consistently be biased upwards. Also </w:t>
            </w:r>
            <w:r w:rsidR="002722F7">
              <w:t>not</w:t>
            </w:r>
            <w:r w:rsidRPr="00C35112">
              <w:t>ed that underinvestment could actually be more costly than overinvestment which is contrary to the proposed CESS. Also, NSPs are not sufficiently protected from unforseen and uncontrollable events and an asymmetric scheme could be overly punitive in these cases.</w:t>
            </w:r>
          </w:p>
        </w:tc>
      </w:tr>
      <w:tr w:rsidR="00335B8E" w:rsidRPr="00C35112" w:rsidTr="00AE3655">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Energex</w:t>
            </w:r>
          </w:p>
        </w:tc>
        <w:tc>
          <w:tcPr>
            <w:tcW w:w="4707" w:type="dxa"/>
          </w:tcPr>
          <w:p w:rsidR="00335B8E" w:rsidRPr="00C35112" w:rsidRDefault="00335B8E" w:rsidP="002722F7">
            <w:pPr>
              <w:pStyle w:val="AERtabletextleft"/>
            </w:pPr>
            <w:r w:rsidRPr="00C35112">
              <w:t xml:space="preserve">To the extent that there is a CESS, Energex </w:t>
            </w:r>
            <w:r w:rsidR="00783661">
              <w:t>preferred</w:t>
            </w:r>
            <w:r w:rsidRPr="00C35112">
              <w:t xml:space="preserve"> this to be symmetric. It </w:t>
            </w:r>
            <w:r w:rsidR="002722F7">
              <w:t>stat</w:t>
            </w:r>
            <w:r w:rsidRPr="00C35112">
              <w:t>ed that forecasting biases should be addressed through the forecasting methodology, symmetric schemes are the norm overseas and asymmetric scheme could have perverse outcomes. Energex also supported the CESS being applied on a cumulative basis.</w:t>
            </w:r>
          </w:p>
        </w:tc>
      </w:tr>
      <w:tr w:rsidR="00AE3655" w:rsidRPr="00C35112" w:rsidTr="00AE365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1741" w:type="dxa"/>
          </w:tcPr>
          <w:p w:rsidR="00AE3655" w:rsidRPr="00AE3655" w:rsidRDefault="00AE3655" w:rsidP="00AE3655">
            <w:pPr>
              <w:pStyle w:val="AERtabletextleft"/>
            </w:pPr>
          </w:p>
        </w:tc>
        <w:tc>
          <w:tcPr>
            <w:tcW w:w="2080" w:type="dxa"/>
          </w:tcPr>
          <w:p w:rsidR="00AE3655" w:rsidRPr="00AE3655" w:rsidRDefault="00AE3655" w:rsidP="00AE3655">
            <w:pPr>
              <w:pStyle w:val="AERtabletextleft"/>
            </w:pPr>
            <w:r w:rsidRPr="00AE3655">
              <w:t>SP AusNet</w:t>
            </w:r>
          </w:p>
        </w:tc>
        <w:tc>
          <w:tcPr>
            <w:tcW w:w="4707" w:type="dxa"/>
          </w:tcPr>
          <w:p w:rsidR="00AE3655" w:rsidRPr="00AE3655" w:rsidRDefault="00AE3655" w:rsidP="00AE3655">
            <w:pPr>
              <w:pStyle w:val="AERtabletextleft"/>
            </w:pPr>
            <w:r w:rsidRPr="00AE3655">
              <w:t>Supported a symmetric scheme. Did not consider it appropriate for all NSPs (especially those that had responded to incentives). Stated that the changes to the NER should result in more balanced forecasts and that the ex post review for capex strengthened the incentives to remain within the forecast already.</w:t>
            </w:r>
          </w:p>
        </w:tc>
      </w:tr>
    </w:tbl>
    <w:p w:rsidR="00AA2418" w:rsidRDefault="00AA2418">
      <w:r>
        <w:br w:type="page"/>
      </w:r>
    </w:p>
    <w:tbl>
      <w:tblPr>
        <w:tblStyle w:val="AERtable-text"/>
        <w:tblW w:w="0" w:type="auto"/>
        <w:tblLook w:val="0020" w:firstRow="1" w:lastRow="0" w:firstColumn="0" w:lastColumn="0" w:noHBand="0" w:noVBand="0"/>
      </w:tblPr>
      <w:tblGrid>
        <w:gridCol w:w="1741"/>
        <w:gridCol w:w="2080"/>
        <w:gridCol w:w="4707"/>
      </w:tblGrid>
      <w:tr w:rsidR="00AA2418" w:rsidRPr="00C35112" w:rsidTr="00AA2418">
        <w:trPr>
          <w:cnfStyle w:val="100000000000" w:firstRow="1" w:lastRow="0" w:firstColumn="0" w:lastColumn="0" w:oddVBand="0" w:evenVBand="0" w:oddHBand="0" w:evenHBand="0" w:firstRowFirstColumn="0" w:firstRowLastColumn="0" w:lastRowFirstColumn="0" w:lastRowLastColumn="0"/>
        </w:trPr>
        <w:tc>
          <w:tcPr>
            <w:tcW w:w="1741" w:type="dxa"/>
          </w:tcPr>
          <w:p w:rsidR="00AA2418" w:rsidRPr="00AA2418" w:rsidRDefault="00AA2418" w:rsidP="00AA2418">
            <w:pPr>
              <w:pStyle w:val="AERtabletextleft"/>
              <w:rPr>
                <w:rStyle w:val="AERtextbold"/>
              </w:rPr>
            </w:pPr>
            <w:r w:rsidRPr="00AA2418">
              <w:rPr>
                <w:rFonts w:eastAsia="Calibri"/>
              </w:rPr>
              <w:br w:type="page"/>
            </w:r>
            <w:r w:rsidRPr="00AA2418">
              <w:rPr>
                <w:rStyle w:val="AERtextbold"/>
              </w:rPr>
              <w:t>Issue</w:t>
            </w:r>
          </w:p>
        </w:tc>
        <w:tc>
          <w:tcPr>
            <w:tcW w:w="2080" w:type="dxa"/>
          </w:tcPr>
          <w:p w:rsidR="00AA2418" w:rsidRPr="007969AE" w:rsidRDefault="00AA2418" w:rsidP="00AA2418">
            <w:pPr>
              <w:pStyle w:val="AERtabletextleft"/>
              <w:rPr>
                <w:rStyle w:val="AERtextbold"/>
              </w:rPr>
            </w:pPr>
            <w:r w:rsidRPr="007969AE">
              <w:rPr>
                <w:rStyle w:val="AERtextbold"/>
              </w:rPr>
              <w:t>Respondent</w:t>
            </w:r>
          </w:p>
        </w:tc>
        <w:tc>
          <w:tcPr>
            <w:tcW w:w="4707" w:type="dxa"/>
          </w:tcPr>
          <w:p w:rsidR="00AA2418" w:rsidRPr="007969AE" w:rsidRDefault="00AA2418" w:rsidP="00AA2418">
            <w:pPr>
              <w:pStyle w:val="AERtabletextleft"/>
              <w:rPr>
                <w:rStyle w:val="AERtextbold"/>
              </w:rPr>
            </w:pPr>
            <w:r w:rsidRPr="007969AE">
              <w:rPr>
                <w:rStyle w:val="AERtextbold"/>
              </w:rPr>
              <w:t>Comments</w:t>
            </w:r>
          </w:p>
        </w:tc>
      </w:tr>
      <w:tr w:rsidR="00335B8E" w:rsidRPr="00C35112" w:rsidTr="00335B8E">
        <w:tc>
          <w:tcPr>
            <w:tcW w:w="1741" w:type="dxa"/>
          </w:tcPr>
          <w:p w:rsidR="00335B8E" w:rsidRPr="00C35112" w:rsidRDefault="00AE3655" w:rsidP="00335B8E">
            <w:pPr>
              <w:pStyle w:val="AERtabletextleft"/>
            </w:pPr>
            <w:r w:rsidRPr="00AE3655">
              <w:t>Symmetry of a CESS</w:t>
            </w:r>
          </w:p>
        </w:tc>
        <w:tc>
          <w:tcPr>
            <w:tcW w:w="2080" w:type="dxa"/>
          </w:tcPr>
          <w:p w:rsidR="00335B8E" w:rsidRPr="00C35112" w:rsidRDefault="00335B8E" w:rsidP="00335B8E">
            <w:pPr>
              <w:pStyle w:val="AERtabletextleft"/>
            </w:pPr>
            <w:r w:rsidRPr="00C35112">
              <w:t>Jemena</w:t>
            </w:r>
          </w:p>
        </w:tc>
        <w:tc>
          <w:tcPr>
            <w:tcW w:w="4707" w:type="dxa"/>
          </w:tcPr>
          <w:p w:rsidR="00335B8E" w:rsidRPr="00C35112" w:rsidRDefault="00335B8E" w:rsidP="00335B8E">
            <w:pPr>
              <w:pStyle w:val="AERtabletextleft"/>
            </w:pPr>
            <w:r w:rsidRPr="00C35112">
              <w:t>Supported a symmetric scheme similar to that previously applied in Victoria.</w:t>
            </w:r>
          </w:p>
        </w:tc>
      </w:tr>
      <w:tr w:rsidR="00DB4D46"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DB4D46" w:rsidRPr="00C35112" w:rsidRDefault="00DB4D46" w:rsidP="00335B8E">
            <w:pPr>
              <w:pStyle w:val="AERtabletextleft"/>
            </w:pPr>
          </w:p>
        </w:tc>
        <w:tc>
          <w:tcPr>
            <w:tcW w:w="2080" w:type="dxa"/>
          </w:tcPr>
          <w:p w:rsidR="00DB4D46" w:rsidRPr="00C35112" w:rsidRDefault="00DD5759" w:rsidP="00335B8E">
            <w:pPr>
              <w:pStyle w:val="AERtabletextleft"/>
            </w:pPr>
            <w:r>
              <w:t>COSBOA</w:t>
            </w:r>
          </w:p>
        </w:tc>
        <w:tc>
          <w:tcPr>
            <w:tcW w:w="4707" w:type="dxa"/>
          </w:tcPr>
          <w:p w:rsidR="00DB4D46" w:rsidRPr="00C35112" w:rsidRDefault="00DB4D46" w:rsidP="00335B8E">
            <w:pPr>
              <w:pStyle w:val="AERtabletextleft"/>
            </w:pPr>
            <w:r>
              <w:t>Supported an asymmetric CESS with greater penalties than rewards. Supported the reasons for this in the issues paper.</w:t>
            </w:r>
          </w:p>
        </w:tc>
      </w:tr>
      <w:tr w:rsidR="00335B8E" w:rsidRPr="00C35112" w:rsidTr="00335B8E">
        <w:tc>
          <w:tcPr>
            <w:tcW w:w="1741" w:type="dxa"/>
          </w:tcPr>
          <w:p w:rsidR="00335B8E" w:rsidRPr="00C35112" w:rsidRDefault="00335B8E" w:rsidP="00335B8E">
            <w:pPr>
              <w:pStyle w:val="AERtabletextleft"/>
            </w:pPr>
            <w:r w:rsidRPr="00C35112">
              <w:t xml:space="preserve">Strength of the </w:t>
            </w:r>
            <w:r w:rsidR="00225084">
              <w:t xml:space="preserve">CESS </w:t>
            </w:r>
            <w:r w:rsidRPr="00C35112">
              <w:t>reward</w:t>
            </w:r>
          </w:p>
        </w:tc>
        <w:tc>
          <w:tcPr>
            <w:tcW w:w="2080" w:type="dxa"/>
          </w:tcPr>
          <w:p w:rsidR="00335B8E" w:rsidRPr="00C35112" w:rsidRDefault="00335B8E" w:rsidP="00335B8E">
            <w:pPr>
              <w:pStyle w:val="AERtabletextleft"/>
            </w:pPr>
            <w:r w:rsidRPr="00C35112">
              <w:t>NSW DNSPs</w:t>
            </w:r>
          </w:p>
        </w:tc>
        <w:tc>
          <w:tcPr>
            <w:tcW w:w="4707" w:type="dxa"/>
          </w:tcPr>
          <w:p w:rsidR="00335B8E" w:rsidRPr="00C35112" w:rsidRDefault="00335B8E" w:rsidP="00335B8E">
            <w:pPr>
              <w:pStyle w:val="AERtabletextleft"/>
            </w:pPr>
            <w:r w:rsidRPr="00C35112">
              <w:t>Supported a moderate reward, recognising that a high reward could result in inefficient underspending.</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EUAA/ CEM</w:t>
            </w:r>
          </w:p>
        </w:tc>
        <w:tc>
          <w:tcPr>
            <w:tcW w:w="4707" w:type="dxa"/>
          </w:tcPr>
          <w:p w:rsidR="00335B8E" w:rsidRPr="00C35112" w:rsidRDefault="002722F7" w:rsidP="00335B8E">
            <w:pPr>
              <w:pStyle w:val="AERtabletextleft"/>
            </w:pPr>
            <w:r>
              <w:t>Supported</w:t>
            </w:r>
            <w:r w:rsidR="00335B8E" w:rsidRPr="00C35112">
              <w:t xml:space="preserve"> a reward of around 35 per cent for all NSPs (that is, government-owned and private NSPs).</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EnerNOC</w:t>
            </w:r>
          </w:p>
        </w:tc>
        <w:tc>
          <w:tcPr>
            <w:tcW w:w="4707" w:type="dxa"/>
          </w:tcPr>
          <w:p w:rsidR="00335B8E" w:rsidRPr="00C35112" w:rsidRDefault="00335B8E" w:rsidP="00335B8E">
            <w:pPr>
              <w:pStyle w:val="AERtabletextleft"/>
            </w:pPr>
            <w:r w:rsidRPr="00C35112">
              <w:t>Supported rewards being equal across opex and capex. Failing that, supported rewards being at least as high as for opex.</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PIAC</w:t>
            </w:r>
          </w:p>
        </w:tc>
        <w:tc>
          <w:tcPr>
            <w:tcW w:w="4707" w:type="dxa"/>
          </w:tcPr>
          <w:p w:rsidR="00335B8E" w:rsidRPr="00C35112" w:rsidRDefault="00335B8E" w:rsidP="00335B8E">
            <w:pPr>
              <w:pStyle w:val="AERtabletextleft"/>
            </w:pPr>
            <w:r w:rsidRPr="00C35112">
              <w:t>Supported a reward at the lower end of the 20 to 30 per cent range due to concerns about capex deferral and over-forecasting by NSPs. Suggested that the power could be increased if the AER's information improved allowing it to determine whether a NSP had deferred inefficiently.</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SP AusNet</w:t>
            </w:r>
          </w:p>
        </w:tc>
        <w:tc>
          <w:tcPr>
            <w:tcW w:w="4707" w:type="dxa"/>
          </w:tcPr>
          <w:p w:rsidR="00335B8E" w:rsidRPr="00C35112" w:rsidRDefault="00335B8E" w:rsidP="00335B8E">
            <w:pPr>
              <w:pStyle w:val="AERtabletextleft"/>
            </w:pPr>
            <w:r w:rsidRPr="00C35112">
              <w:t>Stated that perhaps the current incentives are not strong enough but perhaps 20 to 30 per cent would be a good starting point.</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CitiPower, Powercor and SA Power Networks</w:t>
            </w:r>
          </w:p>
        </w:tc>
        <w:tc>
          <w:tcPr>
            <w:tcW w:w="4707" w:type="dxa"/>
          </w:tcPr>
          <w:p w:rsidR="00335B8E" w:rsidRPr="00C35112" w:rsidRDefault="00335B8E" w:rsidP="00335B8E">
            <w:pPr>
              <w:pStyle w:val="AERtabletextleft"/>
            </w:pPr>
            <w:r w:rsidRPr="00C35112">
              <w:t>Stated that the reward should be the same as for opex so as to limit substitution between the two categories of expenditure.</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Energex</w:t>
            </w:r>
          </w:p>
        </w:tc>
        <w:tc>
          <w:tcPr>
            <w:tcW w:w="4707" w:type="dxa"/>
          </w:tcPr>
          <w:p w:rsidR="00335B8E" w:rsidRPr="00C35112" w:rsidRDefault="00335B8E" w:rsidP="00335B8E">
            <w:pPr>
              <w:pStyle w:val="AERtabletextleft"/>
            </w:pPr>
            <w:r w:rsidRPr="00C35112">
              <w:t>If a CESS is introduced, supported it being low powered. Energex also supported the strength being balanced with incentives for opex and service.</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r w:rsidRPr="00C35112">
              <w:t xml:space="preserve">Strength of the </w:t>
            </w:r>
            <w:r w:rsidR="00225084">
              <w:t xml:space="preserve">CESS </w:t>
            </w:r>
            <w:r w:rsidRPr="00C35112">
              <w:t>penalty</w:t>
            </w:r>
          </w:p>
        </w:tc>
        <w:tc>
          <w:tcPr>
            <w:tcW w:w="2080" w:type="dxa"/>
          </w:tcPr>
          <w:p w:rsidR="00335B8E" w:rsidRPr="00C35112" w:rsidRDefault="00335B8E" w:rsidP="00335B8E">
            <w:pPr>
              <w:pStyle w:val="AERtabletextleft"/>
            </w:pPr>
            <w:r w:rsidRPr="00C35112">
              <w:t>TEC</w:t>
            </w:r>
          </w:p>
        </w:tc>
        <w:tc>
          <w:tcPr>
            <w:tcW w:w="4707" w:type="dxa"/>
          </w:tcPr>
          <w:p w:rsidR="00335B8E" w:rsidRPr="00C35112" w:rsidRDefault="00335B8E" w:rsidP="00335B8E">
            <w:pPr>
              <w:pStyle w:val="AERtabletextleft"/>
            </w:pPr>
            <w:r w:rsidRPr="00C35112">
              <w:t>Supported a penalty that is greater than 30 per cent.</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NSW DNSPs</w:t>
            </w:r>
          </w:p>
        </w:tc>
        <w:tc>
          <w:tcPr>
            <w:tcW w:w="4707" w:type="dxa"/>
          </w:tcPr>
          <w:p w:rsidR="00335B8E" w:rsidRPr="00C35112" w:rsidRDefault="00335B8E" w:rsidP="00335B8E">
            <w:pPr>
              <w:pStyle w:val="AERtabletextleft"/>
            </w:pPr>
            <w:r w:rsidRPr="00C35112">
              <w:t xml:space="preserve">Supported a moderate penalty, equal to the reward applying to underspends. </w:t>
            </w:r>
            <w:r w:rsidR="002722F7">
              <w:t>Stat</w:t>
            </w:r>
            <w:r w:rsidRPr="00C35112">
              <w:t>ed that the penalty might be too high in light of the ex post review also applying. Did not agree that forecasts are more likely to be biased upwards. Noted that pass through, re-opening and contingent project provisions had high thresholds and therefore did not offer much protection to NSPs.</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EUAA/ CEM</w:t>
            </w:r>
          </w:p>
        </w:tc>
        <w:tc>
          <w:tcPr>
            <w:tcW w:w="4707" w:type="dxa"/>
          </w:tcPr>
          <w:p w:rsidR="00335B8E" w:rsidRPr="00C35112" w:rsidRDefault="002722F7" w:rsidP="002722F7">
            <w:pPr>
              <w:pStyle w:val="AERtabletextleft"/>
            </w:pPr>
            <w:r>
              <w:t>Supported a</w:t>
            </w:r>
            <w:r w:rsidR="00335B8E" w:rsidRPr="00C35112">
              <w:t xml:space="preserve"> penalty of 70 per cent for government owned NSPs on the basis that this is effectively a penalty of 50 per cent due to the effective WACC being lower than the regulated WACC. </w:t>
            </w:r>
            <w:r>
              <w:t>Support</w:t>
            </w:r>
            <w:r w:rsidR="00335B8E" w:rsidRPr="00C35112">
              <w:t>ed  a penalty of 50 per cent for privately owned NSPs.</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PIAC</w:t>
            </w:r>
          </w:p>
        </w:tc>
        <w:tc>
          <w:tcPr>
            <w:tcW w:w="4707" w:type="dxa"/>
          </w:tcPr>
          <w:p w:rsidR="00335B8E" w:rsidRPr="00C35112" w:rsidRDefault="00335B8E" w:rsidP="00335B8E">
            <w:pPr>
              <w:pStyle w:val="AERtabletextleft"/>
            </w:pPr>
            <w:r w:rsidRPr="00C35112">
              <w:t>Stated that the penalty should be at least 50 per cent, with an average penalty greater than this. Suggested that the AER consider whether NSPs have a lower cost of capital than the regulated WACC and factor this into the power of the incentive.</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SP AusNet</w:t>
            </w:r>
          </w:p>
        </w:tc>
        <w:tc>
          <w:tcPr>
            <w:tcW w:w="4707" w:type="dxa"/>
          </w:tcPr>
          <w:p w:rsidR="00335B8E" w:rsidRPr="00C35112" w:rsidRDefault="002722F7" w:rsidP="002722F7">
            <w:pPr>
              <w:pStyle w:val="AERtabletextleft"/>
            </w:pPr>
            <w:r>
              <w:t>Supported the penalty being</w:t>
            </w:r>
            <w:r w:rsidR="00335B8E" w:rsidRPr="00C35112">
              <w:t xml:space="preserve"> the same power as the reward (starting around 20 to 30 per cent).</w:t>
            </w:r>
          </w:p>
        </w:tc>
      </w:tr>
      <w:tr w:rsidR="00764DFC" w:rsidRPr="00C35112" w:rsidTr="00335B8E">
        <w:tc>
          <w:tcPr>
            <w:tcW w:w="1741" w:type="dxa"/>
          </w:tcPr>
          <w:p w:rsidR="00764DFC" w:rsidRPr="00C35112" w:rsidRDefault="00764DFC" w:rsidP="00335B8E">
            <w:pPr>
              <w:pStyle w:val="AERtabletextleft"/>
            </w:pPr>
          </w:p>
        </w:tc>
        <w:tc>
          <w:tcPr>
            <w:tcW w:w="2080" w:type="dxa"/>
          </w:tcPr>
          <w:p w:rsidR="00764DFC" w:rsidRPr="00C35112" w:rsidRDefault="00764DFC" w:rsidP="00335B8E">
            <w:pPr>
              <w:pStyle w:val="AERtabletextleft"/>
            </w:pPr>
            <w:r>
              <w:t>Consumer reference group (CRG)</w:t>
            </w:r>
          </w:p>
        </w:tc>
        <w:tc>
          <w:tcPr>
            <w:tcW w:w="4707" w:type="dxa"/>
          </w:tcPr>
          <w:p w:rsidR="00764DFC" w:rsidRPr="00C35112" w:rsidRDefault="002D7F21" w:rsidP="002D7F21">
            <w:pPr>
              <w:pStyle w:val="AERtabletextleft"/>
            </w:pPr>
            <w:r>
              <w:t>Stated that NSPs need stro</w:t>
            </w:r>
            <w:r w:rsidR="00764DFC">
              <w:t xml:space="preserve">nger incentives not to overspend. Suggested that none of </w:t>
            </w:r>
            <w:proofErr w:type="gramStart"/>
            <w:r w:rsidR="00764DFC">
              <w:t>the overspend</w:t>
            </w:r>
            <w:proofErr w:type="gramEnd"/>
            <w:r w:rsidR="00764DFC">
              <w:t xml:space="preserve"> should be included in the RAB.</w:t>
            </w:r>
            <w:r>
              <w:t xml:space="preserve"> If not, the WACC should be reduced to reflect this.</w:t>
            </w:r>
          </w:p>
        </w:tc>
      </w:tr>
    </w:tbl>
    <w:p w:rsidR="00AE3655" w:rsidRDefault="00AE3655">
      <w:r>
        <w:br w:type="page"/>
      </w:r>
    </w:p>
    <w:tbl>
      <w:tblPr>
        <w:tblStyle w:val="AERtable-text"/>
        <w:tblW w:w="0" w:type="auto"/>
        <w:tblLook w:val="0020" w:firstRow="1" w:lastRow="0" w:firstColumn="0" w:lastColumn="0" w:noHBand="0" w:noVBand="0"/>
      </w:tblPr>
      <w:tblGrid>
        <w:gridCol w:w="1741"/>
        <w:gridCol w:w="2080"/>
        <w:gridCol w:w="4707"/>
      </w:tblGrid>
      <w:tr w:rsidR="00AE3655" w:rsidRPr="00C35112" w:rsidTr="00F96565">
        <w:trPr>
          <w:cnfStyle w:val="100000000000" w:firstRow="1" w:lastRow="0" w:firstColumn="0" w:lastColumn="0" w:oddVBand="0" w:evenVBand="0" w:oddHBand="0" w:evenHBand="0" w:firstRowFirstColumn="0" w:firstRowLastColumn="0" w:lastRowFirstColumn="0" w:lastRowLastColumn="0"/>
        </w:trPr>
        <w:tc>
          <w:tcPr>
            <w:tcW w:w="1741" w:type="dxa"/>
          </w:tcPr>
          <w:p w:rsidR="00AE3655" w:rsidRPr="00AE3655" w:rsidRDefault="00AE3655" w:rsidP="00AE3655">
            <w:pPr>
              <w:pStyle w:val="AERtabletextleft"/>
              <w:rPr>
                <w:rStyle w:val="AERtextbold"/>
              </w:rPr>
            </w:pPr>
            <w:r w:rsidRPr="00AE3655">
              <w:rPr>
                <w:rFonts w:eastAsia="Calibri"/>
              </w:rPr>
              <w:br w:type="page"/>
            </w:r>
            <w:r w:rsidRPr="00AE3655">
              <w:rPr>
                <w:rStyle w:val="AERtextbold"/>
              </w:rPr>
              <w:t>Issue</w:t>
            </w:r>
          </w:p>
        </w:tc>
        <w:tc>
          <w:tcPr>
            <w:tcW w:w="2080" w:type="dxa"/>
          </w:tcPr>
          <w:p w:rsidR="00AE3655" w:rsidRPr="00AE3655" w:rsidRDefault="00AE3655" w:rsidP="00AE3655">
            <w:pPr>
              <w:pStyle w:val="AERtabletextleft"/>
              <w:rPr>
                <w:rStyle w:val="AERtextbold"/>
              </w:rPr>
            </w:pPr>
            <w:r w:rsidRPr="00AE3655">
              <w:rPr>
                <w:rStyle w:val="AERtextbold"/>
              </w:rPr>
              <w:t>Respondent</w:t>
            </w:r>
          </w:p>
        </w:tc>
        <w:tc>
          <w:tcPr>
            <w:tcW w:w="4707" w:type="dxa"/>
          </w:tcPr>
          <w:p w:rsidR="00AE3655" w:rsidRPr="00AE3655" w:rsidRDefault="00AE3655" w:rsidP="00AE3655">
            <w:pPr>
              <w:pStyle w:val="AERtabletextleft"/>
              <w:rPr>
                <w:rStyle w:val="AERtextbold"/>
              </w:rPr>
            </w:pPr>
            <w:r w:rsidRPr="00AE3655">
              <w:rPr>
                <w:rStyle w:val="AERtextbold"/>
              </w:rPr>
              <w:t>Comments</w:t>
            </w:r>
          </w:p>
        </w:tc>
      </w:tr>
      <w:tr w:rsidR="00335B8E" w:rsidRPr="00C35112" w:rsidTr="00335B8E">
        <w:tc>
          <w:tcPr>
            <w:tcW w:w="1741" w:type="dxa"/>
          </w:tcPr>
          <w:p w:rsidR="00335B8E" w:rsidRPr="00C35112" w:rsidRDefault="00AE3655" w:rsidP="00335B8E">
            <w:pPr>
              <w:pStyle w:val="AERtabletextleft"/>
            </w:pPr>
            <w:r w:rsidRPr="00AE3655">
              <w:t>Strength of the CESS penalty</w:t>
            </w:r>
          </w:p>
        </w:tc>
        <w:tc>
          <w:tcPr>
            <w:tcW w:w="2080" w:type="dxa"/>
          </w:tcPr>
          <w:p w:rsidR="00335B8E" w:rsidRPr="00C35112" w:rsidRDefault="00335B8E" w:rsidP="00335B8E">
            <w:pPr>
              <w:pStyle w:val="AERtabletextleft"/>
            </w:pPr>
            <w:r w:rsidRPr="00C35112">
              <w:t>MEU</w:t>
            </w:r>
          </w:p>
        </w:tc>
        <w:tc>
          <w:tcPr>
            <w:tcW w:w="4707" w:type="dxa"/>
          </w:tcPr>
          <w:p w:rsidR="00335B8E" w:rsidRPr="00C35112" w:rsidRDefault="00335B8E" w:rsidP="00335B8E">
            <w:pPr>
              <w:pStyle w:val="AERtabletextleft"/>
            </w:pPr>
            <w:r w:rsidRPr="00C35112">
              <w:t>Stated that consumers should not have to bear any of the costs of an overspend.</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Energex</w:t>
            </w:r>
          </w:p>
        </w:tc>
        <w:tc>
          <w:tcPr>
            <w:tcW w:w="4707" w:type="dxa"/>
          </w:tcPr>
          <w:p w:rsidR="00335B8E" w:rsidRPr="00C35112" w:rsidRDefault="00335B8E" w:rsidP="00335B8E">
            <w:pPr>
              <w:pStyle w:val="AERtabletextleft"/>
            </w:pPr>
            <w:r w:rsidRPr="00C35112">
              <w:t>If a CESS is introduced, supported it being low powered. Energex also supported the strength being balanced with incentives for opex and service.</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Ergon Energy</w:t>
            </w:r>
          </w:p>
        </w:tc>
        <w:tc>
          <w:tcPr>
            <w:tcW w:w="4707" w:type="dxa"/>
          </w:tcPr>
          <w:p w:rsidR="00335B8E" w:rsidRPr="00C35112" w:rsidRDefault="00335B8E" w:rsidP="00335B8E">
            <w:pPr>
              <w:pStyle w:val="AERtabletextleft"/>
            </w:pPr>
            <w:r w:rsidRPr="00C35112">
              <w:t xml:space="preserve">Cautioned against introducing stronger incentives. </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225084">
            <w:pPr>
              <w:pStyle w:val="AERtabletextleft"/>
            </w:pPr>
            <w:r w:rsidRPr="00C35112">
              <w:t xml:space="preserve">Power of the </w:t>
            </w:r>
            <w:r w:rsidR="00225084">
              <w:t xml:space="preserve">CESS </w:t>
            </w:r>
          </w:p>
        </w:tc>
        <w:tc>
          <w:tcPr>
            <w:tcW w:w="2080" w:type="dxa"/>
          </w:tcPr>
          <w:p w:rsidR="00335B8E" w:rsidRPr="00C35112" w:rsidRDefault="00335B8E" w:rsidP="00335B8E">
            <w:pPr>
              <w:pStyle w:val="AERtabletextleft"/>
            </w:pPr>
            <w:r w:rsidRPr="00C35112">
              <w:t>Grid Australia</w:t>
            </w:r>
          </w:p>
        </w:tc>
        <w:tc>
          <w:tcPr>
            <w:tcW w:w="4707" w:type="dxa"/>
          </w:tcPr>
          <w:p w:rsidR="00335B8E" w:rsidRPr="00C35112" w:rsidRDefault="00335B8E" w:rsidP="00335B8E">
            <w:pPr>
              <w:pStyle w:val="AERtabletextleft"/>
            </w:pPr>
            <w:r w:rsidRPr="00C35112">
              <w:t xml:space="preserve">Suggested that the following factors be considered in determining the power of the incentive: the ease of achieving efficiency improvements, the confidence in the expenditure forecast, the power of other incentives schemes (opex, service), </w:t>
            </w:r>
            <w:r w:rsidR="00783661" w:rsidRPr="00C35112">
              <w:t>and the</w:t>
            </w:r>
            <w:r w:rsidRPr="00C35112">
              <w:t xml:space="preserve"> impact of exogenous factors on cost. </w:t>
            </w:r>
          </w:p>
        </w:tc>
      </w:tr>
      <w:tr w:rsidR="00335B8E" w:rsidRPr="00C35112" w:rsidTr="00335B8E">
        <w:tc>
          <w:tcPr>
            <w:tcW w:w="1741" w:type="dxa"/>
          </w:tcPr>
          <w:p w:rsidR="00335B8E" w:rsidRPr="00C35112" w:rsidRDefault="00335B8E" w:rsidP="00225084">
            <w:pPr>
              <w:pStyle w:val="AERtabletextleft"/>
            </w:pPr>
            <w:r w:rsidRPr="00C35112">
              <w:t xml:space="preserve">One size fits all or a number of </w:t>
            </w:r>
            <w:r w:rsidR="00225084">
              <w:t>CESSs</w:t>
            </w:r>
          </w:p>
        </w:tc>
        <w:tc>
          <w:tcPr>
            <w:tcW w:w="2080" w:type="dxa"/>
          </w:tcPr>
          <w:p w:rsidR="00335B8E" w:rsidRPr="00C35112" w:rsidRDefault="00335B8E" w:rsidP="00335B8E">
            <w:pPr>
              <w:pStyle w:val="AERtabletextleft"/>
            </w:pPr>
            <w:r w:rsidRPr="00C35112">
              <w:t>TEC</w:t>
            </w:r>
          </w:p>
        </w:tc>
        <w:tc>
          <w:tcPr>
            <w:tcW w:w="4707" w:type="dxa"/>
          </w:tcPr>
          <w:p w:rsidR="00335B8E" w:rsidRPr="00C35112" w:rsidRDefault="00335B8E" w:rsidP="00335B8E">
            <w:pPr>
              <w:pStyle w:val="AERtabletextleft"/>
            </w:pPr>
            <w:r w:rsidRPr="00C35112">
              <w:t>Stated that there are differences due to ownership (government or private) and type (DNSP or TNSP) and hence, at least four schemes should be developed.</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EUAA/ CEM</w:t>
            </w:r>
          </w:p>
        </w:tc>
        <w:tc>
          <w:tcPr>
            <w:tcW w:w="4707" w:type="dxa"/>
          </w:tcPr>
          <w:p w:rsidR="00335B8E" w:rsidRPr="00C35112" w:rsidRDefault="00335B8E" w:rsidP="002722F7">
            <w:pPr>
              <w:pStyle w:val="AERtabletextleft"/>
            </w:pPr>
            <w:r w:rsidRPr="00C35112">
              <w:t xml:space="preserve">Stated that overspending is largely an issue for government-owned NSPs. For this reason, the incentive schemes should be different for private and non-private NSPs. </w:t>
            </w:r>
            <w:r w:rsidR="002722F7">
              <w:t>Supported</w:t>
            </w:r>
            <w:r w:rsidRPr="00C35112">
              <w:t xml:space="preserve"> a higher powered asymmetric CESS for government-owned NSPs.</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PIAC</w:t>
            </w:r>
          </w:p>
        </w:tc>
        <w:tc>
          <w:tcPr>
            <w:tcW w:w="4707" w:type="dxa"/>
          </w:tcPr>
          <w:p w:rsidR="00335B8E" w:rsidRPr="00C35112" w:rsidRDefault="00335B8E" w:rsidP="00335B8E">
            <w:pPr>
              <w:pStyle w:val="AERtabletextleft"/>
            </w:pPr>
            <w:r w:rsidRPr="00C35112">
              <w:t>Noted that the power of the incentive could differ between DNSPs and TNSPs. Also suggested there could be differences due to ownership.</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MEU</w:t>
            </w:r>
          </w:p>
        </w:tc>
        <w:tc>
          <w:tcPr>
            <w:tcW w:w="4707" w:type="dxa"/>
          </w:tcPr>
          <w:p w:rsidR="00335B8E" w:rsidRPr="00C35112" w:rsidRDefault="00335B8E" w:rsidP="00335B8E">
            <w:pPr>
              <w:pStyle w:val="AERtabletextleft"/>
            </w:pPr>
            <w:r w:rsidRPr="00C35112">
              <w:t>Supported one scheme for all NSPs.</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CitiPower, Powercor and SA Power Networks</w:t>
            </w:r>
          </w:p>
        </w:tc>
        <w:tc>
          <w:tcPr>
            <w:tcW w:w="4707" w:type="dxa"/>
          </w:tcPr>
          <w:p w:rsidR="00335B8E" w:rsidRPr="00C35112" w:rsidRDefault="00335B8E" w:rsidP="00335B8E">
            <w:pPr>
              <w:pStyle w:val="AERtabletextleft"/>
            </w:pPr>
            <w:r w:rsidRPr="00C35112">
              <w:t>Supported one CESS but with higher rewards for more efficient NSPs.</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Grid Australia</w:t>
            </w:r>
          </w:p>
        </w:tc>
        <w:tc>
          <w:tcPr>
            <w:tcW w:w="4707" w:type="dxa"/>
          </w:tcPr>
          <w:p w:rsidR="00335B8E" w:rsidRPr="00C35112" w:rsidRDefault="00187097" w:rsidP="00187097">
            <w:pPr>
              <w:pStyle w:val="AERtabletextleft"/>
            </w:pPr>
            <w:r>
              <w:t>Suggested that the AER develop TNSP</w:t>
            </w:r>
            <w:r w:rsidR="00335B8E" w:rsidRPr="00C35112">
              <w:t xml:space="preserve"> specific </w:t>
            </w:r>
            <w:r w:rsidR="0043387A">
              <w:t>guidelines</w:t>
            </w:r>
            <w:r w:rsidR="00335B8E" w:rsidRPr="00C35112">
              <w:t xml:space="preserve"> on the basis that the capex profile is different, the coverage of service incentive schemes is different, interactions between the wholesale market is different and the form of price control is different.</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APA Group</w:t>
            </w:r>
          </w:p>
        </w:tc>
        <w:tc>
          <w:tcPr>
            <w:tcW w:w="4707" w:type="dxa"/>
          </w:tcPr>
          <w:p w:rsidR="00335B8E" w:rsidRPr="00C35112" w:rsidRDefault="00335B8E" w:rsidP="00187097">
            <w:pPr>
              <w:pStyle w:val="AERtabletextleft"/>
            </w:pPr>
            <w:r w:rsidRPr="00C35112">
              <w:t xml:space="preserve">Suggested that different schemes be developed for </w:t>
            </w:r>
            <w:r w:rsidR="00187097">
              <w:t>TNSPs and DNSPs</w:t>
            </w:r>
            <w:r w:rsidRPr="00C35112">
              <w:t xml:space="preserve">. Stated that TNSPs are often exposed to customer driven transmission level extensions with short lead times. </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ENA</w:t>
            </w:r>
          </w:p>
        </w:tc>
        <w:tc>
          <w:tcPr>
            <w:tcW w:w="4707" w:type="dxa"/>
          </w:tcPr>
          <w:p w:rsidR="00335B8E" w:rsidRPr="00C35112" w:rsidRDefault="00335B8E" w:rsidP="00335B8E">
            <w:pPr>
              <w:pStyle w:val="AERtabletextleft"/>
            </w:pPr>
            <w:r w:rsidRPr="00C35112">
              <w:t>Supported having different schemes for TNSPs and DNSPs. Also supported schemes being tailored to suit the different circumstances of different NSPs, suggested criteria to inform this.</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Jemena</w:t>
            </w:r>
          </w:p>
        </w:tc>
        <w:tc>
          <w:tcPr>
            <w:tcW w:w="4707" w:type="dxa"/>
          </w:tcPr>
          <w:p w:rsidR="00335B8E" w:rsidRPr="00C35112" w:rsidRDefault="00335B8E" w:rsidP="00335B8E">
            <w:pPr>
              <w:pStyle w:val="AERtabletextleft"/>
            </w:pPr>
            <w:r w:rsidRPr="00C35112">
              <w:t xml:space="preserve">Supported the AER tailoring the incentives to the circumstances of each NSP. </w:t>
            </w:r>
          </w:p>
        </w:tc>
      </w:tr>
      <w:tr w:rsidR="00335B8E"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Energex</w:t>
            </w:r>
          </w:p>
        </w:tc>
        <w:tc>
          <w:tcPr>
            <w:tcW w:w="4707" w:type="dxa"/>
          </w:tcPr>
          <w:p w:rsidR="00335B8E" w:rsidRPr="00C35112" w:rsidRDefault="00335B8E" w:rsidP="00335B8E">
            <w:pPr>
              <w:pStyle w:val="AERtabletextleft"/>
            </w:pPr>
            <w:r w:rsidRPr="00C35112">
              <w:t>Supported one scheme applying to all with the ability to make minor changes to reflect individual differences between NSPs. Recommended that the AER develop criteria to be used in determining whether a CESS should apply to individual NSPs.</w:t>
            </w:r>
          </w:p>
        </w:tc>
      </w:tr>
      <w:tr w:rsidR="00335B8E" w:rsidRPr="00C35112" w:rsidTr="00335B8E">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SP AusNet</w:t>
            </w:r>
          </w:p>
        </w:tc>
        <w:tc>
          <w:tcPr>
            <w:tcW w:w="4707" w:type="dxa"/>
          </w:tcPr>
          <w:p w:rsidR="00335B8E" w:rsidRPr="00C35112" w:rsidRDefault="00335B8E" w:rsidP="00335B8E">
            <w:pPr>
              <w:pStyle w:val="AERtabletextleft"/>
            </w:pPr>
            <w:r w:rsidRPr="00C35112">
              <w:t xml:space="preserve">Supported one scheme but with aspects adjusted to account for differences in jurisdiction, type and NSP. Recommended the STPIS </w:t>
            </w:r>
            <w:r w:rsidR="00783661">
              <w:t>guidelines</w:t>
            </w:r>
            <w:r w:rsidRPr="00C35112">
              <w:t xml:space="preserve"> as a way to achieve this.</w:t>
            </w:r>
          </w:p>
        </w:tc>
      </w:tr>
    </w:tbl>
    <w:p w:rsidR="00AE3655" w:rsidRDefault="00AE3655"/>
    <w:tbl>
      <w:tblPr>
        <w:tblStyle w:val="AERtable-text"/>
        <w:tblW w:w="0" w:type="auto"/>
        <w:tblLook w:val="0020" w:firstRow="1" w:lastRow="0" w:firstColumn="0" w:lastColumn="0" w:noHBand="0" w:noVBand="0"/>
      </w:tblPr>
      <w:tblGrid>
        <w:gridCol w:w="1741"/>
        <w:gridCol w:w="2080"/>
        <w:gridCol w:w="4707"/>
      </w:tblGrid>
      <w:tr w:rsidR="00AE3655" w:rsidRPr="00C35112" w:rsidTr="00F96565">
        <w:trPr>
          <w:cnfStyle w:val="100000000000" w:firstRow="1" w:lastRow="0" w:firstColumn="0" w:lastColumn="0" w:oddVBand="0" w:evenVBand="0" w:oddHBand="0" w:evenHBand="0" w:firstRowFirstColumn="0" w:firstRowLastColumn="0" w:lastRowFirstColumn="0" w:lastRowLastColumn="0"/>
        </w:trPr>
        <w:tc>
          <w:tcPr>
            <w:tcW w:w="1741" w:type="dxa"/>
          </w:tcPr>
          <w:p w:rsidR="00AE3655" w:rsidRPr="00AE3655" w:rsidRDefault="00AE3655" w:rsidP="00AE3655">
            <w:pPr>
              <w:pStyle w:val="AERtabletextleft"/>
              <w:tabs>
                <w:tab w:val="num" w:pos="0"/>
              </w:tabs>
              <w:rPr>
                <w:rStyle w:val="AERtextbold"/>
              </w:rPr>
            </w:pPr>
            <w:r w:rsidRPr="00AE3655">
              <w:rPr>
                <w:rFonts w:eastAsia="Calibri"/>
              </w:rPr>
              <w:br w:type="page"/>
            </w:r>
            <w:r w:rsidRPr="00AE3655">
              <w:rPr>
                <w:rStyle w:val="AERtextbold"/>
              </w:rPr>
              <w:t>Issue</w:t>
            </w:r>
          </w:p>
        </w:tc>
        <w:tc>
          <w:tcPr>
            <w:tcW w:w="2080" w:type="dxa"/>
          </w:tcPr>
          <w:p w:rsidR="00AE3655" w:rsidRPr="00AE3655" w:rsidRDefault="00AE3655" w:rsidP="00AE3655">
            <w:pPr>
              <w:pStyle w:val="AERtabletextleft"/>
              <w:tabs>
                <w:tab w:val="num" w:pos="0"/>
              </w:tabs>
              <w:rPr>
                <w:rStyle w:val="AERtextbold"/>
              </w:rPr>
            </w:pPr>
            <w:r w:rsidRPr="00AE3655">
              <w:rPr>
                <w:rStyle w:val="AERtextbold"/>
              </w:rPr>
              <w:t>Respondent</w:t>
            </w:r>
          </w:p>
        </w:tc>
        <w:tc>
          <w:tcPr>
            <w:tcW w:w="4707" w:type="dxa"/>
          </w:tcPr>
          <w:p w:rsidR="00AE3655" w:rsidRPr="00AE3655" w:rsidRDefault="00AE3655" w:rsidP="00AE3655">
            <w:pPr>
              <w:pStyle w:val="AERtabletextleft"/>
              <w:tabs>
                <w:tab w:val="num" w:pos="0"/>
              </w:tabs>
              <w:rPr>
                <w:rStyle w:val="AERtextbold"/>
              </w:rPr>
            </w:pPr>
            <w:r w:rsidRPr="00AE3655">
              <w:rPr>
                <w:rStyle w:val="AERtextbold"/>
              </w:rPr>
              <w:t>Comments</w:t>
            </w:r>
          </w:p>
        </w:tc>
      </w:tr>
      <w:tr w:rsidR="00335B8E" w:rsidRPr="00C35112" w:rsidTr="00335B8E">
        <w:tc>
          <w:tcPr>
            <w:tcW w:w="1741" w:type="dxa"/>
          </w:tcPr>
          <w:p w:rsidR="00335B8E" w:rsidRPr="00C35112" w:rsidRDefault="00AE3655" w:rsidP="00335B8E">
            <w:pPr>
              <w:pStyle w:val="AERtabletextleft"/>
            </w:pPr>
            <w:r>
              <w:rPr>
                <w:rFonts w:eastAsia="Calibri"/>
                <w:sz w:val="20"/>
                <w:szCs w:val="20"/>
              </w:rPr>
              <w:br w:type="page"/>
            </w:r>
            <w:r w:rsidRPr="00AE3655">
              <w:t>One size fits all or a number of CESSs</w:t>
            </w:r>
          </w:p>
        </w:tc>
        <w:tc>
          <w:tcPr>
            <w:tcW w:w="2080" w:type="dxa"/>
          </w:tcPr>
          <w:p w:rsidR="00335B8E" w:rsidRPr="00C35112" w:rsidRDefault="00335B8E" w:rsidP="00335B8E">
            <w:pPr>
              <w:pStyle w:val="AERtabletextleft"/>
            </w:pPr>
            <w:r w:rsidRPr="00C35112">
              <w:t>Ergon Energy</w:t>
            </w:r>
          </w:p>
        </w:tc>
        <w:tc>
          <w:tcPr>
            <w:tcW w:w="4707" w:type="dxa"/>
          </w:tcPr>
          <w:p w:rsidR="00335B8E" w:rsidRPr="00C35112" w:rsidRDefault="00335B8E" w:rsidP="00335B8E">
            <w:pPr>
              <w:pStyle w:val="AERtabletextleft"/>
            </w:pPr>
            <w:r w:rsidRPr="00C35112">
              <w:t>Supported one scheme applying to all with the ability to make minor changes to reflect individual differences between NSPs. In tailoring any scheme, the AER could consider previous capex history, any inherent volatility in cost structures and financial solvency and liquidity.</w:t>
            </w:r>
          </w:p>
        </w:tc>
      </w:tr>
      <w:tr w:rsidR="005114FC" w:rsidRPr="00C35112" w:rsidTr="00335B8E">
        <w:trPr>
          <w:cnfStyle w:val="000000010000" w:firstRow="0" w:lastRow="0" w:firstColumn="0" w:lastColumn="0" w:oddVBand="0" w:evenVBand="0" w:oddHBand="0" w:evenHBand="1" w:firstRowFirstColumn="0" w:firstRowLastColumn="0" w:lastRowFirstColumn="0" w:lastRowLastColumn="0"/>
        </w:trPr>
        <w:tc>
          <w:tcPr>
            <w:tcW w:w="1741" w:type="dxa"/>
          </w:tcPr>
          <w:p w:rsidR="005114FC" w:rsidRPr="00C35112" w:rsidRDefault="005114FC" w:rsidP="00335B8E">
            <w:pPr>
              <w:pStyle w:val="AERtabletextleft"/>
            </w:pPr>
          </w:p>
        </w:tc>
        <w:tc>
          <w:tcPr>
            <w:tcW w:w="2080" w:type="dxa"/>
          </w:tcPr>
          <w:p w:rsidR="005114FC" w:rsidRPr="00C35112" w:rsidRDefault="00DD5759" w:rsidP="00335B8E">
            <w:pPr>
              <w:pStyle w:val="AERtabletextleft"/>
            </w:pPr>
            <w:r>
              <w:t>COSBOA</w:t>
            </w:r>
          </w:p>
        </w:tc>
        <w:tc>
          <w:tcPr>
            <w:tcW w:w="4707" w:type="dxa"/>
          </w:tcPr>
          <w:p w:rsidR="005114FC" w:rsidRPr="00C35112" w:rsidRDefault="002722F7" w:rsidP="002722F7">
            <w:pPr>
              <w:pStyle w:val="AERtabletextleft"/>
            </w:pPr>
            <w:r>
              <w:t>Stat</w:t>
            </w:r>
            <w:r w:rsidR="005114FC">
              <w:t>ed that the WACC for government businesses is lower, meaning higher incentives for government NSPs are required.</w:t>
            </w:r>
            <w:r w:rsidR="00DB4D46">
              <w:t xml:space="preserve"> Also </w:t>
            </w:r>
            <w:r>
              <w:t>support</w:t>
            </w:r>
            <w:r w:rsidR="00DB4D46">
              <w:t>ed different approaches on the basis of ownership given other theoret</w:t>
            </w:r>
            <w:r>
              <w:t>ical reasons underpinning this.</w:t>
            </w:r>
            <w:r w:rsidR="007969AE">
              <w:t xml:space="preserve"> Did not consider there to be a need for different schemes for DNSPs and TNSPs.</w:t>
            </w:r>
          </w:p>
        </w:tc>
      </w:tr>
      <w:tr w:rsidR="00335B8E" w:rsidRPr="00C35112" w:rsidTr="00335B8E">
        <w:tc>
          <w:tcPr>
            <w:tcW w:w="1741" w:type="dxa"/>
          </w:tcPr>
          <w:p w:rsidR="00335B8E" w:rsidRPr="00C35112" w:rsidRDefault="00335B8E" w:rsidP="00335B8E">
            <w:pPr>
              <w:pStyle w:val="AERtabletextleft"/>
            </w:pPr>
            <w:r w:rsidRPr="00C35112">
              <w:t>Exclusions from the CESS</w:t>
            </w:r>
          </w:p>
        </w:tc>
        <w:tc>
          <w:tcPr>
            <w:tcW w:w="2080" w:type="dxa"/>
          </w:tcPr>
          <w:p w:rsidR="00335B8E" w:rsidRPr="00C35112" w:rsidRDefault="00335B8E" w:rsidP="00335B8E">
            <w:pPr>
              <w:pStyle w:val="AERtabletextleft"/>
            </w:pPr>
            <w:r w:rsidRPr="00C35112">
              <w:t>NSW DNSPs</w:t>
            </w:r>
          </w:p>
        </w:tc>
        <w:tc>
          <w:tcPr>
            <w:tcW w:w="4707" w:type="dxa"/>
          </w:tcPr>
          <w:p w:rsidR="00335B8E" w:rsidRPr="00C35112" w:rsidRDefault="00335B8E" w:rsidP="00335B8E">
            <w:pPr>
              <w:pStyle w:val="AERtabletextleft"/>
            </w:pPr>
            <w:r w:rsidRPr="00C35112">
              <w:t>Stated that prudent and efficient DNSPs respond to changing circumstances relating to economic conditions, customer-driven demand, asset information and new legislative and regulatory obligations and that the CESS should be adjusted to account for these factors.</w:t>
            </w:r>
          </w:p>
        </w:tc>
      </w:tr>
      <w:tr w:rsidR="00335B8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Jemena</w:t>
            </w:r>
          </w:p>
        </w:tc>
        <w:tc>
          <w:tcPr>
            <w:tcW w:w="4707" w:type="dxa"/>
          </w:tcPr>
          <w:p w:rsidR="00335B8E" w:rsidRPr="00C35112" w:rsidRDefault="00335B8E" w:rsidP="00335B8E">
            <w:pPr>
              <w:pStyle w:val="AERtabletextleft"/>
            </w:pPr>
            <w:r w:rsidRPr="00C35112">
              <w:t xml:space="preserve">Supported excluding </w:t>
            </w:r>
            <w:r>
              <w:t xml:space="preserve">certain </w:t>
            </w:r>
            <w:r w:rsidRPr="00C35112">
              <w:t xml:space="preserve">categories </w:t>
            </w:r>
            <w:r>
              <w:t xml:space="preserve">of </w:t>
            </w:r>
            <w:r w:rsidR="00225084">
              <w:t xml:space="preserve">uncontrollable </w:t>
            </w:r>
            <w:r>
              <w:t>capex from the CESS, to be determined</w:t>
            </w:r>
            <w:r w:rsidRPr="00C35112">
              <w:t xml:space="preserve"> for each NSP on a case by case basis in the framework and approach phase of the price review process. </w:t>
            </w:r>
          </w:p>
        </w:tc>
      </w:tr>
      <w:tr w:rsidR="00335B8E" w:rsidRPr="00C35112" w:rsidTr="00225084">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Ergon Energy</w:t>
            </w:r>
          </w:p>
        </w:tc>
        <w:tc>
          <w:tcPr>
            <w:tcW w:w="4707" w:type="dxa"/>
          </w:tcPr>
          <w:p w:rsidR="00335B8E" w:rsidRPr="00C35112" w:rsidRDefault="00335B8E" w:rsidP="00187097">
            <w:pPr>
              <w:pStyle w:val="AERtabletextleft"/>
            </w:pPr>
            <w:r w:rsidRPr="00C35112">
              <w:t xml:space="preserve">Concerned </w:t>
            </w:r>
            <w:r w:rsidR="00225084">
              <w:t xml:space="preserve">that </w:t>
            </w:r>
            <w:r w:rsidRPr="00C35112">
              <w:t xml:space="preserve">uncontrollable cost categories are not able to describe all circumstances </w:t>
            </w:r>
            <w:r w:rsidR="00187097">
              <w:t xml:space="preserve">that could </w:t>
            </w:r>
            <w:r w:rsidRPr="00C35112">
              <w:t xml:space="preserve">result in </w:t>
            </w:r>
            <w:r w:rsidR="00225084">
              <w:t xml:space="preserve">an </w:t>
            </w:r>
            <w:r w:rsidRPr="00C35112">
              <w:t xml:space="preserve">over/under spend. </w:t>
            </w:r>
            <w:r w:rsidR="00225084">
              <w:t>D</w:t>
            </w:r>
            <w:r w:rsidRPr="00C35112">
              <w:t xml:space="preserve">ifficult to isolate separate items or events which would individually account for a </w:t>
            </w:r>
            <w:r w:rsidR="00225084">
              <w:t>variation from a forecast.</w:t>
            </w:r>
          </w:p>
        </w:tc>
      </w:tr>
      <w:tr w:rsidR="00335B8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Energex</w:t>
            </w:r>
          </w:p>
        </w:tc>
        <w:tc>
          <w:tcPr>
            <w:tcW w:w="4707" w:type="dxa"/>
          </w:tcPr>
          <w:p w:rsidR="00335B8E" w:rsidRPr="00C35112" w:rsidRDefault="00335B8E" w:rsidP="00187097">
            <w:pPr>
              <w:pStyle w:val="AERtabletextleft"/>
            </w:pPr>
            <w:r w:rsidRPr="00C35112">
              <w:t xml:space="preserve">Supported the exclusion of capex associated with cost pass throughs, contingent projects and re-openers. Supported </w:t>
            </w:r>
            <w:r w:rsidR="00225084">
              <w:t xml:space="preserve">ability for </w:t>
            </w:r>
            <w:r w:rsidRPr="00C35112">
              <w:t>NSPs to nominate ca</w:t>
            </w:r>
            <w:r w:rsidR="00187097">
              <w:t>tegories of capex for exclusion</w:t>
            </w:r>
            <w:r w:rsidRPr="00C35112">
              <w:t xml:space="preserve"> on</w:t>
            </w:r>
            <w:r w:rsidR="00187097">
              <w:t xml:space="preserve"> an</w:t>
            </w:r>
            <w:r w:rsidRPr="00C35112">
              <w:t xml:space="preserve"> individual and ex ante basis. Considered adjustments appropriate where assumptions underpinning capex forecasts change materially during </w:t>
            </w:r>
            <w:r w:rsidR="00225084">
              <w:t xml:space="preserve">the regulatory period. </w:t>
            </w:r>
          </w:p>
        </w:tc>
      </w:tr>
      <w:tr w:rsidR="00335B8E" w:rsidRPr="00C35112" w:rsidTr="00225084">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 xml:space="preserve">SP AusNet </w:t>
            </w:r>
          </w:p>
        </w:tc>
        <w:tc>
          <w:tcPr>
            <w:tcW w:w="4707" w:type="dxa"/>
          </w:tcPr>
          <w:p w:rsidR="00335B8E" w:rsidRPr="00C35112" w:rsidRDefault="00225084" w:rsidP="00225084">
            <w:pPr>
              <w:pStyle w:val="AERtabletextleft"/>
            </w:pPr>
            <w:r>
              <w:t xml:space="preserve">Supported </w:t>
            </w:r>
            <w:r w:rsidR="00335B8E" w:rsidRPr="00C35112">
              <w:t xml:space="preserve">NSPs </w:t>
            </w:r>
            <w:r>
              <w:t>being able to propose exclusions including uncontrollable capex and capex for reliability improvements.</w:t>
            </w:r>
          </w:p>
        </w:tc>
      </w:tr>
      <w:tr w:rsidR="00335B8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PIAC</w:t>
            </w:r>
          </w:p>
        </w:tc>
        <w:tc>
          <w:tcPr>
            <w:tcW w:w="4707" w:type="dxa"/>
          </w:tcPr>
          <w:p w:rsidR="00335B8E" w:rsidRPr="00C35112" w:rsidRDefault="00335B8E" w:rsidP="00335B8E">
            <w:pPr>
              <w:pStyle w:val="AERtabletextleft"/>
            </w:pPr>
            <w:r w:rsidRPr="00C35112">
              <w:t>Stated that perhaps there is a case for excluding shorter lived assets from the CESS, in particular, reflecting the difficulty in accurately forecasting IT costs. Also noted that there could be a case for excluding 'innovation' costs.</w:t>
            </w:r>
          </w:p>
        </w:tc>
      </w:tr>
      <w:tr w:rsidR="00335B8E" w:rsidRPr="00C35112" w:rsidTr="00225084">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ActewAGL</w:t>
            </w:r>
          </w:p>
        </w:tc>
        <w:tc>
          <w:tcPr>
            <w:tcW w:w="4707" w:type="dxa"/>
          </w:tcPr>
          <w:p w:rsidR="00335B8E" w:rsidRPr="00C35112" w:rsidRDefault="00335B8E" w:rsidP="00335B8E">
            <w:pPr>
              <w:pStyle w:val="AERtabletextleft"/>
            </w:pPr>
            <w:r w:rsidRPr="00C35112">
              <w:t xml:space="preserve">Supported the </w:t>
            </w:r>
            <w:r w:rsidR="0043387A">
              <w:t>guidelines</w:t>
            </w:r>
            <w:r w:rsidRPr="00C35112">
              <w:t xml:space="preserve"> including principles for determining what can be excluded from the CESS.</w:t>
            </w:r>
          </w:p>
        </w:tc>
      </w:tr>
      <w:tr w:rsidR="00335B8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MEU</w:t>
            </w:r>
          </w:p>
        </w:tc>
        <w:tc>
          <w:tcPr>
            <w:tcW w:w="4707" w:type="dxa"/>
          </w:tcPr>
          <w:p w:rsidR="00335B8E" w:rsidRPr="00C35112" w:rsidRDefault="00335B8E" w:rsidP="00335B8E">
            <w:pPr>
              <w:pStyle w:val="AERtabletextleft"/>
            </w:pPr>
            <w:r w:rsidRPr="00C35112">
              <w:t>Supported capex being adjusted for actual growth and achieved replacement before the CESS is applied.</w:t>
            </w:r>
          </w:p>
        </w:tc>
      </w:tr>
      <w:tr w:rsidR="00335B8E" w:rsidRPr="00C35112" w:rsidTr="00225084">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CitiPower, Powercor and SA Power Networks</w:t>
            </w:r>
          </w:p>
        </w:tc>
        <w:tc>
          <w:tcPr>
            <w:tcW w:w="4707" w:type="dxa"/>
          </w:tcPr>
          <w:p w:rsidR="00335B8E" w:rsidRPr="00C35112" w:rsidRDefault="00335B8E" w:rsidP="00225084">
            <w:pPr>
              <w:pStyle w:val="AERtabletextleft"/>
            </w:pPr>
            <w:r w:rsidRPr="00C35112">
              <w:t xml:space="preserve">Supported capex associated with contingent projects, pass throughs and re-openers being excluded from the CESS. </w:t>
            </w:r>
            <w:r w:rsidR="00225084">
              <w:t>S</w:t>
            </w:r>
            <w:r w:rsidRPr="00C35112">
              <w:t>uggested that the AER develop a defined and agreed list of principles or criteria for capex that could be excluded from the CESS.</w:t>
            </w:r>
          </w:p>
        </w:tc>
      </w:tr>
      <w:tr w:rsidR="00335B8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Grid Australia</w:t>
            </w:r>
          </w:p>
        </w:tc>
        <w:tc>
          <w:tcPr>
            <w:tcW w:w="4707" w:type="dxa"/>
          </w:tcPr>
          <w:p w:rsidR="00335B8E" w:rsidRPr="00C35112" w:rsidRDefault="00335B8E" w:rsidP="00335B8E">
            <w:pPr>
              <w:pStyle w:val="AERtabletextleft"/>
            </w:pPr>
            <w:r w:rsidRPr="00C35112">
              <w:t>Noted that demand, the form of price control, the length of the regulatory period and the treatment of less certain projects and unexpected costs can all result in windfall gains/losses.</w:t>
            </w:r>
          </w:p>
        </w:tc>
      </w:tr>
    </w:tbl>
    <w:p w:rsidR="00AE3655" w:rsidRDefault="00AE3655"/>
    <w:tbl>
      <w:tblPr>
        <w:tblStyle w:val="AERtable-text"/>
        <w:tblW w:w="0" w:type="auto"/>
        <w:tblLook w:val="0020" w:firstRow="1" w:lastRow="0" w:firstColumn="0" w:lastColumn="0" w:noHBand="0" w:noVBand="0"/>
      </w:tblPr>
      <w:tblGrid>
        <w:gridCol w:w="1741"/>
        <w:gridCol w:w="2080"/>
        <w:gridCol w:w="4707"/>
      </w:tblGrid>
      <w:tr w:rsidR="00AE3655" w:rsidRPr="00C35112" w:rsidTr="00F96565">
        <w:trPr>
          <w:cnfStyle w:val="100000000000" w:firstRow="1" w:lastRow="0" w:firstColumn="0" w:lastColumn="0" w:oddVBand="0" w:evenVBand="0" w:oddHBand="0" w:evenHBand="0" w:firstRowFirstColumn="0" w:firstRowLastColumn="0" w:lastRowFirstColumn="0" w:lastRowLastColumn="0"/>
        </w:trPr>
        <w:tc>
          <w:tcPr>
            <w:tcW w:w="1741" w:type="dxa"/>
          </w:tcPr>
          <w:p w:rsidR="00AE3655" w:rsidRPr="00AE3655" w:rsidRDefault="00AE3655" w:rsidP="00AE3655">
            <w:pPr>
              <w:pStyle w:val="AERtabletextleft"/>
              <w:tabs>
                <w:tab w:val="num" w:pos="0"/>
              </w:tabs>
              <w:rPr>
                <w:rStyle w:val="AERtextbold"/>
              </w:rPr>
            </w:pPr>
            <w:r w:rsidRPr="00AE3655">
              <w:rPr>
                <w:rFonts w:eastAsia="Calibri"/>
              </w:rPr>
              <w:br w:type="page"/>
            </w:r>
            <w:r w:rsidRPr="00AE3655">
              <w:rPr>
                <w:rStyle w:val="AERtextbold"/>
              </w:rPr>
              <w:t>Issue</w:t>
            </w:r>
          </w:p>
        </w:tc>
        <w:tc>
          <w:tcPr>
            <w:tcW w:w="2080" w:type="dxa"/>
          </w:tcPr>
          <w:p w:rsidR="00AE3655" w:rsidRPr="00AE3655" w:rsidRDefault="00AE3655" w:rsidP="00AE3655">
            <w:pPr>
              <w:pStyle w:val="AERtabletextleft"/>
              <w:tabs>
                <w:tab w:val="num" w:pos="0"/>
              </w:tabs>
              <w:rPr>
                <w:rStyle w:val="AERtextbold"/>
              </w:rPr>
            </w:pPr>
            <w:r w:rsidRPr="00AE3655">
              <w:rPr>
                <w:rStyle w:val="AERtextbold"/>
              </w:rPr>
              <w:t>Respondent</w:t>
            </w:r>
          </w:p>
        </w:tc>
        <w:tc>
          <w:tcPr>
            <w:tcW w:w="4707" w:type="dxa"/>
          </w:tcPr>
          <w:p w:rsidR="00AE3655" w:rsidRPr="00AE3655" w:rsidRDefault="00AE3655" w:rsidP="00AE3655">
            <w:pPr>
              <w:pStyle w:val="AERtabletextleft"/>
              <w:tabs>
                <w:tab w:val="num" w:pos="0"/>
              </w:tabs>
              <w:rPr>
                <w:rStyle w:val="AERtextbold"/>
              </w:rPr>
            </w:pPr>
            <w:r w:rsidRPr="00AE3655">
              <w:rPr>
                <w:rStyle w:val="AERtextbold"/>
              </w:rPr>
              <w:t>Comments</w:t>
            </w:r>
          </w:p>
        </w:tc>
      </w:tr>
      <w:tr w:rsidR="00335B8E" w:rsidRPr="00C35112" w:rsidTr="00225084">
        <w:tc>
          <w:tcPr>
            <w:tcW w:w="1741" w:type="dxa"/>
          </w:tcPr>
          <w:p w:rsidR="00335B8E" w:rsidRPr="00C35112" w:rsidRDefault="00AE3655" w:rsidP="00335B8E">
            <w:pPr>
              <w:pStyle w:val="AERtabletextleft"/>
            </w:pPr>
            <w:r w:rsidRPr="00AE3655">
              <w:t>Exclusions from the CESS</w:t>
            </w:r>
          </w:p>
        </w:tc>
        <w:tc>
          <w:tcPr>
            <w:tcW w:w="2080" w:type="dxa"/>
          </w:tcPr>
          <w:p w:rsidR="00335B8E" w:rsidRPr="00C35112" w:rsidRDefault="00335B8E" w:rsidP="00335B8E">
            <w:pPr>
              <w:pStyle w:val="AERtabletextleft"/>
            </w:pPr>
            <w:r w:rsidRPr="00C35112">
              <w:t>ENA</w:t>
            </w:r>
          </w:p>
        </w:tc>
        <w:tc>
          <w:tcPr>
            <w:tcW w:w="4707" w:type="dxa"/>
          </w:tcPr>
          <w:p w:rsidR="00335B8E" w:rsidRPr="00C35112" w:rsidRDefault="00335B8E" w:rsidP="00225084">
            <w:pPr>
              <w:pStyle w:val="AERtabletextleft"/>
            </w:pPr>
            <w:r w:rsidRPr="00C35112">
              <w:t>Support</w:t>
            </w:r>
            <w:r w:rsidR="00225084">
              <w:t>ed</w:t>
            </w:r>
            <w:r w:rsidRPr="00C35112">
              <w:t xml:space="preserve"> the </w:t>
            </w:r>
            <w:r w:rsidR="00783661">
              <w:t>guidelines</w:t>
            </w:r>
            <w:r w:rsidRPr="00C35112">
              <w:t xml:space="preserve"> including a defined and agreed set of principles and criteria for identifying potential exclusions from the CESS with NSPs able to apply for these exclusions.</w:t>
            </w:r>
          </w:p>
        </w:tc>
      </w:tr>
      <w:tr w:rsidR="00FE4600"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FE4600" w:rsidRPr="00C35112" w:rsidRDefault="00FE4600" w:rsidP="00335B8E">
            <w:pPr>
              <w:pStyle w:val="AERtabletextleft"/>
            </w:pPr>
          </w:p>
        </w:tc>
        <w:tc>
          <w:tcPr>
            <w:tcW w:w="2080" w:type="dxa"/>
          </w:tcPr>
          <w:p w:rsidR="00FE4600" w:rsidRPr="00C35112" w:rsidRDefault="00FE4600" w:rsidP="00335B8E">
            <w:pPr>
              <w:pStyle w:val="AERtabletextleft"/>
            </w:pPr>
            <w:r>
              <w:t>DSDBI</w:t>
            </w:r>
          </w:p>
        </w:tc>
        <w:tc>
          <w:tcPr>
            <w:tcW w:w="4707" w:type="dxa"/>
          </w:tcPr>
          <w:p w:rsidR="00FE4600" w:rsidRPr="00C35112" w:rsidRDefault="00FE4600" w:rsidP="00335B8E">
            <w:pPr>
              <w:pStyle w:val="AERtabletextleft"/>
            </w:pPr>
            <w:r>
              <w:t>Supported adjustments for growth assumptions, labour and materials</w:t>
            </w:r>
          </w:p>
        </w:tc>
      </w:tr>
      <w:tr w:rsidR="007969AE" w:rsidRPr="00C35112" w:rsidTr="00225084">
        <w:tc>
          <w:tcPr>
            <w:tcW w:w="1741" w:type="dxa"/>
          </w:tcPr>
          <w:p w:rsidR="007969AE" w:rsidRPr="00C35112" w:rsidRDefault="007969AE" w:rsidP="00335B8E">
            <w:pPr>
              <w:pStyle w:val="AERtabletextleft"/>
            </w:pPr>
          </w:p>
        </w:tc>
        <w:tc>
          <w:tcPr>
            <w:tcW w:w="2080" w:type="dxa"/>
          </w:tcPr>
          <w:p w:rsidR="007969AE" w:rsidRPr="00C35112" w:rsidRDefault="00DD5759" w:rsidP="00335B8E">
            <w:pPr>
              <w:pStyle w:val="AERtabletextleft"/>
            </w:pPr>
            <w:r>
              <w:t>COSBOA</w:t>
            </w:r>
          </w:p>
        </w:tc>
        <w:tc>
          <w:tcPr>
            <w:tcW w:w="4707" w:type="dxa"/>
          </w:tcPr>
          <w:p w:rsidR="007969AE" w:rsidRPr="00C35112" w:rsidRDefault="007969AE" w:rsidP="00335B8E">
            <w:pPr>
              <w:pStyle w:val="AERtabletextleft"/>
            </w:pPr>
            <w:r>
              <w:t>Did not support any exclusions being allowed.</w:t>
            </w:r>
          </w:p>
        </w:tc>
      </w:tr>
      <w:tr w:rsidR="00335B8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r w:rsidRPr="00C35112">
              <w:t xml:space="preserve">Inclusion of the power of the CESS in the </w:t>
            </w:r>
            <w:r w:rsidR="0043387A">
              <w:t>guidelines</w:t>
            </w:r>
          </w:p>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PIAC</w:t>
            </w:r>
          </w:p>
        </w:tc>
        <w:tc>
          <w:tcPr>
            <w:tcW w:w="4707" w:type="dxa"/>
          </w:tcPr>
          <w:p w:rsidR="00335B8E" w:rsidRPr="00C35112" w:rsidRDefault="00335B8E" w:rsidP="00335B8E">
            <w:pPr>
              <w:pStyle w:val="AERtabletextleft"/>
            </w:pPr>
            <w:r w:rsidRPr="00C35112">
              <w:t xml:space="preserve">Supported the power of the CESS (or the method for determining the power of the CESS) being included in the </w:t>
            </w:r>
            <w:r w:rsidR="0043387A">
              <w:t>guidelines</w:t>
            </w:r>
            <w:r w:rsidRPr="00C35112">
              <w:t>.</w:t>
            </w:r>
          </w:p>
        </w:tc>
      </w:tr>
      <w:tr w:rsidR="00335B8E" w:rsidRPr="00C35112" w:rsidTr="00225084">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CitiPower, Powercor and SA Power Networks</w:t>
            </w:r>
          </w:p>
        </w:tc>
        <w:tc>
          <w:tcPr>
            <w:tcW w:w="4707" w:type="dxa"/>
          </w:tcPr>
          <w:p w:rsidR="00335B8E" w:rsidRPr="00C35112" w:rsidRDefault="00335B8E" w:rsidP="00335B8E">
            <w:pPr>
              <w:pStyle w:val="AERtabletextleft"/>
            </w:pPr>
            <w:r w:rsidRPr="00C35112">
              <w:t xml:space="preserve">Supported the power of the CESS being included in the </w:t>
            </w:r>
            <w:r w:rsidR="0043387A">
              <w:t>guidelines</w:t>
            </w:r>
            <w:r w:rsidRPr="00C35112">
              <w:t xml:space="preserve"> with flexibility for higher rewards for more efficient NSPs.</w:t>
            </w:r>
          </w:p>
        </w:tc>
      </w:tr>
      <w:tr w:rsidR="00335B8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Grid Australia</w:t>
            </w:r>
          </w:p>
        </w:tc>
        <w:tc>
          <w:tcPr>
            <w:tcW w:w="4707" w:type="dxa"/>
          </w:tcPr>
          <w:p w:rsidR="00335B8E" w:rsidRPr="00C35112" w:rsidRDefault="00335B8E" w:rsidP="00335B8E">
            <w:pPr>
              <w:pStyle w:val="AERtabletextleft"/>
            </w:pPr>
            <w:r w:rsidRPr="00C35112">
              <w:t xml:space="preserve">Supported the incentive rates (or methodology for determining these) being included in the </w:t>
            </w:r>
            <w:r w:rsidR="00783661">
              <w:t>guidelines</w:t>
            </w:r>
            <w:r w:rsidRPr="00C35112">
              <w:t>.</w:t>
            </w:r>
          </w:p>
        </w:tc>
      </w:tr>
      <w:tr w:rsidR="00335B8E" w:rsidRPr="00C35112" w:rsidTr="00225084">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ENA</w:t>
            </w:r>
          </w:p>
        </w:tc>
        <w:tc>
          <w:tcPr>
            <w:tcW w:w="4707" w:type="dxa"/>
          </w:tcPr>
          <w:p w:rsidR="00335B8E" w:rsidRPr="00C35112" w:rsidRDefault="00335B8E" w:rsidP="00335B8E">
            <w:pPr>
              <w:pStyle w:val="AERtabletextleft"/>
            </w:pPr>
            <w:r w:rsidRPr="00C35112">
              <w:t xml:space="preserve">Recommended a range and criteria be included in the </w:t>
            </w:r>
            <w:r w:rsidR="0043387A">
              <w:t>guidelines</w:t>
            </w:r>
            <w:r w:rsidRPr="00C35112">
              <w:t xml:space="preserve"> with the specific power to be determined in the framework and approach stage.</w:t>
            </w:r>
          </w:p>
        </w:tc>
      </w:tr>
      <w:tr w:rsidR="00335B8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SP AusNet</w:t>
            </w:r>
          </w:p>
        </w:tc>
        <w:tc>
          <w:tcPr>
            <w:tcW w:w="4707" w:type="dxa"/>
          </w:tcPr>
          <w:p w:rsidR="00335B8E" w:rsidRPr="00C35112" w:rsidRDefault="00335B8E" w:rsidP="00335B8E">
            <w:pPr>
              <w:pStyle w:val="AERtabletextleft"/>
            </w:pPr>
            <w:r w:rsidRPr="00C35112">
              <w:t xml:space="preserve">Stated that the </w:t>
            </w:r>
            <w:r w:rsidR="00783661">
              <w:t>guidelines</w:t>
            </w:r>
            <w:r w:rsidRPr="00C35112">
              <w:t xml:space="preserve"> should set out the design of the incentive and the AER's approach to determining the power.</w:t>
            </w:r>
          </w:p>
        </w:tc>
      </w:tr>
      <w:tr w:rsidR="00335B8E" w:rsidRPr="00C35112" w:rsidTr="00225084">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Energex</w:t>
            </w:r>
          </w:p>
        </w:tc>
        <w:tc>
          <w:tcPr>
            <w:tcW w:w="4707" w:type="dxa"/>
          </w:tcPr>
          <w:p w:rsidR="00335B8E" w:rsidRPr="00C35112" w:rsidRDefault="00335B8E" w:rsidP="001072C5">
            <w:pPr>
              <w:pStyle w:val="AERtabletextleft"/>
            </w:pPr>
            <w:r w:rsidRPr="00C35112">
              <w:t xml:space="preserve">Supported </w:t>
            </w:r>
            <w:r w:rsidR="001072C5">
              <w:t xml:space="preserve">there being </w:t>
            </w:r>
            <w:r w:rsidRPr="00C35112">
              <w:t>up-front guidance on the power of any CESS.</w:t>
            </w:r>
          </w:p>
        </w:tc>
      </w:tr>
      <w:tr w:rsidR="007969A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7969AE" w:rsidRPr="00C35112" w:rsidRDefault="007969AE" w:rsidP="00335B8E">
            <w:pPr>
              <w:pStyle w:val="AERtabletextleft"/>
            </w:pPr>
          </w:p>
        </w:tc>
        <w:tc>
          <w:tcPr>
            <w:tcW w:w="2080" w:type="dxa"/>
          </w:tcPr>
          <w:p w:rsidR="007969AE" w:rsidRPr="00C35112" w:rsidRDefault="00DD5759" w:rsidP="00335B8E">
            <w:pPr>
              <w:pStyle w:val="AERtabletextleft"/>
            </w:pPr>
            <w:r>
              <w:t>COSBOA</w:t>
            </w:r>
          </w:p>
        </w:tc>
        <w:tc>
          <w:tcPr>
            <w:tcW w:w="4707" w:type="dxa"/>
          </w:tcPr>
          <w:p w:rsidR="007969AE" w:rsidRPr="00C35112" w:rsidRDefault="007969AE" w:rsidP="00335B8E">
            <w:pPr>
              <w:pStyle w:val="AERtabletextleft"/>
            </w:pPr>
            <w:r>
              <w:t xml:space="preserve">Supported some guidance being included in the </w:t>
            </w:r>
            <w:r w:rsidR="0043387A">
              <w:t>guidelines</w:t>
            </w:r>
            <w:r>
              <w:t xml:space="preserve"> but some flexibility left for the AER to consider differences between NSPs and asset lives.</w:t>
            </w:r>
          </w:p>
        </w:tc>
      </w:tr>
      <w:tr w:rsidR="00335B8E" w:rsidRPr="00C35112" w:rsidTr="00225084">
        <w:tc>
          <w:tcPr>
            <w:tcW w:w="1741" w:type="dxa"/>
          </w:tcPr>
          <w:p w:rsidR="00335B8E" w:rsidRPr="00C35112" w:rsidRDefault="00335B8E" w:rsidP="00335B8E">
            <w:pPr>
              <w:pStyle w:val="AERtabletextleft"/>
            </w:pPr>
            <w:r w:rsidRPr="00C35112">
              <w:t>Interaction between CESS and ex post review</w:t>
            </w:r>
          </w:p>
        </w:tc>
        <w:tc>
          <w:tcPr>
            <w:tcW w:w="2080" w:type="dxa"/>
          </w:tcPr>
          <w:p w:rsidR="00335B8E" w:rsidRPr="00C35112" w:rsidRDefault="00335B8E" w:rsidP="00335B8E">
            <w:pPr>
              <w:pStyle w:val="AERtabletextleft"/>
            </w:pPr>
            <w:r w:rsidRPr="00C35112">
              <w:t>APA Group</w:t>
            </w:r>
          </w:p>
        </w:tc>
        <w:tc>
          <w:tcPr>
            <w:tcW w:w="4707" w:type="dxa"/>
          </w:tcPr>
          <w:p w:rsidR="00335B8E" w:rsidRPr="00C35112" w:rsidRDefault="00335B8E" w:rsidP="00335B8E">
            <w:pPr>
              <w:pStyle w:val="AERtabletextleft"/>
            </w:pPr>
            <w:r w:rsidRPr="00C35112">
              <w:t>Suggested that the CESS should not apply at all where the AER in its ex post review has found the expenditure to be efficient.</w:t>
            </w:r>
          </w:p>
        </w:tc>
      </w:tr>
      <w:tr w:rsidR="00335B8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NSW DNSPs</w:t>
            </w:r>
          </w:p>
        </w:tc>
        <w:tc>
          <w:tcPr>
            <w:tcW w:w="4707" w:type="dxa"/>
          </w:tcPr>
          <w:p w:rsidR="00335B8E" w:rsidRPr="00C35112" w:rsidRDefault="00335B8E" w:rsidP="00335B8E">
            <w:pPr>
              <w:pStyle w:val="AERtabletextleft"/>
            </w:pPr>
            <w:r w:rsidRPr="00C35112">
              <w:t xml:space="preserve">Stated that the CESS should not apply in addition to any exclusion of capex from the RAB. </w:t>
            </w:r>
          </w:p>
        </w:tc>
      </w:tr>
      <w:tr w:rsidR="00335B8E" w:rsidRPr="00C35112" w:rsidTr="00225084">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CitiPower, Powercor and SA Power Networks</w:t>
            </w:r>
          </w:p>
        </w:tc>
        <w:tc>
          <w:tcPr>
            <w:tcW w:w="4707" w:type="dxa"/>
          </w:tcPr>
          <w:p w:rsidR="00335B8E" w:rsidRPr="00C35112" w:rsidRDefault="00335B8E" w:rsidP="00187097">
            <w:pPr>
              <w:pStyle w:val="AERtabletextleft"/>
            </w:pPr>
            <w:r w:rsidRPr="00C35112">
              <w:t>Requested</w:t>
            </w:r>
            <w:r w:rsidR="00187097">
              <w:t xml:space="preserve"> that</w:t>
            </w:r>
            <w:r w:rsidRPr="00C35112">
              <w:t xml:space="preserve"> the AER clarify how it will adjust the CESS when capex is excluded from the RAB through the ex post review.</w:t>
            </w:r>
          </w:p>
        </w:tc>
      </w:tr>
      <w:tr w:rsidR="00335B8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r w:rsidRPr="00C35112">
              <w:t>Interactions between capex and opex</w:t>
            </w:r>
          </w:p>
        </w:tc>
        <w:tc>
          <w:tcPr>
            <w:tcW w:w="2080" w:type="dxa"/>
          </w:tcPr>
          <w:p w:rsidR="00335B8E" w:rsidRPr="00C35112" w:rsidRDefault="00335B8E" w:rsidP="00335B8E">
            <w:pPr>
              <w:pStyle w:val="AERtabletextleft"/>
            </w:pPr>
            <w:r w:rsidRPr="00C35112">
              <w:t>NSW DNSPs</w:t>
            </w:r>
          </w:p>
        </w:tc>
        <w:tc>
          <w:tcPr>
            <w:tcW w:w="4707" w:type="dxa"/>
          </w:tcPr>
          <w:p w:rsidR="00335B8E" w:rsidRPr="00C35112" w:rsidRDefault="00335B8E" w:rsidP="00335B8E">
            <w:pPr>
              <w:pStyle w:val="AERtabletextleft"/>
            </w:pPr>
            <w:r w:rsidRPr="00C35112">
              <w:t>Stated there is a need to recognise capex and opex trade-offs. In particular, if a NSP stays within its overall allowance but substitutes between opex and capex, this is not necessarily inefficient and should not be penalised.</w:t>
            </w:r>
          </w:p>
        </w:tc>
      </w:tr>
      <w:tr w:rsidR="00335B8E" w:rsidRPr="00C35112" w:rsidTr="00225084">
        <w:tc>
          <w:tcPr>
            <w:tcW w:w="1741" w:type="dxa"/>
          </w:tcPr>
          <w:p w:rsidR="00335B8E" w:rsidRPr="00C35112" w:rsidRDefault="00335B8E" w:rsidP="00335B8E">
            <w:pPr>
              <w:pStyle w:val="AERtabletextleft"/>
            </w:pPr>
          </w:p>
        </w:tc>
        <w:tc>
          <w:tcPr>
            <w:tcW w:w="2080" w:type="dxa"/>
          </w:tcPr>
          <w:p w:rsidR="00335B8E" w:rsidRPr="00C35112" w:rsidRDefault="00335B8E" w:rsidP="00335B8E">
            <w:pPr>
              <w:pStyle w:val="AERtabletextleft"/>
            </w:pPr>
            <w:r w:rsidRPr="00C35112">
              <w:t>EnerNOC</w:t>
            </w:r>
          </w:p>
        </w:tc>
        <w:tc>
          <w:tcPr>
            <w:tcW w:w="4707" w:type="dxa"/>
          </w:tcPr>
          <w:p w:rsidR="00335B8E" w:rsidRPr="00C35112" w:rsidRDefault="00335B8E" w:rsidP="00335B8E">
            <w:pPr>
              <w:pStyle w:val="AERtabletextleft"/>
            </w:pPr>
            <w:r w:rsidRPr="00C35112">
              <w:t>Noted concerns about NSPs substituting between capex and opex. Recommended that we adopt an approach similar to that adopted by Ofgem - that is, an approach that considers expenditure collectively. In the absence of this EnerNOC recommended that the incentive to reduce capex should be at least as strong as the incentive to reduce opex.</w:t>
            </w:r>
          </w:p>
        </w:tc>
      </w:tr>
    </w:tbl>
    <w:p w:rsidR="00AE3655" w:rsidRPr="00AE3655" w:rsidRDefault="00AE3655" w:rsidP="00AE3655"/>
    <w:tbl>
      <w:tblPr>
        <w:tblStyle w:val="AERtable-text"/>
        <w:tblW w:w="0" w:type="auto"/>
        <w:tblLook w:val="0020" w:firstRow="1" w:lastRow="0" w:firstColumn="0" w:lastColumn="0" w:noHBand="0" w:noVBand="0"/>
      </w:tblPr>
      <w:tblGrid>
        <w:gridCol w:w="1741"/>
        <w:gridCol w:w="2080"/>
        <w:gridCol w:w="4707"/>
      </w:tblGrid>
      <w:tr w:rsidR="00AE3655" w:rsidRPr="00C35112" w:rsidTr="00F96565">
        <w:trPr>
          <w:cnfStyle w:val="100000000000" w:firstRow="1" w:lastRow="0" w:firstColumn="0" w:lastColumn="0" w:oddVBand="0" w:evenVBand="0" w:oddHBand="0" w:evenHBand="0" w:firstRowFirstColumn="0" w:firstRowLastColumn="0" w:lastRowFirstColumn="0" w:lastRowLastColumn="0"/>
        </w:trPr>
        <w:tc>
          <w:tcPr>
            <w:tcW w:w="1741" w:type="dxa"/>
          </w:tcPr>
          <w:p w:rsidR="00AE3655" w:rsidRPr="00AE3655" w:rsidRDefault="00AE3655" w:rsidP="00AE3655">
            <w:pPr>
              <w:pStyle w:val="AERtabletextleft"/>
              <w:tabs>
                <w:tab w:val="num" w:pos="0"/>
              </w:tabs>
              <w:rPr>
                <w:rStyle w:val="AERtextbold"/>
              </w:rPr>
            </w:pPr>
            <w:r w:rsidRPr="00AE3655">
              <w:rPr>
                <w:rFonts w:eastAsia="Calibri"/>
              </w:rPr>
              <w:br w:type="page"/>
            </w:r>
            <w:r w:rsidRPr="00AE3655">
              <w:rPr>
                <w:rStyle w:val="AERtextbold"/>
              </w:rPr>
              <w:t>Issue</w:t>
            </w:r>
          </w:p>
        </w:tc>
        <w:tc>
          <w:tcPr>
            <w:tcW w:w="2080" w:type="dxa"/>
          </w:tcPr>
          <w:p w:rsidR="00AE3655" w:rsidRPr="00AE3655" w:rsidRDefault="00AE3655" w:rsidP="00AE3655">
            <w:pPr>
              <w:pStyle w:val="AERtabletextleft"/>
              <w:tabs>
                <w:tab w:val="num" w:pos="0"/>
              </w:tabs>
              <w:rPr>
                <w:rStyle w:val="AERtextbold"/>
              </w:rPr>
            </w:pPr>
            <w:r w:rsidRPr="00AE3655">
              <w:rPr>
                <w:rStyle w:val="AERtextbold"/>
              </w:rPr>
              <w:t>Respondent</w:t>
            </w:r>
          </w:p>
        </w:tc>
        <w:tc>
          <w:tcPr>
            <w:tcW w:w="4707" w:type="dxa"/>
          </w:tcPr>
          <w:p w:rsidR="00AE3655" w:rsidRPr="00AE3655" w:rsidRDefault="00AE3655" w:rsidP="00AE3655">
            <w:pPr>
              <w:pStyle w:val="AERtabletextleft"/>
              <w:tabs>
                <w:tab w:val="num" w:pos="0"/>
              </w:tabs>
              <w:rPr>
                <w:rStyle w:val="AERtextbold"/>
              </w:rPr>
            </w:pPr>
            <w:r w:rsidRPr="00AE3655">
              <w:rPr>
                <w:rStyle w:val="AERtextbold"/>
              </w:rPr>
              <w:t>Comments</w:t>
            </w:r>
          </w:p>
        </w:tc>
      </w:tr>
      <w:tr w:rsidR="00335B8E" w:rsidRPr="00C35112" w:rsidTr="00225084">
        <w:tc>
          <w:tcPr>
            <w:tcW w:w="1741" w:type="dxa"/>
          </w:tcPr>
          <w:p w:rsidR="00335B8E" w:rsidRPr="00C35112" w:rsidRDefault="00AE3655" w:rsidP="00335B8E">
            <w:pPr>
              <w:pStyle w:val="AERtabletextleft"/>
            </w:pPr>
            <w:r w:rsidRPr="00AE3655">
              <w:t>Interactions between capex and opex</w:t>
            </w:r>
          </w:p>
        </w:tc>
        <w:tc>
          <w:tcPr>
            <w:tcW w:w="2080" w:type="dxa"/>
          </w:tcPr>
          <w:p w:rsidR="00335B8E" w:rsidRPr="00C35112" w:rsidRDefault="00335B8E" w:rsidP="00335B8E">
            <w:pPr>
              <w:pStyle w:val="AERtabletextleft"/>
            </w:pPr>
            <w:r w:rsidRPr="00C35112">
              <w:t>PIAC</w:t>
            </w:r>
          </w:p>
        </w:tc>
        <w:tc>
          <w:tcPr>
            <w:tcW w:w="4707" w:type="dxa"/>
          </w:tcPr>
          <w:p w:rsidR="00335B8E" w:rsidRPr="00C35112" w:rsidRDefault="00335B8E" w:rsidP="00335B8E">
            <w:pPr>
              <w:pStyle w:val="AERtabletextleft"/>
            </w:pPr>
            <w:r w:rsidRPr="00C35112">
              <w:t>Noted the incentives to substitute between capex and opex should be limited but suggested that this would be achieved so long as the incentives for capex were higher.</w:t>
            </w:r>
          </w:p>
        </w:tc>
      </w:tr>
      <w:tr w:rsidR="00987FF5" w:rsidRPr="00C35112" w:rsidTr="007F113C">
        <w:trPr>
          <w:cnfStyle w:val="000000010000" w:firstRow="0" w:lastRow="0" w:firstColumn="0" w:lastColumn="0" w:oddVBand="0" w:evenVBand="0" w:oddHBand="0" w:evenHBand="1" w:firstRowFirstColumn="0" w:firstRowLastColumn="0" w:lastRowFirstColumn="0" w:lastRowLastColumn="0"/>
        </w:trPr>
        <w:tc>
          <w:tcPr>
            <w:tcW w:w="1741" w:type="dxa"/>
          </w:tcPr>
          <w:p w:rsidR="00987FF5" w:rsidRPr="00C35112" w:rsidRDefault="00987FF5" w:rsidP="00987FF5">
            <w:pPr>
              <w:pStyle w:val="AERtabletextleft"/>
            </w:pPr>
            <w:r w:rsidRPr="00C35112">
              <w:t>Interaction between CESS and capex forecasting</w:t>
            </w:r>
          </w:p>
        </w:tc>
        <w:tc>
          <w:tcPr>
            <w:tcW w:w="2080" w:type="dxa"/>
          </w:tcPr>
          <w:p w:rsidR="00987FF5" w:rsidRPr="00C35112" w:rsidRDefault="00987FF5" w:rsidP="00987FF5">
            <w:pPr>
              <w:pStyle w:val="AERtabletextleft"/>
            </w:pPr>
            <w:r w:rsidRPr="00C35112">
              <w:t>PIAC</w:t>
            </w:r>
          </w:p>
        </w:tc>
        <w:tc>
          <w:tcPr>
            <w:tcW w:w="4707" w:type="dxa"/>
          </w:tcPr>
          <w:p w:rsidR="00987FF5" w:rsidRPr="00C35112" w:rsidRDefault="00987FF5" w:rsidP="00987FF5">
            <w:pPr>
              <w:pStyle w:val="AERtabletextleft"/>
            </w:pPr>
            <w:r w:rsidRPr="00C35112">
              <w:t>Suggested that, to the extent that there is a 50 per cent or higher penalty on overspending, the AER will have to be more rigorous in assessing capex forecasts (due to the increased incentive to inflate forecasts).</w:t>
            </w:r>
          </w:p>
        </w:tc>
      </w:tr>
      <w:tr w:rsidR="00335B8E" w:rsidRPr="00C35112" w:rsidTr="00225084">
        <w:tc>
          <w:tcPr>
            <w:tcW w:w="1741" w:type="dxa"/>
          </w:tcPr>
          <w:p w:rsidR="00335B8E" w:rsidRPr="00C35112" w:rsidRDefault="00987FF5" w:rsidP="00987FF5">
            <w:pPr>
              <w:pStyle w:val="AERtabletextleft"/>
            </w:pPr>
            <w:r>
              <w:t>Interactions between incentive schemes</w:t>
            </w:r>
          </w:p>
        </w:tc>
        <w:tc>
          <w:tcPr>
            <w:tcW w:w="2080" w:type="dxa"/>
          </w:tcPr>
          <w:p w:rsidR="00335B8E" w:rsidRPr="00C35112" w:rsidRDefault="00335B8E" w:rsidP="00335B8E">
            <w:pPr>
              <w:pStyle w:val="AERtabletextleft"/>
            </w:pPr>
            <w:r w:rsidRPr="00C35112">
              <w:t>PIAC</w:t>
            </w:r>
          </w:p>
        </w:tc>
        <w:tc>
          <w:tcPr>
            <w:tcW w:w="4707" w:type="dxa"/>
          </w:tcPr>
          <w:p w:rsidR="00335B8E" w:rsidRPr="00C35112" w:rsidRDefault="00335B8E" w:rsidP="00335B8E">
            <w:pPr>
              <w:pStyle w:val="AERtabletextleft"/>
            </w:pPr>
            <w:r w:rsidRPr="00C35112">
              <w:t>Suggested that the AER develop a suite of leading performance indicators to monitor the effect of the CESS/EBSS on service.</w:t>
            </w:r>
          </w:p>
        </w:tc>
      </w:tr>
      <w:tr w:rsidR="00335B8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1F658C" w:rsidP="00335B8E">
            <w:pPr>
              <w:pStyle w:val="AERtabletextleft"/>
            </w:pPr>
            <w:r w:rsidRPr="00C35112">
              <w:t>Effect</w:t>
            </w:r>
            <w:r w:rsidR="00335B8E" w:rsidRPr="00C35112">
              <w:t xml:space="preserve"> of asset life on power of the incentive</w:t>
            </w:r>
          </w:p>
        </w:tc>
        <w:tc>
          <w:tcPr>
            <w:tcW w:w="2080" w:type="dxa"/>
          </w:tcPr>
          <w:p w:rsidR="00335B8E" w:rsidRPr="00C35112" w:rsidRDefault="00335B8E" w:rsidP="00335B8E">
            <w:pPr>
              <w:pStyle w:val="AERtabletextleft"/>
            </w:pPr>
            <w:r w:rsidRPr="00C35112">
              <w:t>EUAA/ CEM</w:t>
            </w:r>
          </w:p>
        </w:tc>
        <w:tc>
          <w:tcPr>
            <w:tcW w:w="4707" w:type="dxa"/>
          </w:tcPr>
          <w:p w:rsidR="00335B8E" w:rsidRPr="00C35112" w:rsidRDefault="00335B8E" w:rsidP="00335B8E">
            <w:pPr>
              <w:pStyle w:val="AERtabletextleft"/>
            </w:pPr>
            <w:r w:rsidRPr="00C35112">
              <w:t>Noted that asset life affects the power of the incentive and suggested that this should be accounted for in the CESS.</w:t>
            </w:r>
          </w:p>
        </w:tc>
      </w:tr>
      <w:tr w:rsidR="00335B8E" w:rsidRPr="00C35112" w:rsidTr="00225084">
        <w:tc>
          <w:tcPr>
            <w:tcW w:w="1741" w:type="dxa"/>
          </w:tcPr>
          <w:p w:rsidR="00335B8E" w:rsidRPr="00C35112" w:rsidRDefault="00335B8E" w:rsidP="00335B8E">
            <w:pPr>
              <w:pStyle w:val="AERtabletextleft"/>
            </w:pPr>
            <w:r w:rsidRPr="00C35112">
              <w:t>Design</w:t>
            </w:r>
            <w:r w:rsidR="00225084">
              <w:t xml:space="preserve"> of the CESS</w:t>
            </w:r>
          </w:p>
        </w:tc>
        <w:tc>
          <w:tcPr>
            <w:tcW w:w="2080" w:type="dxa"/>
          </w:tcPr>
          <w:p w:rsidR="00335B8E" w:rsidRPr="00C35112" w:rsidRDefault="00335B8E" w:rsidP="00335B8E">
            <w:pPr>
              <w:pStyle w:val="AERtabletextleft"/>
            </w:pPr>
            <w:r w:rsidRPr="00C35112">
              <w:t>ActewAGL</w:t>
            </w:r>
          </w:p>
        </w:tc>
        <w:tc>
          <w:tcPr>
            <w:tcW w:w="4707" w:type="dxa"/>
          </w:tcPr>
          <w:p w:rsidR="00335B8E" w:rsidRPr="00C35112" w:rsidRDefault="00335B8E" w:rsidP="00335B8E">
            <w:pPr>
              <w:pStyle w:val="AERtabletextleft"/>
            </w:pPr>
            <w:r w:rsidRPr="00C35112">
              <w:t>Supported the ESC's previous Capital Expenditure Carryover Mechanism that worked more like the EBSS and used a comparison of returns on investment.</w:t>
            </w:r>
          </w:p>
        </w:tc>
      </w:tr>
      <w:tr w:rsidR="00335B8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r w:rsidRPr="00C35112">
              <w:t>Issue of forecast capex in year 5</w:t>
            </w:r>
          </w:p>
        </w:tc>
        <w:tc>
          <w:tcPr>
            <w:tcW w:w="2080" w:type="dxa"/>
          </w:tcPr>
          <w:p w:rsidR="00335B8E" w:rsidRPr="00C35112" w:rsidRDefault="00335B8E" w:rsidP="00335B8E">
            <w:pPr>
              <w:pStyle w:val="AERtabletextleft"/>
            </w:pPr>
            <w:r w:rsidRPr="00C35112">
              <w:t>Grid Australia</w:t>
            </w:r>
          </w:p>
        </w:tc>
        <w:tc>
          <w:tcPr>
            <w:tcW w:w="4707" w:type="dxa"/>
          </w:tcPr>
          <w:p w:rsidR="00335B8E" w:rsidRPr="00C35112" w:rsidRDefault="00335B8E" w:rsidP="00187097">
            <w:pPr>
              <w:pStyle w:val="AERtabletextleft"/>
            </w:pPr>
            <w:r w:rsidRPr="00C35112">
              <w:t>Asked whether the CESS should apply to year five given it will only be a forecast. Tended to support the CESS applying over the regulatory period (even if year five was only a forecast).</w:t>
            </w:r>
          </w:p>
        </w:tc>
      </w:tr>
      <w:tr w:rsidR="001F658C" w:rsidRPr="00C35112" w:rsidTr="00225084">
        <w:tc>
          <w:tcPr>
            <w:tcW w:w="1741" w:type="dxa"/>
          </w:tcPr>
          <w:p w:rsidR="001F658C" w:rsidRPr="00C35112" w:rsidRDefault="001F658C" w:rsidP="00335B8E">
            <w:pPr>
              <w:pStyle w:val="AERtabletextleft"/>
            </w:pPr>
            <w:r>
              <w:t>Concern about capex deferral</w:t>
            </w:r>
          </w:p>
        </w:tc>
        <w:tc>
          <w:tcPr>
            <w:tcW w:w="2080" w:type="dxa"/>
          </w:tcPr>
          <w:p w:rsidR="001F658C" w:rsidRPr="00C35112" w:rsidRDefault="001F658C" w:rsidP="00335B8E">
            <w:pPr>
              <w:pStyle w:val="AERtabletextleft"/>
            </w:pPr>
            <w:r>
              <w:t>D</w:t>
            </w:r>
            <w:r w:rsidR="00FE4600">
              <w:t>SDBI</w:t>
            </w:r>
          </w:p>
        </w:tc>
        <w:tc>
          <w:tcPr>
            <w:tcW w:w="4707" w:type="dxa"/>
          </w:tcPr>
          <w:p w:rsidR="001F658C" w:rsidRPr="00C35112" w:rsidRDefault="00FE4600" w:rsidP="00335B8E">
            <w:pPr>
              <w:pStyle w:val="AERtabletextleft"/>
            </w:pPr>
            <w:r>
              <w:t>Raised concerns that a form of CESS applied previously in Victoria led to widespread capex deferral by NSPs. Noted that any new form of CESS should address this potential problem.</w:t>
            </w:r>
          </w:p>
        </w:tc>
      </w:tr>
      <w:tr w:rsidR="00335B8E" w:rsidRPr="00C35112"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335B8E" w:rsidRPr="00C35112" w:rsidRDefault="00335B8E" w:rsidP="00335B8E">
            <w:pPr>
              <w:pStyle w:val="AERtabletextleft"/>
            </w:pPr>
            <w:r w:rsidRPr="00C35112">
              <w:t>Other - tax and tax depreciation</w:t>
            </w:r>
          </w:p>
        </w:tc>
        <w:tc>
          <w:tcPr>
            <w:tcW w:w="2080" w:type="dxa"/>
          </w:tcPr>
          <w:p w:rsidR="00335B8E" w:rsidRPr="00C35112" w:rsidRDefault="00335B8E" w:rsidP="00335B8E">
            <w:pPr>
              <w:pStyle w:val="AERtabletextleft"/>
            </w:pPr>
            <w:r w:rsidRPr="00C35112">
              <w:t>CitiPower, Powercor and SA Power Networks</w:t>
            </w:r>
          </w:p>
        </w:tc>
        <w:tc>
          <w:tcPr>
            <w:tcW w:w="4707" w:type="dxa"/>
          </w:tcPr>
          <w:p w:rsidR="00335B8E" w:rsidRPr="00C35112" w:rsidRDefault="00335B8E" w:rsidP="00335B8E">
            <w:pPr>
              <w:pStyle w:val="AERtabletextleft"/>
            </w:pPr>
            <w:r w:rsidRPr="00C35112">
              <w:t>Noted that the AER should set out how it intends to address issues of tax and tax depreciation. Similarly the AER should set out how and where the reward/penalty will be applied.</w:t>
            </w:r>
          </w:p>
        </w:tc>
      </w:tr>
      <w:tr w:rsidR="00335B8E" w:rsidRPr="00C35112" w:rsidTr="00225084">
        <w:tc>
          <w:tcPr>
            <w:tcW w:w="1741" w:type="dxa"/>
          </w:tcPr>
          <w:p w:rsidR="00335B8E" w:rsidRPr="00C35112" w:rsidRDefault="00335B8E" w:rsidP="00335B8E">
            <w:pPr>
              <w:pStyle w:val="AERtabletextleft"/>
            </w:pPr>
            <w:r w:rsidRPr="00C35112">
              <w:t>Other - incentives for inefficient deferral</w:t>
            </w:r>
          </w:p>
        </w:tc>
        <w:tc>
          <w:tcPr>
            <w:tcW w:w="2080" w:type="dxa"/>
          </w:tcPr>
          <w:p w:rsidR="00335B8E" w:rsidRPr="00C35112" w:rsidRDefault="00335B8E" w:rsidP="00335B8E">
            <w:pPr>
              <w:pStyle w:val="AERtabletextleft"/>
            </w:pPr>
            <w:r w:rsidRPr="00C35112">
              <w:t>Grid Australia</w:t>
            </w:r>
          </w:p>
        </w:tc>
        <w:tc>
          <w:tcPr>
            <w:tcW w:w="4707" w:type="dxa"/>
          </w:tcPr>
          <w:p w:rsidR="00335B8E" w:rsidRPr="00C35112" w:rsidRDefault="00335B8E" w:rsidP="00335B8E">
            <w:pPr>
              <w:pStyle w:val="AERtabletextleft"/>
            </w:pPr>
            <w:r w:rsidRPr="00C35112">
              <w:t>Offered to meet with the AER to develop ways in which to overcome the incentive for TNSPs to inefficiently defer capex between periods.</w:t>
            </w:r>
          </w:p>
        </w:tc>
      </w:tr>
    </w:tbl>
    <w:p w:rsidR="00082B52" w:rsidRDefault="00082B52">
      <w:pPr>
        <w:spacing w:after="0" w:line="240" w:lineRule="auto"/>
        <w:jc w:val="left"/>
        <w:rPr>
          <w:rFonts w:eastAsia="Times New Roman"/>
          <w:b/>
          <w:bCs/>
          <w:szCs w:val="18"/>
        </w:rPr>
      </w:pPr>
    </w:p>
    <w:p w:rsidR="00082B52" w:rsidRDefault="00082B52">
      <w:pPr>
        <w:spacing w:after="0" w:line="240" w:lineRule="auto"/>
        <w:jc w:val="left"/>
        <w:rPr>
          <w:rFonts w:eastAsia="Times New Roman"/>
          <w:b/>
          <w:bCs/>
          <w:szCs w:val="18"/>
        </w:rPr>
      </w:pPr>
      <w:r>
        <w:rPr>
          <w:rFonts w:eastAsia="Times New Roman"/>
          <w:b/>
          <w:bCs/>
          <w:szCs w:val="18"/>
        </w:rPr>
        <w:br w:type="page"/>
      </w:r>
    </w:p>
    <w:p w:rsidR="005114FC" w:rsidRPr="003476C7" w:rsidRDefault="005114FC" w:rsidP="005114FC">
      <w:pPr>
        <w:pStyle w:val="Caption"/>
      </w:pPr>
      <w:r>
        <w:t xml:space="preserve">Table </w:t>
      </w:r>
      <w:r w:rsidR="003C6AC7">
        <w:t>D</w:t>
      </w:r>
      <w:r>
        <w:t>.2</w:t>
      </w:r>
      <w:r>
        <w:tab/>
        <w:t xml:space="preserve">Summary of submissions on use of forecast or actual depreciation </w:t>
      </w:r>
    </w:p>
    <w:tbl>
      <w:tblPr>
        <w:tblStyle w:val="AERtable-text"/>
        <w:tblW w:w="0" w:type="auto"/>
        <w:tblLook w:val="0020" w:firstRow="1" w:lastRow="0" w:firstColumn="0" w:lastColumn="0" w:noHBand="0" w:noVBand="0"/>
      </w:tblPr>
      <w:tblGrid>
        <w:gridCol w:w="1741"/>
        <w:gridCol w:w="2080"/>
        <w:gridCol w:w="4707"/>
      </w:tblGrid>
      <w:tr w:rsidR="005114FC" w:rsidRPr="001A27ED" w:rsidTr="00EE5E7E">
        <w:trPr>
          <w:cnfStyle w:val="100000000000" w:firstRow="1" w:lastRow="0" w:firstColumn="0" w:lastColumn="0" w:oddVBand="0" w:evenVBand="0" w:oddHBand="0" w:evenHBand="0" w:firstRowFirstColumn="0" w:firstRowLastColumn="0" w:lastRowFirstColumn="0" w:lastRowLastColumn="0"/>
        </w:trPr>
        <w:tc>
          <w:tcPr>
            <w:tcW w:w="1741" w:type="dxa"/>
          </w:tcPr>
          <w:p w:rsidR="005114FC" w:rsidRPr="005114FC" w:rsidRDefault="005114FC" w:rsidP="005114FC">
            <w:pPr>
              <w:pStyle w:val="AERtabletextleft"/>
            </w:pPr>
            <w:r w:rsidRPr="00225084">
              <w:t>Issue</w:t>
            </w:r>
          </w:p>
        </w:tc>
        <w:tc>
          <w:tcPr>
            <w:tcW w:w="2080" w:type="dxa"/>
          </w:tcPr>
          <w:p w:rsidR="005114FC" w:rsidRPr="005114FC" w:rsidRDefault="005114FC" w:rsidP="005114FC">
            <w:pPr>
              <w:pStyle w:val="AERtabletextleft"/>
            </w:pPr>
            <w:r w:rsidRPr="00225084">
              <w:t>Respondent</w:t>
            </w:r>
          </w:p>
        </w:tc>
        <w:tc>
          <w:tcPr>
            <w:tcW w:w="4707" w:type="dxa"/>
          </w:tcPr>
          <w:p w:rsidR="005114FC" w:rsidRPr="005114FC" w:rsidRDefault="005114FC" w:rsidP="005114FC">
            <w:pPr>
              <w:pStyle w:val="AERtabletextleft"/>
            </w:pPr>
            <w:r w:rsidRPr="00225084">
              <w:t>Comments</w:t>
            </w:r>
          </w:p>
        </w:tc>
      </w:tr>
      <w:tr w:rsidR="005114FC" w:rsidTr="00EE5E7E">
        <w:trPr>
          <w:trHeight w:val="569"/>
        </w:trPr>
        <w:tc>
          <w:tcPr>
            <w:tcW w:w="1741" w:type="dxa"/>
          </w:tcPr>
          <w:p w:rsidR="005114FC" w:rsidRPr="005114FC" w:rsidRDefault="005114FC" w:rsidP="005114FC">
            <w:pPr>
              <w:pStyle w:val="AERtabletextleft"/>
            </w:pPr>
            <w:r>
              <w:t>Default depreciation approach</w:t>
            </w:r>
          </w:p>
        </w:tc>
        <w:tc>
          <w:tcPr>
            <w:tcW w:w="2080" w:type="dxa"/>
          </w:tcPr>
          <w:p w:rsidR="005114FC" w:rsidRPr="005114FC" w:rsidRDefault="005114FC" w:rsidP="005114FC">
            <w:pPr>
              <w:pStyle w:val="AERtabletextleft"/>
            </w:pPr>
            <w:r>
              <w:t>SP AusNet</w:t>
            </w:r>
          </w:p>
        </w:tc>
        <w:tc>
          <w:tcPr>
            <w:tcW w:w="4707" w:type="dxa"/>
          </w:tcPr>
          <w:p w:rsidR="005114FC" w:rsidRPr="005114FC" w:rsidRDefault="005114FC" w:rsidP="005114FC">
            <w:pPr>
              <w:pStyle w:val="AERtabletextleft"/>
            </w:pPr>
            <w:r>
              <w:t>S</w:t>
            </w:r>
            <w:r w:rsidRPr="005114FC">
              <w:t xml:space="preserve">trongly supported the use of forecast depreciation as </w:t>
            </w:r>
            <w:r w:rsidR="00187097">
              <w:t xml:space="preserve">the </w:t>
            </w:r>
            <w:r w:rsidRPr="005114FC">
              <w:t xml:space="preserve">default. Agreed </w:t>
            </w:r>
            <w:r w:rsidR="00187097">
              <w:t xml:space="preserve">that </w:t>
            </w:r>
            <w:r w:rsidRPr="005114FC">
              <w:t xml:space="preserve">the factors identified are important considerations for the use of actual or forecast depreciation. </w:t>
            </w:r>
          </w:p>
        </w:tc>
      </w:tr>
      <w:tr w:rsidR="005114FC" w:rsidTr="00EE5E7E">
        <w:trPr>
          <w:cnfStyle w:val="000000010000" w:firstRow="0" w:lastRow="0" w:firstColumn="0" w:lastColumn="0" w:oddVBand="0" w:evenVBand="0" w:oddHBand="0" w:evenHBand="1" w:firstRowFirstColumn="0" w:firstRowLastColumn="0" w:lastRowFirstColumn="0" w:lastRowLastColumn="0"/>
          <w:trHeight w:val="569"/>
        </w:trPr>
        <w:tc>
          <w:tcPr>
            <w:tcW w:w="1741" w:type="dxa"/>
          </w:tcPr>
          <w:p w:rsidR="005114FC" w:rsidRDefault="005114FC" w:rsidP="005114FC">
            <w:pPr>
              <w:pStyle w:val="AERtabletextleft"/>
            </w:pPr>
          </w:p>
        </w:tc>
        <w:tc>
          <w:tcPr>
            <w:tcW w:w="2080" w:type="dxa"/>
          </w:tcPr>
          <w:p w:rsidR="005114FC" w:rsidRPr="005114FC" w:rsidRDefault="005114FC" w:rsidP="005114FC">
            <w:pPr>
              <w:pStyle w:val="AERtabletextleft"/>
            </w:pPr>
            <w:r>
              <w:t>ENA</w:t>
            </w:r>
          </w:p>
        </w:tc>
        <w:tc>
          <w:tcPr>
            <w:tcW w:w="4707" w:type="dxa"/>
          </w:tcPr>
          <w:p w:rsidR="005114FC" w:rsidRPr="005114FC" w:rsidRDefault="005114FC" w:rsidP="005114FC">
            <w:pPr>
              <w:pStyle w:val="AERtabletextleft"/>
            </w:pPr>
            <w:r>
              <w:t>Supported forecast depreciation as a default approach, where a CESS is in place.</w:t>
            </w:r>
          </w:p>
        </w:tc>
      </w:tr>
      <w:tr w:rsidR="005114FC" w:rsidTr="00EE5E7E">
        <w:trPr>
          <w:trHeight w:val="569"/>
        </w:trPr>
        <w:tc>
          <w:tcPr>
            <w:tcW w:w="1741" w:type="dxa"/>
          </w:tcPr>
          <w:p w:rsidR="005114FC" w:rsidRDefault="005114FC" w:rsidP="005114FC">
            <w:pPr>
              <w:pStyle w:val="AERtabletextleft"/>
            </w:pPr>
          </w:p>
        </w:tc>
        <w:tc>
          <w:tcPr>
            <w:tcW w:w="2080" w:type="dxa"/>
          </w:tcPr>
          <w:p w:rsidR="005114FC" w:rsidRPr="005114FC" w:rsidRDefault="005114FC" w:rsidP="005114FC">
            <w:pPr>
              <w:pStyle w:val="AERtabletextleft"/>
            </w:pPr>
            <w:r>
              <w:t>Jemena</w:t>
            </w:r>
          </w:p>
        </w:tc>
        <w:tc>
          <w:tcPr>
            <w:tcW w:w="4707" w:type="dxa"/>
          </w:tcPr>
          <w:p w:rsidR="005114FC" w:rsidRPr="005114FC" w:rsidRDefault="005114FC" w:rsidP="005114FC">
            <w:pPr>
              <w:pStyle w:val="AERtabletextleft"/>
            </w:pPr>
            <w:r>
              <w:t>Supported the use of fore</w:t>
            </w:r>
            <w:r w:rsidRPr="005114FC">
              <w:t xml:space="preserve">cast depreciation as default. Actual depreciation should only be used in exceptional circumstances. </w:t>
            </w:r>
          </w:p>
        </w:tc>
      </w:tr>
      <w:tr w:rsidR="005114FC" w:rsidTr="00EE5E7E">
        <w:trPr>
          <w:cnfStyle w:val="000000010000" w:firstRow="0" w:lastRow="0" w:firstColumn="0" w:lastColumn="0" w:oddVBand="0" w:evenVBand="0" w:oddHBand="0" w:evenHBand="1" w:firstRowFirstColumn="0" w:firstRowLastColumn="0" w:lastRowFirstColumn="0" w:lastRowLastColumn="0"/>
          <w:trHeight w:val="569"/>
        </w:trPr>
        <w:tc>
          <w:tcPr>
            <w:tcW w:w="1741" w:type="dxa"/>
          </w:tcPr>
          <w:p w:rsidR="005114FC" w:rsidRDefault="005114FC" w:rsidP="005114FC">
            <w:pPr>
              <w:pStyle w:val="AERtabletextleft"/>
            </w:pPr>
          </w:p>
        </w:tc>
        <w:tc>
          <w:tcPr>
            <w:tcW w:w="2080" w:type="dxa"/>
          </w:tcPr>
          <w:p w:rsidR="005114FC" w:rsidRPr="005114FC" w:rsidRDefault="005114FC" w:rsidP="005114FC">
            <w:pPr>
              <w:pStyle w:val="AERtabletextleft"/>
            </w:pPr>
            <w:r>
              <w:t>Ergon Energy</w:t>
            </w:r>
          </w:p>
        </w:tc>
        <w:tc>
          <w:tcPr>
            <w:tcW w:w="4707" w:type="dxa"/>
          </w:tcPr>
          <w:p w:rsidR="005114FC" w:rsidRPr="005114FC" w:rsidRDefault="005114FC" w:rsidP="005114FC">
            <w:pPr>
              <w:pStyle w:val="AERtabletextleft"/>
            </w:pPr>
            <w:r>
              <w:t>Supported the use of fore</w:t>
            </w:r>
            <w:r w:rsidRPr="005114FC">
              <w:t xml:space="preserve">cast depreciation as default. Broadly supported further consideration of the factors. </w:t>
            </w:r>
          </w:p>
        </w:tc>
      </w:tr>
      <w:tr w:rsidR="005114FC" w:rsidTr="00EE5E7E">
        <w:trPr>
          <w:trHeight w:val="569"/>
        </w:trPr>
        <w:tc>
          <w:tcPr>
            <w:tcW w:w="1741" w:type="dxa"/>
          </w:tcPr>
          <w:p w:rsidR="005114FC" w:rsidRDefault="005114FC" w:rsidP="005114FC">
            <w:pPr>
              <w:pStyle w:val="AERtabletextleft"/>
            </w:pPr>
          </w:p>
        </w:tc>
        <w:tc>
          <w:tcPr>
            <w:tcW w:w="2080" w:type="dxa"/>
          </w:tcPr>
          <w:p w:rsidR="005114FC" w:rsidRPr="005114FC" w:rsidRDefault="005114FC" w:rsidP="005114FC">
            <w:pPr>
              <w:pStyle w:val="AERtabletextleft"/>
            </w:pPr>
            <w:r>
              <w:t>Energex</w:t>
            </w:r>
          </w:p>
        </w:tc>
        <w:tc>
          <w:tcPr>
            <w:tcW w:w="4707" w:type="dxa"/>
          </w:tcPr>
          <w:p w:rsidR="005114FC" w:rsidRPr="005114FC" w:rsidRDefault="005114FC" w:rsidP="005114FC">
            <w:pPr>
              <w:pStyle w:val="AERtabletextleft"/>
            </w:pPr>
            <w:r>
              <w:t xml:space="preserve">Supported forecast depreciation as a default approach, where a CESS is in place. Supported that relevant factors impacting depreciation identified by the AER. </w:t>
            </w:r>
          </w:p>
        </w:tc>
      </w:tr>
      <w:tr w:rsidR="005114FC" w:rsidTr="00EE5E7E">
        <w:trPr>
          <w:cnfStyle w:val="000000010000" w:firstRow="0" w:lastRow="0" w:firstColumn="0" w:lastColumn="0" w:oddVBand="0" w:evenVBand="0" w:oddHBand="0" w:evenHBand="1" w:firstRowFirstColumn="0" w:firstRowLastColumn="0" w:lastRowFirstColumn="0" w:lastRowLastColumn="0"/>
          <w:trHeight w:val="569"/>
        </w:trPr>
        <w:tc>
          <w:tcPr>
            <w:tcW w:w="1741" w:type="dxa"/>
          </w:tcPr>
          <w:p w:rsidR="005114FC" w:rsidRDefault="005114FC" w:rsidP="005114FC">
            <w:pPr>
              <w:pStyle w:val="AERtabletextleft"/>
            </w:pPr>
          </w:p>
        </w:tc>
        <w:tc>
          <w:tcPr>
            <w:tcW w:w="2080" w:type="dxa"/>
          </w:tcPr>
          <w:p w:rsidR="005114FC" w:rsidRPr="005114FC" w:rsidRDefault="005114FC" w:rsidP="005114FC">
            <w:pPr>
              <w:pStyle w:val="AERtabletextleft"/>
            </w:pPr>
            <w:r>
              <w:t>MEU</w:t>
            </w:r>
          </w:p>
        </w:tc>
        <w:tc>
          <w:tcPr>
            <w:tcW w:w="4707" w:type="dxa"/>
          </w:tcPr>
          <w:p w:rsidR="005114FC" w:rsidRPr="005114FC" w:rsidRDefault="005114FC" w:rsidP="005114FC">
            <w:pPr>
              <w:pStyle w:val="AERtabletextleft"/>
            </w:pPr>
            <w:r>
              <w:t>Supported</w:t>
            </w:r>
            <w:r w:rsidRPr="005114FC">
              <w:t xml:space="preserve"> forecast depreciation should be used all the time for rolling forward the RAB. Considered the full impact of the different depreciation approaches was not fully examined in the issues paper.</w:t>
            </w:r>
          </w:p>
        </w:tc>
      </w:tr>
      <w:tr w:rsidR="005114FC" w:rsidTr="00EE5E7E">
        <w:trPr>
          <w:trHeight w:val="569"/>
        </w:trPr>
        <w:tc>
          <w:tcPr>
            <w:tcW w:w="1741" w:type="dxa"/>
          </w:tcPr>
          <w:p w:rsidR="005114FC" w:rsidRDefault="005114FC" w:rsidP="005114FC">
            <w:pPr>
              <w:pStyle w:val="AERtabletextleft"/>
            </w:pPr>
          </w:p>
        </w:tc>
        <w:tc>
          <w:tcPr>
            <w:tcW w:w="2080" w:type="dxa"/>
          </w:tcPr>
          <w:p w:rsidR="005114FC" w:rsidRPr="005114FC" w:rsidRDefault="005114FC" w:rsidP="005114FC">
            <w:pPr>
              <w:pStyle w:val="AERtabletextleft"/>
            </w:pPr>
            <w:r>
              <w:t xml:space="preserve">CitiPower, </w:t>
            </w:r>
            <w:r w:rsidRPr="005114FC">
              <w:t>Powercor and SA Power</w:t>
            </w:r>
          </w:p>
        </w:tc>
        <w:tc>
          <w:tcPr>
            <w:tcW w:w="4707" w:type="dxa"/>
          </w:tcPr>
          <w:p w:rsidR="005114FC" w:rsidRPr="005114FC" w:rsidRDefault="005114FC" w:rsidP="005114FC">
            <w:pPr>
              <w:pStyle w:val="AERtabletextleft"/>
            </w:pPr>
            <w:r>
              <w:t>S</w:t>
            </w:r>
            <w:r w:rsidRPr="005114FC">
              <w:t>upported the use of actual depreciation given that it provides the strongest incentive to minimise capex. Thought issue of different power of incentives for different asset lives counter-balanced by the fact that short lived assets are typically a small percentage of the asset base and there is limited scope to substitute away from “poles and wires” type assets.</w:t>
            </w:r>
          </w:p>
        </w:tc>
      </w:tr>
      <w:tr w:rsidR="005114FC" w:rsidTr="00EE5E7E">
        <w:trPr>
          <w:cnfStyle w:val="000000010000" w:firstRow="0" w:lastRow="0" w:firstColumn="0" w:lastColumn="0" w:oddVBand="0" w:evenVBand="0" w:oddHBand="0" w:evenHBand="1" w:firstRowFirstColumn="0" w:firstRowLastColumn="0" w:lastRowFirstColumn="0" w:lastRowLastColumn="0"/>
          <w:trHeight w:val="569"/>
        </w:trPr>
        <w:tc>
          <w:tcPr>
            <w:tcW w:w="1741" w:type="dxa"/>
          </w:tcPr>
          <w:p w:rsidR="005114FC" w:rsidRDefault="005114FC" w:rsidP="005114FC">
            <w:pPr>
              <w:pStyle w:val="AERtabletextleft"/>
            </w:pPr>
          </w:p>
        </w:tc>
        <w:tc>
          <w:tcPr>
            <w:tcW w:w="2080" w:type="dxa"/>
          </w:tcPr>
          <w:p w:rsidR="005114FC" w:rsidRPr="005114FC" w:rsidRDefault="005114FC" w:rsidP="005114FC">
            <w:pPr>
              <w:pStyle w:val="AERtabletextleft"/>
            </w:pPr>
            <w:r>
              <w:t>PIAC</w:t>
            </w:r>
          </w:p>
        </w:tc>
        <w:tc>
          <w:tcPr>
            <w:tcW w:w="4707" w:type="dxa"/>
          </w:tcPr>
          <w:p w:rsidR="005114FC" w:rsidRPr="005114FC" w:rsidRDefault="005114FC" w:rsidP="005114FC">
            <w:pPr>
              <w:pStyle w:val="AERtabletextleft"/>
            </w:pPr>
            <w:r>
              <w:t>A</w:t>
            </w:r>
            <w:r w:rsidRPr="005114FC">
              <w:t>greed that, with a CESS and ex post review in place, it is most appropriate for the AER to rely on forecast depreciation, rather than actual depreciation to roll-forward into the RAB.</w:t>
            </w:r>
          </w:p>
        </w:tc>
      </w:tr>
      <w:tr w:rsidR="005114FC" w:rsidTr="00EE5E7E">
        <w:trPr>
          <w:trHeight w:val="569"/>
        </w:trPr>
        <w:tc>
          <w:tcPr>
            <w:tcW w:w="1741" w:type="dxa"/>
          </w:tcPr>
          <w:p w:rsidR="005114FC" w:rsidRDefault="005114FC" w:rsidP="005114FC">
            <w:pPr>
              <w:pStyle w:val="AERtabletextleft"/>
            </w:pPr>
          </w:p>
        </w:tc>
        <w:tc>
          <w:tcPr>
            <w:tcW w:w="2080" w:type="dxa"/>
          </w:tcPr>
          <w:p w:rsidR="005114FC" w:rsidRPr="005114FC" w:rsidRDefault="005114FC" w:rsidP="005114FC">
            <w:pPr>
              <w:pStyle w:val="AERtabletextleft"/>
            </w:pPr>
            <w:r>
              <w:t>DSDBI</w:t>
            </w:r>
          </w:p>
        </w:tc>
        <w:tc>
          <w:tcPr>
            <w:tcW w:w="4707" w:type="dxa"/>
          </w:tcPr>
          <w:p w:rsidR="005114FC" w:rsidRPr="005114FC" w:rsidRDefault="005114FC" w:rsidP="005114FC">
            <w:pPr>
              <w:pStyle w:val="AERtabletextleft"/>
            </w:pPr>
            <w:r>
              <w:t>Supported use of forecast depreciation.</w:t>
            </w:r>
          </w:p>
        </w:tc>
      </w:tr>
      <w:tr w:rsidR="005114FC" w:rsidTr="00EE5E7E">
        <w:trPr>
          <w:cnfStyle w:val="000000010000" w:firstRow="0" w:lastRow="0" w:firstColumn="0" w:lastColumn="0" w:oddVBand="0" w:evenVBand="0" w:oddHBand="0" w:evenHBand="1" w:firstRowFirstColumn="0" w:firstRowLastColumn="0" w:lastRowFirstColumn="0" w:lastRowLastColumn="0"/>
          <w:trHeight w:val="569"/>
        </w:trPr>
        <w:tc>
          <w:tcPr>
            <w:tcW w:w="1741" w:type="dxa"/>
          </w:tcPr>
          <w:p w:rsidR="005114FC" w:rsidRDefault="005114FC" w:rsidP="005114FC">
            <w:pPr>
              <w:pStyle w:val="AERtabletextleft"/>
            </w:pPr>
          </w:p>
        </w:tc>
        <w:tc>
          <w:tcPr>
            <w:tcW w:w="2080" w:type="dxa"/>
          </w:tcPr>
          <w:p w:rsidR="005114FC" w:rsidRDefault="00DD5759" w:rsidP="005114FC">
            <w:pPr>
              <w:pStyle w:val="AERtabletextleft"/>
            </w:pPr>
            <w:r>
              <w:t>COSBOA</w:t>
            </w:r>
          </w:p>
        </w:tc>
        <w:tc>
          <w:tcPr>
            <w:tcW w:w="4707" w:type="dxa"/>
          </w:tcPr>
          <w:p w:rsidR="005114FC" w:rsidRDefault="005114FC" w:rsidP="005114FC">
            <w:pPr>
              <w:pStyle w:val="AERtabletextleft"/>
            </w:pPr>
            <w:r>
              <w:t>Suppor</w:t>
            </w:r>
            <w:r w:rsidR="007969AE">
              <w:t>ted the approach outlined in the issues paper</w:t>
            </w:r>
            <w:r>
              <w:t>.</w:t>
            </w:r>
          </w:p>
        </w:tc>
      </w:tr>
      <w:tr w:rsidR="005114FC" w:rsidTr="00EE5E7E">
        <w:trPr>
          <w:trHeight w:val="569"/>
        </w:trPr>
        <w:tc>
          <w:tcPr>
            <w:tcW w:w="1741" w:type="dxa"/>
          </w:tcPr>
          <w:p w:rsidR="005114FC" w:rsidRPr="005114FC" w:rsidRDefault="005114FC" w:rsidP="005114FC">
            <w:pPr>
              <w:pStyle w:val="AERtabletextleft"/>
            </w:pPr>
            <w:r>
              <w:t xml:space="preserve">Criteria for </w:t>
            </w:r>
            <w:r w:rsidRPr="005114FC">
              <w:t>choosing depreciation approach</w:t>
            </w:r>
          </w:p>
        </w:tc>
        <w:tc>
          <w:tcPr>
            <w:tcW w:w="2080" w:type="dxa"/>
          </w:tcPr>
          <w:p w:rsidR="005114FC" w:rsidRPr="005114FC" w:rsidRDefault="005114FC" w:rsidP="005114FC">
            <w:pPr>
              <w:pStyle w:val="AERtabletextleft"/>
            </w:pPr>
            <w:r>
              <w:t>APA</w:t>
            </w:r>
            <w:r w:rsidRPr="005114FC">
              <w:t xml:space="preserve"> Group</w:t>
            </w:r>
          </w:p>
        </w:tc>
        <w:tc>
          <w:tcPr>
            <w:tcW w:w="4707" w:type="dxa"/>
          </w:tcPr>
          <w:p w:rsidR="005114FC" w:rsidRPr="005114FC" w:rsidRDefault="002722F7" w:rsidP="005114FC">
            <w:pPr>
              <w:pStyle w:val="AERtabletextleft"/>
            </w:pPr>
            <w:r>
              <w:t>Stat</w:t>
            </w:r>
            <w:r w:rsidR="005114FC">
              <w:t>ed that AER has not acknowledged</w:t>
            </w:r>
            <w:r w:rsidR="005114FC" w:rsidRPr="005114FC">
              <w:t xml:space="preserve"> the influence that using forecast depreciation has on incentives to underspend.</w:t>
            </w:r>
          </w:p>
        </w:tc>
      </w:tr>
      <w:tr w:rsidR="005114FC" w:rsidTr="00EE5E7E">
        <w:trPr>
          <w:cnfStyle w:val="000000010000" w:firstRow="0" w:lastRow="0" w:firstColumn="0" w:lastColumn="0" w:oddVBand="0" w:evenVBand="0" w:oddHBand="0" w:evenHBand="1" w:firstRowFirstColumn="0" w:firstRowLastColumn="0" w:lastRowFirstColumn="0" w:lastRowLastColumn="0"/>
          <w:trHeight w:val="569"/>
        </w:trPr>
        <w:tc>
          <w:tcPr>
            <w:tcW w:w="1741" w:type="dxa"/>
          </w:tcPr>
          <w:p w:rsidR="005114FC" w:rsidRPr="005114FC" w:rsidRDefault="005114FC" w:rsidP="005114FC">
            <w:pPr>
              <w:pStyle w:val="AERtabletextleft"/>
            </w:pPr>
            <w:r>
              <w:t>Criteria for adopting actual depreciation</w:t>
            </w:r>
          </w:p>
        </w:tc>
        <w:tc>
          <w:tcPr>
            <w:tcW w:w="2080" w:type="dxa"/>
          </w:tcPr>
          <w:p w:rsidR="005114FC" w:rsidRPr="005114FC" w:rsidRDefault="005114FC" w:rsidP="005114FC">
            <w:pPr>
              <w:pStyle w:val="AERtabletextleft"/>
            </w:pPr>
            <w:r>
              <w:t>Grid Australia</w:t>
            </w:r>
          </w:p>
        </w:tc>
        <w:tc>
          <w:tcPr>
            <w:tcW w:w="4707" w:type="dxa"/>
          </w:tcPr>
          <w:p w:rsidR="005114FC" w:rsidRPr="005114FC" w:rsidRDefault="005114FC" w:rsidP="005114FC">
            <w:pPr>
              <w:pStyle w:val="AERtabletextleft"/>
            </w:pPr>
            <w:r>
              <w:t>Support</w:t>
            </w:r>
            <w:r w:rsidRPr="005114FC">
              <w:t xml:space="preserve">ed the AER's position though considered that instead of considering persistent overspending the AER should focus on evidence of persistent inefficient expenditure. </w:t>
            </w:r>
          </w:p>
        </w:tc>
      </w:tr>
      <w:tr w:rsidR="005114FC" w:rsidTr="00EE5E7E">
        <w:tc>
          <w:tcPr>
            <w:tcW w:w="1741" w:type="dxa"/>
          </w:tcPr>
          <w:p w:rsidR="005114FC" w:rsidRDefault="005114FC" w:rsidP="005114FC">
            <w:pPr>
              <w:pStyle w:val="AERtabletextleft"/>
            </w:pPr>
          </w:p>
        </w:tc>
        <w:tc>
          <w:tcPr>
            <w:tcW w:w="2080" w:type="dxa"/>
          </w:tcPr>
          <w:p w:rsidR="005114FC" w:rsidRPr="005114FC" w:rsidRDefault="005114FC" w:rsidP="005114FC">
            <w:pPr>
              <w:pStyle w:val="AERtabletextleft"/>
            </w:pPr>
            <w:r>
              <w:t xml:space="preserve">CitiPower, </w:t>
            </w:r>
            <w:r w:rsidRPr="005114FC">
              <w:t>Powercor and SA Power</w:t>
            </w:r>
          </w:p>
        </w:tc>
        <w:tc>
          <w:tcPr>
            <w:tcW w:w="4707" w:type="dxa"/>
          </w:tcPr>
          <w:p w:rsidR="005114FC" w:rsidRPr="005114FC" w:rsidRDefault="005114FC" w:rsidP="005114FC">
            <w:pPr>
              <w:pStyle w:val="AERtabletextleft"/>
            </w:pPr>
            <w:r>
              <w:t xml:space="preserve">Supported </w:t>
            </w:r>
            <w:r w:rsidRPr="005114FC">
              <w:t>the use of actual depreciation, with reference to the impact on the factors listed in the NER. Requested a decision tree regarding the use of actual depreciation, rather than just a list of factors that it will consider.</w:t>
            </w:r>
          </w:p>
        </w:tc>
      </w:tr>
      <w:tr w:rsidR="005114FC" w:rsidTr="00EE5E7E">
        <w:trPr>
          <w:cnfStyle w:val="000000010000" w:firstRow="0" w:lastRow="0" w:firstColumn="0" w:lastColumn="0" w:oddVBand="0" w:evenVBand="0" w:oddHBand="0" w:evenHBand="1" w:firstRowFirstColumn="0" w:firstRowLastColumn="0" w:lastRowFirstColumn="0" w:lastRowLastColumn="0"/>
        </w:trPr>
        <w:tc>
          <w:tcPr>
            <w:tcW w:w="1741" w:type="dxa"/>
          </w:tcPr>
          <w:p w:rsidR="005114FC" w:rsidRDefault="005114FC" w:rsidP="005114FC">
            <w:pPr>
              <w:pStyle w:val="AERtabletextleft"/>
            </w:pPr>
          </w:p>
        </w:tc>
        <w:tc>
          <w:tcPr>
            <w:tcW w:w="2080" w:type="dxa"/>
          </w:tcPr>
          <w:p w:rsidR="005114FC" w:rsidRPr="005114FC" w:rsidRDefault="005114FC" w:rsidP="005114FC">
            <w:pPr>
              <w:pStyle w:val="AERtabletextleft"/>
            </w:pPr>
            <w:r>
              <w:t>PIAC</w:t>
            </w:r>
          </w:p>
        </w:tc>
        <w:tc>
          <w:tcPr>
            <w:tcW w:w="4707" w:type="dxa"/>
          </w:tcPr>
          <w:p w:rsidR="005114FC" w:rsidRPr="005114FC" w:rsidRDefault="005114FC" w:rsidP="005114FC">
            <w:pPr>
              <w:pStyle w:val="AERtabletextleft"/>
            </w:pPr>
            <w:r>
              <w:t>Agree</w:t>
            </w:r>
            <w:r w:rsidRPr="005114FC">
              <w:t xml:space="preserve">d that it would be useful for the AER to set out in its </w:t>
            </w:r>
            <w:r w:rsidR="0043387A">
              <w:t>guidelines</w:t>
            </w:r>
            <w:r w:rsidRPr="005114FC">
              <w:t xml:space="preserve"> when and under what circumstances they might prefer to use actual depreciation. Agreed excess expenditure is a valid </w:t>
            </w:r>
            <w:r w:rsidR="00783661" w:rsidRPr="005114FC">
              <w:t>criterion</w:t>
            </w:r>
            <w:r w:rsidRPr="005114FC">
              <w:t xml:space="preserve"> to consider in determining whether to apply actual depreciation. </w:t>
            </w:r>
          </w:p>
        </w:tc>
      </w:tr>
    </w:tbl>
    <w:p w:rsidR="00225084" w:rsidRPr="00C8391D" w:rsidRDefault="005114FC" w:rsidP="00225084">
      <w:pPr>
        <w:pStyle w:val="Caption"/>
      </w:pPr>
      <w:r>
        <w:br w:type="page"/>
      </w:r>
      <w:r w:rsidR="003C6AC7">
        <w:t>Table D</w:t>
      </w:r>
      <w:r>
        <w:t>.3</w:t>
      </w:r>
      <w:r w:rsidR="00225084">
        <w:tab/>
        <w:t>Summary of submissions on the ex post review</w:t>
      </w:r>
    </w:p>
    <w:tbl>
      <w:tblPr>
        <w:tblStyle w:val="AERtable-text"/>
        <w:tblW w:w="0" w:type="auto"/>
        <w:tblLook w:val="0020" w:firstRow="1" w:lastRow="0" w:firstColumn="0" w:lastColumn="0" w:noHBand="0" w:noVBand="0"/>
      </w:tblPr>
      <w:tblGrid>
        <w:gridCol w:w="1741"/>
        <w:gridCol w:w="2080"/>
        <w:gridCol w:w="4707"/>
      </w:tblGrid>
      <w:tr w:rsidR="00225084" w:rsidRPr="001A27ED" w:rsidTr="00225084">
        <w:trPr>
          <w:cnfStyle w:val="100000000000" w:firstRow="1" w:lastRow="0" w:firstColumn="0" w:lastColumn="0" w:oddVBand="0" w:evenVBand="0" w:oddHBand="0" w:evenHBand="0" w:firstRowFirstColumn="0" w:firstRowLastColumn="0" w:lastRowFirstColumn="0" w:lastRowLastColumn="0"/>
        </w:trPr>
        <w:tc>
          <w:tcPr>
            <w:tcW w:w="1741" w:type="dxa"/>
          </w:tcPr>
          <w:p w:rsidR="00225084" w:rsidRPr="00225084" w:rsidRDefault="00225084" w:rsidP="00225084">
            <w:pPr>
              <w:pStyle w:val="AERtabletextleft"/>
            </w:pPr>
            <w:r w:rsidRPr="00225084">
              <w:t>Issue</w:t>
            </w:r>
          </w:p>
        </w:tc>
        <w:tc>
          <w:tcPr>
            <w:tcW w:w="2080" w:type="dxa"/>
          </w:tcPr>
          <w:p w:rsidR="00225084" w:rsidRPr="00225084" w:rsidRDefault="00225084" w:rsidP="00225084">
            <w:pPr>
              <w:pStyle w:val="AERtabletextleft"/>
            </w:pPr>
            <w:r w:rsidRPr="00225084">
              <w:t>Respondent</w:t>
            </w:r>
          </w:p>
        </w:tc>
        <w:tc>
          <w:tcPr>
            <w:tcW w:w="4707" w:type="dxa"/>
          </w:tcPr>
          <w:p w:rsidR="00225084" w:rsidRPr="00225084" w:rsidRDefault="00225084" w:rsidP="00225084">
            <w:pPr>
              <w:pStyle w:val="AERtabletextleft"/>
            </w:pPr>
            <w:r w:rsidRPr="00225084">
              <w:t>Comments</w:t>
            </w:r>
          </w:p>
        </w:tc>
      </w:tr>
      <w:tr w:rsidR="00225084" w:rsidTr="00225084">
        <w:tc>
          <w:tcPr>
            <w:tcW w:w="1741" w:type="dxa"/>
          </w:tcPr>
          <w:p w:rsidR="00225084" w:rsidRDefault="00225084" w:rsidP="00225084">
            <w:pPr>
              <w:pStyle w:val="AERtabletextleft"/>
            </w:pPr>
            <w:r>
              <w:t>General</w:t>
            </w:r>
          </w:p>
        </w:tc>
        <w:tc>
          <w:tcPr>
            <w:tcW w:w="2080" w:type="dxa"/>
          </w:tcPr>
          <w:p w:rsidR="00225084" w:rsidRDefault="00225084" w:rsidP="00225084">
            <w:pPr>
              <w:pStyle w:val="AERtabletextleft"/>
            </w:pPr>
            <w:r>
              <w:t>PIAC</w:t>
            </w:r>
          </w:p>
        </w:tc>
        <w:tc>
          <w:tcPr>
            <w:tcW w:w="4707" w:type="dxa"/>
          </w:tcPr>
          <w:p w:rsidR="00225084" w:rsidRDefault="00225084" w:rsidP="00225084">
            <w:pPr>
              <w:pStyle w:val="AERtabletextleft"/>
            </w:pPr>
            <w:r>
              <w:t>Supported having an ex post process but, given the difficultly in undertaking an ex post review, preferred ex ante measures as the primary means for driving efficiency.</w:t>
            </w:r>
          </w:p>
        </w:tc>
      </w:tr>
      <w:tr w:rsidR="005114FC"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5114FC" w:rsidRDefault="005114FC" w:rsidP="00225084">
            <w:pPr>
              <w:pStyle w:val="AERtabletextleft"/>
            </w:pPr>
          </w:p>
        </w:tc>
        <w:tc>
          <w:tcPr>
            <w:tcW w:w="2080" w:type="dxa"/>
          </w:tcPr>
          <w:p w:rsidR="005114FC" w:rsidRDefault="00DD5759" w:rsidP="00225084">
            <w:pPr>
              <w:pStyle w:val="AERtabletextleft"/>
            </w:pPr>
            <w:r>
              <w:t>COSBOA</w:t>
            </w:r>
          </w:p>
        </w:tc>
        <w:tc>
          <w:tcPr>
            <w:tcW w:w="4707" w:type="dxa"/>
          </w:tcPr>
          <w:p w:rsidR="005114FC" w:rsidRDefault="005114FC" w:rsidP="00225084">
            <w:pPr>
              <w:pStyle w:val="AERtabletextleft"/>
            </w:pPr>
            <w:r>
              <w:t>Supported ex ante measures being the primary means for pursuing capex efficiency.</w:t>
            </w:r>
          </w:p>
        </w:tc>
      </w:tr>
      <w:tr w:rsidR="00225084" w:rsidTr="00225084">
        <w:tc>
          <w:tcPr>
            <w:tcW w:w="1741" w:type="dxa"/>
          </w:tcPr>
          <w:p w:rsidR="00225084" w:rsidRDefault="00225084" w:rsidP="00225084">
            <w:pPr>
              <w:pStyle w:val="AERtabletextleft"/>
            </w:pPr>
          </w:p>
        </w:tc>
        <w:tc>
          <w:tcPr>
            <w:tcW w:w="2080" w:type="dxa"/>
          </w:tcPr>
          <w:p w:rsidR="00225084" w:rsidRDefault="00225084" w:rsidP="00225084">
            <w:pPr>
              <w:pStyle w:val="AERtabletextleft"/>
            </w:pPr>
            <w:r>
              <w:t>Grid Australia</w:t>
            </w:r>
          </w:p>
        </w:tc>
        <w:tc>
          <w:tcPr>
            <w:tcW w:w="4707" w:type="dxa"/>
          </w:tcPr>
          <w:p w:rsidR="00225084" w:rsidRDefault="00225084" w:rsidP="00225084">
            <w:pPr>
              <w:pStyle w:val="AERtabletextleft"/>
            </w:pPr>
            <w:r>
              <w:t>Supported the ex post process only being used in extreme circumstances.</w:t>
            </w:r>
          </w:p>
        </w:tc>
      </w:tr>
      <w:tr w:rsidR="00225084"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p>
        </w:tc>
        <w:tc>
          <w:tcPr>
            <w:tcW w:w="2080" w:type="dxa"/>
          </w:tcPr>
          <w:p w:rsidR="00225084" w:rsidRDefault="00225084" w:rsidP="00225084">
            <w:pPr>
              <w:pStyle w:val="AERtabletextleft"/>
            </w:pPr>
            <w:r>
              <w:t>ActewAGL</w:t>
            </w:r>
          </w:p>
        </w:tc>
        <w:tc>
          <w:tcPr>
            <w:tcW w:w="4707" w:type="dxa"/>
          </w:tcPr>
          <w:p w:rsidR="00225084" w:rsidRDefault="00225084" w:rsidP="00225084">
            <w:pPr>
              <w:pStyle w:val="AERtabletextleft"/>
            </w:pPr>
            <w:r>
              <w:t>Supported ex ante measures being the primary focus for promoting efficient capex.</w:t>
            </w:r>
          </w:p>
        </w:tc>
      </w:tr>
      <w:tr w:rsidR="00225084" w:rsidTr="00225084">
        <w:tc>
          <w:tcPr>
            <w:tcW w:w="1741" w:type="dxa"/>
          </w:tcPr>
          <w:p w:rsidR="00225084" w:rsidRDefault="00225084" w:rsidP="00225084">
            <w:pPr>
              <w:pStyle w:val="AERtabletextleft"/>
            </w:pPr>
          </w:p>
        </w:tc>
        <w:tc>
          <w:tcPr>
            <w:tcW w:w="2080" w:type="dxa"/>
          </w:tcPr>
          <w:p w:rsidR="00225084" w:rsidRDefault="00225084" w:rsidP="00225084">
            <w:pPr>
              <w:pStyle w:val="AERtabletextleft"/>
            </w:pPr>
            <w:r>
              <w:t>MEU</w:t>
            </w:r>
          </w:p>
        </w:tc>
        <w:tc>
          <w:tcPr>
            <w:tcW w:w="4707" w:type="dxa"/>
          </w:tcPr>
          <w:p w:rsidR="00225084" w:rsidRDefault="00225084" w:rsidP="00225084">
            <w:pPr>
              <w:pStyle w:val="AERtabletextleft"/>
            </w:pPr>
            <w:r>
              <w:t>Supported an ex post review in favour of any CESS. Stated that the AER should be reviewing all capex in all circumstances, not just when a NSP has overspent.</w:t>
            </w:r>
          </w:p>
        </w:tc>
      </w:tr>
      <w:tr w:rsidR="00225084"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p>
        </w:tc>
        <w:tc>
          <w:tcPr>
            <w:tcW w:w="2080" w:type="dxa"/>
          </w:tcPr>
          <w:p w:rsidR="00225084" w:rsidRDefault="00225084" w:rsidP="00225084">
            <w:pPr>
              <w:pStyle w:val="AERtabletextleft"/>
            </w:pPr>
            <w:r>
              <w:t>ENA</w:t>
            </w:r>
          </w:p>
        </w:tc>
        <w:tc>
          <w:tcPr>
            <w:tcW w:w="4707" w:type="dxa"/>
          </w:tcPr>
          <w:p w:rsidR="00225084" w:rsidRDefault="00225084" w:rsidP="00225084">
            <w:pPr>
              <w:pStyle w:val="AERtabletextleft"/>
            </w:pPr>
            <w:r>
              <w:t>Supported a staged process but requested more inf</w:t>
            </w:r>
            <w:r w:rsidRPr="003B5E88">
              <w:t>ormation on how the ex post capex mechanisms interplay</w:t>
            </w:r>
            <w:r w:rsidR="00795EE4">
              <w:t>s</w:t>
            </w:r>
            <w:r w:rsidRPr="003B5E88">
              <w:t xml:space="preserve"> with the ex ante mechanisms for capex and opex.</w:t>
            </w:r>
          </w:p>
        </w:tc>
      </w:tr>
      <w:tr w:rsidR="00225084" w:rsidTr="00225084">
        <w:tc>
          <w:tcPr>
            <w:tcW w:w="1741" w:type="dxa"/>
          </w:tcPr>
          <w:p w:rsidR="00225084" w:rsidRDefault="00225084" w:rsidP="00225084">
            <w:pPr>
              <w:pStyle w:val="AERtabletextleft"/>
            </w:pPr>
          </w:p>
        </w:tc>
        <w:tc>
          <w:tcPr>
            <w:tcW w:w="2080" w:type="dxa"/>
          </w:tcPr>
          <w:p w:rsidR="00225084" w:rsidRDefault="00225084" w:rsidP="00225084">
            <w:pPr>
              <w:pStyle w:val="AERtabletextleft"/>
            </w:pPr>
            <w:r>
              <w:t>Energex</w:t>
            </w:r>
          </w:p>
        </w:tc>
        <w:tc>
          <w:tcPr>
            <w:tcW w:w="4707" w:type="dxa"/>
          </w:tcPr>
          <w:p w:rsidR="00225084" w:rsidRDefault="002722F7" w:rsidP="002722F7">
            <w:pPr>
              <w:pStyle w:val="AERtabletextleft"/>
            </w:pPr>
            <w:r>
              <w:t>Stat</w:t>
            </w:r>
            <w:r w:rsidR="00225084">
              <w:t xml:space="preserve">ed </w:t>
            </w:r>
            <w:r>
              <w:t>that</w:t>
            </w:r>
            <w:r w:rsidR="00225084">
              <w:t xml:space="preserve"> the review </w:t>
            </w:r>
            <w:r>
              <w:t>should</w:t>
            </w:r>
            <w:r w:rsidR="00225084">
              <w:t xml:space="preserve"> only apply where there is a cumulative overspend over the period.</w:t>
            </w:r>
          </w:p>
        </w:tc>
      </w:tr>
      <w:tr w:rsidR="00225084"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r>
              <w:t>Ex post statement of efficiency</w:t>
            </w:r>
          </w:p>
        </w:tc>
        <w:tc>
          <w:tcPr>
            <w:tcW w:w="2080" w:type="dxa"/>
          </w:tcPr>
          <w:p w:rsidR="00225084" w:rsidRDefault="00225084" w:rsidP="00225084">
            <w:pPr>
              <w:pStyle w:val="AERtabletextleft"/>
            </w:pPr>
            <w:r>
              <w:t>CitiPower, Powercor and SA Power Networks</w:t>
            </w:r>
          </w:p>
        </w:tc>
        <w:tc>
          <w:tcPr>
            <w:tcW w:w="4707" w:type="dxa"/>
          </w:tcPr>
          <w:p w:rsidR="00225084" w:rsidRDefault="00225084" w:rsidP="00225084">
            <w:pPr>
              <w:pStyle w:val="AERtabletextleft"/>
            </w:pPr>
            <w:r>
              <w:t>Stated that the AER should detail how it will undertake its assessment of efficiency required for the statement of efficiency (especially where a NSP has not overspent).</w:t>
            </w:r>
          </w:p>
        </w:tc>
      </w:tr>
      <w:tr w:rsidR="00225084" w:rsidTr="00225084">
        <w:tc>
          <w:tcPr>
            <w:tcW w:w="1741" w:type="dxa"/>
          </w:tcPr>
          <w:p w:rsidR="00225084" w:rsidRDefault="00225084" w:rsidP="00225084">
            <w:pPr>
              <w:pStyle w:val="AERtabletextleft"/>
            </w:pPr>
          </w:p>
        </w:tc>
        <w:tc>
          <w:tcPr>
            <w:tcW w:w="2080" w:type="dxa"/>
          </w:tcPr>
          <w:p w:rsidR="00225084" w:rsidRDefault="00225084" w:rsidP="00225084">
            <w:pPr>
              <w:pStyle w:val="AERtabletextleft"/>
            </w:pPr>
            <w:r>
              <w:t>ENA</w:t>
            </w:r>
          </w:p>
        </w:tc>
        <w:tc>
          <w:tcPr>
            <w:tcW w:w="4707" w:type="dxa"/>
          </w:tcPr>
          <w:p w:rsidR="00225084" w:rsidRDefault="00225084" w:rsidP="00225084">
            <w:pPr>
              <w:pStyle w:val="AERtabletextleft"/>
            </w:pPr>
            <w:r>
              <w:t xml:space="preserve">Asked for clarification on what process the AER will follow in making its statement on the efficiency of capex entering the RAB. </w:t>
            </w:r>
          </w:p>
        </w:tc>
      </w:tr>
      <w:tr w:rsidR="00225084"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r>
              <w:t>Threshold for ex post review</w:t>
            </w:r>
          </w:p>
        </w:tc>
        <w:tc>
          <w:tcPr>
            <w:tcW w:w="2080" w:type="dxa"/>
          </w:tcPr>
          <w:p w:rsidR="00225084" w:rsidRDefault="00225084" w:rsidP="00225084">
            <w:pPr>
              <w:pStyle w:val="AERtabletextleft"/>
            </w:pPr>
            <w:r>
              <w:t>ActewAGL</w:t>
            </w:r>
          </w:p>
        </w:tc>
        <w:tc>
          <w:tcPr>
            <w:tcW w:w="4707" w:type="dxa"/>
          </w:tcPr>
          <w:p w:rsidR="00225084" w:rsidRDefault="00225084" w:rsidP="00733240">
            <w:pPr>
              <w:pStyle w:val="AERtabletextleft"/>
            </w:pPr>
            <w:r>
              <w:t xml:space="preserve">Supported the proposal to only undertake an ex post review where </w:t>
            </w:r>
            <w:proofErr w:type="gramStart"/>
            <w:r w:rsidR="00733240">
              <w:t xml:space="preserve">an </w:t>
            </w:r>
            <w:r>
              <w:t>over</w:t>
            </w:r>
            <w:r w:rsidR="00733240">
              <w:t>spend</w:t>
            </w:r>
            <w:proofErr w:type="gramEnd"/>
            <w:r>
              <w:t xml:space="preserve"> is significant.</w:t>
            </w:r>
          </w:p>
        </w:tc>
      </w:tr>
      <w:tr w:rsidR="00225084" w:rsidTr="00225084">
        <w:tc>
          <w:tcPr>
            <w:tcW w:w="1741" w:type="dxa"/>
          </w:tcPr>
          <w:p w:rsidR="00225084" w:rsidRDefault="00225084" w:rsidP="00225084">
            <w:pPr>
              <w:pStyle w:val="AERtabletextleft"/>
            </w:pPr>
          </w:p>
        </w:tc>
        <w:tc>
          <w:tcPr>
            <w:tcW w:w="2080" w:type="dxa"/>
          </w:tcPr>
          <w:p w:rsidR="00225084" w:rsidRDefault="00225084" w:rsidP="00225084">
            <w:pPr>
              <w:pStyle w:val="AERtabletextleft"/>
            </w:pPr>
            <w:r>
              <w:t>CitiPower, Powercor and SA Power Networks</w:t>
            </w:r>
          </w:p>
        </w:tc>
        <w:tc>
          <w:tcPr>
            <w:tcW w:w="4707" w:type="dxa"/>
          </w:tcPr>
          <w:p w:rsidR="00225084" w:rsidRDefault="00225084" w:rsidP="00225084">
            <w:pPr>
              <w:pStyle w:val="AERtabletextleft"/>
            </w:pPr>
            <w:r>
              <w:t>Asked for clarity about whether the AER will only undertake the ex post review if there is a significant overspend. Requested further clarity on what would be considered significant.</w:t>
            </w:r>
          </w:p>
        </w:tc>
      </w:tr>
      <w:tr w:rsidR="00225084"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p>
        </w:tc>
        <w:tc>
          <w:tcPr>
            <w:tcW w:w="2080" w:type="dxa"/>
          </w:tcPr>
          <w:p w:rsidR="00225084" w:rsidRDefault="00225084" w:rsidP="00225084">
            <w:pPr>
              <w:pStyle w:val="AERtabletextleft"/>
            </w:pPr>
            <w:r>
              <w:t>ENA</w:t>
            </w:r>
          </w:p>
        </w:tc>
        <w:tc>
          <w:tcPr>
            <w:tcW w:w="4707" w:type="dxa"/>
          </w:tcPr>
          <w:p w:rsidR="00225084" w:rsidRDefault="00225084" w:rsidP="00225084">
            <w:pPr>
              <w:pStyle w:val="AERtabletextleft"/>
            </w:pPr>
            <w:r>
              <w:t>Requested further guidance on the AER's definition of a 'significant' or 'minor' overspend.</w:t>
            </w:r>
          </w:p>
        </w:tc>
      </w:tr>
      <w:tr w:rsidR="00225084" w:rsidTr="00225084">
        <w:tc>
          <w:tcPr>
            <w:tcW w:w="1741" w:type="dxa"/>
          </w:tcPr>
          <w:p w:rsidR="00225084" w:rsidRDefault="00225084" w:rsidP="00225084">
            <w:pPr>
              <w:pStyle w:val="AERtabletextleft"/>
            </w:pPr>
            <w:r>
              <w:t>Use of information</w:t>
            </w:r>
          </w:p>
        </w:tc>
        <w:tc>
          <w:tcPr>
            <w:tcW w:w="2080" w:type="dxa"/>
          </w:tcPr>
          <w:p w:rsidR="00225084" w:rsidRDefault="00225084" w:rsidP="00225084">
            <w:pPr>
              <w:pStyle w:val="AERtabletextleft"/>
            </w:pPr>
            <w:r>
              <w:t>ActewAGL</w:t>
            </w:r>
          </w:p>
        </w:tc>
        <w:tc>
          <w:tcPr>
            <w:tcW w:w="4707" w:type="dxa"/>
          </w:tcPr>
          <w:p w:rsidR="00225084" w:rsidRDefault="00225084" w:rsidP="00225084">
            <w:pPr>
              <w:pStyle w:val="AERtabletextleft"/>
            </w:pPr>
            <w:r>
              <w:t>Supported the AER only considering information available to the NSP at the time the decision was made.</w:t>
            </w:r>
          </w:p>
        </w:tc>
      </w:tr>
      <w:tr w:rsidR="00225084"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p>
        </w:tc>
        <w:tc>
          <w:tcPr>
            <w:tcW w:w="2080" w:type="dxa"/>
          </w:tcPr>
          <w:p w:rsidR="00225084" w:rsidRDefault="00225084" w:rsidP="00225084">
            <w:pPr>
              <w:pStyle w:val="AERtabletextleft"/>
            </w:pPr>
            <w:r>
              <w:t>CitiPower, Powercor and SA Power Networks</w:t>
            </w:r>
          </w:p>
        </w:tc>
        <w:tc>
          <w:tcPr>
            <w:tcW w:w="4707" w:type="dxa"/>
          </w:tcPr>
          <w:p w:rsidR="00225084" w:rsidRDefault="00225084" w:rsidP="00225084">
            <w:pPr>
              <w:pStyle w:val="AERtabletextleft"/>
            </w:pPr>
            <w:r>
              <w:t>Stated that the AER should be clear that it will only consider information and analysis that the NSP could reasonably have been expected to have considered or undertaken at the time of undertaking the relevant capex.</w:t>
            </w:r>
          </w:p>
        </w:tc>
      </w:tr>
      <w:tr w:rsidR="00225084" w:rsidTr="00225084">
        <w:tc>
          <w:tcPr>
            <w:tcW w:w="1741" w:type="dxa"/>
          </w:tcPr>
          <w:p w:rsidR="00225084" w:rsidRDefault="00225084" w:rsidP="00225084">
            <w:pPr>
              <w:pStyle w:val="AERtabletextleft"/>
            </w:pPr>
          </w:p>
        </w:tc>
        <w:tc>
          <w:tcPr>
            <w:tcW w:w="2080" w:type="dxa"/>
          </w:tcPr>
          <w:p w:rsidR="00225084" w:rsidRDefault="00225084" w:rsidP="00225084">
            <w:pPr>
              <w:pStyle w:val="AERtabletextleft"/>
            </w:pPr>
            <w:r>
              <w:t>ENA</w:t>
            </w:r>
          </w:p>
        </w:tc>
        <w:tc>
          <w:tcPr>
            <w:tcW w:w="4707" w:type="dxa"/>
          </w:tcPr>
          <w:p w:rsidR="00225084" w:rsidRDefault="00225084" w:rsidP="00225084">
            <w:pPr>
              <w:pStyle w:val="AERtabletextleft"/>
            </w:pPr>
            <w:r>
              <w:t>Stated that the AER should only consider information that the NSP had at the time of the investment.</w:t>
            </w:r>
          </w:p>
        </w:tc>
      </w:tr>
      <w:tr w:rsidR="00225084" w:rsidTr="00225084">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p>
        </w:tc>
        <w:tc>
          <w:tcPr>
            <w:tcW w:w="2080" w:type="dxa"/>
          </w:tcPr>
          <w:p w:rsidR="00225084" w:rsidRDefault="00225084" w:rsidP="00225084">
            <w:pPr>
              <w:pStyle w:val="AERtabletextleft"/>
            </w:pPr>
            <w:r>
              <w:t>Ergon Energy</w:t>
            </w:r>
          </w:p>
        </w:tc>
        <w:tc>
          <w:tcPr>
            <w:tcW w:w="4707" w:type="dxa"/>
          </w:tcPr>
          <w:p w:rsidR="00225084" w:rsidRDefault="00225084" w:rsidP="00225084">
            <w:pPr>
              <w:pStyle w:val="AERtabletextleft"/>
            </w:pPr>
            <w:r>
              <w:t>Stated that the AER should be bound by a 'no hindsight' rule.</w:t>
            </w:r>
          </w:p>
        </w:tc>
      </w:tr>
    </w:tbl>
    <w:p w:rsidR="00FE3E2B" w:rsidRDefault="00FE3E2B">
      <w:r>
        <w:br w:type="page"/>
      </w:r>
    </w:p>
    <w:tbl>
      <w:tblPr>
        <w:tblStyle w:val="AERtable-text"/>
        <w:tblW w:w="0" w:type="auto"/>
        <w:tblLook w:val="04A0" w:firstRow="1" w:lastRow="0" w:firstColumn="1" w:lastColumn="0" w:noHBand="0" w:noVBand="1"/>
      </w:tblPr>
      <w:tblGrid>
        <w:gridCol w:w="1741"/>
        <w:gridCol w:w="2080"/>
        <w:gridCol w:w="4707"/>
      </w:tblGrid>
      <w:tr w:rsidR="00FE3E2B" w:rsidRPr="001A27ED" w:rsidTr="007F113C">
        <w:trPr>
          <w:cnfStyle w:val="100000000000" w:firstRow="1" w:lastRow="0" w:firstColumn="0" w:lastColumn="0" w:oddVBand="0" w:evenVBand="0" w:oddHBand="0" w:evenHBand="0" w:firstRowFirstColumn="0" w:firstRowLastColumn="0" w:lastRowFirstColumn="0" w:lastRowLastColumn="0"/>
        </w:trPr>
        <w:tc>
          <w:tcPr>
            <w:tcW w:w="1741" w:type="dxa"/>
          </w:tcPr>
          <w:p w:rsidR="00FE3E2B" w:rsidRPr="0079691D" w:rsidRDefault="00FE3E2B" w:rsidP="00FE3E2B">
            <w:pPr>
              <w:pStyle w:val="AERtabletextleft"/>
            </w:pPr>
            <w:r w:rsidRPr="0079691D">
              <w:t>Issue</w:t>
            </w:r>
          </w:p>
        </w:tc>
        <w:tc>
          <w:tcPr>
            <w:tcW w:w="2080" w:type="dxa"/>
          </w:tcPr>
          <w:p w:rsidR="00FE3E2B" w:rsidRPr="0079691D" w:rsidRDefault="00FE3E2B" w:rsidP="00FE3E2B">
            <w:pPr>
              <w:pStyle w:val="AERtabletextleft"/>
            </w:pPr>
            <w:r w:rsidRPr="0079691D">
              <w:t>Respondent</w:t>
            </w:r>
          </w:p>
        </w:tc>
        <w:tc>
          <w:tcPr>
            <w:tcW w:w="4707" w:type="dxa"/>
          </w:tcPr>
          <w:p w:rsidR="00FE3E2B" w:rsidRPr="0079691D" w:rsidRDefault="00FE3E2B" w:rsidP="00FE3E2B">
            <w:pPr>
              <w:pStyle w:val="AERtabletextleft"/>
            </w:pPr>
            <w:r w:rsidRPr="0079691D">
              <w:t>Comments</w:t>
            </w:r>
          </w:p>
        </w:tc>
      </w:tr>
      <w:tr w:rsidR="00FE4600" w:rsidTr="00225084">
        <w:tblPrEx>
          <w:tblLook w:val="0020" w:firstRow="1" w:lastRow="0" w:firstColumn="0" w:lastColumn="0" w:noHBand="0" w:noVBand="0"/>
        </w:tblPrEx>
        <w:tc>
          <w:tcPr>
            <w:tcW w:w="1741" w:type="dxa"/>
          </w:tcPr>
          <w:p w:rsidR="00FE4600" w:rsidRDefault="00FE3E2B" w:rsidP="00225084">
            <w:pPr>
              <w:pStyle w:val="AERtabletextleft"/>
            </w:pPr>
            <w:r>
              <w:t>Use of information</w:t>
            </w:r>
          </w:p>
        </w:tc>
        <w:tc>
          <w:tcPr>
            <w:tcW w:w="2080" w:type="dxa"/>
          </w:tcPr>
          <w:p w:rsidR="00FE4600" w:rsidRDefault="00FE4600" w:rsidP="00225084">
            <w:pPr>
              <w:pStyle w:val="AERtabletextleft"/>
            </w:pPr>
            <w:r>
              <w:t>DSDBI</w:t>
            </w:r>
          </w:p>
        </w:tc>
        <w:tc>
          <w:tcPr>
            <w:tcW w:w="4707" w:type="dxa"/>
          </w:tcPr>
          <w:p w:rsidR="00FE4600" w:rsidRDefault="00FE4600" w:rsidP="00225084">
            <w:pPr>
              <w:pStyle w:val="AERtabletextleft"/>
            </w:pPr>
            <w:r>
              <w:t>Considered AER should only consider information available at the time the NSP undertook the capex.</w:t>
            </w:r>
          </w:p>
        </w:tc>
      </w:tr>
      <w:tr w:rsidR="00225084" w:rsidTr="00225084">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r>
              <w:t>Tiered approach</w:t>
            </w:r>
          </w:p>
        </w:tc>
        <w:tc>
          <w:tcPr>
            <w:tcW w:w="2080" w:type="dxa"/>
          </w:tcPr>
          <w:p w:rsidR="00225084" w:rsidRPr="00663364" w:rsidRDefault="00225084" w:rsidP="00225084">
            <w:pPr>
              <w:pStyle w:val="AERtabletextleft"/>
            </w:pPr>
            <w:r>
              <w:t>Aurora</w:t>
            </w:r>
          </w:p>
        </w:tc>
        <w:tc>
          <w:tcPr>
            <w:tcW w:w="4707" w:type="dxa"/>
          </w:tcPr>
          <w:p w:rsidR="00225084" w:rsidRPr="00663364" w:rsidRDefault="00225084" w:rsidP="00225084">
            <w:pPr>
              <w:pStyle w:val="AERtabletextleft"/>
            </w:pPr>
            <w:r>
              <w:t xml:space="preserve">Considered the proposed process to be workable. </w:t>
            </w:r>
          </w:p>
        </w:tc>
      </w:tr>
      <w:tr w:rsidR="00225084" w:rsidTr="00225084">
        <w:tblPrEx>
          <w:tblLook w:val="0020" w:firstRow="1" w:lastRow="0" w:firstColumn="0" w:lastColumn="0" w:noHBand="0" w:noVBand="0"/>
        </w:tblPrEx>
        <w:tc>
          <w:tcPr>
            <w:tcW w:w="1741" w:type="dxa"/>
          </w:tcPr>
          <w:p w:rsidR="00225084" w:rsidRDefault="00225084" w:rsidP="00225084">
            <w:pPr>
              <w:pStyle w:val="AERtabletextleft"/>
            </w:pPr>
          </w:p>
        </w:tc>
        <w:tc>
          <w:tcPr>
            <w:tcW w:w="2080" w:type="dxa"/>
          </w:tcPr>
          <w:p w:rsidR="00225084" w:rsidRDefault="00225084" w:rsidP="00225084">
            <w:pPr>
              <w:pStyle w:val="AERtabletextleft"/>
            </w:pPr>
            <w:r>
              <w:t>NSW DNSPs</w:t>
            </w:r>
          </w:p>
        </w:tc>
        <w:tc>
          <w:tcPr>
            <w:tcW w:w="4707" w:type="dxa"/>
          </w:tcPr>
          <w:p w:rsidR="00225084" w:rsidRPr="00663364" w:rsidRDefault="00225084" w:rsidP="00225084">
            <w:pPr>
              <w:pStyle w:val="AERtabletextleft"/>
            </w:pPr>
            <w:r>
              <w:t>Supported the ex post review being targeted rather than comprehensive.</w:t>
            </w:r>
          </w:p>
        </w:tc>
      </w:tr>
      <w:tr w:rsidR="00225084" w:rsidTr="00225084">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p>
        </w:tc>
        <w:tc>
          <w:tcPr>
            <w:tcW w:w="2080" w:type="dxa"/>
          </w:tcPr>
          <w:p w:rsidR="00225084" w:rsidRDefault="00225084" w:rsidP="00225084">
            <w:pPr>
              <w:pStyle w:val="AERtabletextleft"/>
            </w:pPr>
            <w:r>
              <w:t>EnerNOC</w:t>
            </w:r>
          </w:p>
        </w:tc>
        <w:tc>
          <w:tcPr>
            <w:tcW w:w="4707" w:type="dxa"/>
          </w:tcPr>
          <w:p w:rsidR="00225084" w:rsidRPr="00663364" w:rsidRDefault="00225084" w:rsidP="00225084">
            <w:pPr>
              <w:pStyle w:val="AERtabletextleft"/>
            </w:pPr>
            <w:r>
              <w:t xml:space="preserve">Did not support an approach whereby the AER would not consider the efficiency of the capex if the NSP had the appropriate processes in place. </w:t>
            </w:r>
          </w:p>
        </w:tc>
      </w:tr>
      <w:tr w:rsidR="00225084" w:rsidTr="00225084">
        <w:tblPrEx>
          <w:tblLook w:val="0020" w:firstRow="1" w:lastRow="0" w:firstColumn="0" w:lastColumn="0" w:noHBand="0" w:noVBand="0"/>
        </w:tblPrEx>
        <w:tc>
          <w:tcPr>
            <w:tcW w:w="1741" w:type="dxa"/>
          </w:tcPr>
          <w:p w:rsidR="00225084" w:rsidRPr="00663364" w:rsidRDefault="00225084" w:rsidP="00225084">
            <w:pPr>
              <w:pStyle w:val="AERtabletextleft"/>
            </w:pPr>
          </w:p>
        </w:tc>
        <w:tc>
          <w:tcPr>
            <w:tcW w:w="2080" w:type="dxa"/>
          </w:tcPr>
          <w:p w:rsidR="00225084" w:rsidRPr="00663364" w:rsidRDefault="00225084" w:rsidP="00225084">
            <w:pPr>
              <w:pStyle w:val="AERtabletextleft"/>
            </w:pPr>
            <w:r>
              <w:t>PIAC</w:t>
            </w:r>
          </w:p>
        </w:tc>
        <w:tc>
          <w:tcPr>
            <w:tcW w:w="4707" w:type="dxa"/>
          </w:tcPr>
          <w:p w:rsidR="00225084" w:rsidRPr="00663364" w:rsidRDefault="00225084" w:rsidP="00225084">
            <w:pPr>
              <w:pStyle w:val="AERtabletextleft"/>
            </w:pPr>
            <w:r>
              <w:t>Supported the tiered approach suggested in the issue paper.</w:t>
            </w:r>
          </w:p>
        </w:tc>
      </w:tr>
      <w:tr w:rsidR="00225084" w:rsidTr="00225084">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p>
        </w:tc>
        <w:tc>
          <w:tcPr>
            <w:tcW w:w="2080" w:type="dxa"/>
          </w:tcPr>
          <w:p w:rsidR="00225084" w:rsidRDefault="00225084" w:rsidP="00225084">
            <w:pPr>
              <w:pStyle w:val="AERtabletextleft"/>
            </w:pPr>
            <w:r>
              <w:t>MEU</w:t>
            </w:r>
          </w:p>
        </w:tc>
        <w:tc>
          <w:tcPr>
            <w:tcW w:w="4707" w:type="dxa"/>
          </w:tcPr>
          <w:p w:rsidR="00225084" w:rsidRDefault="00225084" w:rsidP="00225084">
            <w:pPr>
              <w:pStyle w:val="AERtabletextleft"/>
            </w:pPr>
            <w:r>
              <w:t>Did not support a tiered approach. Believed that if there is any overspend, all capex should be assessed for efficiency.</w:t>
            </w:r>
          </w:p>
        </w:tc>
      </w:tr>
      <w:tr w:rsidR="00225084" w:rsidTr="00225084">
        <w:tblPrEx>
          <w:tblLook w:val="0020" w:firstRow="1" w:lastRow="0" w:firstColumn="0" w:lastColumn="0" w:noHBand="0" w:noVBand="0"/>
        </w:tblPrEx>
        <w:tc>
          <w:tcPr>
            <w:tcW w:w="1741" w:type="dxa"/>
          </w:tcPr>
          <w:p w:rsidR="00225084" w:rsidRDefault="00225084" w:rsidP="00225084">
            <w:pPr>
              <w:pStyle w:val="AERtabletextleft"/>
            </w:pPr>
          </w:p>
        </w:tc>
        <w:tc>
          <w:tcPr>
            <w:tcW w:w="2080" w:type="dxa"/>
          </w:tcPr>
          <w:p w:rsidR="00225084" w:rsidRDefault="00225084" w:rsidP="00225084">
            <w:pPr>
              <w:pStyle w:val="AERtabletextleft"/>
            </w:pPr>
            <w:r>
              <w:t>CitiPower, Powercor and SA Power Networks</w:t>
            </w:r>
          </w:p>
        </w:tc>
        <w:tc>
          <w:tcPr>
            <w:tcW w:w="4707" w:type="dxa"/>
          </w:tcPr>
          <w:p w:rsidR="00225084" w:rsidRPr="00663364" w:rsidRDefault="00225084" w:rsidP="00225084">
            <w:pPr>
              <w:pStyle w:val="AERtabletextleft"/>
            </w:pPr>
            <w:r>
              <w:t xml:space="preserve">Stated that the AER should set out a decision tree outlining the approach assessing all types of capex that can be excluded from the RAB. Requested greater clarity on a number of steps within the tiered approach. Also suggested that the </w:t>
            </w:r>
            <w:r w:rsidR="0043387A">
              <w:t>guidelines</w:t>
            </w:r>
            <w:r>
              <w:t xml:space="preserve"> provide guidance on how the NSP would be engaged at each stage of the process. </w:t>
            </w:r>
          </w:p>
        </w:tc>
      </w:tr>
      <w:tr w:rsidR="00225084" w:rsidTr="00225084">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p>
        </w:tc>
        <w:tc>
          <w:tcPr>
            <w:tcW w:w="2080" w:type="dxa"/>
          </w:tcPr>
          <w:p w:rsidR="00225084" w:rsidRDefault="00225084" w:rsidP="00225084">
            <w:pPr>
              <w:pStyle w:val="AERtabletextleft"/>
            </w:pPr>
            <w:r>
              <w:t>Grid Australia</w:t>
            </w:r>
          </w:p>
        </w:tc>
        <w:tc>
          <w:tcPr>
            <w:tcW w:w="4707" w:type="dxa"/>
          </w:tcPr>
          <w:p w:rsidR="00225084" w:rsidRDefault="00225084" w:rsidP="00225084">
            <w:pPr>
              <w:pStyle w:val="AERtabletextleft"/>
            </w:pPr>
            <w:r>
              <w:t>Supported the tiered approach included in the issues paper. Encouraged the AER to include specific guidance on the principles and criteria it will apply in undertaking ex post reviews.</w:t>
            </w:r>
          </w:p>
        </w:tc>
      </w:tr>
      <w:tr w:rsidR="00225084" w:rsidTr="00225084">
        <w:tblPrEx>
          <w:tblLook w:val="0020" w:firstRow="1" w:lastRow="0" w:firstColumn="0" w:lastColumn="0" w:noHBand="0" w:noVBand="0"/>
        </w:tblPrEx>
        <w:tc>
          <w:tcPr>
            <w:tcW w:w="1741" w:type="dxa"/>
          </w:tcPr>
          <w:p w:rsidR="00225084" w:rsidRDefault="00225084" w:rsidP="00225084">
            <w:pPr>
              <w:pStyle w:val="AERtabletextleft"/>
            </w:pPr>
          </w:p>
        </w:tc>
        <w:tc>
          <w:tcPr>
            <w:tcW w:w="2080" w:type="dxa"/>
          </w:tcPr>
          <w:p w:rsidR="00225084" w:rsidRDefault="00225084" w:rsidP="00225084">
            <w:pPr>
              <w:pStyle w:val="AERtabletextleft"/>
            </w:pPr>
            <w:r>
              <w:t>ENA</w:t>
            </w:r>
          </w:p>
        </w:tc>
        <w:tc>
          <w:tcPr>
            <w:tcW w:w="4707" w:type="dxa"/>
          </w:tcPr>
          <w:p w:rsidR="00225084" w:rsidRDefault="00225084" w:rsidP="00225084">
            <w:pPr>
              <w:pStyle w:val="AERtabletextleft"/>
            </w:pPr>
            <w:r>
              <w:t>Requested greater clarity on how the AER will assess whether overspending is efficient.</w:t>
            </w:r>
          </w:p>
        </w:tc>
      </w:tr>
      <w:tr w:rsidR="00225084" w:rsidTr="00225084">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p>
        </w:tc>
        <w:tc>
          <w:tcPr>
            <w:tcW w:w="2080" w:type="dxa"/>
          </w:tcPr>
          <w:p w:rsidR="00225084" w:rsidRDefault="00225084" w:rsidP="00225084">
            <w:pPr>
              <w:pStyle w:val="AERtabletextleft"/>
            </w:pPr>
            <w:r>
              <w:t>SP AusNet</w:t>
            </w:r>
          </w:p>
        </w:tc>
        <w:tc>
          <w:tcPr>
            <w:tcW w:w="4707" w:type="dxa"/>
          </w:tcPr>
          <w:p w:rsidR="00225084" w:rsidRDefault="00225084" w:rsidP="00225084">
            <w:pPr>
              <w:pStyle w:val="AERtabletextleft"/>
            </w:pPr>
            <w:r>
              <w:t>Broadly supported the tiered approach outlined in the issues paper.</w:t>
            </w:r>
          </w:p>
        </w:tc>
      </w:tr>
      <w:tr w:rsidR="00225084" w:rsidTr="00225084">
        <w:tblPrEx>
          <w:tblLook w:val="0020" w:firstRow="1" w:lastRow="0" w:firstColumn="0" w:lastColumn="0" w:noHBand="0" w:noVBand="0"/>
        </w:tblPrEx>
        <w:tc>
          <w:tcPr>
            <w:tcW w:w="1741" w:type="dxa"/>
          </w:tcPr>
          <w:p w:rsidR="00225084" w:rsidRDefault="00225084" w:rsidP="00225084">
            <w:pPr>
              <w:pStyle w:val="AERtabletextleft"/>
            </w:pPr>
          </w:p>
        </w:tc>
        <w:tc>
          <w:tcPr>
            <w:tcW w:w="2080" w:type="dxa"/>
          </w:tcPr>
          <w:p w:rsidR="00225084" w:rsidRDefault="00225084" w:rsidP="00225084">
            <w:pPr>
              <w:pStyle w:val="AERtabletextleft"/>
            </w:pPr>
            <w:r>
              <w:t>Energex</w:t>
            </w:r>
          </w:p>
        </w:tc>
        <w:tc>
          <w:tcPr>
            <w:tcW w:w="4707" w:type="dxa"/>
          </w:tcPr>
          <w:p w:rsidR="00225084" w:rsidRDefault="00225084" w:rsidP="00225084">
            <w:pPr>
              <w:pStyle w:val="AERtabletextleft"/>
            </w:pPr>
            <w:r>
              <w:t>Supported an amended staged process as outlined in attachment 1 of its submission.</w:t>
            </w:r>
          </w:p>
        </w:tc>
      </w:tr>
      <w:tr w:rsidR="00225084" w:rsidTr="00225084">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p>
        </w:tc>
        <w:tc>
          <w:tcPr>
            <w:tcW w:w="2080" w:type="dxa"/>
          </w:tcPr>
          <w:p w:rsidR="00225084" w:rsidRDefault="00225084" w:rsidP="00225084">
            <w:pPr>
              <w:pStyle w:val="AERtabletextleft"/>
            </w:pPr>
            <w:r>
              <w:t>Ergon Energy</w:t>
            </w:r>
          </w:p>
        </w:tc>
        <w:tc>
          <w:tcPr>
            <w:tcW w:w="4707" w:type="dxa"/>
          </w:tcPr>
          <w:p w:rsidR="00225084" w:rsidRDefault="00225084" w:rsidP="00225084">
            <w:pPr>
              <w:pStyle w:val="AERtabletextleft"/>
            </w:pPr>
            <w:r>
              <w:t>Supported a staged approach but requested greater clarity on how the stages would apply. Recommended that the AER be mindful of the regulatory costs associated with a full r</w:t>
            </w:r>
            <w:r w:rsidR="009076CA">
              <w:t>eview of all capex</w:t>
            </w:r>
            <w:r>
              <w:t>.</w:t>
            </w:r>
          </w:p>
        </w:tc>
      </w:tr>
      <w:tr w:rsidR="00225084" w:rsidTr="00225084">
        <w:tblPrEx>
          <w:tblLook w:val="0020" w:firstRow="1" w:lastRow="0" w:firstColumn="0" w:lastColumn="0" w:noHBand="0" w:noVBand="0"/>
        </w:tblPrEx>
        <w:tc>
          <w:tcPr>
            <w:tcW w:w="1741" w:type="dxa"/>
          </w:tcPr>
          <w:p w:rsidR="00225084" w:rsidRDefault="00225084" w:rsidP="00225084">
            <w:pPr>
              <w:pStyle w:val="AERtabletextleft"/>
            </w:pPr>
            <w:r>
              <w:t>Service standards</w:t>
            </w:r>
          </w:p>
        </w:tc>
        <w:tc>
          <w:tcPr>
            <w:tcW w:w="2080" w:type="dxa"/>
          </w:tcPr>
          <w:p w:rsidR="00225084" w:rsidRDefault="00225084" w:rsidP="00225084">
            <w:pPr>
              <w:pStyle w:val="AERtabletextleft"/>
            </w:pPr>
            <w:r>
              <w:t>Energex</w:t>
            </w:r>
          </w:p>
        </w:tc>
        <w:tc>
          <w:tcPr>
            <w:tcW w:w="4707" w:type="dxa"/>
          </w:tcPr>
          <w:p w:rsidR="00225084" w:rsidRDefault="00225084" w:rsidP="00225084">
            <w:pPr>
              <w:pStyle w:val="AERtabletextleft"/>
            </w:pPr>
            <w:r>
              <w:t>Did not support service standards being considered as part of the ex post review.</w:t>
            </w:r>
          </w:p>
        </w:tc>
      </w:tr>
      <w:tr w:rsidR="00225084" w:rsidTr="00225084">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r>
              <w:t>Extrapolation</w:t>
            </w:r>
          </w:p>
        </w:tc>
        <w:tc>
          <w:tcPr>
            <w:tcW w:w="2080" w:type="dxa"/>
          </w:tcPr>
          <w:p w:rsidR="00225084" w:rsidRDefault="00225084" w:rsidP="00225084">
            <w:pPr>
              <w:pStyle w:val="AERtabletextleft"/>
            </w:pPr>
            <w:r>
              <w:t>Grid Australia</w:t>
            </w:r>
          </w:p>
        </w:tc>
        <w:tc>
          <w:tcPr>
            <w:tcW w:w="4707" w:type="dxa"/>
          </w:tcPr>
          <w:p w:rsidR="00225084" w:rsidRDefault="00225084" w:rsidP="00225084">
            <w:pPr>
              <w:pStyle w:val="AERtabletextleft"/>
            </w:pPr>
            <w:r>
              <w:t>Noted that it would be inappropriate to extrapolate from the outcomes of an assessment of a limited number of projects to a wider range of projects.</w:t>
            </w:r>
          </w:p>
        </w:tc>
      </w:tr>
      <w:tr w:rsidR="00225084" w:rsidTr="00225084">
        <w:tblPrEx>
          <w:tblLook w:val="0020" w:firstRow="1" w:lastRow="0" w:firstColumn="0" w:lastColumn="0" w:noHBand="0" w:noVBand="0"/>
        </w:tblPrEx>
        <w:tc>
          <w:tcPr>
            <w:tcW w:w="1741" w:type="dxa"/>
          </w:tcPr>
          <w:p w:rsidR="00225084" w:rsidRDefault="00225084" w:rsidP="00225084">
            <w:pPr>
              <w:pStyle w:val="AERtabletextleft"/>
            </w:pPr>
            <w:r>
              <w:t>Excluded capex that later becomes efficient</w:t>
            </w:r>
          </w:p>
        </w:tc>
        <w:tc>
          <w:tcPr>
            <w:tcW w:w="2080" w:type="dxa"/>
          </w:tcPr>
          <w:p w:rsidR="00225084" w:rsidRPr="00663364" w:rsidRDefault="00225084" w:rsidP="00225084">
            <w:pPr>
              <w:pStyle w:val="AERtabletextleft"/>
            </w:pPr>
            <w:r>
              <w:t>CitiPower, Powercor and SA Power Networks</w:t>
            </w:r>
          </w:p>
        </w:tc>
        <w:tc>
          <w:tcPr>
            <w:tcW w:w="4707" w:type="dxa"/>
          </w:tcPr>
          <w:p w:rsidR="00225084" w:rsidRPr="00663364" w:rsidRDefault="00225084" w:rsidP="00FE3E2B">
            <w:pPr>
              <w:pStyle w:val="AERtabletextleft"/>
            </w:pPr>
            <w:r>
              <w:t>Requested that the AER outline the process for assessing the potential re-inclusion of capex into the RAB where the capex later become</w:t>
            </w:r>
            <w:r w:rsidR="00FE3E2B">
              <w:t>s</w:t>
            </w:r>
            <w:r>
              <w:t xml:space="preserve"> efficient. </w:t>
            </w:r>
            <w:r w:rsidR="00FE3E2B">
              <w:t>Referred to the</w:t>
            </w:r>
            <w:r>
              <w:t xml:space="preserve"> speculative investment amount provisions of the National Gas Rules.</w:t>
            </w:r>
          </w:p>
        </w:tc>
      </w:tr>
      <w:tr w:rsidR="00225084" w:rsidTr="00225084">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p>
        </w:tc>
        <w:tc>
          <w:tcPr>
            <w:tcW w:w="2080" w:type="dxa"/>
          </w:tcPr>
          <w:p w:rsidR="00225084" w:rsidRDefault="00225084" w:rsidP="00225084">
            <w:pPr>
              <w:pStyle w:val="AERtabletextleft"/>
            </w:pPr>
            <w:r>
              <w:t>ENA</w:t>
            </w:r>
          </w:p>
        </w:tc>
        <w:tc>
          <w:tcPr>
            <w:tcW w:w="4707" w:type="dxa"/>
          </w:tcPr>
          <w:p w:rsidR="00225084" w:rsidRDefault="00225084" w:rsidP="00FE3E2B">
            <w:pPr>
              <w:pStyle w:val="AERtabletextleft"/>
            </w:pPr>
            <w:r>
              <w:t xml:space="preserve">Recommended that the </w:t>
            </w:r>
            <w:r w:rsidR="00783661">
              <w:t>guidelines</w:t>
            </w:r>
            <w:r>
              <w:t xml:space="preserve"> include information on how the AER will treat inefficient capex that later become</w:t>
            </w:r>
            <w:r w:rsidR="00FE3E2B">
              <w:t>s</w:t>
            </w:r>
            <w:r>
              <w:t xml:space="preserve"> us</w:t>
            </w:r>
            <w:r w:rsidR="00FE3E2B">
              <w:t>eful</w:t>
            </w:r>
            <w:r>
              <w:t xml:space="preserve">. </w:t>
            </w:r>
          </w:p>
        </w:tc>
      </w:tr>
      <w:tr w:rsidR="002D7F21" w:rsidTr="00225084">
        <w:tblPrEx>
          <w:tblLook w:val="0020" w:firstRow="1" w:lastRow="0" w:firstColumn="0" w:lastColumn="0" w:noHBand="0" w:noVBand="0"/>
        </w:tblPrEx>
        <w:tc>
          <w:tcPr>
            <w:tcW w:w="1741" w:type="dxa"/>
          </w:tcPr>
          <w:p w:rsidR="002D7F21" w:rsidRDefault="002D7F21" w:rsidP="00225084">
            <w:pPr>
              <w:pStyle w:val="AERtabletextleft"/>
            </w:pPr>
          </w:p>
        </w:tc>
        <w:tc>
          <w:tcPr>
            <w:tcW w:w="2080" w:type="dxa"/>
          </w:tcPr>
          <w:p w:rsidR="002D7F21" w:rsidRDefault="002D7F21" w:rsidP="00225084">
            <w:pPr>
              <w:pStyle w:val="AERtabletextleft"/>
            </w:pPr>
            <w:r>
              <w:t>CRG</w:t>
            </w:r>
          </w:p>
        </w:tc>
        <w:tc>
          <w:tcPr>
            <w:tcW w:w="4707" w:type="dxa"/>
          </w:tcPr>
          <w:p w:rsidR="002D7F21" w:rsidRDefault="002D7F21" w:rsidP="00225084">
            <w:pPr>
              <w:pStyle w:val="AERtabletextleft"/>
            </w:pPr>
            <w:r>
              <w:t>Requested guidance on this issue.</w:t>
            </w:r>
          </w:p>
        </w:tc>
      </w:tr>
      <w:tr w:rsidR="00225084" w:rsidTr="00225084">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pPr>
              <w:pStyle w:val="AERtabletextleft"/>
            </w:pPr>
          </w:p>
        </w:tc>
        <w:tc>
          <w:tcPr>
            <w:tcW w:w="2080" w:type="dxa"/>
          </w:tcPr>
          <w:p w:rsidR="00225084" w:rsidRDefault="00225084" w:rsidP="00225084">
            <w:pPr>
              <w:pStyle w:val="AERtabletextleft"/>
            </w:pPr>
            <w:r>
              <w:t>Grid Australia</w:t>
            </w:r>
          </w:p>
        </w:tc>
        <w:tc>
          <w:tcPr>
            <w:tcW w:w="4707" w:type="dxa"/>
          </w:tcPr>
          <w:p w:rsidR="00225084" w:rsidRPr="00663364" w:rsidRDefault="00225084" w:rsidP="00FE3E2B">
            <w:pPr>
              <w:pStyle w:val="AERtabletextleft"/>
            </w:pPr>
            <w:r>
              <w:t xml:space="preserve">Similarly </w:t>
            </w:r>
            <w:r w:rsidR="00FE3E2B">
              <w:t xml:space="preserve">requested </w:t>
            </w:r>
            <w:r>
              <w:t xml:space="preserve">guidance on </w:t>
            </w:r>
            <w:r w:rsidR="00FE3E2B">
              <w:t>this issue</w:t>
            </w:r>
            <w:r>
              <w:t>.</w:t>
            </w:r>
          </w:p>
        </w:tc>
      </w:tr>
    </w:tbl>
    <w:p w:rsidR="00225084" w:rsidRPr="005C46D0" w:rsidRDefault="003C6AC7" w:rsidP="00225084">
      <w:pPr>
        <w:pStyle w:val="Caption"/>
      </w:pPr>
      <w:r>
        <w:t>Table D</w:t>
      </w:r>
      <w:r w:rsidR="00225084">
        <w:t>.</w:t>
      </w:r>
      <w:r w:rsidR="00EF252E">
        <w:t>4</w:t>
      </w:r>
      <w:r w:rsidR="00225084">
        <w:tab/>
        <w:t>Summary of submissions on capitalisation issues</w:t>
      </w:r>
    </w:p>
    <w:tbl>
      <w:tblPr>
        <w:tblStyle w:val="AERtable-text"/>
        <w:tblW w:w="0" w:type="auto"/>
        <w:tblLook w:val="0020" w:firstRow="1" w:lastRow="0" w:firstColumn="0" w:lastColumn="0" w:noHBand="0" w:noVBand="0"/>
      </w:tblPr>
      <w:tblGrid>
        <w:gridCol w:w="1741"/>
        <w:gridCol w:w="2080"/>
        <w:gridCol w:w="4707"/>
      </w:tblGrid>
      <w:tr w:rsidR="00225084" w:rsidRPr="001A27ED" w:rsidTr="00EF252E">
        <w:trPr>
          <w:cnfStyle w:val="100000000000" w:firstRow="1" w:lastRow="0" w:firstColumn="0" w:lastColumn="0" w:oddVBand="0" w:evenVBand="0" w:oddHBand="0" w:evenHBand="0" w:firstRowFirstColumn="0" w:firstRowLastColumn="0" w:lastRowFirstColumn="0" w:lastRowLastColumn="0"/>
        </w:trPr>
        <w:tc>
          <w:tcPr>
            <w:tcW w:w="1741" w:type="dxa"/>
          </w:tcPr>
          <w:p w:rsidR="00225084" w:rsidRPr="00225084" w:rsidRDefault="00225084" w:rsidP="00225084">
            <w:pPr>
              <w:rPr>
                <w:rStyle w:val="AERtextbold"/>
              </w:rPr>
            </w:pPr>
            <w:r w:rsidRPr="00225084">
              <w:rPr>
                <w:rStyle w:val="AERtextbold"/>
              </w:rPr>
              <w:t>Issue</w:t>
            </w:r>
          </w:p>
        </w:tc>
        <w:tc>
          <w:tcPr>
            <w:tcW w:w="2080" w:type="dxa"/>
          </w:tcPr>
          <w:p w:rsidR="00225084" w:rsidRPr="00225084" w:rsidRDefault="00225084" w:rsidP="00225084">
            <w:pPr>
              <w:rPr>
                <w:rStyle w:val="AERtextbold"/>
              </w:rPr>
            </w:pPr>
            <w:r w:rsidRPr="00225084">
              <w:rPr>
                <w:rStyle w:val="AERtextbold"/>
              </w:rPr>
              <w:t>Respondent</w:t>
            </w:r>
          </w:p>
        </w:tc>
        <w:tc>
          <w:tcPr>
            <w:tcW w:w="4707" w:type="dxa"/>
          </w:tcPr>
          <w:p w:rsidR="00225084" w:rsidRPr="00225084" w:rsidRDefault="00225084" w:rsidP="00225084">
            <w:pPr>
              <w:rPr>
                <w:rStyle w:val="AERtextbold"/>
              </w:rPr>
            </w:pPr>
            <w:r w:rsidRPr="00225084">
              <w:rPr>
                <w:rStyle w:val="AERtextbold"/>
              </w:rPr>
              <w:t>Comments</w:t>
            </w:r>
          </w:p>
        </w:tc>
      </w:tr>
      <w:tr w:rsidR="00225084" w:rsidTr="00EF252E">
        <w:tc>
          <w:tcPr>
            <w:tcW w:w="1741" w:type="dxa"/>
          </w:tcPr>
          <w:p w:rsidR="00225084" w:rsidRDefault="00225084" w:rsidP="00225084">
            <w:r>
              <w:t>General</w:t>
            </w:r>
          </w:p>
        </w:tc>
        <w:tc>
          <w:tcPr>
            <w:tcW w:w="2080" w:type="dxa"/>
          </w:tcPr>
          <w:p w:rsidR="00225084" w:rsidRDefault="00225084" w:rsidP="00225084">
            <w:r>
              <w:t>Ergon</w:t>
            </w:r>
          </w:p>
        </w:tc>
        <w:tc>
          <w:tcPr>
            <w:tcW w:w="4707" w:type="dxa"/>
          </w:tcPr>
          <w:p w:rsidR="00225084" w:rsidRDefault="00225084" w:rsidP="00EF252E">
            <w:r>
              <w:t>Consider</w:t>
            </w:r>
            <w:r w:rsidR="00EF252E">
              <w:t>ed</w:t>
            </w:r>
            <w:r w:rsidR="009076CA">
              <w:t xml:space="preserve"> our approach wa</w:t>
            </w:r>
            <w:r>
              <w:t>s b</w:t>
            </w:r>
            <w:r w:rsidR="00EF252E">
              <w:t xml:space="preserve">roadly reasonable. </w:t>
            </w:r>
          </w:p>
        </w:tc>
      </w:tr>
      <w:tr w:rsidR="00225084" w:rsidTr="00EF252E">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tc>
        <w:tc>
          <w:tcPr>
            <w:tcW w:w="2080" w:type="dxa"/>
          </w:tcPr>
          <w:p w:rsidR="00225084" w:rsidRDefault="00225084" w:rsidP="00225084">
            <w:r>
              <w:t>Energex</w:t>
            </w:r>
          </w:p>
        </w:tc>
        <w:tc>
          <w:tcPr>
            <w:tcW w:w="4707" w:type="dxa"/>
          </w:tcPr>
          <w:p w:rsidR="00225084" w:rsidRDefault="00EF252E" w:rsidP="00EF252E">
            <w:r>
              <w:t>Consider</w:t>
            </w:r>
            <w:r w:rsidR="009076CA">
              <w:t>ed our approach wa</w:t>
            </w:r>
            <w:r w:rsidRPr="00EF252E">
              <w:t>s broadly reasonable.</w:t>
            </w:r>
          </w:p>
        </w:tc>
      </w:tr>
      <w:tr w:rsidR="00225084" w:rsidTr="00EF252E">
        <w:tc>
          <w:tcPr>
            <w:tcW w:w="1741" w:type="dxa"/>
          </w:tcPr>
          <w:p w:rsidR="00225084" w:rsidRDefault="00225084" w:rsidP="00225084"/>
        </w:tc>
        <w:tc>
          <w:tcPr>
            <w:tcW w:w="2080" w:type="dxa"/>
          </w:tcPr>
          <w:p w:rsidR="00225084" w:rsidRDefault="00225084" w:rsidP="00225084">
            <w:r>
              <w:t>ENA</w:t>
            </w:r>
          </w:p>
        </w:tc>
        <w:tc>
          <w:tcPr>
            <w:tcW w:w="4707" w:type="dxa"/>
          </w:tcPr>
          <w:p w:rsidR="00225084" w:rsidRDefault="00EF252E" w:rsidP="00225084">
            <w:r>
              <w:t>Consider</w:t>
            </w:r>
            <w:r w:rsidR="009076CA">
              <w:t>ed our approach wa</w:t>
            </w:r>
            <w:r w:rsidRPr="00EF252E">
              <w:t>s broadly reasonable.</w:t>
            </w:r>
          </w:p>
        </w:tc>
      </w:tr>
      <w:tr w:rsidR="00225084" w:rsidTr="00EF252E">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r>
              <w:t>Reviewing policy changes</w:t>
            </w:r>
          </w:p>
        </w:tc>
        <w:tc>
          <w:tcPr>
            <w:tcW w:w="2080" w:type="dxa"/>
          </w:tcPr>
          <w:p w:rsidR="00225084" w:rsidRPr="00865771" w:rsidRDefault="00225084" w:rsidP="00225084">
            <w:r>
              <w:t>MEU</w:t>
            </w:r>
          </w:p>
        </w:tc>
        <w:tc>
          <w:tcPr>
            <w:tcW w:w="4707" w:type="dxa"/>
          </w:tcPr>
          <w:p w:rsidR="00225084" w:rsidRDefault="002722F7" w:rsidP="00EF252E">
            <w:r>
              <w:t>Stat</w:t>
            </w:r>
            <w:r w:rsidR="00EF252E">
              <w:t>ed that</w:t>
            </w:r>
            <w:r w:rsidR="00225084">
              <w:t xml:space="preserve"> the AER should review the appropriateness and application of any change in </w:t>
            </w:r>
            <w:r w:rsidR="00EF252E">
              <w:t>NSPs' capitalisation policies.</w:t>
            </w:r>
          </w:p>
        </w:tc>
      </w:tr>
      <w:tr w:rsidR="00225084" w:rsidTr="00EF252E">
        <w:tc>
          <w:tcPr>
            <w:tcW w:w="1741" w:type="dxa"/>
          </w:tcPr>
          <w:p w:rsidR="00225084" w:rsidRDefault="00225084" w:rsidP="00225084">
            <w:r>
              <w:t>Standardisation</w:t>
            </w:r>
          </w:p>
        </w:tc>
        <w:tc>
          <w:tcPr>
            <w:tcW w:w="2080" w:type="dxa"/>
          </w:tcPr>
          <w:p w:rsidR="00225084" w:rsidRDefault="00225084" w:rsidP="00225084">
            <w:r>
              <w:t>Grid Australia</w:t>
            </w:r>
          </w:p>
        </w:tc>
        <w:tc>
          <w:tcPr>
            <w:tcW w:w="4707" w:type="dxa"/>
          </w:tcPr>
          <w:p w:rsidR="00225084" w:rsidRDefault="00225084" w:rsidP="00EF252E">
            <w:r>
              <w:t>Support</w:t>
            </w:r>
            <w:r w:rsidR="00EF252E">
              <w:t>ed</w:t>
            </w:r>
            <w:r>
              <w:t xml:space="preserve"> the principle that calculations of efficiency gains and losses for opex and capex, and rolling forward the RAB, be based on a consistent capitalisation policy over time for the same NSP. However</w:t>
            </w:r>
            <w:r w:rsidR="00EF252E">
              <w:t>, did no</w:t>
            </w:r>
            <w:r>
              <w:t xml:space="preserve">t support a common capitalisation policy. </w:t>
            </w:r>
          </w:p>
        </w:tc>
      </w:tr>
      <w:tr w:rsidR="00225084" w:rsidTr="00EF252E">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tc>
        <w:tc>
          <w:tcPr>
            <w:tcW w:w="2080" w:type="dxa"/>
          </w:tcPr>
          <w:p w:rsidR="00225084" w:rsidRPr="00865771" w:rsidRDefault="00225084" w:rsidP="00225084">
            <w:r>
              <w:t>MEU</w:t>
            </w:r>
          </w:p>
        </w:tc>
        <w:tc>
          <w:tcPr>
            <w:tcW w:w="4707" w:type="dxa"/>
          </w:tcPr>
          <w:p w:rsidR="00225084" w:rsidRDefault="00EF252E" w:rsidP="00EF252E">
            <w:r>
              <w:t>Considered that</w:t>
            </w:r>
            <w:r w:rsidR="00225084">
              <w:t xml:space="preserve"> the AER should establish a standard capitalisation policy for NSPs to use in regulatory accounts to complement benchmarking</w:t>
            </w:r>
            <w:r>
              <w:t>.</w:t>
            </w:r>
          </w:p>
        </w:tc>
      </w:tr>
      <w:tr w:rsidR="00225084" w:rsidTr="00EF252E">
        <w:tc>
          <w:tcPr>
            <w:tcW w:w="1741" w:type="dxa"/>
          </w:tcPr>
          <w:p w:rsidR="00225084" w:rsidRDefault="00225084" w:rsidP="00225084"/>
        </w:tc>
        <w:tc>
          <w:tcPr>
            <w:tcW w:w="2080" w:type="dxa"/>
          </w:tcPr>
          <w:p w:rsidR="00225084" w:rsidRDefault="00225084" w:rsidP="00225084">
            <w:r>
              <w:t>Ergon</w:t>
            </w:r>
          </w:p>
        </w:tc>
        <w:tc>
          <w:tcPr>
            <w:tcW w:w="4707" w:type="dxa"/>
          </w:tcPr>
          <w:p w:rsidR="00225084" w:rsidRDefault="00EF252E" w:rsidP="00EF252E">
            <w:r>
              <w:t>Considered</w:t>
            </w:r>
            <w:r w:rsidR="00225084">
              <w:t xml:space="preserve"> DNSPs have a reasonably consistent approach to applying accounting standards to capitalising expenditure. However, there are differences in capitalisation rates meaning standardisation would be complex and inappropriate. </w:t>
            </w:r>
          </w:p>
        </w:tc>
      </w:tr>
      <w:tr w:rsidR="00225084" w:rsidTr="00EF252E">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r>
              <w:t>Clarity on approach</w:t>
            </w:r>
          </w:p>
        </w:tc>
        <w:tc>
          <w:tcPr>
            <w:tcW w:w="2080" w:type="dxa"/>
          </w:tcPr>
          <w:p w:rsidR="00225084" w:rsidRDefault="00225084" w:rsidP="00EF252E">
            <w:r>
              <w:t>CitiPower</w:t>
            </w:r>
            <w:r w:rsidR="00EF252E">
              <w:t xml:space="preserve">, </w:t>
            </w:r>
            <w:r>
              <w:t xml:space="preserve">Powercor </w:t>
            </w:r>
            <w:r w:rsidR="00EF252E">
              <w:t xml:space="preserve">and </w:t>
            </w:r>
            <w:r>
              <w:t>SA Power</w:t>
            </w:r>
          </w:p>
        </w:tc>
        <w:tc>
          <w:tcPr>
            <w:tcW w:w="4707" w:type="dxa"/>
          </w:tcPr>
          <w:p w:rsidR="00225084" w:rsidRDefault="00225084" w:rsidP="00225084">
            <w:r>
              <w:t>Consider</w:t>
            </w:r>
            <w:r w:rsidR="00EF252E">
              <w:t>ed</w:t>
            </w:r>
            <w:r>
              <w:t xml:space="preserve"> the AER should set out a flow diagram on our assessment of capitalisation</w:t>
            </w:r>
            <w:r w:rsidR="009076CA">
              <w:t>.</w:t>
            </w:r>
            <w:r>
              <w:t xml:space="preserve"> </w:t>
            </w:r>
          </w:p>
        </w:tc>
      </w:tr>
      <w:tr w:rsidR="00225084" w:rsidTr="00EF252E">
        <w:tc>
          <w:tcPr>
            <w:tcW w:w="1741" w:type="dxa"/>
          </w:tcPr>
          <w:p w:rsidR="00225084" w:rsidRDefault="00225084" w:rsidP="00225084"/>
        </w:tc>
        <w:tc>
          <w:tcPr>
            <w:tcW w:w="2080" w:type="dxa"/>
          </w:tcPr>
          <w:p w:rsidR="00225084" w:rsidRDefault="00225084" w:rsidP="00225084">
            <w:r>
              <w:t>Energex</w:t>
            </w:r>
          </w:p>
        </w:tc>
        <w:tc>
          <w:tcPr>
            <w:tcW w:w="4707" w:type="dxa"/>
          </w:tcPr>
          <w:p w:rsidR="00225084" w:rsidRDefault="00EF252E" w:rsidP="00225084">
            <w:r>
              <w:t>Requested</w:t>
            </w:r>
            <w:r w:rsidR="00225084">
              <w:t xml:space="preserve"> guidance on how the AER will adjust the RAB when it disallows expenditure (specific assets or classes which have already been added to the RAB and </w:t>
            </w:r>
            <w:r>
              <w:t>rolled forward).</w:t>
            </w:r>
          </w:p>
        </w:tc>
      </w:tr>
      <w:tr w:rsidR="00225084" w:rsidTr="00EF252E">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r>
              <w:t>EBSS interactions</w:t>
            </w:r>
          </w:p>
        </w:tc>
        <w:tc>
          <w:tcPr>
            <w:tcW w:w="2080" w:type="dxa"/>
          </w:tcPr>
          <w:p w:rsidR="00225084" w:rsidRDefault="00225084" w:rsidP="00225084">
            <w:r>
              <w:t>ENA</w:t>
            </w:r>
          </w:p>
        </w:tc>
        <w:tc>
          <w:tcPr>
            <w:tcW w:w="4707" w:type="dxa"/>
          </w:tcPr>
          <w:p w:rsidR="00225084" w:rsidRDefault="00EF252E" w:rsidP="00225084">
            <w:r>
              <w:t>Requested</w:t>
            </w:r>
            <w:r w:rsidR="00225084">
              <w:t xml:space="preserve"> </w:t>
            </w:r>
            <w:r>
              <w:t xml:space="preserve">that </w:t>
            </w:r>
            <w:r w:rsidR="00225084">
              <w:t>the AER set out how capex excluded from the RAB is als</w:t>
            </w:r>
            <w:r>
              <w:t xml:space="preserve">o removed from the EBSS. </w:t>
            </w:r>
          </w:p>
        </w:tc>
      </w:tr>
      <w:tr w:rsidR="00225084" w:rsidTr="00EF252E">
        <w:tc>
          <w:tcPr>
            <w:tcW w:w="1741" w:type="dxa"/>
          </w:tcPr>
          <w:p w:rsidR="00225084" w:rsidRDefault="00225084" w:rsidP="00225084">
            <w:r>
              <w:t>Asymmetric CESS incentives</w:t>
            </w:r>
          </w:p>
        </w:tc>
        <w:tc>
          <w:tcPr>
            <w:tcW w:w="2080" w:type="dxa"/>
          </w:tcPr>
          <w:p w:rsidR="00225084" w:rsidRDefault="00225084" w:rsidP="00225084">
            <w:r>
              <w:t>PIAC</w:t>
            </w:r>
          </w:p>
        </w:tc>
        <w:tc>
          <w:tcPr>
            <w:tcW w:w="4707" w:type="dxa"/>
          </w:tcPr>
          <w:p w:rsidR="00225084" w:rsidRDefault="00225084" w:rsidP="00225084">
            <w:r>
              <w:t>Consider</w:t>
            </w:r>
            <w:r w:rsidR="009076CA">
              <w:t>ed</w:t>
            </w:r>
            <w:r>
              <w:t xml:space="preserve"> a high asymmetric pena</w:t>
            </w:r>
            <w:r w:rsidR="009076CA">
              <w:t>lty on capex overspends may</w:t>
            </w:r>
            <w:r>
              <w:t xml:space="preserve"> help discourage </w:t>
            </w:r>
            <w:r w:rsidR="00EF252E">
              <w:t>capitalisation of opex.</w:t>
            </w:r>
          </w:p>
        </w:tc>
      </w:tr>
    </w:tbl>
    <w:p w:rsidR="00225084" w:rsidRDefault="00225084" w:rsidP="00225084">
      <w:pPr>
        <w:pStyle w:val="AERbodytext"/>
        <w:numPr>
          <w:ilvl w:val="0"/>
          <w:numId w:val="13"/>
        </w:numPr>
      </w:pPr>
      <w:r>
        <w:br/>
      </w:r>
    </w:p>
    <w:p w:rsidR="00225084" w:rsidRPr="005C46D0" w:rsidRDefault="00225084" w:rsidP="00225084">
      <w:pPr>
        <w:pStyle w:val="Caption"/>
      </w:pPr>
      <w:r>
        <w:br w:type="page"/>
        <w:t xml:space="preserve">Table </w:t>
      </w:r>
      <w:r w:rsidR="003C6AC7">
        <w:t>D</w:t>
      </w:r>
      <w:r>
        <w:t>.</w:t>
      </w:r>
      <w:r w:rsidR="00EF252E">
        <w:t>5</w:t>
      </w:r>
      <w:r>
        <w:tab/>
      </w:r>
      <w:r w:rsidRPr="005C63D9">
        <w:t xml:space="preserve">Summary of submissions on </w:t>
      </w:r>
      <w:r>
        <w:t>related party margin issues</w:t>
      </w:r>
    </w:p>
    <w:tbl>
      <w:tblPr>
        <w:tblStyle w:val="AERtable-text"/>
        <w:tblW w:w="0" w:type="auto"/>
        <w:tblLook w:val="0020" w:firstRow="1" w:lastRow="0" w:firstColumn="0" w:lastColumn="0" w:noHBand="0" w:noVBand="0"/>
      </w:tblPr>
      <w:tblGrid>
        <w:gridCol w:w="1741"/>
        <w:gridCol w:w="2080"/>
        <w:gridCol w:w="4707"/>
      </w:tblGrid>
      <w:tr w:rsidR="00225084" w:rsidRPr="001A27ED" w:rsidTr="00EF252E">
        <w:trPr>
          <w:cnfStyle w:val="100000000000" w:firstRow="1" w:lastRow="0" w:firstColumn="0" w:lastColumn="0" w:oddVBand="0" w:evenVBand="0" w:oddHBand="0" w:evenHBand="0" w:firstRowFirstColumn="0" w:firstRowLastColumn="0" w:lastRowFirstColumn="0" w:lastRowLastColumn="0"/>
        </w:trPr>
        <w:tc>
          <w:tcPr>
            <w:tcW w:w="1741" w:type="dxa"/>
          </w:tcPr>
          <w:p w:rsidR="00225084" w:rsidRPr="00225084" w:rsidRDefault="00225084" w:rsidP="00225084">
            <w:pPr>
              <w:rPr>
                <w:rStyle w:val="AERtextbold"/>
              </w:rPr>
            </w:pPr>
            <w:r w:rsidRPr="00225084">
              <w:rPr>
                <w:rStyle w:val="AERtextbold"/>
              </w:rPr>
              <w:t>Issue</w:t>
            </w:r>
          </w:p>
        </w:tc>
        <w:tc>
          <w:tcPr>
            <w:tcW w:w="2080" w:type="dxa"/>
          </w:tcPr>
          <w:p w:rsidR="00225084" w:rsidRPr="00225084" w:rsidRDefault="00225084" w:rsidP="00225084">
            <w:pPr>
              <w:rPr>
                <w:rStyle w:val="AERtextbold"/>
              </w:rPr>
            </w:pPr>
            <w:r w:rsidRPr="00225084">
              <w:rPr>
                <w:rStyle w:val="AERtextbold"/>
              </w:rPr>
              <w:t>Respondent</w:t>
            </w:r>
          </w:p>
        </w:tc>
        <w:tc>
          <w:tcPr>
            <w:tcW w:w="4707" w:type="dxa"/>
          </w:tcPr>
          <w:p w:rsidR="00225084" w:rsidRPr="00225084" w:rsidRDefault="00225084" w:rsidP="00225084">
            <w:pPr>
              <w:rPr>
                <w:rStyle w:val="AERtextbold"/>
              </w:rPr>
            </w:pPr>
            <w:r w:rsidRPr="00225084">
              <w:rPr>
                <w:rStyle w:val="AERtextbold"/>
              </w:rPr>
              <w:t>Comments</w:t>
            </w:r>
          </w:p>
        </w:tc>
      </w:tr>
      <w:tr w:rsidR="00225084" w:rsidTr="00EF252E">
        <w:tc>
          <w:tcPr>
            <w:tcW w:w="1741" w:type="dxa"/>
          </w:tcPr>
          <w:p w:rsidR="00225084" w:rsidRDefault="00225084" w:rsidP="00225084">
            <w:r>
              <w:t xml:space="preserve">Assessment approach </w:t>
            </w:r>
          </w:p>
        </w:tc>
        <w:tc>
          <w:tcPr>
            <w:tcW w:w="2080" w:type="dxa"/>
          </w:tcPr>
          <w:p w:rsidR="00225084" w:rsidRDefault="00225084" w:rsidP="00225084">
            <w:r>
              <w:t>Grid Australia</w:t>
            </w:r>
          </w:p>
        </w:tc>
        <w:tc>
          <w:tcPr>
            <w:tcW w:w="4707" w:type="dxa"/>
          </w:tcPr>
          <w:p w:rsidR="00225084" w:rsidRDefault="00225084" w:rsidP="00EF252E">
            <w:r>
              <w:t>Consider</w:t>
            </w:r>
            <w:r w:rsidR="00EF252E">
              <w:t>ed</w:t>
            </w:r>
            <w:r>
              <w:t xml:space="preserve"> </w:t>
            </w:r>
            <w:r w:rsidR="00EF252E">
              <w:t xml:space="preserve">our </w:t>
            </w:r>
            <w:r w:rsidRPr="00F840CB">
              <w:t xml:space="preserve">proposed approach to the assessment of related party margins </w:t>
            </w:r>
            <w:r w:rsidR="00EF252E">
              <w:t xml:space="preserve">was </w:t>
            </w:r>
            <w:r w:rsidRPr="00F840CB">
              <w:t>reasonable.</w:t>
            </w:r>
            <w:r w:rsidR="00EF252E">
              <w:t xml:space="preserve"> </w:t>
            </w:r>
          </w:p>
        </w:tc>
      </w:tr>
      <w:tr w:rsidR="00225084" w:rsidTr="00EF252E">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tc>
        <w:tc>
          <w:tcPr>
            <w:tcW w:w="2080" w:type="dxa"/>
          </w:tcPr>
          <w:p w:rsidR="00225084" w:rsidRDefault="00225084" w:rsidP="00225084">
            <w:r>
              <w:t>Energex</w:t>
            </w:r>
          </w:p>
        </w:tc>
        <w:tc>
          <w:tcPr>
            <w:tcW w:w="4707" w:type="dxa"/>
          </w:tcPr>
          <w:p w:rsidR="00225084" w:rsidRDefault="00EF252E" w:rsidP="00225084">
            <w:r>
              <w:t>Considered that our approach appeared reasonable.</w:t>
            </w:r>
          </w:p>
        </w:tc>
      </w:tr>
      <w:tr w:rsidR="00225084" w:rsidTr="00EF252E">
        <w:tc>
          <w:tcPr>
            <w:tcW w:w="1741" w:type="dxa"/>
          </w:tcPr>
          <w:p w:rsidR="00225084" w:rsidRDefault="00225084" w:rsidP="00225084">
            <w:r>
              <w:t>"Presumption test"</w:t>
            </w:r>
          </w:p>
        </w:tc>
        <w:tc>
          <w:tcPr>
            <w:tcW w:w="2080" w:type="dxa"/>
          </w:tcPr>
          <w:p w:rsidR="00225084" w:rsidRPr="00865771" w:rsidRDefault="00225084" w:rsidP="00225084">
            <w:r>
              <w:t>MEU</w:t>
            </w:r>
          </w:p>
        </w:tc>
        <w:tc>
          <w:tcPr>
            <w:tcW w:w="4707" w:type="dxa"/>
          </w:tcPr>
          <w:p w:rsidR="00225084" w:rsidRDefault="00EF252E" w:rsidP="009076CA">
            <w:r>
              <w:t xml:space="preserve">Did not support our </w:t>
            </w:r>
            <w:r w:rsidR="00225084" w:rsidRPr="00AB5AB3">
              <w:t>approach to assessing related party</w:t>
            </w:r>
            <w:r w:rsidR="00225084">
              <w:t xml:space="preserve"> </w:t>
            </w:r>
            <w:r w:rsidR="00225084" w:rsidRPr="00AB5AB3">
              <w:t>margins (</w:t>
            </w:r>
            <w:r>
              <w:t xml:space="preserve">questioned whether </w:t>
            </w:r>
            <w:r w:rsidR="00225084" w:rsidRPr="00AB5AB3">
              <w:t>the “presumption tes</w:t>
            </w:r>
            <w:r w:rsidR="00225084">
              <w:t>t”</w:t>
            </w:r>
            <w:r>
              <w:t xml:space="preserve"> was</w:t>
            </w:r>
            <w:r w:rsidR="00225084">
              <w:t xml:space="preserve"> </w:t>
            </w:r>
            <w:r w:rsidR="00225084" w:rsidRPr="00AB5AB3">
              <w:t>sufficient)</w:t>
            </w:r>
            <w:r w:rsidR="00225084">
              <w:t xml:space="preserve">. </w:t>
            </w:r>
            <w:r>
              <w:t>Suggested that</w:t>
            </w:r>
            <w:r w:rsidR="00225084" w:rsidRPr="00AB5AB3">
              <w:t xml:space="preserve"> the </w:t>
            </w:r>
            <w:r w:rsidR="0043387A">
              <w:t>guidelines</w:t>
            </w:r>
            <w:r w:rsidR="00225084" w:rsidRPr="00AB5AB3">
              <w:t xml:space="preserve"> should refer to the testing that is done at</w:t>
            </w:r>
            <w:r w:rsidR="00225084">
              <w:t xml:space="preserve"> </w:t>
            </w:r>
            <w:r w:rsidR="00225084" w:rsidRPr="00AB5AB3">
              <w:t xml:space="preserve">the time of the revenue reset, and that the ex post review </w:t>
            </w:r>
            <w:r w:rsidR="009076CA">
              <w:t>should</w:t>
            </w:r>
            <w:r w:rsidR="00225084" w:rsidRPr="00AB5AB3">
              <w:t xml:space="preserve"> follow the same</w:t>
            </w:r>
            <w:r w:rsidR="00225084">
              <w:t xml:space="preserve"> </w:t>
            </w:r>
            <w:r w:rsidR="00225084" w:rsidRPr="00AB5AB3">
              <w:t>principles as were used during the reset process.</w:t>
            </w:r>
          </w:p>
        </w:tc>
      </w:tr>
      <w:tr w:rsidR="00225084" w:rsidTr="00EF252E">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r>
              <w:t>Clarity on approach</w:t>
            </w:r>
          </w:p>
        </w:tc>
        <w:tc>
          <w:tcPr>
            <w:tcW w:w="2080" w:type="dxa"/>
          </w:tcPr>
          <w:p w:rsidR="00225084" w:rsidRDefault="00225084" w:rsidP="00EF252E">
            <w:r>
              <w:t>Cit</w:t>
            </w:r>
            <w:r w:rsidR="00EF252E">
              <w:t xml:space="preserve">iPower, </w:t>
            </w:r>
            <w:r>
              <w:t xml:space="preserve">Powercor </w:t>
            </w:r>
            <w:r w:rsidR="00EF252E">
              <w:t xml:space="preserve">and </w:t>
            </w:r>
            <w:r>
              <w:t>SA Power</w:t>
            </w:r>
          </w:p>
        </w:tc>
        <w:tc>
          <w:tcPr>
            <w:tcW w:w="4707" w:type="dxa"/>
          </w:tcPr>
          <w:p w:rsidR="00225084" w:rsidRDefault="009A0BE8" w:rsidP="009A0BE8">
            <w:r>
              <w:t>Requested that w</w:t>
            </w:r>
            <w:r w:rsidR="00225084">
              <w:t xml:space="preserve">e set out a flow diagram on our </w:t>
            </w:r>
            <w:r w:rsidR="009076CA">
              <w:t xml:space="preserve">ex post </w:t>
            </w:r>
            <w:r w:rsidR="00225084">
              <w:t xml:space="preserve">assessment of </w:t>
            </w:r>
            <w:r w:rsidR="009076CA">
              <w:t xml:space="preserve">related party </w:t>
            </w:r>
            <w:r w:rsidR="00225084">
              <w:t>margin</w:t>
            </w:r>
            <w:r w:rsidR="009076CA">
              <w:t>s.</w:t>
            </w:r>
            <w:r w:rsidR="00225084">
              <w:t xml:space="preserve"> </w:t>
            </w:r>
          </w:p>
        </w:tc>
      </w:tr>
      <w:tr w:rsidR="00225084" w:rsidTr="00EF252E">
        <w:tc>
          <w:tcPr>
            <w:tcW w:w="1741" w:type="dxa"/>
          </w:tcPr>
          <w:p w:rsidR="00225084" w:rsidRDefault="00225084" w:rsidP="00225084"/>
        </w:tc>
        <w:tc>
          <w:tcPr>
            <w:tcW w:w="2080" w:type="dxa"/>
          </w:tcPr>
          <w:p w:rsidR="00225084" w:rsidRDefault="00225084" w:rsidP="00225084">
            <w:r>
              <w:t>Energex</w:t>
            </w:r>
          </w:p>
        </w:tc>
        <w:tc>
          <w:tcPr>
            <w:tcW w:w="4707" w:type="dxa"/>
          </w:tcPr>
          <w:p w:rsidR="00225084" w:rsidRDefault="00225084" w:rsidP="009A0BE8">
            <w:r>
              <w:t>Request</w:t>
            </w:r>
            <w:r w:rsidR="009A0BE8">
              <w:t>ed</w:t>
            </w:r>
            <w:r>
              <w:t xml:space="preserve"> guidance on how </w:t>
            </w:r>
            <w:r w:rsidR="009A0BE8">
              <w:t>we</w:t>
            </w:r>
            <w:r>
              <w:t xml:space="preserve"> will adjust the RAB when </w:t>
            </w:r>
            <w:r w:rsidR="009A0BE8">
              <w:t>we disallow</w:t>
            </w:r>
            <w:r>
              <w:t xml:space="preserve"> expenditure (specific assets or classes which have already been added to the RAB and rolled forward)</w:t>
            </w:r>
            <w:r w:rsidR="009A0BE8">
              <w:t>.</w:t>
            </w:r>
          </w:p>
        </w:tc>
      </w:tr>
      <w:tr w:rsidR="00225084" w:rsidTr="00EF252E">
        <w:trPr>
          <w:cnfStyle w:val="000000010000" w:firstRow="0" w:lastRow="0" w:firstColumn="0" w:lastColumn="0" w:oddVBand="0" w:evenVBand="0" w:oddHBand="0" w:evenHBand="1" w:firstRowFirstColumn="0" w:firstRowLastColumn="0" w:lastRowFirstColumn="0" w:lastRowLastColumn="0"/>
        </w:trPr>
        <w:tc>
          <w:tcPr>
            <w:tcW w:w="1741" w:type="dxa"/>
          </w:tcPr>
          <w:p w:rsidR="00225084" w:rsidRDefault="00225084" w:rsidP="00225084">
            <w:r>
              <w:t>CESS interactions</w:t>
            </w:r>
          </w:p>
        </w:tc>
        <w:tc>
          <w:tcPr>
            <w:tcW w:w="2080" w:type="dxa"/>
          </w:tcPr>
          <w:p w:rsidR="00225084" w:rsidRDefault="00225084" w:rsidP="00225084">
            <w:r>
              <w:t>ENA</w:t>
            </w:r>
          </w:p>
        </w:tc>
        <w:tc>
          <w:tcPr>
            <w:tcW w:w="4707" w:type="dxa"/>
          </w:tcPr>
          <w:p w:rsidR="00225084" w:rsidRDefault="009A0BE8" w:rsidP="009A0BE8">
            <w:r>
              <w:t xml:space="preserve">Requested we </w:t>
            </w:r>
            <w:r w:rsidR="00225084">
              <w:t xml:space="preserve">set out how capex excluded from the RAB </w:t>
            </w:r>
            <w:r>
              <w:t xml:space="preserve">is also removed from the CESS. </w:t>
            </w:r>
          </w:p>
        </w:tc>
      </w:tr>
      <w:tr w:rsidR="00225084" w:rsidTr="00EF252E">
        <w:tc>
          <w:tcPr>
            <w:tcW w:w="1741" w:type="dxa"/>
          </w:tcPr>
          <w:p w:rsidR="00225084" w:rsidRDefault="00225084" w:rsidP="00225084">
            <w:r>
              <w:t>Asymmetric CESS incentives</w:t>
            </w:r>
          </w:p>
        </w:tc>
        <w:tc>
          <w:tcPr>
            <w:tcW w:w="2080" w:type="dxa"/>
          </w:tcPr>
          <w:p w:rsidR="00225084" w:rsidRDefault="00225084" w:rsidP="00225084">
            <w:r>
              <w:t>PIAC</w:t>
            </w:r>
          </w:p>
        </w:tc>
        <w:tc>
          <w:tcPr>
            <w:tcW w:w="4707" w:type="dxa"/>
          </w:tcPr>
          <w:p w:rsidR="00225084" w:rsidRDefault="009A0BE8" w:rsidP="009A0BE8">
            <w:r>
              <w:t>Considered</w:t>
            </w:r>
            <w:r w:rsidR="00225084">
              <w:t xml:space="preserve"> </w:t>
            </w:r>
            <w:r w:rsidR="009076CA">
              <w:t xml:space="preserve">that </w:t>
            </w:r>
            <w:r w:rsidR="00225084">
              <w:t>a high asymmetric pena</w:t>
            </w:r>
            <w:r w:rsidR="009076CA">
              <w:t>lty on capex overspends may</w:t>
            </w:r>
            <w:r w:rsidR="00225084">
              <w:t xml:space="preserve"> help discourage the inf</w:t>
            </w:r>
            <w:r>
              <w:t>lation of related party margins.</w:t>
            </w:r>
          </w:p>
        </w:tc>
      </w:tr>
    </w:tbl>
    <w:p w:rsidR="001C33E7" w:rsidRDefault="001C33E7" w:rsidP="008A617F">
      <w:pPr>
        <w:pStyle w:val="AERbodytext"/>
        <w:numPr>
          <w:ilvl w:val="0"/>
          <w:numId w:val="13"/>
        </w:numPr>
      </w:pPr>
    </w:p>
    <w:p w:rsidR="001C33E7" w:rsidRDefault="001C33E7">
      <w:pPr>
        <w:spacing w:after="0" w:line="240" w:lineRule="auto"/>
        <w:jc w:val="left"/>
        <w:rPr>
          <w:rFonts w:eastAsia="Times New Roman"/>
          <w:szCs w:val="24"/>
        </w:rPr>
      </w:pPr>
      <w:r>
        <w:br w:type="page"/>
      </w:r>
    </w:p>
    <w:p w:rsidR="001C33E7" w:rsidRPr="005C46D0" w:rsidRDefault="001C33E7" w:rsidP="001C33E7">
      <w:pPr>
        <w:pStyle w:val="Caption"/>
      </w:pPr>
      <w:r>
        <w:t>Table D.6</w:t>
      </w:r>
      <w:r>
        <w:tab/>
        <w:t xml:space="preserve">Consumer Reference Group </w:t>
      </w:r>
      <w:r w:rsidR="006D050E">
        <w:t xml:space="preserve">verbal </w:t>
      </w:r>
      <w:r>
        <w:t>input</w:t>
      </w:r>
    </w:p>
    <w:tbl>
      <w:tblPr>
        <w:tblStyle w:val="AERtable-text"/>
        <w:tblW w:w="9322" w:type="dxa"/>
        <w:tblLook w:val="0020" w:firstRow="1" w:lastRow="0" w:firstColumn="0" w:lastColumn="0" w:noHBand="0" w:noVBand="0"/>
      </w:tblPr>
      <w:tblGrid>
        <w:gridCol w:w="5495"/>
        <w:gridCol w:w="3827"/>
      </w:tblGrid>
      <w:tr w:rsidR="004D14CD" w:rsidRPr="001A27ED" w:rsidTr="004D14CD">
        <w:trPr>
          <w:cnfStyle w:val="100000000000" w:firstRow="1" w:lastRow="0" w:firstColumn="0" w:lastColumn="0" w:oddVBand="0" w:evenVBand="0" w:oddHBand="0" w:evenHBand="0" w:firstRowFirstColumn="0" w:firstRowLastColumn="0" w:lastRowFirstColumn="0" w:lastRowLastColumn="0"/>
        </w:trPr>
        <w:tc>
          <w:tcPr>
            <w:tcW w:w="5495" w:type="dxa"/>
          </w:tcPr>
          <w:p w:rsidR="004D14CD" w:rsidRPr="004D14CD" w:rsidRDefault="004D14CD" w:rsidP="004D14CD">
            <w:pPr>
              <w:pStyle w:val="AERtabletextleft"/>
              <w:rPr>
                <w:rStyle w:val="AERtextbold"/>
              </w:rPr>
            </w:pPr>
            <w:r>
              <w:rPr>
                <w:rStyle w:val="AERtextbold"/>
              </w:rPr>
              <w:t>Summary of issues raised</w:t>
            </w:r>
          </w:p>
        </w:tc>
        <w:tc>
          <w:tcPr>
            <w:tcW w:w="3827" w:type="dxa"/>
          </w:tcPr>
          <w:p w:rsidR="004D14CD" w:rsidRPr="001C33E7" w:rsidRDefault="00113F7C" w:rsidP="000C6471">
            <w:pPr>
              <w:pStyle w:val="AERtabletextleft"/>
              <w:rPr>
                <w:rStyle w:val="AERtextbold"/>
              </w:rPr>
            </w:pPr>
            <w:r>
              <w:rPr>
                <w:rStyle w:val="AERtextbold"/>
              </w:rPr>
              <w:t>AER response</w:t>
            </w:r>
          </w:p>
        </w:tc>
      </w:tr>
      <w:tr w:rsidR="004D14CD" w:rsidTr="004D14CD">
        <w:tc>
          <w:tcPr>
            <w:tcW w:w="5495" w:type="dxa"/>
          </w:tcPr>
          <w:p w:rsidR="004D14CD" w:rsidRDefault="00113F7C" w:rsidP="004D14CD">
            <w:pPr>
              <w:pStyle w:val="AERtabletextleft"/>
            </w:pPr>
            <w:r>
              <w:t>T</w:t>
            </w:r>
            <w:r w:rsidR="004D14CD" w:rsidRPr="004D14CD">
              <w:t xml:space="preserve">he incentives for NSPs to stop overspending on capex are insufficient. In a competitive market, a business must absorb the entire overspend whereas under the current framework NSPs can pass on a proportion of </w:t>
            </w:r>
            <w:proofErr w:type="gramStart"/>
            <w:r w:rsidR="004D14CD" w:rsidRPr="004D14CD">
              <w:t>their overspend</w:t>
            </w:r>
            <w:proofErr w:type="gramEnd"/>
            <w:r w:rsidR="004D14CD" w:rsidRPr="004D14CD">
              <w:t xml:space="preserve"> to their customers.</w:t>
            </w:r>
          </w:p>
        </w:tc>
        <w:tc>
          <w:tcPr>
            <w:tcW w:w="3827" w:type="dxa"/>
          </w:tcPr>
          <w:p w:rsidR="004D14CD" w:rsidRPr="001C33E7" w:rsidRDefault="000C6471" w:rsidP="000C6471">
            <w:pPr>
              <w:pStyle w:val="AERtabletextleft"/>
            </w:pPr>
            <w:r>
              <w:t>Under our proposed guidelines NSPs will lose between 30 per cent and 100 per cent of any overspend. Customers should not bear any of the costs of an inefficient overspend.</w:t>
            </w:r>
          </w:p>
        </w:tc>
      </w:tr>
      <w:tr w:rsidR="004D14CD" w:rsidTr="004D14CD">
        <w:trPr>
          <w:cnfStyle w:val="000000010000" w:firstRow="0" w:lastRow="0" w:firstColumn="0" w:lastColumn="0" w:oddVBand="0" w:evenVBand="0" w:oddHBand="0" w:evenHBand="1" w:firstRowFirstColumn="0" w:firstRowLastColumn="0" w:lastRowFirstColumn="0" w:lastRowLastColumn="0"/>
        </w:trPr>
        <w:tc>
          <w:tcPr>
            <w:tcW w:w="5495" w:type="dxa"/>
          </w:tcPr>
          <w:p w:rsidR="004D14CD" w:rsidRDefault="00113F7C" w:rsidP="004D14CD">
            <w:pPr>
              <w:pStyle w:val="AERtabletextleft"/>
            </w:pPr>
            <w:r>
              <w:t>Requested</w:t>
            </w:r>
            <w:r w:rsidRPr="00113F7C">
              <w:t xml:space="preserve"> the AER to address the issue that the difference between actual and forecast WACC may affect capex incentives.</w:t>
            </w:r>
            <w:r>
              <w:t xml:space="preserve"> </w:t>
            </w:r>
            <w:r w:rsidR="004D14CD">
              <w:t>Suggested</w:t>
            </w:r>
            <w:r w:rsidR="004D14CD" w:rsidRPr="004D14CD">
              <w:t xml:space="preserve"> that the AER should model the incentives under a range of WACCs. </w:t>
            </w:r>
          </w:p>
        </w:tc>
        <w:tc>
          <w:tcPr>
            <w:tcW w:w="3827" w:type="dxa"/>
          </w:tcPr>
          <w:p w:rsidR="004D14CD" w:rsidRPr="001C33E7" w:rsidRDefault="000C6471" w:rsidP="000C6471">
            <w:pPr>
              <w:pStyle w:val="AERtabletextleft"/>
            </w:pPr>
            <w:r>
              <w:t>Differences between a NSP's real and regulated WACC can change its incentives. However, without knowing what this difference is it is difficult to use this to inform the design of the CESS.</w:t>
            </w:r>
          </w:p>
        </w:tc>
      </w:tr>
      <w:tr w:rsidR="004D14CD" w:rsidTr="004D14CD">
        <w:tc>
          <w:tcPr>
            <w:tcW w:w="5495" w:type="dxa"/>
          </w:tcPr>
          <w:p w:rsidR="004D14CD" w:rsidRDefault="004D14CD" w:rsidP="004D14CD">
            <w:pPr>
              <w:pStyle w:val="AERtabletextleft"/>
            </w:pPr>
            <w:r>
              <w:t>N</w:t>
            </w:r>
            <w:r w:rsidRPr="004D14CD">
              <w:t>oted that some jurisdictions have seen significant price increases. While the ex post review might assist in addressing this, price increases seem to be driven by high service standards and redundancy rates.</w:t>
            </w:r>
          </w:p>
        </w:tc>
        <w:tc>
          <w:tcPr>
            <w:tcW w:w="3827" w:type="dxa"/>
          </w:tcPr>
          <w:p w:rsidR="004D14CD" w:rsidRPr="001C33E7" w:rsidRDefault="00977E5F" w:rsidP="00977E5F">
            <w:pPr>
              <w:pStyle w:val="AERtabletextleft"/>
            </w:pPr>
            <w:r>
              <w:t xml:space="preserve">Capex overspends can be driven by different factors. </w:t>
            </w:r>
            <w:r w:rsidR="000C6471">
              <w:t>We will review the reasons for any overspend through the ex post review.</w:t>
            </w:r>
          </w:p>
        </w:tc>
      </w:tr>
      <w:tr w:rsidR="004D14CD" w:rsidTr="004D14CD">
        <w:trPr>
          <w:cnfStyle w:val="000000010000" w:firstRow="0" w:lastRow="0" w:firstColumn="0" w:lastColumn="0" w:oddVBand="0" w:evenVBand="0" w:oddHBand="0" w:evenHBand="1" w:firstRowFirstColumn="0" w:firstRowLastColumn="0" w:lastRowFirstColumn="0" w:lastRowLastColumn="0"/>
        </w:trPr>
        <w:tc>
          <w:tcPr>
            <w:tcW w:w="5495" w:type="dxa"/>
          </w:tcPr>
          <w:p w:rsidR="004D14CD" w:rsidRPr="004D14CD" w:rsidRDefault="004D14CD" w:rsidP="004D14CD">
            <w:pPr>
              <w:pStyle w:val="AERtabletextleft"/>
            </w:pPr>
            <w:r>
              <w:t>N</w:t>
            </w:r>
            <w:r w:rsidRPr="004D14CD">
              <w:t xml:space="preserve">oted the incentives faced by government businesses are different to those of privately owned businesses. </w:t>
            </w:r>
            <w:r w:rsidR="00113F7C">
              <w:t xml:space="preserve">Also suggested that government owned NSPs have a lower actual WACC. </w:t>
            </w:r>
            <w:r w:rsidRPr="004D14CD">
              <w:t>Suggested that the AER should consider this in the design of its incentive schemes and it may require multiple schemes (or varying powered schemes).</w:t>
            </w:r>
          </w:p>
        </w:tc>
        <w:tc>
          <w:tcPr>
            <w:tcW w:w="3827" w:type="dxa"/>
          </w:tcPr>
          <w:p w:rsidR="004D14CD" w:rsidRDefault="006D050E" w:rsidP="000C6471">
            <w:pPr>
              <w:pStyle w:val="AERtabletextleft"/>
            </w:pPr>
            <w:r>
              <w:t>This is discussed in section 2.3.4.</w:t>
            </w:r>
          </w:p>
        </w:tc>
      </w:tr>
      <w:tr w:rsidR="004D14CD" w:rsidTr="004D14CD">
        <w:tc>
          <w:tcPr>
            <w:tcW w:w="5495" w:type="dxa"/>
          </w:tcPr>
          <w:p w:rsidR="004D14CD" w:rsidRDefault="004D14CD" w:rsidP="00113F7C">
            <w:pPr>
              <w:pStyle w:val="AERtabletextleft"/>
            </w:pPr>
            <w:r>
              <w:t>Q</w:t>
            </w:r>
            <w:r w:rsidRPr="004D14CD">
              <w:t>uestioned why any overspend should be rolled into the RAB. Stated that efficient capex should already be planned for or accepted through other avenues (contingent projects, pass throughs).</w:t>
            </w:r>
            <w:r w:rsidR="00113F7C" w:rsidRPr="004D14CD">
              <w:t xml:space="preserve"> Suggested that the WACC be lowered if NSPs can recover overspends.</w:t>
            </w:r>
          </w:p>
        </w:tc>
        <w:tc>
          <w:tcPr>
            <w:tcW w:w="3827" w:type="dxa"/>
          </w:tcPr>
          <w:p w:rsidR="004D14CD" w:rsidRDefault="00977E5F" w:rsidP="0078725D">
            <w:pPr>
              <w:pStyle w:val="AERtabletextleft"/>
            </w:pPr>
            <w:r>
              <w:t xml:space="preserve">If a NSP overspends it will lose 30 per cent automatically through the CESS. To the extent that a NSP inefficiently overspends, it </w:t>
            </w:r>
            <w:r w:rsidR="0078725D">
              <w:t>could</w:t>
            </w:r>
            <w:r>
              <w:t xml:space="preserve"> lose 100 per cent of </w:t>
            </w:r>
            <w:proofErr w:type="gramStart"/>
            <w:r>
              <w:t>the overspend</w:t>
            </w:r>
            <w:proofErr w:type="gramEnd"/>
            <w:r>
              <w:t>.</w:t>
            </w:r>
          </w:p>
        </w:tc>
      </w:tr>
      <w:tr w:rsidR="004D14CD" w:rsidTr="004D14CD">
        <w:trPr>
          <w:cnfStyle w:val="000000010000" w:firstRow="0" w:lastRow="0" w:firstColumn="0" w:lastColumn="0" w:oddVBand="0" w:evenVBand="0" w:oddHBand="0" w:evenHBand="1" w:firstRowFirstColumn="0" w:firstRowLastColumn="0" w:lastRowFirstColumn="0" w:lastRowLastColumn="0"/>
        </w:trPr>
        <w:tc>
          <w:tcPr>
            <w:tcW w:w="5495" w:type="dxa"/>
          </w:tcPr>
          <w:p w:rsidR="004D14CD" w:rsidRDefault="00113F7C" w:rsidP="004D14CD">
            <w:pPr>
              <w:pStyle w:val="AERtabletextleft"/>
            </w:pPr>
            <w:r>
              <w:t>T</w:t>
            </w:r>
            <w:r w:rsidR="004D14CD" w:rsidRPr="004D14CD">
              <w:t>here are various incentive schemes and the AER needs to ensure that when applied together, one does not distort the outcomes of another.</w:t>
            </w:r>
          </w:p>
        </w:tc>
        <w:tc>
          <w:tcPr>
            <w:tcW w:w="3827" w:type="dxa"/>
          </w:tcPr>
          <w:p w:rsidR="004D14CD" w:rsidRDefault="00977E5F" w:rsidP="00977E5F">
            <w:pPr>
              <w:pStyle w:val="AERtabletextleft"/>
            </w:pPr>
            <w:r>
              <w:t>We have considered interactions between the various incentive schemes in developing our positions.</w:t>
            </w:r>
          </w:p>
        </w:tc>
      </w:tr>
      <w:tr w:rsidR="004D14CD" w:rsidTr="004D14CD">
        <w:tc>
          <w:tcPr>
            <w:tcW w:w="5495" w:type="dxa"/>
          </w:tcPr>
          <w:p w:rsidR="004D14CD" w:rsidRDefault="004D14CD" w:rsidP="00113F7C">
            <w:pPr>
              <w:pStyle w:val="AERtabletextleft"/>
            </w:pPr>
            <w:r>
              <w:t>A</w:t>
            </w:r>
            <w:r w:rsidRPr="004D14CD">
              <w:t xml:space="preserve">sked whether expenditure that is </w:t>
            </w:r>
            <w:r w:rsidR="00113F7C">
              <w:t>excluded from the RAB but</w:t>
            </w:r>
            <w:r w:rsidRPr="004D14CD">
              <w:t xml:space="preserve"> later considered efficient can</w:t>
            </w:r>
            <w:r>
              <w:t xml:space="preserve"> be included back into the RAB.</w:t>
            </w:r>
          </w:p>
        </w:tc>
        <w:tc>
          <w:tcPr>
            <w:tcW w:w="3827" w:type="dxa"/>
          </w:tcPr>
          <w:p w:rsidR="004D14CD" w:rsidRDefault="00977E5F" w:rsidP="00BA59A3">
            <w:pPr>
              <w:pStyle w:val="AERtabletextleft"/>
            </w:pPr>
            <w:r>
              <w:t xml:space="preserve">This is </w:t>
            </w:r>
            <w:r w:rsidR="00BA59A3">
              <w:t>discu</w:t>
            </w:r>
            <w:r>
              <w:t>ssed in section 4.3.1.</w:t>
            </w:r>
          </w:p>
        </w:tc>
      </w:tr>
      <w:tr w:rsidR="004D14CD" w:rsidTr="004D14CD">
        <w:trPr>
          <w:cnfStyle w:val="000000010000" w:firstRow="0" w:lastRow="0" w:firstColumn="0" w:lastColumn="0" w:oddVBand="0" w:evenVBand="0" w:oddHBand="0" w:evenHBand="1" w:firstRowFirstColumn="0" w:firstRowLastColumn="0" w:lastRowFirstColumn="0" w:lastRowLastColumn="0"/>
        </w:trPr>
        <w:tc>
          <w:tcPr>
            <w:tcW w:w="5495" w:type="dxa"/>
          </w:tcPr>
          <w:p w:rsidR="004D14CD" w:rsidRDefault="004D14CD" w:rsidP="004D14CD">
            <w:pPr>
              <w:pStyle w:val="AERtabletextleft"/>
            </w:pPr>
            <w:r>
              <w:t>S</w:t>
            </w:r>
            <w:r w:rsidRPr="004D14CD">
              <w:t>tated that the CESS should reflect what really happened and that the targets should be changed to reflect exogenous shocks</w:t>
            </w:r>
            <w:r>
              <w:t>.</w:t>
            </w:r>
          </w:p>
        </w:tc>
        <w:tc>
          <w:tcPr>
            <w:tcW w:w="3827" w:type="dxa"/>
          </w:tcPr>
          <w:p w:rsidR="004D14CD" w:rsidRDefault="00977E5F" w:rsidP="000C6471">
            <w:pPr>
              <w:pStyle w:val="AERtabletextleft"/>
            </w:pPr>
            <w:r>
              <w:t>We do not propose to allow for exclusions from the RAB. The reasons for this are discussed in section 2.3.5.</w:t>
            </w:r>
          </w:p>
        </w:tc>
      </w:tr>
      <w:tr w:rsidR="004D14CD" w:rsidTr="004D14CD">
        <w:tc>
          <w:tcPr>
            <w:tcW w:w="5495" w:type="dxa"/>
          </w:tcPr>
          <w:p w:rsidR="004D14CD" w:rsidRDefault="00113F7C" w:rsidP="004D14CD">
            <w:pPr>
              <w:pStyle w:val="AERtabletextleft"/>
            </w:pPr>
            <w:r>
              <w:t>N</w:t>
            </w:r>
            <w:r w:rsidR="004D14CD" w:rsidRPr="004D14CD">
              <w:t>oted concerns about inter and intra period capex shifting.</w:t>
            </w:r>
          </w:p>
        </w:tc>
        <w:tc>
          <w:tcPr>
            <w:tcW w:w="3827" w:type="dxa"/>
          </w:tcPr>
          <w:p w:rsidR="004D14CD" w:rsidRDefault="00977E5F" w:rsidP="000C6471">
            <w:pPr>
              <w:pStyle w:val="AERtabletextleft"/>
            </w:pPr>
            <w:r>
              <w:t>The issue of inter period capex shifting will be assessed as part of our forecasting approach. Intra-period capex shifting has been addressed through our CESS since it provides constant incentives over the regulatory control period.</w:t>
            </w:r>
          </w:p>
        </w:tc>
      </w:tr>
      <w:tr w:rsidR="004D14CD" w:rsidTr="004D14CD">
        <w:trPr>
          <w:cnfStyle w:val="000000010000" w:firstRow="0" w:lastRow="0" w:firstColumn="0" w:lastColumn="0" w:oddVBand="0" w:evenVBand="0" w:oddHBand="0" w:evenHBand="1" w:firstRowFirstColumn="0" w:firstRowLastColumn="0" w:lastRowFirstColumn="0" w:lastRowLastColumn="0"/>
        </w:trPr>
        <w:tc>
          <w:tcPr>
            <w:tcW w:w="5495" w:type="dxa"/>
          </w:tcPr>
          <w:p w:rsidR="004D14CD" w:rsidRDefault="004D14CD" w:rsidP="004D14CD">
            <w:pPr>
              <w:pStyle w:val="AERtabletextleft"/>
            </w:pPr>
            <w:r>
              <w:t>Suggested t</w:t>
            </w:r>
            <w:r w:rsidRPr="004D14CD">
              <w:t>he AER should consider having an incentive that declines across the five year regulatory control period.</w:t>
            </w:r>
          </w:p>
        </w:tc>
        <w:tc>
          <w:tcPr>
            <w:tcW w:w="3827" w:type="dxa"/>
          </w:tcPr>
          <w:p w:rsidR="004D14CD" w:rsidRDefault="00977E5F" w:rsidP="000C6471">
            <w:pPr>
              <w:pStyle w:val="AERtabletextleft"/>
            </w:pPr>
            <w:r>
              <w:t>We have considered this in section 2.3.1.</w:t>
            </w:r>
          </w:p>
        </w:tc>
      </w:tr>
      <w:tr w:rsidR="004D14CD" w:rsidTr="004D14CD">
        <w:tc>
          <w:tcPr>
            <w:tcW w:w="5495" w:type="dxa"/>
          </w:tcPr>
          <w:p w:rsidR="004D14CD" w:rsidRDefault="004D14CD" w:rsidP="004D14CD">
            <w:pPr>
              <w:pStyle w:val="AERtabletextleft"/>
            </w:pPr>
            <w:r w:rsidRPr="00652D05">
              <w:t>Expressed concern around the relationship with demand management incentive scheme to reduce other areas of expenditure.</w:t>
            </w:r>
          </w:p>
        </w:tc>
        <w:tc>
          <w:tcPr>
            <w:tcW w:w="3827" w:type="dxa"/>
          </w:tcPr>
          <w:p w:rsidR="004D14CD" w:rsidRDefault="006D050E" w:rsidP="000C6471">
            <w:pPr>
              <w:pStyle w:val="AERtabletextleft"/>
            </w:pPr>
            <w:r>
              <w:t>We have aimed to provide balanced incentives across opex, capex and service.</w:t>
            </w:r>
          </w:p>
        </w:tc>
      </w:tr>
      <w:tr w:rsidR="004D14CD" w:rsidTr="004D14CD">
        <w:trPr>
          <w:cnfStyle w:val="000000010000" w:firstRow="0" w:lastRow="0" w:firstColumn="0" w:lastColumn="0" w:oddVBand="0" w:evenVBand="0" w:oddHBand="0" w:evenHBand="1" w:firstRowFirstColumn="0" w:firstRowLastColumn="0" w:lastRowFirstColumn="0" w:lastRowLastColumn="0"/>
        </w:trPr>
        <w:tc>
          <w:tcPr>
            <w:tcW w:w="5495" w:type="dxa"/>
          </w:tcPr>
          <w:p w:rsidR="004D14CD" w:rsidRPr="004D14CD" w:rsidRDefault="004D14CD" w:rsidP="004D14CD">
            <w:pPr>
              <w:pStyle w:val="AERtabletextleft"/>
            </w:pPr>
            <w:r>
              <w:t>In regards to a</w:t>
            </w:r>
            <w:r w:rsidRPr="004D14CD">
              <w:t xml:space="preserve"> threshold for the ex post review, noted: </w:t>
            </w:r>
          </w:p>
          <w:p w:rsidR="004D14CD" w:rsidRPr="004D14CD" w:rsidRDefault="004D14CD" w:rsidP="004D14CD">
            <w:pPr>
              <w:pStyle w:val="AERbulletlistfirststyle"/>
            </w:pPr>
            <w:r>
              <w:t>I</w:t>
            </w:r>
            <w:r w:rsidRPr="004D14CD">
              <w:t xml:space="preserve">f the AER does not set a threshold this would be more of an incentive for NSPs to underspend. </w:t>
            </w:r>
          </w:p>
          <w:p w:rsidR="004D14CD" w:rsidRPr="004D14CD" w:rsidRDefault="004D14CD" w:rsidP="004D14CD">
            <w:pPr>
              <w:pStyle w:val="AERbulletlistfirststyle"/>
            </w:pPr>
            <w:r>
              <w:t>I</w:t>
            </w:r>
            <w:r w:rsidRPr="004D14CD">
              <w:t>f the AER does set a trigger, this should just be the allowance.</w:t>
            </w:r>
          </w:p>
          <w:p w:rsidR="004D14CD" w:rsidRPr="004D14CD" w:rsidRDefault="004D14CD" w:rsidP="004D14CD">
            <w:pPr>
              <w:pStyle w:val="AERbulletlistfirststyle"/>
            </w:pPr>
            <w:r>
              <w:t>T</w:t>
            </w:r>
            <w:r w:rsidRPr="004D14CD">
              <w:t>he AER should allow for 'necessary overspend'.</w:t>
            </w:r>
          </w:p>
        </w:tc>
        <w:tc>
          <w:tcPr>
            <w:tcW w:w="3827" w:type="dxa"/>
          </w:tcPr>
          <w:p w:rsidR="004D14CD" w:rsidRDefault="006D050E" w:rsidP="006D050E">
            <w:pPr>
              <w:pStyle w:val="AERtabletextleft"/>
            </w:pPr>
            <w:r>
              <w:t>We have not included a trigger for</w:t>
            </w:r>
            <w:r w:rsidR="00BA59A3">
              <w:t xml:space="preserve"> the ex post review. We propose</w:t>
            </w:r>
            <w:r>
              <w:t xml:space="preserve"> to review each NSP's capex (whether or not the NSP have over or underspent) following the process outlined in the guidelines.</w:t>
            </w:r>
          </w:p>
        </w:tc>
      </w:tr>
    </w:tbl>
    <w:p w:rsidR="00225084" w:rsidRPr="00865771" w:rsidRDefault="00225084" w:rsidP="008A617F">
      <w:pPr>
        <w:pStyle w:val="AERbodytext"/>
        <w:numPr>
          <w:ilvl w:val="0"/>
          <w:numId w:val="13"/>
        </w:numPr>
      </w:pPr>
    </w:p>
    <w:sectPr w:rsidR="00225084" w:rsidRPr="00865771" w:rsidSect="00034DEC">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485" w:rsidRPr="00AB4345" w:rsidRDefault="00CC1485" w:rsidP="00AB4345">
      <w:r>
        <w:separator/>
      </w:r>
    </w:p>
  </w:endnote>
  <w:endnote w:type="continuationSeparator" w:id="0">
    <w:p w:rsidR="00CC1485" w:rsidRPr="00AB4345" w:rsidRDefault="00CC1485"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CC1485" w:rsidRDefault="00CC1485" w:rsidP="00456081">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r w:rsidRPr="00210880">
          <w:rPr>
            <w:rStyle w:val="AERbody"/>
          </w:rPr>
          <w:t xml:space="preserve">Attachment heading </w:t>
        </w:r>
        <w:r>
          <w:rPr>
            <w:rStyle w:val="AERbody"/>
          </w:rPr>
          <w:t>| D</w:t>
        </w:r>
        <w:r w:rsidRPr="00210880">
          <w:rPr>
            <w:rStyle w:val="AERbody"/>
          </w:rPr>
          <w:t>istribution/trans</w:t>
        </w:r>
        <w:r>
          <w:rPr>
            <w:rStyle w:val="AERbody"/>
          </w:rPr>
          <w:t>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485" w:rsidRPr="00210880" w:rsidRDefault="00CC1485"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Explanatory statement</w:t>
    </w:r>
    <w:r>
      <w:rPr>
        <w:rStyle w:val="AERtextblue"/>
      </w:rPr>
      <w:t xml:space="preserve"> | Draft Capital Expenditure Incentive Guidelines</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0F43BD">
      <w:rPr>
        <w:rStyle w:val="AERbody"/>
        <w:noProof/>
      </w:rPr>
      <w:t>5</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485" w:rsidRPr="00AB4345" w:rsidRDefault="00CC1485" w:rsidP="00AB4345">
      <w:r>
        <w:separator/>
      </w:r>
    </w:p>
  </w:footnote>
  <w:footnote w:type="continuationSeparator" w:id="0">
    <w:p w:rsidR="00CC1485" w:rsidRPr="00AB4345" w:rsidRDefault="00CC1485" w:rsidP="00AB4345">
      <w:r>
        <w:continuationSeparator/>
      </w:r>
    </w:p>
  </w:footnote>
  <w:footnote w:id="1">
    <w:p w:rsidR="00CC1485" w:rsidRDefault="00CC1485" w:rsidP="0091127A">
      <w:pPr>
        <w:pStyle w:val="FootnoteText"/>
      </w:pPr>
      <w:r w:rsidRPr="00512EDA">
        <w:rPr>
          <w:rStyle w:val="FootnoteReference"/>
        </w:rPr>
        <w:footnoteRef/>
      </w:r>
      <w:r w:rsidRPr="00512EDA">
        <w:t xml:space="preserve"> </w:t>
      </w:r>
      <w:r w:rsidRPr="00512EDA">
        <w:tab/>
        <w:t xml:space="preserve">Further details on the consultation processes and other </w:t>
      </w:r>
      <w:r>
        <w:t>guidelines are</w:t>
      </w:r>
      <w:r w:rsidRPr="00512EDA">
        <w:t xml:space="preserve"> available at </w:t>
      </w:r>
      <w:hyperlink r:id="rId1" w:history="1">
        <w:r w:rsidRPr="00512EDA">
          <w:rPr>
            <w:rStyle w:val="Hyperlink"/>
          </w:rPr>
          <w:t>http://www.aer.gov.au/node/18824</w:t>
        </w:r>
      </w:hyperlink>
      <w:r w:rsidRPr="00512EDA">
        <w:t>.</w:t>
      </w:r>
    </w:p>
    <w:p w:rsidR="00CC1485" w:rsidRDefault="00CC1485" w:rsidP="001F55BB">
      <w:pPr>
        <w:pStyle w:val="FootnoteText"/>
        <w:ind w:left="0" w:firstLine="0"/>
      </w:pPr>
    </w:p>
  </w:footnote>
  <w:footnote w:id="2">
    <w:p w:rsidR="00CC1485" w:rsidRDefault="00CC1485">
      <w:pPr>
        <w:pStyle w:val="FootnoteText"/>
      </w:pPr>
      <w:r>
        <w:rPr>
          <w:rStyle w:val="FootnoteReference"/>
        </w:rPr>
        <w:footnoteRef/>
      </w:r>
      <w:r>
        <w:t xml:space="preserve"> </w:t>
      </w:r>
      <w:r>
        <w:tab/>
        <w:t xml:space="preserve">AER, </w:t>
      </w:r>
      <w:r>
        <w:rPr>
          <w:rStyle w:val="AERtextitalic"/>
        </w:rPr>
        <w:t>Electricity Distribution Network Service Providers - Service Target Performance Incentive Scheme,</w:t>
      </w:r>
      <w:r w:rsidRPr="00F12245">
        <w:t xml:space="preserve"> </w:t>
      </w:r>
      <w:r>
        <w:t>June 2008, p. 22.</w:t>
      </w:r>
    </w:p>
  </w:footnote>
  <w:footnote w:id="3">
    <w:p w:rsidR="00CC1485" w:rsidRDefault="00CC1485" w:rsidP="0046030B">
      <w:pPr>
        <w:pStyle w:val="FootnoteText"/>
      </w:pPr>
      <w:r>
        <w:rPr>
          <w:rStyle w:val="FootnoteReference"/>
        </w:rPr>
        <w:footnoteRef/>
      </w:r>
      <w:r>
        <w:t xml:space="preserve"> </w:t>
      </w:r>
      <w:r>
        <w:tab/>
        <w:t xml:space="preserve">AER, </w:t>
      </w:r>
      <w:r w:rsidRPr="007528AA">
        <w:rPr>
          <w:rStyle w:val="AERtextitalic"/>
        </w:rPr>
        <w:t xml:space="preserve">Better </w:t>
      </w:r>
      <w:r>
        <w:rPr>
          <w:rStyle w:val="AERtextitalic"/>
        </w:rPr>
        <w:t>r</w:t>
      </w:r>
      <w:r w:rsidRPr="007528AA">
        <w:rPr>
          <w:rStyle w:val="AERtextitalic"/>
        </w:rPr>
        <w:t xml:space="preserve">egulation </w:t>
      </w:r>
      <w:r>
        <w:rPr>
          <w:rStyle w:val="AERtextitalic"/>
        </w:rPr>
        <w:t>i</w:t>
      </w:r>
      <w:r w:rsidRPr="007528AA">
        <w:rPr>
          <w:rStyle w:val="AERtextitalic"/>
        </w:rPr>
        <w:t xml:space="preserve">ssues </w:t>
      </w:r>
      <w:r>
        <w:rPr>
          <w:rStyle w:val="AERtextitalic"/>
        </w:rPr>
        <w:t>p</w:t>
      </w:r>
      <w:r w:rsidRPr="007528AA">
        <w:rPr>
          <w:rStyle w:val="AERtextitalic"/>
        </w:rPr>
        <w:t>aper</w:t>
      </w:r>
      <w:r>
        <w:rPr>
          <w:rStyle w:val="AERtextitalic"/>
        </w:rPr>
        <w:t xml:space="preserve">, </w:t>
      </w:r>
      <w:r w:rsidRPr="00603EA5">
        <w:rPr>
          <w:rStyle w:val="AERtextitalic"/>
          <w:i w:val="0"/>
        </w:rPr>
        <w:t>10 December 2012</w:t>
      </w:r>
      <w:r w:rsidRPr="00F715CB">
        <w:rPr>
          <w:rStyle w:val="AERtextitalic"/>
        </w:rPr>
        <w:t>.</w:t>
      </w:r>
    </w:p>
  </w:footnote>
  <w:footnote w:id="4">
    <w:p w:rsidR="00CC1485" w:rsidRDefault="00CC1485">
      <w:pPr>
        <w:pStyle w:val="FootnoteText"/>
      </w:pPr>
      <w:r>
        <w:rPr>
          <w:rStyle w:val="FootnoteReference"/>
        </w:rPr>
        <w:footnoteRef/>
      </w:r>
      <w:r>
        <w:t xml:space="preserve"> </w:t>
      </w:r>
      <w:r>
        <w:tab/>
        <w:t xml:space="preserve">AER, </w:t>
      </w:r>
      <w:r>
        <w:rPr>
          <w:rStyle w:val="AERtextitalic"/>
        </w:rPr>
        <w:t>Issues paper:</w:t>
      </w:r>
      <w:r w:rsidRPr="00F6159E">
        <w:rPr>
          <w:rStyle w:val="AERtextitalic"/>
        </w:rPr>
        <w:t xml:space="preserve"> Expenditure incentives guidelines for elect</w:t>
      </w:r>
      <w:r>
        <w:rPr>
          <w:rStyle w:val="AERtextitalic"/>
        </w:rPr>
        <w:t>ricity network service providers</w:t>
      </w:r>
      <w:r>
        <w:t xml:space="preserve">, March 2013. Our Issues Paper is available on our website: </w:t>
      </w:r>
      <w:hyperlink r:id="rId2" w:history="1">
        <w:r w:rsidRPr="00CB170C">
          <w:rPr>
            <w:rStyle w:val="Hyperlink"/>
          </w:rPr>
          <w:t>http://www.aer.gov.au/node/18869</w:t>
        </w:r>
      </w:hyperlink>
      <w:r>
        <w:rPr>
          <w:rStyle w:val="Hyperlink"/>
        </w:rPr>
        <w:t>.</w:t>
      </w:r>
    </w:p>
  </w:footnote>
  <w:footnote w:id="5">
    <w:p w:rsidR="00CC1485" w:rsidRDefault="00CC1485" w:rsidP="00F6159E">
      <w:pPr>
        <w:pStyle w:val="FootnoteText"/>
      </w:pPr>
      <w:r>
        <w:rPr>
          <w:rStyle w:val="FootnoteReference"/>
        </w:rPr>
        <w:footnoteRef/>
      </w:r>
      <w:r>
        <w:t xml:space="preserve"> </w:t>
      </w:r>
      <w:r>
        <w:tab/>
        <w:t xml:space="preserve">For more on the building block approach, see AER, </w:t>
      </w:r>
      <w:r>
        <w:rPr>
          <w:rStyle w:val="AERtextitalic"/>
        </w:rPr>
        <w:t>Issues paper:</w:t>
      </w:r>
      <w:r w:rsidRPr="00F6159E">
        <w:rPr>
          <w:rStyle w:val="AERtextitalic"/>
        </w:rPr>
        <w:t xml:space="preserve"> Expenditure incentives guidelines for elect</w:t>
      </w:r>
      <w:r>
        <w:rPr>
          <w:rStyle w:val="AERtextitalic"/>
        </w:rPr>
        <w:t>ricity network service providers</w:t>
      </w:r>
      <w:r>
        <w:t>, March 2013, p. 4.</w:t>
      </w:r>
    </w:p>
  </w:footnote>
  <w:footnote w:id="6">
    <w:p w:rsidR="00CC1485" w:rsidRDefault="00CC1485">
      <w:pPr>
        <w:pStyle w:val="FootnoteText"/>
      </w:pPr>
      <w:r>
        <w:rPr>
          <w:rStyle w:val="FootnoteReference"/>
        </w:rPr>
        <w:footnoteRef/>
      </w:r>
      <w:r>
        <w:t xml:space="preserve"> </w:t>
      </w:r>
      <w:r>
        <w:tab/>
      </w:r>
      <w:proofErr w:type="gramStart"/>
      <w:r>
        <w:t>Either forecast or actual depreciation, as discussed in chapter 3.</w:t>
      </w:r>
      <w:proofErr w:type="gramEnd"/>
    </w:p>
  </w:footnote>
  <w:footnote w:id="7">
    <w:p w:rsidR="00CC1485" w:rsidRDefault="00CC1485">
      <w:pPr>
        <w:pStyle w:val="FootnoteText"/>
      </w:pPr>
      <w:r>
        <w:rPr>
          <w:rStyle w:val="FootnoteReference"/>
        </w:rPr>
        <w:footnoteRef/>
      </w:r>
      <w:r>
        <w:t xml:space="preserve"> </w:t>
      </w:r>
      <w:r>
        <w:tab/>
        <w:t>It will also depend on whether actual or forecast depreciation is used to roll forward the RAB. Where actual depreciation is used, the power of the incentive will also be different for assets of different asset lives.</w:t>
      </w:r>
    </w:p>
  </w:footnote>
  <w:footnote w:id="8">
    <w:p w:rsidR="00CC1485" w:rsidRDefault="00CC1485">
      <w:pPr>
        <w:pStyle w:val="FootnoteText"/>
      </w:pPr>
      <w:r>
        <w:rPr>
          <w:rStyle w:val="FootnoteReference"/>
        </w:rPr>
        <w:footnoteRef/>
      </w:r>
      <w:r>
        <w:t xml:space="preserve"> </w:t>
      </w:r>
      <w:r>
        <w:tab/>
        <w:t xml:space="preserve">For more on the rule change process, see: </w:t>
      </w:r>
      <w:hyperlink r:id="rId3" w:history="1">
        <w:r w:rsidRPr="00CB170C">
          <w:rPr>
            <w:rStyle w:val="Hyperlink"/>
          </w:rPr>
          <w:t>http://aemc.gov.au/Electricity/Rule-changes/Completed/economic-regulation-of-network-service-providers-.html</w:t>
        </w:r>
      </w:hyperlink>
      <w:r>
        <w:t xml:space="preserve"> </w:t>
      </w:r>
    </w:p>
  </w:footnote>
  <w:footnote w:id="9">
    <w:p w:rsidR="00CC1485" w:rsidRDefault="00CC1485" w:rsidP="00E02055">
      <w:pPr>
        <w:pStyle w:val="FootnoteText"/>
      </w:pPr>
      <w:r>
        <w:rPr>
          <w:rStyle w:val="FootnoteReference"/>
        </w:rPr>
        <w:footnoteRef/>
      </w:r>
      <w:r>
        <w:t xml:space="preserve"> </w:t>
      </w:r>
      <w:r>
        <w:tab/>
      </w:r>
      <w:r w:rsidRPr="00E02055">
        <w:t>AEMC</w:t>
      </w:r>
      <w:r>
        <w:t>,</w:t>
      </w:r>
      <w:r w:rsidRPr="00E02055">
        <w:t xml:space="preserve"> </w:t>
      </w:r>
      <w:r w:rsidRPr="00F6159E">
        <w:rPr>
          <w:rStyle w:val="AERtextitalic"/>
        </w:rPr>
        <w:t>Final Position Paper</w:t>
      </w:r>
      <w:r>
        <w:rPr>
          <w:rStyle w:val="AERtextitalic"/>
        </w:rPr>
        <w:t>:</w:t>
      </w:r>
      <w:r w:rsidRPr="00F6159E">
        <w:rPr>
          <w:rStyle w:val="AERtextitalic"/>
        </w:rPr>
        <w:t xml:space="preserve"> </w:t>
      </w:r>
      <w:r w:rsidRPr="00E02055">
        <w:rPr>
          <w:rStyle w:val="AERtextitalic"/>
        </w:rPr>
        <w:t>Economic Regulation of Network Service Providers, and Price and Revenue Regulation of Gas Services</w:t>
      </w:r>
      <w:r>
        <w:t>,</w:t>
      </w:r>
      <w:r w:rsidRPr="00E02055">
        <w:t xml:space="preserve"> 29 November 2012, Sydney</w:t>
      </w:r>
      <w:r>
        <w:t>, p. vi.</w:t>
      </w:r>
    </w:p>
  </w:footnote>
  <w:footnote w:id="10">
    <w:p w:rsidR="00CC1485" w:rsidRDefault="00CC1485">
      <w:pPr>
        <w:pStyle w:val="FootnoteText"/>
      </w:pPr>
      <w:r>
        <w:rPr>
          <w:rStyle w:val="FootnoteReference"/>
        </w:rPr>
        <w:footnoteRef/>
      </w:r>
      <w:r>
        <w:t xml:space="preserve"> </w:t>
      </w:r>
      <w:r>
        <w:tab/>
        <w:t xml:space="preserve">NER, </w:t>
      </w:r>
      <w:r w:rsidRPr="00610F9E">
        <w:t>clauses</w:t>
      </w:r>
      <w:r>
        <w:t xml:space="preserve"> 6.4A(a) and 6A.5A(a).</w:t>
      </w:r>
    </w:p>
  </w:footnote>
  <w:footnote w:id="11">
    <w:p w:rsidR="00CC1485" w:rsidRDefault="00CC1485" w:rsidP="00191BDC">
      <w:pPr>
        <w:pStyle w:val="FootnoteText"/>
      </w:pPr>
      <w:r>
        <w:rPr>
          <w:rStyle w:val="FootnoteReference"/>
        </w:rPr>
        <w:footnoteRef/>
      </w:r>
      <w:r>
        <w:t xml:space="preserve"> </w:t>
      </w:r>
      <w:r>
        <w:tab/>
        <w:t>NER, clauses 6.2.8(a)(1) and 6A.2.3(a)(1).</w:t>
      </w:r>
    </w:p>
  </w:footnote>
  <w:footnote w:id="12">
    <w:p w:rsidR="00CC1485" w:rsidRDefault="00CC1485" w:rsidP="00191BDC">
      <w:pPr>
        <w:pStyle w:val="FootnoteText"/>
      </w:pPr>
      <w:r>
        <w:rPr>
          <w:rStyle w:val="FootnoteReference"/>
        </w:rPr>
        <w:footnoteRef/>
      </w:r>
      <w:r>
        <w:t xml:space="preserve"> </w:t>
      </w:r>
      <w:r>
        <w:tab/>
        <w:t>NER, clauses 6.4A(a) and 6A.5A(a).</w:t>
      </w:r>
    </w:p>
  </w:footnote>
  <w:footnote w:id="13">
    <w:p w:rsidR="00CC1485" w:rsidRDefault="00CC1485">
      <w:pPr>
        <w:pStyle w:val="FootnoteText"/>
      </w:pPr>
      <w:r>
        <w:rPr>
          <w:rStyle w:val="FootnoteReference"/>
        </w:rPr>
        <w:footnoteRef/>
      </w:r>
      <w:r>
        <w:t xml:space="preserve"> </w:t>
      </w:r>
      <w:r>
        <w:tab/>
        <w:t xml:space="preserve">Our Issues Paper and submissions to the Issues Paper are available on our website: </w:t>
      </w:r>
      <w:hyperlink r:id="rId4" w:history="1">
        <w:r w:rsidRPr="00CB170C">
          <w:rPr>
            <w:rStyle w:val="Hyperlink"/>
          </w:rPr>
          <w:t>http://www.aer.gov.au/node/18869</w:t>
        </w:r>
      </w:hyperlink>
      <w:r>
        <w:t xml:space="preserve"> </w:t>
      </w:r>
    </w:p>
  </w:footnote>
  <w:footnote w:id="14">
    <w:p w:rsidR="00CC1485" w:rsidRDefault="00CC1485">
      <w:pPr>
        <w:pStyle w:val="FootnoteText"/>
      </w:pPr>
      <w:r>
        <w:rPr>
          <w:rStyle w:val="FootnoteReference"/>
        </w:rPr>
        <w:footnoteRef/>
      </w:r>
      <w:r>
        <w:t xml:space="preserve"> </w:t>
      </w:r>
      <w:r>
        <w:tab/>
      </w:r>
      <w:proofErr w:type="gramStart"/>
      <w:r>
        <w:t xml:space="preserve">Available on our website </w:t>
      </w:r>
      <w:hyperlink r:id="rId5" w:history="1">
        <w:r w:rsidRPr="00CC61D4">
          <w:rPr>
            <w:rStyle w:val="Hyperlink"/>
          </w:rPr>
          <w:t>www.aer.gov.au</w:t>
        </w:r>
      </w:hyperlink>
      <w:r>
        <w:t>.</w:t>
      </w:r>
      <w:proofErr w:type="gramEnd"/>
    </w:p>
  </w:footnote>
  <w:footnote w:id="15">
    <w:p w:rsidR="00CC1485" w:rsidRDefault="00CC1485" w:rsidP="00C573A7">
      <w:pPr>
        <w:pStyle w:val="FootnoteText"/>
      </w:pPr>
      <w:r>
        <w:rPr>
          <w:rStyle w:val="FootnoteReference"/>
        </w:rPr>
        <w:footnoteRef/>
      </w:r>
      <w:r>
        <w:t xml:space="preserve"> </w:t>
      </w:r>
      <w:r>
        <w:tab/>
      </w:r>
      <w:proofErr w:type="gramStart"/>
      <w:r>
        <w:t>NER, clauses 6.4A and 6A.5A.</w:t>
      </w:r>
      <w:proofErr w:type="gramEnd"/>
    </w:p>
  </w:footnote>
  <w:footnote w:id="16">
    <w:p w:rsidR="00CC1485" w:rsidRDefault="00CC1485" w:rsidP="00475740">
      <w:pPr>
        <w:pStyle w:val="FootnoteText"/>
      </w:pPr>
      <w:r>
        <w:rPr>
          <w:rStyle w:val="FootnoteReference"/>
        </w:rPr>
        <w:footnoteRef/>
      </w:r>
      <w:r>
        <w:t xml:space="preserve"> </w:t>
      </w:r>
      <w:r>
        <w:tab/>
      </w:r>
      <w:r w:rsidRPr="00F83814">
        <w:t>CitiPower, Powercor and SA Power Networks</w:t>
      </w:r>
      <w:r>
        <w:t xml:space="preserve">, </w:t>
      </w:r>
      <w:r>
        <w:rPr>
          <w:rStyle w:val="AERtextitalic"/>
        </w:rPr>
        <w:t>Submission on AER Expenditure Incentives Issues Paper</w:t>
      </w:r>
      <w:r>
        <w:t xml:space="preserve">, May 2013, p. 15; </w:t>
      </w:r>
      <w:r w:rsidRPr="00F83814">
        <w:t>E</w:t>
      </w:r>
      <w:r>
        <w:t xml:space="preserve">nergy </w:t>
      </w:r>
      <w:r w:rsidRPr="00F83814">
        <w:t>N</w:t>
      </w:r>
      <w:r>
        <w:t xml:space="preserve">etworks </w:t>
      </w:r>
      <w:r w:rsidRPr="00F83814">
        <w:t>A</w:t>
      </w:r>
      <w:r>
        <w:t xml:space="preserve">ssociation (ENA), </w:t>
      </w:r>
      <w:r w:rsidRPr="00475740">
        <w:rPr>
          <w:rStyle w:val="AERtextitalic"/>
        </w:rPr>
        <w:t>Submission on AER Expenditure Incentives Issues Paper</w:t>
      </w:r>
      <w:r>
        <w:t xml:space="preserve">, May 2013, p. 18; </w:t>
      </w:r>
      <w:r w:rsidRPr="00F83814">
        <w:t>Energex</w:t>
      </w:r>
      <w:r>
        <w:t xml:space="preserve"> Limited</w:t>
      </w:r>
      <w:r w:rsidRPr="00F83814">
        <w:t xml:space="preserve">, </w:t>
      </w:r>
      <w:r w:rsidRPr="00475740">
        <w:rPr>
          <w:rStyle w:val="AERtextitalic"/>
        </w:rPr>
        <w:t>Submission on AER Expenditure Incentives Issues Paper</w:t>
      </w:r>
      <w:r>
        <w:t xml:space="preserve">, May 2013, p. 2; </w:t>
      </w:r>
      <w:r w:rsidRPr="00F83814">
        <w:t xml:space="preserve">EnerNOC, </w:t>
      </w:r>
      <w:r w:rsidRPr="00475740">
        <w:rPr>
          <w:rStyle w:val="AERtextitalic"/>
        </w:rPr>
        <w:t>Submission on AER Expenditure Incentives Issues Paper</w:t>
      </w:r>
      <w:r>
        <w:t xml:space="preserve">, May 2013, p. 3; Major Energy Users Inc. (MEU), </w:t>
      </w:r>
      <w:r w:rsidRPr="00475740">
        <w:rPr>
          <w:rStyle w:val="AERtextitalic"/>
        </w:rPr>
        <w:t>Submission on AER Expenditure Incentives Issues Paper</w:t>
      </w:r>
      <w:r>
        <w:t xml:space="preserve">, April 2013, p. 26; SP </w:t>
      </w:r>
      <w:r w:rsidRPr="00F83814">
        <w:t>AusNet</w:t>
      </w:r>
      <w:r>
        <w:t xml:space="preserve">, </w:t>
      </w:r>
      <w:r w:rsidRPr="00475740">
        <w:rPr>
          <w:rStyle w:val="AERtextitalic"/>
        </w:rPr>
        <w:t>Submission on AER Expenditure Incentives Issues Paper</w:t>
      </w:r>
      <w:r>
        <w:t>,</w:t>
      </w:r>
      <w:r w:rsidRPr="00F83814">
        <w:t xml:space="preserve"> </w:t>
      </w:r>
      <w:r>
        <w:t xml:space="preserve">May 2013, p. 1; </w:t>
      </w:r>
      <w:r w:rsidRPr="00475740">
        <w:t xml:space="preserve">Total Environment Centre (TEC), </w:t>
      </w:r>
      <w:r w:rsidRPr="00475740">
        <w:rPr>
          <w:rStyle w:val="AERtextitalic"/>
        </w:rPr>
        <w:t>Response to Expenditure Incentives Guidelines Issues Paper</w:t>
      </w:r>
      <w:r>
        <w:t>, May 2013, p. 3.</w:t>
      </w:r>
    </w:p>
  </w:footnote>
  <w:footnote w:id="17">
    <w:p w:rsidR="00CC1485" w:rsidRDefault="00CC1485">
      <w:pPr>
        <w:pStyle w:val="FootnoteText"/>
      </w:pPr>
      <w:r>
        <w:rPr>
          <w:rStyle w:val="FootnoteReference"/>
        </w:rPr>
        <w:footnoteRef/>
      </w:r>
      <w:r>
        <w:t xml:space="preserve"> </w:t>
      </w:r>
      <w:r>
        <w:tab/>
        <w:t xml:space="preserve">Energy Users Association of Australia (EUAA), </w:t>
      </w:r>
      <w:r w:rsidRPr="00E066F8">
        <w:rPr>
          <w:rStyle w:val="AERtextitalic"/>
        </w:rPr>
        <w:t>Submission on AER Expenditure Incentives Issues Paper</w:t>
      </w:r>
      <w:r>
        <w:t xml:space="preserve">, May 2013, pp. 13-17; and </w:t>
      </w:r>
      <w:r w:rsidRPr="00C35112">
        <w:t>PIAC</w:t>
      </w:r>
      <w:r>
        <w:t xml:space="preserve">, </w:t>
      </w:r>
      <w:r w:rsidRPr="00E066F8">
        <w:rPr>
          <w:rStyle w:val="AERtextitalic"/>
        </w:rPr>
        <w:t>Submission on AER Expenditure Incentives Issues Paper</w:t>
      </w:r>
      <w:r>
        <w:t>, May 2013, pp. 8-9.</w:t>
      </w:r>
    </w:p>
  </w:footnote>
  <w:footnote w:id="18">
    <w:p w:rsidR="00CC1485" w:rsidRDefault="00CC1485">
      <w:pPr>
        <w:pStyle w:val="FootnoteText"/>
      </w:pPr>
      <w:r>
        <w:rPr>
          <w:rStyle w:val="FootnoteReference"/>
        </w:rPr>
        <w:footnoteRef/>
      </w:r>
      <w:r>
        <w:t xml:space="preserve"> </w:t>
      </w:r>
      <w:r>
        <w:tab/>
        <w:t xml:space="preserve">See AER, </w:t>
      </w:r>
      <w:r w:rsidRPr="007F113C">
        <w:rPr>
          <w:rStyle w:val="AERtextitalic"/>
        </w:rPr>
        <w:t>Draft Expenditure Forecasting Assessment Guidelines</w:t>
      </w:r>
      <w:r>
        <w:t>, August 2013.</w:t>
      </w:r>
    </w:p>
  </w:footnote>
  <w:footnote w:id="19">
    <w:p w:rsidR="00CC1485" w:rsidRDefault="00CC1485" w:rsidP="00516B55">
      <w:pPr>
        <w:pStyle w:val="FootnoteText"/>
      </w:pPr>
      <w:r>
        <w:rPr>
          <w:rStyle w:val="FootnoteReference"/>
        </w:rPr>
        <w:footnoteRef/>
      </w:r>
      <w:r>
        <w:t xml:space="preserve"> </w:t>
      </w:r>
      <w:r>
        <w:tab/>
      </w:r>
      <w:proofErr w:type="gramStart"/>
      <w:r>
        <w:t>Under the revenue and pricing principles (s. 7A).</w:t>
      </w:r>
      <w:proofErr w:type="gramEnd"/>
    </w:p>
  </w:footnote>
  <w:footnote w:id="20">
    <w:p w:rsidR="00CC1485" w:rsidRDefault="00CC1485">
      <w:pPr>
        <w:pStyle w:val="FootnoteText"/>
      </w:pPr>
      <w:r>
        <w:rPr>
          <w:rStyle w:val="FootnoteReference"/>
        </w:rPr>
        <w:footnoteRef/>
      </w:r>
      <w:r>
        <w:t xml:space="preserve"> </w:t>
      </w:r>
      <w:r>
        <w:tab/>
      </w:r>
      <w:r w:rsidRPr="00E066F8">
        <w:t xml:space="preserve">ActewAGL Distribution, </w:t>
      </w:r>
      <w:r w:rsidRPr="00E066F8">
        <w:rPr>
          <w:rStyle w:val="AERtextitalic"/>
        </w:rPr>
        <w:t>Submission on AER Expenditure Incentives Issues Paper</w:t>
      </w:r>
      <w:r>
        <w:t xml:space="preserve">, May 2013, p. 3; </w:t>
      </w:r>
      <w:r w:rsidRPr="00E066F8">
        <w:t xml:space="preserve">APA Group, </w:t>
      </w:r>
      <w:r w:rsidRPr="00E066F8">
        <w:rPr>
          <w:rStyle w:val="AERtextitalic"/>
        </w:rPr>
        <w:t>Submission on AER Expenditure Incentives Issues Paper</w:t>
      </w:r>
      <w:r>
        <w:t xml:space="preserve">, May 2013, p. 2; </w:t>
      </w:r>
      <w:r w:rsidRPr="00A001D9">
        <w:t>CitiPower</w:t>
      </w:r>
      <w:r>
        <w:t xml:space="preserve"> et al, </w:t>
      </w:r>
      <w:r w:rsidRPr="00A001D9">
        <w:rPr>
          <w:rStyle w:val="AERtextitalic"/>
        </w:rPr>
        <w:t>Submission on Issues Paper</w:t>
      </w:r>
      <w:r w:rsidRPr="00A001D9">
        <w:t>, p</w:t>
      </w:r>
      <w:r>
        <w:t>p</w:t>
      </w:r>
      <w:r w:rsidRPr="00A001D9">
        <w:t xml:space="preserve">. </w:t>
      </w:r>
      <w:r>
        <w:t>4-6</w:t>
      </w:r>
      <w:r w:rsidRPr="00A001D9">
        <w:t xml:space="preserve">; </w:t>
      </w:r>
      <w:r w:rsidRPr="00E066F8">
        <w:t xml:space="preserve">ENA, </w:t>
      </w:r>
      <w:r w:rsidRPr="00E066F8">
        <w:rPr>
          <w:rStyle w:val="AERtextitalic"/>
        </w:rPr>
        <w:t>Submission on Issues Paper</w:t>
      </w:r>
      <w:r>
        <w:t xml:space="preserve">, p. 7; </w:t>
      </w:r>
      <w:r w:rsidRPr="00E066F8">
        <w:t xml:space="preserve">Energex, </w:t>
      </w:r>
      <w:r w:rsidRPr="00E066F8">
        <w:rPr>
          <w:rStyle w:val="AERtextitalic"/>
        </w:rPr>
        <w:t>Submission on Issues Paper</w:t>
      </w:r>
      <w:r w:rsidRPr="00E066F8">
        <w:t xml:space="preserve">, p. </w:t>
      </w:r>
      <w:r>
        <w:t>3</w:t>
      </w:r>
      <w:r w:rsidRPr="00E066F8">
        <w:t>;</w:t>
      </w:r>
      <w:r>
        <w:t xml:space="preserve"> New South Wales Distribution Network Service Providers (NSW DNSPs), </w:t>
      </w:r>
      <w:r w:rsidRPr="00706DDE">
        <w:rPr>
          <w:rStyle w:val="AERtextitalic"/>
        </w:rPr>
        <w:t>Submission on AER Expenditure Incentives Issues Paper</w:t>
      </w:r>
      <w:r w:rsidRPr="00706DDE">
        <w:t>, May 2013</w:t>
      </w:r>
      <w:r>
        <w:t xml:space="preserve">, p. 3; Grid Australia, </w:t>
      </w:r>
      <w:r w:rsidRPr="00A001D9">
        <w:rPr>
          <w:rStyle w:val="AERtextitalic"/>
        </w:rPr>
        <w:t>Submission on AER Expenditure Incentives Issues Paper</w:t>
      </w:r>
      <w:r w:rsidRPr="00A001D9">
        <w:t>, May 2013</w:t>
      </w:r>
      <w:r>
        <w:t xml:space="preserve">, pp. 9-15; </w:t>
      </w:r>
      <w:r w:rsidRPr="00A001D9">
        <w:t>Jemena</w:t>
      </w:r>
      <w:r>
        <w:t>,</w:t>
      </w:r>
      <w:r w:rsidRPr="00A001D9">
        <w:t xml:space="preserve"> </w:t>
      </w:r>
      <w:r w:rsidRPr="00A001D9">
        <w:rPr>
          <w:rStyle w:val="AERtextitalic"/>
        </w:rPr>
        <w:t>Submission on AER Expenditure Incentives Issues Paper</w:t>
      </w:r>
      <w:r w:rsidRPr="00A001D9">
        <w:t>, May 2013</w:t>
      </w:r>
      <w:r>
        <w:t xml:space="preserve">, p. 4; SP AusNet, </w:t>
      </w:r>
      <w:r w:rsidRPr="00A001D9">
        <w:rPr>
          <w:rStyle w:val="AERtextitalic"/>
        </w:rPr>
        <w:t>Submission on Issues Paper</w:t>
      </w:r>
      <w:r w:rsidRPr="00A001D9">
        <w:t xml:space="preserve">, </w:t>
      </w:r>
      <w:r>
        <w:t>p. 2.</w:t>
      </w:r>
    </w:p>
  </w:footnote>
  <w:footnote w:id="21">
    <w:p w:rsidR="00CC1485" w:rsidRDefault="00CC1485">
      <w:pPr>
        <w:pStyle w:val="FootnoteText"/>
      </w:pPr>
      <w:r>
        <w:rPr>
          <w:rStyle w:val="FootnoteReference"/>
        </w:rPr>
        <w:footnoteRef/>
      </w:r>
      <w:r>
        <w:t xml:space="preserve"> </w:t>
      </w:r>
      <w:r>
        <w:tab/>
      </w:r>
      <w:r w:rsidRPr="00ED4EDB">
        <w:t>EUAA</w:t>
      </w:r>
      <w:r>
        <w:t xml:space="preserve">, </w:t>
      </w:r>
      <w:r w:rsidRPr="00706DDE">
        <w:rPr>
          <w:rStyle w:val="AERtextitalic"/>
        </w:rPr>
        <w:t>Submission on Issues Paper</w:t>
      </w:r>
      <w:r>
        <w:t>,</w:t>
      </w:r>
      <w:r w:rsidRPr="00ED4EDB">
        <w:t xml:space="preserve"> </w:t>
      </w:r>
      <w:r>
        <w:t xml:space="preserve">pp. 12-13; </w:t>
      </w:r>
      <w:r w:rsidRPr="00ED4EDB">
        <w:t>MEU</w:t>
      </w:r>
      <w:r>
        <w:t>,</w:t>
      </w:r>
      <w:r w:rsidRPr="00ED4EDB">
        <w:t xml:space="preserve"> </w:t>
      </w:r>
      <w:r w:rsidRPr="00706DDE">
        <w:rPr>
          <w:rStyle w:val="AERtextitalic"/>
        </w:rPr>
        <w:t>Submission on Issues Paper</w:t>
      </w:r>
      <w:r>
        <w:t>, p. 26;</w:t>
      </w:r>
      <w:r w:rsidRPr="00706DDE">
        <w:t xml:space="preserve"> PIAC</w:t>
      </w:r>
      <w:r>
        <w:t>,</w:t>
      </w:r>
      <w:r w:rsidRPr="00706DDE">
        <w:t xml:space="preserve"> </w:t>
      </w:r>
      <w:r w:rsidRPr="00706DDE">
        <w:rPr>
          <w:rStyle w:val="AERtextitalic"/>
        </w:rPr>
        <w:t>Submission on Issues Paper</w:t>
      </w:r>
      <w:r w:rsidRPr="00706DDE">
        <w:t>, p</w:t>
      </w:r>
      <w:r>
        <w:t>p</w:t>
      </w:r>
      <w:r w:rsidRPr="00706DDE">
        <w:t>.</w:t>
      </w:r>
      <w:r>
        <w:t xml:space="preserve"> 10-11</w:t>
      </w:r>
      <w:r w:rsidRPr="00706DDE">
        <w:t>,</w:t>
      </w:r>
      <w:r>
        <w:t xml:space="preserve"> TEC, </w:t>
      </w:r>
      <w:r w:rsidRPr="00706DDE">
        <w:rPr>
          <w:rStyle w:val="AERtextitalic"/>
        </w:rPr>
        <w:t>Submission on Issues Paper</w:t>
      </w:r>
      <w:r w:rsidRPr="00706DDE">
        <w:t>, p.</w:t>
      </w:r>
      <w:r>
        <w:t xml:space="preserve"> pp. 3-4.</w:t>
      </w:r>
    </w:p>
  </w:footnote>
  <w:footnote w:id="22">
    <w:p w:rsidR="00CC1485" w:rsidRDefault="00CC1485" w:rsidP="0053241B">
      <w:pPr>
        <w:pStyle w:val="FootnoteText"/>
      </w:pPr>
      <w:r>
        <w:rPr>
          <w:rStyle w:val="FootnoteReference"/>
        </w:rPr>
        <w:footnoteRef/>
      </w:r>
      <w:r>
        <w:t xml:space="preserve"> </w:t>
      </w:r>
      <w:r>
        <w:tab/>
      </w:r>
      <w:r w:rsidRPr="0062280D">
        <w:t xml:space="preserve">EnerNOC, </w:t>
      </w:r>
      <w:r w:rsidRPr="0062280D">
        <w:rPr>
          <w:rStyle w:val="AERtextitalic"/>
        </w:rPr>
        <w:t>Submission on Issues Paper</w:t>
      </w:r>
      <w:r w:rsidRPr="0062280D">
        <w:t>, p</w:t>
      </w:r>
      <w:r>
        <w:t>.</w:t>
      </w:r>
      <w:r w:rsidRPr="0062280D">
        <w:t xml:space="preserve"> </w:t>
      </w:r>
      <w:r>
        <w:t xml:space="preserve">3; </w:t>
      </w:r>
      <w:r w:rsidRPr="0062280D">
        <w:t>Grid Australia</w:t>
      </w:r>
      <w:r>
        <w:t xml:space="preserve">, </w:t>
      </w:r>
      <w:r w:rsidRPr="0062280D">
        <w:rPr>
          <w:rStyle w:val="AERtextitalic"/>
        </w:rPr>
        <w:t>Submission on Issues Paper</w:t>
      </w:r>
      <w:r w:rsidRPr="0062280D">
        <w:t>, p</w:t>
      </w:r>
      <w:r>
        <w:t>p. 10-11;</w:t>
      </w:r>
      <w:r w:rsidRPr="0062280D">
        <w:t xml:space="preserve"> </w:t>
      </w:r>
      <w:r>
        <w:t>NSW DNSPs,</w:t>
      </w:r>
      <w:r w:rsidRPr="0062280D">
        <w:t xml:space="preserve"> </w:t>
      </w:r>
      <w:r w:rsidRPr="0062280D">
        <w:rPr>
          <w:rStyle w:val="AERtextitalic"/>
        </w:rPr>
        <w:t>Submission on Issues Paper</w:t>
      </w:r>
      <w:r w:rsidRPr="0062280D">
        <w:t>, p</w:t>
      </w:r>
      <w:r>
        <w:t>. 1.</w:t>
      </w:r>
    </w:p>
  </w:footnote>
  <w:footnote w:id="23">
    <w:p w:rsidR="00CC1485" w:rsidRDefault="00CC1485" w:rsidP="0053241B">
      <w:pPr>
        <w:pStyle w:val="FootnoteText"/>
      </w:pPr>
      <w:r>
        <w:rPr>
          <w:rStyle w:val="FootnoteReference"/>
        </w:rPr>
        <w:footnoteRef/>
      </w:r>
      <w:r>
        <w:t xml:space="preserve"> </w:t>
      </w:r>
      <w:r>
        <w:tab/>
      </w:r>
      <w:r w:rsidRPr="00F65239">
        <w:t>APA Group</w:t>
      </w:r>
      <w:r>
        <w:t>,</w:t>
      </w:r>
      <w:r w:rsidRPr="00F65239">
        <w:t xml:space="preserve"> </w:t>
      </w:r>
      <w:r w:rsidRPr="00F65239">
        <w:rPr>
          <w:rStyle w:val="AERtextitalic"/>
        </w:rPr>
        <w:t>Submission on Issues Paper</w:t>
      </w:r>
      <w:r w:rsidRPr="00F65239">
        <w:t xml:space="preserve">, p. </w:t>
      </w:r>
      <w:r>
        <w:t xml:space="preserve">2; NSW DNSPs, </w:t>
      </w:r>
      <w:r w:rsidRPr="00F65239">
        <w:rPr>
          <w:rStyle w:val="AERtextitalic"/>
        </w:rPr>
        <w:t>Submission on Issues Paper</w:t>
      </w:r>
      <w:r w:rsidRPr="00F65239">
        <w:t>, p.</w:t>
      </w:r>
      <w:r>
        <w:t xml:space="preserve"> 8.</w:t>
      </w:r>
    </w:p>
  </w:footnote>
  <w:footnote w:id="24">
    <w:p w:rsidR="00CC1485" w:rsidRDefault="00CC1485" w:rsidP="0053241B">
      <w:pPr>
        <w:pStyle w:val="FootnoteText"/>
      </w:pPr>
      <w:r>
        <w:rPr>
          <w:rStyle w:val="FootnoteReference"/>
        </w:rPr>
        <w:footnoteRef/>
      </w:r>
      <w:r>
        <w:t xml:space="preserve"> </w:t>
      </w:r>
      <w:r>
        <w:tab/>
      </w:r>
      <w:r w:rsidRPr="006862AB">
        <w:t xml:space="preserve">CitiPower et al, </w:t>
      </w:r>
      <w:r w:rsidRPr="006862AB">
        <w:rPr>
          <w:rStyle w:val="AERtextitalic"/>
        </w:rPr>
        <w:t>Submission on Issues Paper</w:t>
      </w:r>
      <w:r w:rsidRPr="006862AB">
        <w:t xml:space="preserve">, p. </w:t>
      </w:r>
      <w:r>
        <w:t>4.</w:t>
      </w:r>
    </w:p>
  </w:footnote>
  <w:footnote w:id="25">
    <w:p w:rsidR="00CC1485" w:rsidRDefault="00CC1485" w:rsidP="0053241B">
      <w:pPr>
        <w:pStyle w:val="FootnoteText"/>
      </w:pPr>
      <w:r>
        <w:rPr>
          <w:rStyle w:val="FootnoteReference"/>
        </w:rPr>
        <w:footnoteRef/>
      </w:r>
      <w:r>
        <w:t xml:space="preserve"> </w:t>
      </w:r>
      <w:r>
        <w:tab/>
        <w:t>ActewAGL,</w:t>
      </w:r>
      <w:r w:rsidRPr="006862AB">
        <w:t xml:space="preserve"> </w:t>
      </w:r>
      <w:r w:rsidRPr="006862AB">
        <w:rPr>
          <w:rStyle w:val="AERtextitalic"/>
        </w:rPr>
        <w:t>Submission on Issues Paper</w:t>
      </w:r>
      <w:r w:rsidRPr="006862AB">
        <w:t xml:space="preserve">, p. </w:t>
      </w:r>
      <w:r>
        <w:t>2.</w:t>
      </w:r>
    </w:p>
  </w:footnote>
  <w:footnote w:id="26">
    <w:p w:rsidR="00CC1485" w:rsidRDefault="00CC1485" w:rsidP="0053241B">
      <w:pPr>
        <w:pStyle w:val="FootnoteText"/>
      </w:pPr>
      <w:r>
        <w:rPr>
          <w:rStyle w:val="FootnoteReference"/>
        </w:rPr>
        <w:footnoteRef/>
      </w:r>
      <w:r>
        <w:t xml:space="preserve"> </w:t>
      </w:r>
      <w:r>
        <w:tab/>
      </w:r>
      <w:r w:rsidRPr="00143172">
        <w:t xml:space="preserve">CitiPower et al, </w:t>
      </w:r>
      <w:r w:rsidRPr="00143172">
        <w:rPr>
          <w:rStyle w:val="AERtextitalic"/>
        </w:rPr>
        <w:t>Submission on Issues Paper</w:t>
      </w:r>
      <w:r w:rsidRPr="00143172">
        <w:t xml:space="preserve">, p. </w:t>
      </w:r>
      <w:r>
        <w:t xml:space="preserve">5, ENA, </w:t>
      </w:r>
      <w:r w:rsidRPr="00143172">
        <w:rPr>
          <w:rStyle w:val="AERtextitalic"/>
        </w:rPr>
        <w:t>Submission on Issues Paper</w:t>
      </w:r>
      <w:r w:rsidRPr="00143172">
        <w:t xml:space="preserve">, p. </w:t>
      </w:r>
      <w:r>
        <w:t>12; Grid Australia</w:t>
      </w:r>
      <w:r w:rsidRPr="00143172">
        <w:t xml:space="preserve">, </w:t>
      </w:r>
      <w:r w:rsidRPr="00143172">
        <w:rPr>
          <w:rStyle w:val="AERtextitalic"/>
        </w:rPr>
        <w:t>Submission on Issues Paper</w:t>
      </w:r>
      <w:r w:rsidRPr="00143172">
        <w:t xml:space="preserve">, </w:t>
      </w:r>
      <w:r>
        <w:t>p</w:t>
      </w:r>
      <w:r w:rsidRPr="00143172">
        <w:t xml:space="preserve">p. </w:t>
      </w:r>
      <w:r>
        <w:t>3-4.</w:t>
      </w:r>
    </w:p>
  </w:footnote>
  <w:footnote w:id="27">
    <w:p w:rsidR="00CC1485" w:rsidRDefault="00CC1485" w:rsidP="0053241B">
      <w:pPr>
        <w:pStyle w:val="FootnoteText"/>
      </w:pPr>
      <w:r>
        <w:rPr>
          <w:rStyle w:val="FootnoteReference"/>
        </w:rPr>
        <w:footnoteRef/>
      </w:r>
      <w:r>
        <w:t xml:space="preserve"> </w:t>
      </w:r>
      <w:r>
        <w:tab/>
        <w:t>Energex,</w:t>
      </w:r>
      <w:r w:rsidRPr="00143172">
        <w:t xml:space="preserve"> </w:t>
      </w:r>
      <w:r w:rsidRPr="00143172">
        <w:rPr>
          <w:rStyle w:val="AERtextitalic"/>
        </w:rPr>
        <w:t>Submission on Issues Paper</w:t>
      </w:r>
      <w:r w:rsidRPr="00143172">
        <w:t xml:space="preserve">, </w:t>
      </w:r>
      <w:r>
        <w:t>p. 3.</w:t>
      </w:r>
    </w:p>
  </w:footnote>
  <w:footnote w:id="28">
    <w:p w:rsidR="00CC1485" w:rsidRDefault="00CC1485" w:rsidP="00356E72">
      <w:pPr>
        <w:pStyle w:val="FootnoteText"/>
      </w:pPr>
      <w:r>
        <w:rPr>
          <w:rStyle w:val="FootnoteReference"/>
        </w:rPr>
        <w:footnoteRef/>
      </w:r>
      <w:r>
        <w:t xml:space="preserve"> </w:t>
      </w:r>
      <w:r>
        <w:tab/>
      </w:r>
      <w:r w:rsidRPr="00356E72">
        <w:t>Grid Australia</w:t>
      </w:r>
      <w:r>
        <w:t xml:space="preserve">, </w:t>
      </w:r>
      <w:r w:rsidRPr="00143172">
        <w:rPr>
          <w:rStyle w:val="AERtextitalic"/>
        </w:rPr>
        <w:t>Submission on Issues Paper</w:t>
      </w:r>
      <w:r w:rsidRPr="00143172">
        <w:t xml:space="preserve">, </w:t>
      </w:r>
      <w:r>
        <w:t>pp. 11-12</w:t>
      </w:r>
      <w:r w:rsidRPr="00356E72">
        <w:t>, SP AusNet</w:t>
      </w:r>
      <w:r>
        <w:t xml:space="preserve">, </w:t>
      </w:r>
      <w:r w:rsidRPr="00143172">
        <w:rPr>
          <w:rStyle w:val="AERtextitalic"/>
        </w:rPr>
        <w:t>Submission on Issues Paper</w:t>
      </w:r>
      <w:r w:rsidRPr="00143172">
        <w:t>,</w:t>
      </w:r>
      <w:r>
        <w:t xml:space="preserve"> pp. 2-3.</w:t>
      </w:r>
    </w:p>
  </w:footnote>
  <w:footnote w:id="29">
    <w:p w:rsidR="00CC1485" w:rsidRDefault="00CC1485" w:rsidP="0053241B">
      <w:pPr>
        <w:pStyle w:val="FootnoteText"/>
      </w:pPr>
      <w:r>
        <w:rPr>
          <w:rStyle w:val="FootnoteReference"/>
        </w:rPr>
        <w:footnoteRef/>
      </w:r>
      <w:r>
        <w:t xml:space="preserve"> </w:t>
      </w:r>
      <w:r>
        <w:tab/>
        <w:t xml:space="preserve">SP AusNet, </w:t>
      </w:r>
      <w:r w:rsidRPr="00143172">
        <w:rPr>
          <w:rStyle w:val="AERtextitalic"/>
        </w:rPr>
        <w:t>Submission on Issues Paper</w:t>
      </w:r>
      <w:r w:rsidRPr="00143172">
        <w:t>,</w:t>
      </w:r>
      <w:r>
        <w:t xml:space="preserve"> p. 3.</w:t>
      </w:r>
    </w:p>
  </w:footnote>
  <w:footnote w:id="30">
    <w:p w:rsidR="00CC1485" w:rsidRDefault="00CC1485" w:rsidP="00FF4B9B">
      <w:pPr>
        <w:pStyle w:val="FootnoteText"/>
      </w:pPr>
      <w:r>
        <w:rPr>
          <w:rStyle w:val="FootnoteReference"/>
        </w:rPr>
        <w:footnoteRef/>
      </w:r>
      <w:r>
        <w:t xml:space="preserve"> </w:t>
      </w:r>
      <w:r>
        <w:tab/>
        <w:t xml:space="preserve">MEU, </w:t>
      </w:r>
      <w:r w:rsidRPr="00143172">
        <w:rPr>
          <w:rStyle w:val="AERtextitalic"/>
        </w:rPr>
        <w:t>Submission on Issues Paper</w:t>
      </w:r>
      <w:r w:rsidRPr="00143172">
        <w:t>,</w:t>
      </w:r>
      <w:r>
        <w:t xml:space="preserve"> p. 7.</w:t>
      </w:r>
    </w:p>
  </w:footnote>
  <w:footnote w:id="31">
    <w:p w:rsidR="00CC1485" w:rsidRDefault="00CC1485" w:rsidP="00FF4B9B">
      <w:pPr>
        <w:pStyle w:val="FootnoteText"/>
      </w:pPr>
      <w:r>
        <w:rPr>
          <w:rStyle w:val="FootnoteReference"/>
        </w:rPr>
        <w:footnoteRef/>
      </w:r>
      <w:r>
        <w:t xml:space="preserve"> </w:t>
      </w:r>
      <w:r>
        <w:tab/>
        <w:t xml:space="preserve">EUAA, </w:t>
      </w:r>
      <w:r w:rsidRPr="00143172">
        <w:rPr>
          <w:rStyle w:val="AERtextitalic"/>
        </w:rPr>
        <w:t>Submission on Issues Paper</w:t>
      </w:r>
      <w:r w:rsidRPr="00143172">
        <w:t>,</w:t>
      </w:r>
      <w:r>
        <w:t xml:space="preserve"> pp. 12-13.</w:t>
      </w:r>
    </w:p>
  </w:footnote>
  <w:footnote w:id="32">
    <w:p w:rsidR="00CC1485" w:rsidRDefault="00CC1485" w:rsidP="00FF4B9B">
      <w:pPr>
        <w:pStyle w:val="FootnoteText"/>
      </w:pPr>
      <w:r>
        <w:rPr>
          <w:rStyle w:val="FootnoteReference"/>
        </w:rPr>
        <w:footnoteRef/>
      </w:r>
      <w:r>
        <w:t xml:space="preserve"> </w:t>
      </w:r>
      <w:r>
        <w:tab/>
        <w:t xml:space="preserve">PIAC, </w:t>
      </w:r>
      <w:r w:rsidRPr="00143172">
        <w:rPr>
          <w:rStyle w:val="AERtextitalic"/>
        </w:rPr>
        <w:t>Submission on Issues Paper</w:t>
      </w:r>
      <w:r w:rsidRPr="00143172">
        <w:t>,</w:t>
      </w:r>
      <w:r>
        <w:t xml:space="preserve"> pp. 10.</w:t>
      </w:r>
    </w:p>
  </w:footnote>
  <w:footnote w:id="33">
    <w:p w:rsidR="00CC1485" w:rsidRDefault="00CC1485" w:rsidP="00516B55">
      <w:pPr>
        <w:pStyle w:val="FootnoteText"/>
      </w:pPr>
      <w:r>
        <w:rPr>
          <w:rStyle w:val="FootnoteReference"/>
        </w:rPr>
        <w:footnoteRef/>
      </w:r>
      <w:r>
        <w:t xml:space="preserve"> </w:t>
      </w:r>
      <w:r>
        <w:tab/>
        <w:t xml:space="preserve">ActewAGL, </w:t>
      </w:r>
      <w:r w:rsidRPr="00143172">
        <w:rPr>
          <w:rStyle w:val="AERtextitalic"/>
        </w:rPr>
        <w:t>Submission on Issues Paper</w:t>
      </w:r>
      <w:r w:rsidRPr="00143172">
        <w:t xml:space="preserve">, </w:t>
      </w:r>
      <w:r>
        <w:t xml:space="preserve">p. 3; </w:t>
      </w:r>
      <w:r w:rsidRPr="00C35112">
        <w:t>CitiPower</w:t>
      </w:r>
      <w:r>
        <w:t xml:space="preserve"> et al, </w:t>
      </w:r>
      <w:r w:rsidRPr="00143172">
        <w:rPr>
          <w:rStyle w:val="AERtextitalic"/>
        </w:rPr>
        <w:t>Submission on Issues Paper</w:t>
      </w:r>
      <w:r w:rsidRPr="00143172">
        <w:t xml:space="preserve">, </w:t>
      </w:r>
      <w:r>
        <w:t xml:space="preserve">p. 4; ENA, </w:t>
      </w:r>
      <w:r w:rsidRPr="00143172">
        <w:rPr>
          <w:rStyle w:val="AERtextitalic"/>
        </w:rPr>
        <w:t>Submission on Issues Paper</w:t>
      </w:r>
      <w:r w:rsidRPr="00143172">
        <w:t xml:space="preserve">, </w:t>
      </w:r>
      <w:r>
        <w:t>pp. 10-11;</w:t>
      </w:r>
      <w:r w:rsidRPr="00C35112">
        <w:t xml:space="preserve"> </w:t>
      </w:r>
      <w:r>
        <w:t xml:space="preserve">Grid Australia, </w:t>
      </w:r>
      <w:r w:rsidRPr="00143172">
        <w:rPr>
          <w:rStyle w:val="AERtextitalic"/>
        </w:rPr>
        <w:t>Submission on Issues Paper</w:t>
      </w:r>
      <w:r w:rsidRPr="00143172">
        <w:t xml:space="preserve">, </w:t>
      </w:r>
      <w:r>
        <w:t>p. 12.</w:t>
      </w:r>
    </w:p>
  </w:footnote>
  <w:footnote w:id="34">
    <w:p w:rsidR="00CC1485" w:rsidRDefault="00CC1485" w:rsidP="00516B55">
      <w:pPr>
        <w:pStyle w:val="FootnoteText"/>
      </w:pPr>
      <w:r>
        <w:rPr>
          <w:rStyle w:val="FootnoteReference"/>
        </w:rPr>
        <w:footnoteRef/>
      </w:r>
      <w:r>
        <w:t xml:space="preserve"> </w:t>
      </w:r>
      <w:r>
        <w:tab/>
      </w:r>
      <w:r w:rsidRPr="00C35112">
        <w:t>CitiPower</w:t>
      </w:r>
      <w:r>
        <w:t xml:space="preserve"> et al, </w:t>
      </w:r>
      <w:r w:rsidRPr="00143172">
        <w:rPr>
          <w:rStyle w:val="AERtextitalic"/>
        </w:rPr>
        <w:t>Submission on Issues Paper</w:t>
      </w:r>
      <w:r w:rsidRPr="00143172">
        <w:t xml:space="preserve">, </w:t>
      </w:r>
      <w:r>
        <w:t xml:space="preserve">p. 5; ENA, </w:t>
      </w:r>
      <w:r w:rsidRPr="00143172">
        <w:rPr>
          <w:rStyle w:val="AERtextitalic"/>
        </w:rPr>
        <w:t>Submission on Issues Paper</w:t>
      </w:r>
      <w:r w:rsidRPr="00143172">
        <w:t xml:space="preserve">, </w:t>
      </w:r>
      <w:r>
        <w:t>p. 12</w:t>
      </w:r>
    </w:p>
  </w:footnote>
  <w:footnote w:id="35">
    <w:p w:rsidR="00CC1485" w:rsidRDefault="00CC1485">
      <w:pPr>
        <w:pStyle w:val="FootnoteText"/>
      </w:pPr>
      <w:r>
        <w:rPr>
          <w:rStyle w:val="FootnoteReference"/>
        </w:rPr>
        <w:footnoteRef/>
      </w:r>
      <w:r>
        <w:t xml:space="preserve"> </w:t>
      </w:r>
      <w:r>
        <w:tab/>
        <w:t xml:space="preserve">AER, </w:t>
      </w:r>
      <w:r w:rsidRPr="007F113C">
        <w:rPr>
          <w:rStyle w:val="AERtextitalic"/>
        </w:rPr>
        <w:t>Draft Expenditure Forecasting Assessment Guidelines</w:t>
      </w:r>
      <w:r>
        <w:t>, August 2013.</w:t>
      </w:r>
    </w:p>
  </w:footnote>
  <w:footnote w:id="36">
    <w:p w:rsidR="00CC1485" w:rsidRDefault="00CC1485" w:rsidP="009D1B2F">
      <w:pPr>
        <w:pStyle w:val="FootnoteText"/>
      </w:pPr>
      <w:r>
        <w:rPr>
          <w:rStyle w:val="FootnoteReference"/>
        </w:rPr>
        <w:footnoteRef/>
      </w:r>
      <w:r>
        <w:t xml:space="preserve"> </w:t>
      </w:r>
      <w:r>
        <w:tab/>
        <w:t xml:space="preserve">Submissions from NSW DNSPs and APA Group were concerned that an asymmetric scheme would overly penalise NSPs for forecasting error. See NSW DNSPs, </w:t>
      </w:r>
      <w:r w:rsidRPr="00143172">
        <w:rPr>
          <w:rStyle w:val="AERtextitalic"/>
        </w:rPr>
        <w:t>Submission on Issues Paper</w:t>
      </w:r>
      <w:r w:rsidRPr="00143172">
        <w:t xml:space="preserve">, </w:t>
      </w:r>
      <w:r>
        <w:t xml:space="preserve">p. 7; and APA Group, </w:t>
      </w:r>
      <w:r w:rsidRPr="00143172">
        <w:rPr>
          <w:rStyle w:val="AERtextitalic"/>
        </w:rPr>
        <w:t>Submission on Issues Paper</w:t>
      </w:r>
      <w:r w:rsidRPr="00143172">
        <w:t xml:space="preserve">, </w:t>
      </w:r>
      <w:r>
        <w:t>p. 2.</w:t>
      </w:r>
    </w:p>
  </w:footnote>
  <w:footnote w:id="37">
    <w:p w:rsidR="00CC1485" w:rsidRDefault="00CC1485" w:rsidP="00440407">
      <w:pPr>
        <w:pStyle w:val="FootnoteText"/>
      </w:pPr>
      <w:r>
        <w:rPr>
          <w:rStyle w:val="FootnoteReference"/>
        </w:rPr>
        <w:footnoteRef/>
      </w:r>
      <w:r>
        <w:t xml:space="preserve"> </w:t>
      </w:r>
      <w:r>
        <w:tab/>
      </w:r>
      <w:r w:rsidRPr="00C35112">
        <w:t>CitiPower, Powercor and SA Power Networks</w:t>
      </w:r>
      <w:r>
        <w:t xml:space="preserve"> noted that since overspending is not necessarily inefficient, overspends should not be subject to a higher penalty than should underspends. See </w:t>
      </w:r>
      <w:r w:rsidRPr="00C35112">
        <w:t>CitiPower</w:t>
      </w:r>
      <w:r>
        <w:t xml:space="preserve"> et al, </w:t>
      </w:r>
      <w:r w:rsidRPr="00143172">
        <w:rPr>
          <w:rStyle w:val="AERtextitalic"/>
        </w:rPr>
        <w:t>Submission on Issues Paper</w:t>
      </w:r>
      <w:r w:rsidRPr="00143172">
        <w:t xml:space="preserve">, </w:t>
      </w:r>
      <w:r>
        <w:t>p. 4.</w:t>
      </w:r>
    </w:p>
  </w:footnote>
  <w:footnote w:id="38">
    <w:p w:rsidR="00CC1485" w:rsidRDefault="00CC1485" w:rsidP="00293D2E">
      <w:pPr>
        <w:pStyle w:val="FootnoteText"/>
      </w:pPr>
      <w:r>
        <w:rPr>
          <w:rStyle w:val="FootnoteReference"/>
        </w:rPr>
        <w:footnoteRef/>
      </w:r>
      <w:r>
        <w:t xml:space="preserve"> </w:t>
      </w:r>
      <w:r>
        <w:tab/>
        <w:t xml:space="preserve">This concern was also noted in the submission from </w:t>
      </w:r>
      <w:r w:rsidRPr="003B4C72">
        <w:t>the Victorian Government Department of State Development and Business Innovation</w:t>
      </w:r>
      <w:r>
        <w:t xml:space="preserve"> (DSDBI). See DSDBI, </w:t>
      </w:r>
      <w:r w:rsidRPr="00143172">
        <w:rPr>
          <w:rStyle w:val="AERtextitalic"/>
        </w:rPr>
        <w:t>Submission on Issues Paper</w:t>
      </w:r>
      <w:r w:rsidRPr="00143172">
        <w:t xml:space="preserve">, </w:t>
      </w:r>
      <w:r>
        <w:t>pp. 1-2.</w:t>
      </w:r>
    </w:p>
  </w:footnote>
  <w:footnote w:id="39">
    <w:p w:rsidR="00CC1485" w:rsidRDefault="00CC1485">
      <w:pPr>
        <w:pStyle w:val="FootnoteText"/>
      </w:pPr>
      <w:r>
        <w:rPr>
          <w:rStyle w:val="FootnoteReference"/>
        </w:rPr>
        <w:footnoteRef/>
      </w:r>
      <w:r>
        <w:t xml:space="preserve"> </w:t>
      </w:r>
      <w:r>
        <w:tab/>
        <w:t xml:space="preserve">DSDBI, </w:t>
      </w:r>
      <w:r w:rsidRPr="00143172">
        <w:rPr>
          <w:rStyle w:val="AERtextitalic"/>
        </w:rPr>
        <w:t>Submission on Issues Paper</w:t>
      </w:r>
      <w:r w:rsidRPr="00143172">
        <w:t xml:space="preserve">, </w:t>
      </w:r>
      <w:r>
        <w:t>pp. 1-2.</w:t>
      </w:r>
    </w:p>
  </w:footnote>
  <w:footnote w:id="40">
    <w:p w:rsidR="00CC1485" w:rsidRDefault="00CC1485" w:rsidP="00FE5006">
      <w:pPr>
        <w:pStyle w:val="FootnoteText"/>
      </w:pPr>
      <w:r>
        <w:rPr>
          <w:rStyle w:val="FootnoteReference"/>
        </w:rPr>
        <w:footnoteRef/>
      </w:r>
      <w:r>
        <w:t xml:space="preserve"> </w:t>
      </w:r>
      <w:r>
        <w:tab/>
        <w:t xml:space="preserve">For more on the ESC's decision, see ESC, </w:t>
      </w:r>
      <w:r>
        <w:rPr>
          <w:rStyle w:val="AERtextitalic"/>
        </w:rPr>
        <w:t xml:space="preserve">Final Decision: </w:t>
      </w:r>
      <w:r w:rsidRPr="00FE5006">
        <w:rPr>
          <w:rStyle w:val="AERtextitalic"/>
        </w:rPr>
        <w:t>Electricity Distribution Price Review</w:t>
      </w:r>
      <w:r>
        <w:rPr>
          <w:rStyle w:val="AERtextitalic"/>
        </w:rPr>
        <w:t xml:space="preserve"> </w:t>
      </w:r>
      <w:r w:rsidRPr="00FE5006">
        <w:rPr>
          <w:rStyle w:val="AERtextitalic"/>
        </w:rPr>
        <w:t>2006</w:t>
      </w:r>
      <w:r>
        <w:rPr>
          <w:rStyle w:val="AERtextitalic"/>
        </w:rPr>
        <w:noBreakHyphen/>
      </w:r>
      <w:r w:rsidRPr="00FE5006">
        <w:rPr>
          <w:rStyle w:val="AERtextitalic"/>
        </w:rPr>
        <w:t>10</w:t>
      </w:r>
      <w:r>
        <w:rPr>
          <w:rStyle w:val="AERtextitalic"/>
        </w:rPr>
        <w:t xml:space="preserve">, </w:t>
      </w:r>
      <w:r w:rsidRPr="00FE5006">
        <w:t>February 2006</w:t>
      </w:r>
      <w:r>
        <w:t xml:space="preserve"> </w:t>
      </w:r>
      <w:hyperlink r:id="rId6" w:history="1">
        <w:r w:rsidRPr="00F52DBE">
          <w:rPr>
            <w:rStyle w:val="Hyperlink"/>
          </w:rPr>
          <w:t>http://www.royalcommission.vic.gov.au/getdoc/d09c58ae-4770-4cae-9435-586148b53398/PAL.019.001.0636</w:t>
        </w:r>
      </w:hyperlink>
      <w:r>
        <w:t xml:space="preserve"> </w:t>
      </w:r>
    </w:p>
  </w:footnote>
  <w:footnote w:id="41">
    <w:p w:rsidR="00CC1485" w:rsidRDefault="00CC1485">
      <w:pPr>
        <w:pStyle w:val="FootnoteText"/>
      </w:pPr>
      <w:r>
        <w:rPr>
          <w:rStyle w:val="FootnoteReference"/>
        </w:rPr>
        <w:footnoteRef/>
      </w:r>
      <w:r>
        <w:t xml:space="preserve"> </w:t>
      </w:r>
      <w:r>
        <w:tab/>
        <w:t xml:space="preserve">AER, </w:t>
      </w:r>
      <w:r w:rsidRPr="00415F10">
        <w:rPr>
          <w:rStyle w:val="AERtextitalic"/>
        </w:rPr>
        <w:t xml:space="preserve">Explanatory </w:t>
      </w:r>
      <w:r>
        <w:rPr>
          <w:rStyle w:val="AERtextitalic"/>
        </w:rPr>
        <w:t>s</w:t>
      </w:r>
      <w:r w:rsidRPr="00415F10">
        <w:rPr>
          <w:rStyle w:val="AERtextitalic"/>
        </w:rPr>
        <w:t>tatement: Draft Expenditure Forecasting Assessment Guidelines</w:t>
      </w:r>
      <w:r>
        <w:t>, August 2013.</w:t>
      </w:r>
    </w:p>
  </w:footnote>
  <w:footnote w:id="42">
    <w:p w:rsidR="00CC1485" w:rsidRDefault="00CC1485">
      <w:pPr>
        <w:pStyle w:val="FootnoteText"/>
      </w:pPr>
      <w:r>
        <w:rPr>
          <w:rStyle w:val="FootnoteReference"/>
        </w:rPr>
        <w:footnoteRef/>
      </w:r>
      <w:r>
        <w:t xml:space="preserve"> </w:t>
      </w:r>
      <w:r>
        <w:tab/>
        <w:t xml:space="preserve">MEU, </w:t>
      </w:r>
      <w:r w:rsidRPr="00143172">
        <w:rPr>
          <w:rStyle w:val="AERtextitalic"/>
        </w:rPr>
        <w:t>Submission on Issues Paper</w:t>
      </w:r>
      <w:r w:rsidRPr="00143172">
        <w:t xml:space="preserve">, </w:t>
      </w:r>
      <w:r>
        <w:t>p. 27.</w:t>
      </w:r>
    </w:p>
  </w:footnote>
  <w:footnote w:id="43">
    <w:p w:rsidR="00CC1485" w:rsidRDefault="00CC1485" w:rsidP="001D5442">
      <w:pPr>
        <w:pStyle w:val="FootnoteText"/>
      </w:pPr>
      <w:r>
        <w:rPr>
          <w:rStyle w:val="FootnoteReference"/>
        </w:rPr>
        <w:footnoteRef/>
      </w:r>
      <w:r>
        <w:t xml:space="preserve"> </w:t>
      </w:r>
      <w:r>
        <w:tab/>
        <w:t xml:space="preserve">EUAA, </w:t>
      </w:r>
      <w:r w:rsidRPr="00143172">
        <w:rPr>
          <w:rStyle w:val="AERtextitalic"/>
        </w:rPr>
        <w:t>Submission on Issues Paper</w:t>
      </w:r>
      <w:r w:rsidRPr="00143172">
        <w:t xml:space="preserve">, </w:t>
      </w:r>
      <w:r>
        <w:t>pp. 12-13.</w:t>
      </w:r>
    </w:p>
  </w:footnote>
  <w:footnote w:id="44">
    <w:p w:rsidR="00CC1485" w:rsidRDefault="00CC1485">
      <w:pPr>
        <w:pStyle w:val="FootnoteText"/>
      </w:pPr>
      <w:r>
        <w:rPr>
          <w:rStyle w:val="FootnoteReference"/>
        </w:rPr>
        <w:footnoteRef/>
      </w:r>
      <w:r>
        <w:t xml:space="preserve"> </w:t>
      </w:r>
      <w:r>
        <w:tab/>
        <w:t xml:space="preserve">APA Group, </w:t>
      </w:r>
      <w:r w:rsidRPr="00143172">
        <w:rPr>
          <w:rStyle w:val="AERtextitalic"/>
        </w:rPr>
        <w:t>Submission on Issues Paper</w:t>
      </w:r>
      <w:r w:rsidRPr="00143172">
        <w:t xml:space="preserve">, </w:t>
      </w:r>
      <w:r>
        <w:t xml:space="preserve">p. 3; Grid Australia, </w:t>
      </w:r>
      <w:r w:rsidRPr="00143172">
        <w:rPr>
          <w:rStyle w:val="AERtextitalic"/>
        </w:rPr>
        <w:t>Submission on Issues Paper</w:t>
      </w:r>
      <w:r w:rsidRPr="00143172">
        <w:t xml:space="preserve">, </w:t>
      </w:r>
      <w:r>
        <w:t>p. 9.</w:t>
      </w:r>
    </w:p>
  </w:footnote>
  <w:footnote w:id="45">
    <w:p w:rsidR="00CC1485" w:rsidRDefault="00CC1485" w:rsidP="00F5545D">
      <w:pPr>
        <w:pStyle w:val="FootnoteText"/>
      </w:pPr>
      <w:r>
        <w:rPr>
          <w:rStyle w:val="FootnoteReference"/>
        </w:rPr>
        <w:footnoteRef/>
      </w:r>
      <w:r>
        <w:t xml:space="preserve"> </w:t>
      </w:r>
      <w:r>
        <w:tab/>
        <w:t xml:space="preserve">PIAC, </w:t>
      </w:r>
      <w:r w:rsidRPr="00143172">
        <w:rPr>
          <w:rStyle w:val="AERtextitalic"/>
        </w:rPr>
        <w:t>Submission on Issues Paper</w:t>
      </w:r>
      <w:r w:rsidRPr="00143172">
        <w:t xml:space="preserve">, </w:t>
      </w:r>
      <w:r>
        <w:t xml:space="preserve">p. 21; TEC, </w:t>
      </w:r>
      <w:r w:rsidRPr="00143172">
        <w:rPr>
          <w:rStyle w:val="AERtextitalic"/>
        </w:rPr>
        <w:t>Submission on Issues Paper</w:t>
      </w:r>
      <w:r w:rsidRPr="00143172">
        <w:t xml:space="preserve">, </w:t>
      </w:r>
      <w:r>
        <w:t>p. 3.</w:t>
      </w:r>
    </w:p>
  </w:footnote>
  <w:footnote w:id="46">
    <w:p w:rsidR="00CC1485" w:rsidRDefault="00CC1485">
      <w:pPr>
        <w:pStyle w:val="FootnoteText"/>
      </w:pPr>
      <w:r>
        <w:rPr>
          <w:rStyle w:val="FootnoteReference"/>
        </w:rPr>
        <w:footnoteRef/>
      </w:r>
      <w:r>
        <w:t xml:space="preserve"> </w:t>
      </w:r>
      <w:r>
        <w:tab/>
      </w:r>
      <w:r w:rsidRPr="00C35112">
        <w:t>CitiPower</w:t>
      </w:r>
      <w:r>
        <w:t xml:space="preserve"> et al, </w:t>
      </w:r>
      <w:r w:rsidRPr="00143172">
        <w:rPr>
          <w:rStyle w:val="AERtextitalic"/>
        </w:rPr>
        <w:t>Submission on Issues Paper</w:t>
      </w:r>
      <w:r w:rsidRPr="00143172">
        <w:t xml:space="preserve">, </w:t>
      </w:r>
      <w:r>
        <w:t xml:space="preserve">p. 15; ENA, </w:t>
      </w:r>
      <w:r w:rsidRPr="00143172">
        <w:rPr>
          <w:rStyle w:val="AERtextitalic"/>
        </w:rPr>
        <w:t>Submission on Issues Paper</w:t>
      </w:r>
      <w:r w:rsidRPr="00143172">
        <w:t xml:space="preserve">, </w:t>
      </w:r>
      <w:r>
        <w:t xml:space="preserve">pp. 21-22; Energex, </w:t>
      </w:r>
      <w:r w:rsidRPr="00143172">
        <w:rPr>
          <w:rStyle w:val="AERtextitalic"/>
        </w:rPr>
        <w:t>Submission on Issues Paper</w:t>
      </w:r>
      <w:r w:rsidRPr="00143172">
        <w:t xml:space="preserve">, </w:t>
      </w:r>
      <w:r>
        <w:t xml:space="preserve">pp. 4-5; Ergon Energy, </w:t>
      </w:r>
      <w:r w:rsidRPr="00143172">
        <w:rPr>
          <w:rStyle w:val="AERtextitalic"/>
        </w:rPr>
        <w:t>Submission on Issues Paper</w:t>
      </w:r>
      <w:r w:rsidRPr="00143172">
        <w:t xml:space="preserve">, </w:t>
      </w:r>
      <w:r>
        <w:t xml:space="preserve">p. 7; Jemena, </w:t>
      </w:r>
      <w:r w:rsidRPr="00143172">
        <w:rPr>
          <w:rStyle w:val="AERtextitalic"/>
        </w:rPr>
        <w:t>Submission on Issues Paper</w:t>
      </w:r>
      <w:r w:rsidRPr="00143172">
        <w:t xml:space="preserve">, </w:t>
      </w:r>
      <w:r>
        <w:t>p. 2; SP AusNet,</w:t>
      </w:r>
      <w:r w:rsidRPr="00F907AB">
        <w:t xml:space="preserve"> </w:t>
      </w:r>
      <w:r w:rsidRPr="00143172">
        <w:rPr>
          <w:rStyle w:val="AERtextitalic"/>
        </w:rPr>
        <w:t>Submission on Issues Paper</w:t>
      </w:r>
      <w:r w:rsidRPr="00143172">
        <w:t xml:space="preserve">, </w:t>
      </w:r>
      <w:r>
        <w:t>pp. 3-4.</w:t>
      </w:r>
    </w:p>
  </w:footnote>
  <w:footnote w:id="47">
    <w:p w:rsidR="00CC1485" w:rsidRDefault="00CC1485">
      <w:pPr>
        <w:pStyle w:val="FootnoteText"/>
      </w:pPr>
      <w:r>
        <w:rPr>
          <w:rStyle w:val="FootnoteReference"/>
        </w:rPr>
        <w:footnoteRef/>
      </w:r>
      <w:r>
        <w:t xml:space="preserve"> </w:t>
      </w:r>
      <w:r>
        <w:tab/>
        <w:t xml:space="preserve">APA Group, </w:t>
      </w:r>
      <w:r w:rsidRPr="00143172">
        <w:rPr>
          <w:rStyle w:val="AERtextitalic"/>
        </w:rPr>
        <w:t>Submission on Issues Paper</w:t>
      </w:r>
      <w:r w:rsidRPr="00143172">
        <w:t xml:space="preserve">, </w:t>
      </w:r>
      <w:r>
        <w:t xml:space="preserve">p. 3; Grid Australia, </w:t>
      </w:r>
      <w:r w:rsidRPr="00143172">
        <w:rPr>
          <w:rStyle w:val="AERtextitalic"/>
        </w:rPr>
        <w:t>Submission on Issues Paper</w:t>
      </w:r>
      <w:r w:rsidRPr="00143172">
        <w:t xml:space="preserve">, </w:t>
      </w:r>
      <w:r>
        <w:t>p. 9.</w:t>
      </w:r>
    </w:p>
  </w:footnote>
  <w:footnote w:id="48">
    <w:p w:rsidR="00CC1485" w:rsidRDefault="00CC1485">
      <w:pPr>
        <w:pStyle w:val="FootnoteText"/>
      </w:pPr>
      <w:r>
        <w:rPr>
          <w:rStyle w:val="FootnoteReference"/>
        </w:rPr>
        <w:footnoteRef/>
      </w:r>
      <w:r>
        <w:t xml:space="preserve"> </w:t>
      </w:r>
      <w:r>
        <w:tab/>
        <w:t>This approach was supported by Energex and Grid Australia. See Energex,</w:t>
      </w:r>
      <w:r w:rsidRPr="00F907AB">
        <w:t xml:space="preserve"> </w:t>
      </w:r>
      <w:r w:rsidRPr="00143172">
        <w:rPr>
          <w:rStyle w:val="AERtextitalic"/>
        </w:rPr>
        <w:t>Submission on Issues Paper</w:t>
      </w:r>
      <w:r>
        <w:t>, p. 6; Grid Australia,</w:t>
      </w:r>
      <w:r w:rsidRPr="00F907AB">
        <w:t xml:space="preserve"> </w:t>
      </w:r>
      <w:r w:rsidRPr="00143172">
        <w:rPr>
          <w:rStyle w:val="AERtextitalic"/>
        </w:rPr>
        <w:t>Submission on Issues Paper</w:t>
      </w:r>
      <w:r>
        <w:t>, pp. 2-3.</w:t>
      </w:r>
    </w:p>
  </w:footnote>
  <w:footnote w:id="49">
    <w:p w:rsidR="00CC1485" w:rsidRDefault="00CC1485">
      <w:pPr>
        <w:pStyle w:val="FootnoteText"/>
      </w:pPr>
      <w:r>
        <w:rPr>
          <w:rStyle w:val="FootnoteReference"/>
        </w:rPr>
        <w:footnoteRef/>
      </w:r>
      <w:r>
        <w:t xml:space="preserve"> </w:t>
      </w:r>
      <w:r>
        <w:tab/>
        <w:t xml:space="preserve">ActewAGL, </w:t>
      </w:r>
      <w:r w:rsidRPr="00143172">
        <w:rPr>
          <w:rStyle w:val="AERtextitalic"/>
        </w:rPr>
        <w:t>Submission on Issues Paper</w:t>
      </w:r>
      <w:r>
        <w:t xml:space="preserve">, p. 3; </w:t>
      </w:r>
      <w:r w:rsidRPr="00C35112">
        <w:t>CitiPower</w:t>
      </w:r>
      <w:r>
        <w:t xml:space="preserve"> et al, </w:t>
      </w:r>
      <w:r w:rsidRPr="00143172">
        <w:rPr>
          <w:rStyle w:val="AERtextitalic"/>
        </w:rPr>
        <w:t>Submission on Issues Paper</w:t>
      </w:r>
      <w:r>
        <w:t xml:space="preserve">, p. 6; ENA, </w:t>
      </w:r>
      <w:r w:rsidRPr="00143172">
        <w:rPr>
          <w:rStyle w:val="AERtextitalic"/>
        </w:rPr>
        <w:t>Submission on Issues Paper</w:t>
      </w:r>
      <w:r>
        <w:t>, pp. 22-23; Energex,</w:t>
      </w:r>
      <w:r w:rsidRPr="00F907AB">
        <w:t xml:space="preserve"> </w:t>
      </w:r>
      <w:r w:rsidRPr="00143172">
        <w:rPr>
          <w:rStyle w:val="AERtextitalic"/>
        </w:rPr>
        <w:t>Submission on Issues Paper</w:t>
      </w:r>
      <w:r>
        <w:t xml:space="preserve">, p. 5; Ergon Energy, </w:t>
      </w:r>
      <w:r w:rsidRPr="00143172">
        <w:rPr>
          <w:rStyle w:val="AERtextitalic"/>
        </w:rPr>
        <w:t>Submission on Issues Paper</w:t>
      </w:r>
      <w:r>
        <w:t xml:space="preserve">, p. 7; Grid Australia, </w:t>
      </w:r>
      <w:r w:rsidRPr="00143172">
        <w:rPr>
          <w:rStyle w:val="AERtextitalic"/>
        </w:rPr>
        <w:t>Submission on Issues Paper</w:t>
      </w:r>
      <w:r>
        <w:t xml:space="preserve">, p. 33; Jemena, </w:t>
      </w:r>
      <w:r w:rsidRPr="00143172">
        <w:rPr>
          <w:rStyle w:val="AERtextitalic"/>
        </w:rPr>
        <w:t>Submission on Issues Paper</w:t>
      </w:r>
      <w:r>
        <w:t xml:space="preserve">, pp. 4-5; MEU, </w:t>
      </w:r>
      <w:r w:rsidRPr="00143172">
        <w:rPr>
          <w:rStyle w:val="AERtextitalic"/>
        </w:rPr>
        <w:t>Submission on Issues Paper</w:t>
      </w:r>
      <w:r>
        <w:t xml:space="preserve">, pp. 27-28; NSW DNSPs, </w:t>
      </w:r>
      <w:r w:rsidRPr="00143172">
        <w:rPr>
          <w:rStyle w:val="AERtextitalic"/>
        </w:rPr>
        <w:t>Submission on Issues Paper</w:t>
      </w:r>
      <w:r>
        <w:t xml:space="preserve">, p. 2; PIAC, </w:t>
      </w:r>
      <w:r w:rsidRPr="00143172">
        <w:rPr>
          <w:rStyle w:val="AERtextitalic"/>
        </w:rPr>
        <w:t>Submission on Issues Paper</w:t>
      </w:r>
      <w:r>
        <w:t xml:space="preserve">, p. 22; SP AusNet, </w:t>
      </w:r>
      <w:r w:rsidRPr="00143172">
        <w:rPr>
          <w:rStyle w:val="AERtextitalic"/>
        </w:rPr>
        <w:t>Submission on Issues Paper</w:t>
      </w:r>
      <w:r>
        <w:t>, p. 4.</w:t>
      </w:r>
    </w:p>
  </w:footnote>
  <w:footnote w:id="50">
    <w:p w:rsidR="00CC1485" w:rsidRDefault="00CC1485" w:rsidP="005F54B4">
      <w:pPr>
        <w:pStyle w:val="FootnoteText"/>
      </w:pPr>
      <w:r>
        <w:rPr>
          <w:rStyle w:val="FootnoteReference"/>
        </w:rPr>
        <w:footnoteRef/>
      </w:r>
      <w:r>
        <w:t xml:space="preserve"> </w:t>
      </w:r>
      <w:r>
        <w:tab/>
        <w:t xml:space="preserve">NSW DNSPs, </w:t>
      </w:r>
      <w:r w:rsidRPr="00143172">
        <w:rPr>
          <w:rStyle w:val="AERtextitalic"/>
        </w:rPr>
        <w:t>Submission on Issues Paper</w:t>
      </w:r>
      <w:r>
        <w:t>, p. 2.</w:t>
      </w:r>
    </w:p>
  </w:footnote>
  <w:footnote w:id="51">
    <w:p w:rsidR="00CC1485" w:rsidRDefault="00CC1485" w:rsidP="005F54B4">
      <w:pPr>
        <w:pStyle w:val="FootnoteText"/>
      </w:pPr>
      <w:r>
        <w:rPr>
          <w:rStyle w:val="FootnoteReference"/>
        </w:rPr>
        <w:footnoteRef/>
      </w:r>
      <w:r>
        <w:t xml:space="preserve"> </w:t>
      </w:r>
      <w:r>
        <w:tab/>
        <w:t xml:space="preserve">NSW DNSPs, </w:t>
      </w:r>
      <w:r w:rsidRPr="00143172">
        <w:rPr>
          <w:rStyle w:val="AERtextitalic"/>
        </w:rPr>
        <w:t>Submission on Issues Paper</w:t>
      </w:r>
      <w:r>
        <w:t>, p. 2.</w:t>
      </w:r>
    </w:p>
  </w:footnote>
  <w:footnote w:id="52">
    <w:p w:rsidR="00CC1485" w:rsidRDefault="00CC1485">
      <w:pPr>
        <w:pStyle w:val="FootnoteText"/>
      </w:pPr>
      <w:r>
        <w:rPr>
          <w:rStyle w:val="FootnoteReference"/>
        </w:rPr>
        <w:footnoteRef/>
      </w:r>
      <w:r>
        <w:t xml:space="preserve"> </w:t>
      </w:r>
      <w:r>
        <w:tab/>
        <w:t>MEU,</w:t>
      </w:r>
      <w:r w:rsidRPr="00167000">
        <w:rPr>
          <w:rStyle w:val="AERtextitalic"/>
        </w:rPr>
        <w:t xml:space="preserve"> </w:t>
      </w:r>
      <w:r w:rsidRPr="00143172">
        <w:rPr>
          <w:rStyle w:val="AERtextitalic"/>
        </w:rPr>
        <w:t>Submission on Issues Paper</w:t>
      </w:r>
      <w:r>
        <w:t>, pp. 27-28.</w:t>
      </w:r>
    </w:p>
  </w:footnote>
  <w:footnote w:id="53">
    <w:p w:rsidR="00CC1485" w:rsidRDefault="00CC1485" w:rsidP="005F54B4">
      <w:pPr>
        <w:pStyle w:val="FootnoteText"/>
      </w:pPr>
      <w:r>
        <w:rPr>
          <w:rStyle w:val="FootnoteReference"/>
        </w:rPr>
        <w:footnoteRef/>
      </w:r>
      <w:r>
        <w:t xml:space="preserve"> </w:t>
      </w:r>
      <w:r>
        <w:tab/>
        <w:t xml:space="preserve">NSW DNSPs, </w:t>
      </w:r>
      <w:r w:rsidRPr="00143172">
        <w:rPr>
          <w:rStyle w:val="AERtextitalic"/>
        </w:rPr>
        <w:t>Submission on Issues Paper</w:t>
      </w:r>
      <w:r>
        <w:t>, p. 2.</w:t>
      </w:r>
    </w:p>
  </w:footnote>
  <w:footnote w:id="54">
    <w:p w:rsidR="00CC1485" w:rsidRDefault="00CC1485" w:rsidP="00794682">
      <w:pPr>
        <w:pStyle w:val="FootnoteText"/>
      </w:pPr>
      <w:r>
        <w:rPr>
          <w:rStyle w:val="FootnoteReference"/>
        </w:rPr>
        <w:footnoteRef/>
      </w:r>
      <w:r>
        <w:t xml:space="preserve"> </w:t>
      </w:r>
      <w:r>
        <w:tab/>
        <w:t xml:space="preserve">ActewAGL, </w:t>
      </w:r>
      <w:r w:rsidRPr="00143172">
        <w:rPr>
          <w:rStyle w:val="AERtextitalic"/>
        </w:rPr>
        <w:t>Submission on Issues Paper</w:t>
      </w:r>
      <w:r>
        <w:t xml:space="preserve">, p. 3; </w:t>
      </w:r>
      <w:r w:rsidRPr="00C35112">
        <w:t>CitiPower</w:t>
      </w:r>
      <w:r>
        <w:t xml:space="preserve"> et al, </w:t>
      </w:r>
      <w:r w:rsidRPr="00143172">
        <w:rPr>
          <w:rStyle w:val="AERtextitalic"/>
        </w:rPr>
        <w:t>Submission on Issues Paper</w:t>
      </w:r>
      <w:r>
        <w:t xml:space="preserve">, p. 6; ENA, </w:t>
      </w:r>
      <w:r w:rsidRPr="00143172">
        <w:rPr>
          <w:rStyle w:val="AERtextitalic"/>
        </w:rPr>
        <w:t>Submission on Issues Paper</w:t>
      </w:r>
      <w:r>
        <w:t xml:space="preserve">, pp. 22-23; Jemena, </w:t>
      </w:r>
      <w:r w:rsidRPr="00143172">
        <w:rPr>
          <w:rStyle w:val="AERtextitalic"/>
        </w:rPr>
        <w:t>Submission on Issues Paper</w:t>
      </w:r>
      <w:r>
        <w:t xml:space="preserve">, pp. 4-5; SP AusNet, </w:t>
      </w:r>
      <w:r w:rsidRPr="00143172">
        <w:rPr>
          <w:rStyle w:val="AERtextitalic"/>
        </w:rPr>
        <w:t>Submission on Issues Paper</w:t>
      </w:r>
      <w:r>
        <w:t>, p. 4.</w:t>
      </w:r>
    </w:p>
  </w:footnote>
  <w:footnote w:id="55">
    <w:p w:rsidR="00CC1485" w:rsidRDefault="00CC1485">
      <w:pPr>
        <w:pStyle w:val="FootnoteText"/>
      </w:pPr>
      <w:r>
        <w:rPr>
          <w:rStyle w:val="FootnoteReference"/>
        </w:rPr>
        <w:footnoteRef/>
      </w:r>
      <w:r>
        <w:t xml:space="preserve"> </w:t>
      </w:r>
      <w:r>
        <w:tab/>
      </w:r>
      <w:r w:rsidRPr="00C35112">
        <w:t>CitiPower</w:t>
      </w:r>
      <w:r>
        <w:t xml:space="preserve"> et al, </w:t>
      </w:r>
      <w:r w:rsidRPr="00143172">
        <w:rPr>
          <w:rStyle w:val="AERtextitalic"/>
        </w:rPr>
        <w:t>Submission on Issues Paper</w:t>
      </w:r>
      <w:r>
        <w:t>, p. 6; Energex,</w:t>
      </w:r>
      <w:r w:rsidRPr="00F907AB">
        <w:t xml:space="preserve"> </w:t>
      </w:r>
      <w:r w:rsidRPr="00143172">
        <w:rPr>
          <w:rStyle w:val="AERtextitalic"/>
        </w:rPr>
        <w:t>Submission on Issues Paper</w:t>
      </w:r>
      <w:r>
        <w:t>, p. 5.</w:t>
      </w:r>
    </w:p>
  </w:footnote>
  <w:footnote w:id="56">
    <w:p w:rsidR="00CC1485" w:rsidRDefault="00CC1485">
      <w:pPr>
        <w:pStyle w:val="FootnoteText"/>
      </w:pPr>
      <w:r>
        <w:rPr>
          <w:rStyle w:val="FootnoteReference"/>
        </w:rPr>
        <w:footnoteRef/>
      </w:r>
      <w:r>
        <w:t xml:space="preserve"> </w:t>
      </w:r>
      <w:r>
        <w:tab/>
        <w:t>If forecast depreciation is used to roll forward the RAB and we apply a weighted average cost of capital of 6 per cent we get an incentive power of just around 23 per cent in year one on the regulatory control period. The incentive power declines towards zero per cent in year 5.</w:t>
      </w:r>
    </w:p>
  </w:footnote>
  <w:footnote w:id="57">
    <w:p w:rsidR="00CC1485" w:rsidRDefault="00CC1485" w:rsidP="00A609EA">
      <w:pPr>
        <w:pStyle w:val="FootnoteText"/>
      </w:pPr>
      <w:r>
        <w:rPr>
          <w:rStyle w:val="FootnoteReference"/>
        </w:rPr>
        <w:footnoteRef/>
      </w:r>
      <w:r>
        <w:t xml:space="preserve"> </w:t>
      </w:r>
      <w:r>
        <w:tab/>
        <w:t xml:space="preserve">Available on our website: </w:t>
      </w:r>
      <w:hyperlink r:id="rId7" w:history="1">
        <w:r w:rsidRPr="00133634">
          <w:rPr>
            <w:rStyle w:val="Hyperlink"/>
          </w:rPr>
          <w:t>http://www.aer.gov.au/node/18869</w:t>
        </w:r>
      </w:hyperlink>
      <w:r>
        <w:t>.</w:t>
      </w:r>
    </w:p>
  </w:footnote>
  <w:footnote w:id="58">
    <w:p w:rsidR="00CC1485" w:rsidRDefault="00CC1485" w:rsidP="005466BD">
      <w:pPr>
        <w:pStyle w:val="FootnoteText"/>
      </w:pPr>
      <w:r>
        <w:rPr>
          <w:rStyle w:val="FootnoteReference"/>
        </w:rPr>
        <w:footnoteRef/>
      </w:r>
      <w:r>
        <w:t xml:space="preserve"> </w:t>
      </w:r>
      <w:r>
        <w:tab/>
        <w:t>This is calculated as 1/</w:t>
      </w:r>
      <m:oMath>
        <m:sSup>
          <m:sSupPr>
            <m:ctrlPr>
              <w:rPr>
                <w:rFonts w:ascii="Cambria Math" w:hAnsi="Cambria Math"/>
              </w:rPr>
            </m:ctrlPr>
          </m:sSupPr>
          <m:e>
            <m:d>
              <m:dPr>
                <m:ctrlPr>
                  <w:rPr>
                    <w:rFonts w:ascii="Cambria Math" w:hAnsi="Cambria Math"/>
                  </w:rPr>
                </m:ctrlPr>
              </m:dPr>
              <m:e>
                <m:r>
                  <w:rPr>
                    <w:rFonts w:ascii="Cambria Math" w:hAnsi="Cambria Math"/>
                  </w:rPr>
                  <m:t>1+WACC</m:t>
                </m:r>
              </m:e>
            </m:d>
          </m:e>
          <m:sup>
            <m:r>
              <w:rPr>
                <w:rFonts w:ascii="Cambria Math" w:hAnsi="Cambria Math"/>
              </w:rPr>
              <m:t>n-5.5</m:t>
            </m:r>
          </m:sup>
        </m:sSup>
      </m:oMath>
      <w:r>
        <w:t xml:space="preserve"> where n is the relevant year of the regulatory period (so, 1 in year one, for example).</w:t>
      </w:r>
    </w:p>
  </w:footnote>
  <w:footnote w:id="59">
    <w:p w:rsidR="00CC1485" w:rsidRDefault="00CC1485">
      <w:pPr>
        <w:pStyle w:val="FootnoteText"/>
      </w:pPr>
      <w:r>
        <w:rPr>
          <w:rStyle w:val="FootnoteReference"/>
        </w:rPr>
        <w:footnoteRef/>
      </w:r>
      <w:r>
        <w:t xml:space="preserve"> </w:t>
      </w:r>
      <w:r>
        <w:tab/>
        <w:t>This is calculated as 1/</w:t>
      </w:r>
      <m:oMath>
        <m:sSup>
          <m:sSupPr>
            <m:ctrlPr>
              <w:rPr>
                <w:rFonts w:ascii="Cambria Math" w:hAnsi="Cambria Math"/>
              </w:rPr>
            </m:ctrlPr>
          </m:sSupPr>
          <m:e>
            <m:d>
              <m:dPr>
                <m:ctrlPr>
                  <w:rPr>
                    <w:rFonts w:ascii="Cambria Math" w:hAnsi="Cambria Math"/>
                  </w:rPr>
                </m:ctrlPr>
              </m:dPr>
              <m:e>
                <m:r>
                  <w:rPr>
                    <w:rFonts w:ascii="Cambria Math" w:hAnsi="Cambria Math"/>
                  </w:rPr>
                  <m:t>1+WACC</m:t>
                </m:r>
              </m:e>
            </m:d>
          </m:e>
          <m:sup>
            <m:r>
              <w:rPr>
                <w:rFonts w:ascii="Cambria Math" w:hAnsi="Cambria Math"/>
              </w:rPr>
              <m:t>n-5</m:t>
            </m:r>
          </m:sup>
        </m:sSup>
        <m:r>
          <w:rPr>
            <w:rFonts w:ascii="Cambria Math" w:hAnsi="Cambria Math"/>
          </w:rPr>
          <m:t xml:space="preserve"> </m:t>
        </m:r>
      </m:oMath>
      <w:r>
        <w:t>where n is the relevant year of the regulatory period (so, 1 in year one, for example).</w:t>
      </w:r>
    </w:p>
  </w:footnote>
  <w:footnote w:id="60">
    <w:p w:rsidR="00CC1485" w:rsidRDefault="00CC1485" w:rsidP="007E152B">
      <w:pPr>
        <w:pStyle w:val="FootnoteText"/>
      </w:pPr>
      <w:r>
        <w:rPr>
          <w:rStyle w:val="FootnoteReference"/>
        </w:rPr>
        <w:footnoteRef/>
      </w:r>
      <w:r>
        <w:t xml:space="preserve"> </w:t>
      </w:r>
      <w:r>
        <w:tab/>
        <w:t>NER, c</w:t>
      </w:r>
      <w:r w:rsidRPr="00382B12">
        <w:t>lause</w:t>
      </w:r>
      <w:r>
        <w:t>s</w:t>
      </w:r>
      <w:r w:rsidRPr="00382B12">
        <w:t xml:space="preserve"> </w:t>
      </w:r>
      <w:proofErr w:type="gramStart"/>
      <w:r>
        <w:t>S</w:t>
      </w:r>
      <w:r w:rsidRPr="00382B12">
        <w:t>6A.2.2B</w:t>
      </w:r>
      <w:r>
        <w:t>(</w:t>
      </w:r>
      <w:proofErr w:type="gramEnd"/>
      <w:r>
        <w:t>a) and</w:t>
      </w:r>
      <w:r w:rsidRPr="00382B12">
        <w:t xml:space="preserve"> </w:t>
      </w:r>
      <w:r>
        <w:t>S</w:t>
      </w:r>
      <w:r w:rsidRPr="00382B12">
        <w:t>6.2.2B</w:t>
      </w:r>
      <w:r>
        <w:t>(a).</w:t>
      </w:r>
    </w:p>
  </w:footnote>
  <w:footnote w:id="61">
    <w:p w:rsidR="00CC1485" w:rsidRDefault="00CC1485" w:rsidP="007E152B">
      <w:pPr>
        <w:pStyle w:val="FootnoteText"/>
      </w:pPr>
      <w:r>
        <w:rPr>
          <w:rStyle w:val="FootnoteReference"/>
        </w:rPr>
        <w:footnoteRef/>
      </w:r>
      <w:r>
        <w:t xml:space="preserve"> </w:t>
      </w:r>
      <w:r>
        <w:tab/>
        <w:t>NER, clauses</w:t>
      </w:r>
      <w:r w:rsidRPr="00382B12">
        <w:t xml:space="preserve"> </w:t>
      </w:r>
      <w:r>
        <w:t>6A.5A(b)(3) and</w:t>
      </w:r>
      <w:r w:rsidRPr="00382B12">
        <w:t xml:space="preserve"> </w:t>
      </w:r>
      <w:r>
        <w:t>6.4A(b)(3).</w:t>
      </w:r>
    </w:p>
  </w:footnote>
  <w:footnote w:id="62">
    <w:p w:rsidR="00CC1485" w:rsidRDefault="00CC1485" w:rsidP="007E152B">
      <w:pPr>
        <w:pStyle w:val="FootnoteText"/>
      </w:pPr>
      <w:r>
        <w:rPr>
          <w:rStyle w:val="FootnoteReference"/>
        </w:rPr>
        <w:footnoteRef/>
      </w:r>
      <w:r>
        <w:t xml:space="preserve"> </w:t>
      </w:r>
      <w:r>
        <w:tab/>
        <w:t>NER, c</w:t>
      </w:r>
      <w:r w:rsidRPr="00382B12">
        <w:t>lause</w:t>
      </w:r>
      <w:r>
        <w:t>s</w:t>
      </w:r>
      <w:r w:rsidRPr="00382B12">
        <w:t xml:space="preserve"> </w:t>
      </w:r>
      <w:r>
        <w:t>S</w:t>
      </w:r>
      <w:r w:rsidRPr="00382B12">
        <w:t>6A.2.2B</w:t>
      </w:r>
      <w:r>
        <w:t>(b)(c) and</w:t>
      </w:r>
      <w:r w:rsidRPr="00382B12">
        <w:t xml:space="preserve"> </w:t>
      </w:r>
      <w:r>
        <w:t>S</w:t>
      </w:r>
      <w:r w:rsidRPr="00382B12">
        <w:t>6.2.2B</w:t>
      </w:r>
      <w:r>
        <w:t>(b)(c).</w:t>
      </w:r>
    </w:p>
  </w:footnote>
  <w:footnote w:id="63">
    <w:p w:rsidR="00CC1485" w:rsidRDefault="00CC1485">
      <w:pPr>
        <w:pStyle w:val="FootnoteText"/>
      </w:pPr>
      <w:r>
        <w:rPr>
          <w:rStyle w:val="FootnoteReference"/>
        </w:rPr>
        <w:footnoteRef/>
      </w:r>
      <w:r>
        <w:t xml:space="preserve"> </w:t>
      </w:r>
      <w:r>
        <w:tab/>
        <w:t xml:space="preserve">For more on the incentive properties of using actual or forecast depreciation to roll forward the RAB, see: Economic Insights, </w:t>
      </w:r>
      <w:r w:rsidRPr="00222F63">
        <w:rPr>
          <w:rStyle w:val="AERtextitalic"/>
        </w:rPr>
        <w:t>The use of actual or forecast depreciation in energy network regulation</w:t>
      </w:r>
      <w:r>
        <w:t xml:space="preserve">, May 2012 </w:t>
      </w:r>
      <w:hyperlink r:id="rId8" w:history="1">
        <w:r w:rsidRPr="00B16320">
          <w:rPr>
            <w:rStyle w:val="Hyperlink"/>
          </w:rPr>
          <w:t>http://www.aemc.gov.au/</w:t>
        </w:r>
        <w:r w:rsidRPr="00B16320">
          <w:rPr>
            <w:rStyle w:val="Hyperlink"/>
          </w:rPr>
          <w:br/>
          <w:t>Media/docs/12-18675-Economic-Insights---Actual-vs-Forecast-Depreciation---for-publication-5e0d441a-8289-4881-8d0b-df2be8a04f95-0.pdf</w:t>
        </w:r>
      </w:hyperlink>
      <w:r>
        <w:t xml:space="preserve"> </w:t>
      </w:r>
    </w:p>
  </w:footnote>
  <w:footnote w:id="64">
    <w:p w:rsidR="00CC1485" w:rsidRDefault="00CC1485">
      <w:pPr>
        <w:pStyle w:val="FootnoteText"/>
      </w:pPr>
      <w:r>
        <w:rPr>
          <w:rStyle w:val="FootnoteReference"/>
        </w:rPr>
        <w:footnoteRef/>
      </w:r>
      <w:r>
        <w:t xml:space="preserve"> </w:t>
      </w:r>
      <w:r>
        <w:tab/>
        <w:t>COSBOA</w:t>
      </w:r>
      <w:r w:rsidRPr="009A2114">
        <w:t xml:space="preserve">, </w:t>
      </w:r>
      <w:r w:rsidRPr="009A2114">
        <w:rPr>
          <w:rStyle w:val="AERtextitalic"/>
        </w:rPr>
        <w:t>Submission on Issues Paper</w:t>
      </w:r>
      <w:r w:rsidRPr="009A2114">
        <w:t xml:space="preserve">, p. 13; DSDBI, </w:t>
      </w:r>
      <w:r w:rsidRPr="009A2114">
        <w:rPr>
          <w:rStyle w:val="AERtextitalic"/>
        </w:rPr>
        <w:t>Submission on Issues Paper</w:t>
      </w:r>
      <w:r w:rsidRPr="009A2114">
        <w:t xml:space="preserve">, p. 4; ENA, </w:t>
      </w:r>
      <w:r w:rsidRPr="009A2114">
        <w:rPr>
          <w:rStyle w:val="AERtextitalic"/>
        </w:rPr>
        <w:t>Submission on Issues Paper</w:t>
      </w:r>
      <w:r w:rsidRPr="009A2114">
        <w:t xml:space="preserve">, pp. 24-25; Energex, </w:t>
      </w:r>
      <w:r w:rsidRPr="009A2114">
        <w:rPr>
          <w:rStyle w:val="AERtextitalic"/>
        </w:rPr>
        <w:t>Submission on Issues Paper</w:t>
      </w:r>
      <w:r w:rsidRPr="009A2114">
        <w:t xml:space="preserve">, p. 6; Ergon Energy, </w:t>
      </w:r>
      <w:r w:rsidRPr="009A2114">
        <w:rPr>
          <w:rStyle w:val="AERtextitalic"/>
        </w:rPr>
        <w:t>Submission on Issues Paper</w:t>
      </w:r>
      <w:r w:rsidRPr="009A2114">
        <w:t xml:space="preserve">, pp. 7-8; Jemena, </w:t>
      </w:r>
      <w:r w:rsidRPr="009A2114">
        <w:rPr>
          <w:rStyle w:val="AERtextitalic"/>
        </w:rPr>
        <w:t>Submission on Issues Paper</w:t>
      </w:r>
      <w:r w:rsidRPr="009A2114">
        <w:t xml:space="preserve">, p. 5; PIAC, </w:t>
      </w:r>
      <w:r w:rsidRPr="009A2114">
        <w:rPr>
          <w:rStyle w:val="AERtextitalic"/>
        </w:rPr>
        <w:t>Submission on Issues Paper</w:t>
      </w:r>
      <w:r w:rsidRPr="009A2114">
        <w:t xml:space="preserve">, p. 24; and SP AusNet, </w:t>
      </w:r>
      <w:r w:rsidRPr="009A2114">
        <w:rPr>
          <w:rStyle w:val="AERtextitalic"/>
        </w:rPr>
        <w:t>Submission on Issues Paper</w:t>
      </w:r>
      <w:r>
        <w:t>, p. 5.</w:t>
      </w:r>
    </w:p>
  </w:footnote>
  <w:footnote w:id="65">
    <w:p w:rsidR="00CC1485" w:rsidRDefault="00CC1485">
      <w:pPr>
        <w:pStyle w:val="FootnoteText"/>
      </w:pPr>
      <w:r>
        <w:rPr>
          <w:rStyle w:val="FootnoteReference"/>
        </w:rPr>
        <w:footnoteRef/>
      </w:r>
      <w:r>
        <w:t xml:space="preserve"> </w:t>
      </w:r>
      <w:r>
        <w:tab/>
      </w:r>
      <w:r w:rsidRPr="00C35112">
        <w:t>CitiPower</w:t>
      </w:r>
      <w:r>
        <w:t xml:space="preserve"> et al, </w:t>
      </w:r>
      <w:r w:rsidRPr="00143172">
        <w:rPr>
          <w:rStyle w:val="AERtextitalic"/>
        </w:rPr>
        <w:t>Submission on Issues Paper</w:t>
      </w:r>
      <w:r>
        <w:t>, pp. 6-7.</w:t>
      </w:r>
    </w:p>
  </w:footnote>
  <w:footnote w:id="66">
    <w:p w:rsidR="00CC1485" w:rsidRDefault="00CC1485">
      <w:pPr>
        <w:pStyle w:val="FootnoteText"/>
      </w:pPr>
      <w:r>
        <w:rPr>
          <w:rStyle w:val="FootnoteReference"/>
        </w:rPr>
        <w:footnoteRef/>
      </w:r>
      <w:r>
        <w:t xml:space="preserve"> </w:t>
      </w:r>
      <w:r>
        <w:tab/>
        <w:t xml:space="preserve">Grid Australia, SP AusNet, </w:t>
      </w:r>
      <w:r w:rsidRPr="00143172">
        <w:rPr>
          <w:rStyle w:val="AERtextitalic"/>
        </w:rPr>
        <w:t>Submission on Issues Paper</w:t>
      </w:r>
      <w:r>
        <w:t>, p. 19.</w:t>
      </w:r>
    </w:p>
  </w:footnote>
  <w:footnote w:id="67">
    <w:p w:rsidR="00CC1485" w:rsidRDefault="00CC1485" w:rsidP="00485EC6">
      <w:pPr>
        <w:pStyle w:val="FootnoteText"/>
      </w:pPr>
      <w:r>
        <w:rPr>
          <w:rStyle w:val="FootnoteReference"/>
        </w:rPr>
        <w:footnoteRef/>
      </w:r>
      <w:r>
        <w:t xml:space="preserve"> </w:t>
      </w:r>
      <w:r>
        <w:tab/>
        <w:t xml:space="preserve">Energex, </w:t>
      </w:r>
      <w:r w:rsidRPr="00143172">
        <w:rPr>
          <w:rStyle w:val="AERtextitalic"/>
        </w:rPr>
        <w:t>Submission on Issues Paper</w:t>
      </w:r>
      <w:r>
        <w:t xml:space="preserve">, p. 6; Ergon Energy, </w:t>
      </w:r>
      <w:r w:rsidRPr="00143172">
        <w:rPr>
          <w:rStyle w:val="AERtextitalic"/>
        </w:rPr>
        <w:t>Submission on Issues Paper</w:t>
      </w:r>
      <w:r>
        <w:t>, pp. 7-8;</w:t>
      </w:r>
      <w:r w:rsidRPr="00645188">
        <w:t xml:space="preserve"> </w:t>
      </w:r>
      <w:r>
        <w:t xml:space="preserve">SP AusNet, </w:t>
      </w:r>
      <w:r w:rsidRPr="00143172">
        <w:rPr>
          <w:rStyle w:val="AERtextitalic"/>
        </w:rPr>
        <w:t>Submission on Issues Paper</w:t>
      </w:r>
      <w:r>
        <w:t>, p. 5.</w:t>
      </w:r>
    </w:p>
  </w:footnote>
  <w:footnote w:id="68">
    <w:p w:rsidR="00CC1485" w:rsidRDefault="00CC1485" w:rsidP="006D0467">
      <w:pPr>
        <w:pStyle w:val="FootnoteText"/>
      </w:pPr>
      <w:r>
        <w:rPr>
          <w:rStyle w:val="FootnoteReference"/>
        </w:rPr>
        <w:footnoteRef/>
      </w:r>
      <w:r>
        <w:t xml:space="preserve"> </w:t>
      </w:r>
      <w:r>
        <w:tab/>
      </w:r>
      <w:proofErr w:type="gramStart"/>
      <w:r>
        <w:t>P</w:t>
      </w:r>
      <w:r w:rsidRPr="00387C87">
        <w:t>lus (or minus) any adjustments provided under the reopening provisions, as a pass through or as a contingent project</w:t>
      </w:r>
      <w:r>
        <w:t>.</w:t>
      </w:r>
      <w:proofErr w:type="gramEnd"/>
    </w:p>
  </w:footnote>
  <w:footnote w:id="69">
    <w:p w:rsidR="00CC1485" w:rsidRDefault="00CC1485" w:rsidP="00231126">
      <w:pPr>
        <w:pStyle w:val="FootnoteText"/>
      </w:pPr>
      <w:r>
        <w:rPr>
          <w:rStyle w:val="FootnoteReference"/>
        </w:rPr>
        <w:footnoteRef/>
      </w:r>
      <w:r>
        <w:t xml:space="preserve"> </w:t>
      </w:r>
      <w:r>
        <w:tab/>
        <w:t>Clauses S6.2.2A(h) and S6A.2.2A(h) of the NER.</w:t>
      </w:r>
    </w:p>
  </w:footnote>
  <w:footnote w:id="70">
    <w:p w:rsidR="00CC1485" w:rsidRDefault="00CC1485" w:rsidP="00AC22F2">
      <w:pPr>
        <w:pStyle w:val="FootnoteText"/>
      </w:pPr>
      <w:r>
        <w:rPr>
          <w:rStyle w:val="FootnoteReference"/>
        </w:rPr>
        <w:footnoteRef/>
      </w:r>
      <w:r>
        <w:t xml:space="preserve"> </w:t>
      </w:r>
      <w:r>
        <w:tab/>
        <w:t>This could be to compensate for common costs, provide a return on, and of, physical and intangible assets by the contractor in the provision of the service, or to compensate for asymmetric risks.</w:t>
      </w:r>
    </w:p>
  </w:footnote>
  <w:footnote w:id="71">
    <w:p w:rsidR="00CC1485" w:rsidRDefault="00CC1485">
      <w:pPr>
        <w:pStyle w:val="FootnoteText"/>
      </w:pPr>
      <w:r>
        <w:rPr>
          <w:rStyle w:val="FootnoteReference"/>
        </w:rPr>
        <w:footnoteRef/>
      </w:r>
      <w:r>
        <w:t xml:space="preserve"> </w:t>
      </w:r>
      <w:r>
        <w:tab/>
        <w:t>ActewAGL,</w:t>
      </w:r>
      <w:r w:rsidRPr="009C1742">
        <w:t xml:space="preserve"> </w:t>
      </w:r>
      <w:r w:rsidRPr="00143172">
        <w:rPr>
          <w:rStyle w:val="AERtextitalic"/>
        </w:rPr>
        <w:t>Submission on Issues Paper</w:t>
      </w:r>
      <w:r>
        <w:t xml:space="preserve">, p. 3; COSBOA, </w:t>
      </w:r>
      <w:r w:rsidRPr="00143172">
        <w:rPr>
          <w:rStyle w:val="AERtextitalic"/>
        </w:rPr>
        <w:t>Submission on Issues Paper</w:t>
      </w:r>
      <w:r>
        <w:t xml:space="preserve">, p. 7; Grid Australia, </w:t>
      </w:r>
      <w:r w:rsidRPr="00143172">
        <w:rPr>
          <w:rStyle w:val="AERtextitalic"/>
        </w:rPr>
        <w:t>Submission on Issues Paper</w:t>
      </w:r>
      <w:r>
        <w:t xml:space="preserve">, p. 22; PIAC, </w:t>
      </w:r>
      <w:r w:rsidRPr="00143172">
        <w:rPr>
          <w:rStyle w:val="AERtextitalic"/>
        </w:rPr>
        <w:t>Submission on Issues Paper</w:t>
      </w:r>
      <w:r>
        <w:t>, p. 27.</w:t>
      </w:r>
    </w:p>
  </w:footnote>
  <w:footnote w:id="72">
    <w:p w:rsidR="00CC1485" w:rsidRDefault="00CC1485">
      <w:pPr>
        <w:pStyle w:val="FootnoteText"/>
      </w:pPr>
      <w:r>
        <w:rPr>
          <w:rStyle w:val="FootnoteReference"/>
        </w:rPr>
        <w:footnoteRef/>
      </w:r>
      <w:r>
        <w:t xml:space="preserve"> </w:t>
      </w:r>
      <w:r>
        <w:tab/>
        <w:t xml:space="preserve">MEU, </w:t>
      </w:r>
      <w:r w:rsidRPr="00143172">
        <w:rPr>
          <w:rStyle w:val="AERtextitalic"/>
        </w:rPr>
        <w:t>Submission on Issues Paper</w:t>
      </w:r>
      <w:r>
        <w:t>, p. 19.</w:t>
      </w:r>
    </w:p>
  </w:footnote>
  <w:footnote w:id="73">
    <w:p w:rsidR="00CC1485" w:rsidRDefault="00CC1485">
      <w:pPr>
        <w:pStyle w:val="FootnoteText"/>
      </w:pPr>
      <w:r>
        <w:rPr>
          <w:rStyle w:val="FootnoteReference"/>
        </w:rPr>
        <w:footnoteRef/>
      </w:r>
      <w:r>
        <w:t xml:space="preserve"> </w:t>
      </w:r>
      <w:r>
        <w:tab/>
        <w:t xml:space="preserve">Aurora, </w:t>
      </w:r>
      <w:r w:rsidRPr="00143172">
        <w:rPr>
          <w:rStyle w:val="AERtextitalic"/>
        </w:rPr>
        <w:t>Submission on Issues Paper</w:t>
      </w:r>
      <w:r>
        <w:t>, p. 4.</w:t>
      </w:r>
    </w:p>
  </w:footnote>
  <w:footnote w:id="74">
    <w:p w:rsidR="00CC1485" w:rsidRDefault="00CC1485">
      <w:pPr>
        <w:pStyle w:val="FootnoteText"/>
      </w:pPr>
      <w:r>
        <w:rPr>
          <w:rStyle w:val="FootnoteReference"/>
        </w:rPr>
        <w:footnoteRef/>
      </w:r>
      <w:r>
        <w:t xml:space="preserve"> </w:t>
      </w:r>
      <w:r>
        <w:tab/>
        <w:t xml:space="preserve">Grid Australia, </w:t>
      </w:r>
      <w:r w:rsidRPr="00143172">
        <w:rPr>
          <w:rStyle w:val="AERtextitalic"/>
        </w:rPr>
        <w:t>Submission on Issues Paper</w:t>
      </w:r>
      <w:r>
        <w:t>, pp. 22-24.</w:t>
      </w:r>
    </w:p>
  </w:footnote>
  <w:footnote w:id="75">
    <w:p w:rsidR="00CC1485" w:rsidRDefault="00CC1485">
      <w:pPr>
        <w:pStyle w:val="FootnoteText"/>
      </w:pPr>
      <w:r>
        <w:rPr>
          <w:rStyle w:val="FootnoteReference"/>
        </w:rPr>
        <w:footnoteRef/>
      </w:r>
      <w:r>
        <w:t xml:space="preserve"> </w:t>
      </w:r>
      <w:r>
        <w:tab/>
        <w:t xml:space="preserve">Energex, </w:t>
      </w:r>
      <w:r w:rsidRPr="00143172">
        <w:rPr>
          <w:rStyle w:val="AERtextitalic"/>
        </w:rPr>
        <w:t>Submission on Issues Paper</w:t>
      </w:r>
      <w:r>
        <w:t>, p. 9.</w:t>
      </w:r>
    </w:p>
  </w:footnote>
  <w:footnote w:id="76">
    <w:p w:rsidR="00CC1485" w:rsidRDefault="00CC1485">
      <w:pPr>
        <w:pStyle w:val="FootnoteText"/>
      </w:pPr>
      <w:r>
        <w:rPr>
          <w:rStyle w:val="FootnoteReference"/>
        </w:rPr>
        <w:footnoteRef/>
      </w:r>
      <w:r>
        <w:t xml:space="preserve"> </w:t>
      </w:r>
      <w:r>
        <w:tab/>
        <w:t xml:space="preserve">ENA, </w:t>
      </w:r>
      <w:r w:rsidRPr="00143172">
        <w:rPr>
          <w:rStyle w:val="AERtextitalic"/>
        </w:rPr>
        <w:t>Submission on Issues Paper</w:t>
      </w:r>
      <w:r>
        <w:t xml:space="preserve"> , pp. 14-15; Grid Australia, </w:t>
      </w:r>
      <w:r w:rsidRPr="00143172">
        <w:rPr>
          <w:rStyle w:val="AERtextitalic"/>
        </w:rPr>
        <w:t>Submission on Issues Paper</w:t>
      </w:r>
      <w:r>
        <w:t xml:space="preserve">, p. 22; NSW DNSPs, </w:t>
      </w:r>
      <w:r w:rsidRPr="00143172">
        <w:rPr>
          <w:rStyle w:val="AERtextitalic"/>
        </w:rPr>
        <w:t>Submission on Issues Paper</w:t>
      </w:r>
      <w:r>
        <w:t xml:space="preserve"> , p. 3; PIAC, </w:t>
      </w:r>
      <w:r w:rsidRPr="00143172">
        <w:rPr>
          <w:rStyle w:val="AERtextitalic"/>
        </w:rPr>
        <w:t>Submission on Issues Paper</w:t>
      </w:r>
      <w:r>
        <w:t xml:space="preserve">, p. 27, SP AusNet, </w:t>
      </w:r>
      <w:r w:rsidRPr="00143172">
        <w:rPr>
          <w:rStyle w:val="AERtextitalic"/>
        </w:rPr>
        <w:t>Submission on Issues Paper</w:t>
      </w:r>
      <w:r>
        <w:t>, p. 8.</w:t>
      </w:r>
    </w:p>
  </w:footnote>
  <w:footnote w:id="77">
    <w:p w:rsidR="00CC1485" w:rsidRDefault="00CC1485" w:rsidP="007E09F3">
      <w:pPr>
        <w:pStyle w:val="FootnoteText"/>
      </w:pPr>
      <w:r>
        <w:rPr>
          <w:rStyle w:val="FootnoteReference"/>
        </w:rPr>
        <w:footnoteRef/>
      </w:r>
      <w:r>
        <w:t xml:space="preserve"> </w:t>
      </w:r>
      <w:r>
        <w:tab/>
        <w:t xml:space="preserve">A concern raised by DSDBI. See DSDBI, </w:t>
      </w:r>
      <w:r w:rsidRPr="00143172">
        <w:rPr>
          <w:rStyle w:val="AERtextitalic"/>
        </w:rPr>
        <w:t>Submission on Issues Paper</w:t>
      </w:r>
      <w:r w:rsidRPr="00143172">
        <w:t xml:space="preserve">, </w:t>
      </w:r>
      <w:r>
        <w:t>pp. 1-2.</w:t>
      </w:r>
    </w:p>
  </w:footnote>
  <w:footnote w:id="78">
    <w:p w:rsidR="00CC1485" w:rsidRDefault="00CC1485" w:rsidP="00627371">
      <w:pPr>
        <w:pStyle w:val="FootnoteText"/>
      </w:pPr>
      <w:r>
        <w:rPr>
          <w:rStyle w:val="FootnoteReference"/>
        </w:rPr>
        <w:footnoteRef/>
      </w:r>
      <w:r>
        <w:t xml:space="preserve"> </w:t>
      </w:r>
      <w:r>
        <w:tab/>
        <w:t xml:space="preserve">AER, </w:t>
      </w:r>
      <w:r w:rsidRPr="007F113C">
        <w:rPr>
          <w:rStyle w:val="AERtextitalic"/>
        </w:rPr>
        <w:t>Draft Expenditure Forecasting Assessment Guidelines</w:t>
      </w:r>
      <w:r>
        <w:t>, August 2013.</w:t>
      </w:r>
    </w:p>
  </w:footnote>
  <w:footnote w:id="79">
    <w:p w:rsidR="00CC1485" w:rsidRDefault="00CC1485" w:rsidP="007E09F3">
      <w:pPr>
        <w:pStyle w:val="FootnoteText"/>
      </w:pPr>
      <w:r>
        <w:rPr>
          <w:rStyle w:val="FootnoteReference"/>
        </w:rPr>
        <w:footnoteRef/>
      </w:r>
      <w:r>
        <w:t xml:space="preserve"> </w:t>
      </w:r>
      <w:r>
        <w:tab/>
        <w:t xml:space="preserve">EnerNOC, </w:t>
      </w:r>
      <w:r w:rsidRPr="00143172">
        <w:rPr>
          <w:rStyle w:val="AERtextitalic"/>
        </w:rPr>
        <w:t>Submission on Issues Paper</w:t>
      </w:r>
      <w:r w:rsidRPr="00143172">
        <w:t xml:space="preserve">, </w:t>
      </w:r>
      <w:r>
        <w:t>p. 5.</w:t>
      </w:r>
    </w:p>
  </w:footnote>
  <w:footnote w:id="80">
    <w:p w:rsidR="00CC1485" w:rsidRDefault="00CC1485">
      <w:pPr>
        <w:pStyle w:val="FootnoteText"/>
      </w:pPr>
      <w:r>
        <w:rPr>
          <w:rStyle w:val="FootnoteReference"/>
        </w:rPr>
        <w:footnoteRef/>
      </w:r>
      <w:r>
        <w:t xml:space="preserve"> </w:t>
      </w:r>
      <w:r>
        <w:tab/>
      </w:r>
      <w:proofErr w:type="gramStart"/>
      <w:r>
        <w:t xml:space="preserve">CitiPower et al, </w:t>
      </w:r>
      <w:r w:rsidRPr="00143172">
        <w:rPr>
          <w:rStyle w:val="AERtextitalic"/>
        </w:rPr>
        <w:t>Submission on Issues Paper</w:t>
      </w:r>
      <w:r w:rsidRPr="00143172">
        <w:t xml:space="preserve">, </w:t>
      </w:r>
      <w:r>
        <w:t>p. 9; ENA,</w:t>
      </w:r>
      <w:r w:rsidRPr="007E09F3">
        <w:t xml:space="preserve"> </w:t>
      </w:r>
      <w:r w:rsidRPr="00143172">
        <w:rPr>
          <w:rStyle w:val="AERtextitalic"/>
        </w:rPr>
        <w:t>Submission on Issues Paper</w:t>
      </w:r>
      <w:r w:rsidRPr="00143172">
        <w:t xml:space="preserve">, </w:t>
      </w:r>
      <w:r>
        <w:t>p. 14.</w:t>
      </w:r>
      <w:proofErr w:type="gramEnd"/>
    </w:p>
  </w:footnote>
  <w:footnote w:id="81">
    <w:p w:rsidR="00CC1485" w:rsidRDefault="00CC1485" w:rsidP="005825B7">
      <w:pPr>
        <w:pStyle w:val="FootnoteText"/>
      </w:pPr>
      <w:r>
        <w:rPr>
          <w:rStyle w:val="FootnoteReference"/>
        </w:rPr>
        <w:footnoteRef/>
      </w:r>
      <w:r>
        <w:t xml:space="preserve"> </w:t>
      </w:r>
      <w:r>
        <w:tab/>
        <w:t xml:space="preserve">ActewAGL, </w:t>
      </w:r>
      <w:r w:rsidRPr="00143172">
        <w:rPr>
          <w:rStyle w:val="AERtextitalic"/>
        </w:rPr>
        <w:t>Submission on Issues Paper</w:t>
      </w:r>
      <w:r w:rsidRPr="00143172">
        <w:t xml:space="preserve">, </w:t>
      </w:r>
      <w:r>
        <w:t xml:space="preserve">p. 3; CitiPower et al, </w:t>
      </w:r>
      <w:r w:rsidRPr="00143172">
        <w:rPr>
          <w:rStyle w:val="AERtextitalic"/>
        </w:rPr>
        <w:t>Submission on Issues Paper</w:t>
      </w:r>
      <w:r w:rsidRPr="00143172">
        <w:t xml:space="preserve">, </w:t>
      </w:r>
      <w:r>
        <w:t xml:space="preserve">p. 10; DSDBI, </w:t>
      </w:r>
      <w:r w:rsidRPr="00143172">
        <w:rPr>
          <w:rStyle w:val="AERtextitalic"/>
        </w:rPr>
        <w:t>Submission on Issues Paper</w:t>
      </w:r>
      <w:r w:rsidRPr="00143172">
        <w:t xml:space="preserve">, </w:t>
      </w:r>
      <w:r>
        <w:t>p. 6; ENA,</w:t>
      </w:r>
      <w:r w:rsidRPr="00153C39">
        <w:t xml:space="preserve"> </w:t>
      </w:r>
      <w:r w:rsidRPr="00143172">
        <w:rPr>
          <w:rStyle w:val="AERtextitalic"/>
        </w:rPr>
        <w:t>Submission on Issues Paper</w:t>
      </w:r>
      <w:r w:rsidRPr="00143172">
        <w:t xml:space="preserve">, </w:t>
      </w:r>
      <w:r>
        <w:t xml:space="preserve">p. 14; Ergon Energy, </w:t>
      </w:r>
      <w:r w:rsidRPr="00143172">
        <w:rPr>
          <w:rStyle w:val="AERtextitalic"/>
        </w:rPr>
        <w:t>Submission on Issues Paper</w:t>
      </w:r>
      <w:r w:rsidRPr="00143172">
        <w:t xml:space="preserve">, </w:t>
      </w:r>
      <w:r>
        <w:t>p. 10.</w:t>
      </w:r>
    </w:p>
  </w:footnote>
  <w:footnote w:id="82">
    <w:p w:rsidR="00CC1485" w:rsidRDefault="00CC1485">
      <w:pPr>
        <w:pStyle w:val="FootnoteText"/>
      </w:pPr>
      <w:r>
        <w:rPr>
          <w:rStyle w:val="FootnoteReference"/>
        </w:rPr>
        <w:footnoteRef/>
      </w:r>
      <w:r>
        <w:t xml:space="preserve"> </w:t>
      </w:r>
      <w:r>
        <w:tab/>
        <w:t xml:space="preserve">Grid Australia, </w:t>
      </w:r>
      <w:r w:rsidRPr="00143172">
        <w:rPr>
          <w:rStyle w:val="AERtextitalic"/>
        </w:rPr>
        <w:t>Submission on Issues Paper</w:t>
      </w:r>
      <w:r w:rsidRPr="00143172">
        <w:t xml:space="preserve">, </w:t>
      </w:r>
      <w:r>
        <w:t>p. 24.</w:t>
      </w:r>
    </w:p>
  </w:footnote>
  <w:footnote w:id="83">
    <w:p w:rsidR="00CC1485" w:rsidRDefault="00CC1485">
      <w:pPr>
        <w:pStyle w:val="FootnoteText"/>
      </w:pPr>
      <w:r>
        <w:rPr>
          <w:rStyle w:val="FootnoteReference"/>
        </w:rPr>
        <w:footnoteRef/>
      </w:r>
      <w:r>
        <w:t xml:space="preserve"> </w:t>
      </w:r>
      <w:r>
        <w:tab/>
        <w:t>ENA,</w:t>
      </w:r>
      <w:r w:rsidRPr="00153C39">
        <w:t xml:space="preserve"> </w:t>
      </w:r>
      <w:r w:rsidRPr="00143172">
        <w:rPr>
          <w:rStyle w:val="AERtextitalic"/>
        </w:rPr>
        <w:t>Submission on Issues Paper</w:t>
      </w:r>
      <w:r w:rsidRPr="00143172">
        <w:t xml:space="preserve">, </w:t>
      </w:r>
      <w:r>
        <w:t xml:space="preserve">p. 14; CitiPower et al, </w:t>
      </w:r>
      <w:r w:rsidRPr="00143172">
        <w:rPr>
          <w:rStyle w:val="AERtextitalic"/>
        </w:rPr>
        <w:t>Submission on Issues Paper</w:t>
      </w:r>
      <w:r w:rsidRPr="00143172">
        <w:t xml:space="preserve">, </w:t>
      </w:r>
      <w:r>
        <w:t xml:space="preserve">p. 10; Grid Australia, </w:t>
      </w:r>
      <w:r w:rsidRPr="00143172">
        <w:rPr>
          <w:rStyle w:val="AERtextitalic"/>
        </w:rPr>
        <w:t>Submission on Issues Paper</w:t>
      </w:r>
      <w:r w:rsidRPr="00143172">
        <w:t xml:space="preserve">, </w:t>
      </w:r>
      <w:r>
        <w:t>p. 26.</w:t>
      </w:r>
    </w:p>
  </w:footnote>
  <w:footnote w:id="84">
    <w:p w:rsidR="00CC1485" w:rsidRDefault="00CC1485" w:rsidP="001E180E">
      <w:pPr>
        <w:pStyle w:val="FootnoteText"/>
      </w:pPr>
      <w:r>
        <w:rPr>
          <w:rStyle w:val="FootnoteReference"/>
        </w:rPr>
        <w:footnoteRef/>
      </w:r>
      <w:r>
        <w:t xml:space="preserve"> </w:t>
      </w:r>
      <w:r>
        <w:tab/>
        <w:t xml:space="preserve">There are two exceptions to this outlined in clauses </w:t>
      </w:r>
      <w:r w:rsidRPr="001E180E">
        <w:t>S6.2.1(e)(8)</w:t>
      </w:r>
      <w:r>
        <w:t xml:space="preserve"> and S6A.2.1(f)(8) but these are unlikely to be relevant where previously excluded capex later becomes efficient.</w:t>
      </w:r>
    </w:p>
  </w:footnote>
  <w:footnote w:id="85">
    <w:p w:rsidR="00CC1485" w:rsidRDefault="00CC1485">
      <w:pPr>
        <w:pStyle w:val="FootnoteText"/>
      </w:pPr>
      <w:r>
        <w:rPr>
          <w:rStyle w:val="FootnoteReference"/>
        </w:rPr>
        <w:footnoteRef/>
      </w:r>
      <w:r>
        <w:t xml:space="preserve"> </w:t>
      </w:r>
      <w:r>
        <w:tab/>
        <w:t xml:space="preserve">CitiPower et al, </w:t>
      </w:r>
      <w:r w:rsidRPr="00143172">
        <w:rPr>
          <w:rStyle w:val="AERtextitalic"/>
        </w:rPr>
        <w:t>Submission on Issues Paper</w:t>
      </w:r>
      <w:r w:rsidRPr="00143172">
        <w:t xml:space="preserve">, </w:t>
      </w:r>
      <w:r>
        <w:t>p. 9.</w:t>
      </w:r>
    </w:p>
  </w:footnote>
  <w:footnote w:id="86">
    <w:p w:rsidR="00CC1485" w:rsidRDefault="00CC1485">
      <w:pPr>
        <w:pStyle w:val="FootnoteText"/>
      </w:pPr>
      <w:r>
        <w:rPr>
          <w:rStyle w:val="FootnoteReference"/>
        </w:rPr>
        <w:footnoteRef/>
      </w:r>
      <w:r>
        <w:t xml:space="preserve"> </w:t>
      </w:r>
      <w:r>
        <w:tab/>
        <w:t xml:space="preserve">ENA, </w:t>
      </w:r>
      <w:r w:rsidRPr="00143172">
        <w:rPr>
          <w:rStyle w:val="AERtextitalic"/>
        </w:rPr>
        <w:t>Submission on Issues Paper</w:t>
      </w:r>
      <w:r w:rsidRPr="00143172">
        <w:t xml:space="preserve">, </w:t>
      </w:r>
      <w:r>
        <w:t xml:space="preserve">p. 33; Energex, </w:t>
      </w:r>
      <w:r w:rsidRPr="00143172">
        <w:rPr>
          <w:rStyle w:val="AERtextitalic"/>
        </w:rPr>
        <w:t>Submission on Issues Paper</w:t>
      </w:r>
      <w:r w:rsidRPr="00143172">
        <w:t xml:space="preserve">, </w:t>
      </w:r>
      <w:r>
        <w:t xml:space="preserve">p. 12; Ergon Energy, </w:t>
      </w:r>
      <w:r w:rsidRPr="00143172">
        <w:rPr>
          <w:rStyle w:val="AERtextitalic"/>
        </w:rPr>
        <w:t>Submission on Issues Paper</w:t>
      </w:r>
      <w:r w:rsidRPr="00143172">
        <w:t xml:space="preserve">, </w:t>
      </w:r>
      <w:r>
        <w:t>p. 11.</w:t>
      </w:r>
    </w:p>
  </w:footnote>
  <w:footnote w:id="87">
    <w:p w:rsidR="00CC1485" w:rsidRDefault="00CC1485" w:rsidP="00B673C6">
      <w:pPr>
        <w:pStyle w:val="FootnoteText"/>
      </w:pPr>
      <w:r>
        <w:rPr>
          <w:rStyle w:val="FootnoteReference"/>
        </w:rPr>
        <w:footnoteRef/>
      </w:r>
      <w:r>
        <w:t xml:space="preserve"> </w:t>
      </w:r>
      <w:r>
        <w:tab/>
        <w:t xml:space="preserve">Grid Australia and Ergon Energy did not support standardisation while MEU did support standardisation. See Ergon Energy, </w:t>
      </w:r>
      <w:r w:rsidRPr="00143172">
        <w:rPr>
          <w:rStyle w:val="AERtextitalic"/>
        </w:rPr>
        <w:t>Submission on Issues Paper</w:t>
      </w:r>
      <w:r w:rsidRPr="00143172">
        <w:t xml:space="preserve">, </w:t>
      </w:r>
      <w:r>
        <w:t xml:space="preserve">p. 11; Grid Australia, </w:t>
      </w:r>
      <w:r w:rsidRPr="00143172">
        <w:rPr>
          <w:rStyle w:val="AERtextitalic"/>
        </w:rPr>
        <w:t>Submission on Issues Paper</w:t>
      </w:r>
      <w:r w:rsidRPr="00143172">
        <w:t xml:space="preserve">, </w:t>
      </w:r>
      <w:r>
        <w:t xml:space="preserve">p. 26; MEU, </w:t>
      </w:r>
      <w:r w:rsidRPr="00143172">
        <w:rPr>
          <w:rStyle w:val="AERtextitalic"/>
        </w:rPr>
        <w:t>Submission on Issues Paper</w:t>
      </w:r>
      <w:r w:rsidRPr="00143172">
        <w:t xml:space="preserve">, </w:t>
      </w:r>
      <w:r>
        <w:t>pp. 33-34.</w:t>
      </w:r>
    </w:p>
  </w:footnote>
  <w:footnote w:id="88">
    <w:p w:rsidR="00CC1485" w:rsidRDefault="00CC1485">
      <w:pPr>
        <w:pStyle w:val="FootnoteText"/>
      </w:pPr>
      <w:r>
        <w:rPr>
          <w:rStyle w:val="FootnoteReference"/>
        </w:rPr>
        <w:footnoteRef/>
      </w:r>
      <w:r>
        <w:t xml:space="preserve"> </w:t>
      </w:r>
      <w:r>
        <w:tab/>
        <w:t>That is, a party that is related to the NSP in that there is common ownership of the two companies.</w:t>
      </w:r>
    </w:p>
  </w:footnote>
  <w:footnote w:id="89">
    <w:p w:rsidR="00CC1485" w:rsidRDefault="00CC1485">
      <w:pPr>
        <w:pStyle w:val="FootnoteText"/>
      </w:pPr>
      <w:r>
        <w:rPr>
          <w:rStyle w:val="FootnoteReference"/>
        </w:rPr>
        <w:footnoteRef/>
      </w:r>
      <w:r>
        <w:t xml:space="preserve"> </w:t>
      </w:r>
      <w:r>
        <w:tab/>
        <w:t xml:space="preserve">Only MEU disagreed with our proposed approach stating instead that </w:t>
      </w:r>
      <w:r w:rsidRPr="00AB5AB3">
        <w:t xml:space="preserve">the </w:t>
      </w:r>
      <w:r>
        <w:t>guidelines</w:t>
      </w:r>
      <w:r w:rsidRPr="00AB5AB3">
        <w:t xml:space="preserve"> should refer to </w:t>
      </w:r>
      <w:r>
        <w:t>process followed</w:t>
      </w:r>
      <w:r w:rsidRPr="00AB5AB3">
        <w:t xml:space="preserve"> at</w:t>
      </w:r>
      <w:r>
        <w:t xml:space="preserve"> </w:t>
      </w:r>
      <w:r w:rsidRPr="00AB5AB3">
        <w:t xml:space="preserve">the time of the revenue </w:t>
      </w:r>
      <w:r>
        <w:t>determination</w:t>
      </w:r>
      <w:r w:rsidRPr="00AB5AB3">
        <w:t>.</w:t>
      </w:r>
      <w:r>
        <w:t xml:space="preserve"> Since we are following the same approach as that applied at the determination, we hope this addresses MEU's concerns. See MEU, </w:t>
      </w:r>
      <w:r w:rsidRPr="00143172">
        <w:rPr>
          <w:rStyle w:val="AERtextitalic"/>
        </w:rPr>
        <w:t>Submission on Issues Paper</w:t>
      </w:r>
      <w:r w:rsidRPr="00143172">
        <w:t xml:space="preserve">, </w:t>
      </w:r>
      <w:r>
        <w:t>p. 33.</w:t>
      </w:r>
    </w:p>
  </w:footnote>
  <w:footnote w:id="90">
    <w:p w:rsidR="00CC1485" w:rsidRDefault="00CC1485">
      <w:pPr>
        <w:pStyle w:val="FootnoteText"/>
      </w:pPr>
      <w:r>
        <w:rPr>
          <w:rStyle w:val="FootnoteReference"/>
        </w:rPr>
        <w:footnoteRef/>
      </w:r>
      <w:r>
        <w:t xml:space="preserve"> </w:t>
      </w:r>
      <w:r>
        <w:tab/>
      </w:r>
      <w:proofErr w:type="gramStart"/>
      <w:r w:rsidRPr="007720EB">
        <w:t>NER, transitional rules, chapter 11</w:t>
      </w:r>
      <w:r>
        <w:t>.</w:t>
      </w:r>
      <w:proofErr w:type="gramEnd"/>
    </w:p>
  </w:footnote>
  <w:footnote w:id="91">
    <w:p w:rsidR="00CC1485" w:rsidRPr="000A7FA8" w:rsidRDefault="00CC1485" w:rsidP="00E33796">
      <w:pPr>
        <w:pStyle w:val="FootnoteText"/>
      </w:pPr>
      <w:r w:rsidRPr="000A7FA8">
        <w:rPr>
          <w:rStyle w:val="FootnoteReference"/>
          <w:szCs w:val="16"/>
        </w:rPr>
        <w:footnoteRef/>
      </w:r>
      <w:r w:rsidRPr="000A7FA8">
        <w:t xml:space="preserve"> </w:t>
      </w:r>
      <w:r>
        <w:tab/>
      </w:r>
      <w:r w:rsidRPr="00495638">
        <w:t>ActewAGL will submit its next gas access arrangement 1 year later to avoid overlap with the delayed electricity process.</w:t>
      </w:r>
    </w:p>
  </w:footnote>
  <w:footnote w:id="92">
    <w:p w:rsidR="00CC1485" w:rsidRDefault="00CC1485">
      <w:pPr>
        <w:pStyle w:val="FootnoteText"/>
      </w:pPr>
      <w:r>
        <w:rPr>
          <w:rStyle w:val="FootnoteReference"/>
        </w:rPr>
        <w:footnoteRef/>
      </w:r>
      <w:r>
        <w:t xml:space="preserve"> </w:t>
      </w:r>
      <w:r>
        <w:tab/>
        <w:t>The true up will</w:t>
      </w:r>
      <w:r w:rsidRPr="00507A05">
        <w:t xml:space="preserve"> account for differences between the placeholder revenue for the transitional year and the revenue requirement for the transitional year established in the full determination</w:t>
      </w:r>
      <w:r>
        <w:t>.</w:t>
      </w:r>
    </w:p>
  </w:footnote>
  <w:footnote w:id="93">
    <w:p w:rsidR="00CC1485" w:rsidRPr="00495638" w:rsidRDefault="00CC1485" w:rsidP="00495638">
      <w:pPr>
        <w:pStyle w:val="FootnoteText"/>
      </w:pPr>
      <w:r w:rsidRPr="000A7FA8">
        <w:rPr>
          <w:rStyle w:val="FootnoteReference"/>
          <w:szCs w:val="16"/>
        </w:rPr>
        <w:footnoteRef/>
      </w:r>
      <w:r w:rsidRPr="000A7FA8">
        <w:t xml:space="preserve"> </w:t>
      </w:r>
      <w:r w:rsidRPr="000A7FA8">
        <w:tab/>
      </w:r>
      <w:r w:rsidRPr="00495638">
        <w:t xml:space="preserve">The preliminary determination will apply to DNSP pricing proposals for the first year of the regulatory period. </w:t>
      </w:r>
    </w:p>
  </w:footnote>
  <w:footnote w:id="94">
    <w:p w:rsidR="00CC1485" w:rsidRDefault="00CC1485">
      <w:pPr>
        <w:pStyle w:val="FootnoteText"/>
      </w:pPr>
      <w:r>
        <w:rPr>
          <w:rStyle w:val="FootnoteReference"/>
        </w:rPr>
        <w:footnoteRef/>
      </w:r>
      <w:r>
        <w:t xml:space="preserve"> </w:t>
      </w:r>
      <w:r>
        <w:tab/>
      </w:r>
      <w:proofErr w:type="gramStart"/>
      <w:r>
        <w:t>Clauses 11.56.5 and 11.58.5 of the NER.</w:t>
      </w:r>
      <w:proofErr w:type="gramEnd"/>
    </w:p>
  </w:footnote>
  <w:footnote w:id="95">
    <w:p w:rsidR="00CC1485" w:rsidRDefault="00CC1485">
      <w:pPr>
        <w:pStyle w:val="FootnoteText"/>
      </w:pPr>
      <w:r>
        <w:rPr>
          <w:rStyle w:val="FootnoteReference"/>
        </w:rPr>
        <w:footnoteRef/>
      </w:r>
      <w:r>
        <w:t xml:space="preserve"> </w:t>
      </w:r>
      <w:r>
        <w:tab/>
      </w:r>
      <w:proofErr w:type="gramStart"/>
      <w:r>
        <w:t>Clauses 11.56.5 and 11.58.5 of the NER.</w:t>
      </w:r>
      <w:proofErr w:type="gramEnd"/>
    </w:p>
  </w:footnote>
  <w:footnote w:id="96">
    <w:p w:rsidR="00CC1485" w:rsidRDefault="00CC1485">
      <w:pPr>
        <w:pStyle w:val="FootnoteText"/>
      </w:pPr>
      <w:r>
        <w:rPr>
          <w:rStyle w:val="FootnoteReference"/>
        </w:rPr>
        <w:footnoteRef/>
      </w:r>
      <w:r>
        <w:t xml:space="preserve"> </w:t>
      </w:r>
      <w:r>
        <w:tab/>
      </w:r>
      <w:proofErr w:type="gramStart"/>
      <w:r>
        <w:t>Clause 11.60.5 of the NER.</w:t>
      </w:r>
      <w:proofErr w:type="gramEnd"/>
    </w:p>
  </w:footnote>
  <w:footnote w:id="97">
    <w:p w:rsidR="00CC1485" w:rsidRDefault="00CC1485" w:rsidP="0097668B">
      <w:pPr>
        <w:pStyle w:val="FootnoteText"/>
      </w:pPr>
      <w:r>
        <w:rPr>
          <w:rStyle w:val="FootnoteReference"/>
        </w:rPr>
        <w:footnoteRef/>
      </w:r>
      <w:r>
        <w:t xml:space="preserve"> </w:t>
      </w:r>
      <w:r>
        <w:tab/>
      </w:r>
      <w:proofErr w:type="gramStart"/>
      <w:r>
        <w:t>Clause 11.62 of the NER.</w:t>
      </w:r>
      <w:proofErr w:type="gramEnd"/>
    </w:p>
  </w:footnote>
  <w:footnote w:id="98">
    <w:p w:rsidR="00CC1485" w:rsidRDefault="00CC1485" w:rsidP="007C5C43">
      <w:pPr>
        <w:pStyle w:val="FootnoteText"/>
      </w:pPr>
      <w:r>
        <w:rPr>
          <w:rStyle w:val="FootnoteReference"/>
        </w:rPr>
        <w:footnoteRef/>
      </w:r>
      <w:r>
        <w:t xml:space="preserve"> </w:t>
      </w:r>
      <w:r>
        <w:tab/>
      </w:r>
      <w:hyperlink r:id="rId9" w:history="1">
        <w:proofErr w:type="gramStart"/>
        <w:r w:rsidRPr="00C56043">
          <w:t>National Transmission Network Development Plan</w:t>
        </w:r>
      </w:hyperlink>
      <w:r>
        <w:t>.</w:t>
      </w:r>
      <w:proofErr w:type="gramEnd"/>
    </w:p>
  </w:footnote>
  <w:footnote w:id="99">
    <w:p w:rsidR="00CC1485" w:rsidRDefault="00CC1485" w:rsidP="00A609EA">
      <w:pPr>
        <w:pStyle w:val="FootnoteText"/>
      </w:pPr>
      <w:r>
        <w:rPr>
          <w:rStyle w:val="FootnoteReference"/>
        </w:rPr>
        <w:footnoteRef/>
      </w:r>
      <w:r>
        <w:t xml:space="preserve"> </w:t>
      </w:r>
      <w:r>
        <w:tab/>
        <w:t xml:space="preserve">Available on our website: </w:t>
      </w:r>
      <w:hyperlink r:id="rId10" w:history="1">
        <w:r w:rsidRPr="00133634">
          <w:rPr>
            <w:rStyle w:val="Hyperlink"/>
          </w:rPr>
          <w:t>http://www.aer.gov.au/node/18869</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55C7848"/>
    <w:multiLevelType w:val="hybridMultilevel"/>
    <w:tmpl w:val="55C4904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nsid w:val="2776270C"/>
    <w:multiLevelType w:val="multilevel"/>
    <w:tmpl w:val="B478DFE6"/>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9F96A5E"/>
    <w:multiLevelType w:val="hybridMultilevel"/>
    <w:tmpl w:val="D32E1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2D6B9E"/>
    <w:multiLevelType w:val="multilevel"/>
    <w:tmpl w:val="950A1C52"/>
    <w:numStyleLink w:val="AERHeadings"/>
  </w:abstractNum>
  <w:abstractNum w:abstractNumId="15">
    <w:nsid w:val="2DB12A3A"/>
    <w:multiLevelType w:val="multilevel"/>
    <w:tmpl w:val="950A1C52"/>
    <w:numStyleLink w:val="AERHeadings"/>
  </w:abstractNum>
  <w:abstractNum w:abstractNumId="16">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33E0E05"/>
    <w:multiLevelType w:val="multilevel"/>
    <w:tmpl w:val="950A1C52"/>
    <w:numStyleLink w:val="AERHeadings"/>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721288"/>
    <w:multiLevelType w:val="multilevel"/>
    <w:tmpl w:val="950A1C52"/>
    <w:numStyleLink w:val="AERHeadings"/>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F037C49"/>
    <w:multiLevelType w:val="multilevel"/>
    <w:tmpl w:val="B478DFE6"/>
    <w:numStyleLink w:val="AERnumberedlist"/>
  </w:abstractNum>
  <w:abstractNum w:abstractNumId="25">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B478DFE6"/>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B478DFE6"/>
    <w:numStyleLink w:val="AERnumberedlist"/>
  </w:abstractNum>
  <w:abstractNum w:abstractNumId="29">
    <w:nsid w:val="628A2156"/>
    <w:multiLevelType w:val="hybridMultilevel"/>
    <w:tmpl w:val="27985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8247CF7"/>
    <w:multiLevelType w:val="multilevel"/>
    <w:tmpl w:val="950A1C52"/>
    <w:numStyleLink w:val="AERHeadings"/>
  </w:abstractNum>
  <w:abstractNum w:abstractNumId="31">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4595980"/>
    <w:multiLevelType w:val="multilevel"/>
    <w:tmpl w:val="950A1C52"/>
    <w:numStyleLink w:val="AERHeadings"/>
  </w:abstractNum>
  <w:abstractNum w:abstractNumId="33">
    <w:nsid w:val="74F81DDF"/>
    <w:multiLevelType w:val="multilevel"/>
    <w:tmpl w:val="950A1C52"/>
    <w:numStyleLink w:val="AERHeadings"/>
  </w:abstractNum>
  <w:abstractNum w:abstractNumId="34">
    <w:nsid w:val="787F66A4"/>
    <w:multiLevelType w:val="multilevel"/>
    <w:tmpl w:val="950A1C52"/>
    <w:numStyleLink w:val="AERHeadings"/>
  </w:abstractNum>
  <w:abstractNum w:abstractNumId="35">
    <w:nsid w:val="7AAC6DD7"/>
    <w:multiLevelType w:val="multilevel"/>
    <w:tmpl w:val="950A1C52"/>
    <w:numStyleLink w:val="AERHeadings"/>
  </w:abstractNum>
  <w:abstractNum w:abstractNumId="3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E97BF8"/>
    <w:multiLevelType w:val="multilevel"/>
    <w:tmpl w:val="950A1C52"/>
    <w:numStyleLink w:val="AERHeadings"/>
  </w:abstractNum>
  <w:abstractNum w:abstractNumId="38">
    <w:nsid w:val="7CDA0F5F"/>
    <w:multiLevelType w:val="multilevel"/>
    <w:tmpl w:val="950A1C52"/>
    <w:numStyleLink w:val="AERHeadings"/>
  </w:abstractNum>
  <w:num w:numId="1">
    <w:abstractNumId w:val="31"/>
  </w:num>
  <w:num w:numId="2">
    <w:abstractNumId w:val="16"/>
    <w:lvlOverride w:ilvl="2">
      <w:lvl w:ilvl="2">
        <w:start w:val="1"/>
        <w:numFmt w:val="decimal"/>
        <w:pStyle w:val="Heading2"/>
        <w:lvlText w:val="%1%2.%3"/>
        <w:lvlJc w:val="left"/>
        <w:pPr>
          <w:tabs>
            <w:tab w:val="num" w:pos="0"/>
          </w:tabs>
          <w:ind w:left="0" w:hanging="851"/>
        </w:pPr>
        <w:rPr>
          <w:rFonts w:hint="default"/>
        </w:rPr>
      </w:lvl>
    </w:lvlOverride>
  </w:num>
  <w:num w:numId="3">
    <w:abstractNumId w:val="2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3"/>
    <w:lvlOverride w:ilvl="0">
      <w:startOverride w:val="1"/>
    </w:lvlOverride>
  </w:num>
  <w:num w:numId="7">
    <w:abstractNumId w:val="21"/>
  </w:num>
  <w:num w:numId="8">
    <w:abstractNumId w:val="18"/>
  </w:num>
  <w:num w:numId="9">
    <w:abstractNumId w:val="36"/>
  </w:num>
  <w:num w:numId="10">
    <w:abstractNumId w:val="23"/>
    <w:lvlOverride w:ilvl="0">
      <w:startOverride w:val="1"/>
    </w:lvlOverride>
  </w:num>
  <w:num w:numId="11">
    <w:abstractNumId w:val="1"/>
  </w:num>
  <w:num w:numId="12">
    <w:abstractNumId w:val="23"/>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4"/>
  </w:num>
  <w:num w:numId="18">
    <w:abstractNumId w:val="7"/>
  </w:num>
  <w:num w:numId="19">
    <w:abstractNumId w:val="10"/>
  </w:num>
  <w:num w:numId="20">
    <w:abstractNumId w:val="33"/>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8"/>
  </w:num>
  <w:num w:numId="28">
    <w:abstractNumId w:val="19"/>
  </w:num>
  <w:num w:numId="29">
    <w:abstractNumId w:val="11"/>
  </w:num>
  <w:num w:numId="30">
    <w:abstractNumId w:val="5"/>
  </w:num>
  <w:num w:numId="31">
    <w:abstractNumId w:val="0"/>
  </w:num>
  <w:num w:numId="32">
    <w:abstractNumId w:val="6"/>
  </w:num>
  <w:num w:numId="33">
    <w:abstractNumId w:val="34"/>
  </w:num>
  <w:num w:numId="34">
    <w:abstractNumId w:val="30"/>
  </w:num>
  <w:num w:numId="35">
    <w:abstractNumId w:val="32"/>
  </w:num>
  <w:num w:numId="36">
    <w:abstractNumId w:val="37"/>
  </w:num>
  <w:num w:numId="37">
    <w:abstractNumId w:val="27"/>
  </w:num>
  <w:num w:numId="38">
    <w:abstractNumId w:val="14"/>
  </w:num>
  <w:num w:numId="39">
    <w:abstractNumId w:val="15"/>
  </w:num>
  <w:num w:numId="40">
    <w:abstractNumId w:val="22"/>
  </w:num>
  <w:num w:numId="41">
    <w:abstractNumId w:val="26"/>
  </w:num>
  <w:num w:numId="42">
    <w:abstractNumId w:val="4"/>
  </w:num>
  <w:num w:numId="43">
    <w:abstractNumId w:val="35"/>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9"/>
  </w:num>
  <w:num w:numId="49">
    <w:abstractNumId w:val="1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cumentProtection w:formatting="1" w:enforcement="1"/>
  <w:defaultTabStop w:val="720"/>
  <w:drawingGridHorizontalSpacing w:val="10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
  <w:docVars>
    <w:docVar w:name="currentname" w:val="\\cbrvpwxfs01\home$\ASAST\aaaaa DRAFT DECISION UPLOADS\AER Explanatory statement - draft capital expenditure incentive guideline - August 2013.DOCX"/>
  </w:docVars>
  <w:rsids>
    <w:rsidRoot w:val="000C052F"/>
    <w:rsid w:val="000051BF"/>
    <w:rsid w:val="00007D67"/>
    <w:rsid w:val="0001105B"/>
    <w:rsid w:val="00022606"/>
    <w:rsid w:val="0002531B"/>
    <w:rsid w:val="00034DEC"/>
    <w:rsid w:val="00040599"/>
    <w:rsid w:val="00040749"/>
    <w:rsid w:val="00045676"/>
    <w:rsid w:val="0005186A"/>
    <w:rsid w:val="000519FF"/>
    <w:rsid w:val="00052944"/>
    <w:rsid w:val="00057F68"/>
    <w:rsid w:val="00064767"/>
    <w:rsid w:val="000656D4"/>
    <w:rsid w:val="00067C63"/>
    <w:rsid w:val="00075773"/>
    <w:rsid w:val="00080C6E"/>
    <w:rsid w:val="00081D50"/>
    <w:rsid w:val="00082B52"/>
    <w:rsid w:val="00085442"/>
    <w:rsid w:val="00086569"/>
    <w:rsid w:val="00090E91"/>
    <w:rsid w:val="000A1CC2"/>
    <w:rsid w:val="000A5342"/>
    <w:rsid w:val="000B15CA"/>
    <w:rsid w:val="000B370B"/>
    <w:rsid w:val="000B5A80"/>
    <w:rsid w:val="000C052F"/>
    <w:rsid w:val="000C3430"/>
    <w:rsid w:val="000C3DFB"/>
    <w:rsid w:val="000C6471"/>
    <w:rsid w:val="000D03C2"/>
    <w:rsid w:val="000D04B1"/>
    <w:rsid w:val="000D096F"/>
    <w:rsid w:val="000D3608"/>
    <w:rsid w:val="000D401F"/>
    <w:rsid w:val="000E01FA"/>
    <w:rsid w:val="000E1A25"/>
    <w:rsid w:val="000E37BE"/>
    <w:rsid w:val="000E6153"/>
    <w:rsid w:val="000F0EA2"/>
    <w:rsid w:val="000F2B30"/>
    <w:rsid w:val="000F3A6A"/>
    <w:rsid w:val="000F3B68"/>
    <w:rsid w:val="000F43BD"/>
    <w:rsid w:val="001020C1"/>
    <w:rsid w:val="00102D6A"/>
    <w:rsid w:val="001033B3"/>
    <w:rsid w:val="00105636"/>
    <w:rsid w:val="001072C5"/>
    <w:rsid w:val="00113F7C"/>
    <w:rsid w:val="00120D39"/>
    <w:rsid w:val="00120F71"/>
    <w:rsid w:val="00126884"/>
    <w:rsid w:val="00132A01"/>
    <w:rsid w:val="00137F9D"/>
    <w:rsid w:val="00143172"/>
    <w:rsid w:val="001469CD"/>
    <w:rsid w:val="00147EA5"/>
    <w:rsid w:val="00153705"/>
    <w:rsid w:val="00153C39"/>
    <w:rsid w:val="001543D2"/>
    <w:rsid w:val="0016093A"/>
    <w:rsid w:val="00165EBB"/>
    <w:rsid w:val="00167000"/>
    <w:rsid w:val="00174026"/>
    <w:rsid w:val="00174601"/>
    <w:rsid w:val="001856EE"/>
    <w:rsid w:val="00185E95"/>
    <w:rsid w:val="00187097"/>
    <w:rsid w:val="00191BDC"/>
    <w:rsid w:val="00193187"/>
    <w:rsid w:val="00194C3C"/>
    <w:rsid w:val="00196D10"/>
    <w:rsid w:val="00197ABF"/>
    <w:rsid w:val="00197BF3"/>
    <w:rsid w:val="001A4CF7"/>
    <w:rsid w:val="001A78FA"/>
    <w:rsid w:val="001C12E5"/>
    <w:rsid w:val="001C2EEE"/>
    <w:rsid w:val="001C33E7"/>
    <w:rsid w:val="001C36CA"/>
    <w:rsid w:val="001C79C6"/>
    <w:rsid w:val="001D3791"/>
    <w:rsid w:val="001D5442"/>
    <w:rsid w:val="001D5BEE"/>
    <w:rsid w:val="001E180E"/>
    <w:rsid w:val="001E7CE0"/>
    <w:rsid w:val="001F3EBB"/>
    <w:rsid w:val="001F55BB"/>
    <w:rsid w:val="001F658C"/>
    <w:rsid w:val="0020320F"/>
    <w:rsid w:val="002070DB"/>
    <w:rsid w:val="0020711E"/>
    <w:rsid w:val="00210880"/>
    <w:rsid w:val="00212DD2"/>
    <w:rsid w:val="00222F63"/>
    <w:rsid w:val="002235C8"/>
    <w:rsid w:val="00225084"/>
    <w:rsid w:val="0022579C"/>
    <w:rsid w:val="002257B9"/>
    <w:rsid w:val="00230CE6"/>
    <w:rsid w:val="00231126"/>
    <w:rsid w:val="0023137D"/>
    <w:rsid w:val="00231EEE"/>
    <w:rsid w:val="00235191"/>
    <w:rsid w:val="00237772"/>
    <w:rsid w:val="00240460"/>
    <w:rsid w:val="00266710"/>
    <w:rsid w:val="002722F7"/>
    <w:rsid w:val="00272B43"/>
    <w:rsid w:val="002805B8"/>
    <w:rsid w:val="00292F8B"/>
    <w:rsid w:val="002938CE"/>
    <w:rsid w:val="00293D2E"/>
    <w:rsid w:val="00293F35"/>
    <w:rsid w:val="00295CD0"/>
    <w:rsid w:val="00295E3F"/>
    <w:rsid w:val="00296AEF"/>
    <w:rsid w:val="002A189F"/>
    <w:rsid w:val="002B2383"/>
    <w:rsid w:val="002B6640"/>
    <w:rsid w:val="002C1053"/>
    <w:rsid w:val="002C3B4A"/>
    <w:rsid w:val="002D0C19"/>
    <w:rsid w:val="002D61AC"/>
    <w:rsid w:val="002D757F"/>
    <w:rsid w:val="002D7F21"/>
    <w:rsid w:val="002E1D42"/>
    <w:rsid w:val="002E337C"/>
    <w:rsid w:val="002F34A1"/>
    <w:rsid w:val="002F4295"/>
    <w:rsid w:val="003008F0"/>
    <w:rsid w:val="00303452"/>
    <w:rsid w:val="00304B63"/>
    <w:rsid w:val="0032664E"/>
    <w:rsid w:val="00330127"/>
    <w:rsid w:val="003324F7"/>
    <w:rsid w:val="00333E1A"/>
    <w:rsid w:val="00334F88"/>
    <w:rsid w:val="00335B8E"/>
    <w:rsid w:val="00341CC2"/>
    <w:rsid w:val="00341FFD"/>
    <w:rsid w:val="00343A8A"/>
    <w:rsid w:val="00351707"/>
    <w:rsid w:val="00356A5F"/>
    <w:rsid w:val="00356E72"/>
    <w:rsid w:val="00362686"/>
    <w:rsid w:val="003707DB"/>
    <w:rsid w:val="0037090C"/>
    <w:rsid w:val="0037393E"/>
    <w:rsid w:val="00375299"/>
    <w:rsid w:val="00375AEC"/>
    <w:rsid w:val="00376236"/>
    <w:rsid w:val="0037652C"/>
    <w:rsid w:val="003800E4"/>
    <w:rsid w:val="00380FF5"/>
    <w:rsid w:val="00383681"/>
    <w:rsid w:val="003864A9"/>
    <w:rsid w:val="003A3D75"/>
    <w:rsid w:val="003A3ECE"/>
    <w:rsid w:val="003A4AC4"/>
    <w:rsid w:val="003A6174"/>
    <w:rsid w:val="003B1EE5"/>
    <w:rsid w:val="003B4C72"/>
    <w:rsid w:val="003C4B47"/>
    <w:rsid w:val="003C6AC7"/>
    <w:rsid w:val="003D09D7"/>
    <w:rsid w:val="003E2A72"/>
    <w:rsid w:val="003E625D"/>
    <w:rsid w:val="003F326A"/>
    <w:rsid w:val="003F4C54"/>
    <w:rsid w:val="004030AB"/>
    <w:rsid w:val="0040762E"/>
    <w:rsid w:val="00412282"/>
    <w:rsid w:val="0041478F"/>
    <w:rsid w:val="00415F10"/>
    <w:rsid w:val="00421C35"/>
    <w:rsid w:val="004256BA"/>
    <w:rsid w:val="004262F9"/>
    <w:rsid w:val="00431999"/>
    <w:rsid w:val="0043387A"/>
    <w:rsid w:val="00433F6B"/>
    <w:rsid w:val="00435682"/>
    <w:rsid w:val="00440407"/>
    <w:rsid w:val="0044646B"/>
    <w:rsid w:val="004472DE"/>
    <w:rsid w:val="00447C4B"/>
    <w:rsid w:val="004503FA"/>
    <w:rsid w:val="004530A7"/>
    <w:rsid w:val="00454FA0"/>
    <w:rsid w:val="00456081"/>
    <w:rsid w:val="004574BD"/>
    <w:rsid w:val="0046030B"/>
    <w:rsid w:val="00461659"/>
    <w:rsid w:val="00464F5D"/>
    <w:rsid w:val="00465817"/>
    <w:rsid w:val="00466ABD"/>
    <w:rsid w:val="00466BA5"/>
    <w:rsid w:val="004715C4"/>
    <w:rsid w:val="0047347D"/>
    <w:rsid w:val="00474078"/>
    <w:rsid w:val="00474FBD"/>
    <w:rsid w:val="0047538F"/>
    <w:rsid w:val="00475740"/>
    <w:rsid w:val="004841F0"/>
    <w:rsid w:val="00485EC6"/>
    <w:rsid w:val="004874B7"/>
    <w:rsid w:val="00491D7D"/>
    <w:rsid w:val="0049410F"/>
    <w:rsid w:val="00494A37"/>
    <w:rsid w:val="00495638"/>
    <w:rsid w:val="004A0F72"/>
    <w:rsid w:val="004B3BC1"/>
    <w:rsid w:val="004B78FC"/>
    <w:rsid w:val="004C1523"/>
    <w:rsid w:val="004C2FB8"/>
    <w:rsid w:val="004C3BCA"/>
    <w:rsid w:val="004C3F45"/>
    <w:rsid w:val="004C719C"/>
    <w:rsid w:val="004D14CD"/>
    <w:rsid w:val="004D1914"/>
    <w:rsid w:val="004D5D1D"/>
    <w:rsid w:val="004D6A92"/>
    <w:rsid w:val="004E03E3"/>
    <w:rsid w:val="004E06E8"/>
    <w:rsid w:val="004E2A66"/>
    <w:rsid w:val="004E40EF"/>
    <w:rsid w:val="004E5076"/>
    <w:rsid w:val="004E50D1"/>
    <w:rsid w:val="004E73F7"/>
    <w:rsid w:val="004F15EA"/>
    <w:rsid w:val="004F76A0"/>
    <w:rsid w:val="004F7FFA"/>
    <w:rsid w:val="00500E7F"/>
    <w:rsid w:val="00501D2D"/>
    <w:rsid w:val="0050267D"/>
    <w:rsid w:val="0050632B"/>
    <w:rsid w:val="00507A05"/>
    <w:rsid w:val="005114FC"/>
    <w:rsid w:val="00516B55"/>
    <w:rsid w:val="0052179D"/>
    <w:rsid w:val="00526F7B"/>
    <w:rsid w:val="0053241B"/>
    <w:rsid w:val="00532FF6"/>
    <w:rsid w:val="005346BF"/>
    <w:rsid w:val="005368FF"/>
    <w:rsid w:val="00540173"/>
    <w:rsid w:val="00545262"/>
    <w:rsid w:val="005456A9"/>
    <w:rsid w:val="005464FE"/>
    <w:rsid w:val="005466BD"/>
    <w:rsid w:val="00554393"/>
    <w:rsid w:val="005553DD"/>
    <w:rsid w:val="00555D52"/>
    <w:rsid w:val="005566D7"/>
    <w:rsid w:val="00561B87"/>
    <w:rsid w:val="00561F7F"/>
    <w:rsid w:val="00566B35"/>
    <w:rsid w:val="00567069"/>
    <w:rsid w:val="00567DB3"/>
    <w:rsid w:val="005732CC"/>
    <w:rsid w:val="00575422"/>
    <w:rsid w:val="005805D6"/>
    <w:rsid w:val="00581C9A"/>
    <w:rsid w:val="005825B7"/>
    <w:rsid w:val="005832F0"/>
    <w:rsid w:val="005923DC"/>
    <w:rsid w:val="00592FE2"/>
    <w:rsid w:val="005938C6"/>
    <w:rsid w:val="005969F4"/>
    <w:rsid w:val="005A0431"/>
    <w:rsid w:val="005B3752"/>
    <w:rsid w:val="005B61C2"/>
    <w:rsid w:val="005C77DF"/>
    <w:rsid w:val="005D0438"/>
    <w:rsid w:val="005D26B7"/>
    <w:rsid w:val="005D42E8"/>
    <w:rsid w:val="005D47B6"/>
    <w:rsid w:val="005D4AA1"/>
    <w:rsid w:val="005F1F41"/>
    <w:rsid w:val="005F352E"/>
    <w:rsid w:val="005F54B4"/>
    <w:rsid w:val="005F63DE"/>
    <w:rsid w:val="006007C3"/>
    <w:rsid w:val="0060146C"/>
    <w:rsid w:val="0060207D"/>
    <w:rsid w:val="00602E56"/>
    <w:rsid w:val="006039F2"/>
    <w:rsid w:val="006061B0"/>
    <w:rsid w:val="0060732E"/>
    <w:rsid w:val="006076A9"/>
    <w:rsid w:val="00610F9E"/>
    <w:rsid w:val="00613449"/>
    <w:rsid w:val="00620953"/>
    <w:rsid w:val="0062280D"/>
    <w:rsid w:val="00627371"/>
    <w:rsid w:val="0062750D"/>
    <w:rsid w:val="006319B4"/>
    <w:rsid w:val="00633A76"/>
    <w:rsid w:val="00641CAC"/>
    <w:rsid w:val="00645188"/>
    <w:rsid w:val="006479DB"/>
    <w:rsid w:val="00652D05"/>
    <w:rsid w:val="00653741"/>
    <w:rsid w:val="006544EA"/>
    <w:rsid w:val="00655D18"/>
    <w:rsid w:val="00656046"/>
    <w:rsid w:val="0066199B"/>
    <w:rsid w:val="0066569F"/>
    <w:rsid w:val="00675444"/>
    <w:rsid w:val="00681718"/>
    <w:rsid w:val="00682B50"/>
    <w:rsid w:val="006862AB"/>
    <w:rsid w:val="0069004B"/>
    <w:rsid w:val="006939A2"/>
    <w:rsid w:val="00695585"/>
    <w:rsid w:val="006A20B4"/>
    <w:rsid w:val="006B08EB"/>
    <w:rsid w:val="006B1B80"/>
    <w:rsid w:val="006B481F"/>
    <w:rsid w:val="006B5140"/>
    <w:rsid w:val="006D0467"/>
    <w:rsid w:val="006D050E"/>
    <w:rsid w:val="006D563B"/>
    <w:rsid w:val="006D5969"/>
    <w:rsid w:val="006D6DD5"/>
    <w:rsid w:val="006E3889"/>
    <w:rsid w:val="006E5327"/>
    <w:rsid w:val="006F4E16"/>
    <w:rsid w:val="006F638E"/>
    <w:rsid w:val="0070105B"/>
    <w:rsid w:val="00703E42"/>
    <w:rsid w:val="00706DDE"/>
    <w:rsid w:val="00712018"/>
    <w:rsid w:val="00713507"/>
    <w:rsid w:val="007175B6"/>
    <w:rsid w:val="00720EAA"/>
    <w:rsid w:val="007220B2"/>
    <w:rsid w:val="00723DB3"/>
    <w:rsid w:val="0072629F"/>
    <w:rsid w:val="00731BB5"/>
    <w:rsid w:val="00733240"/>
    <w:rsid w:val="007368AD"/>
    <w:rsid w:val="00750408"/>
    <w:rsid w:val="00751D2A"/>
    <w:rsid w:val="00755095"/>
    <w:rsid w:val="00764DFC"/>
    <w:rsid w:val="00770A5A"/>
    <w:rsid w:val="007720EB"/>
    <w:rsid w:val="0077722D"/>
    <w:rsid w:val="00783661"/>
    <w:rsid w:val="00783C42"/>
    <w:rsid w:val="007865DD"/>
    <w:rsid w:val="00786D92"/>
    <w:rsid w:val="0078725D"/>
    <w:rsid w:val="00790B06"/>
    <w:rsid w:val="00793F37"/>
    <w:rsid w:val="00794682"/>
    <w:rsid w:val="00795EE4"/>
    <w:rsid w:val="0079691D"/>
    <w:rsid w:val="007969AE"/>
    <w:rsid w:val="00796A07"/>
    <w:rsid w:val="007A3D0D"/>
    <w:rsid w:val="007A44C0"/>
    <w:rsid w:val="007B01A5"/>
    <w:rsid w:val="007C1A48"/>
    <w:rsid w:val="007C5C43"/>
    <w:rsid w:val="007D136D"/>
    <w:rsid w:val="007D1500"/>
    <w:rsid w:val="007D2D1F"/>
    <w:rsid w:val="007D4FAE"/>
    <w:rsid w:val="007E09F3"/>
    <w:rsid w:val="007E152B"/>
    <w:rsid w:val="007F0813"/>
    <w:rsid w:val="007F10E3"/>
    <w:rsid w:val="007F113C"/>
    <w:rsid w:val="007F2C0E"/>
    <w:rsid w:val="007F48B5"/>
    <w:rsid w:val="007F665D"/>
    <w:rsid w:val="008010C8"/>
    <w:rsid w:val="00804AEB"/>
    <w:rsid w:val="00806D70"/>
    <w:rsid w:val="008075B9"/>
    <w:rsid w:val="008143F2"/>
    <w:rsid w:val="0081545F"/>
    <w:rsid w:val="00836D17"/>
    <w:rsid w:val="00840A55"/>
    <w:rsid w:val="00841E25"/>
    <w:rsid w:val="00843DBA"/>
    <w:rsid w:val="008464CD"/>
    <w:rsid w:val="008515EE"/>
    <w:rsid w:val="00853441"/>
    <w:rsid w:val="00853CB0"/>
    <w:rsid w:val="00856907"/>
    <w:rsid w:val="00856D24"/>
    <w:rsid w:val="00860A0C"/>
    <w:rsid w:val="00861C4E"/>
    <w:rsid w:val="00866D21"/>
    <w:rsid w:val="008756D7"/>
    <w:rsid w:val="00875806"/>
    <w:rsid w:val="00877108"/>
    <w:rsid w:val="00880CB4"/>
    <w:rsid w:val="00883DDA"/>
    <w:rsid w:val="00891FF9"/>
    <w:rsid w:val="00893367"/>
    <w:rsid w:val="00893682"/>
    <w:rsid w:val="008A4FC8"/>
    <w:rsid w:val="008A617F"/>
    <w:rsid w:val="008A63CF"/>
    <w:rsid w:val="008B4388"/>
    <w:rsid w:val="008B6E33"/>
    <w:rsid w:val="008B75D5"/>
    <w:rsid w:val="008C3B67"/>
    <w:rsid w:val="008C3F48"/>
    <w:rsid w:val="008C44B9"/>
    <w:rsid w:val="008D404A"/>
    <w:rsid w:val="008D49B4"/>
    <w:rsid w:val="008D5685"/>
    <w:rsid w:val="008D7498"/>
    <w:rsid w:val="008E48C9"/>
    <w:rsid w:val="008F210B"/>
    <w:rsid w:val="00901AC6"/>
    <w:rsid w:val="00904178"/>
    <w:rsid w:val="009076CA"/>
    <w:rsid w:val="00907CE3"/>
    <w:rsid w:val="0091127A"/>
    <w:rsid w:val="00911573"/>
    <w:rsid w:val="00920061"/>
    <w:rsid w:val="009256C7"/>
    <w:rsid w:val="009261AD"/>
    <w:rsid w:val="00932E96"/>
    <w:rsid w:val="00933362"/>
    <w:rsid w:val="009418E6"/>
    <w:rsid w:val="0094235F"/>
    <w:rsid w:val="0094279F"/>
    <w:rsid w:val="00946B98"/>
    <w:rsid w:val="0095052A"/>
    <w:rsid w:val="00961121"/>
    <w:rsid w:val="009644C2"/>
    <w:rsid w:val="009658F0"/>
    <w:rsid w:val="00971C63"/>
    <w:rsid w:val="00974E50"/>
    <w:rsid w:val="00975E08"/>
    <w:rsid w:val="0097668B"/>
    <w:rsid w:val="009772E7"/>
    <w:rsid w:val="00977E5F"/>
    <w:rsid w:val="00987FF5"/>
    <w:rsid w:val="00993CA3"/>
    <w:rsid w:val="009A0BE8"/>
    <w:rsid w:val="009A2114"/>
    <w:rsid w:val="009A4AE9"/>
    <w:rsid w:val="009A64B5"/>
    <w:rsid w:val="009B281E"/>
    <w:rsid w:val="009C1742"/>
    <w:rsid w:val="009C1826"/>
    <w:rsid w:val="009C5CC9"/>
    <w:rsid w:val="009C71D5"/>
    <w:rsid w:val="009D1B2F"/>
    <w:rsid w:val="009E13AD"/>
    <w:rsid w:val="009E6F75"/>
    <w:rsid w:val="009F1C4C"/>
    <w:rsid w:val="009F1CF5"/>
    <w:rsid w:val="009F7CE4"/>
    <w:rsid w:val="00A001D9"/>
    <w:rsid w:val="00A11162"/>
    <w:rsid w:val="00A1546D"/>
    <w:rsid w:val="00A2093A"/>
    <w:rsid w:val="00A238FB"/>
    <w:rsid w:val="00A25299"/>
    <w:rsid w:val="00A30FE5"/>
    <w:rsid w:val="00A374BD"/>
    <w:rsid w:val="00A43227"/>
    <w:rsid w:val="00A46CCD"/>
    <w:rsid w:val="00A51DA4"/>
    <w:rsid w:val="00A609EA"/>
    <w:rsid w:val="00A65133"/>
    <w:rsid w:val="00A652C5"/>
    <w:rsid w:val="00A67B67"/>
    <w:rsid w:val="00A71ACA"/>
    <w:rsid w:val="00A752C0"/>
    <w:rsid w:val="00A7784A"/>
    <w:rsid w:val="00A81E68"/>
    <w:rsid w:val="00A843CE"/>
    <w:rsid w:val="00A85BDC"/>
    <w:rsid w:val="00A85C5A"/>
    <w:rsid w:val="00A9124E"/>
    <w:rsid w:val="00A947F1"/>
    <w:rsid w:val="00A94D9F"/>
    <w:rsid w:val="00A96A08"/>
    <w:rsid w:val="00A96EF2"/>
    <w:rsid w:val="00AA0161"/>
    <w:rsid w:val="00AA2418"/>
    <w:rsid w:val="00AA3532"/>
    <w:rsid w:val="00AA4004"/>
    <w:rsid w:val="00AA42CE"/>
    <w:rsid w:val="00AA684A"/>
    <w:rsid w:val="00AB1D08"/>
    <w:rsid w:val="00AB4345"/>
    <w:rsid w:val="00AB5BD7"/>
    <w:rsid w:val="00AC0135"/>
    <w:rsid w:val="00AC070D"/>
    <w:rsid w:val="00AC13FD"/>
    <w:rsid w:val="00AC22F2"/>
    <w:rsid w:val="00AC2AE1"/>
    <w:rsid w:val="00AC37F7"/>
    <w:rsid w:val="00AD0616"/>
    <w:rsid w:val="00AD3357"/>
    <w:rsid w:val="00AD34FF"/>
    <w:rsid w:val="00AD47EA"/>
    <w:rsid w:val="00AD4970"/>
    <w:rsid w:val="00AD4DE6"/>
    <w:rsid w:val="00AD774F"/>
    <w:rsid w:val="00AE3655"/>
    <w:rsid w:val="00AE62E6"/>
    <w:rsid w:val="00AF3E95"/>
    <w:rsid w:val="00B003A3"/>
    <w:rsid w:val="00B02220"/>
    <w:rsid w:val="00B1305D"/>
    <w:rsid w:val="00B14754"/>
    <w:rsid w:val="00B14A31"/>
    <w:rsid w:val="00B15FE9"/>
    <w:rsid w:val="00B20264"/>
    <w:rsid w:val="00B42F90"/>
    <w:rsid w:val="00B449F0"/>
    <w:rsid w:val="00B47325"/>
    <w:rsid w:val="00B47ADD"/>
    <w:rsid w:val="00B51883"/>
    <w:rsid w:val="00B61FD4"/>
    <w:rsid w:val="00B62AE1"/>
    <w:rsid w:val="00B64C28"/>
    <w:rsid w:val="00B65B5B"/>
    <w:rsid w:val="00B673C6"/>
    <w:rsid w:val="00B674DB"/>
    <w:rsid w:val="00B70775"/>
    <w:rsid w:val="00B7330B"/>
    <w:rsid w:val="00B81D26"/>
    <w:rsid w:val="00B82E8D"/>
    <w:rsid w:val="00B9037C"/>
    <w:rsid w:val="00B9264D"/>
    <w:rsid w:val="00B9380B"/>
    <w:rsid w:val="00BA59A3"/>
    <w:rsid w:val="00BA5FF3"/>
    <w:rsid w:val="00BA7D89"/>
    <w:rsid w:val="00BB0849"/>
    <w:rsid w:val="00BB3FA1"/>
    <w:rsid w:val="00BB62BB"/>
    <w:rsid w:val="00BC01E5"/>
    <w:rsid w:val="00BC05C5"/>
    <w:rsid w:val="00BC5E9B"/>
    <w:rsid w:val="00BC63BA"/>
    <w:rsid w:val="00BD04BE"/>
    <w:rsid w:val="00BD6A22"/>
    <w:rsid w:val="00BE10E2"/>
    <w:rsid w:val="00BE4504"/>
    <w:rsid w:val="00BE6419"/>
    <w:rsid w:val="00BE6F28"/>
    <w:rsid w:val="00BE77EA"/>
    <w:rsid w:val="00BE78D7"/>
    <w:rsid w:val="00BF29FA"/>
    <w:rsid w:val="00BF45D0"/>
    <w:rsid w:val="00BF7D1D"/>
    <w:rsid w:val="00C014C9"/>
    <w:rsid w:val="00C04D2B"/>
    <w:rsid w:val="00C1336E"/>
    <w:rsid w:val="00C15EBD"/>
    <w:rsid w:val="00C23EC0"/>
    <w:rsid w:val="00C256E0"/>
    <w:rsid w:val="00C27A58"/>
    <w:rsid w:val="00C42363"/>
    <w:rsid w:val="00C45755"/>
    <w:rsid w:val="00C50FA9"/>
    <w:rsid w:val="00C51934"/>
    <w:rsid w:val="00C573A7"/>
    <w:rsid w:val="00C66793"/>
    <w:rsid w:val="00C72422"/>
    <w:rsid w:val="00C737C5"/>
    <w:rsid w:val="00C84352"/>
    <w:rsid w:val="00C95AE5"/>
    <w:rsid w:val="00CA0491"/>
    <w:rsid w:val="00CA3540"/>
    <w:rsid w:val="00CA5343"/>
    <w:rsid w:val="00CA6DED"/>
    <w:rsid w:val="00CA7BC7"/>
    <w:rsid w:val="00CB0924"/>
    <w:rsid w:val="00CB260A"/>
    <w:rsid w:val="00CC1485"/>
    <w:rsid w:val="00CC1522"/>
    <w:rsid w:val="00CC15B6"/>
    <w:rsid w:val="00CC49D4"/>
    <w:rsid w:val="00CC66F4"/>
    <w:rsid w:val="00CE52C9"/>
    <w:rsid w:val="00CE6F5A"/>
    <w:rsid w:val="00CF0B96"/>
    <w:rsid w:val="00CF191E"/>
    <w:rsid w:val="00CF42CF"/>
    <w:rsid w:val="00D00D45"/>
    <w:rsid w:val="00D03A71"/>
    <w:rsid w:val="00D07BF0"/>
    <w:rsid w:val="00D102E9"/>
    <w:rsid w:val="00D14625"/>
    <w:rsid w:val="00D1688F"/>
    <w:rsid w:val="00D2117F"/>
    <w:rsid w:val="00D23CC4"/>
    <w:rsid w:val="00D25317"/>
    <w:rsid w:val="00D3616E"/>
    <w:rsid w:val="00D37731"/>
    <w:rsid w:val="00D417EE"/>
    <w:rsid w:val="00D4227B"/>
    <w:rsid w:val="00D43C98"/>
    <w:rsid w:val="00D47F9C"/>
    <w:rsid w:val="00D52F5E"/>
    <w:rsid w:val="00D5330E"/>
    <w:rsid w:val="00D62F28"/>
    <w:rsid w:val="00D66E8B"/>
    <w:rsid w:val="00D710E0"/>
    <w:rsid w:val="00D81571"/>
    <w:rsid w:val="00D81E8E"/>
    <w:rsid w:val="00D83F8D"/>
    <w:rsid w:val="00D85513"/>
    <w:rsid w:val="00D85715"/>
    <w:rsid w:val="00D8706C"/>
    <w:rsid w:val="00D92E0E"/>
    <w:rsid w:val="00D95670"/>
    <w:rsid w:val="00D97FC8"/>
    <w:rsid w:val="00DA4C62"/>
    <w:rsid w:val="00DB0A4A"/>
    <w:rsid w:val="00DB442D"/>
    <w:rsid w:val="00DB4D46"/>
    <w:rsid w:val="00DB6A17"/>
    <w:rsid w:val="00DB70D0"/>
    <w:rsid w:val="00DD0B5F"/>
    <w:rsid w:val="00DD39A5"/>
    <w:rsid w:val="00DD5520"/>
    <w:rsid w:val="00DD5759"/>
    <w:rsid w:val="00DE633D"/>
    <w:rsid w:val="00DE65C4"/>
    <w:rsid w:val="00DF3C96"/>
    <w:rsid w:val="00DF4986"/>
    <w:rsid w:val="00DF49B3"/>
    <w:rsid w:val="00E00EB2"/>
    <w:rsid w:val="00E00F76"/>
    <w:rsid w:val="00E02055"/>
    <w:rsid w:val="00E066F8"/>
    <w:rsid w:val="00E139AB"/>
    <w:rsid w:val="00E17058"/>
    <w:rsid w:val="00E21668"/>
    <w:rsid w:val="00E21E75"/>
    <w:rsid w:val="00E224A3"/>
    <w:rsid w:val="00E31D20"/>
    <w:rsid w:val="00E32FB7"/>
    <w:rsid w:val="00E33796"/>
    <w:rsid w:val="00E37EF6"/>
    <w:rsid w:val="00E40A1F"/>
    <w:rsid w:val="00E44F58"/>
    <w:rsid w:val="00E519DC"/>
    <w:rsid w:val="00E52F36"/>
    <w:rsid w:val="00E53ADB"/>
    <w:rsid w:val="00E55DF9"/>
    <w:rsid w:val="00E5660B"/>
    <w:rsid w:val="00E5666D"/>
    <w:rsid w:val="00E62BBE"/>
    <w:rsid w:val="00E63B20"/>
    <w:rsid w:val="00E71628"/>
    <w:rsid w:val="00E72F74"/>
    <w:rsid w:val="00E73116"/>
    <w:rsid w:val="00E77DA7"/>
    <w:rsid w:val="00E807DA"/>
    <w:rsid w:val="00E832BD"/>
    <w:rsid w:val="00E84E3A"/>
    <w:rsid w:val="00E87D38"/>
    <w:rsid w:val="00E905F9"/>
    <w:rsid w:val="00E95E5F"/>
    <w:rsid w:val="00EA05AF"/>
    <w:rsid w:val="00EA2B44"/>
    <w:rsid w:val="00EA6595"/>
    <w:rsid w:val="00EB64C0"/>
    <w:rsid w:val="00EC1B8B"/>
    <w:rsid w:val="00EC43B9"/>
    <w:rsid w:val="00EC45E6"/>
    <w:rsid w:val="00EC4D6B"/>
    <w:rsid w:val="00EC7E48"/>
    <w:rsid w:val="00ED4D69"/>
    <w:rsid w:val="00ED4EDB"/>
    <w:rsid w:val="00ED797B"/>
    <w:rsid w:val="00EE362F"/>
    <w:rsid w:val="00EE5764"/>
    <w:rsid w:val="00EE5E7E"/>
    <w:rsid w:val="00EE5E85"/>
    <w:rsid w:val="00EF0E19"/>
    <w:rsid w:val="00EF252E"/>
    <w:rsid w:val="00EF495F"/>
    <w:rsid w:val="00EF5481"/>
    <w:rsid w:val="00F012E1"/>
    <w:rsid w:val="00F04F77"/>
    <w:rsid w:val="00F06E7E"/>
    <w:rsid w:val="00F114AE"/>
    <w:rsid w:val="00F14CB1"/>
    <w:rsid w:val="00F14CD6"/>
    <w:rsid w:val="00F163A7"/>
    <w:rsid w:val="00F20C87"/>
    <w:rsid w:val="00F21DD9"/>
    <w:rsid w:val="00F22D7D"/>
    <w:rsid w:val="00F2776F"/>
    <w:rsid w:val="00F361C7"/>
    <w:rsid w:val="00F43CA0"/>
    <w:rsid w:val="00F446CB"/>
    <w:rsid w:val="00F50151"/>
    <w:rsid w:val="00F50240"/>
    <w:rsid w:val="00F55030"/>
    <w:rsid w:val="00F5545D"/>
    <w:rsid w:val="00F6159E"/>
    <w:rsid w:val="00F615DB"/>
    <w:rsid w:val="00F634AD"/>
    <w:rsid w:val="00F65239"/>
    <w:rsid w:val="00F677BB"/>
    <w:rsid w:val="00F73DAF"/>
    <w:rsid w:val="00F7696F"/>
    <w:rsid w:val="00F777A9"/>
    <w:rsid w:val="00F8209B"/>
    <w:rsid w:val="00F83814"/>
    <w:rsid w:val="00F84119"/>
    <w:rsid w:val="00F8728B"/>
    <w:rsid w:val="00F907AB"/>
    <w:rsid w:val="00F93B1E"/>
    <w:rsid w:val="00F96565"/>
    <w:rsid w:val="00F96790"/>
    <w:rsid w:val="00FA0576"/>
    <w:rsid w:val="00FA4DC3"/>
    <w:rsid w:val="00FA4FFA"/>
    <w:rsid w:val="00FA575A"/>
    <w:rsid w:val="00FA7A25"/>
    <w:rsid w:val="00FB50B4"/>
    <w:rsid w:val="00FC1F8F"/>
    <w:rsid w:val="00FC40B0"/>
    <w:rsid w:val="00FC47B6"/>
    <w:rsid w:val="00FC59A1"/>
    <w:rsid w:val="00FD48A3"/>
    <w:rsid w:val="00FD4B97"/>
    <w:rsid w:val="00FD4E89"/>
    <w:rsid w:val="00FE0C79"/>
    <w:rsid w:val="00FE3E2B"/>
    <w:rsid w:val="00FE4600"/>
    <w:rsid w:val="00FE5006"/>
    <w:rsid w:val="00FE55EB"/>
    <w:rsid w:val="00FE56F5"/>
    <w:rsid w:val="00FE5A00"/>
    <w:rsid w:val="00FF4B9B"/>
    <w:rsid w:val="00FF5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C33E7"/>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43"/>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47"/>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FA4DC3"/>
    <w:pPr>
      <w:tabs>
        <w:tab w:val="left" w:pos="400"/>
        <w:tab w:val="right" w:leader="dot" w:pos="9016"/>
      </w:tabs>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034DEC"/>
    <w:rPr>
      <w:lang w:eastAsia="en-US"/>
    </w:rPr>
  </w:style>
  <w:style w:type="paragraph" w:styleId="NormalWeb">
    <w:name w:val="Normal (Web)"/>
    <w:basedOn w:val="Normal"/>
    <w:uiPriority w:val="99"/>
    <w:semiHidden/>
    <w:unhideWhenUsed/>
    <w:locked/>
    <w:rsid w:val="00BB0849"/>
    <w:rPr>
      <w:rFonts w:ascii="Times New Roman" w:hAnsi="Times New Roman"/>
      <w:sz w:val="24"/>
      <w:szCs w:val="24"/>
    </w:rPr>
  </w:style>
  <w:style w:type="paragraph" w:styleId="Quote">
    <w:name w:val="Quote"/>
    <w:basedOn w:val="Normal"/>
    <w:next w:val="Normal"/>
    <w:link w:val="QuoteChar"/>
    <w:uiPriority w:val="29"/>
    <w:semiHidden/>
    <w:unhideWhenUsed/>
    <w:qFormat/>
    <w:locked/>
    <w:rsid w:val="003C6AC7"/>
    <w:rPr>
      <w:i/>
      <w:iCs/>
      <w:color w:val="000000" w:themeColor="text1"/>
    </w:rPr>
  </w:style>
  <w:style w:type="character" w:customStyle="1" w:styleId="QuoteChar">
    <w:name w:val="Quote Char"/>
    <w:basedOn w:val="DefaultParagraphFont"/>
    <w:link w:val="Quote"/>
    <w:uiPriority w:val="29"/>
    <w:semiHidden/>
    <w:rsid w:val="003C6AC7"/>
    <w:rPr>
      <w:i/>
      <w:iCs/>
      <w:color w:val="000000" w:themeColor="tex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47"/>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3620">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87731331">
      <w:bodyDiv w:val="1"/>
      <w:marLeft w:val="0"/>
      <w:marRight w:val="0"/>
      <w:marTop w:val="0"/>
      <w:marBottom w:val="0"/>
      <w:divBdr>
        <w:top w:val="none" w:sz="0" w:space="0" w:color="auto"/>
        <w:left w:val="none" w:sz="0" w:space="0" w:color="auto"/>
        <w:bottom w:val="none" w:sz="0" w:space="0" w:color="auto"/>
        <w:right w:val="none" w:sz="0" w:space="0" w:color="auto"/>
      </w:divBdr>
    </w:div>
    <w:div w:id="1125267765">
      <w:bodyDiv w:val="1"/>
      <w:marLeft w:val="0"/>
      <w:marRight w:val="0"/>
      <w:marTop w:val="0"/>
      <w:marBottom w:val="0"/>
      <w:divBdr>
        <w:top w:val="none" w:sz="0" w:space="0" w:color="auto"/>
        <w:left w:val="none" w:sz="0" w:space="0" w:color="auto"/>
        <w:bottom w:val="none" w:sz="0" w:space="0" w:color="auto"/>
        <w:right w:val="none" w:sz="0" w:space="0" w:color="auto"/>
      </w:divBdr>
      <w:divsChild>
        <w:div w:id="993873594">
          <w:marLeft w:val="0"/>
          <w:marRight w:val="0"/>
          <w:marTop w:val="0"/>
          <w:marBottom w:val="0"/>
          <w:divBdr>
            <w:top w:val="none" w:sz="0" w:space="0" w:color="auto"/>
            <w:left w:val="none" w:sz="0" w:space="0" w:color="auto"/>
            <w:bottom w:val="none" w:sz="0" w:space="0" w:color="auto"/>
            <w:right w:val="none" w:sz="0" w:space="0" w:color="auto"/>
          </w:divBdr>
          <w:divsChild>
            <w:div w:id="534274583">
              <w:marLeft w:val="0"/>
              <w:marRight w:val="0"/>
              <w:marTop w:val="0"/>
              <w:marBottom w:val="0"/>
              <w:divBdr>
                <w:top w:val="none" w:sz="0" w:space="0" w:color="auto"/>
                <w:left w:val="none" w:sz="0" w:space="0" w:color="auto"/>
                <w:bottom w:val="none" w:sz="0" w:space="0" w:color="auto"/>
                <w:right w:val="none" w:sz="0" w:space="0" w:color="auto"/>
              </w:divBdr>
              <w:divsChild>
                <w:div w:id="1408065463">
                  <w:marLeft w:val="0"/>
                  <w:marRight w:val="0"/>
                  <w:marTop w:val="0"/>
                  <w:marBottom w:val="0"/>
                  <w:divBdr>
                    <w:top w:val="none" w:sz="0" w:space="0" w:color="auto"/>
                    <w:left w:val="none" w:sz="0" w:space="0" w:color="auto"/>
                    <w:bottom w:val="none" w:sz="0" w:space="0" w:color="auto"/>
                    <w:right w:val="none" w:sz="0" w:space="0" w:color="auto"/>
                  </w:divBdr>
                  <w:divsChild>
                    <w:div w:id="2063794698">
                      <w:marLeft w:val="0"/>
                      <w:marRight w:val="0"/>
                      <w:marTop w:val="0"/>
                      <w:marBottom w:val="0"/>
                      <w:divBdr>
                        <w:top w:val="none" w:sz="0" w:space="0" w:color="auto"/>
                        <w:left w:val="none" w:sz="0" w:space="0" w:color="auto"/>
                        <w:bottom w:val="none" w:sz="0" w:space="0" w:color="auto"/>
                        <w:right w:val="none" w:sz="0" w:space="0" w:color="auto"/>
                      </w:divBdr>
                      <w:divsChild>
                        <w:div w:id="677392561">
                          <w:marLeft w:val="0"/>
                          <w:marRight w:val="0"/>
                          <w:marTop w:val="0"/>
                          <w:marBottom w:val="0"/>
                          <w:divBdr>
                            <w:top w:val="none" w:sz="0" w:space="0" w:color="auto"/>
                            <w:left w:val="none" w:sz="0" w:space="0" w:color="auto"/>
                            <w:bottom w:val="none" w:sz="0" w:space="0" w:color="auto"/>
                            <w:right w:val="none" w:sz="0" w:space="0" w:color="auto"/>
                          </w:divBdr>
                          <w:divsChild>
                            <w:div w:id="738093007">
                              <w:marLeft w:val="0"/>
                              <w:marRight w:val="0"/>
                              <w:marTop w:val="0"/>
                              <w:marBottom w:val="0"/>
                              <w:divBdr>
                                <w:top w:val="none" w:sz="0" w:space="0" w:color="auto"/>
                                <w:left w:val="none" w:sz="0" w:space="0" w:color="auto"/>
                                <w:bottom w:val="none" w:sz="0" w:space="0" w:color="auto"/>
                                <w:right w:val="none" w:sz="0" w:space="0" w:color="auto"/>
                              </w:divBdr>
                              <w:divsChild>
                                <w:div w:id="1443187992">
                                  <w:marLeft w:val="0"/>
                                  <w:marRight w:val="0"/>
                                  <w:marTop w:val="0"/>
                                  <w:marBottom w:val="0"/>
                                  <w:divBdr>
                                    <w:top w:val="none" w:sz="0" w:space="0" w:color="auto"/>
                                    <w:left w:val="none" w:sz="0" w:space="0" w:color="auto"/>
                                    <w:bottom w:val="none" w:sz="0" w:space="0" w:color="auto"/>
                                    <w:right w:val="none" w:sz="0" w:space="0" w:color="auto"/>
                                  </w:divBdr>
                                  <w:divsChild>
                                    <w:div w:id="1065418767">
                                      <w:marLeft w:val="240"/>
                                      <w:marRight w:val="240"/>
                                      <w:marTop w:val="240"/>
                                      <w:marBottom w:val="0"/>
                                      <w:divBdr>
                                        <w:top w:val="none" w:sz="0" w:space="0" w:color="auto"/>
                                        <w:left w:val="none" w:sz="0" w:space="0" w:color="auto"/>
                                        <w:bottom w:val="none" w:sz="0" w:space="0" w:color="auto"/>
                                        <w:right w:val="none" w:sz="0" w:space="0" w:color="auto"/>
                                      </w:divBdr>
                                      <w:divsChild>
                                        <w:div w:id="1170413574">
                                          <w:marLeft w:val="0"/>
                                          <w:marRight w:val="0"/>
                                          <w:marTop w:val="0"/>
                                          <w:marBottom w:val="0"/>
                                          <w:divBdr>
                                            <w:top w:val="none" w:sz="0" w:space="0" w:color="auto"/>
                                            <w:left w:val="none" w:sz="0" w:space="0" w:color="auto"/>
                                            <w:bottom w:val="none" w:sz="0" w:space="0" w:color="auto"/>
                                            <w:right w:val="none" w:sz="0" w:space="0" w:color="auto"/>
                                          </w:divBdr>
                                          <w:divsChild>
                                            <w:div w:id="433670054">
                                              <w:marLeft w:val="0"/>
                                              <w:marRight w:val="0"/>
                                              <w:marTop w:val="0"/>
                                              <w:marBottom w:val="0"/>
                                              <w:divBdr>
                                                <w:top w:val="none" w:sz="0" w:space="0" w:color="auto"/>
                                                <w:left w:val="none" w:sz="0" w:space="0" w:color="auto"/>
                                                <w:bottom w:val="none" w:sz="0" w:space="0" w:color="auto"/>
                                                <w:right w:val="none" w:sz="0" w:space="0" w:color="auto"/>
                                              </w:divBdr>
                                              <w:divsChild>
                                                <w:div w:id="968239007">
                                                  <w:marLeft w:val="0"/>
                                                  <w:marRight w:val="0"/>
                                                  <w:marTop w:val="0"/>
                                                  <w:marBottom w:val="0"/>
                                                  <w:divBdr>
                                                    <w:top w:val="none" w:sz="0" w:space="0" w:color="auto"/>
                                                    <w:left w:val="none" w:sz="0" w:space="0" w:color="auto"/>
                                                    <w:bottom w:val="none" w:sz="0" w:space="0" w:color="auto"/>
                                                    <w:right w:val="none" w:sz="0" w:space="0" w:color="auto"/>
                                                  </w:divBdr>
                                                  <w:divsChild>
                                                    <w:div w:id="14701058">
                                                      <w:marLeft w:val="0"/>
                                                      <w:marRight w:val="0"/>
                                                      <w:marTop w:val="0"/>
                                                      <w:marBottom w:val="0"/>
                                                      <w:divBdr>
                                                        <w:top w:val="none" w:sz="0" w:space="0" w:color="auto"/>
                                                        <w:left w:val="none" w:sz="0" w:space="0" w:color="auto"/>
                                                        <w:bottom w:val="none" w:sz="0" w:space="0" w:color="auto"/>
                                                        <w:right w:val="none" w:sz="0" w:space="0" w:color="auto"/>
                                                      </w:divBdr>
                                                      <w:divsChild>
                                                        <w:div w:id="1103722494">
                                                          <w:marLeft w:val="0"/>
                                                          <w:marRight w:val="0"/>
                                                          <w:marTop w:val="0"/>
                                                          <w:marBottom w:val="0"/>
                                                          <w:divBdr>
                                                            <w:top w:val="none" w:sz="0" w:space="0" w:color="auto"/>
                                                            <w:left w:val="none" w:sz="0" w:space="0" w:color="auto"/>
                                                            <w:bottom w:val="none" w:sz="0" w:space="0" w:color="auto"/>
                                                            <w:right w:val="none" w:sz="0" w:space="0" w:color="auto"/>
                                                          </w:divBdr>
                                                          <w:divsChild>
                                                            <w:div w:id="659310405">
                                                              <w:marLeft w:val="0"/>
                                                              <w:marRight w:val="0"/>
                                                              <w:marTop w:val="0"/>
                                                              <w:marBottom w:val="0"/>
                                                              <w:divBdr>
                                                                <w:top w:val="none" w:sz="0" w:space="0" w:color="auto"/>
                                                                <w:left w:val="none" w:sz="0" w:space="0" w:color="auto"/>
                                                                <w:bottom w:val="none" w:sz="0" w:space="0" w:color="auto"/>
                                                                <w:right w:val="none" w:sz="0" w:space="0" w:color="auto"/>
                                                              </w:divBdr>
                                                              <w:divsChild>
                                                                <w:div w:id="1662192358">
                                                                  <w:marLeft w:val="0"/>
                                                                  <w:marRight w:val="0"/>
                                                                  <w:marTop w:val="0"/>
                                                                  <w:marBottom w:val="0"/>
                                                                  <w:divBdr>
                                                                    <w:top w:val="none" w:sz="0" w:space="0" w:color="auto"/>
                                                                    <w:left w:val="none" w:sz="0" w:space="0" w:color="auto"/>
                                                                    <w:bottom w:val="none" w:sz="0" w:space="0" w:color="auto"/>
                                                                    <w:right w:val="none" w:sz="0" w:space="0" w:color="auto"/>
                                                                  </w:divBdr>
                                                                  <w:divsChild>
                                                                    <w:div w:id="1463382493">
                                                                      <w:marLeft w:val="0"/>
                                                                      <w:marRight w:val="0"/>
                                                                      <w:marTop w:val="0"/>
                                                                      <w:marBottom w:val="0"/>
                                                                      <w:divBdr>
                                                                        <w:top w:val="none" w:sz="0" w:space="0" w:color="auto"/>
                                                                        <w:left w:val="none" w:sz="0" w:space="0" w:color="auto"/>
                                                                        <w:bottom w:val="none" w:sz="0" w:space="0" w:color="auto"/>
                                                                        <w:right w:val="none" w:sz="0" w:space="0" w:color="auto"/>
                                                                      </w:divBdr>
                                                                      <w:divsChild>
                                                                        <w:div w:id="39288750">
                                                                          <w:marLeft w:val="0"/>
                                                                          <w:marRight w:val="0"/>
                                                                          <w:marTop w:val="0"/>
                                                                          <w:marBottom w:val="120"/>
                                                                          <w:divBdr>
                                                                            <w:top w:val="none" w:sz="0" w:space="0" w:color="auto"/>
                                                                            <w:left w:val="none" w:sz="0" w:space="0" w:color="auto"/>
                                                                            <w:bottom w:val="none" w:sz="0" w:space="0" w:color="auto"/>
                                                                            <w:right w:val="none" w:sz="0" w:space="0" w:color="auto"/>
                                                                          </w:divBdr>
                                                                          <w:divsChild>
                                                                            <w:div w:id="831680797">
                                                                              <w:marLeft w:val="0"/>
                                                                              <w:marRight w:val="0"/>
                                                                              <w:marTop w:val="0"/>
                                                                              <w:marBottom w:val="0"/>
                                                                              <w:divBdr>
                                                                                <w:top w:val="none" w:sz="0" w:space="0" w:color="auto"/>
                                                                                <w:left w:val="none" w:sz="0" w:space="0" w:color="auto"/>
                                                                                <w:bottom w:val="none" w:sz="0" w:space="0" w:color="auto"/>
                                                                                <w:right w:val="none" w:sz="0" w:space="0" w:color="auto"/>
                                                                              </w:divBdr>
                                                                              <w:divsChild>
                                                                                <w:div w:id="517935433">
                                                                                  <w:marLeft w:val="0"/>
                                                                                  <w:marRight w:val="0"/>
                                                                                  <w:marTop w:val="0"/>
                                                                                  <w:marBottom w:val="0"/>
                                                                                  <w:divBdr>
                                                                                    <w:top w:val="none" w:sz="0" w:space="0" w:color="auto"/>
                                                                                    <w:left w:val="none" w:sz="0" w:space="0" w:color="auto"/>
                                                                                    <w:bottom w:val="none" w:sz="0" w:space="0" w:color="auto"/>
                                                                                    <w:right w:val="none" w:sz="0" w:space="0" w:color="auto"/>
                                                                                  </w:divBdr>
                                                                                  <w:divsChild>
                                                                                    <w:div w:id="729420322">
                                                                                      <w:marLeft w:val="0"/>
                                                                                      <w:marRight w:val="0"/>
                                                                                      <w:marTop w:val="0"/>
                                                                                      <w:marBottom w:val="0"/>
                                                                                      <w:divBdr>
                                                                                        <w:top w:val="none" w:sz="0" w:space="0" w:color="auto"/>
                                                                                        <w:left w:val="none" w:sz="0" w:space="0" w:color="auto"/>
                                                                                        <w:bottom w:val="none" w:sz="0" w:space="0" w:color="auto"/>
                                                                                        <w:right w:val="none" w:sz="0" w:space="0" w:color="auto"/>
                                                                                      </w:divBdr>
                                                                                      <w:divsChild>
                                                                                        <w:div w:id="1394159287">
                                                                                          <w:marLeft w:val="0"/>
                                                                                          <w:marRight w:val="0"/>
                                                                                          <w:marTop w:val="0"/>
                                                                                          <w:marBottom w:val="0"/>
                                                                                          <w:divBdr>
                                                                                            <w:top w:val="none" w:sz="0" w:space="0" w:color="auto"/>
                                                                                            <w:left w:val="none" w:sz="0" w:space="0" w:color="auto"/>
                                                                                            <w:bottom w:val="none" w:sz="0" w:space="0" w:color="auto"/>
                                                                                            <w:right w:val="none" w:sz="0" w:space="0" w:color="auto"/>
                                                                                          </w:divBdr>
                                                                                          <w:divsChild>
                                                                                            <w:div w:id="165219441">
                                                                                              <w:marLeft w:val="0"/>
                                                                                              <w:marRight w:val="0"/>
                                                                                              <w:marTop w:val="0"/>
                                                                                              <w:marBottom w:val="0"/>
                                                                                              <w:divBdr>
                                                                                                <w:top w:val="none" w:sz="0" w:space="0" w:color="auto"/>
                                                                                                <w:left w:val="none" w:sz="0" w:space="0" w:color="auto"/>
                                                                                                <w:bottom w:val="none" w:sz="0" w:space="0" w:color="auto"/>
                                                                                                <w:right w:val="none" w:sz="0" w:space="0" w:color="auto"/>
                                                                                              </w:divBdr>
                                                                                              <w:divsChild>
                                                                                                <w:div w:id="563953425">
                                                                                                  <w:marLeft w:val="0"/>
                                                                                                  <w:marRight w:val="0"/>
                                                                                                  <w:marTop w:val="0"/>
                                                                                                  <w:marBottom w:val="0"/>
                                                                                                  <w:divBdr>
                                                                                                    <w:top w:val="none" w:sz="0" w:space="0" w:color="auto"/>
                                                                                                    <w:left w:val="none" w:sz="0" w:space="0" w:color="auto"/>
                                                                                                    <w:bottom w:val="none" w:sz="0" w:space="0" w:color="auto"/>
                                                                                                    <w:right w:val="none" w:sz="0" w:space="0" w:color="auto"/>
                                                                                                  </w:divBdr>
                                                                                                  <w:divsChild>
                                                                                                    <w:div w:id="12754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2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centives@aer.gov.a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incentives@aer.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www.aemc.gov.au/Media/docs/12-18675-Economic-Insights---Actual-vs-Forecast-Depreciation---for-publication-5e0d441a-8289-4881-8d0b-df2be8a04f95-0.pdf" TargetMode="External"/><Relationship Id="rId3" Type="http://schemas.openxmlformats.org/officeDocument/2006/relationships/hyperlink" Target="http://aemc.gov.au/Electricity/Rule-changes/Completed/economic-regulation-of-network-service-providers-.html" TargetMode="External"/><Relationship Id="rId7" Type="http://schemas.openxmlformats.org/officeDocument/2006/relationships/hyperlink" Target="http://www.aer.gov.au/node/18869" TargetMode="External"/><Relationship Id="rId2" Type="http://schemas.openxmlformats.org/officeDocument/2006/relationships/hyperlink" Target="http://www.aer.gov.au/node/18869" TargetMode="External"/><Relationship Id="rId1" Type="http://schemas.openxmlformats.org/officeDocument/2006/relationships/hyperlink" Target="http://www.aer.gov.au/node/18824" TargetMode="External"/><Relationship Id="rId6" Type="http://schemas.openxmlformats.org/officeDocument/2006/relationships/hyperlink" Target="http://www.royalcommission.vic.gov.au/getdoc/d09c58ae-4770-4cae-9435-586148b53398/PAL.019.001.0636" TargetMode="External"/><Relationship Id="rId5" Type="http://schemas.openxmlformats.org/officeDocument/2006/relationships/hyperlink" Target="http://www.aer.gov.au" TargetMode="External"/><Relationship Id="rId10" Type="http://schemas.openxmlformats.org/officeDocument/2006/relationships/hyperlink" Target="http://www.aer.gov.au/node/18869" TargetMode="External"/><Relationship Id="rId4" Type="http://schemas.openxmlformats.org/officeDocument/2006/relationships/hyperlink" Target="http://www.aer.gov.au/node/18869" TargetMode="External"/><Relationship Id="rId9" Type="http://schemas.openxmlformats.org/officeDocument/2006/relationships/hyperlink" Target="http://www.aemo.com.au/Electricity/Planning/Reports/National-Transmission-Network-Development-Pla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BRVPWXFS02\BusData\AER\Expenditure%20incentive%20guideline\Draft%20docs\Actual_vs_forecast_depreciatio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231014350307057E-2"/>
          <c:y val="2.8036665871311539E-2"/>
          <c:w val="0.88804439699274884"/>
          <c:h val="0.71851844866697057"/>
        </c:manualLayout>
      </c:layout>
      <c:lineChart>
        <c:grouping val="standard"/>
        <c:varyColors val="0"/>
        <c:ser>
          <c:idx val="0"/>
          <c:order val="0"/>
          <c:tx>
            <c:strRef>
              <c:f>'Inputs and results'!$A$29</c:f>
              <c:strCache>
                <c:ptCount val="1"/>
                <c:pt idx="0">
                  <c:v>Actual depreciation, 10 year asset life</c:v>
                </c:pt>
              </c:strCache>
            </c:strRef>
          </c:tx>
          <c:spPr>
            <a:ln>
              <a:prstDash val="dash"/>
            </a:ln>
          </c:spPr>
          <c:marker>
            <c:symbol val="none"/>
          </c:marker>
          <c:cat>
            <c:numRef>
              <c:f>'Inputs and results'!$C$28:$G$28</c:f>
              <c:numCache>
                <c:formatCode>General</c:formatCode>
                <c:ptCount val="5"/>
                <c:pt idx="0">
                  <c:v>1</c:v>
                </c:pt>
                <c:pt idx="1">
                  <c:v>2</c:v>
                </c:pt>
                <c:pt idx="2">
                  <c:v>3</c:v>
                </c:pt>
                <c:pt idx="3">
                  <c:v>4</c:v>
                </c:pt>
                <c:pt idx="4">
                  <c:v>5</c:v>
                </c:pt>
              </c:numCache>
            </c:numRef>
          </c:cat>
          <c:val>
            <c:numRef>
              <c:f>'Inputs and results'!$C$29:$G$29</c:f>
              <c:numCache>
                <c:formatCode>0.00%</c:formatCode>
                <c:ptCount val="5"/>
                <c:pt idx="0">
                  <c:v>0.607739750706346</c:v>
                </c:pt>
                <c:pt idx="1">
                  <c:v>0.54465310181154503</c:v>
                </c:pt>
                <c:pt idx="2">
                  <c:v>0.47288819194682524</c:v>
                </c:pt>
                <c:pt idx="3">
                  <c:v>0.39163074173181739</c:v>
                </c:pt>
                <c:pt idx="4">
                  <c:v>0.3</c:v>
                </c:pt>
              </c:numCache>
            </c:numRef>
          </c:val>
          <c:smooth val="0"/>
        </c:ser>
        <c:ser>
          <c:idx val="1"/>
          <c:order val="1"/>
          <c:tx>
            <c:strRef>
              <c:f>'Inputs and results'!$A$30</c:f>
              <c:strCache>
                <c:ptCount val="1"/>
                <c:pt idx="0">
                  <c:v>Actual depreciation, 20 year asset life</c:v>
                </c:pt>
              </c:strCache>
            </c:strRef>
          </c:tx>
          <c:spPr>
            <a:ln>
              <a:prstDash val="sysDash"/>
            </a:ln>
          </c:spPr>
          <c:marker>
            <c:symbol val="none"/>
          </c:marker>
          <c:cat>
            <c:numRef>
              <c:f>'Inputs and results'!$C$28:$G$28</c:f>
              <c:numCache>
                <c:formatCode>General</c:formatCode>
                <c:ptCount val="5"/>
                <c:pt idx="0">
                  <c:v>1</c:v>
                </c:pt>
                <c:pt idx="1">
                  <c:v>2</c:v>
                </c:pt>
                <c:pt idx="2">
                  <c:v>3</c:v>
                </c:pt>
                <c:pt idx="3">
                  <c:v>4</c:v>
                </c:pt>
                <c:pt idx="4">
                  <c:v>5</c:v>
                </c:pt>
              </c:numCache>
            </c:numRef>
          </c:cat>
          <c:val>
            <c:numRef>
              <c:f>'Inputs and results'!$C$30:$G$30</c:f>
              <c:numCache>
                <c:formatCode>0.00%</c:formatCode>
                <c:ptCount val="5"/>
                <c:pt idx="0">
                  <c:v>0.45386987535317302</c:v>
                </c:pt>
                <c:pt idx="1">
                  <c:v>0.42232655090577254</c:v>
                </c:pt>
                <c:pt idx="2">
                  <c:v>0.38644409597341256</c:v>
                </c:pt>
                <c:pt idx="3">
                  <c:v>0.34581537086590869</c:v>
                </c:pt>
                <c:pt idx="4">
                  <c:v>0.3</c:v>
                </c:pt>
              </c:numCache>
            </c:numRef>
          </c:val>
          <c:smooth val="0"/>
        </c:ser>
        <c:ser>
          <c:idx val="2"/>
          <c:order val="2"/>
          <c:tx>
            <c:strRef>
              <c:f>'Inputs and results'!$A$31</c:f>
              <c:strCache>
                <c:ptCount val="1"/>
                <c:pt idx="0">
                  <c:v>Actual depreciation, 30 year asset life</c:v>
                </c:pt>
              </c:strCache>
            </c:strRef>
          </c:tx>
          <c:spPr>
            <a:ln>
              <a:prstDash val="sysDot"/>
            </a:ln>
          </c:spPr>
          <c:marker>
            <c:symbol val="none"/>
          </c:marker>
          <c:cat>
            <c:numRef>
              <c:f>'Inputs and results'!$C$28:$G$28</c:f>
              <c:numCache>
                <c:formatCode>General</c:formatCode>
                <c:ptCount val="5"/>
                <c:pt idx="0">
                  <c:v>1</c:v>
                </c:pt>
                <c:pt idx="1">
                  <c:v>2</c:v>
                </c:pt>
                <c:pt idx="2">
                  <c:v>3</c:v>
                </c:pt>
                <c:pt idx="3">
                  <c:v>4</c:v>
                </c:pt>
                <c:pt idx="4">
                  <c:v>5</c:v>
                </c:pt>
              </c:numCache>
            </c:numRef>
          </c:cat>
          <c:val>
            <c:numRef>
              <c:f>'Inputs and results'!$C$31:$G$31</c:f>
              <c:numCache>
                <c:formatCode>0.00%</c:formatCode>
                <c:ptCount val="5"/>
                <c:pt idx="0">
                  <c:v>0.40257991690211536</c:v>
                </c:pt>
                <c:pt idx="1">
                  <c:v>0.38155103393718171</c:v>
                </c:pt>
                <c:pt idx="2">
                  <c:v>0.35762939731560839</c:v>
                </c:pt>
                <c:pt idx="3">
                  <c:v>0.33054358057727246</c:v>
                </c:pt>
                <c:pt idx="4">
                  <c:v>0.3</c:v>
                </c:pt>
              </c:numCache>
            </c:numRef>
          </c:val>
          <c:smooth val="0"/>
        </c:ser>
        <c:ser>
          <c:idx val="3"/>
          <c:order val="3"/>
          <c:tx>
            <c:strRef>
              <c:f>'Inputs and results'!$A$32</c:f>
              <c:strCache>
                <c:ptCount val="1"/>
                <c:pt idx="0">
                  <c:v>Actual depreciation, 40 year asset life</c:v>
                </c:pt>
              </c:strCache>
            </c:strRef>
          </c:tx>
          <c:spPr>
            <a:ln>
              <a:prstDash val="lgDash"/>
            </a:ln>
          </c:spPr>
          <c:marker>
            <c:symbol val="none"/>
          </c:marker>
          <c:cat>
            <c:numRef>
              <c:f>'Inputs and results'!$C$28:$G$28</c:f>
              <c:numCache>
                <c:formatCode>General</c:formatCode>
                <c:ptCount val="5"/>
                <c:pt idx="0">
                  <c:v>1</c:v>
                </c:pt>
                <c:pt idx="1">
                  <c:v>2</c:v>
                </c:pt>
                <c:pt idx="2">
                  <c:v>3</c:v>
                </c:pt>
                <c:pt idx="3">
                  <c:v>4</c:v>
                </c:pt>
                <c:pt idx="4">
                  <c:v>5</c:v>
                </c:pt>
              </c:numCache>
            </c:numRef>
          </c:cat>
          <c:val>
            <c:numRef>
              <c:f>'Inputs and results'!$C$32:$G$32</c:f>
              <c:numCache>
                <c:formatCode>0.00%</c:formatCode>
                <c:ptCount val="5"/>
                <c:pt idx="0">
                  <c:v>0.37693493767658648</c:v>
                </c:pt>
                <c:pt idx="1">
                  <c:v>0.36116327545288629</c:v>
                </c:pt>
                <c:pt idx="2">
                  <c:v>0.3432220479867063</c:v>
                </c:pt>
                <c:pt idx="3">
                  <c:v>0.32290768543295434</c:v>
                </c:pt>
                <c:pt idx="4">
                  <c:v>0.3</c:v>
                </c:pt>
              </c:numCache>
            </c:numRef>
          </c:val>
          <c:smooth val="0"/>
        </c:ser>
        <c:ser>
          <c:idx val="4"/>
          <c:order val="4"/>
          <c:tx>
            <c:strRef>
              <c:f>'Inputs and results'!$A$33</c:f>
              <c:strCache>
                <c:ptCount val="1"/>
                <c:pt idx="0">
                  <c:v>Actual depreciation, 50 year asset life</c:v>
                </c:pt>
              </c:strCache>
            </c:strRef>
          </c:tx>
          <c:spPr>
            <a:ln>
              <a:prstDash val="lgDashDot"/>
            </a:ln>
          </c:spPr>
          <c:marker>
            <c:symbol val="none"/>
          </c:marker>
          <c:cat>
            <c:numRef>
              <c:f>'Inputs and results'!$C$28:$G$28</c:f>
              <c:numCache>
                <c:formatCode>General</c:formatCode>
                <c:ptCount val="5"/>
                <c:pt idx="0">
                  <c:v>1</c:v>
                </c:pt>
                <c:pt idx="1">
                  <c:v>2</c:v>
                </c:pt>
                <c:pt idx="2">
                  <c:v>3</c:v>
                </c:pt>
                <c:pt idx="3">
                  <c:v>4</c:v>
                </c:pt>
                <c:pt idx="4">
                  <c:v>5</c:v>
                </c:pt>
              </c:numCache>
            </c:numRef>
          </c:cat>
          <c:val>
            <c:numRef>
              <c:f>'Inputs and results'!$C$33:$G$33</c:f>
              <c:numCache>
                <c:formatCode>0.00%</c:formatCode>
                <c:ptCount val="5"/>
                <c:pt idx="0">
                  <c:v>0.36154795014126917</c:v>
                </c:pt>
                <c:pt idx="1">
                  <c:v>0.34893062036230904</c:v>
                </c:pt>
                <c:pt idx="2">
                  <c:v>0.33457763838936505</c:v>
                </c:pt>
                <c:pt idx="3">
                  <c:v>0.31832614834636347</c:v>
                </c:pt>
                <c:pt idx="4">
                  <c:v>0.3</c:v>
                </c:pt>
              </c:numCache>
            </c:numRef>
          </c:val>
          <c:smooth val="0"/>
        </c:ser>
        <c:ser>
          <c:idx val="5"/>
          <c:order val="5"/>
          <c:tx>
            <c:strRef>
              <c:f>'Inputs and results'!$A$34</c:f>
              <c:strCache>
                <c:ptCount val="1"/>
                <c:pt idx="0">
                  <c:v>Forecast depreciation</c:v>
                </c:pt>
              </c:strCache>
            </c:strRef>
          </c:tx>
          <c:marker>
            <c:symbol val="none"/>
          </c:marker>
          <c:cat>
            <c:numRef>
              <c:f>'Inputs and results'!$C$28:$G$28</c:f>
              <c:numCache>
                <c:formatCode>General</c:formatCode>
                <c:ptCount val="5"/>
                <c:pt idx="0">
                  <c:v>1</c:v>
                </c:pt>
                <c:pt idx="1">
                  <c:v>2</c:v>
                </c:pt>
                <c:pt idx="2">
                  <c:v>3</c:v>
                </c:pt>
                <c:pt idx="3">
                  <c:v>4</c:v>
                </c:pt>
                <c:pt idx="4">
                  <c:v>5</c:v>
                </c:pt>
              </c:numCache>
            </c:numRef>
          </c:cat>
          <c:val>
            <c:numRef>
              <c:f>'Inputs and results'!$C$34:$G$34</c:f>
              <c:numCache>
                <c:formatCode>0.00%</c:formatCode>
                <c:ptCount val="5"/>
                <c:pt idx="0">
                  <c:v>0.3</c:v>
                </c:pt>
                <c:pt idx="1">
                  <c:v>0.3</c:v>
                </c:pt>
                <c:pt idx="2">
                  <c:v>0.3</c:v>
                </c:pt>
                <c:pt idx="3">
                  <c:v>0.3</c:v>
                </c:pt>
                <c:pt idx="4">
                  <c:v>0.3</c:v>
                </c:pt>
              </c:numCache>
            </c:numRef>
          </c:val>
          <c:smooth val="0"/>
        </c:ser>
        <c:dLbls>
          <c:showLegendKey val="0"/>
          <c:showVal val="0"/>
          <c:showCatName val="0"/>
          <c:showSerName val="0"/>
          <c:showPercent val="0"/>
          <c:showBubbleSize val="0"/>
        </c:dLbls>
        <c:marker val="1"/>
        <c:smooth val="0"/>
        <c:axId val="239832064"/>
        <c:axId val="290453760"/>
      </c:lineChart>
      <c:catAx>
        <c:axId val="239832064"/>
        <c:scaling>
          <c:orientation val="minMax"/>
        </c:scaling>
        <c:delete val="0"/>
        <c:axPos val="b"/>
        <c:numFmt formatCode="General" sourceLinked="1"/>
        <c:majorTickMark val="out"/>
        <c:minorTickMark val="none"/>
        <c:tickLblPos val="nextTo"/>
        <c:crossAx val="290453760"/>
        <c:crosses val="autoZero"/>
        <c:auto val="1"/>
        <c:lblAlgn val="ctr"/>
        <c:lblOffset val="100"/>
        <c:noMultiLvlLbl val="0"/>
      </c:catAx>
      <c:valAx>
        <c:axId val="290453760"/>
        <c:scaling>
          <c:orientation val="minMax"/>
          <c:max val="0.70000000000000007"/>
          <c:min val="0.2"/>
        </c:scaling>
        <c:delete val="0"/>
        <c:axPos val="l"/>
        <c:numFmt formatCode="0.00%" sourceLinked="1"/>
        <c:majorTickMark val="out"/>
        <c:minorTickMark val="none"/>
        <c:tickLblPos val="nextTo"/>
        <c:crossAx val="239832064"/>
        <c:crosses val="autoZero"/>
        <c:crossBetween val="midCat"/>
        <c:majorUnit val="0.1"/>
      </c:valAx>
      <c:spPr>
        <a:noFill/>
        <a:ln w="25400">
          <a:noFill/>
        </a:ln>
      </c:spPr>
    </c:plotArea>
    <c:legend>
      <c:legendPos val="b"/>
      <c:layout>
        <c:manualLayout>
          <c:xMode val="edge"/>
          <c:yMode val="edge"/>
          <c:x val="1.2624038617156769E-2"/>
          <c:y val="0.82188467720604697"/>
          <c:w val="0.97811713214132412"/>
          <c:h val="0.15135974282284481"/>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23808</Words>
  <Characters>122376</Characters>
  <Application>Microsoft Office Word</Application>
  <DocSecurity>0</DocSecurity>
  <Lines>3220</Lines>
  <Paragraphs>1923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2013-08-08T06:20:00Z</dcterms:created>
  <dcterms:modified xsi:type="dcterms:W3CDTF">2013-08-08T06:20:00Z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8033200</vt:lpwstr>
  </property>
</Properties>
</file>