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713873607"/>
        <w:docPartObj>
          <w:docPartGallery w:val="Cover Pages"/>
          <w:docPartUnique/>
        </w:docPartObj>
      </w:sdtPr>
      <w:sdtEndPr/>
      <w:sdtContent>
        <w:p w:rsidR="00D578F8" w:rsidRPr="00D578F8" w:rsidRDefault="00D578F8" w:rsidP="00951978">
          <w:r w:rsidRPr="00D578F8">
            <w:rPr>
              <w:noProof/>
              <w:lang w:eastAsia="en-AU"/>
            </w:rPr>
            <w:drawing>
              <wp:anchor distT="0" distB="0" distL="114300" distR="114300" simplePos="0" relativeHeight="251659264" behindDoc="1" locked="0" layoutInCell="1" allowOverlap="1" wp14:anchorId="07390EC5" wp14:editId="32F8436E">
                <wp:simplePos x="0" y="0"/>
                <wp:positionH relativeFrom="column">
                  <wp:posOffset>-1104900</wp:posOffset>
                </wp:positionH>
                <wp:positionV relativeFrom="paragraph">
                  <wp:posOffset>-927735</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D578F8" w:rsidRPr="00D578F8" w:rsidRDefault="00D578F8" w:rsidP="00F171E0"/>
        <w:p w:rsidR="00D578F8" w:rsidRPr="00D578F8" w:rsidRDefault="00D578F8" w:rsidP="00F171E0"/>
        <w:p w:rsidR="00D578F8" w:rsidRPr="00D578F8" w:rsidRDefault="00D578F8" w:rsidP="00F171E0"/>
        <w:p w:rsidR="00D578F8" w:rsidRPr="00D578F8" w:rsidRDefault="00D578F8" w:rsidP="00F171E0"/>
        <w:p w:rsidR="00D578F8" w:rsidRPr="00D578F8" w:rsidRDefault="00D578F8" w:rsidP="00F171E0"/>
        <w:p w:rsidR="00D578F8" w:rsidRPr="00D578F8" w:rsidRDefault="00D578F8" w:rsidP="00F171E0"/>
        <w:p w:rsidR="00563517" w:rsidRDefault="00716731" w:rsidP="00716731">
          <w:pPr>
            <w:pStyle w:val="ReportTitle"/>
          </w:pPr>
          <w:r>
            <w:t>FINAL</w:t>
          </w:r>
        </w:p>
        <w:p w:rsidR="00716731" w:rsidRPr="00716731" w:rsidRDefault="00716731" w:rsidP="00716731">
          <w:pPr>
            <w:pStyle w:val="ReportTitle"/>
          </w:pPr>
          <w:r w:rsidRPr="00716731">
            <w:t xml:space="preserve">Electricity Transmission Network Service Providers </w:t>
          </w:r>
        </w:p>
        <w:p w:rsidR="00D578F8" w:rsidRPr="00D578F8" w:rsidRDefault="00716731" w:rsidP="00716731">
          <w:pPr>
            <w:pStyle w:val="ReportTitle"/>
          </w:pPr>
          <w:r w:rsidRPr="00716731">
            <w:t xml:space="preserve">Information </w:t>
          </w:r>
          <w:r w:rsidR="005916A7">
            <w:t>G</w:t>
          </w:r>
          <w:r w:rsidRPr="00716731">
            <w:t>uideline</w:t>
          </w:r>
        </w:p>
        <w:p w:rsidR="00D578F8" w:rsidRPr="00D578F8" w:rsidRDefault="00D578F8" w:rsidP="00327A1E">
          <w:pPr>
            <w:pStyle w:val="ReportTitle"/>
          </w:pPr>
        </w:p>
        <w:p w:rsidR="00B16D74" w:rsidRDefault="00B16D74" w:rsidP="00327A1E">
          <w:pPr>
            <w:pStyle w:val="ReportSubtitle"/>
          </w:pPr>
          <w:r>
            <w:t>Version 2</w:t>
          </w:r>
        </w:p>
        <w:p w:rsidR="00D578F8" w:rsidRPr="00D578F8" w:rsidRDefault="00716731" w:rsidP="00327A1E">
          <w:pPr>
            <w:pStyle w:val="ReportSubtitle"/>
          </w:pPr>
          <w:r>
            <w:t xml:space="preserve">Explanatory </w:t>
          </w:r>
          <w:r w:rsidR="0066745F">
            <w:t>S</w:t>
          </w:r>
          <w:r>
            <w:t>tatement</w:t>
          </w:r>
        </w:p>
        <w:p w:rsidR="00D578F8" w:rsidRPr="00D578F8" w:rsidRDefault="00716731" w:rsidP="00327A1E">
          <w:pPr>
            <w:pStyle w:val="ReportDate"/>
          </w:pPr>
          <w:r>
            <w:t xml:space="preserve">April </w:t>
          </w:r>
          <w:r w:rsidR="00D578F8" w:rsidRPr="00D578F8">
            <w:t>2015</w:t>
          </w:r>
        </w:p>
        <w:p w:rsidR="00D578F8" w:rsidRPr="00D578F8" w:rsidRDefault="00D578F8" w:rsidP="00D578F8">
          <w:r w:rsidRPr="00D578F8">
            <w:br w:type="page"/>
          </w:r>
        </w:p>
        <w:p w:rsidR="00D578F8" w:rsidRDefault="00D578F8">
          <w:pPr>
            <w:spacing w:line="240" w:lineRule="auto"/>
          </w:pPr>
          <w:r>
            <w:lastRenderedPageBreak/>
            <w:br w:type="page"/>
          </w:r>
        </w:p>
      </w:sdtContent>
    </w:sdt>
    <w:p w:rsidR="00327A1E" w:rsidRPr="00FE3C32" w:rsidRDefault="00327A1E">
      <w:pPr>
        <w:spacing w:line="240" w:lineRule="auto"/>
      </w:pPr>
    </w:p>
    <w:p w:rsidR="000A6C7B" w:rsidRDefault="000A6C7B" w:rsidP="00327A1E">
      <w:pPr>
        <w:pStyle w:val="Copyright"/>
      </w:pPr>
      <w:r>
        <w:t>© Commonwealth of Australia 201</w:t>
      </w:r>
      <w:r w:rsidR="00D81EF4">
        <w:t>5</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Default="000A6C7B" w:rsidP="00185CB9">
      <w:pPr>
        <w:pStyle w:val="StyleCopyrightBefore0pt"/>
        <w:numPr>
          <w:ilvl w:val="0"/>
          <w:numId w:val="27"/>
        </w:numPr>
      </w:pPr>
      <w:r>
        <w:t>the Commonwealth Coat of Arms</w:t>
      </w:r>
    </w:p>
    <w:p w:rsidR="000A6C7B" w:rsidRDefault="000A6C7B" w:rsidP="00185CB9">
      <w:pPr>
        <w:pStyle w:val="StyleCopyrightBefore0pt"/>
        <w:numPr>
          <w:ilvl w:val="0"/>
          <w:numId w:val="27"/>
        </w:numPr>
      </w:pPr>
      <w:r>
        <w:t>the ACCC and AER logos</w:t>
      </w:r>
    </w:p>
    <w:p w:rsidR="000A6C7B" w:rsidRPr="00B927D8" w:rsidRDefault="000A6C7B" w:rsidP="00B927D8">
      <w:pPr>
        <w:pStyle w:val="ListBullet"/>
        <w:numPr>
          <w:ilvl w:val="0"/>
          <w:numId w:val="27"/>
        </w:numPr>
        <w:rPr>
          <w:sz w:val="20"/>
          <w:szCs w:val="20"/>
        </w:rPr>
      </w:pPr>
      <w:r w:rsidRPr="007A4D1F">
        <w:rPr>
          <w:sz w:val="20"/>
          <w:szCs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0A6C7B" w:rsidRDefault="000A6C7B" w:rsidP="000A6C7B">
      <w:pPr>
        <w:pStyle w:val="Copyright"/>
      </w:pPr>
      <w:r>
        <w:t xml:space="preserve">Requests and inquiries concerning reproduction and rights should be addressed to the </w:t>
      </w:r>
      <w:r w:rsidR="007A4D1F">
        <w:br/>
      </w:r>
      <w:r>
        <w:t xml:space="preserve">Director, Corporate Communications, </w:t>
      </w:r>
      <w:r w:rsidR="007A4D1F">
        <w:br/>
      </w:r>
      <w:r>
        <w:t xml:space="preserve">Australian Competition and Consumer Commission, </w:t>
      </w:r>
      <w:r w:rsidR="007A4D1F">
        <w:br/>
      </w:r>
      <w:r>
        <w:t xml:space="preserve">GPO Box 4141, </w:t>
      </w:r>
      <w:r w:rsidR="007A4D1F">
        <w:br/>
      </w:r>
      <w:r>
        <w:t xml:space="preserve">Canberra ACT 2601 </w:t>
      </w:r>
      <w:r w:rsidR="007A4D1F">
        <w:br/>
      </w:r>
      <w:r>
        <w:t>or publishing.unit@accc.gov.au.</w:t>
      </w:r>
    </w:p>
    <w:p w:rsidR="00951978" w:rsidRDefault="000A6C7B" w:rsidP="00A02A88">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r w:rsidR="007E179C">
        <w:t>Melbourne Vic</w:t>
      </w:r>
      <w:r>
        <w:t xml:space="preserve"> 3001</w:t>
      </w:r>
    </w:p>
    <w:p w:rsidR="000A6C7B" w:rsidRDefault="000A6C7B" w:rsidP="000A6C7B">
      <w:pPr>
        <w:pStyle w:val="Copyright"/>
      </w:pPr>
      <w:r>
        <w:t>Tel: (03) 9290 1444</w:t>
      </w:r>
      <w:r w:rsidR="00951978">
        <w:br/>
      </w:r>
      <w:r>
        <w:t>Fax: (03) 9290 1457</w:t>
      </w:r>
    </w:p>
    <w:p w:rsidR="000A6C7B" w:rsidRPr="00951978" w:rsidRDefault="000A6C7B" w:rsidP="000A6C7B">
      <w:pPr>
        <w:pStyle w:val="Copyright"/>
        <w:rPr>
          <w:color w:val="0000FF"/>
          <w:sz w:val="22"/>
          <w:u w:val="single"/>
        </w:rPr>
      </w:pPr>
      <w:r>
        <w:t xml:space="preserve">Email: </w:t>
      </w:r>
      <w:hyperlink r:id="rId10" w:history="1">
        <w:r w:rsidRPr="00D64888">
          <w:rPr>
            <w:rStyle w:val="Hyperlink"/>
          </w:rPr>
          <w:t>AERInquiry@aer.gov.au</w:t>
        </w:r>
      </w:hyperlink>
      <w:r w:rsidR="00951978">
        <w:rPr>
          <w:rStyle w:val="Hyperlink"/>
        </w:rPr>
        <w:br/>
      </w:r>
      <w:r>
        <w:t xml:space="preserve">AER Reference: </w:t>
      </w:r>
      <w:r w:rsidR="00716731" w:rsidRPr="00716731">
        <w:t>53668/D15/</w:t>
      </w:r>
      <w:r w:rsidR="005E5420">
        <w:t>41519</w:t>
      </w:r>
    </w:p>
    <w:p w:rsidR="000A6C7B" w:rsidRDefault="000A6C7B" w:rsidP="000A6C7B"/>
    <w:p w:rsidR="002010BC" w:rsidRDefault="002010BC">
      <w:pPr>
        <w:spacing w:line="240" w:lineRule="auto"/>
      </w:pPr>
      <w:r>
        <w:br w:type="page"/>
      </w:r>
    </w:p>
    <w:p w:rsidR="002010BC" w:rsidRDefault="002010BC" w:rsidP="00DB5074"/>
    <w:p w:rsidR="002010BC" w:rsidRDefault="00A75077" w:rsidP="00A75077">
      <w:pPr>
        <w:pStyle w:val="TOCHeading"/>
      </w:pPr>
      <w:r>
        <w:t>Contents</w:t>
      </w:r>
    </w:p>
    <w:p w:rsidR="005E5420" w:rsidRDefault="00A75077">
      <w:pPr>
        <w:pStyle w:val="TOC1"/>
        <w:rPr>
          <w:rFonts w:asciiTheme="minorHAnsi" w:eastAsiaTheme="minorEastAsia" w:hAnsiTheme="minorHAnsi"/>
          <w:b w:val="0"/>
          <w:color w:val="auto"/>
          <w:sz w:val="22"/>
          <w:lang w:val="en-AU" w:eastAsia="en-AU"/>
        </w:rPr>
      </w:pPr>
      <w:r>
        <w:fldChar w:fldCharType="begin"/>
      </w:r>
      <w:r>
        <w:instrText xml:space="preserve"> TOC \o "1-3" \h \z \u </w:instrText>
      </w:r>
      <w:bookmarkStart w:id="0" w:name="_GoBack"/>
      <w:bookmarkEnd w:id="0"/>
      <w:r>
        <w:fldChar w:fldCharType="separate"/>
      </w:r>
      <w:hyperlink w:anchor="_Toc415580972" w:history="1">
        <w:r w:rsidR="005E5420" w:rsidRPr="00A53D15">
          <w:rPr>
            <w:rStyle w:val="Hyperlink"/>
          </w:rPr>
          <w:t>Shortened forms</w:t>
        </w:r>
        <w:r w:rsidR="005E5420">
          <w:rPr>
            <w:webHidden/>
          </w:rPr>
          <w:tab/>
        </w:r>
        <w:r w:rsidR="005E5420">
          <w:rPr>
            <w:webHidden/>
          </w:rPr>
          <w:fldChar w:fldCharType="begin"/>
        </w:r>
        <w:r w:rsidR="005E5420">
          <w:rPr>
            <w:webHidden/>
          </w:rPr>
          <w:instrText xml:space="preserve"> PAGEREF _Toc415580972 \h </w:instrText>
        </w:r>
        <w:r w:rsidR="005E5420">
          <w:rPr>
            <w:webHidden/>
          </w:rPr>
        </w:r>
        <w:r w:rsidR="005E5420">
          <w:rPr>
            <w:webHidden/>
          </w:rPr>
          <w:fldChar w:fldCharType="separate"/>
        </w:r>
        <w:r w:rsidR="004366F9">
          <w:rPr>
            <w:webHidden/>
          </w:rPr>
          <w:t>1</w:t>
        </w:r>
        <w:r w:rsidR="005E5420">
          <w:rPr>
            <w:webHidden/>
          </w:rPr>
          <w:fldChar w:fldCharType="end"/>
        </w:r>
      </w:hyperlink>
    </w:p>
    <w:p w:rsidR="005E5420" w:rsidRDefault="004366F9">
      <w:pPr>
        <w:pStyle w:val="TOC1"/>
        <w:rPr>
          <w:rFonts w:asciiTheme="minorHAnsi" w:eastAsiaTheme="minorEastAsia" w:hAnsiTheme="minorHAnsi"/>
          <w:b w:val="0"/>
          <w:color w:val="auto"/>
          <w:sz w:val="22"/>
          <w:lang w:val="en-AU" w:eastAsia="en-AU"/>
        </w:rPr>
      </w:pPr>
      <w:hyperlink w:anchor="_Toc415580973" w:history="1">
        <w:r w:rsidR="005E5420" w:rsidRPr="00A53D15">
          <w:rPr>
            <w:rStyle w:val="Hyperlink"/>
          </w:rPr>
          <w:t>1</w:t>
        </w:r>
        <w:r w:rsidR="005E5420">
          <w:rPr>
            <w:rFonts w:asciiTheme="minorHAnsi" w:eastAsiaTheme="minorEastAsia" w:hAnsiTheme="minorHAnsi"/>
            <w:b w:val="0"/>
            <w:color w:val="auto"/>
            <w:sz w:val="22"/>
            <w:lang w:val="en-AU" w:eastAsia="en-AU"/>
          </w:rPr>
          <w:tab/>
        </w:r>
        <w:r w:rsidR="005E5420" w:rsidRPr="00A53D15">
          <w:rPr>
            <w:rStyle w:val="Hyperlink"/>
          </w:rPr>
          <w:t>Summary</w:t>
        </w:r>
        <w:r w:rsidR="005E5420">
          <w:rPr>
            <w:webHidden/>
          </w:rPr>
          <w:tab/>
        </w:r>
        <w:r w:rsidR="005E5420">
          <w:rPr>
            <w:webHidden/>
          </w:rPr>
          <w:fldChar w:fldCharType="begin"/>
        </w:r>
        <w:r w:rsidR="005E5420">
          <w:rPr>
            <w:webHidden/>
          </w:rPr>
          <w:instrText xml:space="preserve"> PAGEREF _Toc415580973 \h </w:instrText>
        </w:r>
        <w:r w:rsidR="005E5420">
          <w:rPr>
            <w:webHidden/>
          </w:rPr>
        </w:r>
        <w:r w:rsidR="005E5420">
          <w:rPr>
            <w:webHidden/>
          </w:rPr>
          <w:fldChar w:fldCharType="separate"/>
        </w:r>
        <w:r>
          <w:rPr>
            <w:webHidden/>
          </w:rPr>
          <w:t>2</w:t>
        </w:r>
        <w:r w:rsidR="005E5420">
          <w:rPr>
            <w:webHidden/>
          </w:rPr>
          <w:fldChar w:fldCharType="end"/>
        </w:r>
      </w:hyperlink>
    </w:p>
    <w:p w:rsidR="005E5420" w:rsidRDefault="004366F9">
      <w:pPr>
        <w:pStyle w:val="TOC1"/>
        <w:rPr>
          <w:rFonts w:asciiTheme="minorHAnsi" w:eastAsiaTheme="minorEastAsia" w:hAnsiTheme="minorHAnsi"/>
          <w:b w:val="0"/>
          <w:color w:val="auto"/>
          <w:sz w:val="22"/>
          <w:lang w:val="en-AU" w:eastAsia="en-AU"/>
        </w:rPr>
      </w:pPr>
      <w:hyperlink w:anchor="_Toc415580976" w:history="1">
        <w:r w:rsidR="005E5420" w:rsidRPr="00A53D15">
          <w:rPr>
            <w:rStyle w:val="Hyperlink"/>
          </w:rPr>
          <w:t>2</w:t>
        </w:r>
        <w:r w:rsidR="005E5420">
          <w:rPr>
            <w:rFonts w:asciiTheme="minorHAnsi" w:eastAsiaTheme="minorEastAsia" w:hAnsiTheme="minorHAnsi"/>
            <w:b w:val="0"/>
            <w:color w:val="auto"/>
            <w:sz w:val="22"/>
            <w:lang w:val="en-AU" w:eastAsia="en-AU"/>
          </w:rPr>
          <w:tab/>
        </w:r>
        <w:r w:rsidR="005E5420" w:rsidRPr="00A53D15">
          <w:rPr>
            <w:rStyle w:val="Hyperlink"/>
          </w:rPr>
          <w:t>TNSP annual reporting framework</w:t>
        </w:r>
        <w:r w:rsidR="005E5420">
          <w:rPr>
            <w:webHidden/>
          </w:rPr>
          <w:tab/>
        </w:r>
        <w:r w:rsidR="005E5420">
          <w:rPr>
            <w:webHidden/>
          </w:rPr>
          <w:fldChar w:fldCharType="begin"/>
        </w:r>
        <w:r w:rsidR="005E5420">
          <w:rPr>
            <w:webHidden/>
          </w:rPr>
          <w:instrText xml:space="preserve"> PAGEREF _Toc415580976 \h </w:instrText>
        </w:r>
        <w:r w:rsidR="005E5420">
          <w:rPr>
            <w:webHidden/>
          </w:rPr>
        </w:r>
        <w:r w:rsidR="005E5420">
          <w:rPr>
            <w:webHidden/>
          </w:rPr>
          <w:fldChar w:fldCharType="separate"/>
        </w:r>
        <w:r>
          <w:rPr>
            <w:webHidden/>
          </w:rPr>
          <w:t>4</w:t>
        </w:r>
        <w:r w:rsidR="005E5420">
          <w:rPr>
            <w:webHidden/>
          </w:rPr>
          <w:fldChar w:fldCharType="end"/>
        </w:r>
      </w:hyperlink>
    </w:p>
    <w:p w:rsidR="005E5420" w:rsidRDefault="004366F9">
      <w:pPr>
        <w:pStyle w:val="TOC1"/>
        <w:rPr>
          <w:rFonts w:asciiTheme="minorHAnsi" w:eastAsiaTheme="minorEastAsia" w:hAnsiTheme="minorHAnsi"/>
          <w:b w:val="0"/>
          <w:color w:val="auto"/>
          <w:sz w:val="22"/>
          <w:lang w:val="en-AU" w:eastAsia="en-AU"/>
        </w:rPr>
      </w:pPr>
      <w:hyperlink w:anchor="_Toc415580981" w:history="1">
        <w:r w:rsidR="005E5420" w:rsidRPr="00A53D15">
          <w:rPr>
            <w:rStyle w:val="Hyperlink"/>
          </w:rPr>
          <w:t>3</w:t>
        </w:r>
        <w:r w:rsidR="005E5420">
          <w:rPr>
            <w:rFonts w:asciiTheme="minorHAnsi" w:eastAsiaTheme="minorEastAsia" w:hAnsiTheme="minorHAnsi"/>
            <w:b w:val="0"/>
            <w:color w:val="auto"/>
            <w:sz w:val="22"/>
            <w:lang w:val="en-AU" w:eastAsia="en-AU"/>
          </w:rPr>
          <w:tab/>
        </w:r>
        <w:r w:rsidR="005E5420" w:rsidRPr="00A53D15">
          <w:rPr>
            <w:rStyle w:val="Hyperlink"/>
          </w:rPr>
          <w:t>Proposed amendments to the draft Information Guideline (V2)</w:t>
        </w:r>
        <w:r w:rsidR="005E5420">
          <w:rPr>
            <w:webHidden/>
          </w:rPr>
          <w:tab/>
        </w:r>
        <w:r w:rsidR="005E5420">
          <w:rPr>
            <w:webHidden/>
          </w:rPr>
          <w:fldChar w:fldCharType="begin"/>
        </w:r>
        <w:r w:rsidR="005E5420">
          <w:rPr>
            <w:webHidden/>
          </w:rPr>
          <w:instrText xml:space="preserve"> PAGEREF _Toc415580981 \h </w:instrText>
        </w:r>
        <w:r w:rsidR="005E5420">
          <w:rPr>
            <w:webHidden/>
          </w:rPr>
        </w:r>
        <w:r w:rsidR="005E5420">
          <w:rPr>
            <w:webHidden/>
          </w:rPr>
          <w:fldChar w:fldCharType="separate"/>
        </w:r>
        <w:r>
          <w:rPr>
            <w:webHidden/>
          </w:rPr>
          <w:t>9</w:t>
        </w:r>
        <w:r w:rsidR="005E5420">
          <w:rPr>
            <w:webHidden/>
          </w:rPr>
          <w:fldChar w:fldCharType="end"/>
        </w:r>
      </w:hyperlink>
    </w:p>
    <w:p w:rsidR="005E5420" w:rsidRDefault="004366F9">
      <w:pPr>
        <w:pStyle w:val="TOC2"/>
        <w:rPr>
          <w:rFonts w:asciiTheme="minorHAnsi" w:eastAsiaTheme="minorEastAsia" w:hAnsiTheme="minorHAnsi"/>
          <w:b w:val="0"/>
          <w:color w:val="auto"/>
          <w:sz w:val="22"/>
          <w:lang w:eastAsia="en-AU"/>
        </w:rPr>
      </w:pPr>
      <w:hyperlink w:anchor="_Toc415580982" w:history="1">
        <w:r w:rsidR="005E5420" w:rsidRPr="00A53D15">
          <w:rPr>
            <w:rStyle w:val="Hyperlink"/>
          </w:rPr>
          <w:t>3.1</w:t>
        </w:r>
        <w:r w:rsidR="005E5420">
          <w:rPr>
            <w:rFonts w:asciiTheme="minorHAnsi" w:eastAsiaTheme="minorEastAsia" w:hAnsiTheme="minorHAnsi"/>
            <w:b w:val="0"/>
            <w:color w:val="auto"/>
            <w:sz w:val="22"/>
            <w:lang w:eastAsia="en-AU"/>
          </w:rPr>
          <w:tab/>
        </w:r>
        <w:r w:rsidR="005E5420" w:rsidRPr="00A53D15">
          <w:rPr>
            <w:rStyle w:val="Hyperlink"/>
          </w:rPr>
          <w:t>Response to Grid Australia's concerns</w:t>
        </w:r>
        <w:r w:rsidR="005E5420">
          <w:rPr>
            <w:webHidden/>
          </w:rPr>
          <w:tab/>
        </w:r>
        <w:r w:rsidR="005E5420">
          <w:rPr>
            <w:webHidden/>
          </w:rPr>
          <w:fldChar w:fldCharType="begin"/>
        </w:r>
        <w:r w:rsidR="005E5420">
          <w:rPr>
            <w:webHidden/>
          </w:rPr>
          <w:instrText xml:space="preserve"> PAGEREF _Toc415580982 \h </w:instrText>
        </w:r>
        <w:r w:rsidR="005E5420">
          <w:rPr>
            <w:webHidden/>
          </w:rPr>
        </w:r>
        <w:r w:rsidR="005E5420">
          <w:rPr>
            <w:webHidden/>
          </w:rPr>
          <w:fldChar w:fldCharType="separate"/>
        </w:r>
        <w:r>
          <w:rPr>
            <w:webHidden/>
          </w:rPr>
          <w:t>9</w:t>
        </w:r>
        <w:r w:rsidR="005E5420">
          <w:rPr>
            <w:webHidden/>
          </w:rPr>
          <w:fldChar w:fldCharType="end"/>
        </w:r>
      </w:hyperlink>
    </w:p>
    <w:p w:rsidR="005E5420" w:rsidRDefault="004366F9">
      <w:pPr>
        <w:pStyle w:val="TOC2"/>
        <w:rPr>
          <w:rFonts w:asciiTheme="minorHAnsi" w:eastAsiaTheme="minorEastAsia" w:hAnsiTheme="minorHAnsi"/>
          <w:b w:val="0"/>
          <w:color w:val="auto"/>
          <w:sz w:val="22"/>
          <w:lang w:eastAsia="en-AU"/>
        </w:rPr>
      </w:pPr>
      <w:hyperlink w:anchor="_Toc415580987" w:history="1">
        <w:r w:rsidR="005E5420" w:rsidRPr="00A53D15">
          <w:rPr>
            <w:rStyle w:val="Hyperlink"/>
          </w:rPr>
          <w:t>3.2</w:t>
        </w:r>
        <w:r w:rsidR="005E5420">
          <w:rPr>
            <w:rFonts w:asciiTheme="minorHAnsi" w:eastAsiaTheme="minorEastAsia" w:hAnsiTheme="minorHAnsi"/>
            <w:b w:val="0"/>
            <w:color w:val="auto"/>
            <w:sz w:val="22"/>
            <w:lang w:eastAsia="en-AU"/>
          </w:rPr>
          <w:tab/>
        </w:r>
        <w:r w:rsidR="005E5420" w:rsidRPr="00A53D15">
          <w:rPr>
            <w:rStyle w:val="Hyperlink"/>
          </w:rPr>
          <w:t>Historic capex by asset class</w:t>
        </w:r>
        <w:r w:rsidR="005E5420">
          <w:rPr>
            <w:webHidden/>
          </w:rPr>
          <w:tab/>
        </w:r>
        <w:r w:rsidR="005E5420">
          <w:rPr>
            <w:webHidden/>
          </w:rPr>
          <w:fldChar w:fldCharType="begin"/>
        </w:r>
        <w:r w:rsidR="005E5420">
          <w:rPr>
            <w:webHidden/>
          </w:rPr>
          <w:instrText xml:space="preserve"> PAGEREF _Toc415580987 \h </w:instrText>
        </w:r>
        <w:r w:rsidR="005E5420">
          <w:rPr>
            <w:webHidden/>
          </w:rPr>
        </w:r>
        <w:r w:rsidR="005E5420">
          <w:rPr>
            <w:webHidden/>
          </w:rPr>
          <w:fldChar w:fldCharType="separate"/>
        </w:r>
        <w:r>
          <w:rPr>
            <w:webHidden/>
          </w:rPr>
          <w:t>16</w:t>
        </w:r>
        <w:r w:rsidR="005E5420">
          <w:rPr>
            <w:webHidden/>
          </w:rPr>
          <w:fldChar w:fldCharType="end"/>
        </w:r>
      </w:hyperlink>
    </w:p>
    <w:p w:rsidR="005E5420" w:rsidRDefault="004366F9">
      <w:pPr>
        <w:pStyle w:val="TOC2"/>
        <w:rPr>
          <w:rFonts w:asciiTheme="minorHAnsi" w:eastAsiaTheme="minorEastAsia" w:hAnsiTheme="minorHAnsi"/>
          <w:b w:val="0"/>
          <w:color w:val="auto"/>
          <w:sz w:val="22"/>
          <w:lang w:eastAsia="en-AU"/>
        </w:rPr>
      </w:pPr>
      <w:hyperlink w:anchor="_Toc415580988" w:history="1">
        <w:r w:rsidR="005E5420" w:rsidRPr="00A53D15">
          <w:rPr>
            <w:rStyle w:val="Hyperlink"/>
          </w:rPr>
          <w:t>3.3</w:t>
        </w:r>
        <w:r w:rsidR="005E5420">
          <w:rPr>
            <w:rFonts w:asciiTheme="minorHAnsi" w:eastAsiaTheme="minorEastAsia" w:hAnsiTheme="minorHAnsi"/>
            <w:b w:val="0"/>
            <w:color w:val="auto"/>
            <w:sz w:val="22"/>
            <w:lang w:eastAsia="en-AU"/>
          </w:rPr>
          <w:tab/>
        </w:r>
        <w:r w:rsidR="005E5420" w:rsidRPr="00A53D15">
          <w:rPr>
            <w:rStyle w:val="Hyperlink"/>
          </w:rPr>
          <w:t>Consequential amendments</w:t>
        </w:r>
        <w:r w:rsidR="005E5420">
          <w:rPr>
            <w:webHidden/>
          </w:rPr>
          <w:tab/>
        </w:r>
        <w:r w:rsidR="005E5420">
          <w:rPr>
            <w:webHidden/>
          </w:rPr>
          <w:fldChar w:fldCharType="begin"/>
        </w:r>
        <w:r w:rsidR="005E5420">
          <w:rPr>
            <w:webHidden/>
          </w:rPr>
          <w:instrText xml:space="preserve"> PAGEREF _Toc415580988 \h </w:instrText>
        </w:r>
        <w:r w:rsidR="005E5420">
          <w:rPr>
            <w:webHidden/>
          </w:rPr>
        </w:r>
        <w:r w:rsidR="005E5420">
          <w:rPr>
            <w:webHidden/>
          </w:rPr>
          <w:fldChar w:fldCharType="separate"/>
        </w:r>
        <w:r>
          <w:rPr>
            <w:webHidden/>
          </w:rPr>
          <w:t>17</w:t>
        </w:r>
        <w:r w:rsidR="005E5420">
          <w:rPr>
            <w:webHidden/>
          </w:rPr>
          <w:fldChar w:fldCharType="end"/>
        </w:r>
      </w:hyperlink>
    </w:p>
    <w:p w:rsidR="00084CA7" w:rsidRDefault="00A75077" w:rsidP="00084CA7">
      <w:r>
        <w:fldChar w:fldCharType="end"/>
      </w:r>
      <w:bookmarkStart w:id="1" w:name="_Toc213047617"/>
    </w:p>
    <w:p w:rsidR="0020492C" w:rsidRDefault="0020492C" w:rsidP="0020492C"/>
    <w:p w:rsidR="0020492C" w:rsidRDefault="0020492C" w:rsidP="0020492C"/>
    <w:p w:rsidR="0020492C" w:rsidRDefault="0020492C" w:rsidP="0020492C">
      <w:pPr>
        <w:sectPr w:rsidR="0020492C" w:rsidSect="007A4D1F">
          <w:footerReference w:type="default" r:id="rId11"/>
          <w:pgSz w:w="11906" w:h="16838" w:code="9"/>
          <w:pgMar w:top="1440" w:right="1700" w:bottom="1582" w:left="1729" w:header="720" w:footer="1009" w:gutter="0"/>
          <w:pgNumType w:fmt="lowerRoman"/>
          <w:cols w:space="720"/>
          <w:docGrid w:linePitch="326"/>
        </w:sectPr>
      </w:pPr>
    </w:p>
    <w:p w:rsidR="0020492C" w:rsidRDefault="00716731" w:rsidP="00716731">
      <w:pPr>
        <w:pStyle w:val="Heading1notnumber"/>
      </w:pPr>
      <w:bookmarkStart w:id="2" w:name="_Toc415580972"/>
      <w:r>
        <w:lastRenderedPageBreak/>
        <w:t>Shortened forms</w:t>
      </w:r>
      <w:bookmarkEnd w:id="1"/>
      <w:bookmarkEnd w:id="2"/>
    </w:p>
    <w:tbl>
      <w:tblPr>
        <w:tblStyle w:val="AERTable-Text"/>
        <w:tblW w:w="5000" w:type="pct"/>
        <w:tblLayout w:type="fixed"/>
        <w:tblLook w:val="04A0" w:firstRow="1" w:lastRow="0" w:firstColumn="1" w:lastColumn="0" w:noHBand="0" w:noVBand="1"/>
      </w:tblPr>
      <w:tblGrid>
        <w:gridCol w:w="2802"/>
        <w:gridCol w:w="6440"/>
      </w:tblGrid>
      <w:tr w:rsidR="00716731" w:rsidRPr="00716731" w:rsidTr="00386C01">
        <w:trPr>
          <w:cnfStyle w:val="100000000000" w:firstRow="1" w:lastRow="0" w:firstColumn="0" w:lastColumn="0" w:oddVBand="0" w:evenVBand="0" w:oddHBand="0" w:evenHBand="0" w:firstRowFirstColumn="0" w:firstRowLastColumn="0" w:lastRowFirstColumn="0" w:lastRowLastColumn="0"/>
        </w:trPr>
        <w:tc>
          <w:tcPr>
            <w:tcW w:w="1516" w:type="pct"/>
          </w:tcPr>
          <w:p w:rsidR="00716731" w:rsidRPr="00716731" w:rsidRDefault="00716731" w:rsidP="00716731">
            <w:r w:rsidRPr="00716731">
              <w:t>Shortened term</w:t>
            </w:r>
          </w:p>
        </w:tc>
        <w:tc>
          <w:tcPr>
            <w:tcW w:w="3484" w:type="pct"/>
          </w:tcPr>
          <w:p w:rsidR="00716731" w:rsidRPr="00716731" w:rsidRDefault="00716731" w:rsidP="00716731">
            <w:r w:rsidRPr="00716731">
              <w:t>Full title</w:t>
            </w:r>
          </w:p>
        </w:tc>
      </w:tr>
      <w:tr w:rsidR="00716731" w:rsidRPr="00716731" w:rsidTr="00386C01">
        <w:tc>
          <w:tcPr>
            <w:tcW w:w="1516" w:type="pct"/>
            <w:noWrap/>
          </w:tcPr>
          <w:p w:rsidR="00716731" w:rsidRPr="00716731" w:rsidRDefault="00716731" w:rsidP="00716731">
            <w:r w:rsidRPr="00716731">
              <w:t>AEMC</w:t>
            </w:r>
          </w:p>
        </w:tc>
        <w:tc>
          <w:tcPr>
            <w:tcW w:w="3484" w:type="pct"/>
            <w:noWrap/>
          </w:tcPr>
          <w:p w:rsidR="00716731" w:rsidRPr="00716731" w:rsidRDefault="00716731" w:rsidP="00716731">
            <w:r w:rsidRPr="00716731">
              <w:t>Australian Energy Market Commission</w:t>
            </w:r>
          </w:p>
        </w:tc>
      </w:tr>
      <w:tr w:rsidR="00716731" w:rsidRPr="00716731" w:rsidTr="00386C01">
        <w:trPr>
          <w:cnfStyle w:val="000000010000" w:firstRow="0" w:lastRow="0" w:firstColumn="0" w:lastColumn="0" w:oddVBand="0" w:evenVBand="0" w:oddHBand="0" w:evenHBand="1" w:firstRowFirstColumn="0" w:firstRowLastColumn="0" w:lastRowFirstColumn="0" w:lastRowLastColumn="0"/>
        </w:trPr>
        <w:tc>
          <w:tcPr>
            <w:tcW w:w="1516" w:type="pct"/>
            <w:noWrap/>
          </w:tcPr>
          <w:p w:rsidR="00716731" w:rsidRPr="00716731" w:rsidRDefault="00716731" w:rsidP="00716731">
            <w:r w:rsidRPr="00716731">
              <w:t>AEMO</w:t>
            </w:r>
          </w:p>
        </w:tc>
        <w:tc>
          <w:tcPr>
            <w:tcW w:w="3484" w:type="pct"/>
            <w:noWrap/>
          </w:tcPr>
          <w:p w:rsidR="00716731" w:rsidRPr="00716731" w:rsidRDefault="00716731" w:rsidP="00716731">
            <w:r w:rsidRPr="00716731">
              <w:t>Australian Energy Market Operator</w:t>
            </w:r>
          </w:p>
        </w:tc>
      </w:tr>
      <w:tr w:rsidR="00716731" w:rsidRPr="00716731" w:rsidTr="00386C01">
        <w:tc>
          <w:tcPr>
            <w:tcW w:w="1516" w:type="pct"/>
            <w:noWrap/>
          </w:tcPr>
          <w:p w:rsidR="00716731" w:rsidRPr="00716731" w:rsidRDefault="00716731" w:rsidP="00716731">
            <w:r w:rsidRPr="00716731">
              <w:t>AER</w:t>
            </w:r>
          </w:p>
        </w:tc>
        <w:tc>
          <w:tcPr>
            <w:tcW w:w="3484" w:type="pct"/>
            <w:noWrap/>
          </w:tcPr>
          <w:p w:rsidR="00716731" w:rsidRPr="00716731" w:rsidRDefault="00716731" w:rsidP="00716731">
            <w:r w:rsidRPr="00716731">
              <w:t>Australian Energy Regulator</w:t>
            </w:r>
          </w:p>
        </w:tc>
      </w:tr>
      <w:tr w:rsidR="00716731" w:rsidRPr="00716731" w:rsidTr="00386C01">
        <w:trPr>
          <w:cnfStyle w:val="000000010000" w:firstRow="0" w:lastRow="0" w:firstColumn="0" w:lastColumn="0" w:oddVBand="0" w:evenVBand="0" w:oddHBand="0" w:evenHBand="1" w:firstRowFirstColumn="0" w:firstRowLastColumn="0" w:lastRowFirstColumn="0" w:lastRowLastColumn="0"/>
        </w:trPr>
        <w:tc>
          <w:tcPr>
            <w:tcW w:w="1516" w:type="pct"/>
            <w:noWrap/>
          </w:tcPr>
          <w:p w:rsidR="00716731" w:rsidRPr="00716731" w:rsidRDefault="00716731" w:rsidP="00716731">
            <w:r w:rsidRPr="00716731">
              <w:t>Information Guideline</w:t>
            </w:r>
          </w:p>
        </w:tc>
        <w:tc>
          <w:tcPr>
            <w:tcW w:w="3484" w:type="pct"/>
            <w:noWrap/>
          </w:tcPr>
          <w:p w:rsidR="00716731" w:rsidRPr="00716731" w:rsidRDefault="00716731" w:rsidP="00716731">
            <w:r w:rsidRPr="00716731">
              <w:t xml:space="preserve">AER's, 'Electricity transmission networks service providers - Information Guidelines', September 2007  </w:t>
            </w:r>
          </w:p>
        </w:tc>
      </w:tr>
      <w:tr w:rsidR="00716731" w:rsidRPr="00716731" w:rsidTr="00386C01">
        <w:tc>
          <w:tcPr>
            <w:tcW w:w="1516" w:type="pct"/>
            <w:noWrap/>
          </w:tcPr>
          <w:p w:rsidR="00716731" w:rsidRPr="00716731" w:rsidRDefault="00716731" w:rsidP="00716731">
            <w:r w:rsidRPr="00716731">
              <w:t>NEL</w:t>
            </w:r>
          </w:p>
        </w:tc>
        <w:tc>
          <w:tcPr>
            <w:tcW w:w="3484" w:type="pct"/>
            <w:noWrap/>
          </w:tcPr>
          <w:p w:rsidR="00716731" w:rsidRPr="00716731" w:rsidRDefault="00716731" w:rsidP="00716731">
            <w:r w:rsidRPr="00716731">
              <w:t>National Electricity Law</w:t>
            </w:r>
          </w:p>
        </w:tc>
      </w:tr>
      <w:tr w:rsidR="00716731" w:rsidRPr="00716731" w:rsidTr="00386C01">
        <w:trPr>
          <w:cnfStyle w:val="000000010000" w:firstRow="0" w:lastRow="0" w:firstColumn="0" w:lastColumn="0" w:oddVBand="0" w:evenVBand="0" w:oddHBand="0" w:evenHBand="1" w:firstRowFirstColumn="0" w:firstRowLastColumn="0" w:lastRowFirstColumn="0" w:lastRowLastColumn="0"/>
        </w:trPr>
        <w:tc>
          <w:tcPr>
            <w:tcW w:w="1516" w:type="pct"/>
            <w:noWrap/>
          </w:tcPr>
          <w:p w:rsidR="00716731" w:rsidRPr="00716731" w:rsidRDefault="00716731" w:rsidP="00716731">
            <w:r w:rsidRPr="00716731">
              <w:t>NEM</w:t>
            </w:r>
          </w:p>
        </w:tc>
        <w:tc>
          <w:tcPr>
            <w:tcW w:w="3484" w:type="pct"/>
            <w:noWrap/>
          </w:tcPr>
          <w:p w:rsidR="00716731" w:rsidRPr="00716731" w:rsidRDefault="00716731" w:rsidP="00716731">
            <w:r w:rsidRPr="00716731">
              <w:t>National Electricity Market</w:t>
            </w:r>
          </w:p>
        </w:tc>
      </w:tr>
      <w:tr w:rsidR="00716731" w:rsidRPr="00716731" w:rsidTr="00386C01">
        <w:tc>
          <w:tcPr>
            <w:tcW w:w="1516" w:type="pct"/>
            <w:noWrap/>
          </w:tcPr>
          <w:p w:rsidR="00716731" w:rsidRPr="00716731" w:rsidRDefault="00716731" w:rsidP="00716731">
            <w:r w:rsidRPr="00716731">
              <w:t>NEO</w:t>
            </w:r>
          </w:p>
        </w:tc>
        <w:tc>
          <w:tcPr>
            <w:tcW w:w="3484" w:type="pct"/>
            <w:noWrap/>
          </w:tcPr>
          <w:p w:rsidR="00716731" w:rsidRPr="00716731" w:rsidRDefault="00716731" w:rsidP="00716731">
            <w:r w:rsidRPr="00716731">
              <w:t>National Electricity Objective</w:t>
            </w:r>
          </w:p>
        </w:tc>
      </w:tr>
      <w:tr w:rsidR="00716731" w:rsidRPr="00716731" w:rsidTr="00386C01">
        <w:trPr>
          <w:cnfStyle w:val="000000010000" w:firstRow="0" w:lastRow="0" w:firstColumn="0" w:lastColumn="0" w:oddVBand="0" w:evenVBand="0" w:oddHBand="0" w:evenHBand="1" w:firstRowFirstColumn="0" w:firstRowLastColumn="0" w:lastRowFirstColumn="0" w:lastRowLastColumn="0"/>
        </w:trPr>
        <w:tc>
          <w:tcPr>
            <w:tcW w:w="1516" w:type="pct"/>
            <w:noWrap/>
          </w:tcPr>
          <w:p w:rsidR="00716731" w:rsidRPr="00716731" w:rsidRDefault="00716731" w:rsidP="00716731">
            <w:r w:rsidRPr="00716731">
              <w:t>NER</w:t>
            </w:r>
          </w:p>
        </w:tc>
        <w:tc>
          <w:tcPr>
            <w:tcW w:w="3484" w:type="pct"/>
            <w:noWrap/>
          </w:tcPr>
          <w:p w:rsidR="00716731" w:rsidRPr="00716731" w:rsidRDefault="00716731" w:rsidP="00716731">
            <w:r w:rsidRPr="00716731">
              <w:t>National Electricity Rules</w:t>
            </w:r>
          </w:p>
        </w:tc>
      </w:tr>
      <w:tr w:rsidR="00716731" w:rsidRPr="00716731" w:rsidTr="00386C01">
        <w:tc>
          <w:tcPr>
            <w:tcW w:w="1516" w:type="pct"/>
            <w:noWrap/>
          </w:tcPr>
          <w:p w:rsidR="00716731" w:rsidRPr="00716731" w:rsidRDefault="00716731" w:rsidP="00716731">
            <w:r w:rsidRPr="00716731">
              <w:t>NSP</w:t>
            </w:r>
          </w:p>
        </w:tc>
        <w:tc>
          <w:tcPr>
            <w:tcW w:w="3484" w:type="pct"/>
            <w:noWrap/>
          </w:tcPr>
          <w:p w:rsidR="00716731" w:rsidRPr="00716731" w:rsidRDefault="00716731" w:rsidP="00716731">
            <w:r w:rsidRPr="00716731">
              <w:t>Network service provider</w:t>
            </w:r>
          </w:p>
        </w:tc>
      </w:tr>
      <w:tr w:rsidR="00716731" w:rsidRPr="00716731" w:rsidTr="00386C01">
        <w:trPr>
          <w:cnfStyle w:val="000000010000" w:firstRow="0" w:lastRow="0" w:firstColumn="0" w:lastColumn="0" w:oddVBand="0" w:evenVBand="0" w:oddHBand="0" w:evenHBand="1" w:firstRowFirstColumn="0" w:firstRowLastColumn="0" w:lastRowFirstColumn="0" w:lastRowLastColumn="0"/>
        </w:trPr>
        <w:tc>
          <w:tcPr>
            <w:tcW w:w="1516" w:type="pct"/>
            <w:noWrap/>
          </w:tcPr>
          <w:p w:rsidR="00716731" w:rsidRPr="00716731" w:rsidRDefault="00716731" w:rsidP="00716731">
            <w:r w:rsidRPr="00716731">
              <w:t>RIN</w:t>
            </w:r>
          </w:p>
        </w:tc>
        <w:tc>
          <w:tcPr>
            <w:tcW w:w="3484" w:type="pct"/>
            <w:noWrap/>
          </w:tcPr>
          <w:p w:rsidR="00716731" w:rsidRPr="00716731" w:rsidRDefault="00716731" w:rsidP="00716731">
            <w:r w:rsidRPr="00716731">
              <w:t>Regulatory information notice</w:t>
            </w:r>
          </w:p>
        </w:tc>
      </w:tr>
      <w:tr w:rsidR="00716731" w:rsidRPr="00716731" w:rsidTr="00386C01">
        <w:tc>
          <w:tcPr>
            <w:tcW w:w="1516" w:type="pct"/>
            <w:noWrap/>
          </w:tcPr>
          <w:p w:rsidR="00716731" w:rsidRPr="00716731" w:rsidRDefault="00716731" w:rsidP="00716731">
            <w:r w:rsidRPr="00716731">
              <w:t>TNSP</w:t>
            </w:r>
          </w:p>
        </w:tc>
        <w:tc>
          <w:tcPr>
            <w:tcW w:w="3484" w:type="pct"/>
            <w:noWrap/>
          </w:tcPr>
          <w:p w:rsidR="00716731" w:rsidRPr="00716731" w:rsidRDefault="00716731" w:rsidP="00716731">
            <w:r w:rsidRPr="00716731">
              <w:t>Transmission network service provider</w:t>
            </w:r>
          </w:p>
        </w:tc>
      </w:tr>
    </w:tbl>
    <w:p w:rsidR="00716731" w:rsidRDefault="00716731" w:rsidP="00716731"/>
    <w:p w:rsidR="00716731" w:rsidRPr="00716731" w:rsidRDefault="00716731" w:rsidP="00716731">
      <w:pPr>
        <w:pStyle w:val="Heading1"/>
      </w:pPr>
      <w:bookmarkStart w:id="3" w:name="_Toc415580973"/>
      <w:r w:rsidRPr="00716731">
        <w:lastRenderedPageBreak/>
        <w:t>Summary</w:t>
      </w:r>
      <w:bookmarkEnd w:id="3"/>
    </w:p>
    <w:p w:rsidR="00716731" w:rsidRPr="00716731" w:rsidRDefault="00716731" w:rsidP="00716731">
      <w:pPr>
        <w:pStyle w:val="Heading2notnumbered"/>
      </w:pPr>
      <w:bookmarkStart w:id="4" w:name="_Toc415580974"/>
      <w:r w:rsidRPr="00716731">
        <w:t>Our role</w:t>
      </w:r>
      <w:bookmarkEnd w:id="4"/>
    </w:p>
    <w:p w:rsidR="00716731" w:rsidRPr="00716731" w:rsidRDefault="00716731" w:rsidP="00716731">
      <w:r w:rsidRPr="00716731">
        <w:t xml:space="preserve">The Australian Energy Regulator (AER) is Australia’s independent national energy market regulator. Our role is to promote the national electricity and gas objectives. Enshrined in the Electricity and Gas Laws, these objectives focus on promoting the long term interests of consumers. </w:t>
      </w:r>
    </w:p>
    <w:p w:rsidR="00716731" w:rsidRPr="00716731" w:rsidRDefault="00716731" w:rsidP="00716731">
      <w:r w:rsidRPr="00716731">
        <w:t xml:space="preserve">We are responsible for the economic regulation of electricity and gas monopoly network service providers. We regulate these service providers by establishing the prices that they can charge their customers for the conveyance of gas and electricity through their networks. These prices are based on an analysis of the efficient levels of capital and operating expenditures and a benchmark rate of return over a five year forecast period. We also monitor the compliance of each service provider with its pricing determination and have the power to publish reports on the service provider’s performance during the period covered by the pricing determination. </w:t>
      </w:r>
    </w:p>
    <w:p w:rsidR="00716731" w:rsidRPr="00716731" w:rsidRDefault="00716731" w:rsidP="00716731">
      <w:pPr>
        <w:pStyle w:val="Heading2notnumbered"/>
      </w:pPr>
      <w:bookmarkStart w:id="5" w:name="_Toc415580975"/>
      <w:r w:rsidRPr="00716731">
        <w:t>Information Guideline</w:t>
      </w:r>
      <w:bookmarkEnd w:id="5"/>
    </w:p>
    <w:p w:rsidR="00716731" w:rsidRPr="00716731" w:rsidRDefault="00716731" w:rsidP="00716731">
      <w:r w:rsidRPr="00716731">
        <w:t>For electricity transmission network service providers (TNSPs) we have the power under the National Electricity Law (NEL) to issue Regulatory Information Instruments such as regulatory information notices (RINs) to obtain information we consider reasonably necessary for the performance or exercise of our functions or powers.</w:t>
      </w:r>
      <w:r w:rsidR="00C960B7">
        <w:rPr>
          <w:rStyle w:val="FootnoteReference"/>
        </w:rPr>
        <w:footnoteReference w:id="2"/>
      </w:r>
      <w:r w:rsidRPr="00716731">
        <w:t xml:space="preserve"> Chapter 6A of the National Electricity Rules (NER) also specifically provides for the development of an information guideline setting out the data requirements TNSPs must provide to us on an annual basis.</w:t>
      </w:r>
    </w:p>
    <w:p w:rsidR="00716731" w:rsidRPr="00716731" w:rsidRDefault="00716731" w:rsidP="00716731">
      <w:r w:rsidRPr="00716731">
        <w:t>We first developed and published the 'Electricity transmission network service providers - Information guidelines’ (Information Guideline) in September 2007.</w:t>
      </w:r>
      <w:r w:rsidR="00C960B7">
        <w:rPr>
          <w:rStyle w:val="FootnoteReference"/>
        </w:rPr>
        <w:footnoteReference w:id="3"/>
      </w:r>
      <w:r w:rsidR="00D418F4">
        <w:t xml:space="preserve"> </w:t>
      </w:r>
      <w:r w:rsidRPr="00716731">
        <w:t>Under Chapter 6A of the NER this Information Guideline must be in force at all times and is binding on both the AER and each TNSP to which</w:t>
      </w:r>
      <w:r w:rsidR="00537007">
        <w:t xml:space="preserve"> it </w:t>
      </w:r>
      <w:r w:rsidRPr="00716731">
        <w:t>appl</w:t>
      </w:r>
      <w:r w:rsidR="00537007">
        <w:t>ies</w:t>
      </w:r>
      <w:r w:rsidRPr="00716731">
        <w:t>.</w:t>
      </w:r>
      <w:r w:rsidR="00C960B7">
        <w:rPr>
          <w:rStyle w:val="FootnoteReference"/>
        </w:rPr>
        <w:footnoteReference w:id="4"/>
      </w:r>
      <w:r w:rsidRPr="00716731">
        <w:t xml:space="preserve">   </w:t>
      </w:r>
    </w:p>
    <w:p w:rsidR="00716731" w:rsidRPr="00716731" w:rsidRDefault="00716731" w:rsidP="00716731">
      <w:r w:rsidRPr="00716731">
        <w:t>Prior to the implementation of our Better Regulation program in late 2013 we did not seek any other annual information from TNSPs.</w:t>
      </w:r>
      <w:r w:rsidR="00644BA8">
        <w:rPr>
          <w:rStyle w:val="FootnoteReference"/>
        </w:rPr>
        <w:footnoteReference w:id="5"/>
      </w:r>
      <w:r w:rsidRPr="00716731">
        <w:t xml:space="preserve"> However, this changed after we developed and issued Economic Benchmarking and Category Analysis RINs (Better Regulation RINS) in late 2013 and early 2014. TNSPs, with the exception of two interconnectors (</w:t>
      </w:r>
      <w:proofErr w:type="spellStart"/>
      <w:r w:rsidRPr="00716731">
        <w:t>Directlink</w:t>
      </w:r>
      <w:proofErr w:type="spellEnd"/>
      <w:r w:rsidRPr="00716731">
        <w:t xml:space="preserve"> and </w:t>
      </w:r>
      <w:proofErr w:type="spellStart"/>
      <w:r w:rsidRPr="00716731">
        <w:t>Murraylink</w:t>
      </w:r>
      <w:proofErr w:type="spellEnd"/>
      <w:r w:rsidRPr="00716731">
        <w:t>), are now required to annually provide us with economic benchmarking and category analysis data, as well as meet the requirements in the Information Guideline.</w:t>
      </w:r>
    </w:p>
    <w:p w:rsidR="00716731" w:rsidRPr="00716731" w:rsidRDefault="00716731" w:rsidP="00716731">
      <w:r w:rsidRPr="00716731">
        <w:lastRenderedPageBreak/>
        <w:t xml:space="preserve">We reviewed the Information Guideline and found some reporting obligations are now duplicated (either directly or indirectly) in the Better Regulation RINs. Further, other reporting requirements were found to be redundant or not aligned with the current regulatory framework and </w:t>
      </w:r>
      <w:r w:rsidR="001227BB">
        <w:t>our</w:t>
      </w:r>
      <w:r w:rsidRPr="00716731">
        <w:t xml:space="preserve"> approach to annual reporting for other electricity distribution and gas businesses.</w:t>
      </w:r>
    </w:p>
    <w:p w:rsidR="00716731" w:rsidRPr="00716731" w:rsidRDefault="00716731" w:rsidP="00716731">
      <w:r w:rsidRPr="00716731">
        <w:t>In December 2014, we released for consultation a revised draft of the Information Guideline (draft Information Guideline (Version 2)) and explanatory statement. In th</w:t>
      </w:r>
      <w:r w:rsidR="00537007">
        <w:t>e draft Information Guideline (Version 2)</w:t>
      </w:r>
      <w:r w:rsidRPr="00716731">
        <w:t xml:space="preserve"> we proposed addressing the issues identified in our review by:</w:t>
      </w:r>
    </w:p>
    <w:p w:rsidR="00716731" w:rsidRPr="00716731" w:rsidRDefault="00563517" w:rsidP="002B49B1">
      <w:pPr>
        <w:pStyle w:val="ListBullet"/>
      </w:pPr>
      <w:r w:rsidRPr="00716731">
        <w:t xml:space="preserve">removing </w:t>
      </w:r>
      <w:r w:rsidR="00716731" w:rsidRPr="00716731">
        <w:t xml:space="preserve">reporting obligations which are duplicated in the Better Regulation RINs  </w:t>
      </w:r>
    </w:p>
    <w:p w:rsidR="00716731" w:rsidRPr="00716731" w:rsidRDefault="00563517" w:rsidP="002B49B1">
      <w:pPr>
        <w:pStyle w:val="ListBullet"/>
      </w:pPr>
      <w:r w:rsidRPr="00716731">
        <w:t xml:space="preserve">removing </w:t>
      </w:r>
      <w:r w:rsidR="00716731" w:rsidRPr="00716731">
        <w:t>redundant reporting requirements</w:t>
      </w:r>
    </w:p>
    <w:p w:rsidR="00716731" w:rsidRPr="00716731" w:rsidRDefault="00563517" w:rsidP="002B49B1">
      <w:pPr>
        <w:pStyle w:val="ListBullet"/>
      </w:pPr>
      <w:proofErr w:type="gramStart"/>
      <w:r w:rsidRPr="00716731">
        <w:t>making</w:t>
      </w:r>
      <w:proofErr w:type="gramEnd"/>
      <w:r w:rsidRPr="00716731">
        <w:t xml:space="preserve"> </w:t>
      </w:r>
      <w:r w:rsidR="00716731" w:rsidRPr="00716731">
        <w:t xml:space="preserve">consequential changes to better reflect the current regulatory framework and </w:t>
      </w:r>
      <w:r w:rsidR="001227BB">
        <w:t>our</w:t>
      </w:r>
      <w:r w:rsidR="00716731" w:rsidRPr="00716731">
        <w:t xml:space="preserve"> current approach towards reporting requirements for other gas and electricity businesses.</w:t>
      </w:r>
    </w:p>
    <w:p w:rsidR="00716731" w:rsidRPr="00716731" w:rsidRDefault="00716731" w:rsidP="00716731">
      <w:r w:rsidRPr="00716731">
        <w:t xml:space="preserve">We received one submission on the draft Information Guideline (Version 2) from Grid Australia. We have taken into account Grid Australia's submission and the other feedback we received from TNSPs when preparing the final Information Guideline (Version 2). As a result, we have identified and removed further redundant information requirements, amended the </w:t>
      </w:r>
      <w:r w:rsidR="00AD7B2C">
        <w:t>'H</w:t>
      </w:r>
      <w:r w:rsidRPr="00716731">
        <w:t>istoric capital expenditure (capex) by asset class</w:t>
      </w:r>
      <w:r w:rsidR="00AD7B2C">
        <w:t>'</w:t>
      </w:r>
      <w:r w:rsidRPr="00716731">
        <w:t xml:space="preserve"> worksheet in Appendix </w:t>
      </w:r>
      <w:proofErr w:type="gramStart"/>
      <w:r w:rsidRPr="00716731">
        <w:t>A</w:t>
      </w:r>
      <w:proofErr w:type="gramEnd"/>
      <w:r w:rsidR="00DB0305">
        <w:t xml:space="preserve"> </w:t>
      </w:r>
      <w:r w:rsidR="00DB0305" w:rsidRPr="00597D96">
        <w:t xml:space="preserve">- Annual Reporting Templates </w:t>
      </w:r>
      <w:r w:rsidR="00DB0305">
        <w:t xml:space="preserve">(Appendix A) </w:t>
      </w:r>
      <w:r w:rsidRPr="00716731">
        <w:t>and changed the assurance requirement back from a statutory declaration to a directors</w:t>
      </w:r>
      <w:r w:rsidR="005916A7">
        <w:t>'</w:t>
      </w:r>
      <w:r w:rsidRPr="00716731">
        <w:t xml:space="preserve"> responsibility statement. </w:t>
      </w:r>
    </w:p>
    <w:p w:rsidR="00716731" w:rsidRDefault="00716731" w:rsidP="00716731">
      <w:r w:rsidRPr="00716731">
        <w:t>We consider that the final Information Guideline (Version 2) reduces the compliance burden on TNSPs and improves reporting efficiency, thereby contributing to the achievement of the National Electricity Objective (NEO).</w:t>
      </w:r>
      <w:r w:rsidR="00C960B7">
        <w:rPr>
          <w:rStyle w:val="FootnoteReference"/>
        </w:rPr>
        <w:footnoteReference w:id="6"/>
      </w:r>
    </w:p>
    <w:p w:rsidR="00C960B7" w:rsidRPr="00C960B7" w:rsidRDefault="00C960B7" w:rsidP="00C960B7">
      <w:pPr>
        <w:pStyle w:val="Heading1"/>
      </w:pPr>
      <w:bookmarkStart w:id="6" w:name="_Toc415580976"/>
      <w:r w:rsidRPr="00C960B7">
        <w:lastRenderedPageBreak/>
        <w:t>TNSP annual reporting framework</w:t>
      </w:r>
      <w:bookmarkEnd w:id="6"/>
    </w:p>
    <w:p w:rsidR="00C960B7" w:rsidRPr="00C960B7" w:rsidRDefault="00C960B7" w:rsidP="00C960B7">
      <w:r w:rsidRPr="00C960B7">
        <w:t>There are seven electricity TNSPs, including two interconnectors, in the National Electricity Market (NEM):</w:t>
      </w:r>
    </w:p>
    <w:p w:rsidR="00C960B7" w:rsidRPr="00C960B7" w:rsidRDefault="00C960B7" w:rsidP="00370528">
      <w:pPr>
        <w:pStyle w:val="ListBullet"/>
      </w:pPr>
      <w:proofErr w:type="spellStart"/>
      <w:r w:rsidRPr="00C960B7">
        <w:t>ElectraNet</w:t>
      </w:r>
      <w:proofErr w:type="spellEnd"/>
      <w:r w:rsidRPr="00C960B7">
        <w:t xml:space="preserve"> (South Australia) </w:t>
      </w:r>
    </w:p>
    <w:p w:rsidR="00C960B7" w:rsidRPr="00C960B7" w:rsidRDefault="00C960B7" w:rsidP="00370528">
      <w:pPr>
        <w:pStyle w:val="ListBullet"/>
      </w:pPr>
      <w:r w:rsidRPr="00C960B7">
        <w:t xml:space="preserve">Powerlink (Queensland) </w:t>
      </w:r>
    </w:p>
    <w:p w:rsidR="00C960B7" w:rsidRPr="00C960B7" w:rsidRDefault="00C960B7" w:rsidP="00370528">
      <w:pPr>
        <w:pStyle w:val="ListBullet"/>
      </w:pPr>
      <w:proofErr w:type="spellStart"/>
      <w:r w:rsidRPr="00C960B7">
        <w:t>AusNet</w:t>
      </w:r>
      <w:proofErr w:type="spellEnd"/>
      <w:r w:rsidRPr="00C960B7">
        <w:t xml:space="preserve"> Services (Victoria) </w:t>
      </w:r>
    </w:p>
    <w:p w:rsidR="00C960B7" w:rsidRPr="00C960B7" w:rsidRDefault="00C960B7" w:rsidP="00370528">
      <w:pPr>
        <w:pStyle w:val="ListBullet"/>
      </w:pPr>
      <w:proofErr w:type="spellStart"/>
      <w:r w:rsidRPr="00C960B7">
        <w:t>TasNetworks</w:t>
      </w:r>
      <w:proofErr w:type="spellEnd"/>
      <w:r w:rsidRPr="00C960B7">
        <w:t xml:space="preserve"> formally </w:t>
      </w:r>
      <w:proofErr w:type="spellStart"/>
      <w:r w:rsidRPr="00C960B7">
        <w:t>Transend</w:t>
      </w:r>
      <w:proofErr w:type="spellEnd"/>
      <w:r w:rsidRPr="00C960B7">
        <w:t xml:space="preserve"> (Tasmania) </w:t>
      </w:r>
    </w:p>
    <w:p w:rsidR="00C960B7" w:rsidRPr="00C960B7" w:rsidRDefault="00C960B7" w:rsidP="00370528">
      <w:pPr>
        <w:pStyle w:val="ListBullet"/>
      </w:pPr>
      <w:proofErr w:type="spellStart"/>
      <w:r w:rsidRPr="00C960B7">
        <w:t>TransGrid</w:t>
      </w:r>
      <w:proofErr w:type="spellEnd"/>
      <w:r w:rsidRPr="00C960B7">
        <w:t xml:space="preserve"> (New South Wales) </w:t>
      </w:r>
    </w:p>
    <w:p w:rsidR="00C960B7" w:rsidRPr="00C960B7" w:rsidRDefault="00C960B7" w:rsidP="00370528">
      <w:pPr>
        <w:pStyle w:val="ListBullet"/>
      </w:pPr>
      <w:proofErr w:type="spellStart"/>
      <w:r w:rsidRPr="00C960B7">
        <w:t>Directlink</w:t>
      </w:r>
      <w:proofErr w:type="spellEnd"/>
      <w:r w:rsidRPr="00C960B7">
        <w:t xml:space="preserve"> (interconnect between Queensland and New South Wales) </w:t>
      </w:r>
    </w:p>
    <w:p w:rsidR="00C960B7" w:rsidRPr="00C960B7" w:rsidRDefault="00C960B7" w:rsidP="00370528">
      <w:pPr>
        <w:pStyle w:val="ListBullet"/>
      </w:pPr>
      <w:proofErr w:type="spellStart"/>
      <w:r w:rsidRPr="00C960B7">
        <w:t>Murraylink</w:t>
      </w:r>
      <w:proofErr w:type="spellEnd"/>
      <w:r w:rsidRPr="00C960B7">
        <w:t xml:space="preserve"> (interconnect between Victoria and South Australia). </w:t>
      </w:r>
    </w:p>
    <w:p w:rsidR="00C960B7" w:rsidRDefault="00C960B7" w:rsidP="00C960B7">
      <w:r w:rsidRPr="00C960B7">
        <w:t xml:space="preserve">All TNSPs report to </w:t>
      </w:r>
      <w:r w:rsidR="001227BB">
        <w:t>us</w:t>
      </w:r>
      <w:r w:rsidRPr="00C960B7">
        <w:t xml:space="preserve"> on an annual basis primarily through the provision of an annual statement.</w:t>
      </w:r>
      <w:r w:rsidR="00B4187F">
        <w:rPr>
          <w:rStyle w:val="FootnoteReference"/>
        </w:rPr>
        <w:footnoteReference w:id="7"/>
      </w:r>
      <w:r w:rsidR="00B4187F" w:rsidRPr="00C960B7">
        <w:t xml:space="preserve"> </w:t>
      </w:r>
      <w:r w:rsidRPr="00C960B7">
        <w:t>In addition TNSPs, with the exception of the two interconnectors (</w:t>
      </w:r>
      <w:proofErr w:type="spellStart"/>
      <w:r w:rsidRPr="00C960B7">
        <w:t>Directlink</w:t>
      </w:r>
      <w:proofErr w:type="spellEnd"/>
      <w:r w:rsidRPr="00C960B7">
        <w:t xml:space="preserve"> and </w:t>
      </w:r>
      <w:proofErr w:type="spellStart"/>
      <w:r w:rsidRPr="00C960B7">
        <w:t>Murraylink</w:t>
      </w:r>
      <w:proofErr w:type="spellEnd"/>
      <w:r w:rsidRPr="00C960B7">
        <w:t xml:space="preserve">), are also required to comply with </w:t>
      </w:r>
      <w:r w:rsidR="000B0140">
        <w:t xml:space="preserve">the </w:t>
      </w:r>
      <w:r w:rsidRPr="00C960B7">
        <w:t xml:space="preserve">Better Regulation RINs. </w:t>
      </w:r>
    </w:p>
    <w:p w:rsidR="00C960B7" w:rsidRPr="00C960B7" w:rsidRDefault="00C960B7" w:rsidP="00C960B7">
      <w:pPr>
        <w:pStyle w:val="Heading2"/>
      </w:pPr>
      <w:bookmarkStart w:id="7" w:name="_Toc415580977"/>
      <w:r w:rsidRPr="00C960B7">
        <w:t>Information Guideline - NER requirements</w:t>
      </w:r>
      <w:bookmarkEnd w:id="7"/>
    </w:p>
    <w:p w:rsidR="00C960B7" w:rsidRPr="00C960B7" w:rsidRDefault="00C960B7" w:rsidP="00C960B7">
      <w:r w:rsidRPr="00C960B7">
        <w:t xml:space="preserve">Since September 2007 </w:t>
      </w:r>
      <w:r w:rsidR="001227BB">
        <w:t>we have</w:t>
      </w:r>
      <w:r w:rsidRPr="00C960B7">
        <w:t xml:space="preserve"> collected data from TNSPs in accordance with the Information Guideline.</w:t>
      </w:r>
      <w:r>
        <w:rPr>
          <w:rStyle w:val="FootnoteReference"/>
        </w:rPr>
        <w:footnoteReference w:id="8"/>
      </w:r>
      <w:r w:rsidR="00084CA7">
        <w:t xml:space="preserve"> </w:t>
      </w:r>
      <w:r w:rsidRPr="00C960B7">
        <w:t xml:space="preserve">This guideline was developed in accordance with Chapter 6A of the NER. </w:t>
      </w:r>
    </w:p>
    <w:p w:rsidR="00C960B7" w:rsidRPr="00C960B7" w:rsidRDefault="00C960B7" w:rsidP="00C960B7">
      <w:r w:rsidRPr="00C960B7">
        <w:t xml:space="preserve">Clause 6A.17 of the NER requires TNSPs to submit annual statements to </w:t>
      </w:r>
      <w:r w:rsidR="00D80809">
        <w:t>us</w:t>
      </w:r>
      <w:r w:rsidRPr="00C960B7">
        <w:t xml:space="preserve"> that:</w:t>
      </w:r>
      <w:r>
        <w:rPr>
          <w:rStyle w:val="FootnoteReference"/>
        </w:rPr>
        <w:footnoteReference w:id="9"/>
      </w:r>
      <w:r w:rsidRPr="00C960B7">
        <w:t xml:space="preserve">  </w:t>
      </w:r>
    </w:p>
    <w:p w:rsidR="00C960B7" w:rsidRPr="00C960B7" w:rsidRDefault="00C960B7" w:rsidP="00370528">
      <w:pPr>
        <w:pStyle w:val="ListBullet"/>
      </w:pPr>
      <w:r w:rsidRPr="00C960B7">
        <w:t>provide a true and fair statement of their financial and operating performance;</w:t>
      </w:r>
    </w:p>
    <w:p w:rsidR="00C960B7" w:rsidRPr="00C960B7" w:rsidRDefault="00C960B7" w:rsidP="00370528">
      <w:pPr>
        <w:pStyle w:val="ListBullet"/>
      </w:pPr>
      <w:r w:rsidRPr="00C960B7">
        <w:t>are certified in accordance with the Information Guideline; and</w:t>
      </w:r>
    </w:p>
    <w:p w:rsidR="00C960B7" w:rsidRPr="00C960B7" w:rsidRDefault="00C960B7" w:rsidP="00370528">
      <w:pPr>
        <w:pStyle w:val="ListBullet"/>
      </w:pPr>
      <w:proofErr w:type="gramStart"/>
      <w:r w:rsidRPr="00C960B7">
        <w:t>otherwise</w:t>
      </w:r>
      <w:proofErr w:type="gramEnd"/>
      <w:r w:rsidRPr="00C960B7">
        <w:t xml:space="preserve"> comply with the requirements of cl. 6A.17.1 of the NER and the Information Guideline.</w:t>
      </w:r>
    </w:p>
    <w:p w:rsidR="00C960B7" w:rsidRPr="00C960B7" w:rsidRDefault="00C960B7" w:rsidP="00C960B7">
      <w:r w:rsidRPr="00C960B7">
        <w:t xml:space="preserve">Under clause 6A.17.1 (d) any information collected under the Information Guideline may be used for the following purposes: </w:t>
      </w:r>
    </w:p>
    <w:p w:rsidR="00C960B7" w:rsidRPr="00C960B7" w:rsidRDefault="00C960B7" w:rsidP="00370528">
      <w:pPr>
        <w:pStyle w:val="ListBullet"/>
      </w:pPr>
      <w:r w:rsidRPr="00C960B7">
        <w:t>to monitor, report on and enforce the compliance of the TNSP with the total revenue cap for the TNSP for a regulatory control period, the maximum allowed revenue for the TNSP for each regulatory year, and any requirements that are imposed on the TNSP under a transmission determination;</w:t>
      </w:r>
    </w:p>
    <w:p w:rsidR="00C960B7" w:rsidRPr="00C960B7" w:rsidRDefault="00C960B7" w:rsidP="00370528">
      <w:pPr>
        <w:pStyle w:val="ListBullet"/>
      </w:pPr>
      <w:r w:rsidRPr="00C960B7">
        <w:t>to monitor, report on and enforce compliance with the provider’s Cost Allocation Methodology (CAM);</w:t>
      </w:r>
    </w:p>
    <w:p w:rsidR="00C960B7" w:rsidRPr="00C960B7" w:rsidRDefault="00C960B7" w:rsidP="00370528">
      <w:pPr>
        <w:pStyle w:val="ListBullet"/>
      </w:pPr>
      <w:r w:rsidRPr="00C960B7">
        <w:lastRenderedPageBreak/>
        <w:t>as an input regarding the financial, economic and operational performance of the TNSP, to inform the AER’s decision-making for the making of revenue determinations or other regulatory controls to apply in future regulatory control periods;</w:t>
      </w:r>
    </w:p>
    <w:p w:rsidR="00C960B7" w:rsidRPr="00C960B7" w:rsidRDefault="00C960B7" w:rsidP="00370528">
      <w:pPr>
        <w:pStyle w:val="ListBullet"/>
      </w:pPr>
      <w:r w:rsidRPr="00C960B7">
        <w:t>to monitor and report on the performance of the TNSP under any incentive scheme that applies to it under clauses 6A.6.5 (efficiency benefit sharing scheme), 6A.6.5A (capital expenditure sharing scheme), 6A.7.4 (service target performance incentive scheme) or 6A.7.5 (small scale incentive scheme); and</w:t>
      </w:r>
    </w:p>
    <w:p w:rsidR="00C960B7" w:rsidRPr="00C960B7" w:rsidRDefault="00C960B7" w:rsidP="00370528">
      <w:pPr>
        <w:pStyle w:val="ListBullet"/>
      </w:pPr>
      <w:proofErr w:type="gramStart"/>
      <w:r w:rsidRPr="00C960B7">
        <w:t>for</w:t>
      </w:r>
      <w:proofErr w:type="gramEnd"/>
      <w:r w:rsidRPr="00C960B7">
        <w:t xml:space="preserve"> the preparation of a network service provider performance report.</w:t>
      </w:r>
    </w:p>
    <w:p w:rsidR="00716731" w:rsidRPr="00716731" w:rsidRDefault="00C960B7" w:rsidP="00C960B7">
      <w:r w:rsidRPr="00C960B7">
        <w:t xml:space="preserve">The Information Guideline is binding on both the AER and each TNSP to which </w:t>
      </w:r>
      <w:r w:rsidR="00370528">
        <w:t>it applies</w:t>
      </w:r>
      <w:r w:rsidRPr="00C960B7">
        <w:t>.</w:t>
      </w:r>
      <w:r w:rsidR="00370528">
        <w:rPr>
          <w:rStyle w:val="FootnoteReference"/>
        </w:rPr>
        <w:footnoteReference w:id="10"/>
      </w:r>
      <w:r w:rsidRPr="00C960B7">
        <w:t xml:space="preserve">     </w:t>
      </w:r>
    </w:p>
    <w:p w:rsidR="00370528" w:rsidRPr="00370528" w:rsidRDefault="00370528" w:rsidP="00370528">
      <w:pPr>
        <w:pStyle w:val="Heading2"/>
      </w:pPr>
      <w:bookmarkStart w:id="8" w:name="_Toc415580978"/>
      <w:r w:rsidRPr="00370528">
        <w:t xml:space="preserve">Review of </w:t>
      </w:r>
      <w:r>
        <w:t xml:space="preserve">the </w:t>
      </w:r>
      <w:r w:rsidRPr="00370528">
        <w:t>Information Guideline</w:t>
      </w:r>
      <w:bookmarkEnd w:id="8"/>
      <w:r w:rsidRPr="00370528">
        <w:t xml:space="preserve"> </w:t>
      </w:r>
    </w:p>
    <w:p w:rsidR="00370528" w:rsidRPr="00370528" w:rsidRDefault="00370528" w:rsidP="00370528">
      <w:r w:rsidRPr="00370528">
        <w:t xml:space="preserve">The 2007 Information Guideline requires TNSPs to provide </w:t>
      </w:r>
      <w:r w:rsidR="00D80809">
        <w:t>us</w:t>
      </w:r>
      <w:r w:rsidRPr="00370528">
        <w:t xml:space="preserve"> with annual data including: </w:t>
      </w:r>
    </w:p>
    <w:p w:rsidR="00370528" w:rsidRPr="00370528" w:rsidRDefault="00370528" w:rsidP="00370528">
      <w:pPr>
        <w:pStyle w:val="ListBullet"/>
      </w:pPr>
      <w:r w:rsidRPr="00084CA7">
        <w:rPr>
          <w:rStyle w:val="Emphasis"/>
        </w:rPr>
        <w:t>Financial information</w:t>
      </w:r>
      <w:r w:rsidRPr="00370528">
        <w:t xml:space="preserve"> - regulatory and disaggregation financial statements (income, balance sheet, cash flow), operations and maintenance expenditure disaggregation including causal and non-causal allocations, historic operating and capital expenditure; prescribed transmission services (regulatory adjustments, price reduction/recovery, prudent discount, revenue analysis, pass throughs), asset statements, provisions, related party transactions and revenue reconciliation.</w:t>
      </w:r>
    </w:p>
    <w:p w:rsidR="00370528" w:rsidRPr="00370528" w:rsidRDefault="00370528" w:rsidP="00370528">
      <w:pPr>
        <w:pStyle w:val="ListBullet"/>
      </w:pPr>
      <w:r w:rsidRPr="00084CA7">
        <w:rPr>
          <w:rStyle w:val="Emphasis"/>
        </w:rPr>
        <w:t>Non-financial information</w:t>
      </w:r>
      <w:r w:rsidRPr="00370528">
        <w:t xml:space="preserve"> - current map of the network and one year demand forecast.</w:t>
      </w:r>
    </w:p>
    <w:p w:rsidR="00370528" w:rsidRPr="00370528" w:rsidRDefault="00370528" w:rsidP="00370528">
      <w:pPr>
        <w:pStyle w:val="ListBullet"/>
      </w:pPr>
      <w:r w:rsidRPr="00084CA7">
        <w:rPr>
          <w:rStyle w:val="Emphasis"/>
        </w:rPr>
        <w:t>Service performance information</w:t>
      </w:r>
      <w:r w:rsidRPr="00370528">
        <w:t xml:space="preserve"> - inputs (performance against the service target performance incentive scheme parameters, exclusions as defined under the scheme), S-factor results, revenue impact calculation, outcomes (total performance, s-factor, financial incentives).</w:t>
      </w:r>
    </w:p>
    <w:p w:rsidR="00370528" w:rsidRPr="00370528" w:rsidRDefault="00370528" w:rsidP="00370528">
      <w:pPr>
        <w:pStyle w:val="ListBullet"/>
      </w:pPr>
      <w:r w:rsidRPr="00084CA7">
        <w:rPr>
          <w:rStyle w:val="Emphasis"/>
        </w:rPr>
        <w:t>Assurance requirements</w:t>
      </w:r>
      <w:r w:rsidRPr="00370528">
        <w:t xml:space="preserve"> - audit of financial information covering the basis and application of the CAM, arithmetic accuracy and reconciliation of statutory financial statements, and a directors’ responsibility statement.</w:t>
      </w:r>
    </w:p>
    <w:p w:rsidR="00370528" w:rsidRPr="00370528" w:rsidRDefault="00370528" w:rsidP="00370528">
      <w:r w:rsidRPr="00370528">
        <w:t xml:space="preserve">Prior to the introduction of the Better Regulation work program, we did not seek any other information from TNSPs on an annual basis. However, as part of the Better Regulation work program we developed </w:t>
      </w:r>
      <w:r w:rsidR="008946D1">
        <w:t xml:space="preserve">the </w:t>
      </w:r>
      <w:r w:rsidRPr="00370528">
        <w:t>Better Regulation RINS</w:t>
      </w:r>
      <w:r w:rsidR="008946D1">
        <w:t xml:space="preserve"> to collect economic benchmarking and category analysis data</w:t>
      </w:r>
      <w:r w:rsidRPr="00370528">
        <w:t>. The Better Regulation RINs were issued to the relevant TNSPs.</w:t>
      </w:r>
      <w:r>
        <w:rPr>
          <w:rStyle w:val="FootnoteReference"/>
        </w:rPr>
        <w:footnoteReference w:id="11"/>
      </w:r>
      <w:r w:rsidRPr="00370528">
        <w:t xml:space="preserve"> </w:t>
      </w:r>
    </w:p>
    <w:p w:rsidR="00370528" w:rsidRPr="00370528" w:rsidRDefault="00370528" w:rsidP="00370528">
      <w:r w:rsidRPr="00370528">
        <w:t xml:space="preserve">With </w:t>
      </w:r>
      <w:r w:rsidR="00D80809">
        <w:t>our</w:t>
      </w:r>
      <w:r w:rsidRPr="00370528">
        <w:t xml:space="preserve"> analytical and benchmarking requirements met through the Better Regulation RINs, we reviewed the Information Guideline to ascertain whether the information being collected from TNSPs was still required by </w:t>
      </w:r>
      <w:r w:rsidR="00D80809">
        <w:t>us</w:t>
      </w:r>
      <w:r w:rsidRPr="00370528">
        <w:t xml:space="preserve"> and whether any information requirements were now met by the Better Regulation RINs. </w:t>
      </w:r>
    </w:p>
    <w:p w:rsidR="00370528" w:rsidRPr="00370528" w:rsidRDefault="00370528" w:rsidP="00370528">
      <w:r w:rsidRPr="00370528">
        <w:lastRenderedPageBreak/>
        <w:t xml:space="preserve">We found many reporting obligations were duplicated in the Better Regulation RINs. Further, other reporting requirements were found to be redundant or not aligned with the current regulatory framework and </w:t>
      </w:r>
      <w:r w:rsidR="00D80809">
        <w:t>our</w:t>
      </w:r>
      <w:r w:rsidRPr="00370528">
        <w:t xml:space="preserve"> approach to annual reporting for other regulated businesses. </w:t>
      </w:r>
    </w:p>
    <w:p w:rsidR="00370528" w:rsidRDefault="00370528" w:rsidP="00370528">
      <w:r w:rsidRPr="00370528">
        <w:t xml:space="preserve">We are concerned that duplicated or redundant reporting requirements impose an unnecessary compliance burden on TNSPs. To address this issue we proposed amending the Information Guideline to only request </w:t>
      </w:r>
      <w:r w:rsidR="00E10282" w:rsidRPr="00370528">
        <w:t>information</w:t>
      </w:r>
      <w:r w:rsidR="00E10282">
        <w:t xml:space="preserve"> that</w:t>
      </w:r>
      <w:r w:rsidRPr="00370528">
        <w:t xml:space="preserve"> </w:t>
      </w:r>
      <w:r w:rsidR="00D80809">
        <w:t>we</w:t>
      </w:r>
      <w:r w:rsidRPr="00370528">
        <w:t xml:space="preserve"> require to fulfil </w:t>
      </w:r>
      <w:r w:rsidR="00D80809">
        <w:t>our</w:t>
      </w:r>
      <w:r w:rsidRPr="00370528">
        <w:t xml:space="preserve"> functions</w:t>
      </w:r>
      <w:r w:rsidR="00E10282">
        <w:t>, which</w:t>
      </w:r>
      <w:r w:rsidR="00537007">
        <w:t xml:space="preserve"> we cannot source</w:t>
      </w:r>
      <w:r w:rsidRPr="00370528">
        <w:t xml:space="preserve"> elsewhere.</w:t>
      </w:r>
    </w:p>
    <w:p w:rsidR="00370528" w:rsidRPr="00370528" w:rsidRDefault="00370528" w:rsidP="00F50B22">
      <w:pPr>
        <w:pStyle w:val="Heading2"/>
      </w:pPr>
      <w:bookmarkStart w:id="9" w:name="_Toc415580979"/>
      <w:r w:rsidRPr="00370528">
        <w:t>Draft Information Guideline (Version 2)</w:t>
      </w:r>
      <w:bookmarkEnd w:id="9"/>
    </w:p>
    <w:p w:rsidR="00370528" w:rsidRPr="00370528" w:rsidRDefault="00370528" w:rsidP="00370528">
      <w:r w:rsidRPr="00370528">
        <w:t xml:space="preserve">On 10 December 2014, we released </w:t>
      </w:r>
      <w:r w:rsidR="00537007">
        <w:t xml:space="preserve">for consultation </w:t>
      </w:r>
      <w:r w:rsidRPr="00370528">
        <w:t>the draft Information Guideline (Version 2) with an accompanying Explanatory Statement. The draft Information Guideline included proposed amendments which aimed to address the issues of duplicated and redundant reporting requirements</w:t>
      </w:r>
      <w:r w:rsidR="00537007">
        <w:t xml:space="preserve">. These </w:t>
      </w:r>
      <w:r w:rsidRPr="00370528">
        <w:t xml:space="preserve">amendments </w:t>
      </w:r>
      <w:r w:rsidR="00537007">
        <w:t xml:space="preserve">can </w:t>
      </w:r>
      <w:r w:rsidRPr="00370528">
        <w:t>be categorised as follows:</w:t>
      </w:r>
    </w:p>
    <w:p w:rsidR="00370528" w:rsidRPr="00370528" w:rsidRDefault="00370528" w:rsidP="00F50B22">
      <w:pPr>
        <w:pStyle w:val="ListBullet"/>
      </w:pPr>
      <w:r w:rsidRPr="00F50B22">
        <w:rPr>
          <w:rStyle w:val="Emphasis"/>
        </w:rPr>
        <w:t>Removal of duplicated reporting requirements</w:t>
      </w:r>
      <w:r w:rsidRPr="00370528">
        <w:t xml:space="preserve">: Clause 4.17 was inserted into the draft Information Guideline </w:t>
      </w:r>
      <w:r w:rsidR="00482F8F">
        <w:t xml:space="preserve">(Version 2) </w:t>
      </w:r>
      <w:r w:rsidRPr="00370528">
        <w:t xml:space="preserve">which had the effect of removing any obligation TNSPs may have to supply </w:t>
      </w:r>
      <w:r w:rsidR="0070332D">
        <w:t>us</w:t>
      </w:r>
      <w:r w:rsidRPr="00370528">
        <w:t xml:space="preserve"> with data when the TNSP provides the same data in response to a regulatory information instrument such as a Better Regulation RIN.</w:t>
      </w:r>
    </w:p>
    <w:p w:rsidR="00370528" w:rsidRPr="00370528" w:rsidRDefault="00370528" w:rsidP="00F50B22">
      <w:pPr>
        <w:pStyle w:val="ListBullet"/>
      </w:pPr>
      <w:r w:rsidRPr="00F50B22">
        <w:rPr>
          <w:rStyle w:val="Emphasis"/>
        </w:rPr>
        <w:t>Removal of redundant reporting requirements</w:t>
      </w:r>
      <w:r w:rsidRPr="00370528">
        <w:t xml:space="preserve">: Any reporting requirements contained in the Information Guideline that were no longer required by </w:t>
      </w:r>
      <w:r w:rsidR="0070332D">
        <w:t>us</w:t>
      </w:r>
      <w:r w:rsidRPr="00370528">
        <w:t xml:space="preserve"> were removed. This was to ensure that TNSPs do not have to provide data that is already provided to </w:t>
      </w:r>
      <w:r w:rsidR="0070332D">
        <w:t>us</w:t>
      </w:r>
      <w:r w:rsidRPr="00370528">
        <w:t xml:space="preserve"> through some other mechanism, or is no longer used by </w:t>
      </w:r>
      <w:r w:rsidR="0070332D">
        <w:t>us</w:t>
      </w:r>
      <w:r w:rsidRPr="00370528">
        <w:t>.</w:t>
      </w:r>
    </w:p>
    <w:p w:rsidR="00370528" w:rsidRPr="00370528" w:rsidRDefault="00370528" w:rsidP="00F50B22">
      <w:pPr>
        <w:pStyle w:val="ListBullet"/>
      </w:pPr>
      <w:r w:rsidRPr="00F50B22">
        <w:rPr>
          <w:rStyle w:val="Emphasis"/>
        </w:rPr>
        <w:t>Consequential amendments</w:t>
      </w:r>
      <w:r w:rsidRPr="00370528">
        <w:t>: Consequential alterations to the Information Guideline were made to reflect changes to the regulatory framework since the Information Guideline w</w:t>
      </w:r>
      <w:r w:rsidR="008946D1">
        <w:t>as</w:t>
      </w:r>
      <w:r w:rsidRPr="00370528">
        <w:t xml:space="preserve"> first published in 2007, and </w:t>
      </w:r>
      <w:r w:rsidR="0070332D">
        <w:t>our</w:t>
      </w:r>
      <w:r w:rsidRPr="00370528">
        <w:t xml:space="preserve"> current approach towards annual </w:t>
      </w:r>
      <w:r w:rsidR="00CE5727">
        <w:t xml:space="preserve">reporting </w:t>
      </w:r>
      <w:r w:rsidRPr="00370528">
        <w:t xml:space="preserve">requirements for other gas and electricity businesses. The requirement for the provision of a directors' responsibility statement was also substituted with the provision of a Statutory Declaration consistent with our current approach in Annual Reporting RINs. </w:t>
      </w:r>
    </w:p>
    <w:p w:rsidR="00370528" w:rsidRPr="00370528" w:rsidRDefault="0090395A" w:rsidP="00370528">
      <w:r w:rsidRPr="0090395A">
        <w:t xml:space="preserve">Table 2.1 below summarises the approach we </w:t>
      </w:r>
      <w:r w:rsidR="00537007">
        <w:t xml:space="preserve">adopted to Appendix A of </w:t>
      </w:r>
      <w:r w:rsidRPr="0090395A">
        <w:t>the draft Information Guideline (Version 2)</w:t>
      </w:r>
      <w:r w:rsidR="00537007">
        <w:t>.</w:t>
      </w:r>
      <w:r w:rsidRPr="0090395A">
        <w:t xml:space="preserve"> </w:t>
      </w:r>
    </w:p>
    <w:p w:rsidR="0090395A" w:rsidRPr="00D85FE5" w:rsidRDefault="0090395A" w:rsidP="00D85FE5">
      <w:pPr>
        <w:pStyle w:val="Caption"/>
      </w:pPr>
      <w:r w:rsidRPr="00D85FE5">
        <w:t xml:space="preserve">Table 2.1 Approach to the annual reporting templates in </w:t>
      </w:r>
      <w:r w:rsidR="00537007">
        <w:t xml:space="preserve">Appendix A of </w:t>
      </w:r>
      <w:r w:rsidRPr="00D85FE5">
        <w:t>the draft Information Guideline (Version 2)</w:t>
      </w:r>
    </w:p>
    <w:tbl>
      <w:tblPr>
        <w:tblStyle w:val="AERTable-Text"/>
        <w:tblW w:w="0" w:type="auto"/>
        <w:tblLook w:val="04A0" w:firstRow="1" w:lastRow="0" w:firstColumn="1" w:lastColumn="0" w:noHBand="0" w:noVBand="1"/>
      </w:tblPr>
      <w:tblGrid>
        <w:gridCol w:w="3080"/>
        <w:gridCol w:w="3081"/>
        <w:gridCol w:w="3081"/>
      </w:tblGrid>
      <w:tr w:rsidR="00386C01" w:rsidRPr="0026596D" w:rsidTr="0090395A">
        <w:trPr>
          <w:cnfStyle w:val="100000000000" w:firstRow="1" w:lastRow="0" w:firstColumn="0" w:lastColumn="0" w:oddVBand="0" w:evenVBand="0" w:oddHBand="0" w:evenHBand="0" w:firstRowFirstColumn="0" w:firstRowLastColumn="0" w:lastRowFirstColumn="0" w:lastRowLastColumn="0"/>
          <w:tblHeader/>
        </w:trPr>
        <w:tc>
          <w:tcPr>
            <w:tcW w:w="3080" w:type="dxa"/>
          </w:tcPr>
          <w:p w:rsidR="00386C01" w:rsidRPr="00386C01" w:rsidRDefault="00386C01" w:rsidP="00D85FE5">
            <w:pPr>
              <w:pStyle w:val="TableHeading"/>
            </w:pPr>
            <w:r w:rsidRPr="00FD5EBF">
              <w:t>Type of information</w:t>
            </w:r>
          </w:p>
        </w:tc>
        <w:tc>
          <w:tcPr>
            <w:tcW w:w="3081" w:type="dxa"/>
          </w:tcPr>
          <w:p w:rsidR="00386C01" w:rsidRPr="00386C01" w:rsidRDefault="00386C01" w:rsidP="00D85FE5">
            <w:pPr>
              <w:pStyle w:val="TableHeading"/>
            </w:pPr>
            <w:r w:rsidRPr="00FD5EBF">
              <w:t>Worksheet</w:t>
            </w:r>
          </w:p>
        </w:tc>
        <w:tc>
          <w:tcPr>
            <w:tcW w:w="3081" w:type="dxa"/>
          </w:tcPr>
          <w:p w:rsidR="00386C01" w:rsidRPr="00386C01" w:rsidRDefault="00386C01" w:rsidP="00D85FE5">
            <w:pPr>
              <w:pStyle w:val="TableHeading"/>
            </w:pPr>
            <w:r w:rsidRPr="00FD5EBF">
              <w:t>Proposed approach</w:t>
            </w:r>
          </w:p>
        </w:tc>
      </w:tr>
      <w:tr w:rsidR="00386C01" w:rsidRPr="00103C77" w:rsidTr="00386C01">
        <w:tc>
          <w:tcPr>
            <w:tcW w:w="3080" w:type="dxa"/>
          </w:tcPr>
          <w:p w:rsidR="00386C01" w:rsidRPr="00386C01" w:rsidRDefault="00386C01" w:rsidP="0090395A">
            <w:pPr>
              <w:pStyle w:val="Tabletext"/>
            </w:pPr>
            <w:r w:rsidRPr="00FD5EBF">
              <w:t>Regulatory Financial Statements</w:t>
            </w:r>
          </w:p>
        </w:tc>
        <w:tc>
          <w:tcPr>
            <w:tcW w:w="3081" w:type="dxa"/>
          </w:tcPr>
          <w:p w:rsidR="00386C01" w:rsidRPr="00386C01" w:rsidRDefault="00386C01" w:rsidP="0090395A">
            <w:pPr>
              <w:pStyle w:val="Tabletext"/>
            </w:pPr>
            <w:r w:rsidRPr="00FD5EBF">
              <w:t xml:space="preserve">Income </w:t>
            </w:r>
          </w:p>
        </w:tc>
        <w:tc>
          <w:tcPr>
            <w:tcW w:w="3081" w:type="dxa"/>
          </w:tcPr>
          <w:p w:rsidR="00386C01" w:rsidRPr="00386C01" w:rsidRDefault="00386C01" w:rsidP="0090395A">
            <w:pPr>
              <w:pStyle w:val="Tabletext"/>
            </w:pPr>
            <w:r w:rsidRPr="00FD5EBF">
              <w:t>Retain</w:t>
            </w:r>
          </w:p>
        </w:tc>
      </w:tr>
      <w:tr w:rsidR="00386C01" w:rsidRPr="00103C77" w:rsidTr="00386C01">
        <w:trPr>
          <w:cnfStyle w:val="000000010000" w:firstRow="0" w:lastRow="0" w:firstColumn="0" w:lastColumn="0" w:oddVBand="0" w:evenVBand="0" w:oddHBand="0" w:evenHBand="1" w:firstRowFirstColumn="0" w:firstRowLastColumn="0" w:lastRowFirstColumn="0" w:lastRowLastColumn="0"/>
        </w:trPr>
        <w:tc>
          <w:tcPr>
            <w:tcW w:w="3080" w:type="dxa"/>
          </w:tcPr>
          <w:p w:rsidR="00386C01" w:rsidRPr="00FD5EBF" w:rsidRDefault="00386C01" w:rsidP="0090395A">
            <w:pPr>
              <w:pStyle w:val="Tabletext"/>
            </w:pPr>
          </w:p>
        </w:tc>
        <w:tc>
          <w:tcPr>
            <w:tcW w:w="3081" w:type="dxa"/>
          </w:tcPr>
          <w:p w:rsidR="00386C01" w:rsidRPr="00386C01" w:rsidRDefault="00386C01" w:rsidP="0090395A">
            <w:pPr>
              <w:pStyle w:val="Tabletext"/>
            </w:pPr>
            <w:r w:rsidRPr="00FD5EBF">
              <w:t xml:space="preserve">Balance Sheet </w:t>
            </w:r>
          </w:p>
        </w:tc>
        <w:tc>
          <w:tcPr>
            <w:tcW w:w="3081" w:type="dxa"/>
          </w:tcPr>
          <w:p w:rsidR="00386C01" w:rsidRPr="00386C01" w:rsidRDefault="00386C01" w:rsidP="0090395A">
            <w:pPr>
              <w:pStyle w:val="Tabletext"/>
            </w:pPr>
            <w:r w:rsidRPr="00FD5EBF">
              <w:t>Redundant</w:t>
            </w:r>
          </w:p>
        </w:tc>
      </w:tr>
      <w:tr w:rsidR="00386C01" w:rsidRPr="00103C77" w:rsidTr="00386C01">
        <w:tc>
          <w:tcPr>
            <w:tcW w:w="3080" w:type="dxa"/>
          </w:tcPr>
          <w:p w:rsidR="00386C01" w:rsidRPr="00FD5EBF" w:rsidRDefault="00386C01" w:rsidP="0090395A">
            <w:pPr>
              <w:pStyle w:val="Tabletext"/>
            </w:pPr>
          </w:p>
        </w:tc>
        <w:tc>
          <w:tcPr>
            <w:tcW w:w="3081" w:type="dxa"/>
          </w:tcPr>
          <w:p w:rsidR="00386C01" w:rsidRPr="00386C01" w:rsidRDefault="00386C01" w:rsidP="0090395A">
            <w:pPr>
              <w:pStyle w:val="Tabletext"/>
            </w:pPr>
            <w:r w:rsidRPr="00FD5EBF">
              <w:t xml:space="preserve">Cash flow </w:t>
            </w:r>
          </w:p>
        </w:tc>
        <w:tc>
          <w:tcPr>
            <w:tcW w:w="3081" w:type="dxa"/>
          </w:tcPr>
          <w:p w:rsidR="00386C01" w:rsidRPr="00386C01" w:rsidRDefault="00386C01" w:rsidP="0090395A">
            <w:pPr>
              <w:pStyle w:val="Tabletext"/>
            </w:pPr>
            <w:r w:rsidRPr="00FD5EBF">
              <w:t>Redundant</w:t>
            </w:r>
          </w:p>
        </w:tc>
      </w:tr>
      <w:tr w:rsidR="00386C01" w:rsidRPr="00103C77" w:rsidTr="00386C01">
        <w:trPr>
          <w:cnfStyle w:val="000000010000" w:firstRow="0" w:lastRow="0" w:firstColumn="0" w:lastColumn="0" w:oddVBand="0" w:evenVBand="0" w:oddHBand="0" w:evenHBand="1" w:firstRowFirstColumn="0" w:firstRowLastColumn="0" w:lastRowFirstColumn="0" w:lastRowLastColumn="0"/>
        </w:trPr>
        <w:tc>
          <w:tcPr>
            <w:tcW w:w="3080" w:type="dxa"/>
          </w:tcPr>
          <w:p w:rsidR="00386C01" w:rsidRPr="00386C01" w:rsidRDefault="00386C01" w:rsidP="0090395A">
            <w:pPr>
              <w:pStyle w:val="Tabletext"/>
            </w:pPr>
            <w:r w:rsidRPr="00FD5EBF">
              <w:t>Disaggregated statements</w:t>
            </w:r>
          </w:p>
        </w:tc>
        <w:tc>
          <w:tcPr>
            <w:tcW w:w="3081" w:type="dxa"/>
          </w:tcPr>
          <w:p w:rsidR="00386C01" w:rsidRPr="00386C01" w:rsidRDefault="00386C01" w:rsidP="0090395A">
            <w:pPr>
              <w:pStyle w:val="Tabletext"/>
            </w:pPr>
            <w:r w:rsidRPr="00FD5EBF">
              <w:t>Income – disaggregated statement</w:t>
            </w:r>
          </w:p>
        </w:tc>
        <w:tc>
          <w:tcPr>
            <w:tcW w:w="3081" w:type="dxa"/>
          </w:tcPr>
          <w:p w:rsidR="00386C01" w:rsidRPr="00386C01" w:rsidRDefault="00386C01" w:rsidP="0090395A">
            <w:pPr>
              <w:pStyle w:val="Tabletext"/>
            </w:pPr>
            <w:r w:rsidRPr="00FD5EBF">
              <w:t>Retain</w:t>
            </w:r>
          </w:p>
        </w:tc>
      </w:tr>
      <w:tr w:rsidR="00386C01" w:rsidRPr="00103C77" w:rsidTr="00386C01">
        <w:tc>
          <w:tcPr>
            <w:tcW w:w="3080" w:type="dxa"/>
          </w:tcPr>
          <w:p w:rsidR="00386C01" w:rsidRPr="00FD5EBF" w:rsidRDefault="00386C01" w:rsidP="0090395A">
            <w:pPr>
              <w:pStyle w:val="Tabletext"/>
            </w:pPr>
          </w:p>
        </w:tc>
        <w:tc>
          <w:tcPr>
            <w:tcW w:w="3081" w:type="dxa"/>
          </w:tcPr>
          <w:p w:rsidR="00386C01" w:rsidRPr="00386C01" w:rsidRDefault="00386C01" w:rsidP="0090395A">
            <w:pPr>
              <w:pStyle w:val="Tabletext"/>
            </w:pPr>
            <w:r w:rsidRPr="00FD5EBF">
              <w:t xml:space="preserve">Balance Sheet– disaggregated </w:t>
            </w:r>
            <w:r w:rsidRPr="00FD5EBF">
              <w:lastRenderedPageBreak/>
              <w:t>statement</w:t>
            </w:r>
          </w:p>
        </w:tc>
        <w:tc>
          <w:tcPr>
            <w:tcW w:w="3081" w:type="dxa"/>
          </w:tcPr>
          <w:p w:rsidR="00386C01" w:rsidRPr="00386C01" w:rsidRDefault="00386C01" w:rsidP="0090395A">
            <w:pPr>
              <w:pStyle w:val="Tabletext"/>
            </w:pPr>
            <w:r w:rsidRPr="00FD5EBF">
              <w:lastRenderedPageBreak/>
              <w:t>Redundant</w:t>
            </w:r>
          </w:p>
        </w:tc>
      </w:tr>
      <w:tr w:rsidR="00386C01" w:rsidRPr="00103C77" w:rsidTr="00386C01">
        <w:trPr>
          <w:cnfStyle w:val="000000010000" w:firstRow="0" w:lastRow="0" w:firstColumn="0" w:lastColumn="0" w:oddVBand="0" w:evenVBand="0" w:oddHBand="0" w:evenHBand="1" w:firstRowFirstColumn="0" w:firstRowLastColumn="0" w:lastRowFirstColumn="0" w:lastRowLastColumn="0"/>
        </w:trPr>
        <w:tc>
          <w:tcPr>
            <w:tcW w:w="3080" w:type="dxa"/>
          </w:tcPr>
          <w:p w:rsidR="00386C01" w:rsidRPr="00FD5EBF" w:rsidRDefault="00386C01" w:rsidP="0090395A">
            <w:pPr>
              <w:pStyle w:val="Tabletext"/>
            </w:pPr>
          </w:p>
        </w:tc>
        <w:tc>
          <w:tcPr>
            <w:tcW w:w="3081" w:type="dxa"/>
          </w:tcPr>
          <w:p w:rsidR="00386C01" w:rsidRPr="00386C01" w:rsidRDefault="00386C01" w:rsidP="0090395A">
            <w:pPr>
              <w:pStyle w:val="Tabletext"/>
            </w:pPr>
            <w:r w:rsidRPr="00FD5EBF">
              <w:t xml:space="preserve">Cash flow– </w:t>
            </w:r>
            <w:r w:rsidRPr="00386C01">
              <w:t>disaggregated statement</w:t>
            </w:r>
          </w:p>
        </w:tc>
        <w:tc>
          <w:tcPr>
            <w:tcW w:w="3081" w:type="dxa"/>
          </w:tcPr>
          <w:p w:rsidR="00386C01" w:rsidRPr="00386C01" w:rsidRDefault="00386C01" w:rsidP="0090395A">
            <w:pPr>
              <w:pStyle w:val="Tabletext"/>
            </w:pPr>
            <w:r w:rsidRPr="00FD5EBF">
              <w:t>Redundant</w:t>
            </w:r>
          </w:p>
        </w:tc>
      </w:tr>
      <w:tr w:rsidR="00386C01" w:rsidRPr="00103C77" w:rsidTr="00386C01">
        <w:tc>
          <w:tcPr>
            <w:tcW w:w="3080" w:type="dxa"/>
          </w:tcPr>
          <w:p w:rsidR="00386C01" w:rsidRPr="00386C01" w:rsidRDefault="00386C01" w:rsidP="0090395A">
            <w:pPr>
              <w:pStyle w:val="Tabletext"/>
            </w:pPr>
            <w:proofErr w:type="spellStart"/>
            <w:r w:rsidRPr="00FD5EBF">
              <w:t>Workpapers</w:t>
            </w:r>
            <w:proofErr w:type="spellEnd"/>
            <w:r w:rsidRPr="00FD5EBF">
              <w:t xml:space="preserve"> supporting the disaggregation statements</w:t>
            </w:r>
          </w:p>
        </w:tc>
        <w:tc>
          <w:tcPr>
            <w:tcW w:w="3081" w:type="dxa"/>
          </w:tcPr>
          <w:p w:rsidR="00386C01" w:rsidRPr="00386C01" w:rsidRDefault="00386C01" w:rsidP="0090395A">
            <w:pPr>
              <w:pStyle w:val="Tabletext"/>
            </w:pPr>
            <w:r w:rsidRPr="00FD5EBF">
              <w:t>Operations and maintenance expenditure</w:t>
            </w:r>
          </w:p>
        </w:tc>
        <w:tc>
          <w:tcPr>
            <w:tcW w:w="3081" w:type="dxa"/>
          </w:tcPr>
          <w:p w:rsidR="00386C01" w:rsidRPr="00386C01" w:rsidRDefault="00386C01" w:rsidP="0090395A">
            <w:pPr>
              <w:pStyle w:val="Tabletext"/>
            </w:pPr>
            <w:r w:rsidRPr="00FD5EBF">
              <w:t>Retain</w:t>
            </w:r>
          </w:p>
        </w:tc>
      </w:tr>
      <w:tr w:rsidR="00386C01" w:rsidRPr="00103C77" w:rsidTr="00386C01">
        <w:trPr>
          <w:cnfStyle w:val="000000010000" w:firstRow="0" w:lastRow="0" w:firstColumn="0" w:lastColumn="0" w:oddVBand="0" w:evenVBand="0" w:oddHBand="0" w:evenHBand="1" w:firstRowFirstColumn="0" w:firstRowLastColumn="0" w:lastRowFirstColumn="0" w:lastRowLastColumn="0"/>
        </w:trPr>
        <w:tc>
          <w:tcPr>
            <w:tcW w:w="3080" w:type="dxa"/>
          </w:tcPr>
          <w:p w:rsidR="00386C01" w:rsidRPr="00FD5EBF" w:rsidRDefault="00386C01" w:rsidP="0090395A">
            <w:pPr>
              <w:pStyle w:val="Tabletext"/>
            </w:pPr>
          </w:p>
        </w:tc>
        <w:tc>
          <w:tcPr>
            <w:tcW w:w="3081" w:type="dxa"/>
          </w:tcPr>
          <w:p w:rsidR="00386C01" w:rsidRPr="00386C01" w:rsidRDefault="00386C01" w:rsidP="0090395A">
            <w:pPr>
              <w:pStyle w:val="Tabletext"/>
            </w:pPr>
            <w:r w:rsidRPr="00FD5EBF">
              <w:t>Causal allocations</w:t>
            </w:r>
          </w:p>
        </w:tc>
        <w:tc>
          <w:tcPr>
            <w:tcW w:w="3081" w:type="dxa"/>
          </w:tcPr>
          <w:p w:rsidR="00386C01" w:rsidRPr="00386C01" w:rsidRDefault="00386C01" w:rsidP="0090395A">
            <w:pPr>
              <w:pStyle w:val="Tabletext"/>
            </w:pPr>
            <w:r w:rsidRPr="00FD5EBF">
              <w:t>Retain</w:t>
            </w:r>
          </w:p>
        </w:tc>
      </w:tr>
      <w:tr w:rsidR="00386C01" w:rsidRPr="00103C77" w:rsidTr="00386C01">
        <w:tc>
          <w:tcPr>
            <w:tcW w:w="3080" w:type="dxa"/>
          </w:tcPr>
          <w:p w:rsidR="00386C01" w:rsidRPr="00FD5EBF" w:rsidRDefault="00386C01" w:rsidP="0090395A">
            <w:pPr>
              <w:pStyle w:val="Tabletext"/>
            </w:pPr>
          </w:p>
        </w:tc>
        <w:tc>
          <w:tcPr>
            <w:tcW w:w="3081" w:type="dxa"/>
          </w:tcPr>
          <w:p w:rsidR="00386C01" w:rsidRPr="00386C01" w:rsidRDefault="00386C01" w:rsidP="0090395A">
            <w:pPr>
              <w:pStyle w:val="Tabletext"/>
            </w:pPr>
            <w:r w:rsidRPr="00FD5EBF">
              <w:t>Non-causal allocations</w:t>
            </w:r>
          </w:p>
        </w:tc>
        <w:tc>
          <w:tcPr>
            <w:tcW w:w="3081" w:type="dxa"/>
          </w:tcPr>
          <w:p w:rsidR="00386C01" w:rsidRPr="00386C01" w:rsidRDefault="00386C01" w:rsidP="0090395A">
            <w:pPr>
              <w:pStyle w:val="Tabletext"/>
            </w:pPr>
            <w:r w:rsidRPr="00FD5EBF">
              <w:t>Retain</w:t>
            </w:r>
          </w:p>
        </w:tc>
      </w:tr>
      <w:tr w:rsidR="00386C01" w:rsidRPr="00103C77" w:rsidTr="00386C01">
        <w:trPr>
          <w:cnfStyle w:val="000000010000" w:firstRow="0" w:lastRow="0" w:firstColumn="0" w:lastColumn="0" w:oddVBand="0" w:evenVBand="0" w:oddHBand="0" w:evenHBand="1" w:firstRowFirstColumn="0" w:firstRowLastColumn="0" w:lastRowFirstColumn="0" w:lastRowLastColumn="0"/>
        </w:trPr>
        <w:tc>
          <w:tcPr>
            <w:tcW w:w="3080" w:type="dxa"/>
          </w:tcPr>
          <w:p w:rsidR="00386C01" w:rsidRPr="00386C01" w:rsidRDefault="00386C01" w:rsidP="0090395A">
            <w:pPr>
              <w:pStyle w:val="Tabletext"/>
            </w:pPr>
            <w:r w:rsidRPr="00FD5EBF">
              <w:t>Prescribed transmission services</w:t>
            </w:r>
          </w:p>
        </w:tc>
        <w:tc>
          <w:tcPr>
            <w:tcW w:w="3081" w:type="dxa"/>
          </w:tcPr>
          <w:p w:rsidR="00386C01" w:rsidRPr="00386C01" w:rsidRDefault="00386C01" w:rsidP="0090395A">
            <w:pPr>
              <w:pStyle w:val="Tabletext"/>
            </w:pPr>
            <w:r w:rsidRPr="00FD5EBF">
              <w:t xml:space="preserve">Regulatory adjustment journal </w:t>
            </w:r>
          </w:p>
        </w:tc>
        <w:tc>
          <w:tcPr>
            <w:tcW w:w="3081" w:type="dxa"/>
          </w:tcPr>
          <w:p w:rsidR="00386C01" w:rsidRPr="00386C01" w:rsidRDefault="00386C01" w:rsidP="0090395A">
            <w:pPr>
              <w:pStyle w:val="Tabletext"/>
              <w:rPr>
                <w:highlight w:val="yellow"/>
              </w:rPr>
            </w:pPr>
            <w:r w:rsidRPr="00FD5EBF">
              <w:t>Retain</w:t>
            </w:r>
          </w:p>
        </w:tc>
      </w:tr>
      <w:tr w:rsidR="00386C01" w:rsidRPr="00103C77" w:rsidTr="00386C01">
        <w:tc>
          <w:tcPr>
            <w:tcW w:w="3080" w:type="dxa"/>
          </w:tcPr>
          <w:p w:rsidR="00386C01" w:rsidRPr="00FD5EBF" w:rsidRDefault="00386C01" w:rsidP="0090395A">
            <w:pPr>
              <w:pStyle w:val="Tabletext"/>
            </w:pPr>
          </w:p>
        </w:tc>
        <w:tc>
          <w:tcPr>
            <w:tcW w:w="3081" w:type="dxa"/>
          </w:tcPr>
          <w:p w:rsidR="00386C01" w:rsidRPr="00386C01" w:rsidRDefault="00386C01" w:rsidP="0090395A">
            <w:pPr>
              <w:pStyle w:val="Tabletext"/>
            </w:pPr>
            <w:r w:rsidRPr="00FD5EBF">
              <w:t xml:space="preserve">Price reduction/recovery </w:t>
            </w:r>
          </w:p>
        </w:tc>
        <w:tc>
          <w:tcPr>
            <w:tcW w:w="3081" w:type="dxa"/>
          </w:tcPr>
          <w:p w:rsidR="00386C01" w:rsidRPr="00386C01" w:rsidRDefault="00386C01" w:rsidP="0090395A">
            <w:pPr>
              <w:pStyle w:val="Tabletext"/>
            </w:pPr>
            <w:r w:rsidRPr="00FD5EBF">
              <w:t>Retain</w:t>
            </w:r>
          </w:p>
        </w:tc>
      </w:tr>
      <w:tr w:rsidR="00386C01" w:rsidRPr="00103C77" w:rsidTr="00386C01">
        <w:trPr>
          <w:cnfStyle w:val="000000010000" w:firstRow="0" w:lastRow="0" w:firstColumn="0" w:lastColumn="0" w:oddVBand="0" w:evenVBand="0" w:oddHBand="0" w:evenHBand="1" w:firstRowFirstColumn="0" w:firstRowLastColumn="0" w:lastRowFirstColumn="0" w:lastRowLastColumn="0"/>
        </w:trPr>
        <w:tc>
          <w:tcPr>
            <w:tcW w:w="3080" w:type="dxa"/>
          </w:tcPr>
          <w:p w:rsidR="00386C01" w:rsidRPr="00FD5EBF" w:rsidRDefault="00386C01" w:rsidP="0090395A">
            <w:pPr>
              <w:pStyle w:val="Tabletext"/>
            </w:pPr>
          </w:p>
        </w:tc>
        <w:tc>
          <w:tcPr>
            <w:tcW w:w="3081" w:type="dxa"/>
          </w:tcPr>
          <w:p w:rsidR="00386C01" w:rsidRPr="00386C01" w:rsidRDefault="00386C01" w:rsidP="0090395A">
            <w:pPr>
              <w:pStyle w:val="Tabletext"/>
            </w:pPr>
            <w:r w:rsidRPr="00FD5EBF">
              <w:t>Discount</w:t>
            </w:r>
          </w:p>
        </w:tc>
        <w:tc>
          <w:tcPr>
            <w:tcW w:w="3081" w:type="dxa"/>
          </w:tcPr>
          <w:p w:rsidR="00386C01" w:rsidRPr="00386C01" w:rsidRDefault="00386C01" w:rsidP="0090395A">
            <w:pPr>
              <w:pStyle w:val="Tabletext"/>
            </w:pPr>
            <w:r w:rsidRPr="00FD5EBF">
              <w:t>Retain</w:t>
            </w:r>
          </w:p>
        </w:tc>
      </w:tr>
      <w:tr w:rsidR="00386C01" w:rsidRPr="00103C77" w:rsidTr="00386C01">
        <w:tc>
          <w:tcPr>
            <w:tcW w:w="3080" w:type="dxa"/>
          </w:tcPr>
          <w:p w:rsidR="00386C01" w:rsidRPr="00FD5EBF" w:rsidRDefault="00386C01" w:rsidP="0090395A">
            <w:pPr>
              <w:pStyle w:val="Tabletext"/>
            </w:pPr>
          </w:p>
        </w:tc>
        <w:tc>
          <w:tcPr>
            <w:tcW w:w="3081" w:type="dxa"/>
          </w:tcPr>
          <w:p w:rsidR="00386C01" w:rsidRPr="00386C01" w:rsidRDefault="00386C01" w:rsidP="0090395A">
            <w:pPr>
              <w:pStyle w:val="Tabletext"/>
            </w:pPr>
            <w:r w:rsidRPr="00FD5EBF">
              <w:t>Revenue Analysis</w:t>
            </w:r>
          </w:p>
        </w:tc>
        <w:tc>
          <w:tcPr>
            <w:tcW w:w="3081" w:type="dxa"/>
          </w:tcPr>
          <w:p w:rsidR="00386C01" w:rsidRPr="00386C01" w:rsidRDefault="00386C01" w:rsidP="0090395A">
            <w:pPr>
              <w:pStyle w:val="Tabletext"/>
            </w:pPr>
            <w:r w:rsidRPr="00FD5EBF">
              <w:t>Duplicated in Economic Benchmarking RIN</w:t>
            </w:r>
          </w:p>
        </w:tc>
      </w:tr>
      <w:tr w:rsidR="00386C01" w:rsidRPr="00103C77" w:rsidTr="00386C01">
        <w:trPr>
          <w:cnfStyle w:val="000000010000" w:firstRow="0" w:lastRow="0" w:firstColumn="0" w:lastColumn="0" w:oddVBand="0" w:evenVBand="0" w:oddHBand="0" w:evenHBand="1" w:firstRowFirstColumn="0" w:firstRowLastColumn="0" w:lastRowFirstColumn="0" w:lastRowLastColumn="0"/>
        </w:trPr>
        <w:tc>
          <w:tcPr>
            <w:tcW w:w="3080" w:type="dxa"/>
          </w:tcPr>
          <w:p w:rsidR="00386C01" w:rsidRPr="00FD5EBF" w:rsidRDefault="00386C01" w:rsidP="0090395A">
            <w:pPr>
              <w:pStyle w:val="Tabletext"/>
            </w:pPr>
          </w:p>
        </w:tc>
        <w:tc>
          <w:tcPr>
            <w:tcW w:w="3081" w:type="dxa"/>
          </w:tcPr>
          <w:p w:rsidR="00386C01" w:rsidRPr="00386C01" w:rsidRDefault="00386C01" w:rsidP="0090395A">
            <w:pPr>
              <w:pStyle w:val="Tabletext"/>
            </w:pPr>
            <w:r w:rsidRPr="00FD5EBF">
              <w:t>Network support cost pass through</w:t>
            </w:r>
          </w:p>
        </w:tc>
        <w:tc>
          <w:tcPr>
            <w:tcW w:w="3081" w:type="dxa"/>
          </w:tcPr>
          <w:p w:rsidR="00386C01" w:rsidRPr="00386C01" w:rsidRDefault="00386C01" w:rsidP="0090395A">
            <w:pPr>
              <w:pStyle w:val="Tabletext"/>
            </w:pPr>
            <w:r w:rsidRPr="00FD5EBF">
              <w:t>Redundant</w:t>
            </w:r>
          </w:p>
        </w:tc>
      </w:tr>
      <w:tr w:rsidR="00386C01" w:rsidRPr="00103C77" w:rsidTr="00386C01">
        <w:tc>
          <w:tcPr>
            <w:tcW w:w="3080" w:type="dxa"/>
          </w:tcPr>
          <w:p w:rsidR="00386C01" w:rsidRPr="00FD5EBF" w:rsidRDefault="00386C01" w:rsidP="0090395A">
            <w:pPr>
              <w:pStyle w:val="Tabletext"/>
            </w:pPr>
          </w:p>
        </w:tc>
        <w:tc>
          <w:tcPr>
            <w:tcW w:w="3081" w:type="dxa"/>
          </w:tcPr>
          <w:p w:rsidR="00386C01" w:rsidRPr="00386C01" w:rsidRDefault="00386C01" w:rsidP="0090395A">
            <w:pPr>
              <w:pStyle w:val="Tabletext"/>
            </w:pPr>
            <w:r w:rsidRPr="00FD5EBF">
              <w:t>Cost pass through</w:t>
            </w:r>
          </w:p>
        </w:tc>
        <w:tc>
          <w:tcPr>
            <w:tcW w:w="3081" w:type="dxa"/>
          </w:tcPr>
          <w:p w:rsidR="00386C01" w:rsidRPr="00386C01" w:rsidRDefault="00386C01" w:rsidP="0090395A">
            <w:pPr>
              <w:pStyle w:val="Tabletext"/>
            </w:pPr>
            <w:r w:rsidRPr="00FD5EBF">
              <w:t>Redundant</w:t>
            </w:r>
          </w:p>
        </w:tc>
      </w:tr>
      <w:tr w:rsidR="00386C01" w:rsidRPr="00103C77" w:rsidTr="00386C01">
        <w:trPr>
          <w:cnfStyle w:val="000000010000" w:firstRow="0" w:lastRow="0" w:firstColumn="0" w:lastColumn="0" w:oddVBand="0" w:evenVBand="0" w:oddHBand="0" w:evenHBand="1" w:firstRowFirstColumn="0" w:firstRowLastColumn="0" w:lastRowFirstColumn="0" w:lastRowLastColumn="0"/>
        </w:trPr>
        <w:tc>
          <w:tcPr>
            <w:tcW w:w="3080" w:type="dxa"/>
          </w:tcPr>
          <w:p w:rsidR="00386C01" w:rsidRPr="00386C01" w:rsidRDefault="00386C01" w:rsidP="0090395A">
            <w:pPr>
              <w:pStyle w:val="Tabletext"/>
            </w:pPr>
            <w:r w:rsidRPr="00FD5EBF">
              <w:t>Asset schedules and supporting papers</w:t>
            </w:r>
          </w:p>
        </w:tc>
        <w:tc>
          <w:tcPr>
            <w:tcW w:w="3081" w:type="dxa"/>
          </w:tcPr>
          <w:p w:rsidR="00386C01" w:rsidRPr="00386C01" w:rsidRDefault="00386C01" w:rsidP="0090395A">
            <w:pPr>
              <w:pStyle w:val="Tabletext"/>
            </w:pPr>
            <w:r w:rsidRPr="00FD5EBF">
              <w:t xml:space="preserve">Summary of </w:t>
            </w:r>
            <w:r w:rsidRPr="00386C01">
              <w:t>disaggregation statement assets</w:t>
            </w:r>
          </w:p>
        </w:tc>
        <w:tc>
          <w:tcPr>
            <w:tcW w:w="3081" w:type="dxa"/>
          </w:tcPr>
          <w:p w:rsidR="00386C01" w:rsidRPr="00386C01" w:rsidRDefault="00386C01" w:rsidP="0090395A">
            <w:pPr>
              <w:pStyle w:val="Tabletext"/>
            </w:pPr>
            <w:r w:rsidRPr="00FD5EBF">
              <w:t>Retain</w:t>
            </w:r>
          </w:p>
        </w:tc>
      </w:tr>
      <w:tr w:rsidR="00386C01" w:rsidRPr="00103C77" w:rsidTr="00386C01">
        <w:tc>
          <w:tcPr>
            <w:tcW w:w="3080" w:type="dxa"/>
          </w:tcPr>
          <w:p w:rsidR="00386C01" w:rsidRPr="00FD5EBF" w:rsidRDefault="00386C01" w:rsidP="0090395A">
            <w:pPr>
              <w:pStyle w:val="Tabletext"/>
            </w:pPr>
          </w:p>
        </w:tc>
        <w:tc>
          <w:tcPr>
            <w:tcW w:w="3081" w:type="dxa"/>
          </w:tcPr>
          <w:p w:rsidR="00386C01" w:rsidRPr="00386C01" w:rsidRDefault="00386C01" w:rsidP="0090395A">
            <w:pPr>
              <w:pStyle w:val="Tabletext"/>
            </w:pPr>
            <w:r w:rsidRPr="00FD5EBF">
              <w:t>Reconciliation of property, plant and equipment</w:t>
            </w:r>
          </w:p>
        </w:tc>
        <w:tc>
          <w:tcPr>
            <w:tcW w:w="3081" w:type="dxa"/>
          </w:tcPr>
          <w:p w:rsidR="00386C01" w:rsidRPr="00386C01" w:rsidRDefault="00386C01" w:rsidP="0090395A">
            <w:pPr>
              <w:pStyle w:val="Tabletext"/>
            </w:pPr>
            <w:r w:rsidRPr="00FD5EBF">
              <w:t>Retain</w:t>
            </w:r>
          </w:p>
        </w:tc>
      </w:tr>
      <w:tr w:rsidR="00386C01" w:rsidRPr="00103C77" w:rsidTr="00386C01">
        <w:trPr>
          <w:cnfStyle w:val="000000010000" w:firstRow="0" w:lastRow="0" w:firstColumn="0" w:lastColumn="0" w:oddVBand="0" w:evenVBand="0" w:oddHBand="0" w:evenHBand="1" w:firstRowFirstColumn="0" w:firstRowLastColumn="0" w:lastRowFirstColumn="0" w:lastRowLastColumn="0"/>
        </w:trPr>
        <w:tc>
          <w:tcPr>
            <w:tcW w:w="3080" w:type="dxa"/>
          </w:tcPr>
          <w:p w:rsidR="00386C01" w:rsidRPr="00FD5EBF" w:rsidRDefault="00386C01" w:rsidP="0090395A">
            <w:pPr>
              <w:pStyle w:val="Tabletext"/>
            </w:pPr>
          </w:p>
        </w:tc>
        <w:tc>
          <w:tcPr>
            <w:tcW w:w="3081" w:type="dxa"/>
          </w:tcPr>
          <w:p w:rsidR="00386C01" w:rsidRPr="00386C01" w:rsidRDefault="00386C01" w:rsidP="0090395A">
            <w:pPr>
              <w:pStyle w:val="Tabletext"/>
            </w:pPr>
            <w:r w:rsidRPr="00FD5EBF">
              <w:t>Asset aging schedule</w:t>
            </w:r>
          </w:p>
        </w:tc>
        <w:tc>
          <w:tcPr>
            <w:tcW w:w="3081" w:type="dxa"/>
          </w:tcPr>
          <w:p w:rsidR="00386C01" w:rsidRPr="00386C01" w:rsidRDefault="00386C01" w:rsidP="0090395A">
            <w:pPr>
              <w:pStyle w:val="Tabletext"/>
            </w:pPr>
            <w:r w:rsidRPr="00FD5EBF">
              <w:t>Duplicated in Category Analysis RIN</w:t>
            </w:r>
          </w:p>
        </w:tc>
      </w:tr>
      <w:tr w:rsidR="00386C01" w:rsidRPr="00103C77" w:rsidTr="00386C01">
        <w:tc>
          <w:tcPr>
            <w:tcW w:w="3080" w:type="dxa"/>
          </w:tcPr>
          <w:p w:rsidR="00386C01" w:rsidRPr="00386C01" w:rsidRDefault="00386C01" w:rsidP="0090395A">
            <w:pPr>
              <w:pStyle w:val="Tabletext"/>
            </w:pPr>
            <w:r w:rsidRPr="00FD5EBF">
              <w:t>Provisions schedules</w:t>
            </w:r>
          </w:p>
        </w:tc>
        <w:tc>
          <w:tcPr>
            <w:tcW w:w="3081" w:type="dxa"/>
          </w:tcPr>
          <w:p w:rsidR="00386C01" w:rsidRPr="00386C01" w:rsidRDefault="00386C01" w:rsidP="0090395A">
            <w:pPr>
              <w:pStyle w:val="Tabletext"/>
            </w:pPr>
            <w:r w:rsidRPr="00FD5EBF">
              <w:t>Provisions summary</w:t>
            </w:r>
          </w:p>
        </w:tc>
        <w:tc>
          <w:tcPr>
            <w:tcW w:w="3081" w:type="dxa"/>
          </w:tcPr>
          <w:p w:rsidR="00386C01" w:rsidRPr="00386C01" w:rsidRDefault="00386C01" w:rsidP="0090395A">
            <w:pPr>
              <w:pStyle w:val="Tabletext"/>
            </w:pPr>
            <w:r w:rsidRPr="00FD5EBF">
              <w:t>Duplicated in Economic Benchmarking RIN</w:t>
            </w:r>
          </w:p>
        </w:tc>
      </w:tr>
      <w:tr w:rsidR="00386C01" w:rsidRPr="00103C77" w:rsidTr="00386C01">
        <w:trPr>
          <w:cnfStyle w:val="000000010000" w:firstRow="0" w:lastRow="0" w:firstColumn="0" w:lastColumn="0" w:oddVBand="0" w:evenVBand="0" w:oddHBand="0" w:evenHBand="1" w:firstRowFirstColumn="0" w:firstRowLastColumn="0" w:lastRowFirstColumn="0" w:lastRowLastColumn="0"/>
        </w:trPr>
        <w:tc>
          <w:tcPr>
            <w:tcW w:w="3080" w:type="dxa"/>
          </w:tcPr>
          <w:p w:rsidR="00386C01" w:rsidRPr="00FD5EBF" w:rsidRDefault="00386C01" w:rsidP="0090395A">
            <w:pPr>
              <w:pStyle w:val="Tabletext"/>
            </w:pPr>
          </w:p>
        </w:tc>
        <w:tc>
          <w:tcPr>
            <w:tcW w:w="3081" w:type="dxa"/>
          </w:tcPr>
          <w:p w:rsidR="00386C01" w:rsidRPr="00386C01" w:rsidRDefault="00386C01" w:rsidP="0090395A">
            <w:pPr>
              <w:pStyle w:val="Tabletext"/>
            </w:pPr>
            <w:r w:rsidRPr="00FD5EBF">
              <w:t>Provisions reconciliation</w:t>
            </w:r>
          </w:p>
        </w:tc>
        <w:tc>
          <w:tcPr>
            <w:tcW w:w="3081" w:type="dxa"/>
          </w:tcPr>
          <w:p w:rsidR="00386C01" w:rsidRPr="00386C01" w:rsidRDefault="00386C01" w:rsidP="0090395A">
            <w:pPr>
              <w:pStyle w:val="Tabletext"/>
            </w:pPr>
            <w:r w:rsidRPr="00FD5EBF">
              <w:t>Duplicated in Economic Benchmarking RIN</w:t>
            </w:r>
          </w:p>
        </w:tc>
      </w:tr>
      <w:tr w:rsidR="00386C01" w:rsidRPr="00103C77" w:rsidTr="00386C01">
        <w:tc>
          <w:tcPr>
            <w:tcW w:w="3080" w:type="dxa"/>
          </w:tcPr>
          <w:p w:rsidR="00386C01" w:rsidRPr="00386C01" w:rsidRDefault="00386C01" w:rsidP="0090395A">
            <w:pPr>
              <w:pStyle w:val="Tabletext"/>
            </w:pPr>
            <w:r w:rsidRPr="00FD5EBF">
              <w:t>Information</w:t>
            </w:r>
          </w:p>
        </w:tc>
        <w:tc>
          <w:tcPr>
            <w:tcW w:w="3081" w:type="dxa"/>
          </w:tcPr>
          <w:p w:rsidR="00386C01" w:rsidRPr="00386C01" w:rsidRDefault="00386C01" w:rsidP="0090395A">
            <w:pPr>
              <w:pStyle w:val="Tabletext"/>
            </w:pPr>
            <w:r w:rsidRPr="00FD5EBF">
              <w:t>Related party transactions</w:t>
            </w:r>
          </w:p>
        </w:tc>
        <w:tc>
          <w:tcPr>
            <w:tcW w:w="3081" w:type="dxa"/>
          </w:tcPr>
          <w:p w:rsidR="00386C01" w:rsidRPr="00386C01" w:rsidRDefault="00386C01" w:rsidP="0090395A">
            <w:pPr>
              <w:pStyle w:val="Tabletext"/>
            </w:pPr>
            <w:r w:rsidRPr="00FD5EBF">
              <w:t>Retain</w:t>
            </w:r>
          </w:p>
        </w:tc>
      </w:tr>
      <w:tr w:rsidR="00386C01" w:rsidRPr="00103C77" w:rsidTr="00386C01">
        <w:trPr>
          <w:cnfStyle w:val="000000010000" w:firstRow="0" w:lastRow="0" w:firstColumn="0" w:lastColumn="0" w:oddVBand="0" w:evenVBand="0" w:oddHBand="0" w:evenHBand="1" w:firstRowFirstColumn="0" w:firstRowLastColumn="0" w:lastRowFirstColumn="0" w:lastRowLastColumn="0"/>
        </w:trPr>
        <w:tc>
          <w:tcPr>
            <w:tcW w:w="3080" w:type="dxa"/>
          </w:tcPr>
          <w:p w:rsidR="00386C01" w:rsidRPr="00FD5EBF" w:rsidRDefault="00386C01" w:rsidP="0090395A">
            <w:pPr>
              <w:pStyle w:val="Tabletext"/>
            </w:pPr>
          </w:p>
        </w:tc>
        <w:tc>
          <w:tcPr>
            <w:tcW w:w="3081" w:type="dxa"/>
          </w:tcPr>
          <w:p w:rsidR="00386C01" w:rsidRPr="00386C01" w:rsidRDefault="00386C01" w:rsidP="0090395A">
            <w:pPr>
              <w:pStyle w:val="Tabletext"/>
            </w:pPr>
            <w:r w:rsidRPr="00FD5EBF">
              <w:t>Revenue Reconciliation</w:t>
            </w:r>
          </w:p>
        </w:tc>
        <w:tc>
          <w:tcPr>
            <w:tcW w:w="3081" w:type="dxa"/>
          </w:tcPr>
          <w:p w:rsidR="00386C01" w:rsidRPr="00386C01" w:rsidRDefault="00386C01" w:rsidP="0090395A">
            <w:pPr>
              <w:pStyle w:val="Tabletext"/>
              <w:rPr>
                <w:highlight w:val="yellow"/>
              </w:rPr>
            </w:pPr>
            <w:r w:rsidRPr="00FD5EBF">
              <w:t>Retain</w:t>
            </w:r>
          </w:p>
        </w:tc>
      </w:tr>
      <w:tr w:rsidR="00386C01" w:rsidRPr="0090395A" w:rsidTr="00386C01">
        <w:tc>
          <w:tcPr>
            <w:tcW w:w="3080" w:type="dxa"/>
          </w:tcPr>
          <w:p w:rsidR="00386C01" w:rsidRPr="0090395A" w:rsidRDefault="00386C01" w:rsidP="0090395A">
            <w:pPr>
              <w:pStyle w:val="Tabletext"/>
            </w:pPr>
            <w:r w:rsidRPr="0090395A">
              <w:t>Non-financial schedules</w:t>
            </w:r>
          </w:p>
        </w:tc>
        <w:tc>
          <w:tcPr>
            <w:tcW w:w="3081" w:type="dxa"/>
          </w:tcPr>
          <w:p w:rsidR="00386C01" w:rsidRPr="0090395A" w:rsidRDefault="00386C01" w:rsidP="0090395A">
            <w:pPr>
              <w:pStyle w:val="Tabletext"/>
            </w:pPr>
            <w:r w:rsidRPr="0090395A">
              <w:t>Current map of the network</w:t>
            </w:r>
          </w:p>
        </w:tc>
        <w:tc>
          <w:tcPr>
            <w:tcW w:w="3081" w:type="dxa"/>
          </w:tcPr>
          <w:p w:rsidR="00386C01" w:rsidRPr="0090395A" w:rsidRDefault="00386C01" w:rsidP="0090395A">
            <w:pPr>
              <w:pStyle w:val="Tabletext"/>
            </w:pPr>
            <w:r w:rsidRPr="0090395A">
              <w:t>Retain</w:t>
            </w:r>
          </w:p>
        </w:tc>
      </w:tr>
      <w:tr w:rsidR="00386C01" w:rsidRPr="0090395A" w:rsidTr="00386C01">
        <w:trPr>
          <w:cnfStyle w:val="000000010000" w:firstRow="0" w:lastRow="0" w:firstColumn="0" w:lastColumn="0" w:oddVBand="0" w:evenVBand="0" w:oddHBand="0" w:evenHBand="1" w:firstRowFirstColumn="0" w:firstRowLastColumn="0" w:lastRowFirstColumn="0" w:lastRowLastColumn="0"/>
        </w:trPr>
        <w:tc>
          <w:tcPr>
            <w:tcW w:w="3080" w:type="dxa"/>
          </w:tcPr>
          <w:p w:rsidR="00386C01" w:rsidRPr="0090395A" w:rsidRDefault="00386C01" w:rsidP="0090395A">
            <w:pPr>
              <w:pStyle w:val="Tabletext"/>
            </w:pPr>
          </w:p>
        </w:tc>
        <w:tc>
          <w:tcPr>
            <w:tcW w:w="3081" w:type="dxa"/>
          </w:tcPr>
          <w:p w:rsidR="00386C01" w:rsidRPr="0090395A" w:rsidRDefault="00386C01" w:rsidP="0090395A">
            <w:pPr>
              <w:pStyle w:val="Tabletext"/>
            </w:pPr>
            <w:r w:rsidRPr="0090395A">
              <w:t>One year demand forecast</w:t>
            </w:r>
          </w:p>
        </w:tc>
        <w:tc>
          <w:tcPr>
            <w:tcW w:w="3081" w:type="dxa"/>
          </w:tcPr>
          <w:p w:rsidR="00386C01" w:rsidRPr="0090395A" w:rsidRDefault="00386C01" w:rsidP="0090395A">
            <w:pPr>
              <w:pStyle w:val="Tabletext"/>
            </w:pPr>
            <w:r w:rsidRPr="0090395A">
              <w:t>Retain</w:t>
            </w:r>
          </w:p>
        </w:tc>
      </w:tr>
      <w:tr w:rsidR="00386C01" w:rsidRPr="0090395A" w:rsidTr="00386C01">
        <w:tc>
          <w:tcPr>
            <w:tcW w:w="3080" w:type="dxa"/>
          </w:tcPr>
          <w:p w:rsidR="00386C01" w:rsidRPr="0090395A" w:rsidRDefault="00386C01" w:rsidP="0090395A">
            <w:pPr>
              <w:pStyle w:val="Tabletext"/>
            </w:pPr>
            <w:r w:rsidRPr="0090395A">
              <w:t>Historic operating expenditure</w:t>
            </w:r>
            <w:r w:rsidR="0090395A" w:rsidRPr="0090395A">
              <w:t xml:space="preserve"> (by category summary, base year, years 1-5)</w:t>
            </w:r>
          </w:p>
        </w:tc>
        <w:tc>
          <w:tcPr>
            <w:tcW w:w="3081" w:type="dxa"/>
          </w:tcPr>
          <w:p w:rsidR="00386C01" w:rsidRPr="0090395A" w:rsidRDefault="00386C01" w:rsidP="0090395A">
            <w:pPr>
              <w:pStyle w:val="Tabletext"/>
            </w:pPr>
            <w:r w:rsidRPr="0090395A">
              <w:t xml:space="preserve">Historic </w:t>
            </w:r>
            <w:proofErr w:type="spellStart"/>
            <w:r w:rsidRPr="0090395A">
              <w:t>opex</w:t>
            </w:r>
            <w:proofErr w:type="spellEnd"/>
            <w:r w:rsidRPr="0090395A">
              <w:t xml:space="preserve"> by category – summary </w:t>
            </w:r>
          </w:p>
        </w:tc>
        <w:tc>
          <w:tcPr>
            <w:tcW w:w="3081" w:type="dxa"/>
          </w:tcPr>
          <w:p w:rsidR="00386C01" w:rsidRPr="0090395A" w:rsidRDefault="00386C01" w:rsidP="0090395A">
            <w:pPr>
              <w:pStyle w:val="Tabletext"/>
            </w:pPr>
            <w:r w:rsidRPr="0090395A">
              <w:t>Duplicated in Category Analysis RIN</w:t>
            </w:r>
          </w:p>
        </w:tc>
      </w:tr>
      <w:tr w:rsidR="00386C01" w:rsidRPr="0090395A" w:rsidTr="00386C01">
        <w:trPr>
          <w:cnfStyle w:val="000000010000" w:firstRow="0" w:lastRow="0" w:firstColumn="0" w:lastColumn="0" w:oddVBand="0" w:evenVBand="0" w:oddHBand="0" w:evenHBand="1" w:firstRowFirstColumn="0" w:firstRowLastColumn="0" w:lastRowFirstColumn="0" w:lastRowLastColumn="0"/>
        </w:trPr>
        <w:tc>
          <w:tcPr>
            <w:tcW w:w="3080" w:type="dxa"/>
          </w:tcPr>
          <w:p w:rsidR="00386C01" w:rsidRPr="0090395A" w:rsidRDefault="00386C01" w:rsidP="0090395A">
            <w:pPr>
              <w:pStyle w:val="Tabletext"/>
            </w:pPr>
            <w:r w:rsidRPr="0090395A">
              <w:t xml:space="preserve">Historic capital expenditure (by category, asset class, network, </w:t>
            </w:r>
            <w:r w:rsidRPr="0090395A">
              <w:lastRenderedPageBreak/>
              <w:t>non-network)</w:t>
            </w:r>
          </w:p>
        </w:tc>
        <w:tc>
          <w:tcPr>
            <w:tcW w:w="3081" w:type="dxa"/>
          </w:tcPr>
          <w:p w:rsidR="00386C01" w:rsidRPr="0090395A" w:rsidRDefault="00386C01" w:rsidP="0090395A">
            <w:pPr>
              <w:pStyle w:val="Tabletext"/>
            </w:pPr>
            <w:r w:rsidRPr="0090395A">
              <w:lastRenderedPageBreak/>
              <w:t xml:space="preserve">Historic capex </w:t>
            </w:r>
          </w:p>
        </w:tc>
        <w:tc>
          <w:tcPr>
            <w:tcW w:w="3081" w:type="dxa"/>
          </w:tcPr>
          <w:p w:rsidR="00386C01" w:rsidRPr="0090395A" w:rsidRDefault="00386C01" w:rsidP="0090395A">
            <w:pPr>
              <w:pStyle w:val="Tabletext"/>
            </w:pPr>
            <w:r w:rsidRPr="0090395A">
              <w:t>Duplicated in Category Analysis RIN</w:t>
            </w:r>
          </w:p>
        </w:tc>
      </w:tr>
    </w:tbl>
    <w:p w:rsidR="0090395A" w:rsidRPr="0090395A" w:rsidRDefault="0090395A" w:rsidP="00537007">
      <w:pPr>
        <w:pStyle w:val="Heading2"/>
      </w:pPr>
      <w:bookmarkStart w:id="10" w:name="_Toc415580980"/>
      <w:r w:rsidRPr="0090395A">
        <w:lastRenderedPageBreak/>
        <w:t>Consultation on draft Information Guideline (Version 2)</w:t>
      </w:r>
      <w:bookmarkEnd w:id="10"/>
    </w:p>
    <w:p w:rsidR="0090395A" w:rsidRPr="0090395A" w:rsidRDefault="00537007" w:rsidP="0090395A">
      <w:r>
        <w:t xml:space="preserve">We invited all interested parties to comment on the draft </w:t>
      </w:r>
      <w:r w:rsidR="0090395A" w:rsidRPr="0090395A">
        <w:t>Information Guideline (Version 2) and explanatory statement.</w:t>
      </w:r>
      <w:r w:rsidR="0090395A">
        <w:rPr>
          <w:rStyle w:val="FootnoteReference"/>
        </w:rPr>
        <w:footnoteReference w:id="12"/>
      </w:r>
      <w:r w:rsidR="00D418F4">
        <w:t xml:space="preserve"> </w:t>
      </w:r>
      <w:r w:rsidR="0090395A" w:rsidRPr="0090395A">
        <w:t>We received one submission from Grid Australia. Grid Australia supported the principle of rationalising the annual reporting requirements. However</w:t>
      </w:r>
      <w:r w:rsidR="004A29B2">
        <w:t>,</w:t>
      </w:r>
      <w:r w:rsidR="0090395A" w:rsidRPr="0090395A">
        <w:t xml:space="preserve"> it sought clarification on the practical effect of the general obligation under the proposed clause 4.17 given the potential for information collected under RINs to change. Grid Australia noted that there is the potential to impose extra responsibility and increased operating costs on TNSPs in determining what information is submitted within a RIN and, therefore, not required to be submitted under the Information Guideline.</w:t>
      </w:r>
      <w:r w:rsidR="0090395A">
        <w:rPr>
          <w:rStyle w:val="FootnoteReference"/>
        </w:rPr>
        <w:footnoteReference w:id="13"/>
      </w:r>
      <w:r w:rsidR="0090395A" w:rsidRPr="0090395A">
        <w:t xml:space="preserve">  </w:t>
      </w:r>
    </w:p>
    <w:p w:rsidR="0090395A" w:rsidRPr="0090395A" w:rsidRDefault="0090395A" w:rsidP="0090395A">
      <w:r w:rsidRPr="0090395A">
        <w:t xml:space="preserve">Grid Australia suggested that </w:t>
      </w:r>
      <w:r w:rsidR="0070332D">
        <w:t>we</w:t>
      </w:r>
      <w:r w:rsidRPr="0090395A">
        <w:t xml:space="preserve"> could supply two templates so as to make clear what information is required for submission by the TNSPs. Grid Australia also sought clarification on assurance requirements and a number of other requirements which they set out in more detail in the Attachment to the</w:t>
      </w:r>
      <w:r w:rsidR="00D64A73">
        <w:t>ir</w:t>
      </w:r>
      <w:r w:rsidRPr="0090395A">
        <w:t xml:space="preserve"> submission.</w:t>
      </w:r>
      <w:r w:rsidR="00E10282">
        <w:rPr>
          <w:rStyle w:val="FootnoteReference"/>
        </w:rPr>
        <w:footnoteReference w:id="14"/>
      </w:r>
    </w:p>
    <w:p w:rsidR="0090395A" w:rsidRPr="0090395A" w:rsidRDefault="0090395A" w:rsidP="0090395A">
      <w:r w:rsidRPr="0090395A">
        <w:t>In a meeting held with various representatives from the TNSPs, we discussed in more detail the issues raised by Grid Australia.</w:t>
      </w:r>
      <w:r>
        <w:rPr>
          <w:rStyle w:val="FootnoteReference"/>
        </w:rPr>
        <w:footnoteReference w:id="15"/>
      </w:r>
      <w:r w:rsidR="00D418F4">
        <w:t xml:space="preserve"> </w:t>
      </w:r>
      <w:r w:rsidRPr="0090395A">
        <w:t xml:space="preserve">We have since considered the issues and suggestions leading to various </w:t>
      </w:r>
      <w:r w:rsidR="00843FD6">
        <w:t xml:space="preserve">further </w:t>
      </w:r>
      <w:r w:rsidRPr="0090395A">
        <w:t xml:space="preserve">amendments to the </w:t>
      </w:r>
      <w:r w:rsidR="00843FD6">
        <w:t xml:space="preserve">draft </w:t>
      </w:r>
      <w:r w:rsidRPr="0090395A">
        <w:t>Information Guideline</w:t>
      </w:r>
      <w:r w:rsidR="00843FD6">
        <w:t xml:space="preserve"> (Version 2)</w:t>
      </w:r>
      <w:r w:rsidRPr="0090395A">
        <w:t>.</w:t>
      </w:r>
    </w:p>
    <w:p w:rsidR="00386C01" w:rsidRDefault="0090395A" w:rsidP="0090395A">
      <w:r w:rsidRPr="0090395A">
        <w:t xml:space="preserve">The specific issues raised during the consultation process are discussed in </w:t>
      </w:r>
      <w:r w:rsidR="004A29B2">
        <w:t>C</w:t>
      </w:r>
      <w:r w:rsidRPr="0090395A">
        <w:t xml:space="preserve">hapter </w:t>
      </w:r>
      <w:r w:rsidR="00F443EE">
        <w:t>3</w:t>
      </w:r>
      <w:r w:rsidRPr="0090395A">
        <w:t>.</w:t>
      </w:r>
    </w:p>
    <w:p w:rsidR="00597D96" w:rsidRDefault="00597D96" w:rsidP="0090395A"/>
    <w:p w:rsidR="00597D96" w:rsidRPr="00597D96" w:rsidRDefault="00597D96" w:rsidP="00597D96">
      <w:pPr>
        <w:pStyle w:val="Heading1"/>
      </w:pPr>
      <w:bookmarkStart w:id="11" w:name="_Toc415580981"/>
      <w:r w:rsidRPr="00597D96">
        <w:lastRenderedPageBreak/>
        <w:t>Proposed amendments to the draft Information Guideline (Version 2)</w:t>
      </w:r>
      <w:bookmarkEnd w:id="11"/>
    </w:p>
    <w:p w:rsidR="00597D96" w:rsidRPr="00597D96" w:rsidRDefault="00597D96" w:rsidP="00597D96">
      <w:r w:rsidRPr="00597D96">
        <w:t xml:space="preserve">We have made amendments to the draft Information Guideline (Version 2). These changes reflect our response to concerns raised by Grid Australia and our further consideration of the annual data requirements for TNSPs. </w:t>
      </w:r>
    </w:p>
    <w:p w:rsidR="00597D96" w:rsidRPr="00597D96" w:rsidRDefault="00597D96" w:rsidP="00597D96">
      <w:pPr>
        <w:pStyle w:val="Heading2"/>
      </w:pPr>
      <w:bookmarkStart w:id="12" w:name="_Toc415580982"/>
      <w:r w:rsidRPr="00597D96">
        <w:t>Response to Grid Australia's concerns</w:t>
      </w:r>
      <w:bookmarkEnd w:id="12"/>
    </w:p>
    <w:p w:rsidR="00597D96" w:rsidRPr="00597D96" w:rsidRDefault="00597D96" w:rsidP="00597D96">
      <w:pPr>
        <w:pStyle w:val="Heading3"/>
      </w:pPr>
      <w:bookmarkStart w:id="13" w:name="_Toc415580983"/>
      <w:r w:rsidRPr="00597D96">
        <w:t xml:space="preserve">Identifying duplicated </w:t>
      </w:r>
      <w:r w:rsidR="00084CA7">
        <w:t>i</w:t>
      </w:r>
      <w:r w:rsidRPr="00597D96">
        <w:t>nformation</w:t>
      </w:r>
      <w:bookmarkEnd w:id="13"/>
      <w:r w:rsidRPr="00597D96">
        <w:t xml:space="preserve"> </w:t>
      </w:r>
    </w:p>
    <w:p w:rsidR="00597D96" w:rsidRPr="00597D96" w:rsidRDefault="00597D96" w:rsidP="00597D96">
      <w:r w:rsidRPr="00597D96">
        <w:t>In the draft Information Guideline (Version 2) we proposed removing any obligation TNSPs may have to supply us with data when the TNSP has already provided the same data in response to a Regulatory Information Instrument such as a Better Regulation RIN.</w:t>
      </w:r>
      <w:r>
        <w:rPr>
          <w:rStyle w:val="FootnoteReference"/>
        </w:rPr>
        <w:footnoteReference w:id="16"/>
      </w:r>
      <w:r w:rsidR="00D418F4">
        <w:t xml:space="preserve"> </w:t>
      </w:r>
      <w:r w:rsidRPr="00597D96">
        <w:t>We did this by inserting clause 4.17 in Chapter 4 of the draft Information Guideline (Version 2).</w:t>
      </w:r>
      <w:r w:rsidR="003A2DEC" w:rsidRPr="00597D96">
        <w:t xml:space="preserve"> </w:t>
      </w:r>
      <w:r w:rsidRPr="00597D96">
        <w:t>Clause 4.17 states:</w:t>
      </w:r>
    </w:p>
    <w:p w:rsidR="00597D96" w:rsidRPr="00597D96" w:rsidRDefault="00597D96" w:rsidP="00597D96">
      <w:pPr>
        <w:pStyle w:val="Quote"/>
      </w:pPr>
      <w:r w:rsidRPr="00597D96">
        <w:t>If a TNSP is required to provide information to the AER in response to a Regulatory Information Instrument it is not a requirement for this information to be provided to the AER in response to this guideline.</w:t>
      </w:r>
      <w:r>
        <w:rPr>
          <w:rStyle w:val="FootnoteReference"/>
        </w:rPr>
        <w:footnoteReference w:id="17"/>
      </w:r>
      <w:r w:rsidRPr="00597D96">
        <w:t xml:space="preserve"> </w:t>
      </w:r>
    </w:p>
    <w:p w:rsidR="00597D96" w:rsidRPr="00597D96" w:rsidRDefault="00597D96" w:rsidP="00597D96">
      <w:r w:rsidRPr="00597D96">
        <w:t>As raised in their submission, Grid Australia sought clarity on the practical effect of the general obligation under this proposed clause given the potential for information collected under RINs to change.</w:t>
      </w:r>
      <w:r>
        <w:rPr>
          <w:rStyle w:val="FootnoteReference"/>
        </w:rPr>
        <w:footnoteReference w:id="18"/>
      </w:r>
      <w:r w:rsidR="00D418F4">
        <w:t xml:space="preserve"> </w:t>
      </w:r>
      <w:r w:rsidRPr="00597D96">
        <w:t xml:space="preserve">Grid Australia was of the view that uncertainty regarding information requirements, would potentially impose undue responsibility and increased operating costs on the TNSPs in determining what information </w:t>
      </w:r>
      <w:r w:rsidR="0070332D">
        <w:t>we consider</w:t>
      </w:r>
      <w:r w:rsidRPr="00597D96">
        <w:t xml:space="preserve"> to be captured within a RIN and, therefore what is not required to be completed in their annual regulatory financial and other statements.</w:t>
      </w:r>
      <w:r>
        <w:rPr>
          <w:rStyle w:val="FootnoteReference"/>
        </w:rPr>
        <w:footnoteReference w:id="19"/>
      </w:r>
      <w:r w:rsidR="00D418F4">
        <w:t xml:space="preserve"> </w:t>
      </w:r>
      <w:r w:rsidRPr="00597D96">
        <w:t xml:space="preserve">Furthermore, Grid Australia suggested </w:t>
      </w:r>
      <w:r w:rsidR="0070332D">
        <w:t>we</w:t>
      </w:r>
      <w:r w:rsidRPr="00597D96">
        <w:t xml:space="preserve"> produce two different versions of Appendix A under the Information Guideline to provide greater clarity.</w:t>
      </w:r>
      <w:r>
        <w:rPr>
          <w:rStyle w:val="FootnoteReference"/>
        </w:rPr>
        <w:footnoteReference w:id="20"/>
      </w:r>
      <w:r w:rsidR="00D418F4">
        <w:t xml:space="preserve"> </w:t>
      </w:r>
      <w:r w:rsidRPr="00597D96">
        <w:t>The first version of Appendix A would be used by the principal TNSPs and the second version would be used by the interconnectors as each of the groups has different reporting obligations.</w:t>
      </w:r>
      <w:r>
        <w:rPr>
          <w:rStyle w:val="FootnoteReference"/>
        </w:rPr>
        <w:footnoteReference w:id="21"/>
      </w:r>
      <w:r w:rsidRPr="00597D96">
        <w:t xml:space="preserve"> </w:t>
      </w:r>
    </w:p>
    <w:p w:rsidR="00597D96" w:rsidRPr="00597D96" w:rsidRDefault="00F443EE" w:rsidP="00597D96">
      <w:r>
        <w:t xml:space="preserve">We introduced </w:t>
      </w:r>
      <w:r w:rsidR="00597D96" w:rsidRPr="00597D96">
        <w:t xml:space="preserve">clause 4.17 </w:t>
      </w:r>
      <w:r>
        <w:t>into the draft Information Guideline (Version 2) f</w:t>
      </w:r>
      <w:r w:rsidR="00597D96" w:rsidRPr="00597D96">
        <w:t xml:space="preserve">or the purposes of keeping the Information Guideline as flexible to future changes in the TNSPs' reporting </w:t>
      </w:r>
      <w:r w:rsidR="00597D96" w:rsidRPr="00597D96">
        <w:lastRenderedPageBreak/>
        <w:t>requirements</w:t>
      </w:r>
      <w:r w:rsidR="003C0C71">
        <w:t xml:space="preserve"> as possible</w:t>
      </w:r>
      <w:r w:rsidR="00597D96" w:rsidRPr="00597D96">
        <w:t xml:space="preserve">. </w:t>
      </w:r>
      <w:r>
        <w:t>T</w:t>
      </w:r>
      <w:r w:rsidR="00597D96" w:rsidRPr="00597D96">
        <w:t xml:space="preserve">he clause does not specifically refer to the Better Regulation RINs but rather refers to a </w:t>
      </w:r>
      <w:r w:rsidR="00597D96" w:rsidRPr="00597D96">
        <w:rPr>
          <w:rStyle w:val="Emphasis"/>
        </w:rPr>
        <w:t>'Regulatory Information Instrument</w:t>
      </w:r>
      <w:r w:rsidR="00597D96" w:rsidRPr="00597D96">
        <w:t xml:space="preserve">'. </w:t>
      </w:r>
      <w:r>
        <w:t>Hence, we consider it will apply to any RIN reporting obligations a TNSP may be subject to in the future. Further, w</w:t>
      </w:r>
      <w:r w:rsidR="00597D96" w:rsidRPr="00597D96">
        <w:t xml:space="preserve">e consider clause 4.17 provides all TNSPs with a degree of certainty about how </w:t>
      </w:r>
      <w:r w:rsidR="0070332D">
        <w:t>we intend</w:t>
      </w:r>
      <w:r w:rsidR="00597D96" w:rsidRPr="00597D96">
        <w:t xml:space="preserve"> TNSPs to deal with any duplicated reporting obligations. </w:t>
      </w:r>
      <w:r>
        <w:t>T</w:t>
      </w:r>
      <w:r w:rsidRPr="00597D96">
        <w:t>herefore</w:t>
      </w:r>
      <w:r>
        <w:t xml:space="preserve">, we are not </w:t>
      </w:r>
      <w:r w:rsidRPr="00597D96">
        <w:t xml:space="preserve">proposing to make any further changes to </w:t>
      </w:r>
      <w:r>
        <w:t>clause 4.17</w:t>
      </w:r>
      <w:r w:rsidRPr="00597D96">
        <w:t>.</w:t>
      </w:r>
    </w:p>
    <w:p w:rsidR="00597D96" w:rsidRPr="00597D96" w:rsidRDefault="00F443EE" w:rsidP="00597D96">
      <w:r w:rsidRPr="00597D96">
        <w:t>We</w:t>
      </w:r>
      <w:r w:rsidR="00597D96" w:rsidRPr="00597D96">
        <w:t xml:space="preserve"> have </w:t>
      </w:r>
      <w:r w:rsidR="00062B30">
        <w:t xml:space="preserve">also </w:t>
      </w:r>
      <w:r w:rsidR="00597D96" w:rsidRPr="00597D96">
        <w:t xml:space="preserve">considered Grid Australia's request for two versions of Appendix A to be </w:t>
      </w:r>
      <w:r w:rsidR="00062B30">
        <w:t xml:space="preserve">released as part of the </w:t>
      </w:r>
      <w:r>
        <w:t xml:space="preserve">final </w:t>
      </w:r>
      <w:r w:rsidR="00597D96" w:rsidRPr="00597D96">
        <w:t xml:space="preserve">Information Guideline. We </w:t>
      </w:r>
      <w:r>
        <w:t xml:space="preserve">do not </w:t>
      </w:r>
      <w:r w:rsidR="00062B30">
        <w:t xml:space="preserve">agree to this request. We </w:t>
      </w:r>
      <w:r>
        <w:t xml:space="preserve">consider </w:t>
      </w:r>
      <w:r w:rsidR="00062B30">
        <w:t xml:space="preserve">that if we include </w:t>
      </w:r>
      <w:r w:rsidR="00597D96" w:rsidRPr="00597D96">
        <w:t xml:space="preserve">a second version of Appendix A in the </w:t>
      </w:r>
      <w:r w:rsidR="00062B30">
        <w:t xml:space="preserve">final </w:t>
      </w:r>
      <w:r w:rsidR="00597D96" w:rsidRPr="00597D96">
        <w:t xml:space="preserve">Information Guideline </w:t>
      </w:r>
      <w:r w:rsidR="00062B30">
        <w:t xml:space="preserve">it </w:t>
      </w:r>
      <w:r w:rsidR="00597D96" w:rsidRPr="00597D96">
        <w:t xml:space="preserve">may become outdated as </w:t>
      </w:r>
      <w:r w:rsidR="00062B30">
        <w:t xml:space="preserve">RIN </w:t>
      </w:r>
      <w:r w:rsidR="00597D96" w:rsidRPr="00597D96">
        <w:t>obligations change. If this</w:t>
      </w:r>
      <w:r w:rsidR="00062B30">
        <w:t xml:space="preserve"> occurs</w:t>
      </w:r>
      <w:r w:rsidR="00597D96" w:rsidRPr="00597D96">
        <w:t>, any change to Appendix A would have to be made in accordance to the transmission consultation procedures set out in the NER.</w:t>
      </w:r>
      <w:r w:rsidR="00597D96">
        <w:rPr>
          <w:rStyle w:val="FootnoteReference"/>
        </w:rPr>
        <w:footnoteReference w:id="22"/>
      </w:r>
      <w:r w:rsidR="00D418F4">
        <w:t xml:space="preserve"> </w:t>
      </w:r>
      <w:r w:rsidR="00597D96" w:rsidRPr="00597D96">
        <w:t>We consider that undertaking a full consultation process for what is essentially an administrative change imposes a disproportionate and unnecessary burden on TNSPs. Therefore, we consider that it is best to provide just one version of Appendix A.</w:t>
      </w:r>
    </w:p>
    <w:p w:rsidR="00062B30" w:rsidRDefault="00062B30" w:rsidP="00597D96">
      <w:r>
        <w:t xml:space="preserve">However, to address Grid Australia's concerns about the lack of certainty around TNSPs' annual reporting requirements we </w:t>
      </w:r>
      <w:r w:rsidRPr="00597D96">
        <w:t>have agreed to clarify with each TNSP (through an exchange of letters</w:t>
      </w:r>
      <w:r w:rsidR="003A2DEC">
        <w:t>)</w:t>
      </w:r>
      <w:r w:rsidRPr="00597D96">
        <w:t xml:space="preserve"> their reporting requirements following the release of this Guideline.</w:t>
      </w:r>
      <w:r w:rsidR="003A2DEC">
        <w:rPr>
          <w:rStyle w:val="FootnoteReference"/>
        </w:rPr>
        <w:footnoteReference w:id="23"/>
      </w:r>
      <w:r w:rsidRPr="00597D96">
        <w:t xml:space="preserve"> We consider that this approach will provide TNSPs with sufficient certainty to address their concerns.</w:t>
      </w:r>
    </w:p>
    <w:p w:rsidR="00692B8B" w:rsidRDefault="00062B30" w:rsidP="00597D96">
      <w:r>
        <w:t xml:space="preserve">In addition, </w:t>
      </w:r>
      <w:r w:rsidR="00597D96" w:rsidRPr="00597D96">
        <w:t xml:space="preserve">since </w:t>
      </w:r>
      <w:r>
        <w:t xml:space="preserve">the release of the draft Information </w:t>
      </w:r>
      <w:r w:rsidR="001B4907">
        <w:t>Guideline</w:t>
      </w:r>
      <w:r>
        <w:t xml:space="preserve"> (Version 2) we have conducted a further review of the </w:t>
      </w:r>
      <w:r w:rsidRPr="00597D96">
        <w:t xml:space="preserve">areas of duplication between </w:t>
      </w:r>
      <w:r w:rsidR="008946D1">
        <w:t xml:space="preserve">Appendix A of </w:t>
      </w:r>
      <w:r w:rsidRPr="00597D96">
        <w:t xml:space="preserve">the Information Guideline and the </w:t>
      </w:r>
      <w:r w:rsidR="008946D1">
        <w:t>B</w:t>
      </w:r>
      <w:r w:rsidRPr="00597D96">
        <w:t xml:space="preserve">etter Regulation RINs. </w:t>
      </w:r>
      <w:r>
        <w:t xml:space="preserve">As a consequence we have </w:t>
      </w:r>
      <w:r w:rsidR="00597D96" w:rsidRPr="00597D96">
        <w:t>updated th</w:t>
      </w:r>
      <w:r>
        <w:t xml:space="preserve">e </w:t>
      </w:r>
      <w:r w:rsidR="00597D96" w:rsidRPr="00597D96">
        <w:t xml:space="preserve">table </w:t>
      </w:r>
      <w:r w:rsidR="001B4907">
        <w:t>of duplicated requirements which was in the Explanatory Statement to the draft Information Guideline (Version 2)</w:t>
      </w:r>
      <w:r w:rsidR="001B4907">
        <w:rPr>
          <w:rStyle w:val="FootnoteReference"/>
        </w:rPr>
        <w:footnoteReference w:id="24"/>
      </w:r>
      <w:r w:rsidR="001B4907">
        <w:t xml:space="preserve"> </w:t>
      </w:r>
      <w:r w:rsidR="00597D96" w:rsidRPr="00597D96">
        <w:t>so that it more accurately reflects the duplicated reporting requirements contained in the Information Guideline.</w:t>
      </w:r>
      <w:r w:rsidR="00597D96">
        <w:rPr>
          <w:rStyle w:val="FootnoteReference"/>
        </w:rPr>
        <w:footnoteReference w:id="25"/>
      </w:r>
      <w:r w:rsidR="00597D96" w:rsidRPr="00597D96">
        <w:t xml:space="preserve"> Table </w:t>
      </w:r>
      <w:r w:rsidR="001B4907">
        <w:t>3</w:t>
      </w:r>
      <w:r w:rsidR="00597D96" w:rsidRPr="00597D96">
        <w:t xml:space="preserve">.1 below </w:t>
      </w:r>
      <w:r w:rsidR="00084CA7">
        <w:t xml:space="preserve">is </w:t>
      </w:r>
      <w:r w:rsidR="00597D96" w:rsidRPr="00597D96">
        <w:t>our updated table.</w:t>
      </w:r>
    </w:p>
    <w:p w:rsidR="00692B8B" w:rsidRDefault="00692B8B" w:rsidP="00597D96"/>
    <w:p w:rsidR="00692B8B" w:rsidRDefault="00692B8B" w:rsidP="00597D96"/>
    <w:p w:rsidR="00692B8B" w:rsidRDefault="00692B8B" w:rsidP="00597D96"/>
    <w:p w:rsidR="00692B8B" w:rsidRDefault="00692B8B" w:rsidP="00597D96"/>
    <w:p w:rsidR="00692B8B" w:rsidRDefault="00692B8B" w:rsidP="00597D96"/>
    <w:p w:rsidR="00597D96" w:rsidRDefault="00597D96" w:rsidP="00597D96">
      <w:r w:rsidRPr="00597D96">
        <w:t xml:space="preserve"> </w:t>
      </w:r>
    </w:p>
    <w:p w:rsidR="00370528" w:rsidRDefault="002B49B1" w:rsidP="00D85FE5">
      <w:pPr>
        <w:pStyle w:val="Caption"/>
      </w:pPr>
      <w:r w:rsidRPr="002B49B1">
        <w:lastRenderedPageBreak/>
        <w:t xml:space="preserve">Table </w:t>
      </w:r>
      <w:r w:rsidR="001B4907">
        <w:t>3</w:t>
      </w:r>
      <w:r w:rsidRPr="002B49B1">
        <w:t>.1 Duplicated requirement</w:t>
      </w:r>
      <w:r>
        <w:t>s</w:t>
      </w:r>
      <w:r w:rsidRPr="002B49B1">
        <w:t xml:space="preserve"> in Appendix A</w:t>
      </w:r>
      <w:r>
        <w:t xml:space="preserve"> of the final Information Guideline</w:t>
      </w:r>
    </w:p>
    <w:tbl>
      <w:tblPr>
        <w:tblStyle w:val="AERTable-Text"/>
        <w:tblW w:w="9242" w:type="dxa"/>
        <w:tblLook w:val="04A0" w:firstRow="1" w:lastRow="0" w:firstColumn="1" w:lastColumn="0" w:noHBand="0" w:noVBand="1"/>
      </w:tblPr>
      <w:tblGrid>
        <w:gridCol w:w="3936"/>
        <w:gridCol w:w="5306"/>
      </w:tblGrid>
      <w:tr w:rsidR="006B07B6" w:rsidRPr="006B07B6" w:rsidTr="008A5BA9">
        <w:trPr>
          <w:cnfStyle w:val="100000000000" w:firstRow="1" w:lastRow="0" w:firstColumn="0" w:lastColumn="0" w:oddVBand="0" w:evenVBand="0" w:oddHBand="0" w:evenHBand="0" w:firstRowFirstColumn="0" w:firstRowLastColumn="0" w:lastRowFirstColumn="0" w:lastRowLastColumn="0"/>
          <w:tblHeader/>
        </w:trPr>
        <w:tc>
          <w:tcPr>
            <w:tcW w:w="3936" w:type="dxa"/>
          </w:tcPr>
          <w:p w:rsidR="006B07B6" w:rsidRPr="006B07B6" w:rsidRDefault="006B07B6" w:rsidP="00692B8B">
            <w:pPr>
              <w:pStyle w:val="TableHeading"/>
              <w:rPr>
                <w:rStyle w:val="Bold"/>
                <w:b/>
                <w:bCs w:val="0"/>
              </w:rPr>
            </w:pPr>
            <w:r w:rsidRPr="006B07B6">
              <w:t xml:space="preserve">Information guideline requirement in Appendix A </w:t>
            </w:r>
            <w:r w:rsidR="00692B8B">
              <w:t>(</w:t>
            </w:r>
            <w:r w:rsidRPr="006B07B6">
              <w:t xml:space="preserve">Annual </w:t>
            </w:r>
            <w:r w:rsidR="003C0C71">
              <w:t>R</w:t>
            </w:r>
            <w:r w:rsidRPr="006B07B6">
              <w:t xml:space="preserve">eporting </w:t>
            </w:r>
            <w:r w:rsidR="003C0C71">
              <w:t>T</w:t>
            </w:r>
            <w:r w:rsidRPr="006B07B6">
              <w:t>emplates</w:t>
            </w:r>
            <w:r w:rsidR="00692B8B">
              <w:t>)</w:t>
            </w:r>
          </w:p>
        </w:tc>
        <w:tc>
          <w:tcPr>
            <w:tcW w:w="5306" w:type="dxa"/>
          </w:tcPr>
          <w:p w:rsidR="006B07B6" w:rsidRPr="006B07B6" w:rsidRDefault="006B07B6" w:rsidP="00D85FE5">
            <w:pPr>
              <w:pStyle w:val="TableHeading"/>
            </w:pPr>
            <w:r w:rsidRPr="006B07B6">
              <w:t>Alternative RIN Worksheet source for information</w:t>
            </w:r>
            <w:r>
              <w:rPr>
                <w:rStyle w:val="FootnoteReference"/>
              </w:rPr>
              <w:footnoteReference w:id="26"/>
            </w:r>
          </w:p>
        </w:tc>
      </w:tr>
      <w:tr w:rsidR="006B07B6" w:rsidTr="00597212">
        <w:tc>
          <w:tcPr>
            <w:tcW w:w="3936" w:type="dxa"/>
          </w:tcPr>
          <w:p w:rsidR="006B07B6" w:rsidRPr="006B07B6" w:rsidRDefault="006B07B6" w:rsidP="006B07B6">
            <w:pPr>
              <w:pStyle w:val="Tabletext"/>
              <w:rPr>
                <w:rStyle w:val="Bold"/>
              </w:rPr>
            </w:pPr>
            <w:r w:rsidRPr="000F564B">
              <w:t>Revenue analysis worksheet</w:t>
            </w:r>
          </w:p>
        </w:tc>
        <w:tc>
          <w:tcPr>
            <w:tcW w:w="5306" w:type="dxa"/>
          </w:tcPr>
          <w:p w:rsidR="006B07B6" w:rsidRPr="006B07B6" w:rsidRDefault="006B07B6" w:rsidP="006B07B6">
            <w:pPr>
              <w:pStyle w:val="Tabletext"/>
              <w:rPr>
                <w:rStyle w:val="Emphasis"/>
              </w:rPr>
            </w:pPr>
            <w:r w:rsidRPr="00291F3E">
              <w:rPr>
                <w:rStyle w:val="Emphasis"/>
              </w:rPr>
              <w:t>Economic Benchmarking RIN</w:t>
            </w:r>
          </w:p>
          <w:p w:rsidR="006B07B6" w:rsidRPr="006B07B6" w:rsidRDefault="006B07B6" w:rsidP="006B07B6">
            <w:pPr>
              <w:pStyle w:val="Tabletext"/>
            </w:pPr>
            <w:r>
              <w:t>Works</w:t>
            </w:r>
            <w:r w:rsidRPr="006B07B6">
              <w:t>heet 3.1 (Revenue) containing:</w:t>
            </w:r>
          </w:p>
          <w:p w:rsidR="006B07B6" w:rsidRPr="000F564B" w:rsidRDefault="006B07B6" w:rsidP="006B07B6">
            <w:pPr>
              <w:pStyle w:val="Bulletpoint2"/>
            </w:pPr>
            <w:r w:rsidRPr="000F564B">
              <w:t xml:space="preserve">Table 3.1.1 Revenue </w:t>
            </w:r>
            <w:r w:rsidR="003C0C71">
              <w:t>g</w:t>
            </w:r>
            <w:r w:rsidRPr="000F564B">
              <w:t xml:space="preserve">rouping by </w:t>
            </w:r>
            <w:r w:rsidR="003C0C71">
              <w:t>c</w:t>
            </w:r>
            <w:r w:rsidRPr="000F564B">
              <w:t xml:space="preserve">hargeable </w:t>
            </w:r>
            <w:r w:rsidR="003C0C71">
              <w:t>q</w:t>
            </w:r>
            <w:r w:rsidRPr="000F564B">
              <w:t>uantity</w:t>
            </w:r>
          </w:p>
          <w:p w:rsidR="006B07B6" w:rsidRPr="006B07B6" w:rsidRDefault="006B07B6" w:rsidP="006B07B6">
            <w:pPr>
              <w:pStyle w:val="Tabletext"/>
            </w:pPr>
            <w:r>
              <w:t>W</w:t>
            </w:r>
            <w:r w:rsidRPr="006B07B6">
              <w:t>orksheet 3.4 (Operational data) containing:</w:t>
            </w:r>
          </w:p>
          <w:p w:rsidR="006B07B6" w:rsidRPr="000F564B" w:rsidRDefault="006B07B6" w:rsidP="006B07B6">
            <w:pPr>
              <w:pStyle w:val="Bulletpoint2"/>
            </w:pPr>
            <w:r w:rsidRPr="000F564B">
              <w:t>Table 3.4.1 Energy delivery</w:t>
            </w:r>
          </w:p>
          <w:p w:rsidR="006B07B6" w:rsidRPr="000F564B" w:rsidRDefault="006B07B6" w:rsidP="006B07B6">
            <w:pPr>
              <w:pStyle w:val="Bulletpoint2"/>
            </w:pPr>
            <w:r w:rsidRPr="000F564B">
              <w:t>Table 3.4.2 Connection points</w:t>
            </w:r>
          </w:p>
          <w:p w:rsidR="006B07B6" w:rsidRPr="000F564B" w:rsidRDefault="006B07B6" w:rsidP="006B07B6">
            <w:pPr>
              <w:pStyle w:val="Bulletpoint2"/>
            </w:pPr>
            <w:r w:rsidRPr="000F564B">
              <w:t>Table 3.4.3 System demand including:</w:t>
            </w:r>
          </w:p>
          <w:p w:rsidR="006B07B6" w:rsidRPr="000F564B" w:rsidRDefault="006B07B6" w:rsidP="00692B8B">
            <w:pPr>
              <w:pStyle w:val="ListBullet4"/>
            </w:pPr>
            <w:r w:rsidRPr="000F564B">
              <w:t>Table 3.4.3.1 Annual system maximum demand characteristics – MW measure</w:t>
            </w:r>
          </w:p>
          <w:p w:rsidR="00EE0691" w:rsidRDefault="006B07B6" w:rsidP="00692B8B">
            <w:pPr>
              <w:pStyle w:val="ListBullet4"/>
            </w:pPr>
            <w:r w:rsidRPr="000F564B">
              <w:t>Table 3.4.3.2 Annual system maximum demand characteristics – MVA measure</w:t>
            </w:r>
          </w:p>
          <w:p w:rsidR="006B07B6" w:rsidRDefault="006B07B6" w:rsidP="00692B8B">
            <w:pPr>
              <w:pStyle w:val="ListBullet4"/>
            </w:pPr>
            <w:r w:rsidRPr="00EE0691">
              <w:t>Table 3.4.3.3 Power factor</w:t>
            </w:r>
          </w:p>
          <w:p w:rsidR="000B0140" w:rsidRPr="00EE0691" w:rsidRDefault="000B0140" w:rsidP="00E81BA8">
            <w:pPr>
              <w:pStyle w:val="Tabletext"/>
              <w:rPr>
                <w:rStyle w:val="Bold"/>
                <w:b w:val="0"/>
                <w:bCs w:val="0"/>
                <w:color w:val="FFFFFF" w:themeColor="background1"/>
                <w:sz w:val="24"/>
              </w:rPr>
            </w:pPr>
          </w:p>
        </w:tc>
      </w:tr>
      <w:tr w:rsidR="006B07B6" w:rsidTr="00597212">
        <w:trPr>
          <w:cnfStyle w:val="000000010000" w:firstRow="0" w:lastRow="0" w:firstColumn="0" w:lastColumn="0" w:oddVBand="0" w:evenVBand="0" w:oddHBand="0" w:evenHBand="1" w:firstRowFirstColumn="0" w:firstRowLastColumn="0" w:lastRowFirstColumn="0" w:lastRowLastColumn="0"/>
        </w:trPr>
        <w:tc>
          <w:tcPr>
            <w:tcW w:w="3936" w:type="dxa"/>
          </w:tcPr>
          <w:p w:rsidR="006B07B6" w:rsidRPr="000F564B" w:rsidRDefault="006B07B6" w:rsidP="006B07B6">
            <w:pPr>
              <w:pStyle w:val="Tabletext"/>
            </w:pPr>
            <w:r w:rsidRPr="000F564B">
              <w:t>Asset aging schedule</w:t>
            </w:r>
          </w:p>
        </w:tc>
        <w:tc>
          <w:tcPr>
            <w:tcW w:w="5306" w:type="dxa"/>
          </w:tcPr>
          <w:p w:rsidR="006B07B6" w:rsidRPr="006B07B6" w:rsidRDefault="006B07B6" w:rsidP="006B07B6">
            <w:pPr>
              <w:pStyle w:val="Tabletext"/>
              <w:rPr>
                <w:rStyle w:val="Emphasis"/>
              </w:rPr>
            </w:pPr>
            <w:r w:rsidRPr="00291F3E">
              <w:rPr>
                <w:rStyle w:val="Emphasis"/>
              </w:rPr>
              <w:t>Category Analysis RIN</w:t>
            </w:r>
          </w:p>
          <w:p w:rsidR="006B07B6" w:rsidRPr="006B07B6" w:rsidRDefault="006B07B6" w:rsidP="006B07B6">
            <w:pPr>
              <w:pStyle w:val="Tabletext"/>
            </w:pPr>
            <w:r>
              <w:t>W</w:t>
            </w:r>
            <w:r w:rsidRPr="006B07B6">
              <w:t>orksheet 5.2 (Asset age profile) containing:</w:t>
            </w:r>
          </w:p>
          <w:p w:rsidR="006B07B6" w:rsidRPr="006B07B6" w:rsidRDefault="006B07B6" w:rsidP="006B07B6">
            <w:pPr>
              <w:pStyle w:val="Bulletpoint2"/>
              <w:rPr>
                <w:rStyle w:val="Bold"/>
              </w:rPr>
            </w:pPr>
            <w:r w:rsidRPr="000F564B">
              <w:t xml:space="preserve">Table 5.2.1 Asset </w:t>
            </w:r>
            <w:r w:rsidR="003C0C71">
              <w:t>a</w:t>
            </w:r>
            <w:r w:rsidRPr="000F564B">
              <w:t xml:space="preserve">ge </w:t>
            </w:r>
            <w:r w:rsidR="003C0C71">
              <w:t>p</w:t>
            </w:r>
            <w:r w:rsidRPr="000F564B">
              <w:t>rofile</w:t>
            </w:r>
          </w:p>
        </w:tc>
      </w:tr>
      <w:tr w:rsidR="006B07B6" w:rsidTr="00597212">
        <w:tc>
          <w:tcPr>
            <w:tcW w:w="3936" w:type="dxa"/>
          </w:tcPr>
          <w:p w:rsidR="006B07B6" w:rsidRPr="000F564B" w:rsidRDefault="006B07B6" w:rsidP="006B07B6">
            <w:pPr>
              <w:pStyle w:val="Tabletext"/>
            </w:pPr>
            <w:r w:rsidRPr="000F564B">
              <w:t xml:space="preserve">Provisions </w:t>
            </w:r>
            <w:r w:rsidR="003C0C71">
              <w:t>r</w:t>
            </w:r>
            <w:r w:rsidRPr="000F564B">
              <w:t>econciliation</w:t>
            </w:r>
          </w:p>
        </w:tc>
        <w:tc>
          <w:tcPr>
            <w:tcW w:w="5306" w:type="dxa"/>
          </w:tcPr>
          <w:p w:rsidR="006B07B6" w:rsidRPr="006B07B6" w:rsidRDefault="006B07B6" w:rsidP="006B07B6">
            <w:pPr>
              <w:pStyle w:val="Tabletext"/>
              <w:rPr>
                <w:rStyle w:val="Emphasis"/>
              </w:rPr>
            </w:pPr>
            <w:r w:rsidRPr="00291F3E">
              <w:rPr>
                <w:rStyle w:val="Emphasis"/>
              </w:rPr>
              <w:t xml:space="preserve">Economic </w:t>
            </w:r>
            <w:r w:rsidRPr="006B07B6">
              <w:rPr>
                <w:rStyle w:val="Emphasis"/>
              </w:rPr>
              <w:t>Benchmarking RIN</w:t>
            </w:r>
          </w:p>
          <w:p w:rsidR="006B07B6" w:rsidRPr="006B07B6" w:rsidRDefault="006B07B6" w:rsidP="006B07B6">
            <w:pPr>
              <w:pStyle w:val="Tabletext"/>
            </w:pPr>
            <w:r>
              <w:t>W</w:t>
            </w:r>
            <w:r w:rsidRPr="006B07B6">
              <w:t>orksheet 3.2 (Operating expenditure) containing:</w:t>
            </w:r>
          </w:p>
          <w:p w:rsidR="006B07B6" w:rsidRPr="006B07B6" w:rsidRDefault="006B07B6" w:rsidP="006B07B6">
            <w:pPr>
              <w:pStyle w:val="Bulletpoint2"/>
              <w:rPr>
                <w:rStyle w:val="Bold"/>
              </w:rPr>
            </w:pPr>
            <w:r w:rsidRPr="000F564B">
              <w:t>Table 3.2.3 Provisions</w:t>
            </w:r>
          </w:p>
        </w:tc>
      </w:tr>
      <w:tr w:rsidR="006B07B6" w:rsidTr="00597212">
        <w:trPr>
          <w:cnfStyle w:val="000000010000" w:firstRow="0" w:lastRow="0" w:firstColumn="0" w:lastColumn="0" w:oddVBand="0" w:evenVBand="0" w:oddHBand="0" w:evenHBand="1" w:firstRowFirstColumn="0" w:firstRowLastColumn="0" w:lastRowFirstColumn="0" w:lastRowLastColumn="0"/>
        </w:trPr>
        <w:tc>
          <w:tcPr>
            <w:tcW w:w="3936" w:type="dxa"/>
          </w:tcPr>
          <w:p w:rsidR="006B07B6" w:rsidRPr="000F564B" w:rsidRDefault="006B07B6" w:rsidP="006B07B6">
            <w:pPr>
              <w:pStyle w:val="Tabletext"/>
            </w:pPr>
            <w:r w:rsidRPr="000F564B">
              <w:t xml:space="preserve">Historic </w:t>
            </w:r>
            <w:proofErr w:type="spellStart"/>
            <w:r w:rsidRPr="000F564B">
              <w:t>opex</w:t>
            </w:r>
            <w:proofErr w:type="spellEnd"/>
            <w:r w:rsidRPr="000F564B">
              <w:t xml:space="preserve"> by expenditure category summary/part year</w:t>
            </w:r>
          </w:p>
          <w:p w:rsidR="006B07B6" w:rsidRPr="006B07B6" w:rsidRDefault="006B07B6" w:rsidP="006B07B6">
            <w:pPr>
              <w:pStyle w:val="Tabletext"/>
            </w:pPr>
            <w:r w:rsidRPr="000F564B">
              <w:t xml:space="preserve">Historic </w:t>
            </w:r>
            <w:proofErr w:type="spellStart"/>
            <w:r w:rsidRPr="000F564B">
              <w:t>opex</w:t>
            </w:r>
            <w:proofErr w:type="spellEnd"/>
            <w:r w:rsidRPr="000F564B">
              <w:t xml:space="preserve"> expenditure category years 1-5</w:t>
            </w:r>
          </w:p>
        </w:tc>
        <w:tc>
          <w:tcPr>
            <w:tcW w:w="5306" w:type="dxa"/>
          </w:tcPr>
          <w:p w:rsidR="006B07B6" w:rsidRPr="006B07B6" w:rsidRDefault="006B07B6" w:rsidP="006B07B6">
            <w:pPr>
              <w:pStyle w:val="Tabletext"/>
              <w:rPr>
                <w:rStyle w:val="Emphasis"/>
              </w:rPr>
            </w:pPr>
            <w:r w:rsidRPr="00291F3E">
              <w:rPr>
                <w:rStyle w:val="Emphasis"/>
              </w:rPr>
              <w:t>Category Analysis RIN</w:t>
            </w:r>
          </w:p>
          <w:p w:rsidR="006B07B6" w:rsidRPr="006B07B6" w:rsidRDefault="006B07B6" w:rsidP="006B07B6">
            <w:pPr>
              <w:pStyle w:val="Tabletext"/>
            </w:pPr>
            <w:r>
              <w:t>W</w:t>
            </w:r>
            <w:r w:rsidRPr="006B07B6">
              <w:t xml:space="preserve">orksheet 2.1 (Expenditure </w:t>
            </w:r>
            <w:r w:rsidR="003C0C71">
              <w:t>s</w:t>
            </w:r>
            <w:r w:rsidRPr="006B07B6">
              <w:t>ummary) containing:</w:t>
            </w:r>
          </w:p>
          <w:p w:rsidR="006B07B6" w:rsidRPr="000F564B" w:rsidRDefault="006B07B6" w:rsidP="006B07B6">
            <w:pPr>
              <w:pStyle w:val="Bulletpoint2"/>
            </w:pPr>
            <w:r w:rsidRPr="000F564B">
              <w:t xml:space="preserve">Table 2.1.2 Prescribed transmission service </w:t>
            </w:r>
            <w:proofErr w:type="spellStart"/>
            <w:r w:rsidRPr="000F564B">
              <w:t>opex</w:t>
            </w:r>
            <w:proofErr w:type="spellEnd"/>
          </w:p>
          <w:p w:rsidR="006B07B6" w:rsidRPr="006B07B6" w:rsidRDefault="006B07B6" w:rsidP="006B07B6">
            <w:pPr>
              <w:pStyle w:val="Tabletext"/>
            </w:pPr>
            <w:r>
              <w:t>W</w:t>
            </w:r>
            <w:r w:rsidRPr="006B07B6">
              <w:t>orksheet 2.6 (Non-</w:t>
            </w:r>
            <w:r w:rsidR="008F2B99">
              <w:t>n</w:t>
            </w:r>
            <w:r w:rsidRPr="006B07B6">
              <w:t>etwork) containing:</w:t>
            </w:r>
          </w:p>
          <w:p w:rsidR="006B07B6" w:rsidRPr="000F564B" w:rsidRDefault="006B07B6" w:rsidP="006B07B6">
            <w:pPr>
              <w:pStyle w:val="Bulletpoint2"/>
            </w:pPr>
            <w:r w:rsidRPr="000F564B">
              <w:t>Table 2.6.1 Non-</w:t>
            </w:r>
            <w:r w:rsidR="008F2B99">
              <w:t>n</w:t>
            </w:r>
            <w:r w:rsidRPr="000F564B">
              <w:t>etwork expenditure</w:t>
            </w:r>
          </w:p>
          <w:p w:rsidR="006B07B6" w:rsidRPr="006B07B6" w:rsidRDefault="006B07B6" w:rsidP="006B07B6">
            <w:pPr>
              <w:pStyle w:val="Tabletext"/>
            </w:pPr>
            <w:r>
              <w:t>W</w:t>
            </w:r>
            <w:r w:rsidRPr="006B07B6">
              <w:t>orksheet 2.7 (Vegetation management) containing:</w:t>
            </w:r>
          </w:p>
          <w:p w:rsidR="006B07B6" w:rsidRPr="000F564B" w:rsidRDefault="006B07B6" w:rsidP="006B07B6">
            <w:pPr>
              <w:pStyle w:val="Bulletpoint2"/>
            </w:pPr>
            <w:r w:rsidRPr="000F564B">
              <w:lastRenderedPageBreak/>
              <w:t>Table 2.7.2 Expenditure metrics by zone</w:t>
            </w:r>
          </w:p>
          <w:p w:rsidR="006B07B6" w:rsidRPr="006B07B6" w:rsidRDefault="006B07B6" w:rsidP="006B07B6">
            <w:pPr>
              <w:pStyle w:val="Tabletext"/>
            </w:pPr>
            <w:r>
              <w:t>W</w:t>
            </w:r>
            <w:r w:rsidRPr="006B07B6">
              <w:t>orksheet 2.8 (Maintenance) containing:</w:t>
            </w:r>
          </w:p>
          <w:p w:rsidR="006B07B6" w:rsidRPr="000F564B" w:rsidRDefault="006B07B6" w:rsidP="006B07B6">
            <w:pPr>
              <w:pStyle w:val="Bulletpoint2"/>
            </w:pPr>
            <w:r w:rsidRPr="000F564B">
              <w:t>Table 2.8.2 – Cost metrics for routine and non-routine maintenance</w:t>
            </w:r>
          </w:p>
          <w:p w:rsidR="006B07B6" w:rsidRPr="006B07B6" w:rsidRDefault="006B07B6" w:rsidP="006B07B6">
            <w:pPr>
              <w:pStyle w:val="Tabletext"/>
            </w:pPr>
            <w:r>
              <w:t>W</w:t>
            </w:r>
            <w:r w:rsidRPr="006B07B6">
              <w:t>orksheet 2.10 (Overheads) containing:</w:t>
            </w:r>
          </w:p>
          <w:p w:rsidR="006B07B6" w:rsidRPr="000F564B" w:rsidRDefault="006B07B6" w:rsidP="006B07B6">
            <w:pPr>
              <w:pStyle w:val="Bulletpoint2"/>
            </w:pPr>
            <w:r w:rsidRPr="000F564B">
              <w:t>Table 2.10.1 Network overheads expenditure</w:t>
            </w:r>
          </w:p>
          <w:p w:rsidR="006B07B6" w:rsidRPr="000F564B" w:rsidRDefault="006B07B6" w:rsidP="006B07B6">
            <w:pPr>
              <w:pStyle w:val="Bulletpoint2"/>
            </w:pPr>
            <w:r w:rsidRPr="000F564B">
              <w:t xml:space="preserve">Table 2.10.2 Corporate overheads expenditure </w:t>
            </w:r>
          </w:p>
          <w:p w:rsidR="006B07B6" w:rsidRPr="006B07B6" w:rsidRDefault="006B07B6" w:rsidP="006B07B6">
            <w:pPr>
              <w:pStyle w:val="Tabletext"/>
            </w:pPr>
            <w:r>
              <w:t>W</w:t>
            </w:r>
            <w:r w:rsidRPr="006B07B6">
              <w:t>orksheet 2.11 (Labour) containing:</w:t>
            </w:r>
          </w:p>
          <w:p w:rsidR="006B07B6" w:rsidRPr="000F564B" w:rsidRDefault="006B07B6" w:rsidP="006B07B6">
            <w:pPr>
              <w:pStyle w:val="Bulletpoint2"/>
            </w:pPr>
            <w:r w:rsidRPr="000F564B">
              <w:t>Table 2.11.1 Cost metrics per annum</w:t>
            </w:r>
          </w:p>
          <w:p w:rsidR="006B07B6" w:rsidRPr="006B07B6" w:rsidRDefault="006B07B6" w:rsidP="006B07B6">
            <w:pPr>
              <w:pStyle w:val="Tabletext"/>
              <w:rPr>
                <w:rStyle w:val="Emphasis"/>
              </w:rPr>
            </w:pPr>
            <w:r w:rsidRPr="00291F3E">
              <w:rPr>
                <w:rStyle w:val="Emphasis"/>
              </w:rPr>
              <w:t>Economic Benchmarking RIN</w:t>
            </w:r>
          </w:p>
          <w:p w:rsidR="006B07B6" w:rsidRPr="006B07B6" w:rsidRDefault="006B07B6" w:rsidP="006B07B6">
            <w:pPr>
              <w:pStyle w:val="Tabletext"/>
            </w:pPr>
            <w:r>
              <w:t>W</w:t>
            </w:r>
            <w:r w:rsidRPr="006B07B6">
              <w:t xml:space="preserve">orksheet 3.2 (Operating </w:t>
            </w:r>
            <w:r w:rsidR="008F2B99">
              <w:t>e</w:t>
            </w:r>
            <w:r w:rsidRPr="006B07B6">
              <w:t>xpenditure) containing:</w:t>
            </w:r>
          </w:p>
          <w:p w:rsidR="006B07B6" w:rsidRPr="000F564B" w:rsidRDefault="006B07B6" w:rsidP="006B07B6">
            <w:pPr>
              <w:pStyle w:val="Bulletpoint2"/>
            </w:pPr>
            <w:r w:rsidRPr="000F564B">
              <w:t xml:space="preserve">Table 3.2.1 </w:t>
            </w:r>
            <w:proofErr w:type="spellStart"/>
            <w:r w:rsidRPr="000F564B">
              <w:t>Opex</w:t>
            </w:r>
            <w:proofErr w:type="spellEnd"/>
            <w:r w:rsidRPr="000F564B">
              <w:t xml:space="preserve"> categories </w:t>
            </w:r>
          </w:p>
        </w:tc>
      </w:tr>
      <w:tr w:rsidR="006B07B6" w:rsidTr="00597212">
        <w:tc>
          <w:tcPr>
            <w:tcW w:w="3936" w:type="dxa"/>
          </w:tcPr>
          <w:p w:rsidR="006B07B6" w:rsidRPr="000F564B" w:rsidRDefault="006B07B6" w:rsidP="006B07B6">
            <w:pPr>
              <w:pStyle w:val="Tabletext"/>
            </w:pPr>
            <w:r w:rsidRPr="000F564B">
              <w:lastRenderedPageBreak/>
              <w:t>Historic capex by project category</w:t>
            </w:r>
          </w:p>
        </w:tc>
        <w:tc>
          <w:tcPr>
            <w:tcW w:w="5306" w:type="dxa"/>
          </w:tcPr>
          <w:p w:rsidR="006B07B6" w:rsidRPr="006B07B6" w:rsidRDefault="006B07B6" w:rsidP="006B07B6">
            <w:pPr>
              <w:pStyle w:val="Tabletext"/>
              <w:rPr>
                <w:rStyle w:val="Emphasis"/>
              </w:rPr>
            </w:pPr>
            <w:r w:rsidRPr="00291F3E">
              <w:rPr>
                <w:rStyle w:val="Emphasis"/>
              </w:rPr>
              <w:t>Category Analysis RIN</w:t>
            </w:r>
          </w:p>
          <w:p w:rsidR="006B07B6" w:rsidRPr="006B07B6" w:rsidRDefault="006B07B6" w:rsidP="006B07B6">
            <w:pPr>
              <w:pStyle w:val="Tabletext"/>
            </w:pPr>
            <w:r>
              <w:t>W</w:t>
            </w:r>
            <w:r w:rsidRPr="006B07B6">
              <w:t xml:space="preserve">orksheet 2.1 (Expenditure </w:t>
            </w:r>
            <w:r w:rsidR="008F2B99">
              <w:t>s</w:t>
            </w:r>
            <w:r w:rsidRPr="006B07B6">
              <w:t>ummary) containing:</w:t>
            </w:r>
          </w:p>
          <w:p w:rsidR="006B07B6" w:rsidRPr="000F564B" w:rsidRDefault="006B07B6" w:rsidP="006B07B6">
            <w:pPr>
              <w:pStyle w:val="Bulletpoint2"/>
            </w:pPr>
            <w:r w:rsidRPr="000F564B">
              <w:t>Table 2.1.1 Prescribed transmission service capex</w:t>
            </w:r>
          </w:p>
          <w:p w:rsidR="006B07B6" w:rsidRPr="000F564B" w:rsidRDefault="006B07B6" w:rsidP="006B07B6">
            <w:pPr>
              <w:pStyle w:val="Tabletext"/>
            </w:pPr>
            <w:r w:rsidRPr="000F564B">
              <w:t>Worksheet 2.2 (</w:t>
            </w:r>
            <w:proofErr w:type="spellStart"/>
            <w:r w:rsidRPr="000F564B">
              <w:t>Repex</w:t>
            </w:r>
            <w:proofErr w:type="spellEnd"/>
            <w:r w:rsidRPr="000F564B">
              <w:t>) containing:</w:t>
            </w:r>
          </w:p>
          <w:p w:rsidR="006B07B6" w:rsidRPr="000F564B" w:rsidRDefault="006B07B6" w:rsidP="006B07B6">
            <w:pPr>
              <w:pStyle w:val="Bulletpoint2"/>
            </w:pPr>
            <w:r w:rsidRPr="000F564B">
              <w:t>Table 2.2.1 – Replacement expenditure, volumes and asset failures by asset category</w:t>
            </w:r>
          </w:p>
          <w:p w:rsidR="006B07B6" w:rsidRPr="000F564B" w:rsidRDefault="006B07B6" w:rsidP="006B07B6">
            <w:pPr>
              <w:pStyle w:val="Tabletext"/>
            </w:pPr>
            <w:r w:rsidRPr="000F564B">
              <w:t>Worksheet 2.3 (</w:t>
            </w:r>
            <w:proofErr w:type="spellStart"/>
            <w:r w:rsidRPr="000F564B">
              <w:t>Augex</w:t>
            </w:r>
            <w:proofErr w:type="spellEnd"/>
            <w:r w:rsidRPr="000F564B">
              <w:t>) containing:</w:t>
            </w:r>
          </w:p>
          <w:p w:rsidR="006B07B6" w:rsidRPr="000F564B" w:rsidRDefault="006B07B6" w:rsidP="006B07B6">
            <w:pPr>
              <w:pStyle w:val="Bulletpoint2"/>
            </w:pPr>
            <w:r w:rsidRPr="000F564B">
              <w:t xml:space="preserve">Table 2.3.1 – </w:t>
            </w:r>
            <w:proofErr w:type="spellStart"/>
            <w:r w:rsidRPr="000F564B">
              <w:t>Augex</w:t>
            </w:r>
            <w:proofErr w:type="spellEnd"/>
            <w:r w:rsidRPr="000F564B">
              <w:t xml:space="preserve"> data substations</w:t>
            </w:r>
          </w:p>
          <w:p w:rsidR="006B07B6" w:rsidRPr="000F564B" w:rsidRDefault="006B07B6" w:rsidP="006B07B6">
            <w:pPr>
              <w:pStyle w:val="Bulletpoint2"/>
            </w:pPr>
            <w:r w:rsidRPr="000F564B">
              <w:t xml:space="preserve">Table 2.3.2 – </w:t>
            </w:r>
            <w:proofErr w:type="spellStart"/>
            <w:r w:rsidRPr="000F564B">
              <w:t>Augex</w:t>
            </w:r>
            <w:proofErr w:type="spellEnd"/>
            <w:r w:rsidRPr="000F564B">
              <w:t xml:space="preserve"> asset data lines</w:t>
            </w:r>
          </w:p>
          <w:p w:rsidR="006B07B6" w:rsidRPr="000F564B" w:rsidRDefault="006B07B6" w:rsidP="006B07B6">
            <w:pPr>
              <w:pStyle w:val="Bulletpoint2"/>
            </w:pPr>
            <w:r w:rsidRPr="000F564B">
              <w:t xml:space="preserve">Table 2.3.3 – </w:t>
            </w:r>
            <w:proofErr w:type="spellStart"/>
            <w:r w:rsidRPr="000F564B">
              <w:t>Augex</w:t>
            </w:r>
            <w:proofErr w:type="spellEnd"/>
            <w:r w:rsidRPr="000F564B">
              <w:t xml:space="preserve"> total expenditure</w:t>
            </w:r>
          </w:p>
          <w:p w:rsidR="006B07B6" w:rsidRPr="000F564B" w:rsidRDefault="006B07B6" w:rsidP="006B07B6">
            <w:pPr>
              <w:pStyle w:val="Tabletext"/>
            </w:pPr>
            <w:r w:rsidRPr="000F564B">
              <w:t>Worksheet 2.5 (Connections) containing:</w:t>
            </w:r>
          </w:p>
          <w:p w:rsidR="006B07B6" w:rsidRPr="000F564B" w:rsidRDefault="006B07B6" w:rsidP="006B07B6">
            <w:pPr>
              <w:pStyle w:val="Bulletpoint2"/>
            </w:pPr>
            <w:r w:rsidRPr="000F564B">
              <w:t>Table 2.5.1 Expenditure on connection projects</w:t>
            </w:r>
          </w:p>
          <w:p w:rsidR="006B07B6" w:rsidRPr="000F564B" w:rsidRDefault="006B07B6" w:rsidP="006B07B6">
            <w:pPr>
              <w:pStyle w:val="Tabletext"/>
            </w:pPr>
            <w:r w:rsidRPr="000F564B">
              <w:t>Worksheet 2.6 (Non-</w:t>
            </w:r>
            <w:r w:rsidR="008F2B99">
              <w:t>n</w:t>
            </w:r>
            <w:r w:rsidRPr="000F564B">
              <w:t>etwork) containing:</w:t>
            </w:r>
          </w:p>
          <w:p w:rsidR="006B07B6" w:rsidRPr="006B07B6" w:rsidRDefault="006B07B6" w:rsidP="006B07B6">
            <w:pPr>
              <w:pStyle w:val="Bulletpoint2"/>
              <w:rPr>
                <w:rStyle w:val="Bold"/>
              </w:rPr>
            </w:pPr>
            <w:r w:rsidRPr="000F564B">
              <w:t>Table 2.6.1 Non-</w:t>
            </w:r>
            <w:r w:rsidR="008F2B99">
              <w:t>n</w:t>
            </w:r>
            <w:r w:rsidRPr="000F564B">
              <w:t>etwork expenditure</w:t>
            </w:r>
          </w:p>
        </w:tc>
      </w:tr>
      <w:tr w:rsidR="006B07B6" w:rsidTr="00597212">
        <w:trPr>
          <w:cnfStyle w:val="000000010000" w:firstRow="0" w:lastRow="0" w:firstColumn="0" w:lastColumn="0" w:oddVBand="0" w:evenVBand="0" w:oddHBand="0" w:evenHBand="1" w:firstRowFirstColumn="0" w:firstRowLastColumn="0" w:lastRowFirstColumn="0" w:lastRowLastColumn="0"/>
        </w:trPr>
        <w:tc>
          <w:tcPr>
            <w:tcW w:w="3936" w:type="dxa"/>
          </w:tcPr>
          <w:p w:rsidR="006B07B6" w:rsidRPr="006B07B6" w:rsidRDefault="006B07B6" w:rsidP="006B07B6">
            <w:pPr>
              <w:pStyle w:val="Tabletext"/>
            </w:pPr>
            <w:r w:rsidRPr="000F564B">
              <w:t>Historic capex – Network – by project</w:t>
            </w:r>
          </w:p>
        </w:tc>
        <w:tc>
          <w:tcPr>
            <w:tcW w:w="5306" w:type="dxa"/>
          </w:tcPr>
          <w:p w:rsidR="006B07B6" w:rsidRPr="00291F3E" w:rsidRDefault="006B07B6" w:rsidP="006B07B6">
            <w:pPr>
              <w:pStyle w:val="Tabletext"/>
              <w:rPr>
                <w:rStyle w:val="Emphasis"/>
              </w:rPr>
            </w:pPr>
            <w:r w:rsidRPr="00291F3E">
              <w:rPr>
                <w:rStyle w:val="Emphasis"/>
              </w:rPr>
              <w:t>Category Analysis RIN</w:t>
            </w:r>
          </w:p>
          <w:p w:rsidR="006B07B6" w:rsidRPr="000F564B" w:rsidRDefault="006B07B6" w:rsidP="006B07B6">
            <w:pPr>
              <w:pStyle w:val="Tabletext"/>
            </w:pPr>
            <w:r w:rsidRPr="000F564B">
              <w:t>Worksheet 2.3 (</w:t>
            </w:r>
            <w:proofErr w:type="spellStart"/>
            <w:r w:rsidRPr="000F564B">
              <w:t>Augex</w:t>
            </w:r>
            <w:proofErr w:type="spellEnd"/>
            <w:r w:rsidRPr="000F564B">
              <w:t>) containing:</w:t>
            </w:r>
          </w:p>
          <w:p w:rsidR="006B07B6" w:rsidRPr="000F564B" w:rsidRDefault="006B07B6" w:rsidP="006B07B6">
            <w:pPr>
              <w:pStyle w:val="Bulletpoint2"/>
            </w:pPr>
            <w:r w:rsidRPr="000F564B">
              <w:t xml:space="preserve">Table 2.3.1 – </w:t>
            </w:r>
            <w:proofErr w:type="spellStart"/>
            <w:r w:rsidRPr="000F564B">
              <w:t>Augex</w:t>
            </w:r>
            <w:proofErr w:type="spellEnd"/>
            <w:r w:rsidRPr="000F564B">
              <w:t xml:space="preserve"> data substations</w:t>
            </w:r>
          </w:p>
          <w:p w:rsidR="006B07B6" w:rsidRPr="000F564B" w:rsidRDefault="006B07B6" w:rsidP="006B07B6">
            <w:pPr>
              <w:pStyle w:val="Bulletpoint2"/>
            </w:pPr>
            <w:r w:rsidRPr="000F564B">
              <w:lastRenderedPageBreak/>
              <w:t xml:space="preserve">Table 2.3.2 – </w:t>
            </w:r>
            <w:proofErr w:type="spellStart"/>
            <w:r w:rsidRPr="000F564B">
              <w:t>Augex</w:t>
            </w:r>
            <w:proofErr w:type="spellEnd"/>
            <w:r w:rsidRPr="000F564B">
              <w:t xml:space="preserve"> asset data lines</w:t>
            </w:r>
          </w:p>
          <w:p w:rsidR="006B07B6" w:rsidRPr="000F564B" w:rsidRDefault="006B07B6" w:rsidP="006B07B6">
            <w:pPr>
              <w:pStyle w:val="Bulletpoint2"/>
            </w:pPr>
            <w:r w:rsidRPr="000F564B">
              <w:t xml:space="preserve">Table 2.3.3 – </w:t>
            </w:r>
            <w:proofErr w:type="spellStart"/>
            <w:r w:rsidRPr="000F564B">
              <w:t>Augex</w:t>
            </w:r>
            <w:proofErr w:type="spellEnd"/>
            <w:r w:rsidRPr="000F564B">
              <w:t xml:space="preserve"> total expenditure </w:t>
            </w:r>
          </w:p>
          <w:p w:rsidR="006B07B6" w:rsidRPr="006B07B6" w:rsidRDefault="006B07B6" w:rsidP="006B07B6">
            <w:pPr>
              <w:pStyle w:val="Tabletext"/>
            </w:pPr>
            <w:r w:rsidRPr="000F564B">
              <w:t xml:space="preserve">Worksheet 2.5 </w:t>
            </w:r>
            <w:r w:rsidRPr="006B07B6">
              <w:t>(Connections) containing:</w:t>
            </w:r>
          </w:p>
          <w:p w:rsidR="006B07B6" w:rsidRPr="006B07B6" w:rsidRDefault="006B07B6" w:rsidP="006B07B6">
            <w:pPr>
              <w:pStyle w:val="Bulletpoint2"/>
              <w:rPr>
                <w:rStyle w:val="Bold"/>
              </w:rPr>
            </w:pPr>
            <w:r w:rsidRPr="000F564B">
              <w:t>Table 2.5.1 Expenditure on connection projects</w:t>
            </w:r>
          </w:p>
        </w:tc>
      </w:tr>
    </w:tbl>
    <w:p w:rsidR="00597212" w:rsidRPr="00597212" w:rsidRDefault="00597212" w:rsidP="00597212">
      <w:pPr>
        <w:pStyle w:val="Heading3"/>
      </w:pPr>
      <w:bookmarkStart w:id="14" w:name="_Toc415580984"/>
      <w:r w:rsidRPr="00597212">
        <w:lastRenderedPageBreak/>
        <w:t>Removal of redundant reporting requirements</w:t>
      </w:r>
      <w:bookmarkEnd w:id="14"/>
    </w:p>
    <w:p w:rsidR="00597212" w:rsidRPr="00597212" w:rsidRDefault="00597212" w:rsidP="00597212">
      <w:r w:rsidRPr="00597212">
        <w:t>In the draft Information Guideline we proposed removing those reporting requirements we considered redundant.</w:t>
      </w:r>
      <w:r>
        <w:rPr>
          <w:rStyle w:val="FootnoteReference"/>
        </w:rPr>
        <w:footnoteReference w:id="27"/>
      </w:r>
      <w:r w:rsidRPr="00597212">
        <w:t xml:space="preserve"> No concerns were raised during the consultation process on the draft Information Guideline about our proposed approach. For this reason, we are maintaining the removal of these redundant reporting requirements in the final Guideline. We are also removing from the final Information Guideline (Version 2) some additional reporting requirements following our consideration of Grid Australia's submission. These are discussed below.</w:t>
      </w:r>
    </w:p>
    <w:p w:rsidR="00597212" w:rsidRPr="00597212" w:rsidRDefault="00597212" w:rsidP="00597212">
      <w:pPr>
        <w:pStyle w:val="Heading4"/>
      </w:pPr>
      <w:r w:rsidRPr="00597212">
        <w:t>Demand forecast information</w:t>
      </w:r>
    </w:p>
    <w:p w:rsidR="00597212" w:rsidRPr="00597212" w:rsidRDefault="00597212" w:rsidP="00597212">
      <w:r w:rsidRPr="00597212">
        <w:t xml:space="preserve">Grid Australia, in their submission, sought clarification from </w:t>
      </w:r>
      <w:r w:rsidR="0070332D">
        <w:t>us</w:t>
      </w:r>
      <w:r w:rsidRPr="00597212">
        <w:t xml:space="preserve"> on the intent of the demand forecast information expected under clause 3.3 of the draft Information Guideline (Version 2).</w:t>
      </w:r>
      <w:r>
        <w:rPr>
          <w:rStyle w:val="FootnoteReference"/>
        </w:rPr>
        <w:footnoteReference w:id="28"/>
      </w:r>
      <w:r w:rsidRPr="00597212">
        <w:t xml:space="preserve"> Grid Australia also noted that the information </w:t>
      </w:r>
      <w:r w:rsidR="0070332D">
        <w:t>we require</w:t>
      </w:r>
      <w:r w:rsidRPr="00597212">
        <w:t xml:space="preserve"> is potentially captured by publicly available documents such as Annual Planning Reports. </w:t>
      </w:r>
    </w:p>
    <w:p w:rsidR="00597212" w:rsidRPr="00597212" w:rsidRDefault="00597212" w:rsidP="00597212">
      <w:r w:rsidRPr="00597212">
        <w:t xml:space="preserve">We consider the reporting requirement under clause 3.3 is redundant and as such </w:t>
      </w:r>
      <w:r w:rsidR="001D4F75">
        <w:t xml:space="preserve">we have </w:t>
      </w:r>
      <w:r w:rsidRPr="00597212">
        <w:t xml:space="preserve">removed </w:t>
      </w:r>
      <w:r w:rsidR="001D4F75">
        <w:t xml:space="preserve">it </w:t>
      </w:r>
      <w:r w:rsidRPr="00597212">
        <w:t>from the</w:t>
      </w:r>
      <w:r w:rsidR="001D4F75">
        <w:t xml:space="preserve"> final</w:t>
      </w:r>
      <w:r w:rsidRPr="00597212">
        <w:t xml:space="preserve"> Information Guideline</w:t>
      </w:r>
      <w:r w:rsidR="00E71715">
        <w:t xml:space="preserve"> (Version 2)</w:t>
      </w:r>
      <w:r w:rsidRPr="00597212">
        <w:t xml:space="preserve">. We can generally obtain this information from the TNSPs' Annual Planning Reports. </w:t>
      </w:r>
      <w:r w:rsidR="001D4F75">
        <w:t>I</w:t>
      </w:r>
      <w:r w:rsidRPr="00597212">
        <w:t>f the most up to date demand forecast is not found in the Annual Planning Report</w:t>
      </w:r>
      <w:r w:rsidR="001D4F75">
        <w:t xml:space="preserve"> i</w:t>
      </w:r>
      <w:r w:rsidR="001D4F75" w:rsidRPr="00597212">
        <w:t>nformation requests will be used to obtain this</w:t>
      </w:r>
      <w:r w:rsidR="001D4F75">
        <w:t xml:space="preserve"> data</w:t>
      </w:r>
      <w:r w:rsidRPr="00597212">
        <w:t>.</w:t>
      </w:r>
    </w:p>
    <w:p w:rsidR="00597212" w:rsidRPr="00597212" w:rsidRDefault="00597212" w:rsidP="00597212">
      <w:pPr>
        <w:pStyle w:val="Heading4"/>
      </w:pPr>
      <w:r w:rsidRPr="00597212">
        <w:t>Regulatory adjustment journal worksheet</w:t>
      </w:r>
    </w:p>
    <w:p w:rsidR="00597212" w:rsidRPr="00597212" w:rsidRDefault="00597212" w:rsidP="00597212">
      <w:r w:rsidRPr="00597212">
        <w:t>Grid Australia also wa</w:t>
      </w:r>
      <w:r w:rsidR="00AD7B2C">
        <w:t>nted clarity in regards to the 'R</w:t>
      </w:r>
      <w:r w:rsidRPr="00597212">
        <w:t>egulatory adjustment journal</w:t>
      </w:r>
      <w:r w:rsidR="00AD7B2C">
        <w:t>'</w:t>
      </w:r>
      <w:r w:rsidRPr="00597212">
        <w:t xml:space="preserve"> and the information required to be provided given that under the draft Information Guideline (Version 2) TNSPs are not required to prepare a regulatory balance sheet.</w:t>
      </w:r>
      <w:r w:rsidR="002D1FD7">
        <w:rPr>
          <w:rStyle w:val="FootnoteReference"/>
        </w:rPr>
        <w:footnoteReference w:id="29"/>
      </w:r>
      <w:r w:rsidRPr="00597212">
        <w:t xml:space="preserve"> We </w:t>
      </w:r>
      <w:r w:rsidR="00A77B23">
        <w:t>note that the regulatory adjustment journal may still be used by TNSPs when preparing the</w:t>
      </w:r>
      <w:r w:rsidR="002F4B9D">
        <w:t>ir</w:t>
      </w:r>
      <w:r w:rsidR="00A77B23">
        <w:t xml:space="preserve"> income </w:t>
      </w:r>
      <w:r w:rsidR="002F4B9D">
        <w:lastRenderedPageBreak/>
        <w:t>statements</w:t>
      </w:r>
      <w:r w:rsidR="00A77B23">
        <w:t>. Therefore,</w:t>
      </w:r>
      <w:r w:rsidR="002F4B9D">
        <w:t xml:space="preserve"> rather than removing this worksheet altogether </w:t>
      </w:r>
      <w:r w:rsidR="00A77B23">
        <w:t xml:space="preserve">we have decided </w:t>
      </w:r>
      <w:r w:rsidRPr="00597212">
        <w:t>to amend</w:t>
      </w:r>
      <w:r w:rsidR="00A77B23">
        <w:t xml:space="preserve"> the notes in the r</w:t>
      </w:r>
      <w:r w:rsidRPr="00597212">
        <w:t xml:space="preserve">egulatory </w:t>
      </w:r>
      <w:r w:rsidR="00A77B23">
        <w:t>a</w:t>
      </w:r>
      <w:r w:rsidRPr="00597212">
        <w:t xml:space="preserve">djustment </w:t>
      </w:r>
      <w:r w:rsidR="00A77B23">
        <w:t xml:space="preserve">worksheet </w:t>
      </w:r>
      <w:r w:rsidRPr="00597212">
        <w:t>to remove the reference</w:t>
      </w:r>
      <w:r w:rsidR="00A77B23">
        <w:t>s</w:t>
      </w:r>
      <w:r w:rsidRPr="00597212">
        <w:t xml:space="preserve"> to the </w:t>
      </w:r>
      <w:r w:rsidR="00E71715" w:rsidRPr="00E71715">
        <w:rPr>
          <w:rStyle w:val="Emphasis"/>
        </w:rPr>
        <w:t>'</w:t>
      </w:r>
      <w:r w:rsidRPr="00E71715">
        <w:rPr>
          <w:rStyle w:val="Emphasis"/>
        </w:rPr>
        <w:t>Balance Sheet</w:t>
      </w:r>
      <w:r w:rsidR="00E71715" w:rsidRPr="00E71715">
        <w:rPr>
          <w:rStyle w:val="Emphasis"/>
        </w:rPr>
        <w:t>'</w:t>
      </w:r>
      <w:r w:rsidRPr="00597212">
        <w:t>.</w:t>
      </w:r>
    </w:p>
    <w:p w:rsidR="00597212" w:rsidRPr="00597212" w:rsidRDefault="00597212" w:rsidP="00597212">
      <w:pPr>
        <w:pStyle w:val="Heading4"/>
      </w:pPr>
      <w:r>
        <w:t>Asset Schedules and supporting papers</w:t>
      </w:r>
    </w:p>
    <w:p w:rsidR="006B07B6" w:rsidRDefault="00196AC5" w:rsidP="00597212">
      <w:r>
        <w:t>We</w:t>
      </w:r>
      <w:r w:rsidR="00597212" w:rsidRPr="00597212">
        <w:t xml:space="preserve"> also consider the </w:t>
      </w:r>
      <w:r w:rsidR="00AD7B2C">
        <w:t>'</w:t>
      </w:r>
      <w:r w:rsidR="00597212" w:rsidRPr="00597212">
        <w:t xml:space="preserve">Reconciliation of </w:t>
      </w:r>
      <w:r w:rsidR="00AD7B2C">
        <w:t>p</w:t>
      </w:r>
      <w:r w:rsidR="00597212" w:rsidRPr="00597212">
        <w:t xml:space="preserve">roperty, </w:t>
      </w:r>
      <w:r w:rsidR="00AD7B2C">
        <w:t>p</w:t>
      </w:r>
      <w:r w:rsidR="00597212" w:rsidRPr="00597212">
        <w:t xml:space="preserve">lant and </w:t>
      </w:r>
      <w:r w:rsidR="00AD7B2C">
        <w:t>e</w:t>
      </w:r>
      <w:r w:rsidR="00597212" w:rsidRPr="00597212">
        <w:t>quipment</w:t>
      </w:r>
      <w:r w:rsidR="00AD7B2C">
        <w:t>'</w:t>
      </w:r>
      <w:r w:rsidR="00597212" w:rsidRPr="00597212">
        <w:t xml:space="preserve"> and </w:t>
      </w:r>
      <w:r w:rsidR="00AD7B2C">
        <w:t>'</w:t>
      </w:r>
      <w:r w:rsidR="00597212" w:rsidRPr="00597212">
        <w:t xml:space="preserve">Summary of </w:t>
      </w:r>
      <w:r w:rsidR="00AD7B2C">
        <w:t>d</w:t>
      </w:r>
      <w:r w:rsidR="00597212" w:rsidRPr="00597212">
        <w:t xml:space="preserve">isaggregation </w:t>
      </w:r>
      <w:r w:rsidR="00AD7B2C">
        <w:t>s</w:t>
      </w:r>
      <w:r w:rsidR="00597212" w:rsidRPr="00597212">
        <w:t xml:space="preserve">tatement of </w:t>
      </w:r>
      <w:r w:rsidR="00AD7B2C">
        <w:t>a</w:t>
      </w:r>
      <w:r w:rsidR="00597212" w:rsidRPr="00597212">
        <w:t>ssets</w:t>
      </w:r>
      <w:r w:rsidR="00AD7B2C">
        <w:t>'</w:t>
      </w:r>
      <w:r w:rsidR="00597212" w:rsidRPr="00597212">
        <w:t xml:space="preserve"> worksheets in Appendix A to be redunda</w:t>
      </w:r>
      <w:r w:rsidR="00295B3D">
        <w:t>nt</w:t>
      </w:r>
      <w:r w:rsidR="003A714B">
        <w:t>.</w:t>
      </w:r>
      <w:r w:rsidR="00E71715">
        <w:t xml:space="preserve"> W</w:t>
      </w:r>
      <w:r w:rsidR="003A41CE">
        <w:t xml:space="preserve">e no longer require a balance sheet, cash flow statement and their disaggregated forms in the annual regulatory financial statements for electricity distributors and gas businesses. This is because we moved away from an accounting approach as we did not consider the benefits of having this data outweighed the cost to the businesses of providing this information. Consistent with this approach we consider these worksheets </w:t>
      </w:r>
      <w:r w:rsidR="00EE4A64">
        <w:t xml:space="preserve">are </w:t>
      </w:r>
      <w:r w:rsidR="003A41CE">
        <w:t xml:space="preserve">no longer required. </w:t>
      </w:r>
    </w:p>
    <w:p w:rsidR="00FB6AAC" w:rsidRPr="00FB6AAC" w:rsidRDefault="00FB6AAC" w:rsidP="00FB6AAC">
      <w:pPr>
        <w:pStyle w:val="Heading3"/>
      </w:pPr>
      <w:bookmarkStart w:id="15" w:name="_Toc415580985"/>
      <w:r w:rsidRPr="00FB6AAC">
        <w:t>Assurance requirements</w:t>
      </w:r>
      <w:bookmarkEnd w:id="15"/>
    </w:p>
    <w:p w:rsidR="00FB6AAC" w:rsidRPr="00FB6AAC" w:rsidRDefault="001E134D" w:rsidP="00FB6AAC">
      <w:r w:rsidRPr="00FB6AAC">
        <w:t xml:space="preserve">Grid Australia proposed that the </w:t>
      </w:r>
      <w:r>
        <w:t>requirement</w:t>
      </w:r>
      <w:r w:rsidRPr="00FB6AAC">
        <w:t xml:space="preserve"> for a directors' responsibility statement </w:t>
      </w:r>
      <w:r>
        <w:t xml:space="preserve">be retained </w:t>
      </w:r>
      <w:r w:rsidRPr="00FB6AAC">
        <w:t xml:space="preserve">and that the </w:t>
      </w:r>
      <w:r w:rsidR="00D418F4">
        <w:t xml:space="preserve">statutory declaration </w:t>
      </w:r>
      <w:r w:rsidRPr="00FB6AAC">
        <w:t xml:space="preserve">requirement, proposed in the draft Information Guideline (Version 2), certifying that </w:t>
      </w:r>
      <w:r w:rsidR="00D418F4">
        <w:t>the</w:t>
      </w:r>
      <w:r w:rsidRPr="00FB6AAC">
        <w:t xml:space="preserve"> regulatory accounts are true and accurate not be adopted</w:t>
      </w:r>
      <w:r w:rsidR="00D418F4">
        <w:t>.</w:t>
      </w:r>
      <w:r w:rsidR="00D418F4">
        <w:rPr>
          <w:rStyle w:val="FootnoteReference"/>
        </w:rPr>
        <w:footnoteReference w:id="30"/>
      </w:r>
      <w:r w:rsidR="00692B8B">
        <w:t xml:space="preserve"> </w:t>
      </w:r>
    </w:p>
    <w:p w:rsidR="00EE4A64" w:rsidRPr="00EE4A64" w:rsidRDefault="00EE4A64" w:rsidP="00EE4A64">
      <w:r w:rsidRPr="00EE4A64">
        <w:t>The assurance requirements in the 2007 Information Guideline included the provision of a directors’ responsibility statement along with an audit of financial information. In the draft Information Guideline (Version 2) we replaced the directors’ responsibility statement with a statutory declaration (to be completed by an ‘officer’ of the TNSP).</w:t>
      </w:r>
      <w:r>
        <w:rPr>
          <w:rStyle w:val="FootnoteReference"/>
        </w:rPr>
        <w:footnoteReference w:id="31"/>
      </w:r>
      <w:r w:rsidRPr="00EE4A64">
        <w:t xml:space="preserve"> We made this change on the basis that it was consistent with </w:t>
      </w:r>
      <w:r w:rsidR="00196AC5">
        <w:t>our</w:t>
      </w:r>
      <w:r w:rsidRPr="00EE4A64">
        <w:t xml:space="preserve"> approach to annual reporting assurance requirements for electricity distributors and gas businesses.</w:t>
      </w:r>
    </w:p>
    <w:p w:rsidR="00EE4A64" w:rsidRPr="00EE4A64" w:rsidRDefault="00EE4A64" w:rsidP="00EE4A64">
      <w:r w:rsidRPr="00EE4A64">
        <w:t xml:space="preserve">We have considered Grid Australia’s proposal and are of the opinion that it is appropriate to amend clause </w:t>
      </w:r>
      <w:r>
        <w:t>2.14</w:t>
      </w:r>
      <w:r w:rsidRPr="00EE4A64">
        <w:t xml:space="preserve"> so as to only require a directors’ responsibility statement. In reaching this view, we first note that the Better Regulation and Reset RINs require a statutory declaration. As outlined in the explanatory statement for the Category Analysis RIN, </w:t>
      </w:r>
      <w:r>
        <w:t xml:space="preserve">we </w:t>
      </w:r>
      <w:r w:rsidRPr="00EE4A64">
        <w:t>recognised that the statutory declaration sign off is a higher standard that reflects the significant time and effort spent in revising the expenditure reporting requirements and the increased importance of this information in future expenditure assessments.</w:t>
      </w:r>
      <w:r w:rsidR="00074402">
        <w:rPr>
          <w:rStyle w:val="FootnoteReference"/>
        </w:rPr>
        <w:footnoteReference w:id="32"/>
      </w:r>
      <w:r w:rsidRPr="00EE4A64">
        <w:t xml:space="preserve"> In other words, as the information is us</w:t>
      </w:r>
      <w:r w:rsidR="00074402">
        <w:t xml:space="preserve">ed as part of the </w:t>
      </w:r>
      <w:r w:rsidR="00E71715">
        <w:t>r</w:t>
      </w:r>
      <w:r w:rsidR="00074402">
        <w:t xml:space="preserve">eset process, we </w:t>
      </w:r>
      <w:r w:rsidRPr="00EE4A64">
        <w:t>need to be assured of its accuracy and truthfulness.</w:t>
      </w:r>
    </w:p>
    <w:p w:rsidR="00EE4A64" w:rsidRPr="00EE4A64" w:rsidRDefault="00EE4A64" w:rsidP="00EE4A64">
      <w:r w:rsidRPr="00EE4A64">
        <w:t xml:space="preserve">The Information Guideline is specifically required under Chapter 6A of the NER and sets out the data requirements TNSPs must provide to us in their annual statements. Unlike the </w:t>
      </w:r>
      <w:r w:rsidRPr="00EE4A64">
        <w:lastRenderedPageBreak/>
        <w:t>Better Regulation RINs this information</w:t>
      </w:r>
      <w:r w:rsidR="00E71715">
        <w:t>,</w:t>
      </w:r>
      <w:r w:rsidRPr="00EE4A64">
        <w:t xml:space="preserve"> which TNSPs are required to submit to us under the NER</w:t>
      </w:r>
      <w:r w:rsidR="00E71715">
        <w:t>,</w:t>
      </w:r>
      <w:r w:rsidRPr="00EE4A64">
        <w:t xml:space="preserve"> is currently primarily used for performance reporting.</w:t>
      </w:r>
    </w:p>
    <w:p w:rsidR="0031359D" w:rsidRPr="0031359D" w:rsidRDefault="0031359D" w:rsidP="0031359D">
      <w:r w:rsidRPr="0031359D">
        <w:t xml:space="preserve">The appropriate assurance standard should take into account the purpose for which the data is collected, as well as the costs of compliance. The information collected under the Information Guideline is subject to positive audit review, as well as the further assurance provided by the directors’ sign off (or Statutory Declaration). We consider that as we do not use information collected under the Information Guideline in the same way as information collected under RINs, we do not have to apply the same assurance standard, and </w:t>
      </w:r>
      <w:r>
        <w:t>have</w:t>
      </w:r>
      <w:r w:rsidRPr="0031359D">
        <w:t xml:space="preserve"> revert</w:t>
      </w:r>
      <w:r>
        <w:t>ed</w:t>
      </w:r>
      <w:r w:rsidRPr="0031359D">
        <w:t xml:space="preserve"> to the directors</w:t>
      </w:r>
      <w:r w:rsidR="00ED6287">
        <w:t>'</w:t>
      </w:r>
      <w:r w:rsidRPr="0031359D">
        <w:t xml:space="preserve"> responsibility statement, as previously applied.</w:t>
      </w:r>
    </w:p>
    <w:p w:rsidR="0031359D" w:rsidRPr="0031359D" w:rsidRDefault="0031359D" w:rsidP="0031359D">
      <w:r w:rsidRPr="0031359D">
        <w:t>Reverting to a directors’ responsibility statement in the Information Guideline will mean that the current assurance requirements continue and TNSPs do not incur any additional compliance costs. We note that adopting this position does not preclude us from reconsidering our position in the future, for example if we move to a RIN based regime.</w:t>
      </w:r>
    </w:p>
    <w:p w:rsidR="006B07B6" w:rsidRDefault="00FB6AAC" w:rsidP="00FB6AAC">
      <w:r w:rsidRPr="00FB6AAC">
        <w:t xml:space="preserve">For the reasons discussed above, we are amending clause 2.14 so as to delete </w:t>
      </w:r>
      <w:r w:rsidR="00074402">
        <w:t xml:space="preserve">the </w:t>
      </w:r>
      <w:r w:rsidRPr="00FB6AAC">
        <w:t xml:space="preserve">reference to a statutory declaration and </w:t>
      </w:r>
      <w:r w:rsidR="00D44A1F">
        <w:t xml:space="preserve">instead </w:t>
      </w:r>
      <w:r w:rsidRPr="00FB6AAC">
        <w:t xml:space="preserve">insert a requirement for a directors' responsibility statement. </w:t>
      </w:r>
      <w:r w:rsidR="00074402">
        <w:t xml:space="preserve">This change will mean that the directors' responsibility statement requirements in the final Information Guideline (Version 2) will be the same as those </w:t>
      </w:r>
      <w:r w:rsidRPr="00FB6AAC">
        <w:t>in the original Information Guideline (2007).</w:t>
      </w:r>
      <w:r>
        <w:rPr>
          <w:rStyle w:val="FootnoteReference"/>
        </w:rPr>
        <w:footnoteReference w:id="33"/>
      </w:r>
    </w:p>
    <w:p w:rsidR="00FB6AAC" w:rsidRPr="00FB6AAC" w:rsidRDefault="00FB6AAC" w:rsidP="00FB6AAC">
      <w:pPr>
        <w:pStyle w:val="Heading3"/>
      </w:pPr>
      <w:bookmarkStart w:id="16" w:name="_Toc415580986"/>
      <w:r w:rsidRPr="00FB6AAC">
        <w:t>Other issues</w:t>
      </w:r>
      <w:bookmarkEnd w:id="16"/>
    </w:p>
    <w:p w:rsidR="00FB6AAC" w:rsidRPr="00FB6AAC" w:rsidRDefault="00FB6AAC" w:rsidP="00FB6AAC">
      <w:pPr>
        <w:pStyle w:val="Heading4"/>
      </w:pPr>
      <w:r w:rsidRPr="00FB6AAC">
        <w:t xml:space="preserve">Reporting period  </w:t>
      </w:r>
    </w:p>
    <w:p w:rsidR="00FB6AAC" w:rsidRPr="00FB6AAC" w:rsidRDefault="00FB6AAC" w:rsidP="00FB6AAC">
      <w:r w:rsidRPr="00FB6AAC">
        <w:t xml:space="preserve">Grid Australia in its submission </w:t>
      </w:r>
      <w:r w:rsidR="001D4F75">
        <w:t xml:space="preserve">sought </w:t>
      </w:r>
      <w:r w:rsidRPr="00FB6AAC">
        <w:t xml:space="preserve">to clarify when </w:t>
      </w:r>
      <w:r w:rsidR="00196AC5">
        <w:t>we intend</w:t>
      </w:r>
      <w:r w:rsidRPr="00FB6AAC">
        <w:t xml:space="preserve"> to publish the Guideline and when the first applicable reporting period would be.</w:t>
      </w:r>
      <w:r>
        <w:rPr>
          <w:rStyle w:val="FootnoteReference"/>
        </w:rPr>
        <w:footnoteReference w:id="34"/>
      </w:r>
      <w:r w:rsidRPr="00FB6AAC">
        <w:t xml:space="preserve"> We intend to publish the </w:t>
      </w:r>
      <w:r w:rsidR="001D4F75">
        <w:t>f</w:t>
      </w:r>
      <w:r w:rsidRPr="00FB6AAC">
        <w:t xml:space="preserve">inal </w:t>
      </w:r>
      <w:r w:rsidR="001D4F75">
        <w:t xml:space="preserve">Information </w:t>
      </w:r>
      <w:r w:rsidRPr="00FB6AAC">
        <w:t>Guideline</w:t>
      </w:r>
      <w:r w:rsidR="00E71715">
        <w:t xml:space="preserve"> (Version 2)</w:t>
      </w:r>
      <w:r w:rsidRPr="00FB6AAC">
        <w:t xml:space="preserve"> no later than 8th April 2015 with the first applicable reporting period being the 2014-15 </w:t>
      </w:r>
      <w:proofErr w:type="gramStart"/>
      <w:r w:rsidRPr="00FB6AAC">
        <w:t>period</w:t>
      </w:r>
      <w:proofErr w:type="gramEnd"/>
      <w:r w:rsidRPr="00FB6AAC">
        <w:t>. We do not anticipate any issues in regards to the reporting period as</w:t>
      </w:r>
      <w:r w:rsidR="001D4F75">
        <w:t xml:space="preserve"> we consider</w:t>
      </w:r>
      <w:r w:rsidRPr="00FB6AAC">
        <w:t xml:space="preserve"> the amendments in the </w:t>
      </w:r>
      <w:r w:rsidR="001D4F75">
        <w:t xml:space="preserve">final Information </w:t>
      </w:r>
      <w:r w:rsidRPr="00FB6AAC">
        <w:t xml:space="preserve">Guideline </w:t>
      </w:r>
      <w:r w:rsidR="00E71715">
        <w:t xml:space="preserve">(Version 2) </w:t>
      </w:r>
      <w:r w:rsidRPr="00FB6AAC">
        <w:t>reduce</w:t>
      </w:r>
      <w:r w:rsidR="001D4F75">
        <w:t xml:space="preserve"> the</w:t>
      </w:r>
      <w:r w:rsidRPr="00FB6AAC">
        <w:t xml:space="preserve"> compliance burden</w:t>
      </w:r>
      <w:r w:rsidR="001D4F75">
        <w:t xml:space="preserve"> for TNSPs</w:t>
      </w:r>
      <w:r w:rsidRPr="00FB6AAC">
        <w:t>.</w:t>
      </w:r>
    </w:p>
    <w:p w:rsidR="00FB6AAC" w:rsidRPr="00FB6AAC" w:rsidRDefault="00FB6AAC" w:rsidP="00FB6AAC">
      <w:pPr>
        <w:pStyle w:val="Heading4"/>
      </w:pPr>
      <w:r w:rsidRPr="00FB6AAC">
        <w:t xml:space="preserve">Clause 2.6 </w:t>
      </w:r>
    </w:p>
    <w:p w:rsidR="00FB6AAC" w:rsidRPr="00FB6AAC" w:rsidRDefault="00FB6AAC" w:rsidP="00FB6AAC">
      <w:r w:rsidRPr="00FB6AAC">
        <w:t xml:space="preserve">Grid Australia in its submission was concerned that the proposed removal of wording in clause 2.6 made it less clear what </w:t>
      </w:r>
      <w:r w:rsidR="00196AC5">
        <w:t>we</w:t>
      </w:r>
      <w:r w:rsidRPr="00FB6AAC">
        <w:t xml:space="preserve"> require.</w:t>
      </w:r>
      <w:r>
        <w:rPr>
          <w:rStyle w:val="FootnoteReference"/>
        </w:rPr>
        <w:footnoteReference w:id="35"/>
      </w:r>
      <w:r w:rsidRPr="00FB6AAC">
        <w:t xml:space="preserve">  </w:t>
      </w:r>
    </w:p>
    <w:p w:rsidR="00FB6AAC" w:rsidRDefault="00FB6AAC" w:rsidP="00FB6AAC">
      <w:r w:rsidRPr="00FB6AAC">
        <w:t xml:space="preserve">We have considered Grid Australia's concerns but remain of the view that leaving the additional words in the final Information Guideline (Version 2) does not provide any greater clarity. We consider that any additional clarity would stem from the nature of the ad hoc </w:t>
      </w:r>
      <w:r w:rsidRPr="00FB6AAC">
        <w:lastRenderedPageBreak/>
        <w:t>request made to the TNSP. Therefore we maintain our position on the removal of wording in clause 2.6.</w:t>
      </w:r>
    </w:p>
    <w:p w:rsidR="00FB6AAC" w:rsidRPr="00FB6AAC" w:rsidRDefault="00FB6AAC" w:rsidP="00FB6AAC">
      <w:pPr>
        <w:pStyle w:val="Heading2"/>
      </w:pPr>
      <w:bookmarkStart w:id="17" w:name="_Toc415580987"/>
      <w:r w:rsidRPr="00FB6AAC">
        <w:t>Historic capex by asset class</w:t>
      </w:r>
      <w:bookmarkEnd w:id="17"/>
    </w:p>
    <w:p w:rsidR="00FB6AAC" w:rsidRPr="00FB6AAC" w:rsidRDefault="00FB6AAC" w:rsidP="00FB6AAC">
      <w:r w:rsidRPr="00FB6AAC">
        <w:t>During our engagement with TNSPs on the issues raised in Grid Australia's submission, we proposed changes to improve the 'Historic capex by asset class' worksheet in Appendix A.</w:t>
      </w:r>
      <w:r>
        <w:rPr>
          <w:rStyle w:val="FootnoteReference"/>
        </w:rPr>
        <w:footnoteReference w:id="36"/>
      </w:r>
      <w:r w:rsidRPr="00FB6AAC">
        <w:t xml:space="preserve"> In particular, we proposed seeking more detailed information on capex by asset class by replacing the previous table in this worksheet with four tables collecting </w:t>
      </w:r>
      <w:r w:rsidR="00935201">
        <w:t xml:space="preserve">the </w:t>
      </w:r>
      <w:r w:rsidRPr="00FB6AAC">
        <w:t>TNSP</w:t>
      </w:r>
      <w:r w:rsidR="00935201">
        <w:t>'</w:t>
      </w:r>
      <w:r w:rsidRPr="00FB6AAC">
        <w:t>s actual (gross) capex and actual asset disposals by asset class on an as-incurred and as-commissioned bas</w:t>
      </w:r>
      <w:r w:rsidR="00935201">
        <w:t>e</w:t>
      </w:r>
      <w:r w:rsidRPr="00FB6AAC">
        <w:t>s. We consider that collecting this information will assist us in annually updating the roll forward model for each TNSP, and therefore, facilitate the process when TNSPs submit their re</w:t>
      </w:r>
      <w:r w:rsidR="00935201">
        <w:t>venue</w:t>
      </w:r>
      <w:r w:rsidRPr="00FB6AAC">
        <w:t xml:space="preserve"> proposals.  </w:t>
      </w:r>
    </w:p>
    <w:p w:rsidR="00FB6AAC" w:rsidRPr="00FB6AAC" w:rsidRDefault="00FB6AAC" w:rsidP="00FB6AAC">
      <w:r w:rsidRPr="00FB6AAC">
        <w:t>TNSPs</w:t>
      </w:r>
      <w:r w:rsidR="00D44A1F">
        <w:t>,</w:t>
      </w:r>
      <w:r w:rsidRPr="00FB6AAC">
        <w:t xml:space="preserve"> in their feedback on our proposed amendments</w:t>
      </w:r>
      <w:r w:rsidR="00D44A1F">
        <w:t>,</w:t>
      </w:r>
      <w:r w:rsidRPr="00FB6AAC">
        <w:t xml:space="preserve"> suggested a number of minor changes to the worksheet but did not raise any substantive concerns about the inclusion of our proposed amendments in the 'Historic capex by asset class' worksheet.</w:t>
      </w:r>
      <w:r>
        <w:rPr>
          <w:rStyle w:val="FootnoteReference"/>
        </w:rPr>
        <w:footnoteReference w:id="37"/>
      </w:r>
      <w:r w:rsidRPr="00FB6AAC">
        <w:t xml:space="preserve"> Therefore, we are including the amended worksheet in Appendix A of the final Information Guideline subject to the additional changes discussed below.</w:t>
      </w:r>
    </w:p>
    <w:p w:rsidR="00FB6AAC" w:rsidRPr="00FB6AAC" w:rsidRDefault="00FB6AAC" w:rsidP="00FB6AAC">
      <w:proofErr w:type="spellStart"/>
      <w:r w:rsidRPr="00FB6AAC">
        <w:t>ElectraNet</w:t>
      </w:r>
      <w:proofErr w:type="spellEnd"/>
      <w:r w:rsidRPr="00FB6AAC">
        <w:t xml:space="preserve"> and Powerlink both </w:t>
      </w:r>
      <w:r w:rsidR="001D4F75">
        <w:t xml:space="preserve">indicated </w:t>
      </w:r>
      <w:r w:rsidRPr="00FB6AAC">
        <w:t xml:space="preserve">in their submissions that historic capex as incurred expenditure provided by TNSPs will be an estimate and may not reconcile fully to final capex as commissioned expenditure. This is because it is not until a project is commissioned that the final allocation to asset class can accurately occur. </w:t>
      </w:r>
    </w:p>
    <w:p w:rsidR="00FB6AAC" w:rsidRPr="00FB6AAC" w:rsidRDefault="00FB6AAC" w:rsidP="00FB6AAC">
      <w:r w:rsidRPr="00FB6AAC">
        <w:t>We acknowledge that there are circumstances where TNSPs, when completing their annual statements, may have to provide us with estimates for historic capex as incurred expenditure. However, to make sure that we have the most up to date data available when updating the roll forward model every year we have included an additional note under the two capex as incurred tables in the worksheet. This note indicates that TNSPs are to update capex as incurred for previous years of the regulatory control period to reflect any movements that may have occurred (e.g. due to the final commissioning of assets). In addition, we have incorporated into the worksheet some further minor changes suggested by the TNSPs.</w:t>
      </w:r>
      <w:r>
        <w:rPr>
          <w:rStyle w:val="FootnoteReference"/>
        </w:rPr>
        <w:footnoteReference w:id="38"/>
      </w:r>
      <w:r w:rsidRPr="00FB6AAC">
        <w:t xml:space="preserve">  </w:t>
      </w:r>
    </w:p>
    <w:p w:rsidR="00FB6AAC" w:rsidRDefault="00FB6AAC" w:rsidP="00FB6AAC">
      <w:r w:rsidRPr="00FB6AAC">
        <w:t xml:space="preserve">We note that, as a result of our amendments to the 'Historic capex by asset class' worksheet in Appendix A, the type of information the worksheet now collects is not duplicated in the </w:t>
      </w:r>
      <w:r w:rsidRPr="00FB6AAC">
        <w:lastRenderedPageBreak/>
        <w:t>Better Regulation RINs.</w:t>
      </w:r>
      <w:r>
        <w:rPr>
          <w:rStyle w:val="FootnoteReference"/>
        </w:rPr>
        <w:footnoteReference w:id="39"/>
      </w:r>
      <w:r w:rsidRPr="00FB6AAC">
        <w:t xml:space="preserve"> Therefore, all TNSPs will now be required to complete this worksheet.</w:t>
      </w:r>
    </w:p>
    <w:p w:rsidR="002228C1" w:rsidRPr="002228C1" w:rsidRDefault="002228C1" w:rsidP="002228C1">
      <w:pPr>
        <w:pStyle w:val="Heading2"/>
      </w:pPr>
      <w:bookmarkStart w:id="18" w:name="_Toc415580988"/>
      <w:r w:rsidRPr="002228C1">
        <w:t>Consequential amendments</w:t>
      </w:r>
      <w:bookmarkEnd w:id="18"/>
      <w:r w:rsidRPr="002228C1">
        <w:t xml:space="preserve"> </w:t>
      </w:r>
    </w:p>
    <w:p w:rsidR="002228C1" w:rsidRPr="002228C1" w:rsidRDefault="002228C1" w:rsidP="002228C1">
      <w:r w:rsidRPr="002228C1">
        <w:t xml:space="preserve">In the draft Information Guideline (Version 2) we proposed making a number of consequential amendments to better reflect the current regulatory framework and </w:t>
      </w:r>
      <w:r w:rsidR="00196AC5">
        <w:t>our</w:t>
      </w:r>
      <w:r w:rsidRPr="002228C1">
        <w:t xml:space="preserve"> current approach towards reporting requirements for other gas and electricity businesses.</w:t>
      </w:r>
      <w:r>
        <w:rPr>
          <w:rStyle w:val="FootnoteReference"/>
        </w:rPr>
        <w:footnoteReference w:id="40"/>
      </w:r>
      <w:r w:rsidRPr="002228C1">
        <w:t xml:space="preserve"> During the consultation process on the draft Information Guideline </w:t>
      </w:r>
      <w:r w:rsidR="00D44A1F">
        <w:t xml:space="preserve">(Version 2) </w:t>
      </w:r>
      <w:r w:rsidRPr="002228C1">
        <w:t xml:space="preserve">no specific concerns were raised about our proposed consequential amendments. For this reason, we are maintaining these amendments in the final Information Guideline (Version 2). </w:t>
      </w:r>
    </w:p>
    <w:p w:rsidR="00FB6AAC" w:rsidRDefault="002228C1" w:rsidP="002228C1">
      <w:r w:rsidRPr="002228C1">
        <w:t xml:space="preserve">In addition, we have also made a number of further consequential amendments. These are set out in table </w:t>
      </w:r>
      <w:r w:rsidR="00E71715">
        <w:t>3</w:t>
      </w:r>
      <w:r w:rsidRPr="002228C1">
        <w:t>.2 below. We consider that these consequential amendments are likely to reduce (or have no effect) on the compliance burden currently imposed upon TNSPs. In addition, they will improve the alignment of TNSP annual reporting requirements with those of other electricity distribution and gas businesses.</w:t>
      </w:r>
    </w:p>
    <w:p w:rsidR="00FB6AAC" w:rsidRDefault="002228C1" w:rsidP="00D85FE5">
      <w:pPr>
        <w:pStyle w:val="Caption"/>
      </w:pPr>
      <w:r w:rsidRPr="002228C1">
        <w:t xml:space="preserve">Table </w:t>
      </w:r>
      <w:r w:rsidR="001D4F75">
        <w:t>3</w:t>
      </w:r>
      <w:r w:rsidRPr="002228C1">
        <w:t>.2: Consequential amendments</w:t>
      </w:r>
    </w:p>
    <w:tbl>
      <w:tblPr>
        <w:tblStyle w:val="AERTable-Text"/>
        <w:tblW w:w="5000" w:type="pct"/>
        <w:tblLook w:val="04A0" w:firstRow="1" w:lastRow="0" w:firstColumn="1" w:lastColumn="0" w:noHBand="0" w:noVBand="1"/>
      </w:tblPr>
      <w:tblGrid>
        <w:gridCol w:w="4621"/>
        <w:gridCol w:w="4621"/>
      </w:tblGrid>
      <w:tr w:rsidR="002228C1" w:rsidRPr="00600107" w:rsidTr="00695EEB">
        <w:trPr>
          <w:cnfStyle w:val="100000000000" w:firstRow="1" w:lastRow="0" w:firstColumn="0" w:lastColumn="0" w:oddVBand="0" w:evenVBand="0" w:oddHBand="0" w:evenHBand="0" w:firstRowFirstColumn="0" w:firstRowLastColumn="0" w:lastRowFirstColumn="0" w:lastRowLastColumn="0"/>
          <w:tblHeader/>
        </w:trPr>
        <w:tc>
          <w:tcPr>
            <w:tcW w:w="2500" w:type="pct"/>
          </w:tcPr>
          <w:p w:rsidR="002228C1" w:rsidRPr="002228C1" w:rsidRDefault="002228C1" w:rsidP="00D85FE5">
            <w:pPr>
              <w:pStyle w:val="TableHeading"/>
            </w:pPr>
            <w:r>
              <w:t>Information guideline requirement</w:t>
            </w:r>
          </w:p>
        </w:tc>
        <w:tc>
          <w:tcPr>
            <w:tcW w:w="2500" w:type="pct"/>
          </w:tcPr>
          <w:p w:rsidR="002228C1" w:rsidRDefault="002228C1" w:rsidP="00D85FE5">
            <w:pPr>
              <w:pStyle w:val="TableHeading"/>
            </w:pPr>
            <w:r>
              <w:t>Reason for consequential amendment</w:t>
            </w:r>
          </w:p>
        </w:tc>
      </w:tr>
      <w:tr w:rsidR="002228C1" w:rsidRPr="0012713A" w:rsidTr="00482F8F">
        <w:tc>
          <w:tcPr>
            <w:tcW w:w="2500" w:type="pct"/>
          </w:tcPr>
          <w:p w:rsidR="002228C1" w:rsidRPr="0012713A" w:rsidRDefault="002228C1" w:rsidP="0012713A">
            <w:pPr>
              <w:pStyle w:val="Tabletext"/>
            </w:pPr>
            <w:r w:rsidRPr="0012713A">
              <w:t xml:space="preserve">Clause 2.15 Format of </w:t>
            </w:r>
            <w:r w:rsidR="00D44A1F">
              <w:t>i</w:t>
            </w:r>
            <w:r w:rsidRPr="0012713A">
              <w:t>nformation</w:t>
            </w:r>
          </w:p>
        </w:tc>
        <w:tc>
          <w:tcPr>
            <w:tcW w:w="2500" w:type="pct"/>
          </w:tcPr>
          <w:p w:rsidR="002228C1" w:rsidRPr="0012713A" w:rsidRDefault="002228C1" w:rsidP="00196AC5">
            <w:pPr>
              <w:pStyle w:val="Tabletext"/>
            </w:pPr>
            <w:r w:rsidRPr="0012713A">
              <w:t xml:space="preserve">Consistent with </w:t>
            </w:r>
            <w:r w:rsidR="00196AC5">
              <w:t>our</w:t>
            </w:r>
            <w:r w:rsidRPr="0012713A">
              <w:t xml:space="preserve"> approach for electricity distributors and gas businesses we are requesting that data be provided electronically (and for Appendices A and B in the form of Microsoft excel spreadsheets).</w:t>
            </w:r>
          </w:p>
        </w:tc>
      </w:tr>
      <w:tr w:rsidR="002228C1" w:rsidRPr="0012713A" w:rsidTr="002228C1">
        <w:trPr>
          <w:cnfStyle w:val="000000010000" w:firstRow="0" w:lastRow="0" w:firstColumn="0" w:lastColumn="0" w:oddVBand="0" w:evenVBand="0" w:oddHBand="0" w:evenHBand="1" w:firstRowFirstColumn="0" w:firstRowLastColumn="0" w:lastRowFirstColumn="0" w:lastRowLastColumn="0"/>
        </w:trPr>
        <w:tc>
          <w:tcPr>
            <w:tcW w:w="2500" w:type="pct"/>
          </w:tcPr>
          <w:p w:rsidR="002228C1" w:rsidRPr="0012713A" w:rsidRDefault="002228C1" w:rsidP="0012713A">
            <w:pPr>
              <w:pStyle w:val="Tabletext"/>
            </w:pPr>
            <w:r w:rsidRPr="0012713A">
              <w:t>Clause 2.12 Discretionary headings</w:t>
            </w:r>
          </w:p>
        </w:tc>
        <w:tc>
          <w:tcPr>
            <w:tcW w:w="2500" w:type="pct"/>
          </w:tcPr>
          <w:p w:rsidR="002228C1" w:rsidRPr="0012713A" w:rsidRDefault="002228C1" w:rsidP="0012713A">
            <w:pPr>
              <w:pStyle w:val="Tabletext"/>
            </w:pPr>
            <w:r w:rsidRPr="0012713A">
              <w:t xml:space="preserve">The submission guideline no longer applies to TNSPs as this requirement is no longer in the NER - see </w:t>
            </w:r>
            <w:r w:rsidRPr="003F5B82">
              <w:rPr>
                <w:rStyle w:val="Emphasis"/>
              </w:rPr>
              <w:t>National Electricity Amendment (Economic Regulation of Network Service Provider) Rule 2012</w:t>
            </w:r>
            <w:r w:rsidRPr="0012713A">
              <w:t>.</w:t>
            </w:r>
          </w:p>
        </w:tc>
      </w:tr>
      <w:tr w:rsidR="002228C1" w:rsidRPr="0012713A" w:rsidTr="002228C1">
        <w:tc>
          <w:tcPr>
            <w:tcW w:w="2500" w:type="pct"/>
          </w:tcPr>
          <w:p w:rsidR="002228C1" w:rsidRPr="0012713A" w:rsidRDefault="002228C1" w:rsidP="00D44A1F">
            <w:pPr>
              <w:pStyle w:val="Tabletext"/>
            </w:pPr>
            <w:r w:rsidRPr="0012713A">
              <w:t xml:space="preserve">Clause 4.8 Asset </w:t>
            </w:r>
            <w:r w:rsidR="00D44A1F">
              <w:t>a</w:t>
            </w:r>
            <w:r w:rsidRPr="0012713A">
              <w:t>ging</w:t>
            </w:r>
          </w:p>
        </w:tc>
        <w:tc>
          <w:tcPr>
            <w:tcW w:w="2500" w:type="pct"/>
          </w:tcPr>
          <w:p w:rsidR="002228C1" w:rsidRPr="0012713A" w:rsidRDefault="002228C1" w:rsidP="00D44A1F">
            <w:pPr>
              <w:pStyle w:val="Tabletext"/>
            </w:pPr>
            <w:r w:rsidRPr="0012713A">
              <w:t xml:space="preserve">Amendments reflect the removal of the </w:t>
            </w:r>
            <w:r w:rsidR="00D44A1F">
              <w:t>'</w:t>
            </w:r>
            <w:r w:rsidRPr="0012713A">
              <w:t xml:space="preserve">Summary of </w:t>
            </w:r>
            <w:r w:rsidR="00D44A1F">
              <w:t>d</w:t>
            </w:r>
            <w:r w:rsidRPr="0012713A">
              <w:t xml:space="preserve">isaggregation </w:t>
            </w:r>
            <w:r w:rsidR="00D44A1F">
              <w:t>s</w:t>
            </w:r>
            <w:r w:rsidRPr="0012713A">
              <w:t xml:space="preserve">tatement </w:t>
            </w:r>
            <w:r w:rsidR="00D44A1F">
              <w:t>a</w:t>
            </w:r>
            <w:r w:rsidRPr="0012713A">
              <w:t>ssets</w:t>
            </w:r>
            <w:r w:rsidR="00D44A1F">
              <w:t>'</w:t>
            </w:r>
            <w:r w:rsidRPr="0012713A">
              <w:t xml:space="preserve"> and the </w:t>
            </w:r>
            <w:r w:rsidR="00D44A1F">
              <w:t>'</w:t>
            </w:r>
            <w:r w:rsidRPr="0012713A">
              <w:t xml:space="preserve">Reconciliation of </w:t>
            </w:r>
            <w:r w:rsidR="00D44A1F">
              <w:t>p</w:t>
            </w:r>
            <w:r w:rsidRPr="0012713A">
              <w:t xml:space="preserve">roperty, </w:t>
            </w:r>
            <w:r w:rsidR="00D44A1F">
              <w:t>p</w:t>
            </w:r>
            <w:r w:rsidRPr="0012713A">
              <w:t xml:space="preserve">lant and </w:t>
            </w:r>
            <w:r w:rsidR="00D44A1F">
              <w:t>e</w:t>
            </w:r>
            <w:r w:rsidRPr="0012713A">
              <w:t>quipment</w:t>
            </w:r>
            <w:r w:rsidR="00D44A1F">
              <w:t>'</w:t>
            </w:r>
            <w:r w:rsidRPr="0012713A">
              <w:t xml:space="preserve"> worksheets from Appendix A.</w:t>
            </w:r>
          </w:p>
        </w:tc>
      </w:tr>
      <w:tr w:rsidR="002228C1" w:rsidRPr="0012713A" w:rsidTr="002228C1">
        <w:trPr>
          <w:cnfStyle w:val="000000010000" w:firstRow="0" w:lastRow="0" w:firstColumn="0" w:lastColumn="0" w:oddVBand="0" w:evenVBand="0" w:oddHBand="0" w:evenHBand="1" w:firstRowFirstColumn="0" w:firstRowLastColumn="0" w:lastRowFirstColumn="0" w:lastRowLastColumn="0"/>
        </w:trPr>
        <w:tc>
          <w:tcPr>
            <w:tcW w:w="2500" w:type="pct"/>
          </w:tcPr>
          <w:p w:rsidR="002228C1" w:rsidRPr="0012713A" w:rsidRDefault="002228C1" w:rsidP="0012713A">
            <w:pPr>
              <w:pStyle w:val="Tabletext"/>
            </w:pPr>
            <w:r w:rsidRPr="0012713A">
              <w:t>Clause 4.9 Asset categories</w:t>
            </w:r>
          </w:p>
        </w:tc>
        <w:tc>
          <w:tcPr>
            <w:tcW w:w="2500" w:type="pct"/>
          </w:tcPr>
          <w:p w:rsidR="002228C1" w:rsidRPr="0012713A" w:rsidRDefault="002228C1" w:rsidP="00D44A1F">
            <w:pPr>
              <w:pStyle w:val="Tabletext"/>
            </w:pPr>
            <w:r w:rsidRPr="0012713A">
              <w:t xml:space="preserve">Amendments reflect the changes made to the reporting requirements for the </w:t>
            </w:r>
            <w:r w:rsidR="00D44A1F">
              <w:t>'</w:t>
            </w:r>
            <w:r w:rsidRPr="0012713A">
              <w:t xml:space="preserve">Historic </w:t>
            </w:r>
            <w:r w:rsidR="00D44A1F">
              <w:t>c</w:t>
            </w:r>
            <w:r w:rsidRPr="0012713A">
              <w:t xml:space="preserve">apex by </w:t>
            </w:r>
            <w:r w:rsidR="00D44A1F">
              <w:t>a</w:t>
            </w:r>
            <w:r w:rsidRPr="0012713A">
              <w:t xml:space="preserve">sset </w:t>
            </w:r>
            <w:r w:rsidR="00D44A1F">
              <w:t>c</w:t>
            </w:r>
            <w:r w:rsidRPr="0012713A">
              <w:t>lass</w:t>
            </w:r>
            <w:r w:rsidR="00D44A1F">
              <w:t>'</w:t>
            </w:r>
            <w:r w:rsidRPr="0012713A">
              <w:t xml:space="preserve"> worksheet in Appendix A. </w:t>
            </w:r>
          </w:p>
        </w:tc>
      </w:tr>
      <w:tr w:rsidR="002228C1" w:rsidRPr="0012713A" w:rsidTr="002228C1">
        <w:tc>
          <w:tcPr>
            <w:tcW w:w="2500" w:type="pct"/>
          </w:tcPr>
          <w:p w:rsidR="002228C1" w:rsidRPr="0012713A" w:rsidRDefault="002228C1" w:rsidP="0012713A">
            <w:pPr>
              <w:pStyle w:val="Tabletext"/>
            </w:pPr>
            <w:r w:rsidRPr="0012713A">
              <w:t>Clause 4.10 Customer contributions</w:t>
            </w:r>
          </w:p>
        </w:tc>
        <w:tc>
          <w:tcPr>
            <w:tcW w:w="2500" w:type="pct"/>
          </w:tcPr>
          <w:p w:rsidR="002228C1" w:rsidRPr="0012713A" w:rsidRDefault="002228C1" w:rsidP="00D44A1F">
            <w:pPr>
              <w:pStyle w:val="Tabletext"/>
            </w:pPr>
            <w:r w:rsidRPr="0012713A">
              <w:t xml:space="preserve">Amendments reflect the removal of the </w:t>
            </w:r>
            <w:r w:rsidR="00D44A1F">
              <w:t>'</w:t>
            </w:r>
            <w:r w:rsidRPr="0012713A">
              <w:t xml:space="preserve">Summary of </w:t>
            </w:r>
            <w:r w:rsidR="00D44A1F">
              <w:t>d</w:t>
            </w:r>
            <w:r w:rsidRPr="0012713A">
              <w:t xml:space="preserve">isaggregation </w:t>
            </w:r>
            <w:r w:rsidR="00D44A1F">
              <w:t>s</w:t>
            </w:r>
            <w:r w:rsidRPr="0012713A">
              <w:t xml:space="preserve">tatement </w:t>
            </w:r>
            <w:r w:rsidR="00D44A1F">
              <w:t>a</w:t>
            </w:r>
            <w:r w:rsidRPr="0012713A">
              <w:t>ssets</w:t>
            </w:r>
            <w:r w:rsidR="00D44A1F">
              <w:t>'</w:t>
            </w:r>
            <w:r w:rsidRPr="0012713A">
              <w:t xml:space="preserve"> and the </w:t>
            </w:r>
            <w:r w:rsidR="00D44A1F">
              <w:lastRenderedPageBreak/>
              <w:t>'</w:t>
            </w:r>
            <w:r w:rsidRPr="0012713A">
              <w:t xml:space="preserve">Reconciliation of </w:t>
            </w:r>
            <w:r w:rsidR="00D44A1F">
              <w:t>p</w:t>
            </w:r>
            <w:r w:rsidRPr="0012713A">
              <w:t xml:space="preserve">roperty, </w:t>
            </w:r>
            <w:r w:rsidR="00D44A1F">
              <w:t>p</w:t>
            </w:r>
            <w:r w:rsidRPr="0012713A">
              <w:t xml:space="preserve">lant and </w:t>
            </w:r>
            <w:r w:rsidR="00D44A1F">
              <w:t>e</w:t>
            </w:r>
            <w:r w:rsidRPr="0012713A">
              <w:t>quipment</w:t>
            </w:r>
            <w:r w:rsidR="00D44A1F">
              <w:t>'</w:t>
            </w:r>
            <w:r w:rsidRPr="0012713A">
              <w:t xml:space="preserve"> worksheets and the changes made to reporting requirements for the </w:t>
            </w:r>
            <w:r w:rsidR="00D44A1F">
              <w:t>'</w:t>
            </w:r>
            <w:r w:rsidRPr="0012713A">
              <w:t xml:space="preserve">Historic </w:t>
            </w:r>
            <w:r w:rsidR="00D44A1F">
              <w:t>c</w:t>
            </w:r>
            <w:r w:rsidRPr="0012713A">
              <w:t xml:space="preserve">apex by </w:t>
            </w:r>
            <w:r w:rsidR="00D44A1F">
              <w:t>a</w:t>
            </w:r>
            <w:r w:rsidRPr="0012713A">
              <w:t xml:space="preserve">sset </w:t>
            </w:r>
            <w:r w:rsidR="00D44A1F">
              <w:t>c</w:t>
            </w:r>
            <w:r w:rsidRPr="0012713A">
              <w:t>lass</w:t>
            </w:r>
            <w:r w:rsidR="00D44A1F">
              <w:t>'</w:t>
            </w:r>
            <w:r w:rsidRPr="0012713A">
              <w:t xml:space="preserve"> worksheet in Appendix A.</w:t>
            </w:r>
          </w:p>
        </w:tc>
      </w:tr>
      <w:tr w:rsidR="002228C1" w:rsidRPr="0012713A" w:rsidTr="002228C1">
        <w:trPr>
          <w:cnfStyle w:val="000000010000" w:firstRow="0" w:lastRow="0" w:firstColumn="0" w:lastColumn="0" w:oddVBand="0" w:evenVBand="0" w:oddHBand="0" w:evenHBand="1" w:firstRowFirstColumn="0" w:firstRowLastColumn="0" w:lastRowFirstColumn="0" w:lastRowLastColumn="0"/>
        </w:trPr>
        <w:tc>
          <w:tcPr>
            <w:tcW w:w="2500" w:type="pct"/>
          </w:tcPr>
          <w:p w:rsidR="002228C1" w:rsidRPr="0012713A" w:rsidRDefault="002228C1" w:rsidP="0012713A">
            <w:pPr>
              <w:pStyle w:val="Tabletext"/>
            </w:pPr>
            <w:r w:rsidRPr="0012713A">
              <w:lastRenderedPageBreak/>
              <w:t>Clause 4.14 Related party transactions</w:t>
            </w:r>
          </w:p>
        </w:tc>
        <w:tc>
          <w:tcPr>
            <w:tcW w:w="2500" w:type="pct"/>
          </w:tcPr>
          <w:p w:rsidR="002228C1" w:rsidRPr="0012713A" w:rsidRDefault="00EE4A64" w:rsidP="003F5B82">
            <w:pPr>
              <w:pStyle w:val="Tabletext"/>
            </w:pPr>
            <w:r>
              <w:t>Amend</w:t>
            </w:r>
            <w:r w:rsidR="003F5B82">
              <w:t xml:space="preserve">ments </w:t>
            </w:r>
            <w:r>
              <w:t>reflect the inclusion of a d</w:t>
            </w:r>
            <w:r w:rsidR="002228C1" w:rsidRPr="0012713A">
              <w:t>irectors' responsibility statement.</w:t>
            </w:r>
          </w:p>
        </w:tc>
      </w:tr>
      <w:tr w:rsidR="002228C1" w:rsidRPr="0012713A" w:rsidTr="002228C1">
        <w:tc>
          <w:tcPr>
            <w:tcW w:w="2500" w:type="pct"/>
          </w:tcPr>
          <w:p w:rsidR="002228C1" w:rsidRPr="0012713A" w:rsidRDefault="002228C1" w:rsidP="0012713A">
            <w:pPr>
              <w:pStyle w:val="Tabletext"/>
            </w:pPr>
            <w:r w:rsidRPr="0012713A">
              <w:t>Clause 4.15 Third party benefits</w:t>
            </w:r>
          </w:p>
        </w:tc>
        <w:tc>
          <w:tcPr>
            <w:tcW w:w="2500" w:type="pct"/>
          </w:tcPr>
          <w:p w:rsidR="002228C1" w:rsidRPr="0012713A" w:rsidRDefault="00EE4A64" w:rsidP="003F5B82">
            <w:pPr>
              <w:pStyle w:val="Tabletext"/>
            </w:pPr>
            <w:r>
              <w:t>A</w:t>
            </w:r>
            <w:r w:rsidRPr="00EE4A64">
              <w:t>mend</w:t>
            </w:r>
            <w:r w:rsidR="003F5B82">
              <w:t>ments</w:t>
            </w:r>
            <w:r w:rsidRPr="00EE4A64">
              <w:t xml:space="preserve"> reflect the inclusion of a directors' responsibility statement.</w:t>
            </w:r>
          </w:p>
        </w:tc>
      </w:tr>
      <w:tr w:rsidR="002228C1" w:rsidRPr="0012713A" w:rsidTr="002228C1">
        <w:trPr>
          <w:cnfStyle w:val="000000010000" w:firstRow="0" w:lastRow="0" w:firstColumn="0" w:lastColumn="0" w:oddVBand="0" w:evenVBand="0" w:oddHBand="0" w:evenHBand="1" w:firstRowFirstColumn="0" w:firstRowLastColumn="0" w:lastRowFirstColumn="0" w:lastRowLastColumn="0"/>
        </w:trPr>
        <w:tc>
          <w:tcPr>
            <w:tcW w:w="2500" w:type="pct"/>
          </w:tcPr>
          <w:p w:rsidR="002228C1" w:rsidRPr="0012713A" w:rsidRDefault="002228C1" w:rsidP="0012713A">
            <w:pPr>
              <w:pStyle w:val="Tabletext"/>
            </w:pPr>
            <w:r w:rsidRPr="0012713A">
              <w:t>Clause 4.16 Financing transactions</w:t>
            </w:r>
          </w:p>
        </w:tc>
        <w:tc>
          <w:tcPr>
            <w:tcW w:w="2500" w:type="pct"/>
          </w:tcPr>
          <w:p w:rsidR="002228C1" w:rsidRPr="0012713A" w:rsidRDefault="00EE4A64" w:rsidP="003F5B82">
            <w:pPr>
              <w:pStyle w:val="Tabletext"/>
            </w:pPr>
            <w:r>
              <w:t>A</w:t>
            </w:r>
            <w:r w:rsidRPr="00EE4A64">
              <w:t>mend</w:t>
            </w:r>
            <w:r w:rsidR="003F5B82">
              <w:t>ments</w:t>
            </w:r>
            <w:r w:rsidRPr="00EE4A64">
              <w:t xml:space="preserve"> reflect the inclusion of a directors' responsibility statement.</w:t>
            </w:r>
          </w:p>
        </w:tc>
      </w:tr>
      <w:tr w:rsidR="002228C1" w:rsidRPr="0012713A" w:rsidTr="002228C1">
        <w:tc>
          <w:tcPr>
            <w:tcW w:w="2500" w:type="pct"/>
          </w:tcPr>
          <w:p w:rsidR="002228C1" w:rsidRPr="0012713A" w:rsidRDefault="002228C1" w:rsidP="0012713A">
            <w:pPr>
              <w:pStyle w:val="Tabletext"/>
            </w:pPr>
            <w:r w:rsidRPr="0012713A">
              <w:t xml:space="preserve">Glossary - Definition of 'Asset </w:t>
            </w:r>
            <w:r w:rsidR="00D24469">
              <w:t>s</w:t>
            </w:r>
            <w:r w:rsidRPr="0012713A">
              <w:t xml:space="preserve">chedule' </w:t>
            </w:r>
          </w:p>
        </w:tc>
        <w:tc>
          <w:tcPr>
            <w:tcW w:w="2500" w:type="pct"/>
          </w:tcPr>
          <w:p w:rsidR="002228C1" w:rsidRPr="0012713A" w:rsidRDefault="002228C1" w:rsidP="00D44A1F">
            <w:pPr>
              <w:pStyle w:val="Tabletext"/>
            </w:pPr>
            <w:r w:rsidRPr="0012713A">
              <w:t xml:space="preserve">As a consequence of removing the </w:t>
            </w:r>
            <w:r w:rsidR="00D44A1F">
              <w:t>'</w:t>
            </w:r>
            <w:r w:rsidRPr="0012713A">
              <w:t xml:space="preserve">Summary of </w:t>
            </w:r>
            <w:r w:rsidR="00D44A1F">
              <w:t>d</w:t>
            </w:r>
            <w:r w:rsidRPr="0012713A">
              <w:t xml:space="preserve">isaggregation </w:t>
            </w:r>
            <w:r w:rsidR="00D44A1F">
              <w:t>s</w:t>
            </w:r>
            <w:r w:rsidRPr="0012713A">
              <w:t xml:space="preserve">tatement </w:t>
            </w:r>
            <w:r w:rsidR="00D44A1F">
              <w:t>a</w:t>
            </w:r>
            <w:r w:rsidRPr="0012713A">
              <w:t>ssets</w:t>
            </w:r>
            <w:r w:rsidR="00D44A1F">
              <w:t>'</w:t>
            </w:r>
            <w:r w:rsidRPr="0012713A">
              <w:t xml:space="preserve"> and the </w:t>
            </w:r>
            <w:r w:rsidR="00D44A1F">
              <w:t>'</w:t>
            </w:r>
            <w:r w:rsidRPr="0012713A">
              <w:t xml:space="preserve">Reconciliation of </w:t>
            </w:r>
            <w:r w:rsidR="00D44A1F">
              <w:t>p</w:t>
            </w:r>
            <w:r w:rsidRPr="0012713A">
              <w:t xml:space="preserve">roperty, </w:t>
            </w:r>
            <w:r w:rsidR="00D44A1F">
              <w:t>p</w:t>
            </w:r>
            <w:r w:rsidRPr="0012713A">
              <w:t xml:space="preserve">lant and </w:t>
            </w:r>
            <w:r w:rsidR="00D44A1F">
              <w:t>e</w:t>
            </w:r>
            <w:r w:rsidRPr="0012713A">
              <w:t>quipment</w:t>
            </w:r>
            <w:r w:rsidR="00D44A1F">
              <w:t>'</w:t>
            </w:r>
            <w:r w:rsidRPr="0012713A">
              <w:t xml:space="preserve"> worksheets in Appendix A this definition is no longer applicable. </w:t>
            </w:r>
          </w:p>
        </w:tc>
      </w:tr>
      <w:tr w:rsidR="002228C1" w:rsidRPr="0012713A" w:rsidTr="002228C1">
        <w:trPr>
          <w:cnfStyle w:val="000000010000" w:firstRow="0" w:lastRow="0" w:firstColumn="0" w:lastColumn="0" w:oddVBand="0" w:evenVBand="0" w:oddHBand="0" w:evenHBand="1" w:firstRowFirstColumn="0" w:firstRowLastColumn="0" w:lastRowFirstColumn="0" w:lastRowLastColumn="0"/>
        </w:trPr>
        <w:tc>
          <w:tcPr>
            <w:tcW w:w="2500" w:type="pct"/>
          </w:tcPr>
          <w:p w:rsidR="002228C1" w:rsidRPr="0012713A" w:rsidRDefault="002228C1" w:rsidP="0012713A">
            <w:pPr>
              <w:pStyle w:val="Tabletext"/>
            </w:pPr>
            <w:r w:rsidRPr="0012713A">
              <w:t>Glossary - Definition of 'Directors' responsibility statement'</w:t>
            </w:r>
          </w:p>
        </w:tc>
        <w:tc>
          <w:tcPr>
            <w:tcW w:w="2500" w:type="pct"/>
          </w:tcPr>
          <w:p w:rsidR="002228C1" w:rsidRPr="0012713A" w:rsidRDefault="00EE4A64" w:rsidP="003F5B82">
            <w:pPr>
              <w:pStyle w:val="Tabletext"/>
            </w:pPr>
            <w:r>
              <w:t>Insert</w:t>
            </w:r>
            <w:r w:rsidR="003F5B82">
              <w:t xml:space="preserve">ion </w:t>
            </w:r>
            <w:r w:rsidRPr="00EE4A64">
              <w:t>reflect</w:t>
            </w:r>
            <w:r w:rsidR="003F5B82">
              <w:t>s</w:t>
            </w:r>
            <w:r w:rsidRPr="00EE4A64">
              <w:t xml:space="preserve"> the inclusion of a directors' responsibility statement.</w:t>
            </w:r>
          </w:p>
        </w:tc>
      </w:tr>
      <w:tr w:rsidR="002228C1" w:rsidRPr="0012713A" w:rsidTr="002228C1">
        <w:tc>
          <w:tcPr>
            <w:tcW w:w="2500" w:type="pct"/>
          </w:tcPr>
          <w:p w:rsidR="002228C1" w:rsidRPr="0012713A" w:rsidRDefault="002228C1" w:rsidP="0012713A">
            <w:pPr>
              <w:pStyle w:val="Tabletext"/>
            </w:pPr>
            <w:r w:rsidRPr="0012713A">
              <w:t>Glossary - Definition of 'Submission guidelines'</w:t>
            </w:r>
          </w:p>
        </w:tc>
        <w:tc>
          <w:tcPr>
            <w:tcW w:w="2500" w:type="pct"/>
          </w:tcPr>
          <w:p w:rsidR="002228C1" w:rsidRPr="0012713A" w:rsidRDefault="002228C1" w:rsidP="0012713A">
            <w:pPr>
              <w:pStyle w:val="Tabletext"/>
            </w:pPr>
            <w:r w:rsidRPr="0012713A">
              <w:t xml:space="preserve">The submission guideline no longer applies to TNSPs as this requirement is no longer in the NER - see </w:t>
            </w:r>
            <w:r w:rsidRPr="003F5B82">
              <w:rPr>
                <w:rStyle w:val="Emphasis"/>
              </w:rPr>
              <w:t>National Electricity Amendment (Economic Regulation of Network Service Provider) Rule 2012</w:t>
            </w:r>
            <w:r w:rsidRPr="0012713A">
              <w:t>.</w:t>
            </w:r>
          </w:p>
        </w:tc>
      </w:tr>
      <w:tr w:rsidR="002228C1" w:rsidRPr="0012713A" w:rsidTr="002228C1">
        <w:trPr>
          <w:cnfStyle w:val="000000010000" w:firstRow="0" w:lastRow="0" w:firstColumn="0" w:lastColumn="0" w:oddVBand="0" w:evenVBand="0" w:oddHBand="0" w:evenHBand="1" w:firstRowFirstColumn="0" w:firstRowLastColumn="0" w:lastRowFirstColumn="0" w:lastRowLastColumn="0"/>
        </w:trPr>
        <w:tc>
          <w:tcPr>
            <w:tcW w:w="2500" w:type="pct"/>
          </w:tcPr>
          <w:p w:rsidR="002228C1" w:rsidRPr="0012713A" w:rsidRDefault="002228C1" w:rsidP="00D24469">
            <w:pPr>
              <w:pStyle w:val="Tabletext"/>
            </w:pPr>
            <w:r w:rsidRPr="0012713A">
              <w:t xml:space="preserve">Appendix A - Asset </w:t>
            </w:r>
            <w:r w:rsidR="00D24469">
              <w:t>a</w:t>
            </w:r>
            <w:r w:rsidRPr="0012713A">
              <w:t xml:space="preserve">ging </w:t>
            </w:r>
            <w:r w:rsidR="00D24469">
              <w:t>s</w:t>
            </w:r>
            <w:r w:rsidRPr="0012713A">
              <w:t xml:space="preserve">chedule (PTS Asset Aging) </w:t>
            </w:r>
          </w:p>
        </w:tc>
        <w:tc>
          <w:tcPr>
            <w:tcW w:w="2500" w:type="pct"/>
          </w:tcPr>
          <w:p w:rsidR="002228C1" w:rsidRPr="0012713A" w:rsidRDefault="002228C1" w:rsidP="003F5B82">
            <w:pPr>
              <w:pStyle w:val="Tabletext"/>
            </w:pPr>
            <w:r w:rsidRPr="0012713A">
              <w:t>Removal of the words 'Use same Discretionary Headings as Statement "PTS Rec Assets</w:t>
            </w:r>
            <w:r w:rsidR="00D24469">
              <w:t>"'</w:t>
            </w:r>
            <w:r w:rsidRPr="0012713A">
              <w:t xml:space="preserve"> reflect</w:t>
            </w:r>
            <w:r w:rsidR="009A3C9B">
              <w:t>s</w:t>
            </w:r>
            <w:r w:rsidRPr="0012713A">
              <w:t xml:space="preserve"> the deletion of the </w:t>
            </w:r>
            <w:r w:rsidR="00D24469">
              <w:t>'</w:t>
            </w:r>
            <w:r w:rsidRPr="0012713A">
              <w:t xml:space="preserve">Reconciliation of </w:t>
            </w:r>
            <w:r w:rsidR="00D24469">
              <w:t>p</w:t>
            </w:r>
            <w:r w:rsidRPr="0012713A">
              <w:t xml:space="preserve">roperty, </w:t>
            </w:r>
            <w:r w:rsidR="00D24469">
              <w:t>p</w:t>
            </w:r>
            <w:r w:rsidRPr="0012713A">
              <w:t xml:space="preserve">lant and </w:t>
            </w:r>
            <w:r w:rsidR="00D24469">
              <w:t>e</w:t>
            </w:r>
            <w:r w:rsidRPr="0012713A">
              <w:t>quipment</w:t>
            </w:r>
            <w:r w:rsidR="00D24469">
              <w:t>'</w:t>
            </w:r>
            <w:r w:rsidRPr="0012713A">
              <w:t xml:space="preserve"> worksheet (PTS Rec Assets).</w:t>
            </w:r>
          </w:p>
        </w:tc>
      </w:tr>
      <w:tr w:rsidR="002E5A75" w:rsidRPr="0012713A" w:rsidTr="002228C1">
        <w:tc>
          <w:tcPr>
            <w:tcW w:w="2500" w:type="pct"/>
          </w:tcPr>
          <w:p w:rsidR="002E5A75" w:rsidRPr="0012713A" w:rsidRDefault="002E5A75" w:rsidP="0012713A">
            <w:pPr>
              <w:pStyle w:val="Tabletext"/>
            </w:pPr>
            <w:r>
              <w:t>Appe</w:t>
            </w:r>
            <w:r w:rsidR="00F615F3">
              <w:t>ndix A - Historic Capex Network</w:t>
            </w:r>
            <w:r>
              <w:t xml:space="preserve"> (HCE </w:t>
            </w:r>
            <w:proofErr w:type="spellStart"/>
            <w:r>
              <w:t>Netw</w:t>
            </w:r>
            <w:proofErr w:type="spellEnd"/>
            <w:r>
              <w:t xml:space="preserve">), Historic Capex Non-network (HCE Non </w:t>
            </w:r>
            <w:proofErr w:type="spellStart"/>
            <w:r>
              <w:t>Netw</w:t>
            </w:r>
            <w:proofErr w:type="spellEnd"/>
            <w:r>
              <w:t>)</w:t>
            </w:r>
          </w:p>
        </w:tc>
        <w:tc>
          <w:tcPr>
            <w:tcW w:w="2500" w:type="pct"/>
          </w:tcPr>
          <w:p w:rsidR="002E5A75" w:rsidRDefault="003F5B82" w:rsidP="003F5B82">
            <w:pPr>
              <w:pStyle w:val="Tabletext"/>
            </w:pPr>
            <w:r>
              <w:t xml:space="preserve">Amendments to the notes so that the </w:t>
            </w:r>
            <w:r w:rsidR="002E5A75">
              <w:t xml:space="preserve">Historic Capex Instructions worksheet </w:t>
            </w:r>
            <w:r>
              <w:t xml:space="preserve">is referenced </w:t>
            </w:r>
            <w:r w:rsidR="002E5A75">
              <w:t>rather than table 3.1</w:t>
            </w:r>
            <w:r>
              <w:t xml:space="preserve"> (which does not exist). </w:t>
            </w:r>
          </w:p>
        </w:tc>
      </w:tr>
      <w:tr w:rsidR="002228C1" w:rsidRPr="0012713A" w:rsidTr="002228C1">
        <w:trPr>
          <w:cnfStyle w:val="000000010000" w:firstRow="0" w:lastRow="0" w:firstColumn="0" w:lastColumn="0" w:oddVBand="0" w:evenVBand="0" w:oddHBand="0" w:evenHBand="1" w:firstRowFirstColumn="0" w:firstRowLastColumn="0" w:lastRowFirstColumn="0" w:lastRowLastColumn="0"/>
        </w:trPr>
        <w:tc>
          <w:tcPr>
            <w:tcW w:w="2500" w:type="pct"/>
          </w:tcPr>
          <w:p w:rsidR="002228C1" w:rsidRPr="0012713A" w:rsidRDefault="002228C1" w:rsidP="0012713A">
            <w:pPr>
              <w:pStyle w:val="Tabletext"/>
            </w:pPr>
            <w:r w:rsidRPr="0012713A">
              <w:t>Appendix C - Directors' responsibility statement</w:t>
            </w:r>
          </w:p>
        </w:tc>
        <w:tc>
          <w:tcPr>
            <w:tcW w:w="2500" w:type="pct"/>
          </w:tcPr>
          <w:p w:rsidR="002228C1" w:rsidRPr="0012713A" w:rsidRDefault="00EE4A64" w:rsidP="003F5B82">
            <w:pPr>
              <w:pStyle w:val="Tabletext"/>
            </w:pPr>
            <w:r>
              <w:t>A</w:t>
            </w:r>
            <w:r w:rsidRPr="00EE4A64">
              <w:t>mend</w:t>
            </w:r>
            <w:r w:rsidR="003F5B82">
              <w:t xml:space="preserve">ments </w:t>
            </w:r>
            <w:r w:rsidRPr="00EE4A64">
              <w:t>reflect the inclusion of a directors' responsibility statement.</w:t>
            </w:r>
          </w:p>
        </w:tc>
      </w:tr>
      <w:tr w:rsidR="002228C1" w:rsidRPr="0012713A" w:rsidTr="002228C1">
        <w:tc>
          <w:tcPr>
            <w:tcW w:w="2500" w:type="pct"/>
          </w:tcPr>
          <w:p w:rsidR="002228C1" w:rsidRPr="0012713A" w:rsidRDefault="002228C1" w:rsidP="0012713A">
            <w:pPr>
              <w:pStyle w:val="Tabletext"/>
            </w:pPr>
            <w:r w:rsidRPr="0012713A">
              <w:t>Minor amendments</w:t>
            </w:r>
          </w:p>
        </w:tc>
        <w:tc>
          <w:tcPr>
            <w:tcW w:w="2500" w:type="pct"/>
          </w:tcPr>
          <w:p w:rsidR="002228C1" w:rsidRPr="0012713A" w:rsidRDefault="002228C1" w:rsidP="003F5B82">
            <w:pPr>
              <w:pStyle w:val="Tabletext"/>
            </w:pPr>
            <w:r w:rsidRPr="0012713A">
              <w:t>Minor amendments to correct typographical errors, etc.</w:t>
            </w:r>
          </w:p>
        </w:tc>
      </w:tr>
    </w:tbl>
    <w:p w:rsidR="00185CB9" w:rsidRDefault="00185CB9" w:rsidP="002228C1"/>
    <w:sectPr w:rsidR="00185CB9" w:rsidSect="00E137FB">
      <w:footerReference w:type="even" r:id="rId12"/>
      <w:footerReference w:type="default" r:id="rId13"/>
      <w:footerReference w:type="first" r:id="rId14"/>
      <w:pgSz w:w="11906" w:h="16838"/>
      <w:pgMar w:top="1440" w:right="1440" w:bottom="1440" w:left="1440" w:header="708" w:footer="8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6D74" w:rsidRDefault="00B16D74" w:rsidP="004B4412">
      <w:pPr>
        <w:spacing w:before="0"/>
      </w:pPr>
      <w:r>
        <w:separator/>
      </w:r>
    </w:p>
    <w:p w:rsidR="00B16D74" w:rsidRDefault="00B16D74"/>
    <w:p w:rsidR="00B16D74" w:rsidRDefault="00B16D74"/>
  </w:endnote>
  <w:endnote w:type="continuationSeparator" w:id="0">
    <w:p w:rsidR="00B16D74" w:rsidRDefault="00B16D74" w:rsidP="004B4412">
      <w:pPr>
        <w:spacing w:before="0"/>
      </w:pPr>
      <w:r>
        <w:continuationSeparator/>
      </w:r>
    </w:p>
    <w:p w:rsidR="00B16D74" w:rsidRDefault="00B16D74"/>
    <w:p w:rsidR="00B16D74" w:rsidRDefault="00B16D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D74" w:rsidRPr="007A4D1F" w:rsidRDefault="00B16D74" w:rsidP="007A4D1F">
    <w:pPr>
      <w:tabs>
        <w:tab w:val="left" w:pos="1623"/>
        <w:tab w:val="center" w:pos="4513"/>
        <w:tab w:val="right" w:pos="9026"/>
      </w:tabs>
      <w:spacing w:after="120"/>
      <w:rPr>
        <w:rFonts w:eastAsia="Arial" w:cs="Times New Roman"/>
        <w:color w:val="076A92" w:themeColor="text1"/>
        <w:sz w:val="18"/>
      </w:rPr>
    </w:pPr>
    <w:r w:rsidRPr="007A4D1F">
      <w:rPr>
        <w:rFonts w:eastAsia="Arial" w:cs="Times New Roman"/>
        <w:color w:val="076A92" w:themeColor="text1"/>
        <w:sz w:val="18"/>
      </w:rPr>
      <w:tab/>
    </w:r>
    <w:r w:rsidRPr="007A4D1F">
      <w:rPr>
        <w:rFonts w:eastAsia="Arial" w:cs="Times New Roman"/>
        <w:color w:val="076A92" w:themeColor="text1"/>
        <w:sz w:val="18"/>
      </w:rPr>
      <w:tab/>
    </w:r>
    <w:r w:rsidRPr="007A4D1F">
      <w:rPr>
        <w:rFonts w:eastAsia="Arial" w:cs="Times New Roman"/>
        <w:color w:val="076A92" w:themeColor="text1"/>
        <w:sz w:val="18"/>
      </w:rPr>
      <w:fldChar w:fldCharType="begin"/>
    </w:r>
    <w:r w:rsidRPr="007A4D1F">
      <w:rPr>
        <w:rFonts w:eastAsia="Arial" w:cs="Times New Roman"/>
        <w:color w:val="076A92" w:themeColor="text1"/>
        <w:sz w:val="18"/>
      </w:rPr>
      <w:instrText xml:space="preserve"> PAGE   \* MERGEFORMAT </w:instrText>
    </w:r>
    <w:r w:rsidRPr="007A4D1F">
      <w:rPr>
        <w:rFonts w:eastAsia="Arial" w:cs="Times New Roman"/>
        <w:color w:val="076A92" w:themeColor="text1"/>
        <w:sz w:val="18"/>
      </w:rPr>
      <w:fldChar w:fldCharType="separate"/>
    </w:r>
    <w:r w:rsidR="004366F9">
      <w:rPr>
        <w:rFonts w:eastAsia="Arial" w:cs="Times New Roman"/>
        <w:noProof/>
        <w:color w:val="076A92" w:themeColor="text1"/>
        <w:sz w:val="18"/>
      </w:rPr>
      <w:t>iv</w:t>
    </w:r>
    <w:r w:rsidRPr="007A4D1F">
      <w:rPr>
        <w:rFonts w:eastAsia="Arial" w:cs="Times New Roman"/>
        <w:noProof/>
        <w:color w:val="076A92" w:themeColor="text1"/>
        <w:sz w:val="18"/>
      </w:rPr>
      <w:fldChar w:fldCharType="end"/>
    </w:r>
  </w:p>
  <w:p w:rsidR="00B16D74" w:rsidRDefault="00B16D74" w:rsidP="00A60023">
    <w:pPr>
      <w:pStyle w:val="Footer"/>
      <w:tabs>
        <w:tab w:val="clear" w:pos="4513"/>
        <w:tab w:val="clear" w:pos="9026"/>
        <w:tab w:val="left" w:pos="855"/>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D74" w:rsidRPr="00A91A9E" w:rsidRDefault="00B16D74" w:rsidP="00386C01">
    <w:pPr>
      <w:pBdr>
        <w:top w:val="single" w:sz="2" w:space="1" w:color="auto"/>
      </w:pBdr>
      <w:tabs>
        <w:tab w:val="right" w:pos="8448"/>
      </w:tabs>
      <w:rPr>
        <w:rStyle w:val="PageNumber"/>
      </w:rPr>
    </w:pPr>
    <w:r w:rsidRPr="00A91A9E">
      <w:rPr>
        <w:rStyle w:val="PageNumber"/>
      </w:rPr>
      <w:fldChar w:fldCharType="begin"/>
    </w:r>
    <w:r w:rsidRPr="00A91A9E">
      <w:rPr>
        <w:rStyle w:val="PageNumber"/>
      </w:rPr>
      <w:instrText xml:space="preserve"> PAGE   \* MERGEFORMAT </w:instrText>
    </w:r>
    <w:r w:rsidRPr="00A91A9E">
      <w:rPr>
        <w:rStyle w:val="PageNumber"/>
      </w:rPr>
      <w:fldChar w:fldCharType="separate"/>
    </w:r>
    <w:r>
      <w:rPr>
        <w:rStyle w:val="PageNumber"/>
        <w:noProof/>
      </w:rPr>
      <w:t>2</w:t>
    </w:r>
    <w:r w:rsidRPr="00A91A9E">
      <w:rPr>
        <w:rStyle w:val="PageNumber"/>
      </w:rPr>
      <w:fldChar w:fldCharType="end"/>
    </w:r>
    <w:r w:rsidRPr="00A91A9E">
      <w:rPr>
        <w:rStyle w:val="PageNumber"/>
      </w:rPr>
      <w:tab/>
      <w:t>Xxx report—month/year</w:t>
    </w:r>
  </w:p>
  <w:p w:rsidR="00B16D74" w:rsidRDefault="00B16D74"/>
  <w:p w:rsidR="00B16D74" w:rsidRDefault="00B16D74"/>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D74" w:rsidRDefault="00B16D74" w:rsidP="00CC7F1D">
    <w:pPr>
      <w:pStyle w:val="Footer"/>
      <w:tabs>
        <w:tab w:val="clear" w:pos="9026"/>
        <w:tab w:val="right" w:pos="8505"/>
      </w:tabs>
    </w:pPr>
    <w:r>
      <w:t>Explanatory Statement to the Information Guideline (Version 2)</w:t>
    </w:r>
    <w:r>
      <w:tab/>
    </w:r>
    <w:r>
      <w:tab/>
    </w:r>
    <w:r>
      <w:fldChar w:fldCharType="begin"/>
    </w:r>
    <w:r>
      <w:instrText xml:space="preserve"> PAGE   \* MERGEFORMAT </w:instrText>
    </w:r>
    <w:r>
      <w:fldChar w:fldCharType="separate"/>
    </w:r>
    <w:r w:rsidR="004366F9">
      <w:rPr>
        <w:noProof/>
      </w:rPr>
      <w:t>18</w:t>
    </w:r>
    <w:r>
      <w:rPr>
        <w:noProof/>
      </w:rPr>
      <w:fldChar w:fldCharType="end"/>
    </w:r>
  </w:p>
  <w:p w:rsidR="00B16D74" w:rsidRDefault="00B16D74"/>
  <w:p w:rsidR="00B16D74" w:rsidRDefault="00B16D74"/>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D74" w:rsidRDefault="00B16D74" w:rsidP="00CC7F1D">
    <w:pPr>
      <w:pStyle w:val="Footer"/>
      <w:tabs>
        <w:tab w:val="clear" w:pos="9026"/>
        <w:tab w:val="right" w:pos="8505"/>
      </w:tabs>
    </w:pPr>
    <w:r>
      <w:fldChar w:fldCharType="begin"/>
    </w:r>
    <w:r>
      <w:instrText xml:space="preserve"> STYLEREF  "Report Title"  \* MERGEFORMAT </w:instrText>
    </w:r>
    <w:r>
      <w:rPr>
        <w:noProof/>
      </w:rPr>
      <w:fldChar w:fldCharType="end"/>
    </w:r>
    <w:r>
      <w:tab/>
    </w:r>
    <w:r>
      <w:tab/>
    </w:r>
    <w:r>
      <w:fldChar w:fldCharType="begin"/>
    </w:r>
    <w:r>
      <w:instrText xml:space="preserve"> PAGE   \* MERGEFORMAT </w:instrText>
    </w:r>
    <w:r>
      <w:fldChar w:fldCharType="separate"/>
    </w:r>
    <w:r w:rsidR="004366F9">
      <w:rPr>
        <w:noProof/>
      </w:rPr>
      <w:t>1</w:t>
    </w:r>
    <w:r>
      <w:fldChar w:fldCharType="end"/>
    </w:r>
  </w:p>
  <w:p w:rsidR="00B16D74" w:rsidRDefault="00B16D74">
    <w:pPr>
      <w:pStyle w:val="Footer"/>
    </w:pPr>
  </w:p>
  <w:p w:rsidR="00B16D74" w:rsidRDefault="00B16D74"/>
  <w:p w:rsidR="00B16D74" w:rsidRDefault="00B16D7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6D74" w:rsidRDefault="00B16D74" w:rsidP="00182906">
      <w:pPr>
        <w:spacing w:before="0"/>
      </w:pPr>
      <w:r>
        <w:separator/>
      </w:r>
    </w:p>
  </w:footnote>
  <w:footnote w:type="continuationSeparator" w:id="0">
    <w:p w:rsidR="00B16D74" w:rsidRDefault="00B16D74" w:rsidP="00182906">
      <w:pPr>
        <w:spacing w:before="0"/>
      </w:pPr>
      <w:r>
        <w:continuationSeparator/>
      </w:r>
    </w:p>
  </w:footnote>
  <w:footnote w:type="continuationNotice" w:id="1">
    <w:p w:rsidR="00B16D74" w:rsidRDefault="00B16D74">
      <w:pPr>
        <w:spacing w:before="0" w:line="240" w:lineRule="auto"/>
      </w:pPr>
    </w:p>
  </w:footnote>
  <w:footnote w:id="2">
    <w:p w:rsidR="00B16D74" w:rsidRDefault="00B16D74">
      <w:pPr>
        <w:pStyle w:val="FootnoteText"/>
      </w:pPr>
      <w:r>
        <w:rPr>
          <w:rStyle w:val="FootnoteReference"/>
        </w:rPr>
        <w:footnoteRef/>
      </w:r>
      <w:r>
        <w:t xml:space="preserve"> </w:t>
      </w:r>
      <w:r>
        <w:tab/>
      </w:r>
      <w:proofErr w:type="gramStart"/>
      <w:r w:rsidRPr="00C960B7">
        <w:t>NEL, s.28F</w:t>
      </w:r>
      <w:r>
        <w:t>.</w:t>
      </w:r>
      <w:proofErr w:type="gramEnd"/>
    </w:p>
  </w:footnote>
  <w:footnote w:id="3">
    <w:p w:rsidR="00B16D74" w:rsidRDefault="00B16D74" w:rsidP="00370528">
      <w:pPr>
        <w:pStyle w:val="FootnoteText"/>
      </w:pPr>
      <w:r>
        <w:rPr>
          <w:rStyle w:val="FootnoteReference"/>
        </w:rPr>
        <w:footnoteRef/>
      </w:r>
      <w:r>
        <w:t xml:space="preserve"> </w:t>
      </w:r>
      <w:r>
        <w:tab/>
      </w:r>
      <w:r w:rsidRPr="00C960B7">
        <w:t xml:space="preserve">The guideline is available at </w:t>
      </w:r>
      <w:hyperlink r:id="rId1" w:history="1">
        <w:r w:rsidRPr="00F06635">
          <w:rPr>
            <w:rStyle w:val="Hyperlink"/>
            <w:sz w:val="16"/>
          </w:rPr>
          <w:t>http://www.aer.gov.au/node/10809</w:t>
        </w:r>
      </w:hyperlink>
      <w:r>
        <w:t>.</w:t>
      </w:r>
    </w:p>
  </w:footnote>
  <w:footnote w:id="4">
    <w:p w:rsidR="00B16D74" w:rsidRDefault="00B16D74">
      <w:pPr>
        <w:pStyle w:val="FootnoteText"/>
      </w:pPr>
      <w:r>
        <w:rPr>
          <w:rStyle w:val="FootnoteReference"/>
        </w:rPr>
        <w:footnoteRef/>
      </w:r>
      <w:r>
        <w:t xml:space="preserve"> </w:t>
      </w:r>
      <w:r>
        <w:tab/>
      </w:r>
      <w:r w:rsidRPr="00C960B7">
        <w:t xml:space="preserve">NER, cl. 6A.17.2(c), cl. </w:t>
      </w:r>
      <w:proofErr w:type="gramStart"/>
      <w:r w:rsidRPr="00C960B7">
        <w:t>6A.17.2(</w:t>
      </w:r>
      <w:proofErr w:type="spellStart"/>
      <w:proofErr w:type="gramEnd"/>
      <w:r w:rsidRPr="00C960B7">
        <w:t>i</w:t>
      </w:r>
      <w:proofErr w:type="spellEnd"/>
      <w:r w:rsidRPr="00C960B7">
        <w:t>).</w:t>
      </w:r>
    </w:p>
  </w:footnote>
  <w:footnote w:id="5">
    <w:p w:rsidR="00B16D74" w:rsidRDefault="00B16D74" w:rsidP="00644BA8">
      <w:pPr>
        <w:pStyle w:val="FootnoteText"/>
      </w:pPr>
      <w:r>
        <w:rPr>
          <w:rStyle w:val="FootnoteReference"/>
        </w:rPr>
        <w:footnoteRef/>
      </w:r>
      <w:r>
        <w:t xml:space="preserve"> </w:t>
      </w:r>
      <w:r>
        <w:tab/>
      </w:r>
      <w:r w:rsidRPr="00C960B7">
        <w:t xml:space="preserve">The Better Regulation program was aimed at enhancing </w:t>
      </w:r>
      <w:r>
        <w:t>our</w:t>
      </w:r>
      <w:r w:rsidRPr="00C960B7">
        <w:t xml:space="preserve"> approach to network regulation and occurred throughout 2013 resulting in the publication of a series of guidelines. It included the development of the AER's Expenditure Forecast Assessment Guideline which describes the process, techniques and associated data requirements for our approach to setting efficient expenditure allowances for network businesses. More information about the Better Regulation p</w:t>
      </w:r>
      <w:r>
        <w:t xml:space="preserve">rogram can be found on our </w:t>
      </w:r>
      <w:r w:rsidRPr="00C960B7">
        <w:t xml:space="preserve">website at </w:t>
      </w:r>
      <w:hyperlink r:id="rId2" w:history="1">
        <w:r w:rsidRPr="00F06635">
          <w:rPr>
            <w:rStyle w:val="Hyperlink"/>
            <w:sz w:val="16"/>
          </w:rPr>
          <w:t>http://www.aer.gov.au/Better-regulation-reform-program</w:t>
        </w:r>
      </w:hyperlink>
      <w:r w:rsidRPr="00370528">
        <w:rPr>
          <w:rStyle w:val="FollowedHyperlink"/>
          <w:color w:val="auto"/>
          <w:u w:val="none"/>
        </w:rPr>
        <w:t>.</w:t>
      </w:r>
    </w:p>
  </w:footnote>
  <w:footnote w:id="6">
    <w:p w:rsidR="00B16D74" w:rsidRDefault="00B16D74">
      <w:pPr>
        <w:pStyle w:val="FootnoteText"/>
      </w:pPr>
      <w:r>
        <w:rPr>
          <w:rStyle w:val="FootnoteReference"/>
        </w:rPr>
        <w:footnoteRef/>
      </w:r>
      <w:r>
        <w:t xml:space="preserve"> </w:t>
      </w:r>
      <w:proofErr w:type="gramStart"/>
      <w:r w:rsidRPr="00C960B7">
        <w:t>NEL, s.7.</w:t>
      </w:r>
      <w:proofErr w:type="gramEnd"/>
    </w:p>
  </w:footnote>
  <w:footnote w:id="7">
    <w:p w:rsidR="00B16D74" w:rsidRDefault="00B16D74" w:rsidP="00B4187F">
      <w:pPr>
        <w:pStyle w:val="FootnoteText"/>
      </w:pPr>
      <w:r>
        <w:rPr>
          <w:rStyle w:val="FootnoteReference"/>
        </w:rPr>
        <w:footnoteRef/>
      </w:r>
      <w:r>
        <w:t xml:space="preserve"> </w:t>
      </w:r>
      <w:r>
        <w:tab/>
      </w:r>
      <w:r w:rsidRPr="00C960B7">
        <w:t xml:space="preserve">Generally, this information must be provided to </w:t>
      </w:r>
      <w:r>
        <w:t>us</w:t>
      </w:r>
      <w:r w:rsidRPr="00C960B7">
        <w:t xml:space="preserve"> by the end of October each year.</w:t>
      </w:r>
    </w:p>
  </w:footnote>
  <w:footnote w:id="8">
    <w:p w:rsidR="00B16D74" w:rsidRDefault="00B16D74">
      <w:pPr>
        <w:pStyle w:val="FootnoteText"/>
      </w:pPr>
      <w:r>
        <w:rPr>
          <w:rStyle w:val="FootnoteReference"/>
        </w:rPr>
        <w:footnoteRef/>
      </w:r>
      <w:r>
        <w:t xml:space="preserve"> </w:t>
      </w:r>
      <w:r>
        <w:tab/>
      </w:r>
      <w:r w:rsidRPr="00370528">
        <w:t xml:space="preserve">The guideline is available at </w:t>
      </w:r>
      <w:hyperlink r:id="rId3" w:history="1">
        <w:r w:rsidRPr="00F06635">
          <w:rPr>
            <w:rStyle w:val="Hyperlink"/>
            <w:sz w:val="16"/>
          </w:rPr>
          <w:t>http://www.aer.gov.au/node/10809</w:t>
        </w:r>
      </w:hyperlink>
      <w:r w:rsidRPr="00370528">
        <w:t>.</w:t>
      </w:r>
    </w:p>
  </w:footnote>
  <w:footnote w:id="9">
    <w:p w:rsidR="00B16D74" w:rsidRDefault="00B16D74">
      <w:pPr>
        <w:pStyle w:val="FootnoteText"/>
      </w:pPr>
      <w:r>
        <w:rPr>
          <w:rStyle w:val="FootnoteReference"/>
        </w:rPr>
        <w:footnoteRef/>
      </w:r>
      <w:r>
        <w:t xml:space="preserve"> </w:t>
      </w:r>
      <w:r>
        <w:tab/>
      </w:r>
      <w:r w:rsidRPr="00370528">
        <w:t xml:space="preserve">NER, </w:t>
      </w:r>
      <w:proofErr w:type="gramStart"/>
      <w:r w:rsidRPr="00370528">
        <w:t>cl.6A.17.1(</w:t>
      </w:r>
      <w:proofErr w:type="gramEnd"/>
      <w:r w:rsidRPr="00370528">
        <w:t>a).</w:t>
      </w:r>
    </w:p>
  </w:footnote>
  <w:footnote w:id="10">
    <w:p w:rsidR="00B16D74" w:rsidRDefault="00B16D74">
      <w:pPr>
        <w:pStyle w:val="FootnoteText"/>
      </w:pPr>
      <w:r>
        <w:rPr>
          <w:rStyle w:val="FootnoteReference"/>
        </w:rPr>
        <w:footnoteRef/>
      </w:r>
      <w:r>
        <w:t xml:space="preserve"> </w:t>
      </w:r>
      <w:r>
        <w:tab/>
      </w:r>
      <w:r w:rsidRPr="00370528">
        <w:t xml:space="preserve">NER, </w:t>
      </w:r>
      <w:proofErr w:type="gramStart"/>
      <w:r w:rsidRPr="00370528">
        <w:t>cl.6A.17.2(</w:t>
      </w:r>
      <w:proofErr w:type="spellStart"/>
      <w:proofErr w:type="gramEnd"/>
      <w:r w:rsidRPr="00370528">
        <w:t>i</w:t>
      </w:r>
      <w:proofErr w:type="spellEnd"/>
      <w:r w:rsidRPr="00370528">
        <w:t>).</w:t>
      </w:r>
    </w:p>
  </w:footnote>
  <w:footnote w:id="11">
    <w:p w:rsidR="00B16D74" w:rsidRDefault="00B16D74">
      <w:pPr>
        <w:pStyle w:val="FootnoteText"/>
      </w:pPr>
      <w:r>
        <w:rPr>
          <w:rStyle w:val="FootnoteReference"/>
        </w:rPr>
        <w:footnoteRef/>
      </w:r>
      <w:r>
        <w:t xml:space="preserve"> </w:t>
      </w:r>
      <w:r>
        <w:tab/>
      </w:r>
      <w:r w:rsidRPr="00370528">
        <w:t>TNSPs, with the exception of two interconnectors (</w:t>
      </w:r>
      <w:proofErr w:type="spellStart"/>
      <w:r w:rsidRPr="00370528">
        <w:t>Directlink</w:t>
      </w:r>
      <w:proofErr w:type="spellEnd"/>
      <w:r w:rsidRPr="00370528">
        <w:t xml:space="preserve"> and </w:t>
      </w:r>
      <w:proofErr w:type="spellStart"/>
      <w:r w:rsidRPr="00370528">
        <w:t>Murraylink</w:t>
      </w:r>
      <w:proofErr w:type="spellEnd"/>
      <w:r w:rsidRPr="00370528">
        <w:t>), are required to annually comply with Better Regulation RINs.</w:t>
      </w:r>
      <w:r w:rsidRPr="008946D1">
        <w:t xml:space="preserve"> The Economic Benchmarking RINs were issued on 28 November 2013. The Category Analysis RINs were issued on 7 March 2014, except for the two TNSPs (</w:t>
      </w:r>
      <w:proofErr w:type="spellStart"/>
      <w:r w:rsidRPr="008946D1">
        <w:t>Trans</w:t>
      </w:r>
      <w:r>
        <w:t>G</w:t>
      </w:r>
      <w:r w:rsidRPr="008946D1">
        <w:t>rid</w:t>
      </w:r>
      <w:proofErr w:type="spellEnd"/>
      <w:r w:rsidRPr="008946D1">
        <w:t xml:space="preserve"> and </w:t>
      </w:r>
      <w:proofErr w:type="spellStart"/>
      <w:r w:rsidRPr="008946D1">
        <w:t>TasNetworks</w:t>
      </w:r>
      <w:proofErr w:type="spellEnd"/>
      <w:r w:rsidRPr="008946D1">
        <w:t>) in the midst of a regulatory reset. For these TNSPs category analysis reporting requirements were embedded in their Reset RINs (which were also issued on 7 March 2014).</w:t>
      </w:r>
    </w:p>
  </w:footnote>
  <w:footnote w:id="12">
    <w:p w:rsidR="00B16D74" w:rsidRDefault="00B16D74">
      <w:pPr>
        <w:pStyle w:val="FootnoteText"/>
      </w:pPr>
      <w:r>
        <w:rPr>
          <w:rStyle w:val="FootnoteReference"/>
        </w:rPr>
        <w:footnoteRef/>
      </w:r>
      <w:r>
        <w:t xml:space="preserve"> </w:t>
      </w:r>
      <w:r>
        <w:tab/>
      </w:r>
      <w:r w:rsidRPr="0090395A">
        <w:t>The consultation period ran from Wednesday 10 December 2014 to close of business Wednesday 4 February 2015.</w:t>
      </w:r>
    </w:p>
  </w:footnote>
  <w:footnote w:id="13">
    <w:p w:rsidR="00B16D74" w:rsidRDefault="00B16D74">
      <w:pPr>
        <w:pStyle w:val="FootnoteText"/>
      </w:pPr>
      <w:r>
        <w:rPr>
          <w:rStyle w:val="FootnoteReference"/>
        </w:rPr>
        <w:footnoteRef/>
      </w:r>
      <w:r>
        <w:t xml:space="preserve"> </w:t>
      </w:r>
      <w:r>
        <w:tab/>
      </w:r>
      <w:r w:rsidRPr="0090395A">
        <w:t xml:space="preserve">Grid Australia, </w:t>
      </w:r>
      <w:r w:rsidRPr="002B49B1">
        <w:rPr>
          <w:rStyle w:val="Emphasis"/>
        </w:rPr>
        <w:t>Submission on the</w:t>
      </w:r>
      <w:r>
        <w:t xml:space="preserve"> </w:t>
      </w:r>
      <w:r w:rsidRPr="0090395A">
        <w:rPr>
          <w:rStyle w:val="Emphasis"/>
        </w:rPr>
        <w:t>Draft Electricity Transmission Network Service Providers Information Guideline (Version 2</w:t>
      </w:r>
      <w:r>
        <w:rPr>
          <w:rStyle w:val="Emphasis"/>
        </w:rPr>
        <w:t>)</w:t>
      </w:r>
      <w:r w:rsidRPr="0090395A">
        <w:t>, 4 February 2015</w:t>
      </w:r>
      <w:r>
        <w:t>, pp. 1-2.</w:t>
      </w:r>
    </w:p>
  </w:footnote>
  <w:footnote w:id="14">
    <w:p w:rsidR="00B16D74" w:rsidRDefault="00B16D74">
      <w:pPr>
        <w:pStyle w:val="FootnoteText"/>
      </w:pPr>
      <w:r>
        <w:rPr>
          <w:rStyle w:val="FootnoteReference"/>
        </w:rPr>
        <w:footnoteRef/>
      </w:r>
      <w:r>
        <w:t xml:space="preserve"> </w:t>
      </w:r>
      <w:r>
        <w:tab/>
      </w:r>
      <w:r w:rsidRPr="0090395A">
        <w:t xml:space="preserve">Grid Australia, </w:t>
      </w:r>
      <w:r w:rsidRPr="002B49B1">
        <w:rPr>
          <w:rStyle w:val="Emphasis"/>
        </w:rPr>
        <w:t>Submission on the</w:t>
      </w:r>
      <w:r>
        <w:t xml:space="preserve"> </w:t>
      </w:r>
      <w:r w:rsidRPr="0090395A">
        <w:rPr>
          <w:rStyle w:val="Emphasis"/>
        </w:rPr>
        <w:t>Draft Electricity Transmission Network Service Providers Information Guideline (Version 2</w:t>
      </w:r>
      <w:r>
        <w:rPr>
          <w:rStyle w:val="Emphasis"/>
        </w:rPr>
        <w:t>)</w:t>
      </w:r>
      <w:r w:rsidRPr="0090395A">
        <w:t>, 4 February 2015</w:t>
      </w:r>
      <w:r>
        <w:t>, p. 3.</w:t>
      </w:r>
    </w:p>
  </w:footnote>
  <w:footnote w:id="15">
    <w:p w:rsidR="00B16D74" w:rsidRDefault="00B16D74">
      <w:pPr>
        <w:pStyle w:val="FootnoteText"/>
      </w:pPr>
      <w:r>
        <w:rPr>
          <w:rStyle w:val="FootnoteReference"/>
        </w:rPr>
        <w:footnoteRef/>
      </w:r>
      <w:r>
        <w:t xml:space="preserve"> </w:t>
      </w:r>
      <w:r>
        <w:tab/>
      </w:r>
      <w:r w:rsidRPr="0090395A">
        <w:t xml:space="preserve">The meeting was held via video and telephone conference on 24 February 2015 and was attended by representatives of the AER, </w:t>
      </w:r>
      <w:proofErr w:type="spellStart"/>
      <w:r w:rsidRPr="0090395A">
        <w:t>Trans</w:t>
      </w:r>
      <w:r>
        <w:t>G</w:t>
      </w:r>
      <w:r w:rsidRPr="0090395A">
        <w:t>rid</w:t>
      </w:r>
      <w:proofErr w:type="spellEnd"/>
      <w:r w:rsidRPr="0090395A">
        <w:t xml:space="preserve">, Powerlink and </w:t>
      </w:r>
      <w:proofErr w:type="spellStart"/>
      <w:r w:rsidRPr="0090395A">
        <w:t>Electra</w:t>
      </w:r>
      <w:r>
        <w:t>N</w:t>
      </w:r>
      <w:r w:rsidRPr="0090395A">
        <w:t>et</w:t>
      </w:r>
      <w:proofErr w:type="spellEnd"/>
      <w:r w:rsidRPr="0090395A">
        <w:t>.</w:t>
      </w:r>
      <w:r>
        <w:t xml:space="preserve"> </w:t>
      </w:r>
    </w:p>
  </w:footnote>
  <w:footnote w:id="16">
    <w:p w:rsidR="00B16D74" w:rsidRDefault="00B16D74">
      <w:pPr>
        <w:pStyle w:val="FootnoteText"/>
      </w:pPr>
      <w:r>
        <w:rPr>
          <w:rStyle w:val="FootnoteReference"/>
        </w:rPr>
        <w:footnoteRef/>
      </w:r>
      <w:r>
        <w:t xml:space="preserve"> </w:t>
      </w:r>
      <w:r>
        <w:tab/>
      </w:r>
      <w:proofErr w:type="gramStart"/>
      <w:r w:rsidRPr="00597D96">
        <w:t xml:space="preserve">AER, </w:t>
      </w:r>
      <w:r w:rsidRPr="00597D96">
        <w:rPr>
          <w:rStyle w:val="Emphasis"/>
        </w:rPr>
        <w:t>Draft explanatory statement for electricity transmission information guideline (V</w:t>
      </w:r>
      <w:r>
        <w:rPr>
          <w:rStyle w:val="Emphasis"/>
        </w:rPr>
        <w:t>ersion 2)</w:t>
      </w:r>
      <w:r w:rsidRPr="00597D96">
        <w:t>, December 2014, p.</w:t>
      </w:r>
      <w:r w:rsidR="002D10F3">
        <w:t xml:space="preserve"> </w:t>
      </w:r>
      <w:r w:rsidRPr="00597D96">
        <w:t>9.</w:t>
      </w:r>
      <w:proofErr w:type="gramEnd"/>
    </w:p>
  </w:footnote>
  <w:footnote w:id="17">
    <w:p w:rsidR="00B16D74" w:rsidRDefault="00B16D74">
      <w:pPr>
        <w:pStyle w:val="FootnoteText"/>
      </w:pPr>
      <w:r>
        <w:rPr>
          <w:rStyle w:val="FootnoteReference"/>
        </w:rPr>
        <w:footnoteRef/>
      </w:r>
      <w:r>
        <w:t xml:space="preserve"> </w:t>
      </w:r>
      <w:r>
        <w:tab/>
      </w:r>
      <w:proofErr w:type="gramStart"/>
      <w:r w:rsidRPr="00597D96">
        <w:t xml:space="preserve">AER, </w:t>
      </w:r>
      <w:r w:rsidRPr="00597D96">
        <w:rPr>
          <w:rStyle w:val="Emphasis"/>
        </w:rPr>
        <w:t xml:space="preserve">Draft </w:t>
      </w:r>
      <w:r>
        <w:rPr>
          <w:rStyle w:val="Emphasis"/>
        </w:rPr>
        <w:t>E</w:t>
      </w:r>
      <w:r w:rsidRPr="00597D96">
        <w:rPr>
          <w:rStyle w:val="Emphasis"/>
        </w:rPr>
        <w:t xml:space="preserve">lectricity </w:t>
      </w:r>
      <w:r>
        <w:rPr>
          <w:rStyle w:val="Emphasis"/>
        </w:rPr>
        <w:t>T</w:t>
      </w:r>
      <w:r w:rsidRPr="00597D96">
        <w:rPr>
          <w:rStyle w:val="Emphasis"/>
        </w:rPr>
        <w:t>ransmission</w:t>
      </w:r>
      <w:r>
        <w:rPr>
          <w:rStyle w:val="Emphasis"/>
        </w:rPr>
        <w:t xml:space="preserve"> Network Service Providers i</w:t>
      </w:r>
      <w:r w:rsidRPr="00597D96">
        <w:rPr>
          <w:rStyle w:val="Emphasis"/>
        </w:rPr>
        <w:t>nformation guideline (V</w:t>
      </w:r>
      <w:r>
        <w:rPr>
          <w:rStyle w:val="Emphasis"/>
        </w:rPr>
        <w:t>ersion 2)</w:t>
      </w:r>
      <w:r w:rsidRPr="00597D96">
        <w:t>, December 2014, p.</w:t>
      </w:r>
      <w:r w:rsidR="002D10F3">
        <w:t xml:space="preserve"> </w:t>
      </w:r>
      <w:r>
        <w:t>20</w:t>
      </w:r>
      <w:r w:rsidRPr="00597D96">
        <w:t>.</w:t>
      </w:r>
      <w:proofErr w:type="gramEnd"/>
    </w:p>
  </w:footnote>
  <w:footnote w:id="18">
    <w:p w:rsidR="00B16D74" w:rsidRDefault="00B16D74">
      <w:pPr>
        <w:pStyle w:val="FootnoteText"/>
      </w:pPr>
      <w:r>
        <w:rPr>
          <w:rStyle w:val="FootnoteReference"/>
        </w:rPr>
        <w:footnoteRef/>
      </w:r>
      <w:r>
        <w:t xml:space="preserve"> </w:t>
      </w:r>
      <w:r>
        <w:tab/>
      </w:r>
      <w:r w:rsidRPr="006B07B6">
        <w:t xml:space="preserve">Grid Australia, </w:t>
      </w:r>
      <w:r w:rsidRPr="002B49B1">
        <w:rPr>
          <w:rStyle w:val="Emphasis"/>
        </w:rPr>
        <w:t>Submission on the</w:t>
      </w:r>
      <w:r>
        <w:t xml:space="preserve"> </w:t>
      </w:r>
      <w:r w:rsidRPr="006B07B6">
        <w:rPr>
          <w:rStyle w:val="Emphasis"/>
        </w:rPr>
        <w:t>Draft Electricity Transmission Network Service Providers I</w:t>
      </w:r>
      <w:r>
        <w:rPr>
          <w:rStyle w:val="Emphasis"/>
        </w:rPr>
        <w:t>nformation Guideline (Version 2)</w:t>
      </w:r>
      <w:r w:rsidRPr="006B07B6">
        <w:t>, 4 February 2015</w:t>
      </w:r>
      <w:r>
        <w:t>, p.</w:t>
      </w:r>
      <w:r w:rsidR="002D10F3">
        <w:t xml:space="preserve"> </w:t>
      </w:r>
      <w:r>
        <w:t>1</w:t>
      </w:r>
      <w:r w:rsidRPr="006B07B6">
        <w:t>.</w:t>
      </w:r>
    </w:p>
  </w:footnote>
  <w:footnote w:id="19">
    <w:p w:rsidR="00B16D74" w:rsidRDefault="00B16D74">
      <w:pPr>
        <w:pStyle w:val="FootnoteText"/>
      </w:pPr>
      <w:r>
        <w:rPr>
          <w:rStyle w:val="FootnoteReference"/>
        </w:rPr>
        <w:footnoteRef/>
      </w:r>
      <w:r>
        <w:t xml:space="preserve"> </w:t>
      </w:r>
      <w:r>
        <w:tab/>
      </w:r>
      <w:r w:rsidRPr="006B07B6">
        <w:t xml:space="preserve">Grid Australia, </w:t>
      </w:r>
      <w:r w:rsidRPr="002B49B1">
        <w:rPr>
          <w:rStyle w:val="Emphasis"/>
        </w:rPr>
        <w:t>Submission on the</w:t>
      </w:r>
      <w:r>
        <w:t xml:space="preserve"> </w:t>
      </w:r>
      <w:r w:rsidRPr="006B07B6">
        <w:rPr>
          <w:rStyle w:val="Emphasis"/>
        </w:rPr>
        <w:t>Draft Electricity Transmission Network Service Providers I</w:t>
      </w:r>
      <w:r>
        <w:rPr>
          <w:rStyle w:val="Emphasis"/>
        </w:rPr>
        <w:t>nformation Guideline (Version 2)</w:t>
      </w:r>
      <w:r w:rsidRPr="006B07B6">
        <w:t>, 4 February 2015</w:t>
      </w:r>
      <w:r>
        <w:t>, p.</w:t>
      </w:r>
      <w:r w:rsidR="002D10F3">
        <w:t xml:space="preserve"> </w:t>
      </w:r>
      <w:r>
        <w:t>2.</w:t>
      </w:r>
    </w:p>
  </w:footnote>
  <w:footnote w:id="20">
    <w:p w:rsidR="00B16D74" w:rsidRDefault="00B16D74">
      <w:pPr>
        <w:pStyle w:val="FootnoteText"/>
      </w:pPr>
      <w:r>
        <w:rPr>
          <w:rStyle w:val="FootnoteReference"/>
        </w:rPr>
        <w:footnoteRef/>
      </w:r>
      <w:r>
        <w:t xml:space="preserve"> </w:t>
      </w:r>
      <w:r>
        <w:tab/>
      </w:r>
      <w:r w:rsidRPr="006B07B6">
        <w:t xml:space="preserve">Grid Australia, </w:t>
      </w:r>
      <w:r w:rsidRPr="002B49B1">
        <w:rPr>
          <w:rStyle w:val="Emphasis"/>
        </w:rPr>
        <w:t>Submission on the</w:t>
      </w:r>
      <w:r>
        <w:t xml:space="preserve"> </w:t>
      </w:r>
      <w:r w:rsidRPr="006B07B6">
        <w:rPr>
          <w:rStyle w:val="Emphasis"/>
        </w:rPr>
        <w:t>Draft Electricity Transmission Network Service Providers I</w:t>
      </w:r>
      <w:r>
        <w:rPr>
          <w:rStyle w:val="Emphasis"/>
        </w:rPr>
        <w:t>nformation Guideline (Version 2)</w:t>
      </w:r>
      <w:r w:rsidRPr="006B07B6">
        <w:t>, 4 February 2015</w:t>
      </w:r>
      <w:r>
        <w:t>, pp.</w:t>
      </w:r>
      <w:r w:rsidR="002D10F3">
        <w:t xml:space="preserve"> </w:t>
      </w:r>
      <w:r>
        <w:t>2-3</w:t>
      </w:r>
      <w:r w:rsidRPr="006B07B6">
        <w:t>.</w:t>
      </w:r>
    </w:p>
  </w:footnote>
  <w:footnote w:id="21">
    <w:p w:rsidR="00B16D74" w:rsidRDefault="00B16D74">
      <w:pPr>
        <w:pStyle w:val="FootnoteText"/>
      </w:pPr>
      <w:r>
        <w:rPr>
          <w:rStyle w:val="FootnoteReference"/>
        </w:rPr>
        <w:footnoteRef/>
      </w:r>
      <w:r>
        <w:t xml:space="preserve"> </w:t>
      </w:r>
      <w:r>
        <w:tab/>
      </w:r>
      <w:r w:rsidRPr="006B07B6">
        <w:t>All TNSPs are required to submit an annual statement under the Information Guideline. In addition, the five principal TNSP are required to annually comply with Better Regulation RINs. This additional requirement does not apply to the two interconnectors.</w:t>
      </w:r>
    </w:p>
  </w:footnote>
  <w:footnote w:id="22">
    <w:p w:rsidR="00B16D74" w:rsidRDefault="00B16D74">
      <w:pPr>
        <w:pStyle w:val="FootnoteText"/>
      </w:pPr>
      <w:r>
        <w:rPr>
          <w:rStyle w:val="FootnoteReference"/>
        </w:rPr>
        <w:footnoteRef/>
      </w:r>
      <w:r>
        <w:t xml:space="preserve"> </w:t>
      </w:r>
      <w:r>
        <w:tab/>
      </w:r>
      <w:proofErr w:type="gramStart"/>
      <w:r>
        <w:t>NER, cl. 6A.20.</w:t>
      </w:r>
      <w:proofErr w:type="gramEnd"/>
    </w:p>
  </w:footnote>
  <w:footnote w:id="23">
    <w:p w:rsidR="00B16D74" w:rsidRDefault="00B16D74" w:rsidP="003A2DEC">
      <w:pPr>
        <w:pStyle w:val="FootnoteText"/>
      </w:pPr>
      <w:r>
        <w:rPr>
          <w:rStyle w:val="FootnoteReference"/>
        </w:rPr>
        <w:footnoteRef/>
      </w:r>
      <w:r>
        <w:t xml:space="preserve"> </w:t>
      </w:r>
      <w:r>
        <w:tab/>
      </w:r>
      <w:r w:rsidRPr="006B07B6">
        <w:t>The arrangement where an exchange of letters will occur between the AER and the TNSPs was discussed and agreed upon during the meeting on 24 February 2015.</w:t>
      </w:r>
    </w:p>
  </w:footnote>
  <w:footnote w:id="24">
    <w:p w:rsidR="00B16D74" w:rsidRDefault="00B16D74">
      <w:pPr>
        <w:pStyle w:val="FootnoteText"/>
      </w:pPr>
      <w:r>
        <w:rPr>
          <w:rStyle w:val="FootnoteReference"/>
        </w:rPr>
        <w:footnoteRef/>
      </w:r>
      <w:r>
        <w:t xml:space="preserve"> </w:t>
      </w:r>
      <w:r>
        <w:tab/>
      </w:r>
      <w:proofErr w:type="gramStart"/>
      <w:r w:rsidRPr="00597D96">
        <w:t xml:space="preserve">AER, </w:t>
      </w:r>
      <w:r w:rsidRPr="00597D96">
        <w:rPr>
          <w:rStyle w:val="Emphasis"/>
        </w:rPr>
        <w:t>Draft explanatory statement for electricity transmission information guideline (V</w:t>
      </w:r>
      <w:r>
        <w:rPr>
          <w:rStyle w:val="Emphasis"/>
        </w:rPr>
        <w:t>ersion 2)</w:t>
      </w:r>
      <w:r w:rsidRPr="00597D96">
        <w:t>, December 2014, p</w:t>
      </w:r>
      <w:r>
        <w:t>p</w:t>
      </w:r>
      <w:r w:rsidRPr="00597D96">
        <w:t>.</w:t>
      </w:r>
      <w:r>
        <w:t xml:space="preserve"> </w:t>
      </w:r>
      <w:r w:rsidRPr="00597D96">
        <w:t>9</w:t>
      </w:r>
      <w:r>
        <w:t>-10</w:t>
      </w:r>
      <w:r w:rsidRPr="00597D96">
        <w:t>.</w:t>
      </w:r>
      <w:proofErr w:type="gramEnd"/>
    </w:p>
  </w:footnote>
  <w:footnote w:id="25">
    <w:p w:rsidR="00B16D74" w:rsidRDefault="00B16D74">
      <w:pPr>
        <w:pStyle w:val="FootnoteText"/>
      </w:pPr>
      <w:r>
        <w:rPr>
          <w:rStyle w:val="FootnoteReference"/>
        </w:rPr>
        <w:footnoteRef/>
      </w:r>
      <w:r>
        <w:t xml:space="preserve"> </w:t>
      </w:r>
      <w:r>
        <w:tab/>
      </w:r>
      <w:r w:rsidRPr="006B07B6">
        <w:t xml:space="preserve">As a result of this review we have removed the following worksheets from the duplicated requirements table: Historic Capex by Asset Class (see discussion in </w:t>
      </w:r>
      <w:r>
        <w:t>3</w:t>
      </w:r>
      <w:r w:rsidRPr="006B07B6">
        <w:t>.2 below), Historic Capex - Non-network by project, and Provisions Summary. We now consider that these worksheets are not duplicated in the Better Regulation RINs and, therefore, should be completed by all TNSPs.</w:t>
      </w:r>
    </w:p>
  </w:footnote>
  <w:footnote w:id="26">
    <w:p w:rsidR="00B16D74" w:rsidRDefault="00B16D74">
      <w:pPr>
        <w:pStyle w:val="FootnoteText"/>
      </w:pPr>
      <w:r>
        <w:rPr>
          <w:rStyle w:val="FootnoteReference"/>
        </w:rPr>
        <w:footnoteRef/>
      </w:r>
      <w:r>
        <w:tab/>
      </w:r>
      <w:proofErr w:type="gramStart"/>
      <w:r>
        <w:t>Based upon the 2013-14 Economic Benchmarking and Category Analysis RIN templates.</w:t>
      </w:r>
      <w:proofErr w:type="gramEnd"/>
    </w:p>
  </w:footnote>
  <w:footnote w:id="27">
    <w:p w:rsidR="00B16D74" w:rsidRDefault="00B16D74">
      <w:pPr>
        <w:pStyle w:val="FootnoteText"/>
      </w:pPr>
      <w:r>
        <w:rPr>
          <w:rStyle w:val="FootnoteReference"/>
        </w:rPr>
        <w:footnoteRef/>
      </w:r>
      <w:r>
        <w:t xml:space="preserve"> </w:t>
      </w:r>
      <w:r>
        <w:tab/>
      </w:r>
      <w:proofErr w:type="gramStart"/>
      <w:r w:rsidRPr="00597D96">
        <w:t xml:space="preserve">AER, </w:t>
      </w:r>
      <w:r w:rsidRPr="00597D96">
        <w:rPr>
          <w:rStyle w:val="Emphasis"/>
        </w:rPr>
        <w:t>Draft explanatory statement for electricity transmission information guideline (V</w:t>
      </w:r>
      <w:r>
        <w:rPr>
          <w:rStyle w:val="Emphasis"/>
        </w:rPr>
        <w:t>ersion 2)</w:t>
      </w:r>
      <w:r w:rsidRPr="00597D96">
        <w:t>, December 2014, p.</w:t>
      </w:r>
      <w:r w:rsidR="002D10F3">
        <w:t xml:space="preserve"> </w:t>
      </w:r>
      <w:r>
        <w:t>10</w:t>
      </w:r>
      <w:r w:rsidRPr="00597D96">
        <w:t>.</w:t>
      </w:r>
      <w:proofErr w:type="gramEnd"/>
    </w:p>
  </w:footnote>
  <w:footnote w:id="28">
    <w:p w:rsidR="00B16D74" w:rsidRDefault="00B16D74">
      <w:pPr>
        <w:pStyle w:val="FootnoteText"/>
      </w:pPr>
      <w:r>
        <w:rPr>
          <w:rStyle w:val="FootnoteReference"/>
        </w:rPr>
        <w:footnoteRef/>
      </w:r>
      <w:r>
        <w:t xml:space="preserve"> </w:t>
      </w:r>
      <w:r>
        <w:tab/>
      </w:r>
      <w:r w:rsidRPr="006B07B6">
        <w:t xml:space="preserve">Grid Australia, </w:t>
      </w:r>
      <w:r w:rsidRPr="002B49B1">
        <w:rPr>
          <w:rStyle w:val="Emphasis"/>
        </w:rPr>
        <w:t>Submission on the</w:t>
      </w:r>
      <w:r>
        <w:t xml:space="preserve"> </w:t>
      </w:r>
      <w:r w:rsidRPr="006B07B6">
        <w:rPr>
          <w:rStyle w:val="Emphasis"/>
        </w:rPr>
        <w:t>Draft Electricity Transmission Network Service Providers I</w:t>
      </w:r>
      <w:r>
        <w:rPr>
          <w:rStyle w:val="Emphasis"/>
        </w:rPr>
        <w:t>nformation Guideline (Version 2)</w:t>
      </w:r>
      <w:r w:rsidRPr="006B07B6">
        <w:t>, 4 February 2015</w:t>
      </w:r>
      <w:r>
        <w:t>, p</w:t>
      </w:r>
      <w:r w:rsidR="002D10F3">
        <w:t>. 3.</w:t>
      </w:r>
    </w:p>
  </w:footnote>
  <w:footnote w:id="29">
    <w:p w:rsidR="00B16D74" w:rsidRDefault="00B16D74" w:rsidP="002D1FD7">
      <w:pPr>
        <w:pStyle w:val="FootnoteText"/>
      </w:pPr>
      <w:r>
        <w:rPr>
          <w:rStyle w:val="FootnoteReference"/>
        </w:rPr>
        <w:footnoteRef/>
      </w:r>
      <w:r>
        <w:t xml:space="preserve"> </w:t>
      </w:r>
      <w:r>
        <w:tab/>
      </w:r>
      <w:r w:rsidRPr="006B07B6">
        <w:t xml:space="preserve">Grid Australia, </w:t>
      </w:r>
      <w:r w:rsidRPr="002B49B1">
        <w:rPr>
          <w:rStyle w:val="Emphasis"/>
        </w:rPr>
        <w:t>Submission on the</w:t>
      </w:r>
      <w:r>
        <w:t xml:space="preserve"> </w:t>
      </w:r>
      <w:r w:rsidRPr="006B07B6">
        <w:rPr>
          <w:rStyle w:val="Emphasis"/>
        </w:rPr>
        <w:t>Draft Electricity Transmission Network Service Providers I</w:t>
      </w:r>
      <w:r>
        <w:rPr>
          <w:rStyle w:val="Emphasis"/>
        </w:rPr>
        <w:t>nformation Guideline (Version 2)</w:t>
      </w:r>
      <w:r w:rsidRPr="006B07B6">
        <w:t>, 4 February 2015</w:t>
      </w:r>
      <w:r>
        <w:t>, p</w:t>
      </w:r>
      <w:r w:rsidR="002D10F3">
        <w:t xml:space="preserve">. </w:t>
      </w:r>
      <w:r>
        <w:t>3</w:t>
      </w:r>
      <w:r w:rsidRPr="006B07B6">
        <w:t>.</w:t>
      </w:r>
      <w:r>
        <w:t xml:space="preserve"> We consider th</w:t>
      </w:r>
      <w:r w:rsidR="000B0140">
        <w:t xml:space="preserve">e regulatory balance sheet </w:t>
      </w:r>
      <w:r>
        <w:t xml:space="preserve">is redundant - see </w:t>
      </w:r>
      <w:r w:rsidRPr="00597D96">
        <w:t xml:space="preserve">AER, </w:t>
      </w:r>
      <w:r w:rsidRPr="00597D96">
        <w:rPr>
          <w:rStyle w:val="Emphasis"/>
        </w:rPr>
        <w:t>Draft explanatory statement for electricity transmission information guideline (V</w:t>
      </w:r>
      <w:r>
        <w:rPr>
          <w:rStyle w:val="Emphasis"/>
        </w:rPr>
        <w:t>ersion 2)</w:t>
      </w:r>
      <w:r w:rsidRPr="00597D96">
        <w:t>, December 2014, p</w:t>
      </w:r>
      <w:r>
        <w:t>.</w:t>
      </w:r>
      <w:r w:rsidR="002D10F3">
        <w:t xml:space="preserve"> </w:t>
      </w:r>
      <w:r>
        <w:t>10.</w:t>
      </w:r>
    </w:p>
  </w:footnote>
  <w:footnote w:id="30">
    <w:p w:rsidR="00B16D74" w:rsidRDefault="00B16D74">
      <w:pPr>
        <w:pStyle w:val="FootnoteText"/>
      </w:pPr>
      <w:r>
        <w:rPr>
          <w:rStyle w:val="FootnoteReference"/>
        </w:rPr>
        <w:footnoteRef/>
      </w:r>
      <w:r>
        <w:t xml:space="preserve"> </w:t>
      </w:r>
      <w:r>
        <w:tab/>
      </w:r>
      <w:r w:rsidRPr="006B07B6">
        <w:t xml:space="preserve">Grid Australia, </w:t>
      </w:r>
      <w:r w:rsidRPr="002B49B1">
        <w:rPr>
          <w:rStyle w:val="Emphasis"/>
        </w:rPr>
        <w:t>Submission on the</w:t>
      </w:r>
      <w:r>
        <w:t xml:space="preserve"> </w:t>
      </w:r>
      <w:r w:rsidRPr="006B07B6">
        <w:rPr>
          <w:rStyle w:val="Emphasis"/>
        </w:rPr>
        <w:t>Draft Electricity Transmission Network Service Providers I</w:t>
      </w:r>
      <w:r>
        <w:rPr>
          <w:rStyle w:val="Emphasis"/>
        </w:rPr>
        <w:t>nformation Guideline (Version 2)</w:t>
      </w:r>
      <w:r w:rsidRPr="006B07B6">
        <w:t>, 4 February 2015</w:t>
      </w:r>
      <w:r>
        <w:t>, p</w:t>
      </w:r>
      <w:r w:rsidR="002D10F3">
        <w:t>.</w:t>
      </w:r>
      <w:r>
        <w:t xml:space="preserve"> 3</w:t>
      </w:r>
      <w:r w:rsidRPr="006B07B6">
        <w:t>.</w:t>
      </w:r>
    </w:p>
  </w:footnote>
  <w:footnote w:id="31">
    <w:p w:rsidR="00B16D74" w:rsidRDefault="00B16D74">
      <w:pPr>
        <w:pStyle w:val="FootnoteText"/>
      </w:pPr>
      <w:r>
        <w:rPr>
          <w:rStyle w:val="FootnoteReference"/>
        </w:rPr>
        <w:footnoteRef/>
      </w:r>
      <w:r>
        <w:t xml:space="preserve"> </w:t>
      </w:r>
      <w:r>
        <w:tab/>
      </w:r>
      <w:r w:rsidRPr="00EE4A64">
        <w:t>The term ‘officer’ is defined in the NEL and has the same meaning as s.9 of the Corporations Act 2001 and includes a company director, company secretary, a person who makes (or participates in) decisions that affect the whole or substantial part of the corporation’s business; or a person who has the capacity to affect significant the c</w:t>
      </w:r>
      <w:r>
        <w:t>orporation’s financial standing.</w:t>
      </w:r>
    </w:p>
  </w:footnote>
  <w:footnote w:id="32">
    <w:p w:rsidR="00B16D74" w:rsidRDefault="00B16D74">
      <w:pPr>
        <w:pStyle w:val="FootnoteText"/>
      </w:pPr>
      <w:r>
        <w:rPr>
          <w:rStyle w:val="FootnoteReference"/>
        </w:rPr>
        <w:footnoteRef/>
      </w:r>
      <w:r>
        <w:t xml:space="preserve"> </w:t>
      </w:r>
      <w:r>
        <w:tab/>
      </w:r>
      <w:r w:rsidRPr="00074402">
        <w:t xml:space="preserve">AER, </w:t>
      </w:r>
      <w:r w:rsidRPr="00074402">
        <w:rPr>
          <w:rStyle w:val="Emphasis"/>
        </w:rPr>
        <w:t>Explanatory Statement - Category Analysis RIN</w:t>
      </w:r>
      <w:r w:rsidRPr="00074402">
        <w:t>, March 2014, p. 19.</w:t>
      </w:r>
    </w:p>
  </w:footnote>
  <w:footnote w:id="33">
    <w:p w:rsidR="00B16D74" w:rsidRDefault="00B16D74">
      <w:pPr>
        <w:pStyle w:val="FootnoteText"/>
      </w:pPr>
      <w:r>
        <w:rPr>
          <w:rStyle w:val="FootnoteReference"/>
        </w:rPr>
        <w:footnoteRef/>
      </w:r>
      <w:r>
        <w:tab/>
      </w:r>
      <w:proofErr w:type="gramStart"/>
      <w:r>
        <w:t xml:space="preserve">AER, </w:t>
      </w:r>
      <w:r w:rsidRPr="00FB6AAC">
        <w:rPr>
          <w:rStyle w:val="Emphasis"/>
        </w:rPr>
        <w:t>Information guidelines</w:t>
      </w:r>
      <w:r w:rsidRPr="00FB6AAC">
        <w:t>, September 2007, p</w:t>
      </w:r>
      <w:r w:rsidR="002D10F3">
        <w:t xml:space="preserve">. </w:t>
      </w:r>
      <w:r w:rsidRPr="00FB6AAC">
        <w:t>9.</w:t>
      </w:r>
      <w:proofErr w:type="gramEnd"/>
    </w:p>
  </w:footnote>
  <w:footnote w:id="34">
    <w:p w:rsidR="00B16D74" w:rsidRDefault="00B16D74">
      <w:pPr>
        <w:pStyle w:val="FootnoteText"/>
      </w:pPr>
      <w:r>
        <w:rPr>
          <w:rStyle w:val="FootnoteReference"/>
        </w:rPr>
        <w:footnoteRef/>
      </w:r>
      <w:r>
        <w:t xml:space="preserve"> </w:t>
      </w:r>
      <w:r>
        <w:tab/>
      </w:r>
      <w:r w:rsidRPr="006B07B6">
        <w:t xml:space="preserve">Grid Australia, </w:t>
      </w:r>
      <w:r w:rsidRPr="002B49B1">
        <w:rPr>
          <w:rStyle w:val="Emphasis"/>
        </w:rPr>
        <w:t>Submission on the</w:t>
      </w:r>
      <w:r>
        <w:t xml:space="preserve"> </w:t>
      </w:r>
      <w:r w:rsidRPr="006B07B6">
        <w:rPr>
          <w:rStyle w:val="Emphasis"/>
        </w:rPr>
        <w:t>Draft Electricity Transmission Network Service Providers I</w:t>
      </w:r>
      <w:r>
        <w:rPr>
          <w:rStyle w:val="Emphasis"/>
        </w:rPr>
        <w:t>nformation Guideline (Version 2)</w:t>
      </w:r>
      <w:r w:rsidRPr="006B07B6">
        <w:t>, 4 February 2015</w:t>
      </w:r>
      <w:r>
        <w:t>, p</w:t>
      </w:r>
      <w:r w:rsidR="002D10F3">
        <w:t>.</w:t>
      </w:r>
      <w:r>
        <w:t xml:space="preserve"> 3</w:t>
      </w:r>
      <w:r w:rsidRPr="006B07B6">
        <w:t>.</w:t>
      </w:r>
    </w:p>
  </w:footnote>
  <w:footnote w:id="35">
    <w:p w:rsidR="00B16D74" w:rsidRDefault="00B16D74">
      <w:pPr>
        <w:pStyle w:val="FootnoteText"/>
      </w:pPr>
      <w:r>
        <w:rPr>
          <w:rStyle w:val="FootnoteReference"/>
        </w:rPr>
        <w:footnoteRef/>
      </w:r>
      <w:r>
        <w:t xml:space="preserve"> </w:t>
      </w:r>
      <w:r>
        <w:tab/>
      </w:r>
      <w:r w:rsidRPr="006B07B6">
        <w:t xml:space="preserve">Grid Australia, </w:t>
      </w:r>
      <w:r w:rsidRPr="002B49B1">
        <w:rPr>
          <w:rStyle w:val="Emphasis"/>
        </w:rPr>
        <w:t>Submission on the</w:t>
      </w:r>
      <w:r>
        <w:t xml:space="preserve"> </w:t>
      </w:r>
      <w:r w:rsidRPr="006B07B6">
        <w:rPr>
          <w:rStyle w:val="Emphasis"/>
        </w:rPr>
        <w:t>Draft Electricity Transmission Network Service Providers I</w:t>
      </w:r>
      <w:r>
        <w:rPr>
          <w:rStyle w:val="Emphasis"/>
        </w:rPr>
        <w:t>nformation Guideline (Version 2)</w:t>
      </w:r>
      <w:r w:rsidRPr="006B07B6">
        <w:t>, 4 February 2015</w:t>
      </w:r>
      <w:r>
        <w:t>, p</w:t>
      </w:r>
      <w:r w:rsidR="002D10F3">
        <w:t>.</w:t>
      </w:r>
      <w:r>
        <w:t xml:space="preserve"> 3</w:t>
      </w:r>
      <w:r w:rsidRPr="006B07B6">
        <w:t>.</w:t>
      </w:r>
      <w:r>
        <w:t xml:space="preserve"> </w:t>
      </w:r>
    </w:p>
  </w:footnote>
  <w:footnote w:id="36">
    <w:p w:rsidR="00B16D74" w:rsidRDefault="00B16D74">
      <w:pPr>
        <w:pStyle w:val="FootnoteText"/>
      </w:pPr>
      <w:r>
        <w:rPr>
          <w:rStyle w:val="FootnoteReference"/>
        </w:rPr>
        <w:footnoteRef/>
      </w:r>
      <w:r>
        <w:t xml:space="preserve">  </w:t>
      </w:r>
      <w:r>
        <w:tab/>
      </w:r>
      <w:r w:rsidRPr="00FB6AAC">
        <w:t>This issue was initially raised during the meeting between the AER and TNSPs which took place on 24 February 2015. On 2 March 2015, we sent an email to all TNSPs enclosing our proposed amendment to the Historic Capex by Asset Class worksheet and seeking feedback by 13 March 2015.</w:t>
      </w:r>
    </w:p>
  </w:footnote>
  <w:footnote w:id="37">
    <w:p w:rsidR="00B16D74" w:rsidRDefault="00B16D74">
      <w:pPr>
        <w:pStyle w:val="FootnoteText"/>
      </w:pPr>
      <w:r>
        <w:rPr>
          <w:rStyle w:val="FootnoteReference"/>
        </w:rPr>
        <w:footnoteRef/>
      </w:r>
      <w:r>
        <w:t xml:space="preserve"> </w:t>
      </w:r>
      <w:r>
        <w:tab/>
      </w:r>
      <w:r w:rsidRPr="00FB6AAC">
        <w:t>We</w:t>
      </w:r>
      <w:r>
        <w:t xml:space="preserve"> received feedback from </w:t>
      </w:r>
      <w:proofErr w:type="spellStart"/>
      <w:r>
        <w:t>ElectraN</w:t>
      </w:r>
      <w:r w:rsidRPr="00FB6AAC">
        <w:t>et</w:t>
      </w:r>
      <w:proofErr w:type="spellEnd"/>
      <w:r w:rsidRPr="00FB6AAC">
        <w:t xml:space="preserve">, Powerlink, </w:t>
      </w:r>
      <w:proofErr w:type="spellStart"/>
      <w:r w:rsidRPr="00FB6AAC">
        <w:t>TasNetworks</w:t>
      </w:r>
      <w:proofErr w:type="spellEnd"/>
      <w:r w:rsidRPr="00FB6AAC">
        <w:t xml:space="preserve">, and </w:t>
      </w:r>
      <w:proofErr w:type="spellStart"/>
      <w:r w:rsidRPr="00FB6AAC">
        <w:t>Trans</w:t>
      </w:r>
      <w:r>
        <w:t>G</w:t>
      </w:r>
      <w:r w:rsidRPr="00FB6AAC">
        <w:t>rid</w:t>
      </w:r>
      <w:proofErr w:type="spellEnd"/>
      <w:r>
        <w:t xml:space="preserve">. </w:t>
      </w:r>
    </w:p>
  </w:footnote>
  <w:footnote w:id="38">
    <w:p w:rsidR="00B16D74" w:rsidRDefault="00B16D74">
      <w:pPr>
        <w:pStyle w:val="FootnoteText"/>
      </w:pPr>
      <w:r>
        <w:rPr>
          <w:rStyle w:val="FootnoteReference"/>
        </w:rPr>
        <w:footnoteRef/>
      </w:r>
      <w:r>
        <w:t xml:space="preserve"> </w:t>
      </w:r>
      <w:r>
        <w:tab/>
      </w:r>
      <w:r w:rsidRPr="002228C1">
        <w:t xml:space="preserve">The minor changes we have incorporated include adding in Yr-1 column for each table and noting that capex should be adjusted for any movements in capitalised provisions (i.e. accruals are converted to a cash basis). </w:t>
      </w:r>
      <w:r>
        <w:t xml:space="preserve">We have also noted that </w:t>
      </w:r>
      <w:r w:rsidRPr="00E71715">
        <w:t>where capex related to Network Capability Incentive Parameter Action Plan (NCIPAP) projects has been commissioned and reported across asset classes, the total amount for each project should be noted.</w:t>
      </w:r>
      <w:r>
        <w:t xml:space="preserve"> In addition, w</w:t>
      </w:r>
      <w:r w:rsidRPr="002228C1">
        <w:t xml:space="preserve">e </w:t>
      </w:r>
      <w:r>
        <w:t>clarified in</w:t>
      </w:r>
      <w:r w:rsidRPr="002228C1">
        <w:t xml:space="preserve"> the worksheet that reporting of historic capex should be net of customer contributions.</w:t>
      </w:r>
    </w:p>
  </w:footnote>
  <w:footnote w:id="39">
    <w:p w:rsidR="00B16D74" w:rsidRDefault="00B16D74">
      <w:pPr>
        <w:pStyle w:val="FootnoteText"/>
      </w:pPr>
      <w:r>
        <w:rPr>
          <w:rStyle w:val="FootnoteReference"/>
        </w:rPr>
        <w:footnoteRef/>
      </w:r>
      <w:r>
        <w:t xml:space="preserve">  </w:t>
      </w:r>
      <w:r>
        <w:tab/>
      </w:r>
      <w:r w:rsidRPr="002228C1">
        <w:t>This differs from the position which we took in the draft In</w:t>
      </w:r>
      <w:r>
        <w:t>formation Guideline (Version 2)</w:t>
      </w:r>
      <w:r w:rsidRPr="002228C1">
        <w:t xml:space="preserve"> where we identified the information sought in the 'Historic Capex by Asset Class' worksheet as a duplicated information requirement - see AER, </w:t>
      </w:r>
      <w:r w:rsidRPr="002228C1">
        <w:rPr>
          <w:rStyle w:val="Emphasis"/>
        </w:rPr>
        <w:t>Draft explanatory statement for electricity transmission i</w:t>
      </w:r>
      <w:r>
        <w:rPr>
          <w:rStyle w:val="Emphasis"/>
        </w:rPr>
        <w:t>nformation guideline (Version 2)</w:t>
      </w:r>
      <w:r w:rsidRPr="002228C1">
        <w:t>, December 2014, pp. 9-10.</w:t>
      </w:r>
    </w:p>
  </w:footnote>
  <w:footnote w:id="40">
    <w:p w:rsidR="00B16D74" w:rsidRDefault="00B16D74">
      <w:pPr>
        <w:pStyle w:val="FootnoteText"/>
      </w:pPr>
      <w:r>
        <w:rPr>
          <w:rStyle w:val="FootnoteReference"/>
        </w:rPr>
        <w:footnoteRef/>
      </w:r>
      <w:r>
        <w:t xml:space="preserve"> </w:t>
      </w:r>
      <w:r>
        <w:tab/>
      </w:r>
      <w:proofErr w:type="gramStart"/>
      <w:r w:rsidRPr="002228C1">
        <w:t xml:space="preserve">AER, </w:t>
      </w:r>
      <w:r w:rsidRPr="002228C1">
        <w:rPr>
          <w:rStyle w:val="Emphasis"/>
        </w:rPr>
        <w:t>Draft explanatory statement for electricity transmission i</w:t>
      </w:r>
      <w:r>
        <w:rPr>
          <w:rStyle w:val="Emphasis"/>
        </w:rPr>
        <w:t>nformation guideline (Version 2)</w:t>
      </w:r>
      <w:r w:rsidRPr="002228C1">
        <w:t>, December 2014, p</w:t>
      </w:r>
      <w:r w:rsidR="002D10F3">
        <w:t>. 1</w:t>
      </w:r>
      <w:r>
        <w:t>1</w:t>
      </w:r>
      <w:r w:rsidRPr="002228C1">
        <w:t>.</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C004CC0"/>
    <w:lvl w:ilvl="0">
      <w:start w:val="1"/>
      <w:numFmt w:val="decimal"/>
      <w:pStyle w:val="ListNumber"/>
      <w:lvlText w:val="%1."/>
      <w:lvlJc w:val="left"/>
      <w:pPr>
        <w:tabs>
          <w:tab w:val="num" w:pos="360"/>
        </w:tabs>
        <w:ind w:left="360" w:hanging="360"/>
      </w:pPr>
    </w:lvl>
  </w:abstractNum>
  <w:abstractNum w:abstractNumId="9">
    <w:nsid w:val="FFFFFF89"/>
    <w:multiLevelType w:val="singleLevel"/>
    <w:tmpl w:val="95E6301C"/>
    <w:lvl w:ilvl="0">
      <w:start w:val="1"/>
      <w:numFmt w:val="bullet"/>
      <w:lvlText w:val=""/>
      <w:lvlJc w:val="left"/>
      <w:pPr>
        <w:tabs>
          <w:tab w:val="num" w:pos="360"/>
        </w:tabs>
        <w:ind w:left="360" w:hanging="360"/>
      </w:pPr>
      <w:rPr>
        <w:rFonts w:ascii="Symbol" w:hAnsi="Symbol" w:hint="default"/>
      </w:rPr>
    </w:lvl>
  </w:abstractNum>
  <w:abstractNum w:abstractNumId="10">
    <w:nsid w:val="03BE4FB3"/>
    <w:multiLevelType w:val="hybridMultilevel"/>
    <w:tmpl w:val="D74ADE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041F530A"/>
    <w:multiLevelType w:val="multilevel"/>
    <w:tmpl w:val="4E603EEA"/>
    <w:lvl w:ilvl="0">
      <w:start w:val="1"/>
      <w:numFmt w:val="decimal"/>
      <w:pStyle w:val="Heading1"/>
      <w:lvlText w:val="%1"/>
      <w:lvlJc w:val="left"/>
      <w:pPr>
        <w:ind w:left="432" w:hanging="432"/>
      </w:pPr>
    </w:lvl>
    <w:lvl w:ilvl="1">
      <w:start w:val="1"/>
      <w:numFmt w:val="decimal"/>
      <w:pStyle w:val="Heading2"/>
      <w:lvlText w:val="%1.%2"/>
      <w:lvlJc w:val="left"/>
      <w:pPr>
        <w:ind w:left="3128"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nsid w:val="09C62EF7"/>
    <w:multiLevelType w:val="hybridMultilevel"/>
    <w:tmpl w:val="C68681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4">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6">
    <w:nsid w:val="18E65396"/>
    <w:multiLevelType w:val="hybridMultilevel"/>
    <w:tmpl w:val="07384C54"/>
    <w:lvl w:ilvl="0" w:tplc="8530271E">
      <w:start w:val="1"/>
      <w:numFmt w:val="decimal"/>
      <w:pStyle w:val="NumberedChapterTitle"/>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1CF519CE"/>
    <w:multiLevelType w:val="multilevel"/>
    <w:tmpl w:val="FDC07CAE"/>
    <w:lvl w:ilvl="0">
      <w:start w:val="1"/>
      <w:numFmt w:val="decimal"/>
      <w:lvlText w:val="%1."/>
      <w:lvlJc w:val="left"/>
      <w:pPr>
        <w:ind w:left="360" w:hanging="360"/>
      </w:pPr>
    </w:lvl>
    <w:lvl w:ilvl="1">
      <w:start w:val="1"/>
      <w:numFmt w:val="decimal"/>
      <w:pStyle w:val="Numberedparagraph1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1F6066C2"/>
    <w:multiLevelType w:val="hybridMultilevel"/>
    <w:tmpl w:val="2F5E7F54"/>
    <w:lvl w:ilvl="0" w:tplc="C5FCFD8A">
      <w:start w:val="1"/>
      <w:numFmt w:val="decimal"/>
      <w:lvlText w:val="1.%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28865DF8"/>
    <w:multiLevelType w:val="hybridMultilevel"/>
    <w:tmpl w:val="EC0E5568"/>
    <w:lvl w:ilvl="0" w:tplc="D90E7D7A">
      <w:start w:val="1"/>
      <w:numFmt w:val="lowerLetter"/>
      <w:pStyle w:val="Listalphabet2"/>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0">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9881C01"/>
    <w:multiLevelType w:val="hybridMultilevel"/>
    <w:tmpl w:val="201E9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720"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563C0F33"/>
    <w:multiLevelType w:val="multilevel"/>
    <w:tmpl w:val="D74ADE0E"/>
    <w:lvl w:ilvl="0">
      <w:start w:val="1"/>
      <w:numFmt w:val="bullet"/>
      <w:lvlText w:val=""/>
      <w:lvlJc w:val="left"/>
      <w:pPr>
        <w:ind w:left="360" w:hanging="360"/>
      </w:pPr>
      <w:rPr>
        <w:rFonts w:ascii="Symbol" w:hAnsi="Symbol"/>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6">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27">
    <w:nsid w:val="71052EFE"/>
    <w:multiLevelType w:val="hybridMultilevel"/>
    <w:tmpl w:val="52FCFAA8"/>
    <w:lvl w:ilvl="0" w:tplc="C846CA5C">
      <w:start w:val="1"/>
      <w:numFmt w:val="lowerRoman"/>
      <w:pStyle w:val="ListLegal3"/>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7E2819EC"/>
    <w:multiLevelType w:val="multilevel"/>
    <w:tmpl w:val="1250F310"/>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5"/>
  </w:num>
  <w:num w:numId="2">
    <w:abstractNumId w:val="28"/>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6"/>
  </w:num>
  <w:num w:numId="13">
    <w:abstractNumId w:val="20"/>
  </w:num>
  <w:num w:numId="14">
    <w:abstractNumId w:val="14"/>
  </w:num>
  <w:num w:numId="15">
    <w:abstractNumId w:val="17"/>
  </w:num>
  <w:num w:numId="16">
    <w:abstractNumId w:val="22"/>
  </w:num>
  <w:num w:numId="17">
    <w:abstractNumId w:val="13"/>
  </w:num>
  <w:num w:numId="18">
    <w:abstractNumId w:val="19"/>
  </w:num>
  <w:num w:numId="19">
    <w:abstractNumId w:val="12"/>
  </w:num>
  <w:num w:numId="20">
    <w:abstractNumId w:val="23"/>
  </w:num>
  <w:num w:numId="21">
    <w:abstractNumId w:val="27"/>
  </w:num>
  <w:num w:numId="22">
    <w:abstractNumId w:val="18"/>
  </w:num>
  <w:num w:numId="23">
    <w:abstractNumId w:val="2"/>
    <w:lvlOverride w:ilvl="0">
      <w:startOverride w:val="1"/>
    </w:lvlOverride>
  </w:num>
  <w:num w:numId="24">
    <w:abstractNumId w:val="19"/>
    <w:lvlOverride w:ilvl="0">
      <w:startOverride w:val="1"/>
    </w:lvlOverride>
  </w:num>
  <w:num w:numId="25">
    <w:abstractNumId w:val="25"/>
  </w:num>
  <w:num w:numId="26">
    <w:abstractNumId w:val="21"/>
  </w:num>
  <w:num w:numId="27">
    <w:abstractNumId w:val="10"/>
  </w:num>
  <w:num w:numId="28">
    <w:abstractNumId w:val="16"/>
  </w:num>
  <w:num w:numId="29">
    <w:abstractNumId w:val="11"/>
  </w:num>
  <w:num w:numId="30">
    <w:abstractNumId w:val="24"/>
  </w:num>
  <w:num w:numId="31">
    <w:abstractNumId w:val="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0"/>
  <w:removePersonalInformation/>
  <w:removeDateAndTime/>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V8DQQcTcxLoJvfwNpwbiosaGc5ldkUUup2kDvxELNck=" w:saltValue="9bk2AvJj52KBBALdPUzBFw==" w:algorithmName="SHA-256"/>
  <w:styleLockTheme/>
  <w:defaultTabStop w:val="340"/>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ansmission Reporting Framework\Web - Final\AER Explanatory statement for the final electricity transmission information guideline (Version 2) - April 2015.docx"/>
  </w:docVars>
  <w:rsids>
    <w:rsidRoot w:val="00D578F8"/>
    <w:rsid w:val="00021202"/>
    <w:rsid w:val="0002517F"/>
    <w:rsid w:val="0003578C"/>
    <w:rsid w:val="00062B30"/>
    <w:rsid w:val="00063247"/>
    <w:rsid w:val="00070F9F"/>
    <w:rsid w:val="0007137B"/>
    <w:rsid w:val="00074341"/>
    <w:rsid w:val="00074402"/>
    <w:rsid w:val="00084CA7"/>
    <w:rsid w:val="00085663"/>
    <w:rsid w:val="00085EBF"/>
    <w:rsid w:val="000A6C7B"/>
    <w:rsid w:val="000B0140"/>
    <w:rsid w:val="000D122C"/>
    <w:rsid w:val="000E1819"/>
    <w:rsid w:val="000E6C72"/>
    <w:rsid w:val="00107CC7"/>
    <w:rsid w:val="00116EB2"/>
    <w:rsid w:val="001227BB"/>
    <w:rsid w:val="00124609"/>
    <w:rsid w:val="0012713A"/>
    <w:rsid w:val="00130C3C"/>
    <w:rsid w:val="0014573B"/>
    <w:rsid w:val="001514F8"/>
    <w:rsid w:val="001573E4"/>
    <w:rsid w:val="00160756"/>
    <w:rsid w:val="00170114"/>
    <w:rsid w:val="0017232E"/>
    <w:rsid w:val="00174102"/>
    <w:rsid w:val="00180157"/>
    <w:rsid w:val="00182906"/>
    <w:rsid w:val="00185CB9"/>
    <w:rsid w:val="00186F77"/>
    <w:rsid w:val="001926A4"/>
    <w:rsid w:val="00192AD5"/>
    <w:rsid w:val="00196AC5"/>
    <w:rsid w:val="001B45A0"/>
    <w:rsid w:val="001B4907"/>
    <w:rsid w:val="001D055E"/>
    <w:rsid w:val="001D4F75"/>
    <w:rsid w:val="001E134D"/>
    <w:rsid w:val="001F492E"/>
    <w:rsid w:val="001F6DA3"/>
    <w:rsid w:val="00201079"/>
    <w:rsid w:val="002010BC"/>
    <w:rsid w:val="00202E03"/>
    <w:rsid w:val="0020492C"/>
    <w:rsid w:val="00207FDC"/>
    <w:rsid w:val="002228C1"/>
    <w:rsid w:val="00224DB9"/>
    <w:rsid w:val="00233775"/>
    <w:rsid w:val="00251745"/>
    <w:rsid w:val="00263AC0"/>
    <w:rsid w:val="0026772D"/>
    <w:rsid w:val="00286874"/>
    <w:rsid w:val="00295B3D"/>
    <w:rsid w:val="00296B65"/>
    <w:rsid w:val="002A7DEF"/>
    <w:rsid w:val="002B49B1"/>
    <w:rsid w:val="002D10F3"/>
    <w:rsid w:val="002D1306"/>
    <w:rsid w:val="002D1FD7"/>
    <w:rsid w:val="002E1BE5"/>
    <w:rsid w:val="002E2BFC"/>
    <w:rsid w:val="002E5A75"/>
    <w:rsid w:val="002F1A4C"/>
    <w:rsid w:val="002F4B9D"/>
    <w:rsid w:val="002F7986"/>
    <w:rsid w:val="00301B40"/>
    <w:rsid w:val="00305CC8"/>
    <w:rsid w:val="00307F6D"/>
    <w:rsid w:val="0031359D"/>
    <w:rsid w:val="003177A2"/>
    <w:rsid w:val="003271B5"/>
    <w:rsid w:val="00327A1E"/>
    <w:rsid w:val="00331264"/>
    <w:rsid w:val="00334C8D"/>
    <w:rsid w:val="003518B3"/>
    <w:rsid w:val="00370528"/>
    <w:rsid w:val="003846F1"/>
    <w:rsid w:val="00386C01"/>
    <w:rsid w:val="003A2DEC"/>
    <w:rsid w:val="003A41CE"/>
    <w:rsid w:val="003A714B"/>
    <w:rsid w:val="003C0C71"/>
    <w:rsid w:val="003F5B82"/>
    <w:rsid w:val="004366F9"/>
    <w:rsid w:val="00480B4B"/>
    <w:rsid w:val="00482F8F"/>
    <w:rsid w:val="00485DC4"/>
    <w:rsid w:val="004A29B2"/>
    <w:rsid w:val="004A43D1"/>
    <w:rsid w:val="004B4412"/>
    <w:rsid w:val="004C348C"/>
    <w:rsid w:val="004D55BA"/>
    <w:rsid w:val="004E22EC"/>
    <w:rsid w:val="00530128"/>
    <w:rsid w:val="00532467"/>
    <w:rsid w:val="00537007"/>
    <w:rsid w:val="0056080A"/>
    <w:rsid w:val="00562632"/>
    <w:rsid w:val="00563517"/>
    <w:rsid w:val="00564A4D"/>
    <w:rsid w:val="00567BA5"/>
    <w:rsid w:val="00571B35"/>
    <w:rsid w:val="00571D57"/>
    <w:rsid w:val="00577A09"/>
    <w:rsid w:val="005829C2"/>
    <w:rsid w:val="00584D8F"/>
    <w:rsid w:val="005916A7"/>
    <w:rsid w:val="00597212"/>
    <w:rsid w:val="00597D96"/>
    <w:rsid w:val="005A404D"/>
    <w:rsid w:val="005B1E3C"/>
    <w:rsid w:val="005C26CC"/>
    <w:rsid w:val="005C4261"/>
    <w:rsid w:val="005D7A7C"/>
    <w:rsid w:val="005E5420"/>
    <w:rsid w:val="00615C6B"/>
    <w:rsid w:val="00620BED"/>
    <w:rsid w:val="00632D6D"/>
    <w:rsid w:val="00642C3E"/>
    <w:rsid w:val="00644BA8"/>
    <w:rsid w:val="00663DAD"/>
    <w:rsid w:val="0066745F"/>
    <w:rsid w:val="00670957"/>
    <w:rsid w:val="00676679"/>
    <w:rsid w:val="00692B8B"/>
    <w:rsid w:val="00695EEB"/>
    <w:rsid w:val="006B07B6"/>
    <w:rsid w:val="006B4CF9"/>
    <w:rsid w:val="006B7AC8"/>
    <w:rsid w:val="006C1FEB"/>
    <w:rsid w:val="006D550F"/>
    <w:rsid w:val="00701CAB"/>
    <w:rsid w:val="0070332D"/>
    <w:rsid w:val="00707563"/>
    <w:rsid w:val="00716731"/>
    <w:rsid w:val="0072348C"/>
    <w:rsid w:val="00724A37"/>
    <w:rsid w:val="007303C3"/>
    <w:rsid w:val="00743223"/>
    <w:rsid w:val="00746E01"/>
    <w:rsid w:val="00757BDF"/>
    <w:rsid w:val="00763E5D"/>
    <w:rsid w:val="00767740"/>
    <w:rsid w:val="00777EE6"/>
    <w:rsid w:val="00782EEA"/>
    <w:rsid w:val="007A01E1"/>
    <w:rsid w:val="007A4D1F"/>
    <w:rsid w:val="007B2C72"/>
    <w:rsid w:val="007C1C53"/>
    <w:rsid w:val="007C74BB"/>
    <w:rsid w:val="007E179C"/>
    <w:rsid w:val="007E4904"/>
    <w:rsid w:val="007E4CB5"/>
    <w:rsid w:val="007F066B"/>
    <w:rsid w:val="008033C4"/>
    <w:rsid w:val="00806C88"/>
    <w:rsid w:val="0081034E"/>
    <w:rsid w:val="00820E14"/>
    <w:rsid w:val="008344F6"/>
    <w:rsid w:val="0083510F"/>
    <w:rsid w:val="00843704"/>
    <w:rsid w:val="00843FD6"/>
    <w:rsid w:val="00851209"/>
    <w:rsid w:val="008837AC"/>
    <w:rsid w:val="008946D1"/>
    <w:rsid w:val="008A3E3C"/>
    <w:rsid w:val="008A587D"/>
    <w:rsid w:val="008A5BA9"/>
    <w:rsid w:val="008C5486"/>
    <w:rsid w:val="008D1661"/>
    <w:rsid w:val="008E7031"/>
    <w:rsid w:val="008F2354"/>
    <w:rsid w:val="008F2B99"/>
    <w:rsid w:val="0090395A"/>
    <w:rsid w:val="009233EE"/>
    <w:rsid w:val="00935201"/>
    <w:rsid w:val="009460AA"/>
    <w:rsid w:val="00951978"/>
    <w:rsid w:val="009661DE"/>
    <w:rsid w:val="009856B7"/>
    <w:rsid w:val="009A3C9B"/>
    <w:rsid w:val="009A5FC3"/>
    <w:rsid w:val="009B74B0"/>
    <w:rsid w:val="009C7DEE"/>
    <w:rsid w:val="009D6B46"/>
    <w:rsid w:val="009F4940"/>
    <w:rsid w:val="009F5BA1"/>
    <w:rsid w:val="00A02A88"/>
    <w:rsid w:val="00A0562E"/>
    <w:rsid w:val="00A0726D"/>
    <w:rsid w:val="00A22495"/>
    <w:rsid w:val="00A32FBB"/>
    <w:rsid w:val="00A4478A"/>
    <w:rsid w:val="00A44852"/>
    <w:rsid w:val="00A57D04"/>
    <w:rsid w:val="00A60023"/>
    <w:rsid w:val="00A60A26"/>
    <w:rsid w:val="00A61598"/>
    <w:rsid w:val="00A70DA8"/>
    <w:rsid w:val="00A75077"/>
    <w:rsid w:val="00A77B23"/>
    <w:rsid w:val="00A84F46"/>
    <w:rsid w:val="00A871F4"/>
    <w:rsid w:val="00AC1B2C"/>
    <w:rsid w:val="00AC3264"/>
    <w:rsid w:val="00AD7B2C"/>
    <w:rsid w:val="00AE1BF1"/>
    <w:rsid w:val="00AF0857"/>
    <w:rsid w:val="00AF0DD2"/>
    <w:rsid w:val="00AF1ED6"/>
    <w:rsid w:val="00B13048"/>
    <w:rsid w:val="00B149FC"/>
    <w:rsid w:val="00B16D74"/>
    <w:rsid w:val="00B1716D"/>
    <w:rsid w:val="00B17A1D"/>
    <w:rsid w:val="00B207A0"/>
    <w:rsid w:val="00B37E38"/>
    <w:rsid w:val="00B4187F"/>
    <w:rsid w:val="00B514DD"/>
    <w:rsid w:val="00B52AF0"/>
    <w:rsid w:val="00B56E03"/>
    <w:rsid w:val="00B8080B"/>
    <w:rsid w:val="00B87C39"/>
    <w:rsid w:val="00B927D8"/>
    <w:rsid w:val="00BA3C98"/>
    <w:rsid w:val="00BA4665"/>
    <w:rsid w:val="00BB2FB2"/>
    <w:rsid w:val="00BB3304"/>
    <w:rsid w:val="00BD3446"/>
    <w:rsid w:val="00BD7081"/>
    <w:rsid w:val="00BE1F1B"/>
    <w:rsid w:val="00BE47B5"/>
    <w:rsid w:val="00C25FA6"/>
    <w:rsid w:val="00C310BB"/>
    <w:rsid w:val="00C538A9"/>
    <w:rsid w:val="00C53B5A"/>
    <w:rsid w:val="00C54F5A"/>
    <w:rsid w:val="00C569B4"/>
    <w:rsid w:val="00C67A92"/>
    <w:rsid w:val="00C86679"/>
    <w:rsid w:val="00C960B7"/>
    <w:rsid w:val="00CA489E"/>
    <w:rsid w:val="00CB666B"/>
    <w:rsid w:val="00CC213C"/>
    <w:rsid w:val="00CC7F1D"/>
    <w:rsid w:val="00CE5727"/>
    <w:rsid w:val="00D01CF0"/>
    <w:rsid w:val="00D0442A"/>
    <w:rsid w:val="00D24469"/>
    <w:rsid w:val="00D418F4"/>
    <w:rsid w:val="00D44A1F"/>
    <w:rsid w:val="00D578F8"/>
    <w:rsid w:val="00D61388"/>
    <w:rsid w:val="00D61A54"/>
    <w:rsid w:val="00D64A73"/>
    <w:rsid w:val="00D64DEA"/>
    <w:rsid w:val="00D7168E"/>
    <w:rsid w:val="00D71E57"/>
    <w:rsid w:val="00D80809"/>
    <w:rsid w:val="00D80893"/>
    <w:rsid w:val="00D81EF4"/>
    <w:rsid w:val="00D85FE5"/>
    <w:rsid w:val="00D92CF1"/>
    <w:rsid w:val="00D92D38"/>
    <w:rsid w:val="00D950F5"/>
    <w:rsid w:val="00DB0305"/>
    <w:rsid w:val="00DB0F93"/>
    <w:rsid w:val="00DB1A67"/>
    <w:rsid w:val="00DB1C30"/>
    <w:rsid w:val="00DB5074"/>
    <w:rsid w:val="00DB723B"/>
    <w:rsid w:val="00DC050A"/>
    <w:rsid w:val="00DC7981"/>
    <w:rsid w:val="00DE4EFA"/>
    <w:rsid w:val="00DE5520"/>
    <w:rsid w:val="00DE63B1"/>
    <w:rsid w:val="00E04818"/>
    <w:rsid w:val="00E05F8E"/>
    <w:rsid w:val="00E06442"/>
    <w:rsid w:val="00E10282"/>
    <w:rsid w:val="00E137FB"/>
    <w:rsid w:val="00E16751"/>
    <w:rsid w:val="00E2250A"/>
    <w:rsid w:val="00E22820"/>
    <w:rsid w:val="00E23993"/>
    <w:rsid w:val="00E25B8C"/>
    <w:rsid w:val="00E65C85"/>
    <w:rsid w:val="00E66199"/>
    <w:rsid w:val="00E71715"/>
    <w:rsid w:val="00E755EC"/>
    <w:rsid w:val="00E7624D"/>
    <w:rsid w:val="00E81BA8"/>
    <w:rsid w:val="00EA3D42"/>
    <w:rsid w:val="00EA6B1B"/>
    <w:rsid w:val="00EB505D"/>
    <w:rsid w:val="00ED6287"/>
    <w:rsid w:val="00EE0691"/>
    <w:rsid w:val="00EE28F3"/>
    <w:rsid w:val="00EE4A64"/>
    <w:rsid w:val="00EF5110"/>
    <w:rsid w:val="00F15882"/>
    <w:rsid w:val="00F171E0"/>
    <w:rsid w:val="00F20BD3"/>
    <w:rsid w:val="00F27B39"/>
    <w:rsid w:val="00F373A5"/>
    <w:rsid w:val="00F443EE"/>
    <w:rsid w:val="00F47559"/>
    <w:rsid w:val="00F50B22"/>
    <w:rsid w:val="00F615F3"/>
    <w:rsid w:val="00F64C7B"/>
    <w:rsid w:val="00F676DD"/>
    <w:rsid w:val="00F71778"/>
    <w:rsid w:val="00F75A26"/>
    <w:rsid w:val="00F835C9"/>
    <w:rsid w:val="00F83FAD"/>
    <w:rsid w:val="00F952A0"/>
    <w:rsid w:val="00FA3C7F"/>
    <w:rsid w:val="00FB6AAC"/>
    <w:rsid w:val="00FB74E2"/>
    <w:rsid w:val="00FC6349"/>
    <w:rsid w:val="00FD5614"/>
    <w:rsid w:val="00FE0BE1"/>
    <w:rsid w:val="00FE1DE9"/>
    <w:rsid w:val="00FE39C2"/>
    <w:rsid w:val="00FE3C32"/>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uiPriority="0" w:qFormat="1"/>
    <w:lsdException w:name="header" w:qFormat="1"/>
    <w:lsdException w:name="footer" w:qFormat="1"/>
    <w:lsdException w:name="caption" w:uiPriority="35" w:qFormat="1"/>
    <w:lsdException w:name="footnote reference" w:uiPriority="0"/>
    <w:lsdException w:name="page number" w:uiPriority="0"/>
    <w:lsdException w:name="List" w:qFormat="1"/>
    <w:lsdException w:name="List Number" w:qFormat="1"/>
    <w:lsdException w:name="Title" w:semiHidden="0" w:uiPriority="10" w:unhideWhenUsed="0"/>
    <w:lsdException w:name="Default Paragraph Font" w:uiPriority="1"/>
    <w:lsdException w:name="List Continue" w:qFormat="1"/>
    <w:lsdException w:name="Subtitle" w:semiHidden="0" w:uiPriority="11" w:unhideWhenUsed="0"/>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latentStyles>
  <w:style w:type="paragraph" w:default="1" w:styleId="Normal">
    <w:name w:val="Normal"/>
    <w:qFormat/>
    <w:rsid w:val="00BA3C98"/>
    <w:pPr>
      <w:spacing w:line="276" w:lineRule="auto"/>
    </w:pPr>
    <w:rPr>
      <w:rFonts w:ascii="Arial" w:hAnsi="Arial"/>
    </w:rPr>
  </w:style>
  <w:style w:type="paragraph" w:styleId="Heading1">
    <w:name w:val="heading 1"/>
    <w:basedOn w:val="Normal"/>
    <w:next w:val="Normal"/>
    <w:link w:val="Heading1Char"/>
    <w:qFormat/>
    <w:rsid w:val="00B927D8"/>
    <w:pPr>
      <w:pageBreakBefore/>
      <w:numPr>
        <w:numId w:val="29"/>
      </w:numPr>
      <w:tabs>
        <w:tab w:val="left" w:pos="680"/>
      </w:tabs>
      <w:spacing w:before="240"/>
      <w:ind w:left="680" w:hanging="680"/>
      <w:outlineLvl w:val="0"/>
    </w:pPr>
    <w:rPr>
      <w:rFonts w:eastAsiaTheme="majorEastAsia" w:cstheme="majorBidi"/>
      <w:b/>
      <w:bCs/>
      <w:color w:val="70635A"/>
      <w:sz w:val="36"/>
      <w:szCs w:val="28"/>
    </w:rPr>
  </w:style>
  <w:style w:type="paragraph" w:styleId="Heading2">
    <w:name w:val="heading 2"/>
    <w:next w:val="Normal"/>
    <w:link w:val="Heading2Char"/>
    <w:qFormat/>
    <w:rsid w:val="00B927D8"/>
    <w:pPr>
      <w:numPr>
        <w:ilvl w:val="1"/>
        <w:numId w:val="29"/>
      </w:numPr>
      <w:tabs>
        <w:tab w:val="left" w:pos="680"/>
      </w:tabs>
      <w:spacing w:line="240" w:lineRule="atLeast"/>
      <w:ind w:left="680" w:hanging="680"/>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B927D8"/>
    <w:pPr>
      <w:numPr>
        <w:ilvl w:val="2"/>
        <w:numId w:val="29"/>
      </w:numPr>
      <w:tabs>
        <w:tab w:val="left" w:pos="1021"/>
      </w:tabs>
      <w:spacing w:before="240"/>
      <w:ind w:left="1021" w:hanging="1021"/>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B927D8"/>
    <w:pPr>
      <w:numPr>
        <w:ilvl w:val="3"/>
        <w:numId w:val="29"/>
      </w:numPr>
      <w:tabs>
        <w:tab w:val="left" w:pos="1021"/>
      </w:tabs>
      <w:spacing w:before="240"/>
      <w:ind w:left="1021" w:hanging="1021"/>
      <w:outlineLvl w:val="3"/>
    </w:pPr>
    <w:rPr>
      <w:rFonts w:eastAsiaTheme="majorEastAsia" w:cstheme="majorBidi"/>
      <w:b/>
      <w:bCs/>
      <w:iCs/>
      <w:color w:val="51626F"/>
      <w:sz w:val="24"/>
    </w:rPr>
  </w:style>
  <w:style w:type="paragraph" w:styleId="Heading5">
    <w:name w:val="heading 5"/>
    <w:next w:val="Normal"/>
    <w:link w:val="Heading5Char"/>
    <w:uiPriority w:val="2"/>
    <w:qFormat/>
    <w:rsid w:val="00B927D8"/>
    <w:pPr>
      <w:numPr>
        <w:ilvl w:val="4"/>
        <w:numId w:val="29"/>
      </w:numPr>
      <w:tabs>
        <w:tab w:val="left" w:pos="1361"/>
      </w:tabs>
      <w:spacing w:line="240" w:lineRule="atLeast"/>
      <w:ind w:left="1361" w:hanging="1361"/>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2"/>
    <w:qFormat/>
    <w:rsid w:val="00B37E38"/>
    <w:pPr>
      <w:numPr>
        <w:ilvl w:val="5"/>
        <w:numId w:val="29"/>
      </w:numPr>
      <w:tabs>
        <w:tab w:val="left" w:pos="1361"/>
      </w:tabs>
      <w:spacing w:before="240"/>
      <w:ind w:left="1361" w:hanging="1361"/>
      <w:outlineLvl w:val="5"/>
    </w:pPr>
    <w:rPr>
      <w:rFonts w:eastAsiaTheme="majorEastAsia" w:cstheme="majorBidi"/>
      <w:b/>
      <w:i/>
      <w:iCs/>
      <w:color w:val="076A92" w:themeColor="text1"/>
    </w:rPr>
  </w:style>
  <w:style w:type="paragraph" w:styleId="Heading7">
    <w:name w:val="heading 7"/>
    <w:basedOn w:val="Normal"/>
    <w:next w:val="Normal"/>
    <w:link w:val="Heading7Char"/>
    <w:uiPriority w:val="2"/>
    <w:qFormat/>
    <w:rsid w:val="00B927D8"/>
    <w:pPr>
      <w:numPr>
        <w:ilvl w:val="6"/>
        <w:numId w:val="29"/>
      </w:numPr>
      <w:tabs>
        <w:tab w:val="left" w:pos="1701"/>
      </w:tabs>
      <w:spacing w:before="240"/>
      <w:ind w:left="1701" w:hanging="1701"/>
      <w:outlineLvl w:val="6"/>
    </w:pPr>
    <w:rPr>
      <w:rFonts w:eastAsiaTheme="majorEastAsia" w:cstheme="majorBidi"/>
      <w:i/>
      <w:iCs/>
    </w:rPr>
  </w:style>
  <w:style w:type="paragraph" w:styleId="Heading8">
    <w:name w:val="heading 8"/>
    <w:basedOn w:val="Normal"/>
    <w:next w:val="Normal"/>
    <w:link w:val="Heading8Char"/>
    <w:uiPriority w:val="2"/>
    <w:qFormat/>
    <w:rsid w:val="00B927D8"/>
    <w:pPr>
      <w:numPr>
        <w:ilvl w:val="7"/>
        <w:numId w:val="29"/>
      </w:numPr>
      <w:tabs>
        <w:tab w:val="left" w:pos="1701"/>
      </w:tabs>
      <w:spacing w:before="240"/>
      <w:ind w:left="1701" w:hanging="1701"/>
      <w:outlineLvl w:val="7"/>
    </w:pPr>
    <w:rPr>
      <w:rFonts w:eastAsiaTheme="majorEastAsia" w:cstheme="majorBidi"/>
      <w:color w:val="2F002F" w:themeColor="accent1"/>
      <w:szCs w:val="20"/>
    </w:rPr>
  </w:style>
  <w:style w:type="paragraph" w:styleId="Heading9">
    <w:name w:val="heading 9"/>
    <w:basedOn w:val="Normal"/>
    <w:next w:val="Normal"/>
    <w:link w:val="Heading9Char"/>
    <w:uiPriority w:val="2"/>
    <w:qFormat/>
    <w:rsid w:val="00B927D8"/>
    <w:pPr>
      <w:numPr>
        <w:ilvl w:val="8"/>
        <w:numId w:val="29"/>
      </w:numPr>
      <w:tabs>
        <w:tab w:val="left" w:pos="1701"/>
      </w:tabs>
      <w:spacing w:before="240"/>
      <w:ind w:left="1701" w:hanging="1701"/>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27D8"/>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B927D8"/>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B927D8"/>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B927D8"/>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2"/>
    <w:rsid w:val="00B927D8"/>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2"/>
    <w:rsid w:val="00B37E38"/>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F835C9"/>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F835C9"/>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EB505D"/>
    <w:pPr>
      <w:tabs>
        <w:tab w:val="right" w:leader="dot" w:pos="8363"/>
      </w:tabs>
      <w:spacing w:after="100"/>
      <w:ind w:left="2977"/>
    </w:pPr>
    <w:rPr>
      <w:noProof/>
    </w:rPr>
  </w:style>
  <w:style w:type="paragraph" w:styleId="TOC9">
    <w:name w:val="toc 9"/>
    <w:basedOn w:val="Normal"/>
    <w:next w:val="Normal"/>
    <w:uiPriority w:val="39"/>
    <w:rsid w:val="00EB505D"/>
    <w:pPr>
      <w:tabs>
        <w:tab w:val="right" w:leader="dot" w:pos="8363"/>
      </w:tabs>
      <w:spacing w:after="100"/>
      <w:ind w:left="3402"/>
    </w:pPr>
    <w:rPr>
      <w:noProof/>
    </w:rPr>
  </w:style>
  <w:style w:type="paragraph" w:customStyle="1" w:styleId="Heading1notnumber">
    <w:name w:val="Heading 1 not number"/>
    <w:basedOn w:val="Heading1"/>
    <w:qFormat/>
    <w:rsid w:val="00130C3C"/>
    <w:pPr>
      <w:numPr>
        <w:numId w:val="0"/>
      </w:numPr>
    </w:pPr>
  </w:style>
  <w:style w:type="paragraph" w:customStyle="1" w:styleId="Heading2notnumbered">
    <w:name w:val="Heading 2 not numbered"/>
    <w:basedOn w:val="Heading2"/>
    <w:rsid w:val="00130C3C"/>
    <w:pPr>
      <w:numPr>
        <w:ilvl w:val="0"/>
        <w:numId w:val="0"/>
      </w:numPr>
    </w:pPr>
    <w:rPr>
      <w:rFonts w:eastAsia="Times New Roman" w:cs="Times New Roman"/>
      <w:szCs w:val="20"/>
    </w:rPr>
  </w:style>
  <w:style w:type="paragraph" w:customStyle="1" w:styleId="Heading3notnumbered">
    <w:name w:val="Heading 3 not numbered"/>
    <w:basedOn w:val="Heading3"/>
    <w:rsid w:val="00130C3C"/>
    <w:pPr>
      <w:numPr>
        <w:ilvl w:val="0"/>
        <w:numId w:val="0"/>
      </w:numPr>
    </w:pPr>
    <w:rPr>
      <w:rFonts w:eastAsia="Times New Roman" w:cs="Times New Roman"/>
      <w:szCs w:val="20"/>
    </w:rPr>
  </w:style>
  <w:style w:type="paragraph" w:customStyle="1" w:styleId="Heading4notnumbered">
    <w:name w:val="Heading 4 not numbered"/>
    <w:basedOn w:val="Heading4"/>
    <w:rsid w:val="00130C3C"/>
    <w:pPr>
      <w:numPr>
        <w:ilvl w:val="0"/>
        <w:numId w:val="0"/>
      </w:numPr>
    </w:pPr>
    <w:rPr>
      <w:rFonts w:eastAsia="Times New Roman" w:cs="Times New Roman"/>
      <w:iCs w:val="0"/>
      <w:szCs w:val="20"/>
    </w:rPr>
  </w:style>
  <w:style w:type="paragraph" w:customStyle="1" w:styleId="Heading5notnumbered">
    <w:name w:val="Heading 5 not numbered"/>
    <w:basedOn w:val="Heading5"/>
    <w:rsid w:val="00130C3C"/>
    <w:pPr>
      <w:numPr>
        <w:ilvl w:val="0"/>
        <w:numId w:val="0"/>
      </w:numPr>
    </w:pPr>
    <w:rPr>
      <w:rFonts w:eastAsia="Times New Roman" w:cs="Times New Roman"/>
      <w:bCs/>
      <w:szCs w:val="20"/>
    </w:rPr>
  </w:style>
  <w:style w:type="paragraph" w:customStyle="1" w:styleId="Heading6notnumbered">
    <w:name w:val="Heading 6 not numbered"/>
    <w:basedOn w:val="Heading6"/>
    <w:rsid w:val="00130C3C"/>
    <w:pPr>
      <w:numPr>
        <w:ilvl w:val="0"/>
        <w:numId w:val="0"/>
      </w:numPr>
    </w:pPr>
    <w:rPr>
      <w:rFonts w:eastAsia="Times New Roman" w:cs="Times New Roman"/>
      <w:bCs/>
      <w:szCs w:val="20"/>
    </w:r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next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next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Bulletpoint">
    <w:name w:val="Bullet point"/>
    <w:basedOn w:val="ListBullet"/>
    <w:qFormat/>
    <w:rsid w:val="00FE64AE"/>
    <w:pPr>
      <w:numPr>
        <w:numId w:val="2"/>
      </w:numPr>
      <w:ind w:left="357" w:hanging="357"/>
    </w:pPr>
    <w:rPr>
      <w:rFonts w:cs="Times New Roman"/>
    </w:rPr>
  </w:style>
  <w:style w:type="paragraph" w:styleId="ListBullet">
    <w:name w:val="List Bullet"/>
    <w:basedOn w:val="Normal"/>
    <w:uiPriority w:val="99"/>
    <w:unhideWhenUsed/>
    <w:rsid w:val="00DB5074"/>
    <w:pPr>
      <w:numPr>
        <w:numId w:val="13"/>
      </w:numPr>
      <w:tabs>
        <w:tab w:val="left" w:pos="340"/>
      </w:tabs>
      <w:spacing w:before="120"/>
      <w:ind w:left="340" w:hanging="340"/>
    </w:p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basedOn w:val="Normal"/>
    <w:uiPriority w:val="99"/>
    <w:qFormat/>
    <w:rsid w:val="00CA489E"/>
    <w:pPr>
      <w:numPr>
        <w:numId w:val="7"/>
      </w:numPr>
      <w:tabs>
        <w:tab w:val="clear" w:pos="360"/>
        <w:tab w:val="num" w:pos="340"/>
      </w:tabs>
      <w:spacing w:before="120"/>
      <w:ind w:left="340" w:hanging="340"/>
    </w:pPr>
  </w:style>
  <w:style w:type="paragraph" w:styleId="ListBullet2">
    <w:name w:val="List Bullet 2"/>
    <w:basedOn w:val="Normal"/>
    <w:uiPriority w:val="99"/>
    <w:unhideWhenUsed/>
    <w:rsid w:val="00DB5074"/>
    <w:pPr>
      <w:numPr>
        <w:numId w:val="3"/>
      </w:numPr>
      <w:tabs>
        <w:tab w:val="clear" w:pos="643"/>
        <w:tab w:val="num" w:pos="680"/>
      </w:tabs>
      <w:spacing w:before="120"/>
      <w:ind w:left="680" w:hanging="340"/>
    </w:pPr>
  </w:style>
  <w:style w:type="paragraph" w:styleId="TOCHeading">
    <w:name w:val="TOC Heading"/>
    <w:basedOn w:val="Normal"/>
    <w:next w:val="Normal"/>
    <w:uiPriority w:val="39"/>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F835C9"/>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F835C9"/>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2"/>
    <w:rsid w:val="00B927D8"/>
    <w:rPr>
      <w:rFonts w:ascii="Arial" w:eastAsiaTheme="majorEastAsia" w:hAnsi="Arial" w:cstheme="majorBidi"/>
      <w:i/>
      <w:iCs/>
    </w:rPr>
  </w:style>
  <w:style w:type="character" w:customStyle="1" w:styleId="Heading8Char">
    <w:name w:val="Heading 8 Char"/>
    <w:basedOn w:val="DefaultParagraphFont"/>
    <w:link w:val="Heading8"/>
    <w:uiPriority w:val="2"/>
    <w:rsid w:val="00B927D8"/>
    <w:rPr>
      <w:rFonts w:ascii="Arial" w:eastAsiaTheme="majorEastAsia" w:hAnsi="Arial" w:cstheme="majorBidi"/>
      <w:color w:val="2F002F" w:themeColor="accent1"/>
      <w:szCs w:val="20"/>
    </w:rPr>
  </w:style>
  <w:style w:type="character" w:customStyle="1" w:styleId="Heading9Char">
    <w:name w:val="Heading 9 Char"/>
    <w:basedOn w:val="DefaultParagraphFont"/>
    <w:link w:val="Heading9"/>
    <w:uiPriority w:val="2"/>
    <w:rsid w:val="00B927D8"/>
    <w:rPr>
      <w:rFonts w:ascii="Arial" w:eastAsiaTheme="majorEastAsia" w:hAnsi="Arial" w:cstheme="majorBidi"/>
      <w:i/>
      <w:iCs/>
      <w:szCs w:val="20"/>
    </w:rPr>
  </w:style>
  <w:style w:type="paragraph" w:customStyle="1" w:styleId="Heading7notnumbered">
    <w:name w:val="Heading 7 not numbered"/>
    <w:basedOn w:val="Heading7"/>
    <w:rsid w:val="00130C3C"/>
    <w:pPr>
      <w:numPr>
        <w:ilvl w:val="0"/>
        <w:numId w:val="0"/>
      </w:numPr>
    </w:pPr>
    <w:rPr>
      <w:rFonts w:eastAsia="Times New Roman" w:cs="Times New Roman"/>
      <w:szCs w:val="20"/>
    </w:rPr>
  </w:style>
  <w:style w:type="paragraph" w:customStyle="1" w:styleId="Heading8notnumbered">
    <w:name w:val="Heading 8 not numbered"/>
    <w:basedOn w:val="Heading8"/>
    <w:rsid w:val="00130C3C"/>
    <w:pPr>
      <w:numPr>
        <w:ilvl w:val="0"/>
        <w:numId w:val="0"/>
      </w:numPr>
    </w:pPr>
    <w:rPr>
      <w:rFonts w:eastAsia="Times New Roman" w:cs="Times New Roman"/>
    </w:r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rsid w:val="00D7168E"/>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rsid w:val="00EB505D"/>
    <w:pPr>
      <w:tabs>
        <w:tab w:val="left" w:leader="dot" w:pos="880"/>
        <w:tab w:val="right" w:leader="dot" w:pos="8363"/>
      </w:tabs>
      <w:spacing w:after="100"/>
      <w:ind w:left="425"/>
    </w:pPr>
    <w:rPr>
      <w:b/>
      <w:noProof/>
      <w:color w:val="70635A" w:themeColor="text2"/>
      <w:sz w:val="24"/>
    </w:rPr>
  </w:style>
  <w:style w:type="paragraph" w:styleId="TOC3">
    <w:name w:val="toc 3"/>
    <w:basedOn w:val="Normal"/>
    <w:next w:val="Normal"/>
    <w:uiPriority w:val="39"/>
    <w:rsid w:val="00EB505D"/>
    <w:pPr>
      <w:tabs>
        <w:tab w:val="left" w:pos="1760"/>
        <w:tab w:val="right" w:leader="dot" w:pos="8363"/>
      </w:tabs>
      <w:spacing w:after="100"/>
      <w:ind w:left="851"/>
    </w:pPr>
    <w:rPr>
      <w:noProof/>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ALTS FOOTNOTE,(NECG) Footnote Text,Footnote text,AR Footnote Text,AR Footnote Text Char Char Char Char Char,ALTS FOOTNOTE Char1,Footnote Text Char1 Char,Footnote Text Char Char Char,Footnote Text Char1 Char Char Char,fn,Footnote Text Char2"/>
    <w:basedOn w:val="Normal"/>
    <w:link w:val="FootnoteTextChar"/>
    <w:unhideWhenUsed/>
    <w:qFormat/>
    <w:rsid w:val="00182906"/>
    <w:pPr>
      <w:widowControl w:val="0"/>
      <w:tabs>
        <w:tab w:val="left" w:pos="340"/>
      </w:tabs>
      <w:spacing w:before="0" w:line="240" w:lineRule="exact"/>
      <w:ind w:left="340" w:hanging="340"/>
    </w:pPr>
    <w:rPr>
      <w:sz w:val="16"/>
      <w:szCs w:val="20"/>
    </w:rPr>
  </w:style>
  <w:style w:type="character" w:customStyle="1" w:styleId="FootnoteTextChar">
    <w:name w:val="Footnote Text Char"/>
    <w:aliases w:val="ALTS FOOTNOTE Char,(NECG) Footnote Text Char,Footnote text Char,AR Footnote Text Char,AR Footnote Text Char Char Char Char Char Char,ALTS FOOTNOTE Char1 Char,Footnote Text Char1 Char Char,Footnote Text Char Char Char Char,fn Char"/>
    <w:basedOn w:val="DefaultParagraphFont"/>
    <w:link w:val="FootnoteText"/>
    <w:rsid w:val="00182906"/>
    <w:rPr>
      <w:rFonts w:ascii="Arial" w:hAnsi="Arial"/>
      <w:sz w:val="16"/>
      <w:szCs w:val="20"/>
    </w:rPr>
  </w:style>
  <w:style w:type="character" w:styleId="FootnoteReference">
    <w:name w:val="footnote reference"/>
    <w:aliases w:val="(NECG) Footnote Reference,(NECG) Footnote Reference1,(NECG) Footnote Reference2,o,Style 3,Style 12,fr,Appel note de bas de p,Style 124,(NECG) Footnote Reference3,(NECG) Footnote Reference4,(NECG) Footnote Reference5"/>
    <w:basedOn w:val="DefaultParagraphFont"/>
    <w:unhideWhenUsed/>
    <w:rsid w:val="00B37E38"/>
    <w:rPr>
      <w:sz w:val="24"/>
      <w:vertAlign w:val="superscript"/>
    </w:rPr>
  </w:style>
  <w:style w:type="character" w:styleId="Strong">
    <w:name w:val="Strong"/>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EB505D"/>
    <w:pPr>
      <w:tabs>
        <w:tab w:val="right" w:leader="dot" w:pos="8363"/>
      </w:tabs>
      <w:spacing w:after="100"/>
      <w:ind w:left="1276"/>
    </w:pPr>
    <w:rPr>
      <w:noProof/>
    </w:rPr>
  </w:style>
  <w:style w:type="paragraph" w:styleId="TOC5">
    <w:name w:val="toc 5"/>
    <w:basedOn w:val="Normal"/>
    <w:next w:val="Normal"/>
    <w:uiPriority w:val="39"/>
    <w:rsid w:val="00EB505D"/>
    <w:pPr>
      <w:tabs>
        <w:tab w:val="right" w:leader="dot" w:pos="8363"/>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EB505D"/>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Heading9notnumbered">
    <w:name w:val="Heading 9 not numbered"/>
    <w:basedOn w:val="Heading9"/>
    <w:rsid w:val="00130C3C"/>
    <w:pPr>
      <w:numPr>
        <w:ilvl w:val="0"/>
        <w:numId w:val="0"/>
      </w:numPr>
    </w:pPr>
    <w:rPr>
      <w:rFonts w:eastAsia="Times New Roman" w:cs="Times New Roman"/>
    </w:rPr>
  </w:style>
  <w:style w:type="paragraph" w:styleId="Caption">
    <w:name w:val="caption"/>
    <w:basedOn w:val="Normal"/>
    <w:next w:val="Normal"/>
    <w:uiPriority w:val="35"/>
    <w:unhideWhenUsed/>
    <w:qFormat/>
    <w:rsid w:val="002E1BE5"/>
    <w:pPr>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basedOn w:val="Normal"/>
    <w:uiPriority w:val="99"/>
    <w:unhideWhenUsed/>
    <w:rsid w:val="00DB5074"/>
    <w:pPr>
      <w:numPr>
        <w:numId w:val="4"/>
      </w:numPr>
      <w:tabs>
        <w:tab w:val="clear" w:pos="926"/>
        <w:tab w:val="num" w:pos="1021"/>
      </w:tabs>
      <w:spacing w:before="120"/>
      <w:ind w:left="1020" w:hanging="34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basedOn w:val="Normal"/>
    <w:uiPriority w:val="99"/>
    <w:unhideWhenUsed/>
    <w:qFormat/>
    <w:rsid w:val="00DB5074"/>
    <w:pPr>
      <w:tabs>
        <w:tab w:val="left" w:pos="340"/>
      </w:tabs>
      <w:spacing w:before="120"/>
      <w:ind w:left="340"/>
    </w:pPr>
  </w:style>
  <w:style w:type="paragraph" w:styleId="ListContinue2">
    <w:name w:val="List Continue 2"/>
    <w:basedOn w:val="Normal"/>
    <w:uiPriority w:val="99"/>
    <w:unhideWhenUsed/>
    <w:rsid w:val="00567BA5"/>
    <w:pPr>
      <w:tabs>
        <w:tab w:val="left" w:pos="680"/>
      </w:tabs>
      <w:spacing w:before="120"/>
      <w:ind w:left="680"/>
    </w:pPr>
  </w:style>
  <w:style w:type="paragraph" w:styleId="ListContinue3">
    <w:name w:val="List Continue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562632"/>
    <w:pPr>
      <w:numPr>
        <w:ilvl w:val="1"/>
        <w:numId w:val="15"/>
      </w:numPr>
      <w:tabs>
        <w:tab w:val="left" w:pos="1021"/>
      </w:tabs>
      <w:spacing w:line="240" w:lineRule="atLeast"/>
      <w:ind w:left="680" w:hanging="680"/>
    </w:pPr>
    <w:rPr>
      <w:rFonts w:eastAsiaTheme="majorEastAsia" w:cs="Arial"/>
      <w:bCs/>
      <w:szCs w:val="26"/>
    </w:r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A22495"/>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rsid w:val="000A6C7B"/>
    <w:rPr>
      <w:b w:val="0"/>
      <w:sz w:val="36"/>
      <w:szCs w:val="36"/>
    </w:rPr>
  </w:style>
  <w:style w:type="paragraph" w:customStyle="1" w:styleId="ReportSubtitle">
    <w:name w:val="Report Subtitle"/>
    <w:basedOn w:val="ReportTitle"/>
    <w:link w:val="ReportSubtitleChar"/>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20"/>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ListLegal3">
    <w:name w:val="List Legal 3"/>
    <w:basedOn w:val="ListNumber3"/>
    <w:rsid w:val="00571D57"/>
    <w:pPr>
      <w:numPr>
        <w:numId w:val="21"/>
      </w:numPr>
      <w:tabs>
        <w:tab w:val="left" w:pos="1361"/>
      </w:tabs>
      <w:ind w:left="1361" w:hanging="340"/>
    </w:pPr>
  </w:style>
  <w:style w:type="paragraph" w:customStyle="1" w:styleId="ListLegal4">
    <w:name w:val="List Legal 4"/>
    <w:basedOn w:val="ListLegal3"/>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Listalphabet2">
    <w:name w:val="List alphabet 2"/>
    <w:basedOn w:val="Listalphabet"/>
    <w:rsid w:val="00DB5074"/>
    <w:pPr>
      <w:numPr>
        <w:numId w:val="18"/>
      </w:numPr>
      <w:tabs>
        <w:tab w:val="clear" w:pos="340"/>
        <w:tab w:val="left" w:pos="680"/>
      </w:tabs>
      <w:ind w:left="680" w:hanging="340"/>
    </w:pPr>
  </w:style>
  <w:style w:type="paragraph" w:customStyle="1" w:styleId="Listalphabet3">
    <w:name w:val="List alphabet 3"/>
    <w:basedOn w:val="Listalphabet2"/>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Quotes">
    <w:name w:val="Quotes"/>
    <w:basedOn w:val="Normal"/>
    <w:rsid w:val="0020492C"/>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5"/>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CC213C"/>
    <w:rPr>
      <w:rFonts w:ascii="Arial" w:hAnsi="Arial"/>
      <w:color w:val="auto"/>
      <w:sz w:val="16"/>
    </w:rPr>
  </w:style>
  <w:style w:type="paragraph" w:customStyle="1" w:styleId="NumberedChapterTitle">
    <w:name w:val="Numbered Chapter Title"/>
    <w:basedOn w:val="Chaptertitle"/>
    <w:qFormat/>
    <w:rsid w:val="00EB505D"/>
    <w:pPr>
      <w:numPr>
        <w:numId w:val="28"/>
      </w:numPr>
      <w:tabs>
        <w:tab w:val="left" w:pos="680"/>
      </w:tabs>
      <w:ind w:left="680" w:hanging="680"/>
    </w:pPr>
  </w:style>
  <w:style w:type="paragraph" w:styleId="Revision">
    <w:name w:val="Revision"/>
    <w:hidden/>
    <w:uiPriority w:val="99"/>
    <w:semiHidden/>
    <w:rsid w:val="00182906"/>
    <w:pPr>
      <w:spacing w:before="0"/>
    </w:pPr>
    <w:rPr>
      <w:rFonts w:ascii="Arial" w:hAnsi="Arial"/>
    </w:rPr>
  </w:style>
  <w:style w:type="character" w:customStyle="1" w:styleId="Subscript">
    <w:name w:val="Subscript"/>
    <w:basedOn w:val="DefaultParagraphFont"/>
    <w:uiPriority w:val="1"/>
    <w:qFormat/>
    <w:rsid w:val="00AF1ED6"/>
    <w:rPr>
      <w:vertAlign w:val="subscript"/>
    </w:rPr>
  </w:style>
  <w:style w:type="character" w:customStyle="1" w:styleId="Superscript">
    <w:name w:val="Superscript"/>
    <w:basedOn w:val="Subscript"/>
    <w:uiPriority w:val="1"/>
    <w:qFormat/>
    <w:rsid w:val="00AF1ED6"/>
    <w:rPr>
      <w:vertAlign w:val="superscript"/>
    </w:rPr>
  </w:style>
  <w:style w:type="paragraph" w:styleId="CommentText">
    <w:name w:val="annotation text"/>
    <w:basedOn w:val="Normal"/>
    <w:link w:val="CommentTextChar"/>
    <w:uiPriority w:val="99"/>
    <w:unhideWhenUsed/>
    <w:rsid w:val="002228C1"/>
    <w:pPr>
      <w:spacing w:line="240" w:lineRule="auto"/>
    </w:pPr>
    <w:rPr>
      <w:sz w:val="20"/>
      <w:szCs w:val="20"/>
    </w:rPr>
  </w:style>
  <w:style w:type="character" w:customStyle="1" w:styleId="CommentTextChar">
    <w:name w:val="Comment Text Char"/>
    <w:basedOn w:val="DefaultParagraphFont"/>
    <w:link w:val="CommentText"/>
    <w:uiPriority w:val="99"/>
    <w:rsid w:val="002228C1"/>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537007"/>
    <w:rPr>
      <w:b/>
      <w:bCs/>
    </w:rPr>
  </w:style>
  <w:style w:type="character" w:customStyle="1" w:styleId="CommentSubjectChar">
    <w:name w:val="Comment Subject Char"/>
    <w:basedOn w:val="CommentTextChar"/>
    <w:link w:val="CommentSubject"/>
    <w:uiPriority w:val="99"/>
    <w:semiHidden/>
    <w:rsid w:val="00537007"/>
    <w:rPr>
      <w:rFonts w:ascii="Arial" w:hAnsi="Arial"/>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uiPriority="0" w:qFormat="1"/>
    <w:lsdException w:name="header" w:qFormat="1"/>
    <w:lsdException w:name="footer" w:qFormat="1"/>
    <w:lsdException w:name="caption" w:uiPriority="35" w:qFormat="1"/>
    <w:lsdException w:name="footnote reference" w:uiPriority="0"/>
    <w:lsdException w:name="page number" w:uiPriority="0"/>
    <w:lsdException w:name="List" w:qFormat="1"/>
    <w:lsdException w:name="List Number" w:qFormat="1"/>
    <w:lsdException w:name="Title" w:semiHidden="0" w:uiPriority="10" w:unhideWhenUsed="0"/>
    <w:lsdException w:name="Default Paragraph Font" w:uiPriority="1"/>
    <w:lsdException w:name="List Continue" w:qFormat="1"/>
    <w:lsdException w:name="Subtitle" w:semiHidden="0" w:uiPriority="11" w:unhideWhenUsed="0"/>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latentStyles>
  <w:style w:type="paragraph" w:default="1" w:styleId="Normal">
    <w:name w:val="Normal"/>
    <w:qFormat/>
    <w:rsid w:val="00BA3C98"/>
    <w:pPr>
      <w:spacing w:line="276" w:lineRule="auto"/>
    </w:pPr>
    <w:rPr>
      <w:rFonts w:ascii="Arial" w:hAnsi="Arial"/>
    </w:rPr>
  </w:style>
  <w:style w:type="paragraph" w:styleId="Heading1">
    <w:name w:val="heading 1"/>
    <w:basedOn w:val="Normal"/>
    <w:next w:val="Normal"/>
    <w:link w:val="Heading1Char"/>
    <w:qFormat/>
    <w:rsid w:val="00B927D8"/>
    <w:pPr>
      <w:pageBreakBefore/>
      <w:numPr>
        <w:numId w:val="29"/>
      </w:numPr>
      <w:tabs>
        <w:tab w:val="left" w:pos="680"/>
      </w:tabs>
      <w:spacing w:before="240"/>
      <w:ind w:left="680" w:hanging="680"/>
      <w:outlineLvl w:val="0"/>
    </w:pPr>
    <w:rPr>
      <w:rFonts w:eastAsiaTheme="majorEastAsia" w:cstheme="majorBidi"/>
      <w:b/>
      <w:bCs/>
      <w:color w:val="70635A"/>
      <w:sz w:val="36"/>
      <w:szCs w:val="28"/>
    </w:rPr>
  </w:style>
  <w:style w:type="paragraph" w:styleId="Heading2">
    <w:name w:val="heading 2"/>
    <w:next w:val="Normal"/>
    <w:link w:val="Heading2Char"/>
    <w:qFormat/>
    <w:rsid w:val="00B927D8"/>
    <w:pPr>
      <w:numPr>
        <w:ilvl w:val="1"/>
        <w:numId w:val="29"/>
      </w:numPr>
      <w:tabs>
        <w:tab w:val="left" w:pos="680"/>
      </w:tabs>
      <w:spacing w:line="240" w:lineRule="atLeast"/>
      <w:ind w:left="680" w:hanging="680"/>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B927D8"/>
    <w:pPr>
      <w:numPr>
        <w:ilvl w:val="2"/>
        <w:numId w:val="29"/>
      </w:numPr>
      <w:tabs>
        <w:tab w:val="left" w:pos="1021"/>
      </w:tabs>
      <w:spacing w:before="240"/>
      <w:ind w:left="1021" w:hanging="1021"/>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B927D8"/>
    <w:pPr>
      <w:numPr>
        <w:ilvl w:val="3"/>
        <w:numId w:val="29"/>
      </w:numPr>
      <w:tabs>
        <w:tab w:val="left" w:pos="1021"/>
      </w:tabs>
      <w:spacing w:before="240"/>
      <w:ind w:left="1021" w:hanging="1021"/>
      <w:outlineLvl w:val="3"/>
    </w:pPr>
    <w:rPr>
      <w:rFonts w:eastAsiaTheme="majorEastAsia" w:cstheme="majorBidi"/>
      <w:b/>
      <w:bCs/>
      <w:iCs/>
      <w:color w:val="51626F"/>
      <w:sz w:val="24"/>
    </w:rPr>
  </w:style>
  <w:style w:type="paragraph" w:styleId="Heading5">
    <w:name w:val="heading 5"/>
    <w:next w:val="Normal"/>
    <w:link w:val="Heading5Char"/>
    <w:uiPriority w:val="2"/>
    <w:qFormat/>
    <w:rsid w:val="00B927D8"/>
    <w:pPr>
      <w:numPr>
        <w:ilvl w:val="4"/>
        <w:numId w:val="29"/>
      </w:numPr>
      <w:tabs>
        <w:tab w:val="left" w:pos="1361"/>
      </w:tabs>
      <w:spacing w:line="240" w:lineRule="atLeast"/>
      <w:ind w:left="1361" w:hanging="1361"/>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2"/>
    <w:qFormat/>
    <w:rsid w:val="00B37E38"/>
    <w:pPr>
      <w:numPr>
        <w:ilvl w:val="5"/>
        <w:numId w:val="29"/>
      </w:numPr>
      <w:tabs>
        <w:tab w:val="left" w:pos="1361"/>
      </w:tabs>
      <w:spacing w:before="240"/>
      <w:ind w:left="1361" w:hanging="1361"/>
      <w:outlineLvl w:val="5"/>
    </w:pPr>
    <w:rPr>
      <w:rFonts w:eastAsiaTheme="majorEastAsia" w:cstheme="majorBidi"/>
      <w:b/>
      <w:i/>
      <w:iCs/>
      <w:color w:val="076A92" w:themeColor="text1"/>
    </w:rPr>
  </w:style>
  <w:style w:type="paragraph" w:styleId="Heading7">
    <w:name w:val="heading 7"/>
    <w:basedOn w:val="Normal"/>
    <w:next w:val="Normal"/>
    <w:link w:val="Heading7Char"/>
    <w:uiPriority w:val="2"/>
    <w:qFormat/>
    <w:rsid w:val="00B927D8"/>
    <w:pPr>
      <w:numPr>
        <w:ilvl w:val="6"/>
        <w:numId w:val="29"/>
      </w:numPr>
      <w:tabs>
        <w:tab w:val="left" w:pos="1701"/>
      </w:tabs>
      <w:spacing w:before="240"/>
      <w:ind w:left="1701" w:hanging="1701"/>
      <w:outlineLvl w:val="6"/>
    </w:pPr>
    <w:rPr>
      <w:rFonts w:eastAsiaTheme="majorEastAsia" w:cstheme="majorBidi"/>
      <w:i/>
      <w:iCs/>
    </w:rPr>
  </w:style>
  <w:style w:type="paragraph" w:styleId="Heading8">
    <w:name w:val="heading 8"/>
    <w:basedOn w:val="Normal"/>
    <w:next w:val="Normal"/>
    <w:link w:val="Heading8Char"/>
    <w:uiPriority w:val="2"/>
    <w:qFormat/>
    <w:rsid w:val="00B927D8"/>
    <w:pPr>
      <w:numPr>
        <w:ilvl w:val="7"/>
        <w:numId w:val="29"/>
      </w:numPr>
      <w:tabs>
        <w:tab w:val="left" w:pos="1701"/>
      </w:tabs>
      <w:spacing w:before="240"/>
      <w:ind w:left="1701" w:hanging="1701"/>
      <w:outlineLvl w:val="7"/>
    </w:pPr>
    <w:rPr>
      <w:rFonts w:eastAsiaTheme="majorEastAsia" w:cstheme="majorBidi"/>
      <w:color w:val="2F002F" w:themeColor="accent1"/>
      <w:szCs w:val="20"/>
    </w:rPr>
  </w:style>
  <w:style w:type="paragraph" w:styleId="Heading9">
    <w:name w:val="heading 9"/>
    <w:basedOn w:val="Normal"/>
    <w:next w:val="Normal"/>
    <w:link w:val="Heading9Char"/>
    <w:uiPriority w:val="2"/>
    <w:qFormat/>
    <w:rsid w:val="00B927D8"/>
    <w:pPr>
      <w:numPr>
        <w:ilvl w:val="8"/>
        <w:numId w:val="29"/>
      </w:numPr>
      <w:tabs>
        <w:tab w:val="left" w:pos="1701"/>
      </w:tabs>
      <w:spacing w:before="240"/>
      <w:ind w:left="1701" w:hanging="1701"/>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27D8"/>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B927D8"/>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B927D8"/>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B927D8"/>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2"/>
    <w:rsid w:val="00B927D8"/>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2"/>
    <w:rsid w:val="00B37E38"/>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F835C9"/>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F835C9"/>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EB505D"/>
    <w:pPr>
      <w:tabs>
        <w:tab w:val="right" w:leader="dot" w:pos="8363"/>
      </w:tabs>
      <w:spacing w:after="100"/>
      <w:ind w:left="2977"/>
    </w:pPr>
    <w:rPr>
      <w:noProof/>
    </w:rPr>
  </w:style>
  <w:style w:type="paragraph" w:styleId="TOC9">
    <w:name w:val="toc 9"/>
    <w:basedOn w:val="Normal"/>
    <w:next w:val="Normal"/>
    <w:uiPriority w:val="39"/>
    <w:rsid w:val="00EB505D"/>
    <w:pPr>
      <w:tabs>
        <w:tab w:val="right" w:leader="dot" w:pos="8363"/>
      </w:tabs>
      <w:spacing w:after="100"/>
      <w:ind w:left="3402"/>
    </w:pPr>
    <w:rPr>
      <w:noProof/>
    </w:rPr>
  </w:style>
  <w:style w:type="paragraph" w:customStyle="1" w:styleId="Heading1notnumber">
    <w:name w:val="Heading 1 not number"/>
    <w:basedOn w:val="Heading1"/>
    <w:qFormat/>
    <w:rsid w:val="00130C3C"/>
    <w:pPr>
      <w:numPr>
        <w:numId w:val="0"/>
      </w:numPr>
    </w:pPr>
  </w:style>
  <w:style w:type="paragraph" w:customStyle="1" w:styleId="Heading2notnumbered">
    <w:name w:val="Heading 2 not numbered"/>
    <w:basedOn w:val="Heading2"/>
    <w:rsid w:val="00130C3C"/>
    <w:pPr>
      <w:numPr>
        <w:ilvl w:val="0"/>
        <w:numId w:val="0"/>
      </w:numPr>
    </w:pPr>
    <w:rPr>
      <w:rFonts w:eastAsia="Times New Roman" w:cs="Times New Roman"/>
      <w:szCs w:val="20"/>
    </w:rPr>
  </w:style>
  <w:style w:type="paragraph" w:customStyle="1" w:styleId="Heading3notnumbered">
    <w:name w:val="Heading 3 not numbered"/>
    <w:basedOn w:val="Heading3"/>
    <w:rsid w:val="00130C3C"/>
    <w:pPr>
      <w:numPr>
        <w:ilvl w:val="0"/>
        <w:numId w:val="0"/>
      </w:numPr>
    </w:pPr>
    <w:rPr>
      <w:rFonts w:eastAsia="Times New Roman" w:cs="Times New Roman"/>
      <w:szCs w:val="20"/>
    </w:rPr>
  </w:style>
  <w:style w:type="paragraph" w:customStyle="1" w:styleId="Heading4notnumbered">
    <w:name w:val="Heading 4 not numbered"/>
    <w:basedOn w:val="Heading4"/>
    <w:rsid w:val="00130C3C"/>
    <w:pPr>
      <w:numPr>
        <w:ilvl w:val="0"/>
        <w:numId w:val="0"/>
      </w:numPr>
    </w:pPr>
    <w:rPr>
      <w:rFonts w:eastAsia="Times New Roman" w:cs="Times New Roman"/>
      <w:iCs w:val="0"/>
      <w:szCs w:val="20"/>
    </w:rPr>
  </w:style>
  <w:style w:type="paragraph" w:customStyle="1" w:styleId="Heading5notnumbered">
    <w:name w:val="Heading 5 not numbered"/>
    <w:basedOn w:val="Heading5"/>
    <w:rsid w:val="00130C3C"/>
    <w:pPr>
      <w:numPr>
        <w:ilvl w:val="0"/>
        <w:numId w:val="0"/>
      </w:numPr>
    </w:pPr>
    <w:rPr>
      <w:rFonts w:eastAsia="Times New Roman" w:cs="Times New Roman"/>
      <w:bCs/>
      <w:szCs w:val="20"/>
    </w:rPr>
  </w:style>
  <w:style w:type="paragraph" w:customStyle="1" w:styleId="Heading6notnumbered">
    <w:name w:val="Heading 6 not numbered"/>
    <w:basedOn w:val="Heading6"/>
    <w:rsid w:val="00130C3C"/>
    <w:pPr>
      <w:numPr>
        <w:ilvl w:val="0"/>
        <w:numId w:val="0"/>
      </w:numPr>
    </w:pPr>
    <w:rPr>
      <w:rFonts w:eastAsia="Times New Roman" w:cs="Times New Roman"/>
      <w:bCs/>
      <w:szCs w:val="20"/>
    </w:r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next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next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Bulletpoint">
    <w:name w:val="Bullet point"/>
    <w:basedOn w:val="ListBullet"/>
    <w:qFormat/>
    <w:rsid w:val="00FE64AE"/>
    <w:pPr>
      <w:numPr>
        <w:numId w:val="2"/>
      </w:numPr>
      <w:ind w:left="357" w:hanging="357"/>
    </w:pPr>
    <w:rPr>
      <w:rFonts w:cs="Times New Roman"/>
    </w:rPr>
  </w:style>
  <w:style w:type="paragraph" w:styleId="ListBullet">
    <w:name w:val="List Bullet"/>
    <w:basedOn w:val="Normal"/>
    <w:uiPriority w:val="99"/>
    <w:unhideWhenUsed/>
    <w:rsid w:val="00DB5074"/>
    <w:pPr>
      <w:numPr>
        <w:numId w:val="13"/>
      </w:numPr>
      <w:tabs>
        <w:tab w:val="left" w:pos="340"/>
      </w:tabs>
      <w:spacing w:before="120"/>
      <w:ind w:left="340" w:hanging="340"/>
    </w:p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basedOn w:val="Normal"/>
    <w:uiPriority w:val="99"/>
    <w:qFormat/>
    <w:rsid w:val="00CA489E"/>
    <w:pPr>
      <w:numPr>
        <w:numId w:val="7"/>
      </w:numPr>
      <w:tabs>
        <w:tab w:val="clear" w:pos="360"/>
        <w:tab w:val="num" w:pos="340"/>
      </w:tabs>
      <w:spacing w:before="120"/>
      <w:ind w:left="340" w:hanging="340"/>
    </w:pPr>
  </w:style>
  <w:style w:type="paragraph" w:styleId="ListBullet2">
    <w:name w:val="List Bullet 2"/>
    <w:basedOn w:val="Normal"/>
    <w:uiPriority w:val="99"/>
    <w:unhideWhenUsed/>
    <w:rsid w:val="00DB5074"/>
    <w:pPr>
      <w:numPr>
        <w:numId w:val="3"/>
      </w:numPr>
      <w:tabs>
        <w:tab w:val="clear" w:pos="643"/>
        <w:tab w:val="num" w:pos="680"/>
      </w:tabs>
      <w:spacing w:before="120"/>
      <w:ind w:left="680" w:hanging="340"/>
    </w:pPr>
  </w:style>
  <w:style w:type="paragraph" w:styleId="TOCHeading">
    <w:name w:val="TOC Heading"/>
    <w:basedOn w:val="Normal"/>
    <w:next w:val="Normal"/>
    <w:uiPriority w:val="39"/>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F835C9"/>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F835C9"/>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2"/>
    <w:rsid w:val="00B927D8"/>
    <w:rPr>
      <w:rFonts w:ascii="Arial" w:eastAsiaTheme="majorEastAsia" w:hAnsi="Arial" w:cstheme="majorBidi"/>
      <w:i/>
      <w:iCs/>
    </w:rPr>
  </w:style>
  <w:style w:type="character" w:customStyle="1" w:styleId="Heading8Char">
    <w:name w:val="Heading 8 Char"/>
    <w:basedOn w:val="DefaultParagraphFont"/>
    <w:link w:val="Heading8"/>
    <w:uiPriority w:val="2"/>
    <w:rsid w:val="00B927D8"/>
    <w:rPr>
      <w:rFonts w:ascii="Arial" w:eastAsiaTheme="majorEastAsia" w:hAnsi="Arial" w:cstheme="majorBidi"/>
      <w:color w:val="2F002F" w:themeColor="accent1"/>
      <w:szCs w:val="20"/>
    </w:rPr>
  </w:style>
  <w:style w:type="character" w:customStyle="1" w:styleId="Heading9Char">
    <w:name w:val="Heading 9 Char"/>
    <w:basedOn w:val="DefaultParagraphFont"/>
    <w:link w:val="Heading9"/>
    <w:uiPriority w:val="2"/>
    <w:rsid w:val="00B927D8"/>
    <w:rPr>
      <w:rFonts w:ascii="Arial" w:eastAsiaTheme="majorEastAsia" w:hAnsi="Arial" w:cstheme="majorBidi"/>
      <w:i/>
      <w:iCs/>
      <w:szCs w:val="20"/>
    </w:rPr>
  </w:style>
  <w:style w:type="paragraph" w:customStyle="1" w:styleId="Heading7notnumbered">
    <w:name w:val="Heading 7 not numbered"/>
    <w:basedOn w:val="Heading7"/>
    <w:rsid w:val="00130C3C"/>
    <w:pPr>
      <w:numPr>
        <w:ilvl w:val="0"/>
        <w:numId w:val="0"/>
      </w:numPr>
    </w:pPr>
    <w:rPr>
      <w:rFonts w:eastAsia="Times New Roman" w:cs="Times New Roman"/>
      <w:szCs w:val="20"/>
    </w:rPr>
  </w:style>
  <w:style w:type="paragraph" w:customStyle="1" w:styleId="Heading8notnumbered">
    <w:name w:val="Heading 8 not numbered"/>
    <w:basedOn w:val="Heading8"/>
    <w:rsid w:val="00130C3C"/>
    <w:pPr>
      <w:numPr>
        <w:ilvl w:val="0"/>
        <w:numId w:val="0"/>
      </w:numPr>
    </w:pPr>
    <w:rPr>
      <w:rFonts w:eastAsia="Times New Roman" w:cs="Times New Roman"/>
    </w:r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rsid w:val="00D7168E"/>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rsid w:val="00EB505D"/>
    <w:pPr>
      <w:tabs>
        <w:tab w:val="left" w:leader="dot" w:pos="880"/>
        <w:tab w:val="right" w:leader="dot" w:pos="8363"/>
      </w:tabs>
      <w:spacing w:after="100"/>
      <w:ind w:left="425"/>
    </w:pPr>
    <w:rPr>
      <w:b/>
      <w:noProof/>
      <w:color w:val="70635A" w:themeColor="text2"/>
      <w:sz w:val="24"/>
    </w:rPr>
  </w:style>
  <w:style w:type="paragraph" w:styleId="TOC3">
    <w:name w:val="toc 3"/>
    <w:basedOn w:val="Normal"/>
    <w:next w:val="Normal"/>
    <w:uiPriority w:val="39"/>
    <w:rsid w:val="00EB505D"/>
    <w:pPr>
      <w:tabs>
        <w:tab w:val="left" w:pos="1760"/>
        <w:tab w:val="right" w:leader="dot" w:pos="8363"/>
      </w:tabs>
      <w:spacing w:after="100"/>
      <w:ind w:left="851"/>
    </w:pPr>
    <w:rPr>
      <w:noProof/>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ALTS FOOTNOTE,(NECG) Footnote Text,Footnote text,AR Footnote Text,AR Footnote Text Char Char Char Char Char,ALTS FOOTNOTE Char1,Footnote Text Char1 Char,Footnote Text Char Char Char,Footnote Text Char1 Char Char Char,fn,Footnote Text Char2"/>
    <w:basedOn w:val="Normal"/>
    <w:link w:val="FootnoteTextChar"/>
    <w:unhideWhenUsed/>
    <w:qFormat/>
    <w:rsid w:val="00182906"/>
    <w:pPr>
      <w:widowControl w:val="0"/>
      <w:tabs>
        <w:tab w:val="left" w:pos="340"/>
      </w:tabs>
      <w:spacing w:before="0" w:line="240" w:lineRule="exact"/>
      <w:ind w:left="340" w:hanging="340"/>
    </w:pPr>
    <w:rPr>
      <w:sz w:val="16"/>
      <w:szCs w:val="20"/>
    </w:rPr>
  </w:style>
  <w:style w:type="character" w:customStyle="1" w:styleId="FootnoteTextChar">
    <w:name w:val="Footnote Text Char"/>
    <w:aliases w:val="ALTS FOOTNOTE Char,(NECG) Footnote Text Char,Footnote text Char,AR Footnote Text Char,AR Footnote Text Char Char Char Char Char Char,ALTS FOOTNOTE Char1 Char,Footnote Text Char1 Char Char,Footnote Text Char Char Char Char,fn Char"/>
    <w:basedOn w:val="DefaultParagraphFont"/>
    <w:link w:val="FootnoteText"/>
    <w:rsid w:val="00182906"/>
    <w:rPr>
      <w:rFonts w:ascii="Arial" w:hAnsi="Arial"/>
      <w:sz w:val="16"/>
      <w:szCs w:val="20"/>
    </w:rPr>
  </w:style>
  <w:style w:type="character" w:styleId="FootnoteReference">
    <w:name w:val="footnote reference"/>
    <w:aliases w:val="(NECG) Footnote Reference,(NECG) Footnote Reference1,(NECG) Footnote Reference2,o,Style 3,Style 12,fr,Appel note de bas de p,Style 124,(NECG) Footnote Reference3,(NECG) Footnote Reference4,(NECG) Footnote Reference5"/>
    <w:basedOn w:val="DefaultParagraphFont"/>
    <w:unhideWhenUsed/>
    <w:rsid w:val="00B37E38"/>
    <w:rPr>
      <w:sz w:val="24"/>
      <w:vertAlign w:val="superscript"/>
    </w:rPr>
  </w:style>
  <w:style w:type="character" w:styleId="Strong">
    <w:name w:val="Strong"/>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EB505D"/>
    <w:pPr>
      <w:tabs>
        <w:tab w:val="right" w:leader="dot" w:pos="8363"/>
      </w:tabs>
      <w:spacing w:after="100"/>
      <w:ind w:left="1276"/>
    </w:pPr>
    <w:rPr>
      <w:noProof/>
    </w:rPr>
  </w:style>
  <w:style w:type="paragraph" w:styleId="TOC5">
    <w:name w:val="toc 5"/>
    <w:basedOn w:val="Normal"/>
    <w:next w:val="Normal"/>
    <w:uiPriority w:val="39"/>
    <w:rsid w:val="00EB505D"/>
    <w:pPr>
      <w:tabs>
        <w:tab w:val="right" w:leader="dot" w:pos="8363"/>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EB505D"/>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Heading9notnumbered">
    <w:name w:val="Heading 9 not numbered"/>
    <w:basedOn w:val="Heading9"/>
    <w:rsid w:val="00130C3C"/>
    <w:pPr>
      <w:numPr>
        <w:ilvl w:val="0"/>
        <w:numId w:val="0"/>
      </w:numPr>
    </w:pPr>
    <w:rPr>
      <w:rFonts w:eastAsia="Times New Roman" w:cs="Times New Roman"/>
    </w:rPr>
  </w:style>
  <w:style w:type="paragraph" w:styleId="Caption">
    <w:name w:val="caption"/>
    <w:basedOn w:val="Normal"/>
    <w:next w:val="Normal"/>
    <w:uiPriority w:val="35"/>
    <w:unhideWhenUsed/>
    <w:qFormat/>
    <w:rsid w:val="002E1BE5"/>
    <w:pPr>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basedOn w:val="Normal"/>
    <w:uiPriority w:val="99"/>
    <w:unhideWhenUsed/>
    <w:rsid w:val="00DB5074"/>
    <w:pPr>
      <w:numPr>
        <w:numId w:val="4"/>
      </w:numPr>
      <w:tabs>
        <w:tab w:val="clear" w:pos="926"/>
        <w:tab w:val="num" w:pos="1021"/>
      </w:tabs>
      <w:spacing w:before="120"/>
      <w:ind w:left="1020" w:hanging="34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basedOn w:val="Normal"/>
    <w:uiPriority w:val="99"/>
    <w:unhideWhenUsed/>
    <w:qFormat/>
    <w:rsid w:val="00DB5074"/>
    <w:pPr>
      <w:tabs>
        <w:tab w:val="left" w:pos="340"/>
      </w:tabs>
      <w:spacing w:before="120"/>
      <w:ind w:left="340"/>
    </w:pPr>
  </w:style>
  <w:style w:type="paragraph" w:styleId="ListContinue2">
    <w:name w:val="List Continue 2"/>
    <w:basedOn w:val="Normal"/>
    <w:uiPriority w:val="99"/>
    <w:unhideWhenUsed/>
    <w:rsid w:val="00567BA5"/>
    <w:pPr>
      <w:tabs>
        <w:tab w:val="left" w:pos="680"/>
      </w:tabs>
      <w:spacing w:before="120"/>
      <w:ind w:left="680"/>
    </w:pPr>
  </w:style>
  <w:style w:type="paragraph" w:styleId="ListContinue3">
    <w:name w:val="List Continue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562632"/>
    <w:pPr>
      <w:numPr>
        <w:ilvl w:val="1"/>
        <w:numId w:val="15"/>
      </w:numPr>
      <w:tabs>
        <w:tab w:val="left" w:pos="1021"/>
      </w:tabs>
      <w:spacing w:line="240" w:lineRule="atLeast"/>
      <w:ind w:left="680" w:hanging="680"/>
    </w:pPr>
    <w:rPr>
      <w:rFonts w:eastAsiaTheme="majorEastAsia" w:cs="Arial"/>
      <w:bCs/>
      <w:szCs w:val="26"/>
    </w:r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A22495"/>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rsid w:val="000A6C7B"/>
    <w:rPr>
      <w:b w:val="0"/>
      <w:sz w:val="36"/>
      <w:szCs w:val="36"/>
    </w:rPr>
  </w:style>
  <w:style w:type="paragraph" w:customStyle="1" w:styleId="ReportSubtitle">
    <w:name w:val="Report Subtitle"/>
    <w:basedOn w:val="ReportTitle"/>
    <w:link w:val="ReportSubtitleChar"/>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20"/>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ListLegal3">
    <w:name w:val="List Legal 3"/>
    <w:basedOn w:val="ListNumber3"/>
    <w:rsid w:val="00571D57"/>
    <w:pPr>
      <w:numPr>
        <w:numId w:val="21"/>
      </w:numPr>
      <w:tabs>
        <w:tab w:val="left" w:pos="1361"/>
      </w:tabs>
      <w:ind w:left="1361" w:hanging="340"/>
    </w:pPr>
  </w:style>
  <w:style w:type="paragraph" w:customStyle="1" w:styleId="ListLegal4">
    <w:name w:val="List Legal 4"/>
    <w:basedOn w:val="ListLegal3"/>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Listalphabet2">
    <w:name w:val="List alphabet 2"/>
    <w:basedOn w:val="Listalphabet"/>
    <w:rsid w:val="00DB5074"/>
    <w:pPr>
      <w:numPr>
        <w:numId w:val="18"/>
      </w:numPr>
      <w:tabs>
        <w:tab w:val="clear" w:pos="340"/>
        <w:tab w:val="left" w:pos="680"/>
      </w:tabs>
      <w:ind w:left="680" w:hanging="340"/>
    </w:pPr>
  </w:style>
  <w:style w:type="paragraph" w:customStyle="1" w:styleId="Listalphabet3">
    <w:name w:val="List alphabet 3"/>
    <w:basedOn w:val="Listalphabet2"/>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Quotes">
    <w:name w:val="Quotes"/>
    <w:basedOn w:val="Normal"/>
    <w:rsid w:val="0020492C"/>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5"/>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CC213C"/>
    <w:rPr>
      <w:rFonts w:ascii="Arial" w:hAnsi="Arial"/>
      <w:color w:val="auto"/>
      <w:sz w:val="16"/>
    </w:rPr>
  </w:style>
  <w:style w:type="paragraph" w:customStyle="1" w:styleId="NumberedChapterTitle">
    <w:name w:val="Numbered Chapter Title"/>
    <w:basedOn w:val="Chaptertitle"/>
    <w:qFormat/>
    <w:rsid w:val="00EB505D"/>
    <w:pPr>
      <w:numPr>
        <w:numId w:val="28"/>
      </w:numPr>
      <w:tabs>
        <w:tab w:val="left" w:pos="680"/>
      </w:tabs>
      <w:ind w:left="680" w:hanging="680"/>
    </w:pPr>
  </w:style>
  <w:style w:type="paragraph" w:styleId="Revision">
    <w:name w:val="Revision"/>
    <w:hidden/>
    <w:uiPriority w:val="99"/>
    <w:semiHidden/>
    <w:rsid w:val="00182906"/>
    <w:pPr>
      <w:spacing w:before="0"/>
    </w:pPr>
    <w:rPr>
      <w:rFonts w:ascii="Arial" w:hAnsi="Arial"/>
    </w:rPr>
  </w:style>
  <w:style w:type="character" w:customStyle="1" w:styleId="Subscript">
    <w:name w:val="Subscript"/>
    <w:basedOn w:val="DefaultParagraphFont"/>
    <w:uiPriority w:val="1"/>
    <w:qFormat/>
    <w:rsid w:val="00AF1ED6"/>
    <w:rPr>
      <w:vertAlign w:val="subscript"/>
    </w:rPr>
  </w:style>
  <w:style w:type="character" w:customStyle="1" w:styleId="Superscript">
    <w:name w:val="Superscript"/>
    <w:basedOn w:val="Subscript"/>
    <w:uiPriority w:val="1"/>
    <w:qFormat/>
    <w:rsid w:val="00AF1ED6"/>
    <w:rPr>
      <w:vertAlign w:val="superscript"/>
    </w:rPr>
  </w:style>
  <w:style w:type="paragraph" w:styleId="CommentText">
    <w:name w:val="annotation text"/>
    <w:basedOn w:val="Normal"/>
    <w:link w:val="CommentTextChar"/>
    <w:uiPriority w:val="99"/>
    <w:unhideWhenUsed/>
    <w:rsid w:val="002228C1"/>
    <w:pPr>
      <w:spacing w:line="240" w:lineRule="auto"/>
    </w:pPr>
    <w:rPr>
      <w:sz w:val="20"/>
      <w:szCs w:val="20"/>
    </w:rPr>
  </w:style>
  <w:style w:type="character" w:customStyle="1" w:styleId="CommentTextChar">
    <w:name w:val="Comment Text Char"/>
    <w:basedOn w:val="DefaultParagraphFont"/>
    <w:link w:val="CommentText"/>
    <w:uiPriority w:val="99"/>
    <w:rsid w:val="002228C1"/>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537007"/>
    <w:rPr>
      <w:b/>
      <w:bCs/>
    </w:rPr>
  </w:style>
  <w:style w:type="character" w:customStyle="1" w:styleId="CommentSubjectChar">
    <w:name w:val="Comment Subject Char"/>
    <w:basedOn w:val="CommentTextChar"/>
    <w:link w:val="CommentSubject"/>
    <w:uiPriority w:val="99"/>
    <w:semiHidden/>
    <w:rsid w:val="00537007"/>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224734">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AERInquiry@aer.gov.a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4.xml"/></Relationships>
</file>

<file path=word/_rels/footnotes.xml.rels><?xml version="1.0" encoding="UTF-8" standalone="yes"?>
<Relationships xmlns="http://schemas.openxmlformats.org/package/2006/relationships"><Relationship Id="rId3" Type="http://schemas.openxmlformats.org/officeDocument/2006/relationships/hyperlink" Target="http://www.aer.gov.au/node/10809" TargetMode="External"/><Relationship Id="rId2" Type="http://schemas.openxmlformats.org/officeDocument/2006/relationships/hyperlink" Target="http://www.aer.gov.au/Better-regulation-reform-program" TargetMode="External"/><Relationship Id="rId1" Type="http://schemas.openxmlformats.org/officeDocument/2006/relationships/hyperlink" Target="http://www.aer.gov.au/node/10809" TargetMode="Externa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B0016D52</Template>
  <TotalTime>0</TotalTime>
  <Pages>22</Pages>
  <Words>5373</Words>
  <Characters>30629</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35931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2015-04-02T01:44:00Z</dcterms:created>
  <dcterms:modified xsi:type="dcterms:W3CDTF">2015-04-02T01:49:00Z</dcterms:modified>
</cp:coreProperties>
</file>