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925721815"/>
        <w:docPartObj>
          <w:docPartGallery w:val="Cover Pages"/>
          <w:docPartUnique/>
        </w:docPartObj>
      </w:sdtPr>
      <w:sdtEndPr>
        <w:rPr>
          <w:rFonts w:eastAsiaTheme="majorEastAsia" w:cstheme="majorBidi"/>
          <w:b/>
          <w:noProof/>
          <w:sz w:val="72"/>
          <w:szCs w:val="72"/>
          <w:lang w:eastAsia="en-AU"/>
        </w:rPr>
      </w:sdtEndPr>
      <w:sdtContent>
        <w:p w:rsidR="00FA760E" w:rsidRPr="00FA760E" w:rsidRDefault="00FA760E" w:rsidP="00951978">
          <w:r w:rsidRPr="00FA760E">
            <w:rPr>
              <w:noProof/>
              <w:lang w:eastAsia="en-AU"/>
            </w:rPr>
            <w:drawing>
              <wp:anchor distT="0" distB="0" distL="114300" distR="114300" simplePos="0" relativeHeight="251659264" behindDoc="1" locked="0" layoutInCell="1" allowOverlap="1" wp14:anchorId="23F43AB8" wp14:editId="6B7D5971">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A760E" w:rsidRPr="00FA760E" w:rsidRDefault="00FA760E" w:rsidP="00F171E0"/>
        <w:p w:rsidR="00FA760E" w:rsidRPr="00FA760E" w:rsidRDefault="00FA760E" w:rsidP="00F171E0"/>
        <w:p w:rsidR="00FA760E" w:rsidRPr="00FA760E" w:rsidRDefault="00FA760E" w:rsidP="00F171E0"/>
        <w:p w:rsidR="00FA760E" w:rsidRPr="00FA760E" w:rsidRDefault="00FA760E" w:rsidP="00F171E0"/>
        <w:p w:rsidR="00FA760E" w:rsidRPr="00FA760E" w:rsidRDefault="00FA760E" w:rsidP="00F171E0"/>
        <w:p w:rsidR="00FA760E" w:rsidRPr="00FA760E" w:rsidRDefault="00FA760E" w:rsidP="00F171E0"/>
        <w:p w:rsidR="00FA760E" w:rsidRPr="00FA760E" w:rsidRDefault="00FA760E" w:rsidP="00F171E0"/>
        <w:p w:rsidR="00FA760E" w:rsidRPr="00FA760E" w:rsidRDefault="00FA760E" w:rsidP="00F171E0"/>
        <w:p w:rsidR="00FA760E" w:rsidRPr="00DB723B" w:rsidRDefault="00FA760E" w:rsidP="00FA760E">
          <w:pPr>
            <w:pStyle w:val="ReportTitle"/>
          </w:pPr>
          <w:r>
            <w:t xml:space="preserve">Final determination </w:t>
          </w:r>
        </w:p>
        <w:p w:rsidR="00FA760E" w:rsidRDefault="00FA760E" w:rsidP="00FA760E">
          <w:pPr>
            <w:pStyle w:val="ReportSubtitle"/>
          </w:pPr>
        </w:p>
        <w:p w:rsidR="00FA760E" w:rsidRDefault="00FA760E" w:rsidP="00FA760E">
          <w:pPr>
            <w:pStyle w:val="ReportSubtitle"/>
          </w:pPr>
          <w:r>
            <w:t>F- factor amount determinations for Victorian electricity distribution network service providers' 2014 fire start outcomes</w:t>
          </w:r>
        </w:p>
        <w:p w:rsidR="00FA760E" w:rsidRDefault="00FA760E" w:rsidP="00FA760E">
          <w:pPr>
            <w:pStyle w:val="ReportDate"/>
          </w:pPr>
        </w:p>
        <w:p w:rsidR="00FA760E" w:rsidRPr="00DB723B" w:rsidRDefault="00FA760E" w:rsidP="00FA760E">
          <w:pPr>
            <w:pStyle w:val="ReportDate"/>
          </w:pPr>
          <w:r>
            <w:t>September</w:t>
          </w:r>
          <w:r w:rsidRPr="00DB723B">
            <w:t xml:space="preserve"> 201</w:t>
          </w:r>
          <w:r>
            <w:t>5</w:t>
          </w:r>
        </w:p>
        <w:p w:rsidR="00FA760E" w:rsidRPr="00FA760E" w:rsidRDefault="00FA760E" w:rsidP="00FA760E">
          <w:r w:rsidRPr="00FA760E">
            <w:br w:type="page"/>
          </w:r>
        </w:p>
        <w:p w:rsidR="00FA760E" w:rsidRDefault="001D48F5">
          <w:pPr>
            <w:spacing w:line="240" w:lineRule="auto"/>
            <w:rPr>
              <w:rFonts w:eastAsiaTheme="majorEastAsia" w:cstheme="majorBidi"/>
              <w:b/>
              <w:noProof/>
              <w:sz w:val="72"/>
              <w:szCs w:val="72"/>
              <w:lang w:eastAsia="en-AU"/>
            </w:rPr>
          </w:pPr>
        </w:p>
      </w:sdtContent>
    </w:sdt>
    <w:p w:rsidR="000A6C7B" w:rsidRDefault="000A6C7B" w:rsidP="00334724">
      <w:pPr>
        <w:spacing w:line="240" w:lineRule="auto"/>
      </w:pPr>
      <w:r>
        <w:t>© Commonwealth of Australia 201</w:t>
      </w:r>
      <w:r w:rsidR="00D81EF4">
        <w:t>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1" w:history="1">
        <w:r w:rsidRPr="00D64888">
          <w:rPr>
            <w:rStyle w:val="Hyperlink"/>
          </w:rPr>
          <w:t>AERInquiry@aer.gov.au</w:t>
        </w:r>
      </w:hyperlink>
      <w:r w:rsidR="00951978">
        <w:rPr>
          <w:rStyle w:val="Hyperlink"/>
        </w:rPr>
        <w:br/>
      </w:r>
      <w:r>
        <w:t xml:space="preserve">AER Reference: </w:t>
      </w:r>
      <w:r w:rsidR="00B70408" w:rsidRPr="00B70408">
        <w:t>D15/125941</w:t>
      </w:r>
    </w:p>
    <w:p w:rsidR="000A6C7B" w:rsidRDefault="000A6C7B" w:rsidP="000A6C7B"/>
    <w:p w:rsidR="00334724" w:rsidRDefault="00334724">
      <w:pPr>
        <w:spacing w:line="240" w:lineRule="auto"/>
      </w:pPr>
      <w:r>
        <w:br w:type="page"/>
      </w:r>
    </w:p>
    <w:p w:rsidR="002010BC" w:rsidRDefault="002010BC" w:rsidP="00DB5074"/>
    <w:p w:rsidR="002010BC" w:rsidRDefault="00A75077" w:rsidP="00A75077">
      <w:pPr>
        <w:pStyle w:val="TOCHeading"/>
      </w:pPr>
      <w:r>
        <w:t>Contents</w:t>
      </w:r>
    </w:p>
    <w:p w:rsidR="00A44B16"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30165679" w:history="1">
        <w:r w:rsidR="00A44B16" w:rsidRPr="007A1AD9">
          <w:rPr>
            <w:rStyle w:val="Hyperlink"/>
          </w:rPr>
          <w:t>1</w:t>
        </w:r>
        <w:r w:rsidR="00A44B16">
          <w:rPr>
            <w:rFonts w:asciiTheme="minorHAnsi" w:eastAsiaTheme="minorEastAsia" w:hAnsiTheme="minorHAnsi"/>
            <w:b w:val="0"/>
            <w:color w:val="auto"/>
            <w:sz w:val="22"/>
            <w:lang w:val="en-AU" w:eastAsia="en-AU"/>
          </w:rPr>
          <w:tab/>
        </w:r>
        <w:r w:rsidR="00A44B16" w:rsidRPr="007A1AD9">
          <w:rPr>
            <w:rStyle w:val="Hyperlink"/>
          </w:rPr>
          <w:t>Summary of this determination</w:t>
        </w:r>
        <w:r w:rsidR="00A44B16">
          <w:rPr>
            <w:webHidden/>
          </w:rPr>
          <w:tab/>
        </w:r>
        <w:r w:rsidR="00A44B16">
          <w:rPr>
            <w:webHidden/>
          </w:rPr>
          <w:fldChar w:fldCharType="begin"/>
        </w:r>
        <w:r w:rsidR="00A44B16">
          <w:rPr>
            <w:webHidden/>
          </w:rPr>
          <w:instrText xml:space="preserve"> PAGEREF _Toc430165679 \h </w:instrText>
        </w:r>
        <w:r w:rsidR="00A44B16">
          <w:rPr>
            <w:webHidden/>
          </w:rPr>
        </w:r>
        <w:r w:rsidR="00A44B16">
          <w:rPr>
            <w:webHidden/>
          </w:rPr>
          <w:fldChar w:fldCharType="separate"/>
        </w:r>
        <w:r w:rsidR="001D48F5">
          <w:rPr>
            <w:webHidden/>
          </w:rPr>
          <w:t>1</w:t>
        </w:r>
        <w:r w:rsidR="00A44B16">
          <w:rPr>
            <w:webHidden/>
          </w:rPr>
          <w:fldChar w:fldCharType="end"/>
        </w:r>
      </w:hyperlink>
    </w:p>
    <w:p w:rsidR="00A44B16" w:rsidRDefault="001D48F5">
      <w:pPr>
        <w:pStyle w:val="TOC1"/>
        <w:rPr>
          <w:rFonts w:asciiTheme="minorHAnsi" w:eastAsiaTheme="minorEastAsia" w:hAnsiTheme="minorHAnsi"/>
          <w:b w:val="0"/>
          <w:color w:val="auto"/>
          <w:sz w:val="22"/>
          <w:lang w:val="en-AU" w:eastAsia="en-AU"/>
        </w:rPr>
      </w:pPr>
      <w:hyperlink w:anchor="_Toc430165680" w:history="1">
        <w:r w:rsidR="00A44B16" w:rsidRPr="007A1AD9">
          <w:rPr>
            <w:rStyle w:val="Hyperlink"/>
          </w:rPr>
          <w:t>2</w:t>
        </w:r>
        <w:r w:rsidR="00A44B16">
          <w:rPr>
            <w:rFonts w:asciiTheme="minorHAnsi" w:eastAsiaTheme="minorEastAsia" w:hAnsiTheme="minorHAnsi"/>
            <w:b w:val="0"/>
            <w:color w:val="auto"/>
            <w:sz w:val="22"/>
            <w:lang w:val="en-AU" w:eastAsia="en-AU"/>
          </w:rPr>
          <w:tab/>
        </w:r>
        <w:r w:rsidR="00A44B16" w:rsidRPr="007A1AD9">
          <w:rPr>
            <w:rStyle w:val="Hyperlink"/>
          </w:rPr>
          <w:t>Introduction</w:t>
        </w:r>
        <w:r w:rsidR="00A44B16">
          <w:rPr>
            <w:webHidden/>
          </w:rPr>
          <w:tab/>
        </w:r>
        <w:r w:rsidR="00A44B16">
          <w:rPr>
            <w:webHidden/>
          </w:rPr>
          <w:fldChar w:fldCharType="begin"/>
        </w:r>
        <w:r w:rsidR="00A44B16">
          <w:rPr>
            <w:webHidden/>
          </w:rPr>
          <w:instrText xml:space="preserve"> PAGEREF _Toc430165680 \h </w:instrText>
        </w:r>
        <w:r w:rsidR="00A44B16">
          <w:rPr>
            <w:webHidden/>
          </w:rPr>
        </w:r>
        <w:r w:rsidR="00A44B16">
          <w:rPr>
            <w:webHidden/>
          </w:rPr>
          <w:fldChar w:fldCharType="separate"/>
        </w:r>
        <w:r>
          <w:rPr>
            <w:webHidden/>
          </w:rPr>
          <w:t>3</w:t>
        </w:r>
        <w:r w:rsidR="00A44B16">
          <w:rPr>
            <w:webHidden/>
          </w:rPr>
          <w:fldChar w:fldCharType="end"/>
        </w:r>
      </w:hyperlink>
    </w:p>
    <w:p w:rsidR="00A44B16" w:rsidRDefault="001D48F5">
      <w:pPr>
        <w:pStyle w:val="TOC2"/>
        <w:rPr>
          <w:rFonts w:asciiTheme="minorHAnsi" w:eastAsiaTheme="minorEastAsia" w:hAnsiTheme="minorHAnsi"/>
          <w:b w:val="0"/>
          <w:color w:val="auto"/>
          <w:sz w:val="22"/>
          <w:lang w:eastAsia="en-AU"/>
        </w:rPr>
      </w:pPr>
      <w:hyperlink w:anchor="_Toc430165681" w:history="1">
        <w:r w:rsidR="00A44B16" w:rsidRPr="007A1AD9">
          <w:rPr>
            <w:rStyle w:val="Hyperlink"/>
          </w:rPr>
          <w:t>2.1</w:t>
        </w:r>
        <w:r w:rsidR="00A44B16">
          <w:rPr>
            <w:rFonts w:asciiTheme="minorHAnsi" w:eastAsiaTheme="minorEastAsia" w:hAnsiTheme="minorHAnsi"/>
            <w:b w:val="0"/>
            <w:color w:val="auto"/>
            <w:sz w:val="22"/>
            <w:lang w:eastAsia="en-AU"/>
          </w:rPr>
          <w:tab/>
        </w:r>
        <w:r w:rsidR="00A44B16" w:rsidRPr="007A1AD9">
          <w:rPr>
            <w:rStyle w:val="Hyperlink"/>
          </w:rPr>
          <w:t>Purpose of this paper</w:t>
        </w:r>
        <w:r w:rsidR="00A44B16">
          <w:rPr>
            <w:webHidden/>
          </w:rPr>
          <w:tab/>
        </w:r>
        <w:r w:rsidR="00A44B16">
          <w:rPr>
            <w:webHidden/>
          </w:rPr>
          <w:fldChar w:fldCharType="begin"/>
        </w:r>
        <w:r w:rsidR="00A44B16">
          <w:rPr>
            <w:webHidden/>
          </w:rPr>
          <w:instrText xml:space="preserve"> PAGEREF _Toc430165681 \h </w:instrText>
        </w:r>
        <w:r w:rsidR="00A44B16">
          <w:rPr>
            <w:webHidden/>
          </w:rPr>
        </w:r>
        <w:r w:rsidR="00A44B16">
          <w:rPr>
            <w:webHidden/>
          </w:rPr>
          <w:fldChar w:fldCharType="separate"/>
        </w:r>
        <w:r>
          <w:rPr>
            <w:webHidden/>
          </w:rPr>
          <w:t>3</w:t>
        </w:r>
        <w:r w:rsidR="00A44B16">
          <w:rPr>
            <w:webHidden/>
          </w:rPr>
          <w:fldChar w:fldCharType="end"/>
        </w:r>
      </w:hyperlink>
    </w:p>
    <w:p w:rsidR="00A44B16" w:rsidRDefault="001D48F5">
      <w:pPr>
        <w:pStyle w:val="TOC2"/>
        <w:rPr>
          <w:rFonts w:asciiTheme="minorHAnsi" w:eastAsiaTheme="minorEastAsia" w:hAnsiTheme="minorHAnsi"/>
          <w:b w:val="0"/>
          <w:color w:val="auto"/>
          <w:sz w:val="22"/>
          <w:lang w:eastAsia="en-AU"/>
        </w:rPr>
      </w:pPr>
      <w:hyperlink w:anchor="_Toc430165682" w:history="1">
        <w:r w:rsidR="00A44B16" w:rsidRPr="007A1AD9">
          <w:rPr>
            <w:rStyle w:val="Hyperlink"/>
          </w:rPr>
          <w:t>2.2</w:t>
        </w:r>
        <w:r w:rsidR="00A44B16">
          <w:rPr>
            <w:rFonts w:asciiTheme="minorHAnsi" w:eastAsiaTheme="minorEastAsia" w:hAnsiTheme="minorHAnsi"/>
            <w:b w:val="0"/>
            <w:color w:val="auto"/>
            <w:sz w:val="22"/>
            <w:lang w:eastAsia="en-AU"/>
          </w:rPr>
          <w:tab/>
        </w:r>
        <w:r w:rsidR="00A44B16" w:rsidRPr="007A1AD9">
          <w:rPr>
            <w:rStyle w:val="Hyperlink"/>
          </w:rPr>
          <w:t>The f-factor scheme</w:t>
        </w:r>
        <w:r w:rsidR="00A44B16">
          <w:rPr>
            <w:webHidden/>
          </w:rPr>
          <w:tab/>
        </w:r>
        <w:r w:rsidR="00A44B16">
          <w:rPr>
            <w:webHidden/>
          </w:rPr>
          <w:fldChar w:fldCharType="begin"/>
        </w:r>
        <w:r w:rsidR="00A44B16">
          <w:rPr>
            <w:webHidden/>
          </w:rPr>
          <w:instrText xml:space="preserve"> PAGEREF _Toc430165682 \h </w:instrText>
        </w:r>
        <w:r w:rsidR="00A44B16">
          <w:rPr>
            <w:webHidden/>
          </w:rPr>
        </w:r>
        <w:r w:rsidR="00A44B16">
          <w:rPr>
            <w:webHidden/>
          </w:rPr>
          <w:fldChar w:fldCharType="separate"/>
        </w:r>
        <w:r>
          <w:rPr>
            <w:webHidden/>
          </w:rPr>
          <w:t>4</w:t>
        </w:r>
        <w:r w:rsidR="00A44B16">
          <w:rPr>
            <w:webHidden/>
          </w:rPr>
          <w:fldChar w:fldCharType="end"/>
        </w:r>
      </w:hyperlink>
    </w:p>
    <w:p w:rsidR="00A44B16" w:rsidRDefault="001D48F5">
      <w:pPr>
        <w:pStyle w:val="TOC2"/>
        <w:rPr>
          <w:rFonts w:asciiTheme="minorHAnsi" w:eastAsiaTheme="minorEastAsia" w:hAnsiTheme="minorHAnsi"/>
          <w:b w:val="0"/>
          <w:color w:val="auto"/>
          <w:sz w:val="22"/>
          <w:lang w:eastAsia="en-AU"/>
        </w:rPr>
      </w:pPr>
      <w:hyperlink w:anchor="_Toc430165683" w:history="1">
        <w:r w:rsidR="00A44B16" w:rsidRPr="007A1AD9">
          <w:rPr>
            <w:rStyle w:val="Hyperlink"/>
          </w:rPr>
          <w:t>2.3</w:t>
        </w:r>
        <w:r w:rsidR="00A44B16">
          <w:rPr>
            <w:rFonts w:asciiTheme="minorHAnsi" w:eastAsiaTheme="minorEastAsia" w:hAnsiTheme="minorHAnsi"/>
            <w:b w:val="0"/>
            <w:color w:val="auto"/>
            <w:sz w:val="22"/>
            <w:lang w:eastAsia="en-AU"/>
          </w:rPr>
          <w:tab/>
        </w:r>
        <w:r w:rsidR="00A44B16" w:rsidRPr="007A1AD9">
          <w:rPr>
            <w:rStyle w:val="Hyperlink"/>
          </w:rPr>
          <w:t>Rules for f-factor amount determinations</w:t>
        </w:r>
        <w:r w:rsidR="00A44B16">
          <w:rPr>
            <w:webHidden/>
          </w:rPr>
          <w:tab/>
        </w:r>
        <w:r w:rsidR="00A44B16">
          <w:rPr>
            <w:webHidden/>
          </w:rPr>
          <w:fldChar w:fldCharType="begin"/>
        </w:r>
        <w:r w:rsidR="00A44B16">
          <w:rPr>
            <w:webHidden/>
          </w:rPr>
          <w:instrText xml:space="preserve"> PAGEREF _Toc430165683 \h </w:instrText>
        </w:r>
        <w:r w:rsidR="00A44B16">
          <w:rPr>
            <w:webHidden/>
          </w:rPr>
        </w:r>
        <w:r w:rsidR="00A44B16">
          <w:rPr>
            <w:webHidden/>
          </w:rPr>
          <w:fldChar w:fldCharType="separate"/>
        </w:r>
        <w:r>
          <w:rPr>
            <w:webHidden/>
          </w:rPr>
          <w:t>4</w:t>
        </w:r>
        <w:r w:rsidR="00A44B16">
          <w:rPr>
            <w:webHidden/>
          </w:rPr>
          <w:fldChar w:fldCharType="end"/>
        </w:r>
      </w:hyperlink>
    </w:p>
    <w:p w:rsidR="00A44B16" w:rsidRDefault="001D48F5">
      <w:pPr>
        <w:pStyle w:val="TOC1"/>
        <w:rPr>
          <w:rFonts w:asciiTheme="minorHAnsi" w:eastAsiaTheme="minorEastAsia" w:hAnsiTheme="minorHAnsi"/>
          <w:b w:val="0"/>
          <w:color w:val="auto"/>
          <w:sz w:val="22"/>
          <w:lang w:val="en-AU" w:eastAsia="en-AU"/>
        </w:rPr>
      </w:pPr>
      <w:hyperlink w:anchor="_Toc430165684" w:history="1">
        <w:r w:rsidR="00A44B16" w:rsidRPr="007A1AD9">
          <w:rPr>
            <w:rStyle w:val="Hyperlink"/>
          </w:rPr>
          <w:t>3</w:t>
        </w:r>
        <w:r w:rsidR="00A44B16">
          <w:rPr>
            <w:rFonts w:asciiTheme="minorHAnsi" w:eastAsiaTheme="minorEastAsia" w:hAnsiTheme="minorHAnsi"/>
            <w:b w:val="0"/>
            <w:color w:val="auto"/>
            <w:sz w:val="22"/>
            <w:lang w:val="en-AU" w:eastAsia="en-AU"/>
          </w:rPr>
          <w:tab/>
        </w:r>
        <w:r w:rsidR="00A44B16" w:rsidRPr="007A1AD9">
          <w:rPr>
            <w:rStyle w:val="Hyperlink"/>
          </w:rPr>
          <w:t>Draft decision and public information</w:t>
        </w:r>
        <w:r w:rsidR="00A44B16">
          <w:rPr>
            <w:webHidden/>
          </w:rPr>
          <w:tab/>
        </w:r>
        <w:r w:rsidR="00A44B16">
          <w:rPr>
            <w:webHidden/>
          </w:rPr>
          <w:fldChar w:fldCharType="begin"/>
        </w:r>
        <w:r w:rsidR="00A44B16">
          <w:rPr>
            <w:webHidden/>
          </w:rPr>
          <w:instrText xml:space="preserve"> PAGEREF _Toc430165684 \h </w:instrText>
        </w:r>
        <w:r w:rsidR="00A44B16">
          <w:rPr>
            <w:webHidden/>
          </w:rPr>
        </w:r>
        <w:r w:rsidR="00A44B16">
          <w:rPr>
            <w:webHidden/>
          </w:rPr>
          <w:fldChar w:fldCharType="separate"/>
        </w:r>
        <w:r>
          <w:rPr>
            <w:webHidden/>
          </w:rPr>
          <w:t>6</w:t>
        </w:r>
        <w:r w:rsidR="00A44B16">
          <w:rPr>
            <w:webHidden/>
          </w:rPr>
          <w:fldChar w:fldCharType="end"/>
        </w:r>
      </w:hyperlink>
    </w:p>
    <w:p w:rsidR="00A44B16" w:rsidRDefault="001D48F5">
      <w:pPr>
        <w:pStyle w:val="TOC2"/>
        <w:rPr>
          <w:rFonts w:asciiTheme="minorHAnsi" w:eastAsiaTheme="minorEastAsia" w:hAnsiTheme="minorHAnsi"/>
          <w:b w:val="0"/>
          <w:color w:val="auto"/>
          <w:sz w:val="22"/>
          <w:lang w:eastAsia="en-AU"/>
        </w:rPr>
      </w:pPr>
      <w:hyperlink w:anchor="_Toc430165685" w:history="1">
        <w:r w:rsidR="00A44B16" w:rsidRPr="007A1AD9">
          <w:rPr>
            <w:rStyle w:val="Hyperlink"/>
          </w:rPr>
          <w:t>3.1</w:t>
        </w:r>
        <w:r w:rsidR="00A44B16">
          <w:rPr>
            <w:rFonts w:asciiTheme="minorHAnsi" w:eastAsiaTheme="minorEastAsia" w:hAnsiTheme="minorHAnsi"/>
            <w:b w:val="0"/>
            <w:color w:val="auto"/>
            <w:sz w:val="22"/>
            <w:lang w:eastAsia="en-AU"/>
          </w:rPr>
          <w:tab/>
        </w:r>
        <w:r w:rsidR="00A44B16" w:rsidRPr="007A1AD9">
          <w:rPr>
            <w:rStyle w:val="Hyperlink"/>
          </w:rPr>
          <w:t>Information collection</w:t>
        </w:r>
        <w:r w:rsidR="00A44B16">
          <w:rPr>
            <w:webHidden/>
          </w:rPr>
          <w:tab/>
        </w:r>
        <w:r w:rsidR="00A44B16">
          <w:rPr>
            <w:webHidden/>
          </w:rPr>
          <w:fldChar w:fldCharType="begin"/>
        </w:r>
        <w:r w:rsidR="00A44B16">
          <w:rPr>
            <w:webHidden/>
          </w:rPr>
          <w:instrText xml:space="preserve"> PAGEREF _Toc430165685 \h </w:instrText>
        </w:r>
        <w:r w:rsidR="00A44B16">
          <w:rPr>
            <w:webHidden/>
          </w:rPr>
        </w:r>
        <w:r w:rsidR="00A44B16">
          <w:rPr>
            <w:webHidden/>
          </w:rPr>
          <w:fldChar w:fldCharType="separate"/>
        </w:r>
        <w:r>
          <w:rPr>
            <w:webHidden/>
          </w:rPr>
          <w:t>6</w:t>
        </w:r>
        <w:r w:rsidR="00A44B16">
          <w:rPr>
            <w:webHidden/>
          </w:rPr>
          <w:fldChar w:fldCharType="end"/>
        </w:r>
      </w:hyperlink>
    </w:p>
    <w:p w:rsidR="00A44B16" w:rsidRDefault="001D48F5">
      <w:pPr>
        <w:pStyle w:val="TOC2"/>
        <w:rPr>
          <w:rFonts w:asciiTheme="minorHAnsi" w:eastAsiaTheme="minorEastAsia" w:hAnsiTheme="minorHAnsi"/>
          <w:b w:val="0"/>
          <w:color w:val="auto"/>
          <w:sz w:val="22"/>
          <w:lang w:eastAsia="en-AU"/>
        </w:rPr>
      </w:pPr>
      <w:hyperlink w:anchor="_Toc430165688" w:history="1">
        <w:r w:rsidR="00A44B16" w:rsidRPr="007A1AD9">
          <w:rPr>
            <w:rStyle w:val="Hyperlink"/>
          </w:rPr>
          <w:t>3.2</w:t>
        </w:r>
        <w:r w:rsidR="00A44B16">
          <w:rPr>
            <w:rFonts w:asciiTheme="minorHAnsi" w:eastAsiaTheme="minorEastAsia" w:hAnsiTheme="minorHAnsi"/>
            <w:b w:val="0"/>
            <w:color w:val="auto"/>
            <w:sz w:val="22"/>
            <w:lang w:eastAsia="en-AU"/>
          </w:rPr>
          <w:tab/>
        </w:r>
        <w:r w:rsidR="00A44B16" w:rsidRPr="007A1AD9">
          <w:rPr>
            <w:rStyle w:val="Hyperlink"/>
          </w:rPr>
          <w:t>Basis and reasons for final decision</w:t>
        </w:r>
        <w:r w:rsidR="00A44B16">
          <w:rPr>
            <w:webHidden/>
          </w:rPr>
          <w:tab/>
        </w:r>
        <w:r w:rsidR="00A44B16">
          <w:rPr>
            <w:webHidden/>
          </w:rPr>
          <w:fldChar w:fldCharType="begin"/>
        </w:r>
        <w:r w:rsidR="00A44B16">
          <w:rPr>
            <w:webHidden/>
          </w:rPr>
          <w:instrText xml:space="preserve"> PAGEREF _Toc430165688 \h </w:instrText>
        </w:r>
        <w:r w:rsidR="00A44B16">
          <w:rPr>
            <w:webHidden/>
          </w:rPr>
        </w:r>
        <w:r w:rsidR="00A44B16">
          <w:rPr>
            <w:webHidden/>
          </w:rPr>
          <w:fldChar w:fldCharType="separate"/>
        </w:r>
        <w:r>
          <w:rPr>
            <w:webHidden/>
          </w:rPr>
          <w:t>7</w:t>
        </w:r>
        <w:r w:rsidR="00A44B16">
          <w:rPr>
            <w:webHidden/>
          </w:rPr>
          <w:fldChar w:fldCharType="end"/>
        </w:r>
      </w:hyperlink>
    </w:p>
    <w:p w:rsidR="00A44B16" w:rsidRDefault="001D48F5">
      <w:pPr>
        <w:pStyle w:val="TOC2"/>
        <w:rPr>
          <w:rFonts w:asciiTheme="minorHAnsi" w:eastAsiaTheme="minorEastAsia" w:hAnsiTheme="minorHAnsi"/>
          <w:b w:val="0"/>
          <w:color w:val="auto"/>
          <w:sz w:val="22"/>
          <w:lang w:eastAsia="en-AU"/>
        </w:rPr>
      </w:pPr>
      <w:hyperlink w:anchor="_Toc430165689" w:history="1">
        <w:r w:rsidR="00A44B16" w:rsidRPr="007A1AD9">
          <w:rPr>
            <w:rStyle w:val="Hyperlink"/>
          </w:rPr>
          <w:t>3.3</w:t>
        </w:r>
        <w:r w:rsidR="00A44B16">
          <w:rPr>
            <w:rFonts w:asciiTheme="minorHAnsi" w:eastAsiaTheme="minorEastAsia" w:hAnsiTheme="minorHAnsi"/>
            <w:b w:val="0"/>
            <w:color w:val="auto"/>
            <w:sz w:val="22"/>
            <w:lang w:eastAsia="en-AU"/>
          </w:rPr>
          <w:tab/>
        </w:r>
        <w:r w:rsidR="00A44B16" w:rsidRPr="007A1AD9">
          <w:rPr>
            <w:rStyle w:val="Hyperlink"/>
          </w:rPr>
          <w:t>Final f-factor amount determinations</w:t>
        </w:r>
        <w:r w:rsidR="00A44B16">
          <w:rPr>
            <w:webHidden/>
          </w:rPr>
          <w:tab/>
        </w:r>
        <w:r w:rsidR="00A44B16">
          <w:rPr>
            <w:webHidden/>
          </w:rPr>
          <w:fldChar w:fldCharType="begin"/>
        </w:r>
        <w:r w:rsidR="00A44B16">
          <w:rPr>
            <w:webHidden/>
          </w:rPr>
          <w:instrText xml:space="preserve"> PAGEREF _Toc430165689 \h </w:instrText>
        </w:r>
        <w:r w:rsidR="00A44B16">
          <w:rPr>
            <w:webHidden/>
          </w:rPr>
        </w:r>
        <w:r w:rsidR="00A44B16">
          <w:rPr>
            <w:webHidden/>
          </w:rPr>
          <w:fldChar w:fldCharType="separate"/>
        </w:r>
        <w:r>
          <w:rPr>
            <w:webHidden/>
          </w:rPr>
          <w:t>7</w:t>
        </w:r>
        <w:r w:rsidR="00A44B16">
          <w:rPr>
            <w:webHidden/>
          </w:rPr>
          <w:fldChar w:fldCharType="end"/>
        </w:r>
      </w:hyperlink>
    </w:p>
    <w:p w:rsidR="00A44B16" w:rsidRDefault="001D48F5">
      <w:pPr>
        <w:pStyle w:val="TOC1"/>
        <w:rPr>
          <w:rFonts w:asciiTheme="minorHAnsi" w:eastAsiaTheme="minorEastAsia" w:hAnsiTheme="minorHAnsi"/>
          <w:b w:val="0"/>
          <w:color w:val="auto"/>
          <w:sz w:val="22"/>
          <w:lang w:val="en-AU" w:eastAsia="en-AU"/>
        </w:rPr>
      </w:pPr>
      <w:hyperlink w:anchor="_Toc430165690" w:history="1">
        <w:r w:rsidR="00A44B16" w:rsidRPr="007A1AD9">
          <w:rPr>
            <w:rStyle w:val="Hyperlink"/>
          </w:rPr>
          <w:t>4</w:t>
        </w:r>
        <w:r w:rsidR="00A44B16">
          <w:rPr>
            <w:rFonts w:asciiTheme="minorHAnsi" w:eastAsiaTheme="minorEastAsia" w:hAnsiTheme="minorHAnsi"/>
            <w:b w:val="0"/>
            <w:color w:val="auto"/>
            <w:sz w:val="22"/>
            <w:lang w:val="en-AU" w:eastAsia="en-AU"/>
          </w:rPr>
          <w:tab/>
        </w:r>
        <w:r w:rsidR="00A44B16" w:rsidRPr="007A1AD9">
          <w:rPr>
            <w:rStyle w:val="Hyperlink"/>
          </w:rPr>
          <w:t>Consultation and submissions to the draft decision</w:t>
        </w:r>
        <w:r w:rsidR="00A44B16">
          <w:rPr>
            <w:webHidden/>
          </w:rPr>
          <w:tab/>
        </w:r>
        <w:r w:rsidR="00A44B16">
          <w:rPr>
            <w:webHidden/>
          </w:rPr>
          <w:fldChar w:fldCharType="begin"/>
        </w:r>
        <w:r w:rsidR="00A44B16">
          <w:rPr>
            <w:webHidden/>
          </w:rPr>
          <w:instrText xml:space="preserve"> PAGEREF _Toc430165690 \h </w:instrText>
        </w:r>
        <w:r w:rsidR="00A44B16">
          <w:rPr>
            <w:webHidden/>
          </w:rPr>
        </w:r>
        <w:r w:rsidR="00A44B16">
          <w:rPr>
            <w:webHidden/>
          </w:rPr>
          <w:fldChar w:fldCharType="separate"/>
        </w:r>
        <w:r>
          <w:rPr>
            <w:webHidden/>
          </w:rPr>
          <w:t>8</w:t>
        </w:r>
        <w:r w:rsidR="00A44B16">
          <w:rPr>
            <w:webHidden/>
          </w:rPr>
          <w:fldChar w:fldCharType="end"/>
        </w:r>
      </w:hyperlink>
    </w:p>
    <w:p w:rsidR="00A44B16" w:rsidRDefault="001D48F5">
      <w:pPr>
        <w:pStyle w:val="TOC1"/>
        <w:rPr>
          <w:rFonts w:asciiTheme="minorHAnsi" w:eastAsiaTheme="minorEastAsia" w:hAnsiTheme="minorHAnsi"/>
          <w:b w:val="0"/>
          <w:color w:val="auto"/>
          <w:sz w:val="22"/>
          <w:lang w:val="en-AU" w:eastAsia="en-AU"/>
        </w:rPr>
      </w:pPr>
      <w:hyperlink w:anchor="_Toc430165691" w:history="1">
        <w:r w:rsidR="00A44B16" w:rsidRPr="007A1AD9">
          <w:rPr>
            <w:rStyle w:val="Hyperlink"/>
          </w:rPr>
          <w:t>5</w:t>
        </w:r>
        <w:r w:rsidR="00A44B16">
          <w:rPr>
            <w:rFonts w:asciiTheme="minorHAnsi" w:eastAsiaTheme="minorEastAsia" w:hAnsiTheme="minorHAnsi"/>
            <w:b w:val="0"/>
            <w:color w:val="auto"/>
            <w:sz w:val="22"/>
            <w:lang w:val="en-AU" w:eastAsia="en-AU"/>
          </w:rPr>
          <w:tab/>
        </w:r>
        <w:r w:rsidR="00A44B16" w:rsidRPr="007A1AD9">
          <w:rPr>
            <w:rStyle w:val="Hyperlink"/>
          </w:rPr>
          <w:t>Final f-factor amount determinations</w:t>
        </w:r>
        <w:r w:rsidR="00A44B16">
          <w:rPr>
            <w:webHidden/>
          </w:rPr>
          <w:tab/>
        </w:r>
        <w:r w:rsidR="00A44B16">
          <w:rPr>
            <w:webHidden/>
          </w:rPr>
          <w:fldChar w:fldCharType="begin"/>
        </w:r>
        <w:r w:rsidR="00A44B16">
          <w:rPr>
            <w:webHidden/>
          </w:rPr>
          <w:instrText xml:space="preserve"> PAGEREF _Toc430165691 \h </w:instrText>
        </w:r>
        <w:r w:rsidR="00A44B16">
          <w:rPr>
            <w:webHidden/>
          </w:rPr>
        </w:r>
        <w:r w:rsidR="00A44B16">
          <w:rPr>
            <w:webHidden/>
          </w:rPr>
          <w:fldChar w:fldCharType="separate"/>
        </w:r>
        <w:r>
          <w:rPr>
            <w:webHidden/>
          </w:rPr>
          <w:t>9</w:t>
        </w:r>
        <w:r w:rsidR="00A44B16">
          <w:rPr>
            <w:webHidden/>
          </w:rPr>
          <w:fldChar w:fldCharType="end"/>
        </w:r>
      </w:hyperlink>
    </w:p>
    <w:p w:rsidR="0020492C" w:rsidRDefault="00A75077" w:rsidP="009F5BA1">
      <w:r>
        <w:fldChar w:fldCharType="end"/>
      </w:r>
      <w:r w:rsidR="0020492C">
        <w:tab/>
      </w:r>
    </w:p>
    <w:p w:rsidR="00FA1B0C" w:rsidRDefault="00FA1B0C">
      <w:pPr>
        <w:spacing w:line="240" w:lineRule="auto"/>
      </w:pPr>
      <w:bookmarkStart w:id="1" w:name="_Toc213047617"/>
      <w:r>
        <w:br w:type="page"/>
      </w:r>
    </w:p>
    <w:p w:rsidR="00FA1B0C" w:rsidRPr="00FA1B0C" w:rsidRDefault="00FA1B0C" w:rsidP="00FA1B0C">
      <w:pPr>
        <w:pStyle w:val="TOCHeading"/>
      </w:pPr>
      <w:bookmarkStart w:id="2" w:name="_Toc356990196"/>
      <w:bookmarkStart w:id="3" w:name="_Toc389145203"/>
      <w:r>
        <w:lastRenderedPageBreak/>
        <w:t>Shortened forms</w:t>
      </w:r>
      <w:bookmarkEnd w:id="2"/>
      <w:bookmarkEnd w:id="3"/>
      <w:r w:rsidRPr="00FA1B0C">
        <w:t xml:space="preserve"> </w:t>
      </w:r>
    </w:p>
    <w:p w:rsidR="00FA1B0C" w:rsidRPr="00FA1B0C" w:rsidRDefault="00FA1B0C" w:rsidP="00FA1B0C">
      <w:r>
        <w:t>AER</w:t>
      </w:r>
      <w:r>
        <w:tab/>
      </w:r>
      <w:r>
        <w:tab/>
      </w:r>
      <w:r>
        <w:tab/>
      </w:r>
      <w:r>
        <w:tab/>
      </w:r>
      <w:r>
        <w:tab/>
        <w:t>Australian Energy Regulator</w:t>
      </w:r>
    </w:p>
    <w:p w:rsidR="00FA1B0C" w:rsidRPr="00FA1B0C" w:rsidRDefault="00316B77" w:rsidP="00FA1B0C">
      <w:r>
        <w:t>Distributor</w:t>
      </w:r>
      <w:r>
        <w:tab/>
      </w:r>
      <w:r>
        <w:tab/>
      </w:r>
      <w:r>
        <w:tab/>
      </w:r>
      <w:r>
        <w:tab/>
      </w:r>
      <w:r w:rsidR="00FA1B0C">
        <w:t>Electricity Distribution Network Service Provider</w:t>
      </w:r>
    </w:p>
    <w:p w:rsidR="00FA1B0C" w:rsidRPr="00FA1B0C" w:rsidRDefault="00FA1B0C" w:rsidP="00FA1B0C">
      <w:r>
        <w:t xml:space="preserve">NER </w:t>
      </w:r>
      <w:r>
        <w:tab/>
      </w:r>
      <w:r>
        <w:tab/>
      </w:r>
      <w:r>
        <w:tab/>
      </w:r>
      <w:r>
        <w:tab/>
      </w:r>
      <w:r>
        <w:tab/>
      </w:r>
      <w:r w:rsidRPr="00FA1B0C">
        <w:t>National Electricity Rules</w:t>
      </w:r>
    </w:p>
    <w:p w:rsidR="00FA1B0C" w:rsidRPr="00FA1B0C" w:rsidRDefault="00FA1B0C" w:rsidP="00FA1B0C">
      <w:r>
        <w:t>NEVA</w:t>
      </w:r>
      <w:r>
        <w:tab/>
      </w:r>
      <w:r>
        <w:tab/>
      </w:r>
      <w:r>
        <w:tab/>
      </w:r>
      <w:r>
        <w:tab/>
      </w:r>
      <w:r>
        <w:tab/>
      </w:r>
      <w:r w:rsidRPr="00FA1B0C">
        <w:t>National Electricity (Victoria) Act 2005</w:t>
      </w:r>
    </w:p>
    <w:p w:rsidR="00FA1B0C" w:rsidRPr="00FA1B0C" w:rsidRDefault="00FA1B0C" w:rsidP="00FA1B0C">
      <w:proofErr w:type="gramStart"/>
      <w:r>
        <w:t>the</w:t>
      </w:r>
      <w:proofErr w:type="gramEnd"/>
      <w:r>
        <w:t xml:space="preserve"> Order</w:t>
      </w:r>
      <w:r>
        <w:tab/>
      </w:r>
      <w:r>
        <w:tab/>
      </w:r>
      <w:r>
        <w:tab/>
      </w:r>
      <w:r>
        <w:tab/>
      </w:r>
      <w:r w:rsidRPr="00FA1B0C">
        <w:t xml:space="preserve">f-factor scheme order 2011 </w:t>
      </w:r>
    </w:p>
    <w:p w:rsidR="0020492C" w:rsidRDefault="0020492C" w:rsidP="0020492C"/>
    <w:p w:rsidR="00FA1B0C" w:rsidRDefault="00FA1B0C">
      <w:pPr>
        <w:spacing w:line="240" w:lineRule="auto"/>
      </w:pPr>
      <w:r>
        <w:br w:type="page"/>
      </w:r>
    </w:p>
    <w:p w:rsidR="0020492C" w:rsidRDefault="0020492C" w:rsidP="0020492C">
      <w:pPr>
        <w:sectPr w:rsidR="0020492C" w:rsidSect="007A4D1F">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1009" w:gutter="0"/>
          <w:pgNumType w:fmt="lowerRoman"/>
          <w:cols w:space="720"/>
          <w:docGrid w:linePitch="326"/>
        </w:sectPr>
      </w:pPr>
    </w:p>
    <w:p w:rsidR="00A41C1C" w:rsidRDefault="00A41C1C" w:rsidP="00A41C1C">
      <w:pPr>
        <w:pStyle w:val="Heading1"/>
      </w:pPr>
      <w:bookmarkStart w:id="4" w:name="_Toc430165679"/>
      <w:bookmarkEnd w:id="1"/>
      <w:r>
        <w:lastRenderedPageBreak/>
        <w:t>Summary of this determination</w:t>
      </w:r>
      <w:bookmarkEnd w:id="4"/>
    </w:p>
    <w:p w:rsidR="007E5762" w:rsidRPr="007E5762" w:rsidRDefault="007E5762" w:rsidP="007E5762">
      <w:r w:rsidRPr="00FD6E35">
        <w:t xml:space="preserve">On 24 June 2010, the Victorian Parliament passed the </w:t>
      </w:r>
      <w:r w:rsidRPr="00C06013">
        <w:rPr>
          <w:rStyle w:val="Emphasis"/>
        </w:rPr>
        <w:t>Energy and Resources Legislation Amendment Act 2010</w:t>
      </w:r>
      <w:r w:rsidRPr="007E5762">
        <w:t xml:space="preserve">. The Act amended the </w:t>
      </w:r>
      <w:r w:rsidRPr="00C06013">
        <w:rPr>
          <w:rStyle w:val="Emphasis"/>
        </w:rPr>
        <w:t>National Electricity (Victoria) Act 2005</w:t>
      </w:r>
      <w:r w:rsidRPr="007E5762">
        <w:t xml:space="preserve"> (the NEVA) to introduce an 'f-factor scheme'. The Victorian Government published the f-factor scheme order 2011 (the Order) on 23 June 2011 under the NEVA. </w:t>
      </w:r>
      <w:r w:rsidR="00253801" w:rsidRPr="00253801">
        <w:t xml:space="preserve">The </w:t>
      </w:r>
      <w:r w:rsidR="007B1193">
        <w:t>Order defines the parameters of the scheme for the 2012</w:t>
      </w:r>
      <w:r w:rsidR="00ED1FE8">
        <w:t>–</w:t>
      </w:r>
      <w:r w:rsidR="007B1193">
        <w:t xml:space="preserve">15 </w:t>
      </w:r>
      <w:proofErr w:type="gramStart"/>
      <w:r w:rsidR="007B1193">
        <w:t>period</w:t>
      </w:r>
      <w:proofErr w:type="gramEnd"/>
      <w:r w:rsidR="00253801">
        <w:t>.</w:t>
      </w:r>
    </w:p>
    <w:p w:rsidR="007E5762" w:rsidRPr="007E5762" w:rsidRDefault="007E5762" w:rsidP="007E5762">
      <w:r w:rsidRPr="00FD6E35">
        <w:t xml:space="preserve">The scheme provides incentives for </w:t>
      </w:r>
      <w:r w:rsidRPr="007E5762">
        <w:t xml:space="preserve">Victorian </w:t>
      </w:r>
      <w:r w:rsidR="00932624">
        <w:t>electricity distributors</w:t>
      </w:r>
      <w:r w:rsidRPr="007E5762">
        <w:t xml:space="preserve"> to reduce the risk of fire starts due to electricity infrastructure, and to reduce the risk of loss or damage caused by fire starts.</w:t>
      </w:r>
      <w:r w:rsidRPr="007E5762">
        <w:rPr>
          <w:rStyle w:val="FootnoteReference"/>
        </w:rPr>
        <w:footnoteReference w:id="2"/>
      </w:r>
      <w:r w:rsidRPr="007E5762">
        <w:t xml:space="preserve"> The Order prescribes that, for the first four years of the scheme (2012</w:t>
      </w:r>
      <w:r w:rsidR="00932624">
        <w:t>–</w:t>
      </w:r>
      <w:r w:rsidRPr="007E5762">
        <w:t xml:space="preserve">15), </w:t>
      </w:r>
      <w:r w:rsidR="00932624">
        <w:t xml:space="preserve">distributors </w:t>
      </w:r>
      <w:r w:rsidRPr="007E5762">
        <w:t xml:space="preserve">will be either rewarded or penalised at the pre-determined incentive rate of $25,000 per fire for performing better or worse than their respective targets. </w:t>
      </w:r>
    </w:p>
    <w:p w:rsidR="007E5762" w:rsidRPr="007E5762" w:rsidRDefault="007E5762" w:rsidP="007E5762">
      <w:r w:rsidRPr="004A69A2">
        <w:t xml:space="preserve">The Order requires </w:t>
      </w:r>
      <w:r w:rsidRPr="007E5762">
        <w:t>us (the AER) to set the fire start targets for 2012</w:t>
      </w:r>
      <w:r w:rsidR="00932624">
        <w:t>–</w:t>
      </w:r>
      <w:r w:rsidRPr="007E5762">
        <w:t>15 on the basis of historical averages and to determine the annual reward</w:t>
      </w:r>
      <w:r w:rsidR="00991382">
        <w:t xml:space="preserve"> or </w:t>
      </w:r>
      <w:r w:rsidRPr="007E5762">
        <w:t xml:space="preserve">penalty amounts for this period, at the rate of $25,000 per fire. We published fire start benchmark targets for each </w:t>
      </w:r>
      <w:r w:rsidR="00932624">
        <w:t>Victorian electricity distributor</w:t>
      </w:r>
      <w:r w:rsidRPr="007E5762">
        <w:t xml:space="preserve"> in 2011.</w:t>
      </w:r>
      <w:r w:rsidRPr="007E5762">
        <w:rPr>
          <w:rStyle w:val="FootnoteReference"/>
        </w:rPr>
        <w:footnoteReference w:id="3"/>
      </w:r>
      <w:r w:rsidRPr="007E5762">
        <w:t xml:space="preserve"> </w:t>
      </w:r>
    </w:p>
    <w:p w:rsidR="007E5762" w:rsidRDefault="007E5762" w:rsidP="007E5762">
      <w:r w:rsidRPr="004A69A2">
        <w:t xml:space="preserve">On </w:t>
      </w:r>
      <w:r>
        <w:t>24</w:t>
      </w:r>
      <w:r w:rsidRPr="004A69A2">
        <w:t xml:space="preserve"> June 201</w:t>
      </w:r>
      <w:r>
        <w:t>5</w:t>
      </w:r>
      <w:r w:rsidRPr="004A69A2">
        <w:t xml:space="preserve">, </w:t>
      </w:r>
      <w:r>
        <w:t>we published</w:t>
      </w:r>
      <w:r w:rsidRPr="004A69A2">
        <w:t xml:space="preserve"> </w:t>
      </w:r>
      <w:r>
        <w:t>a draft</w:t>
      </w:r>
      <w:r w:rsidRPr="004A69A2">
        <w:t xml:space="preserve"> </w:t>
      </w:r>
      <w:r>
        <w:t xml:space="preserve">determination for consultation on the proposed </w:t>
      </w:r>
      <w:r w:rsidR="00932624">
        <w:br/>
      </w:r>
      <w:r>
        <w:t xml:space="preserve">f-factor outcome amounts for each </w:t>
      </w:r>
      <w:r w:rsidR="00932624">
        <w:t>distributor</w:t>
      </w:r>
      <w:r>
        <w:t xml:space="preserve"> for the fire start outcomes of 2014 calendar year. Only one submission was received,</w:t>
      </w:r>
      <w:r>
        <w:rPr>
          <w:rStyle w:val="FootnoteReference"/>
        </w:rPr>
        <w:footnoteReference w:id="4"/>
      </w:r>
      <w:r>
        <w:t xml:space="preserve"> but no specific issues were raised on the draft determination.</w:t>
      </w:r>
    </w:p>
    <w:p w:rsidR="001D48F5" w:rsidRDefault="00C06013" w:rsidP="009D27D3">
      <w:pPr>
        <w:pStyle w:val="Source"/>
      </w:pPr>
      <w:r w:rsidRPr="00B0717E">
        <w:t xml:space="preserve">The </w:t>
      </w:r>
      <w:r>
        <w:t>distributor</w:t>
      </w:r>
      <w:r w:rsidRPr="00B0717E">
        <w:t>s’ annual allowable revenues for 201</w:t>
      </w:r>
      <w:r>
        <w:t>6</w:t>
      </w:r>
      <w:r w:rsidRPr="00B0717E">
        <w:t xml:space="preserve"> will be adjusted by the relevant pass-through amounts. </w:t>
      </w:r>
      <w:r>
        <w:t>T</w:t>
      </w:r>
      <w:r w:rsidRPr="00B0717E">
        <w:t>he adjustments will range from a $2.</w:t>
      </w:r>
      <w:r>
        <w:t>2</w:t>
      </w:r>
      <w:r w:rsidRPr="00B0717E">
        <w:t xml:space="preserve"> million penalty for </w:t>
      </w:r>
      <w:r>
        <w:t xml:space="preserve">United Energy </w:t>
      </w:r>
      <w:r w:rsidRPr="00B0717E">
        <w:t>to a $</w:t>
      </w:r>
      <w:r>
        <w:t>1.9</w:t>
      </w:r>
      <w:r w:rsidRPr="00B0717E">
        <w:t xml:space="preserve"> million reward for </w:t>
      </w:r>
      <w:proofErr w:type="spellStart"/>
      <w:r w:rsidRPr="00B0717E">
        <w:t>AusNet</w:t>
      </w:r>
      <w:proofErr w:type="spellEnd"/>
      <w:r>
        <w:t xml:space="preserve"> Services</w:t>
      </w:r>
      <w:r w:rsidRPr="00B0717E">
        <w:t>.</w:t>
      </w:r>
      <w:r w:rsidRPr="00C06013">
        <w:t xml:space="preserve"> </w:t>
      </w:r>
      <w:r w:rsidRPr="007C4DB4">
        <w:t>As a result, there will be a small ch</w:t>
      </w:r>
      <w:r>
        <w:t xml:space="preserve">ange in network tariffs for 2016 </w:t>
      </w:r>
      <w:r w:rsidR="00A41C1C" w:rsidRPr="00991382">
        <w:t xml:space="preserve">as shown </w:t>
      </w:r>
      <w:r w:rsidR="00181BA2" w:rsidRPr="00991382">
        <w:t xml:space="preserve">in </w:t>
      </w:r>
      <w:r w:rsidR="00181BA2" w:rsidRPr="00991382">
        <w:fldChar w:fldCharType="begin"/>
      </w:r>
      <w:r w:rsidR="00181BA2" w:rsidRPr="00991382">
        <w:instrText xml:space="preserve"> REF _Ref420591287 \h </w:instrText>
      </w:r>
      <w:r w:rsidR="00181BA2" w:rsidRPr="00991382">
        <w:fldChar w:fldCharType="separate"/>
      </w:r>
      <w:r w:rsidR="001D48F5">
        <w:t xml:space="preserve">Table </w:t>
      </w:r>
      <w:r w:rsidR="001D48F5">
        <w:rPr>
          <w:noProof/>
        </w:rPr>
        <w:t>1</w:t>
      </w:r>
      <w:r w:rsidR="001D48F5">
        <w:t>.</w:t>
      </w:r>
      <w:r w:rsidR="001D48F5">
        <w:rPr>
          <w:noProof/>
        </w:rPr>
        <w:t>1</w:t>
      </w:r>
      <w:r w:rsidR="00181BA2" w:rsidRPr="00991382">
        <w:fldChar w:fldCharType="end"/>
      </w:r>
      <w:r>
        <w:t>.</w:t>
      </w:r>
      <w:r w:rsidR="00ED1FE8" w:rsidRPr="00991382">
        <w:t xml:space="preserve"> </w:t>
      </w:r>
      <w:r w:rsidR="00526964">
        <w:fldChar w:fldCharType="begin"/>
      </w:r>
      <w:r w:rsidR="00526964" w:rsidRPr="00991382">
        <w:instrText xml:space="preserve"> REF _Ref420591340 \h </w:instrText>
      </w:r>
      <w:r w:rsidR="00526964">
        <w:fldChar w:fldCharType="separate"/>
      </w:r>
    </w:p>
    <w:p w:rsidR="00A41C1C" w:rsidRPr="00A41C1C" w:rsidRDefault="001D48F5" w:rsidP="00560FCC">
      <w:r>
        <w:t xml:space="preserve">Table </w:t>
      </w:r>
      <w:r>
        <w:rPr>
          <w:noProof/>
        </w:rPr>
        <w:t>1</w:t>
      </w:r>
      <w:r>
        <w:t>.</w:t>
      </w:r>
      <w:r>
        <w:rPr>
          <w:noProof/>
        </w:rPr>
        <w:t>2</w:t>
      </w:r>
      <w:r w:rsidR="00526964">
        <w:fldChar w:fldCharType="end"/>
      </w:r>
      <w:r w:rsidR="00526964">
        <w:t xml:space="preserve"> </w:t>
      </w:r>
      <w:r w:rsidR="00A41C1C" w:rsidRPr="00A41C1C">
        <w:t>show</w:t>
      </w:r>
      <w:r w:rsidR="00181BA2">
        <w:t>s</w:t>
      </w:r>
      <w:r w:rsidR="00A41C1C" w:rsidRPr="00A41C1C">
        <w:t xml:space="preserve"> the historical trend of the fire starts reported by the </w:t>
      </w:r>
      <w:r w:rsidR="0092168B">
        <w:t>distributor</w:t>
      </w:r>
      <w:r w:rsidR="00A41C1C" w:rsidRPr="00A41C1C">
        <w:t>s.</w:t>
      </w:r>
    </w:p>
    <w:p w:rsidR="00D765BE" w:rsidRDefault="00196C7F" w:rsidP="00A41C1C">
      <w:r>
        <w:t>United Energy</w:t>
      </w:r>
      <w:r w:rsidR="00A41C1C" w:rsidRPr="00A41C1C">
        <w:t xml:space="preserve"> reported significant increases in fire starts in 201</w:t>
      </w:r>
      <w:r>
        <w:t>4</w:t>
      </w:r>
      <w:r w:rsidR="00991382">
        <w:t xml:space="preserve">compared to </w:t>
      </w:r>
      <w:r>
        <w:t>from 2013</w:t>
      </w:r>
      <w:r w:rsidR="00991382">
        <w:t>.</w:t>
      </w:r>
      <w:r w:rsidR="00A41C1C" w:rsidRPr="00A41C1C">
        <w:t xml:space="preserve"> </w:t>
      </w:r>
      <w:r w:rsidR="00991382">
        <w:t>This</w:t>
      </w:r>
      <w:r w:rsidR="00A41C1C" w:rsidRPr="00A41C1C">
        <w:t xml:space="preserve"> w</w:t>
      </w:r>
      <w:r>
        <w:t xml:space="preserve">as </w:t>
      </w:r>
      <w:r w:rsidR="00A41C1C" w:rsidRPr="00A41C1C">
        <w:t xml:space="preserve">significantly above </w:t>
      </w:r>
      <w:r w:rsidR="00991382">
        <w:t>its</w:t>
      </w:r>
      <w:r w:rsidR="00A41C1C" w:rsidRPr="00A41C1C">
        <w:t xml:space="preserve"> benchmark targets. </w:t>
      </w:r>
      <w:r w:rsidR="0018551A">
        <w:t>United Energy</w:t>
      </w:r>
      <w:r w:rsidR="00A41C1C" w:rsidRPr="00A41C1C">
        <w:t xml:space="preserve"> attributed the increase to </w:t>
      </w:r>
      <w:r w:rsidR="00832145">
        <w:t xml:space="preserve">significantly </w:t>
      </w:r>
      <w:r w:rsidR="00A41C1C" w:rsidRPr="00A41C1C">
        <w:t xml:space="preserve">higher number of </w:t>
      </w:r>
      <w:r w:rsidR="00980D37">
        <w:t>insulator failure</w:t>
      </w:r>
      <w:r w:rsidR="00832145">
        <w:t>s</w:t>
      </w:r>
      <w:r w:rsidR="00980D37">
        <w:t xml:space="preserve"> – pole / </w:t>
      </w:r>
      <w:r w:rsidR="00932624">
        <w:t>c</w:t>
      </w:r>
      <w:r w:rsidR="00980D37">
        <w:t>ross</w:t>
      </w:r>
      <w:r w:rsidR="00CB1696">
        <w:t>-</w:t>
      </w:r>
      <w:r w:rsidR="00980D37">
        <w:t>arm</w:t>
      </w:r>
      <w:r w:rsidR="0018551A">
        <w:t xml:space="preserve"> fire</w:t>
      </w:r>
      <w:r w:rsidR="00832145">
        <w:t xml:space="preserve"> (132</w:t>
      </w:r>
      <w:r w:rsidR="00883706">
        <w:t xml:space="preserve"> incidences in 2014 compared to 76 incidences in 2013)</w:t>
      </w:r>
      <w:r w:rsidR="00A41C1C" w:rsidRPr="00A41C1C">
        <w:t>.</w:t>
      </w:r>
      <w:r w:rsidR="00A0454B">
        <w:t xml:space="preserve"> </w:t>
      </w:r>
      <w:r w:rsidR="00D765BE">
        <w:t>In terms of locations</w:t>
      </w:r>
      <w:r w:rsidR="00D765BE" w:rsidRPr="00D765BE">
        <w:t>, United Energy reported the same nu</w:t>
      </w:r>
      <w:r w:rsidR="006C3FDC">
        <w:t>m</w:t>
      </w:r>
      <w:r w:rsidR="00D765BE" w:rsidRPr="00D765BE">
        <w:t>ber of fire starts (16) in high bus</w:t>
      </w:r>
      <w:r w:rsidR="006C3FDC">
        <w:t>h</w:t>
      </w:r>
      <w:r w:rsidR="00D765BE" w:rsidRPr="00D765BE">
        <w:t>fire risk area</w:t>
      </w:r>
      <w:r w:rsidR="00991382">
        <w:t>s</w:t>
      </w:r>
      <w:r w:rsidR="00D765BE" w:rsidRPr="00D765BE">
        <w:t>, but a significant increase in fire starts in low bushfire risk area</w:t>
      </w:r>
      <w:r w:rsidR="00991382">
        <w:t>s</w:t>
      </w:r>
      <w:r w:rsidR="00D765BE" w:rsidRPr="00D765BE">
        <w:t xml:space="preserve"> (198 incidences in 2014 compared to 111 incidences in 2013)</w:t>
      </w:r>
      <w:r w:rsidR="009209AA">
        <w:t>.</w:t>
      </w:r>
      <w:r w:rsidR="00A41C1C" w:rsidRPr="00A41C1C">
        <w:rPr>
          <w:rStyle w:val="FootnoteReference"/>
        </w:rPr>
        <w:footnoteReference w:id="5"/>
      </w:r>
      <w:r w:rsidR="00A41C1C" w:rsidRPr="00A41C1C">
        <w:t xml:space="preserve"> </w:t>
      </w:r>
    </w:p>
    <w:p w:rsidR="00A41C1C" w:rsidRDefault="0018551A" w:rsidP="00A41C1C">
      <w:proofErr w:type="spellStart"/>
      <w:r>
        <w:t>CitiPower</w:t>
      </w:r>
      <w:proofErr w:type="spellEnd"/>
      <w:r>
        <w:t xml:space="preserve">, </w:t>
      </w:r>
      <w:proofErr w:type="spellStart"/>
      <w:r>
        <w:t>Powercor</w:t>
      </w:r>
      <w:proofErr w:type="spellEnd"/>
      <w:r>
        <w:t xml:space="preserve"> and Jemena</w:t>
      </w:r>
      <w:r w:rsidR="00A41C1C" w:rsidRPr="00A41C1C">
        <w:t xml:space="preserve"> reported</w:t>
      </w:r>
      <w:r>
        <w:t xml:space="preserve"> slight decrease</w:t>
      </w:r>
      <w:r w:rsidR="009B1355">
        <w:t>s</w:t>
      </w:r>
      <w:r>
        <w:t xml:space="preserve"> in </w:t>
      </w:r>
      <w:r w:rsidR="009B1355">
        <w:t xml:space="preserve">their </w:t>
      </w:r>
      <w:r>
        <w:t>fire starts in 2014</w:t>
      </w:r>
      <w:r w:rsidR="00832145">
        <w:t xml:space="preserve"> from 2013</w:t>
      </w:r>
      <w:r>
        <w:t xml:space="preserve">, but they are still </w:t>
      </w:r>
      <w:r w:rsidR="00A41C1C" w:rsidRPr="00A41C1C">
        <w:t xml:space="preserve">above the target level. </w:t>
      </w:r>
      <w:proofErr w:type="spellStart"/>
      <w:r>
        <w:t>AusNet</w:t>
      </w:r>
      <w:proofErr w:type="spellEnd"/>
      <w:r>
        <w:t xml:space="preserve"> Services</w:t>
      </w:r>
      <w:r w:rsidR="00A41C1C" w:rsidRPr="00A41C1C">
        <w:t xml:space="preserve"> reported a similar number of fire starts as </w:t>
      </w:r>
      <w:r>
        <w:t>in 2013</w:t>
      </w:r>
      <w:r w:rsidR="00A41C1C" w:rsidRPr="00A41C1C">
        <w:t xml:space="preserve">, which was about 30 per cent below </w:t>
      </w:r>
      <w:r w:rsidR="00991382">
        <w:t>its</w:t>
      </w:r>
      <w:r w:rsidR="00A41C1C" w:rsidRPr="00A41C1C">
        <w:t xml:space="preserve"> target level.</w:t>
      </w:r>
    </w:p>
    <w:p w:rsidR="00A41C1C" w:rsidRPr="002E1BE5" w:rsidRDefault="00A41C1C" w:rsidP="00A41C1C">
      <w:pPr>
        <w:pStyle w:val="Caption"/>
      </w:pPr>
      <w:bookmarkStart w:id="5" w:name="_Ref420591287"/>
      <w:proofErr w:type="gramStart"/>
      <w:r>
        <w:lastRenderedPageBreak/>
        <w:t xml:space="preserve">Table </w:t>
      </w:r>
      <w:r w:rsidRPr="00A41C1C">
        <w:fldChar w:fldCharType="begin"/>
      </w:r>
      <w:r>
        <w:instrText xml:space="preserve"> STYLEREF 1 \s </w:instrText>
      </w:r>
      <w:r w:rsidRPr="00A41C1C">
        <w:fldChar w:fldCharType="separate"/>
      </w:r>
      <w:r w:rsidR="001D48F5">
        <w:rPr>
          <w:noProof/>
        </w:rPr>
        <w:t>1</w:t>
      </w:r>
      <w:r w:rsidRPr="00A41C1C">
        <w:fldChar w:fldCharType="end"/>
      </w:r>
      <w:r>
        <w:t>.</w:t>
      </w:r>
      <w:proofErr w:type="gramEnd"/>
      <w:r w:rsidRPr="00A41C1C">
        <w:fldChar w:fldCharType="begin"/>
      </w:r>
      <w:r>
        <w:instrText xml:space="preserve"> SEQ Table \* ARABIC \s 1 </w:instrText>
      </w:r>
      <w:r w:rsidRPr="00A41C1C">
        <w:fldChar w:fldCharType="separate"/>
      </w:r>
      <w:r w:rsidR="001D48F5">
        <w:rPr>
          <w:noProof/>
        </w:rPr>
        <w:t>1</w:t>
      </w:r>
      <w:r w:rsidRPr="00A41C1C">
        <w:fldChar w:fldCharType="end"/>
      </w:r>
      <w:bookmarkEnd w:id="5"/>
      <w:r>
        <w:t xml:space="preserve">: </w:t>
      </w:r>
      <w:r w:rsidR="000D565F" w:rsidRPr="000D565F">
        <w:t xml:space="preserve">Final determinations on the adjustment amounts to </w:t>
      </w:r>
      <w:r w:rsidR="000D565F">
        <w:t>distributors’ allowable revenues for 2016</w:t>
      </w:r>
      <w:r w:rsidR="000D565F" w:rsidRPr="000D565F">
        <w:t xml:space="preserve"> und</w:t>
      </w:r>
      <w:r w:rsidR="000D565F">
        <w:t>er the F-factor scheme, for 2014</w:t>
      </w:r>
      <w:r w:rsidR="000D565F" w:rsidRPr="000D565F">
        <w:t xml:space="preserve"> fire start results</w:t>
      </w:r>
    </w:p>
    <w:tbl>
      <w:tblPr>
        <w:tblStyle w:val="AERTable-Text"/>
        <w:tblW w:w="0" w:type="auto"/>
        <w:tblLook w:val="04A0" w:firstRow="1" w:lastRow="0" w:firstColumn="1" w:lastColumn="0" w:noHBand="0" w:noVBand="1"/>
      </w:tblPr>
      <w:tblGrid>
        <w:gridCol w:w="2235"/>
        <w:gridCol w:w="3472"/>
        <w:gridCol w:w="3473"/>
      </w:tblGrid>
      <w:tr w:rsidR="00A41C1C" w:rsidRPr="00796046" w:rsidTr="006975AC">
        <w:trPr>
          <w:cnfStyle w:val="100000000000" w:firstRow="1" w:lastRow="0" w:firstColumn="0" w:lastColumn="0" w:oddVBand="0" w:evenVBand="0" w:oddHBand="0" w:evenHBand="0" w:firstRowFirstColumn="0" w:firstRowLastColumn="0" w:lastRowFirstColumn="0" w:lastRowLastColumn="0"/>
        </w:trPr>
        <w:tc>
          <w:tcPr>
            <w:tcW w:w="2235" w:type="dxa"/>
          </w:tcPr>
          <w:p w:rsidR="00A41C1C" w:rsidRPr="00A41C1C" w:rsidRDefault="0092168B" w:rsidP="00483194">
            <w:pPr>
              <w:pStyle w:val="Tabletext"/>
            </w:pPr>
            <w:r>
              <w:t>Distributor</w:t>
            </w:r>
          </w:p>
        </w:tc>
        <w:tc>
          <w:tcPr>
            <w:tcW w:w="3472" w:type="dxa"/>
          </w:tcPr>
          <w:p w:rsidR="00A41C1C" w:rsidRPr="00A41C1C" w:rsidRDefault="00A41C1C" w:rsidP="00483194">
            <w:pPr>
              <w:pStyle w:val="Tabletext"/>
            </w:pPr>
            <w:r>
              <w:t>Pass through amount ($)</w:t>
            </w:r>
          </w:p>
        </w:tc>
        <w:tc>
          <w:tcPr>
            <w:tcW w:w="3473" w:type="dxa"/>
          </w:tcPr>
          <w:p w:rsidR="00A41C1C" w:rsidRPr="00A41C1C" w:rsidRDefault="00A41C1C" w:rsidP="00483194">
            <w:pPr>
              <w:pStyle w:val="Tabletext"/>
            </w:pPr>
            <w:r>
              <w:t>Approximate charge ($) per customer p.a.</w:t>
            </w:r>
          </w:p>
        </w:tc>
      </w:tr>
      <w:tr w:rsidR="00483194" w:rsidRPr="00796046" w:rsidTr="006975AC">
        <w:tc>
          <w:tcPr>
            <w:tcW w:w="2235" w:type="dxa"/>
          </w:tcPr>
          <w:p w:rsidR="00483194" w:rsidRPr="00483194" w:rsidRDefault="00483194" w:rsidP="00483194">
            <w:proofErr w:type="spellStart"/>
            <w:r w:rsidRPr="00A41C1C">
              <w:t>CitiPower</w:t>
            </w:r>
            <w:proofErr w:type="spellEnd"/>
          </w:p>
        </w:tc>
        <w:tc>
          <w:tcPr>
            <w:tcW w:w="3472" w:type="dxa"/>
          </w:tcPr>
          <w:p w:rsidR="00483194" w:rsidRPr="00483194" w:rsidRDefault="00483194" w:rsidP="00483194">
            <w:r>
              <w:t>(15,000)</w:t>
            </w:r>
          </w:p>
        </w:tc>
        <w:tc>
          <w:tcPr>
            <w:tcW w:w="3473" w:type="dxa"/>
          </w:tcPr>
          <w:p w:rsidR="00483194" w:rsidRPr="00483194" w:rsidRDefault="00483194" w:rsidP="00483194">
            <w:r>
              <w:t>(0.05)</w:t>
            </w:r>
          </w:p>
        </w:tc>
      </w:tr>
      <w:tr w:rsidR="00483194" w:rsidRPr="00796046" w:rsidTr="006975AC">
        <w:trPr>
          <w:cnfStyle w:val="000000010000" w:firstRow="0" w:lastRow="0" w:firstColumn="0" w:lastColumn="0" w:oddVBand="0" w:evenVBand="0" w:oddHBand="0" w:evenHBand="1" w:firstRowFirstColumn="0" w:firstRowLastColumn="0" w:lastRowFirstColumn="0" w:lastRowLastColumn="0"/>
        </w:trPr>
        <w:tc>
          <w:tcPr>
            <w:tcW w:w="2235" w:type="dxa"/>
          </w:tcPr>
          <w:p w:rsidR="00483194" w:rsidRPr="00483194" w:rsidRDefault="00483194" w:rsidP="00483194">
            <w:proofErr w:type="spellStart"/>
            <w:r w:rsidRPr="00A41C1C">
              <w:t>Powercor</w:t>
            </w:r>
            <w:proofErr w:type="spellEnd"/>
          </w:p>
        </w:tc>
        <w:tc>
          <w:tcPr>
            <w:tcW w:w="3472" w:type="dxa"/>
          </w:tcPr>
          <w:p w:rsidR="00483194" w:rsidRPr="00483194" w:rsidRDefault="00483194" w:rsidP="00483194">
            <w:r>
              <w:t>(1,530,000)</w:t>
            </w:r>
          </w:p>
        </w:tc>
        <w:tc>
          <w:tcPr>
            <w:tcW w:w="3473" w:type="dxa"/>
          </w:tcPr>
          <w:p w:rsidR="00483194" w:rsidRPr="00483194" w:rsidRDefault="00483194" w:rsidP="00483194">
            <w:r>
              <w:t>(2.02)</w:t>
            </w:r>
          </w:p>
        </w:tc>
      </w:tr>
      <w:tr w:rsidR="00483194" w:rsidRPr="00796046" w:rsidTr="006975AC">
        <w:tc>
          <w:tcPr>
            <w:tcW w:w="2235" w:type="dxa"/>
          </w:tcPr>
          <w:p w:rsidR="00483194" w:rsidRPr="00483194" w:rsidRDefault="00483194" w:rsidP="00483194">
            <w:r w:rsidRPr="00A41C1C">
              <w:t>Jemena</w:t>
            </w:r>
          </w:p>
        </w:tc>
        <w:tc>
          <w:tcPr>
            <w:tcW w:w="3472" w:type="dxa"/>
          </w:tcPr>
          <w:p w:rsidR="00483194" w:rsidRPr="00483194" w:rsidRDefault="00483194" w:rsidP="00483194">
            <w:r>
              <w:t>(680,000)</w:t>
            </w:r>
          </w:p>
        </w:tc>
        <w:tc>
          <w:tcPr>
            <w:tcW w:w="3473" w:type="dxa"/>
          </w:tcPr>
          <w:p w:rsidR="00483194" w:rsidRPr="00483194" w:rsidRDefault="00483194" w:rsidP="00483194">
            <w:r>
              <w:t>(2.14)</w:t>
            </w:r>
          </w:p>
        </w:tc>
      </w:tr>
      <w:tr w:rsidR="00483194" w:rsidRPr="00796046" w:rsidTr="006975AC">
        <w:trPr>
          <w:cnfStyle w:val="000000010000" w:firstRow="0" w:lastRow="0" w:firstColumn="0" w:lastColumn="0" w:oddVBand="0" w:evenVBand="0" w:oddHBand="0" w:evenHBand="1" w:firstRowFirstColumn="0" w:firstRowLastColumn="0" w:lastRowFirstColumn="0" w:lastRowLastColumn="0"/>
        </w:trPr>
        <w:tc>
          <w:tcPr>
            <w:tcW w:w="2235" w:type="dxa"/>
          </w:tcPr>
          <w:p w:rsidR="00483194" w:rsidRPr="00483194" w:rsidRDefault="00483194" w:rsidP="00483194">
            <w:proofErr w:type="spellStart"/>
            <w:r>
              <w:t>AusNet</w:t>
            </w:r>
            <w:proofErr w:type="spellEnd"/>
            <w:r>
              <w:t xml:space="preserve"> Services</w:t>
            </w:r>
          </w:p>
        </w:tc>
        <w:tc>
          <w:tcPr>
            <w:tcW w:w="3472" w:type="dxa"/>
          </w:tcPr>
          <w:p w:rsidR="00483194" w:rsidRPr="00483194" w:rsidRDefault="00483194" w:rsidP="00483194">
            <w:r>
              <w:t>1,870,000</w:t>
            </w:r>
          </w:p>
        </w:tc>
        <w:tc>
          <w:tcPr>
            <w:tcW w:w="3473" w:type="dxa"/>
          </w:tcPr>
          <w:p w:rsidR="00483194" w:rsidRPr="00483194" w:rsidRDefault="00483194" w:rsidP="00483194">
            <w:r>
              <w:t>2.79</w:t>
            </w:r>
          </w:p>
        </w:tc>
      </w:tr>
      <w:tr w:rsidR="00483194" w:rsidRPr="00796046" w:rsidTr="006975AC">
        <w:tc>
          <w:tcPr>
            <w:tcW w:w="2235" w:type="dxa"/>
          </w:tcPr>
          <w:p w:rsidR="00483194" w:rsidRPr="00483194" w:rsidRDefault="00483194" w:rsidP="00483194">
            <w:r w:rsidRPr="00A41C1C">
              <w:t>United Energy</w:t>
            </w:r>
          </w:p>
        </w:tc>
        <w:tc>
          <w:tcPr>
            <w:tcW w:w="3472" w:type="dxa"/>
          </w:tcPr>
          <w:p w:rsidR="00483194" w:rsidRPr="00483194" w:rsidRDefault="00483194" w:rsidP="00483194">
            <w:r>
              <w:t>(2,245,000)</w:t>
            </w:r>
          </w:p>
        </w:tc>
        <w:tc>
          <w:tcPr>
            <w:tcW w:w="3473" w:type="dxa"/>
          </w:tcPr>
          <w:p w:rsidR="00483194" w:rsidRPr="00483194" w:rsidRDefault="00483194" w:rsidP="00483194">
            <w:r>
              <w:t>(3.43)</w:t>
            </w:r>
          </w:p>
        </w:tc>
      </w:tr>
    </w:tbl>
    <w:p w:rsidR="009D27D3" w:rsidRDefault="00A41C1C" w:rsidP="009D27D3">
      <w:pPr>
        <w:pStyle w:val="Source"/>
      </w:pPr>
      <w:r>
        <w:t xml:space="preserve">Source: </w:t>
      </w:r>
      <w:r w:rsidR="006D4D4B">
        <w:tab/>
        <w:t xml:space="preserve">Victorian electricity </w:t>
      </w:r>
      <w:r w:rsidR="0092168B">
        <w:t>distributor</w:t>
      </w:r>
      <w:r w:rsidR="006D4D4B">
        <w:t xml:space="preserve">s' reported fire starts and AER analysis. Note: numbers in brackets represent negative numbers, indicating penalties for exceeding the relevant fire start targets in 2014.  </w:t>
      </w:r>
      <w:bookmarkStart w:id="6" w:name="_Ref420591340"/>
    </w:p>
    <w:p w:rsidR="00C51418" w:rsidRPr="002E1BE5" w:rsidRDefault="00C51418" w:rsidP="009D27D3">
      <w:pPr>
        <w:pStyle w:val="Caption"/>
      </w:pPr>
      <w:proofErr w:type="gramStart"/>
      <w:r>
        <w:t xml:space="preserve">Table </w:t>
      </w:r>
      <w:r w:rsidRPr="00A41C1C">
        <w:fldChar w:fldCharType="begin"/>
      </w:r>
      <w:r>
        <w:instrText xml:space="preserve"> STYLEREF 1 \s </w:instrText>
      </w:r>
      <w:r w:rsidRPr="00A41C1C">
        <w:fldChar w:fldCharType="separate"/>
      </w:r>
      <w:r w:rsidR="001D48F5">
        <w:rPr>
          <w:noProof/>
        </w:rPr>
        <w:t>1</w:t>
      </w:r>
      <w:r w:rsidRPr="00A41C1C">
        <w:fldChar w:fldCharType="end"/>
      </w:r>
      <w:r>
        <w:t>.</w:t>
      </w:r>
      <w:proofErr w:type="gramEnd"/>
      <w:r w:rsidRPr="00A41C1C">
        <w:fldChar w:fldCharType="begin"/>
      </w:r>
      <w:r>
        <w:instrText xml:space="preserve"> SEQ Table \* ARABIC \s 1 </w:instrText>
      </w:r>
      <w:r w:rsidRPr="00A41C1C">
        <w:fldChar w:fldCharType="separate"/>
      </w:r>
      <w:r w:rsidR="001D48F5">
        <w:rPr>
          <w:noProof/>
        </w:rPr>
        <w:t>2</w:t>
      </w:r>
      <w:r w:rsidRPr="00A41C1C">
        <w:fldChar w:fldCharType="end"/>
      </w:r>
      <w:bookmarkEnd w:id="6"/>
      <w:r>
        <w:t>: Fire starts in 2014 compared with fire starts of 2013 and the benchmark targets</w:t>
      </w:r>
    </w:p>
    <w:tbl>
      <w:tblPr>
        <w:tblStyle w:val="AERTable-Text"/>
        <w:tblW w:w="0" w:type="auto"/>
        <w:tblLook w:val="04A0" w:firstRow="1" w:lastRow="0" w:firstColumn="1" w:lastColumn="0" w:noHBand="0" w:noVBand="1"/>
      </w:tblPr>
      <w:tblGrid>
        <w:gridCol w:w="1365"/>
        <w:gridCol w:w="1498"/>
        <w:gridCol w:w="1233"/>
        <w:gridCol w:w="1233"/>
        <w:gridCol w:w="1233"/>
        <w:gridCol w:w="1325"/>
        <w:gridCol w:w="1355"/>
      </w:tblGrid>
      <w:tr w:rsidR="00526964" w:rsidRPr="00796046" w:rsidTr="00526964">
        <w:trPr>
          <w:cnfStyle w:val="100000000000" w:firstRow="1" w:lastRow="0" w:firstColumn="0" w:lastColumn="0" w:oddVBand="0" w:evenVBand="0" w:oddHBand="0" w:evenHBand="0" w:firstRowFirstColumn="0" w:firstRowLastColumn="0" w:lastRowFirstColumn="0" w:lastRowLastColumn="0"/>
        </w:trPr>
        <w:tc>
          <w:tcPr>
            <w:tcW w:w="0" w:type="auto"/>
          </w:tcPr>
          <w:p w:rsidR="00526964" w:rsidRPr="0033651E" w:rsidRDefault="00526964" w:rsidP="00483194">
            <w:pPr>
              <w:pStyle w:val="Tabletext"/>
            </w:pPr>
            <w:r>
              <w:t>Distributor</w:t>
            </w:r>
          </w:p>
        </w:tc>
        <w:tc>
          <w:tcPr>
            <w:tcW w:w="0" w:type="auto"/>
          </w:tcPr>
          <w:p w:rsidR="00526964" w:rsidRPr="0033651E" w:rsidRDefault="00526964" w:rsidP="00483194">
            <w:pPr>
              <w:pStyle w:val="Tabletext"/>
            </w:pPr>
            <w:r w:rsidRPr="00A41C1C">
              <w:t>Benchmark target</w:t>
            </w:r>
            <w:r w:rsidR="00F449B2">
              <w:rPr>
                <w:rStyle w:val="FootnoteReference"/>
              </w:rPr>
              <w:footnoteReference w:id="6"/>
            </w:r>
          </w:p>
        </w:tc>
        <w:tc>
          <w:tcPr>
            <w:tcW w:w="0" w:type="auto"/>
          </w:tcPr>
          <w:p w:rsidR="00526964" w:rsidRPr="00A41C1C" w:rsidRDefault="00526964" w:rsidP="00483194">
            <w:pPr>
              <w:pStyle w:val="Tabletext"/>
            </w:pPr>
            <w:r w:rsidRPr="00A41C1C">
              <w:t>No</w:t>
            </w:r>
            <w:r w:rsidRPr="00526964">
              <w:t>. of fire starts in 201</w:t>
            </w:r>
            <w:r>
              <w:t>2</w:t>
            </w:r>
          </w:p>
        </w:tc>
        <w:tc>
          <w:tcPr>
            <w:tcW w:w="0" w:type="auto"/>
          </w:tcPr>
          <w:p w:rsidR="00526964" w:rsidRPr="0033651E" w:rsidRDefault="00526964" w:rsidP="00483194">
            <w:pPr>
              <w:pStyle w:val="Tabletext"/>
            </w:pPr>
            <w:r w:rsidRPr="00A41C1C">
              <w:t>No</w:t>
            </w:r>
            <w:r>
              <w:t>.</w:t>
            </w:r>
            <w:r w:rsidRPr="00A41C1C">
              <w:t xml:space="preserve"> of fire starts in 201</w:t>
            </w:r>
            <w:r>
              <w:t>3</w:t>
            </w:r>
          </w:p>
        </w:tc>
        <w:tc>
          <w:tcPr>
            <w:tcW w:w="0" w:type="auto"/>
          </w:tcPr>
          <w:p w:rsidR="00526964" w:rsidRPr="00A41C1C" w:rsidRDefault="00526964" w:rsidP="00483194">
            <w:pPr>
              <w:pStyle w:val="Tabletext"/>
            </w:pPr>
            <w:r>
              <w:t>No. of fire starts in 2014</w:t>
            </w:r>
          </w:p>
        </w:tc>
        <w:tc>
          <w:tcPr>
            <w:tcW w:w="0" w:type="auto"/>
          </w:tcPr>
          <w:p w:rsidR="00526964" w:rsidRPr="00A41C1C" w:rsidRDefault="00526964" w:rsidP="00483194">
            <w:pPr>
              <w:pStyle w:val="Tabletext"/>
            </w:pPr>
            <w:r>
              <w:t>Change</w:t>
            </w:r>
            <w:r w:rsidRPr="0033651E">
              <w:t xml:space="preserve"> from 2013</w:t>
            </w:r>
            <w:r>
              <w:t xml:space="preserve"> (%)</w:t>
            </w:r>
          </w:p>
        </w:tc>
        <w:tc>
          <w:tcPr>
            <w:tcW w:w="0" w:type="auto"/>
          </w:tcPr>
          <w:p w:rsidR="00526964" w:rsidRPr="00A41C1C" w:rsidRDefault="00526964" w:rsidP="00483194">
            <w:pPr>
              <w:pStyle w:val="Tabletext"/>
            </w:pPr>
            <w:r>
              <w:t xml:space="preserve">Change </w:t>
            </w:r>
            <w:r w:rsidRPr="0033651E">
              <w:t xml:space="preserve">from </w:t>
            </w:r>
            <w:r>
              <w:t>target (%)</w:t>
            </w:r>
          </w:p>
        </w:tc>
      </w:tr>
      <w:tr w:rsidR="00526964" w:rsidRPr="00796046" w:rsidTr="00526964">
        <w:tc>
          <w:tcPr>
            <w:tcW w:w="0" w:type="auto"/>
          </w:tcPr>
          <w:p w:rsidR="00526964" w:rsidRPr="00483194" w:rsidRDefault="00526964" w:rsidP="00483194">
            <w:proofErr w:type="spellStart"/>
            <w:r w:rsidRPr="00A41C1C">
              <w:t>CitiPower</w:t>
            </w:r>
            <w:proofErr w:type="spellEnd"/>
          </w:p>
        </w:tc>
        <w:tc>
          <w:tcPr>
            <w:tcW w:w="0" w:type="auto"/>
          </w:tcPr>
          <w:p w:rsidR="00526964" w:rsidRPr="00991382" w:rsidRDefault="00526964" w:rsidP="00991382">
            <w:r w:rsidRPr="00991382">
              <w:t>30.4</w:t>
            </w:r>
          </w:p>
        </w:tc>
        <w:tc>
          <w:tcPr>
            <w:tcW w:w="0" w:type="auto"/>
          </w:tcPr>
          <w:p w:rsidR="00526964" w:rsidRPr="00C06013" w:rsidRDefault="00526964" w:rsidP="00991382">
            <w:r w:rsidRPr="00C06013">
              <w:rPr>
                <w:sz w:val="22"/>
              </w:rPr>
              <w:t>30</w:t>
            </w:r>
          </w:p>
        </w:tc>
        <w:tc>
          <w:tcPr>
            <w:tcW w:w="0" w:type="auto"/>
            <w:vAlign w:val="bottom"/>
          </w:tcPr>
          <w:p w:rsidR="00526964" w:rsidRPr="00C06013" w:rsidRDefault="00526964" w:rsidP="005C59E7">
            <w:r w:rsidRPr="00C06013">
              <w:rPr>
                <w:sz w:val="22"/>
              </w:rPr>
              <w:t>33</w:t>
            </w:r>
          </w:p>
        </w:tc>
        <w:tc>
          <w:tcPr>
            <w:tcW w:w="0" w:type="auto"/>
          </w:tcPr>
          <w:p w:rsidR="00526964" w:rsidRPr="00C06013" w:rsidRDefault="00526964" w:rsidP="005C59E7">
            <w:r w:rsidRPr="00C06013">
              <w:t>31</w:t>
            </w:r>
          </w:p>
        </w:tc>
        <w:tc>
          <w:tcPr>
            <w:tcW w:w="0" w:type="auto"/>
          </w:tcPr>
          <w:p w:rsidR="00526964" w:rsidRPr="00991382" w:rsidRDefault="00526964" w:rsidP="005C59E7">
            <w:r w:rsidRPr="00991382">
              <w:t>-6</w:t>
            </w:r>
          </w:p>
        </w:tc>
        <w:tc>
          <w:tcPr>
            <w:tcW w:w="0" w:type="auto"/>
          </w:tcPr>
          <w:p w:rsidR="00526964" w:rsidRPr="00991382" w:rsidRDefault="00526964" w:rsidP="005C59E7">
            <w:r w:rsidRPr="00991382">
              <w:t>2 worse</w:t>
            </w:r>
          </w:p>
        </w:tc>
      </w:tr>
      <w:tr w:rsidR="00526964" w:rsidRPr="00796046" w:rsidTr="00526964">
        <w:trPr>
          <w:cnfStyle w:val="000000010000" w:firstRow="0" w:lastRow="0" w:firstColumn="0" w:lastColumn="0" w:oddVBand="0" w:evenVBand="0" w:oddHBand="0" w:evenHBand="1" w:firstRowFirstColumn="0" w:firstRowLastColumn="0" w:lastRowFirstColumn="0" w:lastRowLastColumn="0"/>
        </w:trPr>
        <w:tc>
          <w:tcPr>
            <w:tcW w:w="0" w:type="auto"/>
          </w:tcPr>
          <w:p w:rsidR="00526964" w:rsidRPr="00483194" w:rsidRDefault="00526964" w:rsidP="00483194">
            <w:proofErr w:type="spellStart"/>
            <w:r w:rsidRPr="00A41C1C">
              <w:t>Powercor</w:t>
            </w:r>
            <w:proofErr w:type="spellEnd"/>
          </w:p>
        </w:tc>
        <w:tc>
          <w:tcPr>
            <w:tcW w:w="0" w:type="auto"/>
          </w:tcPr>
          <w:p w:rsidR="00526964" w:rsidRPr="00991382" w:rsidRDefault="00526964" w:rsidP="00991382">
            <w:r w:rsidRPr="00991382">
              <w:t>401.8</w:t>
            </w:r>
          </w:p>
        </w:tc>
        <w:tc>
          <w:tcPr>
            <w:tcW w:w="0" w:type="auto"/>
          </w:tcPr>
          <w:p w:rsidR="00526964" w:rsidRPr="00C06013" w:rsidRDefault="00526964" w:rsidP="00991382">
            <w:r w:rsidRPr="00C06013">
              <w:rPr>
                <w:sz w:val="22"/>
              </w:rPr>
              <w:t>303</w:t>
            </w:r>
          </w:p>
        </w:tc>
        <w:tc>
          <w:tcPr>
            <w:tcW w:w="0" w:type="auto"/>
            <w:vAlign w:val="bottom"/>
          </w:tcPr>
          <w:p w:rsidR="00526964" w:rsidRPr="00C06013" w:rsidRDefault="00526964" w:rsidP="005C59E7">
            <w:r w:rsidRPr="00C06013">
              <w:rPr>
                <w:sz w:val="22"/>
              </w:rPr>
              <w:t>498</w:t>
            </w:r>
          </w:p>
        </w:tc>
        <w:tc>
          <w:tcPr>
            <w:tcW w:w="0" w:type="auto"/>
          </w:tcPr>
          <w:p w:rsidR="00526964" w:rsidRPr="00C06013" w:rsidRDefault="00526964" w:rsidP="005C59E7">
            <w:r w:rsidRPr="00C06013">
              <w:t>463</w:t>
            </w:r>
          </w:p>
        </w:tc>
        <w:tc>
          <w:tcPr>
            <w:tcW w:w="0" w:type="auto"/>
          </w:tcPr>
          <w:p w:rsidR="00526964" w:rsidRPr="00991382" w:rsidRDefault="00526964" w:rsidP="005C59E7">
            <w:r w:rsidRPr="00991382">
              <w:t>-7</w:t>
            </w:r>
          </w:p>
        </w:tc>
        <w:tc>
          <w:tcPr>
            <w:tcW w:w="0" w:type="auto"/>
          </w:tcPr>
          <w:p w:rsidR="00526964" w:rsidRPr="005C59E7" w:rsidRDefault="00526964" w:rsidP="005C59E7">
            <w:r w:rsidRPr="005C59E7">
              <w:t>15 worse</w:t>
            </w:r>
          </w:p>
        </w:tc>
      </w:tr>
      <w:tr w:rsidR="00526964" w:rsidRPr="00796046" w:rsidTr="00526964">
        <w:tc>
          <w:tcPr>
            <w:tcW w:w="0" w:type="auto"/>
          </w:tcPr>
          <w:p w:rsidR="00526964" w:rsidRPr="00483194" w:rsidRDefault="00526964" w:rsidP="00483194">
            <w:r w:rsidRPr="00A41C1C">
              <w:t>Jemena</w:t>
            </w:r>
          </w:p>
        </w:tc>
        <w:tc>
          <w:tcPr>
            <w:tcW w:w="0" w:type="auto"/>
          </w:tcPr>
          <w:p w:rsidR="00526964" w:rsidRPr="00991382" w:rsidRDefault="00526964" w:rsidP="00991382">
            <w:r w:rsidRPr="00991382">
              <w:t>56.8</w:t>
            </w:r>
          </w:p>
        </w:tc>
        <w:tc>
          <w:tcPr>
            <w:tcW w:w="0" w:type="auto"/>
          </w:tcPr>
          <w:p w:rsidR="00526964" w:rsidRPr="00C06013" w:rsidRDefault="00526964" w:rsidP="00991382">
            <w:r w:rsidRPr="00C06013">
              <w:rPr>
                <w:sz w:val="22"/>
              </w:rPr>
              <w:t>42</w:t>
            </w:r>
          </w:p>
        </w:tc>
        <w:tc>
          <w:tcPr>
            <w:tcW w:w="0" w:type="auto"/>
            <w:vAlign w:val="bottom"/>
          </w:tcPr>
          <w:p w:rsidR="00526964" w:rsidRPr="00C06013" w:rsidRDefault="00526964" w:rsidP="005C59E7">
            <w:r w:rsidRPr="00C06013">
              <w:rPr>
                <w:sz w:val="22"/>
              </w:rPr>
              <w:t>91</w:t>
            </w:r>
          </w:p>
        </w:tc>
        <w:tc>
          <w:tcPr>
            <w:tcW w:w="0" w:type="auto"/>
          </w:tcPr>
          <w:p w:rsidR="00526964" w:rsidRPr="00C06013" w:rsidRDefault="00526964" w:rsidP="005C59E7">
            <w:r w:rsidRPr="00C06013">
              <w:t>84</w:t>
            </w:r>
          </w:p>
        </w:tc>
        <w:tc>
          <w:tcPr>
            <w:tcW w:w="0" w:type="auto"/>
          </w:tcPr>
          <w:p w:rsidR="00526964" w:rsidRPr="00991382" w:rsidRDefault="00526964" w:rsidP="005C59E7">
            <w:r w:rsidRPr="00991382">
              <w:t>-8</w:t>
            </w:r>
          </w:p>
        </w:tc>
        <w:tc>
          <w:tcPr>
            <w:tcW w:w="0" w:type="auto"/>
          </w:tcPr>
          <w:p w:rsidR="00526964" w:rsidRPr="005C59E7" w:rsidRDefault="00526964" w:rsidP="005C59E7">
            <w:r w:rsidRPr="005C59E7">
              <w:t>48 worse</w:t>
            </w:r>
          </w:p>
        </w:tc>
      </w:tr>
      <w:tr w:rsidR="00526964" w:rsidRPr="00796046" w:rsidTr="00526964">
        <w:trPr>
          <w:cnfStyle w:val="000000010000" w:firstRow="0" w:lastRow="0" w:firstColumn="0" w:lastColumn="0" w:oddVBand="0" w:evenVBand="0" w:oddHBand="0" w:evenHBand="1" w:firstRowFirstColumn="0" w:firstRowLastColumn="0" w:lastRowFirstColumn="0" w:lastRowLastColumn="0"/>
        </w:trPr>
        <w:tc>
          <w:tcPr>
            <w:tcW w:w="0" w:type="auto"/>
          </w:tcPr>
          <w:p w:rsidR="00526964" w:rsidRPr="00483194" w:rsidRDefault="00526964" w:rsidP="00483194">
            <w:proofErr w:type="spellStart"/>
            <w:r>
              <w:t>AusNet</w:t>
            </w:r>
            <w:proofErr w:type="spellEnd"/>
            <w:r>
              <w:t xml:space="preserve"> Services</w:t>
            </w:r>
          </w:p>
        </w:tc>
        <w:tc>
          <w:tcPr>
            <w:tcW w:w="0" w:type="auto"/>
          </w:tcPr>
          <w:p w:rsidR="00526964" w:rsidRPr="00991382" w:rsidRDefault="00526964" w:rsidP="00991382">
            <w:r w:rsidRPr="00991382">
              <w:t>256.8</w:t>
            </w:r>
          </w:p>
        </w:tc>
        <w:tc>
          <w:tcPr>
            <w:tcW w:w="0" w:type="auto"/>
          </w:tcPr>
          <w:p w:rsidR="00526964" w:rsidRPr="00C06013" w:rsidRDefault="00526964" w:rsidP="00991382">
            <w:r w:rsidRPr="00C06013">
              <w:rPr>
                <w:sz w:val="22"/>
              </w:rPr>
              <w:t>178</w:t>
            </w:r>
          </w:p>
        </w:tc>
        <w:tc>
          <w:tcPr>
            <w:tcW w:w="0" w:type="auto"/>
            <w:vAlign w:val="bottom"/>
          </w:tcPr>
          <w:p w:rsidR="00526964" w:rsidRPr="00C06013" w:rsidRDefault="00526964" w:rsidP="005C59E7">
            <w:r w:rsidRPr="00C06013">
              <w:rPr>
                <w:sz w:val="22"/>
              </w:rPr>
              <w:t>176</w:t>
            </w:r>
          </w:p>
        </w:tc>
        <w:tc>
          <w:tcPr>
            <w:tcW w:w="0" w:type="auto"/>
          </w:tcPr>
          <w:p w:rsidR="00526964" w:rsidRPr="00C06013" w:rsidRDefault="00526964" w:rsidP="005C59E7">
            <w:r w:rsidRPr="00C06013">
              <w:t>182</w:t>
            </w:r>
          </w:p>
        </w:tc>
        <w:tc>
          <w:tcPr>
            <w:tcW w:w="0" w:type="auto"/>
          </w:tcPr>
          <w:p w:rsidR="00526964" w:rsidRPr="00991382" w:rsidRDefault="00526964" w:rsidP="005C59E7">
            <w:r w:rsidRPr="00991382">
              <w:t>3</w:t>
            </w:r>
          </w:p>
        </w:tc>
        <w:tc>
          <w:tcPr>
            <w:tcW w:w="0" w:type="auto"/>
          </w:tcPr>
          <w:p w:rsidR="00526964" w:rsidRPr="005C59E7" w:rsidRDefault="00526964" w:rsidP="005C59E7">
            <w:r w:rsidRPr="005C59E7">
              <w:t xml:space="preserve">29 better </w:t>
            </w:r>
          </w:p>
        </w:tc>
      </w:tr>
      <w:tr w:rsidR="00526964" w:rsidRPr="00796046" w:rsidTr="00526964">
        <w:tc>
          <w:tcPr>
            <w:tcW w:w="0" w:type="auto"/>
          </w:tcPr>
          <w:p w:rsidR="00526964" w:rsidRPr="00483194" w:rsidRDefault="00526964" w:rsidP="00483194">
            <w:r w:rsidRPr="00A41C1C">
              <w:t>United Energy</w:t>
            </w:r>
          </w:p>
        </w:tc>
        <w:tc>
          <w:tcPr>
            <w:tcW w:w="0" w:type="auto"/>
          </w:tcPr>
          <w:p w:rsidR="00526964" w:rsidRPr="00991382" w:rsidRDefault="00526964" w:rsidP="00991382">
            <w:r w:rsidRPr="00991382">
              <w:t>124.2</w:t>
            </w:r>
          </w:p>
        </w:tc>
        <w:tc>
          <w:tcPr>
            <w:tcW w:w="0" w:type="auto"/>
          </w:tcPr>
          <w:p w:rsidR="00526964" w:rsidRPr="00C06013" w:rsidRDefault="00526964" w:rsidP="00991382">
            <w:r w:rsidRPr="00C06013">
              <w:rPr>
                <w:sz w:val="22"/>
              </w:rPr>
              <w:t>85</w:t>
            </w:r>
          </w:p>
        </w:tc>
        <w:tc>
          <w:tcPr>
            <w:tcW w:w="0" w:type="auto"/>
          </w:tcPr>
          <w:p w:rsidR="00526964" w:rsidRPr="00C06013" w:rsidRDefault="00526964" w:rsidP="005C59E7">
            <w:r w:rsidRPr="00C06013">
              <w:rPr>
                <w:sz w:val="22"/>
              </w:rPr>
              <w:t>127</w:t>
            </w:r>
          </w:p>
        </w:tc>
        <w:tc>
          <w:tcPr>
            <w:tcW w:w="0" w:type="auto"/>
          </w:tcPr>
          <w:p w:rsidR="00526964" w:rsidRPr="00991382" w:rsidRDefault="00526964" w:rsidP="005C59E7">
            <w:r w:rsidRPr="00C06013">
              <w:t>214</w:t>
            </w:r>
          </w:p>
        </w:tc>
        <w:tc>
          <w:tcPr>
            <w:tcW w:w="0" w:type="auto"/>
          </w:tcPr>
          <w:p w:rsidR="00526964" w:rsidRPr="00991382" w:rsidRDefault="00526964" w:rsidP="005C59E7">
            <w:r w:rsidRPr="00991382">
              <w:t>69</w:t>
            </w:r>
          </w:p>
        </w:tc>
        <w:tc>
          <w:tcPr>
            <w:tcW w:w="0" w:type="auto"/>
          </w:tcPr>
          <w:p w:rsidR="00526964" w:rsidRPr="005C59E7" w:rsidRDefault="00526964" w:rsidP="005C59E7">
            <w:r w:rsidRPr="005C59E7">
              <w:t>72 worse</w:t>
            </w:r>
          </w:p>
        </w:tc>
      </w:tr>
    </w:tbl>
    <w:p w:rsidR="00A41C1C" w:rsidRDefault="00DB31D0" w:rsidP="00DB31D0">
      <w:pPr>
        <w:pStyle w:val="Source"/>
      </w:pPr>
      <w:r>
        <w:t xml:space="preserve">Source: </w:t>
      </w:r>
      <w:r>
        <w:tab/>
        <w:t>AER analysis</w:t>
      </w:r>
    </w:p>
    <w:p w:rsidR="00CB4612" w:rsidRDefault="00CB4612" w:rsidP="00CB4612">
      <w:pPr>
        <w:pStyle w:val="Heading1"/>
      </w:pPr>
      <w:bookmarkStart w:id="7" w:name="_Toc430165680"/>
      <w:r>
        <w:lastRenderedPageBreak/>
        <w:t>Introduction</w:t>
      </w:r>
      <w:bookmarkEnd w:id="7"/>
    </w:p>
    <w:p w:rsidR="00CB4612" w:rsidRPr="00FA1B0C" w:rsidRDefault="00CB4612" w:rsidP="00CB4612">
      <w:r>
        <w:t xml:space="preserve">On 24 June 2010, the Victorian Parliament passed the </w:t>
      </w:r>
      <w:r w:rsidRPr="001E6B9B">
        <w:rPr>
          <w:rStyle w:val="Emphasis"/>
        </w:rPr>
        <w:t>Energy and Resources Legislation Amendment Act 2010</w:t>
      </w:r>
      <w:r w:rsidRPr="00FA1B0C">
        <w:t xml:space="preserve">. The Act amended the </w:t>
      </w:r>
      <w:r w:rsidRPr="001E6B9B">
        <w:rPr>
          <w:rStyle w:val="Emphasis"/>
        </w:rPr>
        <w:t>National Electricity (Victoria) Act 2005</w:t>
      </w:r>
      <w:r w:rsidRPr="00FA1B0C">
        <w:t xml:space="preserve"> (the NEVA) to introduce an 'f-factor scheme'. Subsequently, the Victorian Government published the f-factor scheme order 2011 (the Order) on 23 June 2011 under the NEVA. The scheme provides incentives for </w:t>
      </w:r>
      <w:r w:rsidR="003E0D54">
        <w:t>Victorian electricity distributors</w:t>
      </w:r>
      <w:r w:rsidRPr="00FA1B0C">
        <w:t xml:space="preserve"> (</w:t>
      </w:r>
      <w:r>
        <w:t>Distributors</w:t>
      </w:r>
      <w:r w:rsidRPr="00FA1B0C">
        <w:t>) to reduce the risk of fire starts due to electricity infrastructure, and to reduce the risk of loss or damage</w:t>
      </w:r>
      <w:r>
        <w:t xml:space="preserve"> </w:t>
      </w:r>
      <w:r w:rsidRPr="00FA1B0C">
        <w:t>caused by fire starts.</w:t>
      </w:r>
      <w:r w:rsidRPr="00FA1B0C">
        <w:rPr>
          <w:rStyle w:val="FootnoteReference"/>
        </w:rPr>
        <w:footnoteReference w:id="7"/>
      </w:r>
      <w:r w:rsidRPr="00FA1B0C">
        <w:t xml:space="preserve"> The Order prescribes that, for the first</w:t>
      </w:r>
      <w:r>
        <w:t xml:space="preserve"> four years of the scheme (2012–</w:t>
      </w:r>
      <w:r w:rsidRPr="00FA1B0C">
        <w:t xml:space="preserve">15), </w:t>
      </w:r>
      <w:r>
        <w:t>distributor</w:t>
      </w:r>
      <w:r w:rsidRPr="00FA1B0C">
        <w:t>s will be either rewarded or penalised at the pre-determined incentive rate of $25,000 per fire for performing better or worse than their respective targets.</w:t>
      </w:r>
    </w:p>
    <w:p w:rsidR="00CB4612" w:rsidRPr="00FA1B0C" w:rsidRDefault="00CB4612" w:rsidP="00CB4612">
      <w:r>
        <w:t>The Order requires the AER to set the fire start targets for 2012</w:t>
      </w:r>
      <w:r w:rsidR="003E0D54">
        <w:t>–</w:t>
      </w:r>
      <w:r>
        <w:t xml:space="preserve">15 on the basis of a historical average and to determine the annual reward/penalty amounts for this period, at the rate of $25,000 per fire. </w:t>
      </w:r>
    </w:p>
    <w:p w:rsidR="00CB4612" w:rsidRPr="00FA1B0C" w:rsidRDefault="00CB4612" w:rsidP="00CB4612">
      <w:r w:rsidRPr="00661C6A">
        <w:t xml:space="preserve">On 22 December 2011, </w:t>
      </w:r>
      <w:r w:rsidRPr="00FA1B0C">
        <w:t>we made our f-factor scheme final determination</w:t>
      </w:r>
      <w:r w:rsidR="00991382">
        <w:t xml:space="preserve"> which</w:t>
      </w:r>
      <w:r w:rsidRPr="00FA1B0C">
        <w:t xml:space="preserve"> set</w:t>
      </w:r>
      <w:r w:rsidR="00991382">
        <w:t>s</w:t>
      </w:r>
      <w:r w:rsidRPr="00FA1B0C">
        <w:t xml:space="preserve"> the fire start benchmark target for each </w:t>
      </w:r>
      <w:r>
        <w:t>distributor</w:t>
      </w:r>
      <w:r w:rsidRPr="00FA1B0C">
        <w:t xml:space="preserve">. As required by the Order, the targets were based on the average of </w:t>
      </w:r>
      <w:r>
        <w:t>historical fire starts of each distributor</w:t>
      </w:r>
      <w:r w:rsidRPr="00FA1B0C">
        <w:t xml:space="preserve"> over the five previous calendar yea</w:t>
      </w:r>
      <w:r>
        <w:t>rs—that is, the average of 2006–</w:t>
      </w:r>
      <w:r w:rsidRPr="00FA1B0C">
        <w:t>10.</w:t>
      </w:r>
      <w:r w:rsidRPr="00FA1B0C">
        <w:rPr>
          <w:rStyle w:val="FootnoteReference"/>
        </w:rPr>
        <w:footnoteReference w:id="8"/>
      </w:r>
    </w:p>
    <w:p w:rsidR="00CB4612" w:rsidRDefault="00CB4612" w:rsidP="00CB4612">
      <w:r>
        <w:t>The Order also require</w:t>
      </w:r>
      <w:r w:rsidR="001E6B9B">
        <w:t>s</w:t>
      </w:r>
      <w:r>
        <w:t xml:space="preserve"> us to publish a draft "f-factor amount determination" for consultation before determining the final reward or penalty amounts each year.</w:t>
      </w:r>
      <w:r w:rsidRPr="00FA1B0C">
        <w:rPr>
          <w:rStyle w:val="FootnoteReference"/>
        </w:rPr>
        <w:footnoteReference w:id="9"/>
      </w:r>
    </w:p>
    <w:p w:rsidR="00CB4612" w:rsidRDefault="00CB4612" w:rsidP="00CB4612">
      <w:r w:rsidRPr="004A69A2">
        <w:t xml:space="preserve">On </w:t>
      </w:r>
      <w:r>
        <w:t>24</w:t>
      </w:r>
      <w:r w:rsidRPr="004A69A2">
        <w:t xml:space="preserve"> June 201</w:t>
      </w:r>
      <w:r>
        <w:t>5</w:t>
      </w:r>
      <w:r w:rsidRPr="004A69A2">
        <w:t xml:space="preserve">, </w:t>
      </w:r>
      <w:r>
        <w:t>we published</w:t>
      </w:r>
      <w:r w:rsidRPr="004A69A2">
        <w:t xml:space="preserve"> </w:t>
      </w:r>
      <w:r>
        <w:t>a draft</w:t>
      </w:r>
      <w:r w:rsidRPr="004A69A2">
        <w:t xml:space="preserve"> </w:t>
      </w:r>
      <w:r>
        <w:t xml:space="preserve">determination for consultation on the proposed </w:t>
      </w:r>
      <w:r w:rsidR="005C59E7">
        <w:br/>
      </w:r>
      <w:r>
        <w:t xml:space="preserve">f-factor outcome amounts for each </w:t>
      </w:r>
      <w:r w:rsidR="003E0D54">
        <w:t>distributor</w:t>
      </w:r>
      <w:r>
        <w:t xml:space="preserve"> for the fire start outcomes of </w:t>
      </w:r>
      <w:r w:rsidR="005C59E7">
        <w:t xml:space="preserve">the </w:t>
      </w:r>
      <w:r>
        <w:t>2014 calendar year. Only one submission was received,</w:t>
      </w:r>
      <w:r>
        <w:rPr>
          <w:rStyle w:val="FootnoteReference"/>
        </w:rPr>
        <w:footnoteReference w:id="10"/>
      </w:r>
      <w:r>
        <w:t xml:space="preserve"> but no specific issues were raised on the draft determination.</w:t>
      </w:r>
      <w:r w:rsidR="003137C1">
        <w:t xml:space="preserve"> </w:t>
      </w:r>
    </w:p>
    <w:p w:rsidR="00CB4612" w:rsidRPr="000D4654" w:rsidRDefault="00CB4612" w:rsidP="00CB4612">
      <w:pPr>
        <w:pStyle w:val="Heading2"/>
      </w:pPr>
      <w:bookmarkStart w:id="8" w:name="_Toc430165681"/>
      <w:r w:rsidRPr="000D4654">
        <w:t>Purpose of this paper</w:t>
      </w:r>
      <w:bookmarkEnd w:id="8"/>
    </w:p>
    <w:p w:rsidR="00CB4612" w:rsidRPr="00FA1B0C" w:rsidRDefault="00CB4612" w:rsidP="00CB4612">
      <w:r>
        <w:t>This paper sets out our final</w:t>
      </w:r>
      <w:r w:rsidR="003E0D54">
        <w:t xml:space="preserve"> decision</w:t>
      </w:r>
      <w:r>
        <w:t xml:space="preserve"> for the f-factor amount determinations for the fires caused by distributors’ network assets during the 201</w:t>
      </w:r>
      <w:r w:rsidRPr="00FA1B0C">
        <w:t>4 calendar year, as well as providing an explanatory statement as required by clause 14(2) of the Order. This paper also sets out our:</w:t>
      </w:r>
    </w:p>
    <w:p w:rsidR="00CB4612" w:rsidRPr="00FA1B0C" w:rsidRDefault="00CB4612" w:rsidP="00CB4612">
      <w:pPr>
        <w:pStyle w:val="Bulletpoint"/>
      </w:pPr>
      <w:r>
        <w:t>process in making these f-factor amount determinations</w:t>
      </w:r>
    </w:p>
    <w:p w:rsidR="00CB4612" w:rsidRPr="00FA1B0C" w:rsidRDefault="00CB4612" w:rsidP="00CB4612">
      <w:pPr>
        <w:pStyle w:val="Bulletpoint"/>
      </w:pPr>
      <w:r>
        <w:t>considerations and reasons for making these determinations</w:t>
      </w:r>
    </w:p>
    <w:p w:rsidR="00CB4612" w:rsidRDefault="003E0D54" w:rsidP="00CB4612">
      <w:pPr>
        <w:pStyle w:val="Bulletpoint"/>
      </w:pPr>
      <w:proofErr w:type="gramStart"/>
      <w:r>
        <w:t>final</w:t>
      </w:r>
      <w:proofErr w:type="gramEnd"/>
      <w:r w:rsidR="00CB4612">
        <w:t xml:space="preserve"> f-factor scheme determinations for each of the five Victorian </w:t>
      </w:r>
      <w:r w:rsidR="00CB4612" w:rsidRPr="00CB4612">
        <w:t>distributors.</w:t>
      </w:r>
    </w:p>
    <w:p w:rsidR="003137C1" w:rsidRDefault="003137C1" w:rsidP="003137C1">
      <w:pPr>
        <w:pStyle w:val="Bulletpoint"/>
        <w:numPr>
          <w:ilvl w:val="0"/>
          <w:numId w:val="0"/>
        </w:numPr>
        <w:ind w:left="357" w:hanging="357"/>
      </w:pPr>
    </w:p>
    <w:p w:rsidR="003137C1" w:rsidRDefault="003137C1" w:rsidP="003137C1">
      <w:pPr>
        <w:pStyle w:val="Bulletpoint"/>
        <w:numPr>
          <w:ilvl w:val="0"/>
          <w:numId w:val="0"/>
        </w:numPr>
        <w:ind w:left="357" w:hanging="357"/>
      </w:pPr>
    </w:p>
    <w:p w:rsidR="00CB4612" w:rsidRPr="00CB4612" w:rsidRDefault="00CB4612" w:rsidP="00CB4612">
      <w:pPr>
        <w:pStyle w:val="Heading2"/>
      </w:pPr>
      <w:bookmarkStart w:id="9" w:name="_Toc395171270"/>
      <w:bookmarkStart w:id="10" w:name="_Toc430165682"/>
      <w:r>
        <w:lastRenderedPageBreak/>
        <w:t>The f-factor scheme</w:t>
      </w:r>
      <w:bookmarkEnd w:id="9"/>
      <w:bookmarkEnd w:id="10"/>
    </w:p>
    <w:p w:rsidR="00CB4612" w:rsidRPr="00CB4612" w:rsidRDefault="00CB4612" w:rsidP="00CB4612">
      <w:r w:rsidRPr="00F30648">
        <w:t xml:space="preserve">The f-factor scheme is intended to provide a financial incentive for </w:t>
      </w:r>
      <w:r w:rsidRPr="00CB4612">
        <w:t xml:space="preserve">Victorian </w:t>
      </w:r>
      <w:r w:rsidR="003E0D54">
        <w:t>Distributors</w:t>
      </w:r>
      <w:r w:rsidRPr="00CB4612">
        <w:t xml:space="preserve"> to reduce the number of fire starts in their distribution networks. For the first four years (2012–15), </w:t>
      </w:r>
      <w:r w:rsidR="003E0D54">
        <w:t>distributors</w:t>
      </w:r>
      <w:r w:rsidRPr="00CB4612">
        <w:t xml:space="preserve"> will be either rewarded or penalised at the incentive rate of $25,000 per fire for performing better or worse than their respective fire start targets.</w:t>
      </w:r>
    </w:p>
    <w:p w:rsidR="00CB4612" w:rsidRPr="00CB4612" w:rsidRDefault="00CB4612" w:rsidP="00CB4612">
      <w:r w:rsidRPr="00F30648">
        <w:t xml:space="preserve">After the first period, </w:t>
      </w:r>
      <w:r w:rsidR="003E0D54">
        <w:t>we</w:t>
      </w:r>
      <w:r w:rsidRPr="00F30648">
        <w:t xml:space="preserve"> may vary the incentive rates and mechanism of the scheme, such as applying different targets for different parts of the network.</w:t>
      </w:r>
    </w:p>
    <w:p w:rsidR="00CB4612" w:rsidRPr="00CB4612" w:rsidRDefault="00CB4612" w:rsidP="00CB4612">
      <w:r w:rsidRPr="00F30648">
        <w:t xml:space="preserve">The following sections explain how the financial rewards and penalties arising from the </w:t>
      </w:r>
      <w:r w:rsidR="005C59E7">
        <w:br/>
      </w:r>
      <w:r w:rsidRPr="00F30648">
        <w:t xml:space="preserve">f-factor scheme will be applied. </w:t>
      </w:r>
    </w:p>
    <w:p w:rsidR="00CB4612" w:rsidRPr="00CB4612" w:rsidRDefault="00CB4612" w:rsidP="008F0A1F">
      <w:pPr>
        <w:pStyle w:val="Caption"/>
      </w:pPr>
      <w:r w:rsidRPr="00827110">
        <w:t>Revenue adjustment mechanism under the f-factor scheme</w:t>
      </w:r>
    </w:p>
    <w:p w:rsidR="00CB4612" w:rsidRPr="00CB4612" w:rsidRDefault="00CB4612" w:rsidP="00CB4612">
      <w:r>
        <w:t xml:space="preserve">Clause 7(2) of the Order specifies that, based on the actual fire starts in comparison with the target number of fire starts each year (t-2), the f-factor scheme shall result in adjustments to </w:t>
      </w:r>
      <w:r w:rsidR="008F0A1F">
        <w:t>d</w:t>
      </w:r>
      <w:r w:rsidR="003E0D54">
        <w:t>istributors</w:t>
      </w:r>
      <w:r>
        <w:t>’ revenue for year (t)––that is two years later. Hence, the revenue adjustment will start from 2014 based on the actual outcome of 2012. The adjustment will be in the form of:</w:t>
      </w:r>
      <w:r w:rsidRPr="00CB4612">
        <w:t xml:space="preserve"> </w:t>
      </w:r>
    </w:p>
    <w:p w:rsidR="00CB4612" w:rsidRDefault="00CB4612" w:rsidP="00CB4612">
      <w:r w:rsidRPr="00CB4612">
        <w:rPr>
          <w:noProof/>
          <w:lang w:eastAsia="en-AU"/>
        </w:rPr>
        <w:drawing>
          <wp:inline distT="0" distB="0" distL="0" distR="0" wp14:anchorId="2F45C511" wp14:editId="22A5DF0A">
            <wp:extent cx="5693443" cy="781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93443" cy="781050"/>
                    </a:xfrm>
                    <a:prstGeom prst="rect">
                      <a:avLst/>
                    </a:prstGeom>
                    <a:noFill/>
                    <a:ln>
                      <a:noFill/>
                    </a:ln>
                  </pic:spPr>
                </pic:pic>
              </a:graphicData>
            </a:graphic>
          </wp:inline>
        </w:drawing>
      </w:r>
    </w:p>
    <w:p w:rsidR="00CB4612" w:rsidRPr="00F30648" w:rsidRDefault="00CB4612" w:rsidP="008F0A1F">
      <w:pPr>
        <w:pStyle w:val="Bulletpoint"/>
      </w:pPr>
      <w:r w:rsidRPr="00F30648">
        <w:t xml:space="preserve">where the distribution system is made up of </w:t>
      </w:r>
      <w:r w:rsidRPr="003B6268">
        <w:t>q</w:t>
      </w:r>
      <w:r w:rsidRPr="00F30648">
        <w:t xml:space="preserve"> parts and–</w:t>
      </w:r>
    </w:p>
    <w:p w:rsidR="00CB4612" w:rsidRPr="00CB4612" w:rsidRDefault="00A92F96" w:rsidP="008F0A1F">
      <w:pPr>
        <w:pStyle w:val="Bulletpoint"/>
      </w:pPr>
      <w:r>
        <w:t>Revenue adjustmen</w:t>
      </w:r>
      <w:r w:rsidR="00CB4612" w:rsidRPr="00CB4612">
        <w:t>t,</w:t>
      </w:r>
      <w:r>
        <w:t xml:space="preserve"> </w:t>
      </w:r>
      <w:r w:rsidR="00CB4612" w:rsidRPr="001E6B9B">
        <w:rPr>
          <w:rStyle w:val="Emphasis"/>
        </w:rPr>
        <w:t>n</w:t>
      </w:r>
      <w:r w:rsidR="00CB4612" w:rsidRPr="00CB4612">
        <w:t xml:space="preserve"> is the adjustment to the revenue for </w:t>
      </w:r>
      <w:r w:rsidR="008F0A1F">
        <w:t>d</w:t>
      </w:r>
      <w:r w:rsidR="00CB4612" w:rsidRPr="00CB4612">
        <w:t>istribut</w:t>
      </w:r>
      <w:r w:rsidR="003E0D54">
        <w:t>or</w:t>
      </w:r>
      <w:r w:rsidR="00CB4612" w:rsidRPr="00CB4612">
        <w:t xml:space="preserve"> </w:t>
      </w:r>
      <w:r w:rsidR="00CB4612" w:rsidRPr="001E6B9B">
        <w:rPr>
          <w:rStyle w:val="Emphasis"/>
        </w:rPr>
        <w:t>n</w:t>
      </w:r>
      <w:r w:rsidR="00CB4612" w:rsidRPr="00CB4612">
        <w:t xml:space="preserve"> for regulatory year </w:t>
      </w:r>
      <w:r w:rsidR="00CB4612" w:rsidRPr="001E6B9B">
        <w:rPr>
          <w:rStyle w:val="Emphasis"/>
        </w:rPr>
        <w:t>t</w:t>
      </w:r>
      <w:r w:rsidR="00CB4612" w:rsidRPr="00CB4612">
        <w:t>.</w:t>
      </w:r>
    </w:p>
    <w:p w:rsidR="00CB4612" w:rsidRPr="00CB4612" w:rsidRDefault="00CB4612" w:rsidP="008F0A1F">
      <w:pPr>
        <w:pStyle w:val="Bulletpoint"/>
      </w:pPr>
      <w:r w:rsidRPr="003B6268">
        <w:t>Incentive rate</w:t>
      </w:r>
      <w:r w:rsidR="003E0D54">
        <w:t xml:space="preserve"> </w:t>
      </w:r>
      <w:r w:rsidRPr="001E6B9B">
        <w:rPr>
          <w:rStyle w:val="Emphasis"/>
        </w:rPr>
        <w:t>t-2,</w:t>
      </w:r>
      <w:r w:rsidR="00A92F96" w:rsidRPr="001E6B9B">
        <w:rPr>
          <w:rStyle w:val="Emphasis"/>
        </w:rPr>
        <w:t xml:space="preserve"> </w:t>
      </w:r>
      <w:r w:rsidRPr="001E6B9B">
        <w:rPr>
          <w:rStyle w:val="Emphasis"/>
        </w:rPr>
        <w:t>n,</w:t>
      </w:r>
      <w:r w:rsidR="003E0D54" w:rsidRPr="001E6B9B">
        <w:rPr>
          <w:rStyle w:val="Emphasis"/>
        </w:rPr>
        <w:t xml:space="preserve"> </w:t>
      </w:r>
      <w:r w:rsidRPr="001E6B9B">
        <w:rPr>
          <w:rStyle w:val="Emphasis"/>
        </w:rPr>
        <w:t>m</w:t>
      </w:r>
      <w:r w:rsidRPr="00CB4612">
        <w:t xml:space="preserve"> is the incentive rate for part m of distribution system </w:t>
      </w:r>
      <w:r w:rsidRPr="001E6B9B">
        <w:rPr>
          <w:rStyle w:val="Emphasis"/>
        </w:rPr>
        <w:t>n</w:t>
      </w:r>
      <w:r w:rsidRPr="00CB4612">
        <w:t xml:space="preserve"> for regulatory year </w:t>
      </w:r>
      <w:r w:rsidRPr="001E6B9B">
        <w:rPr>
          <w:rStyle w:val="Emphasis"/>
        </w:rPr>
        <w:t>t-2</w:t>
      </w:r>
      <w:r w:rsidRPr="00CB4612">
        <w:t>, determined in accordance with clause 10 or 11 as the case may be.</w:t>
      </w:r>
    </w:p>
    <w:p w:rsidR="00CB4612" w:rsidRPr="00CB4612" w:rsidRDefault="00CB4612" w:rsidP="008F0A1F">
      <w:pPr>
        <w:pStyle w:val="Bulletpoint"/>
      </w:pPr>
      <w:r w:rsidRPr="003B6268">
        <w:t>Target no. of fires</w:t>
      </w:r>
      <w:r w:rsidR="00F63021">
        <w:t xml:space="preserve"> </w:t>
      </w:r>
      <w:r w:rsidRPr="001E6B9B">
        <w:rPr>
          <w:rStyle w:val="Emphasis"/>
        </w:rPr>
        <w:t>t-2,</w:t>
      </w:r>
      <w:r w:rsidR="00A92F96" w:rsidRPr="001E6B9B">
        <w:rPr>
          <w:rStyle w:val="Emphasis"/>
        </w:rPr>
        <w:t xml:space="preserve"> </w:t>
      </w:r>
      <w:r w:rsidRPr="001E6B9B">
        <w:rPr>
          <w:rStyle w:val="Emphasis"/>
        </w:rPr>
        <w:t>n,</w:t>
      </w:r>
      <w:r w:rsidR="00F63021" w:rsidRPr="001E6B9B">
        <w:rPr>
          <w:rStyle w:val="Emphasis"/>
        </w:rPr>
        <w:t xml:space="preserve"> </w:t>
      </w:r>
      <w:r w:rsidRPr="001E6B9B">
        <w:rPr>
          <w:rStyle w:val="Emphasis"/>
        </w:rPr>
        <w:t>m</w:t>
      </w:r>
      <w:r w:rsidRPr="00CB4612">
        <w:t xml:space="preserve"> is the fire start target for regulatory year </w:t>
      </w:r>
      <w:r w:rsidRPr="001E6B9B">
        <w:rPr>
          <w:rStyle w:val="Emphasis"/>
        </w:rPr>
        <w:t>t-2</w:t>
      </w:r>
      <w:r w:rsidRPr="00CB4612">
        <w:t xml:space="preserve"> for part </w:t>
      </w:r>
      <w:r w:rsidRPr="001E6B9B">
        <w:rPr>
          <w:rStyle w:val="Emphasis"/>
        </w:rPr>
        <w:t>m</w:t>
      </w:r>
      <w:r w:rsidRPr="00CB4612">
        <w:t xml:space="preserve"> of distribution system </w:t>
      </w:r>
      <w:r w:rsidRPr="001E6B9B">
        <w:rPr>
          <w:rStyle w:val="Emphasis"/>
        </w:rPr>
        <w:t>n</w:t>
      </w:r>
      <w:r w:rsidRPr="00CB4612">
        <w:t>, determined in accordance with clause 8.</w:t>
      </w:r>
    </w:p>
    <w:p w:rsidR="00CB4612" w:rsidRDefault="00CB4612" w:rsidP="008F0A1F">
      <w:pPr>
        <w:pStyle w:val="Bulletpoint"/>
      </w:pPr>
      <w:r>
        <w:t xml:space="preserve">The targets for each </w:t>
      </w:r>
      <w:r w:rsidR="00F63021">
        <w:t>distributor</w:t>
      </w:r>
      <w:r>
        <w:t xml:space="preserve"> for 2012</w:t>
      </w:r>
      <w:r w:rsidR="00F63021">
        <w:t>–</w:t>
      </w:r>
      <w:r>
        <w:t>15 are the respective average of the fire starts during the five year period (2006</w:t>
      </w:r>
      <w:r w:rsidR="00F63021">
        <w:t>–</w:t>
      </w:r>
      <w:r>
        <w:t>10).</w:t>
      </w:r>
      <w:r w:rsidRPr="00F30648">
        <w:t xml:space="preserve"> </w:t>
      </w:r>
    </w:p>
    <w:p w:rsidR="00CB4612" w:rsidRPr="00CB4612" w:rsidRDefault="00CB4612" w:rsidP="008F0A1F">
      <w:pPr>
        <w:pStyle w:val="Bulletpoint"/>
      </w:pPr>
      <w:r w:rsidRPr="003B6268">
        <w:t>Number</w:t>
      </w:r>
      <w:r w:rsidRPr="00CB4612">
        <w:rPr>
          <w:rFonts w:hint="eastAsia"/>
        </w:rPr>
        <w:t> </w:t>
      </w:r>
      <w:r w:rsidRPr="00CB4612">
        <w:t>of</w:t>
      </w:r>
      <w:r w:rsidRPr="00CB4612">
        <w:rPr>
          <w:rFonts w:hint="eastAsia"/>
        </w:rPr>
        <w:t> </w:t>
      </w:r>
      <w:r w:rsidRPr="00CB4612">
        <w:t>fires</w:t>
      </w:r>
      <w:r w:rsidR="00F63021">
        <w:t xml:space="preserve"> </w:t>
      </w:r>
      <w:r w:rsidRPr="001E6B9B">
        <w:rPr>
          <w:rStyle w:val="Emphasis"/>
        </w:rPr>
        <w:t>t-2,</w:t>
      </w:r>
      <w:r w:rsidR="00A92F96" w:rsidRPr="001E6B9B">
        <w:rPr>
          <w:rStyle w:val="Emphasis"/>
        </w:rPr>
        <w:t xml:space="preserve"> </w:t>
      </w:r>
      <w:r w:rsidRPr="001E6B9B">
        <w:rPr>
          <w:rStyle w:val="Emphasis"/>
        </w:rPr>
        <w:t>n,</w:t>
      </w:r>
      <w:r w:rsidR="00F63021" w:rsidRPr="001E6B9B">
        <w:rPr>
          <w:rStyle w:val="Emphasis"/>
        </w:rPr>
        <w:t xml:space="preserve"> </w:t>
      </w:r>
      <w:r w:rsidRPr="001E6B9B">
        <w:rPr>
          <w:rStyle w:val="Emphasis"/>
        </w:rPr>
        <w:t>m</w:t>
      </w:r>
      <w:r w:rsidRPr="00CB4612">
        <w:t xml:space="preserve"> is the number of fire starts in relation to part </w:t>
      </w:r>
      <w:r w:rsidRPr="001E6B9B">
        <w:rPr>
          <w:rStyle w:val="Emphasis"/>
        </w:rPr>
        <w:t>m</w:t>
      </w:r>
      <w:r w:rsidRPr="00CB4612">
        <w:t xml:space="preserve"> of distribution system n that occurred in regulatory year </w:t>
      </w:r>
      <w:r w:rsidRPr="001E6B9B">
        <w:rPr>
          <w:rStyle w:val="Emphasis"/>
        </w:rPr>
        <w:t>t</w:t>
      </w:r>
      <w:r w:rsidRPr="001E6B9B">
        <w:rPr>
          <w:rStyle w:val="Emphasis"/>
          <w:rFonts w:hint="eastAsia"/>
        </w:rPr>
        <w:t>–</w:t>
      </w:r>
      <w:r w:rsidRPr="001E6B9B">
        <w:rPr>
          <w:rStyle w:val="Emphasis"/>
        </w:rPr>
        <w:t>2</w:t>
      </w:r>
      <w:r w:rsidRPr="00CB4612">
        <w:t>, determined in accordance with clause 9.</w:t>
      </w:r>
    </w:p>
    <w:p w:rsidR="00CB4612" w:rsidRPr="00CB4612" w:rsidRDefault="00CB4612" w:rsidP="00CB4612">
      <w:pPr>
        <w:pStyle w:val="Heading2"/>
      </w:pPr>
      <w:bookmarkStart w:id="11" w:name="_Toc359398333"/>
      <w:bookmarkStart w:id="12" w:name="_Toc395171271"/>
      <w:bookmarkStart w:id="13" w:name="_Toc430165683"/>
      <w:r>
        <w:t>Rules for f-factor amount determinations</w:t>
      </w:r>
      <w:bookmarkEnd w:id="11"/>
      <w:bookmarkEnd w:id="12"/>
      <w:bookmarkEnd w:id="13"/>
    </w:p>
    <w:p w:rsidR="00CB4612" w:rsidRPr="00CB4612" w:rsidRDefault="00CB4612" w:rsidP="00CB4612">
      <w:r>
        <w:t xml:space="preserve"> Clause 12 of the Order requires us to make</w:t>
      </w:r>
      <w:r w:rsidRPr="00CB4612">
        <w:t>:</w:t>
      </w:r>
      <w:r w:rsidRPr="00CB4612">
        <w:rPr>
          <w:rStyle w:val="FootnoteReference"/>
        </w:rPr>
        <w:t xml:space="preserve"> </w:t>
      </w:r>
      <w:r w:rsidRPr="00CB4612">
        <w:rPr>
          <w:rStyle w:val="FootnoteReference"/>
        </w:rPr>
        <w:footnoteReference w:id="11"/>
      </w:r>
      <w:r w:rsidRPr="00CB4612">
        <w:t xml:space="preserve"> </w:t>
      </w:r>
    </w:p>
    <w:p w:rsidR="00CB4612" w:rsidRPr="00CB4612" w:rsidRDefault="00CB4612" w:rsidP="008F0A1F">
      <w:pPr>
        <w:pStyle w:val="Bulletpoint"/>
      </w:pPr>
      <w:proofErr w:type="gramStart"/>
      <w:r w:rsidRPr="00A95888">
        <w:t>an</w:t>
      </w:r>
      <w:proofErr w:type="gramEnd"/>
      <w:r w:rsidRPr="00A95888">
        <w:t xml:space="preserve"> f-factor amount determination </w:t>
      </w:r>
      <w:r w:rsidRPr="00CB4612">
        <w:t>with respect to the proposed reward/penalty amounts proposed to be passed through in the regulatory years that commence on 1 January 2014 and 1 January 2015.</w:t>
      </w:r>
    </w:p>
    <w:p w:rsidR="00CB4612" w:rsidRPr="00CB4612" w:rsidRDefault="00CB4612" w:rsidP="008F0A1F">
      <w:pPr>
        <w:pStyle w:val="Bulletpoint"/>
      </w:pPr>
      <w:proofErr w:type="gramStart"/>
      <w:r w:rsidRPr="00491AB7">
        <w:lastRenderedPageBreak/>
        <w:t>an</w:t>
      </w:r>
      <w:proofErr w:type="gramEnd"/>
      <w:r w:rsidRPr="00491AB7">
        <w:t xml:space="preserve"> f-factor amount determination no later than 30 September in the regulatory year prior to the regulatory year in which the amount is proposed to be passed through.</w:t>
      </w:r>
    </w:p>
    <w:p w:rsidR="00CB4612" w:rsidRPr="00CB4612" w:rsidRDefault="00CB4612" w:rsidP="00CB4612">
      <w:r w:rsidRPr="00491AB7">
        <w:t xml:space="preserve">The amount must be determined </w:t>
      </w:r>
      <w:r w:rsidRPr="00CB4612">
        <w:t>in accordance with the following formula.</w:t>
      </w:r>
      <w:r w:rsidRPr="00CB4612">
        <w:rPr>
          <w:rStyle w:val="FootnoteReference"/>
        </w:rPr>
        <w:footnoteReference w:id="12"/>
      </w:r>
      <w:r w:rsidRPr="00CB4612">
        <w:t xml:space="preserve"> </w:t>
      </w:r>
    </w:p>
    <w:p w:rsidR="00CB4612" w:rsidRPr="00CB4612" w:rsidRDefault="00CB4612" w:rsidP="00CB4612">
      <w:r w:rsidRPr="00CB4612">
        <w:rPr>
          <w:noProof/>
          <w:lang w:eastAsia="en-AU"/>
        </w:rPr>
        <w:drawing>
          <wp:inline distT="0" distB="0" distL="0" distR="0" wp14:anchorId="506A4F82" wp14:editId="19791601">
            <wp:extent cx="6210300" cy="247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10300" cy="247650"/>
                    </a:xfrm>
                    <a:prstGeom prst="rect">
                      <a:avLst/>
                    </a:prstGeom>
                    <a:noFill/>
                    <a:ln>
                      <a:noFill/>
                    </a:ln>
                  </pic:spPr>
                </pic:pic>
              </a:graphicData>
            </a:graphic>
          </wp:inline>
        </w:drawing>
      </w:r>
    </w:p>
    <w:p w:rsidR="00CB4612" w:rsidRPr="00163964" w:rsidRDefault="00CB4612" w:rsidP="00CB4612">
      <w:r w:rsidRPr="00163964">
        <w:t>Where</w:t>
      </w:r>
      <w:r>
        <w:t>,</w:t>
      </w:r>
    </w:p>
    <w:p w:rsidR="00CB4612" w:rsidRPr="00CB4612" w:rsidRDefault="00A92F96" w:rsidP="001E6B9B">
      <w:pPr>
        <w:pStyle w:val="Listalphabet"/>
      </w:pPr>
      <w:r>
        <w:t>Pass through amoun</w:t>
      </w:r>
      <w:r w:rsidR="00CB4612" w:rsidRPr="00CB4612">
        <w:t>t,</w:t>
      </w:r>
      <w:r>
        <w:t xml:space="preserve"> </w:t>
      </w:r>
      <w:r w:rsidR="00CB4612" w:rsidRPr="00CB4612">
        <w:t>n is the amount for Distribution Network Service Provider n for regulatory year t which may (but does not have to) be expressed as a percentage adjustment to the revenue of the Distribution Network Service Provider</w:t>
      </w:r>
    </w:p>
    <w:p w:rsidR="00CB4612" w:rsidRDefault="00CB4612" w:rsidP="001E6B9B">
      <w:pPr>
        <w:pStyle w:val="Listalphabet"/>
      </w:pPr>
      <w:r w:rsidRPr="003B6268">
        <w:t>Incentive ratet-2</w:t>
      </w:r>
      <w:r w:rsidRPr="00491AB7">
        <w:t xml:space="preserve"> is $25,000</w:t>
      </w:r>
    </w:p>
    <w:p w:rsidR="00CB4612" w:rsidRDefault="00CB4612" w:rsidP="001E6B9B">
      <w:pPr>
        <w:pStyle w:val="Listalphabet"/>
      </w:pPr>
      <w:r w:rsidRPr="003B6268">
        <w:t>Target no. of fires</w:t>
      </w:r>
      <w:r w:rsidR="00F63021">
        <w:t xml:space="preserve"> </w:t>
      </w:r>
      <w:r w:rsidRPr="003B6268">
        <w:t>t-2,n</w:t>
      </w:r>
      <w:r w:rsidRPr="00491AB7">
        <w:t xml:space="preserve">  is the fire start benchmark for regulatory year </w:t>
      </w:r>
      <w:r w:rsidRPr="003B6268">
        <w:t>t-2</w:t>
      </w:r>
      <w:r w:rsidRPr="00491AB7">
        <w:t xml:space="preserve"> for distribution system </w:t>
      </w:r>
      <w:r w:rsidRPr="003B6268">
        <w:t>n</w:t>
      </w:r>
      <w:r w:rsidRPr="00491AB7">
        <w:t xml:space="preserve">, determined in accordance with clause 8  </w:t>
      </w:r>
    </w:p>
    <w:p w:rsidR="00CB4612" w:rsidRDefault="00CB4612" w:rsidP="001E6B9B">
      <w:pPr>
        <w:pStyle w:val="Listalphabet"/>
      </w:pPr>
      <w:r w:rsidRPr="003B6268">
        <w:t>Number of fires</w:t>
      </w:r>
      <w:r w:rsidR="00F63021">
        <w:t xml:space="preserve"> </w:t>
      </w:r>
      <w:r w:rsidRPr="003B6268">
        <w:t>t-2,</w:t>
      </w:r>
      <w:r w:rsidR="00A92F96">
        <w:t xml:space="preserve"> </w:t>
      </w:r>
      <w:r w:rsidRPr="003B6268">
        <w:t>n</w:t>
      </w:r>
      <w:r w:rsidRPr="00491AB7">
        <w:t xml:space="preserve"> is the number of fire starts in relation to distribution system </w:t>
      </w:r>
      <w:r w:rsidRPr="003B6268">
        <w:t>n</w:t>
      </w:r>
      <w:r w:rsidRPr="00491AB7">
        <w:t xml:space="preserve"> that occurred in regulatory year </w:t>
      </w:r>
      <w:r w:rsidRPr="003B6268">
        <w:t>t</w:t>
      </w:r>
      <w:r w:rsidRPr="003B6268">
        <w:rPr>
          <w:rFonts w:hint="eastAsia"/>
        </w:rPr>
        <w:t>–</w:t>
      </w:r>
      <w:r w:rsidRPr="003B6268">
        <w:t>2</w:t>
      </w:r>
      <w:r w:rsidRPr="00491AB7">
        <w:t>, determined in accordance with clause 9.</w:t>
      </w:r>
    </w:p>
    <w:p w:rsidR="00CB4612" w:rsidRDefault="00CB4612" w:rsidP="009D27D3">
      <w:pPr>
        <w:pStyle w:val="Bulletpoint"/>
        <w:numPr>
          <w:ilvl w:val="0"/>
          <w:numId w:val="0"/>
        </w:numPr>
        <w:ind w:left="357"/>
      </w:pPr>
    </w:p>
    <w:p w:rsidR="00CB4612" w:rsidRPr="00CB4612" w:rsidRDefault="00CB4612" w:rsidP="00CB4612">
      <w:pPr>
        <w:pStyle w:val="Bulletpoint"/>
      </w:pPr>
      <w:r>
        <w:br w:type="page"/>
      </w:r>
    </w:p>
    <w:p w:rsidR="0074754E" w:rsidRPr="0074754E" w:rsidRDefault="0074754E" w:rsidP="0074754E">
      <w:pPr>
        <w:pStyle w:val="Heading1"/>
      </w:pPr>
      <w:bookmarkStart w:id="14" w:name="_Toc430165684"/>
      <w:r w:rsidRPr="0074754E">
        <w:lastRenderedPageBreak/>
        <w:t>Draft decision and public information</w:t>
      </w:r>
      <w:bookmarkEnd w:id="14"/>
    </w:p>
    <w:p w:rsidR="00A86FB8" w:rsidRDefault="00A86FB8" w:rsidP="00A86FB8">
      <w:r w:rsidRPr="00C329A1">
        <w:t>We undertook the</w:t>
      </w:r>
      <w:r>
        <w:t xml:space="preserve"> following</w:t>
      </w:r>
      <w:r w:rsidRPr="00C329A1">
        <w:t xml:space="preserve"> steps to obtain the relevant information for making</w:t>
      </w:r>
      <w:r>
        <w:t xml:space="preserve"> the proposed f-factor amount determinations for each of the five Victorian </w:t>
      </w:r>
      <w:r w:rsidR="0092168B">
        <w:t>distributor</w:t>
      </w:r>
      <w:r>
        <w:t>s and to provide relevant information to the public</w:t>
      </w:r>
      <w:r w:rsidRPr="00C329A1">
        <w:t xml:space="preserve">. </w:t>
      </w:r>
      <w:r>
        <w:t>In summary we exercised:</w:t>
      </w:r>
    </w:p>
    <w:p w:rsidR="00A86FB8" w:rsidRPr="00A86FB8" w:rsidRDefault="00A86FB8" w:rsidP="00483194">
      <w:pPr>
        <w:pStyle w:val="Bulletpoint"/>
      </w:pPr>
      <w:r>
        <w:t xml:space="preserve">our formal information gathering powers </w:t>
      </w:r>
      <w:r w:rsidRPr="00A86FB8">
        <w:t xml:space="preserve">through issuing f-factor regulatory information notices (RINs) to collect the necessary information required from the </w:t>
      </w:r>
      <w:r w:rsidR="0092168B">
        <w:t>distributor</w:t>
      </w:r>
      <w:r w:rsidRPr="00A86FB8">
        <w:t>s for these determinations</w:t>
      </w:r>
    </w:p>
    <w:p w:rsidR="00A86FB8" w:rsidRPr="00A86FB8" w:rsidRDefault="00A86FB8" w:rsidP="00483194">
      <w:pPr>
        <w:pStyle w:val="Bulletpoint"/>
      </w:pPr>
      <w:proofErr w:type="gramStart"/>
      <w:r>
        <w:t>our</w:t>
      </w:r>
      <w:proofErr w:type="gramEnd"/>
      <w:r>
        <w:t xml:space="preserve"> additional power under the Order to direct </w:t>
      </w:r>
      <w:r w:rsidR="0092168B">
        <w:t>distributor</w:t>
      </w:r>
      <w:r>
        <w:t>s to provide public fire start reports for publication on our website. This provides stakeholders with additional information on the fire starts.</w:t>
      </w:r>
      <w:r w:rsidRPr="00A86FB8">
        <w:rPr>
          <w:rStyle w:val="FootnoteReference"/>
        </w:rPr>
        <w:footnoteReference w:id="13"/>
      </w:r>
    </w:p>
    <w:p w:rsidR="0074754E" w:rsidRDefault="0074754E" w:rsidP="0074754E">
      <w:pPr>
        <w:pStyle w:val="Heading2"/>
      </w:pPr>
      <w:bookmarkStart w:id="15" w:name="_Toc430165685"/>
      <w:r w:rsidRPr="0074754E">
        <w:t>Information collection</w:t>
      </w:r>
      <w:bookmarkEnd w:id="15"/>
    </w:p>
    <w:p w:rsidR="00C925ED" w:rsidRPr="000D4654" w:rsidRDefault="00C925ED" w:rsidP="0074754E">
      <w:pPr>
        <w:pStyle w:val="Heading3"/>
      </w:pPr>
      <w:bookmarkStart w:id="16" w:name="_Toc430159352"/>
      <w:bookmarkStart w:id="17" w:name="_Toc430165217"/>
      <w:bookmarkStart w:id="18" w:name="_Toc430165686"/>
      <w:r w:rsidRPr="000D4654">
        <w:t xml:space="preserve">Collection of information from </w:t>
      </w:r>
      <w:r w:rsidR="0092168B">
        <w:t>distributor</w:t>
      </w:r>
      <w:r w:rsidRPr="000D4654">
        <w:t>s – f-factor regulatory information notice (RIN)</w:t>
      </w:r>
      <w:bookmarkEnd w:id="16"/>
      <w:bookmarkEnd w:id="17"/>
      <w:bookmarkEnd w:id="18"/>
    </w:p>
    <w:p w:rsidR="00C925ED" w:rsidRPr="00C925ED" w:rsidRDefault="00C925ED" w:rsidP="00C925ED">
      <w:r>
        <w:t xml:space="preserve">The RIN is our formal information collection tool under the </w:t>
      </w:r>
      <w:r w:rsidRPr="00C925ED">
        <w:t xml:space="preserve">National Electricity Law. The information provided by the </w:t>
      </w:r>
      <w:r w:rsidR="0092168B">
        <w:t>distributor</w:t>
      </w:r>
      <w:r w:rsidRPr="00C925ED">
        <w:t xml:space="preserve">s under a RIN are independently audited and signed by an authorised company officer under a statutory declaration. </w:t>
      </w:r>
    </w:p>
    <w:p w:rsidR="00C925ED" w:rsidRPr="00C925ED" w:rsidRDefault="00C925ED" w:rsidP="00C925ED">
      <w:r>
        <w:t xml:space="preserve">We </w:t>
      </w:r>
      <w:r w:rsidRPr="00C925ED">
        <w:t>issued a fire start reporting R</w:t>
      </w:r>
      <w:r>
        <w:t xml:space="preserve">IN to each </w:t>
      </w:r>
      <w:r w:rsidR="0092168B">
        <w:t>distributor</w:t>
      </w:r>
      <w:r>
        <w:t xml:space="preserve"> in November 2013</w:t>
      </w:r>
      <w:r w:rsidRPr="00C925ED">
        <w:t xml:space="preserve">. In accordance with this RIN, the </w:t>
      </w:r>
      <w:r w:rsidR="0092168B">
        <w:t>distributor</w:t>
      </w:r>
      <w:r w:rsidRPr="00C925ED">
        <w:t>s provided their fire start information for 201</w:t>
      </w:r>
      <w:r>
        <w:t>4</w:t>
      </w:r>
      <w:r w:rsidRPr="00C925ED">
        <w:t xml:space="preserve">.  The attached </w:t>
      </w:r>
      <w:r w:rsidR="002A5E93">
        <w:t xml:space="preserve">final </w:t>
      </w:r>
      <w:r w:rsidRPr="00C925ED">
        <w:t>determinations are based on the information provided under the RINs.</w:t>
      </w:r>
    </w:p>
    <w:p w:rsidR="00147FB5" w:rsidRPr="000D4654" w:rsidRDefault="00147FB5" w:rsidP="0074754E">
      <w:pPr>
        <w:pStyle w:val="Heading3"/>
      </w:pPr>
      <w:bookmarkStart w:id="19" w:name="_Toc430159353"/>
      <w:bookmarkStart w:id="20" w:name="_Toc430165218"/>
      <w:bookmarkStart w:id="21" w:name="_Toc430165687"/>
      <w:r w:rsidRPr="000D4654">
        <w:t>Public fire start reports</w:t>
      </w:r>
      <w:bookmarkEnd w:id="19"/>
      <w:bookmarkEnd w:id="20"/>
      <w:bookmarkEnd w:id="21"/>
    </w:p>
    <w:p w:rsidR="00147FB5" w:rsidRPr="00147FB5" w:rsidRDefault="00147FB5" w:rsidP="00147FB5">
      <w:r>
        <w:t>Clause 5(1) of the Order gives us power to r</w:t>
      </w:r>
      <w:r w:rsidRPr="00147FB5">
        <w:t xml:space="preserve">equest </w:t>
      </w:r>
      <w:r w:rsidR="0092168B">
        <w:t>distributor</w:t>
      </w:r>
      <w:r w:rsidRPr="00147FB5">
        <w:t>s to provide public fire start reports for publication on our website. In August 201</w:t>
      </w:r>
      <w:r w:rsidR="000D4654">
        <w:t>2</w:t>
      </w:r>
      <w:r w:rsidRPr="00147FB5">
        <w:t xml:space="preserve">, we requested </w:t>
      </w:r>
      <w:r w:rsidR="0092168B">
        <w:t>distributor</w:t>
      </w:r>
      <w:r w:rsidRPr="00147FB5">
        <w:t>s to prepare fire start reports that include:</w:t>
      </w:r>
    </w:p>
    <w:p w:rsidR="00147FB5" w:rsidRPr="00147FB5" w:rsidRDefault="00147FB5" w:rsidP="00147FB5">
      <w:pPr>
        <w:pStyle w:val="Bulletpoint"/>
      </w:pPr>
      <w:r>
        <w:t>a table of all fires––showing, in each case, the kind of fire start, date, time, geographic location of the fire and whether the fire was reported to a relevant entity as per the RIN requirement</w:t>
      </w:r>
    </w:p>
    <w:p w:rsidR="00147FB5" w:rsidRPr="00147FB5" w:rsidRDefault="00147FB5" w:rsidP="00147FB5">
      <w:pPr>
        <w:pStyle w:val="Bulletpoint"/>
      </w:pPr>
      <w:r>
        <w:t>additional summary (aggregate) tables showing the percentage and actual number of the fire starts in the following categories to help the public in understanding the context of fire starts each year:</w:t>
      </w:r>
    </w:p>
    <w:p w:rsidR="00147FB5" w:rsidRPr="00147FB5" w:rsidRDefault="00147FB5" w:rsidP="00147FB5">
      <w:pPr>
        <w:pStyle w:val="Bulletpoint2"/>
      </w:pPr>
      <w:r>
        <w:t>Fire Hazard Rating assigned by the Country Fire Authority or Melbourne Fire Brigade under section 80 of the Electricity Safety Act 1998 (Vic)</w:t>
      </w:r>
    </w:p>
    <w:p w:rsidR="00147FB5" w:rsidRPr="00147FB5" w:rsidRDefault="00147FB5" w:rsidP="00147FB5">
      <w:pPr>
        <w:pStyle w:val="Bulletpoint2"/>
      </w:pPr>
      <w:proofErr w:type="gramStart"/>
      <w:r>
        <w:t>element</w:t>
      </w:r>
      <w:proofErr w:type="gramEnd"/>
      <w:r>
        <w:t xml:space="preserve"> of the network that caused the fire, such as equipment type, feeder classification and voltage level.</w:t>
      </w:r>
    </w:p>
    <w:p w:rsidR="0074754E" w:rsidRDefault="00294D5F" w:rsidP="00147FB5">
      <w:pPr>
        <w:rPr>
          <w:rStyle w:val="Hyperlink"/>
        </w:rPr>
      </w:pPr>
      <w:r>
        <w:lastRenderedPageBreak/>
        <w:t>The 2014</w:t>
      </w:r>
      <w:r w:rsidR="00147FB5" w:rsidRPr="009970B7">
        <w:t xml:space="preserve"> reports are published on our website at</w:t>
      </w:r>
      <w:r w:rsidR="001065BF">
        <w:t xml:space="preserve">: </w:t>
      </w:r>
      <w:hyperlink r:id="rId20" w:history="1">
        <w:r w:rsidR="001065BF" w:rsidRPr="00383890">
          <w:rPr>
            <w:rStyle w:val="Hyperlink"/>
          </w:rPr>
          <w:t>https://www.aer.gov.au/node/33224/</w:t>
        </w:r>
      </w:hyperlink>
      <w:r w:rsidR="0074754E">
        <w:rPr>
          <w:rStyle w:val="Hyperlink"/>
        </w:rPr>
        <w:t>.</w:t>
      </w:r>
    </w:p>
    <w:p w:rsidR="0074754E" w:rsidRPr="0074754E" w:rsidRDefault="001065BF" w:rsidP="0074754E">
      <w:pPr>
        <w:pStyle w:val="Heading2"/>
      </w:pPr>
      <w:r>
        <w:t xml:space="preserve"> </w:t>
      </w:r>
      <w:bookmarkStart w:id="22" w:name="_Toc356990201"/>
      <w:bookmarkStart w:id="23" w:name="_Toc395171274"/>
      <w:bookmarkStart w:id="24" w:name="_Toc430165688"/>
      <w:r w:rsidR="0074754E">
        <w:t xml:space="preserve">Basis and reasons for </w:t>
      </w:r>
      <w:r w:rsidR="00F63021">
        <w:t>final</w:t>
      </w:r>
      <w:r w:rsidR="0074754E">
        <w:t xml:space="preserve"> decision</w:t>
      </w:r>
      <w:bookmarkEnd w:id="22"/>
      <w:bookmarkEnd w:id="23"/>
      <w:bookmarkEnd w:id="24"/>
    </w:p>
    <w:p w:rsidR="0074754E" w:rsidRPr="0074754E" w:rsidRDefault="0074754E" w:rsidP="0074754E">
      <w:r>
        <w:t>We applied the fire start information provided under the RINs as the basis for our decision because this is the best information available to us, which has been independently audited. The f-factor amount determinations are calculated using the relevant formula specified by the Order.</w:t>
      </w:r>
      <w:r w:rsidRPr="0074754E">
        <w:t xml:space="preserve"> </w:t>
      </w:r>
    </w:p>
    <w:p w:rsidR="0074754E" w:rsidRPr="0074754E" w:rsidRDefault="008F0A1F" w:rsidP="0074754E">
      <w:pPr>
        <w:pStyle w:val="Heading2"/>
      </w:pPr>
      <w:bookmarkStart w:id="25" w:name="_Toc395171275"/>
      <w:bookmarkStart w:id="26" w:name="_Toc430165689"/>
      <w:r>
        <w:t>Final</w:t>
      </w:r>
      <w:r w:rsidRPr="0074754E">
        <w:t xml:space="preserve"> </w:t>
      </w:r>
      <w:r w:rsidR="0074754E" w:rsidRPr="0074754E">
        <w:t>f-factor amount determinations</w:t>
      </w:r>
      <w:bookmarkEnd w:id="25"/>
      <w:bookmarkEnd w:id="26"/>
    </w:p>
    <w:p w:rsidR="0074754E" w:rsidRPr="007265F3" w:rsidRDefault="0074754E" w:rsidP="0074754E">
      <w:r w:rsidRPr="00C30A17">
        <w:t xml:space="preserve">We followed the method specified by the Order for calculating the </w:t>
      </w:r>
      <w:r>
        <w:t xml:space="preserve">f-factor </w:t>
      </w:r>
      <w:r w:rsidRPr="00C30A17">
        <w:t>pass through amounts for the Victorian D</w:t>
      </w:r>
      <w:r w:rsidR="00F63021">
        <w:t>istributors</w:t>
      </w:r>
      <w:r>
        <w:t>. The results were the same as those of our final determinations, as shown in Table 5.1</w:t>
      </w:r>
      <w:r w:rsidRPr="00C30A17">
        <w:t xml:space="preserve">.  </w:t>
      </w:r>
    </w:p>
    <w:p w:rsidR="001065BF" w:rsidRDefault="001065BF" w:rsidP="00147FB5"/>
    <w:p w:rsidR="009D27D3" w:rsidRDefault="009D27D3" w:rsidP="009D27D3">
      <w:pPr>
        <w:pStyle w:val="Heading1"/>
      </w:pPr>
      <w:bookmarkStart w:id="27" w:name="_Toc356990202"/>
      <w:bookmarkStart w:id="28" w:name="_Toc395171276"/>
      <w:bookmarkStart w:id="29" w:name="_Toc430165690"/>
      <w:r>
        <w:lastRenderedPageBreak/>
        <w:t>Consultat</w:t>
      </w:r>
      <w:bookmarkEnd w:id="27"/>
      <w:r>
        <w:t>ion and submissions to the draft decision</w:t>
      </w:r>
      <w:bookmarkEnd w:id="28"/>
      <w:bookmarkEnd w:id="29"/>
    </w:p>
    <w:p w:rsidR="009D27D3" w:rsidRDefault="009D27D3" w:rsidP="009D27D3">
      <w:r>
        <w:t>We published the</w:t>
      </w:r>
      <w:r w:rsidRPr="004860F1">
        <w:t xml:space="preserve"> draft f-factor amount determinations and explanatory statement on </w:t>
      </w:r>
      <w:r>
        <w:t>24</w:t>
      </w:r>
      <w:r w:rsidRPr="004860F1">
        <w:t xml:space="preserve"> June 201</w:t>
      </w:r>
      <w:r>
        <w:t>5</w:t>
      </w:r>
      <w:r w:rsidRPr="004860F1">
        <w:t>. In accordance with the Order and the NER</w:t>
      </w:r>
      <w:r>
        <w:t>, we provided more</w:t>
      </w:r>
      <w:r w:rsidRPr="004860F1">
        <w:t xml:space="preserve"> than 30 business days for</w:t>
      </w:r>
      <w:r>
        <w:t xml:space="preserve"> stakeholders to</w:t>
      </w:r>
      <w:r w:rsidRPr="004860F1">
        <w:t xml:space="preserve"> mak</w:t>
      </w:r>
      <w:r>
        <w:t>e</w:t>
      </w:r>
      <w:r w:rsidRPr="004860F1">
        <w:t xml:space="preserve"> submissions.</w:t>
      </w:r>
    </w:p>
    <w:p w:rsidR="009D27D3" w:rsidRPr="004860F1" w:rsidRDefault="009D27D3" w:rsidP="009D27D3">
      <w:r>
        <w:t>As required by the Order,</w:t>
      </w:r>
      <w:r>
        <w:rPr>
          <w:rStyle w:val="FootnoteReference"/>
        </w:rPr>
        <w:footnoteReference w:id="14"/>
      </w:r>
      <w:r>
        <w:t xml:space="preserve"> we</w:t>
      </w:r>
      <w:r w:rsidRPr="004860F1">
        <w:t xml:space="preserve"> </w:t>
      </w:r>
      <w:r>
        <w:t xml:space="preserve">also </w:t>
      </w:r>
      <w:r w:rsidRPr="004860F1">
        <w:t>sent</w:t>
      </w:r>
      <w:r>
        <w:t xml:space="preserve"> specific</w:t>
      </w:r>
      <w:r w:rsidRPr="004860F1">
        <w:t xml:space="preserve"> invitations for written submissions to</w:t>
      </w:r>
      <w:r w:rsidRPr="00A372E4">
        <w:t xml:space="preserve"> the Minister</w:t>
      </w:r>
      <w:r>
        <w:t xml:space="preserve"> </w:t>
      </w:r>
      <w:r w:rsidRPr="00A372E4">
        <w:t xml:space="preserve">for Energy and Resources, the Department of </w:t>
      </w:r>
      <w:r w:rsidRPr="00C56C42">
        <w:t xml:space="preserve">Sustainability </w:t>
      </w:r>
      <w:r>
        <w:t xml:space="preserve">and </w:t>
      </w:r>
      <w:r w:rsidRPr="00A372E4">
        <w:t>Environment (D</w:t>
      </w:r>
      <w:r>
        <w:t>S</w:t>
      </w:r>
      <w:r w:rsidRPr="00A372E4">
        <w:t>E)</w:t>
      </w:r>
      <w:r w:rsidRPr="00716F4E">
        <w:t xml:space="preserve"> </w:t>
      </w:r>
      <w:r w:rsidRPr="00BC41A4">
        <w:t>[now the Department of Environment and Primary Industries</w:t>
      </w:r>
      <w:r>
        <w:t xml:space="preserve"> (DEPI)]</w:t>
      </w:r>
      <w:r w:rsidRPr="00A372E4">
        <w:t xml:space="preserve">, Energy Safe Victoria (ESV), the </w:t>
      </w:r>
      <w:r>
        <w:t>Metropolitan</w:t>
      </w:r>
      <w:r w:rsidRPr="00A372E4">
        <w:t xml:space="preserve"> Fire Brigade (MFB), the Country Fire Authority (CFA) and the Victorian </w:t>
      </w:r>
      <w:r>
        <w:t>DNSPs</w:t>
      </w:r>
      <w:r w:rsidRPr="004860F1">
        <w:t xml:space="preserve">. </w:t>
      </w:r>
    </w:p>
    <w:p w:rsidR="00C91194" w:rsidRDefault="009D27D3" w:rsidP="009D27D3">
      <w:r>
        <w:t xml:space="preserve">We received one written </w:t>
      </w:r>
      <w:r w:rsidR="006975AC">
        <w:t>submission</w:t>
      </w:r>
      <w:r>
        <w:t xml:space="preserve"> from </w:t>
      </w:r>
      <w:r w:rsidR="009B4EF4">
        <w:t xml:space="preserve">the </w:t>
      </w:r>
      <w:r w:rsidR="0073068F">
        <w:t>MFB</w:t>
      </w:r>
      <w:r>
        <w:t xml:space="preserve">. It </w:t>
      </w:r>
      <w:r w:rsidR="00B70408" w:rsidRPr="00B70408">
        <w:t xml:space="preserve">has not made specific </w:t>
      </w:r>
      <w:r w:rsidR="00B70408">
        <w:t>comments on the proposed reward</w:t>
      </w:r>
      <w:r w:rsidR="00384E19">
        <w:t xml:space="preserve"> and penalty amounts </w:t>
      </w:r>
      <w:r w:rsidR="00B70408">
        <w:t xml:space="preserve">discussed in </w:t>
      </w:r>
      <w:r>
        <w:t>the draft determinations.</w:t>
      </w:r>
      <w:r>
        <w:rPr>
          <w:rStyle w:val="FootnoteReference"/>
        </w:rPr>
        <w:footnoteReference w:id="15"/>
      </w:r>
      <w:r>
        <w:t xml:space="preserve"> </w:t>
      </w:r>
      <w:r w:rsidR="00C91194" w:rsidRPr="00C91194">
        <w:t xml:space="preserve">It, however, suggested that </w:t>
      </w:r>
      <w:r w:rsidR="007A334F">
        <w:t xml:space="preserve">the AER </w:t>
      </w:r>
      <w:r w:rsidR="00C91194" w:rsidRPr="00C91194">
        <w:t>may wish to consider the costs of fire coverage and costs of fire related damage</w:t>
      </w:r>
      <w:r w:rsidR="00D415F4">
        <w:t>s</w:t>
      </w:r>
      <w:r w:rsidR="00C91194" w:rsidRPr="00C91194">
        <w:t xml:space="preserve"> arising from such incidents when setting the incentive rates. </w:t>
      </w:r>
      <w:r w:rsidR="00C91194">
        <w:t xml:space="preserve">We consider </w:t>
      </w:r>
      <w:r w:rsidR="00C91194" w:rsidRPr="00C91194">
        <w:t>MFB submission relates to matters that are outside the remit of th</w:t>
      </w:r>
      <w:r w:rsidR="007B1193">
        <w:t>is decision</w:t>
      </w:r>
      <w:r w:rsidR="00C91194">
        <w:t xml:space="preserve">. </w:t>
      </w:r>
    </w:p>
    <w:p w:rsidR="009D27D3" w:rsidRDefault="009D27D3" w:rsidP="009D27D3">
      <w:r>
        <w:t xml:space="preserve">As we have not received information that would lead us to alter the draft determinations, we adopted the draft determinations findings as our final decision. </w:t>
      </w:r>
    </w:p>
    <w:p w:rsidR="00287535" w:rsidRPr="00287535" w:rsidRDefault="00287535" w:rsidP="00287535"/>
    <w:p w:rsidR="00B0717E" w:rsidRDefault="000871CF" w:rsidP="00B0717E">
      <w:pPr>
        <w:pStyle w:val="Heading1"/>
      </w:pPr>
      <w:bookmarkStart w:id="30" w:name="_Toc430165691"/>
      <w:r>
        <w:lastRenderedPageBreak/>
        <w:t xml:space="preserve">Final </w:t>
      </w:r>
      <w:r w:rsidR="00B0717E">
        <w:t>f-factor amount determination</w:t>
      </w:r>
      <w:r w:rsidR="00A44B16">
        <w:t>s</w:t>
      </w:r>
      <w:bookmarkEnd w:id="30"/>
    </w:p>
    <w:p w:rsidR="00B0717E" w:rsidRPr="00B0717E" w:rsidRDefault="00B0717E" w:rsidP="00B0717E">
      <w:r w:rsidRPr="004D298B">
        <w:t xml:space="preserve">Under clause </w:t>
      </w:r>
      <w:r w:rsidRPr="00B0717E">
        <w:t>12 of the Order, we must make f-factor revenue adjustment determinations in relation to:</w:t>
      </w:r>
    </w:p>
    <w:p w:rsidR="00B0717E" w:rsidRPr="00B0717E" w:rsidRDefault="00B0717E" w:rsidP="00B0717E">
      <w:pPr>
        <w:pStyle w:val="Bulletpoint"/>
      </w:pPr>
      <w:proofErr w:type="spellStart"/>
      <w:r w:rsidRPr="004B647B">
        <w:t>CitiPower</w:t>
      </w:r>
      <w:proofErr w:type="spellEnd"/>
      <w:r w:rsidRPr="004B647B">
        <w:t xml:space="preserve"> Pty Ltd ABN 76 064 651 056 (</w:t>
      </w:r>
      <w:proofErr w:type="spellStart"/>
      <w:r w:rsidRPr="004B647B">
        <w:t>CitiPower</w:t>
      </w:r>
      <w:proofErr w:type="spellEnd"/>
      <w:r w:rsidRPr="004B647B">
        <w:t>)</w:t>
      </w:r>
    </w:p>
    <w:p w:rsidR="00B0717E" w:rsidRPr="00B0717E" w:rsidRDefault="00B0717E" w:rsidP="00B0717E">
      <w:pPr>
        <w:pStyle w:val="Bulletpoint"/>
      </w:pPr>
      <w:r w:rsidRPr="004B647B">
        <w:t>Jemena Electricity Networks (Vic) Ltd ABN 82 064 651 083 (Jemena)</w:t>
      </w:r>
    </w:p>
    <w:p w:rsidR="00B0717E" w:rsidRPr="00B0717E" w:rsidRDefault="00B0717E" w:rsidP="00B0717E">
      <w:pPr>
        <w:pStyle w:val="Bulletpoint"/>
      </w:pPr>
      <w:proofErr w:type="spellStart"/>
      <w:r w:rsidRPr="004B647B">
        <w:t>Powercor</w:t>
      </w:r>
      <w:proofErr w:type="spellEnd"/>
      <w:r w:rsidRPr="004B647B">
        <w:t xml:space="preserve"> Australia Ltd ABN 89 064 651 109 (</w:t>
      </w:r>
      <w:proofErr w:type="spellStart"/>
      <w:r w:rsidRPr="004B647B">
        <w:t>Powercor</w:t>
      </w:r>
      <w:proofErr w:type="spellEnd"/>
      <w:r w:rsidRPr="004B647B">
        <w:t>)</w:t>
      </w:r>
    </w:p>
    <w:p w:rsidR="00B0717E" w:rsidRPr="00B0717E" w:rsidRDefault="00313B1D" w:rsidP="00B0717E">
      <w:pPr>
        <w:pStyle w:val="Bulletpoint"/>
      </w:pPr>
      <w:proofErr w:type="spellStart"/>
      <w:r>
        <w:t>AusNet</w:t>
      </w:r>
      <w:proofErr w:type="spellEnd"/>
      <w:r>
        <w:t xml:space="preserve"> Electricity Services Pty Ltd</w:t>
      </w:r>
      <w:r w:rsidR="00B0717E" w:rsidRPr="004B647B">
        <w:t xml:space="preserve"> ABN 91 064 651 118 (</w:t>
      </w:r>
      <w:proofErr w:type="spellStart"/>
      <w:r>
        <w:t>AusNet</w:t>
      </w:r>
      <w:proofErr w:type="spellEnd"/>
      <w:r>
        <w:t xml:space="preserve"> Services</w:t>
      </w:r>
      <w:r w:rsidR="00B0717E" w:rsidRPr="004B647B">
        <w:t>)</w:t>
      </w:r>
    </w:p>
    <w:p w:rsidR="00B0717E" w:rsidRPr="00B0717E" w:rsidRDefault="00313B1D" w:rsidP="00B0717E">
      <w:pPr>
        <w:pStyle w:val="Bulletpoint"/>
      </w:pPr>
      <w:r>
        <w:t>United Energy Pty</w:t>
      </w:r>
      <w:r w:rsidR="00B0717E" w:rsidRPr="004B647B">
        <w:t xml:space="preserve"> Limited ABN 70 064 651 029 (United Energy)</w:t>
      </w:r>
      <w:r w:rsidR="00B0717E" w:rsidRPr="00B0717E">
        <w:t>.</w:t>
      </w:r>
    </w:p>
    <w:p w:rsidR="000163FC" w:rsidRDefault="000163FC" w:rsidP="00B0717E">
      <w:r w:rsidRPr="000163FC">
        <w:t>We have not received any submissions that would lead us to amend our draft determinations. Therefore, we adopt the proposed pass through amounts in the draft determinations as our final determinations.</w:t>
      </w:r>
    </w:p>
    <w:p w:rsidR="00B0717E" w:rsidRPr="00B0717E" w:rsidRDefault="00B0717E" w:rsidP="00B0717E">
      <w:r w:rsidRPr="00B0717E">
        <w:fldChar w:fldCharType="begin"/>
      </w:r>
      <w:r w:rsidRPr="00B0717E">
        <w:instrText xml:space="preserve"> REF _Ref357439014 \h </w:instrText>
      </w:r>
      <w:r w:rsidRPr="00B0717E">
        <w:fldChar w:fldCharType="separate"/>
      </w:r>
      <w:r w:rsidR="001D48F5">
        <w:t xml:space="preserve">Table </w:t>
      </w:r>
      <w:r w:rsidR="001D48F5">
        <w:rPr>
          <w:noProof/>
        </w:rPr>
        <w:t>5</w:t>
      </w:r>
      <w:r w:rsidR="001D48F5">
        <w:t>.</w:t>
      </w:r>
      <w:r w:rsidR="001D48F5">
        <w:rPr>
          <w:noProof/>
        </w:rPr>
        <w:t>1</w:t>
      </w:r>
      <w:r w:rsidRPr="00B0717E">
        <w:fldChar w:fldCharType="end"/>
      </w:r>
      <w:r w:rsidR="000163FC" w:rsidRPr="000163FC">
        <w:t xml:space="preserve"> shows our final f-factor amount determinations for each of the Victorian </w:t>
      </w:r>
      <w:r w:rsidR="000163FC">
        <w:t>distributor</w:t>
      </w:r>
      <w:r w:rsidR="000163FC" w:rsidRPr="000163FC">
        <w:t>s for their fire start outcomes of 201</w:t>
      </w:r>
      <w:r w:rsidR="000163FC">
        <w:t>4</w:t>
      </w:r>
      <w:r w:rsidR="000163FC" w:rsidRPr="000163FC">
        <w:t>. These amounts will be reflected in the distribution ta</w:t>
      </w:r>
      <w:r w:rsidR="000163FC">
        <w:t>riffs for 2016</w:t>
      </w:r>
      <w:r w:rsidR="000163FC" w:rsidRPr="000163FC">
        <w:t>.</w:t>
      </w:r>
    </w:p>
    <w:p w:rsidR="00AE1401" w:rsidRDefault="00B0717E" w:rsidP="00B0717E">
      <w:pPr>
        <w:pStyle w:val="Caption"/>
      </w:pPr>
      <w:bookmarkStart w:id="31" w:name="_Ref357439014"/>
      <w:proofErr w:type="gramStart"/>
      <w:r>
        <w:t xml:space="preserve">Table </w:t>
      </w:r>
      <w:r w:rsidRPr="00B0717E">
        <w:fldChar w:fldCharType="begin"/>
      </w:r>
      <w:r>
        <w:instrText xml:space="preserve"> STYLEREF 1 \s </w:instrText>
      </w:r>
      <w:r w:rsidRPr="00B0717E">
        <w:fldChar w:fldCharType="separate"/>
      </w:r>
      <w:r w:rsidR="001D48F5">
        <w:rPr>
          <w:noProof/>
        </w:rPr>
        <w:t>5</w:t>
      </w:r>
      <w:r w:rsidRPr="00B0717E">
        <w:fldChar w:fldCharType="end"/>
      </w:r>
      <w:r>
        <w:t>.</w:t>
      </w:r>
      <w:proofErr w:type="gramEnd"/>
      <w:r w:rsidRPr="00B0717E">
        <w:fldChar w:fldCharType="begin"/>
      </w:r>
      <w:r>
        <w:instrText xml:space="preserve"> SEQ Table \* ARABIC \s 1 </w:instrText>
      </w:r>
      <w:r w:rsidRPr="00B0717E">
        <w:fldChar w:fldCharType="separate"/>
      </w:r>
      <w:r w:rsidR="001D48F5">
        <w:rPr>
          <w:noProof/>
        </w:rPr>
        <w:t>1</w:t>
      </w:r>
      <w:r w:rsidRPr="00B0717E">
        <w:fldChar w:fldCharType="end"/>
      </w:r>
      <w:bookmarkEnd w:id="31"/>
      <w:r>
        <w:tab/>
        <w:t>Pass through amount calculation</w:t>
      </w:r>
    </w:p>
    <w:tbl>
      <w:tblPr>
        <w:tblStyle w:val="LightShading-Accent3"/>
        <w:tblW w:w="5000" w:type="pct"/>
        <w:tblLook w:val="04A0" w:firstRow="1" w:lastRow="0" w:firstColumn="1" w:lastColumn="0" w:noHBand="0" w:noVBand="1"/>
      </w:tblPr>
      <w:tblGrid>
        <w:gridCol w:w="1782"/>
        <w:gridCol w:w="3730"/>
        <w:gridCol w:w="3730"/>
      </w:tblGrid>
      <w:tr w:rsidR="0074754E" w:rsidRPr="00C260AB" w:rsidTr="007475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 w:type="pct"/>
          </w:tcPr>
          <w:p w:rsidR="0074754E" w:rsidRPr="00C260AB" w:rsidRDefault="0074754E" w:rsidP="00ED1C34">
            <w:pPr>
              <w:pStyle w:val="Tabletext"/>
              <w:rPr>
                <w:rStyle w:val="AERtextsize8"/>
              </w:rPr>
            </w:pPr>
            <w:r w:rsidRPr="00C260AB">
              <w:rPr>
                <w:rStyle w:val="AERtextsize8"/>
              </w:rPr>
              <w:t>Distributor</w:t>
            </w:r>
          </w:p>
        </w:tc>
        <w:tc>
          <w:tcPr>
            <w:tcW w:w="2018" w:type="pct"/>
          </w:tcPr>
          <w:p w:rsidR="0074754E" w:rsidRPr="00C260AB" w:rsidRDefault="0074754E" w:rsidP="00ED1C34">
            <w:pPr>
              <w:pStyle w:val="Tabletext"/>
              <w:cnfStyle w:val="100000000000" w:firstRow="1" w:lastRow="0" w:firstColumn="0" w:lastColumn="0" w:oddVBand="0" w:evenVBand="0" w:oddHBand="0" w:evenHBand="0" w:firstRowFirstColumn="0" w:firstRowLastColumn="0" w:lastRowFirstColumn="0" w:lastRowLastColumn="0"/>
              <w:rPr>
                <w:rStyle w:val="AERtextsize8"/>
              </w:rPr>
            </w:pPr>
            <w:r w:rsidRPr="00C260AB">
              <w:rPr>
                <w:rStyle w:val="AERtextsize8"/>
              </w:rPr>
              <w:t>Pass through amount ($)</w:t>
            </w:r>
          </w:p>
        </w:tc>
        <w:tc>
          <w:tcPr>
            <w:tcW w:w="2018" w:type="pct"/>
          </w:tcPr>
          <w:p w:rsidR="0074754E" w:rsidRPr="00C260AB" w:rsidRDefault="0074754E" w:rsidP="00ED1C34">
            <w:pPr>
              <w:pStyle w:val="Tabletext"/>
              <w:cnfStyle w:val="100000000000" w:firstRow="1" w:lastRow="0" w:firstColumn="0" w:lastColumn="0" w:oddVBand="0" w:evenVBand="0" w:oddHBand="0" w:evenHBand="0" w:firstRowFirstColumn="0" w:firstRowLastColumn="0" w:lastRowFirstColumn="0" w:lastRowLastColumn="0"/>
              <w:rPr>
                <w:rStyle w:val="AERtextsize8"/>
              </w:rPr>
            </w:pPr>
            <w:r w:rsidRPr="00C260AB">
              <w:rPr>
                <w:rStyle w:val="AERtextsize8"/>
              </w:rPr>
              <w:t>Approximate charge ($) per customer p.a.</w:t>
            </w:r>
            <w:r>
              <w:rPr>
                <w:rStyle w:val="AERtextsize8"/>
              </w:rPr>
              <w:t xml:space="preserve"> (note </w:t>
            </w:r>
            <w:r w:rsidRPr="00C260AB">
              <w:rPr>
                <w:rStyle w:val="AERtextsize8"/>
              </w:rPr>
              <w:footnoteReference w:id="16"/>
            </w:r>
            <w:r>
              <w:rPr>
                <w:rStyle w:val="AERtextsize8"/>
              </w:rPr>
              <w:t>)</w:t>
            </w:r>
          </w:p>
        </w:tc>
      </w:tr>
      <w:tr w:rsidR="0074754E" w:rsidRPr="00C260AB" w:rsidTr="007475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 w:type="pct"/>
          </w:tcPr>
          <w:p w:rsidR="0074754E" w:rsidRPr="00C260AB" w:rsidRDefault="0074754E" w:rsidP="00C260AB">
            <w:pPr>
              <w:pStyle w:val="Tabletext"/>
              <w:rPr>
                <w:rStyle w:val="AERtextsize8"/>
              </w:rPr>
            </w:pPr>
            <w:proofErr w:type="spellStart"/>
            <w:r w:rsidRPr="00C260AB">
              <w:rPr>
                <w:rStyle w:val="AERtextsize8"/>
              </w:rPr>
              <w:t>CitiPower</w:t>
            </w:r>
            <w:proofErr w:type="spellEnd"/>
          </w:p>
        </w:tc>
        <w:tc>
          <w:tcPr>
            <w:tcW w:w="2018" w:type="pct"/>
          </w:tcPr>
          <w:p w:rsidR="0074754E" w:rsidRPr="00C260AB" w:rsidRDefault="0074754E" w:rsidP="00C260AB">
            <w:pPr>
              <w:pStyle w:val="Tabletext"/>
              <w:cnfStyle w:val="000000100000" w:firstRow="0" w:lastRow="0" w:firstColumn="0" w:lastColumn="0" w:oddVBand="0" w:evenVBand="0" w:oddHBand="1" w:evenHBand="0" w:firstRowFirstColumn="0" w:firstRowLastColumn="0" w:lastRowFirstColumn="0" w:lastRowLastColumn="0"/>
              <w:rPr>
                <w:rStyle w:val="AERtextsize8"/>
              </w:rPr>
            </w:pPr>
            <w:r w:rsidRPr="00C260AB">
              <w:rPr>
                <w:rStyle w:val="AERtextsize8"/>
              </w:rPr>
              <w:t>(15,000)</w:t>
            </w:r>
          </w:p>
        </w:tc>
        <w:tc>
          <w:tcPr>
            <w:tcW w:w="2018" w:type="pct"/>
          </w:tcPr>
          <w:p w:rsidR="0074754E" w:rsidRPr="00C260AB" w:rsidRDefault="0074754E" w:rsidP="00C260AB">
            <w:pPr>
              <w:pStyle w:val="Tabletext"/>
              <w:cnfStyle w:val="000000100000" w:firstRow="0" w:lastRow="0" w:firstColumn="0" w:lastColumn="0" w:oddVBand="0" w:evenVBand="0" w:oddHBand="1" w:evenHBand="0" w:firstRowFirstColumn="0" w:firstRowLastColumn="0" w:lastRowFirstColumn="0" w:lastRowLastColumn="0"/>
              <w:rPr>
                <w:rStyle w:val="AERtextsize8"/>
              </w:rPr>
            </w:pPr>
            <w:r w:rsidRPr="00C260AB">
              <w:rPr>
                <w:rStyle w:val="AERtextsize8"/>
              </w:rPr>
              <w:t>(0.05)</w:t>
            </w:r>
          </w:p>
        </w:tc>
      </w:tr>
      <w:tr w:rsidR="0074754E" w:rsidRPr="00C260AB" w:rsidTr="0074754E">
        <w:tc>
          <w:tcPr>
            <w:cnfStyle w:val="001000000000" w:firstRow="0" w:lastRow="0" w:firstColumn="1" w:lastColumn="0" w:oddVBand="0" w:evenVBand="0" w:oddHBand="0" w:evenHBand="0" w:firstRowFirstColumn="0" w:firstRowLastColumn="0" w:lastRowFirstColumn="0" w:lastRowLastColumn="0"/>
            <w:tcW w:w="964" w:type="pct"/>
          </w:tcPr>
          <w:p w:rsidR="0074754E" w:rsidRPr="00C260AB" w:rsidRDefault="0074754E" w:rsidP="00C260AB">
            <w:pPr>
              <w:pStyle w:val="Tabletext"/>
              <w:rPr>
                <w:rStyle w:val="AERtextsize8"/>
              </w:rPr>
            </w:pPr>
            <w:proofErr w:type="spellStart"/>
            <w:r w:rsidRPr="00C260AB">
              <w:rPr>
                <w:rStyle w:val="AERtextsize8"/>
              </w:rPr>
              <w:t>Powercor</w:t>
            </w:r>
            <w:proofErr w:type="spellEnd"/>
          </w:p>
        </w:tc>
        <w:tc>
          <w:tcPr>
            <w:tcW w:w="2018" w:type="pct"/>
          </w:tcPr>
          <w:p w:rsidR="0074754E" w:rsidRPr="00C260AB" w:rsidRDefault="0074754E" w:rsidP="00C260AB">
            <w:pPr>
              <w:pStyle w:val="Tabletext"/>
              <w:cnfStyle w:val="000000000000" w:firstRow="0" w:lastRow="0" w:firstColumn="0" w:lastColumn="0" w:oddVBand="0" w:evenVBand="0" w:oddHBand="0" w:evenHBand="0" w:firstRowFirstColumn="0" w:firstRowLastColumn="0" w:lastRowFirstColumn="0" w:lastRowLastColumn="0"/>
              <w:rPr>
                <w:rStyle w:val="AERtextsize8"/>
              </w:rPr>
            </w:pPr>
            <w:r w:rsidRPr="00C260AB">
              <w:rPr>
                <w:rStyle w:val="AERtextsize8"/>
              </w:rPr>
              <w:t>(1,530,000)</w:t>
            </w:r>
          </w:p>
        </w:tc>
        <w:tc>
          <w:tcPr>
            <w:tcW w:w="2018" w:type="pct"/>
          </w:tcPr>
          <w:p w:rsidR="0074754E" w:rsidRPr="00C260AB" w:rsidRDefault="0074754E" w:rsidP="00C260AB">
            <w:pPr>
              <w:pStyle w:val="Tabletext"/>
              <w:cnfStyle w:val="000000000000" w:firstRow="0" w:lastRow="0" w:firstColumn="0" w:lastColumn="0" w:oddVBand="0" w:evenVBand="0" w:oddHBand="0" w:evenHBand="0" w:firstRowFirstColumn="0" w:firstRowLastColumn="0" w:lastRowFirstColumn="0" w:lastRowLastColumn="0"/>
              <w:rPr>
                <w:rStyle w:val="AERtextsize8"/>
              </w:rPr>
            </w:pPr>
            <w:r w:rsidRPr="00C260AB">
              <w:rPr>
                <w:rStyle w:val="AERtextsize8"/>
              </w:rPr>
              <w:t>(2.02)</w:t>
            </w:r>
          </w:p>
        </w:tc>
      </w:tr>
      <w:tr w:rsidR="0074754E" w:rsidRPr="00C260AB" w:rsidTr="007475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 w:type="pct"/>
          </w:tcPr>
          <w:p w:rsidR="0074754E" w:rsidRPr="00C260AB" w:rsidRDefault="0074754E" w:rsidP="00C260AB">
            <w:pPr>
              <w:pStyle w:val="Tabletext"/>
              <w:rPr>
                <w:rStyle w:val="AERtextsize8"/>
              </w:rPr>
            </w:pPr>
            <w:r w:rsidRPr="00C260AB">
              <w:rPr>
                <w:rStyle w:val="AERtextsize8"/>
              </w:rPr>
              <w:t>Jemena</w:t>
            </w:r>
          </w:p>
        </w:tc>
        <w:tc>
          <w:tcPr>
            <w:tcW w:w="2018" w:type="pct"/>
          </w:tcPr>
          <w:p w:rsidR="0074754E" w:rsidRPr="00C260AB" w:rsidRDefault="0074754E" w:rsidP="00C260AB">
            <w:pPr>
              <w:pStyle w:val="Tabletext"/>
              <w:cnfStyle w:val="000000100000" w:firstRow="0" w:lastRow="0" w:firstColumn="0" w:lastColumn="0" w:oddVBand="0" w:evenVBand="0" w:oddHBand="1" w:evenHBand="0" w:firstRowFirstColumn="0" w:firstRowLastColumn="0" w:lastRowFirstColumn="0" w:lastRowLastColumn="0"/>
              <w:rPr>
                <w:rStyle w:val="AERtextsize8"/>
              </w:rPr>
            </w:pPr>
            <w:r w:rsidRPr="00C260AB">
              <w:rPr>
                <w:rStyle w:val="AERtextsize8"/>
              </w:rPr>
              <w:t>(680,000)</w:t>
            </w:r>
          </w:p>
        </w:tc>
        <w:tc>
          <w:tcPr>
            <w:tcW w:w="2018" w:type="pct"/>
          </w:tcPr>
          <w:p w:rsidR="0074754E" w:rsidRPr="00C260AB" w:rsidRDefault="0074754E" w:rsidP="00C260AB">
            <w:pPr>
              <w:pStyle w:val="Tabletext"/>
              <w:cnfStyle w:val="000000100000" w:firstRow="0" w:lastRow="0" w:firstColumn="0" w:lastColumn="0" w:oddVBand="0" w:evenVBand="0" w:oddHBand="1" w:evenHBand="0" w:firstRowFirstColumn="0" w:firstRowLastColumn="0" w:lastRowFirstColumn="0" w:lastRowLastColumn="0"/>
              <w:rPr>
                <w:rStyle w:val="AERtextsize8"/>
              </w:rPr>
            </w:pPr>
            <w:r w:rsidRPr="00C260AB">
              <w:rPr>
                <w:rStyle w:val="AERtextsize8"/>
              </w:rPr>
              <w:t>(2.14)</w:t>
            </w:r>
          </w:p>
        </w:tc>
      </w:tr>
      <w:tr w:rsidR="0074754E" w:rsidRPr="00C260AB" w:rsidTr="0074754E">
        <w:tc>
          <w:tcPr>
            <w:cnfStyle w:val="001000000000" w:firstRow="0" w:lastRow="0" w:firstColumn="1" w:lastColumn="0" w:oddVBand="0" w:evenVBand="0" w:oddHBand="0" w:evenHBand="0" w:firstRowFirstColumn="0" w:firstRowLastColumn="0" w:lastRowFirstColumn="0" w:lastRowLastColumn="0"/>
            <w:tcW w:w="964" w:type="pct"/>
          </w:tcPr>
          <w:p w:rsidR="0074754E" w:rsidRPr="00C260AB" w:rsidRDefault="0074754E" w:rsidP="00C260AB">
            <w:pPr>
              <w:pStyle w:val="Tabletext"/>
              <w:rPr>
                <w:rStyle w:val="AERtextsize8"/>
              </w:rPr>
            </w:pPr>
            <w:proofErr w:type="spellStart"/>
            <w:r w:rsidRPr="00C260AB">
              <w:rPr>
                <w:rStyle w:val="AERtextsize8"/>
              </w:rPr>
              <w:t>AusNet</w:t>
            </w:r>
            <w:proofErr w:type="spellEnd"/>
            <w:r w:rsidRPr="00C260AB">
              <w:rPr>
                <w:rStyle w:val="AERtextsize8"/>
              </w:rPr>
              <w:t xml:space="preserve"> Services</w:t>
            </w:r>
          </w:p>
        </w:tc>
        <w:tc>
          <w:tcPr>
            <w:tcW w:w="2018" w:type="pct"/>
          </w:tcPr>
          <w:p w:rsidR="0074754E" w:rsidRPr="00C260AB" w:rsidRDefault="0074754E" w:rsidP="00C260AB">
            <w:pPr>
              <w:pStyle w:val="Tabletext"/>
              <w:cnfStyle w:val="000000000000" w:firstRow="0" w:lastRow="0" w:firstColumn="0" w:lastColumn="0" w:oddVBand="0" w:evenVBand="0" w:oddHBand="0" w:evenHBand="0" w:firstRowFirstColumn="0" w:firstRowLastColumn="0" w:lastRowFirstColumn="0" w:lastRowLastColumn="0"/>
              <w:rPr>
                <w:rStyle w:val="AERtextsize8"/>
              </w:rPr>
            </w:pPr>
            <w:r w:rsidRPr="00C260AB">
              <w:rPr>
                <w:rStyle w:val="AERtextsize8"/>
              </w:rPr>
              <w:t>1,870,000</w:t>
            </w:r>
          </w:p>
        </w:tc>
        <w:tc>
          <w:tcPr>
            <w:tcW w:w="2018" w:type="pct"/>
          </w:tcPr>
          <w:p w:rsidR="0074754E" w:rsidRPr="00C260AB" w:rsidRDefault="0074754E" w:rsidP="00C260AB">
            <w:pPr>
              <w:pStyle w:val="Tabletext"/>
              <w:cnfStyle w:val="000000000000" w:firstRow="0" w:lastRow="0" w:firstColumn="0" w:lastColumn="0" w:oddVBand="0" w:evenVBand="0" w:oddHBand="0" w:evenHBand="0" w:firstRowFirstColumn="0" w:firstRowLastColumn="0" w:lastRowFirstColumn="0" w:lastRowLastColumn="0"/>
              <w:rPr>
                <w:rStyle w:val="AERtextsize8"/>
              </w:rPr>
            </w:pPr>
            <w:r w:rsidRPr="00C260AB">
              <w:rPr>
                <w:rStyle w:val="AERtextsize8"/>
              </w:rPr>
              <w:t>2.79</w:t>
            </w:r>
          </w:p>
        </w:tc>
      </w:tr>
      <w:tr w:rsidR="0074754E" w:rsidRPr="00C260AB" w:rsidTr="007475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 w:type="pct"/>
          </w:tcPr>
          <w:p w:rsidR="0074754E" w:rsidRPr="00C260AB" w:rsidRDefault="0074754E" w:rsidP="00C260AB">
            <w:pPr>
              <w:pStyle w:val="Tabletext"/>
              <w:rPr>
                <w:rStyle w:val="AERtextsize8"/>
              </w:rPr>
            </w:pPr>
            <w:r w:rsidRPr="00C260AB">
              <w:rPr>
                <w:rStyle w:val="AERtextsize8"/>
              </w:rPr>
              <w:t>United Energy</w:t>
            </w:r>
          </w:p>
        </w:tc>
        <w:tc>
          <w:tcPr>
            <w:tcW w:w="2018" w:type="pct"/>
          </w:tcPr>
          <w:p w:rsidR="0074754E" w:rsidRPr="00C260AB" w:rsidRDefault="0074754E" w:rsidP="00C260AB">
            <w:pPr>
              <w:pStyle w:val="Tabletext"/>
              <w:cnfStyle w:val="000000100000" w:firstRow="0" w:lastRow="0" w:firstColumn="0" w:lastColumn="0" w:oddVBand="0" w:evenVBand="0" w:oddHBand="1" w:evenHBand="0" w:firstRowFirstColumn="0" w:firstRowLastColumn="0" w:lastRowFirstColumn="0" w:lastRowLastColumn="0"/>
              <w:rPr>
                <w:rStyle w:val="AERtextsize8"/>
              </w:rPr>
            </w:pPr>
            <w:r w:rsidRPr="00C260AB">
              <w:rPr>
                <w:rStyle w:val="AERtextsize8"/>
              </w:rPr>
              <w:t>(2,245,000)</w:t>
            </w:r>
          </w:p>
        </w:tc>
        <w:tc>
          <w:tcPr>
            <w:tcW w:w="2018" w:type="pct"/>
          </w:tcPr>
          <w:p w:rsidR="0074754E" w:rsidRPr="00C260AB" w:rsidRDefault="0074754E" w:rsidP="00C260AB">
            <w:pPr>
              <w:pStyle w:val="Tabletext"/>
              <w:cnfStyle w:val="000000100000" w:firstRow="0" w:lastRow="0" w:firstColumn="0" w:lastColumn="0" w:oddVBand="0" w:evenVBand="0" w:oddHBand="1" w:evenHBand="0" w:firstRowFirstColumn="0" w:firstRowLastColumn="0" w:lastRowFirstColumn="0" w:lastRowLastColumn="0"/>
              <w:rPr>
                <w:rStyle w:val="AERtextsize8"/>
              </w:rPr>
            </w:pPr>
            <w:r w:rsidRPr="00C260AB">
              <w:rPr>
                <w:rStyle w:val="AERtextsize8"/>
              </w:rPr>
              <w:t>(3.43)</w:t>
            </w:r>
          </w:p>
        </w:tc>
      </w:tr>
    </w:tbl>
    <w:p w:rsidR="00AE1401" w:rsidRDefault="00AE1401" w:rsidP="00AE1401">
      <w:pPr>
        <w:pStyle w:val="Source"/>
      </w:pPr>
      <w:r>
        <w:t xml:space="preserve">Source: </w:t>
      </w:r>
      <w:r>
        <w:tab/>
        <w:t xml:space="preserve">Victorian electricity </w:t>
      </w:r>
      <w:r w:rsidR="0092168B">
        <w:t>distributor</w:t>
      </w:r>
      <w:r>
        <w:t xml:space="preserve">s' reported fire starts and AER analysis. Note: numbers in brackets represent negative numbers, indicating penalties for exceeding the relevant fire start targets in 2014.  </w:t>
      </w:r>
    </w:p>
    <w:sectPr w:rsidR="00AE1401" w:rsidSect="00E137FB">
      <w:footerReference w:type="even" r:id="rId21"/>
      <w:footerReference w:type="default" r:id="rId22"/>
      <w:footerReference w:type="first" r:id="rId23"/>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145" w:rsidRDefault="00832145" w:rsidP="004B4412">
      <w:pPr>
        <w:spacing w:before="0"/>
      </w:pPr>
      <w:r>
        <w:separator/>
      </w:r>
    </w:p>
    <w:p w:rsidR="00832145" w:rsidRDefault="00832145"/>
    <w:p w:rsidR="00832145" w:rsidRDefault="00832145"/>
  </w:endnote>
  <w:endnote w:type="continuationSeparator" w:id="0">
    <w:p w:rsidR="00832145" w:rsidRDefault="00832145" w:rsidP="004B4412">
      <w:pPr>
        <w:spacing w:before="0"/>
      </w:pPr>
      <w:r>
        <w:continuationSeparator/>
      </w:r>
    </w:p>
    <w:p w:rsidR="00832145" w:rsidRDefault="00832145"/>
    <w:p w:rsidR="00832145" w:rsidRDefault="008321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1"/>
    <w:family w:val="roman"/>
    <w:notTrueType/>
    <w:pitch w:val="variable"/>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041" w:rsidRDefault="00CB00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145" w:rsidRPr="007A4D1F" w:rsidRDefault="00832145" w:rsidP="007A4D1F">
    <w:pPr>
      <w:tabs>
        <w:tab w:val="left" w:pos="1623"/>
        <w:tab w:val="center" w:pos="4513"/>
        <w:tab w:val="right" w:pos="9026"/>
      </w:tabs>
      <w:spacing w:after="120"/>
      <w:rPr>
        <w:rFonts w:eastAsia="Arial" w:cs="Times New Roman"/>
        <w:color w:val="076A92" w:themeColor="text1"/>
        <w:sz w:val="18"/>
      </w:rPr>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Pr>
        <w:rFonts w:eastAsia="Arial" w:cs="Times New Roman"/>
        <w:color w:val="076A92" w:themeColor="text1"/>
        <w:sz w:val="18"/>
      </w:rPr>
      <w:fldChar w:fldCharType="separate"/>
    </w:r>
    <w:r w:rsidR="001D48F5" w:rsidRPr="001D48F5">
      <w:rPr>
        <w:rFonts w:eastAsia="Arial" w:cs="Times New Roman"/>
        <w:b/>
        <w:bCs/>
        <w:noProof/>
        <w:color w:val="076A92" w:themeColor="text1"/>
        <w:sz w:val="18"/>
        <w:lang w:val="en-US"/>
      </w:rPr>
      <w:t>Final</w:t>
    </w:r>
    <w:r w:rsidR="001D48F5">
      <w:rPr>
        <w:rFonts w:eastAsia="Arial" w:cs="Times New Roman"/>
        <w:noProof/>
        <w:color w:val="076A92" w:themeColor="text1"/>
        <w:sz w:val="18"/>
      </w:rPr>
      <w:t xml:space="preserve"> determination</w:t>
    </w:r>
    <w:r>
      <w:rPr>
        <w:rFonts w:eastAsia="Arial" w:cs="Times New Roman"/>
        <w:color w:val="076A92" w:themeColor="text1"/>
        <w:sz w:val="18"/>
      </w:rPr>
      <w:fldChar w:fldCharType="end"/>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1D48F5">
      <w:rPr>
        <w:rFonts w:eastAsia="Arial" w:cs="Times New Roman"/>
        <w:noProof/>
        <w:color w:val="076A92" w:themeColor="text1"/>
        <w:sz w:val="18"/>
      </w:rPr>
      <w:t>iv</w:t>
    </w:r>
    <w:r w:rsidRPr="007A4D1F">
      <w:rPr>
        <w:rFonts w:eastAsia="Arial" w:cs="Times New Roman"/>
        <w:noProof/>
        <w:color w:val="076A92" w:themeColor="text1"/>
        <w:sz w:val="18"/>
      </w:rPr>
      <w:fldChar w:fldCharType="end"/>
    </w:r>
    <w:r w:rsidRPr="007A4D1F">
      <w:rPr>
        <w:rFonts w:eastAsia="Arial" w:cs="Times New Roman"/>
        <w:color w:val="076A92" w:themeColor="text1"/>
        <w:sz w:val="18"/>
      </w:rPr>
      <w:tab/>
    </w:r>
  </w:p>
  <w:p w:rsidR="00832145" w:rsidRDefault="00832145" w:rsidP="00A60023">
    <w:pPr>
      <w:pStyle w:val="Footer"/>
      <w:tabs>
        <w:tab w:val="clear" w:pos="4513"/>
        <w:tab w:val="clear" w:pos="9026"/>
        <w:tab w:val="left" w:pos="85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041" w:rsidRDefault="00CB004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145" w:rsidRPr="00A91A9E" w:rsidRDefault="00832145" w:rsidP="006F5824">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832145" w:rsidRDefault="00832145"/>
  <w:p w:rsidR="00832145" w:rsidRDefault="0083214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145" w:rsidRDefault="00832145" w:rsidP="00CC7F1D">
    <w:pPr>
      <w:pStyle w:val="Footer"/>
      <w:tabs>
        <w:tab w:val="clear" w:pos="9026"/>
        <w:tab w:val="right" w:pos="8505"/>
      </w:tabs>
    </w:pPr>
    <w:r>
      <w:tab/>
    </w:r>
    <w:r>
      <w:tab/>
    </w:r>
    <w:r>
      <w:fldChar w:fldCharType="begin"/>
    </w:r>
    <w:r>
      <w:instrText xml:space="preserve"> PAGE   \* MERGEFORMAT </w:instrText>
    </w:r>
    <w:r>
      <w:fldChar w:fldCharType="separate"/>
    </w:r>
    <w:r w:rsidR="001D48F5">
      <w:rPr>
        <w:noProof/>
      </w:rPr>
      <w:t>9</w:t>
    </w:r>
    <w:r>
      <w:rPr>
        <w:noProof/>
      </w:rPr>
      <w:fldChar w:fldCharType="end"/>
    </w:r>
  </w:p>
  <w:p w:rsidR="00832145" w:rsidRDefault="00832145"/>
  <w:p w:rsidR="00832145" w:rsidRDefault="00832145"/>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145" w:rsidRDefault="001D48F5" w:rsidP="00CC7F1D">
    <w:pPr>
      <w:pStyle w:val="Footer"/>
      <w:tabs>
        <w:tab w:val="clear" w:pos="9026"/>
        <w:tab w:val="right" w:pos="8505"/>
      </w:tabs>
    </w:pPr>
    <w:r>
      <w:fldChar w:fldCharType="begin"/>
    </w:r>
    <w:r>
      <w:instrText xml:space="preserve"> STYLEREF  "Report Title"  \* MERGEFORMAT </w:instrText>
    </w:r>
    <w:r>
      <w:fldChar w:fldCharType="separate"/>
    </w:r>
    <w:r>
      <w:rPr>
        <w:noProof/>
      </w:rPr>
      <w:t>Final determination</w:t>
    </w:r>
    <w:r>
      <w:rPr>
        <w:noProof/>
      </w:rPr>
      <w:fldChar w:fldCharType="end"/>
    </w:r>
    <w:r w:rsidR="00832145">
      <w:tab/>
    </w:r>
    <w:r w:rsidR="00832145">
      <w:tab/>
    </w:r>
    <w:r w:rsidR="00832145">
      <w:fldChar w:fldCharType="begin"/>
    </w:r>
    <w:r w:rsidR="00832145">
      <w:instrText xml:space="preserve"> PAGE   \* MERGEFORMAT </w:instrText>
    </w:r>
    <w:r w:rsidR="00832145">
      <w:fldChar w:fldCharType="separate"/>
    </w:r>
    <w:r>
      <w:rPr>
        <w:noProof/>
      </w:rPr>
      <w:t>1</w:t>
    </w:r>
    <w:r w:rsidR="00832145">
      <w:fldChar w:fldCharType="end"/>
    </w:r>
  </w:p>
  <w:p w:rsidR="00832145" w:rsidRDefault="00832145">
    <w:pPr>
      <w:pStyle w:val="Footer"/>
    </w:pPr>
  </w:p>
  <w:p w:rsidR="00832145" w:rsidRDefault="00832145"/>
  <w:p w:rsidR="00832145" w:rsidRDefault="008321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145" w:rsidRDefault="00832145" w:rsidP="00182906">
      <w:pPr>
        <w:spacing w:before="0"/>
      </w:pPr>
      <w:r>
        <w:separator/>
      </w:r>
    </w:p>
  </w:footnote>
  <w:footnote w:type="continuationSeparator" w:id="0">
    <w:p w:rsidR="00832145" w:rsidRDefault="00832145" w:rsidP="00182906">
      <w:pPr>
        <w:spacing w:before="0"/>
      </w:pPr>
      <w:r>
        <w:continuationSeparator/>
      </w:r>
    </w:p>
  </w:footnote>
  <w:footnote w:type="continuationNotice" w:id="1">
    <w:p w:rsidR="00832145" w:rsidRDefault="00832145">
      <w:pPr>
        <w:spacing w:before="0" w:line="240" w:lineRule="auto"/>
      </w:pPr>
    </w:p>
  </w:footnote>
  <w:footnote w:id="2">
    <w:p w:rsidR="007E5762" w:rsidRDefault="007E5762" w:rsidP="007E5762">
      <w:pPr>
        <w:pStyle w:val="FootnoteText"/>
      </w:pPr>
      <w:r>
        <w:rPr>
          <w:rStyle w:val="FootnoteReference"/>
        </w:rPr>
        <w:footnoteRef/>
      </w:r>
      <w:r>
        <w:t xml:space="preserve"> </w:t>
      </w:r>
      <w:r>
        <w:tab/>
        <w:t>Energy and Resources Legislation Amendment Bill 2010, Explanatory Memorandum, p.10</w:t>
      </w:r>
    </w:p>
  </w:footnote>
  <w:footnote w:id="3">
    <w:p w:rsidR="007E5762" w:rsidRPr="004776E5" w:rsidRDefault="007E5762" w:rsidP="007E5762">
      <w:pPr>
        <w:pStyle w:val="FootnoteText"/>
      </w:pPr>
      <w:r>
        <w:rPr>
          <w:rStyle w:val="FootnoteReference"/>
        </w:rPr>
        <w:footnoteRef/>
      </w:r>
      <w:r>
        <w:t xml:space="preserve"> </w:t>
      </w:r>
      <w:r>
        <w:tab/>
      </w:r>
      <w:proofErr w:type="gramStart"/>
      <w:r>
        <w:t>Under cl.8 of the Order</w:t>
      </w:r>
      <w:r w:rsidR="005C59E7">
        <w:t>.</w:t>
      </w:r>
      <w:proofErr w:type="gramEnd"/>
    </w:p>
  </w:footnote>
  <w:footnote w:id="4">
    <w:p w:rsidR="007E5762" w:rsidRDefault="007E5762" w:rsidP="007E5762">
      <w:pPr>
        <w:pStyle w:val="FootnoteText"/>
      </w:pPr>
      <w:r>
        <w:rPr>
          <w:rStyle w:val="FootnoteReference"/>
        </w:rPr>
        <w:footnoteRef/>
      </w:r>
      <w:r>
        <w:t xml:space="preserve"> </w:t>
      </w:r>
      <w:r>
        <w:tab/>
      </w:r>
      <w:proofErr w:type="gramStart"/>
      <w:r>
        <w:t>F</w:t>
      </w:r>
      <w:r w:rsidRPr="00D57FB7">
        <w:t>rom</w:t>
      </w:r>
      <w:r>
        <w:t xml:space="preserve"> </w:t>
      </w:r>
      <w:r w:rsidR="003E0D54">
        <w:t>the Metropolitan Fire Brigade (MFB)</w:t>
      </w:r>
      <w:r w:rsidR="00524D4C">
        <w:t>.</w:t>
      </w:r>
      <w:proofErr w:type="gramEnd"/>
    </w:p>
  </w:footnote>
  <w:footnote w:id="5">
    <w:p w:rsidR="00832145" w:rsidRDefault="00832145" w:rsidP="00A41C1C">
      <w:pPr>
        <w:pStyle w:val="FootnoteText"/>
      </w:pPr>
      <w:r>
        <w:rPr>
          <w:rStyle w:val="FootnoteReference"/>
        </w:rPr>
        <w:footnoteRef/>
      </w:r>
      <w:r>
        <w:t xml:space="preserve"> </w:t>
      </w:r>
      <w:r>
        <w:tab/>
        <w:t>Public fire start reports by United Energy.</w:t>
      </w:r>
    </w:p>
  </w:footnote>
  <w:footnote w:id="6">
    <w:p w:rsidR="00F449B2" w:rsidRDefault="00F449B2">
      <w:pPr>
        <w:pStyle w:val="FootnoteText"/>
      </w:pPr>
      <w:r>
        <w:rPr>
          <w:rStyle w:val="FootnoteReference"/>
        </w:rPr>
        <w:footnoteRef/>
      </w:r>
      <w:r>
        <w:t xml:space="preserve"> </w:t>
      </w:r>
      <w:r>
        <w:tab/>
      </w:r>
      <w:r w:rsidR="0027257C">
        <w:t xml:space="preserve">The benchmark targets were set based on historical averages of the 5 year period — the 2006-10 </w:t>
      </w:r>
      <w:proofErr w:type="gramStart"/>
      <w:r w:rsidR="0027257C">
        <w:t>period</w:t>
      </w:r>
      <w:proofErr w:type="gramEnd"/>
      <w:r w:rsidR="0027257C">
        <w:t xml:space="preserve"> as specified by the Order.</w:t>
      </w:r>
    </w:p>
  </w:footnote>
  <w:footnote w:id="7">
    <w:p w:rsidR="00CB4612" w:rsidRPr="00ED1C34" w:rsidRDefault="00CB4612" w:rsidP="00CB4612">
      <w:pPr>
        <w:pStyle w:val="FootnoteText"/>
      </w:pPr>
      <w:r w:rsidRPr="00ED1C34">
        <w:rPr>
          <w:rStyle w:val="FootnoteReference"/>
          <w:sz w:val="16"/>
          <w:vertAlign w:val="baseline"/>
        </w:rPr>
        <w:footnoteRef/>
      </w:r>
      <w:r w:rsidRPr="00ED1C34">
        <w:t xml:space="preserve"> </w:t>
      </w:r>
      <w:r w:rsidRPr="00ED1C34">
        <w:tab/>
      </w:r>
      <w:proofErr w:type="gramStart"/>
      <w:r w:rsidRPr="00ED1C34">
        <w:t>Energy and Resources Legislation Amendment Bill 2010, Explanatory Memorandum, p.10.</w:t>
      </w:r>
      <w:proofErr w:type="gramEnd"/>
    </w:p>
  </w:footnote>
  <w:footnote w:id="8">
    <w:p w:rsidR="00CB4612" w:rsidRPr="00ED1C34" w:rsidRDefault="00CB4612" w:rsidP="00CB4612">
      <w:pPr>
        <w:pStyle w:val="FootnoteText"/>
      </w:pPr>
      <w:r w:rsidRPr="00ED1C34">
        <w:rPr>
          <w:rStyle w:val="FootnoteReference"/>
          <w:sz w:val="16"/>
          <w:vertAlign w:val="baseline"/>
        </w:rPr>
        <w:footnoteRef/>
      </w:r>
      <w:r w:rsidRPr="00ED1C34">
        <w:t xml:space="preserve"> </w:t>
      </w:r>
      <w:r w:rsidRPr="00ED1C34">
        <w:tab/>
      </w:r>
      <w:proofErr w:type="gramStart"/>
      <w:r w:rsidRPr="00ED1C34">
        <w:t>Under cl.8 of the Order</w:t>
      </w:r>
      <w:r w:rsidR="005C59E7">
        <w:t>.</w:t>
      </w:r>
      <w:proofErr w:type="gramEnd"/>
    </w:p>
  </w:footnote>
  <w:footnote w:id="9">
    <w:p w:rsidR="00CB4612" w:rsidRDefault="00CB4612" w:rsidP="00CB4612">
      <w:pPr>
        <w:pStyle w:val="FootnoteText"/>
      </w:pPr>
      <w:r w:rsidRPr="00ED1C34">
        <w:rPr>
          <w:rStyle w:val="FootnoteReference"/>
          <w:sz w:val="16"/>
          <w:vertAlign w:val="baseline"/>
        </w:rPr>
        <w:footnoteRef/>
      </w:r>
      <w:r w:rsidRPr="00ED1C34">
        <w:t xml:space="preserve"> </w:t>
      </w:r>
      <w:r w:rsidRPr="00ED1C34">
        <w:tab/>
      </w:r>
      <w:proofErr w:type="gramStart"/>
      <w:r w:rsidRPr="00ED1C34">
        <w:t>Under cl.12 of the Order</w:t>
      </w:r>
      <w:r w:rsidR="005C59E7">
        <w:t>.</w:t>
      </w:r>
      <w:proofErr w:type="gramEnd"/>
    </w:p>
  </w:footnote>
  <w:footnote w:id="10">
    <w:p w:rsidR="00CB4612" w:rsidRDefault="00CB4612" w:rsidP="00CB4612">
      <w:pPr>
        <w:pStyle w:val="FootnoteText"/>
      </w:pPr>
      <w:r>
        <w:rPr>
          <w:rStyle w:val="FootnoteReference"/>
        </w:rPr>
        <w:footnoteRef/>
      </w:r>
      <w:r>
        <w:t xml:space="preserve"> </w:t>
      </w:r>
      <w:r>
        <w:tab/>
      </w:r>
      <w:proofErr w:type="gramStart"/>
      <w:r>
        <w:t>F</w:t>
      </w:r>
      <w:r w:rsidRPr="00D57FB7">
        <w:t>rom</w:t>
      </w:r>
      <w:r w:rsidR="00A92F96">
        <w:t xml:space="preserve"> MFB</w:t>
      </w:r>
      <w:r>
        <w:t>.</w:t>
      </w:r>
      <w:proofErr w:type="gramEnd"/>
    </w:p>
  </w:footnote>
  <w:footnote w:id="11">
    <w:p w:rsidR="00CB4612" w:rsidRDefault="00CB4612" w:rsidP="00CB4612">
      <w:pPr>
        <w:pStyle w:val="FootnoteText"/>
      </w:pPr>
      <w:r>
        <w:rPr>
          <w:rStyle w:val="FootnoteReference"/>
        </w:rPr>
        <w:footnoteRef/>
      </w:r>
      <w:r>
        <w:t xml:space="preserve"> </w:t>
      </w:r>
      <w:r>
        <w:tab/>
        <w:t>Cl.12, f-factor Order</w:t>
      </w:r>
    </w:p>
  </w:footnote>
  <w:footnote w:id="12">
    <w:p w:rsidR="00CB4612" w:rsidRDefault="00CB4612" w:rsidP="00CB4612">
      <w:pPr>
        <w:pStyle w:val="FootnoteText"/>
      </w:pPr>
      <w:r>
        <w:rPr>
          <w:rStyle w:val="FootnoteReference"/>
        </w:rPr>
        <w:footnoteRef/>
      </w:r>
      <w:r>
        <w:t xml:space="preserve"> </w:t>
      </w:r>
      <w:r>
        <w:tab/>
        <w:t>Cl.13, f-factor Order</w:t>
      </w:r>
    </w:p>
  </w:footnote>
  <w:footnote w:id="13">
    <w:p w:rsidR="00832145" w:rsidRPr="00ED1C34" w:rsidRDefault="00832145" w:rsidP="00ED1C34">
      <w:pPr>
        <w:pStyle w:val="FootnoteText"/>
      </w:pPr>
      <w:r w:rsidRPr="00ED1C34">
        <w:rPr>
          <w:rStyle w:val="FootnoteReference"/>
          <w:sz w:val="16"/>
          <w:vertAlign w:val="baseline"/>
        </w:rPr>
        <w:footnoteRef/>
      </w:r>
      <w:r w:rsidRPr="00ED1C34">
        <w:t xml:space="preserve"> </w:t>
      </w:r>
      <w:r w:rsidRPr="00ED1C34">
        <w:tab/>
        <w:t>The public fire start reports are based on the RIN reports with additional summary tables that can be easily produced through automated spreadsheet process. We do not consider this a material regulatory burden for the distributors. We also consider that these reports have significant value to the public and the publication of such reports is the intent of the Order.</w:t>
      </w:r>
    </w:p>
  </w:footnote>
  <w:footnote w:id="14">
    <w:p w:rsidR="009D27D3" w:rsidRDefault="009D27D3" w:rsidP="009D27D3">
      <w:pPr>
        <w:pStyle w:val="FootnoteText"/>
      </w:pPr>
      <w:r>
        <w:rPr>
          <w:rStyle w:val="FootnoteReference"/>
        </w:rPr>
        <w:footnoteRef/>
      </w:r>
      <w:r>
        <w:t xml:space="preserve"> </w:t>
      </w:r>
      <w:r>
        <w:tab/>
        <w:t xml:space="preserve">Cl.14(2) of the Order  </w:t>
      </w:r>
    </w:p>
  </w:footnote>
  <w:footnote w:id="15">
    <w:p w:rsidR="009D27D3" w:rsidRDefault="009D27D3" w:rsidP="009D27D3">
      <w:pPr>
        <w:pStyle w:val="FootnoteText"/>
      </w:pPr>
      <w:r>
        <w:rPr>
          <w:rStyle w:val="FootnoteReference"/>
        </w:rPr>
        <w:footnoteRef/>
      </w:r>
      <w:r>
        <w:t xml:space="preserve"> </w:t>
      </w:r>
      <w:r>
        <w:tab/>
      </w:r>
      <w:r w:rsidR="001C44FE" w:rsidRPr="001C44FE">
        <w:t>MFB letter to the AER dated 7 August 2015.</w:t>
      </w:r>
      <w:r w:rsidR="001C44FE">
        <w:t xml:space="preserve"> </w:t>
      </w:r>
      <w:r>
        <w:t>The submission is available from our website</w:t>
      </w:r>
      <w:r w:rsidR="00287535">
        <w:t>.</w:t>
      </w:r>
    </w:p>
  </w:footnote>
  <w:footnote w:id="16">
    <w:p w:rsidR="0074754E" w:rsidRDefault="0074754E" w:rsidP="00ED1C34">
      <w:pPr>
        <w:pStyle w:val="FootnoteText"/>
      </w:pPr>
      <w:r w:rsidRPr="00ED1C34">
        <w:rPr>
          <w:rStyle w:val="FootnoteReference"/>
          <w:sz w:val="16"/>
          <w:vertAlign w:val="baseline"/>
        </w:rPr>
        <w:footnoteRef/>
      </w:r>
      <w:r w:rsidRPr="00ED1C34">
        <w:t xml:space="preserve"> </w:t>
      </w:r>
      <w:r w:rsidRPr="00ED1C34">
        <w:tab/>
      </w:r>
      <w:r>
        <w:t xml:space="preserve">The AER used average total customer numbers reported in the 2014 annual RINs.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041" w:rsidRDefault="00CB00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041" w:rsidRDefault="00CB00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041" w:rsidRDefault="00CB00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8B01BED"/>
    <w:multiLevelType w:val="hybridMultilevel"/>
    <w:tmpl w:val="0C8EF83A"/>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7">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E2819EC"/>
    <w:multiLevelType w:val="multilevel"/>
    <w:tmpl w:val="859638AA"/>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20"/>
  </w:num>
  <w:num w:numId="14">
    <w:abstractNumId w:val="13"/>
  </w:num>
  <w:num w:numId="15">
    <w:abstractNumId w:val="16"/>
  </w:num>
  <w:num w:numId="16">
    <w:abstractNumId w:val="22"/>
  </w:num>
  <w:num w:numId="17">
    <w:abstractNumId w:val="12"/>
  </w:num>
  <w:num w:numId="18">
    <w:abstractNumId w:val="18"/>
  </w:num>
  <w:num w:numId="19">
    <w:abstractNumId w:val="11"/>
  </w:num>
  <w:num w:numId="20">
    <w:abstractNumId w:val="23"/>
  </w:num>
  <w:num w:numId="21">
    <w:abstractNumId w:val="27"/>
  </w:num>
  <w:num w:numId="22">
    <w:abstractNumId w:val="17"/>
  </w:num>
  <w:num w:numId="23">
    <w:abstractNumId w:val="2"/>
    <w:lvlOverride w:ilvl="0">
      <w:startOverride w:val="1"/>
    </w:lvlOverride>
  </w:num>
  <w:num w:numId="24">
    <w:abstractNumId w:val="18"/>
    <w:lvlOverride w:ilvl="0">
      <w:startOverride w:val="1"/>
    </w:lvlOverride>
  </w:num>
  <w:num w:numId="25">
    <w:abstractNumId w:val="25"/>
  </w:num>
  <w:num w:numId="26">
    <w:abstractNumId w:val="21"/>
  </w:num>
  <w:num w:numId="27">
    <w:abstractNumId w:val="9"/>
  </w:num>
  <w:num w:numId="28">
    <w:abstractNumId w:val="15"/>
  </w:num>
  <w:num w:numId="29">
    <w:abstractNumId w:val="10"/>
  </w:num>
  <w:num w:numId="30">
    <w:abstractNumId w:val="24"/>
  </w:num>
  <w:num w:numId="31">
    <w:abstractNumId w:val="20"/>
  </w:num>
  <w:num w:numId="32">
    <w:abstractNumId w:val="21"/>
  </w:num>
  <w:num w:numId="33">
    <w:abstractNumId w:val="24"/>
  </w:num>
  <w:num w:numId="34">
    <w:abstractNumId w:val="15"/>
  </w:num>
  <w:num w:numId="35">
    <w:abstractNumId w:val="28"/>
  </w:num>
  <w:num w:numId="36">
    <w:abstractNumId w:val="9"/>
  </w:num>
  <w:num w:numId="37">
    <w:abstractNumId w:val="20"/>
  </w:num>
  <w:num w:numId="38">
    <w:abstractNumId w:val="9"/>
  </w:num>
  <w:num w:numId="39">
    <w:abstractNumId w:val="24"/>
  </w:num>
  <w:num w:numId="40">
    <w:abstractNumId w:val="15"/>
  </w:num>
  <w:num w:numId="41">
    <w:abstractNumId w:val="21"/>
  </w:num>
  <w:num w:numId="42">
    <w:abstractNumId w:val="20"/>
  </w:num>
  <w:num w:numId="43">
    <w:abstractNumId w:val="19"/>
  </w:num>
  <w:num w:numId="44">
    <w:abstractNumId w:val="20"/>
  </w:num>
  <w:num w:numId="45">
    <w:abstractNumId w:val="28"/>
  </w:num>
  <w:num w:numId="46">
    <w:abstractNumId w:val="24"/>
  </w:num>
  <w:num w:numId="47">
    <w:abstractNumId w:val="15"/>
  </w:num>
  <w:num w:numId="48">
    <w:abstractNumId w:val="21"/>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num>
  <w:num w:numId="52">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pwu\Desktop\AER Web load\AER F- factor amount determinations for Victorian electricity distribution network service providers' 2014 fire start outcomes - September 2015.docx"/>
  </w:docVars>
  <w:rsids>
    <w:rsidRoot w:val="00334724"/>
    <w:rsid w:val="000013A1"/>
    <w:rsid w:val="000163FC"/>
    <w:rsid w:val="00021202"/>
    <w:rsid w:val="000240E9"/>
    <w:rsid w:val="0002517F"/>
    <w:rsid w:val="0003578C"/>
    <w:rsid w:val="0005240D"/>
    <w:rsid w:val="00063247"/>
    <w:rsid w:val="00070F9F"/>
    <w:rsid w:val="0007137B"/>
    <w:rsid w:val="00071D28"/>
    <w:rsid w:val="00074341"/>
    <w:rsid w:val="00085663"/>
    <w:rsid w:val="00085EBF"/>
    <w:rsid w:val="000871CF"/>
    <w:rsid w:val="000A6C7B"/>
    <w:rsid w:val="000A75F2"/>
    <w:rsid w:val="000C1871"/>
    <w:rsid w:val="000D122C"/>
    <w:rsid w:val="000D4654"/>
    <w:rsid w:val="000D565F"/>
    <w:rsid w:val="000E02B3"/>
    <w:rsid w:val="000E1819"/>
    <w:rsid w:val="000E6C72"/>
    <w:rsid w:val="001065BF"/>
    <w:rsid w:val="00107CC7"/>
    <w:rsid w:val="00116EB2"/>
    <w:rsid w:val="00124609"/>
    <w:rsid w:val="00130C3C"/>
    <w:rsid w:val="0014573B"/>
    <w:rsid w:val="00147FB5"/>
    <w:rsid w:val="001573E4"/>
    <w:rsid w:val="00160756"/>
    <w:rsid w:val="00170114"/>
    <w:rsid w:val="0017232E"/>
    <w:rsid w:val="00174102"/>
    <w:rsid w:val="00180157"/>
    <w:rsid w:val="00181BA2"/>
    <w:rsid w:val="00182906"/>
    <w:rsid w:val="0018551A"/>
    <w:rsid w:val="00185CB9"/>
    <w:rsid w:val="00186F77"/>
    <w:rsid w:val="001926A4"/>
    <w:rsid w:val="00192AD5"/>
    <w:rsid w:val="00196C7F"/>
    <w:rsid w:val="001B45A0"/>
    <w:rsid w:val="001C44FE"/>
    <w:rsid w:val="001D055E"/>
    <w:rsid w:val="001D48F5"/>
    <w:rsid w:val="001E6B9B"/>
    <w:rsid w:val="001F492E"/>
    <w:rsid w:val="001F6DA3"/>
    <w:rsid w:val="002010BC"/>
    <w:rsid w:val="00202E03"/>
    <w:rsid w:val="0020492C"/>
    <w:rsid w:val="00207FDC"/>
    <w:rsid w:val="00224DB9"/>
    <w:rsid w:val="00233775"/>
    <w:rsid w:val="00251745"/>
    <w:rsid w:val="00253801"/>
    <w:rsid w:val="00263AC0"/>
    <w:rsid w:val="0026772D"/>
    <w:rsid w:val="0027257C"/>
    <w:rsid w:val="002746F9"/>
    <w:rsid w:val="00286874"/>
    <w:rsid w:val="00287535"/>
    <w:rsid w:val="00294D5F"/>
    <w:rsid w:val="00296B65"/>
    <w:rsid w:val="002A5E93"/>
    <w:rsid w:val="002A7DEF"/>
    <w:rsid w:val="002E1BE5"/>
    <w:rsid w:val="002E2BFC"/>
    <w:rsid w:val="002F7986"/>
    <w:rsid w:val="00301B40"/>
    <w:rsid w:val="00305CC8"/>
    <w:rsid w:val="00307F6D"/>
    <w:rsid w:val="003137C1"/>
    <w:rsid w:val="00313B1D"/>
    <w:rsid w:val="00316B77"/>
    <w:rsid w:val="003177A2"/>
    <w:rsid w:val="00320CFE"/>
    <w:rsid w:val="003271B5"/>
    <w:rsid w:val="00327A1E"/>
    <w:rsid w:val="00331264"/>
    <w:rsid w:val="00334724"/>
    <w:rsid w:val="00334C8D"/>
    <w:rsid w:val="0033651E"/>
    <w:rsid w:val="003518B3"/>
    <w:rsid w:val="00383890"/>
    <w:rsid w:val="003846F1"/>
    <w:rsid w:val="00384E19"/>
    <w:rsid w:val="0038651F"/>
    <w:rsid w:val="003937CB"/>
    <w:rsid w:val="003E0D54"/>
    <w:rsid w:val="00464070"/>
    <w:rsid w:val="00480B4B"/>
    <w:rsid w:val="00483194"/>
    <w:rsid w:val="00485DC4"/>
    <w:rsid w:val="004A43D1"/>
    <w:rsid w:val="004B4412"/>
    <w:rsid w:val="004C348C"/>
    <w:rsid w:val="004D55BA"/>
    <w:rsid w:val="004E22EC"/>
    <w:rsid w:val="004E57E4"/>
    <w:rsid w:val="00503017"/>
    <w:rsid w:val="00523E7E"/>
    <w:rsid w:val="00524D4C"/>
    <w:rsid w:val="00526964"/>
    <w:rsid w:val="00530128"/>
    <w:rsid w:val="00532467"/>
    <w:rsid w:val="0056080A"/>
    <w:rsid w:val="00560FCC"/>
    <w:rsid w:val="00562632"/>
    <w:rsid w:val="00563ACC"/>
    <w:rsid w:val="00564A4D"/>
    <w:rsid w:val="00567BA5"/>
    <w:rsid w:val="00571B35"/>
    <w:rsid w:val="00571D57"/>
    <w:rsid w:val="00573EC3"/>
    <w:rsid w:val="00577A09"/>
    <w:rsid w:val="005829C2"/>
    <w:rsid w:val="00584D8F"/>
    <w:rsid w:val="005A404D"/>
    <w:rsid w:val="005B1E3C"/>
    <w:rsid w:val="005C05D3"/>
    <w:rsid w:val="005C26CC"/>
    <w:rsid w:val="005C4261"/>
    <w:rsid w:val="005C59E7"/>
    <w:rsid w:val="00615C6B"/>
    <w:rsid w:val="00632D6D"/>
    <w:rsid w:val="0064250D"/>
    <w:rsid w:val="00642C3E"/>
    <w:rsid w:val="00663DAD"/>
    <w:rsid w:val="00670957"/>
    <w:rsid w:val="00675ED7"/>
    <w:rsid w:val="00676679"/>
    <w:rsid w:val="006975AC"/>
    <w:rsid w:val="006B4CF9"/>
    <w:rsid w:val="006B7AC8"/>
    <w:rsid w:val="006C1FEB"/>
    <w:rsid w:val="006C3FDC"/>
    <w:rsid w:val="006C54CD"/>
    <w:rsid w:val="006D4D4B"/>
    <w:rsid w:val="006D550F"/>
    <w:rsid w:val="006F5824"/>
    <w:rsid w:val="00701CAB"/>
    <w:rsid w:val="00707563"/>
    <w:rsid w:val="0071527E"/>
    <w:rsid w:val="00722B42"/>
    <w:rsid w:val="0072348C"/>
    <w:rsid w:val="00724A37"/>
    <w:rsid w:val="007303C3"/>
    <w:rsid w:val="00730644"/>
    <w:rsid w:val="0073068F"/>
    <w:rsid w:val="00743223"/>
    <w:rsid w:val="00746E01"/>
    <w:rsid w:val="0074754E"/>
    <w:rsid w:val="00757BDF"/>
    <w:rsid w:val="00763E5D"/>
    <w:rsid w:val="00767740"/>
    <w:rsid w:val="00777EE6"/>
    <w:rsid w:val="00782EEA"/>
    <w:rsid w:val="007A334F"/>
    <w:rsid w:val="007A4D1F"/>
    <w:rsid w:val="007B1193"/>
    <w:rsid w:val="007B2C72"/>
    <w:rsid w:val="007C1C53"/>
    <w:rsid w:val="007C74BB"/>
    <w:rsid w:val="007E05D9"/>
    <w:rsid w:val="007E4904"/>
    <w:rsid w:val="007E4CB5"/>
    <w:rsid w:val="007E5762"/>
    <w:rsid w:val="007F066B"/>
    <w:rsid w:val="007F2DCA"/>
    <w:rsid w:val="008033C4"/>
    <w:rsid w:val="00806C88"/>
    <w:rsid w:val="0081034E"/>
    <w:rsid w:val="00832145"/>
    <w:rsid w:val="008344F6"/>
    <w:rsid w:val="0083510F"/>
    <w:rsid w:val="0083755C"/>
    <w:rsid w:val="00843704"/>
    <w:rsid w:val="00851209"/>
    <w:rsid w:val="00883706"/>
    <w:rsid w:val="008837AC"/>
    <w:rsid w:val="008901DB"/>
    <w:rsid w:val="008A3E3C"/>
    <w:rsid w:val="008A587D"/>
    <w:rsid w:val="008A6283"/>
    <w:rsid w:val="008C5486"/>
    <w:rsid w:val="008D1661"/>
    <w:rsid w:val="008E7031"/>
    <w:rsid w:val="008F0A1F"/>
    <w:rsid w:val="008F2354"/>
    <w:rsid w:val="00914091"/>
    <w:rsid w:val="009209AA"/>
    <w:rsid w:val="0092168B"/>
    <w:rsid w:val="009233EE"/>
    <w:rsid w:val="00932624"/>
    <w:rsid w:val="00934D7F"/>
    <w:rsid w:val="009460AA"/>
    <w:rsid w:val="00951978"/>
    <w:rsid w:val="009661DE"/>
    <w:rsid w:val="00980D37"/>
    <w:rsid w:val="009856B7"/>
    <w:rsid w:val="00990A9D"/>
    <w:rsid w:val="00991382"/>
    <w:rsid w:val="009A5FC3"/>
    <w:rsid w:val="009B1355"/>
    <w:rsid w:val="009B4EF4"/>
    <w:rsid w:val="009B74B0"/>
    <w:rsid w:val="009D27D3"/>
    <w:rsid w:val="009D6B46"/>
    <w:rsid w:val="009F4940"/>
    <w:rsid w:val="009F5BA1"/>
    <w:rsid w:val="009F5F56"/>
    <w:rsid w:val="00A02A88"/>
    <w:rsid w:val="00A0454B"/>
    <w:rsid w:val="00A0562E"/>
    <w:rsid w:val="00A0726D"/>
    <w:rsid w:val="00A22495"/>
    <w:rsid w:val="00A32FBB"/>
    <w:rsid w:val="00A41C1C"/>
    <w:rsid w:val="00A4478A"/>
    <w:rsid w:val="00A44852"/>
    <w:rsid w:val="00A44B16"/>
    <w:rsid w:val="00A57D04"/>
    <w:rsid w:val="00A60023"/>
    <w:rsid w:val="00A60A26"/>
    <w:rsid w:val="00A61598"/>
    <w:rsid w:val="00A75077"/>
    <w:rsid w:val="00A84F46"/>
    <w:rsid w:val="00A86FB8"/>
    <w:rsid w:val="00A871F4"/>
    <w:rsid w:val="00A92F96"/>
    <w:rsid w:val="00AC1B2C"/>
    <w:rsid w:val="00AC3264"/>
    <w:rsid w:val="00AE1401"/>
    <w:rsid w:val="00AE1BF1"/>
    <w:rsid w:val="00AF0857"/>
    <w:rsid w:val="00AF0DD2"/>
    <w:rsid w:val="00AF1ED6"/>
    <w:rsid w:val="00B0717E"/>
    <w:rsid w:val="00B13048"/>
    <w:rsid w:val="00B166E3"/>
    <w:rsid w:val="00B1716D"/>
    <w:rsid w:val="00B17A1D"/>
    <w:rsid w:val="00B207A0"/>
    <w:rsid w:val="00B37E38"/>
    <w:rsid w:val="00B514DD"/>
    <w:rsid w:val="00B52AF0"/>
    <w:rsid w:val="00B5338F"/>
    <w:rsid w:val="00B56E03"/>
    <w:rsid w:val="00B70408"/>
    <w:rsid w:val="00B8080B"/>
    <w:rsid w:val="00B87C39"/>
    <w:rsid w:val="00B927D8"/>
    <w:rsid w:val="00B94C9C"/>
    <w:rsid w:val="00BA3C98"/>
    <w:rsid w:val="00BA4665"/>
    <w:rsid w:val="00BB2FB2"/>
    <w:rsid w:val="00BB3304"/>
    <w:rsid w:val="00BD3446"/>
    <w:rsid w:val="00BE1F1B"/>
    <w:rsid w:val="00BE47B5"/>
    <w:rsid w:val="00BF53A0"/>
    <w:rsid w:val="00C06013"/>
    <w:rsid w:val="00C25FA6"/>
    <w:rsid w:val="00C260AB"/>
    <w:rsid w:val="00C51418"/>
    <w:rsid w:val="00C538A9"/>
    <w:rsid w:val="00C53B5A"/>
    <w:rsid w:val="00C54F5A"/>
    <w:rsid w:val="00C569B4"/>
    <w:rsid w:val="00C67A92"/>
    <w:rsid w:val="00C86679"/>
    <w:rsid w:val="00C91194"/>
    <w:rsid w:val="00C925ED"/>
    <w:rsid w:val="00CA489E"/>
    <w:rsid w:val="00CB0041"/>
    <w:rsid w:val="00CB1696"/>
    <w:rsid w:val="00CB4612"/>
    <w:rsid w:val="00CB666B"/>
    <w:rsid w:val="00CC213C"/>
    <w:rsid w:val="00CC7F1D"/>
    <w:rsid w:val="00D01CF0"/>
    <w:rsid w:val="00D0442A"/>
    <w:rsid w:val="00D364E4"/>
    <w:rsid w:val="00D415F4"/>
    <w:rsid w:val="00D61388"/>
    <w:rsid w:val="00D61A54"/>
    <w:rsid w:val="00D64DEA"/>
    <w:rsid w:val="00D71492"/>
    <w:rsid w:val="00D7168E"/>
    <w:rsid w:val="00D71E57"/>
    <w:rsid w:val="00D765BE"/>
    <w:rsid w:val="00D80893"/>
    <w:rsid w:val="00D81EF4"/>
    <w:rsid w:val="00D92CF1"/>
    <w:rsid w:val="00D92D38"/>
    <w:rsid w:val="00D950F5"/>
    <w:rsid w:val="00DB0F93"/>
    <w:rsid w:val="00DB1A67"/>
    <w:rsid w:val="00DB1C30"/>
    <w:rsid w:val="00DB31D0"/>
    <w:rsid w:val="00DB5074"/>
    <w:rsid w:val="00DB723B"/>
    <w:rsid w:val="00DC5E85"/>
    <w:rsid w:val="00DC7981"/>
    <w:rsid w:val="00DE2A3B"/>
    <w:rsid w:val="00DE4EFA"/>
    <w:rsid w:val="00DE5520"/>
    <w:rsid w:val="00E04818"/>
    <w:rsid w:val="00E06442"/>
    <w:rsid w:val="00E137FB"/>
    <w:rsid w:val="00E15509"/>
    <w:rsid w:val="00E16751"/>
    <w:rsid w:val="00E22820"/>
    <w:rsid w:val="00E23993"/>
    <w:rsid w:val="00E25B8C"/>
    <w:rsid w:val="00E65C85"/>
    <w:rsid w:val="00E66199"/>
    <w:rsid w:val="00E755EC"/>
    <w:rsid w:val="00E7624D"/>
    <w:rsid w:val="00EA3D42"/>
    <w:rsid w:val="00EA6B1B"/>
    <w:rsid w:val="00EB505D"/>
    <w:rsid w:val="00ED1C34"/>
    <w:rsid w:val="00ED1FE8"/>
    <w:rsid w:val="00EE28F3"/>
    <w:rsid w:val="00EF5110"/>
    <w:rsid w:val="00EF5762"/>
    <w:rsid w:val="00F116D5"/>
    <w:rsid w:val="00F15882"/>
    <w:rsid w:val="00F171E0"/>
    <w:rsid w:val="00F20BD3"/>
    <w:rsid w:val="00F373A5"/>
    <w:rsid w:val="00F37910"/>
    <w:rsid w:val="00F449B2"/>
    <w:rsid w:val="00F47559"/>
    <w:rsid w:val="00F63021"/>
    <w:rsid w:val="00F64C7B"/>
    <w:rsid w:val="00F676DD"/>
    <w:rsid w:val="00F71778"/>
    <w:rsid w:val="00F75A26"/>
    <w:rsid w:val="00F835C9"/>
    <w:rsid w:val="00F83FAD"/>
    <w:rsid w:val="00F952A0"/>
    <w:rsid w:val="00FA1B0C"/>
    <w:rsid w:val="00FA3C7F"/>
    <w:rsid w:val="00FA760E"/>
    <w:rsid w:val="00FB74E2"/>
    <w:rsid w:val="00FD5614"/>
    <w:rsid w:val="00FE0BE1"/>
    <w:rsid w:val="00FE1DE9"/>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aliases w:val="AER 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aliases w:val="AER 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aliases w:val="AER 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ER 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aliases w:val="AER 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aliases w:val="AER 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2,Footnote Text1,(NECG) Footnote Text,(NECG) Footnote Text1,ALTS FOOTNOTE2,Footnote Text11,ALTS FOOTNOTE,Footnote text,AR Footnote Text,AR Footnote Text Char Char Char Char Char Char,AR Footnote Text Char Char Char Char Char,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2 Char,Footnote Text1 Char,(NECG) Footnote Text Char,(NECG) Footnote Text1 Char,ALTS FOOTNOTE2 Char,Footnote Text11 Char,ALTS FOOTNOTE Char,Footnote text Char,AR Footnote Text Char,f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334724"/>
    <w:pPr>
      <w:spacing w:before="0" w:after="240" w:line="240" w:lineRule="auto"/>
      <w:jc w:val="both"/>
    </w:pPr>
    <w:rPr>
      <w:rFonts w:ascii="Gautami" w:eastAsia="Calibri" w:hAnsi="Gautami" w:cs="Times New Roman"/>
      <w:sz w:val="20"/>
      <w:szCs w:val="20"/>
    </w:rPr>
  </w:style>
  <w:style w:type="character" w:customStyle="1" w:styleId="CommentTextChar">
    <w:name w:val="Comment Text Char"/>
    <w:basedOn w:val="DefaultParagraphFont"/>
    <w:link w:val="CommentText"/>
    <w:uiPriority w:val="99"/>
    <w:semiHidden/>
    <w:rsid w:val="00334724"/>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334724"/>
    <w:pPr>
      <w:spacing w:before="200" w:after="0"/>
      <w:jc w:val="left"/>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334724"/>
    <w:rPr>
      <w:rFonts w:ascii="Arial" w:eastAsia="Calibri" w:hAnsi="Arial" w:cs="Times New Roman"/>
      <w:b/>
      <w:bCs/>
      <w:sz w:val="20"/>
      <w:szCs w:val="20"/>
    </w:rPr>
  </w:style>
  <w:style w:type="paragraph" w:styleId="BlockText">
    <w:name w:val="Block Text"/>
    <w:basedOn w:val="Normal"/>
    <w:uiPriority w:val="99"/>
    <w:unhideWhenUsed/>
    <w:rsid w:val="009B1355"/>
    <w:pPr>
      <w:pBdr>
        <w:top w:val="single" w:sz="2" w:space="10" w:color="2F002F" w:themeColor="accent1" w:shadow="1"/>
        <w:left w:val="single" w:sz="2" w:space="10" w:color="2F002F" w:themeColor="accent1" w:shadow="1"/>
        <w:bottom w:val="single" w:sz="2" w:space="10" w:color="2F002F" w:themeColor="accent1" w:shadow="1"/>
        <w:right w:val="single" w:sz="2" w:space="10" w:color="2F002F" w:themeColor="accent1" w:shadow="1"/>
      </w:pBdr>
      <w:ind w:left="1152" w:right="1152"/>
    </w:pPr>
    <w:rPr>
      <w:rFonts w:asciiTheme="minorHAnsi" w:eastAsiaTheme="minorEastAsia" w:hAnsiTheme="minorHAnsi"/>
      <w:i/>
      <w:iCs/>
      <w:color w:val="2F002F"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aliases w:val="AER 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aliases w:val="AER 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aliases w:val="AER 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ER 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aliases w:val="AER 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aliases w:val="AER 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2,Footnote Text1,(NECG) Footnote Text,(NECG) Footnote Text1,ALTS FOOTNOTE2,Footnote Text11,ALTS FOOTNOTE,Footnote text,AR Footnote Text,AR Footnote Text Char Char Char Char Char Char,AR Footnote Text Char Char Char Char Char,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2 Char,Footnote Text1 Char,(NECG) Footnote Text Char,(NECG) Footnote Text1 Char,ALTS FOOTNOTE2 Char,Footnote Text11 Char,ALTS FOOTNOTE Char,Footnote text Char,AR Footnote Text Char,f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334724"/>
    <w:pPr>
      <w:spacing w:before="0" w:after="240" w:line="240" w:lineRule="auto"/>
      <w:jc w:val="both"/>
    </w:pPr>
    <w:rPr>
      <w:rFonts w:ascii="Gautami" w:eastAsia="Calibri" w:hAnsi="Gautami" w:cs="Times New Roman"/>
      <w:sz w:val="20"/>
      <w:szCs w:val="20"/>
    </w:rPr>
  </w:style>
  <w:style w:type="character" w:customStyle="1" w:styleId="CommentTextChar">
    <w:name w:val="Comment Text Char"/>
    <w:basedOn w:val="DefaultParagraphFont"/>
    <w:link w:val="CommentText"/>
    <w:uiPriority w:val="99"/>
    <w:semiHidden/>
    <w:rsid w:val="00334724"/>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334724"/>
    <w:pPr>
      <w:spacing w:before="200" w:after="0"/>
      <w:jc w:val="left"/>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334724"/>
    <w:rPr>
      <w:rFonts w:ascii="Arial" w:eastAsia="Calibri" w:hAnsi="Arial" w:cs="Times New Roman"/>
      <w:b/>
      <w:bCs/>
      <w:sz w:val="20"/>
      <w:szCs w:val="20"/>
    </w:rPr>
  </w:style>
  <w:style w:type="paragraph" w:styleId="BlockText">
    <w:name w:val="Block Text"/>
    <w:basedOn w:val="Normal"/>
    <w:uiPriority w:val="99"/>
    <w:unhideWhenUsed/>
    <w:rsid w:val="009B1355"/>
    <w:pPr>
      <w:pBdr>
        <w:top w:val="single" w:sz="2" w:space="10" w:color="2F002F" w:themeColor="accent1" w:shadow="1"/>
        <w:left w:val="single" w:sz="2" w:space="10" w:color="2F002F" w:themeColor="accent1" w:shadow="1"/>
        <w:bottom w:val="single" w:sz="2" w:space="10" w:color="2F002F" w:themeColor="accent1" w:shadow="1"/>
        <w:right w:val="single" w:sz="2" w:space="10" w:color="2F002F" w:themeColor="accent1" w:shadow="1"/>
      </w:pBdr>
      <w:ind w:left="1152" w:right="1152"/>
    </w:pPr>
    <w:rPr>
      <w:rFonts w:asciiTheme="minorHAnsi" w:eastAsiaTheme="minorEastAsia" w:hAnsiTheme="minorHAnsi"/>
      <w:i/>
      <w:iCs/>
      <w:color w:val="2F002F"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76117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aer.gov.au/node/3322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1.jpeg"/><Relationship Id="rId19" Type="http://schemas.openxmlformats.org/officeDocument/2006/relationships/image" Target="media/image3.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B0EC72-AFDB-4351-A52B-38A23F6D3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6B042AEE</Template>
  <TotalTime>0</TotalTime>
  <Pages>13</Pages>
  <Words>2608</Words>
  <Characters>14872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AER Final Determination F- factor amount determinations for Victorian electricity distribution network service providers' 2014 fire start outcomes-September 2015</vt:lpstr>
    </vt:vector>
  </TitlesOfParts>
  <LinksUpToDate>false</LinksUpToDate>
  <CharactersWithSpaces>17446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Final Determination F- factor amount determinations for Victorian electricity distribution network service providers' 2014 fire start outcomes-September 2015</dc:title>
  <dc:creator/>
  <cp:lastModifiedBy/>
  <cp:revision>1</cp:revision>
  <dcterms:created xsi:type="dcterms:W3CDTF">2015-09-16T02:13:00Z</dcterms:created>
  <dcterms:modified xsi:type="dcterms:W3CDTF">2015-09-16T02:18:00Z</dcterms:modified>
</cp:coreProperties>
</file>