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60C" w:rsidRDefault="007D460C" w:rsidP="007D460C">
      <w:pPr>
        <w:pStyle w:val="AERtitle1"/>
      </w:pPr>
      <w:bookmarkStart w:id="0" w:name="_GoBack"/>
      <w:bookmarkEnd w:id="0"/>
      <w:r>
        <w:rPr>
          <w:noProof/>
        </w:rPr>
        <w:drawing>
          <wp:anchor distT="0" distB="0" distL="114300" distR="114300" simplePos="0" relativeHeight="251660288" behindDoc="1" locked="0" layoutInCell="1" allowOverlap="1" wp14:anchorId="3022BE08" wp14:editId="3FE108B5">
            <wp:simplePos x="0" y="0"/>
            <wp:positionH relativeFrom="column">
              <wp:posOffset>-956081</wp:posOffset>
            </wp:positionH>
            <wp:positionV relativeFrom="paragraph">
              <wp:posOffset>-978195</wp:posOffset>
            </wp:positionV>
            <wp:extent cx="7601430" cy="10814761"/>
            <wp:effectExtent l="0" t="0" r="0" b="5715"/>
            <wp:wrapNone/>
            <wp:docPr id="4" name="Picture 4"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final-or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4632" cy="10819317"/>
                    </a:xfrm>
                    <a:prstGeom prst="rect">
                      <a:avLst/>
                    </a:prstGeom>
                    <a:noFill/>
                  </pic:spPr>
                </pic:pic>
              </a:graphicData>
            </a:graphic>
            <wp14:sizeRelH relativeFrom="page">
              <wp14:pctWidth>0</wp14:pctWidth>
            </wp14:sizeRelH>
            <wp14:sizeRelV relativeFrom="page">
              <wp14:pctHeight>0</wp14:pctHeight>
            </wp14:sizeRelV>
          </wp:anchor>
        </w:drawing>
      </w:r>
    </w:p>
    <w:p w:rsidR="007D460C" w:rsidRDefault="007D460C" w:rsidP="007D460C">
      <w:pPr>
        <w:pStyle w:val="AERtitle1"/>
      </w:pPr>
    </w:p>
    <w:p w:rsidR="007D460C" w:rsidRDefault="007D460C" w:rsidP="007D460C">
      <w:pPr>
        <w:pStyle w:val="AERtitle1"/>
      </w:pPr>
    </w:p>
    <w:p w:rsidR="007D460C" w:rsidRDefault="007D460C" w:rsidP="007D460C">
      <w:pPr>
        <w:pStyle w:val="AERtitle1"/>
      </w:pPr>
    </w:p>
    <w:p w:rsidR="007D460C" w:rsidRDefault="007D460C" w:rsidP="007D460C">
      <w:pPr>
        <w:pStyle w:val="AERtitle1"/>
      </w:pPr>
    </w:p>
    <w:p w:rsidR="00730842" w:rsidRDefault="00730842" w:rsidP="007D460C">
      <w:pPr>
        <w:pStyle w:val="AERtitle1"/>
      </w:pPr>
    </w:p>
    <w:p w:rsidR="007D460C" w:rsidRDefault="004A69A2" w:rsidP="007D460C">
      <w:pPr>
        <w:pStyle w:val="AERtitle1"/>
      </w:pPr>
      <w:r>
        <w:t>Final</w:t>
      </w:r>
      <w:r w:rsidR="007D460C">
        <w:t xml:space="preserve"> determinations</w:t>
      </w:r>
    </w:p>
    <w:p w:rsidR="007D460C" w:rsidRDefault="007D460C" w:rsidP="007D460C"/>
    <w:p w:rsidR="007D460C" w:rsidRPr="00F6235D" w:rsidRDefault="007D460C" w:rsidP="007D460C"/>
    <w:p w:rsidR="004E4F63" w:rsidRDefault="004E4F63" w:rsidP="004E4F63">
      <w:pPr>
        <w:pStyle w:val="AERtitle2"/>
      </w:pPr>
      <w:r>
        <w:t>F-factor amount determinations for 2013 fire start outcomes</w:t>
      </w:r>
    </w:p>
    <w:p w:rsidR="004E4F63" w:rsidRDefault="004E4F63" w:rsidP="004E4F63">
      <w:pPr>
        <w:pStyle w:val="AERtitle2"/>
      </w:pPr>
      <w:r>
        <w:t>for</w:t>
      </w:r>
    </w:p>
    <w:p w:rsidR="004E4F63" w:rsidRDefault="004E4F63" w:rsidP="004E4F63">
      <w:pPr>
        <w:pStyle w:val="AERtitle2"/>
      </w:pPr>
      <w:r>
        <w:t xml:space="preserve">Victorian electricity distribution network service providers </w:t>
      </w:r>
    </w:p>
    <w:p w:rsidR="003649B9" w:rsidRDefault="003649B9" w:rsidP="007D460C">
      <w:pPr>
        <w:pStyle w:val="AERtitle2"/>
      </w:pPr>
    </w:p>
    <w:p w:rsidR="00730842" w:rsidRDefault="00730842" w:rsidP="007D460C">
      <w:pPr>
        <w:pStyle w:val="AERtitle2"/>
      </w:pPr>
    </w:p>
    <w:p w:rsidR="00730842" w:rsidRDefault="00730842" w:rsidP="007D460C">
      <w:pPr>
        <w:pStyle w:val="AERtitle2"/>
      </w:pPr>
    </w:p>
    <w:p w:rsidR="003649B9" w:rsidRDefault="004E4F63" w:rsidP="007D460C">
      <w:pPr>
        <w:pStyle w:val="AERtitle2"/>
      </w:pPr>
      <w:r>
        <w:t>15</w:t>
      </w:r>
      <w:r w:rsidR="003649B9">
        <w:t xml:space="preserve"> August 201</w:t>
      </w:r>
      <w:r>
        <w:t>4</w:t>
      </w:r>
    </w:p>
    <w:p w:rsidR="007D460C" w:rsidRDefault="007D460C" w:rsidP="007D460C">
      <w:pPr>
        <w:pStyle w:val="AERtitle2"/>
      </w:pPr>
      <w:r>
        <w:t xml:space="preserve"> </w:t>
      </w:r>
    </w:p>
    <w:p w:rsidR="007D460C" w:rsidRDefault="007D460C" w:rsidP="007D460C">
      <w:pPr>
        <w:pStyle w:val="UnnumberedHeading"/>
        <w:rPr>
          <w:rStyle w:val="AERtextsize8"/>
        </w:rPr>
      </w:pPr>
    </w:p>
    <w:p w:rsidR="00536D0E" w:rsidRPr="00CB7714" w:rsidRDefault="00536D0E" w:rsidP="00536D0E">
      <w:pPr>
        <w:pStyle w:val="AERbodytextnospace"/>
      </w:pPr>
      <w:r w:rsidRPr="00CB7714">
        <w:t xml:space="preserve">© Commonwealth of Australia </w:t>
      </w:r>
      <w:r>
        <w:t>2014</w:t>
      </w:r>
    </w:p>
    <w:p w:rsidR="007D460C" w:rsidRPr="00CB7714" w:rsidRDefault="00536D0E" w:rsidP="00536D0E">
      <w:pPr>
        <w:pStyle w:val="AERbodytextnospace"/>
      </w:pPr>
      <w:r w:rsidRPr="00CB7714">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7D460C" w:rsidRDefault="007D460C" w:rsidP="007D460C">
      <w:pPr>
        <w:pStyle w:val="UnnumberedHeading"/>
        <w:numPr>
          <w:ilvl w:val="0"/>
          <w:numId w:val="0"/>
        </w:numPr>
      </w:pPr>
      <w:bookmarkStart w:id="1" w:name="_Toc395171265"/>
      <w:r>
        <w:rPr>
          <w:b w:val="0"/>
          <w:bCs w:val="0"/>
          <w:noProof/>
          <w:lang w:eastAsia="en-AU"/>
        </w:rPr>
        <w:lastRenderedPageBreak/>
        <w:drawing>
          <wp:anchor distT="0" distB="0" distL="114300" distR="114300" simplePos="0" relativeHeight="251659264" behindDoc="1" locked="0" layoutInCell="1" allowOverlap="1" wp14:anchorId="3717CC64" wp14:editId="2708DA7E">
            <wp:simplePos x="0" y="0"/>
            <wp:positionH relativeFrom="column">
              <wp:posOffset>8280400</wp:posOffset>
            </wp:positionH>
            <wp:positionV relativeFrom="paragraph">
              <wp:posOffset>-946150</wp:posOffset>
            </wp:positionV>
            <wp:extent cx="7635875" cy="10784205"/>
            <wp:effectExtent l="0" t="0" r="3175"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5875" cy="10784205"/>
                    </a:xfrm>
                    <a:prstGeom prst="rect">
                      <a:avLst/>
                    </a:prstGeom>
                    <a:noFill/>
                  </pic:spPr>
                </pic:pic>
              </a:graphicData>
            </a:graphic>
            <wp14:sizeRelH relativeFrom="page">
              <wp14:pctWidth>0</wp14:pctWidth>
            </wp14:sizeRelH>
            <wp14:sizeRelV relativeFrom="page">
              <wp14:pctHeight>0</wp14:pctHeight>
            </wp14:sizeRelV>
          </wp:anchor>
        </w:drawing>
      </w:r>
      <w:bookmarkStart w:id="2" w:name="_Toc357431565"/>
      <w:r>
        <w:t>Contents</w:t>
      </w:r>
      <w:bookmarkEnd w:id="2"/>
      <w:bookmarkEnd w:id="1"/>
    </w:p>
    <w:p w:rsidR="00C50405" w:rsidRDefault="007D460C">
      <w:pPr>
        <w:pStyle w:val="TOC1"/>
        <w:rPr>
          <w:rFonts w:asciiTheme="minorHAnsi" w:eastAsiaTheme="minorEastAsia" w:hAnsiTheme="minorHAnsi" w:cstheme="minorBidi"/>
          <w:b w:val="0"/>
          <w:bCs w:val="0"/>
          <w:noProof/>
          <w:sz w:val="22"/>
          <w:szCs w:val="22"/>
          <w:lang w:eastAsia="en-AU"/>
        </w:rPr>
      </w:pPr>
      <w:r>
        <w:fldChar w:fldCharType="begin"/>
      </w:r>
      <w:r>
        <w:instrText xml:space="preserve"> TOC \o "1-2" \h \z \u \t "Heading 7,1,Heading 8,2" </w:instrText>
      </w:r>
      <w:r>
        <w:fldChar w:fldCharType="separate"/>
      </w:r>
      <w:hyperlink w:anchor="_Toc395171265" w:history="1">
        <w:r w:rsidR="00C50405" w:rsidRPr="002B7007">
          <w:rPr>
            <w:rStyle w:val="Hyperlink"/>
            <w:noProof/>
          </w:rPr>
          <w:t>Contents</w:t>
        </w:r>
        <w:r w:rsidR="00C50405">
          <w:rPr>
            <w:noProof/>
            <w:webHidden/>
          </w:rPr>
          <w:tab/>
        </w:r>
        <w:r w:rsidR="00C50405">
          <w:rPr>
            <w:noProof/>
            <w:webHidden/>
          </w:rPr>
          <w:fldChar w:fldCharType="begin"/>
        </w:r>
        <w:r w:rsidR="00C50405">
          <w:rPr>
            <w:noProof/>
            <w:webHidden/>
          </w:rPr>
          <w:instrText xml:space="preserve"> PAGEREF _Toc395171265 \h </w:instrText>
        </w:r>
        <w:r w:rsidR="00C50405">
          <w:rPr>
            <w:noProof/>
            <w:webHidden/>
          </w:rPr>
        </w:r>
        <w:r w:rsidR="00C50405">
          <w:rPr>
            <w:noProof/>
            <w:webHidden/>
          </w:rPr>
          <w:fldChar w:fldCharType="separate"/>
        </w:r>
        <w:r w:rsidR="00202B9C">
          <w:rPr>
            <w:noProof/>
            <w:webHidden/>
          </w:rPr>
          <w:t>3</w:t>
        </w:r>
        <w:r w:rsidR="00C50405">
          <w:rPr>
            <w:noProof/>
            <w:webHidden/>
          </w:rPr>
          <w:fldChar w:fldCharType="end"/>
        </w:r>
      </w:hyperlink>
    </w:p>
    <w:p w:rsidR="00C50405" w:rsidRDefault="008E2D50">
      <w:pPr>
        <w:pStyle w:val="TOC1"/>
        <w:rPr>
          <w:rFonts w:asciiTheme="minorHAnsi" w:eastAsiaTheme="minorEastAsia" w:hAnsiTheme="minorHAnsi" w:cstheme="minorBidi"/>
          <w:b w:val="0"/>
          <w:bCs w:val="0"/>
          <w:noProof/>
          <w:sz w:val="22"/>
          <w:szCs w:val="22"/>
          <w:lang w:eastAsia="en-AU"/>
        </w:rPr>
      </w:pPr>
      <w:hyperlink w:anchor="_Toc395171266" w:history="1">
        <w:r w:rsidR="00C50405" w:rsidRPr="002B7007">
          <w:rPr>
            <w:rStyle w:val="Hyperlink"/>
            <w:noProof/>
          </w:rPr>
          <w:t>Shortened forms</w:t>
        </w:r>
        <w:r w:rsidR="00C50405">
          <w:rPr>
            <w:noProof/>
            <w:webHidden/>
          </w:rPr>
          <w:tab/>
        </w:r>
        <w:r w:rsidR="00C50405">
          <w:rPr>
            <w:noProof/>
            <w:webHidden/>
          </w:rPr>
          <w:fldChar w:fldCharType="begin"/>
        </w:r>
        <w:r w:rsidR="00C50405">
          <w:rPr>
            <w:noProof/>
            <w:webHidden/>
          </w:rPr>
          <w:instrText xml:space="preserve"> PAGEREF _Toc395171266 \h </w:instrText>
        </w:r>
        <w:r w:rsidR="00C50405">
          <w:rPr>
            <w:noProof/>
            <w:webHidden/>
          </w:rPr>
        </w:r>
        <w:r w:rsidR="00C50405">
          <w:rPr>
            <w:noProof/>
            <w:webHidden/>
          </w:rPr>
          <w:fldChar w:fldCharType="separate"/>
        </w:r>
        <w:r w:rsidR="00202B9C">
          <w:rPr>
            <w:noProof/>
            <w:webHidden/>
          </w:rPr>
          <w:t>4</w:t>
        </w:r>
        <w:r w:rsidR="00C50405">
          <w:rPr>
            <w:noProof/>
            <w:webHidden/>
          </w:rPr>
          <w:fldChar w:fldCharType="end"/>
        </w:r>
      </w:hyperlink>
    </w:p>
    <w:p w:rsidR="00C50405" w:rsidRDefault="008E2D50">
      <w:pPr>
        <w:pStyle w:val="TOC1"/>
        <w:tabs>
          <w:tab w:val="left" w:pos="440"/>
        </w:tabs>
        <w:rPr>
          <w:rFonts w:asciiTheme="minorHAnsi" w:eastAsiaTheme="minorEastAsia" w:hAnsiTheme="minorHAnsi" w:cstheme="minorBidi"/>
          <w:b w:val="0"/>
          <w:bCs w:val="0"/>
          <w:noProof/>
          <w:sz w:val="22"/>
          <w:szCs w:val="22"/>
          <w:lang w:eastAsia="en-AU"/>
        </w:rPr>
      </w:pPr>
      <w:hyperlink w:anchor="_Toc395171267" w:history="1">
        <w:r w:rsidR="00C50405" w:rsidRPr="002B7007">
          <w:rPr>
            <w:rStyle w:val="Hyperlink"/>
            <w:noProof/>
          </w:rPr>
          <w:t>1</w:t>
        </w:r>
        <w:r w:rsidR="00C50405">
          <w:rPr>
            <w:rFonts w:asciiTheme="minorHAnsi" w:eastAsiaTheme="minorEastAsia" w:hAnsiTheme="minorHAnsi" w:cstheme="minorBidi"/>
            <w:b w:val="0"/>
            <w:bCs w:val="0"/>
            <w:noProof/>
            <w:sz w:val="22"/>
            <w:szCs w:val="22"/>
            <w:lang w:eastAsia="en-AU"/>
          </w:rPr>
          <w:tab/>
        </w:r>
        <w:r w:rsidR="00C50405" w:rsidRPr="002B7007">
          <w:rPr>
            <w:rStyle w:val="Hyperlink"/>
            <w:noProof/>
          </w:rPr>
          <w:t>Summary</w:t>
        </w:r>
        <w:r w:rsidR="00C50405">
          <w:rPr>
            <w:noProof/>
            <w:webHidden/>
          </w:rPr>
          <w:tab/>
        </w:r>
        <w:r w:rsidR="00C50405">
          <w:rPr>
            <w:noProof/>
            <w:webHidden/>
          </w:rPr>
          <w:fldChar w:fldCharType="begin"/>
        </w:r>
        <w:r w:rsidR="00C50405">
          <w:rPr>
            <w:noProof/>
            <w:webHidden/>
          </w:rPr>
          <w:instrText xml:space="preserve"> PAGEREF _Toc395171267 \h </w:instrText>
        </w:r>
        <w:r w:rsidR="00C50405">
          <w:rPr>
            <w:noProof/>
            <w:webHidden/>
          </w:rPr>
        </w:r>
        <w:r w:rsidR="00C50405">
          <w:rPr>
            <w:noProof/>
            <w:webHidden/>
          </w:rPr>
          <w:fldChar w:fldCharType="separate"/>
        </w:r>
        <w:r w:rsidR="00202B9C">
          <w:rPr>
            <w:noProof/>
            <w:webHidden/>
          </w:rPr>
          <w:t>5</w:t>
        </w:r>
        <w:r w:rsidR="00C50405">
          <w:rPr>
            <w:noProof/>
            <w:webHidden/>
          </w:rPr>
          <w:fldChar w:fldCharType="end"/>
        </w:r>
      </w:hyperlink>
    </w:p>
    <w:p w:rsidR="00C50405" w:rsidRDefault="008E2D50">
      <w:pPr>
        <w:pStyle w:val="TOC1"/>
        <w:tabs>
          <w:tab w:val="left" w:pos="440"/>
        </w:tabs>
        <w:rPr>
          <w:rFonts w:asciiTheme="minorHAnsi" w:eastAsiaTheme="minorEastAsia" w:hAnsiTheme="minorHAnsi" w:cstheme="minorBidi"/>
          <w:b w:val="0"/>
          <w:bCs w:val="0"/>
          <w:noProof/>
          <w:sz w:val="22"/>
          <w:szCs w:val="22"/>
          <w:lang w:eastAsia="en-AU"/>
        </w:rPr>
      </w:pPr>
      <w:hyperlink w:anchor="_Toc395171268" w:history="1">
        <w:r w:rsidR="00C50405" w:rsidRPr="002B7007">
          <w:rPr>
            <w:rStyle w:val="Hyperlink"/>
            <w:noProof/>
          </w:rPr>
          <w:t>2</w:t>
        </w:r>
        <w:r w:rsidR="00C50405">
          <w:rPr>
            <w:rFonts w:asciiTheme="minorHAnsi" w:eastAsiaTheme="minorEastAsia" w:hAnsiTheme="minorHAnsi" w:cstheme="minorBidi"/>
            <w:b w:val="0"/>
            <w:bCs w:val="0"/>
            <w:noProof/>
            <w:sz w:val="22"/>
            <w:szCs w:val="22"/>
            <w:lang w:eastAsia="en-AU"/>
          </w:rPr>
          <w:tab/>
        </w:r>
        <w:r w:rsidR="00C50405" w:rsidRPr="002B7007">
          <w:rPr>
            <w:rStyle w:val="Hyperlink"/>
            <w:noProof/>
          </w:rPr>
          <w:t>Introduction</w:t>
        </w:r>
        <w:r w:rsidR="00C50405">
          <w:rPr>
            <w:noProof/>
            <w:webHidden/>
          </w:rPr>
          <w:tab/>
        </w:r>
        <w:r w:rsidR="00C50405">
          <w:rPr>
            <w:noProof/>
            <w:webHidden/>
          </w:rPr>
          <w:fldChar w:fldCharType="begin"/>
        </w:r>
        <w:r w:rsidR="00C50405">
          <w:rPr>
            <w:noProof/>
            <w:webHidden/>
          </w:rPr>
          <w:instrText xml:space="preserve"> PAGEREF _Toc395171268 \h </w:instrText>
        </w:r>
        <w:r w:rsidR="00C50405">
          <w:rPr>
            <w:noProof/>
            <w:webHidden/>
          </w:rPr>
        </w:r>
        <w:r w:rsidR="00C50405">
          <w:rPr>
            <w:noProof/>
            <w:webHidden/>
          </w:rPr>
          <w:fldChar w:fldCharType="separate"/>
        </w:r>
        <w:r w:rsidR="00202B9C">
          <w:rPr>
            <w:noProof/>
            <w:webHidden/>
          </w:rPr>
          <w:t>7</w:t>
        </w:r>
        <w:r w:rsidR="00C50405">
          <w:rPr>
            <w:noProof/>
            <w:webHidden/>
          </w:rPr>
          <w:fldChar w:fldCharType="end"/>
        </w:r>
      </w:hyperlink>
    </w:p>
    <w:p w:rsidR="00C50405" w:rsidRDefault="008E2D50">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95171269" w:history="1">
        <w:r w:rsidR="00C50405" w:rsidRPr="002B7007">
          <w:rPr>
            <w:rStyle w:val="Hyperlink"/>
            <w:noProof/>
          </w:rPr>
          <w:t>2.1</w:t>
        </w:r>
        <w:r w:rsidR="00C50405">
          <w:rPr>
            <w:rFonts w:asciiTheme="minorHAnsi" w:eastAsiaTheme="minorEastAsia" w:hAnsiTheme="minorHAnsi" w:cstheme="minorBidi"/>
            <w:iCs w:val="0"/>
            <w:noProof/>
            <w:sz w:val="22"/>
            <w:szCs w:val="22"/>
            <w:lang w:eastAsia="en-AU"/>
          </w:rPr>
          <w:tab/>
        </w:r>
        <w:r w:rsidR="00C50405" w:rsidRPr="002B7007">
          <w:rPr>
            <w:rStyle w:val="Hyperlink"/>
            <w:noProof/>
          </w:rPr>
          <w:t>Purpose of this paper</w:t>
        </w:r>
        <w:r w:rsidR="00C50405">
          <w:rPr>
            <w:noProof/>
            <w:webHidden/>
          </w:rPr>
          <w:tab/>
        </w:r>
        <w:r w:rsidR="00C50405">
          <w:rPr>
            <w:noProof/>
            <w:webHidden/>
          </w:rPr>
          <w:fldChar w:fldCharType="begin"/>
        </w:r>
        <w:r w:rsidR="00C50405">
          <w:rPr>
            <w:noProof/>
            <w:webHidden/>
          </w:rPr>
          <w:instrText xml:space="preserve"> PAGEREF _Toc395171269 \h </w:instrText>
        </w:r>
        <w:r w:rsidR="00C50405">
          <w:rPr>
            <w:noProof/>
            <w:webHidden/>
          </w:rPr>
        </w:r>
        <w:r w:rsidR="00C50405">
          <w:rPr>
            <w:noProof/>
            <w:webHidden/>
          </w:rPr>
          <w:fldChar w:fldCharType="separate"/>
        </w:r>
        <w:r w:rsidR="00202B9C">
          <w:rPr>
            <w:noProof/>
            <w:webHidden/>
          </w:rPr>
          <w:t>7</w:t>
        </w:r>
        <w:r w:rsidR="00C50405">
          <w:rPr>
            <w:noProof/>
            <w:webHidden/>
          </w:rPr>
          <w:fldChar w:fldCharType="end"/>
        </w:r>
      </w:hyperlink>
    </w:p>
    <w:p w:rsidR="00C50405" w:rsidRDefault="008E2D50">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95171270" w:history="1">
        <w:r w:rsidR="00C50405" w:rsidRPr="002B7007">
          <w:rPr>
            <w:rStyle w:val="Hyperlink"/>
            <w:noProof/>
          </w:rPr>
          <w:t>2.2</w:t>
        </w:r>
        <w:r w:rsidR="00C50405">
          <w:rPr>
            <w:rFonts w:asciiTheme="minorHAnsi" w:eastAsiaTheme="minorEastAsia" w:hAnsiTheme="minorHAnsi" w:cstheme="minorBidi"/>
            <w:iCs w:val="0"/>
            <w:noProof/>
            <w:sz w:val="22"/>
            <w:szCs w:val="22"/>
            <w:lang w:eastAsia="en-AU"/>
          </w:rPr>
          <w:tab/>
        </w:r>
        <w:r w:rsidR="00C50405" w:rsidRPr="002B7007">
          <w:rPr>
            <w:rStyle w:val="Hyperlink"/>
            <w:noProof/>
          </w:rPr>
          <w:t>The f-factor scheme</w:t>
        </w:r>
        <w:r w:rsidR="00C50405">
          <w:rPr>
            <w:noProof/>
            <w:webHidden/>
          </w:rPr>
          <w:tab/>
        </w:r>
        <w:r w:rsidR="00C50405">
          <w:rPr>
            <w:noProof/>
            <w:webHidden/>
          </w:rPr>
          <w:fldChar w:fldCharType="begin"/>
        </w:r>
        <w:r w:rsidR="00C50405">
          <w:rPr>
            <w:noProof/>
            <w:webHidden/>
          </w:rPr>
          <w:instrText xml:space="preserve"> PAGEREF _Toc395171270 \h </w:instrText>
        </w:r>
        <w:r w:rsidR="00C50405">
          <w:rPr>
            <w:noProof/>
            <w:webHidden/>
          </w:rPr>
        </w:r>
        <w:r w:rsidR="00C50405">
          <w:rPr>
            <w:noProof/>
            <w:webHidden/>
          </w:rPr>
          <w:fldChar w:fldCharType="separate"/>
        </w:r>
        <w:r w:rsidR="00202B9C">
          <w:rPr>
            <w:noProof/>
            <w:webHidden/>
          </w:rPr>
          <w:t>7</w:t>
        </w:r>
        <w:r w:rsidR="00C50405">
          <w:rPr>
            <w:noProof/>
            <w:webHidden/>
          </w:rPr>
          <w:fldChar w:fldCharType="end"/>
        </w:r>
      </w:hyperlink>
    </w:p>
    <w:p w:rsidR="00C50405" w:rsidRDefault="008E2D50">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95171271" w:history="1">
        <w:r w:rsidR="00C50405" w:rsidRPr="002B7007">
          <w:rPr>
            <w:rStyle w:val="Hyperlink"/>
            <w:noProof/>
          </w:rPr>
          <w:t>2.3</w:t>
        </w:r>
        <w:r w:rsidR="00C50405">
          <w:rPr>
            <w:rFonts w:asciiTheme="minorHAnsi" w:eastAsiaTheme="minorEastAsia" w:hAnsiTheme="minorHAnsi" w:cstheme="minorBidi"/>
            <w:iCs w:val="0"/>
            <w:noProof/>
            <w:sz w:val="22"/>
            <w:szCs w:val="22"/>
            <w:lang w:eastAsia="en-AU"/>
          </w:rPr>
          <w:tab/>
        </w:r>
        <w:r w:rsidR="00C50405" w:rsidRPr="002B7007">
          <w:rPr>
            <w:rStyle w:val="Hyperlink"/>
            <w:noProof/>
          </w:rPr>
          <w:t>Rules for f-factor amount determinations</w:t>
        </w:r>
        <w:r w:rsidR="00C50405">
          <w:rPr>
            <w:noProof/>
            <w:webHidden/>
          </w:rPr>
          <w:tab/>
        </w:r>
        <w:r w:rsidR="00C50405">
          <w:rPr>
            <w:noProof/>
            <w:webHidden/>
          </w:rPr>
          <w:fldChar w:fldCharType="begin"/>
        </w:r>
        <w:r w:rsidR="00C50405">
          <w:rPr>
            <w:noProof/>
            <w:webHidden/>
          </w:rPr>
          <w:instrText xml:space="preserve"> PAGEREF _Toc395171271 \h </w:instrText>
        </w:r>
        <w:r w:rsidR="00C50405">
          <w:rPr>
            <w:noProof/>
            <w:webHidden/>
          </w:rPr>
        </w:r>
        <w:r w:rsidR="00C50405">
          <w:rPr>
            <w:noProof/>
            <w:webHidden/>
          </w:rPr>
          <w:fldChar w:fldCharType="separate"/>
        </w:r>
        <w:r w:rsidR="00202B9C">
          <w:rPr>
            <w:noProof/>
            <w:webHidden/>
          </w:rPr>
          <w:t>8</w:t>
        </w:r>
        <w:r w:rsidR="00C50405">
          <w:rPr>
            <w:noProof/>
            <w:webHidden/>
          </w:rPr>
          <w:fldChar w:fldCharType="end"/>
        </w:r>
      </w:hyperlink>
    </w:p>
    <w:p w:rsidR="00C50405" w:rsidRDefault="008E2D50">
      <w:pPr>
        <w:pStyle w:val="TOC1"/>
        <w:tabs>
          <w:tab w:val="left" w:pos="440"/>
        </w:tabs>
        <w:rPr>
          <w:rFonts w:asciiTheme="minorHAnsi" w:eastAsiaTheme="minorEastAsia" w:hAnsiTheme="minorHAnsi" w:cstheme="minorBidi"/>
          <w:b w:val="0"/>
          <w:bCs w:val="0"/>
          <w:noProof/>
          <w:sz w:val="22"/>
          <w:szCs w:val="22"/>
          <w:lang w:eastAsia="en-AU"/>
        </w:rPr>
      </w:pPr>
      <w:hyperlink w:anchor="_Toc395171272" w:history="1">
        <w:r w:rsidR="00C50405" w:rsidRPr="002B7007">
          <w:rPr>
            <w:rStyle w:val="Hyperlink"/>
            <w:noProof/>
          </w:rPr>
          <w:t>3</w:t>
        </w:r>
        <w:r w:rsidR="00C50405">
          <w:rPr>
            <w:rFonts w:asciiTheme="minorHAnsi" w:eastAsiaTheme="minorEastAsia" w:hAnsiTheme="minorHAnsi" w:cstheme="minorBidi"/>
            <w:b w:val="0"/>
            <w:bCs w:val="0"/>
            <w:noProof/>
            <w:sz w:val="22"/>
            <w:szCs w:val="22"/>
            <w:lang w:eastAsia="en-AU"/>
          </w:rPr>
          <w:tab/>
        </w:r>
        <w:r w:rsidR="00C50405" w:rsidRPr="002B7007">
          <w:rPr>
            <w:rStyle w:val="Hyperlink"/>
            <w:noProof/>
          </w:rPr>
          <w:t>Draft decision and public information</w:t>
        </w:r>
        <w:r w:rsidR="00C50405">
          <w:rPr>
            <w:noProof/>
            <w:webHidden/>
          </w:rPr>
          <w:tab/>
        </w:r>
        <w:r w:rsidR="00C50405">
          <w:rPr>
            <w:noProof/>
            <w:webHidden/>
          </w:rPr>
          <w:fldChar w:fldCharType="begin"/>
        </w:r>
        <w:r w:rsidR="00C50405">
          <w:rPr>
            <w:noProof/>
            <w:webHidden/>
          </w:rPr>
          <w:instrText xml:space="preserve"> PAGEREF _Toc395171272 \h </w:instrText>
        </w:r>
        <w:r w:rsidR="00C50405">
          <w:rPr>
            <w:noProof/>
            <w:webHidden/>
          </w:rPr>
        </w:r>
        <w:r w:rsidR="00C50405">
          <w:rPr>
            <w:noProof/>
            <w:webHidden/>
          </w:rPr>
          <w:fldChar w:fldCharType="separate"/>
        </w:r>
        <w:r w:rsidR="00202B9C">
          <w:rPr>
            <w:noProof/>
            <w:webHidden/>
          </w:rPr>
          <w:t>9</w:t>
        </w:r>
        <w:r w:rsidR="00C50405">
          <w:rPr>
            <w:noProof/>
            <w:webHidden/>
          </w:rPr>
          <w:fldChar w:fldCharType="end"/>
        </w:r>
      </w:hyperlink>
    </w:p>
    <w:p w:rsidR="00C50405" w:rsidRDefault="008E2D50">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95171273" w:history="1">
        <w:r w:rsidR="00C50405" w:rsidRPr="002B7007">
          <w:rPr>
            <w:rStyle w:val="Hyperlink"/>
            <w:noProof/>
          </w:rPr>
          <w:t>3.1</w:t>
        </w:r>
        <w:r w:rsidR="00C50405">
          <w:rPr>
            <w:rFonts w:asciiTheme="minorHAnsi" w:eastAsiaTheme="minorEastAsia" w:hAnsiTheme="minorHAnsi" w:cstheme="minorBidi"/>
            <w:iCs w:val="0"/>
            <w:noProof/>
            <w:sz w:val="22"/>
            <w:szCs w:val="22"/>
            <w:lang w:eastAsia="en-AU"/>
          </w:rPr>
          <w:tab/>
        </w:r>
        <w:r w:rsidR="00C50405" w:rsidRPr="002B7007">
          <w:rPr>
            <w:rStyle w:val="Hyperlink"/>
            <w:noProof/>
          </w:rPr>
          <w:t>Information collection</w:t>
        </w:r>
        <w:r w:rsidR="00C50405">
          <w:rPr>
            <w:noProof/>
            <w:webHidden/>
          </w:rPr>
          <w:tab/>
        </w:r>
        <w:r w:rsidR="00C50405">
          <w:rPr>
            <w:noProof/>
            <w:webHidden/>
          </w:rPr>
          <w:fldChar w:fldCharType="begin"/>
        </w:r>
        <w:r w:rsidR="00C50405">
          <w:rPr>
            <w:noProof/>
            <w:webHidden/>
          </w:rPr>
          <w:instrText xml:space="preserve"> PAGEREF _Toc395171273 \h </w:instrText>
        </w:r>
        <w:r w:rsidR="00C50405">
          <w:rPr>
            <w:noProof/>
            <w:webHidden/>
          </w:rPr>
        </w:r>
        <w:r w:rsidR="00C50405">
          <w:rPr>
            <w:noProof/>
            <w:webHidden/>
          </w:rPr>
          <w:fldChar w:fldCharType="separate"/>
        </w:r>
        <w:r w:rsidR="00202B9C">
          <w:rPr>
            <w:noProof/>
            <w:webHidden/>
          </w:rPr>
          <w:t>9</w:t>
        </w:r>
        <w:r w:rsidR="00C50405">
          <w:rPr>
            <w:noProof/>
            <w:webHidden/>
          </w:rPr>
          <w:fldChar w:fldCharType="end"/>
        </w:r>
      </w:hyperlink>
    </w:p>
    <w:p w:rsidR="00C50405" w:rsidRDefault="008E2D50">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95171274" w:history="1">
        <w:r w:rsidR="00C50405" w:rsidRPr="002B7007">
          <w:rPr>
            <w:rStyle w:val="Hyperlink"/>
            <w:noProof/>
          </w:rPr>
          <w:t>3.2</w:t>
        </w:r>
        <w:r w:rsidR="00C50405">
          <w:rPr>
            <w:rFonts w:asciiTheme="minorHAnsi" w:eastAsiaTheme="minorEastAsia" w:hAnsiTheme="minorHAnsi" w:cstheme="minorBidi"/>
            <w:iCs w:val="0"/>
            <w:noProof/>
            <w:sz w:val="22"/>
            <w:szCs w:val="22"/>
            <w:lang w:eastAsia="en-AU"/>
          </w:rPr>
          <w:tab/>
        </w:r>
        <w:r w:rsidR="00C50405" w:rsidRPr="002B7007">
          <w:rPr>
            <w:rStyle w:val="Hyperlink"/>
            <w:noProof/>
          </w:rPr>
          <w:t>Basis and reasons for draft decision</w:t>
        </w:r>
        <w:r w:rsidR="00C50405">
          <w:rPr>
            <w:noProof/>
            <w:webHidden/>
          </w:rPr>
          <w:tab/>
        </w:r>
        <w:r w:rsidR="00C50405">
          <w:rPr>
            <w:noProof/>
            <w:webHidden/>
          </w:rPr>
          <w:fldChar w:fldCharType="begin"/>
        </w:r>
        <w:r w:rsidR="00C50405">
          <w:rPr>
            <w:noProof/>
            <w:webHidden/>
          </w:rPr>
          <w:instrText xml:space="preserve"> PAGEREF _Toc395171274 \h </w:instrText>
        </w:r>
        <w:r w:rsidR="00C50405">
          <w:rPr>
            <w:noProof/>
            <w:webHidden/>
          </w:rPr>
        </w:r>
        <w:r w:rsidR="00C50405">
          <w:rPr>
            <w:noProof/>
            <w:webHidden/>
          </w:rPr>
          <w:fldChar w:fldCharType="separate"/>
        </w:r>
        <w:r w:rsidR="00202B9C">
          <w:rPr>
            <w:noProof/>
            <w:webHidden/>
          </w:rPr>
          <w:t>9</w:t>
        </w:r>
        <w:r w:rsidR="00C50405">
          <w:rPr>
            <w:noProof/>
            <w:webHidden/>
          </w:rPr>
          <w:fldChar w:fldCharType="end"/>
        </w:r>
      </w:hyperlink>
    </w:p>
    <w:p w:rsidR="00C50405" w:rsidRDefault="008E2D50">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95171275" w:history="1">
        <w:r w:rsidR="00C50405" w:rsidRPr="002B7007">
          <w:rPr>
            <w:rStyle w:val="Hyperlink"/>
            <w:noProof/>
          </w:rPr>
          <w:t>3.3</w:t>
        </w:r>
        <w:r w:rsidR="00C50405">
          <w:rPr>
            <w:rFonts w:asciiTheme="minorHAnsi" w:eastAsiaTheme="minorEastAsia" w:hAnsiTheme="minorHAnsi" w:cstheme="minorBidi"/>
            <w:iCs w:val="0"/>
            <w:noProof/>
            <w:sz w:val="22"/>
            <w:szCs w:val="22"/>
            <w:lang w:eastAsia="en-AU"/>
          </w:rPr>
          <w:tab/>
        </w:r>
        <w:r w:rsidR="00C50405" w:rsidRPr="002B7007">
          <w:rPr>
            <w:rStyle w:val="Hyperlink"/>
            <w:noProof/>
          </w:rPr>
          <w:t>Draft f-factor amount determinations</w:t>
        </w:r>
        <w:r w:rsidR="00C50405">
          <w:rPr>
            <w:noProof/>
            <w:webHidden/>
          </w:rPr>
          <w:tab/>
        </w:r>
        <w:r w:rsidR="00C50405">
          <w:rPr>
            <w:noProof/>
            <w:webHidden/>
          </w:rPr>
          <w:fldChar w:fldCharType="begin"/>
        </w:r>
        <w:r w:rsidR="00C50405">
          <w:rPr>
            <w:noProof/>
            <w:webHidden/>
          </w:rPr>
          <w:instrText xml:space="preserve"> PAGEREF _Toc395171275 \h </w:instrText>
        </w:r>
        <w:r w:rsidR="00C50405">
          <w:rPr>
            <w:noProof/>
            <w:webHidden/>
          </w:rPr>
        </w:r>
        <w:r w:rsidR="00C50405">
          <w:rPr>
            <w:noProof/>
            <w:webHidden/>
          </w:rPr>
          <w:fldChar w:fldCharType="separate"/>
        </w:r>
        <w:r w:rsidR="00202B9C">
          <w:rPr>
            <w:noProof/>
            <w:webHidden/>
          </w:rPr>
          <w:t>9</w:t>
        </w:r>
        <w:r w:rsidR="00C50405">
          <w:rPr>
            <w:noProof/>
            <w:webHidden/>
          </w:rPr>
          <w:fldChar w:fldCharType="end"/>
        </w:r>
      </w:hyperlink>
    </w:p>
    <w:p w:rsidR="00C50405" w:rsidRDefault="008E2D50">
      <w:pPr>
        <w:pStyle w:val="TOC1"/>
        <w:tabs>
          <w:tab w:val="left" w:pos="440"/>
        </w:tabs>
        <w:rPr>
          <w:rFonts w:asciiTheme="minorHAnsi" w:eastAsiaTheme="minorEastAsia" w:hAnsiTheme="minorHAnsi" w:cstheme="minorBidi"/>
          <w:b w:val="0"/>
          <w:bCs w:val="0"/>
          <w:noProof/>
          <w:sz w:val="22"/>
          <w:szCs w:val="22"/>
          <w:lang w:eastAsia="en-AU"/>
        </w:rPr>
      </w:pPr>
      <w:hyperlink w:anchor="_Toc395171276" w:history="1">
        <w:r w:rsidR="00C50405" w:rsidRPr="002B7007">
          <w:rPr>
            <w:rStyle w:val="Hyperlink"/>
            <w:noProof/>
          </w:rPr>
          <w:t>4</w:t>
        </w:r>
        <w:r w:rsidR="00C50405">
          <w:rPr>
            <w:rFonts w:asciiTheme="minorHAnsi" w:eastAsiaTheme="minorEastAsia" w:hAnsiTheme="minorHAnsi" w:cstheme="minorBidi"/>
            <w:b w:val="0"/>
            <w:bCs w:val="0"/>
            <w:noProof/>
            <w:sz w:val="22"/>
            <w:szCs w:val="22"/>
            <w:lang w:eastAsia="en-AU"/>
          </w:rPr>
          <w:tab/>
        </w:r>
        <w:r w:rsidR="00C50405" w:rsidRPr="002B7007">
          <w:rPr>
            <w:rStyle w:val="Hyperlink"/>
            <w:noProof/>
          </w:rPr>
          <w:t>Consultation and submissions to the draft decision</w:t>
        </w:r>
        <w:r w:rsidR="00C50405">
          <w:rPr>
            <w:noProof/>
            <w:webHidden/>
          </w:rPr>
          <w:tab/>
        </w:r>
        <w:r w:rsidR="00C50405">
          <w:rPr>
            <w:noProof/>
            <w:webHidden/>
          </w:rPr>
          <w:fldChar w:fldCharType="begin"/>
        </w:r>
        <w:r w:rsidR="00C50405">
          <w:rPr>
            <w:noProof/>
            <w:webHidden/>
          </w:rPr>
          <w:instrText xml:space="preserve"> PAGEREF _Toc395171276 \h </w:instrText>
        </w:r>
        <w:r w:rsidR="00C50405">
          <w:rPr>
            <w:noProof/>
            <w:webHidden/>
          </w:rPr>
        </w:r>
        <w:r w:rsidR="00C50405">
          <w:rPr>
            <w:noProof/>
            <w:webHidden/>
          </w:rPr>
          <w:fldChar w:fldCharType="separate"/>
        </w:r>
        <w:r w:rsidR="00202B9C">
          <w:rPr>
            <w:noProof/>
            <w:webHidden/>
          </w:rPr>
          <w:t>10</w:t>
        </w:r>
        <w:r w:rsidR="00C50405">
          <w:rPr>
            <w:noProof/>
            <w:webHidden/>
          </w:rPr>
          <w:fldChar w:fldCharType="end"/>
        </w:r>
      </w:hyperlink>
    </w:p>
    <w:p w:rsidR="00C50405" w:rsidRDefault="008E2D50">
      <w:pPr>
        <w:pStyle w:val="TOC1"/>
        <w:tabs>
          <w:tab w:val="left" w:pos="440"/>
        </w:tabs>
        <w:rPr>
          <w:rFonts w:asciiTheme="minorHAnsi" w:eastAsiaTheme="minorEastAsia" w:hAnsiTheme="minorHAnsi" w:cstheme="minorBidi"/>
          <w:b w:val="0"/>
          <w:bCs w:val="0"/>
          <w:noProof/>
          <w:sz w:val="22"/>
          <w:szCs w:val="22"/>
          <w:lang w:eastAsia="en-AU"/>
        </w:rPr>
      </w:pPr>
      <w:hyperlink w:anchor="_Toc395171277" w:history="1">
        <w:r w:rsidR="00C50405" w:rsidRPr="002B7007">
          <w:rPr>
            <w:rStyle w:val="Hyperlink"/>
            <w:noProof/>
          </w:rPr>
          <w:t>5</w:t>
        </w:r>
        <w:r w:rsidR="00C50405">
          <w:rPr>
            <w:rFonts w:asciiTheme="minorHAnsi" w:eastAsiaTheme="minorEastAsia" w:hAnsiTheme="minorHAnsi" w:cstheme="minorBidi"/>
            <w:b w:val="0"/>
            <w:bCs w:val="0"/>
            <w:noProof/>
            <w:sz w:val="22"/>
            <w:szCs w:val="22"/>
            <w:lang w:eastAsia="en-AU"/>
          </w:rPr>
          <w:tab/>
        </w:r>
        <w:r w:rsidR="00C50405" w:rsidRPr="002B7007">
          <w:rPr>
            <w:rStyle w:val="Hyperlink"/>
            <w:noProof/>
          </w:rPr>
          <w:t>Final f-factor amount determinations</w:t>
        </w:r>
        <w:r w:rsidR="00C50405">
          <w:rPr>
            <w:noProof/>
            <w:webHidden/>
          </w:rPr>
          <w:tab/>
        </w:r>
        <w:r w:rsidR="00C50405">
          <w:rPr>
            <w:noProof/>
            <w:webHidden/>
          </w:rPr>
          <w:fldChar w:fldCharType="begin"/>
        </w:r>
        <w:r w:rsidR="00C50405">
          <w:rPr>
            <w:noProof/>
            <w:webHidden/>
          </w:rPr>
          <w:instrText xml:space="preserve"> PAGEREF _Toc395171277 \h </w:instrText>
        </w:r>
        <w:r w:rsidR="00C50405">
          <w:rPr>
            <w:noProof/>
            <w:webHidden/>
          </w:rPr>
        </w:r>
        <w:r w:rsidR="00C50405">
          <w:rPr>
            <w:noProof/>
            <w:webHidden/>
          </w:rPr>
          <w:fldChar w:fldCharType="separate"/>
        </w:r>
        <w:r w:rsidR="00202B9C">
          <w:rPr>
            <w:noProof/>
            <w:webHidden/>
          </w:rPr>
          <w:t>11</w:t>
        </w:r>
        <w:r w:rsidR="00C50405">
          <w:rPr>
            <w:noProof/>
            <w:webHidden/>
          </w:rPr>
          <w:fldChar w:fldCharType="end"/>
        </w:r>
      </w:hyperlink>
    </w:p>
    <w:p w:rsidR="007D460C" w:rsidRPr="00AF3E95" w:rsidRDefault="007D460C" w:rsidP="007D460C">
      <w:pPr>
        <w:pStyle w:val="AERbodytext"/>
        <w:numPr>
          <w:ilvl w:val="0"/>
          <w:numId w:val="0"/>
        </w:numPr>
      </w:pPr>
      <w:r>
        <w:fldChar w:fldCharType="end"/>
      </w:r>
    </w:p>
    <w:p w:rsidR="007D460C" w:rsidRPr="00661C6A" w:rsidRDefault="007D460C" w:rsidP="007D460C">
      <w:pPr>
        <w:pStyle w:val="Heading1"/>
        <w:numPr>
          <w:ilvl w:val="0"/>
          <w:numId w:val="0"/>
        </w:numPr>
      </w:pPr>
      <w:bookmarkStart w:id="3" w:name="_Toc356990196"/>
      <w:bookmarkStart w:id="4" w:name="_Toc395171266"/>
      <w:r>
        <w:lastRenderedPageBreak/>
        <w:t>Shortened forms</w:t>
      </w:r>
      <w:bookmarkEnd w:id="3"/>
      <w:bookmarkEnd w:id="4"/>
      <w:r w:rsidRPr="00661C6A">
        <w:t xml:space="preserve"> </w:t>
      </w:r>
    </w:p>
    <w:p w:rsidR="007D460C" w:rsidRDefault="007D460C" w:rsidP="007D460C">
      <w:pPr>
        <w:pStyle w:val="AERbodytext"/>
        <w:rPr>
          <w:rStyle w:val="AERbody"/>
        </w:rPr>
      </w:pPr>
      <w:r>
        <w:rPr>
          <w:rStyle w:val="AERbody"/>
        </w:rPr>
        <w:t>AER</w:t>
      </w:r>
      <w:r>
        <w:rPr>
          <w:rStyle w:val="AERbody"/>
        </w:rPr>
        <w:tab/>
      </w:r>
      <w:r>
        <w:rPr>
          <w:rStyle w:val="AERbody"/>
        </w:rPr>
        <w:tab/>
      </w:r>
      <w:r>
        <w:rPr>
          <w:rStyle w:val="AERbody"/>
        </w:rPr>
        <w:tab/>
      </w:r>
      <w:r>
        <w:rPr>
          <w:rStyle w:val="AERbody"/>
        </w:rPr>
        <w:tab/>
      </w:r>
      <w:r>
        <w:rPr>
          <w:rStyle w:val="AERbody"/>
        </w:rPr>
        <w:tab/>
        <w:t>Australian Energy Regulator</w:t>
      </w:r>
    </w:p>
    <w:p w:rsidR="007D460C" w:rsidRDefault="007D460C" w:rsidP="007D460C">
      <w:pPr>
        <w:pStyle w:val="AERbodytext"/>
        <w:numPr>
          <w:ilvl w:val="0"/>
          <w:numId w:val="5"/>
        </w:numPr>
        <w:rPr>
          <w:rStyle w:val="AERbody"/>
        </w:rPr>
      </w:pPr>
      <w:r>
        <w:rPr>
          <w:rStyle w:val="AERbody"/>
        </w:rPr>
        <w:t>DNSP</w:t>
      </w:r>
      <w:r>
        <w:rPr>
          <w:rStyle w:val="AERbody"/>
        </w:rPr>
        <w:tab/>
      </w:r>
      <w:r>
        <w:rPr>
          <w:rStyle w:val="AERbody"/>
        </w:rPr>
        <w:tab/>
      </w:r>
      <w:r>
        <w:rPr>
          <w:rStyle w:val="AERbody"/>
        </w:rPr>
        <w:tab/>
      </w:r>
      <w:r>
        <w:rPr>
          <w:rStyle w:val="AERbody"/>
        </w:rPr>
        <w:tab/>
      </w:r>
      <w:r>
        <w:rPr>
          <w:rStyle w:val="AERbody"/>
        </w:rPr>
        <w:tab/>
        <w:t>Electricity Distribution Network Service Provider</w:t>
      </w:r>
    </w:p>
    <w:p w:rsidR="007D460C" w:rsidRDefault="007D460C" w:rsidP="007D460C">
      <w:pPr>
        <w:pStyle w:val="AERbodytext"/>
        <w:numPr>
          <w:ilvl w:val="0"/>
          <w:numId w:val="5"/>
        </w:numPr>
        <w:rPr>
          <w:rStyle w:val="AERbody"/>
        </w:rPr>
      </w:pPr>
      <w:r>
        <w:rPr>
          <w:rStyle w:val="AERbody"/>
        </w:rPr>
        <w:t xml:space="preserve">NER </w:t>
      </w:r>
      <w:r>
        <w:rPr>
          <w:rStyle w:val="AERbody"/>
        </w:rPr>
        <w:tab/>
      </w:r>
      <w:r>
        <w:rPr>
          <w:rStyle w:val="AERbody"/>
        </w:rPr>
        <w:tab/>
      </w:r>
      <w:r>
        <w:rPr>
          <w:rStyle w:val="AERbody"/>
        </w:rPr>
        <w:tab/>
      </w:r>
      <w:r>
        <w:rPr>
          <w:rStyle w:val="AERbody"/>
        </w:rPr>
        <w:tab/>
      </w:r>
      <w:r>
        <w:rPr>
          <w:rStyle w:val="AERbody"/>
        </w:rPr>
        <w:tab/>
      </w:r>
      <w:r w:rsidRPr="00751C4C">
        <w:rPr>
          <w:rStyle w:val="AERtextitalic"/>
        </w:rPr>
        <w:t>National Electricity Rules</w:t>
      </w:r>
    </w:p>
    <w:p w:rsidR="007D460C" w:rsidRDefault="007D460C" w:rsidP="007D460C">
      <w:pPr>
        <w:pStyle w:val="AERbodytext"/>
        <w:numPr>
          <w:ilvl w:val="0"/>
          <w:numId w:val="5"/>
        </w:numPr>
        <w:rPr>
          <w:rStyle w:val="AERbody"/>
        </w:rPr>
      </w:pPr>
      <w:r>
        <w:rPr>
          <w:rStyle w:val="AERbody"/>
        </w:rPr>
        <w:t>NEVA</w:t>
      </w:r>
      <w:r>
        <w:rPr>
          <w:rStyle w:val="AERbody"/>
        </w:rPr>
        <w:tab/>
      </w:r>
      <w:r>
        <w:rPr>
          <w:rStyle w:val="AERbody"/>
        </w:rPr>
        <w:tab/>
      </w:r>
      <w:r>
        <w:rPr>
          <w:rStyle w:val="AERbody"/>
        </w:rPr>
        <w:tab/>
      </w:r>
      <w:r>
        <w:rPr>
          <w:rStyle w:val="AERbody"/>
        </w:rPr>
        <w:tab/>
      </w:r>
      <w:r>
        <w:rPr>
          <w:rStyle w:val="AERbody"/>
        </w:rPr>
        <w:tab/>
      </w:r>
      <w:r>
        <w:rPr>
          <w:rStyle w:val="AERtextitalic"/>
        </w:rPr>
        <w:t>National Electricity (Victoria) Act 2005</w:t>
      </w:r>
    </w:p>
    <w:p w:rsidR="007D460C" w:rsidRDefault="007D460C" w:rsidP="007D460C">
      <w:pPr>
        <w:pStyle w:val="AERbodytext"/>
        <w:numPr>
          <w:ilvl w:val="0"/>
          <w:numId w:val="5"/>
        </w:numPr>
        <w:rPr>
          <w:rStyle w:val="AERbody"/>
        </w:rPr>
      </w:pPr>
      <w:r>
        <w:rPr>
          <w:rStyle w:val="AERbody"/>
        </w:rPr>
        <w:t>ESV</w:t>
      </w:r>
      <w:r>
        <w:rPr>
          <w:rStyle w:val="AERbody"/>
        </w:rPr>
        <w:tab/>
      </w:r>
      <w:r>
        <w:rPr>
          <w:rStyle w:val="AERbody"/>
        </w:rPr>
        <w:tab/>
      </w:r>
      <w:r>
        <w:rPr>
          <w:rStyle w:val="AERbody"/>
        </w:rPr>
        <w:tab/>
      </w:r>
      <w:r>
        <w:rPr>
          <w:rStyle w:val="AERbody"/>
        </w:rPr>
        <w:tab/>
      </w:r>
      <w:r>
        <w:rPr>
          <w:rStyle w:val="AERbody"/>
        </w:rPr>
        <w:tab/>
        <w:t>Energy Safe Victoria</w:t>
      </w:r>
    </w:p>
    <w:p w:rsidR="007D460C" w:rsidRDefault="007D460C" w:rsidP="007D460C">
      <w:pPr>
        <w:pStyle w:val="AERbodytext"/>
        <w:numPr>
          <w:ilvl w:val="0"/>
          <w:numId w:val="5"/>
        </w:numPr>
        <w:rPr>
          <w:rStyle w:val="AERbody"/>
        </w:rPr>
      </w:pPr>
      <w:r>
        <w:rPr>
          <w:rStyle w:val="AERbody"/>
        </w:rPr>
        <w:t>the Order</w:t>
      </w:r>
      <w:r>
        <w:rPr>
          <w:rStyle w:val="AERbody"/>
        </w:rPr>
        <w:tab/>
      </w:r>
      <w:r>
        <w:rPr>
          <w:rStyle w:val="AERbody"/>
        </w:rPr>
        <w:tab/>
      </w:r>
      <w:r>
        <w:rPr>
          <w:rStyle w:val="AERbody"/>
        </w:rPr>
        <w:tab/>
      </w:r>
      <w:r>
        <w:rPr>
          <w:rStyle w:val="AERbody"/>
        </w:rPr>
        <w:tab/>
      </w:r>
      <w:r>
        <w:rPr>
          <w:rStyle w:val="AERtextitalic"/>
        </w:rPr>
        <w:t>f-factor scheme order 2011</w:t>
      </w:r>
      <w:r>
        <w:rPr>
          <w:rStyle w:val="AERbody"/>
        </w:rPr>
        <w:t xml:space="preserve"> </w:t>
      </w:r>
    </w:p>
    <w:p w:rsidR="007D460C" w:rsidRDefault="007D460C" w:rsidP="007D460C">
      <w:pPr>
        <w:pStyle w:val="AERbodytext"/>
      </w:pPr>
    </w:p>
    <w:p w:rsidR="007D460C" w:rsidRPr="008E0F5D" w:rsidRDefault="00875385" w:rsidP="007D460C">
      <w:pPr>
        <w:pStyle w:val="Heading1"/>
      </w:pPr>
      <w:bookmarkStart w:id="5" w:name="_Toc395171267"/>
      <w:r>
        <w:lastRenderedPageBreak/>
        <w:t>S</w:t>
      </w:r>
      <w:r w:rsidR="00C26A20">
        <w:t>ummary</w:t>
      </w:r>
      <w:bookmarkEnd w:id="5"/>
      <w:r w:rsidR="00C26A20">
        <w:t xml:space="preserve"> </w:t>
      </w:r>
    </w:p>
    <w:p w:rsidR="00083A97" w:rsidRDefault="004A69A2" w:rsidP="004A69A2">
      <w:pPr>
        <w:pStyle w:val="AERbodytext"/>
        <w:numPr>
          <w:ilvl w:val="0"/>
          <w:numId w:val="9"/>
        </w:numPr>
        <w:rPr>
          <w:rStyle w:val="AERbody"/>
        </w:rPr>
      </w:pPr>
      <w:r w:rsidRPr="00FD6E35">
        <w:rPr>
          <w:rStyle w:val="AERbody"/>
        </w:rPr>
        <w:t xml:space="preserve">On 24 June 2010, the Victorian Parliament passed the </w:t>
      </w:r>
      <w:r w:rsidRPr="00FD6E35">
        <w:rPr>
          <w:rStyle w:val="AERbody"/>
          <w:i/>
        </w:rPr>
        <w:t>Energy and Resources Legislation Amendment Act 2010</w:t>
      </w:r>
      <w:r w:rsidRPr="00FD6E35">
        <w:rPr>
          <w:rStyle w:val="AERbody"/>
        </w:rPr>
        <w:t xml:space="preserve">. The Act amended the </w:t>
      </w:r>
      <w:r w:rsidRPr="00FD6E35">
        <w:rPr>
          <w:rStyle w:val="AERbody"/>
          <w:i/>
        </w:rPr>
        <w:t>National Electricity (Victoria) Act 2005</w:t>
      </w:r>
      <w:r w:rsidRPr="00FD6E35">
        <w:rPr>
          <w:rStyle w:val="AERbody"/>
        </w:rPr>
        <w:t xml:space="preserve"> (the NEVA) to introduce an 'f-factor scheme'. The Victorian Government published the f-factor scheme order 2011 (the Order) on 23 June 2011 under the NEVA. </w:t>
      </w:r>
    </w:p>
    <w:p w:rsidR="004A69A2" w:rsidRPr="00FD6E35" w:rsidRDefault="004A69A2" w:rsidP="004A69A2">
      <w:pPr>
        <w:pStyle w:val="AERbodytext"/>
        <w:numPr>
          <w:ilvl w:val="0"/>
          <w:numId w:val="9"/>
        </w:numPr>
        <w:rPr>
          <w:rStyle w:val="AERbody"/>
        </w:rPr>
      </w:pPr>
      <w:r w:rsidRPr="00FD6E35">
        <w:rPr>
          <w:rStyle w:val="AERbody"/>
        </w:rPr>
        <w:t xml:space="preserve">The scheme provides incentives for </w:t>
      </w:r>
      <w:r w:rsidR="00E81DAD">
        <w:rPr>
          <w:rStyle w:val="AERbody"/>
        </w:rPr>
        <w:t xml:space="preserve">Victorian </w:t>
      </w:r>
      <w:r w:rsidRPr="00FD6E35">
        <w:rPr>
          <w:rStyle w:val="AERbody"/>
        </w:rPr>
        <w:t>Distribution Network Service Providers (DNSPs) to reduce the risk of fire starts due to electricity infrastructure, and to reduce the risk of loss or damage caused by fire starts.</w:t>
      </w:r>
      <w:r w:rsidR="004776E5" w:rsidRPr="00FD6E35">
        <w:rPr>
          <w:rStyle w:val="FootnoteReference"/>
        </w:rPr>
        <w:footnoteReference w:id="1"/>
      </w:r>
      <w:r w:rsidRPr="00FD6E35">
        <w:rPr>
          <w:rStyle w:val="AERbody"/>
        </w:rPr>
        <w:t xml:space="preserve"> The Order prescribes that, for the first four years of the scheme (2012-15), DNSPs will be either rewarded or penalised at the pre-determined incentive rate of $25,000 per fire for performing better or worse than their respective targets.</w:t>
      </w:r>
      <w:r w:rsidR="006C301E" w:rsidRPr="00FD6E35">
        <w:rPr>
          <w:rStyle w:val="AERbody"/>
        </w:rPr>
        <w:t xml:space="preserve"> </w:t>
      </w:r>
    </w:p>
    <w:p w:rsidR="004A69A2" w:rsidRPr="004A69A2" w:rsidRDefault="004A69A2" w:rsidP="004A69A2">
      <w:pPr>
        <w:pStyle w:val="AERbodytext"/>
        <w:numPr>
          <w:ilvl w:val="0"/>
          <w:numId w:val="8"/>
        </w:numPr>
        <w:rPr>
          <w:rStyle w:val="AERbody"/>
        </w:rPr>
      </w:pPr>
      <w:r w:rsidRPr="004A69A2">
        <w:rPr>
          <w:rStyle w:val="AERbody"/>
        </w:rPr>
        <w:t xml:space="preserve">The Order requires </w:t>
      </w:r>
      <w:r w:rsidR="00C92D2D">
        <w:rPr>
          <w:rStyle w:val="AERbody"/>
        </w:rPr>
        <w:t>us</w:t>
      </w:r>
      <w:r w:rsidR="003649B9">
        <w:rPr>
          <w:rStyle w:val="AERbody"/>
        </w:rPr>
        <w:t xml:space="preserve"> (the AER)</w:t>
      </w:r>
      <w:r w:rsidRPr="004A69A2">
        <w:rPr>
          <w:rStyle w:val="AERbody"/>
        </w:rPr>
        <w:t xml:space="preserve"> to set the fire start targets for 2012-15 on the basis </w:t>
      </w:r>
      <w:r w:rsidR="00202B9C" w:rsidRPr="004A69A2">
        <w:rPr>
          <w:rStyle w:val="AERbody"/>
        </w:rPr>
        <w:t>of historical</w:t>
      </w:r>
      <w:r w:rsidRPr="004A69A2">
        <w:rPr>
          <w:rStyle w:val="AERbody"/>
        </w:rPr>
        <w:t xml:space="preserve"> average</w:t>
      </w:r>
      <w:r w:rsidR="000108D9">
        <w:rPr>
          <w:rStyle w:val="AERbody"/>
        </w:rPr>
        <w:t>s</w:t>
      </w:r>
      <w:r w:rsidRPr="004A69A2">
        <w:rPr>
          <w:rStyle w:val="AERbody"/>
        </w:rPr>
        <w:t xml:space="preserve"> and to determine the annual reward/penalty amounts for this period, at the rate of $25,000 per fire. </w:t>
      </w:r>
      <w:r w:rsidR="000108D9">
        <w:rPr>
          <w:rStyle w:val="AERbody"/>
        </w:rPr>
        <w:t>We published fire start benchmark targets for each DNSP in 2011.</w:t>
      </w:r>
      <w:r w:rsidR="004776E5">
        <w:rPr>
          <w:rStyle w:val="FootnoteReference"/>
        </w:rPr>
        <w:footnoteReference w:id="2"/>
      </w:r>
      <w:r w:rsidR="008964CB">
        <w:rPr>
          <w:rStyle w:val="AERbody"/>
        </w:rPr>
        <w:t xml:space="preserve"> </w:t>
      </w:r>
    </w:p>
    <w:p w:rsidR="00E81DAD" w:rsidRDefault="004A69A2" w:rsidP="004A69A2">
      <w:pPr>
        <w:pStyle w:val="AERbodytext"/>
        <w:numPr>
          <w:ilvl w:val="0"/>
          <w:numId w:val="0"/>
        </w:numPr>
        <w:rPr>
          <w:rStyle w:val="AERbody"/>
        </w:rPr>
      </w:pPr>
      <w:r w:rsidRPr="004A69A2">
        <w:rPr>
          <w:rStyle w:val="AERbody"/>
        </w:rPr>
        <w:t xml:space="preserve">On </w:t>
      </w:r>
      <w:r w:rsidR="00E81DAD">
        <w:rPr>
          <w:rStyle w:val="AERbody"/>
        </w:rPr>
        <w:t>14</w:t>
      </w:r>
      <w:r w:rsidRPr="004A69A2">
        <w:rPr>
          <w:rStyle w:val="AERbody"/>
        </w:rPr>
        <w:t xml:space="preserve"> June 201</w:t>
      </w:r>
      <w:r w:rsidR="00E81DAD">
        <w:rPr>
          <w:rStyle w:val="AERbody"/>
        </w:rPr>
        <w:t>4</w:t>
      </w:r>
      <w:r w:rsidRPr="004A69A2">
        <w:rPr>
          <w:rStyle w:val="AERbody"/>
        </w:rPr>
        <w:t xml:space="preserve">, </w:t>
      </w:r>
      <w:r w:rsidR="006C301E">
        <w:rPr>
          <w:rStyle w:val="AERbody"/>
        </w:rPr>
        <w:t>we published</w:t>
      </w:r>
      <w:r w:rsidRPr="004A69A2">
        <w:rPr>
          <w:rStyle w:val="AERbody"/>
        </w:rPr>
        <w:t xml:space="preserve"> </w:t>
      </w:r>
      <w:r w:rsidR="006C301E">
        <w:rPr>
          <w:rStyle w:val="AERbody"/>
        </w:rPr>
        <w:t>a draft</w:t>
      </w:r>
      <w:r w:rsidRPr="004A69A2">
        <w:rPr>
          <w:rStyle w:val="AERbody"/>
        </w:rPr>
        <w:t xml:space="preserve"> </w:t>
      </w:r>
      <w:r w:rsidR="006C301E">
        <w:rPr>
          <w:rStyle w:val="AERbody"/>
        </w:rPr>
        <w:t xml:space="preserve">determination </w:t>
      </w:r>
      <w:r w:rsidR="005F324E">
        <w:rPr>
          <w:rStyle w:val="AERbody"/>
        </w:rPr>
        <w:t xml:space="preserve">for consultation </w:t>
      </w:r>
      <w:r w:rsidR="00F017C2">
        <w:rPr>
          <w:rStyle w:val="AERbody"/>
        </w:rPr>
        <w:t xml:space="preserve">on the proposed f-factor outcome amounts for each DNSP for the </w:t>
      </w:r>
      <w:r w:rsidR="00E81DAD">
        <w:rPr>
          <w:rStyle w:val="AERbody"/>
        </w:rPr>
        <w:t xml:space="preserve">fire start outcomes of </w:t>
      </w:r>
      <w:r w:rsidR="00F017C2">
        <w:rPr>
          <w:rStyle w:val="AERbody"/>
        </w:rPr>
        <w:t>201</w:t>
      </w:r>
      <w:r w:rsidR="00E81DAD">
        <w:rPr>
          <w:rStyle w:val="AERbody"/>
        </w:rPr>
        <w:t>3</w:t>
      </w:r>
      <w:r w:rsidR="00F017C2">
        <w:rPr>
          <w:rStyle w:val="AERbody"/>
        </w:rPr>
        <w:t xml:space="preserve"> calendar year.</w:t>
      </w:r>
      <w:r w:rsidR="00E81DAD">
        <w:rPr>
          <w:rStyle w:val="AERbody"/>
        </w:rPr>
        <w:t xml:space="preserve"> </w:t>
      </w:r>
      <w:r w:rsidR="000108D9">
        <w:rPr>
          <w:rStyle w:val="AERbody"/>
        </w:rPr>
        <w:t>Three submissions were received</w:t>
      </w:r>
      <w:r w:rsidR="00D57FB7">
        <w:rPr>
          <w:rStyle w:val="AERbody"/>
        </w:rPr>
        <w:t>,</w:t>
      </w:r>
      <w:r w:rsidR="00202B9C">
        <w:rPr>
          <w:rStyle w:val="FootnoteReference"/>
        </w:rPr>
        <w:footnoteReference w:id="3"/>
      </w:r>
      <w:r w:rsidR="000108D9">
        <w:rPr>
          <w:rStyle w:val="AERbody"/>
        </w:rPr>
        <w:t xml:space="preserve"> but no specific issues were raised on the draft determination.</w:t>
      </w:r>
    </w:p>
    <w:p w:rsidR="007C4DB4" w:rsidRPr="007C4DB4" w:rsidRDefault="007C4DB4" w:rsidP="005F324E">
      <w:pPr>
        <w:pStyle w:val="AERbodytext"/>
        <w:numPr>
          <w:ilvl w:val="0"/>
          <w:numId w:val="0"/>
        </w:numPr>
      </w:pPr>
      <w:r w:rsidRPr="007C4DB4">
        <w:t>The DNSPs’ annual allowable revenues for 2015 will be adjusted by the relevant</w:t>
      </w:r>
      <w:r w:rsidR="005F324E">
        <w:t xml:space="preserve"> amounts, </w:t>
      </w:r>
      <w:r w:rsidRPr="007C4DB4">
        <w:t>rang</w:t>
      </w:r>
      <w:r w:rsidR="005F324E">
        <w:t>ing</w:t>
      </w:r>
      <w:r w:rsidRPr="007C4DB4">
        <w:t xml:space="preserve"> from a $2.4 million penalty for Powercor to a $2.0 million reward for SP AusNet. As a result, there will be a small change in network tariffs for 2015</w:t>
      </w:r>
      <w:r>
        <w:t xml:space="preserve"> as shown in Table 1.1</w:t>
      </w:r>
      <w:r w:rsidRPr="007C4DB4">
        <w:t>.</w:t>
      </w:r>
    </w:p>
    <w:p w:rsidR="00536D0E" w:rsidRDefault="00536D0E" w:rsidP="005F324E">
      <w:pPr>
        <w:pStyle w:val="AERbodytext"/>
        <w:numPr>
          <w:ilvl w:val="0"/>
          <w:numId w:val="5"/>
        </w:numPr>
      </w:pPr>
      <w:r w:rsidRPr="003B314A">
        <w:t xml:space="preserve">The f-factor is an incentive scheme. DNSPs can only retain their rewards for sustained and continuous improvements. </w:t>
      </w:r>
      <w:r>
        <w:t>Since the next set of benchmark fire</w:t>
      </w:r>
      <w:r w:rsidR="0040418B">
        <w:t xml:space="preserve"> </w:t>
      </w:r>
      <w:r>
        <w:t>start targets will be based on the averages of the current performance, o</w:t>
      </w:r>
      <w:r w:rsidRPr="003B314A">
        <w:t>nce improvement is made, the fire</w:t>
      </w:r>
      <w:r w:rsidR="0040418B">
        <w:t xml:space="preserve"> </w:t>
      </w:r>
      <w:r w:rsidRPr="003B314A">
        <w:t>start targets will be tightened in future years.</w:t>
      </w:r>
    </w:p>
    <w:p w:rsidR="00536D0E" w:rsidRDefault="00536D0E" w:rsidP="00536D0E">
      <w:pPr>
        <w:pStyle w:val="AERbodytext"/>
        <w:numPr>
          <w:ilvl w:val="0"/>
          <w:numId w:val="5"/>
        </w:numPr>
      </w:pPr>
      <w:r>
        <w:t xml:space="preserve">We note that Jemena and Powercor reported significant increases in fire starts in 2013 from 2012, which were significantly above their benchmark targets. Both DNSPs attributed the increase to </w:t>
      </w:r>
      <w:r w:rsidR="0040418B">
        <w:t xml:space="preserve">a </w:t>
      </w:r>
      <w:r>
        <w:t>higher number of pole and pole top fires.</w:t>
      </w:r>
      <w:r>
        <w:rPr>
          <w:rStyle w:val="FootnoteReference"/>
        </w:rPr>
        <w:footnoteReference w:id="4"/>
      </w:r>
      <w:r>
        <w:t xml:space="preserve"> United Energy also reported </w:t>
      </w:r>
      <w:r w:rsidR="0040418B">
        <w:t xml:space="preserve">an </w:t>
      </w:r>
      <w:r>
        <w:t>increase in fire starts in 2013 to just above the target level. SP AusNet reported a similar number of fire starts as 2012, which was about 30 per cent below the target level.</w:t>
      </w:r>
      <w:r w:rsidR="007C4DB4">
        <w:t xml:space="preserve"> DNSPs’ benchmark fire start</w:t>
      </w:r>
      <w:r w:rsidR="003A619B">
        <w:t>s and their actual</w:t>
      </w:r>
      <w:r w:rsidR="007C4DB4">
        <w:t xml:space="preserve"> outcomes for 2013 and 2012 are shown</w:t>
      </w:r>
      <w:r w:rsidR="003A619B">
        <w:t xml:space="preserve"> in Table 1.2.</w:t>
      </w:r>
    </w:p>
    <w:p w:rsidR="00202B9C" w:rsidRDefault="00202B9C">
      <w:pPr>
        <w:spacing w:after="200" w:line="276" w:lineRule="auto"/>
        <w:jc w:val="left"/>
        <w:rPr>
          <w:rFonts w:eastAsia="Times New Roman"/>
          <w:b/>
          <w:bCs/>
          <w:szCs w:val="18"/>
        </w:rPr>
      </w:pPr>
      <w:r>
        <w:br w:type="page"/>
      </w:r>
    </w:p>
    <w:p w:rsidR="00536D0E" w:rsidRDefault="00536D0E" w:rsidP="00536D0E">
      <w:pPr>
        <w:pStyle w:val="Caption"/>
        <w:tabs>
          <w:tab w:val="clear" w:pos="1440"/>
          <w:tab w:val="left" w:pos="0"/>
        </w:tabs>
        <w:ind w:left="851" w:hanging="851"/>
        <w:jc w:val="left"/>
      </w:pPr>
      <w:r>
        <w:lastRenderedPageBreak/>
        <w:t xml:space="preserve">Table </w:t>
      </w:r>
      <w:r w:rsidR="007C4DB4">
        <w:t>1</w:t>
      </w:r>
      <w:r>
        <w:t xml:space="preserve">.1: </w:t>
      </w:r>
      <w:r w:rsidR="003A619B">
        <w:t>Final determination</w:t>
      </w:r>
      <w:r w:rsidR="00A2584F">
        <w:t>s</w:t>
      </w:r>
      <w:r w:rsidR="003A619B">
        <w:t xml:space="preserve"> on the a</w:t>
      </w:r>
      <w:r w:rsidR="007C4DB4">
        <w:t>djustment amounts to DNSPs</w:t>
      </w:r>
      <w:r w:rsidR="0040418B">
        <w:t>’</w:t>
      </w:r>
      <w:r w:rsidR="007C4DB4">
        <w:t xml:space="preserve"> allowable revenues for 2015 under the </w:t>
      </w:r>
      <w:r>
        <w:t xml:space="preserve">F-factor </w:t>
      </w:r>
      <w:r w:rsidR="007C4DB4">
        <w:t xml:space="preserve">scheme, </w:t>
      </w:r>
      <w:r>
        <w:t>for 2013 fire start results</w:t>
      </w:r>
    </w:p>
    <w:tbl>
      <w:tblPr>
        <w:tblStyle w:val="AERtable-text"/>
        <w:tblW w:w="0" w:type="auto"/>
        <w:tblLook w:val="0420" w:firstRow="1" w:lastRow="0" w:firstColumn="0" w:lastColumn="0" w:noHBand="0" w:noVBand="1"/>
      </w:tblPr>
      <w:tblGrid>
        <w:gridCol w:w="1951"/>
        <w:gridCol w:w="3402"/>
        <w:gridCol w:w="3686"/>
      </w:tblGrid>
      <w:tr w:rsidR="00536D0E" w:rsidRPr="003B314A" w:rsidTr="00456B80">
        <w:trPr>
          <w:cnfStyle w:val="100000000000" w:firstRow="1" w:lastRow="0" w:firstColumn="0" w:lastColumn="0" w:oddVBand="0" w:evenVBand="0" w:oddHBand="0" w:evenHBand="0" w:firstRowFirstColumn="0" w:firstRowLastColumn="0" w:lastRowFirstColumn="0" w:lastRowLastColumn="0"/>
        </w:trPr>
        <w:tc>
          <w:tcPr>
            <w:tcW w:w="1951" w:type="dxa"/>
          </w:tcPr>
          <w:p w:rsidR="00536D0E" w:rsidRPr="003B314A" w:rsidRDefault="00536D0E" w:rsidP="00D40BC3">
            <w:pPr>
              <w:pStyle w:val="AERbulletlistthirdstyle"/>
              <w:numPr>
                <w:ilvl w:val="0"/>
                <w:numId w:val="0"/>
              </w:numPr>
              <w:rPr>
                <w:sz w:val="18"/>
                <w:szCs w:val="16"/>
              </w:rPr>
            </w:pPr>
            <w:r w:rsidRPr="003B314A">
              <w:rPr>
                <w:sz w:val="18"/>
                <w:szCs w:val="16"/>
              </w:rPr>
              <w:t>DNSP</w:t>
            </w:r>
          </w:p>
        </w:tc>
        <w:tc>
          <w:tcPr>
            <w:tcW w:w="3402" w:type="dxa"/>
          </w:tcPr>
          <w:p w:rsidR="00536D0E" w:rsidRPr="003B314A" w:rsidRDefault="005F324E" w:rsidP="00456B80">
            <w:pPr>
              <w:pStyle w:val="AERtabletextright"/>
              <w:ind w:left="176"/>
              <w:jc w:val="center"/>
              <w:rPr>
                <w:color w:val="auto"/>
                <w:sz w:val="18"/>
                <w:szCs w:val="16"/>
              </w:rPr>
            </w:pPr>
            <w:r>
              <w:rPr>
                <w:sz w:val="18"/>
                <w:szCs w:val="16"/>
              </w:rPr>
              <w:t>Adjustment (</w:t>
            </w:r>
            <w:r w:rsidR="00536D0E" w:rsidRPr="003B314A">
              <w:rPr>
                <w:sz w:val="18"/>
                <w:szCs w:val="16"/>
              </w:rPr>
              <w:t>Pass through amount</w:t>
            </w:r>
            <w:r>
              <w:rPr>
                <w:sz w:val="18"/>
                <w:szCs w:val="16"/>
              </w:rPr>
              <w:t>),</w:t>
            </w:r>
            <w:r w:rsidR="00536D0E" w:rsidRPr="003B314A">
              <w:rPr>
                <w:sz w:val="18"/>
                <w:szCs w:val="16"/>
              </w:rPr>
              <w:t xml:space="preserve"> $</w:t>
            </w:r>
          </w:p>
        </w:tc>
        <w:tc>
          <w:tcPr>
            <w:tcW w:w="3686" w:type="dxa"/>
          </w:tcPr>
          <w:p w:rsidR="00536D0E" w:rsidRPr="003B314A" w:rsidRDefault="00536D0E" w:rsidP="00456B80">
            <w:pPr>
              <w:pStyle w:val="AERtabletextright"/>
              <w:ind w:left="176" w:right="176"/>
              <w:jc w:val="center"/>
              <w:rPr>
                <w:sz w:val="18"/>
                <w:szCs w:val="16"/>
              </w:rPr>
            </w:pPr>
            <w:r w:rsidRPr="003B314A">
              <w:rPr>
                <w:sz w:val="18"/>
                <w:szCs w:val="16"/>
              </w:rPr>
              <w:t>Approximate charge ($) per customer p.a.</w:t>
            </w:r>
          </w:p>
        </w:tc>
      </w:tr>
      <w:tr w:rsidR="00536D0E" w:rsidRPr="00456B80" w:rsidTr="00456B80">
        <w:trPr>
          <w:trHeight w:val="411"/>
        </w:trPr>
        <w:tc>
          <w:tcPr>
            <w:tcW w:w="1951" w:type="dxa"/>
          </w:tcPr>
          <w:p w:rsidR="00536D0E" w:rsidRPr="00456B80" w:rsidRDefault="00536D0E" w:rsidP="00D40BC3">
            <w:pPr>
              <w:pStyle w:val="AERbulletlistthirdstyle"/>
              <w:numPr>
                <w:ilvl w:val="0"/>
                <w:numId w:val="0"/>
              </w:numPr>
              <w:spacing w:after="120" w:line="240" w:lineRule="auto"/>
              <w:rPr>
                <w:sz w:val="18"/>
                <w:szCs w:val="16"/>
              </w:rPr>
            </w:pPr>
            <w:r w:rsidRPr="00456B80">
              <w:rPr>
                <w:sz w:val="18"/>
                <w:szCs w:val="16"/>
              </w:rPr>
              <w:t>CitiPower</w:t>
            </w:r>
          </w:p>
        </w:tc>
        <w:tc>
          <w:tcPr>
            <w:tcW w:w="3402" w:type="dxa"/>
          </w:tcPr>
          <w:p w:rsidR="00536D0E" w:rsidRPr="00456B80" w:rsidRDefault="00536D0E" w:rsidP="00456B80">
            <w:pPr>
              <w:pStyle w:val="AERtabletextright"/>
              <w:tabs>
                <w:tab w:val="left" w:pos="2018"/>
              </w:tabs>
              <w:spacing w:after="120" w:line="240" w:lineRule="auto"/>
              <w:ind w:right="1026"/>
              <w:rPr>
                <w:sz w:val="18"/>
                <w:szCs w:val="16"/>
              </w:rPr>
            </w:pPr>
            <w:r w:rsidRPr="00456B80">
              <w:rPr>
                <w:sz w:val="18"/>
                <w:szCs w:val="16"/>
              </w:rPr>
              <w:t>(65,000)</w:t>
            </w:r>
          </w:p>
        </w:tc>
        <w:tc>
          <w:tcPr>
            <w:tcW w:w="3686" w:type="dxa"/>
          </w:tcPr>
          <w:p w:rsidR="00536D0E" w:rsidRPr="00456B80" w:rsidRDefault="00536D0E" w:rsidP="00D40BC3">
            <w:pPr>
              <w:pStyle w:val="AERtabletextright"/>
              <w:spacing w:after="120" w:line="240" w:lineRule="auto"/>
              <w:ind w:right="1310"/>
              <w:rPr>
                <w:sz w:val="18"/>
                <w:szCs w:val="16"/>
              </w:rPr>
            </w:pPr>
            <w:r w:rsidRPr="00456B80">
              <w:rPr>
                <w:sz w:val="18"/>
                <w:szCs w:val="16"/>
              </w:rPr>
              <w:t>(0.21)</w:t>
            </w:r>
          </w:p>
        </w:tc>
      </w:tr>
      <w:tr w:rsidR="00536D0E" w:rsidRPr="00456B80" w:rsidTr="00456B80">
        <w:trPr>
          <w:cnfStyle w:val="000000010000" w:firstRow="0" w:lastRow="0" w:firstColumn="0" w:lastColumn="0" w:oddVBand="0" w:evenVBand="0" w:oddHBand="0" w:evenHBand="1" w:firstRowFirstColumn="0" w:firstRowLastColumn="0" w:lastRowFirstColumn="0" w:lastRowLastColumn="0"/>
        </w:trPr>
        <w:tc>
          <w:tcPr>
            <w:tcW w:w="1951" w:type="dxa"/>
          </w:tcPr>
          <w:p w:rsidR="00536D0E" w:rsidRPr="00456B80" w:rsidRDefault="00536D0E" w:rsidP="00D40BC3">
            <w:pPr>
              <w:pStyle w:val="AERbulletlistthirdstyle"/>
              <w:numPr>
                <w:ilvl w:val="0"/>
                <w:numId w:val="0"/>
              </w:numPr>
              <w:spacing w:after="120" w:line="240" w:lineRule="auto"/>
              <w:rPr>
                <w:sz w:val="18"/>
                <w:szCs w:val="16"/>
              </w:rPr>
            </w:pPr>
            <w:r w:rsidRPr="00456B80">
              <w:rPr>
                <w:sz w:val="18"/>
                <w:szCs w:val="16"/>
              </w:rPr>
              <w:t>Powercor</w:t>
            </w:r>
          </w:p>
        </w:tc>
        <w:tc>
          <w:tcPr>
            <w:tcW w:w="3402" w:type="dxa"/>
          </w:tcPr>
          <w:p w:rsidR="00536D0E" w:rsidRPr="00456B80" w:rsidRDefault="00536D0E" w:rsidP="00456B80">
            <w:pPr>
              <w:pStyle w:val="AERtabletextright"/>
              <w:tabs>
                <w:tab w:val="left" w:pos="2018"/>
              </w:tabs>
              <w:spacing w:after="120" w:line="240" w:lineRule="auto"/>
              <w:ind w:right="1026"/>
              <w:rPr>
                <w:sz w:val="18"/>
                <w:szCs w:val="16"/>
              </w:rPr>
            </w:pPr>
            <w:r w:rsidRPr="00456B80">
              <w:rPr>
                <w:sz w:val="18"/>
                <w:szCs w:val="16"/>
              </w:rPr>
              <w:t>(2,405,000)</w:t>
            </w:r>
          </w:p>
        </w:tc>
        <w:tc>
          <w:tcPr>
            <w:tcW w:w="3686" w:type="dxa"/>
          </w:tcPr>
          <w:p w:rsidR="00536D0E" w:rsidRPr="00456B80" w:rsidRDefault="00536D0E" w:rsidP="00D40BC3">
            <w:pPr>
              <w:pStyle w:val="AERtabletextright"/>
              <w:spacing w:after="120" w:line="240" w:lineRule="auto"/>
              <w:ind w:right="1310"/>
              <w:rPr>
                <w:sz w:val="18"/>
                <w:szCs w:val="16"/>
              </w:rPr>
            </w:pPr>
            <w:r w:rsidRPr="00456B80">
              <w:rPr>
                <w:sz w:val="18"/>
                <w:szCs w:val="16"/>
              </w:rPr>
              <w:t>(3.27)</w:t>
            </w:r>
          </w:p>
        </w:tc>
      </w:tr>
      <w:tr w:rsidR="00536D0E" w:rsidRPr="00456B80" w:rsidTr="00456B80">
        <w:tc>
          <w:tcPr>
            <w:tcW w:w="1951" w:type="dxa"/>
          </w:tcPr>
          <w:p w:rsidR="00536D0E" w:rsidRPr="00456B80" w:rsidRDefault="00536D0E" w:rsidP="00D40BC3">
            <w:pPr>
              <w:pStyle w:val="AERbulletlistthirdstyle"/>
              <w:numPr>
                <w:ilvl w:val="0"/>
                <w:numId w:val="0"/>
              </w:numPr>
              <w:spacing w:after="120" w:line="240" w:lineRule="auto"/>
              <w:rPr>
                <w:sz w:val="18"/>
                <w:szCs w:val="16"/>
              </w:rPr>
            </w:pPr>
            <w:r w:rsidRPr="00456B80">
              <w:rPr>
                <w:sz w:val="18"/>
                <w:szCs w:val="16"/>
              </w:rPr>
              <w:t>Jemena</w:t>
            </w:r>
          </w:p>
        </w:tc>
        <w:tc>
          <w:tcPr>
            <w:tcW w:w="3402" w:type="dxa"/>
          </w:tcPr>
          <w:p w:rsidR="00536D0E" w:rsidRPr="00456B80" w:rsidRDefault="00536D0E" w:rsidP="00456B80">
            <w:pPr>
              <w:pStyle w:val="AERtabletextright"/>
              <w:tabs>
                <w:tab w:val="left" w:pos="2018"/>
              </w:tabs>
              <w:spacing w:after="120" w:line="240" w:lineRule="auto"/>
              <w:ind w:right="1026"/>
              <w:rPr>
                <w:sz w:val="18"/>
                <w:szCs w:val="16"/>
              </w:rPr>
            </w:pPr>
            <w:r w:rsidRPr="00456B80">
              <w:rPr>
                <w:sz w:val="18"/>
                <w:szCs w:val="16"/>
              </w:rPr>
              <w:t>(855,000)</w:t>
            </w:r>
          </w:p>
        </w:tc>
        <w:tc>
          <w:tcPr>
            <w:tcW w:w="3686" w:type="dxa"/>
          </w:tcPr>
          <w:p w:rsidR="00536D0E" w:rsidRPr="00456B80" w:rsidRDefault="00536D0E" w:rsidP="00D40BC3">
            <w:pPr>
              <w:pStyle w:val="AERtabletextright"/>
              <w:spacing w:after="120" w:line="240" w:lineRule="auto"/>
              <w:ind w:right="1310"/>
              <w:rPr>
                <w:sz w:val="18"/>
                <w:szCs w:val="16"/>
              </w:rPr>
            </w:pPr>
            <w:r w:rsidRPr="00456B80">
              <w:rPr>
                <w:sz w:val="18"/>
                <w:szCs w:val="16"/>
              </w:rPr>
              <w:t>(2.77)</w:t>
            </w:r>
          </w:p>
        </w:tc>
      </w:tr>
      <w:tr w:rsidR="00536D0E" w:rsidRPr="00456B80" w:rsidTr="00456B80">
        <w:trPr>
          <w:cnfStyle w:val="000000010000" w:firstRow="0" w:lastRow="0" w:firstColumn="0" w:lastColumn="0" w:oddVBand="0" w:evenVBand="0" w:oddHBand="0" w:evenHBand="1" w:firstRowFirstColumn="0" w:firstRowLastColumn="0" w:lastRowFirstColumn="0" w:lastRowLastColumn="0"/>
        </w:trPr>
        <w:tc>
          <w:tcPr>
            <w:tcW w:w="1951" w:type="dxa"/>
          </w:tcPr>
          <w:p w:rsidR="00536D0E" w:rsidRPr="00456B80" w:rsidRDefault="00536D0E" w:rsidP="00D40BC3">
            <w:pPr>
              <w:pStyle w:val="AERbulletlistthirdstyle"/>
              <w:numPr>
                <w:ilvl w:val="0"/>
                <w:numId w:val="0"/>
              </w:numPr>
              <w:spacing w:after="120" w:line="240" w:lineRule="auto"/>
              <w:rPr>
                <w:sz w:val="18"/>
                <w:szCs w:val="16"/>
              </w:rPr>
            </w:pPr>
            <w:r w:rsidRPr="00456B80">
              <w:rPr>
                <w:sz w:val="18"/>
                <w:szCs w:val="16"/>
              </w:rPr>
              <w:t>SP AusNet</w:t>
            </w:r>
          </w:p>
        </w:tc>
        <w:tc>
          <w:tcPr>
            <w:tcW w:w="3402" w:type="dxa"/>
          </w:tcPr>
          <w:p w:rsidR="00536D0E" w:rsidRPr="00456B80" w:rsidRDefault="00536D0E" w:rsidP="00456B80">
            <w:pPr>
              <w:pStyle w:val="AERtabletextright"/>
              <w:tabs>
                <w:tab w:val="left" w:pos="2018"/>
              </w:tabs>
              <w:spacing w:after="120" w:line="240" w:lineRule="auto"/>
              <w:ind w:right="1026"/>
              <w:rPr>
                <w:sz w:val="18"/>
                <w:szCs w:val="16"/>
              </w:rPr>
            </w:pPr>
            <w:r w:rsidRPr="00456B80">
              <w:rPr>
                <w:sz w:val="18"/>
                <w:szCs w:val="16"/>
              </w:rPr>
              <w:t>2,020,000</w:t>
            </w:r>
          </w:p>
        </w:tc>
        <w:tc>
          <w:tcPr>
            <w:tcW w:w="3686" w:type="dxa"/>
          </w:tcPr>
          <w:p w:rsidR="00536D0E" w:rsidRPr="00456B80" w:rsidRDefault="00536D0E" w:rsidP="00D40BC3">
            <w:pPr>
              <w:pStyle w:val="AERtabletextright"/>
              <w:spacing w:after="120" w:line="240" w:lineRule="auto"/>
              <w:ind w:right="1310"/>
              <w:rPr>
                <w:sz w:val="18"/>
                <w:szCs w:val="16"/>
              </w:rPr>
            </w:pPr>
            <w:r w:rsidRPr="00456B80">
              <w:rPr>
                <w:sz w:val="18"/>
                <w:szCs w:val="16"/>
              </w:rPr>
              <w:t>3.11</w:t>
            </w:r>
          </w:p>
        </w:tc>
      </w:tr>
      <w:tr w:rsidR="00536D0E" w:rsidRPr="00456B80" w:rsidTr="00456B80">
        <w:tc>
          <w:tcPr>
            <w:tcW w:w="1951" w:type="dxa"/>
          </w:tcPr>
          <w:p w:rsidR="00536D0E" w:rsidRPr="00456B80" w:rsidRDefault="00536D0E" w:rsidP="00D40BC3">
            <w:pPr>
              <w:pStyle w:val="AERbulletlistthirdstyle"/>
              <w:numPr>
                <w:ilvl w:val="0"/>
                <w:numId w:val="0"/>
              </w:numPr>
              <w:spacing w:after="120" w:line="240" w:lineRule="auto"/>
              <w:rPr>
                <w:sz w:val="18"/>
                <w:szCs w:val="16"/>
              </w:rPr>
            </w:pPr>
            <w:r w:rsidRPr="00456B80">
              <w:rPr>
                <w:sz w:val="18"/>
                <w:szCs w:val="16"/>
              </w:rPr>
              <w:t>United Energy</w:t>
            </w:r>
          </w:p>
        </w:tc>
        <w:tc>
          <w:tcPr>
            <w:tcW w:w="3402" w:type="dxa"/>
          </w:tcPr>
          <w:p w:rsidR="00536D0E" w:rsidRPr="00456B80" w:rsidRDefault="00536D0E" w:rsidP="00456B80">
            <w:pPr>
              <w:pStyle w:val="AERtabletextright"/>
              <w:tabs>
                <w:tab w:val="left" w:pos="2018"/>
              </w:tabs>
              <w:spacing w:after="120" w:line="240" w:lineRule="auto"/>
              <w:ind w:right="1026"/>
              <w:rPr>
                <w:sz w:val="18"/>
                <w:szCs w:val="16"/>
              </w:rPr>
            </w:pPr>
            <w:r w:rsidRPr="00456B80">
              <w:rPr>
                <w:sz w:val="18"/>
                <w:szCs w:val="16"/>
              </w:rPr>
              <w:t>(70,000)</w:t>
            </w:r>
          </w:p>
        </w:tc>
        <w:tc>
          <w:tcPr>
            <w:tcW w:w="3686" w:type="dxa"/>
          </w:tcPr>
          <w:p w:rsidR="00536D0E" w:rsidRPr="00456B80" w:rsidRDefault="00536D0E" w:rsidP="00D40BC3">
            <w:pPr>
              <w:pStyle w:val="AERtabletextright"/>
              <w:spacing w:after="120" w:line="240" w:lineRule="auto"/>
              <w:ind w:right="1310"/>
              <w:rPr>
                <w:sz w:val="18"/>
                <w:szCs w:val="16"/>
              </w:rPr>
            </w:pPr>
            <w:r w:rsidRPr="00456B80">
              <w:rPr>
                <w:sz w:val="18"/>
                <w:szCs w:val="16"/>
              </w:rPr>
              <w:t>(0.11)</w:t>
            </w:r>
          </w:p>
        </w:tc>
      </w:tr>
    </w:tbl>
    <w:p w:rsidR="00536D0E" w:rsidRPr="00C07ECE" w:rsidRDefault="00536D0E" w:rsidP="00536D0E">
      <w:pPr>
        <w:pStyle w:val="AERtablesource"/>
      </w:pPr>
      <w:r w:rsidRPr="00766799">
        <w:t xml:space="preserve">Note: </w:t>
      </w:r>
      <w:r w:rsidRPr="00766799">
        <w:tab/>
        <w:t>Numbers in bracket</w:t>
      </w:r>
      <w:r>
        <w:t>s</w:t>
      </w:r>
      <w:r w:rsidRPr="00766799">
        <w:t xml:space="preserve"> represent negative numbers</w:t>
      </w:r>
      <w:r w:rsidRPr="00C07ECE">
        <w:t>, indicating penalty for exceeding the relevant fire start target.</w:t>
      </w:r>
    </w:p>
    <w:p w:rsidR="00536D0E" w:rsidRPr="003324F7" w:rsidRDefault="00536D0E" w:rsidP="00536D0E">
      <w:pPr>
        <w:pStyle w:val="AERtablesource"/>
      </w:pPr>
      <w:r w:rsidRPr="00766799">
        <w:t xml:space="preserve">Source: </w:t>
      </w:r>
      <w:r w:rsidRPr="00766799">
        <w:tab/>
        <w:t>DNSPs' reported fire starts and the AER's f-factor determination</w:t>
      </w:r>
    </w:p>
    <w:p w:rsidR="00536D0E" w:rsidRDefault="00536D0E" w:rsidP="00536D0E">
      <w:pPr>
        <w:pStyle w:val="Caption"/>
        <w:tabs>
          <w:tab w:val="clear" w:pos="1440"/>
          <w:tab w:val="left" w:pos="0"/>
        </w:tabs>
        <w:ind w:left="851" w:hanging="851"/>
        <w:jc w:val="left"/>
      </w:pPr>
    </w:p>
    <w:p w:rsidR="00536D0E" w:rsidRDefault="00536D0E" w:rsidP="00536D0E">
      <w:pPr>
        <w:pStyle w:val="Caption"/>
        <w:tabs>
          <w:tab w:val="clear" w:pos="1440"/>
          <w:tab w:val="left" w:pos="0"/>
        </w:tabs>
        <w:ind w:left="851" w:hanging="851"/>
        <w:jc w:val="left"/>
      </w:pPr>
      <w:r>
        <w:t xml:space="preserve">Table </w:t>
      </w:r>
      <w:r w:rsidR="003A619B">
        <w:t>1</w:t>
      </w:r>
      <w:r>
        <w:t>.2: Fire starts in 2013</w:t>
      </w:r>
      <w:r w:rsidR="005F324E">
        <w:t>,</w:t>
      </w:r>
      <w:r>
        <w:t xml:space="preserve"> compared with fire starts of 2012 and benchmark targets</w:t>
      </w:r>
    </w:p>
    <w:tbl>
      <w:tblPr>
        <w:tblW w:w="8946" w:type="dxa"/>
        <w:tblInd w:w="93" w:type="dxa"/>
        <w:tblLook w:val="04A0" w:firstRow="1" w:lastRow="0" w:firstColumn="1" w:lastColumn="0" w:noHBand="0" w:noVBand="1"/>
      </w:tblPr>
      <w:tblGrid>
        <w:gridCol w:w="1760"/>
        <w:gridCol w:w="1232"/>
        <w:gridCol w:w="1134"/>
        <w:gridCol w:w="1134"/>
        <w:gridCol w:w="1276"/>
        <w:gridCol w:w="1134"/>
        <w:gridCol w:w="1276"/>
      </w:tblGrid>
      <w:tr w:rsidR="00536D0E" w:rsidRPr="003B314A" w:rsidTr="00D40BC3">
        <w:tc>
          <w:tcPr>
            <w:tcW w:w="1760" w:type="dxa"/>
            <w:vMerge w:val="restart"/>
            <w:tcBorders>
              <w:top w:val="single" w:sz="4" w:space="0" w:color="auto"/>
              <w:left w:val="single" w:sz="4" w:space="0" w:color="auto"/>
              <w:right w:val="single" w:sz="4" w:space="0" w:color="auto"/>
            </w:tcBorders>
            <w:shd w:val="clear" w:color="auto" w:fill="auto"/>
            <w:vAlign w:val="bottom"/>
          </w:tcPr>
          <w:p w:rsidR="00536D0E" w:rsidRPr="006B5500" w:rsidRDefault="00536D0E" w:rsidP="00D40BC3">
            <w:pPr>
              <w:pStyle w:val="AERtabletextright"/>
              <w:spacing w:before="60" w:after="60" w:line="240" w:lineRule="auto"/>
              <w:jc w:val="left"/>
              <w:rPr>
                <w:b/>
                <w:sz w:val="18"/>
                <w:lang w:eastAsia="en-AU"/>
              </w:rPr>
            </w:pPr>
            <w:r w:rsidRPr="006B5500">
              <w:rPr>
                <w:b/>
                <w:sz w:val="18"/>
                <w:lang w:eastAsia="en-AU"/>
              </w:rPr>
              <w:t>DNSP</w:t>
            </w:r>
          </w:p>
        </w:tc>
        <w:tc>
          <w:tcPr>
            <w:tcW w:w="1232" w:type="dxa"/>
            <w:vMerge w:val="restart"/>
            <w:tcBorders>
              <w:top w:val="single" w:sz="4" w:space="0" w:color="auto"/>
              <w:left w:val="single" w:sz="4" w:space="0" w:color="auto"/>
              <w:right w:val="single" w:sz="4" w:space="0" w:color="auto"/>
            </w:tcBorders>
            <w:shd w:val="clear" w:color="auto" w:fill="auto"/>
            <w:vAlign w:val="bottom"/>
          </w:tcPr>
          <w:p w:rsidR="00536D0E" w:rsidRPr="006B5500" w:rsidRDefault="00536D0E" w:rsidP="00D40BC3">
            <w:pPr>
              <w:pStyle w:val="AERtabletextright"/>
              <w:spacing w:before="60" w:after="60" w:line="240" w:lineRule="auto"/>
              <w:jc w:val="center"/>
              <w:rPr>
                <w:b/>
                <w:sz w:val="18"/>
                <w:lang w:eastAsia="en-AU"/>
              </w:rPr>
            </w:pPr>
            <w:r w:rsidRPr="006B5500">
              <w:rPr>
                <w:b/>
                <w:sz w:val="18"/>
                <w:lang w:eastAsia="en-AU"/>
              </w:rPr>
              <w:t>Benchmark target</w:t>
            </w:r>
          </w:p>
        </w:tc>
        <w:tc>
          <w:tcPr>
            <w:tcW w:w="1134" w:type="dxa"/>
            <w:vMerge w:val="restart"/>
            <w:tcBorders>
              <w:top w:val="single" w:sz="4" w:space="0" w:color="auto"/>
              <w:left w:val="single" w:sz="4" w:space="0" w:color="auto"/>
              <w:right w:val="single" w:sz="4" w:space="0" w:color="auto"/>
            </w:tcBorders>
            <w:shd w:val="clear" w:color="auto" w:fill="auto"/>
            <w:vAlign w:val="bottom"/>
          </w:tcPr>
          <w:p w:rsidR="00536D0E" w:rsidRPr="006B5500" w:rsidRDefault="00536D0E" w:rsidP="00D40BC3">
            <w:pPr>
              <w:pStyle w:val="AERtabletextright"/>
              <w:spacing w:before="60" w:after="60" w:line="240" w:lineRule="auto"/>
              <w:jc w:val="center"/>
              <w:rPr>
                <w:b/>
                <w:sz w:val="18"/>
                <w:lang w:eastAsia="en-AU"/>
              </w:rPr>
            </w:pPr>
            <w:r w:rsidRPr="006B5500">
              <w:rPr>
                <w:b/>
                <w:sz w:val="18"/>
                <w:lang w:eastAsia="en-AU"/>
              </w:rPr>
              <w:t>No of fire starts in 2012</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36D0E" w:rsidRPr="006B5500" w:rsidRDefault="00536D0E" w:rsidP="00D40BC3">
            <w:pPr>
              <w:pStyle w:val="AERtabletextright"/>
              <w:spacing w:after="60" w:line="240" w:lineRule="auto"/>
              <w:jc w:val="center"/>
              <w:rPr>
                <w:b/>
                <w:sz w:val="18"/>
                <w:lang w:eastAsia="en-AU"/>
              </w:rPr>
            </w:pPr>
            <w:r w:rsidRPr="006B5500">
              <w:rPr>
                <w:b/>
                <w:sz w:val="28"/>
                <w:lang w:eastAsia="en-AU"/>
              </w:rPr>
              <w:t>2013 fire starts</w:t>
            </w:r>
          </w:p>
        </w:tc>
      </w:tr>
      <w:tr w:rsidR="00536D0E" w:rsidRPr="003B314A" w:rsidTr="00D40BC3">
        <w:tc>
          <w:tcPr>
            <w:tcW w:w="1760" w:type="dxa"/>
            <w:vMerge/>
            <w:tcBorders>
              <w:left w:val="single" w:sz="4" w:space="0" w:color="auto"/>
              <w:bottom w:val="single" w:sz="4" w:space="0" w:color="auto"/>
              <w:right w:val="single" w:sz="4" w:space="0" w:color="auto"/>
            </w:tcBorders>
            <w:shd w:val="clear" w:color="auto" w:fill="auto"/>
            <w:vAlign w:val="bottom"/>
            <w:hideMark/>
          </w:tcPr>
          <w:p w:rsidR="00536D0E" w:rsidRPr="006B5500" w:rsidRDefault="00536D0E" w:rsidP="00D40BC3">
            <w:pPr>
              <w:pStyle w:val="AERtabletextright"/>
              <w:spacing w:before="60" w:after="60" w:line="240" w:lineRule="auto"/>
              <w:jc w:val="left"/>
              <w:rPr>
                <w:b/>
                <w:sz w:val="18"/>
                <w:lang w:eastAsia="en-AU"/>
              </w:rPr>
            </w:pPr>
          </w:p>
        </w:tc>
        <w:tc>
          <w:tcPr>
            <w:tcW w:w="1232" w:type="dxa"/>
            <w:vMerge/>
            <w:tcBorders>
              <w:left w:val="single" w:sz="4" w:space="0" w:color="auto"/>
              <w:bottom w:val="single" w:sz="4" w:space="0" w:color="auto"/>
              <w:right w:val="single" w:sz="4" w:space="0" w:color="auto"/>
            </w:tcBorders>
            <w:shd w:val="clear" w:color="auto" w:fill="auto"/>
            <w:vAlign w:val="bottom"/>
            <w:hideMark/>
          </w:tcPr>
          <w:p w:rsidR="00536D0E" w:rsidRPr="006B5500" w:rsidRDefault="00536D0E" w:rsidP="00D40BC3">
            <w:pPr>
              <w:pStyle w:val="AERtabletextright"/>
              <w:spacing w:before="60" w:after="60" w:line="240" w:lineRule="auto"/>
              <w:jc w:val="center"/>
              <w:rPr>
                <w:b/>
                <w:sz w:val="18"/>
                <w:lang w:eastAsia="en-AU"/>
              </w:rPr>
            </w:pPr>
          </w:p>
        </w:tc>
        <w:tc>
          <w:tcPr>
            <w:tcW w:w="1134" w:type="dxa"/>
            <w:vMerge/>
            <w:tcBorders>
              <w:left w:val="single" w:sz="4" w:space="0" w:color="auto"/>
              <w:bottom w:val="single" w:sz="4" w:space="0" w:color="auto"/>
              <w:right w:val="single" w:sz="4" w:space="0" w:color="auto"/>
            </w:tcBorders>
            <w:shd w:val="clear" w:color="auto" w:fill="auto"/>
            <w:vAlign w:val="bottom"/>
            <w:hideMark/>
          </w:tcPr>
          <w:p w:rsidR="00536D0E" w:rsidRPr="006B5500" w:rsidRDefault="00536D0E" w:rsidP="00D40BC3">
            <w:pPr>
              <w:pStyle w:val="AERtabletextright"/>
              <w:spacing w:before="60" w:after="60" w:line="240" w:lineRule="auto"/>
              <w:jc w:val="center"/>
              <w:rPr>
                <w:b/>
                <w:sz w:val="18"/>
                <w:lang w:eastAsia="en-AU"/>
              </w:rPr>
            </w:pPr>
          </w:p>
        </w:tc>
        <w:tc>
          <w:tcPr>
            <w:tcW w:w="1134" w:type="dxa"/>
            <w:tcBorders>
              <w:top w:val="single" w:sz="4" w:space="0" w:color="auto"/>
              <w:left w:val="single" w:sz="4" w:space="0" w:color="auto"/>
              <w:bottom w:val="single" w:sz="4" w:space="0" w:color="auto"/>
            </w:tcBorders>
            <w:shd w:val="clear" w:color="auto" w:fill="auto"/>
            <w:vAlign w:val="bottom"/>
            <w:hideMark/>
          </w:tcPr>
          <w:p w:rsidR="00536D0E" w:rsidRPr="006B5500" w:rsidRDefault="00536D0E" w:rsidP="00D40BC3">
            <w:pPr>
              <w:pStyle w:val="AERtabletextright"/>
              <w:spacing w:before="60" w:after="60" w:line="240" w:lineRule="auto"/>
              <w:jc w:val="center"/>
              <w:rPr>
                <w:b/>
                <w:sz w:val="18"/>
                <w:lang w:eastAsia="en-AU"/>
              </w:rPr>
            </w:pPr>
            <w:r w:rsidRPr="006B5500">
              <w:rPr>
                <w:b/>
                <w:sz w:val="18"/>
                <w:lang w:eastAsia="en-AU"/>
              </w:rPr>
              <w:t>No of fire starts</w:t>
            </w:r>
          </w:p>
        </w:tc>
        <w:tc>
          <w:tcPr>
            <w:tcW w:w="1276" w:type="dxa"/>
            <w:tcBorders>
              <w:top w:val="single" w:sz="4" w:space="0" w:color="auto"/>
              <w:bottom w:val="single" w:sz="4" w:space="0" w:color="auto"/>
            </w:tcBorders>
            <w:shd w:val="clear" w:color="auto" w:fill="auto"/>
            <w:vAlign w:val="bottom"/>
            <w:hideMark/>
          </w:tcPr>
          <w:p w:rsidR="00536D0E" w:rsidRPr="006B5500" w:rsidRDefault="00536D0E" w:rsidP="00D40BC3">
            <w:pPr>
              <w:pStyle w:val="AERtabletextright"/>
              <w:spacing w:before="60" w:after="60" w:line="240" w:lineRule="auto"/>
              <w:jc w:val="center"/>
              <w:rPr>
                <w:b/>
                <w:sz w:val="18"/>
                <w:lang w:eastAsia="en-AU"/>
              </w:rPr>
            </w:pPr>
            <w:r w:rsidRPr="006B5500">
              <w:rPr>
                <w:b/>
                <w:sz w:val="18"/>
                <w:lang w:eastAsia="en-AU"/>
              </w:rPr>
              <w:t>Change from 2012 in fire starts</w:t>
            </w:r>
          </w:p>
        </w:tc>
        <w:tc>
          <w:tcPr>
            <w:tcW w:w="1134" w:type="dxa"/>
            <w:tcBorders>
              <w:top w:val="single" w:sz="4" w:space="0" w:color="auto"/>
              <w:bottom w:val="single" w:sz="4" w:space="0" w:color="auto"/>
            </w:tcBorders>
            <w:shd w:val="clear" w:color="auto" w:fill="auto"/>
            <w:vAlign w:val="bottom"/>
            <w:hideMark/>
          </w:tcPr>
          <w:p w:rsidR="00536D0E" w:rsidRPr="006B5500" w:rsidRDefault="00536D0E" w:rsidP="00D40BC3">
            <w:pPr>
              <w:pStyle w:val="AERtabletextright"/>
              <w:spacing w:before="60" w:after="60" w:line="240" w:lineRule="auto"/>
              <w:jc w:val="center"/>
              <w:rPr>
                <w:b/>
                <w:sz w:val="18"/>
                <w:lang w:eastAsia="en-AU"/>
              </w:rPr>
            </w:pPr>
            <w:r w:rsidRPr="006B5500">
              <w:rPr>
                <w:b/>
                <w:sz w:val="18"/>
                <w:lang w:eastAsia="en-AU"/>
              </w:rPr>
              <w:t>Change from 2012 (in %)</w:t>
            </w:r>
          </w:p>
        </w:tc>
        <w:tc>
          <w:tcPr>
            <w:tcW w:w="1276" w:type="dxa"/>
            <w:tcBorders>
              <w:top w:val="single" w:sz="4" w:space="0" w:color="auto"/>
              <w:bottom w:val="single" w:sz="4" w:space="0" w:color="auto"/>
              <w:right w:val="single" w:sz="4" w:space="0" w:color="auto"/>
            </w:tcBorders>
            <w:shd w:val="clear" w:color="auto" w:fill="auto"/>
            <w:vAlign w:val="bottom"/>
            <w:hideMark/>
          </w:tcPr>
          <w:p w:rsidR="00536D0E" w:rsidRPr="006B5500" w:rsidRDefault="00536D0E" w:rsidP="00D40BC3">
            <w:pPr>
              <w:pStyle w:val="AERtabletextright"/>
              <w:spacing w:before="60" w:after="60" w:line="240" w:lineRule="auto"/>
              <w:jc w:val="center"/>
              <w:rPr>
                <w:b/>
                <w:sz w:val="18"/>
                <w:lang w:eastAsia="en-AU"/>
              </w:rPr>
            </w:pPr>
            <w:r w:rsidRPr="006B5500">
              <w:rPr>
                <w:b/>
                <w:sz w:val="18"/>
                <w:lang w:eastAsia="en-AU"/>
              </w:rPr>
              <w:t>Percentage change from target</w:t>
            </w:r>
          </w:p>
        </w:tc>
      </w:tr>
      <w:tr w:rsidR="00536D0E" w:rsidRPr="00456B80" w:rsidTr="00D40BC3">
        <w:trPr>
          <w:trHeight w:val="300"/>
        </w:trPr>
        <w:tc>
          <w:tcPr>
            <w:tcW w:w="1760" w:type="dxa"/>
            <w:tcBorders>
              <w:top w:val="single" w:sz="4" w:space="0" w:color="auto"/>
              <w:left w:val="single" w:sz="4" w:space="0" w:color="auto"/>
              <w:right w:val="single" w:sz="4" w:space="0" w:color="auto"/>
            </w:tcBorders>
            <w:shd w:val="clear" w:color="auto" w:fill="auto"/>
            <w:noWrap/>
            <w:vAlign w:val="bottom"/>
            <w:hideMark/>
          </w:tcPr>
          <w:p w:rsidR="00536D0E" w:rsidRPr="00456B80" w:rsidRDefault="00536D0E" w:rsidP="00D40BC3">
            <w:pPr>
              <w:spacing w:before="120" w:after="120" w:line="240" w:lineRule="auto"/>
              <w:jc w:val="left"/>
              <w:rPr>
                <w:rFonts w:eastAsia="Times New Roman" w:cs="Gautami"/>
                <w:color w:val="000000"/>
                <w:sz w:val="18"/>
                <w:szCs w:val="16"/>
                <w:lang w:eastAsia="en-AU"/>
              </w:rPr>
            </w:pPr>
            <w:r w:rsidRPr="00456B80">
              <w:rPr>
                <w:rFonts w:eastAsia="Times New Roman" w:cs="Gautami"/>
                <w:color w:val="000000"/>
                <w:sz w:val="18"/>
                <w:szCs w:val="16"/>
                <w:lang w:eastAsia="en-AU"/>
              </w:rPr>
              <w:t>CitiPower</w:t>
            </w:r>
          </w:p>
        </w:tc>
        <w:tc>
          <w:tcPr>
            <w:tcW w:w="1232" w:type="dxa"/>
            <w:tcBorders>
              <w:top w:val="single" w:sz="4" w:space="0" w:color="auto"/>
              <w:left w:val="single" w:sz="4" w:space="0" w:color="auto"/>
              <w:right w:val="single" w:sz="4" w:space="0" w:color="auto"/>
            </w:tcBorders>
            <w:shd w:val="clear" w:color="auto" w:fill="auto"/>
            <w:noWrap/>
            <w:vAlign w:val="bottom"/>
            <w:hideMark/>
          </w:tcPr>
          <w:p w:rsidR="00536D0E" w:rsidRPr="00456B80" w:rsidRDefault="00536D0E" w:rsidP="00D40BC3">
            <w:pPr>
              <w:spacing w:before="120" w:after="120" w:line="240" w:lineRule="auto"/>
              <w:ind w:right="175"/>
              <w:jc w:val="right"/>
              <w:rPr>
                <w:rFonts w:eastAsia="Times New Roman" w:cs="Gautami"/>
                <w:color w:val="000000"/>
                <w:sz w:val="18"/>
                <w:szCs w:val="16"/>
                <w:lang w:eastAsia="en-AU"/>
              </w:rPr>
            </w:pPr>
            <w:r w:rsidRPr="00456B80">
              <w:rPr>
                <w:rFonts w:eastAsia="Times New Roman" w:cs="Gautami"/>
                <w:color w:val="000000"/>
                <w:sz w:val="18"/>
                <w:szCs w:val="16"/>
                <w:lang w:eastAsia="en-AU"/>
              </w:rPr>
              <w:t>30.4</w:t>
            </w:r>
          </w:p>
        </w:tc>
        <w:tc>
          <w:tcPr>
            <w:tcW w:w="1134" w:type="dxa"/>
            <w:tcBorders>
              <w:top w:val="single" w:sz="4" w:space="0" w:color="auto"/>
              <w:left w:val="single" w:sz="4" w:space="0" w:color="auto"/>
              <w:right w:val="single" w:sz="4" w:space="0" w:color="auto"/>
            </w:tcBorders>
            <w:shd w:val="clear" w:color="auto" w:fill="auto"/>
            <w:noWrap/>
            <w:vAlign w:val="bottom"/>
            <w:hideMark/>
          </w:tcPr>
          <w:p w:rsidR="00536D0E" w:rsidRPr="00456B80" w:rsidRDefault="00536D0E" w:rsidP="00D40BC3">
            <w:pPr>
              <w:spacing w:before="120" w:after="120" w:line="240" w:lineRule="auto"/>
              <w:ind w:right="227"/>
              <w:jc w:val="right"/>
              <w:rPr>
                <w:rFonts w:eastAsia="Times New Roman" w:cs="Gautami"/>
                <w:color w:val="000000"/>
                <w:sz w:val="18"/>
                <w:szCs w:val="16"/>
                <w:lang w:eastAsia="en-AU"/>
              </w:rPr>
            </w:pPr>
            <w:r w:rsidRPr="00456B80">
              <w:rPr>
                <w:rFonts w:eastAsia="Times New Roman" w:cs="Gautami"/>
                <w:color w:val="000000"/>
                <w:sz w:val="18"/>
                <w:szCs w:val="16"/>
                <w:lang w:eastAsia="en-AU"/>
              </w:rPr>
              <w:t>30</w:t>
            </w:r>
          </w:p>
        </w:tc>
        <w:tc>
          <w:tcPr>
            <w:tcW w:w="1134" w:type="dxa"/>
            <w:tcBorders>
              <w:top w:val="single" w:sz="4" w:space="0" w:color="auto"/>
              <w:left w:val="single" w:sz="4" w:space="0" w:color="auto"/>
            </w:tcBorders>
            <w:shd w:val="clear" w:color="auto" w:fill="auto"/>
            <w:noWrap/>
            <w:vAlign w:val="bottom"/>
            <w:hideMark/>
          </w:tcPr>
          <w:p w:rsidR="00536D0E" w:rsidRPr="00456B80" w:rsidRDefault="00536D0E" w:rsidP="00D40BC3">
            <w:pPr>
              <w:spacing w:before="120" w:after="120" w:line="240" w:lineRule="auto"/>
              <w:ind w:right="227"/>
              <w:jc w:val="right"/>
              <w:rPr>
                <w:rFonts w:eastAsia="Times New Roman" w:cs="Gautami"/>
                <w:b/>
                <w:color w:val="000000"/>
                <w:sz w:val="18"/>
                <w:szCs w:val="16"/>
                <w:lang w:eastAsia="en-AU"/>
              </w:rPr>
            </w:pPr>
            <w:r w:rsidRPr="00456B80">
              <w:rPr>
                <w:rFonts w:eastAsia="Times New Roman" w:cs="Gautami"/>
                <w:b/>
                <w:color w:val="000000"/>
                <w:sz w:val="18"/>
                <w:szCs w:val="16"/>
                <w:lang w:eastAsia="en-AU"/>
              </w:rPr>
              <w:t>33</w:t>
            </w:r>
          </w:p>
        </w:tc>
        <w:tc>
          <w:tcPr>
            <w:tcW w:w="1276" w:type="dxa"/>
            <w:tcBorders>
              <w:top w:val="single" w:sz="4" w:space="0" w:color="auto"/>
            </w:tcBorders>
            <w:shd w:val="clear" w:color="auto" w:fill="auto"/>
            <w:noWrap/>
            <w:vAlign w:val="bottom"/>
            <w:hideMark/>
          </w:tcPr>
          <w:p w:rsidR="00536D0E" w:rsidRPr="00456B80" w:rsidRDefault="00536D0E" w:rsidP="00D40BC3">
            <w:pPr>
              <w:spacing w:before="120" w:after="120" w:line="240" w:lineRule="auto"/>
              <w:ind w:right="284"/>
              <w:jc w:val="right"/>
              <w:rPr>
                <w:rFonts w:eastAsia="Times New Roman" w:cs="Gautami"/>
                <w:color w:val="000000"/>
                <w:sz w:val="18"/>
                <w:szCs w:val="16"/>
                <w:lang w:eastAsia="en-AU"/>
              </w:rPr>
            </w:pPr>
            <w:r w:rsidRPr="00456B80">
              <w:rPr>
                <w:rFonts w:eastAsia="Times New Roman" w:cs="Gautami"/>
                <w:color w:val="000000"/>
                <w:sz w:val="18"/>
                <w:szCs w:val="16"/>
                <w:lang w:eastAsia="en-AU"/>
              </w:rPr>
              <w:t>3</w:t>
            </w:r>
          </w:p>
        </w:tc>
        <w:tc>
          <w:tcPr>
            <w:tcW w:w="1134" w:type="dxa"/>
            <w:tcBorders>
              <w:top w:val="single" w:sz="4" w:space="0" w:color="auto"/>
            </w:tcBorders>
            <w:shd w:val="clear" w:color="auto" w:fill="auto"/>
            <w:noWrap/>
            <w:vAlign w:val="bottom"/>
            <w:hideMark/>
          </w:tcPr>
          <w:p w:rsidR="00536D0E" w:rsidRPr="00456B80" w:rsidRDefault="00536D0E" w:rsidP="00D40BC3">
            <w:pPr>
              <w:spacing w:before="120" w:after="120" w:line="240" w:lineRule="auto"/>
              <w:ind w:right="113"/>
              <w:jc w:val="right"/>
              <w:rPr>
                <w:rFonts w:eastAsia="Times New Roman" w:cs="Gautami"/>
                <w:color w:val="000000"/>
                <w:sz w:val="18"/>
                <w:szCs w:val="16"/>
                <w:lang w:eastAsia="en-AU"/>
              </w:rPr>
            </w:pPr>
            <w:r w:rsidRPr="00456B80">
              <w:rPr>
                <w:rFonts w:eastAsia="Times New Roman" w:cs="Gautami"/>
                <w:color w:val="000000"/>
                <w:sz w:val="18"/>
                <w:szCs w:val="16"/>
                <w:lang w:eastAsia="en-AU"/>
              </w:rPr>
              <w:t>10%</w:t>
            </w:r>
          </w:p>
        </w:tc>
        <w:tc>
          <w:tcPr>
            <w:tcW w:w="1276" w:type="dxa"/>
            <w:tcBorders>
              <w:top w:val="single" w:sz="4" w:space="0" w:color="auto"/>
              <w:right w:val="single" w:sz="4" w:space="0" w:color="auto"/>
            </w:tcBorders>
            <w:shd w:val="clear" w:color="auto" w:fill="auto"/>
            <w:noWrap/>
            <w:vAlign w:val="bottom"/>
            <w:hideMark/>
          </w:tcPr>
          <w:p w:rsidR="00536D0E" w:rsidRPr="00456B80" w:rsidRDefault="00536D0E" w:rsidP="00D40BC3">
            <w:pPr>
              <w:spacing w:before="120" w:after="120" w:line="240" w:lineRule="auto"/>
              <w:ind w:right="240"/>
              <w:jc w:val="right"/>
              <w:rPr>
                <w:rFonts w:eastAsia="Times New Roman" w:cs="Gautami"/>
                <w:color w:val="000000"/>
                <w:sz w:val="18"/>
                <w:szCs w:val="16"/>
                <w:lang w:eastAsia="en-AU"/>
              </w:rPr>
            </w:pPr>
            <w:r w:rsidRPr="00456B80">
              <w:rPr>
                <w:rFonts w:eastAsia="Times New Roman" w:cs="Gautami"/>
                <w:color w:val="000000"/>
                <w:sz w:val="18"/>
                <w:szCs w:val="16"/>
                <w:lang w:eastAsia="en-AU"/>
              </w:rPr>
              <w:t>9%</w:t>
            </w:r>
          </w:p>
        </w:tc>
      </w:tr>
      <w:tr w:rsidR="00536D0E" w:rsidRPr="00456B80" w:rsidTr="00D40BC3">
        <w:trPr>
          <w:trHeight w:val="300"/>
        </w:trPr>
        <w:tc>
          <w:tcPr>
            <w:tcW w:w="1760" w:type="dxa"/>
            <w:tcBorders>
              <w:left w:val="single" w:sz="4" w:space="0" w:color="auto"/>
              <w:right w:val="single" w:sz="4" w:space="0" w:color="auto"/>
            </w:tcBorders>
            <w:shd w:val="clear" w:color="auto" w:fill="C6D9F1" w:themeFill="text2" w:themeFillTint="33"/>
            <w:noWrap/>
            <w:vAlign w:val="bottom"/>
            <w:hideMark/>
          </w:tcPr>
          <w:p w:rsidR="00536D0E" w:rsidRPr="00456B80" w:rsidRDefault="00536D0E" w:rsidP="00D40BC3">
            <w:pPr>
              <w:spacing w:before="120" w:after="120" w:line="240" w:lineRule="auto"/>
              <w:jc w:val="left"/>
              <w:rPr>
                <w:rFonts w:eastAsia="Times New Roman" w:cs="Gautami"/>
                <w:color w:val="000000"/>
                <w:sz w:val="18"/>
                <w:szCs w:val="16"/>
                <w:lang w:eastAsia="en-AU"/>
              </w:rPr>
            </w:pPr>
            <w:r w:rsidRPr="00456B80">
              <w:rPr>
                <w:rFonts w:eastAsia="Times New Roman" w:cs="Gautami"/>
                <w:color w:val="000000"/>
                <w:sz w:val="18"/>
                <w:szCs w:val="16"/>
                <w:lang w:eastAsia="en-AU"/>
              </w:rPr>
              <w:t>Powercor</w:t>
            </w:r>
          </w:p>
        </w:tc>
        <w:tc>
          <w:tcPr>
            <w:tcW w:w="1232" w:type="dxa"/>
            <w:tcBorders>
              <w:left w:val="single" w:sz="4" w:space="0" w:color="auto"/>
              <w:right w:val="single" w:sz="4" w:space="0" w:color="auto"/>
            </w:tcBorders>
            <w:shd w:val="clear" w:color="auto" w:fill="C6D9F1" w:themeFill="text2" w:themeFillTint="33"/>
            <w:noWrap/>
            <w:vAlign w:val="bottom"/>
            <w:hideMark/>
          </w:tcPr>
          <w:p w:rsidR="00536D0E" w:rsidRPr="00456B80" w:rsidRDefault="00536D0E" w:rsidP="00D40BC3">
            <w:pPr>
              <w:spacing w:before="120" w:after="120" w:line="240" w:lineRule="auto"/>
              <w:ind w:right="175"/>
              <w:jc w:val="right"/>
              <w:rPr>
                <w:rFonts w:eastAsia="Times New Roman" w:cs="Gautami"/>
                <w:color w:val="000000"/>
                <w:sz w:val="18"/>
                <w:szCs w:val="16"/>
                <w:lang w:eastAsia="en-AU"/>
              </w:rPr>
            </w:pPr>
            <w:r w:rsidRPr="00456B80">
              <w:rPr>
                <w:rFonts w:eastAsia="Times New Roman" w:cs="Gautami"/>
                <w:color w:val="000000"/>
                <w:sz w:val="18"/>
                <w:szCs w:val="16"/>
                <w:lang w:eastAsia="en-AU"/>
              </w:rPr>
              <w:t>401.8</w:t>
            </w:r>
          </w:p>
        </w:tc>
        <w:tc>
          <w:tcPr>
            <w:tcW w:w="1134" w:type="dxa"/>
            <w:tcBorders>
              <w:left w:val="single" w:sz="4" w:space="0" w:color="auto"/>
              <w:right w:val="single" w:sz="4" w:space="0" w:color="auto"/>
            </w:tcBorders>
            <w:shd w:val="clear" w:color="auto" w:fill="C6D9F1" w:themeFill="text2" w:themeFillTint="33"/>
            <w:noWrap/>
            <w:vAlign w:val="bottom"/>
            <w:hideMark/>
          </w:tcPr>
          <w:p w:rsidR="00536D0E" w:rsidRPr="00456B80" w:rsidRDefault="00536D0E" w:rsidP="00D40BC3">
            <w:pPr>
              <w:spacing w:before="120" w:after="120" w:line="240" w:lineRule="auto"/>
              <w:ind w:right="227"/>
              <w:jc w:val="right"/>
              <w:rPr>
                <w:rFonts w:eastAsia="Times New Roman" w:cs="Gautami"/>
                <w:color w:val="000000"/>
                <w:sz w:val="18"/>
                <w:szCs w:val="16"/>
                <w:lang w:eastAsia="en-AU"/>
              </w:rPr>
            </w:pPr>
            <w:r w:rsidRPr="00456B80">
              <w:rPr>
                <w:rFonts w:eastAsia="Times New Roman" w:cs="Gautami"/>
                <w:color w:val="000000"/>
                <w:sz w:val="18"/>
                <w:szCs w:val="16"/>
                <w:lang w:eastAsia="en-AU"/>
              </w:rPr>
              <w:t>303</w:t>
            </w:r>
          </w:p>
        </w:tc>
        <w:tc>
          <w:tcPr>
            <w:tcW w:w="1134" w:type="dxa"/>
            <w:tcBorders>
              <w:left w:val="single" w:sz="4" w:space="0" w:color="auto"/>
            </w:tcBorders>
            <w:shd w:val="clear" w:color="auto" w:fill="C6D9F1" w:themeFill="text2" w:themeFillTint="33"/>
            <w:noWrap/>
            <w:vAlign w:val="bottom"/>
            <w:hideMark/>
          </w:tcPr>
          <w:p w:rsidR="00536D0E" w:rsidRPr="00456B80" w:rsidRDefault="00536D0E" w:rsidP="00D40BC3">
            <w:pPr>
              <w:spacing w:before="120" w:after="120" w:line="240" w:lineRule="auto"/>
              <w:ind w:right="227"/>
              <w:jc w:val="right"/>
              <w:rPr>
                <w:rFonts w:eastAsia="Times New Roman" w:cs="Gautami"/>
                <w:b/>
                <w:color w:val="000000"/>
                <w:sz w:val="18"/>
                <w:szCs w:val="16"/>
                <w:lang w:eastAsia="en-AU"/>
              </w:rPr>
            </w:pPr>
            <w:r w:rsidRPr="00456B80">
              <w:rPr>
                <w:rFonts w:eastAsia="Times New Roman" w:cs="Gautami"/>
                <w:b/>
                <w:color w:val="000000"/>
                <w:sz w:val="18"/>
                <w:szCs w:val="16"/>
                <w:lang w:eastAsia="en-AU"/>
              </w:rPr>
              <w:t>498</w:t>
            </w:r>
          </w:p>
        </w:tc>
        <w:tc>
          <w:tcPr>
            <w:tcW w:w="1276" w:type="dxa"/>
            <w:shd w:val="clear" w:color="auto" w:fill="C6D9F1" w:themeFill="text2" w:themeFillTint="33"/>
            <w:noWrap/>
            <w:vAlign w:val="bottom"/>
            <w:hideMark/>
          </w:tcPr>
          <w:p w:rsidR="00536D0E" w:rsidRPr="00456B80" w:rsidRDefault="00536D0E" w:rsidP="00D40BC3">
            <w:pPr>
              <w:spacing w:before="120" w:after="120" w:line="240" w:lineRule="auto"/>
              <w:ind w:right="284"/>
              <w:jc w:val="right"/>
              <w:rPr>
                <w:rFonts w:eastAsia="Times New Roman" w:cs="Gautami"/>
                <w:color w:val="000000"/>
                <w:sz w:val="18"/>
                <w:szCs w:val="16"/>
                <w:lang w:eastAsia="en-AU"/>
              </w:rPr>
            </w:pPr>
            <w:r w:rsidRPr="00456B80">
              <w:rPr>
                <w:rFonts w:eastAsia="Times New Roman" w:cs="Gautami"/>
                <w:color w:val="000000"/>
                <w:sz w:val="18"/>
                <w:szCs w:val="16"/>
                <w:lang w:eastAsia="en-AU"/>
              </w:rPr>
              <w:t>195</w:t>
            </w:r>
          </w:p>
        </w:tc>
        <w:tc>
          <w:tcPr>
            <w:tcW w:w="1134" w:type="dxa"/>
            <w:shd w:val="clear" w:color="auto" w:fill="C6D9F1" w:themeFill="text2" w:themeFillTint="33"/>
            <w:noWrap/>
            <w:vAlign w:val="bottom"/>
            <w:hideMark/>
          </w:tcPr>
          <w:p w:rsidR="00536D0E" w:rsidRPr="00456B80" w:rsidRDefault="00536D0E" w:rsidP="00D40BC3">
            <w:pPr>
              <w:spacing w:before="120" w:after="120" w:line="240" w:lineRule="auto"/>
              <w:ind w:right="113"/>
              <w:jc w:val="right"/>
              <w:rPr>
                <w:rFonts w:eastAsia="Times New Roman" w:cs="Gautami"/>
                <w:color w:val="000000"/>
                <w:sz w:val="18"/>
                <w:szCs w:val="16"/>
                <w:lang w:eastAsia="en-AU"/>
              </w:rPr>
            </w:pPr>
            <w:r w:rsidRPr="00456B80">
              <w:rPr>
                <w:rFonts w:eastAsia="Times New Roman" w:cs="Gautami"/>
                <w:color w:val="000000"/>
                <w:sz w:val="18"/>
                <w:szCs w:val="16"/>
                <w:lang w:eastAsia="en-AU"/>
              </w:rPr>
              <w:t>64%</w:t>
            </w:r>
          </w:p>
        </w:tc>
        <w:tc>
          <w:tcPr>
            <w:tcW w:w="1276" w:type="dxa"/>
            <w:tcBorders>
              <w:right w:val="single" w:sz="4" w:space="0" w:color="auto"/>
            </w:tcBorders>
            <w:shd w:val="clear" w:color="auto" w:fill="C6D9F1" w:themeFill="text2" w:themeFillTint="33"/>
            <w:noWrap/>
            <w:vAlign w:val="bottom"/>
            <w:hideMark/>
          </w:tcPr>
          <w:p w:rsidR="00536D0E" w:rsidRPr="00456B80" w:rsidRDefault="00536D0E" w:rsidP="00D40BC3">
            <w:pPr>
              <w:spacing w:before="120" w:after="120" w:line="240" w:lineRule="auto"/>
              <w:ind w:right="240"/>
              <w:jc w:val="right"/>
              <w:rPr>
                <w:rFonts w:eastAsia="Times New Roman" w:cs="Gautami"/>
                <w:color w:val="000000"/>
                <w:sz w:val="18"/>
                <w:szCs w:val="16"/>
                <w:lang w:eastAsia="en-AU"/>
              </w:rPr>
            </w:pPr>
            <w:r w:rsidRPr="00456B80">
              <w:rPr>
                <w:rFonts w:eastAsia="Times New Roman" w:cs="Gautami"/>
                <w:color w:val="000000"/>
                <w:sz w:val="18"/>
                <w:szCs w:val="16"/>
                <w:lang w:eastAsia="en-AU"/>
              </w:rPr>
              <w:t>24%</w:t>
            </w:r>
          </w:p>
        </w:tc>
      </w:tr>
      <w:tr w:rsidR="00536D0E" w:rsidRPr="00456B80" w:rsidTr="00D40BC3">
        <w:trPr>
          <w:trHeight w:val="300"/>
        </w:trPr>
        <w:tc>
          <w:tcPr>
            <w:tcW w:w="1760" w:type="dxa"/>
            <w:tcBorders>
              <w:left w:val="single" w:sz="4" w:space="0" w:color="auto"/>
              <w:right w:val="single" w:sz="4" w:space="0" w:color="auto"/>
            </w:tcBorders>
            <w:shd w:val="clear" w:color="auto" w:fill="auto"/>
            <w:noWrap/>
            <w:vAlign w:val="bottom"/>
            <w:hideMark/>
          </w:tcPr>
          <w:p w:rsidR="00536D0E" w:rsidRPr="00456B80" w:rsidRDefault="00536D0E" w:rsidP="00D40BC3">
            <w:pPr>
              <w:spacing w:before="120" w:after="120" w:line="240" w:lineRule="auto"/>
              <w:jc w:val="left"/>
              <w:rPr>
                <w:rFonts w:eastAsia="Times New Roman" w:cs="Gautami"/>
                <w:color w:val="000000"/>
                <w:sz w:val="18"/>
                <w:szCs w:val="16"/>
                <w:lang w:eastAsia="en-AU"/>
              </w:rPr>
            </w:pPr>
            <w:r w:rsidRPr="00456B80">
              <w:rPr>
                <w:rFonts w:eastAsia="Times New Roman" w:cs="Gautami"/>
                <w:color w:val="000000"/>
                <w:sz w:val="18"/>
                <w:szCs w:val="16"/>
                <w:lang w:eastAsia="en-AU"/>
              </w:rPr>
              <w:t>Jemena</w:t>
            </w:r>
          </w:p>
        </w:tc>
        <w:tc>
          <w:tcPr>
            <w:tcW w:w="1232" w:type="dxa"/>
            <w:tcBorders>
              <w:left w:val="single" w:sz="4" w:space="0" w:color="auto"/>
              <w:right w:val="single" w:sz="4" w:space="0" w:color="auto"/>
            </w:tcBorders>
            <w:shd w:val="clear" w:color="auto" w:fill="auto"/>
            <w:noWrap/>
            <w:vAlign w:val="bottom"/>
            <w:hideMark/>
          </w:tcPr>
          <w:p w:rsidR="00536D0E" w:rsidRPr="00456B80" w:rsidRDefault="00536D0E" w:rsidP="00D40BC3">
            <w:pPr>
              <w:spacing w:before="120" w:after="120" w:line="240" w:lineRule="auto"/>
              <w:ind w:right="175"/>
              <w:jc w:val="right"/>
              <w:rPr>
                <w:rFonts w:eastAsia="Times New Roman" w:cs="Gautami"/>
                <w:color w:val="000000"/>
                <w:sz w:val="18"/>
                <w:szCs w:val="16"/>
                <w:lang w:eastAsia="en-AU"/>
              </w:rPr>
            </w:pPr>
            <w:r w:rsidRPr="00456B80">
              <w:rPr>
                <w:rFonts w:eastAsia="Times New Roman" w:cs="Gautami"/>
                <w:color w:val="000000"/>
                <w:sz w:val="18"/>
                <w:szCs w:val="16"/>
                <w:lang w:eastAsia="en-AU"/>
              </w:rPr>
              <w:t>56.8</w:t>
            </w:r>
          </w:p>
        </w:tc>
        <w:tc>
          <w:tcPr>
            <w:tcW w:w="1134" w:type="dxa"/>
            <w:tcBorders>
              <w:left w:val="single" w:sz="4" w:space="0" w:color="auto"/>
              <w:right w:val="single" w:sz="4" w:space="0" w:color="auto"/>
            </w:tcBorders>
            <w:shd w:val="clear" w:color="auto" w:fill="auto"/>
            <w:noWrap/>
            <w:vAlign w:val="bottom"/>
            <w:hideMark/>
          </w:tcPr>
          <w:p w:rsidR="00536D0E" w:rsidRPr="00456B80" w:rsidRDefault="00536D0E" w:rsidP="00D40BC3">
            <w:pPr>
              <w:spacing w:before="120" w:after="120" w:line="240" w:lineRule="auto"/>
              <w:ind w:right="227"/>
              <w:jc w:val="right"/>
              <w:rPr>
                <w:rFonts w:eastAsia="Times New Roman" w:cs="Gautami"/>
                <w:color w:val="000000"/>
                <w:sz w:val="18"/>
                <w:szCs w:val="16"/>
                <w:lang w:eastAsia="en-AU"/>
              </w:rPr>
            </w:pPr>
            <w:r w:rsidRPr="00456B80">
              <w:rPr>
                <w:rFonts w:eastAsia="Times New Roman" w:cs="Gautami"/>
                <w:color w:val="000000"/>
                <w:sz w:val="18"/>
                <w:szCs w:val="16"/>
                <w:lang w:eastAsia="en-AU"/>
              </w:rPr>
              <w:t>42</w:t>
            </w:r>
          </w:p>
        </w:tc>
        <w:tc>
          <w:tcPr>
            <w:tcW w:w="1134" w:type="dxa"/>
            <w:tcBorders>
              <w:left w:val="single" w:sz="4" w:space="0" w:color="auto"/>
            </w:tcBorders>
            <w:shd w:val="clear" w:color="auto" w:fill="auto"/>
            <w:noWrap/>
            <w:vAlign w:val="bottom"/>
            <w:hideMark/>
          </w:tcPr>
          <w:p w:rsidR="00536D0E" w:rsidRPr="00456B80" w:rsidRDefault="00536D0E" w:rsidP="00D40BC3">
            <w:pPr>
              <w:spacing w:before="120" w:after="120" w:line="240" w:lineRule="auto"/>
              <w:ind w:right="227"/>
              <w:jc w:val="right"/>
              <w:rPr>
                <w:rFonts w:eastAsia="Times New Roman" w:cs="Gautami"/>
                <w:b/>
                <w:color w:val="000000"/>
                <w:sz w:val="18"/>
                <w:szCs w:val="16"/>
                <w:lang w:eastAsia="en-AU"/>
              </w:rPr>
            </w:pPr>
            <w:r w:rsidRPr="00456B80">
              <w:rPr>
                <w:rFonts w:eastAsia="Times New Roman" w:cs="Gautami"/>
                <w:b/>
                <w:color w:val="000000"/>
                <w:sz w:val="18"/>
                <w:szCs w:val="16"/>
                <w:lang w:eastAsia="en-AU"/>
              </w:rPr>
              <w:t>91</w:t>
            </w:r>
          </w:p>
        </w:tc>
        <w:tc>
          <w:tcPr>
            <w:tcW w:w="1276" w:type="dxa"/>
            <w:shd w:val="clear" w:color="auto" w:fill="auto"/>
            <w:noWrap/>
            <w:vAlign w:val="bottom"/>
            <w:hideMark/>
          </w:tcPr>
          <w:p w:rsidR="00536D0E" w:rsidRPr="00456B80" w:rsidRDefault="00536D0E" w:rsidP="00D40BC3">
            <w:pPr>
              <w:spacing w:before="120" w:after="120" w:line="240" w:lineRule="auto"/>
              <w:ind w:right="284"/>
              <w:jc w:val="right"/>
              <w:rPr>
                <w:rFonts w:eastAsia="Times New Roman" w:cs="Gautami"/>
                <w:color w:val="000000"/>
                <w:sz w:val="18"/>
                <w:szCs w:val="16"/>
                <w:lang w:eastAsia="en-AU"/>
              </w:rPr>
            </w:pPr>
            <w:r w:rsidRPr="00456B80">
              <w:rPr>
                <w:rFonts w:eastAsia="Times New Roman" w:cs="Gautami"/>
                <w:color w:val="000000"/>
                <w:sz w:val="18"/>
                <w:szCs w:val="16"/>
                <w:lang w:eastAsia="en-AU"/>
              </w:rPr>
              <w:t>49</w:t>
            </w:r>
          </w:p>
        </w:tc>
        <w:tc>
          <w:tcPr>
            <w:tcW w:w="1134" w:type="dxa"/>
            <w:shd w:val="clear" w:color="auto" w:fill="auto"/>
            <w:noWrap/>
            <w:vAlign w:val="bottom"/>
            <w:hideMark/>
          </w:tcPr>
          <w:p w:rsidR="00536D0E" w:rsidRPr="00456B80" w:rsidRDefault="00536D0E" w:rsidP="00D40BC3">
            <w:pPr>
              <w:spacing w:before="120" w:after="120" w:line="240" w:lineRule="auto"/>
              <w:ind w:right="113"/>
              <w:jc w:val="right"/>
              <w:rPr>
                <w:rFonts w:eastAsia="Times New Roman" w:cs="Gautami"/>
                <w:color w:val="000000"/>
                <w:sz w:val="18"/>
                <w:szCs w:val="16"/>
                <w:lang w:eastAsia="en-AU"/>
              </w:rPr>
            </w:pPr>
            <w:r w:rsidRPr="00456B80">
              <w:rPr>
                <w:rFonts w:eastAsia="Times New Roman" w:cs="Gautami"/>
                <w:color w:val="000000"/>
                <w:sz w:val="18"/>
                <w:szCs w:val="16"/>
                <w:lang w:eastAsia="en-AU"/>
              </w:rPr>
              <w:t>117%</w:t>
            </w:r>
          </w:p>
        </w:tc>
        <w:tc>
          <w:tcPr>
            <w:tcW w:w="1276" w:type="dxa"/>
            <w:tcBorders>
              <w:right w:val="single" w:sz="4" w:space="0" w:color="auto"/>
            </w:tcBorders>
            <w:shd w:val="clear" w:color="auto" w:fill="auto"/>
            <w:noWrap/>
            <w:vAlign w:val="bottom"/>
            <w:hideMark/>
          </w:tcPr>
          <w:p w:rsidR="00536D0E" w:rsidRPr="00456B80" w:rsidRDefault="00536D0E" w:rsidP="00D40BC3">
            <w:pPr>
              <w:spacing w:before="120" w:after="120" w:line="240" w:lineRule="auto"/>
              <w:ind w:right="240"/>
              <w:jc w:val="right"/>
              <w:rPr>
                <w:rFonts w:eastAsia="Times New Roman" w:cs="Gautami"/>
                <w:color w:val="000000"/>
                <w:sz w:val="18"/>
                <w:szCs w:val="16"/>
                <w:lang w:eastAsia="en-AU"/>
              </w:rPr>
            </w:pPr>
            <w:r w:rsidRPr="00456B80">
              <w:rPr>
                <w:rFonts w:eastAsia="Times New Roman" w:cs="Gautami"/>
                <w:color w:val="000000"/>
                <w:sz w:val="18"/>
                <w:szCs w:val="16"/>
                <w:lang w:eastAsia="en-AU"/>
              </w:rPr>
              <w:t>60%</w:t>
            </w:r>
          </w:p>
        </w:tc>
      </w:tr>
      <w:tr w:rsidR="00536D0E" w:rsidRPr="00456B80" w:rsidTr="00D40BC3">
        <w:trPr>
          <w:trHeight w:val="300"/>
        </w:trPr>
        <w:tc>
          <w:tcPr>
            <w:tcW w:w="1760" w:type="dxa"/>
            <w:tcBorders>
              <w:left w:val="single" w:sz="4" w:space="0" w:color="auto"/>
              <w:right w:val="single" w:sz="4" w:space="0" w:color="auto"/>
            </w:tcBorders>
            <w:shd w:val="clear" w:color="auto" w:fill="C6D9F1" w:themeFill="text2" w:themeFillTint="33"/>
            <w:noWrap/>
            <w:vAlign w:val="bottom"/>
            <w:hideMark/>
          </w:tcPr>
          <w:p w:rsidR="00536D0E" w:rsidRPr="00456B80" w:rsidRDefault="00536D0E" w:rsidP="00D40BC3">
            <w:pPr>
              <w:spacing w:before="120" w:after="120" w:line="240" w:lineRule="auto"/>
              <w:jc w:val="left"/>
              <w:rPr>
                <w:rFonts w:eastAsia="Times New Roman" w:cs="Gautami"/>
                <w:color w:val="000000"/>
                <w:sz w:val="18"/>
                <w:szCs w:val="16"/>
                <w:lang w:eastAsia="en-AU"/>
              </w:rPr>
            </w:pPr>
            <w:r w:rsidRPr="00456B80">
              <w:rPr>
                <w:rFonts w:eastAsia="Times New Roman" w:cs="Gautami"/>
                <w:color w:val="000000"/>
                <w:sz w:val="18"/>
                <w:szCs w:val="16"/>
                <w:lang w:eastAsia="en-AU"/>
              </w:rPr>
              <w:t>SP AusNet</w:t>
            </w:r>
          </w:p>
        </w:tc>
        <w:tc>
          <w:tcPr>
            <w:tcW w:w="1232" w:type="dxa"/>
            <w:tcBorders>
              <w:left w:val="single" w:sz="4" w:space="0" w:color="auto"/>
              <w:right w:val="single" w:sz="4" w:space="0" w:color="auto"/>
            </w:tcBorders>
            <w:shd w:val="clear" w:color="auto" w:fill="C6D9F1" w:themeFill="text2" w:themeFillTint="33"/>
            <w:noWrap/>
            <w:vAlign w:val="bottom"/>
            <w:hideMark/>
          </w:tcPr>
          <w:p w:rsidR="00536D0E" w:rsidRPr="00456B80" w:rsidRDefault="00536D0E" w:rsidP="00D40BC3">
            <w:pPr>
              <w:spacing w:before="120" w:after="120" w:line="240" w:lineRule="auto"/>
              <w:ind w:right="175"/>
              <w:jc w:val="right"/>
              <w:rPr>
                <w:rFonts w:eastAsia="Times New Roman" w:cs="Gautami"/>
                <w:color w:val="000000"/>
                <w:sz w:val="18"/>
                <w:szCs w:val="16"/>
                <w:lang w:eastAsia="en-AU"/>
              </w:rPr>
            </w:pPr>
            <w:r w:rsidRPr="00456B80">
              <w:rPr>
                <w:rFonts w:eastAsia="Times New Roman" w:cs="Gautami"/>
                <w:color w:val="000000"/>
                <w:sz w:val="18"/>
                <w:szCs w:val="16"/>
                <w:lang w:eastAsia="en-AU"/>
              </w:rPr>
              <w:t>256.8</w:t>
            </w:r>
          </w:p>
        </w:tc>
        <w:tc>
          <w:tcPr>
            <w:tcW w:w="1134" w:type="dxa"/>
            <w:tcBorders>
              <w:left w:val="single" w:sz="4" w:space="0" w:color="auto"/>
              <w:right w:val="single" w:sz="4" w:space="0" w:color="auto"/>
            </w:tcBorders>
            <w:shd w:val="clear" w:color="auto" w:fill="C6D9F1" w:themeFill="text2" w:themeFillTint="33"/>
            <w:noWrap/>
            <w:vAlign w:val="bottom"/>
            <w:hideMark/>
          </w:tcPr>
          <w:p w:rsidR="00536D0E" w:rsidRPr="00456B80" w:rsidRDefault="00536D0E" w:rsidP="00D40BC3">
            <w:pPr>
              <w:spacing w:before="120" w:after="120" w:line="240" w:lineRule="auto"/>
              <w:ind w:right="227"/>
              <w:jc w:val="right"/>
              <w:rPr>
                <w:rFonts w:eastAsia="Times New Roman" w:cs="Gautami"/>
                <w:color w:val="000000"/>
                <w:sz w:val="18"/>
                <w:szCs w:val="16"/>
                <w:lang w:eastAsia="en-AU"/>
              </w:rPr>
            </w:pPr>
            <w:r w:rsidRPr="00456B80">
              <w:rPr>
                <w:rFonts w:eastAsia="Times New Roman" w:cs="Gautami"/>
                <w:color w:val="000000"/>
                <w:sz w:val="18"/>
                <w:szCs w:val="16"/>
                <w:lang w:eastAsia="en-AU"/>
              </w:rPr>
              <w:t>178</w:t>
            </w:r>
          </w:p>
        </w:tc>
        <w:tc>
          <w:tcPr>
            <w:tcW w:w="1134" w:type="dxa"/>
            <w:tcBorders>
              <w:left w:val="single" w:sz="4" w:space="0" w:color="auto"/>
            </w:tcBorders>
            <w:shd w:val="clear" w:color="auto" w:fill="C6D9F1" w:themeFill="text2" w:themeFillTint="33"/>
            <w:noWrap/>
            <w:vAlign w:val="bottom"/>
            <w:hideMark/>
          </w:tcPr>
          <w:p w:rsidR="00536D0E" w:rsidRPr="00456B80" w:rsidRDefault="00536D0E" w:rsidP="00D40BC3">
            <w:pPr>
              <w:spacing w:before="120" w:after="120" w:line="240" w:lineRule="auto"/>
              <w:ind w:right="227"/>
              <w:jc w:val="right"/>
              <w:rPr>
                <w:rFonts w:eastAsia="Times New Roman" w:cs="Gautami"/>
                <w:b/>
                <w:color w:val="000000"/>
                <w:sz w:val="18"/>
                <w:szCs w:val="16"/>
                <w:lang w:eastAsia="en-AU"/>
              </w:rPr>
            </w:pPr>
            <w:r w:rsidRPr="00456B80">
              <w:rPr>
                <w:rFonts w:eastAsia="Times New Roman" w:cs="Gautami"/>
                <w:b/>
                <w:color w:val="000000"/>
                <w:sz w:val="18"/>
                <w:szCs w:val="16"/>
                <w:lang w:eastAsia="en-AU"/>
              </w:rPr>
              <w:t>176</w:t>
            </w:r>
          </w:p>
        </w:tc>
        <w:tc>
          <w:tcPr>
            <w:tcW w:w="1276" w:type="dxa"/>
            <w:shd w:val="clear" w:color="auto" w:fill="C6D9F1" w:themeFill="text2" w:themeFillTint="33"/>
            <w:noWrap/>
            <w:vAlign w:val="bottom"/>
            <w:hideMark/>
          </w:tcPr>
          <w:p w:rsidR="00536D0E" w:rsidRPr="00456B80" w:rsidRDefault="00536D0E" w:rsidP="00D40BC3">
            <w:pPr>
              <w:spacing w:before="120" w:after="120" w:line="240" w:lineRule="auto"/>
              <w:ind w:right="284"/>
              <w:jc w:val="right"/>
              <w:rPr>
                <w:rFonts w:eastAsia="Times New Roman" w:cs="Gautami"/>
                <w:color w:val="000000"/>
                <w:sz w:val="18"/>
                <w:szCs w:val="16"/>
                <w:lang w:eastAsia="en-AU"/>
              </w:rPr>
            </w:pPr>
            <w:r w:rsidRPr="00456B80">
              <w:rPr>
                <w:rFonts w:eastAsia="Times New Roman" w:cs="Gautami"/>
                <w:color w:val="000000"/>
                <w:sz w:val="18"/>
                <w:szCs w:val="16"/>
                <w:lang w:eastAsia="en-AU"/>
              </w:rPr>
              <w:t>-2</w:t>
            </w:r>
          </w:p>
        </w:tc>
        <w:tc>
          <w:tcPr>
            <w:tcW w:w="1134" w:type="dxa"/>
            <w:shd w:val="clear" w:color="auto" w:fill="C6D9F1" w:themeFill="text2" w:themeFillTint="33"/>
            <w:noWrap/>
            <w:vAlign w:val="bottom"/>
            <w:hideMark/>
          </w:tcPr>
          <w:p w:rsidR="00536D0E" w:rsidRPr="00456B80" w:rsidRDefault="00536D0E" w:rsidP="00D40BC3">
            <w:pPr>
              <w:spacing w:before="120" w:after="120" w:line="240" w:lineRule="auto"/>
              <w:ind w:right="113"/>
              <w:jc w:val="right"/>
              <w:rPr>
                <w:rFonts w:eastAsia="Times New Roman" w:cs="Gautami"/>
                <w:color w:val="000000"/>
                <w:sz w:val="18"/>
                <w:szCs w:val="16"/>
                <w:lang w:eastAsia="en-AU"/>
              </w:rPr>
            </w:pPr>
            <w:r w:rsidRPr="00456B80">
              <w:rPr>
                <w:rFonts w:eastAsia="Times New Roman" w:cs="Gautami"/>
                <w:color w:val="000000"/>
                <w:sz w:val="18"/>
                <w:szCs w:val="16"/>
                <w:lang w:eastAsia="en-AU"/>
              </w:rPr>
              <w:t>-1%</w:t>
            </w:r>
          </w:p>
        </w:tc>
        <w:tc>
          <w:tcPr>
            <w:tcW w:w="1276" w:type="dxa"/>
            <w:tcBorders>
              <w:right w:val="single" w:sz="4" w:space="0" w:color="auto"/>
            </w:tcBorders>
            <w:shd w:val="clear" w:color="auto" w:fill="C6D9F1" w:themeFill="text2" w:themeFillTint="33"/>
            <w:noWrap/>
            <w:vAlign w:val="bottom"/>
            <w:hideMark/>
          </w:tcPr>
          <w:p w:rsidR="00536D0E" w:rsidRPr="00456B80" w:rsidRDefault="00536D0E" w:rsidP="00D40BC3">
            <w:pPr>
              <w:spacing w:before="120" w:after="120" w:line="240" w:lineRule="auto"/>
              <w:ind w:right="240"/>
              <w:jc w:val="right"/>
              <w:rPr>
                <w:rFonts w:eastAsia="Times New Roman" w:cs="Gautami"/>
                <w:color w:val="000000"/>
                <w:sz w:val="18"/>
                <w:szCs w:val="16"/>
                <w:lang w:eastAsia="en-AU"/>
              </w:rPr>
            </w:pPr>
            <w:r w:rsidRPr="00456B80">
              <w:rPr>
                <w:rFonts w:eastAsia="Times New Roman" w:cs="Gautami"/>
                <w:color w:val="000000"/>
                <w:sz w:val="18"/>
                <w:szCs w:val="16"/>
                <w:lang w:eastAsia="en-AU"/>
              </w:rPr>
              <w:t>-31%</w:t>
            </w:r>
          </w:p>
        </w:tc>
      </w:tr>
      <w:tr w:rsidR="00536D0E" w:rsidRPr="00456B80" w:rsidTr="00D40BC3">
        <w:trPr>
          <w:trHeight w:val="300"/>
        </w:trPr>
        <w:tc>
          <w:tcPr>
            <w:tcW w:w="1760" w:type="dxa"/>
            <w:tcBorders>
              <w:left w:val="single" w:sz="4" w:space="0" w:color="auto"/>
              <w:bottom w:val="single" w:sz="4" w:space="0" w:color="auto"/>
              <w:right w:val="single" w:sz="4" w:space="0" w:color="auto"/>
            </w:tcBorders>
            <w:shd w:val="clear" w:color="auto" w:fill="auto"/>
            <w:noWrap/>
            <w:vAlign w:val="bottom"/>
            <w:hideMark/>
          </w:tcPr>
          <w:p w:rsidR="00536D0E" w:rsidRPr="00456B80" w:rsidRDefault="00536D0E" w:rsidP="00D40BC3">
            <w:pPr>
              <w:spacing w:before="120" w:after="120" w:line="240" w:lineRule="auto"/>
              <w:jc w:val="left"/>
              <w:rPr>
                <w:rFonts w:eastAsia="Times New Roman" w:cs="Gautami"/>
                <w:color w:val="000000"/>
                <w:sz w:val="18"/>
                <w:szCs w:val="16"/>
                <w:lang w:eastAsia="en-AU"/>
              </w:rPr>
            </w:pPr>
            <w:r w:rsidRPr="00456B80">
              <w:rPr>
                <w:rFonts w:eastAsia="Times New Roman" w:cs="Gautami"/>
                <w:color w:val="000000"/>
                <w:sz w:val="18"/>
                <w:szCs w:val="16"/>
                <w:lang w:eastAsia="en-AU"/>
              </w:rPr>
              <w:t>United Energy</w:t>
            </w:r>
          </w:p>
        </w:tc>
        <w:tc>
          <w:tcPr>
            <w:tcW w:w="1232" w:type="dxa"/>
            <w:tcBorders>
              <w:left w:val="single" w:sz="4" w:space="0" w:color="auto"/>
              <w:bottom w:val="single" w:sz="4" w:space="0" w:color="auto"/>
              <w:right w:val="single" w:sz="4" w:space="0" w:color="auto"/>
            </w:tcBorders>
            <w:shd w:val="clear" w:color="auto" w:fill="auto"/>
            <w:noWrap/>
            <w:vAlign w:val="bottom"/>
            <w:hideMark/>
          </w:tcPr>
          <w:p w:rsidR="00536D0E" w:rsidRPr="00456B80" w:rsidRDefault="00536D0E" w:rsidP="00D40BC3">
            <w:pPr>
              <w:spacing w:before="120" w:after="120" w:line="240" w:lineRule="auto"/>
              <w:ind w:right="175"/>
              <w:jc w:val="right"/>
              <w:rPr>
                <w:rFonts w:eastAsia="Times New Roman" w:cs="Gautami"/>
                <w:color w:val="000000"/>
                <w:sz w:val="18"/>
                <w:szCs w:val="16"/>
                <w:lang w:eastAsia="en-AU"/>
              </w:rPr>
            </w:pPr>
            <w:r w:rsidRPr="00456B80">
              <w:rPr>
                <w:rFonts w:eastAsia="Times New Roman" w:cs="Gautami"/>
                <w:color w:val="000000"/>
                <w:sz w:val="18"/>
                <w:szCs w:val="16"/>
                <w:lang w:eastAsia="en-AU"/>
              </w:rPr>
              <w:t>124.2</w:t>
            </w:r>
          </w:p>
        </w:tc>
        <w:tc>
          <w:tcPr>
            <w:tcW w:w="1134" w:type="dxa"/>
            <w:tcBorders>
              <w:left w:val="single" w:sz="4" w:space="0" w:color="auto"/>
              <w:bottom w:val="single" w:sz="4" w:space="0" w:color="auto"/>
              <w:right w:val="single" w:sz="4" w:space="0" w:color="auto"/>
            </w:tcBorders>
            <w:shd w:val="clear" w:color="auto" w:fill="auto"/>
            <w:noWrap/>
            <w:vAlign w:val="bottom"/>
            <w:hideMark/>
          </w:tcPr>
          <w:p w:rsidR="00536D0E" w:rsidRPr="00456B80" w:rsidRDefault="00536D0E" w:rsidP="00D40BC3">
            <w:pPr>
              <w:spacing w:before="120" w:after="120" w:line="240" w:lineRule="auto"/>
              <w:ind w:right="227"/>
              <w:jc w:val="right"/>
              <w:rPr>
                <w:rFonts w:eastAsia="Times New Roman" w:cs="Gautami"/>
                <w:color w:val="000000"/>
                <w:sz w:val="18"/>
                <w:szCs w:val="16"/>
                <w:lang w:eastAsia="en-AU"/>
              </w:rPr>
            </w:pPr>
            <w:r w:rsidRPr="00456B80">
              <w:rPr>
                <w:rFonts w:eastAsia="Times New Roman" w:cs="Gautami"/>
                <w:color w:val="000000"/>
                <w:sz w:val="18"/>
                <w:szCs w:val="16"/>
                <w:lang w:eastAsia="en-AU"/>
              </w:rPr>
              <w:t>85</w:t>
            </w:r>
          </w:p>
        </w:tc>
        <w:tc>
          <w:tcPr>
            <w:tcW w:w="1134" w:type="dxa"/>
            <w:tcBorders>
              <w:left w:val="single" w:sz="4" w:space="0" w:color="auto"/>
              <w:bottom w:val="single" w:sz="4" w:space="0" w:color="auto"/>
            </w:tcBorders>
            <w:shd w:val="clear" w:color="auto" w:fill="auto"/>
            <w:noWrap/>
            <w:vAlign w:val="bottom"/>
            <w:hideMark/>
          </w:tcPr>
          <w:p w:rsidR="00536D0E" w:rsidRPr="00456B80" w:rsidRDefault="00536D0E" w:rsidP="00D40BC3">
            <w:pPr>
              <w:spacing w:before="120" w:after="120" w:line="240" w:lineRule="auto"/>
              <w:ind w:right="227"/>
              <w:jc w:val="right"/>
              <w:rPr>
                <w:rFonts w:eastAsia="Times New Roman" w:cs="Gautami"/>
                <w:b/>
                <w:color w:val="000000"/>
                <w:sz w:val="18"/>
                <w:szCs w:val="16"/>
                <w:lang w:eastAsia="en-AU"/>
              </w:rPr>
            </w:pPr>
            <w:r w:rsidRPr="00456B80">
              <w:rPr>
                <w:rFonts w:eastAsia="Times New Roman" w:cs="Gautami"/>
                <w:b/>
                <w:color w:val="000000"/>
                <w:sz w:val="18"/>
                <w:szCs w:val="16"/>
                <w:lang w:eastAsia="en-AU"/>
              </w:rPr>
              <w:t>127</w:t>
            </w:r>
          </w:p>
        </w:tc>
        <w:tc>
          <w:tcPr>
            <w:tcW w:w="1276" w:type="dxa"/>
            <w:tcBorders>
              <w:bottom w:val="single" w:sz="4" w:space="0" w:color="auto"/>
            </w:tcBorders>
            <w:shd w:val="clear" w:color="auto" w:fill="auto"/>
            <w:noWrap/>
            <w:vAlign w:val="bottom"/>
            <w:hideMark/>
          </w:tcPr>
          <w:p w:rsidR="00536D0E" w:rsidRPr="00456B80" w:rsidRDefault="00536D0E" w:rsidP="00D40BC3">
            <w:pPr>
              <w:spacing w:before="120" w:after="120" w:line="240" w:lineRule="auto"/>
              <w:ind w:right="284"/>
              <w:jc w:val="right"/>
              <w:rPr>
                <w:rFonts w:eastAsia="Times New Roman" w:cs="Gautami"/>
                <w:color w:val="000000"/>
                <w:sz w:val="18"/>
                <w:szCs w:val="16"/>
                <w:lang w:eastAsia="en-AU"/>
              </w:rPr>
            </w:pPr>
            <w:r w:rsidRPr="00456B80">
              <w:rPr>
                <w:rFonts w:eastAsia="Times New Roman" w:cs="Gautami"/>
                <w:color w:val="000000"/>
                <w:sz w:val="18"/>
                <w:szCs w:val="16"/>
                <w:lang w:eastAsia="en-AU"/>
              </w:rPr>
              <w:t>42</w:t>
            </w:r>
          </w:p>
        </w:tc>
        <w:tc>
          <w:tcPr>
            <w:tcW w:w="1134" w:type="dxa"/>
            <w:tcBorders>
              <w:bottom w:val="single" w:sz="4" w:space="0" w:color="auto"/>
            </w:tcBorders>
            <w:shd w:val="clear" w:color="auto" w:fill="auto"/>
            <w:noWrap/>
            <w:vAlign w:val="bottom"/>
            <w:hideMark/>
          </w:tcPr>
          <w:p w:rsidR="00536D0E" w:rsidRPr="00456B80" w:rsidRDefault="00536D0E" w:rsidP="00D40BC3">
            <w:pPr>
              <w:spacing w:before="120" w:after="120" w:line="240" w:lineRule="auto"/>
              <w:ind w:right="113"/>
              <w:jc w:val="right"/>
              <w:rPr>
                <w:rFonts w:eastAsia="Times New Roman" w:cs="Gautami"/>
                <w:color w:val="000000"/>
                <w:sz w:val="18"/>
                <w:szCs w:val="16"/>
                <w:lang w:eastAsia="en-AU"/>
              </w:rPr>
            </w:pPr>
            <w:r w:rsidRPr="00456B80">
              <w:rPr>
                <w:rFonts w:eastAsia="Times New Roman" w:cs="Gautami"/>
                <w:color w:val="000000"/>
                <w:sz w:val="18"/>
                <w:szCs w:val="16"/>
                <w:lang w:eastAsia="en-AU"/>
              </w:rPr>
              <w:t>49%</w:t>
            </w:r>
          </w:p>
        </w:tc>
        <w:tc>
          <w:tcPr>
            <w:tcW w:w="1276" w:type="dxa"/>
            <w:tcBorders>
              <w:bottom w:val="single" w:sz="4" w:space="0" w:color="auto"/>
              <w:right w:val="single" w:sz="4" w:space="0" w:color="auto"/>
            </w:tcBorders>
            <w:shd w:val="clear" w:color="auto" w:fill="auto"/>
            <w:noWrap/>
            <w:vAlign w:val="bottom"/>
            <w:hideMark/>
          </w:tcPr>
          <w:p w:rsidR="00536D0E" w:rsidRPr="00456B80" w:rsidRDefault="00536D0E" w:rsidP="00D40BC3">
            <w:pPr>
              <w:spacing w:before="120" w:after="120" w:line="240" w:lineRule="auto"/>
              <w:ind w:right="240"/>
              <w:jc w:val="right"/>
              <w:rPr>
                <w:rFonts w:eastAsia="Times New Roman" w:cs="Gautami"/>
                <w:color w:val="000000"/>
                <w:sz w:val="18"/>
                <w:szCs w:val="16"/>
                <w:lang w:eastAsia="en-AU"/>
              </w:rPr>
            </w:pPr>
            <w:r w:rsidRPr="00456B80">
              <w:rPr>
                <w:rFonts w:eastAsia="Times New Roman" w:cs="Gautami"/>
                <w:color w:val="000000"/>
                <w:sz w:val="18"/>
                <w:szCs w:val="16"/>
                <w:lang w:eastAsia="en-AU"/>
              </w:rPr>
              <w:t>2%</w:t>
            </w:r>
          </w:p>
        </w:tc>
      </w:tr>
    </w:tbl>
    <w:p w:rsidR="00536D0E" w:rsidRPr="003B314A" w:rsidRDefault="00536D0E" w:rsidP="00536D0E">
      <w:pPr>
        <w:pStyle w:val="AERbodytext"/>
        <w:rPr>
          <w:sz w:val="16"/>
          <w:szCs w:val="16"/>
        </w:rPr>
      </w:pPr>
      <w:r w:rsidRPr="003B314A">
        <w:rPr>
          <w:sz w:val="16"/>
          <w:szCs w:val="16"/>
        </w:rPr>
        <w:t xml:space="preserve">Source: </w:t>
      </w:r>
      <w:r w:rsidRPr="003B314A">
        <w:rPr>
          <w:sz w:val="16"/>
          <w:szCs w:val="16"/>
        </w:rPr>
        <w:tab/>
      </w:r>
      <w:r>
        <w:rPr>
          <w:sz w:val="16"/>
          <w:szCs w:val="16"/>
        </w:rPr>
        <w:t>AER</w:t>
      </w:r>
    </w:p>
    <w:p w:rsidR="00536D0E" w:rsidRDefault="00536D0E" w:rsidP="004A69A2">
      <w:pPr>
        <w:pStyle w:val="AERbodytext"/>
        <w:numPr>
          <w:ilvl w:val="0"/>
          <w:numId w:val="0"/>
        </w:numPr>
        <w:rPr>
          <w:rStyle w:val="AERbody"/>
        </w:rPr>
      </w:pPr>
    </w:p>
    <w:p w:rsidR="00083A97" w:rsidRDefault="00083A97" w:rsidP="004A69A2">
      <w:pPr>
        <w:pStyle w:val="AERbodytext"/>
        <w:numPr>
          <w:ilvl w:val="0"/>
          <w:numId w:val="0"/>
        </w:numPr>
        <w:rPr>
          <w:rStyle w:val="AERbody"/>
        </w:rPr>
      </w:pPr>
    </w:p>
    <w:p w:rsidR="00083A97" w:rsidRDefault="00083A97">
      <w:pPr>
        <w:spacing w:after="200" w:line="276" w:lineRule="auto"/>
        <w:jc w:val="left"/>
        <w:rPr>
          <w:rStyle w:val="AERbody"/>
          <w:rFonts w:eastAsia="Times New Roman"/>
          <w:szCs w:val="24"/>
        </w:rPr>
      </w:pPr>
    </w:p>
    <w:p w:rsidR="009B58BD" w:rsidRDefault="009B58BD">
      <w:pPr>
        <w:spacing w:after="200" w:line="276" w:lineRule="auto"/>
        <w:jc w:val="left"/>
        <w:rPr>
          <w:rStyle w:val="AERbody"/>
          <w:rFonts w:eastAsia="Times New Roman"/>
          <w:szCs w:val="24"/>
        </w:rPr>
      </w:pPr>
    </w:p>
    <w:p w:rsidR="009B58BD" w:rsidRDefault="009B58BD" w:rsidP="009B58BD">
      <w:pPr>
        <w:pStyle w:val="Heading1"/>
      </w:pPr>
      <w:bookmarkStart w:id="6" w:name="_Toc395171268"/>
      <w:bookmarkStart w:id="7" w:name="_Toc359398332"/>
      <w:r>
        <w:lastRenderedPageBreak/>
        <w:t>Introduction</w:t>
      </w:r>
      <w:bookmarkEnd w:id="6"/>
      <w:r>
        <w:t xml:space="preserve"> </w:t>
      </w:r>
    </w:p>
    <w:p w:rsidR="00354AB5" w:rsidRDefault="00354AB5" w:rsidP="00354AB5">
      <w:pPr>
        <w:pStyle w:val="Heading2"/>
      </w:pPr>
      <w:bookmarkStart w:id="8" w:name="_Toc356990198"/>
      <w:bookmarkStart w:id="9" w:name="_Toc395171269"/>
      <w:r>
        <w:t>Purpose of this paper</w:t>
      </w:r>
      <w:bookmarkEnd w:id="8"/>
      <w:bookmarkEnd w:id="9"/>
    </w:p>
    <w:p w:rsidR="00354AB5" w:rsidRPr="004A69A2" w:rsidRDefault="00354AB5" w:rsidP="00354AB5">
      <w:pPr>
        <w:rPr>
          <w:rStyle w:val="AERbody"/>
        </w:rPr>
      </w:pPr>
      <w:r w:rsidRPr="004A69A2">
        <w:rPr>
          <w:rStyle w:val="AERbody"/>
        </w:rPr>
        <w:t xml:space="preserve">This paper sets out </w:t>
      </w:r>
      <w:r>
        <w:rPr>
          <w:rStyle w:val="AERbody"/>
        </w:rPr>
        <w:t>our</w:t>
      </w:r>
      <w:r w:rsidRPr="004A69A2">
        <w:rPr>
          <w:rStyle w:val="AERbody"/>
        </w:rPr>
        <w:t xml:space="preserve"> final determination</w:t>
      </w:r>
      <w:r>
        <w:rPr>
          <w:rStyle w:val="AERbody"/>
        </w:rPr>
        <w:t>s</w:t>
      </w:r>
      <w:r w:rsidRPr="004A69A2">
        <w:rPr>
          <w:rStyle w:val="AERbody"/>
        </w:rPr>
        <w:t xml:space="preserve"> of the Victorian DNSPs’ f-factor reward or penalty amounts for the</w:t>
      </w:r>
      <w:r>
        <w:rPr>
          <w:rStyle w:val="AERbody"/>
        </w:rPr>
        <w:t>ir fire start outcomes of</w:t>
      </w:r>
      <w:r w:rsidRPr="004A69A2">
        <w:rPr>
          <w:rStyle w:val="AERbody"/>
        </w:rPr>
        <w:t xml:space="preserve"> </w:t>
      </w:r>
      <w:r>
        <w:rPr>
          <w:rStyle w:val="AERbody"/>
        </w:rPr>
        <w:t xml:space="preserve">the </w:t>
      </w:r>
      <w:r w:rsidRPr="004A69A2">
        <w:rPr>
          <w:rStyle w:val="AERbody"/>
        </w:rPr>
        <w:t>201</w:t>
      </w:r>
      <w:r>
        <w:rPr>
          <w:rStyle w:val="AERbody"/>
        </w:rPr>
        <w:t>3</w:t>
      </w:r>
      <w:r w:rsidRPr="004A69A2">
        <w:rPr>
          <w:rStyle w:val="AERbody"/>
        </w:rPr>
        <w:t xml:space="preserve"> calendar year</w:t>
      </w:r>
      <w:r>
        <w:rPr>
          <w:rStyle w:val="AERbody"/>
        </w:rPr>
        <w:t>, after consideration of the submissions to the draft determinations</w:t>
      </w:r>
      <w:r w:rsidRPr="004A69A2">
        <w:rPr>
          <w:rStyle w:val="AERbody"/>
        </w:rPr>
        <w:t>. It also provides an explanatory statement for the purpose of clause 14(2) of the Order.</w:t>
      </w:r>
      <w:r w:rsidR="00537C2A">
        <w:rPr>
          <w:rStyle w:val="FootnoteReference"/>
        </w:rPr>
        <w:footnoteReference w:id="5"/>
      </w:r>
      <w:r w:rsidRPr="004A69A2">
        <w:rPr>
          <w:rStyle w:val="AERbody"/>
        </w:rPr>
        <w:t xml:space="preserve"> This paper sets out </w:t>
      </w:r>
      <w:r>
        <w:rPr>
          <w:rStyle w:val="AERbody"/>
        </w:rPr>
        <w:t>our</w:t>
      </w:r>
      <w:r w:rsidRPr="004A69A2">
        <w:rPr>
          <w:rStyle w:val="AERbody"/>
        </w:rPr>
        <w:t>:</w:t>
      </w:r>
    </w:p>
    <w:p w:rsidR="00354AB5" w:rsidRPr="004A69A2" w:rsidRDefault="00354AB5" w:rsidP="00354AB5">
      <w:pPr>
        <w:pStyle w:val="AERbulletlistfirststyle"/>
        <w:rPr>
          <w:rStyle w:val="AERbody"/>
        </w:rPr>
      </w:pPr>
      <w:r w:rsidRPr="004A69A2">
        <w:rPr>
          <w:rStyle w:val="AERbody"/>
        </w:rPr>
        <w:t xml:space="preserve">process in making these f-factor amount determinations </w:t>
      </w:r>
    </w:p>
    <w:p w:rsidR="00354AB5" w:rsidRPr="004A69A2" w:rsidRDefault="00354AB5" w:rsidP="00354AB5">
      <w:pPr>
        <w:pStyle w:val="AERbulletlistfirststyle"/>
        <w:rPr>
          <w:rStyle w:val="AERbody"/>
        </w:rPr>
      </w:pPr>
      <w:r w:rsidRPr="004A69A2">
        <w:rPr>
          <w:rStyle w:val="AERbody"/>
        </w:rPr>
        <w:t>considerations and reasons for making these determinations</w:t>
      </w:r>
    </w:p>
    <w:p w:rsidR="00354AB5" w:rsidRDefault="00354AB5" w:rsidP="00354AB5">
      <w:pPr>
        <w:pStyle w:val="AERbulletlistfirststyle"/>
      </w:pPr>
      <w:r w:rsidRPr="004A69A2">
        <w:rPr>
          <w:rStyle w:val="AERbody"/>
        </w:rPr>
        <w:t>final f-factor amount determinations for each of the five Victorian DNSPs.</w:t>
      </w:r>
    </w:p>
    <w:p w:rsidR="00C26A20" w:rsidRDefault="00C26A20" w:rsidP="00C26A20">
      <w:pPr>
        <w:pStyle w:val="Heading2"/>
      </w:pPr>
      <w:bookmarkStart w:id="10" w:name="_Toc395171270"/>
      <w:r>
        <w:t>The f-factor scheme</w:t>
      </w:r>
      <w:bookmarkEnd w:id="7"/>
      <w:bookmarkEnd w:id="10"/>
    </w:p>
    <w:p w:rsidR="00536D0E" w:rsidRPr="00F30648" w:rsidRDefault="00536D0E" w:rsidP="00536D0E">
      <w:pPr>
        <w:pStyle w:val="AERbodytext"/>
        <w:numPr>
          <w:ilvl w:val="0"/>
          <w:numId w:val="5"/>
        </w:numPr>
      </w:pPr>
      <w:r w:rsidRPr="00F30648">
        <w:t xml:space="preserve">The f-factor scheme is intended to provide a financial incentive for </w:t>
      </w:r>
      <w:r w:rsidR="005F324E">
        <w:t xml:space="preserve">Victorian </w:t>
      </w:r>
      <w:r w:rsidRPr="00F30648">
        <w:t>DNSPs to reduce the number of fire starts in their distribution networks. For the first four years (2012–15), DNSPs will be either rewarded or penalised at the incentive rate of $25,000 per fire for performing better or worse than their respective fire start targets.</w:t>
      </w:r>
    </w:p>
    <w:p w:rsidR="00536D0E" w:rsidRPr="00F30648" w:rsidRDefault="00536D0E" w:rsidP="00536D0E">
      <w:pPr>
        <w:pStyle w:val="AERbodytext"/>
        <w:numPr>
          <w:ilvl w:val="0"/>
          <w:numId w:val="5"/>
        </w:numPr>
      </w:pPr>
      <w:r w:rsidRPr="00F30648">
        <w:t>After the first period, the AER may vary the incentive rates and mechanism of the scheme, such as applying different targets for different parts of the network.</w:t>
      </w:r>
    </w:p>
    <w:p w:rsidR="00536D0E" w:rsidRPr="00F30648" w:rsidRDefault="00536D0E" w:rsidP="00536D0E">
      <w:pPr>
        <w:pStyle w:val="AERbodytext"/>
        <w:numPr>
          <w:ilvl w:val="0"/>
          <w:numId w:val="5"/>
        </w:numPr>
      </w:pPr>
      <w:r w:rsidRPr="00F30648">
        <w:t xml:space="preserve">The following sections explain how the financial rewards and penalties arising from the f-factor scheme will be applied. </w:t>
      </w:r>
    </w:p>
    <w:p w:rsidR="00536D0E" w:rsidRPr="00827110" w:rsidRDefault="00536D0E" w:rsidP="00536D0E">
      <w:pPr>
        <w:pStyle w:val="AERbodytext"/>
        <w:numPr>
          <w:ilvl w:val="0"/>
          <w:numId w:val="5"/>
        </w:numPr>
        <w:rPr>
          <w:rStyle w:val="AERtextboldunderline"/>
        </w:rPr>
      </w:pPr>
      <w:bookmarkStart w:id="11" w:name="_Ref304465375"/>
      <w:bookmarkStart w:id="12" w:name="_Toc312308559"/>
      <w:r w:rsidRPr="00827110">
        <w:rPr>
          <w:rStyle w:val="AERtextboldunderline"/>
        </w:rPr>
        <w:t>Revenue adjustment mechanism under the f-factor scheme</w:t>
      </w:r>
      <w:bookmarkEnd w:id="11"/>
      <w:bookmarkEnd w:id="12"/>
    </w:p>
    <w:p w:rsidR="00536D0E" w:rsidRDefault="00536D0E" w:rsidP="00536D0E">
      <w:pPr>
        <w:pStyle w:val="AERbodytext"/>
        <w:numPr>
          <w:ilvl w:val="0"/>
          <w:numId w:val="5"/>
        </w:numPr>
      </w:pPr>
      <w:r>
        <w:t>Clause 7(2) of the Order specifies that, based on the actual fire starts in comparison with the target number of fire starts each year (t-2), the f-factor scheme shall result in adjustments to DNSPs’ revenue for year (t)––that is two years later. Hence, the revenue adjustment will start from 2014 based on the actual outcome of 2012. The adjustment will be in the form of:</w:t>
      </w:r>
      <w:r w:rsidRPr="00815513">
        <w:t xml:space="preserve"> </w:t>
      </w:r>
    </w:p>
    <w:p w:rsidR="00536D0E" w:rsidRDefault="00536D0E" w:rsidP="00536D0E">
      <w:r>
        <w:rPr>
          <w:noProof/>
          <w:lang w:eastAsia="en-AU"/>
        </w:rPr>
        <w:drawing>
          <wp:inline distT="0" distB="0" distL="0" distR="0" wp14:anchorId="353F6441" wp14:editId="5BF5DFFD">
            <wp:extent cx="5693443"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3443" cy="781050"/>
                    </a:xfrm>
                    <a:prstGeom prst="rect">
                      <a:avLst/>
                    </a:prstGeom>
                    <a:noFill/>
                    <a:ln>
                      <a:noFill/>
                    </a:ln>
                  </pic:spPr>
                </pic:pic>
              </a:graphicData>
            </a:graphic>
          </wp:inline>
        </w:drawing>
      </w:r>
    </w:p>
    <w:p w:rsidR="00536D0E" w:rsidRPr="00F30648" w:rsidRDefault="00536D0E" w:rsidP="00536D0E">
      <w:r w:rsidRPr="00F30648">
        <w:t xml:space="preserve">where the distribution system is made up of </w:t>
      </w:r>
      <w:r w:rsidRPr="003B6268">
        <w:t>q</w:t>
      </w:r>
      <w:r w:rsidRPr="00F30648">
        <w:t xml:space="preserve"> parts and–</w:t>
      </w:r>
    </w:p>
    <w:p w:rsidR="00536D0E" w:rsidRDefault="00536D0E" w:rsidP="00536D0E">
      <w:pPr>
        <w:pStyle w:val="AERnumberedlistsecondstyle"/>
        <w:tabs>
          <w:tab w:val="clear" w:pos="360"/>
          <w:tab w:val="num" w:pos="720"/>
        </w:tabs>
      </w:pPr>
      <w:r w:rsidRPr="003B6268">
        <w:t>Revenue adjustment</w:t>
      </w:r>
      <w:r w:rsidRPr="003B6268">
        <w:rPr>
          <w:rStyle w:val="AERsubscript"/>
        </w:rPr>
        <w:t>t,n</w:t>
      </w:r>
      <w:r w:rsidRPr="003B6268">
        <w:t xml:space="preserve"> </w:t>
      </w:r>
      <w:r w:rsidRPr="00F30648">
        <w:t>is the adjustment to the revenue for Distribution Network Service Provider</w:t>
      </w:r>
      <w:r>
        <w:t xml:space="preserve"> </w:t>
      </w:r>
      <w:r w:rsidRPr="003B6268">
        <w:t>n</w:t>
      </w:r>
      <w:r>
        <w:t xml:space="preserve"> for regulatory year </w:t>
      </w:r>
      <w:r w:rsidRPr="003B6268">
        <w:t>t</w:t>
      </w:r>
      <w:r>
        <w:t>.</w:t>
      </w:r>
    </w:p>
    <w:p w:rsidR="00536D0E" w:rsidRDefault="00536D0E" w:rsidP="00536D0E">
      <w:pPr>
        <w:pStyle w:val="AERnumberedlistsecondstyle"/>
        <w:tabs>
          <w:tab w:val="clear" w:pos="360"/>
          <w:tab w:val="num" w:pos="720"/>
        </w:tabs>
      </w:pPr>
      <w:r w:rsidRPr="003B6268">
        <w:t>Incentive rate</w:t>
      </w:r>
      <w:r w:rsidRPr="003B6268">
        <w:rPr>
          <w:rStyle w:val="AERsubscript"/>
        </w:rPr>
        <w:t>t-2</w:t>
      </w:r>
      <w:r w:rsidRPr="003B6268">
        <w:t>,</w:t>
      </w:r>
      <w:r w:rsidRPr="000E35F8">
        <w:rPr>
          <w:rStyle w:val="AERsubscript"/>
        </w:rPr>
        <w:t>n,m</w:t>
      </w:r>
      <w:r w:rsidRPr="003B6268">
        <w:t xml:space="preserve"> </w:t>
      </w:r>
      <w:r w:rsidRPr="00F30648">
        <w:t xml:space="preserve">is the incentive rate for part </w:t>
      </w:r>
      <w:r w:rsidRPr="003B6268">
        <w:t>m</w:t>
      </w:r>
      <w:r w:rsidRPr="00F30648">
        <w:t xml:space="preserve"> of distribution system </w:t>
      </w:r>
      <w:r w:rsidRPr="003B6268">
        <w:t>n</w:t>
      </w:r>
      <w:r w:rsidRPr="00F30648">
        <w:t xml:space="preserve"> for regulatory year </w:t>
      </w:r>
      <w:r w:rsidRPr="003B6268">
        <w:t>t-2</w:t>
      </w:r>
      <w:r w:rsidRPr="00F30648">
        <w:t>, determined in accordance with cla</w:t>
      </w:r>
      <w:r>
        <w:t>use 10 or 11 as the case may be.</w:t>
      </w:r>
    </w:p>
    <w:p w:rsidR="00536D0E" w:rsidRDefault="00536D0E" w:rsidP="00536D0E">
      <w:pPr>
        <w:pStyle w:val="AERnumberedlistsecondstyle"/>
        <w:tabs>
          <w:tab w:val="clear" w:pos="360"/>
          <w:tab w:val="num" w:pos="720"/>
        </w:tabs>
      </w:pPr>
      <w:r w:rsidRPr="003B6268">
        <w:lastRenderedPageBreak/>
        <w:t>Target no. of fires</w:t>
      </w:r>
      <w:r w:rsidRPr="003B6268">
        <w:rPr>
          <w:rStyle w:val="AERsubscript"/>
        </w:rPr>
        <w:t>t-2,n,m</w:t>
      </w:r>
      <w:r w:rsidRPr="00F30648">
        <w:t xml:space="preserve"> is the fire start target for regulatory year </w:t>
      </w:r>
      <w:r w:rsidRPr="003B6268">
        <w:t>t-2</w:t>
      </w:r>
      <w:r w:rsidRPr="00F30648">
        <w:t xml:space="preserve"> for part </w:t>
      </w:r>
      <w:r w:rsidRPr="003B6268">
        <w:t>m</w:t>
      </w:r>
      <w:r w:rsidRPr="00F30648">
        <w:t xml:space="preserve"> of distribution system </w:t>
      </w:r>
      <w:r w:rsidRPr="003B6268">
        <w:t>n</w:t>
      </w:r>
      <w:r w:rsidRPr="00F30648">
        <w:t>, determined in accordance with clause 8</w:t>
      </w:r>
      <w:r>
        <w:t>.</w:t>
      </w:r>
    </w:p>
    <w:p w:rsidR="00536D0E" w:rsidRDefault="00536D0E" w:rsidP="00A1434B">
      <w:pPr>
        <w:pStyle w:val="AERquote"/>
      </w:pPr>
      <w:r>
        <w:t>The targets for each DNSP  for 2012-15 are the respective average of the fire starts during the five year period (2006-10).</w:t>
      </w:r>
      <w:r w:rsidRPr="00F30648">
        <w:t xml:space="preserve"> </w:t>
      </w:r>
    </w:p>
    <w:p w:rsidR="00C26A20" w:rsidRPr="00163964" w:rsidRDefault="00536D0E" w:rsidP="00536D0E">
      <w:pPr>
        <w:pStyle w:val="AERbodytext"/>
      </w:pPr>
      <w:r w:rsidRPr="003B6268">
        <w:t>Number</w:t>
      </w:r>
      <w:r w:rsidRPr="003B6268">
        <w:rPr>
          <w:rFonts w:hint="eastAsia"/>
        </w:rPr>
        <w:t> </w:t>
      </w:r>
      <w:r w:rsidRPr="003B6268">
        <w:t>of</w:t>
      </w:r>
      <w:r w:rsidRPr="003B6268">
        <w:rPr>
          <w:rFonts w:hint="eastAsia"/>
        </w:rPr>
        <w:t> </w:t>
      </w:r>
      <w:r w:rsidRPr="003B6268">
        <w:t>fires</w:t>
      </w:r>
      <w:r w:rsidRPr="003B6268">
        <w:rPr>
          <w:rStyle w:val="AERsubscript"/>
        </w:rPr>
        <w:t>t-2,n,m</w:t>
      </w:r>
      <w:r w:rsidRPr="00F30648">
        <w:t xml:space="preserve"> is the number of fire starts in relation to part </w:t>
      </w:r>
      <w:r w:rsidRPr="003B6268">
        <w:t>m</w:t>
      </w:r>
      <w:r w:rsidRPr="00F30648">
        <w:t xml:space="preserve"> of distribution system </w:t>
      </w:r>
      <w:r w:rsidRPr="003B6268">
        <w:t>n</w:t>
      </w:r>
      <w:r w:rsidRPr="00F30648">
        <w:t xml:space="preserve"> that occurred in regulatory year </w:t>
      </w:r>
      <w:r w:rsidRPr="003B6268">
        <w:t>t</w:t>
      </w:r>
      <w:r w:rsidRPr="003B6268">
        <w:rPr>
          <w:rFonts w:hint="eastAsia"/>
        </w:rPr>
        <w:t>–</w:t>
      </w:r>
      <w:r w:rsidRPr="003B6268">
        <w:t>2</w:t>
      </w:r>
      <w:r w:rsidRPr="00F30648">
        <w:t>, determined in accordance with clause 9.</w:t>
      </w:r>
    </w:p>
    <w:p w:rsidR="00C26A20" w:rsidRDefault="00C26A20" w:rsidP="00C26A20">
      <w:pPr>
        <w:pStyle w:val="Heading2"/>
      </w:pPr>
      <w:bookmarkStart w:id="13" w:name="_Toc359398333"/>
      <w:bookmarkStart w:id="14" w:name="_Toc395171271"/>
      <w:r>
        <w:t>Rules for f-factor amount determinations</w:t>
      </w:r>
      <w:bookmarkEnd w:id="13"/>
      <w:bookmarkEnd w:id="14"/>
    </w:p>
    <w:p w:rsidR="00536D0E" w:rsidRDefault="00536D0E" w:rsidP="00536D0E">
      <w:pPr>
        <w:pStyle w:val="AERbodytext"/>
        <w:rPr>
          <w:rStyle w:val="AERbody"/>
        </w:rPr>
      </w:pPr>
      <w:r>
        <w:rPr>
          <w:rStyle w:val="AERbody"/>
        </w:rPr>
        <w:t xml:space="preserve"> Clause 12 of the Order requires us to make</w:t>
      </w:r>
      <w:r w:rsidRPr="00A95888">
        <w:rPr>
          <w:rStyle w:val="AERbody"/>
        </w:rPr>
        <w:t>:</w:t>
      </w:r>
      <w:r w:rsidRPr="00E42C52">
        <w:rPr>
          <w:rStyle w:val="FootnoteReference"/>
        </w:rPr>
        <w:t xml:space="preserve"> </w:t>
      </w:r>
      <w:r w:rsidRPr="00687101">
        <w:rPr>
          <w:rStyle w:val="FootnoteReference"/>
        </w:rPr>
        <w:footnoteReference w:id="6"/>
      </w:r>
      <w:r w:rsidRPr="00A95888">
        <w:rPr>
          <w:rStyle w:val="AERbody"/>
        </w:rPr>
        <w:t xml:space="preserve"> </w:t>
      </w:r>
    </w:p>
    <w:p w:rsidR="00536D0E" w:rsidRDefault="00536D0E" w:rsidP="00536D0E">
      <w:pPr>
        <w:pStyle w:val="AERbulletlistfirststyle"/>
      </w:pPr>
      <w:r w:rsidRPr="00A95888">
        <w:rPr>
          <w:rStyle w:val="AERbody"/>
        </w:rPr>
        <w:t xml:space="preserve">an f-factor amount determination </w:t>
      </w:r>
      <w:r w:rsidRPr="00A95888">
        <w:t xml:space="preserve">with respect to </w:t>
      </w:r>
      <w:r>
        <w:t xml:space="preserve">the proposed reward/penalty </w:t>
      </w:r>
      <w:r w:rsidRPr="00A95888">
        <w:t xml:space="preserve">amounts proposed to be passed through in the regulatory years that commence </w:t>
      </w:r>
      <w:r>
        <w:t xml:space="preserve">on </w:t>
      </w:r>
      <w:r w:rsidRPr="00A95888">
        <w:t>1 January 2014 and 1 January 2015.</w:t>
      </w:r>
    </w:p>
    <w:p w:rsidR="00536D0E" w:rsidRDefault="00536D0E" w:rsidP="00536D0E">
      <w:pPr>
        <w:pStyle w:val="AERbulletlistfirststyle"/>
      </w:pPr>
      <w:r w:rsidRPr="00491AB7">
        <w:t>an f-factor amount determination no later than 30 September in the regulatory year prior to the regulatory year in which the amount is proposed to be passed through.</w:t>
      </w:r>
    </w:p>
    <w:p w:rsidR="00536D0E" w:rsidRDefault="00536D0E" w:rsidP="00536D0E">
      <w:pPr>
        <w:pStyle w:val="AERbodytext"/>
      </w:pPr>
      <w:r w:rsidRPr="00491AB7">
        <w:t xml:space="preserve">The amount must be determined </w:t>
      </w:r>
      <w:r>
        <w:t xml:space="preserve">in accordance with </w:t>
      </w:r>
      <w:r w:rsidRPr="00491AB7">
        <w:t>the</w:t>
      </w:r>
      <w:r>
        <w:t xml:space="preserve"> following formula.</w:t>
      </w:r>
      <w:r w:rsidRPr="00687101">
        <w:rPr>
          <w:rStyle w:val="FootnoteReference"/>
        </w:rPr>
        <w:footnoteReference w:id="7"/>
      </w:r>
      <w:r>
        <w:t xml:space="preserve"> </w:t>
      </w:r>
    </w:p>
    <w:p w:rsidR="00536D0E" w:rsidRPr="0045783A" w:rsidRDefault="00536D0E" w:rsidP="00536D0E">
      <w:pPr>
        <w:pStyle w:val="AERbodytext"/>
        <w:numPr>
          <w:ilvl w:val="0"/>
          <w:numId w:val="5"/>
        </w:numPr>
      </w:pPr>
      <w:r>
        <w:rPr>
          <w:noProof/>
          <w:lang w:eastAsia="en-AU"/>
        </w:rPr>
        <w:drawing>
          <wp:inline distT="0" distB="0" distL="0" distR="0" wp14:anchorId="029EC69A" wp14:editId="2035C5AF">
            <wp:extent cx="621030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47650"/>
                    </a:xfrm>
                    <a:prstGeom prst="rect">
                      <a:avLst/>
                    </a:prstGeom>
                    <a:noFill/>
                    <a:ln>
                      <a:noFill/>
                    </a:ln>
                  </pic:spPr>
                </pic:pic>
              </a:graphicData>
            </a:graphic>
          </wp:inline>
        </w:drawing>
      </w:r>
    </w:p>
    <w:p w:rsidR="00536D0E" w:rsidRPr="00163964" w:rsidRDefault="00536D0E" w:rsidP="00536D0E">
      <w:r w:rsidRPr="00163964">
        <w:t>Where</w:t>
      </w:r>
      <w:r>
        <w:t>,</w:t>
      </w:r>
    </w:p>
    <w:p w:rsidR="005F1747" w:rsidRPr="00A1434B" w:rsidRDefault="00536D0E" w:rsidP="00A1434B">
      <w:pPr>
        <w:pStyle w:val="AERquote"/>
        <w:tabs>
          <w:tab w:val="clear" w:pos="709"/>
          <w:tab w:val="num" w:pos="1134"/>
        </w:tabs>
        <w:rPr>
          <w:rStyle w:val="AERbody"/>
        </w:rPr>
      </w:pPr>
      <w:r w:rsidRPr="00491AB7">
        <w:rPr>
          <w:rStyle w:val="AERbody"/>
        </w:rPr>
        <w:t xml:space="preserve">(a)  </w:t>
      </w:r>
      <w:r w:rsidRPr="003B6268">
        <w:rPr>
          <w:rStyle w:val="AERbody"/>
        </w:rPr>
        <w:t>Pass through amount</w:t>
      </w:r>
      <w:r w:rsidRPr="003B6268">
        <w:rPr>
          <w:rStyle w:val="AERsubscript"/>
        </w:rPr>
        <w:t>t,n</w:t>
      </w:r>
      <w:r w:rsidRPr="00491AB7">
        <w:rPr>
          <w:rStyle w:val="AERbody"/>
        </w:rPr>
        <w:t xml:space="preserve"> is the amount for Distribution Network Service Provider </w:t>
      </w:r>
      <w:r w:rsidRPr="003B6268">
        <w:rPr>
          <w:rStyle w:val="AERbody"/>
        </w:rPr>
        <w:t>n</w:t>
      </w:r>
      <w:r w:rsidRPr="00491AB7">
        <w:rPr>
          <w:rStyle w:val="AERbody"/>
        </w:rPr>
        <w:t xml:space="preserve"> for regulatory year </w:t>
      </w:r>
      <w:r w:rsidRPr="003B6268">
        <w:rPr>
          <w:rStyle w:val="AERbody"/>
        </w:rPr>
        <w:t>t</w:t>
      </w:r>
      <w:r w:rsidRPr="00491AB7">
        <w:rPr>
          <w:rStyle w:val="AERbody"/>
        </w:rPr>
        <w:t xml:space="preserve"> which may (but does not have to) be expressed as a percentage adjustment to the revenue of the Distribution Network Service Provider;</w:t>
      </w:r>
    </w:p>
    <w:p w:rsidR="005F1747" w:rsidRDefault="00536D0E" w:rsidP="00A1434B">
      <w:pPr>
        <w:pStyle w:val="AERquote"/>
        <w:rPr>
          <w:rStyle w:val="AERbody"/>
        </w:rPr>
      </w:pPr>
      <w:r w:rsidRPr="00491AB7">
        <w:rPr>
          <w:rStyle w:val="AERbody"/>
        </w:rPr>
        <w:t xml:space="preserve">(b)  </w:t>
      </w:r>
      <w:r w:rsidRPr="003B6268">
        <w:rPr>
          <w:rStyle w:val="AERbody"/>
        </w:rPr>
        <w:t>Incentive rate</w:t>
      </w:r>
      <w:r w:rsidRPr="003B6268">
        <w:rPr>
          <w:rStyle w:val="AERsubscript"/>
        </w:rPr>
        <w:t>t-2</w:t>
      </w:r>
      <w:r w:rsidRPr="00491AB7">
        <w:rPr>
          <w:rStyle w:val="AERbody"/>
        </w:rPr>
        <w:t xml:space="preserve"> is $25,000;</w:t>
      </w:r>
    </w:p>
    <w:p w:rsidR="00536D0E" w:rsidRDefault="00536D0E" w:rsidP="00A1434B">
      <w:pPr>
        <w:pStyle w:val="AERquote"/>
        <w:rPr>
          <w:rStyle w:val="AERbody"/>
        </w:rPr>
      </w:pPr>
      <w:r w:rsidRPr="00491AB7">
        <w:rPr>
          <w:rStyle w:val="AERbody"/>
        </w:rPr>
        <w:t xml:space="preserve">(c)  </w:t>
      </w:r>
      <w:r w:rsidRPr="003B6268">
        <w:rPr>
          <w:rStyle w:val="AERbody"/>
        </w:rPr>
        <w:t>Target no. of fires</w:t>
      </w:r>
      <w:r w:rsidRPr="003B6268">
        <w:rPr>
          <w:rStyle w:val="AERsubscript"/>
        </w:rPr>
        <w:t>t-2,n</w:t>
      </w:r>
      <w:r w:rsidRPr="00491AB7">
        <w:rPr>
          <w:rStyle w:val="AERbody"/>
        </w:rPr>
        <w:t xml:space="preserve">  is the fire start benchmark for regulatory year </w:t>
      </w:r>
      <w:r w:rsidRPr="003B6268">
        <w:rPr>
          <w:rStyle w:val="AERbody"/>
        </w:rPr>
        <w:t>t-2</w:t>
      </w:r>
      <w:r w:rsidRPr="00491AB7">
        <w:rPr>
          <w:rStyle w:val="AERbody"/>
        </w:rPr>
        <w:t xml:space="preserve"> for distribution system </w:t>
      </w:r>
      <w:r w:rsidRPr="003B6268">
        <w:rPr>
          <w:rStyle w:val="AERbody"/>
        </w:rPr>
        <w:t>n</w:t>
      </w:r>
      <w:r w:rsidRPr="00491AB7">
        <w:rPr>
          <w:rStyle w:val="AERbody"/>
        </w:rPr>
        <w:t xml:space="preserve">, determined in accordance with clause 8; and  </w:t>
      </w:r>
    </w:p>
    <w:p w:rsidR="00536D0E" w:rsidRDefault="00536D0E" w:rsidP="00A1434B">
      <w:pPr>
        <w:pStyle w:val="AERquote"/>
        <w:rPr>
          <w:rStyle w:val="AERbody"/>
        </w:rPr>
      </w:pPr>
      <w:r w:rsidRPr="00491AB7">
        <w:rPr>
          <w:rStyle w:val="AERbody"/>
        </w:rPr>
        <w:t xml:space="preserve">(d)  </w:t>
      </w:r>
      <w:r w:rsidRPr="003B6268">
        <w:rPr>
          <w:rStyle w:val="AERbody"/>
        </w:rPr>
        <w:t>Number of fires</w:t>
      </w:r>
      <w:r w:rsidRPr="003B6268">
        <w:rPr>
          <w:rStyle w:val="AERsubscript"/>
        </w:rPr>
        <w:t>t-2,n</w:t>
      </w:r>
      <w:r w:rsidRPr="00491AB7">
        <w:rPr>
          <w:rStyle w:val="AERbody"/>
        </w:rPr>
        <w:t xml:space="preserve">  is the number of fire starts in relation to distribution system </w:t>
      </w:r>
      <w:r w:rsidRPr="003B6268">
        <w:rPr>
          <w:rStyle w:val="AERbody"/>
        </w:rPr>
        <w:t>n</w:t>
      </w:r>
      <w:r w:rsidRPr="00491AB7">
        <w:rPr>
          <w:rStyle w:val="AERbody"/>
        </w:rPr>
        <w:t xml:space="preserve"> that occurred in regulatory year </w:t>
      </w:r>
      <w:r w:rsidRPr="003B6268">
        <w:rPr>
          <w:rStyle w:val="AERbody"/>
        </w:rPr>
        <w:t>t</w:t>
      </w:r>
      <w:r w:rsidRPr="003B6268">
        <w:rPr>
          <w:rStyle w:val="AERbody"/>
          <w:rFonts w:hint="eastAsia"/>
        </w:rPr>
        <w:t>–</w:t>
      </w:r>
      <w:r w:rsidRPr="003B6268">
        <w:rPr>
          <w:rStyle w:val="AERbody"/>
        </w:rPr>
        <w:t>2</w:t>
      </w:r>
      <w:r w:rsidRPr="00491AB7">
        <w:rPr>
          <w:rStyle w:val="AERbody"/>
        </w:rPr>
        <w:t>, determined in accordance with clause 9.</w:t>
      </w:r>
    </w:p>
    <w:p w:rsidR="004A69A2" w:rsidRPr="004A69A2" w:rsidRDefault="004A69A2" w:rsidP="00354AB5">
      <w:pPr>
        <w:pStyle w:val="AERbodytext"/>
        <w:rPr>
          <w:rStyle w:val="AERbody"/>
        </w:rPr>
      </w:pPr>
    </w:p>
    <w:p w:rsidR="007D460C" w:rsidRDefault="007D460C" w:rsidP="007D460C">
      <w:pPr>
        <w:pStyle w:val="AERbulletlistsecondstyle"/>
        <w:numPr>
          <w:ilvl w:val="0"/>
          <w:numId w:val="0"/>
        </w:numPr>
        <w:ind w:left="714" w:hanging="357"/>
      </w:pPr>
    </w:p>
    <w:p w:rsidR="004A69A2" w:rsidRDefault="004A69A2" w:rsidP="007D460C">
      <w:pPr>
        <w:pStyle w:val="AERbulletlistsecondstyle"/>
        <w:numPr>
          <w:ilvl w:val="0"/>
          <w:numId w:val="0"/>
        </w:numPr>
        <w:ind w:left="714" w:hanging="357"/>
      </w:pPr>
    </w:p>
    <w:p w:rsidR="007D460C" w:rsidRDefault="003A619B" w:rsidP="007D460C">
      <w:pPr>
        <w:pStyle w:val="Heading1"/>
      </w:pPr>
      <w:bookmarkStart w:id="15" w:name="_Toc356990199"/>
      <w:bookmarkStart w:id="16" w:name="_Toc395171272"/>
      <w:r>
        <w:lastRenderedPageBreak/>
        <w:t>D</w:t>
      </w:r>
      <w:r w:rsidR="004A69A2">
        <w:t xml:space="preserve">raft decision </w:t>
      </w:r>
      <w:bookmarkEnd w:id="15"/>
      <w:r w:rsidR="007F4445">
        <w:t>and public information</w:t>
      </w:r>
      <w:bookmarkEnd w:id="16"/>
    </w:p>
    <w:p w:rsidR="004860F1" w:rsidRPr="004860F1" w:rsidRDefault="004860F1" w:rsidP="004860F1">
      <w:pPr>
        <w:rPr>
          <w:rStyle w:val="AERbody"/>
        </w:rPr>
      </w:pPr>
      <w:bookmarkStart w:id="17" w:name="_Toc356990200"/>
      <w:r w:rsidRPr="004860F1">
        <w:rPr>
          <w:rStyle w:val="AERbody"/>
        </w:rPr>
        <w:t xml:space="preserve">We undertook the steps set out below to obtain the relevant information for making the f-factor amount determinations for the five Victorian DNSPs. The process included collecting information from DNSPs </w:t>
      </w:r>
      <w:r w:rsidR="00354AB5">
        <w:rPr>
          <w:rStyle w:val="AERbody"/>
        </w:rPr>
        <w:t xml:space="preserve">through the </w:t>
      </w:r>
      <w:r w:rsidRPr="004860F1">
        <w:rPr>
          <w:rStyle w:val="AERbody"/>
        </w:rPr>
        <w:t>us</w:t>
      </w:r>
      <w:r w:rsidR="00354AB5">
        <w:rPr>
          <w:rStyle w:val="AERbody"/>
        </w:rPr>
        <w:t>e of</w:t>
      </w:r>
      <w:r w:rsidRPr="004860F1">
        <w:rPr>
          <w:rStyle w:val="AERbody"/>
        </w:rPr>
        <w:t xml:space="preserve"> our formal information-gathering powers</w:t>
      </w:r>
      <w:r w:rsidR="00354AB5">
        <w:rPr>
          <w:rStyle w:val="AERbody"/>
        </w:rPr>
        <w:t xml:space="preserve"> and publi</w:t>
      </w:r>
      <w:r w:rsidR="00537C2A">
        <w:rPr>
          <w:rStyle w:val="AERbody"/>
        </w:rPr>
        <w:t>shing</w:t>
      </w:r>
      <w:r w:rsidRPr="004860F1">
        <w:rPr>
          <w:rStyle w:val="AERbody"/>
        </w:rPr>
        <w:t xml:space="preserve"> public fire start reports </w:t>
      </w:r>
      <w:r w:rsidR="00354AB5">
        <w:rPr>
          <w:rStyle w:val="AERbody"/>
        </w:rPr>
        <w:t>prepared by the</w:t>
      </w:r>
      <w:r w:rsidRPr="004860F1">
        <w:rPr>
          <w:rStyle w:val="AERbody"/>
        </w:rPr>
        <w:t xml:space="preserve"> DNSP</w:t>
      </w:r>
      <w:r w:rsidR="00354AB5">
        <w:rPr>
          <w:rStyle w:val="AERbody"/>
        </w:rPr>
        <w:t>s</w:t>
      </w:r>
      <w:r w:rsidRPr="004860F1">
        <w:rPr>
          <w:rStyle w:val="AERbody"/>
        </w:rPr>
        <w:t xml:space="preserve">. </w:t>
      </w:r>
    </w:p>
    <w:p w:rsidR="007D460C" w:rsidRDefault="004A69A2" w:rsidP="007D460C">
      <w:pPr>
        <w:pStyle w:val="Heading2"/>
      </w:pPr>
      <w:bookmarkStart w:id="18" w:name="_Toc395171273"/>
      <w:r>
        <w:t>Information c</w:t>
      </w:r>
      <w:r w:rsidR="007D460C">
        <w:t>ollection</w:t>
      </w:r>
      <w:bookmarkEnd w:id="17"/>
      <w:bookmarkEnd w:id="18"/>
    </w:p>
    <w:p w:rsidR="004A69A2" w:rsidRDefault="004A69A2" w:rsidP="004A69A2">
      <w:pPr>
        <w:pStyle w:val="Heading3"/>
      </w:pPr>
      <w:r>
        <w:t xml:space="preserve">Collection of information from DNSPs – f-factor </w:t>
      </w:r>
      <w:r w:rsidR="003649B9">
        <w:t>Regulatory Information Notice (</w:t>
      </w:r>
      <w:r>
        <w:t>RIN</w:t>
      </w:r>
      <w:r w:rsidR="003649B9">
        <w:t>)</w:t>
      </w:r>
    </w:p>
    <w:p w:rsidR="004860F1" w:rsidRPr="004860F1" w:rsidRDefault="004860F1" w:rsidP="004860F1">
      <w:pPr>
        <w:pStyle w:val="AERbodytext"/>
        <w:numPr>
          <w:ilvl w:val="0"/>
          <w:numId w:val="5"/>
        </w:numPr>
        <w:rPr>
          <w:rStyle w:val="AERbody"/>
        </w:rPr>
      </w:pPr>
      <w:r w:rsidRPr="004860F1">
        <w:rPr>
          <w:rStyle w:val="AERbody"/>
        </w:rPr>
        <w:t xml:space="preserve">The RIN is </w:t>
      </w:r>
      <w:r w:rsidR="007F4445">
        <w:rPr>
          <w:rStyle w:val="AERbody"/>
        </w:rPr>
        <w:t>our</w:t>
      </w:r>
      <w:r w:rsidRPr="004860F1">
        <w:rPr>
          <w:rStyle w:val="AERbody"/>
        </w:rPr>
        <w:t xml:space="preserve"> standard information collection tool under the </w:t>
      </w:r>
      <w:r w:rsidRPr="00E47C3B">
        <w:rPr>
          <w:rStyle w:val="AERtextitalic"/>
        </w:rPr>
        <w:t>National Electricity Law</w:t>
      </w:r>
      <w:r w:rsidRPr="004860F1">
        <w:rPr>
          <w:rStyle w:val="AERbody"/>
        </w:rPr>
        <w:t xml:space="preserve">. The information provided by DNSPs under a RIN </w:t>
      </w:r>
      <w:r w:rsidR="00787F88">
        <w:rPr>
          <w:rStyle w:val="AERbody"/>
        </w:rPr>
        <w:t>is</w:t>
      </w:r>
      <w:r w:rsidRPr="004860F1">
        <w:rPr>
          <w:rStyle w:val="AERbody"/>
        </w:rPr>
        <w:t xml:space="preserve"> independently audited and signed by an authorised company officer </w:t>
      </w:r>
      <w:r w:rsidR="00787F88">
        <w:rPr>
          <w:rStyle w:val="AERbody"/>
        </w:rPr>
        <w:t xml:space="preserve">under </w:t>
      </w:r>
      <w:r w:rsidRPr="004860F1">
        <w:rPr>
          <w:rStyle w:val="AERbody"/>
        </w:rPr>
        <w:t xml:space="preserve">a statutory declaration. </w:t>
      </w:r>
    </w:p>
    <w:p w:rsidR="004860F1" w:rsidRPr="004860F1" w:rsidRDefault="004860F1" w:rsidP="004860F1">
      <w:pPr>
        <w:pStyle w:val="AERbodytext"/>
        <w:numPr>
          <w:ilvl w:val="0"/>
          <w:numId w:val="5"/>
        </w:numPr>
        <w:rPr>
          <w:rStyle w:val="AERbody"/>
        </w:rPr>
      </w:pPr>
      <w:r w:rsidRPr="004860F1">
        <w:rPr>
          <w:rStyle w:val="AERbody"/>
        </w:rPr>
        <w:t xml:space="preserve">We issued a fire start reporting RIN to each DNSP in November 2012. In accordance with this RIN, the DNSPs provided their fire start information </w:t>
      </w:r>
      <w:r w:rsidR="003A619B">
        <w:rPr>
          <w:rStyle w:val="AERbody"/>
        </w:rPr>
        <w:t xml:space="preserve">for </w:t>
      </w:r>
      <w:r w:rsidRPr="004860F1">
        <w:rPr>
          <w:rStyle w:val="AERbody"/>
        </w:rPr>
        <w:t xml:space="preserve">2013. </w:t>
      </w:r>
      <w:r w:rsidR="007F4445">
        <w:rPr>
          <w:rStyle w:val="AERbody"/>
        </w:rPr>
        <w:t>Bot</w:t>
      </w:r>
      <w:r w:rsidR="00AE24CB">
        <w:rPr>
          <w:rStyle w:val="AERbody"/>
        </w:rPr>
        <w:t>h</w:t>
      </w:r>
      <w:r w:rsidR="007F4445">
        <w:rPr>
          <w:rStyle w:val="AERbody"/>
        </w:rPr>
        <w:t xml:space="preserve"> our</w:t>
      </w:r>
      <w:r w:rsidRPr="004860F1">
        <w:rPr>
          <w:rStyle w:val="AERbody"/>
        </w:rPr>
        <w:t xml:space="preserve"> draft </w:t>
      </w:r>
      <w:r w:rsidR="007F4445">
        <w:rPr>
          <w:rStyle w:val="AERbody"/>
        </w:rPr>
        <w:t xml:space="preserve">and final </w:t>
      </w:r>
      <w:r w:rsidRPr="004860F1">
        <w:rPr>
          <w:rStyle w:val="AERbody"/>
        </w:rPr>
        <w:t>determinations are based on the information provided under the RINs.</w:t>
      </w:r>
    </w:p>
    <w:p w:rsidR="004A69A2" w:rsidRDefault="004A69A2" w:rsidP="004A69A2">
      <w:pPr>
        <w:pStyle w:val="Heading3"/>
      </w:pPr>
      <w:r>
        <w:t>Public fire start reports</w:t>
      </w:r>
      <w:r w:rsidR="007F4445">
        <w:t xml:space="preserve"> for public information</w:t>
      </w:r>
    </w:p>
    <w:p w:rsidR="003A619B" w:rsidRDefault="003A619B" w:rsidP="003A619B">
      <w:pPr>
        <w:pStyle w:val="AERbodytext"/>
      </w:pPr>
      <w:r>
        <w:t>Clause 5(1) of the Order gives us power to request DNSPs to provide public fire start reports for publication on our website.</w:t>
      </w:r>
      <w:r w:rsidRPr="00687101">
        <w:t xml:space="preserve"> In August 2012, </w:t>
      </w:r>
      <w:r>
        <w:t>we</w:t>
      </w:r>
      <w:r w:rsidRPr="00687101">
        <w:t xml:space="preserve"> requested DNSPs</w:t>
      </w:r>
      <w:r>
        <w:t xml:space="preserve"> to prepare fire start reports that include:</w:t>
      </w:r>
    </w:p>
    <w:p w:rsidR="003A619B" w:rsidRDefault="003A619B" w:rsidP="003A619B">
      <w:pPr>
        <w:pStyle w:val="AERbulletlistfirststyle"/>
      </w:pPr>
      <w:r>
        <w:t>a table of all fires––showing, in each case, the kind of fire start, date, time, geographic location of the fire and whether the fire was reported to a relevant entity as per the RIN requirement</w:t>
      </w:r>
    </w:p>
    <w:p w:rsidR="003A619B" w:rsidRDefault="003A619B" w:rsidP="003A619B">
      <w:pPr>
        <w:pStyle w:val="AERbulletlistfirststyle"/>
      </w:pPr>
      <w:r>
        <w:t>additional summary (aggregate) tables showing the percentage and actual number of fire starts in the following categories to help the public in understanding the context of fire starts each year:</w:t>
      </w:r>
    </w:p>
    <w:p w:rsidR="003A619B" w:rsidRDefault="003A619B" w:rsidP="003A619B">
      <w:pPr>
        <w:pStyle w:val="AERbulletlistthirdstyle"/>
        <w:numPr>
          <w:ilvl w:val="0"/>
          <w:numId w:val="12"/>
        </w:numPr>
      </w:pPr>
      <w:r>
        <w:t>Fire Hazard Rating assigned by the Country Fire Authority or Melbourne Fire Brigade under section 80 of the Electricity Safety Act 1998 (Vic)</w:t>
      </w:r>
    </w:p>
    <w:p w:rsidR="003A619B" w:rsidRDefault="003A619B" w:rsidP="003A619B">
      <w:pPr>
        <w:pStyle w:val="AERbulletlistthirdstyle"/>
        <w:numPr>
          <w:ilvl w:val="0"/>
          <w:numId w:val="12"/>
        </w:numPr>
      </w:pPr>
      <w:r>
        <w:t>element of the network that caused the fire, such as equipment type, feeder classification and voltage level.</w:t>
      </w:r>
    </w:p>
    <w:p w:rsidR="003A619B" w:rsidRPr="009970B7" w:rsidRDefault="005F324E" w:rsidP="003A619B">
      <w:pPr>
        <w:pStyle w:val="AERbodytext"/>
      </w:pPr>
      <w:r>
        <w:t>R</w:t>
      </w:r>
      <w:r w:rsidR="003A619B" w:rsidRPr="009970B7">
        <w:t>eports</w:t>
      </w:r>
      <w:r>
        <w:t xml:space="preserve"> for 2013 and 2012</w:t>
      </w:r>
      <w:r w:rsidR="003A619B" w:rsidRPr="009970B7">
        <w:t xml:space="preserve"> are published on our website at </w:t>
      </w:r>
      <w:hyperlink r:id="rId12" w:history="1">
        <w:r w:rsidR="003A619B" w:rsidRPr="009970B7">
          <w:rPr>
            <w:rStyle w:val="Hyperlink"/>
          </w:rPr>
          <w:t>http://www.aer.gov.au/node/20258</w:t>
        </w:r>
      </w:hyperlink>
      <w:r w:rsidR="003A619B" w:rsidRPr="009970B7">
        <w:t xml:space="preserve">. </w:t>
      </w:r>
    </w:p>
    <w:p w:rsidR="004A69A2" w:rsidRDefault="004A69A2" w:rsidP="004A69A2">
      <w:pPr>
        <w:pStyle w:val="Heading2"/>
      </w:pPr>
      <w:bookmarkStart w:id="19" w:name="_Toc394411746"/>
      <w:bookmarkStart w:id="20" w:name="_Toc394411747"/>
      <w:bookmarkStart w:id="21" w:name="_Toc364418649"/>
      <w:bookmarkStart w:id="22" w:name="_Toc356990201"/>
      <w:bookmarkStart w:id="23" w:name="_Toc395171274"/>
      <w:bookmarkEnd w:id="19"/>
      <w:bookmarkEnd w:id="20"/>
      <w:bookmarkEnd w:id="21"/>
      <w:r>
        <w:t>Basis and reasons for draft decision</w:t>
      </w:r>
      <w:bookmarkEnd w:id="22"/>
      <w:bookmarkEnd w:id="23"/>
    </w:p>
    <w:p w:rsidR="004860F1" w:rsidRPr="004860F1" w:rsidRDefault="00536D0E">
      <w:pPr>
        <w:pStyle w:val="AERbodytext"/>
        <w:numPr>
          <w:ilvl w:val="0"/>
          <w:numId w:val="5"/>
        </w:numPr>
        <w:rPr>
          <w:rStyle w:val="AERbody"/>
          <w:rFonts w:eastAsia="Calibri"/>
          <w:szCs w:val="20"/>
        </w:rPr>
      </w:pPr>
      <w:r>
        <w:t>We applied the fire start information provided under the RINs as the basis for our decision because this is the best information available to us, which has been independently audited. The f-factor amount determinations are calculated using the relevant formula specified by the Order.</w:t>
      </w:r>
      <w:r>
        <w:rPr>
          <w:rStyle w:val="AERbody"/>
        </w:rPr>
        <w:t xml:space="preserve"> </w:t>
      </w:r>
    </w:p>
    <w:p w:rsidR="004A69A2" w:rsidRDefault="00E3099D" w:rsidP="004A69A2">
      <w:pPr>
        <w:pStyle w:val="Heading2"/>
      </w:pPr>
      <w:bookmarkStart w:id="24" w:name="_Toc395171275"/>
      <w:r>
        <w:t>Draft</w:t>
      </w:r>
      <w:r w:rsidR="004A69A2">
        <w:t xml:space="preserve"> f-factor amount determinations</w:t>
      </w:r>
      <w:bookmarkEnd w:id="24"/>
    </w:p>
    <w:p w:rsidR="00B55764" w:rsidRPr="007265F3" w:rsidRDefault="004860F1" w:rsidP="00B55764">
      <w:pPr>
        <w:pStyle w:val="AERbodytext"/>
        <w:numPr>
          <w:ilvl w:val="0"/>
          <w:numId w:val="0"/>
        </w:numPr>
      </w:pPr>
      <w:r w:rsidRPr="00C30A17">
        <w:rPr>
          <w:rStyle w:val="AERbody"/>
        </w:rPr>
        <w:t>We followed the method specified by the Order</w:t>
      </w:r>
      <w:r w:rsidR="00C30A17" w:rsidRPr="00C30A17">
        <w:rPr>
          <w:rStyle w:val="AERbody"/>
        </w:rPr>
        <w:t xml:space="preserve"> </w:t>
      </w:r>
      <w:r w:rsidRPr="00C30A17">
        <w:rPr>
          <w:rStyle w:val="AERbody"/>
        </w:rPr>
        <w:t xml:space="preserve">for calculating the </w:t>
      </w:r>
      <w:r w:rsidR="00A372E4">
        <w:rPr>
          <w:rStyle w:val="AERbody"/>
        </w:rPr>
        <w:t xml:space="preserve">f-factor </w:t>
      </w:r>
      <w:r w:rsidRPr="00C30A17">
        <w:rPr>
          <w:rStyle w:val="AERbody"/>
        </w:rPr>
        <w:t xml:space="preserve">pass through amounts for </w:t>
      </w:r>
      <w:r w:rsidR="00807CA5" w:rsidRPr="00C30A17">
        <w:rPr>
          <w:rStyle w:val="AERbody"/>
        </w:rPr>
        <w:t xml:space="preserve">the Victorian </w:t>
      </w:r>
      <w:r w:rsidRPr="00C30A17">
        <w:rPr>
          <w:rStyle w:val="AERbody"/>
        </w:rPr>
        <w:t>DNSP</w:t>
      </w:r>
      <w:r w:rsidR="00807CA5" w:rsidRPr="00C30A17">
        <w:rPr>
          <w:rStyle w:val="AERbody"/>
        </w:rPr>
        <w:t>s</w:t>
      </w:r>
      <w:r w:rsidR="005F324E">
        <w:rPr>
          <w:rStyle w:val="AERbody"/>
        </w:rPr>
        <w:t xml:space="preserve">. The results were </w:t>
      </w:r>
      <w:r w:rsidR="00B324FC">
        <w:rPr>
          <w:rStyle w:val="AERbody"/>
        </w:rPr>
        <w:t xml:space="preserve">the </w:t>
      </w:r>
      <w:r w:rsidR="005F324E">
        <w:rPr>
          <w:rStyle w:val="AERbody"/>
        </w:rPr>
        <w:t>same as those of our final determinations</w:t>
      </w:r>
      <w:r w:rsidR="003A619B">
        <w:rPr>
          <w:rStyle w:val="AERbody"/>
        </w:rPr>
        <w:t xml:space="preserve">, as shown in Table </w:t>
      </w:r>
      <w:r w:rsidR="005F324E">
        <w:rPr>
          <w:rStyle w:val="AERbody"/>
        </w:rPr>
        <w:t>5</w:t>
      </w:r>
      <w:r w:rsidR="003A619B">
        <w:rPr>
          <w:rStyle w:val="AERbody"/>
        </w:rPr>
        <w:t>.1</w:t>
      </w:r>
      <w:r w:rsidRPr="00C30A17">
        <w:rPr>
          <w:rStyle w:val="AERbody"/>
        </w:rPr>
        <w:t xml:space="preserve">.  </w:t>
      </w:r>
    </w:p>
    <w:p w:rsidR="007D460C" w:rsidRDefault="004A69A2" w:rsidP="007D460C">
      <w:pPr>
        <w:pStyle w:val="Heading1"/>
      </w:pPr>
      <w:bookmarkStart w:id="25" w:name="_Toc356990202"/>
      <w:bookmarkStart w:id="26" w:name="_Toc395171276"/>
      <w:r>
        <w:lastRenderedPageBreak/>
        <w:t>Consulta</w:t>
      </w:r>
      <w:r w:rsidR="007D460C">
        <w:t>t</w:t>
      </w:r>
      <w:bookmarkEnd w:id="25"/>
      <w:r>
        <w:t>ion and submission</w:t>
      </w:r>
      <w:r w:rsidR="0040528B">
        <w:t>s</w:t>
      </w:r>
      <w:r>
        <w:t xml:space="preserve"> to the draft decision</w:t>
      </w:r>
      <w:bookmarkEnd w:id="26"/>
    </w:p>
    <w:p w:rsidR="00A372E4" w:rsidRDefault="00AE24CB" w:rsidP="004860F1">
      <w:pPr>
        <w:rPr>
          <w:rStyle w:val="AERbody"/>
        </w:rPr>
      </w:pPr>
      <w:bookmarkStart w:id="27" w:name="_Toc356990203"/>
      <w:r>
        <w:rPr>
          <w:rStyle w:val="AERbody"/>
        </w:rPr>
        <w:t>We published the</w:t>
      </w:r>
      <w:r w:rsidR="004860F1" w:rsidRPr="004860F1">
        <w:rPr>
          <w:rStyle w:val="AERbody"/>
        </w:rPr>
        <w:t xml:space="preserve"> draft f-factor amount determinations and explanatory statement on </w:t>
      </w:r>
      <w:r w:rsidR="00C56C42">
        <w:rPr>
          <w:rStyle w:val="AERbody"/>
        </w:rPr>
        <w:t>1</w:t>
      </w:r>
      <w:r w:rsidR="004860F1" w:rsidRPr="004860F1">
        <w:rPr>
          <w:rStyle w:val="AERbody"/>
        </w:rPr>
        <w:t>0 June 201</w:t>
      </w:r>
      <w:r w:rsidR="00C56C42">
        <w:rPr>
          <w:rStyle w:val="AERbody"/>
        </w:rPr>
        <w:t>4</w:t>
      </w:r>
      <w:r w:rsidR="004860F1" w:rsidRPr="004860F1">
        <w:rPr>
          <w:rStyle w:val="AERbody"/>
        </w:rPr>
        <w:t>. In accordance with the Order and the NER</w:t>
      </w:r>
      <w:r w:rsidR="005F324E">
        <w:rPr>
          <w:rStyle w:val="AERbody"/>
        </w:rPr>
        <w:t>, we</w:t>
      </w:r>
      <w:r w:rsidR="00A372E4">
        <w:rPr>
          <w:rStyle w:val="AERbody"/>
        </w:rPr>
        <w:t xml:space="preserve"> provided</w:t>
      </w:r>
      <w:r>
        <w:rPr>
          <w:rStyle w:val="AERbody"/>
        </w:rPr>
        <w:t xml:space="preserve"> </w:t>
      </w:r>
      <w:r w:rsidR="002B02EB">
        <w:rPr>
          <w:rStyle w:val="AERbody"/>
        </w:rPr>
        <w:t>more</w:t>
      </w:r>
      <w:r w:rsidR="004860F1" w:rsidRPr="004860F1">
        <w:rPr>
          <w:rStyle w:val="AERbody"/>
        </w:rPr>
        <w:t xml:space="preserve"> than 30 business days for</w:t>
      </w:r>
      <w:r w:rsidR="00A372E4">
        <w:rPr>
          <w:rStyle w:val="AERbody"/>
        </w:rPr>
        <w:t xml:space="preserve"> stakeholders to</w:t>
      </w:r>
      <w:r w:rsidR="004860F1" w:rsidRPr="004860F1">
        <w:rPr>
          <w:rStyle w:val="AERbody"/>
        </w:rPr>
        <w:t xml:space="preserve"> mak</w:t>
      </w:r>
      <w:r w:rsidR="00A372E4">
        <w:rPr>
          <w:rStyle w:val="AERbody"/>
        </w:rPr>
        <w:t>e</w:t>
      </w:r>
      <w:r w:rsidR="004860F1" w:rsidRPr="004860F1">
        <w:rPr>
          <w:rStyle w:val="AERbody"/>
        </w:rPr>
        <w:t xml:space="preserve"> submissions.</w:t>
      </w:r>
    </w:p>
    <w:p w:rsidR="004860F1" w:rsidRPr="004860F1" w:rsidRDefault="00A372E4" w:rsidP="004860F1">
      <w:pPr>
        <w:rPr>
          <w:rStyle w:val="AERbody"/>
        </w:rPr>
      </w:pPr>
      <w:r>
        <w:rPr>
          <w:rStyle w:val="AERbody"/>
        </w:rPr>
        <w:t>As required by the Order,</w:t>
      </w:r>
      <w:r w:rsidR="00995011">
        <w:rPr>
          <w:rStyle w:val="FootnoteReference"/>
        </w:rPr>
        <w:footnoteReference w:id="8"/>
      </w:r>
      <w:r>
        <w:rPr>
          <w:rStyle w:val="AERbody"/>
        </w:rPr>
        <w:t xml:space="preserve"> w</w:t>
      </w:r>
      <w:r w:rsidR="00E91727">
        <w:rPr>
          <w:rStyle w:val="AERbody"/>
        </w:rPr>
        <w:t>e</w:t>
      </w:r>
      <w:r w:rsidR="004860F1" w:rsidRPr="004860F1">
        <w:rPr>
          <w:rStyle w:val="AERbody"/>
        </w:rPr>
        <w:t xml:space="preserve"> </w:t>
      </w:r>
      <w:r>
        <w:rPr>
          <w:rStyle w:val="AERbody"/>
        </w:rPr>
        <w:t xml:space="preserve">also </w:t>
      </w:r>
      <w:r w:rsidR="004860F1" w:rsidRPr="004860F1">
        <w:rPr>
          <w:rStyle w:val="AERbody"/>
        </w:rPr>
        <w:t>sent</w:t>
      </w:r>
      <w:r w:rsidR="00995011">
        <w:rPr>
          <w:rStyle w:val="AERbody"/>
        </w:rPr>
        <w:t xml:space="preserve"> specific</w:t>
      </w:r>
      <w:r w:rsidR="004860F1" w:rsidRPr="004860F1">
        <w:rPr>
          <w:rStyle w:val="AERbody"/>
        </w:rPr>
        <w:t xml:space="preserve"> invitations for written submissions to</w:t>
      </w:r>
      <w:r w:rsidRPr="00A372E4">
        <w:t xml:space="preserve"> </w:t>
      </w:r>
      <w:r w:rsidRPr="00A372E4">
        <w:rPr>
          <w:rStyle w:val="AERbody"/>
        </w:rPr>
        <w:t>the Minister</w:t>
      </w:r>
      <w:r>
        <w:rPr>
          <w:rStyle w:val="AERbody"/>
        </w:rPr>
        <w:t xml:space="preserve"> </w:t>
      </w:r>
      <w:r w:rsidRPr="00A372E4">
        <w:rPr>
          <w:rStyle w:val="AERbody"/>
        </w:rPr>
        <w:t xml:space="preserve">for Energy and Resources, the Department of </w:t>
      </w:r>
      <w:r w:rsidR="00C56C42" w:rsidRPr="00C56C42">
        <w:rPr>
          <w:rStyle w:val="AERbody"/>
        </w:rPr>
        <w:t xml:space="preserve">Sustainability </w:t>
      </w:r>
      <w:r w:rsidR="00C56C42">
        <w:rPr>
          <w:rStyle w:val="AERbody"/>
        </w:rPr>
        <w:t xml:space="preserve">and </w:t>
      </w:r>
      <w:r w:rsidRPr="00A372E4">
        <w:rPr>
          <w:rStyle w:val="AERbody"/>
        </w:rPr>
        <w:t>Environment (D</w:t>
      </w:r>
      <w:r w:rsidR="00C56C42">
        <w:rPr>
          <w:rStyle w:val="AERbody"/>
        </w:rPr>
        <w:t>S</w:t>
      </w:r>
      <w:r w:rsidRPr="00A372E4">
        <w:rPr>
          <w:rStyle w:val="AERbody"/>
        </w:rPr>
        <w:t>E)</w:t>
      </w:r>
      <w:r w:rsidR="00716F4E" w:rsidRPr="00716F4E">
        <w:t xml:space="preserve"> </w:t>
      </w:r>
      <w:r w:rsidR="00716F4E" w:rsidRPr="00BC41A4">
        <w:t>[now the Department of Environment and Primary Industries</w:t>
      </w:r>
      <w:r w:rsidR="00716F4E">
        <w:t xml:space="preserve"> (DEPI)]</w:t>
      </w:r>
      <w:r w:rsidRPr="00A372E4">
        <w:rPr>
          <w:rStyle w:val="AERbody"/>
        </w:rPr>
        <w:t xml:space="preserve">, </w:t>
      </w:r>
      <w:r w:rsidR="00995011" w:rsidRPr="00A372E4">
        <w:rPr>
          <w:rStyle w:val="AERbody"/>
        </w:rPr>
        <w:t xml:space="preserve">Energy Safe Victoria (ESV), </w:t>
      </w:r>
      <w:r w:rsidRPr="00A372E4">
        <w:rPr>
          <w:rStyle w:val="AERbody"/>
        </w:rPr>
        <w:t xml:space="preserve">the </w:t>
      </w:r>
      <w:r w:rsidR="00995011">
        <w:rPr>
          <w:rStyle w:val="AERbody"/>
        </w:rPr>
        <w:t>Metropolitan</w:t>
      </w:r>
      <w:r w:rsidRPr="00A372E4">
        <w:rPr>
          <w:rStyle w:val="AERbody"/>
        </w:rPr>
        <w:t xml:space="preserve"> Fire Brigade (MFB), the Country Fire Authority (CFA) and the Victorian </w:t>
      </w:r>
      <w:r w:rsidR="00995011">
        <w:rPr>
          <w:rStyle w:val="AERbody"/>
        </w:rPr>
        <w:t>DNSPs</w:t>
      </w:r>
      <w:r w:rsidR="004860F1" w:rsidRPr="004860F1">
        <w:rPr>
          <w:rStyle w:val="AERbody"/>
        </w:rPr>
        <w:t xml:space="preserve">. </w:t>
      </w:r>
    </w:p>
    <w:p w:rsidR="00C56C42" w:rsidRDefault="00C56C42" w:rsidP="007D460C">
      <w:pPr>
        <w:rPr>
          <w:rStyle w:val="AERbody"/>
        </w:rPr>
      </w:pPr>
      <w:r>
        <w:rPr>
          <w:rStyle w:val="AERbody"/>
        </w:rPr>
        <w:t>We received three written advices</w:t>
      </w:r>
      <w:r w:rsidR="005F324E">
        <w:rPr>
          <w:rStyle w:val="AERbody"/>
        </w:rPr>
        <w:t>––</w:t>
      </w:r>
      <w:r>
        <w:rPr>
          <w:rStyle w:val="AERbody"/>
        </w:rPr>
        <w:t>from The Hon Russell Northe MP, Minister for Energy and Resources, CFA and SP AusNet</w:t>
      </w:r>
      <w:r w:rsidR="005F324E">
        <w:rPr>
          <w:rStyle w:val="AERbody"/>
        </w:rPr>
        <w:t>––</w:t>
      </w:r>
      <w:r>
        <w:rPr>
          <w:rStyle w:val="AERbody"/>
        </w:rPr>
        <w:t>that they do not have specific issues with the draft determination</w:t>
      </w:r>
      <w:r w:rsidR="00A2584F">
        <w:rPr>
          <w:rStyle w:val="AERbody"/>
        </w:rPr>
        <w:t>s</w:t>
      </w:r>
      <w:r>
        <w:rPr>
          <w:rStyle w:val="AERbody"/>
        </w:rPr>
        <w:t>.</w:t>
      </w:r>
      <w:r w:rsidR="0016240C">
        <w:rPr>
          <w:rStyle w:val="FootnoteReference"/>
        </w:rPr>
        <w:footnoteReference w:id="9"/>
      </w:r>
      <w:r>
        <w:rPr>
          <w:rStyle w:val="AERbody"/>
        </w:rPr>
        <w:t xml:space="preserve"> As we have not received information that would lead us to alter the draft determination</w:t>
      </w:r>
      <w:r w:rsidR="00A2584F">
        <w:rPr>
          <w:rStyle w:val="AERbody"/>
        </w:rPr>
        <w:t>s</w:t>
      </w:r>
      <w:r>
        <w:rPr>
          <w:rStyle w:val="AERbody"/>
        </w:rPr>
        <w:t>, we adopted the draft determination</w:t>
      </w:r>
      <w:r w:rsidR="00A2584F">
        <w:rPr>
          <w:rStyle w:val="AERbody"/>
        </w:rPr>
        <w:t>s</w:t>
      </w:r>
      <w:r>
        <w:rPr>
          <w:rStyle w:val="AERbody"/>
        </w:rPr>
        <w:t xml:space="preserve"> findings as our final decision. </w:t>
      </w:r>
    </w:p>
    <w:p w:rsidR="007D460C" w:rsidRDefault="00C56C42" w:rsidP="007D460C">
      <w:r>
        <w:rPr>
          <w:rStyle w:val="AERbody"/>
        </w:rPr>
        <w:t xml:space="preserve">The CFA also suggested </w:t>
      </w:r>
      <w:r w:rsidR="005F324E">
        <w:rPr>
          <w:rStyle w:val="AERbody"/>
        </w:rPr>
        <w:t xml:space="preserve">future </w:t>
      </w:r>
      <w:r>
        <w:rPr>
          <w:rStyle w:val="AERbody"/>
        </w:rPr>
        <w:t>changes to the f-factor scheme to modify the incentive rates to take into consideration the location of</w:t>
      </w:r>
      <w:r w:rsidR="00202B9C">
        <w:rPr>
          <w:rStyle w:val="AERbody"/>
        </w:rPr>
        <w:t xml:space="preserve"> the fires (high bushfire risk V</w:t>
      </w:r>
      <w:r>
        <w:rPr>
          <w:rStyle w:val="AERbody"/>
        </w:rPr>
        <w:t>s</w:t>
      </w:r>
      <w:r w:rsidR="00202B9C">
        <w:rPr>
          <w:rStyle w:val="AERbody"/>
        </w:rPr>
        <w:t>.</w:t>
      </w:r>
      <w:r>
        <w:rPr>
          <w:rStyle w:val="AERbody"/>
        </w:rPr>
        <w:t xml:space="preserve"> low risk areas) and consequences of the fires.</w:t>
      </w:r>
      <w:r w:rsidR="00A2584F">
        <w:rPr>
          <w:rStyle w:val="FootnoteReference"/>
        </w:rPr>
        <w:footnoteReference w:id="10"/>
      </w:r>
      <w:r>
        <w:rPr>
          <w:rStyle w:val="AERbody"/>
        </w:rPr>
        <w:t xml:space="preserve"> </w:t>
      </w:r>
      <w:r w:rsidR="005F324E">
        <w:rPr>
          <w:rStyle w:val="AERbody"/>
        </w:rPr>
        <w:t>W</w:t>
      </w:r>
      <w:r>
        <w:rPr>
          <w:rStyle w:val="AERbody"/>
        </w:rPr>
        <w:t>e will be considering th</w:t>
      </w:r>
      <w:r w:rsidR="00F263AC">
        <w:rPr>
          <w:rStyle w:val="AERbody"/>
        </w:rPr>
        <w:t>e</w:t>
      </w:r>
      <w:r>
        <w:rPr>
          <w:rStyle w:val="AERbody"/>
        </w:rPr>
        <w:t>s</w:t>
      </w:r>
      <w:r w:rsidR="00F263AC">
        <w:rPr>
          <w:rStyle w:val="AERbody"/>
        </w:rPr>
        <w:t>e</w:t>
      </w:r>
      <w:r>
        <w:rPr>
          <w:rStyle w:val="AERbody"/>
        </w:rPr>
        <w:t xml:space="preserve"> suggestion</w:t>
      </w:r>
      <w:r w:rsidR="00F263AC">
        <w:rPr>
          <w:rStyle w:val="AERbody"/>
        </w:rPr>
        <w:t>s</w:t>
      </w:r>
      <w:r>
        <w:rPr>
          <w:rStyle w:val="AERbody"/>
        </w:rPr>
        <w:t xml:space="preserve"> as a part of the next Victorian distribution determination for the 2016-20 regulatory control period.</w:t>
      </w:r>
      <w:r w:rsidR="005F324E">
        <w:rPr>
          <w:rStyle w:val="FootnoteReference"/>
        </w:rPr>
        <w:footnoteReference w:id="11"/>
      </w:r>
    </w:p>
    <w:p w:rsidR="004A69A2" w:rsidRDefault="004A69A2" w:rsidP="007D460C"/>
    <w:p w:rsidR="0040528B" w:rsidRDefault="0040528B" w:rsidP="004A69A2">
      <w:pPr>
        <w:pStyle w:val="AERbodytext"/>
        <w:numPr>
          <w:ilvl w:val="0"/>
          <w:numId w:val="0"/>
        </w:numPr>
      </w:pPr>
      <w:bookmarkStart w:id="28" w:name="_Toc356990205"/>
      <w:bookmarkEnd w:id="27"/>
    </w:p>
    <w:p w:rsidR="0040528B" w:rsidRDefault="0040528B" w:rsidP="004A69A2">
      <w:pPr>
        <w:pStyle w:val="AERbodytext"/>
        <w:numPr>
          <w:ilvl w:val="0"/>
          <w:numId w:val="0"/>
        </w:numPr>
      </w:pPr>
    </w:p>
    <w:p w:rsidR="0040528B" w:rsidRDefault="0040528B" w:rsidP="004A69A2">
      <w:pPr>
        <w:pStyle w:val="AERbodytext"/>
        <w:numPr>
          <w:ilvl w:val="0"/>
          <w:numId w:val="0"/>
        </w:numPr>
      </w:pPr>
    </w:p>
    <w:p w:rsidR="0040528B" w:rsidRDefault="0040528B" w:rsidP="004A69A2">
      <w:pPr>
        <w:pStyle w:val="AERbodytext"/>
        <w:numPr>
          <w:ilvl w:val="0"/>
          <w:numId w:val="0"/>
        </w:numPr>
      </w:pPr>
    </w:p>
    <w:p w:rsidR="0040528B" w:rsidRDefault="0040528B" w:rsidP="004A69A2">
      <w:pPr>
        <w:pStyle w:val="AERbodytext"/>
        <w:numPr>
          <w:ilvl w:val="0"/>
          <w:numId w:val="0"/>
        </w:numPr>
      </w:pPr>
    </w:p>
    <w:p w:rsidR="0040528B" w:rsidRDefault="0040528B" w:rsidP="004A69A2">
      <w:pPr>
        <w:pStyle w:val="AERbodytext"/>
        <w:numPr>
          <w:ilvl w:val="0"/>
          <w:numId w:val="0"/>
        </w:numPr>
      </w:pPr>
    </w:p>
    <w:p w:rsidR="0040528B" w:rsidRDefault="0040528B" w:rsidP="004A69A2">
      <w:pPr>
        <w:pStyle w:val="AERbodytext"/>
        <w:numPr>
          <w:ilvl w:val="0"/>
          <w:numId w:val="0"/>
        </w:numPr>
      </w:pPr>
    </w:p>
    <w:p w:rsidR="0040528B" w:rsidRPr="004A69A2" w:rsidRDefault="0040528B" w:rsidP="004A69A2">
      <w:pPr>
        <w:pStyle w:val="AERbodytext"/>
        <w:numPr>
          <w:ilvl w:val="0"/>
          <w:numId w:val="0"/>
        </w:numPr>
      </w:pPr>
    </w:p>
    <w:p w:rsidR="007D460C" w:rsidRDefault="004A69A2" w:rsidP="007D460C">
      <w:pPr>
        <w:pStyle w:val="Heading1"/>
      </w:pPr>
      <w:bookmarkStart w:id="29" w:name="_Toc395171277"/>
      <w:bookmarkStart w:id="30" w:name="_Toc356990207"/>
      <w:bookmarkEnd w:id="28"/>
      <w:r>
        <w:lastRenderedPageBreak/>
        <w:t>Final</w:t>
      </w:r>
      <w:r w:rsidR="007D460C">
        <w:t xml:space="preserve"> f-factor amount determinations</w:t>
      </w:r>
      <w:bookmarkEnd w:id="29"/>
      <w:r w:rsidR="007D460C">
        <w:t xml:space="preserve"> </w:t>
      </w:r>
    </w:p>
    <w:bookmarkEnd w:id="30"/>
    <w:p w:rsidR="0040528B" w:rsidRPr="0040528B" w:rsidRDefault="0040528B" w:rsidP="0040528B">
      <w:pPr>
        <w:rPr>
          <w:rStyle w:val="AERbody"/>
        </w:rPr>
      </w:pPr>
      <w:r w:rsidRPr="0040528B">
        <w:rPr>
          <w:rStyle w:val="AERbody"/>
        </w:rPr>
        <w:t xml:space="preserve">Under clause 12 of the Order, </w:t>
      </w:r>
      <w:r w:rsidR="00E91727">
        <w:rPr>
          <w:rStyle w:val="AERbody"/>
        </w:rPr>
        <w:t>we</w:t>
      </w:r>
      <w:r w:rsidRPr="0040528B">
        <w:rPr>
          <w:rStyle w:val="AERbody"/>
        </w:rPr>
        <w:t xml:space="preserve"> must make f-factor revenue adjustment determinations in relation to:</w:t>
      </w:r>
    </w:p>
    <w:p w:rsidR="0040528B" w:rsidRPr="0040528B" w:rsidRDefault="0040528B" w:rsidP="0040528B">
      <w:pPr>
        <w:pStyle w:val="AERbulletlistthirdstyle"/>
        <w:tabs>
          <w:tab w:val="clear" w:pos="360"/>
        </w:tabs>
        <w:rPr>
          <w:rStyle w:val="AERbody"/>
        </w:rPr>
      </w:pPr>
      <w:r w:rsidRPr="0040528B">
        <w:rPr>
          <w:rStyle w:val="AERbody"/>
        </w:rPr>
        <w:t>CitiPower Pty Ltd ABN 76 064 651 056 (CitiPower)</w:t>
      </w:r>
    </w:p>
    <w:p w:rsidR="0040528B" w:rsidRPr="0040528B" w:rsidRDefault="0040528B" w:rsidP="0040528B">
      <w:pPr>
        <w:pStyle w:val="AERbulletlistthirdstyle"/>
        <w:tabs>
          <w:tab w:val="clear" w:pos="360"/>
        </w:tabs>
        <w:rPr>
          <w:rStyle w:val="AERbody"/>
        </w:rPr>
      </w:pPr>
      <w:r w:rsidRPr="0040528B">
        <w:rPr>
          <w:rStyle w:val="AERbody"/>
        </w:rPr>
        <w:t>Jemena Electricity Networks (Vic) Ltd ABN 82 064 651 083 (Jemena)</w:t>
      </w:r>
    </w:p>
    <w:p w:rsidR="0040528B" w:rsidRPr="0040528B" w:rsidRDefault="0040528B" w:rsidP="0040528B">
      <w:pPr>
        <w:pStyle w:val="AERbulletlistthirdstyle"/>
        <w:tabs>
          <w:tab w:val="clear" w:pos="360"/>
        </w:tabs>
        <w:rPr>
          <w:rStyle w:val="AERbody"/>
        </w:rPr>
      </w:pPr>
      <w:r w:rsidRPr="0040528B">
        <w:rPr>
          <w:rStyle w:val="AERbody"/>
        </w:rPr>
        <w:t>Powercor Australia Ltd ABN 89 064 651 109 (Powercor)</w:t>
      </w:r>
    </w:p>
    <w:p w:rsidR="0040528B" w:rsidRPr="0040528B" w:rsidRDefault="0040528B" w:rsidP="0040528B">
      <w:pPr>
        <w:pStyle w:val="AERbulletlistthirdstyle"/>
        <w:tabs>
          <w:tab w:val="clear" w:pos="360"/>
        </w:tabs>
        <w:rPr>
          <w:rStyle w:val="AERbody"/>
        </w:rPr>
      </w:pPr>
      <w:r w:rsidRPr="0040528B">
        <w:rPr>
          <w:rStyle w:val="AERbody"/>
        </w:rPr>
        <w:t>SPI Electricity Ptd Ltd ABN 91 064 651 118 (SP AusNet)</w:t>
      </w:r>
    </w:p>
    <w:p w:rsidR="0040528B" w:rsidRPr="0040528B" w:rsidRDefault="0040528B" w:rsidP="0040528B">
      <w:pPr>
        <w:pStyle w:val="AERbulletlistthirdstyle"/>
        <w:tabs>
          <w:tab w:val="clear" w:pos="360"/>
        </w:tabs>
        <w:rPr>
          <w:rStyle w:val="AERbody"/>
        </w:rPr>
      </w:pPr>
      <w:r w:rsidRPr="0040528B">
        <w:rPr>
          <w:rStyle w:val="AERbody"/>
        </w:rPr>
        <w:t>United Energy Ptd Limited ABN 70 064 651 029 (United Energy)</w:t>
      </w:r>
      <w:r w:rsidR="00202B9C">
        <w:rPr>
          <w:rStyle w:val="AERbody"/>
        </w:rPr>
        <w:t>.</w:t>
      </w:r>
    </w:p>
    <w:p w:rsidR="00B55764" w:rsidRDefault="0040528B" w:rsidP="0040528B">
      <w:pPr>
        <w:rPr>
          <w:rStyle w:val="AERbody"/>
        </w:rPr>
      </w:pPr>
      <w:r w:rsidRPr="0040528B">
        <w:rPr>
          <w:rStyle w:val="AERbody"/>
        </w:rPr>
        <w:t xml:space="preserve">We </w:t>
      </w:r>
      <w:r w:rsidR="00B55764">
        <w:rPr>
          <w:rStyle w:val="AERbody"/>
        </w:rPr>
        <w:t>have</w:t>
      </w:r>
      <w:r w:rsidRPr="0040528B">
        <w:rPr>
          <w:rStyle w:val="AERbody"/>
        </w:rPr>
        <w:t xml:space="preserve"> not receive</w:t>
      </w:r>
      <w:r w:rsidR="00B55764">
        <w:rPr>
          <w:rStyle w:val="AERbody"/>
        </w:rPr>
        <w:t>d</w:t>
      </w:r>
      <w:r w:rsidRPr="0040528B">
        <w:rPr>
          <w:rStyle w:val="AERbody"/>
        </w:rPr>
        <w:t xml:space="preserve"> any submissions </w:t>
      </w:r>
      <w:r w:rsidR="00B55764">
        <w:rPr>
          <w:rStyle w:val="AERbody"/>
        </w:rPr>
        <w:t>that would lead us to amend our draft determinations. Therefore, we adopt the proposed pass through amounts in the draft determination</w:t>
      </w:r>
      <w:r w:rsidR="00A2584F">
        <w:rPr>
          <w:rStyle w:val="AERbody"/>
        </w:rPr>
        <w:t>s</w:t>
      </w:r>
      <w:r w:rsidR="00B55764">
        <w:rPr>
          <w:rStyle w:val="AERbody"/>
        </w:rPr>
        <w:t xml:space="preserve"> as our final determination</w:t>
      </w:r>
      <w:r w:rsidR="00A2584F">
        <w:rPr>
          <w:rStyle w:val="AERbody"/>
        </w:rPr>
        <w:t>s</w:t>
      </w:r>
      <w:r w:rsidR="00B55764">
        <w:rPr>
          <w:rStyle w:val="AERbody"/>
        </w:rPr>
        <w:t>.</w:t>
      </w:r>
    </w:p>
    <w:p w:rsidR="00935BC5" w:rsidRDefault="00995011" w:rsidP="0040528B">
      <w:pPr>
        <w:rPr>
          <w:rStyle w:val="AERbody"/>
        </w:rPr>
      </w:pPr>
      <w:r>
        <w:rPr>
          <w:rStyle w:val="AERbody"/>
        </w:rPr>
        <w:t xml:space="preserve">Table </w:t>
      </w:r>
      <w:r w:rsidR="00A2584F">
        <w:rPr>
          <w:rStyle w:val="AERbody"/>
        </w:rPr>
        <w:t>5</w:t>
      </w:r>
      <w:r>
        <w:rPr>
          <w:rStyle w:val="AERbody"/>
        </w:rPr>
        <w:t xml:space="preserve">.1 shows </w:t>
      </w:r>
      <w:r w:rsidR="00935BC5">
        <w:rPr>
          <w:rStyle w:val="AERbody"/>
        </w:rPr>
        <w:t xml:space="preserve">our final f-factor amount determinations for each of the Victorian DNSPs for their fire start </w:t>
      </w:r>
      <w:r w:rsidR="00C56C42">
        <w:rPr>
          <w:rStyle w:val="AERbody"/>
        </w:rPr>
        <w:t xml:space="preserve">outcomes </w:t>
      </w:r>
      <w:r w:rsidR="00935BC5">
        <w:rPr>
          <w:rStyle w:val="AERbody"/>
        </w:rPr>
        <w:t>of 201</w:t>
      </w:r>
      <w:r w:rsidR="00C56C42">
        <w:rPr>
          <w:rStyle w:val="AERbody"/>
        </w:rPr>
        <w:t>3</w:t>
      </w:r>
      <w:r w:rsidR="00935BC5">
        <w:rPr>
          <w:rStyle w:val="AERbody"/>
        </w:rPr>
        <w:t xml:space="preserve">. These amounts will </w:t>
      </w:r>
      <w:r w:rsidR="00A2584F">
        <w:rPr>
          <w:rStyle w:val="AERbody"/>
        </w:rPr>
        <w:t xml:space="preserve">be reflected in </w:t>
      </w:r>
      <w:r w:rsidR="00935BC5">
        <w:rPr>
          <w:rStyle w:val="AERbody"/>
        </w:rPr>
        <w:t xml:space="preserve">the distribution tariffs </w:t>
      </w:r>
      <w:r w:rsidR="00B324FC">
        <w:rPr>
          <w:rStyle w:val="AERbody"/>
        </w:rPr>
        <w:t>for</w:t>
      </w:r>
      <w:r w:rsidR="00935BC5">
        <w:rPr>
          <w:rStyle w:val="AERbody"/>
        </w:rPr>
        <w:t xml:space="preserve"> 201</w:t>
      </w:r>
      <w:r w:rsidR="00C56C42">
        <w:rPr>
          <w:rStyle w:val="AERbody"/>
        </w:rPr>
        <w:t>5</w:t>
      </w:r>
      <w:r w:rsidR="00935BC5">
        <w:rPr>
          <w:rStyle w:val="AERbody"/>
        </w:rPr>
        <w:t>.</w:t>
      </w:r>
    </w:p>
    <w:p w:rsidR="0007286B" w:rsidRDefault="0007286B" w:rsidP="0040528B">
      <w:pPr>
        <w:rPr>
          <w:rStyle w:val="AERbody"/>
        </w:rPr>
      </w:pPr>
    </w:p>
    <w:p w:rsidR="0040528B" w:rsidRPr="00077438" w:rsidRDefault="0040528B" w:rsidP="0040528B">
      <w:pPr>
        <w:pStyle w:val="Caption"/>
        <w:rPr>
          <w:rStyle w:val="AERbody"/>
        </w:rPr>
      </w:pPr>
      <w:bookmarkStart w:id="31" w:name="_Ref357439014"/>
      <w:bookmarkStart w:id="32" w:name="_Ref363738438"/>
      <w:bookmarkStart w:id="33" w:name="_Ref363831913"/>
      <w:r>
        <w:t xml:space="preserve">Table </w:t>
      </w:r>
      <w:r w:rsidR="008E2D50">
        <w:fldChar w:fldCharType="begin"/>
      </w:r>
      <w:r w:rsidR="008E2D50">
        <w:instrText xml:space="preserve"> STYLEREF 1 \s </w:instrText>
      </w:r>
      <w:r w:rsidR="008E2D50">
        <w:fldChar w:fldCharType="separate"/>
      </w:r>
      <w:r w:rsidR="00202B9C">
        <w:rPr>
          <w:noProof/>
        </w:rPr>
        <w:t>5</w:t>
      </w:r>
      <w:r w:rsidR="008E2D50">
        <w:rPr>
          <w:noProof/>
        </w:rPr>
        <w:fldChar w:fldCharType="end"/>
      </w:r>
      <w:r>
        <w:t>.</w:t>
      </w:r>
      <w:fldSimple w:instr=" SEQ Table \* ARABIC \s 1 ">
        <w:r w:rsidR="00202B9C">
          <w:rPr>
            <w:noProof/>
          </w:rPr>
          <w:t>1</w:t>
        </w:r>
      </w:fldSimple>
      <w:bookmarkEnd w:id="31"/>
      <w:r>
        <w:tab/>
      </w:r>
      <w:r w:rsidR="00995011">
        <w:t>Final Determinations: f-factor p</w:t>
      </w:r>
      <w:r>
        <w:t>ass through amount</w:t>
      </w:r>
      <w:r w:rsidR="00995011">
        <w:t>s</w:t>
      </w:r>
      <w:bookmarkEnd w:id="32"/>
      <w:bookmarkEnd w:id="33"/>
      <w:r>
        <w:tab/>
      </w:r>
      <w:r w:rsidR="00942D1F">
        <w:t>for the fire start outcomes of 2013</w:t>
      </w:r>
    </w:p>
    <w:tbl>
      <w:tblPr>
        <w:tblStyle w:val="AERtable-text"/>
        <w:tblW w:w="9242" w:type="dxa"/>
        <w:tblLook w:val="0420" w:firstRow="1" w:lastRow="0" w:firstColumn="0" w:lastColumn="0" w:noHBand="0" w:noVBand="1"/>
      </w:tblPr>
      <w:tblGrid>
        <w:gridCol w:w="2591"/>
        <w:gridCol w:w="3772"/>
        <w:gridCol w:w="2879"/>
      </w:tblGrid>
      <w:tr w:rsidR="00A2584F" w:rsidRPr="003B314A" w:rsidTr="00A2584F">
        <w:trPr>
          <w:cnfStyle w:val="100000000000" w:firstRow="1" w:lastRow="0" w:firstColumn="0" w:lastColumn="0" w:oddVBand="0" w:evenVBand="0" w:oddHBand="0" w:evenHBand="0" w:firstRowFirstColumn="0" w:firstRowLastColumn="0" w:lastRowFirstColumn="0" w:lastRowLastColumn="0"/>
        </w:trPr>
        <w:tc>
          <w:tcPr>
            <w:tcW w:w="2591" w:type="dxa"/>
          </w:tcPr>
          <w:p w:rsidR="00A2584F" w:rsidRPr="003B314A" w:rsidRDefault="00A2584F" w:rsidP="00942D1F">
            <w:pPr>
              <w:pStyle w:val="AERbulletlistthirdstyle"/>
              <w:numPr>
                <w:ilvl w:val="0"/>
                <w:numId w:val="0"/>
              </w:numPr>
              <w:ind w:left="567"/>
              <w:rPr>
                <w:sz w:val="18"/>
                <w:szCs w:val="16"/>
              </w:rPr>
            </w:pPr>
            <w:r w:rsidRPr="003B314A">
              <w:rPr>
                <w:sz w:val="18"/>
                <w:szCs w:val="16"/>
              </w:rPr>
              <w:t>DNSP</w:t>
            </w:r>
          </w:p>
        </w:tc>
        <w:tc>
          <w:tcPr>
            <w:tcW w:w="3772" w:type="dxa"/>
          </w:tcPr>
          <w:p w:rsidR="00A2584F" w:rsidRPr="003B314A" w:rsidRDefault="00A2584F" w:rsidP="00A2584F">
            <w:pPr>
              <w:pStyle w:val="AERtabletextright"/>
              <w:ind w:right="760"/>
              <w:rPr>
                <w:color w:val="auto"/>
                <w:sz w:val="18"/>
                <w:szCs w:val="16"/>
              </w:rPr>
            </w:pPr>
            <w:r w:rsidRPr="003B314A">
              <w:rPr>
                <w:sz w:val="18"/>
                <w:szCs w:val="16"/>
              </w:rPr>
              <w:t>Pass through amount ($)</w:t>
            </w:r>
          </w:p>
        </w:tc>
        <w:tc>
          <w:tcPr>
            <w:tcW w:w="2879" w:type="dxa"/>
          </w:tcPr>
          <w:p w:rsidR="00A2584F" w:rsidRPr="003B314A" w:rsidRDefault="00A2584F" w:rsidP="00A2584F">
            <w:pPr>
              <w:pStyle w:val="AERtabletextright"/>
              <w:jc w:val="center"/>
              <w:rPr>
                <w:sz w:val="18"/>
                <w:szCs w:val="16"/>
              </w:rPr>
            </w:pPr>
            <w:r w:rsidRPr="003B314A">
              <w:rPr>
                <w:sz w:val="18"/>
                <w:szCs w:val="16"/>
              </w:rPr>
              <w:t>Approximate charge ($) per customer p.a.</w:t>
            </w:r>
          </w:p>
        </w:tc>
      </w:tr>
      <w:tr w:rsidR="00A2584F" w:rsidRPr="00537C2A" w:rsidTr="00A2584F">
        <w:trPr>
          <w:trHeight w:val="411"/>
        </w:trPr>
        <w:tc>
          <w:tcPr>
            <w:tcW w:w="2591" w:type="dxa"/>
          </w:tcPr>
          <w:p w:rsidR="00A2584F" w:rsidRPr="00537C2A" w:rsidRDefault="00A2584F" w:rsidP="00942D1F">
            <w:pPr>
              <w:pStyle w:val="AERbulletlistthirdstyle"/>
              <w:numPr>
                <w:ilvl w:val="0"/>
                <w:numId w:val="0"/>
              </w:numPr>
              <w:spacing w:after="120" w:line="240" w:lineRule="auto"/>
              <w:ind w:left="567"/>
              <w:rPr>
                <w:sz w:val="18"/>
                <w:szCs w:val="16"/>
              </w:rPr>
            </w:pPr>
            <w:r w:rsidRPr="00537C2A">
              <w:rPr>
                <w:sz w:val="18"/>
                <w:szCs w:val="16"/>
              </w:rPr>
              <w:t>CitiPower</w:t>
            </w:r>
          </w:p>
        </w:tc>
        <w:tc>
          <w:tcPr>
            <w:tcW w:w="3772" w:type="dxa"/>
          </w:tcPr>
          <w:p w:rsidR="00A2584F" w:rsidRPr="00537C2A" w:rsidRDefault="00A2584F" w:rsidP="00456B80">
            <w:pPr>
              <w:pStyle w:val="AERtabletextright"/>
              <w:spacing w:after="120" w:line="240" w:lineRule="auto"/>
              <w:ind w:right="1327"/>
              <w:rPr>
                <w:sz w:val="18"/>
                <w:szCs w:val="16"/>
              </w:rPr>
            </w:pPr>
            <w:r w:rsidRPr="00537C2A">
              <w:rPr>
                <w:sz w:val="18"/>
                <w:szCs w:val="16"/>
              </w:rPr>
              <w:t>(65,000)</w:t>
            </w:r>
          </w:p>
        </w:tc>
        <w:tc>
          <w:tcPr>
            <w:tcW w:w="2879" w:type="dxa"/>
          </w:tcPr>
          <w:p w:rsidR="00A2584F" w:rsidRPr="00537C2A" w:rsidRDefault="00A2584F" w:rsidP="00A2584F">
            <w:pPr>
              <w:pStyle w:val="AERtabletextright"/>
              <w:spacing w:after="120" w:line="240" w:lineRule="auto"/>
              <w:ind w:right="1088"/>
              <w:rPr>
                <w:sz w:val="18"/>
                <w:szCs w:val="16"/>
              </w:rPr>
            </w:pPr>
            <w:r w:rsidRPr="00537C2A">
              <w:rPr>
                <w:sz w:val="18"/>
                <w:szCs w:val="16"/>
              </w:rPr>
              <w:t>(0.21)</w:t>
            </w:r>
          </w:p>
        </w:tc>
      </w:tr>
      <w:tr w:rsidR="00A2584F" w:rsidRPr="00537C2A" w:rsidTr="00A2584F">
        <w:trPr>
          <w:cnfStyle w:val="000000010000" w:firstRow="0" w:lastRow="0" w:firstColumn="0" w:lastColumn="0" w:oddVBand="0" w:evenVBand="0" w:oddHBand="0" w:evenHBand="1" w:firstRowFirstColumn="0" w:firstRowLastColumn="0" w:lastRowFirstColumn="0" w:lastRowLastColumn="0"/>
        </w:trPr>
        <w:tc>
          <w:tcPr>
            <w:tcW w:w="2591" w:type="dxa"/>
          </w:tcPr>
          <w:p w:rsidR="00A2584F" w:rsidRPr="00537C2A" w:rsidRDefault="00A2584F" w:rsidP="00942D1F">
            <w:pPr>
              <w:pStyle w:val="AERbulletlistthirdstyle"/>
              <w:numPr>
                <w:ilvl w:val="0"/>
                <w:numId w:val="0"/>
              </w:numPr>
              <w:spacing w:after="120" w:line="240" w:lineRule="auto"/>
              <w:ind w:left="567"/>
              <w:rPr>
                <w:sz w:val="18"/>
                <w:szCs w:val="16"/>
              </w:rPr>
            </w:pPr>
            <w:r w:rsidRPr="00537C2A">
              <w:rPr>
                <w:sz w:val="18"/>
                <w:szCs w:val="16"/>
              </w:rPr>
              <w:t>Powercor</w:t>
            </w:r>
          </w:p>
        </w:tc>
        <w:tc>
          <w:tcPr>
            <w:tcW w:w="3772" w:type="dxa"/>
          </w:tcPr>
          <w:p w:rsidR="00A2584F" w:rsidRPr="00537C2A" w:rsidRDefault="00A2584F" w:rsidP="00456B80">
            <w:pPr>
              <w:pStyle w:val="AERtabletextright"/>
              <w:spacing w:after="120" w:line="240" w:lineRule="auto"/>
              <w:ind w:right="1327"/>
              <w:rPr>
                <w:sz w:val="18"/>
                <w:szCs w:val="16"/>
              </w:rPr>
            </w:pPr>
            <w:r w:rsidRPr="00537C2A">
              <w:rPr>
                <w:sz w:val="18"/>
                <w:szCs w:val="16"/>
              </w:rPr>
              <w:t>(2,405,000)</w:t>
            </w:r>
          </w:p>
        </w:tc>
        <w:tc>
          <w:tcPr>
            <w:tcW w:w="2879" w:type="dxa"/>
          </w:tcPr>
          <w:p w:rsidR="00A2584F" w:rsidRPr="00537C2A" w:rsidRDefault="00A2584F" w:rsidP="00A2584F">
            <w:pPr>
              <w:pStyle w:val="AERtabletextright"/>
              <w:spacing w:after="120" w:line="240" w:lineRule="auto"/>
              <w:ind w:right="1088"/>
              <w:rPr>
                <w:sz w:val="18"/>
                <w:szCs w:val="16"/>
              </w:rPr>
            </w:pPr>
            <w:r w:rsidRPr="00537C2A">
              <w:rPr>
                <w:sz w:val="18"/>
                <w:szCs w:val="16"/>
              </w:rPr>
              <w:t>(3.27)</w:t>
            </w:r>
          </w:p>
        </w:tc>
      </w:tr>
      <w:tr w:rsidR="00A2584F" w:rsidRPr="00537C2A" w:rsidTr="00A2584F">
        <w:tc>
          <w:tcPr>
            <w:tcW w:w="2591" w:type="dxa"/>
          </w:tcPr>
          <w:p w:rsidR="00A2584F" w:rsidRPr="00537C2A" w:rsidRDefault="00A2584F" w:rsidP="00942D1F">
            <w:pPr>
              <w:pStyle w:val="AERbulletlistthirdstyle"/>
              <w:numPr>
                <w:ilvl w:val="0"/>
                <w:numId w:val="0"/>
              </w:numPr>
              <w:spacing w:after="120" w:line="240" w:lineRule="auto"/>
              <w:ind w:left="567"/>
              <w:rPr>
                <w:sz w:val="18"/>
                <w:szCs w:val="16"/>
              </w:rPr>
            </w:pPr>
            <w:r w:rsidRPr="00537C2A">
              <w:rPr>
                <w:sz w:val="18"/>
                <w:szCs w:val="16"/>
              </w:rPr>
              <w:t>Jemena</w:t>
            </w:r>
          </w:p>
        </w:tc>
        <w:tc>
          <w:tcPr>
            <w:tcW w:w="3772" w:type="dxa"/>
          </w:tcPr>
          <w:p w:rsidR="00A2584F" w:rsidRPr="00537C2A" w:rsidRDefault="00A2584F" w:rsidP="00456B80">
            <w:pPr>
              <w:pStyle w:val="AERtabletextright"/>
              <w:spacing w:after="120" w:line="240" w:lineRule="auto"/>
              <w:ind w:right="1327"/>
              <w:rPr>
                <w:sz w:val="18"/>
                <w:szCs w:val="16"/>
              </w:rPr>
            </w:pPr>
            <w:r w:rsidRPr="00537C2A">
              <w:rPr>
                <w:sz w:val="18"/>
                <w:szCs w:val="16"/>
              </w:rPr>
              <w:t>(855,000)</w:t>
            </w:r>
          </w:p>
        </w:tc>
        <w:tc>
          <w:tcPr>
            <w:tcW w:w="2879" w:type="dxa"/>
          </w:tcPr>
          <w:p w:rsidR="00A2584F" w:rsidRPr="00537C2A" w:rsidRDefault="00A2584F" w:rsidP="00A2584F">
            <w:pPr>
              <w:pStyle w:val="AERtabletextright"/>
              <w:spacing w:after="120" w:line="240" w:lineRule="auto"/>
              <w:ind w:right="1088"/>
              <w:rPr>
                <w:sz w:val="18"/>
                <w:szCs w:val="16"/>
              </w:rPr>
            </w:pPr>
            <w:r w:rsidRPr="00537C2A">
              <w:rPr>
                <w:sz w:val="18"/>
                <w:szCs w:val="16"/>
              </w:rPr>
              <w:t>(2.77)</w:t>
            </w:r>
          </w:p>
        </w:tc>
      </w:tr>
      <w:tr w:rsidR="00A2584F" w:rsidRPr="00537C2A" w:rsidTr="00A2584F">
        <w:trPr>
          <w:cnfStyle w:val="000000010000" w:firstRow="0" w:lastRow="0" w:firstColumn="0" w:lastColumn="0" w:oddVBand="0" w:evenVBand="0" w:oddHBand="0" w:evenHBand="1" w:firstRowFirstColumn="0" w:firstRowLastColumn="0" w:lastRowFirstColumn="0" w:lastRowLastColumn="0"/>
        </w:trPr>
        <w:tc>
          <w:tcPr>
            <w:tcW w:w="2591" w:type="dxa"/>
          </w:tcPr>
          <w:p w:rsidR="00A2584F" w:rsidRPr="00537C2A" w:rsidRDefault="00A2584F" w:rsidP="00942D1F">
            <w:pPr>
              <w:pStyle w:val="AERbulletlistthirdstyle"/>
              <w:numPr>
                <w:ilvl w:val="0"/>
                <w:numId w:val="0"/>
              </w:numPr>
              <w:spacing w:after="120" w:line="240" w:lineRule="auto"/>
              <w:ind w:left="567"/>
              <w:rPr>
                <w:sz w:val="18"/>
                <w:szCs w:val="16"/>
              </w:rPr>
            </w:pPr>
            <w:r w:rsidRPr="00537C2A">
              <w:rPr>
                <w:sz w:val="18"/>
                <w:szCs w:val="16"/>
              </w:rPr>
              <w:t>SP AusNet</w:t>
            </w:r>
          </w:p>
        </w:tc>
        <w:tc>
          <w:tcPr>
            <w:tcW w:w="3772" w:type="dxa"/>
          </w:tcPr>
          <w:p w:rsidR="00A2584F" w:rsidRPr="00537C2A" w:rsidRDefault="00A2584F" w:rsidP="00456B80">
            <w:pPr>
              <w:pStyle w:val="AERtabletextright"/>
              <w:spacing w:after="120" w:line="240" w:lineRule="auto"/>
              <w:ind w:right="1327"/>
              <w:rPr>
                <w:sz w:val="18"/>
                <w:szCs w:val="16"/>
              </w:rPr>
            </w:pPr>
            <w:r w:rsidRPr="00537C2A">
              <w:rPr>
                <w:sz w:val="18"/>
                <w:szCs w:val="16"/>
              </w:rPr>
              <w:t>2,020,000</w:t>
            </w:r>
          </w:p>
        </w:tc>
        <w:tc>
          <w:tcPr>
            <w:tcW w:w="2879" w:type="dxa"/>
          </w:tcPr>
          <w:p w:rsidR="00A2584F" w:rsidRPr="00537C2A" w:rsidRDefault="00A2584F" w:rsidP="00A2584F">
            <w:pPr>
              <w:pStyle w:val="AERtabletextright"/>
              <w:spacing w:after="120" w:line="240" w:lineRule="auto"/>
              <w:ind w:right="1088"/>
              <w:rPr>
                <w:sz w:val="18"/>
                <w:szCs w:val="16"/>
              </w:rPr>
            </w:pPr>
            <w:r w:rsidRPr="00537C2A">
              <w:rPr>
                <w:sz w:val="18"/>
                <w:szCs w:val="16"/>
              </w:rPr>
              <w:t>3.11</w:t>
            </w:r>
          </w:p>
        </w:tc>
      </w:tr>
      <w:tr w:rsidR="00A2584F" w:rsidRPr="00537C2A" w:rsidTr="00A2584F">
        <w:tc>
          <w:tcPr>
            <w:tcW w:w="2591" w:type="dxa"/>
          </w:tcPr>
          <w:p w:rsidR="00A2584F" w:rsidRPr="00537C2A" w:rsidRDefault="00A2584F" w:rsidP="00942D1F">
            <w:pPr>
              <w:pStyle w:val="AERbulletlistthirdstyle"/>
              <w:numPr>
                <w:ilvl w:val="0"/>
                <w:numId w:val="0"/>
              </w:numPr>
              <w:spacing w:after="120" w:line="240" w:lineRule="auto"/>
              <w:ind w:left="567"/>
              <w:rPr>
                <w:sz w:val="18"/>
                <w:szCs w:val="16"/>
              </w:rPr>
            </w:pPr>
            <w:r w:rsidRPr="00537C2A">
              <w:rPr>
                <w:sz w:val="18"/>
                <w:szCs w:val="16"/>
              </w:rPr>
              <w:t>United Energy</w:t>
            </w:r>
          </w:p>
        </w:tc>
        <w:tc>
          <w:tcPr>
            <w:tcW w:w="3772" w:type="dxa"/>
          </w:tcPr>
          <w:p w:rsidR="00A2584F" w:rsidRPr="00537C2A" w:rsidRDefault="00A2584F" w:rsidP="00456B80">
            <w:pPr>
              <w:pStyle w:val="AERtabletextright"/>
              <w:spacing w:after="120" w:line="240" w:lineRule="auto"/>
              <w:ind w:right="1327"/>
              <w:rPr>
                <w:sz w:val="18"/>
                <w:szCs w:val="16"/>
              </w:rPr>
            </w:pPr>
            <w:r w:rsidRPr="00537C2A">
              <w:rPr>
                <w:sz w:val="18"/>
                <w:szCs w:val="16"/>
              </w:rPr>
              <w:t>(70,000)</w:t>
            </w:r>
          </w:p>
        </w:tc>
        <w:tc>
          <w:tcPr>
            <w:tcW w:w="2879" w:type="dxa"/>
          </w:tcPr>
          <w:p w:rsidR="00A2584F" w:rsidRPr="00537C2A" w:rsidRDefault="00A2584F" w:rsidP="00A2584F">
            <w:pPr>
              <w:pStyle w:val="AERtabletextright"/>
              <w:spacing w:after="120" w:line="240" w:lineRule="auto"/>
              <w:ind w:right="1088"/>
              <w:rPr>
                <w:sz w:val="18"/>
                <w:szCs w:val="16"/>
              </w:rPr>
            </w:pPr>
            <w:r w:rsidRPr="00537C2A">
              <w:rPr>
                <w:sz w:val="18"/>
                <w:szCs w:val="16"/>
              </w:rPr>
              <w:t>(0.11)</w:t>
            </w:r>
          </w:p>
        </w:tc>
      </w:tr>
    </w:tbl>
    <w:p w:rsidR="00942D1F" w:rsidRPr="00C07ECE" w:rsidRDefault="00942D1F" w:rsidP="00942D1F">
      <w:pPr>
        <w:pStyle w:val="AERtablesource"/>
      </w:pPr>
      <w:r w:rsidRPr="00766799">
        <w:t xml:space="preserve">Note: </w:t>
      </w:r>
      <w:r w:rsidRPr="00766799">
        <w:tab/>
        <w:t>Numbers in bracket</w:t>
      </w:r>
      <w:r>
        <w:t>s</w:t>
      </w:r>
      <w:r w:rsidRPr="00766799">
        <w:t xml:space="preserve"> represent negative numbers</w:t>
      </w:r>
      <w:r w:rsidRPr="00C07ECE">
        <w:t>, indicating penalty for exceeding the relevant fire start target.</w:t>
      </w:r>
    </w:p>
    <w:p w:rsidR="00942D1F" w:rsidRPr="003324F7" w:rsidRDefault="00942D1F" w:rsidP="00942D1F">
      <w:pPr>
        <w:pStyle w:val="AERtablesource"/>
      </w:pPr>
      <w:r w:rsidRPr="00766799">
        <w:t xml:space="preserve">Source: </w:t>
      </w:r>
      <w:r w:rsidRPr="00766799">
        <w:tab/>
        <w:t>DNSPs' reported fire starts and the AER's f-factor determination</w:t>
      </w:r>
      <w:r w:rsidR="00A2584F">
        <w:t>s</w:t>
      </w:r>
    </w:p>
    <w:p w:rsidR="007F7292" w:rsidRDefault="007F7292" w:rsidP="007F7292">
      <w:pPr>
        <w:pStyle w:val="AERbodytext"/>
        <w:numPr>
          <w:ilvl w:val="0"/>
          <w:numId w:val="0"/>
        </w:numPr>
      </w:pPr>
    </w:p>
    <w:p w:rsidR="007F7292" w:rsidRDefault="007F7292" w:rsidP="007F7292">
      <w:pPr>
        <w:pStyle w:val="AERbodytext"/>
      </w:pPr>
    </w:p>
    <w:p w:rsidR="00935BC5" w:rsidRPr="007F7292" w:rsidRDefault="00935BC5" w:rsidP="007F7292">
      <w:pPr>
        <w:pStyle w:val="AERbodytext"/>
      </w:pPr>
    </w:p>
    <w:sectPr w:rsidR="00935BC5" w:rsidRPr="007F7292" w:rsidSect="004A69A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20" w:rsidRDefault="00C26A20" w:rsidP="007D460C">
      <w:pPr>
        <w:spacing w:after="0" w:line="240" w:lineRule="auto"/>
      </w:pPr>
      <w:r>
        <w:separator/>
      </w:r>
    </w:p>
  </w:endnote>
  <w:endnote w:type="continuationSeparator" w:id="0">
    <w:p w:rsidR="00C26A20" w:rsidRDefault="00C26A20" w:rsidP="007D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20" w:rsidRDefault="00C26A20" w:rsidP="004A69A2">
    <w:pPr>
      <w:pStyle w:val="Footer"/>
      <w:tabs>
        <w:tab w:val="clear" w:pos="4513"/>
      </w:tabs>
    </w:pPr>
    <w:r>
      <w:fldChar w:fldCharType="begin"/>
    </w:r>
    <w:r>
      <w:instrText xml:space="preserve"> PAGE   \* MERGEFORMAT </w:instrText>
    </w:r>
    <w:r>
      <w:fldChar w:fldCharType="separate"/>
    </w:r>
    <w:r>
      <w:rPr>
        <w:noProof/>
      </w:rPr>
      <w:t>2</w:t>
    </w:r>
    <w:r>
      <w:rPr>
        <w:noProof/>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20" w:rsidRPr="00210880" w:rsidRDefault="00C26A20" w:rsidP="004A69A2">
    <w:pPr>
      <w:pStyle w:val="Footer"/>
      <w:tabs>
        <w:tab w:val="clear" w:pos="4513"/>
      </w:tabs>
      <w:rPr>
        <w:rStyle w:val="AERbody"/>
      </w:rPr>
    </w:pP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8E2D50">
      <w:rPr>
        <w:rStyle w:val="AERbody"/>
        <w:noProof/>
      </w:rPr>
      <w:t>1</w:t>
    </w:r>
    <w:r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20" w:rsidRDefault="00C26A20" w:rsidP="007D460C">
      <w:pPr>
        <w:spacing w:after="0" w:line="240" w:lineRule="auto"/>
      </w:pPr>
      <w:r>
        <w:separator/>
      </w:r>
    </w:p>
  </w:footnote>
  <w:footnote w:type="continuationSeparator" w:id="0">
    <w:p w:rsidR="00C26A20" w:rsidRDefault="00C26A20" w:rsidP="007D460C">
      <w:pPr>
        <w:spacing w:after="0" w:line="240" w:lineRule="auto"/>
      </w:pPr>
      <w:r>
        <w:continuationSeparator/>
      </w:r>
    </w:p>
  </w:footnote>
  <w:footnote w:id="1">
    <w:p w:rsidR="00C26A20" w:rsidRDefault="00C26A20">
      <w:pPr>
        <w:pStyle w:val="FootnoteText"/>
      </w:pPr>
      <w:r>
        <w:rPr>
          <w:rStyle w:val="FootnoteReference"/>
        </w:rPr>
        <w:footnoteRef/>
      </w:r>
      <w:r>
        <w:t xml:space="preserve"> </w:t>
      </w:r>
      <w:r>
        <w:tab/>
        <w:t xml:space="preserve">Energy and Resources Legislation Amendment Bill 2010, </w:t>
      </w:r>
      <w:r>
        <w:rPr>
          <w:rStyle w:val="AERtextitalic"/>
        </w:rPr>
        <w:t>Explanatory Memorandum</w:t>
      </w:r>
      <w:r>
        <w:t>, p.10</w:t>
      </w:r>
    </w:p>
  </w:footnote>
  <w:footnote w:id="2">
    <w:p w:rsidR="00C26A20" w:rsidRPr="004776E5" w:rsidRDefault="00C26A20">
      <w:pPr>
        <w:pStyle w:val="FootnoteText"/>
      </w:pPr>
      <w:r>
        <w:rPr>
          <w:rStyle w:val="FootnoteReference"/>
        </w:rPr>
        <w:footnoteRef/>
      </w:r>
      <w:r>
        <w:t xml:space="preserve"> </w:t>
      </w:r>
      <w:r>
        <w:tab/>
        <w:t>Under cl.8 of the Order</w:t>
      </w:r>
    </w:p>
  </w:footnote>
  <w:footnote w:id="3">
    <w:p w:rsidR="00202B9C" w:rsidRDefault="00202B9C" w:rsidP="00202B9C">
      <w:pPr>
        <w:pStyle w:val="FootnoteText"/>
      </w:pPr>
      <w:r>
        <w:rPr>
          <w:rStyle w:val="FootnoteReference"/>
        </w:rPr>
        <w:footnoteRef/>
      </w:r>
      <w:r>
        <w:t xml:space="preserve"> </w:t>
      </w:r>
      <w:r>
        <w:tab/>
        <w:t>F</w:t>
      </w:r>
      <w:r w:rsidRPr="00D57FB7">
        <w:t>rom The Hon Russell Northe MP, Minister for Energy and Resources, CFA and SP AusNet</w:t>
      </w:r>
    </w:p>
  </w:footnote>
  <w:footnote w:id="4">
    <w:p w:rsidR="00536D0E" w:rsidRDefault="00536D0E" w:rsidP="00536D0E">
      <w:pPr>
        <w:pStyle w:val="FootnoteText"/>
      </w:pPr>
      <w:r>
        <w:rPr>
          <w:rStyle w:val="FootnoteReference"/>
        </w:rPr>
        <w:footnoteRef/>
      </w:r>
      <w:r>
        <w:t xml:space="preserve"> </w:t>
      </w:r>
      <w:r w:rsidR="005F324E">
        <w:tab/>
      </w:r>
      <w:r>
        <w:t>Public fire start reports by Jemena and Powercor.</w:t>
      </w:r>
    </w:p>
  </w:footnote>
  <w:footnote w:id="5">
    <w:p w:rsidR="00537C2A" w:rsidRDefault="00537C2A">
      <w:pPr>
        <w:pStyle w:val="FootnoteText"/>
      </w:pPr>
      <w:r>
        <w:rPr>
          <w:rStyle w:val="FootnoteReference"/>
        </w:rPr>
        <w:footnoteRef/>
      </w:r>
      <w:r>
        <w:t xml:space="preserve"> </w:t>
      </w:r>
      <w:r>
        <w:tab/>
        <w:t xml:space="preserve">Under this clause, </w:t>
      </w:r>
      <w:r w:rsidRPr="00537C2A">
        <w:t xml:space="preserve">The AER must publish an explanatory statement that sets out the provisions of the </w:t>
      </w:r>
      <w:r>
        <w:t>F</w:t>
      </w:r>
      <w:r w:rsidRPr="00537C2A">
        <w:t>- factor Scheme Order in Council 2011 and the Rules under or for the purposes of which the f-factor scheme determination, f-factor amount determination or variation of the distribution determination, as the case may be, is required and the reasons for</w:t>
      </w:r>
      <w:r>
        <w:t xml:space="preserve"> the determination or variation.</w:t>
      </w:r>
    </w:p>
  </w:footnote>
  <w:footnote w:id="6">
    <w:p w:rsidR="00536D0E" w:rsidRDefault="00536D0E" w:rsidP="00536D0E">
      <w:pPr>
        <w:pStyle w:val="FootnoteText"/>
      </w:pPr>
      <w:r>
        <w:rPr>
          <w:rStyle w:val="FootnoteReference"/>
        </w:rPr>
        <w:footnoteRef/>
      </w:r>
      <w:r>
        <w:t xml:space="preserve"> </w:t>
      </w:r>
      <w:r>
        <w:tab/>
        <w:t>Cl.12, f-factor Order</w:t>
      </w:r>
    </w:p>
  </w:footnote>
  <w:footnote w:id="7">
    <w:p w:rsidR="00536D0E" w:rsidRDefault="00536D0E" w:rsidP="00536D0E">
      <w:pPr>
        <w:pStyle w:val="FootnoteText"/>
      </w:pPr>
      <w:r>
        <w:rPr>
          <w:rStyle w:val="FootnoteReference"/>
        </w:rPr>
        <w:footnoteRef/>
      </w:r>
      <w:r>
        <w:t xml:space="preserve"> </w:t>
      </w:r>
      <w:r>
        <w:tab/>
        <w:t>Cl.13, f-factor Order</w:t>
      </w:r>
    </w:p>
  </w:footnote>
  <w:footnote w:id="8">
    <w:p w:rsidR="00C26A20" w:rsidRDefault="00C26A20" w:rsidP="00995011">
      <w:pPr>
        <w:pStyle w:val="FootnoteText"/>
      </w:pPr>
      <w:r>
        <w:rPr>
          <w:rStyle w:val="FootnoteReference"/>
        </w:rPr>
        <w:footnoteRef/>
      </w:r>
      <w:r>
        <w:t xml:space="preserve"> </w:t>
      </w:r>
      <w:r>
        <w:tab/>
        <w:t xml:space="preserve">Cl.14(2) of the Order  </w:t>
      </w:r>
    </w:p>
  </w:footnote>
  <w:footnote w:id="9">
    <w:p w:rsidR="0016240C" w:rsidRDefault="0016240C">
      <w:pPr>
        <w:pStyle w:val="FootnoteText"/>
      </w:pPr>
      <w:r>
        <w:rPr>
          <w:rStyle w:val="FootnoteReference"/>
        </w:rPr>
        <w:footnoteRef/>
      </w:r>
      <w:r>
        <w:t xml:space="preserve"> </w:t>
      </w:r>
      <w:r>
        <w:tab/>
        <w:t>All submissions are available from our website</w:t>
      </w:r>
      <w:r w:rsidR="00202B9C" w:rsidRPr="00202B9C">
        <w:t xml:space="preserve"> </w:t>
      </w:r>
      <w:r w:rsidR="00202B9C">
        <w:t xml:space="preserve">at </w:t>
      </w:r>
      <w:hyperlink r:id="rId1" w:history="1">
        <w:r w:rsidR="00202B9C" w:rsidRPr="002E1C7F">
          <w:rPr>
            <w:rStyle w:val="Hyperlink"/>
          </w:rPr>
          <w:t>http://www.aer.gov.au/node/25855</w:t>
        </w:r>
      </w:hyperlink>
    </w:p>
  </w:footnote>
  <w:footnote w:id="10">
    <w:p w:rsidR="00A2584F" w:rsidRDefault="00A2584F">
      <w:pPr>
        <w:pStyle w:val="FootnoteText"/>
      </w:pPr>
      <w:r>
        <w:rPr>
          <w:rStyle w:val="FootnoteReference"/>
        </w:rPr>
        <w:footnoteRef/>
      </w:r>
      <w:r>
        <w:t xml:space="preserve"> </w:t>
      </w:r>
      <w:r>
        <w:tab/>
        <w:t xml:space="preserve">CFA letter to </w:t>
      </w:r>
      <w:r w:rsidR="00202B9C">
        <w:t>the AER dated 24 July 2014</w:t>
      </w:r>
    </w:p>
  </w:footnote>
  <w:footnote w:id="11">
    <w:p w:rsidR="005F324E" w:rsidRDefault="005F324E">
      <w:pPr>
        <w:pStyle w:val="FootnoteText"/>
      </w:pPr>
      <w:r>
        <w:rPr>
          <w:rStyle w:val="FootnoteReference"/>
        </w:rPr>
        <w:footnoteRef/>
      </w:r>
      <w:r>
        <w:t xml:space="preserve"> </w:t>
      </w:r>
      <w:r>
        <w:tab/>
        <w:t>T</w:t>
      </w:r>
      <w:r w:rsidRPr="005F324E">
        <w:t xml:space="preserve">he incentive mechanism for the current (2011-15) period </w:t>
      </w:r>
      <w:r>
        <w:t>are</w:t>
      </w:r>
      <w:r w:rsidRPr="005F324E">
        <w:t xml:space="preserve"> pre-determined by the Order,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numStyleLink w:val="AERnumberedlist"/>
  </w:abstractNum>
  <w:abstractNum w:abstractNumId="2">
    <w:nsid w:val="28B01BED"/>
    <w:multiLevelType w:val="hybridMultilevel"/>
    <w:tmpl w:val="0C8EF83A"/>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2FB612CC"/>
    <w:multiLevelType w:val="multilevel"/>
    <w:tmpl w:val="AA400620"/>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34EA40F6"/>
    <w:multiLevelType w:val="hybridMultilevel"/>
    <w:tmpl w:val="DBD40E1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371E25DF"/>
    <w:multiLevelType w:val="hybridMultilevel"/>
    <w:tmpl w:val="EB9E9A42"/>
    <w:lvl w:ilvl="0" w:tplc="88325276">
      <w:start w:val="1"/>
      <w:numFmt w:val="bullet"/>
      <w:lvlText w:val="-"/>
      <w:lvlJc w:val="left"/>
      <w:pPr>
        <w:ind w:left="720" w:hanging="360"/>
      </w:pPr>
      <w:rPr>
        <w:rFonts w:ascii="Gautami" w:eastAsia="Calibri" w:hAnsi="Gautami" w:cs="Gautam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AAC6DD7"/>
    <w:multiLevelType w:val="multilevel"/>
    <w:tmpl w:val="AA400620"/>
    <w:numStyleLink w:val="AERHeadings"/>
  </w:abstractNum>
  <w:num w:numId="1">
    <w:abstractNumId w:val="3"/>
  </w:num>
  <w:num w:numId="2">
    <w:abstractNumId w:val="7"/>
  </w:num>
  <w:num w:numId="3">
    <w:abstractNumId w:val="4"/>
  </w:num>
  <w:num w:numId="4">
    <w:abstractNumId w:val="0"/>
  </w:num>
  <w:num w:numId="5">
    <w:abstractNumId w:val="8"/>
  </w:num>
  <w:num w:numId="6">
    <w:abstractNumId w:val="1"/>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072\t0005SVH.DOCX"/>
  </w:docVars>
  <w:rsids>
    <w:rsidRoot w:val="007D460C"/>
    <w:rsid w:val="000108D9"/>
    <w:rsid w:val="0007286B"/>
    <w:rsid w:val="00083A97"/>
    <w:rsid w:val="0016240C"/>
    <w:rsid w:val="00167893"/>
    <w:rsid w:val="001A2C67"/>
    <w:rsid w:val="001E4075"/>
    <w:rsid w:val="001F4390"/>
    <w:rsid w:val="00202B9C"/>
    <w:rsid w:val="00204AB4"/>
    <w:rsid w:val="00282AB7"/>
    <w:rsid w:val="00292D54"/>
    <w:rsid w:val="002B02EB"/>
    <w:rsid w:val="00354AB5"/>
    <w:rsid w:val="00362188"/>
    <w:rsid w:val="003649B9"/>
    <w:rsid w:val="00391AEA"/>
    <w:rsid w:val="003A619B"/>
    <w:rsid w:val="003B192C"/>
    <w:rsid w:val="0040418B"/>
    <w:rsid w:val="0040528B"/>
    <w:rsid w:val="004507F5"/>
    <w:rsid w:val="0045122A"/>
    <w:rsid w:val="0045338D"/>
    <w:rsid w:val="00456B80"/>
    <w:rsid w:val="004776E5"/>
    <w:rsid w:val="004860F1"/>
    <w:rsid w:val="0049100F"/>
    <w:rsid w:val="004A69A2"/>
    <w:rsid w:val="004E118C"/>
    <w:rsid w:val="004E4F63"/>
    <w:rsid w:val="004F5BC6"/>
    <w:rsid w:val="00536D0E"/>
    <w:rsid w:val="00537C2A"/>
    <w:rsid w:val="00553018"/>
    <w:rsid w:val="005E270A"/>
    <w:rsid w:val="005E42C3"/>
    <w:rsid w:val="005E7ACF"/>
    <w:rsid w:val="005F1747"/>
    <w:rsid w:val="005F324E"/>
    <w:rsid w:val="006C301E"/>
    <w:rsid w:val="00716F4E"/>
    <w:rsid w:val="007265F3"/>
    <w:rsid w:val="00730842"/>
    <w:rsid w:val="00740C35"/>
    <w:rsid w:val="00786231"/>
    <w:rsid w:val="00787F88"/>
    <w:rsid w:val="007A5A98"/>
    <w:rsid w:val="007C4DB4"/>
    <w:rsid w:val="007D460C"/>
    <w:rsid w:val="007F4445"/>
    <w:rsid w:val="007F7292"/>
    <w:rsid w:val="008039BD"/>
    <w:rsid w:val="00807CA5"/>
    <w:rsid w:val="00875385"/>
    <w:rsid w:val="008964CB"/>
    <w:rsid w:val="008E2D50"/>
    <w:rsid w:val="008F44A9"/>
    <w:rsid w:val="00935BC5"/>
    <w:rsid w:val="00937B10"/>
    <w:rsid w:val="00942D1F"/>
    <w:rsid w:val="00995011"/>
    <w:rsid w:val="009B58BD"/>
    <w:rsid w:val="009D1D6F"/>
    <w:rsid w:val="00A05D26"/>
    <w:rsid w:val="00A1434B"/>
    <w:rsid w:val="00A2584F"/>
    <w:rsid w:val="00A372E4"/>
    <w:rsid w:val="00A97BFE"/>
    <w:rsid w:val="00AE24CB"/>
    <w:rsid w:val="00AE4314"/>
    <w:rsid w:val="00B101DF"/>
    <w:rsid w:val="00B324FC"/>
    <w:rsid w:val="00B55764"/>
    <w:rsid w:val="00B77B25"/>
    <w:rsid w:val="00C26A20"/>
    <w:rsid w:val="00C30A17"/>
    <w:rsid w:val="00C37B86"/>
    <w:rsid w:val="00C50405"/>
    <w:rsid w:val="00C56C42"/>
    <w:rsid w:val="00C7186B"/>
    <w:rsid w:val="00C92D2D"/>
    <w:rsid w:val="00C95074"/>
    <w:rsid w:val="00D43DFC"/>
    <w:rsid w:val="00D57FB7"/>
    <w:rsid w:val="00DA7762"/>
    <w:rsid w:val="00E275C8"/>
    <w:rsid w:val="00E3099D"/>
    <w:rsid w:val="00E47C3B"/>
    <w:rsid w:val="00E81DAD"/>
    <w:rsid w:val="00E91727"/>
    <w:rsid w:val="00F017C2"/>
    <w:rsid w:val="00F263AC"/>
    <w:rsid w:val="00F57F4D"/>
    <w:rsid w:val="00FD6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0C"/>
    <w:pPr>
      <w:spacing w:after="240" w:line="288" w:lineRule="auto"/>
      <w:jc w:val="both"/>
    </w:pPr>
    <w:rPr>
      <w:rFonts w:ascii="Gautami" w:eastAsia="Calibri" w:hAnsi="Gautami" w:cs="Times New Roman"/>
      <w:sz w:val="20"/>
      <w:szCs w:val="20"/>
    </w:rPr>
  </w:style>
  <w:style w:type="paragraph" w:styleId="Heading1">
    <w:name w:val="heading 1"/>
    <w:aliases w:val="AER Heading 1"/>
    <w:next w:val="AERbodytext"/>
    <w:link w:val="Heading1Char"/>
    <w:qFormat/>
    <w:rsid w:val="007D460C"/>
    <w:pPr>
      <w:keepNext/>
      <w:keepLines/>
      <w:pageBreakBefore/>
      <w:numPr>
        <w:ilvl w:val="1"/>
        <w:numId w:val="1"/>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aliases w:val="AER Heading 2"/>
    <w:basedOn w:val="Heading1"/>
    <w:next w:val="AERbodytext"/>
    <w:link w:val="Heading2Char"/>
    <w:qFormat/>
    <w:rsid w:val="007D460C"/>
    <w:pPr>
      <w:pageBreakBefore w:val="0"/>
      <w:numPr>
        <w:ilvl w:val="2"/>
      </w:numPr>
      <w:outlineLvl w:val="1"/>
    </w:pPr>
    <w:rPr>
      <w:bCs w:val="0"/>
      <w:sz w:val="28"/>
      <w:szCs w:val="26"/>
    </w:rPr>
  </w:style>
  <w:style w:type="paragraph" w:styleId="Heading3">
    <w:name w:val="heading 3"/>
    <w:aliases w:val="AER Heading 3"/>
    <w:basedOn w:val="Heading2"/>
    <w:next w:val="AERbodytext"/>
    <w:link w:val="Heading3Char"/>
    <w:qFormat/>
    <w:rsid w:val="007D460C"/>
    <w:pPr>
      <w:numPr>
        <w:ilvl w:val="3"/>
      </w:numPr>
      <w:outlineLvl w:val="2"/>
    </w:pPr>
    <w:rPr>
      <w:bCs/>
      <w:sz w:val="24"/>
    </w:rPr>
  </w:style>
  <w:style w:type="paragraph" w:styleId="Heading7">
    <w:name w:val="heading 7"/>
    <w:basedOn w:val="UnnumberedHeading"/>
    <w:next w:val="AERbodytext"/>
    <w:link w:val="Heading7Char"/>
    <w:uiPriority w:val="9"/>
    <w:qFormat/>
    <w:rsid w:val="007D460C"/>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7D460C"/>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7D460C"/>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ER Heading 1 Char"/>
    <w:basedOn w:val="DefaultParagraphFont"/>
    <w:link w:val="Heading1"/>
    <w:rsid w:val="007D460C"/>
    <w:rPr>
      <w:rFonts w:ascii="Gautami" w:eastAsia="Times New Roman" w:hAnsi="Gautami" w:cs="Times New Roman"/>
      <w:b/>
      <w:bCs/>
      <w:color w:val="E36C0A"/>
      <w:sz w:val="36"/>
      <w:szCs w:val="28"/>
    </w:rPr>
  </w:style>
  <w:style w:type="character" w:customStyle="1" w:styleId="Heading2Char">
    <w:name w:val="Heading 2 Char"/>
    <w:aliases w:val="AER Heading 2 Char"/>
    <w:basedOn w:val="DefaultParagraphFont"/>
    <w:link w:val="Heading2"/>
    <w:rsid w:val="007D460C"/>
    <w:rPr>
      <w:rFonts w:ascii="Gautami" w:eastAsia="Times New Roman" w:hAnsi="Gautami" w:cs="Times New Roman"/>
      <w:b/>
      <w:color w:val="E36C0A"/>
      <w:sz w:val="28"/>
      <w:szCs w:val="26"/>
    </w:rPr>
  </w:style>
  <w:style w:type="character" w:customStyle="1" w:styleId="Heading3Char">
    <w:name w:val="Heading 3 Char"/>
    <w:aliases w:val="AER Heading 3 Char"/>
    <w:basedOn w:val="DefaultParagraphFont"/>
    <w:link w:val="Heading3"/>
    <w:rsid w:val="007D460C"/>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7D460C"/>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7D460C"/>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7D460C"/>
    <w:rPr>
      <w:rFonts w:ascii="Gautami" w:eastAsia="Times New Roman" w:hAnsi="Gautami" w:cs="Times New Roman"/>
      <w:b/>
      <w:bCs/>
      <w:color w:val="E36C0A"/>
      <w:sz w:val="24"/>
      <w:szCs w:val="20"/>
    </w:rPr>
  </w:style>
  <w:style w:type="numbering" w:customStyle="1" w:styleId="AERHeadings">
    <w:name w:val="AER Headings"/>
    <w:uiPriority w:val="99"/>
    <w:rsid w:val="007D460C"/>
    <w:pPr>
      <w:numPr>
        <w:numId w:val="1"/>
      </w:numPr>
    </w:pPr>
  </w:style>
  <w:style w:type="paragraph" w:styleId="Caption">
    <w:name w:val="caption"/>
    <w:basedOn w:val="AERbodytext"/>
    <w:next w:val="AERbodytext"/>
    <w:uiPriority w:val="35"/>
    <w:qFormat/>
    <w:rsid w:val="007D460C"/>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7D460C"/>
    <w:rPr>
      <w:rFonts w:ascii="Gautami" w:hAnsi="Gautami"/>
      <w:color w:val="auto"/>
      <w:sz w:val="20"/>
    </w:rPr>
  </w:style>
  <w:style w:type="paragraph" w:customStyle="1" w:styleId="AERbodytext">
    <w:name w:val="AER body text"/>
    <w:link w:val="AERbodytextChar"/>
    <w:qFormat/>
    <w:rsid w:val="007D460C"/>
    <w:pPr>
      <w:numPr>
        <w:numId w:val="6"/>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7D460C"/>
    <w:pPr>
      <w:numPr>
        <w:numId w:val="2"/>
      </w:numPr>
      <w:tabs>
        <w:tab w:val="left" w:pos="357"/>
      </w:tabs>
      <w:spacing w:after="200"/>
      <w:ind w:left="357" w:hanging="357"/>
    </w:pPr>
  </w:style>
  <w:style w:type="paragraph" w:customStyle="1" w:styleId="AERbulletlistsecondstyle">
    <w:name w:val="AER bullet list (second style)"/>
    <w:basedOn w:val="AERbodytext"/>
    <w:qFormat/>
    <w:rsid w:val="007D460C"/>
    <w:pPr>
      <w:numPr>
        <w:numId w:val="4"/>
      </w:numPr>
      <w:tabs>
        <w:tab w:val="num" w:pos="360"/>
        <w:tab w:val="left" w:pos="709"/>
      </w:tabs>
      <w:spacing w:after="200"/>
      <w:ind w:left="714" w:hanging="357"/>
    </w:pPr>
  </w:style>
  <w:style w:type="paragraph" w:customStyle="1" w:styleId="AERbulletlistthirdstyle">
    <w:name w:val="AER bullet list (third style)"/>
    <w:basedOn w:val="AERbodytext"/>
    <w:qFormat/>
    <w:rsid w:val="007D460C"/>
    <w:pPr>
      <w:numPr>
        <w:numId w:val="3"/>
      </w:numPr>
      <w:tabs>
        <w:tab w:val="num" w:pos="360"/>
        <w:tab w:val="left" w:pos="1077"/>
      </w:tabs>
      <w:spacing w:after="200"/>
      <w:ind w:left="1071" w:hanging="357"/>
    </w:pPr>
  </w:style>
  <w:style w:type="paragraph" w:customStyle="1" w:styleId="AERnumberedlistfirststyle">
    <w:name w:val="AER numbered list (first style)"/>
    <w:basedOn w:val="AERbodytext"/>
    <w:qFormat/>
    <w:rsid w:val="007D460C"/>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7D460C"/>
    <w:pPr>
      <w:numPr>
        <w:ilvl w:val="2"/>
      </w:numPr>
      <w:tabs>
        <w:tab w:val="clear" w:pos="720"/>
        <w:tab w:val="num" w:pos="360"/>
      </w:tabs>
    </w:pPr>
  </w:style>
  <w:style w:type="paragraph" w:customStyle="1" w:styleId="AERnumberedlistthirdstyle">
    <w:name w:val="AER numbered list (third style)"/>
    <w:basedOn w:val="AERnumberedlistsecondstyle"/>
    <w:qFormat/>
    <w:rsid w:val="007D460C"/>
    <w:pPr>
      <w:numPr>
        <w:ilvl w:val="3"/>
      </w:numPr>
      <w:tabs>
        <w:tab w:val="clear" w:pos="1077"/>
        <w:tab w:val="num" w:pos="360"/>
      </w:tabs>
    </w:pPr>
  </w:style>
  <w:style w:type="paragraph" w:customStyle="1" w:styleId="AERquote">
    <w:name w:val="AER quote"/>
    <w:next w:val="AERbodytext"/>
    <w:qFormat/>
    <w:rsid w:val="007D460C"/>
    <w:pPr>
      <w:tabs>
        <w:tab w:val="num" w:pos="709"/>
      </w:tabs>
      <w:spacing w:after="160" w:line="288" w:lineRule="auto"/>
      <w:ind w:left="709" w:right="720"/>
      <w:jc w:val="both"/>
    </w:pPr>
    <w:rPr>
      <w:rFonts w:ascii="Gautami" w:eastAsia="Times New Roman" w:hAnsi="Gautami" w:cs="Times New Roman"/>
      <w:color w:val="000000"/>
      <w:sz w:val="16"/>
      <w:szCs w:val="24"/>
    </w:rPr>
  </w:style>
  <w:style w:type="character" w:customStyle="1" w:styleId="AERsubscript">
    <w:name w:val="AER subscript"/>
    <w:qFormat/>
    <w:rsid w:val="007D460C"/>
    <w:rPr>
      <w:rFonts w:ascii="Gautami" w:hAnsi="Gautami"/>
      <w:vertAlign w:val="subscript"/>
    </w:rPr>
  </w:style>
  <w:style w:type="paragraph" w:customStyle="1" w:styleId="AERtablesource">
    <w:name w:val="AER table source"/>
    <w:next w:val="AERbodytext"/>
    <w:qFormat/>
    <w:rsid w:val="007D460C"/>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7D460C"/>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boldunderline">
    <w:name w:val="AER text bold underline"/>
    <w:qFormat/>
    <w:rsid w:val="007D460C"/>
    <w:rPr>
      <w:b/>
      <w:u w:val="single"/>
    </w:rPr>
  </w:style>
  <w:style w:type="character" w:customStyle="1" w:styleId="AERtextitalic">
    <w:name w:val="AER text italic"/>
    <w:qFormat/>
    <w:rsid w:val="007D460C"/>
    <w:rPr>
      <w:i/>
    </w:rPr>
  </w:style>
  <w:style w:type="paragraph" w:styleId="FootnoteText">
    <w:name w:val="footnote text"/>
    <w:aliases w:val="Footnote Text2,Footnote Text1,(NECG) Footnote Text,(NECG) Footnote Text1,ALTS FOOTNOTE2,Footnote Text11,ALTS FOOTNOTE,Footnote text,AR Footnote Text,AR Footnote Text Char Char Char Char Char Char,AR Footnote Text Char Char Char Char Char,f"/>
    <w:basedOn w:val="AERbodytext"/>
    <w:link w:val="FootnoteTextChar"/>
    <w:uiPriority w:val="99"/>
    <w:qFormat/>
    <w:rsid w:val="007D460C"/>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2 Char,Footnote Text11 Char,ALTS FOOTNOTE Char,Footnote text Char,AR Footnote Text Char,f Char"/>
    <w:basedOn w:val="DefaultParagraphFont"/>
    <w:link w:val="FootnoteText"/>
    <w:uiPriority w:val="99"/>
    <w:rsid w:val="007D460C"/>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D460C"/>
    <w:rPr>
      <w:vertAlign w:val="superscript"/>
    </w:rPr>
  </w:style>
  <w:style w:type="paragraph" w:styleId="Footer">
    <w:name w:val="footer"/>
    <w:basedOn w:val="Normal"/>
    <w:link w:val="FooterChar"/>
    <w:uiPriority w:val="99"/>
    <w:qFormat/>
    <w:rsid w:val="007D4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60C"/>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7D460C"/>
    <w:pPr>
      <w:numPr>
        <w:ilvl w:val="0"/>
      </w:numPr>
    </w:pPr>
  </w:style>
  <w:style w:type="numbering" w:customStyle="1" w:styleId="AERnumberedlist">
    <w:name w:val="AER numbered list"/>
    <w:uiPriority w:val="99"/>
    <w:rsid w:val="007D460C"/>
    <w:pPr>
      <w:numPr>
        <w:numId w:val="5"/>
      </w:numPr>
    </w:pPr>
  </w:style>
  <w:style w:type="paragraph" w:customStyle="1" w:styleId="AERtitle1">
    <w:name w:val="AER title 1"/>
    <w:qFormat/>
    <w:rsid w:val="007D460C"/>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7D460C"/>
    <w:pPr>
      <w:spacing w:after="240" w:line="288" w:lineRule="auto"/>
      <w:jc w:val="center"/>
    </w:pPr>
    <w:rPr>
      <w:rFonts w:ascii="Gautami" w:eastAsia="Times New Roman" w:hAnsi="Gautami" w:cs="Times New Roman"/>
      <w:sz w:val="32"/>
      <w:szCs w:val="24"/>
    </w:rPr>
  </w:style>
  <w:style w:type="character" w:customStyle="1" w:styleId="UnnumberedHeadingChar">
    <w:name w:val="Unnumbered Heading Char"/>
    <w:basedOn w:val="Heading1Char"/>
    <w:link w:val="UnnumberedHeading"/>
    <w:rsid w:val="007D460C"/>
    <w:rPr>
      <w:rFonts w:ascii="Gautami" w:eastAsia="Times New Roman" w:hAnsi="Gautami" w:cs="Times New Roman"/>
      <w:b/>
      <w:bCs/>
      <w:color w:val="E36C0A"/>
      <w:sz w:val="36"/>
      <w:szCs w:val="28"/>
    </w:rPr>
  </w:style>
  <w:style w:type="paragraph" w:customStyle="1" w:styleId="AERbodytextnospace">
    <w:name w:val="AER body text no space"/>
    <w:basedOn w:val="AERbodytext"/>
    <w:qFormat/>
    <w:rsid w:val="007D460C"/>
    <w:pPr>
      <w:spacing w:after="0"/>
    </w:pPr>
  </w:style>
  <w:style w:type="paragraph" w:customStyle="1" w:styleId="AERtabletextright">
    <w:name w:val="AER table text right"/>
    <w:basedOn w:val="Normal"/>
    <w:qFormat/>
    <w:rsid w:val="007D460C"/>
    <w:pPr>
      <w:spacing w:before="120" w:after="80"/>
      <w:jc w:val="right"/>
    </w:pPr>
    <w:rPr>
      <w:rFonts w:eastAsia="Times New Roman"/>
      <w:sz w:val="16"/>
      <w:szCs w:val="24"/>
    </w:rPr>
  </w:style>
  <w:style w:type="paragraph" w:styleId="TOC1">
    <w:name w:val="toc 1"/>
    <w:basedOn w:val="Normal"/>
    <w:next w:val="Normal"/>
    <w:autoRedefine/>
    <w:uiPriority w:val="39"/>
    <w:unhideWhenUsed/>
    <w:qFormat/>
    <w:rsid w:val="007D460C"/>
    <w:pPr>
      <w:tabs>
        <w:tab w:val="right" w:leader="dot" w:pos="9016"/>
      </w:tabs>
      <w:spacing w:before="240" w:after="120"/>
      <w:jc w:val="left"/>
    </w:pPr>
    <w:rPr>
      <w:b/>
      <w:bCs/>
    </w:rPr>
  </w:style>
  <w:style w:type="paragraph" w:styleId="TOC2">
    <w:name w:val="toc 2"/>
    <w:basedOn w:val="Normal"/>
    <w:next w:val="Normal"/>
    <w:autoRedefine/>
    <w:uiPriority w:val="39"/>
    <w:unhideWhenUsed/>
    <w:qFormat/>
    <w:rsid w:val="007D460C"/>
    <w:pPr>
      <w:spacing w:before="120" w:after="0"/>
      <w:ind w:left="200"/>
      <w:jc w:val="left"/>
    </w:pPr>
    <w:rPr>
      <w:iCs/>
    </w:rPr>
  </w:style>
  <w:style w:type="character" w:styleId="Hyperlink">
    <w:name w:val="Hyperlink"/>
    <w:basedOn w:val="DefaultParagraphFont"/>
    <w:uiPriority w:val="99"/>
    <w:unhideWhenUsed/>
    <w:rsid w:val="007D460C"/>
    <w:rPr>
      <w:color w:val="0000FF"/>
      <w:u w:val="single"/>
    </w:rPr>
  </w:style>
  <w:style w:type="character" w:customStyle="1" w:styleId="AERtextsize8">
    <w:name w:val="AER text size 8"/>
    <w:uiPriority w:val="1"/>
    <w:qFormat/>
    <w:rsid w:val="007D460C"/>
    <w:rPr>
      <w:sz w:val="16"/>
    </w:rPr>
  </w:style>
  <w:style w:type="paragraph" w:customStyle="1" w:styleId="AERnumberedlist2first">
    <w:name w:val="AER numbered list 2 first"/>
    <w:basedOn w:val="AERbodytext"/>
    <w:qFormat/>
    <w:rsid w:val="007D460C"/>
    <w:pPr>
      <w:numPr>
        <w:ilvl w:val="4"/>
      </w:numPr>
      <w:tabs>
        <w:tab w:val="clear" w:pos="357"/>
        <w:tab w:val="num" w:pos="360"/>
      </w:tabs>
    </w:pPr>
  </w:style>
  <w:style w:type="paragraph" w:customStyle="1" w:styleId="AERnumberedlist2second">
    <w:name w:val="AER numbered list 2 second"/>
    <w:basedOn w:val="AERnumberedlist2first"/>
    <w:qFormat/>
    <w:rsid w:val="007D460C"/>
    <w:pPr>
      <w:numPr>
        <w:ilvl w:val="5"/>
      </w:numPr>
      <w:tabs>
        <w:tab w:val="clear" w:pos="720"/>
        <w:tab w:val="num" w:pos="360"/>
      </w:tabs>
    </w:pPr>
  </w:style>
  <w:style w:type="paragraph" w:customStyle="1" w:styleId="AERnumberedlist2third">
    <w:name w:val="AER numbered list 2 third"/>
    <w:basedOn w:val="AERnumberedlist2second"/>
    <w:qFormat/>
    <w:rsid w:val="007D460C"/>
    <w:pPr>
      <w:numPr>
        <w:ilvl w:val="6"/>
      </w:numPr>
      <w:tabs>
        <w:tab w:val="clear" w:pos="1077"/>
        <w:tab w:val="num" w:pos="360"/>
      </w:tabs>
    </w:pPr>
  </w:style>
  <w:style w:type="paragraph" w:customStyle="1" w:styleId="HeadingBoldItalic">
    <w:name w:val="Heading Bold Italic"/>
    <w:basedOn w:val="AERbodytext"/>
    <w:next w:val="AERbodytext"/>
    <w:qFormat/>
    <w:rsid w:val="007D460C"/>
    <w:rPr>
      <w:b/>
      <w:i/>
    </w:rPr>
  </w:style>
  <w:style w:type="character" w:customStyle="1" w:styleId="AERbodytextChar">
    <w:name w:val="AER body text Char"/>
    <w:basedOn w:val="DefaultParagraphFont"/>
    <w:link w:val="AERbodytext"/>
    <w:rsid w:val="007D460C"/>
    <w:rPr>
      <w:rFonts w:ascii="Gautami" w:eastAsia="Times New Roman" w:hAnsi="Gautami" w:cs="Times New Roman"/>
      <w:sz w:val="20"/>
      <w:szCs w:val="24"/>
    </w:rPr>
  </w:style>
  <w:style w:type="paragraph" w:styleId="BalloonText">
    <w:name w:val="Balloon Text"/>
    <w:basedOn w:val="Normal"/>
    <w:link w:val="BalloonTextChar"/>
    <w:uiPriority w:val="99"/>
    <w:semiHidden/>
    <w:unhideWhenUsed/>
    <w:rsid w:val="007D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60C"/>
    <w:rPr>
      <w:rFonts w:ascii="Tahoma" w:eastAsia="Calibri" w:hAnsi="Tahoma" w:cs="Tahoma"/>
      <w:sz w:val="16"/>
      <w:szCs w:val="16"/>
    </w:rPr>
  </w:style>
  <w:style w:type="paragraph" w:styleId="ListParagraph">
    <w:name w:val="List Paragraph"/>
    <w:basedOn w:val="Normal"/>
    <w:uiPriority w:val="34"/>
    <w:qFormat/>
    <w:rsid w:val="004A69A2"/>
    <w:pPr>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860F1"/>
    <w:rPr>
      <w:sz w:val="16"/>
      <w:szCs w:val="16"/>
    </w:rPr>
  </w:style>
  <w:style w:type="paragraph" w:styleId="CommentText">
    <w:name w:val="annotation text"/>
    <w:basedOn w:val="Normal"/>
    <w:link w:val="CommentTextChar"/>
    <w:uiPriority w:val="99"/>
    <w:semiHidden/>
    <w:unhideWhenUsed/>
    <w:rsid w:val="004860F1"/>
    <w:pPr>
      <w:spacing w:after="200" w:line="240" w:lineRule="auto"/>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860F1"/>
    <w:rPr>
      <w:sz w:val="20"/>
      <w:szCs w:val="20"/>
    </w:rPr>
  </w:style>
  <w:style w:type="paragraph" w:styleId="Header">
    <w:name w:val="header"/>
    <w:basedOn w:val="Normal"/>
    <w:link w:val="HeaderChar"/>
    <w:uiPriority w:val="99"/>
    <w:unhideWhenUsed/>
    <w:rsid w:val="007F7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292"/>
    <w:rPr>
      <w:rFonts w:ascii="Gautami" w:eastAsia="Calibri" w:hAnsi="Gautami" w:cs="Times New Roman"/>
      <w:sz w:val="20"/>
      <w:szCs w:val="20"/>
    </w:rPr>
  </w:style>
  <w:style w:type="table" w:styleId="TableGrid">
    <w:name w:val="Table Grid"/>
    <w:basedOn w:val="TableNormal"/>
    <w:uiPriority w:val="59"/>
    <w:rsid w:val="00C26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875385"/>
    <w:pPr>
      <w:spacing w:after="240"/>
      <w:jc w:val="both"/>
    </w:pPr>
    <w:rPr>
      <w:rFonts w:ascii="Gautami" w:eastAsia="Calibri" w:hAnsi="Gautami" w:cs="Times New Roman"/>
      <w:b/>
      <w:bCs/>
    </w:rPr>
  </w:style>
  <w:style w:type="character" w:customStyle="1" w:styleId="CommentSubjectChar">
    <w:name w:val="Comment Subject Char"/>
    <w:basedOn w:val="CommentTextChar"/>
    <w:link w:val="CommentSubject"/>
    <w:uiPriority w:val="99"/>
    <w:semiHidden/>
    <w:rsid w:val="00875385"/>
    <w:rPr>
      <w:rFonts w:ascii="Gautami" w:eastAsia="Calibri" w:hAnsi="Gautami" w:cs="Times New Roman"/>
      <w:b/>
      <w:bCs/>
      <w:sz w:val="20"/>
      <w:szCs w:val="20"/>
    </w:rPr>
  </w:style>
  <w:style w:type="paragraph" w:styleId="Revision">
    <w:name w:val="Revision"/>
    <w:hidden/>
    <w:uiPriority w:val="99"/>
    <w:semiHidden/>
    <w:rsid w:val="005F1747"/>
    <w:pPr>
      <w:spacing w:after="0" w:line="240" w:lineRule="auto"/>
    </w:pPr>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0C"/>
    <w:pPr>
      <w:spacing w:after="240" w:line="288" w:lineRule="auto"/>
      <w:jc w:val="both"/>
    </w:pPr>
    <w:rPr>
      <w:rFonts w:ascii="Gautami" w:eastAsia="Calibri" w:hAnsi="Gautami" w:cs="Times New Roman"/>
      <w:sz w:val="20"/>
      <w:szCs w:val="20"/>
    </w:rPr>
  </w:style>
  <w:style w:type="paragraph" w:styleId="Heading1">
    <w:name w:val="heading 1"/>
    <w:aliases w:val="AER Heading 1"/>
    <w:next w:val="AERbodytext"/>
    <w:link w:val="Heading1Char"/>
    <w:qFormat/>
    <w:rsid w:val="007D460C"/>
    <w:pPr>
      <w:keepNext/>
      <w:keepLines/>
      <w:pageBreakBefore/>
      <w:numPr>
        <w:ilvl w:val="1"/>
        <w:numId w:val="1"/>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aliases w:val="AER Heading 2"/>
    <w:basedOn w:val="Heading1"/>
    <w:next w:val="AERbodytext"/>
    <w:link w:val="Heading2Char"/>
    <w:qFormat/>
    <w:rsid w:val="007D460C"/>
    <w:pPr>
      <w:pageBreakBefore w:val="0"/>
      <w:numPr>
        <w:ilvl w:val="2"/>
      </w:numPr>
      <w:outlineLvl w:val="1"/>
    </w:pPr>
    <w:rPr>
      <w:bCs w:val="0"/>
      <w:sz w:val="28"/>
      <w:szCs w:val="26"/>
    </w:rPr>
  </w:style>
  <w:style w:type="paragraph" w:styleId="Heading3">
    <w:name w:val="heading 3"/>
    <w:aliases w:val="AER Heading 3"/>
    <w:basedOn w:val="Heading2"/>
    <w:next w:val="AERbodytext"/>
    <w:link w:val="Heading3Char"/>
    <w:qFormat/>
    <w:rsid w:val="007D460C"/>
    <w:pPr>
      <w:numPr>
        <w:ilvl w:val="3"/>
      </w:numPr>
      <w:outlineLvl w:val="2"/>
    </w:pPr>
    <w:rPr>
      <w:bCs/>
      <w:sz w:val="24"/>
    </w:rPr>
  </w:style>
  <w:style w:type="paragraph" w:styleId="Heading7">
    <w:name w:val="heading 7"/>
    <w:basedOn w:val="UnnumberedHeading"/>
    <w:next w:val="AERbodytext"/>
    <w:link w:val="Heading7Char"/>
    <w:uiPriority w:val="9"/>
    <w:qFormat/>
    <w:rsid w:val="007D460C"/>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7D460C"/>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7D460C"/>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ER Heading 1 Char"/>
    <w:basedOn w:val="DefaultParagraphFont"/>
    <w:link w:val="Heading1"/>
    <w:rsid w:val="007D460C"/>
    <w:rPr>
      <w:rFonts w:ascii="Gautami" w:eastAsia="Times New Roman" w:hAnsi="Gautami" w:cs="Times New Roman"/>
      <w:b/>
      <w:bCs/>
      <w:color w:val="E36C0A"/>
      <w:sz w:val="36"/>
      <w:szCs w:val="28"/>
    </w:rPr>
  </w:style>
  <w:style w:type="character" w:customStyle="1" w:styleId="Heading2Char">
    <w:name w:val="Heading 2 Char"/>
    <w:aliases w:val="AER Heading 2 Char"/>
    <w:basedOn w:val="DefaultParagraphFont"/>
    <w:link w:val="Heading2"/>
    <w:rsid w:val="007D460C"/>
    <w:rPr>
      <w:rFonts w:ascii="Gautami" w:eastAsia="Times New Roman" w:hAnsi="Gautami" w:cs="Times New Roman"/>
      <w:b/>
      <w:color w:val="E36C0A"/>
      <w:sz w:val="28"/>
      <w:szCs w:val="26"/>
    </w:rPr>
  </w:style>
  <w:style w:type="character" w:customStyle="1" w:styleId="Heading3Char">
    <w:name w:val="Heading 3 Char"/>
    <w:aliases w:val="AER Heading 3 Char"/>
    <w:basedOn w:val="DefaultParagraphFont"/>
    <w:link w:val="Heading3"/>
    <w:rsid w:val="007D460C"/>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7D460C"/>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7D460C"/>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7D460C"/>
    <w:rPr>
      <w:rFonts w:ascii="Gautami" w:eastAsia="Times New Roman" w:hAnsi="Gautami" w:cs="Times New Roman"/>
      <w:b/>
      <w:bCs/>
      <w:color w:val="E36C0A"/>
      <w:sz w:val="24"/>
      <w:szCs w:val="20"/>
    </w:rPr>
  </w:style>
  <w:style w:type="numbering" w:customStyle="1" w:styleId="AERHeadings">
    <w:name w:val="AER Headings"/>
    <w:uiPriority w:val="99"/>
    <w:rsid w:val="007D460C"/>
    <w:pPr>
      <w:numPr>
        <w:numId w:val="1"/>
      </w:numPr>
    </w:pPr>
  </w:style>
  <w:style w:type="paragraph" w:styleId="Caption">
    <w:name w:val="caption"/>
    <w:basedOn w:val="AERbodytext"/>
    <w:next w:val="AERbodytext"/>
    <w:uiPriority w:val="35"/>
    <w:qFormat/>
    <w:rsid w:val="007D460C"/>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7D460C"/>
    <w:rPr>
      <w:rFonts w:ascii="Gautami" w:hAnsi="Gautami"/>
      <w:color w:val="auto"/>
      <w:sz w:val="20"/>
    </w:rPr>
  </w:style>
  <w:style w:type="paragraph" w:customStyle="1" w:styleId="AERbodytext">
    <w:name w:val="AER body text"/>
    <w:link w:val="AERbodytextChar"/>
    <w:qFormat/>
    <w:rsid w:val="007D460C"/>
    <w:pPr>
      <w:numPr>
        <w:numId w:val="6"/>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7D460C"/>
    <w:pPr>
      <w:numPr>
        <w:numId w:val="2"/>
      </w:numPr>
      <w:tabs>
        <w:tab w:val="left" w:pos="357"/>
      </w:tabs>
      <w:spacing w:after="200"/>
      <w:ind w:left="357" w:hanging="357"/>
    </w:pPr>
  </w:style>
  <w:style w:type="paragraph" w:customStyle="1" w:styleId="AERbulletlistsecondstyle">
    <w:name w:val="AER bullet list (second style)"/>
    <w:basedOn w:val="AERbodytext"/>
    <w:qFormat/>
    <w:rsid w:val="007D460C"/>
    <w:pPr>
      <w:numPr>
        <w:numId w:val="4"/>
      </w:numPr>
      <w:tabs>
        <w:tab w:val="num" w:pos="360"/>
        <w:tab w:val="left" w:pos="709"/>
      </w:tabs>
      <w:spacing w:after="200"/>
      <w:ind w:left="714" w:hanging="357"/>
    </w:pPr>
  </w:style>
  <w:style w:type="paragraph" w:customStyle="1" w:styleId="AERbulletlistthirdstyle">
    <w:name w:val="AER bullet list (third style)"/>
    <w:basedOn w:val="AERbodytext"/>
    <w:qFormat/>
    <w:rsid w:val="007D460C"/>
    <w:pPr>
      <w:numPr>
        <w:numId w:val="3"/>
      </w:numPr>
      <w:tabs>
        <w:tab w:val="num" w:pos="360"/>
        <w:tab w:val="left" w:pos="1077"/>
      </w:tabs>
      <w:spacing w:after="200"/>
      <w:ind w:left="1071" w:hanging="357"/>
    </w:pPr>
  </w:style>
  <w:style w:type="paragraph" w:customStyle="1" w:styleId="AERnumberedlistfirststyle">
    <w:name w:val="AER numbered list (first style)"/>
    <w:basedOn w:val="AERbodytext"/>
    <w:qFormat/>
    <w:rsid w:val="007D460C"/>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7D460C"/>
    <w:pPr>
      <w:numPr>
        <w:ilvl w:val="2"/>
      </w:numPr>
      <w:tabs>
        <w:tab w:val="clear" w:pos="720"/>
        <w:tab w:val="num" w:pos="360"/>
      </w:tabs>
    </w:pPr>
  </w:style>
  <w:style w:type="paragraph" w:customStyle="1" w:styleId="AERnumberedlistthirdstyle">
    <w:name w:val="AER numbered list (third style)"/>
    <w:basedOn w:val="AERnumberedlistsecondstyle"/>
    <w:qFormat/>
    <w:rsid w:val="007D460C"/>
    <w:pPr>
      <w:numPr>
        <w:ilvl w:val="3"/>
      </w:numPr>
      <w:tabs>
        <w:tab w:val="clear" w:pos="1077"/>
        <w:tab w:val="num" w:pos="360"/>
      </w:tabs>
    </w:pPr>
  </w:style>
  <w:style w:type="paragraph" w:customStyle="1" w:styleId="AERquote">
    <w:name w:val="AER quote"/>
    <w:next w:val="AERbodytext"/>
    <w:qFormat/>
    <w:rsid w:val="007D460C"/>
    <w:pPr>
      <w:tabs>
        <w:tab w:val="num" w:pos="709"/>
      </w:tabs>
      <w:spacing w:after="160" w:line="288" w:lineRule="auto"/>
      <w:ind w:left="709" w:right="720"/>
      <w:jc w:val="both"/>
    </w:pPr>
    <w:rPr>
      <w:rFonts w:ascii="Gautami" w:eastAsia="Times New Roman" w:hAnsi="Gautami" w:cs="Times New Roman"/>
      <w:color w:val="000000"/>
      <w:sz w:val="16"/>
      <w:szCs w:val="24"/>
    </w:rPr>
  </w:style>
  <w:style w:type="character" w:customStyle="1" w:styleId="AERsubscript">
    <w:name w:val="AER subscript"/>
    <w:qFormat/>
    <w:rsid w:val="007D460C"/>
    <w:rPr>
      <w:rFonts w:ascii="Gautami" w:hAnsi="Gautami"/>
      <w:vertAlign w:val="subscript"/>
    </w:rPr>
  </w:style>
  <w:style w:type="paragraph" w:customStyle="1" w:styleId="AERtablesource">
    <w:name w:val="AER table source"/>
    <w:next w:val="AERbodytext"/>
    <w:qFormat/>
    <w:rsid w:val="007D460C"/>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7D460C"/>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boldunderline">
    <w:name w:val="AER text bold underline"/>
    <w:qFormat/>
    <w:rsid w:val="007D460C"/>
    <w:rPr>
      <w:b/>
      <w:u w:val="single"/>
    </w:rPr>
  </w:style>
  <w:style w:type="character" w:customStyle="1" w:styleId="AERtextitalic">
    <w:name w:val="AER text italic"/>
    <w:qFormat/>
    <w:rsid w:val="007D460C"/>
    <w:rPr>
      <w:i/>
    </w:rPr>
  </w:style>
  <w:style w:type="paragraph" w:styleId="FootnoteText">
    <w:name w:val="footnote text"/>
    <w:aliases w:val="Footnote Text2,Footnote Text1,(NECG) Footnote Text,(NECG) Footnote Text1,ALTS FOOTNOTE2,Footnote Text11,ALTS FOOTNOTE,Footnote text,AR Footnote Text,AR Footnote Text Char Char Char Char Char Char,AR Footnote Text Char Char Char Char Char,f"/>
    <w:basedOn w:val="AERbodytext"/>
    <w:link w:val="FootnoteTextChar"/>
    <w:uiPriority w:val="99"/>
    <w:qFormat/>
    <w:rsid w:val="007D460C"/>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2 Char,Footnote Text11 Char,ALTS FOOTNOTE Char,Footnote text Char,AR Footnote Text Char,f Char"/>
    <w:basedOn w:val="DefaultParagraphFont"/>
    <w:link w:val="FootnoteText"/>
    <w:uiPriority w:val="99"/>
    <w:rsid w:val="007D460C"/>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D460C"/>
    <w:rPr>
      <w:vertAlign w:val="superscript"/>
    </w:rPr>
  </w:style>
  <w:style w:type="paragraph" w:styleId="Footer">
    <w:name w:val="footer"/>
    <w:basedOn w:val="Normal"/>
    <w:link w:val="FooterChar"/>
    <w:uiPriority w:val="99"/>
    <w:qFormat/>
    <w:rsid w:val="007D4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60C"/>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7D460C"/>
    <w:pPr>
      <w:numPr>
        <w:ilvl w:val="0"/>
      </w:numPr>
    </w:pPr>
  </w:style>
  <w:style w:type="numbering" w:customStyle="1" w:styleId="AERnumberedlist">
    <w:name w:val="AER numbered list"/>
    <w:uiPriority w:val="99"/>
    <w:rsid w:val="007D460C"/>
    <w:pPr>
      <w:numPr>
        <w:numId w:val="5"/>
      </w:numPr>
    </w:pPr>
  </w:style>
  <w:style w:type="paragraph" w:customStyle="1" w:styleId="AERtitle1">
    <w:name w:val="AER title 1"/>
    <w:qFormat/>
    <w:rsid w:val="007D460C"/>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7D460C"/>
    <w:pPr>
      <w:spacing w:after="240" w:line="288" w:lineRule="auto"/>
      <w:jc w:val="center"/>
    </w:pPr>
    <w:rPr>
      <w:rFonts w:ascii="Gautami" w:eastAsia="Times New Roman" w:hAnsi="Gautami" w:cs="Times New Roman"/>
      <w:sz w:val="32"/>
      <w:szCs w:val="24"/>
    </w:rPr>
  </w:style>
  <w:style w:type="character" w:customStyle="1" w:styleId="UnnumberedHeadingChar">
    <w:name w:val="Unnumbered Heading Char"/>
    <w:basedOn w:val="Heading1Char"/>
    <w:link w:val="UnnumberedHeading"/>
    <w:rsid w:val="007D460C"/>
    <w:rPr>
      <w:rFonts w:ascii="Gautami" w:eastAsia="Times New Roman" w:hAnsi="Gautami" w:cs="Times New Roman"/>
      <w:b/>
      <w:bCs/>
      <w:color w:val="E36C0A"/>
      <w:sz w:val="36"/>
      <w:szCs w:val="28"/>
    </w:rPr>
  </w:style>
  <w:style w:type="paragraph" w:customStyle="1" w:styleId="AERbodytextnospace">
    <w:name w:val="AER body text no space"/>
    <w:basedOn w:val="AERbodytext"/>
    <w:qFormat/>
    <w:rsid w:val="007D460C"/>
    <w:pPr>
      <w:spacing w:after="0"/>
    </w:pPr>
  </w:style>
  <w:style w:type="paragraph" w:customStyle="1" w:styleId="AERtabletextright">
    <w:name w:val="AER table text right"/>
    <w:basedOn w:val="Normal"/>
    <w:qFormat/>
    <w:rsid w:val="007D460C"/>
    <w:pPr>
      <w:spacing w:before="120" w:after="80"/>
      <w:jc w:val="right"/>
    </w:pPr>
    <w:rPr>
      <w:rFonts w:eastAsia="Times New Roman"/>
      <w:sz w:val="16"/>
      <w:szCs w:val="24"/>
    </w:rPr>
  </w:style>
  <w:style w:type="paragraph" w:styleId="TOC1">
    <w:name w:val="toc 1"/>
    <w:basedOn w:val="Normal"/>
    <w:next w:val="Normal"/>
    <w:autoRedefine/>
    <w:uiPriority w:val="39"/>
    <w:unhideWhenUsed/>
    <w:qFormat/>
    <w:rsid w:val="007D460C"/>
    <w:pPr>
      <w:tabs>
        <w:tab w:val="right" w:leader="dot" w:pos="9016"/>
      </w:tabs>
      <w:spacing w:before="240" w:after="120"/>
      <w:jc w:val="left"/>
    </w:pPr>
    <w:rPr>
      <w:b/>
      <w:bCs/>
    </w:rPr>
  </w:style>
  <w:style w:type="paragraph" w:styleId="TOC2">
    <w:name w:val="toc 2"/>
    <w:basedOn w:val="Normal"/>
    <w:next w:val="Normal"/>
    <w:autoRedefine/>
    <w:uiPriority w:val="39"/>
    <w:unhideWhenUsed/>
    <w:qFormat/>
    <w:rsid w:val="007D460C"/>
    <w:pPr>
      <w:spacing w:before="120" w:after="0"/>
      <w:ind w:left="200"/>
      <w:jc w:val="left"/>
    </w:pPr>
    <w:rPr>
      <w:iCs/>
    </w:rPr>
  </w:style>
  <w:style w:type="character" w:styleId="Hyperlink">
    <w:name w:val="Hyperlink"/>
    <w:basedOn w:val="DefaultParagraphFont"/>
    <w:uiPriority w:val="99"/>
    <w:unhideWhenUsed/>
    <w:rsid w:val="007D460C"/>
    <w:rPr>
      <w:color w:val="0000FF"/>
      <w:u w:val="single"/>
    </w:rPr>
  </w:style>
  <w:style w:type="character" w:customStyle="1" w:styleId="AERtextsize8">
    <w:name w:val="AER text size 8"/>
    <w:uiPriority w:val="1"/>
    <w:qFormat/>
    <w:rsid w:val="007D460C"/>
    <w:rPr>
      <w:sz w:val="16"/>
    </w:rPr>
  </w:style>
  <w:style w:type="paragraph" w:customStyle="1" w:styleId="AERnumberedlist2first">
    <w:name w:val="AER numbered list 2 first"/>
    <w:basedOn w:val="AERbodytext"/>
    <w:qFormat/>
    <w:rsid w:val="007D460C"/>
    <w:pPr>
      <w:numPr>
        <w:ilvl w:val="4"/>
      </w:numPr>
      <w:tabs>
        <w:tab w:val="clear" w:pos="357"/>
        <w:tab w:val="num" w:pos="360"/>
      </w:tabs>
    </w:pPr>
  </w:style>
  <w:style w:type="paragraph" w:customStyle="1" w:styleId="AERnumberedlist2second">
    <w:name w:val="AER numbered list 2 second"/>
    <w:basedOn w:val="AERnumberedlist2first"/>
    <w:qFormat/>
    <w:rsid w:val="007D460C"/>
    <w:pPr>
      <w:numPr>
        <w:ilvl w:val="5"/>
      </w:numPr>
      <w:tabs>
        <w:tab w:val="clear" w:pos="720"/>
        <w:tab w:val="num" w:pos="360"/>
      </w:tabs>
    </w:pPr>
  </w:style>
  <w:style w:type="paragraph" w:customStyle="1" w:styleId="AERnumberedlist2third">
    <w:name w:val="AER numbered list 2 third"/>
    <w:basedOn w:val="AERnumberedlist2second"/>
    <w:qFormat/>
    <w:rsid w:val="007D460C"/>
    <w:pPr>
      <w:numPr>
        <w:ilvl w:val="6"/>
      </w:numPr>
      <w:tabs>
        <w:tab w:val="clear" w:pos="1077"/>
        <w:tab w:val="num" w:pos="360"/>
      </w:tabs>
    </w:pPr>
  </w:style>
  <w:style w:type="paragraph" w:customStyle="1" w:styleId="HeadingBoldItalic">
    <w:name w:val="Heading Bold Italic"/>
    <w:basedOn w:val="AERbodytext"/>
    <w:next w:val="AERbodytext"/>
    <w:qFormat/>
    <w:rsid w:val="007D460C"/>
    <w:rPr>
      <w:b/>
      <w:i/>
    </w:rPr>
  </w:style>
  <w:style w:type="character" w:customStyle="1" w:styleId="AERbodytextChar">
    <w:name w:val="AER body text Char"/>
    <w:basedOn w:val="DefaultParagraphFont"/>
    <w:link w:val="AERbodytext"/>
    <w:rsid w:val="007D460C"/>
    <w:rPr>
      <w:rFonts w:ascii="Gautami" w:eastAsia="Times New Roman" w:hAnsi="Gautami" w:cs="Times New Roman"/>
      <w:sz w:val="20"/>
      <w:szCs w:val="24"/>
    </w:rPr>
  </w:style>
  <w:style w:type="paragraph" w:styleId="BalloonText">
    <w:name w:val="Balloon Text"/>
    <w:basedOn w:val="Normal"/>
    <w:link w:val="BalloonTextChar"/>
    <w:uiPriority w:val="99"/>
    <w:semiHidden/>
    <w:unhideWhenUsed/>
    <w:rsid w:val="007D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60C"/>
    <w:rPr>
      <w:rFonts w:ascii="Tahoma" w:eastAsia="Calibri" w:hAnsi="Tahoma" w:cs="Tahoma"/>
      <w:sz w:val="16"/>
      <w:szCs w:val="16"/>
    </w:rPr>
  </w:style>
  <w:style w:type="paragraph" w:styleId="ListParagraph">
    <w:name w:val="List Paragraph"/>
    <w:basedOn w:val="Normal"/>
    <w:uiPriority w:val="34"/>
    <w:qFormat/>
    <w:rsid w:val="004A69A2"/>
    <w:pPr>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860F1"/>
    <w:rPr>
      <w:sz w:val="16"/>
      <w:szCs w:val="16"/>
    </w:rPr>
  </w:style>
  <w:style w:type="paragraph" w:styleId="CommentText">
    <w:name w:val="annotation text"/>
    <w:basedOn w:val="Normal"/>
    <w:link w:val="CommentTextChar"/>
    <w:uiPriority w:val="99"/>
    <w:semiHidden/>
    <w:unhideWhenUsed/>
    <w:rsid w:val="004860F1"/>
    <w:pPr>
      <w:spacing w:after="200" w:line="240" w:lineRule="auto"/>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860F1"/>
    <w:rPr>
      <w:sz w:val="20"/>
      <w:szCs w:val="20"/>
    </w:rPr>
  </w:style>
  <w:style w:type="paragraph" w:styleId="Header">
    <w:name w:val="header"/>
    <w:basedOn w:val="Normal"/>
    <w:link w:val="HeaderChar"/>
    <w:uiPriority w:val="99"/>
    <w:unhideWhenUsed/>
    <w:rsid w:val="007F7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292"/>
    <w:rPr>
      <w:rFonts w:ascii="Gautami" w:eastAsia="Calibri" w:hAnsi="Gautami" w:cs="Times New Roman"/>
      <w:sz w:val="20"/>
      <w:szCs w:val="20"/>
    </w:rPr>
  </w:style>
  <w:style w:type="table" w:styleId="TableGrid">
    <w:name w:val="Table Grid"/>
    <w:basedOn w:val="TableNormal"/>
    <w:uiPriority w:val="59"/>
    <w:rsid w:val="00C26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875385"/>
    <w:pPr>
      <w:spacing w:after="240"/>
      <w:jc w:val="both"/>
    </w:pPr>
    <w:rPr>
      <w:rFonts w:ascii="Gautami" w:eastAsia="Calibri" w:hAnsi="Gautami" w:cs="Times New Roman"/>
      <w:b/>
      <w:bCs/>
    </w:rPr>
  </w:style>
  <w:style w:type="character" w:customStyle="1" w:styleId="CommentSubjectChar">
    <w:name w:val="Comment Subject Char"/>
    <w:basedOn w:val="CommentTextChar"/>
    <w:link w:val="CommentSubject"/>
    <w:uiPriority w:val="99"/>
    <w:semiHidden/>
    <w:rsid w:val="00875385"/>
    <w:rPr>
      <w:rFonts w:ascii="Gautami" w:eastAsia="Calibri" w:hAnsi="Gautami" w:cs="Times New Roman"/>
      <w:b/>
      <w:bCs/>
      <w:sz w:val="20"/>
      <w:szCs w:val="20"/>
    </w:rPr>
  </w:style>
  <w:style w:type="paragraph" w:styleId="Revision">
    <w:name w:val="Revision"/>
    <w:hidden/>
    <w:uiPriority w:val="99"/>
    <w:semiHidden/>
    <w:rsid w:val="005F1747"/>
    <w:pPr>
      <w:spacing w:after="0" w:line="240" w:lineRule="auto"/>
    </w:pPr>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er.gov.au/node/2025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ode/25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4664F-30FC-4E10-A7AF-01D54672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6F5DF997.dotm</Template>
  <TotalTime>1</TotalTime>
  <Pages>11</Pages>
  <Words>2168</Words>
  <Characters>12361</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pmich</dc:creator>
  <cp:keywords/>
  <dc:description/>
  <cp:lastModifiedBy>Michel, Paul</cp:lastModifiedBy>
  <cp:revision>2</cp:revision>
  <cp:lastPrinted>2014-08-07T02:21:00Z</cp:lastPrinted>
  <dcterms:created xsi:type="dcterms:W3CDTF">2014-08-19T02:09:00Z</dcterms:created>
  <dcterms:modified xsi:type="dcterms:W3CDTF">2014-08-19T02:09:00Z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H:\TRIMDATA\TRIM\TEMP\HPTRIM.5072\t0005SVH.DOCX</vt:lpwstr>
  </property>
</Properties>
</file>