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1099676627"/>
        <w:docPartObj>
          <w:docPartGallery w:val="Cover Pages"/>
          <w:docPartUnique/>
        </w:docPartObj>
      </w:sdtPr>
      <w:sdtEndPr>
        <w:rPr>
          <w:noProof/>
          <w:lang w:eastAsia="en-AU"/>
        </w:rPr>
      </w:sdtEndPr>
      <w:sdtContent>
        <w:p w:rsidR="00DB723B" w:rsidRPr="00DB723B" w:rsidRDefault="008D29DA" w:rsidP="00951978">
          <w:r w:rsidRPr="00740900">
            <w:rPr>
              <w:noProof/>
              <w:lang w:eastAsia="en-AU"/>
            </w:rPr>
            <w:drawing>
              <wp:anchor distT="0" distB="0" distL="114300" distR="114300" simplePos="0" relativeHeight="251659264" behindDoc="1" locked="0" layoutInCell="1" allowOverlap="1" wp14:anchorId="333B45A3" wp14:editId="03EB5AAE">
                <wp:simplePos x="0" y="0"/>
                <wp:positionH relativeFrom="column">
                  <wp:posOffset>-1095004</wp:posOffset>
                </wp:positionH>
                <wp:positionV relativeFrom="paragraph">
                  <wp:posOffset>-911901</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DB723B" w:rsidRPr="00DB723B" w:rsidRDefault="00DB723B" w:rsidP="00F171E0"/>
        <w:p w:rsidR="00DB723B" w:rsidRPr="00DB723B" w:rsidRDefault="00DB723B" w:rsidP="00F171E0"/>
        <w:p w:rsidR="00DB723B" w:rsidRPr="00DB723B" w:rsidRDefault="00DB723B" w:rsidP="00F171E0"/>
        <w:p w:rsidR="00DB723B" w:rsidRPr="00DB723B" w:rsidRDefault="00DB723B" w:rsidP="00F171E0"/>
        <w:p w:rsidR="00DB723B" w:rsidRPr="00DB723B" w:rsidRDefault="00DB723B" w:rsidP="00C71121"/>
        <w:p w:rsidR="00DB723B" w:rsidRPr="00DB723B" w:rsidRDefault="00DB723B" w:rsidP="00C71121"/>
        <w:p w:rsidR="00DB723B" w:rsidRPr="00DB723B" w:rsidRDefault="00DB723B" w:rsidP="00C71121"/>
        <w:p w:rsidR="00DB723B" w:rsidRPr="00DB723B" w:rsidRDefault="00DB723B" w:rsidP="00C71121"/>
        <w:p w:rsidR="00DB723B" w:rsidRDefault="008D29DA" w:rsidP="00327A1E">
          <w:pPr>
            <w:pStyle w:val="ReportTitle"/>
          </w:pPr>
          <w:r>
            <w:t>Final</w:t>
          </w:r>
          <w:r w:rsidR="00AD3089">
            <w:t xml:space="preserve"> determination</w:t>
          </w:r>
        </w:p>
        <w:p w:rsidR="00C85A67" w:rsidRPr="00FE0F4F" w:rsidRDefault="00C85A67" w:rsidP="001826F6"/>
        <w:p w:rsidR="00DB723B" w:rsidRDefault="009D2EE1" w:rsidP="00327A1E">
          <w:pPr>
            <w:pStyle w:val="ReportSubtitle"/>
          </w:pPr>
          <w:r>
            <w:t xml:space="preserve">Cost thresholds review for the regulatory investment test </w:t>
          </w:r>
        </w:p>
        <w:p w:rsidR="00C85A67" w:rsidRPr="00DB723B" w:rsidRDefault="00C85A67" w:rsidP="00327A1E">
          <w:pPr>
            <w:pStyle w:val="ReportSubtitle"/>
          </w:pPr>
        </w:p>
        <w:p w:rsidR="00DB723B" w:rsidRPr="00DB723B" w:rsidRDefault="008D29DA" w:rsidP="00327A1E">
          <w:pPr>
            <w:pStyle w:val="ReportDate"/>
          </w:pPr>
          <w:r>
            <w:t>November</w:t>
          </w:r>
          <w:r w:rsidR="00DB723B" w:rsidRPr="00DB723B">
            <w:t xml:space="preserve"> 201</w:t>
          </w:r>
          <w:r w:rsidR="00DB723B">
            <w:t>5</w:t>
          </w:r>
        </w:p>
        <w:p w:rsidR="00E75390" w:rsidRDefault="00DB723B" w:rsidP="00E75390">
          <w:r w:rsidRPr="00DB723B">
            <w:br w:type="page"/>
          </w:r>
        </w:p>
      </w:sdtContent>
    </w:sdt>
    <w:p w:rsidR="000A6C7B" w:rsidRDefault="000A6C7B" w:rsidP="00E75390">
      <w:pPr>
        <w:rPr>
          <w:noProof/>
          <w:lang w:eastAsia="en-AU"/>
        </w:rPr>
      </w:pPr>
      <w:r>
        <w:lastRenderedPageBreak/>
        <w:t>© Commonwealth of Australia 201</w:t>
      </w:r>
      <w:r w:rsidR="00D81EF4">
        <w:t>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Default="000A6C7B" w:rsidP="00185CB9">
      <w:pPr>
        <w:pStyle w:val="StyleCopyrightBefore0pt"/>
        <w:numPr>
          <w:ilvl w:val="0"/>
          <w:numId w:val="27"/>
        </w:numPr>
      </w:pPr>
      <w:r>
        <w:t>the Commonwealth Coat of Arms</w:t>
      </w:r>
    </w:p>
    <w:p w:rsidR="000A6C7B" w:rsidRDefault="000A6C7B" w:rsidP="00185CB9">
      <w:pPr>
        <w:pStyle w:val="StyleCopyrightBefore0pt"/>
        <w:numPr>
          <w:ilvl w:val="0"/>
          <w:numId w:val="27"/>
        </w:numPr>
      </w:pPr>
      <w:r>
        <w:t>the ACCC and AER logos</w:t>
      </w:r>
    </w:p>
    <w:p w:rsidR="000A6C7B" w:rsidRPr="00B927D8" w:rsidRDefault="000A6C7B" w:rsidP="00B927D8">
      <w:pPr>
        <w:pStyle w:val="ListBullet"/>
        <w:numPr>
          <w:ilvl w:val="0"/>
          <w:numId w:val="27"/>
        </w:numPr>
        <w:rPr>
          <w:sz w:val="20"/>
          <w:szCs w:val="20"/>
        </w:rPr>
      </w:pPr>
      <w:r w:rsidRPr="007A4D1F">
        <w:rPr>
          <w:sz w:val="20"/>
          <w:szCs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 xml:space="preserve">Requests and inquiries concerning reproduction and rights should be addressed to the </w:t>
      </w:r>
      <w:r w:rsidR="007A4D1F">
        <w:br/>
      </w:r>
      <w:r>
        <w:t xml:space="preserve">Director, Corporate Communications, </w:t>
      </w:r>
      <w:r w:rsidR="007A4D1F">
        <w:br/>
      </w:r>
      <w:r>
        <w:t xml:space="preserve">Australian Competition and Consumer Commission, </w:t>
      </w:r>
      <w:r w:rsidR="007A4D1F">
        <w:br/>
      </w:r>
      <w:r>
        <w:t xml:space="preserve">GPO Box 4141, </w:t>
      </w:r>
      <w:r w:rsidR="007A4D1F">
        <w:br/>
      </w:r>
      <w:r>
        <w:t xml:space="preserve">Canberra ACT 2601 </w:t>
      </w:r>
      <w:r w:rsidR="007A4D1F">
        <w:br/>
      </w:r>
      <w:r>
        <w:t>or publishing.unit@accc.gov.au.</w:t>
      </w:r>
    </w:p>
    <w:p w:rsidR="00951978" w:rsidRDefault="000A6C7B" w:rsidP="00A02A88">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rsidR="00382B6C">
        <w:t>Melbourne Vic 3001</w:t>
      </w:r>
    </w:p>
    <w:p w:rsidR="000A6C7B" w:rsidRDefault="000A6C7B" w:rsidP="000A6C7B">
      <w:pPr>
        <w:pStyle w:val="Copyright"/>
      </w:pPr>
      <w:r>
        <w:t>Tel: (03) 9290 1444</w:t>
      </w:r>
      <w:r w:rsidR="00951978">
        <w:br/>
      </w:r>
      <w:r>
        <w:t>Fax: (03) 9290 1457</w:t>
      </w:r>
    </w:p>
    <w:p w:rsidR="000A6C7B" w:rsidRPr="00951978" w:rsidRDefault="000A6C7B" w:rsidP="008D29DA">
      <w:pPr>
        <w:rPr>
          <w:color w:val="0000FF"/>
          <w:u w:val="single"/>
        </w:rPr>
      </w:pPr>
      <w:r>
        <w:t xml:space="preserve">Email: </w:t>
      </w:r>
      <w:hyperlink r:id="rId10" w:history="1">
        <w:r w:rsidRPr="00D64888">
          <w:rPr>
            <w:rStyle w:val="Hyperlink"/>
          </w:rPr>
          <w:t>AERInquiry@aer.gov.au</w:t>
        </w:r>
      </w:hyperlink>
      <w:r w:rsidR="00951978">
        <w:rPr>
          <w:rStyle w:val="Hyperlink"/>
        </w:rPr>
        <w:br/>
      </w:r>
      <w:r>
        <w:t xml:space="preserve">AER Reference: </w:t>
      </w:r>
      <w:r w:rsidR="008C0505" w:rsidRPr="008C0505">
        <w:t>49538</w:t>
      </w:r>
      <w:r w:rsidR="008D29DA">
        <w:t xml:space="preserve"> - D15/</w:t>
      </w:r>
      <w:r w:rsidR="00A877D0">
        <w:t>165684</w:t>
      </w:r>
    </w:p>
    <w:p w:rsidR="000A6C7B" w:rsidRDefault="000A6C7B" w:rsidP="000A6C7B"/>
    <w:p w:rsidR="000A6C7B" w:rsidRPr="00C569B4" w:rsidRDefault="000A6C7B" w:rsidP="000A6C7B"/>
    <w:p w:rsidR="000A6C7B" w:rsidRDefault="000A6C7B" w:rsidP="009D6B46"/>
    <w:p w:rsidR="002010BC" w:rsidRDefault="002010BC">
      <w:pPr>
        <w:spacing w:line="240" w:lineRule="auto"/>
      </w:pPr>
      <w:r>
        <w:br w:type="page"/>
      </w:r>
    </w:p>
    <w:p w:rsidR="002010BC" w:rsidRDefault="00A75077" w:rsidP="00A75077">
      <w:pPr>
        <w:pStyle w:val="TOCHeading"/>
      </w:pPr>
      <w:r>
        <w:lastRenderedPageBreak/>
        <w:t>Contents</w:t>
      </w:r>
    </w:p>
    <w:p w:rsidR="00F40AB8" w:rsidRDefault="00A75077">
      <w:pPr>
        <w:pStyle w:val="TOC1"/>
        <w:rPr>
          <w:rFonts w:asciiTheme="minorHAnsi" w:eastAsiaTheme="minorEastAsia" w:hAnsiTheme="minorHAnsi"/>
          <w:b w:val="0"/>
          <w:color w:val="auto"/>
          <w:sz w:val="22"/>
          <w:lang w:val="en-AU" w:eastAsia="en-AU"/>
        </w:rPr>
      </w:pPr>
      <w:r>
        <w:fldChar w:fldCharType="begin"/>
      </w:r>
      <w:r>
        <w:instrText xml:space="preserve"> TOC \o "1-3" \h \z \u </w:instrText>
      </w:r>
      <w:r>
        <w:fldChar w:fldCharType="separate"/>
      </w:r>
      <w:hyperlink w:anchor="_Toc433291884" w:history="1">
        <w:r w:rsidR="00F40AB8" w:rsidRPr="003720C2">
          <w:rPr>
            <w:rStyle w:val="Hyperlink"/>
          </w:rPr>
          <w:t>Executive Summary</w:t>
        </w:r>
        <w:r w:rsidR="00F40AB8">
          <w:rPr>
            <w:webHidden/>
          </w:rPr>
          <w:tab/>
        </w:r>
        <w:r w:rsidR="00F40AB8">
          <w:rPr>
            <w:webHidden/>
          </w:rPr>
          <w:fldChar w:fldCharType="begin"/>
        </w:r>
        <w:r w:rsidR="00F40AB8">
          <w:rPr>
            <w:webHidden/>
          </w:rPr>
          <w:instrText xml:space="preserve"> PAGEREF _Toc433291884 \h </w:instrText>
        </w:r>
        <w:r w:rsidR="00F40AB8">
          <w:rPr>
            <w:webHidden/>
          </w:rPr>
        </w:r>
        <w:r w:rsidR="00F40AB8">
          <w:rPr>
            <w:webHidden/>
          </w:rPr>
          <w:fldChar w:fldCharType="separate"/>
        </w:r>
        <w:r w:rsidR="00331EB1">
          <w:rPr>
            <w:webHidden/>
          </w:rPr>
          <w:t>1</w:t>
        </w:r>
        <w:r w:rsidR="00F40AB8">
          <w:rPr>
            <w:webHidden/>
          </w:rPr>
          <w:fldChar w:fldCharType="end"/>
        </w:r>
      </w:hyperlink>
    </w:p>
    <w:p w:rsidR="00F40AB8" w:rsidRDefault="002636FC">
      <w:pPr>
        <w:pStyle w:val="TOC1"/>
        <w:rPr>
          <w:rFonts w:asciiTheme="minorHAnsi" w:eastAsiaTheme="minorEastAsia" w:hAnsiTheme="minorHAnsi"/>
          <w:b w:val="0"/>
          <w:color w:val="auto"/>
          <w:sz w:val="22"/>
          <w:lang w:val="en-AU" w:eastAsia="en-AU"/>
        </w:rPr>
      </w:pPr>
      <w:hyperlink w:anchor="_Toc433291885" w:history="1">
        <w:r w:rsidR="00F40AB8" w:rsidRPr="003720C2">
          <w:rPr>
            <w:rStyle w:val="Hyperlink"/>
          </w:rPr>
          <w:t>1</w:t>
        </w:r>
        <w:r w:rsidR="00F40AB8">
          <w:rPr>
            <w:rFonts w:asciiTheme="minorHAnsi" w:eastAsiaTheme="minorEastAsia" w:hAnsiTheme="minorHAnsi"/>
            <w:b w:val="0"/>
            <w:color w:val="auto"/>
            <w:sz w:val="22"/>
            <w:lang w:val="en-AU" w:eastAsia="en-AU"/>
          </w:rPr>
          <w:tab/>
        </w:r>
        <w:r w:rsidR="00F40AB8" w:rsidRPr="003720C2">
          <w:rPr>
            <w:rStyle w:val="Hyperlink"/>
          </w:rPr>
          <w:t>Introduction</w:t>
        </w:r>
        <w:r w:rsidR="00F40AB8">
          <w:rPr>
            <w:webHidden/>
          </w:rPr>
          <w:tab/>
        </w:r>
        <w:r w:rsidR="00F40AB8">
          <w:rPr>
            <w:webHidden/>
          </w:rPr>
          <w:fldChar w:fldCharType="begin"/>
        </w:r>
        <w:r w:rsidR="00F40AB8">
          <w:rPr>
            <w:webHidden/>
          </w:rPr>
          <w:instrText xml:space="preserve"> PAGEREF _Toc433291885 \h </w:instrText>
        </w:r>
        <w:r w:rsidR="00F40AB8">
          <w:rPr>
            <w:webHidden/>
          </w:rPr>
        </w:r>
        <w:r w:rsidR="00F40AB8">
          <w:rPr>
            <w:webHidden/>
          </w:rPr>
          <w:fldChar w:fldCharType="separate"/>
        </w:r>
        <w:r w:rsidR="00331EB1">
          <w:rPr>
            <w:webHidden/>
          </w:rPr>
          <w:t>2</w:t>
        </w:r>
        <w:r w:rsidR="00F40AB8">
          <w:rPr>
            <w:webHidden/>
          </w:rPr>
          <w:fldChar w:fldCharType="end"/>
        </w:r>
      </w:hyperlink>
    </w:p>
    <w:p w:rsidR="00F40AB8" w:rsidRDefault="002636FC">
      <w:pPr>
        <w:pStyle w:val="TOC1"/>
        <w:rPr>
          <w:rFonts w:asciiTheme="minorHAnsi" w:eastAsiaTheme="minorEastAsia" w:hAnsiTheme="minorHAnsi"/>
          <w:b w:val="0"/>
          <w:color w:val="auto"/>
          <w:sz w:val="22"/>
          <w:lang w:val="en-AU" w:eastAsia="en-AU"/>
        </w:rPr>
      </w:pPr>
      <w:hyperlink w:anchor="_Toc433291886" w:history="1">
        <w:r w:rsidR="00F40AB8" w:rsidRPr="003720C2">
          <w:rPr>
            <w:rStyle w:val="Hyperlink"/>
          </w:rPr>
          <w:t>2</w:t>
        </w:r>
        <w:r w:rsidR="00F40AB8">
          <w:rPr>
            <w:rFonts w:asciiTheme="minorHAnsi" w:eastAsiaTheme="minorEastAsia" w:hAnsiTheme="minorHAnsi"/>
            <w:b w:val="0"/>
            <w:color w:val="auto"/>
            <w:sz w:val="22"/>
            <w:lang w:val="en-AU" w:eastAsia="en-AU"/>
          </w:rPr>
          <w:tab/>
        </w:r>
        <w:r w:rsidR="00F40AB8" w:rsidRPr="003720C2">
          <w:rPr>
            <w:rStyle w:val="Hyperlink"/>
          </w:rPr>
          <w:t>Background</w:t>
        </w:r>
        <w:r w:rsidR="00F40AB8">
          <w:rPr>
            <w:webHidden/>
          </w:rPr>
          <w:tab/>
        </w:r>
        <w:r w:rsidR="00F40AB8">
          <w:rPr>
            <w:webHidden/>
          </w:rPr>
          <w:fldChar w:fldCharType="begin"/>
        </w:r>
        <w:r w:rsidR="00F40AB8">
          <w:rPr>
            <w:webHidden/>
          </w:rPr>
          <w:instrText xml:space="preserve"> PAGEREF _Toc433291886 \h </w:instrText>
        </w:r>
        <w:r w:rsidR="00F40AB8">
          <w:rPr>
            <w:webHidden/>
          </w:rPr>
        </w:r>
        <w:r w:rsidR="00F40AB8">
          <w:rPr>
            <w:webHidden/>
          </w:rPr>
          <w:fldChar w:fldCharType="separate"/>
        </w:r>
        <w:r w:rsidR="00331EB1">
          <w:rPr>
            <w:webHidden/>
          </w:rPr>
          <w:t>3</w:t>
        </w:r>
        <w:r w:rsidR="00F40AB8">
          <w:rPr>
            <w:webHidden/>
          </w:rPr>
          <w:fldChar w:fldCharType="end"/>
        </w:r>
      </w:hyperlink>
    </w:p>
    <w:p w:rsidR="00F40AB8" w:rsidRDefault="002636FC">
      <w:pPr>
        <w:pStyle w:val="TOC2"/>
        <w:rPr>
          <w:rFonts w:asciiTheme="minorHAnsi" w:eastAsiaTheme="minorEastAsia" w:hAnsiTheme="minorHAnsi"/>
          <w:b w:val="0"/>
          <w:color w:val="auto"/>
          <w:sz w:val="22"/>
          <w:lang w:eastAsia="en-AU"/>
        </w:rPr>
      </w:pPr>
      <w:hyperlink w:anchor="_Toc433291887" w:history="1">
        <w:r w:rsidR="00F40AB8" w:rsidRPr="003720C2">
          <w:rPr>
            <w:rStyle w:val="Hyperlink"/>
          </w:rPr>
          <w:t>2.1</w:t>
        </w:r>
        <w:r w:rsidR="00F40AB8">
          <w:rPr>
            <w:rFonts w:asciiTheme="minorHAnsi" w:eastAsiaTheme="minorEastAsia" w:hAnsiTheme="minorHAnsi"/>
            <w:b w:val="0"/>
            <w:color w:val="auto"/>
            <w:sz w:val="22"/>
            <w:lang w:eastAsia="en-AU"/>
          </w:rPr>
          <w:tab/>
        </w:r>
        <w:r w:rsidR="00F40AB8" w:rsidRPr="003720C2">
          <w:rPr>
            <w:rStyle w:val="Hyperlink"/>
          </w:rPr>
          <w:t>Rules requirements</w:t>
        </w:r>
        <w:r w:rsidR="00F40AB8">
          <w:rPr>
            <w:webHidden/>
          </w:rPr>
          <w:tab/>
        </w:r>
        <w:r w:rsidR="00F40AB8">
          <w:rPr>
            <w:webHidden/>
          </w:rPr>
          <w:fldChar w:fldCharType="begin"/>
        </w:r>
        <w:r w:rsidR="00F40AB8">
          <w:rPr>
            <w:webHidden/>
          </w:rPr>
          <w:instrText xml:space="preserve"> PAGEREF _Toc433291887 \h </w:instrText>
        </w:r>
        <w:r w:rsidR="00F40AB8">
          <w:rPr>
            <w:webHidden/>
          </w:rPr>
        </w:r>
        <w:r w:rsidR="00F40AB8">
          <w:rPr>
            <w:webHidden/>
          </w:rPr>
          <w:fldChar w:fldCharType="separate"/>
        </w:r>
        <w:r w:rsidR="00331EB1">
          <w:rPr>
            <w:webHidden/>
          </w:rPr>
          <w:t>3</w:t>
        </w:r>
        <w:r w:rsidR="00F40AB8">
          <w:rPr>
            <w:webHidden/>
          </w:rPr>
          <w:fldChar w:fldCharType="end"/>
        </w:r>
      </w:hyperlink>
    </w:p>
    <w:p w:rsidR="00F40AB8" w:rsidRDefault="002636FC">
      <w:pPr>
        <w:pStyle w:val="TOC2"/>
        <w:rPr>
          <w:rFonts w:asciiTheme="minorHAnsi" w:eastAsiaTheme="minorEastAsia" w:hAnsiTheme="minorHAnsi"/>
          <w:b w:val="0"/>
          <w:color w:val="auto"/>
          <w:sz w:val="22"/>
          <w:lang w:eastAsia="en-AU"/>
        </w:rPr>
      </w:pPr>
      <w:hyperlink w:anchor="_Toc433291888" w:history="1">
        <w:r w:rsidR="00F40AB8" w:rsidRPr="003720C2">
          <w:rPr>
            <w:rStyle w:val="Hyperlink"/>
          </w:rPr>
          <w:t>2.2</w:t>
        </w:r>
        <w:r w:rsidR="00F40AB8">
          <w:rPr>
            <w:rFonts w:asciiTheme="minorHAnsi" w:eastAsiaTheme="minorEastAsia" w:hAnsiTheme="minorHAnsi"/>
            <w:b w:val="0"/>
            <w:color w:val="auto"/>
            <w:sz w:val="22"/>
            <w:lang w:eastAsia="en-AU"/>
          </w:rPr>
          <w:tab/>
        </w:r>
        <w:r w:rsidR="00F40AB8" w:rsidRPr="003720C2">
          <w:rPr>
            <w:rStyle w:val="Hyperlink"/>
          </w:rPr>
          <w:t>2012 cost thresholds review</w:t>
        </w:r>
        <w:r w:rsidR="00F40AB8">
          <w:rPr>
            <w:webHidden/>
          </w:rPr>
          <w:tab/>
        </w:r>
        <w:r w:rsidR="00F40AB8">
          <w:rPr>
            <w:webHidden/>
          </w:rPr>
          <w:fldChar w:fldCharType="begin"/>
        </w:r>
        <w:r w:rsidR="00F40AB8">
          <w:rPr>
            <w:webHidden/>
          </w:rPr>
          <w:instrText xml:space="preserve"> PAGEREF _Toc433291888 \h </w:instrText>
        </w:r>
        <w:r w:rsidR="00F40AB8">
          <w:rPr>
            <w:webHidden/>
          </w:rPr>
        </w:r>
        <w:r w:rsidR="00F40AB8">
          <w:rPr>
            <w:webHidden/>
          </w:rPr>
          <w:fldChar w:fldCharType="separate"/>
        </w:r>
        <w:r w:rsidR="00331EB1">
          <w:rPr>
            <w:webHidden/>
          </w:rPr>
          <w:t>5</w:t>
        </w:r>
        <w:r w:rsidR="00F40AB8">
          <w:rPr>
            <w:webHidden/>
          </w:rPr>
          <w:fldChar w:fldCharType="end"/>
        </w:r>
      </w:hyperlink>
    </w:p>
    <w:p w:rsidR="00F40AB8" w:rsidRDefault="002636FC">
      <w:pPr>
        <w:pStyle w:val="TOC1"/>
        <w:rPr>
          <w:rFonts w:asciiTheme="minorHAnsi" w:eastAsiaTheme="minorEastAsia" w:hAnsiTheme="minorHAnsi"/>
          <w:b w:val="0"/>
          <w:color w:val="auto"/>
          <w:sz w:val="22"/>
          <w:lang w:val="en-AU" w:eastAsia="en-AU"/>
        </w:rPr>
      </w:pPr>
      <w:hyperlink w:anchor="_Toc433291889" w:history="1">
        <w:r w:rsidR="00F40AB8" w:rsidRPr="003720C2">
          <w:rPr>
            <w:rStyle w:val="Hyperlink"/>
          </w:rPr>
          <w:t>3</w:t>
        </w:r>
        <w:r w:rsidR="00F40AB8">
          <w:rPr>
            <w:rFonts w:asciiTheme="minorHAnsi" w:eastAsiaTheme="minorEastAsia" w:hAnsiTheme="minorHAnsi"/>
            <w:b w:val="0"/>
            <w:color w:val="auto"/>
            <w:sz w:val="22"/>
            <w:lang w:val="en-AU" w:eastAsia="en-AU"/>
          </w:rPr>
          <w:tab/>
        </w:r>
        <w:r w:rsidR="00F40AB8" w:rsidRPr="003720C2">
          <w:rPr>
            <w:rStyle w:val="Hyperlink"/>
          </w:rPr>
          <w:t>Final determination</w:t>
        </w:r>
        <w:r w:rsidR="00F40AB8">
          <w:rPr>
            <w:webHidden/>
          </w:rPr>
          <w:tab/>
        </w:r>
        <w:r w:rsidR="00F40AB8">
          <w:rPr>
            <w:webHidden/>
          </w:rPr>
          <w:fldChar w:fldCharType="begin"/>
        </w:r>
        <w:r w:rsidR="00F40AB8">
          <w:rPr>
            <w:webHidden/>
          </w:rPr>
          <w:instrText xml:space="preserve"> PAGEREF _Toc433291889 \h </w:instrText>
        </w:r>
        <w:r w:rsidR="00F40AB8">
          <w:rPr>
            <w:webHidden/>
          </w:rPr>
        </w:r>
        <w:r w:rsidR="00F40AB8">
          <w:rPr>
            <w:webHidden/>
          </w:rPr>
          <w:fldChar w:fldCharType="separate"/>
        </w:r>
        <w:r w:rsidR="00331EB1">
          <w:rPr>
            <w:webHidden/>
          </w:rPr>
          <w:t>7</w:t>
        </w:r>
        <w:r w:rsidR="00F40AB8">
          <w:rPr>
            <w:webHidden/>
          </w:rPr>
          <w:fldChar w:fldCharType="end"/>
        </w:r>
      </w:hyperlink>
    </w:p>
    <w:p w:rsidR="00F40AB8" w:rsidRDefault="002636FC">
      <w:pPr>
        <w:pStyle w:val="TOC2"/>
        <w:rPr>
          <w:rFonts w:asciiTheme="minorHAnsi" w:eastAsiaTheme="minorEastAsia" w:hAnsiTheme="minorHAnsi"/>
          <w:b w:val="0"/>
          <w:color w:val="auto"/>
          <w:sz w:val="22"/>
          <w:lang w:eastAsia="en-AU"/>
        </w:rPr>
      </w:pPr>
      <w:hyperlink w:anchor="_Toc433291890" w:history="1">
        <w:r w:rsidR="00F40AB8" w:rsidRPr="003720C2">
          <w:rPr>
            <w:rStyle w:val="Hyperlink"/>
          </w:rPr>
          <w:t>3.1</w:t>
        </w:r>
        <w:r w:rsidR="00F40AB8">
          <w:rPr>
            <w:rFonts w:asciiTheme="minorHAnsi" w:eastAsiaTheme="minorEastAsia" w:hAnsiTheme="minorHAnsi"/>
            <w:b w:val="0"/>
            <w:color w:val="auto"/>
            <w:sz w:val="22"/>
            <w:lang w:eastAsia="en-AU"/>
          </w:rPr>
          <w:tab/>
        </w:r>
        <w:r w:rsidR="00F40AB8" w:rsidRPr="003720C2">
          <w:rPr>
            <w:rStyle w:val="Hyperlink"/>
          </w:rPr>
          <w:t>Draft determination</w:t>
        </w:r>
        <w:r w:rsidR="00F40AB8">
          <w:rPr>
            <w:webHidden/>
          </w:rPr>
          <w:tab/>
        </w:r>
        <w:r w:rsidR="00F40AB8">
          <w:rPr>
            <w:webHidden/>
          </w:rPr>
          <w:fldChar w:fldCharType="begin"/>
        </w:r>
        <w:r w:rsidR="00F40AB8">
          <w:rPr>
            <w:webHidden/>
          </w:rPr>
          <w:instrText xml:space="preserve"> PAGEREF _Toc433291890 \h </w:instrText>
        </w:r>
        <w:r w:rsidR="00F40AB8">
          <w:rPr>
            <w:webHidden/>
          </w:rPr>
        </w:r>
        <w:r w:rsidR="00F40AB8">
          <w:rPr>
            <w:webHidden/>
          </w:rPr>
          <w:fldChar w:fldCharType="separate"/>
        </w:r>
        <w:r w:rsidR="00331EB1">
          <w:rPr>
            <w:webHidden/>
          </w:rPr>
          <w:t>7</w:t>
        </w:r>
        <w:r w:rsidR="00F40AB8">
          <w:rPr>
            <w:webHidden/>
          </w:rPr>
          <w:fldChar w:fldCharType="end"/>
        </w:r>
      </w:hyperlink>
    </w:p>
    <w:p w:rsidR="00F40AB8" w:rsidRDefault="002636FC">
      <w:pPr>
        <w:pStyle w:val="TOC2"/>
        <w:rPr>
          <w:rFonts w:asciiTheme="minorHAnsi" w:eastAsiaTheme="minorEastAsia" w:hAnsiTheme="minorHAnsi"/>
          <w:b w:val="0"/>
          <w:color w:val="auto"/>
          <w:sz w:val="22"/>
          <w:lang w:eastAsia="en-AU"/>
        </w:rPr>
      </w:pPr>
      <w:hyperlink w:anchor="_Toc433291891" w:history="1">
        <w:r w:rsidR="00F40AB8" w:rsidRPr="003720C2">
          <w:rPr>
            <w:rStyle w:val="Hyperlink"/>
          </w:rPr>
          <w:t>3.2</w:t>
        </w:r>
        <w:r w:rsidR="00F40AB8">
          <w:rPr>
            <w:rFonts w:asciiTheme="minorHAnsi" w:eastAsiaTheme="minorEastAsia" w:hAnsiTheme="minorHAnsi"/>
            <w:b w:val="0"/>
            <w:color w:val="auto"/>
            <w:sz w:val="22"/>
            <w:lang w:eastAsia="en-AU"/>
          </w:rPr>
          <w:tab/>
        </w:r>
        <w:r w:rsidR="00F40AB8" w:rsidRPr="003720C2">
          <w:rPr>
            <w:rStyle w:val="Hyperlink"/>
          </w:rPr>
          <w:t>Stakeholder submissions</w:t>
        </w:r>
        <w:r w:rsidR="00F40AB8">
          <w:rPr>
            <w:webHidden/>
          </w:rPr>
          <w:tab/>
        </w:r>
        <w:r w:rsidR="00F40AB8">
          <w:rPr>
            <w:webHidden/>
          </w:rPr>
          <w:fldChar w:fldCharType="begin"/>
        </w:r>
        <w:r w:rsidR="00F40AB8">
          <w:rPr>
            <w:webHidden/>
          </w:rPr>
          <w:instrText xml:space="preserve"> PAGEREF _Toc433291891 \h </w:instrText>
        </w:r>
        <w:r w:rsidR="00F40AB8">
          <w:rPr>
            <w:webHidden/>
          </w:rPr>
        </w:r>
        <w:r w:rsidR="00F40AB8">
          <w:rPr>
            <w:webHidden/>
          </w:rPr>
          <w:fldChar w:fldCharType="separate"/>
        </w:r>
        <w:r w:rsidR="00331EB1">
          <w:rPr>
            <w:webHidden/>
          </w:rPr>
          <w:t>8</w:t>
        </w:r>
        <w:r w:rsidR="00F40AB8">
          <w:rPr>
            <w:webHidden/>
          </w:rPr>
          <w:fldChar w:fldCharType="end"/>
        </w:r>
      </w:hyperlink>
    </w:p>
    <w:p w:rsidR="00F40AB8" w:rsidRDefault="002636FC">
      <w:pPr>
        <w:pStyle w:val="TOC2"/>
        <w:rPr>
          <w:rFonts w:asciiTheme="minorHAnsi" w:eastAsiaTheme="minorEastAsia" w:hAnsiTheme="minorHAnsi"/>
          <w:b w:val="0"/>
          <w:color w:val="auto"/>
          <w:sz w:val="22"/>
          <w:lang w:eastAsia="en-AU"/>
        </w:rPr>
      </w:pPr>
      <w:hyperlink w:anchor="_Toc433291892" w:history="1">
        <w:r w:rsidR="00F40AB8" w:rsidRPr="003720C2">
          <w:rPr>
            <w:rStyle w:val="Hyperlink"/>
          </w:rPr>
          <w:t>3.3</w:t>
        </w:r>
        <w:r w:rsidR="00F40AB8">
          <w:rPr>
            <w:rFonts w:asciiTheme="minorHAnsi" w:eastAsiaTheme="minorEastAsia" w:hAnsiTheme="minorHAnsi"/>
            <w:b w:val="0"/>
            <w:color w:val="auto"/>
            <w:sz w:val="22"/>
            <w:lang w:eastAsia="en-AU"/>
          </w:rPr>
          <w:tab/>
        </w:r>
        <w:r w:rsidR="00F40AB8" w:rsidRPr="003720C2">
          <w:rPr>
            <w:rStyle w:val="Hyperlink"/>
          </w:rPr>
          <w:t>AER final determination</w:t>
        </w:r>
        <w:r w:rsidR="00F40AB8">
          <w:rPr>
            <w:webHidden/>
          </w:rPr>
          <w:tab/>
        </w:r>
        <w:r w:rsidR="00F40AB8">
          <w:rPr>
            <w:webHidden/>
          </w:rPr>
          <w:fldChar w:fldCharType="begin"/>
        </w:r>
        <w:r w:rsidR="00F40AB8">
          <w:rPr>
            <w:webHidden/>
          </w:rPr>
          <w:instrText xml:space="preserve"> PAGEREF _Toc433291892 \h </w:instrText>
        </w:r>
        <w:r w:rsidR="00F40AB8">
          <w:rPr>
            <w:webHidden/>
          </w:rPr>
        </w:r>
        <w:r w:rsidR="00F40AB8">
          <w:rPr>
            <w:webHidden/>
          </w:rPr>
          <w:fldChar w:fldCharType="separate"/>
        </w:r>
        <w:r w:rsidR="00331EB1">
          <w:rPr>
            <w:webHidden/>
          </w:rPr>
          <w:t>9</w:t>
        </w:r>
        <w:r w:rsidR="00F40AB8">
          <w:rPr>
            <w:webHidden/>
          </w:rPr>
          <w:fldChar w:fldCharType="end"/>
        </w:r>
      </w:hyperlink>
    </w:p>
    <w:p w:rsidR="00F40AB8" w:rsidRDefault="002636FC">
      <w:pPr>
        <w:pStyle w:val="TOC1"/>
        <w:rPr>
          <w:rFonts w:asciiTheme="minorHAnsi" w:eastAsiaTheme="minorEastAsia" w:hAnsiTheme="minorHAnsi"/>
          <w:b w:val="0"/>
          <w:color w:val="auto"/>
          <w:sz w:val="22"/>
          <w:lang w:val="en-AU" w:eastAsia="en-AU"/>
        </w:rPr>
      </w:pPr>
      <w:hyperlink w:anchor="_Toc433291893" w:history="1">
        <w:r w:rsidR="00F40AB8" w:rsidRPr="003720C2">
          <w:rPr>
            <w:rStyle w:val="Hyperlink"/>
          </w:rPr>
          <w:t>Appendix A - table of indexes considered in cost thresholds review</w:t>
        </w:r>
        <w:r w:rsidR="00F40AB8">
          <w:rPr>
            <w:webHidden/>
          </w:rPr>
          <w:tab/>
        </w:r>
        <w:r w:rsidR="00F40AB8">
          <w:rPr>
            <w:webHidden/>
          </w:rPr>
          <w:fldChar w:fldCharType="begin"/>
        </w:r>
        <w:r w:rsidR="00F40AB8">
          <w:rPr>
            <w:webHidden/>
          </w:rPr>
          <w:instrText xml:space="preserve"> PAGEREF _Toc433291893 \h </w:instrText>
        </w:r>
        <w:r w:rsidR="00F40AB8">
          <w:rPr>
            <w:webHidden/>
          </w:rPr>
        </w:r>
        <w:r w:rsidR="00F40AB8">
          <w:rPr>
            <w:webHidden/>
          </w:rPr>
          <w:fldChar w:fldCharType="separate"/>
        </w:r>
        <w:r w:rsidR="00331EB1">
          <w:rPr>
            <w:webHidden/>
          </w:rPr>
          <w:t>11</w:t>
        </w:r>
        <w:r w:rsidR="00F40AB8">
          <w:rPr>
            <w:webHidden/>
          </w:rPr>
          <w:fldChar w:fldCharType="end"/>
        </w:r>
      </w:hyperlink>
    </w:p>
    <w:p w:rsidR="0020492C" w:rsidRDefault="00A75077" w:rsidP="0020492C">
      <w:r>
        <w:fldChar w:fldCharType="end"/>
      </w:r>
      <w:bookmarkStart w:id="1" w:name="_Toc213047617"/>
    </w:p>
    <w:p w:rsidR="0020492C" w:rsidRDefault="0020492C" w:rsidP="0020492C">
      <w:pPr>
        <w:sectPr w:rsidR="0020492C" w:rsidSect="000D723B">
          <w:footerReference w:type="default" r:id="rId11"/>
          <w:pgSz w:w="11906" w:h="16838" w:code="9"/>
          <w:pgMar w:top="1440" w:right="1701" w:bottom="1582" w:left="1729" w:header="720" w:footer="1009" w:gutter="0"/>
          <w:pgNumType w:fmt="lowerRoman"/>
          <w:cols w:space="720"/>
          <w:docGrid w:linePitch="326"/>
        </w:sectPr>
      </w:pPr>
    </w:p>
    <w:p w:rsidR="00015062" w:rsidRDefault="00015062" w:rsidP="00015062">
      <w:pPr>
        <w:pStyle w:val="Heading1notnumber"/>
      </w:pPr>
      <w:bookmarkStart w:id="2" w:name="_Toc433291884"/>
      <w:r>
        <w:lastRenderedPageBreak/>
        <w:t>Executive Summary</w:t>
      </w:r>
      <w:bookmarkEnd w:id="2"/>
    </w:p>
    <w:p w:rsidR="00822850" w:rsidRDefault="009D2EE1" w:rsidP="009D2EE1">
      <w:pPr>
        <w:pStyle w:val="BodyText"/>
      </w:pPr>
      <w:r>
        <w:t xml:space="preserve">The regulatory investment test for transmission (RIT-T) and regulatory investment test for distribution (RIT-D) are cost benefit tests that network businesses are </w:t>
      </w:r>
      <w:r w:rsidR="001B1855">
        <w:t xml:space="preserve">required to apply prior to augmenting the network. The RIT-T and RIT-D only applies to investments which are above certain cost thresholds. The National Electricity Rules (NER) require us to review changes in input </w:t>
      </w:r>
      <w:r w:rsidR="00001868">
        <w:t xml:space="preserve">capital </w:t>
      </w:r>
      <w:r w:rsidR="001B1855">
        <w:t xml:space="preserve">costs every three years and adjust the </w:t>
      </w:r>
      <w:r w:rsidR="003B5F0D">
        <w:t xml:space="preserve">RIT-T and RIT-D </w:t>
      </w:r>
      <w:r w:rsidR="001B1855">
        <w:t>cost thresholds to reflect these changes</w:t>
      </w:r>
      <w:r w:rsidR="008D29DA">
        <w:t xml:space="preserve"> (cost thresholds review)</w:t>
      </w:r>
      <w:r w:rsidR="001B1855">
        <w:t>.</w:t>
      </w:r>
      <w:r w:rsidR="008D29DA">
        <w:t xml:space="preserve"> </w:t>
      </w:r>
    </w:p>
    <w:p w:rsidR="00CF5DC0" w:rsidRDefault="00822850" w:rsidP="009D2EE1">
      <w:pPr>
        <w:pStyle w:val="BodyText"/>
      </w:pPr>
      <w:r>
        <w:t>On 31 July 2015 we commenced the 2015 cost thresholds review.</w:t>
      </w:r>
      <w:r w:rsidR="00001868">
        <w:t xml:space="preserve"> In accordance with NER requirements, this review looked at</w:t>
      </w:r>
      <w:r w:rsidR="00CF5DC0">
        <w:t>:</w:t>
      </w:r>
      <w:r w:rsidR="00001868">
        <w:t xml:space="preserve"> </w:t>
      </w:r>
    </w:p>
    <w:p w:rsidR="00CF5DC0" w:rsidRDefault="00001868" w:rsidP="00140B21">
      <w:pPr>
        <w:pStyle w:val="Bulletpoint"/>
      </w:pPr>
      <w:r>
        <w:t>changes in capital input cos</w:t>
      </w:r>
      <w:r w:rsidR="00CF5DC0">
        <w:t xml:space="preserve">ts </w:t>
      </w:r>
      <w:r w:rsidR="004F7B38">
        <w:t xml:space="preserve">for transmission network projects </w:t>
      </w:r>
      <w:r w:rsidR="00CF5DC0">
        <w:t xml:space="preserve">since 31 July 2012 to determine whether the RIT-T cost thresholds should be amended to maintain their appropriateness, and </w:t>
      </w:r>
    </w:p>
    <w:p w:rsidR="008D29DA" w:rsidRDefault="00CF5DC0" w:rsidP="00140B21">
      <w:pPr>
        <w:pStyle w:val="Bulletpoint"/>
      </w:pPr>
      <w:r>
        <w:t>changes in capital input costs</w:t>
      </w:r>
      <w:r w:rsidR="004F7B38">
        <w:t xml:space="preserve"> for distribution network projects</w:t>
      </w:r>
      <w:r>
        <w:t xml:space="preserve"> since 1 January 2013 to determine whether the RIT-D cost thresholds should be amended to maintain their appropriateness </w:t>
      </w:r>
      <w:r w:rsidR="00001868">
        <w:t xml:space="preserve"> </w:t>
      </w:r>
      <w:r w:rsidR="00822850">
        <w:t xml:space="preserve"> </w:t>
      </w:r>
    </w:p>
    <w:p w:rsidR="008D29DA" w:rsidRDefault="008D29DA" w:rsidP="009D2EE1">
      <w:pPr>
        <w:pStyle w:val="BodyText"/>
      </w:pPr>
      <w:r>
        <w:t xml:space="preserve">On 2 September 2015 we published a draft determination for the 2015 cost thresholds review. We received three submissions on the draft determination.  </w:t>
      </w:r>
    </w:p>
    <w:p w:rsidR="009D2EE1" w:rsidRDefault="001B1855" w:rsidP="009D2EE1">
      <w:pPr>
        <w:pStyle w:val="BodyText"/>
      </w:pPr>
      <w:r>
        <w:t xml:space="preserve">Consistent with the NER requirements, this document sets out the AER's </w:t>
      </w:r>
      <w:r w:rsidR="00822850">
        <w:t xml:space="preserve">final </w:t>
      </w:r>
      <w:r>
        <w:t xml:space="preserve">determination of the 2015 cost threshold review for the RIT-T and RIT-D.   </w:t>
      </w:r>
    </w:p>
    <w:p w:rsidR="008C0505" w:rsidRDefault="00E700F8" w:rsidP="009D2EE1">
      <w:pPr>
        <w:pStyle w:val="BodyText"/>
      </w:pPr>
      <w:r>
        <w:t xml:space="preserve">Our </w:t>
      </w:r>
      <w:r w:rsidR="008D29DA">
        <w:t xml:space="preserve">final </w:t>
      </w:r>
      <w:r>
        <w:t>determination for the RIT-T cost thresholds is t</w:t>
      </w:r>
      <w:r w:rsidR="008C0505">
        <w:t xml:space="preserve">hat: </w:t>
      </w:r>
    </w:p>
    <w:p w:rsidR="00E700F8" w:rsidRDefault="00E700F8" w:rsidP="008C0505">
      <w:pPr>
        <w:pStyle w:val="Bulletpoint"/>
      </w:pPr>
      <w:r>
        <w:t>the $5 million cost thresholds referred to in clauses 5.15.3(b)(1),(2),(3),</w:t>
      </w:r>
      <w:r w:rsidR="00013ADE">
        <w:t>(</w:t>
      </w:r>
      <w:r>
        <w:t>4) and (6) of the NER be increased to $6 million, and</w:t>
      </w:r>
    </w:p>
    <w:p w:rsidR="008C0505" w:rsidRDefault="00E700F8" w:rsidP="008C0505">
      <w:pPr>
        <w:pStyle w:val="Bulletpoint"/>
      </w:pPr>
      <w:r>
        <w:t>the $35 million cost threshold referred to in clause 5.15.3(b)(5)</w:t>
      </w:r>
      <w:r w:rsidR="008C0505">
        <w:t xml:space="preserve"> </w:t>
      </w:r>
      <w:r>
        <w:t>of the NER, which was increased to $38 million in the 2012 cost threshold</w:t>
      </w:r>
      <w:r w:rsidR="007C1686">
        <w:t>s</w:t>
      </w:r>
      <w:r>
        <w:t xml:space="preserve"> review be increased to $41 million</w:t>
      </w:r>
    </w:p>
    <w:p w:rsidR="00E700F8" w:rsidRDefault="00E700F8" w:rsidP="00E700F8">
      <w:pPr>
        <w:pStyle w:val="BodyText"/>
      </w:pPr>
      <w:r>
        <w:t xml:space="preserve">Our </w:t>
      </w:r>
      <w:r w:rsidR="00F1183A">
        <w:t xml:space="preserve">final </w:t>
      </w:r>
      <w:r>
        <w:t xml:space="preserve">determination for the RIT-D cost thresholds is that: </w:t>
      </w:r>
    </w:p>
    <w:p w:rsidR="00E700F8" w:rsidRDefault="00E700F8" w:rsidP="00E700F8">
      <w:pPr>
        <w:pStyle w:val="Bulletpoint"/>
      </w:pPr>
      <w:r>
        <w:t xml:space="preserve">the $5 million cost thresholds referred to in clauses 5.15.3(d)(1) and (2) remain unchanged  </w:t>
      </w:r>
    </w:p>
    <w:p w:rsidR="00E700F8" w:rsidRDefault="00E700F8" w:rsidP="00E700F8">
      <w:pPr>
        <w:pStyle w:val="Bulletpoint"/>
      </w:pPr>
      <w:r>
        <w:t xml:space="preserve">the $10 million cost threshold referred to in clause 5.15.3(d)(3) remain unchanged </w:t>
      </w:r>
    </w:p>
    <w:p w:rsidR="00E700F8" w:rsidRDefault="00E700F8" w:rsidP="00E700F8">
      <w:pPr>
        <w:pStyle w:val="Bulletpoint"/>
      </w:pPr>
      <w:r>
        <w:t xml:space="preserve">the $20 million cost threshold referred to in clause 5.15.3(d)(4) be increased to $21 million, and </w:t>
      </w:r>
    </w:p>
    <w:p w:rsidR="00F035AA" w:rsidRDefault="00E700F8" w:rsidP="00E700F8">
      <w:pPr>
        <w:pStyle w:val="Bulletpoint"/>
      </w:pPr>
      <w:r>
        <w:t>the $2 million cost thresholds referred to in clause 5.15.3(d)(5) remain unchanged</w:t>
      </w:r>
      <w:r w:rsidR="00F035AA">
        <w:t xml:space="preserve"> </w:t>
      </w:r>
    </w:p>
    <w:p w:rsidR="00E700F8" w:rsidRDefault="00A171F9" w:rsidP="00F035AA">
      <w:pPr>
        <w:pStyle w:val="Bulletpoint"/>
        <w:numPr>
          <w:ilvl w:val="0"/>
          <w:numId w:val="0"/>
        </w:numPr>
      </w:pPr>
      <w:r>
        <w:t>T</w:t>
      </w:r>
      <w:r w:rsidR="00F035AA">
        <w:t>he revised cost threshold</w:t>
      </w:r>
      <w:r w:rsidR="00932664">
        <w:t>s</w:t>
      </w:r>
      <w:r w:rsidR="00F035AA">
        <w:t xml:space="preserve"> </w:t>
      </w:r>
      <w:r w:rsidR="005D6EAD">
        <w:t xml:space="preserve">will </w:t>
      </w:r>
      <w:r w:rsidR="00F035AA">
        <w:t>take effect on 1 January 2016.</w:t>
      </w:r>
      <w:r w:rsidR="00E700F8">
        <w:t xml:space="preserve"> </w:t>
      </w:r>
    </w:p>
    <w:p w:rsidR="0020492C" w:rsidRDefault="00015062" w:rsidP="00562632">
      <w:pPr>
        <w:pStyle w:val="Heading1"/>
      </w:pPr>
      <w:bookmarkStart w:id="3" w:name="_Toc433291885"/>
      <w:bookmarkEnd w:id="1"/>
      <w:r>
        <w:lastRenderedPageBreak/>
        <w:t>Introduction</w:t>
      </w:r>
      <w:bookmarkEnd w:id="3"/>
      <w:r>
        <w:t xml:space="preserve"> </w:t>
      </w:r>
    </w:p>
    <w:p w:rsidR="002C37FB" w:rsidRDefault="005C6779" w:rsidP="000D39EA">
      <w:r>
        <w:t>T</w:t>
      </w:r>
      <w:r w:rsidR="00DC6AF7">
        <w:t>he A</w:t>
      </w:r>
      <w:r w:rsidR="0050566B">
        <w:t xml:space="preserve">ustralian </w:t>
      </w:r>
      <w:r w:rsidR="00DC6AF7">
        <w:t>E</w:t>
      </w:r>
      <w:r w:rsidR="0050566B">
        <w:t xml:space="preserve">nergy </w:t>
      </w:r>
      <w:r w:rsidR="00DC6AF7">
        <w:t>R</w:t>
      </w:r>
      <w:r w:rsidR="0050566B">
        <w:t>egulator (AER)</w:t>
      </w:r>
      <w:r w:rsidR="00DC6AF7">
        <w:t xml:space="preserve"> </w:t>
      </w:r>
      <w:r>
        <w:t xml:space="preserve">is </w:t>
      </w:r>
      <w:r w:rsidR="002C37FB">
        <w:t>responsible for the economic regulation of electricity transmission and distribution services in the National Electricity Market (NEM) as well as some gas transportation services. We also monitor compliance with, and are responsible for enforcement of the National Electricity Law</w:t>
      </w:r>
      <w:r w:rsidR="00F40AB8">
        <w:t>,</w:t>
      </w:r>
      <w:r w:rsidR="002C37FB">
        <w:t xml:space="preserve"> and National Gas Law</w:t>
      </w:r>
      <w:r w:rsidR="00F40AB8">
        <w:t>, National Electricity Rules and National Gas Rules</w:t>
      </w:r>
      <w:r w:rsidR="002C37FB">
        <w:t xml:space="preserve">. </w:t>
      </w:r>
    </w:p>
    <w:p w:rsidR="00B55B3A" w:rsidRDefault="0097237F" w:rsidP="000D39EA">
      <w:r w:rsidRPr="0097237F">
        <w:t>Every three years we are required to review the appropriateness of the cost thresholds</w:t>
      </w:r>
      <w:r>
        <w:t xml:space="preserve"> se</w:t>
      </w:r>
      <w:r w:rsidR="00B55B3A">
        <w:t>t out in chapter five of the National Electricity Rules (NER)</w:t>
      </w:r>
      <w:r>
        <w:t xml:space="preserve">. These cost thresholds </w:t>
      </w:r>
      <w:r w:rsidR="007D4714">
        <w:t xml:space="preserve">primarily </w:t>
      </w:r>
      <w:r>
        <w:t xml:space="preserve">provide </w:t>
      </w:r>
      <w:r w:rsidR="003B5F0D">
        <w:t xml:space="preserve">full or partial </w:t>
      </w:r>
      <w:r>
        <w:t>exemptions to network businesses from undertaking a cost benefit test known as the regulatory</w:t>
      </w:r>
      <w:r w:rsidR="00B55B3A">
        <w:t xml:space="preserve"> investment test (RIT) and the</w:t>
      </w:r>
      <w:r w:rsidR="003B5F0D">
        <w:t xml:space="preserve"> associated</w:t>
      </w:r>
      <w:r w:rsidR="00B55B3A">
        <w:t xml:space="preserve"> consultation procedures. </w:t>
      </w:r>
    </w:p>
    <w:p w:rsidR="0097237F" w:rsidRDefault="00B55B3A" w:rsidP="000D39EA">
      <w:r>
        <w:t>On 31 July 2015, in accordance with clause 5.15.3 of the NER, we initiated a</w:t>
      </w:r>
      <w:r w:rsidR="005A3F9A">
        <w:t xml:space="preserve"> review of the cost thresholds associated with the regulatory investment test for transmission (RIT-T) and regulatory investment test for distribution (RIT-D)</w:t>
      </w:r>
      <w:r w:rsidR="000803D2">
        <w:t xml:space="preserve"> (2015 cost thresholds review)</w:t>
      </w:r>
      <w:r w:rsidR="005A3F9A">
        <w:t>. This also includes cost thresholds used in the definition of replacement transmission network asset</w:t>
      </w:r>
      <w:r w:rsidR="00576438">
        <w:t xml:space="preserve">, the definition of </w:t>
      </w:r>
      <w:r w:rsidR="00B53C5C">
        <w:t xml:space="preserve">a </w:t>
      </w:r>
      <w:r w:rsidR="00576438">
        <w:t>potential transmission project</w:t>
      </w:r>
      <w:r w:rsidR="005A3F9A">
        <w:t xml:space="preserve"> and distribution annual planning reporting requirements for committed investments to address a refurbishment or replacement need or an urgent and unfor</w:t>
      </w:r>
      <w:r w:rsidR="001D3F6F">
        <w:t>e</w:t>
      </w:r>
      <w:r w:rsidR="005A3F9A">
        <w:t xml:space="preserve">seen network issue. </w:t>
      </w:r>
    </w:p>
    <w:p w:rsidR="000803D2" w:rsidRDefault="005A3F9A" w:rsidP="000D39EA">
      <w:r>
        <w:t xml:space="preserve">The RIT is a cost benefit test which network businesses </w:t>
      </w:r>
      <w:r w:rsidR="000803D2">
        <w:t xml:space="preserve">may be required to </w:t>
      </w:r>
      <w:r>
        <w:t xml:space="preserve">undertake when they have to augment their </w:t>
      </w:r>
      <w:r w:rsidR="008C77E2">
        <w:t>network to address an identified need</w:t>
      </w:r>
      <w:r>
        <w:t>. The RIT is known as the RIT-T in transmission and the RIT-D in distributio</w:t>
      </w:r>
      <w:r w:rsidR="003B5F0D">
        <w:t>n. The purpose of the RIT is to</w:t>
      </w:r>
      <w:r>
        <w:t xml:space="preserve"> identify the investment in the network which maximises the present value of the net economic benefit for all those who produce, consume and transport electricity in the </w:t>
      </w:r>
      <w:r w:rsidR="000803D2">
        <w:t xml:space="preserve">NEM. </w:t>
      </w:r>
    </w:p>
    <w:p w:rsidR="000803D2" w:rsidRDefault="00A171F9" w:rsidP="000D39EA">
      <w:r>
        <w:t xml:space="preserve">On 2 September 2015 we published our draft determination on the 2015 cost thresholds review. We received three submissions on the draft determination. </w:t>
      </w:r>
      <w:r w:rsidR="000803D2">
        <w:t>Consistent with the requirements of clause 5.15.3(</w:t>
      </w:r>
      <w:r>
        <w:t>j</w:t>
      </w:r>
      <w:r w:rsidR="000803D2">
        <w:t xml:space="preserve">), this document sets out our </w:t>
      </w:r>
      <w:r>
        <w:t xml:space="preserve">final </w:t>
      </w:r>
      <w:r w:rsidR="000803D2">
        <w:t xml:space="preserve">determination on the 2015 cost thresholds review.  </w:t>
      </w:r>
    </w:p>
    <w:p w:rsidR="00D65A82" w:rsidRDefault="00053D49" w:rsidP="006B7E14">
      <w:pPr>
        <w:pStyle w:val="Heading1"/>
      </w:pPr>
      <w:bookmarkStart w:id="4" w:name="_Toc433291886"/>
      <w:r>
        <w:lastRenderedPageBreak/>
        <w:t>Background</w:t>
      </w:r>
      <w:bookmarkEnd w:id="4"/>
      <w:r>
        <w:t xml:space="preserve"> </w:t>
      </w:r>
    </w:p>
    <w:p w:rsidR="00B07E9C" w:rsidRPr="00B07E9C" w:rsidRDefault="002C37FB" w:rsidP="00D65A82">
      <w:pPr>
        <w:pStyle w:val="Heading2"/>
      </w:pPr>
      <w:bookmarkStart w:id="5" w:name="_Toc433291887"/>
      <w:r>
        <w:t>Rules requirements</w:t>
      </w:r>
      <w:bookmarkEnd w:id="5"/>
      <w:r>
        <w:t xml:space="preserve"> </w:t>
      </w:r>
    </w:p>
    <w:p w:rsidR="00B07E9C" w:rsidRDefault="003C0035" w:rsidP="00B07E9C">
      <w:r>
        <w:t xml:space="preserve">Clause 5.15.3 of the NER states: </w:t>
      </w:r>
    </w:p>
    <w:p w:rsidR="003C0035" w:rsidRPr="003C0035" w:rsidRDefault="003C0035" w:rsidP="003C0035">
      <w:pPr>
        <w:rPr>
          <w:rStyle w:val="Strong"/>
        </w:rPr>
      </w:pPr>
      <w:r w:rsidRPr="003C0035">
        <w:rPr>
          <w:rStyle w:val="Strong"/>
        </w:rPr>
        <w:t xml:space="preserve">Regulatory investment test for transmission thresholds </w:t>
      </w:r>
    </w:p>
    <w:p w:rsidR="003C0035" w:rsidRPr="003C0035" w:rsidRDefault="003C0035" w:rsidP="003C0035">
      <w:pPr>
        <w:pStyle w:val="Listalphabet"/>
      </w:pPr>
      <w:r w:rsidRPr="003C0035">
        <w:t xml:space="preserve">Every 3 years the </w:t>
      </w:r>
      <w:r w:rsidRPr="00D65A82">
        <w:rPr>
          <w:rStyle w:val="Emphasis"/>
        </w:rPr>
        <w:t>AER</w:t>
      </w:r>
      <w:r w:rsidRPr="003C0035">
        <w:t xml:space="preserve"> must undertake a review of the changes in the input costs used to calculate the estimated capital costs in relation to: </w:t>
      </w:r>
    </w:p>
    <w:p w:rsidR="009E75A7" w:rsidRDefault="003C0035" w:rsidP="009E75A7">
      <w:pPr>
        <w:pStyle w:val="ListNumber2"/>
      </w:pPr>
      <w:r w:rsidRPr="003C0035">
        <w:t xml:space="preserve">replacement transmission network assets; and </w:t>
      </w:r>
    </w:p>
    <w:p w:rsidR="003C0035" w:rsidRDefault="003C0035" w:rsidP="009E75A7">
      <w:pPr>
        <w:pStyle w:val="ListNumber2"/>
      </w:pPr>
      <w:r w:rsidRPr="003C0035">
        <w:t xml:space="preserve">transmission investment as referred to in paragraphs (b)(2) to (6), </w:t>
      </w:r>
    </w:p>
    <w:p w:rsidR="003C0035" w:rsidRDefault="003C0035" w:rsidP="009E75A7">
      <w:pPr>
        <w:pStyle w:val="ListNumber3"/>
        <w:numPr>
          <w:ilvl w:val="0"/>
          <w:numId w:val="0"/>
        </w:numPr>
        <w:ind w:left="340"/>
      </w:pPr>
      <w:r w:rsidRPr="003C0035">
        <w:t xml:space="preserve">for the purposes of determining whether the cost thresholds specified in paragraph (b) need to be changed to maintain the appropriateness of the cost thresholds over time by adjusting those cost thresholds to reflect any increase or decrease in the input costs since: </w:t>
      </w:r>
    </w:p>
    <w:p w:rsidR="009E75A7" w:rsidRDefault="003C0035" w:rsidP="009E75A7">
      <w:pPr>
        <w:pStyle w:val="ListNumber2"/>
      </w:pPr>
      <w:r w:rsidRPr="003C0035">
        <w:t>July 2009 in respect of the first cost threshold review; and</w:t>
      </w:r>
    </w:p>
    <w:p w:rsidR="003C0035" w:rsidRDefault="003C0035" w:rsidP="009E75A7">
      <w:pPr>
        <w:pStyle w:val="ListNumber2"/>
      </w:pPr>
      <w:r w:rsidRPr="003C0035">
        <w:t>the date of the previous review in respect of every subsequent cost threshold review.</w:t>
      </w:r>
    </w:p>
    <w:p w:rsidR="003C0035" w:rsidRPr="003C0035" w:rsidRDefault="003C0035" w:rsidP="003C0035">
      <w:pPr>
        <w:pStyle w:val="Listalphabet"/>
      </w:pPr>
      <w:r w:rsidRPr="003C0035">
        <w:t xml:space="preserve">For the purposes of paragraph (a), the cost thresholds for review are the following amounts: </w:t>
      </w:r>
    </w:p>
    <w:p w:rsidR="009E75A7" w:rsidRDefault="003C0035" w:rsidP="009E75A7">
      <w:pPr>
        <w:pStyle w:val="ListNumber2"/>
        <w:numPr>
          <w:ilvl w:val="0"/>
          <w:numId w:val="39"/>
        </w:numPr>
      </w:pPr>
      <w:r w:rsidRPr="003C0035">
        <w:t xml:space="preserve">in excess of $5 million in relation to replacement transmission network assets; </w:t>
      </w:r>
    </w:p>
    <w:p w:rsidR="009E75A7" w:rsidRDefault="003C0035" w:rsidP="009E75A7">
      <w:pPr>
        <w:pStyle w:val="ListNumber2"/>
        <w:numPr>
          <w:ilvl w:val="0"/>
          <w:numId w:val="39"/>
        </w:numPr>
      </w:pPr>
      <w:r w:rsidRPr="003C0035">
        <w:t xml:space="preserve">of less than $5 million referred to in clause 5.16.3(a)(2); </w:t>
      </w:r>
    </w:p>
    <w:p w:rsidR="009E75A7" w:rsidRDefault="003C0035" w:rsidP="009E75A7">
      <w:pPr>
        <w:pStyle w:val="ListNumber2"/>
        <w:numPr>
          <w:ilvl w:val="0"/>
          <w:numId w:val="39"/>
        </w:numPr>
      </w:pPr>
      <w:r w:rsidRPr="003C0035">
        <w:t xml:space="preserve">of less than $5 million referred to in clause 5.16.3(a)(4); </w:t>
      </w:r>
    </w:p>
    <w:p w:rsidR="009E75A7" w:rsidRDefault="003C0035" w:rsidP="009E75A7">
      <w:pPr>
        <w:pStyle w:val="ListNumber2"/>
        <w:numPr>
          <w:ilvl w:val="0"/>
          <w:numId w:val="39"/>
        </w:numPr>
      </w:pPr>
      <w:r w:rsidRPr="003C0035">
        <w:t xml:space="preserve">of less than $5 million referred to in clause 5.16.3(a)(5); </w:t>
      </w:r>
    </w:p>
    <w:p w:rsidR="009E75A7" w:rsidRDefault="003C0035" w:rsidP="009E75A7">
      <w:pPr>
        <w:pStyle w:val="ListNumber2"/>
        <w:numPr>
          <w:ilvl w:val="0"/>
          <w:numId w:val="39"/>
        </w:numPr>
      </w:pPr>
      <w:r w:rsidRPr="003C0035">
        <w:t xml:space="preserve">of less than $35 million referred to in clause 5.16.4(z1)(1); and </w:t>
      </w:r>
    </w:p>
    <w:p w:rsidR="003C0035" w:rsidRDefault="003C0035" w:rsidP="009E75A7">
      <w:pPr>
        <w:pStyle w:val="ListNumber2"/>
        <w:numPr>
          <w:ilvl w:val="0"/>
          <w:numId w:val="39"/>
        </w:numPr>
      </w:pPr>
      <w:r w:rsidRPr="003C0035">
        <w:t>in excess of $5 million in relation to investment in transmission assets of the type referred to in the definition of potential transmission project in clause 5.10.2.</w:t>
      </w:r>
      <w:r w:rsidR="009E75A7">
        <w:t xml:space="preserve"> </w:t>
      </w:r>
    </w:p>
    <w:p w:rsidR="009E75A7" w:rsidRPr="009E75A7" w:rsidRDefault="009E75A7" w:rsidP="009E75A7">
      <w:pPr>
        <w:pStyle w:val="BodyText"/>
        <w:rPr>
          <w:rStyle w:val="Strong"/>
        </w:rPr>
      </w:pPr>
      <w:r w:rsidRPr="009E75A7">
        <w:rPr>
          <w:rStyle w:val="Strong"/>
        </w:rPr>
        <w:t xml:space="preserve">Regulatory investment test for distribution costs thresholds </w:t>
      </w:r>
    </w:p>
    <w:p w:rsidR="009E75A7" w:rsidRPr="009E75A7" w:rsidRDefault="009E75A7" w:rsidP="009E75A7">
      <w:pPr>
        <w:pStyle w:val="Listalphabet"/>
      </w:pPr>
      <w:r w:rsidRPr="009E75A7">
        <w:t xml:space="preserve">Subject to paragraph (f)(2), every 3 years, and at the same time as it undertakes its review of the cost thresholds for </w:t>
      </w:r>
      <w:r w:rsidRPr="00D65A82">
        <w:rPr>
          <w:rStyle w:val="Emphasis"/>
        </w:rPr>
        <w:t>regulatory investment test for transmission</w:t>
      </w:r>
      <w:r w:rsidRPr="009E75A7">
        <w:t xml:space="preserve"> under paragraph (a), the </w:t>
      </w:r>
      <w:r w:rsidRPr="00D65A82">
        <w:rPr>
          <w:rStyle w:val="Emphasis"/>
        </w:rPr>
        <w:t>AER</w:t>
      </w:r>
      <w:r w:rsidRPr="009E75A7">
        <w:t xml:space="preserve"> must undertake a review of the changes in the input costs used to calculate the estimated capital costs in relation to: </w:t>
      </w:r>
    </w:p>
    <w:p w:rsidR="009E75A7" w:rsidRPr="009E75A7" w:rsidRDefault="009E75A7" w:rsidP="009E75A7">
      <w:pPr>
        <w:pStyle w:val="ListNumber2"/>
        <w:numPr>
          <w:ilvl w:val="0"/>
          <w:numId w:val="40"/>
        </w:numPr>
      </w:pPr>
      <w:r w:rsidRPr="009E75A7">
        <w:t xml:space="preserve">projects subject to the </w:t>
      </w:r>
      <w:r w:rsidRPr="00D65A82">
        <w:rPr>
          <w:rStyle w:val="Emphasis"/>
        </w:rPr>
        <w:t>regulatory investment test for distribution</w:t>
      </w:r>
      <w:r w:rsidRPr="009E75A7">
        <w:t xml:space="preserve">; and </w:t>
      </w:r>
    </w:p>
    <w:p w:rsidR="009E75A7" w:rsidRPr="009E75A7" w:rsidRDefault="009E75A7" w:rsidP="009E75A7">
      <w:pPr>
        <w:pStyle w:val="ListNumber2"/>
      </w:pPr>
      <w:r w:rsidRPr="009E75A7">
        <w:t xml:space="preserve">the cost threshold for committed investments that are to address a refurbishment or replacement need, or an urgent and unforeseen </w:t>
      </w:r>
      <w:r w:rsidRPr="00D65A82">
        <w:rPr>
          <w:rStyle w:val="Emphasis"/>
        </w:rPr>
        <w:t xml:space="preserve">network </w:t>
      </w:r>
      <w:r w:rsidRPr="009E75A7">
        <w:t xml:space="preserve">need subject to the </w:t>
      </w:r>
      <w:r w:rsidRPr="00D65A82">
        <w:rPr>
          <w:rStyle w:val="Emphasis"/>
        </w:rPr>
        <w:t>Distribution Annual Planning Report</w:t>
      </w:r>
      <w:r w:rsidRPr="009E75A7">
        <w:t xml:space="preserve">, </w:t>
      </w:r>
    </w:p>
    <w:p w:rsidR="009E75A7" w:rsidRDefault="009E75A7" w:rsidP="009E75A7">
      <w:pPr>
        <w:pStyle w:val="ListNumber3"/>
        <w:numPr>
          <w:ilvl w:val="0"/>
          <w:numId w:val="0"/>
        </w:numPr>
        <w:ind w:left="340"/>
      </w:pPr>
      <w:r w:rsidRPr="009E75A7">
        <w:t xml:space="preserve">for the purposes of determining whether the costs thresholds specified in paragraph (d) need to be changed to maintain the appropriateness of the cost thresholds over time by </w:t>
      </w:r>
      <w:r w:rsidRPr="009E75A7">
        <w:lastRenderedPageBreak/>
        <w:t>adjusting those cost thresholds to reflect any increase or decrease in the input costs since:</w:t>
      </w:r>
    </w:p>
    <w:p w:rsidR="009E75A7" w:rsidRDefault="009E75A7" w:rsidP="009E75A7">
      <w:pPr>
        <w:pStyle w:val="ListNumber2"/>
      </w:pPr>
      <w:r w:rsidRPr="009E75A7">
        <w:t>1 January 2013 in respect of the f</w:t>
      </w:r>
      <w:r>
        <w:t>irst cost threshold review; and</w:t>
      </w:r>
    </w:p>
    <w:p w:rsidR="009E75A7" w:rsidRPr="009E75A7" w:rsidRDefault="009E75A7" w:rsidP="009E75A7">
      <w:pPr>
        <w:pStyle w:val="ListNumber2"/>
      </w:pPr>
      <w:r w:rsidRPr="009E75A7">
        <w:t xml:space="preserve">the date of the previous review in respect of every subsequent cost threshold review. </w:t>
      </w:r>
    </w:p>
    <w:p w:rsidR="009E75A7" w:rsidRDefault="009E75A7" w:rsidP="009E75A7">
      <w:pPr>
        <w:pStyle w:val="Listalphabet"/>
      </w:pPr>
      <w:r w:rsidRPr="009E75A7">
        <w:t>For the purposes of paragraph (c), the cost thresholds for review are the following amounts:</w:t>
      </w:r>
    </w:p>
    <w:p w:rsidR="009E75A7" w:rsidRDefault="009E75A7" w:rsidP="009E75A7">
      <w:pPr>
        <w:pStyle w:val="ListNumber2"/>
        <w:numPr>
          <w:ilvl w:val="0"/>
          <w:numId w:val="42"/>
        </w:numPr>
      </w:pPr>
      <w:r w:rsidRPr="009E75A7">
        <w:t xml:space="preserve">$5 million referred to in clause 5.17.3(a)(2); </w:t>
      </w:r>
    </w:p>
    <w:p w:rsidR="009E75A7" w:rsidRDefault="009E75A7" w:rsidP="009E75A7">
      <w:pPr>
        <w:pStyle w:val="ListNumber2"/>
        <w:numPr>
          <w:ilvl w:val="0"/>
          <w:numId w:val="42"/>
        </w:numPr>
      </w:pPr>
      <w:r w:rsidRPr="009E75A7">
        <w:t xml:space="preserve">$5 million referred to in clause 5.17.3(a)(6); </w:t>
      </w:r>
    </w:p>
    <w:p w:rsidR="009E75A7" w:rsidRDefault="009E75A7" w:rsidP="009E75A7">
      <w:pPr>
        <w:pStyle w:val="ListNumber2"/>
        <w:numPr>
          <w:ilvl w:val="0"/>
          <w:numId w:val="42"/>
        </w:numPr>
      </w:pPr>
      <w:r w:rsidRPr="009E75A7">
        <w:t xml:space="preserve">$10 million referred to in clause 5.17.4(n)(2); </w:t>
      </w:r>
    </w:p>
    <w:p w:rsidR="009E75A7" w:rsidRDefault="009E75A7" w:rsidP="009E75A7">
      <w:pPr>
        <w:pStyle w:val="ListNumber2"/>
        <w:numPr>
          <w:ilvl w:val="0"/>
          <w:numId w:val="42"/>
        </w:numPr>
      </w:pPr>
      <w:r w:rsidRPr="009E75A7">
        <w:t>$20 million referred to in clause 5.17.4(s);</w:t>
      </w:r>
    </w:p>
    <w:p w:rsidR="009E75A7" w:rsidRDefault="009E75A7" w:rsidP="009E75A7">
      <w:pPr>
        <w:pStyle w:val="ListNumber2"/>
        <w:numPr>
          <w:ilvl w:val="0"/>
          <w:numId w:val="42"/>
        </w:numPr>
      </w:pPr>
      <w:r>
        <w:t xml:space="preserve">$2 million referred in S5.8(g). </w:t>
      </w:r>
    </w:p>
    <w:p w:rsidR="009E75A7" w:rsidRDefault="009E75A7" w:rsidP="009E75A7">
      <w:pPr>
        <w:pStyle w:val="BodyText"/>
        <w:rPr>
          <w:rStyle w:val="Strong"/>
        </w:rPr>
      </w:pPr>
      <w:r>
        <w:rPr>
          <w:rStyle w:val="Strong"/>
        </w:rPr>
        <w:t xml:space="preserve">Cost threshold reviews </w:t>
      </w:r>
    </w:p>
    <w:p w:rsidR="009E75A7" w:rsidRPr="009E75A7" w:rsidRDefault="009E75A7" w:rsidP="009E75A7">
      <w:pPr>
        <w:pStyle w:val="Listalphabet"/>
      </w:pPr>
      <w:r w:rsidRPr="009E75A7">
        <w:t xml:space="preserve">Each cost threshold review is to be commenced by the </w:t>
      </w:r>
      <w:r w:rsidRPr="00D65A82">
        <w:rPr>
          <w:rStyle w:val="Emphasis"/>
        </w:rPr>
        <w:t>AER</w:t>
      </w:r>
      <w:r w:rsidRPr="009E75A7">
        <w:t xml:space="preserve"> by 31 July of the relevant year. </w:t>
      </w:r>
    </w:p>
    <w:p w:rsidR="009E75A7" w:rsidRPr="009E75A7" w:rsidRDefault="009E75A7" w:rsidP="009E75A7">
      <w:pPr>
        <w:pStyle w:val="Listalphabet"/>
      </w:pPr>
      <w:r w:rsidRPr="009E75A7">
        <w:t>The first rev</w:t>
      </w:r>
      <w:r>
        <w:t>iew of the cost thresholds for</w:t>
      </w:r>
      <w:r w:rsidRPr="009E75A7">
        <w:t xml:space="preserve">: </w:t>
      </w:r>
    </w:p>
    <w:p w:rsidR="009E75A7" w:rsidRDefault="009E75A7" w:rsidP="009E75A7">
      <w:pPr>
        <w:pStyle w:val="ListNumber2"/>
        <w:numPr>
          <w:ilvl w:val="0"/>
          <w:numId w:val="43"/>
        </w:numPr>
      </w:pPr>
      <w:r w:rsidRPr="009E75A7">
        <w:t xml:space="preserve">the </w:t>
      </w:r>
      <w:r w:rsidRPr="00D65A82">
        <w:rPr>
          <w:rStyle w:val="Emphasis"/>
        </w:rPr>
        <w:t xml:space="preserve">regulatory investment test for transmission </w:t>
      </w:r>
      <w:r w:rsidRPr="009E75A7">
        <w:t>under paragraph (a) must be initiated in 2012; a</w:t>
      </w:r>
      <w:r>
        <w:t>nd</w:t>
      </w:r>
    </w:p>
    <w:p w:rsidR="009E75A7" w:rsidRPr="009E75A7" w:rsidRDefault="009E75A7" w:rsidP="009E75A7">
      <w:pPr>
        <w:pStyle w:val="ListNumber2"/>
        <w:numPr>
          <w:ilvl w:val="0"/>
          <w:numId w:val="43"/>
        </w:numPr>
      </w:pPr>
      <w:r w:rsidRPr="009E75A7">
        <w:t xml:space="preserve">the </w:t>
      </w:r>
      <w:r w:rsidRPr="00D65A82">
        <w:rPr>
          <w:rStyle w:val="Emphasis"/>
        </w:rPr>
        <w:t>regulatory investment test for distribution</w:t>
      </w:r>
      <w:r w:rsidRPr="009E75A7">
        <w:t xml:space="preserve"> under paragraph (c) must be initiated in 2015. </w:t>
      </w:r>
    </w:p>
    <w:p w:rsidR="009E75A7" w:rsidRPr="009E75A7" w:rsidRDefault="009E75A7" w:rsidP="009E75A7">
      <w:pPr>
        <w:pStyle w:val="Listalphabet"/>
      </w:pPr>
      <w:r w:rsidRPr="009E75A7">
        <w:t xml:space="preserve">Within six weeks following the commencement of a cost threshold review, the </w:t>
      </w:r>
      <w:r w:rsidRPr="00D65A82">
        <w:rPr>
          <w:rStyle w:val="Emphasis"/>
        </w:rPr>
        <w:t>AER</w:t>
      </w:r>
      <w:r w:rsidRPr="009E75A7">
        <w:t xml:space="preserve"> must </w:t>
      </w:r>
      <w:r w:rsidRPr="00D65A82">
        <w:rPr>
          <w:rStyle w:val="Emphasis"/>
        </w:rPr>
        <w:t>publish</w:t>
      </w:r>
      <w:r w:rsidRPr="009E75A7">
        <w:t xml:space="preserve"> a draft determination outlining: </w:t>
      </w:r>
    </w:p>
    <w:p w:rsidR="00D65A82" w:rsidRPr="00D65A82" w:rsidRDefault="009E75A7" w:rsidP="00D65A82">
      <w:pPr>
        <w:pStyle w:val="ListNumber2"/>
        <w:numPr>
          <w:ilvl w:val="0"/>
          <w:numId w:val="44"/>
        </w:numPr>
        <w:rPr>
          <w:b/>
          <w:bCs/>
        </w:rPr>
      </w:pPr>
      <w:r w:rsidRPr="009E75A7">
        <w:t xml:space="preserve">whether the </w:t>
      </w:r>
      <w:r w:rsidRPr="00D65A82">
        <w:rPr>
          <w:rStyle w:val="Emphasis"/>
        </w:rPr>
        <w:t>AER</w:t>
      </w:r>
      <w:r w:rsidRPr="009E75A7">
        <w:t xml:space="preserve"> has formed the view that any of the cost thresholds need to be amended to reflect increases or decreases in the input costs to ensure that the appropriateness of the cost thresholds is maintained over time;</w:t>
      </w:r>
    </w:p>
    <w:p w:rsidR="00D65A82" w:rsidRPr="00D65A82" w:rsidRDefault="00D65A82" w:rsidP="00D65A82">
      <w:pPr>
        <w:pStyle w:val="ListNumber2"/>
        <w:numPr>
          <w:ilvl w:val="0"/>
          <w:numId w:val="44"/>
        </w:numPr>
        <w:rPr>
          <w:b/>
          <w:bCs/>
        </w:rPr>
      </w:pPr>
      <w:r w:rsidRPr="00D65A82">
        <w:t xml:space="preserve">its reasons for determining whether the cost thresholds need to be varied to reflect increases or decreases in the input costs; </w:t>
      </w:r>
    </w:p>
    <w:p w:rsidR="00D65A82" w:rsidRPr="00D65A82" w:rsidRDefault="00D65A82" w:rsidP="00D65A82">
      <w:pPr>
        <w:pStyle w:val="ListNumber2"/>
        <w:numPr>
          <w:ilvl w:val="0"/>
          <w:numId w:val="44"/>
        </w:numPr>
        <w:rPr>
          <w:b/>
          <w:bCs/>
        </w:rPr>
      </w:pPr>
      <w:r w:rsidRPr="00D65A82">
        <w:t xml:space="preserve">if there is to be a variation in a cost threshold, the amount of the new cost threshold and the date the new cost threshold will take effect; and </w:t>
      </w:r>
    </w:p>
    <w:p w:rsidR="00D65A82" w:rsidRPr="00D65A82" w:rsidRDefault="00D65A82" w:rsidP="00D65A82">
      <w:pPr>
        <w:pStyle w:val="ListNumber2"/>
        <w:numPr>
          <w:ilvl w:val="0"/>
          <w:numId w:val="44"/>
        </w:numPr>
        <w:rPr>
          <w:b/>
          <w:bCs/>
        </w:rPr>
      </w:pPr>
      <w:r w:rsidRPr="00D65A82">
        <w:t xml:space="preserve">its reasons for determining the amount of the new cost threshold. </w:t>
      </w:r>
    </w:p>
    <w:p w:rsidR="00D65A82" w:rsidRPr="00D65A82" w:rsidRDefault="00D65A82" w:rsidP="00D65A82">
      <w:pPr>
        <w:pStyle w:val="Listalphabet"/>
      </w:pPr>
      <w:r w:rsidRPr="00D65A82">
        <w:t xml:space="preserve">At the same time as it </w:t>
      </w:r>
      <w:r w:rsidRPr="00D65A82">
        <w:rPr>
          <w:rStyle w:val="Emphasis"/>
        </w:rPr>
        <w:t>publishes</w:t>
      </w:r>
      <w:r w:rsidRPr="00D65A82">
        <w:t xml:space="preserve"> the draft determination under paragraph (f), the AER must </w:t>
      </w:r>
      <w:r w:rsidRPr="00D65A82">
        <w:rPr>
          <w:rStyle w:val="Emphasis"/>
        </w:rPr>
        <w:t>publish</w:t>
      </w:r>
      <w:r w:rsidRPr="00D65A82">
        <w:t xml:space="preserve"> a notice seeking submissions on the draft determination. The notice must specify the period within which written submissions can be made (the cost threshold consultation period) which must be no less than 5 weeks from the date of the notice. </w:t>
      </w:r>
    </w:p>
    <w:p w:rsidR="00D65A82" w:rsidRPr="00D65A82" w:rsidRDefault="00D65A82" w:rsidP="00D65A82">
      <w:pPr>
        <w:pStyle w:val="Listalphabet"/>
        <w:rPr>
          <w:b/>
          <w:bCs/>
        </w:rPr>
      </w:pPr>
      <w:r w:rsidRPr="00D65A82">
        <w:t xml:space="preserve">The </w:t>
      </w:r>
      <w:r w:rsidRPr="00D65A82">
        <w:rPr>
          <w:rStyle w:val="Emphasis"/>
        </w:rPr>
        <w:t>AER</w:t>
      </w:r>
      <w:r w:rsidRPr="00D65A82">
        <w:t xml:space="preserve"> must consider any written submissions received during the cost threshold consultation period in making its final determination in respect of the matters outlined in paragraph (g).</w:t>
      </w:r>
    </w:p>
    <w:p w:rsidR="00D65A82" w:rsidRPr="00D65A82" w:rsidRDefault="00D65A82" w:rsidP="00D65A82">
      <w:pPr>
        <w:pStyle w:val="Listalphabet"/>
        <w:rPr>
          <w:b/>
          <w:bCs/>
        </w:rPr>
      </w:pPr>
      <w:r>
        <w:lastRenderedPageBreak/>
        <w:t xml:space="preserve">The final determination on cost thresholds must be made and </w:t>
      </w:r>
      <w:r w:rsidRPr="00D65A82">
        <w:rPr>
          <w:rStyle w:val="Emphasis"/>
        </w:rPr>
        <w:t>published</w:t>
      </w:r>
      <w:r>
        <w:t xml:space="preserve"> by the </w:t>
      </w:r>
      <w:r w:rsidRPr="00D65A82">
        <w:rPr>
          <w:rStyle w:val="Emphasis"/>
        </w:rPr>
        <w:t>AER</w:t>
      </w:r>
      <w:r>
        <w:t xml:space="preserve"> within 5 weeks following the end of the cost threshold consultation period </w:t>
      </w:r>
    </w:p>
    <w:p w:rsidR="00D65A82" w:rsidRPr="009E75A7" w:rsidRDefault="00D65A82" w:rsidP="00D65A82">
      <w:pPr>
        <w:pStyle w:val="Listalphabet"/>
        <w:rPr>
          <w:rStyle w:val="Strong"/>
        </w:rPr>
      </w:pPr>
      <w:r>
        <w:t xml:space="preserve">The </w:t>
      </w:r>
      <w:r w:rsidRPr="00D65A82">
        <w:rPr>
          <w:rStyle w:val="Emphasis"/>
        </w:rPr>
        <w:t>AER</w:t>
      </w:r>
      <w:r>
        <w:t xml:space="preserve"> may </w:t>
      </w:r>
      <w:r w:rsidRPr="00D65A82">
        <w:rPr>
          <w:rStyle w:val="Emphasis"/>
        </w:rPr>
        <w:t>publish</w:t>
      </w:r>
      <w:r>
        <w:t xml:space="preserve"> a draft determination under paragraph (g), a notice under paragraph (h), or a final determination under paragraph (j) for any cost threshold reviews under paragraphs (a) and (c) as a single document. </w:t>
      </w:r>
    </w:p>
    <w:p w:rsidR="00053D49" w:rsidRDefault="00053D49" w:rsidP="00053D49">
      <w:pPr>
        <w:pStyle w:val="Heading2"/>
      </w:pPr>
      <w:bookmarkStart w:id="6" w:name="_Toc433291888"/>
      <w:r>
        <w:t>2012 cost thresholds review</w:t>
      </w:r>
      <w:bookmarkEnd w:id="6"/>
      <w:r>
        <w:t xml:space="preserve"> </w:t>
      </w:r>
    </w:p>
    <w:p w:rsidR="004A6B81" w:rsidRDefault="00312C7B" w:rsidP="004A6B81">
      <w:r>
        <w:t>In 2012 the AER undertook the first cost thresholds review for the RIT-T in accordance with the requirements set out in old clause 5.6.5E (now renumbered as clause 5.13.5) of the NER (</w:t>
      </w:r>
      <w:hyperlink r:id="rId12" w:history="1">
        <w:r w:rsidRPr="007C32EC">
          <w:rPr>
            <w:rStyle w:val="Hyperlink"/>
          </w:rPr>
          <w:t>2012 cost thresholds review</w:t>
        </w:r>
      </w:hyperlink>
      <w:r>
        <w:t xml:space="preserve">). The cost thresholds review did not include a review of the thresholds associated with the RIT-D as those requirements </w:t>
      </w:r>
      <w:r w:rsidR="00AA3CA7">
        <w:t>had not yet been introduced in</w:t>
      </w:r>
      <w:r>
        <w:t xml:space="preserve"> the NER. </w:t>
      </w:r>
    </w:p>
    <w:p w:rsidR="004B7746" w:rsidDel="004F7B38" w:rsidRDefault="00312C7B" w:rsidP="004A6B81">
      <w:r w:rsidDel="004F7B38">
        <w:t>In the 2012 cost thre</w:t>
      </w:r>
      <w:r w:rsidR="004B7746" w:rsidDel="004F7B38">
        <w:t xml:space="preserve">sholds review, </w:t>
      </w:r>
      <w:r w:rsidR="00932664" w:rsidDel="004F7B38">
        <w:t xml:space="preserve">we </w:t>
      </w:r>
      <w:r w:rsidR="00CA6300" w:rsidDel="004F7B38">
        <w:t>considered that rather than be preci</w:t>
      </w:r>
      <w:r w:rsidR="000139BA" w:rsidDel="004F7B38">
        <w:t>se, it was appropriate to use available indexes as a</w:t>
      </w:r>
      <w:r w:rsidR="00B53C5C" w:rsidDel="004F7B38">
        <w:t>n approximate</w:t>
      </w:r>
      <w:r w:rsidR="000139BA" w:rsidDel="004F7B38">
        <w:t xml:space="preserve"> guide </w:t>
      </w:r>
      <w:r w:rsidR="00AA3CA7" w:rsidDel="004F7B38">
        <w:t>to ascertain</w:t>
      </w:r>
      <w:r w:rsidR="000139BA" w:rsidDel="004F7B38">
        <w:t xml:space="preserve"> </w:t>
      </w:r>
      <w:r w:rsidR="00AA3CA7" w:rsidDel="004F7B38">
        <w:t xml:space="preserve">the </w:t>
      </w:r>
      <w:r w:rsidR="000139BA" w:rsidDel="004F7B38">
        <w:t xml:space="preserve">range of cost </w:t>
      </w:r>
      <w:r w:rsidR="00B53C5C" w:rsidDel="004F7B38">
        <w:t xml:space="preserve">variations </w:t>
      </w:r>
      <w:r w:rsidR="000139BA" w:rsidDel="004F7B38">
        <w:t>and make a determination on the change in input costs. Thus, w</w:t>
      </w:r>
      <w:r w:rsidR="004B7746" w:rsidDel="004F7B38">
        <w:t xml:space="preserve">e examined a range of industry and broader economy wide indexes to determine whether any of the cost thresholds </w:t>
      </w:r>
      <w:r w:rsidR="003903E7" w:rsidDel="004F7B38">
        <w:t xml:space="preserve">set out in old clause 5.6.5E(a) (now renumbered as clause 5.13.5(b)) </w:t>
      </w:r>
      <w:r w:rsidR="004B7746" w:rsidDel="004F7B38">
        <w:t>needed to be amended to reflect increases or decreases in input costs</w:t>
      </w:r>
      <w:r w:rsidR="003903E7" w:rsidDel="004F7B38">
        <w:t xml:space="preserve"> since the introduction of the RIT-T in </w:t>
      </w:r>
      <w:r w:rsidR="00576438" w:rsidDel="004F7B38">
        <w:t xml:space="preserve">June </w:t>
      </w:r>
      <w:r w:rsidR="003903E7" w:rsidDel="004F7B38">
        <w:t>2009</w:t>
      </w:r>
      <w:r w:rsidR="004B7746" w:rsidDel="004F7B38">
        <w:t xml:space="preserve">. </w:t>
      </w:r>
      <w:r w:rsidR="00CA6300" w:rsidDel="004F7B38">
        <w:t xml:space="preserve"> </w:t>
      </w:r>
      <w:r w:rsidR="004B7746" w:rsidDel="004F7B38">
        <w:t xml:space="preserve">We considered that it was appropriate to give greater weight to broader economy wide indexes as they are arguably good measures of overall price movements across the entire economy, are commonly used and understood, and in the absence of precise measures provide a reasonable proxy for changes in input costs over the period. </w:t>
      </w:r>
    </w:p>
    <w:p w:rsidR="004B7746" w:rsidDel="004F7B38" w:rsidRDefault="004B7746" w:rsidP="004A6B81">
      <w:r w:rsidDel="004F7B38">
        <w:t>This approach was favoured over a more full scale review of precise changes in transmission network project costs given the regulatory burden it would impose on both network business</w:t>
      </w:r>
      <w:r w:rsidR="00FB628F">
        <w:t>es</w:t>
      </w:r>
      <w:r w:rsidDel="004F7B38">
        <w:t xml:space="preserve"> and the regulator.</w:t>
      </w:r>
    </w:p>
    <w:p w:rsidR="00AE4793" w:rsidDel="004F7B38" w:rsidRDefault="004B7746" w:rsidP="004A6B81">
      <w:r w:rsidDel="004F7B38">
        <w:t xml:space="preserve">Following an examination of a range of broader economy wide indexes and </w:t>
      </w:r>
      <w:r w:rsidR="00AA3CA7" w:rsidDel="004F7B38">
        <w:t xml:space="preserve">some </w:t>
      </w:r>
      <w:r w:rsidDel="004F7B38">
        <w:t>industry indexes, we considered that capital inpu</w:t>
      </w:r>
      <w:r w:rsidR="003903E7" w:rsidDel="004F7B38">
        <w:t xml:space="preserve">t costs had likely increased by approximately 10 per cent. Given this, we considered that the cost thresholds should be increased to account for the change in input costs. For administrative simplicity, we considered that changes should be rounded to the nearest million and that unless it was inappropriate, where the increase in input costs resulted in a pre-rounded variation figure of approximately halfway between two rounded figures (i.e. </w:t>
      </w:r>
      <w:r w:rsidR="00AE4793" w:rsidDel="004F7B38">
        <w:t>$</w:t>
      </w:r>
      <w:r w:rsidR="003903E7" w:rsidDel="004F7B38">
        <w:t>1.5 million</w:t>
      </w:r>
      <w:r w:rsidR="00AE4793" w:rsidDel="004F7B38">
        <w:t>), then the cost threshold should be rounded down rather than up.</w:t>
      </w:r>
      <w:r w:rsidR="00CA3AFD">
        <w:t xml:space="preserve"> We considered that this approach to rounding reflected</w:t>
      </w:r>
      <w:r w:rsidR="00573AD6">
        <w:t xml:space="preserve"> the importance of the RIT-T </w:t>
      </w:r>
      <w:r w:rsidR="00CA3AFD" w:rsidRPr="00CA3AFD">
        <w:t>in ensuring transparency and competitive neutrality vis-a-vis non-network options.</w:t>
      </w:r>
    </w:p>
    <w:p w:rsidR="00771622" w:rsidRDefault="003E2D90" w:rsidP="004A6B81">
      <w:r>
        <w:t>W</w:t>
      </w:r>
      <w:r w:rsidR="00AE4793">
        <w:t xml:space="preserve">e </w:t>
      </w:r>
      <w:r w:rsidR="00881C99">
        <w:t>decided</w:t>
      </w:r>
      <w:r w:rsidR="00AE4793">
        <w:t xml:space="preserve"> that</w:t>
      </w:r>
      <w:r w:rsidR="00A21166">
        <w:t xml:space="preserve"> the cost thresholds should be increased to reflect the 10 per cent change in </w:t>
      </w:r>
      <w:r w:rsidR="004F7B38">
        <w:t xml:space="preserve">capital </w:t>
      </w:r>
      <w:r w:rsidR="00A21166">
        <w:t>input costs. On this basis</w:t>
      </w:r>
      <w:r w:rsidR="00AE4793">
        <w:t>:</w:t>
      </w:r>
      <w:r w:rsidR="003903E7">
        <w:t xml:space="preserve"> </w:t>
      </w:r>
    </w:p>
    <w:p w:rsidR="00A21166" w:rsidRDefault="00881C99" w:rsidP="00A21166">
      <w:pPr>
        <w:pStyle w:val="Bulletpoint"/>
      </w:pPr>
      <w:r>
        <w:t>the $5 million cost thresholds referred to in old clauses 5.6.5C(a)(2),(4) and (5) (now renumbered as clauses 5.16.3(a)(2),(4) an</w:t>
      </w:r>
      <w:r w:rsidR="008F7AD5">
        <w:t>d (5)), in relation to replacement transmission network assets and in relation to transmission investment as referred to in the definition of new network investment (now know</w:t>
      </w:r>
      <w:r w:rsidR="00372646">
        <w:t>n as investment in transmission assets of the type referred to in the definition of potential transmission project in clause 5.10.2</w:t>
      </w:r>
      <w:r w:rsidR="00A21166">
        <w:t xml:space="preserve">) would move to $5.5 million. However, given the approach taken to rounding these cost thresholds would be rounded down and remain unchanged at $5 million. </w:t>
      </w:r>
    </w:p>
    <w:p w:rsidR="00A21166" w:rsidRDefault="00A21166" w:rsidP="00881C99">
      <w:pPr>
        <w:pStyle w:val="Bulletpoint"/>
      </w:pPr>
      <w:r>
        <w:lastRenderedPageBreak/>
        <w:t xml:space="preserve">the $35 million cost threshold referred to in old clause 5.6.6(y) (now renumbered as clause 5.16.4(z1)(1)) would move to $38.5 million. Given the proposed approach to rounding, the cost threshold would be rounded down to $38 million.   </w:t>
      </w:r>
    </w:p>
    <w:p w:rsidR="00312C7B" w:rsidRDefault="00932664" w:rsidP="00A21166">
      <w:pPr>
        <w:pStyle w:val="BodyText"/>
      </w:pPr>
      <w:r>
        <w:t>At the time, w</w:t>
      </w:r>
      <w:r w:rsidR="00636732">
        <w:t>e noted that</w:t>
      </w:r>
      <w:r w:rsidR="00A21166">
        <w:t xml:space="preserve"> when the next cost thresholds </w:t>
      </w:r>
      <w:r>
        <w:t xml:space="preserve">review </w:t>
      </w:r>
      <w:r w:rsidR="00A21166">
        <w:t>take</w:t>
      </w:r>
      <w:r>
        <w:t>s</w:t>
      </w:r>
      <w:r w:rsidR="00A21166">
        <w:t xml:space="preserve"> place we will consider changes to the cost thresholds using the un-rounded cost threshold figures of $5.5 million and </w:t>
      </w:r>
      <w:r w:rsidR="00636732">
        <w:t xml:space="preserve">$38.5 million as a starting point rather than the rounded cost thresholds. </w:t>
      </w:r>
      <w:r w:rsidR="008F7AD5">
        <w:t xml:space="preserve"> </w:t>
      </w:r>
    </w:p>
    <w:p w:rsidR="0020492C" w:rsidRDefault="00A171F9" w:rsidP="00562632">
      <w:pPr>
        <w:pStyle w:val="Heading1"/>
      </w:pPr>
      <w:bookmarkStart w:id="7" w:name="_Toc420588823"/>
      <w:bookmarkStart w:id="8" w:name="_Toc420588824"/>
      <w:bookmarkStart w:id="9" w:name="_Toc420588838"/>
      <w:bookmarkStart w:id="10" w:name="_Toc433291889"/>
      <w:bookmarkEnd w:id="7"/>
      <w:bookmarkEnd w:id="8"/>
      <w:bookmarkEnd w:id="9"/>
      <w:r>
        <w:lastRenderedPageBreak/>
        <w:t>Final determination</w:t>
      </w:r>
      <w:bookmarkEnd w:id="10"/>
      <w:r>
        <w:t xml:space="preserve"> </w:t>
      </w:r>
      <w:r w:rsidR="00636732">
        <w:t xml:space="preserve"> </w:t>
      </w:r>
    </w:p>
    <w:p w:rsidR="00636732" w:rsidRDefault="00636732" w:rsidP="0020492C">
      <w:r>
        <w:t>Consistent with the requirements of clause 5.15.3(</w:t>
      </w:r>
      <w:r w:rsidR="00A171F9">
        <w:t>j</w:t>
      </w:r>
      <w:r>
        <w:t xml:space="preserve">), this section sets out our </w:t>
      </w:r>
      <w:r w:rsidR="007B5D15">
        <w:t xml:space="preserve">final </w:t>
      </w:r>
      <w:r>
        <w:t xml:space="preserve">determination on the 2015 cost thresholds. </w:t>
      </w:r>
    </w:p>
    <w:p w:rsidR="00A171F9" w:rsidRDefault="00A171F9">
      <w:pPr>
        <w:pStyle w:val="Heading2"/>
      </w:pPr>
      <w:bookmarkStart w:id="11" w:name="_Toc433291890"/>
      <w:r>
        <w:t>Draft determination</w:t>
      </w:r>
      <w:bookmarkEnd w:id="11"/>
      <w:r>
        <w:t xml:space="preserve"> </w:t>
      </w:r>
    </w:p>
    <w:p w:rsidR="007B5D15" w:rsidRDefault="007B5D15" w:rsidP="00140B21">
      <w:r>
        <w:t xml:space="preserve">On 2 September 2015 we published our draft determination on the 2015 cost thresholds review. </w:t>
      </w:r>
    </w:p>
    <w:p w:rsidR="007B5D15" w:rsidRDefault="007B5D15" w:rsidP="00140B21">
      <w:r>
        <w:t xml:space="preserve">The draft determination </w:t>
      </w:r>
      <w:r w:rsidR="0007033E">
        <w:t xml:space="preserve">used the same methodology </w:t>
      </w:r>
      <w:r>
        <w:t>as in the 2012 cost thresholds review</w:t>
      </w:r>
      <w:r w:rsidR="00050290">
        <w:t xml:space="preserve">, for both the RIT-T and RIT-D cost thresholds, </w:t>
      </w:r>
      <w:r>
        <w:t>to assess whether there has been a change in input costs</w:t>
      </w:r>
      <w:r w:rsidR="0007033E">
        <w:t xml:space="preserve"> and make adjustments to the cost thresholds to reflect those changes</w:t>
      </w:r>
      <w:r w:rsidR="00C44FF1">
        <w:t xml:space="preserve">. </w:t>
      </w:r>
      <w:r>
        <w:t>Further</w:t>
      </w:r>
      <w:r w:rsidR="00C44FF1">
        <w:t>, as</w:t>
      </w:r>
      <w:r>
        <w:t xml:space="preserve"> changes in capital input costs for both transmission and distribution</w:t>
      </w:r>
      <w:r w:rsidR="00CB039A">
        <w:t xml:space="preserve"> </w:t>
      </w:r>
      <w:r w:rsidR="00050290">
        <w:t>projects</w:t>
      </w:r>
      <w:r w:rsidR="00CB039A">
        <w:rPr>
          <w:rStyle w:val="FootnoteReference"/>
        </w:rPr>
        <w:footnoteReference w:id="2"/>
      </w:r>
      <w:r>
        <w:t xml:space="preserve"> </w:t>
      </w:r>
      <w:r w:rsidR="00C44FF1">
        <w:t>were considered</w:t>
      </w:r>
      <w:r>
        <w:t xml:space="preserve"> sufficiently similar</w:t>
      </w:r>
      <w:r w:rsidR="00C44FF1">
        <w:t xml:space="preserve">, the same indexes were used </w:t>
      </w:r>
      <w:r w:rsidR="003767D0">
        <w:t xml:space="preserve">for </w:t>
      </w:r>
      <w:r w:rsidR="005D6EAD">
        <w:t xml:space="preserve">both </w:t>
      </w:r>
      <w:r w:rsidR="003767D0">
        <w:t xml:space="preserve">the review of </w:t>
      </w:r>
      <w:r w:rsidR="00A9700A">
        <w:t>both transmission capital input costs and distribution capital input costs</w:t>
      </w:r>
      <w:r w:rsidR="003767D0">
        <w:t xml:space="preserve">. </w:t>
      </w:r>
    </w:p>
    <w:p w:rsidR="007B5D15" w:rsidRDefault="007B5D15" w:rsidP="00140B21">
      <w:r>
        <w:t xml:space="preserve">We considered the range of indexes listed in </w:t>
      </w:r>
      <w:r w:rsidRPr="00140B21">
        <w:rPr>
          <w:rStyle w:val="Strong"/>
        </w:rPr>
        <w:t>Appendix A</w:t>
      </w:r>
      <w:r>
        <w:t xml:space="preserve"> to obtain a range of values that represent a reasonable approximation of changes in capital costs since: </w:t>
      </w:r>
    </w:p>
    <w:p w:rsidR="007B5D15" w:rsidRDefault="007B5D15" w:rsidP="007B5D15">
      <w:pPr>
        <w:pStyle w:val="Bulletpoint"/>
      </w:pPr>
      <w:r>
        <w:t xml:space="preserve">the 2012 cost thresholds review for the RIT-T cost thresholds set out in clause 5.15.3(b), and </w:t>
      </w:r>
    </w:p>
    <w:p w:rsidR="007B5D15" w:rsidRDefault="007B5D15" w:rsidP="007B5D15">
      <w:pPr>
        <w:pStyle w:val="Bulletpoint"/>
      </w:pPr>
      <w:r>
        <w:t xml:space="preserve">1 January 2013 for the RIT-D cost thresholds set out in clause 5.15.3(d). </w:t>
      </w:r>
    </w:p>
    <w:p w:rsidR="003767D0" w:rsidRDefault="003767D0" w:rsidP="00140B21">
      <w:r>
        <w:t xml:space="preserve">Based on an inspection of indexes, we </w:t>
      </w:r>
      <w:r w:rsidR="00050290">
        <w:t xml:space="preserve">estimated that </w:t>
      </w:r>
      <w:r w:rsidRPr="003767D0">
        <w:t>economy wide indexes increased by approximately 5-7 per cent since the 2012 cost thresholds review and approximately 4-6</w:t>
      </w:r>
      <w:r>
        <w:t xml:space="preserve"> per cent since 1 January 2013. On this basis, we considered it was reasonable to infer that: </w:t>
      </w:r>
    </w:p>
    <w:p w:rsidR="007B5D15" w:rsidRDefault="003767D0" w:rsidP="00140B21">
      <w:pPr>
        <w:pStyle w:val="ListBullet"/>
      </w:pPr>
      <w:r>
        <w:t>capital input costs for the types of transmission projects set out</w:t>
      </w:r>
      <w:r w:rsidRPr="003767D0">
        <w:t xml:space="preserve"> </w:t>
      </w:r>
      <w:r>
        <w:t xml:space="preserve">in </w:t>
      </w:r>
      <w:r w:rsidRPr="003767D0">
        <w:t>clause 5.15.3(a)</w:t>
      </w:r>
      <w:r w:rsidR="00CA3AFD">
        <w:t xml:space="preserve"> </w:t>
      </w:r>
      <w:r>
        <w:t xml:space="preserve">had increased by 6 per cent since the 2012 cost thresholds review, and </w:t>
      </w:r>
    </w:p>
    <w:p w:rsidR="003767D0" w:rsidRDefault="003767D0" w:rsidP="00140B21">
      <w:pPr>
        <w:pStyle w:val="ListBullet"/>
      </w:pPr>
      <w:r>
        <w:t xml:space="preserve">capital input costs for the types of distribution projects set out in clause 5.15.3(c) had increased by 5 per cent since 1 January 2015. </w:t>
      </w:r>
    </w:p>
    <w:p w:rsidR="00CB039A" w:rsidRDefault="00A86143" w:rsidP="00CB039A">
      <w:r>
        <w:t>Accordingly, the draft determination proposed</w:t>
      </w:r>
      <w:r w:rsidR="00CB039A">
        <w:t xml:space="preserve"> that: </w:t>
      </w:r>
    </w:p>
    <w:p w:rsidR="00CB039A" w:rsidRDefault="00CB039A" w:rsidP="00CB039A">
      <w:pPr>
        <w:pStyle w:val="Bulletpoint"/>
      </w:pPr>
      <w:r>
        <w:t>the RIT-T cost thresholds set out in clause 5.15.3(b) should be increased by 6 per cent, and</w:t>
      </w:r>
    </w:p>
    <w:p w:rsidR="00CB039A" w:rsidRDefault="00CB039A" w:rsidP="00CB039A">
      <w:pPr>
        <w:pStyle w:val="Bulletpoint"/>
      </w:pPr>
      <w:r>
        <w:t xml:space="preserve">the RIT-D cost thresholds set out in clause 5.15.3(d) should be increased by 5 percent </w:t>
      </w:r>
    </w:p>
    <w:p w:rsidR="00CB039A" w:rsidRPr="00CB039A" w:rsidRDefault="00CB039A" w:rsidP="00140B21">
      <w:pPr>
        <w:pStyle w:val="Bulletpoint"/>
        <w:numPr>
          <w:ilvl w:val="0"/>
          <w:numId w:val="0"/>
        </w:numPr>
      </w:pPr>
      <w:r>
        <w:t xml:space="preserve">to maintain the appropriateness of those cost thresholds. </w:t>
      </w:r>
    </w:p>
    <w:p w:rsidR="00CB039A" w:rsidRPr="00CB039A" w:rsidRDefault="00CB039A" w:rsidP="00140B21">
      <w:pPr>
        <w:pStyle w:val="Bulletpoint"/>
        <w:numPr>
          <w:ilvl w:val="0"/>
          <w:numId w:val="0"/>
        </w:numPr>
        <w:ind w:left="357" w:hanging="357"/>
      </w:pPr>
      <w:r>
        <w:t xml:space="preserve">On this basis, for the RIT-T cost thresholds: </w:t>
      </w:r>
    </w:p>
    <w:p w:rsidR="00CB039A" w:rsidRDefault="00CB039A" w:rsidP="00CB039A">
      <w:pPr>
        <w:pStyle w:val="Bulletpoint"/>
      </w:pPr>
      <w:r>
        <w:t xml:space="preserve">the un-rounded $5.5 million cost thresholds referred in clauses 5.15.3(b)(1), (2), (4) and (6) would move to $5.83 million. Given the approach to rounding, this cost threshold will be rounded to $6 million </w:t>
      </w:r>
    </w:p>
    <w:p w:rsidR="00CB039A" w:rsidRDefault="00CB039A" w:rsidP="00CB039A">
      <w:pPr>
        <w:pStyle w:val="Bulletpoint"/>
      </w:pPr>
      <w:r>
        <w:lastRenderedPageBreak/>
        <w:t>the un-rounded $38.5 million cost threshold referred to in clause 5.15.3(b)(5) would move to $40.81 million. Given the approach to rounding, the cost threshold will be rounded to $41 million.</w:t>
      </w:r>
    </w:p>
    <w:p w:rsidR="00CB039A" w:rsidRPr="00CB039A" w:rsidRDefault="00CB039A" w:rsidP="00140B21">
      <w:pPr>
        <w:pStyle w:val="Bulletpoint"/>
        <w:numPr>
          <w:ilvl w:val="0"/>
          <w:numId w:val="0"/>
        </w:numPr>
      </w:pPr>
      <w:r>
        <w:t xml:space="preserve">On this basis, for the RIT-D cost thresholds: </w:t>
      </w:r>
    </w:p>
    <w:p w:rsidR="00CB039A" w:rsidRDefault="00CB039A" w:rsidP="00CB039A">
      <w:pPr>
        <w:pStyle w:val="Bulletpoint"/>
      </w:pPr>
      <w:r>
        <w:t>the $5 million cost thresholds referred to in clauses 5.15.3(d)(1) and (2) would move to $5.25 million. Given the approach to rounding, the cost threshold will be rounded down and remain unchanged at $5 million.</w:t>
      </w:r>
    </w:p>
    <w:p w:rsidR="00CB039A" w:rsidRDefault="00CB039A" w:rsidP="00CB039A">
      <w:pPr>
        <w:pStyle w:val="Bulletpoint"/>
      </w:pPr>
      <w:r>
        <w:t xml:space="preserve">the $10 million cost threshold referred to in clause 5.15.3(d)(3) would move to $10.5 million. Given the approach to rounding, the cost threshold will be rounded down and remain unchanged at $10 million. </w:t>
      </w:r>
    </w:p>
    <w:p w:rsidR="00CB039A" w:rsidRDefault="00CB039A" w:rsidP="00CB039A">
      <w:pPr>
        <w:pStyle w:val="Bulletpoint"/>
      </w:pPr>
      <w:r>
        <w:t xml:space="preserve">the $20 million cost threshold referred to in clause 5.15.3(d)(4) would move to $21 million. </w:t>
      </w:r>
    </w:p>
    <w:p w:rsidR="00CB039A" w:rsidRDefault="00CB039A" w:rsidP="00CB039A">
      <w:pPr>
        <w:pStyle w:val="Bulletpoint"/>
      </w:pPr>
      <w:r>
        <w:t>the $2 million cost thresholds referred to in clause 5.15.3(d)(5) would move to $2.1 million. Given the approach to round</w:t>
      </w:r>
      <w:r w:rsidR="00FB628F">
        <w:t>ing</w:t>
      </w:r>
      <w:r>
        <w:t xml:space="preserve">, the cost threshold will be rounded down and remain unchained at $2 million. </w:t>
      </w:r>
    </w:p>
    <w:p w:rsidR="00C44FF1" w:rsidRPr="00C12509" w:rsidRDefault="00CB039A" w:rsidP="00140B21">
      <w:pPr>
        <w:pStyle w:val="Bulletpoint"/>
        <w:numPr>
          <w:ilvl w:val="0"/>
          <w:numId w:val="0"/>
        </w:numPr>
      </w:pPr>
      <w:r>
        <w:t>We propose</w:t>
      </w:r>
      <w:r w:rsidR="00A86143">
        <w:t>d in the draft determination</w:t>
      </w:r>
      <w:r>
        <w:t xml:space="preserve"> that the revised cost threshold</w:t>
      </w:r>
      <w:r w:rsidRPr="00CB039A">
        <w:t xml:space="preserve">s take effect on 1 January 2016.  </w:t>
      </w:r>
      <w:r>
        <w:t xml:space="preserve"> </w:t>
      </w:r>
    </w:p>
    <w:p w:rsidR="00A171F9" w:rsidRDefault="00A171F9">
      <w:pPr>
        <w:pStyle w:val="Heading2"/>
      </w:pPr>
      <w:bookmarkStart w:id="12" w:name="_Toc433291891"/>
      <w:r>
        <w:t>Stakeholder submissions</w:t>
      </w:r>
      <w:bookmarkEnd w:id="12"/>
      <w:r>
        <w:t xml:space="preserve"> </w:t>
      </w:r>
    </w:p>
    <w:p w:rsidR="00A86143" w:rsidRDefault="00A86143" w:rsidP="00140B21">
      <w:r>
        <w:t xml:space="preserve">Interested parties were invited to submit written submissions on the draft determination. Submissions closed on 9 October 2015. Submissions were received from CitiPower &amp; Powercor, Energy Networks Association (ENA) and Grid Australia. </w:t>
      </w:r>
    </w:p>
    <w:p w:rsidR="005074BB" w:rsidRDefault="005074BB" w:rsidP="00140B21">
      <w:r>
        <w:t>Grid Australia supported the proposed increases to the RIT-T cost thresholds proposed by the AER, noting that they had been derived using the same methodology used in the 2012 cost thresholds review.</w:t>
      </w:r>
    </w:p>
    <w:p w:rsidR="005074BB" w:rsidRDefault="005074BB" w:rsidP="00140B21">
      <w:r>
        <w:t xml:space="preserve">ENA </w:t>
      </w:r>
      <w:r w:rsidR="00F5609B">
        <w:t>supported the methodology used to establish the updated RIT-T and RIT-D cost thresholds</w:t>
      </w:r>
      <w:r w:rsidR="00A9700A">
        <w:t>,</w:t>
      </w:r>
      <w:r w:rsidR="00F5609B">
        <w:t xml:space="preserve"> consider</w:t>
      </w:r>
      <w:r w:rsidR="00A9700A">
        <w:t>ing</w:t>
      </w:r>
      <w:r w:rsidR="00F5609B">
        <w:t xml:space="preserve"> th</w:t>
      </w:r>
      <w:r w:rsidR="00A9700A">
        <w:t>at this approach</w:t>
      </w:r>
      <w:r w:rsidR="00F5609B">
        <w:t xml:space="preserve"> avoided unnecessary regulatory burden</w:t>
      </w:r>
      <w:r w:rsidR="00A9700A">
        <w:t xml:space="preserve">, and on this basis agreed with the proposed change to the RIT-D cost threshold set out in clause 5.15.3(d)(4) to $21 million. </w:t>
      </w:r>
      <w:r w:rsidR="00F5609B">
        <w:t xml:space="preserve"> </w:t>
      </w:r>
      <w:r>
        <w:t xml:space="preserve"> </w:t>
      </w:r>
    </w:p>
    <w:p w:rsidR="00BC68D4" w:rsidRDefault="00BC68D4" w:rsidP="00140B21">
      <w:r>
        <w:t>All three submissions considered that the cost threshold</w:t>
      </w:r>
      <w:r w:rsidR="00B9533A">
        <w:t>s</w:t>
      </w:r>
      <w:r>
        <w:t xml:space="preserve"> for projects to</w:t>
      </w:r>
      <w:r w:rsidR="00B9533A">
        <w:t xml:space="preserve"> be</w:t>
      </w:r>
      <w:r>
        <w:t xml:space="preserve"> subject to the RIT-T</w:t>
      </w:r>
      <w:r>
        <w:rPr>
          <w:rStyle w:val="FootnoteReference"/>
        </w:rPr>
        <w:footnoteReference w:id="3"/>
      </w:r>
      <w:r>
        <w:t xml:space="preserve">, which the draft determination proposed to increase to $6 million, should be aligned with the </w:t>
      </w:r>
      <w:r w:rsidR="00B9533A">
        <w:t>cost threshold for projects to be subject to the RIT-D</w:t>
      </w:r>
      <w:r w:rsidR="00B9533A">
        <w:rPr>
          <w:rStyle w:val="FootnoteReference"/>
        </w:rPr>
        <w:footnoteReference w:id="4"/>
      </w:r>
      <w:r w:rsidR="00B9533A">
        <w:t xml:space="preserve">, </w:t>
      </w:r>
      <w:r>
        <w:t>which the draft determination proposed to maintain at $5 million.</w:t>
      </w:r>
      <w:r w:rsidR="00885CE1">
        <w:t xml:space="preserve"> All noted that the divergence </w:t>
      </w:r>
      <w:r w:rsidR="00746ECD">
        <w:t xml:space="preserve">between the two cost thresholds was due to the timing of the introduction of the RIT-D.  </w:t>
      </w:r>
      <w:r>
        <w:t xml:space="preserve"> </w:t>
      </w:r>
    </w:p>
    <w:p w:rsidR="00746ECD" w:rsidRDefault="00B9533A" w:rsidP="00140B21">
      <w:r>
        <w:t>Both CitiPower &amp; Powercor</w:t>
      </w:r>
      <w:r w:rsidR="00885CE1">
        <w:t xml:space="preserve"> and Grid Australia noted that it was important that the</w:t>
      </w:r>
      <w:r>
        <w:t xml:space="preserve"> cost threshold between the RIT-T and R</w:t>
      </w:r>
      <w:r w:rsidR="00885CE1">
        <w:t xml:space="preserve">IT-D be aligned for joint planning purposes. CitiPower &amp; Powercor noted that a having consistent threshold is necessary for joint planning projects where the identified need may be addressed by potential solutions either on the distribution </w:t>
      </w:r>
      <w:r w:rsidR="00885CE1">
        <w:lastRenderedPageBreak/>
        <w:t>or transmission network (or a combination of both). Grid Australia considered that a consistent threshold would encourage a more integrated approach between transmission and distribution, simplify consultation with stakeholders, and reduce confusion among non-network proponents.</w:t>
      </w:r>
    </w:p>
    <w:p w:rsidR="00BC68D4" w:rsidRDefault="002B5F8C" w:rsidP="00140B21">
      <w:r>
        <w:t xml:space="preserve">CitiPower &amp; Powercor and ENA also noted that </w:t>
      </w:r>
      <w:r w:rsidR="005D6EAD">
        <w:t xml:space="preserve">having aligned </w:t>
      </w:r>
      <w:r>
        <w:t>cost thresholds between the RIT-T and RIT-D was consistent with the AER's view stated in its submission to the Australian Energy</w:t>
      </w:r>
      <w:r w:rsidR="005074BB">
        <w:t xml:space="preserve"> Market Commission's (AEMC) consultation paper on the Distribution Network Planning and Expansion rule change which introduced the RIT-D.</w:t>
      </w:r>
      <w:r w:rsidR="00885CE1">
        <w:t xml:space="preserve">   </w:t>
      </w:r>
      <w:r w:rsidR="00B9533A">
        <w:t xml:space="preserve"> </w:t>
      </w:r>
      <w:r w:rsidR="00BC68D4">
        <w:t xml:space="preserve"> </w:t>
      </w:r>
    </w:p>
    <w:p w:rsidR="00F5609B" w:rsidRDefault="00F5609B" w:rsidP="00140B21">
      <w:r>
        <w:t xml:space="preserve">CitiPower &amp; Powercor and ENA also considered that a more holistic review of the RIT-T and RIT-D frameworks and cost thresholds </w:t>
      </w:r>
      <w:r w:rsidR="00050290">
        <w:t xml:space="preserve">should be undertaken in the next cost thresholds review in </w:t>
      </w:r>
      <w:r>
        <w:t xml:space="preserve">2018. </w:t>
      </w:r>
    </w:p>
    <w:p w:rsidR="00A171F9" w:rsidRPr="003767D0" w:rsidRDefault="00541D99">
      <w:pPr>
        <w:pStyle w:val="Heading2"/>
      </w:pPr>
      <w:bookmarkStart w:id="13" w:name="_Toc433204679"/>
      <w:bookmarkStart w:id="14" w:name="_Toc433291892"/>
      <w:bookmarkEnd w:id="13"/>
      <w:r>
        <w:t>AER f</w:t>
      </w:r>
      <w:r w:rsidR="00A171F9">
        <w:t>inal determination</w:t>
      </w:r>
      <w:bookmarkEnd w:id="14"/>
      <w:r w:rsidR="00A171F9">
        <w:t xml:space="preserve"> </w:t>
      </w:r>
    </w:p>
    <w:p w:rsidR="00033A84" w:rsidRDefault="00A9700A" w:rsidP="009E4157">
      <w:pPr>
        <w:pStyle w:val="Bulletpoint"/>
        <w:numPr>
          <w:ilvl w:val="0"/>
          <w:numId w:val="0"/>
        </w:numPr>
      </w:pPr>
      <w:r>
        <w:t xml:space="preserve">We </w:t>
      </w:r>
      <w:r w:rsidR="00AA3CA7">
        <w:t xml:space="preserve">have </w:t>
      </w:r>
      <w:r w:rsidR="0007033E">
        <w:t>decided</w:t>
      </w:r>
      <w:r w:rsidR="00033A84">
        <w:t xml:space="preserve"> to uphold</w:t>
      </w:r>
      <w:r w:rsidR="0007033E">
        <w:t xml:space="preserve"> the</w:t>
      </w:r>
      <w:r w:rsidR="00033A84">
        <w:t xml:space="preserve"> decision outlined in the</w:t>
      </w:r>
      <w:r w:rsidR="0007033E">
        <w:t xml:space="preserve"> draft determination. </w:t>
      </w:r>
      <w:r w:rsidR="005D6EAD">
        <w:t xml:space="preserve">Written submissions were supportive of the approach taken by us in the draft determination to </w:t>
      </w:r>
      <w:r>
        <w:t>estimate</w:t>
      </w:r>
      <w:r w:rsidR="005D6EAD">
        <w:t xml:space="preserve"> changes in </w:t>
      </w:r>
      <w:r>
        <w:t xml:space="preserve">capital </w:t>
      </w:r>
      <w:r w:rsidR="005D6EAD">
        <w:t xml:space="preserve">input costs and adjust the RIT-T cost thresholds and RIT-D cost thresholds. Further, no written submissions opposed our findings in relation to capital input cost changes. </w:t>
      </w:r>
    </w:p>
    <w:p w:rsidR="00A31211" w:rsidRDefault="00033A84" w:rsidP="009E4157">
      <w:pPr>
        <w:pStyle w:val="Bulletpoint"/>
        <w:numPr>
          <w:ilvl w:val="0"/>
          <w:numId w:val="0"/>
        </w:numPr>
      </w:pPr>
      <w:r>
        <w:t xml:space="preserve">In relation to the proposal to align the cost thresholds for projects to be subject to the RIT-T and the cost thresholds for projects to be subject to the RIT-D, </w:t>
      </w:r>
      <w:r w:rsidR="00082197">
        <w:t xml:space="preserve">while we agree that such an alignment may have some merit, </w:t>
      </w:r>
      <w:r>
        <w:t xml:space="preserve">we do not consider this approach is </w:t>
      </w:r>
      <w:r w:rsidR="00082197">
        <w:t xml:space="preserve">currently permitted </w:t>
      </w:r>
      <w:r>
        <w:t xml:space="preserve">under the NER. The RIT-T and RIT-D cost threshold review provisions require us to </w:t>
      </w:r>
      <w:r w:rsidR="00A31211">
        <w:t xml:space="preserve">ascertain the </w:t>
      </w:r>
      <w:r>
        <w:t>changes in capital input costs since a specified point in time and adjust the</w:t>
      </w:r>
      <w:r w:rsidR="00A31211">
        <w:t xml:space="preserve"> cost thresholds to reflect those changes. There is no discretion provided in the NER for us to maintain the alignment of RIT-T cost thresholds and RIT-D cost thresholds in the event of a divergence between them</w:t>
      </w:r>
      <w:r w:rsidR="00CA3AFD">
        <w:t xml:space="preserve"> should we consider it appropriate to do so</w:t>
      </w:r>
      <w:r w:rsidR="00A31211">
        <w:t>.</w:t>
      </w:r>
    </w:p>
    <w:p w:rsidR="0003094F" w:rsidRDefault="00A31211" w:rsidP="009E4157">
      <w:pPr>
        <w:pStyle w:val="Bulletpoint"/>
        <w:numPr>
          <w:ilvl w:val="0"/>
          <w:numId w:val="0"/>
        </w:numPr>
      </w:pPr>
      <w:r>
        <w:t>In relation to the proposal by CitiPower &amp; Powercor and ENA to undertake a holistic review of the RIT-T and RIT-D frameworks and cost thresholds in 2018</w:t>
      </w:r>
      <w:r w:rsidR="00817137">
        <w:t xml:space="preserve">, we consider that this </w:t>
      </w:r>
      <w:r w:rsidR="00724E8F">
        <w:t xml:space="preserve">would be </w:t>
      </w:r>
      <w:r w:rsidR="00A9700A">
        <w:t xml:space="preserve">beyond what we are </w:t>
      </w:r>
      <w:r w:rsidR="00FB628F">
        <w:t xml:space="preserve">currently </w:t>
      </w:r>
      <w:r w:rsidR="00A9700A">
        <w:t>allowed to do</w:t>
      </w:r>
      <w:r w:rsidR="00724E8F">
        <w:t xml:space="preserve"> under the NER</w:t>
      </w:r>
      <w:r w:rsidR="00817137">
        <w:t>.</w:t>
      </w:r>
      <w:r w:rsidR="00541251">
        <w:t xml:space="preserve"> </w:t>
      </w:r>
      <w:r w:rsidR="00A9700A">
        <w:t>As stated above, the role of the</w:t>
      </w:r>
      <w:r w:rsidR="00724E8F">
        <w:t xml:space="preserve"> </w:t>
      </w:r>
      <w:r w:rsidR="00541251">
        <w:t>cost threshold review is limited to adjusting the RIT-T cost thresholds and RIT-D cost thresholds to maintain their real value.</w:t>
      </w:r>
      <w:r w:rsidR="00BC39A6">
        <w:t xml:space="preserve"> If the scope of the cost threshold review were expanded, we would be open to undertaking a more holistic review of the RIT-T and RIT-D frameworks and cost thresholds in 2018.  </w:t>
      </w:r>
      <w:r w:rsidR="00541251">
        <w:t xml:space="preserve"> </w:t>
      </w:r>
      <w:r w:rsidR="00817137">
        <w:t xml:space="preserve">  </w:t>
      </w:r>
      <w:r>
        <w:t xml:space="preserve"> </w:t>
      </w:r>
    </w:p>
    <w:p w:rsidR="009E4157" w:rsidRPr="009E4157" w:rsidRDefault="009E4157" w:rsidP="009E4157">
      <w:r w:rsidRPr="009E4157">
        <w:t>Accordingly, our final determination for the 2015 cost thresholds review is that capital input costs have likely increased by around 6 per cent since the 2012 cost thresholds review and 5 per cent since the 1 January 2013.</w:t>
      </w:r>
    </w:p>
    <w:p w:rsidR="009E4157" w:rsidRDefault="009E4157" w:rsidP="009E4157">
      <w:r>
        <w:t xml:space="preserve">To maintain the appropriateness of the cost thresholds: </w:t>
      </w:r>
    </w:p>
    <w:p w:rsidR="009E4157" w:rsidRDefault="009E4157" w:rsidP="009E4157">
      <w:pPr>
        <w:pStyle w:val="Bulletpoint"/>
      </w:pPr>
      <w:r>
        <w:t>the RIT-T cost thresholds set out in clause 5.15.3(b) should be increased by 6 per cent, and</w:t>
      </w:r>
    </w:p>
    <w:p w:rsidR="009E4157" w:rsidRDefault="009E4157" w:rsidP="009E4157">
      <w:pPr>
        <w:pStyle w:val="Bulletpoint"/>
      </w:pPr>
      <w:r>
        <w:t xml:space="preserve">the RIT-D cost thresholds set out in clause 5.15.3(d) should be increased by 5 percent </w:t>
      </w:r>
    </w:p>
    <w:p w:rsidR="009E4157" w:rsidRPr="009E4157" w:rsidRDefault="009E4157" w:rsidP="00140B21">
      <w:pPr>
        <w:pStyle w:val="Bulletpoint"/>
        <w:numPr>
          <w:ilvl w:val="0"/>
          <w:numId w:val="0"/>
        </w:numPr>
      </w:pPr>
      <w:r>
        <w:t xml:space="preserve">On this basis, for the RIT-T cost thresholds: </w:t>
      </w:r>
    </w:p>
    <w:p w:rsidR="009E4157" w:rsidRDefault="009E4157" w:rsidP="009E4157">
      <w:pPr>
        <w:pStyle w:val="Bulletpoint"/>
      </w:pPr>
      <w:r>
        <w:lastRenderedPageBreak/>
        <w:t xml:space="preserve">the un-rounded $5.5 million cost thresholds referred in clauses 5.15.3(b)(1), (2), (4) and (6) would move to $5.83 million. Given the approach to rounding, this cost threshold </w:t>
      </w:r>
      <w:r w:rsidR="00724E8F">
        <w:t>is</w:t>
      </w:r>
      <w:r>
        <w:t xml:space="preserve"> rounded to $6 million </w:t>
      </w:r>
    </w:p>
    <w:p w:rsidR="009E4157" w:rsidRDefault="009E4157" w:rsidP="009E4157">
      <w:pPr>
        <w:pStyle w:val="Bulletpoint"/>
      </w:pPr>
      <w:r>
        <w:t xml:space="preserve">the un-rounded $38.5 million cost threshold referred to in clause 5.15.3(b)(5) would move to $40.81 million. Given the approach to rounding, the cost threshold </w:t>
      </w:r>
      <w:r w:rsidR="00724E8F">
        <w:t>is</w:t>
      </w:r>
      <w:r>
        <w:t xml:space="preserve"> rounded to $41 million.</w:t>
      </w:r>
    </w:p>
    <w:p w:rsidR="009E4157" w:rsidRPr="009E4157" w:rsidRDefault="009E4157" w:rsidP="00140B21">
      <w:pPr>
        <w:pStyle w:val="Bulletpoint"/>
        <w:numPr>
          <w:ilvl w:val="0"/>
          <w:numId w:val="0"/>
        </w:numPr>
      </w:pPr>
      <w:r>
        <w:t xml:space="preserve">On this basis, for the RIT-D cost thresholds: </w:t>
      </w:r>
    </w:p>
    <w:p w:rsidR="009E4157" w:rsidRDefault="009E4157" w:rsidP="009E4157">
      <w:pPr>
        <w:pStyle w:val="Bulletpoint"/>
      </w:pPr>
      <w:r>
        <w:t xml:space="preserve">the $5 million cost thresholds referred to in clauses 5.15.3(d)(1) and (2) would move to $5.25 million. Given the approach to rounding, the cost threshold </w:t>
      </w:r>
      <w:r w:rsidR="00724E8F">
        <w:t>is</w:t>
      </w:r>
      <w:r>
        <w:t xml:space="preserve"> rounded down and remain</w:t>
      </w:r>
      <w:r w:rsidR="00724E8F">
        <w:t>s</w:t>
      </w:r>
      <w:r>
        <w:t xml:space="preserve"> unchanged at $5 million.</w:t>
      </w:r>
    </w:p>
    <w:p w:rsidR="009E4157" w:rsidRDefault="009E4157" w:rsidP="009E4157">
      <w:pPr>
        <w:pStyle w:val="Bulletpoint"/>
      </w:pPr>
      <w:r>
        <w:t>the $10 million cost threshold referred to in clause 5.15.3(d)(3) would move to $10.5 million. Given the approach to rounding, the cost threshold</w:t>
      </w:r>
      <w:r w:rsidR="00724E8F">
        <w:t xml:space="preserve"> is</w:t>
      </w:r>
      <w:r>
        <w:t xml:space="preserve"> rounded down and remain</w:t>
      </w:r>
      <w:r w:rsidR="00724E8F">
        <w:t>s</w:t>
      </w:r>
      <w:r>
        <w:t xml:space="preserve"> unchanged at $10 million. </w:t>
      </w:r>
    </w:p>
    <w:p w:rsidR="009E4157" w:rsidRDefault="009E4157" w:rsidP="009E4157">
      <w:pPr>
        <w:pStyle w:val="Bulletpoint"/>
      </w:pPr>
      <w:r>
        <w:t xml:space="preserve">the $20 million cost threshold referred to in clause 5.15.3(d)(4) would move to $21 million. </w:t>
      </w:r>
    </w:p>
    <w:p w:rsidR="009E4157" w:rsidRDefault="009E4157" w:rsidP="009E4157">
      <w:pPr>
        <w:pStyle w:val="Bulletpoint"/>
      </w:pPr>
      <w:r>
        <w:t>the $2 million cost thresholds referred to in clause 5.15.3(d)(5) would move to $2.1 million. Given the approach to round</w:t>
      </w:r>
      <w:r w:rsidR="00FB628F">
        <w:t>ing</w:t>
      </w:r>
      <w:r>
        <w:t xml:space="preserve">, the cost threshold </w:t>
      </w:r>
      <w:r w:rsidR="00724E8F">
        <w:t>is</w:t>
      </w:r>
      <w:r>
        <w:t xml:space="preserve"> rounded down and remain</w:t>
      </w:r>
      <w:r w:rsidR="00724E8F">
        <w:t>s</w:t>
      </w:r>
      <w:r>
        <w:t xml:space="preserve"> unchained at $2 million. </w:t>
      </w:r>
    </w:p>
    <w:p w:rsidR="009E4157" w:rsidRPr="009E4157" w:rsidRDefault="009E4157" w:rsidP="00140B21">
      <w:pPr>
        <w:pStyle w:val="Bulletpoint"/>
        <w:numPr>
          <w:ilvl w:val="0"/>
          <w:numId w:val="0"/>
        </w:numPr>
      </w:pPr>
      <w:r>
        <w:t>The revised cost threshold</w:t>
      </w:r>
      <w:r w:rsidRPr="009E4157">
        <w:t xml:space="preserve">s </w:t>
      </w:r>
      <w:r>
        <w:t xml:space="preserve">will </w:t>
      </w:r>
      <w:r w:rsidRPr="009E4157">
        <w:t xml:space="preserve">take effect on 1 January 2016.  </w:t>
      </w:r>
    </w:p>
    <w:p w:rsidR="009E4157" w:rsidRPr="009E4157" w:rsidRDefault="009E4157" w:rsidP="00140B21">
      <w:r>
        <w:t>Consistent with our approach to date, in the next cost thresholds review we will use the un-rounded estimates as the base from which assess changes (i.e. the percentage change in inputs will be applied to the un-rounded $5.83 million RIT-T cost threshold</w:t>
      </w:r>
      <w:r w:rsidR="00F974C6">
        <w:t>s</w:t>
      </w:r>
      <w:r>
        <w:t xml:space="preserve"> </w:t>
      </w:r>
      <w:r w:rsidR="00CA3AFD">
        <w:t>and $5.25 million RIT-D cost threshold</w:t>
      </w:r>
      <w:r w:rsidR="00F974C6">
        <w:t>s</w:t>
      </w:r>
      <w:r w:rsidR="00CA3AFD">
        <w:t xml:space="preserve"> </w:t>
      </w:r>
      <w:r>
        <w:t xml:space="preserve">rather than the </w:t>
      </w:r>
      <w:r w:rsidR="00CA3AFD">
        <w:t xml:space="preserve">rounded </w:t>
      </w:r>
      <w:r>
        <w:t>$6 million</w:t>
      </w:r>
      <w:r w:rsidR="00CA3AFD">
        <w:t xml:space="preserve"> RIT-T cost threshold</w:t>
      </w:r>
      <w:r w:rsidR="00F974C6">
        <w:t>s</w:t>
      </w:r>
      <w:r w:rsidR="00CA3AFD">
        <w:t xml:space="preserve"> and $5 million RIT-D cost threshold</w:t>
      </w:r>
      <w:r w:rsidR="00F974C6">
        <w:t>s</w:t>
      </w:r>
      <w:r>
        <w:t>).</w:t>
      </w:r>
      <w:r w:rsidRPr="009E4157">
        <w:t xml:space="preserve">     </w:t>
      </w:r>
    </w:p>
    <w:p w:rsidR="0007033E" w:rsidRDefault="009E4157" w:rsidP="00D35FA8">
      <w:pPr>
        <w:pStyle w:val="BodyText"/>
      </w:pPr>
      <w:r>
        <w:t xml:space="preserve"> </w:t>
      </w:r>
    </w:p>
    <w:p w:rsidR="0007033E" w:rsidRDefault="0007033E" w:rsidP="00D35FA8">
      <w:pPr>
        <w:pStyle w:val="BodyText"/>
      </w:pPr>
    </w:p>
    <w:p w:rsidR="0007033E" w:rsidRDefault="0007033E" w:rsidP="00D35FA8">
      <w:pPr>
        <w:pStyle w:val="BodyText"/>
      </w:pPr>
    </w:p>
    <w:p w:rsidR="0007033E" w:rsidRDefault="0007033E" w:rsidP="00D35FA8">
      <w:pPr>
        <w:pStyle w:val="BodyText"/>
      </w:pPr>
    </w:p>
    <w:p w:rsidR="0007033E" w:rsidRDefault="0007033E" w:rsidP="00D35FA8">
      <w:pPr>
        <w:pStyle w:val="BodyText"/>
      </w:pPr>
    </w:p>
    <w:p w:rsidR="0007033E" w:rsidRDefault="0007033E" w:rsidP="00D35FA8">
      <w:pPr>
        <w:pStyle w:val="BodyText"/>
      </w:pPr>
    </w:p>
    <w:p w:rsidR="0007033E" w:rsidRDefault="0007033E" w:rsidP="00D35FA8">
      <w:pPr>
        <w:pStyle w:val="BodyText"/>
      </w:pPr>
    </w:p>
    <w:p w:rsidR="0007033E" w:rsidRDefault="0007033E" w:rsidP="00D35FA8">
      <w:pPr>
        <w:pStyle w:val="BodyText"/>
      </w:pPr>
    </w:p>
    <w:p w:rsidR="0007033E" w:rsidRDefault="0007033E" w:rsidP="00D35FA8">
      <w:pPr>
        <w:pStyle w:val="BodyText"/>
      </w:pPr>
    </w:p>
    <w:p w:rsidR="0007033E" w:rsidRDefault="0007033E" w:rsidP="00D35FA8">
      <w:pPr>
        <w:pStyle w:val="BodyText"/>
      </w:pPr>
    </w:p>
    <w:p w:rsidR="0007033E" w:rsidRDefault="000A63A7" w:rsidP="00140B21">
      <w:pPr>
        <w:pStyle w:val="Heading1notnumber"/>
      </w:pPr>
      <w:bookmarkStart w:id="15" w:name="_Toc433291893"/>
      <w:r>
        <w:lastRenderedPageBreak/>
        <w:t>Appendix A</w:t>
      </w:r>
      <w:r w:rsidR="00F40AB8">
        <w:t xml:space="preserve"> - table of indexes considered in cost thresholds review</w:t>
      </w:r>
      <w:bookmarkEnd w:id="15"/>
    </w:p>
    <w:p w:rsidR="00BB11D6" w:rsidRDefault="00BB11D6" w:rsidP="009E4157">
      <w:pPr>
        <w:pStyle w:val="BodyText"/>
      </w:pPr>
    </w:p>
    <w:p w:rsidR="00C11AAD" w:rsidRDefault="00C11AAD" w:rsidP="00C11AAD">
      <w:pPr>
        <w:pStyle w:val="Tabletitle"/>
      </w:pPr>
      <w:r>
        <w:t xml:space="preserve">Table 1 - Indexes considered in determining the change in input costs </w:t>
      </w:r>
    </w:p>
    <w:tbl>
      <w:tblPr>
        <w:tblStyle w:val="AERTable-Text"/>
        <w:tblW w:w="0" w:type="auto"/>
        <w:tblLook w:val="04A0" w:firstRow="1" w:lastRow="0" w:firstColumn="1" w:lastColumn="0" w:noHBand="0" w:noVBand="1"/>
      </w:tblPr>
      <w:tblGrid>
        <w:gridCol w:w="5070"/>
        <w:gridCol w:w="1984"/>
        <w:gridCol w:w="2188"/>
      </w:tblGrid>
      <w:tr w:rsidR="00AC2A62" w:rsidTr="004F0A3E">
        <w:trPr>
          <w:cnfStyle w:val="100000000000" w:firstRow="1" w:lastRow="0" w:firstColumn="0" w:lastColumn="0" w:oddVBand="0" w:evenVBand="0" w:oddHBand="0" w:evenHBand="0" w:firstRowFirstColumn="0" w:firstRowLastColumn="0" w:lastRowFirstColumn="0" w:lastRowLastColumn="0"/>
        </w:trPr>
        <w:tc>
          <w:tcPr>
            <w:tcW w:w="5070" w:type="dxa"/>
          </w:tcPr>
          <w:p w:rsidR="00AC2A62" w:rsidRDefault="00AC2A62" w:rsidP="00636732">
            <w:pPr>
              <w:pStyle w:val="Bulletpoint"/>
              <w:numPr>
                <w:ilvl w:val="0"/>
                <w:numId w:val="0"/>
              </w:numPr>
            </w:pPr>
            <w:r>
              <w:t>Index</w:t>
            </w:r>
          </w:p>
        </w:tc>
        <w:tc>
          <w:tcPr>
            <w:tcW w:w="1984" w:type="dxa"/>
          </w:tcPr>
          <w:p w:rsidR="00AC2A62" w:rsidRDefault="00AC2A62" w:rsidP="000139BA">
            <w:pPr>
              <w:pStyle w:val="Bulletpoint"/>
              <w:numPr>
                <w:ilvl w:val="0"/>
                <w:numId w:val="0"/>
              </w:numPr>
            </w:pPr>
            <w:r>
              <w:t>% change since 2012</w:t>
            </w:r>
            <w:r w:rsidR="000139BA">
              <w:t xml:space="preserve"> cost thresholds review </w:t>
            </w:r>
            <w:r>
              <w:t xml:space="preserve">  </w:t>
            </w:r>
          </w:p>
        </w:tc>
        <w:tc>
          <w:tcPr>
            <w:tcW w:w="2188" w:type="dxa"/>
          </w:tcPr>
          <w:p w:rsidR="00AC2A62" w:rsidRDefault="00AC2A62" w:rsidP="00636732">
            <w:pPr>
              <w:pStyle w:val="Bulletpoint"/>
              <w:numPr>
                <w:ilvl w:val="0"/>
                <w:numId w:val="0"/>
              </w:numPr>
            </w:pPr>
            <w:r>
              <w:t xml:space="preserve">% change since 1 January 2013 </w:t>
            </w:r>
          </w:p>
        </w:tc>
      </w:tr>
      <w:tr w:rsidR="00AC2A62" w:rsidTr="004F0A3E">
        <w:tc>
          <w:tcPr>
            <w:tcW w:w="5070" w:type="dxa"/>
          </w:tcPr>
          <w:p w:rsidR="00AC2A62" w:rsidRDefault="00AA3CA7" w:rsidP="00636732">
            <w:pPr>
              <w:pStyle w:val="Bulletpoint"/>
              <w:numPr>
                <w:ilvl w:val="0"/>
                <w:numId w:val="0"/>
              </w:numPr>
            </w:pPr>
            <w:r>
              <w:t>Consumer price index (CPI)</w:t>
            </w:r>
            <w:r w:rsidR="00AC2A62">
              <w:t xml:space="preserve"> </w:t>
            </w:r>
          </w:p>
        </w:tc>
        <w:tc>
          <w:tcPr>
            <w:tcW w:w="1984" w:type="dxa"/>
          </w:tcPr>
          <w:p w:rsidR="00AC2A62" w:rsidRDefault="004F0A3E" w:rsidP="00636732">
            <w:pPr>
              <w:pStyle w:val="Bulletpoint"/>
              <w:numPr>
                <w:ilvl w:val="0"/>
                <w:numId w:val="0"/>
              </w:numPr>
            </w:pPr>
            <w:r>
              <w:t>7.07</w:t>
            </w:r>
          </w:p>
        </w:tc>
        <w:tc>
          <w:tcPr>
            <w:tcW w:w="2188" w:type="dxa"/>
          </w:tcPr>
          <w:p w:rsidR="00AC2A62" w:rsidRDefault="004F0A3E" w:rsidP="00636732">
            <w:pPr>
              <w:pStyle w:val="Bulletpoint"/>
              <w:numPr>
                <w:ilvl w:val="0"/>
                <w:numId w:val="0"/>
              </w:numPr>
            </w:pPr>
            <w:r>
              <w:t>5.39</w:t>
            </w:r>
          </w:p>
        </w:tc>
      </w:tr>
      <w:tr w:rsidR="00AC2A62" w:rsidTr="004F0A3E">
        <w:trPr>
          <w:cnfStyle w:val="000000010000" w:firstRow="0" w:lastRow="0" w:firstColumn="0" w:lastColumn="0" w:oddVBand="0" w:evenVBand="0" w:oddHBand="0" w:evenHBand="1" w:firstRowFirstColumn="0" w:firstRowLastColumn="0" w:lastRowFirstColumn="0" w:lastRowLastColumn="0"/>
        </w:trPr>
        <w:tc>
          <w:tcPr>
            <w:tcW w:w="5070" w:type="dxa"/>
          </w:tcPr>
          <w:p w:rsidR="00AC2A62" w:rsidRDefault="00252484" w:rsidP="00636732">
            <w:pPr>
              <w:pStyle w:val="Bulletpoint"/>
              <w:numPr>
                <w:ilvl w:val="0"/>
                <w:numId w:val="0"/>
              </w:numPr>
            </w:pPr>
            <w:r>
              <w:t xml:space="preserve">CPI - trimmed mean </w:t>
            </w:r>
          </w:p>
        </w:tc>
        <w:tc>
          <w:tcPr>
            <w:tcW w:w="1984" w:type="dxa"/>
          </w:tcPr>
          <w:p w:rsidR="00AC2A62" w:rsidRDefault="004F0A3E" w:rsidP="00636732">
            <w:pPr>
              <w:pStyle w:val="Bulletpoint"/>
              <w:numPr>
                <w:ilvl w:val="0"/>
                <w:numId w:val="0"/>
              </w:numPr>
            </w:pPr>
            <w:r>
              <w:t>7.49</w:t>
            </w:r>
          </w:p>
        </w:tc>
        <w:tc>
          <w:tcPr>
            <w:tcW w:w="2188" w:type="dxa"/>
          </w:tcPr>
          <w:p w:rsidR="00AC2A62" w:rsidRDefault="004F0A3E" w:rsidP="00636732">
            <w:pPr>
              <w:pStyle w:val="Bulletpoint"/>
              <w:numPr>
                <w:ilvl w:val="0"/>
                <w:numId w:val="0"/>
              </w:numPr>
            </w:pPr>
            <w:r>
              <w:t>6.18</w:t>
            </w:r>
          </w:p>
        </w:tc>
      </w:tr>
      <w:tr w:rsidR="00AC2A62" w:rsidTr="004F0A3E">
        <w:tc>
          <w:tcPr>
            <w:tcW w:w="5070" w:type="dxa"/>
          </w:tcPr>
          <w:p w:rsidR="00AC2A62" w:rsidRDefault="00252484" w:rsidP="00636732">
            <w:pPr>
              <w:pStyle w:val="Bulletpoint"/>
              <w:numPr>
                <w:ilvl w:val="0"/>
                <w:numId w:val="0"/>
              </w:numPr>
            </w:pPr>
            <w:r>
              <w:t xml:space="preserve">CPI - weighted mean </w:t>
            </w:r>
            <w:r w:rsidR="00AC2A62">
              <w:t xml:space="preserve"> </w:t>
            </w:r>
          </w:p>
        </w:tc>
        <w:tc>
          <w:tcPr>
            <w:tcW w:w="1984" w:type="dxa"/>
          </w:tcPr>
          <w:p w:rsidR="00AC2A62" w:rsidRDefault="004F0A3E" w:rsidP="00636732">
            <w:pPr>
              <w:pStyle w:val="Bulletpoint"/>
              <w:numPr>
                <w:ilvl w:val="0"/>
                <w:numId w:val="0"/>
              </w:numPr>
            </w:pPr>
            <w:r>
              <w:t>7.86</w:t>
            </w:r>
          </w:p>
        </w:tc>
        <w:tc>
          <w:tcPr>
            <w:tcW w:w="2188" w:type="dxa"/>
          </w:tcPr>
          <w:p w:rsidR="00AC2A62" w:rsidRDefault="004F0A3E" w:rsidP="00636732">
            <w:pPr>
              <w:pStyle w:val="Bulletpoint"/>
              <w:numPr>
                <w:ilvl w:val="0"/>
                <w:numId w:val="0"/>
              </w:numPr>
            </w:pPr>
            <w:r>
              <w:t>6.37</w:t>
            </w:r>
          </w:p>
        </w:tc>
      </w:tr>
      <w:tr w:rsidR="00AC2A62" w:rsidTr="004F0A3E">
        <w:trPr>
          <w:cnfStyle w:val="000000010000" w:firstRow="0" w:lastRow="0" w:firstColumn="0" w:lastColumn="0" w:oddVBand="0" w:evenVBand="0" w:oddHBand="0" w:evenHBand="1" w:firstRowFirstColumn="0" w:firstRowLastColumn="0" w:lastRowFirstColumn="0" w:lastRowLastColumn="0"/>
        </w:trPr>
        <w:tc>
          <w:tcPr>
            <w:tcW w:w="5070" w:type="dxa"/>
          </w:tcPr>
          <w:p w:rsidR="00AC2A62" w:rsidRDefault="00252484" w:rsidP="00636732">
            <w:pPr>
              <w:pStyle w:val="Bulletpoint"/>
              <w:numPr>
                <w:ilvl w:val="0"/>
                <w:numId w:val="0"/>
              </w:numPr>
            </w:pPr>
            <w:r>
              <w:t>P</w:t>
            </w:r>
            <w:r w:rsidR="00AA3CA7">
              <w:t xml:space="preserve">roducer </w:t>
            </w:r>
            <w:r>
              <w:t>P</w:t>
            </w:r>
            <w:r w:rsidR="00AA3CA7">
              <w:t xml:space="preserve">rice </w:t>
            </w:r>
            <w:r>
              <w:t>I</w:t>
            </w:r>
            <w:r w:rsidR="00AA3CA7">
              <w:t>ndex</w:t>
            </w:r>
            <w:r>
              <w:t xml:space="preserve"> </w:t>
            </w:r>
            <w:r w:rsidR="00AA3CA7">
              <w:t xml:space="preserve">(PPI) </w:t>
            </w:r>
            <w:r>
              <w:t xml:space="preserve">- total domestic and import </w:t>
            </w:r>
            <w:r w:rsidR="00AC2A62">
              <w:t xml:space="preserve"> </w:t>
            </w:r>
          </w:p>
        </w:tc>
        <w:tc>
          <w:tcPr>
            <w:tcW w:w="1984" w:type="dxa"/>
          </w:tcPr>
          <w:p w:rsidR="00AC2A62" w:rsidRDefault="004F0A3E" w:rsidP="00636732">
            <w:pPr>
              <w:pStyle w:val="Bulletpoint"/>
              <w:numPr>
                <w:ilvl w:val="0"/>
                <w:numId w:val="0"/>
              </w:numPr>
            </w:pPr>
            <w:r>
              <w:t>4.59</w:t>
            </w:r>
          </w:p>
        </w:tc>
        <w:tc>
          <w:tcPr>
            <w:tcW w:w="2188" w:type="dxa"/>
          </w:tcPr>
          <w:p w:rsidR="00AC2A62" w:rsidRDefault="004F0A3E" w:rsidP="00636732">
            <w:pPr>
              <w:pStyle w:val="Bulletpoint"/>
              <w:numPr>
                <w:ilvl w:val="0"/>
                <w:numId w:val="0"/>
              </w:numPr>
            </w:pPr>
            <w:r>
              <w:t>3.76</w:t>
            </w:r>
          </w:p>
        </w:tc>
      </w:tr>
      <w:tr w:rsidR="00AC2A62" w:rsidTr="004F0A3E">
        <w:tc>
          <w:tcPr>
            <w:tcW w:w="5070" w:type="dxa"/>
          </w:tcPr>
          <w:p w:rsidR="00AC2A62" w:rsidRDefault="00252484" w:rsidP="00636732">
            <w:pPr>
              <w:pStyle w:val="Bulletpoint"/>
              <w:numPr>
                <w:ilvl w:val="0"/>
                <w:numId w:val="0"/>
              </w:numPr>
            </w:pPr>
            <w:r>
              <w:t>PPI - primary metal and metal product manufacturing</w:t>
            </w:r>
            <w:r w:rsidR="00AC2A62">
              <w:t xml:space="preserve"> </w:t>
            </w:r>
          </w:p>
        </w:tc>
        <w:tc>
          <w:tcPr>
            <w:tcW w:w="1984" w:type="dxa"/>
          </w:tcPr>
          <w:p w:rsidR="00AC2A62" w:rsidRDefault="004F0A3E" w:rsidP="00636732">
            <w:pPr>
              <w:pStyle w:val="Bulletpoint"/>
              <w:numPr>
                <w:ilvl w:val="0"/>
                <w:numId w:val="0"/>
              </w:numPr>
            </w:pPr>
            <w:r>
              <w:t>-12.56</w:t>
            </w:r>
          </w:p>
        </w:tc>
        <w:tc>
          <w:tcPr>
            <w:tcW w:w="2188" w:type="dxa"/>
          </w:tcPr>
          <w:p w:rsidR="00AC2A62" w:rsidRDefault="004F0A3E" w:rsidP="00636732">
            <w:pPr>
              <w:pStyle w:val="Bulletpoint"/>
              <w:numPr>
                <w:ilvl w:val="0"/>
                <w:numId w:val="0"/>
              </w:numPr>
            </w:pPr>
            <w:r>
              <w:t>-12.65</w:t>
            </w:r>
          </w:p>
        </w:tc>
      </w:tr>
      <w:tr w:rsidR="00AC2A62" w:rsidTr="004F0A3E">
        <w:trPr>
          <w:cnfStyle w:val="000000010000" w:firstRow="0" w:lastRow="0" w:firstColumn="0" w:lastColumn="0" w:oddVBand="0" w:evenVBand="0" w:oddHBand="0" w:evenHBand="1" w:firstRowFirstColumn="0" w:firstRowLastColumn="0" w:lastRowFirstColumn="0" w:lastRowLastColumn="0"/>
        </w:trPr>
        <w:tc>
          <w:tcPr>
            <w:tcW w:w="5070" w:type="dxa"/>
          </w:tcPr>
          <w:p w:rsidR="00AC2A62" w:rsidRDefault="00252484" w:rsidP="00636732">
            <w:pPr>
              <w:pStyle w:val="Bulletpoint"/>
              <w:numPr>
                <w:ilvl w:val="0"/>
                <w:numId w:val="0"/>
              </w:numPr>
            </w:pPr>
            <w:r>
              <w:t>PPI - fabricated metal product manufacturing</w:t>
            </w:r>
          </w:p>
        </w:tc>
        <w:tc>
          <w:tcPr>
            <w:tcW w:w="1984" w:type="dxa"/>
          </w:tcPr>
          <w:p w:rsidR="00AC2A62" w:rsidRDefault="004F0A3E" w:rsidP="00636732">
            <w:pPr>
              <w:pStyle w:val="Bulletpoint"/>
              <w:numPr>
                <w:ilvl w:val="0"/>
                <w:numId w:val="0"/>
              </w:numPr>
            </w:pPr>
            <w:r>
              <w:t>8.83</w:t>
            </w:r>
          </w:p>
        </w:tc>
        <w:tc>
          <w:tcPr>
            <w:tcW w:w="2188" w:type="dxa"/>
          </w:tcPr>
          <w:p w:rsidR="00AC2A62" w:rsidRDefault="004F0A3E" w:rsidP="00636732">
            <w:pPr>
              <w:pStyle w:val="Bulletpoint"/>
              <w:numPr>
                <w:ilvl w:val="0"/>
                <w:numId w:val="0"/>
              </w:numPr>
            </w:pPr>
            <w:r>
              <w:t>9.26</w:t>
            </w:r>
          </w:p>
        </w:tc>
      </w:tr>
      <w:tr w:rsidR="00AC2A62" w:rsidTr="004F0A3E">
        <w:tc>
          <w:tcPr>
            <w:tcW w:w="5070" w:type="dxa"/>
          </w:tcPr>
          <w:p w:rsidR="00AC2A62" w:rsidRDefault="00252484" w:rsidP="00636732">
            <w:pPr>
              <w:pStyle w:val="Bulletpoint"/>
              <w:numPr>
                <w:ilvl w:val="0"/>
                <w:numId w:val="0"/>
              </w:numPr>
            </w:pPr>
            <w:r>
              <w:t>PPI - machinery and equipment manufacturing</w:t>
            </w:r>
          </w:p>
        </w:tc>
        <w:tc>
          <w:tcPr>
            <w:tcW w:w="1984" w:type="dxa"/>
          </w:tcPr>
          <w:p w:rsidR="00AC2A62" w:rsidRDefault="004F0A3E" w:rsidP="00636732">
            <w:pPr>
              <w:pStyle w:val="Bulletpoint"/>
              <w:numPr>
                <w:ilvl w:val="0"/>
                <w:numId w:val="0"/>
              </w:numPr>
            </w:pPr>
            <w:r>
              <w:t>3.35</w:t>
            </w:r>
          </w:p>
        </w:tc>
        <w:tc>
          <w:tcPr>
            <w:tcW w:w="2188" w:type="dxa"/>
          </w:tcPr>
          <w:p w:rsidR="00AC2A62" w:rsidRDefault="004F0A3E" w:rsidP="00636732">
            <w:pPr>
              <w:pStyle w:val="Bulletpoint"/>
              <w:numPr>
                <w:ilvl w:val="0"/>
                <w:numId w:val="0"/>
              </w:numPr>
            </w:pPr>
            <w:r>
              <w:t>4.27</w:t>
            </w:r>
          </w:p>
        </w:tc>
      </w:tr>
      <w:tr w:rsidR="00AC2A62" w:rsidTr="004F0A3E">
        <w:trPr>
          <w:cnfStyle w:val="000000010000" w:firstRow="0" w:lastRow="0" w:firstColumn="0" w:lastColumn="0" w:oddVBand="0" w:evenVBand="0" w:oddHBand="0" w:evenHBand="1" w:firstRowFirstColumn="0" w:firstRowLastColumn="0" w:lastRowFirstColumn="0" w:lastRowLastColumn="0"/>
        </w:trPr>
        <w:tc>
          <w:tcPr>
            <w:tcW w:w="5070" w:type="dxa"/>
          </w:tcPr>
          <w:p w:rsidR="00AC2A62" w:rsidRDefault="00252484" w:rsidP="00636732">
            <w:pPr>
              <w:pStyle w:val="Bulletpoint"/>
              <w:numPr>
                <w:ilvl w:val="0"/>
                <w:numId w:val="0"/>
              </w:numPr>
            </w:pPr>
            <w:r>
              <w:t>G</w:t>
            </w:r>
            <w:r w:rsidR="00AA3CA7">
              <w:t xml:space="preserve">ross </w:t>
            </w:r>
            <w:r>
              <w:t>D</w:t>
            </w:r>
            <w:r w:rsidR="00AA3CA7">
              <w:t xml:space="preserve">omestic </w:t>
            </w:r>
            <w:r>
              <w:t>P</w:t>
            </w:r>
            <w:r w:rsidR="00AA3CA7">
              <w:t>roduct</w:t>
            </w:r>
            <w:r w:rsidR="007D4714">
              <w:t xml:space="preserve"> (GDP)</w:t>
            </w:r>
            <w:r>
              <w:t xml:space="preserve"> - implicit price deflator</w:t>
            </w:r>
            <w:r w:rsidR="00C11AAD">
              <w:t>*</w:t>
            </w:r>
            <w:r>
              <w:t xml:space="preserve"> </w:t>
            </w:r>
            <w:r w:rsidR="00AC2A62">
              <w:t xml:space="preserve"> </w:t>
            </w:r>
          </w:p>
        </w:tc>
        <w:tc>
          <w:tcPr>
            <w:tcW w:w="1984" w:type="dxa"/>
          </w:tcPr>
          <w:p w:rsidR="00AC2A62" w:rsidRDefault="004F0A3E" w:rsidP="00636732">
            <w:pPr>
              <w:pStyle w:val="Bulletpoint"/>
              <w:numPr>
                <w:ilvl w:val="0"/>
                <w:numId w:val="0"/>
              </w:numPr>
            </w:pPr>
            <w:r>
              <w:t>0.40</w:t>
            </w:r>
          </w:p>
        </w:tc>
        <w:tc>
          <w:tcPr>
            <w:tcW w:w="2188" w:type="dxa"/>
          </w:tcPr>
          <w:p w:rsidR="00AC2A62" w:rsidRDefault="004F0A3E" w:rsidP="00636732">
            <w:pPr>
              <w:pStyle w:val="Bulletpoint"/>
              <w:numPr>
                <w:ilvl w:val="0"/>
                <w:numId w:val="0"/>
              </w:numPr>
            </w:pPr>
            <w:r>
              <w:t>1.21</w:t>
            </w:r>
          </w:p>
        </w:tc>
      </w:tr>
      <w:tr w:rsidR="00AC2A62" w:rsidTr="004F0A3E">
        <w:tc>
          <w:tcPr>
            <w:tcW w:w="5070" w:type="dxa"/>
          </w:tcPr>
          <w:p w:rsidR="00AC2A62" w:rsidRDefault="00252484" w:rsidP="00636732">
            <w:pPr>
              <w:pStyle w:val="Bulletpoint"/>
              <w:numPr>
                <w:ilvl w:val="0"/>
                <w:numId w:val="0"/>
              </w:numPr>
            </w:pPr>
            <w:r>
              <w:t>GDP - chain price index</w:t>
            </w:r>
            <w:r w:rsidR="00C11AAD">
              <w:t>*</w:t>
            </w:r>
            <w:r>
              <w:t xml:space="preserve"> </w:t>
            </w:r>
            <w:r w:rsidR="00AC2A62">
              <w:t xml:space="preserve"> </w:t>
            </w:r>
          </w:p>
        </w:tc>
        <w:tc>
          <w:tcPr>
            <w:tcW w:w="1984" w:type="dxa"/>
          </w:tcPr>
          <w:p w:rsidR="00AC2A62" w:rsidRDefault="004F0A3E" w:rsidP="00636732">
            <w:pPr>
              <w:pStyle w:val="Bulletpoint"/>
              <w:numPr>
                <w:ilvl w:val="0"/>
                <w:numId w:val="0"/>
              </w:numPr>
            </w:pPr>
            <w:r>
              <w:t>1.30</w:t>
            </w:r>
          </w:p>
        </w:tc>
        <w:tc>
          <w:tcPr>
            <w:tcW w:w="2188" w:type="dxa"/>
          </w:tcPr>
          <w:p w:rsidR="00AC2A62" w:rsidRDefault="004F0A3E" w:rsidP="00636732">
            <w:pPr>
              <w:pStyle w:val="Bulletpoint"/>
              <w:numPr>
                <w:ilvl w:val="0"/>
                <w:numId w:val="0"/>
              </w:numPr>
            </w:pPr>
            <w:r>
              <w:t>1.61</w:t>
            </w:r>
          </w:p>
        </w:tc>
      </w:tr>
      <w:tr w:rsidR="004F0A3E" w:rsidTr="004F0A3E">
        <w:trPr>
          <w:cnfStyle w:val="000000010000" w:firstRow="0" w:lastRow="0" w:firstColumn="0" w:lastColumn="0" w:oddVBand="0" w:evenVBand="0" w:oddHBand="0" w:evenHBand="1" w:firstRowFirstColumn="0" w:firstRowLastColumn="0" w:lastRowFirstColumn="0" w:lastRowLastColumn="0"/>
        </w:trPr>
        <w:tc>
          <w:tcPr>
            <w:tcW w:w="5070" w:type="dxa"/>
          </w:tcPr>
          <w:p w:rsidR="004F0A3E" w:rsidRDefault="004F0A3E" w:rsidP="00636732">
            <w:pPr>
              <w:pStyle w:val="Bulletpoint"/>
              <w:numPr>
                <w:ilvl w:val="0"/>
                <w:numId w:val="0"/>
              </w:numPr>
            </w:pPr>
            <w:r>
              <w:t>GDP - implicit price deflator - fixed capital formation</w:t>
            </w:r>
            <w:r w:rsidR="00C11AAD">
              <w:t>*</w:t>
            </w:r>
          </w:p>
        </w:tc>
        <w:tc>
          <w:tcPr>
            <w:tcW w:w="1984" w:type="dxa"/>
          </w:tcPr>
          <w:p w:rsidR="004F0A3E" w:rsidRDefault="004F0A3E" w:rsidP="00636732">
            <w:pPr>
              <w:pStyle w:val="Bulletpoint"/>
              <w:numPr>
                <w:ilvl w:val="0"/>
                <w:numId w:val="0"/>
              </w:numPr>
            </w:pPr>
            <w:r>
              <w:t>4.62</w:t>
            </w:r>
          </w:p>
        </w:tc>
        <w:tc>
          <w:tcPr>
            <w:tcW w:w="2188" w:type="dxa"/>
          </w:tcPr>
          <w:p w:rsidR="004F0A3E" w:rsidRDefault="004F0A3E" w:rsidP="00636732">
            <w:pPr>
              <w:pStyle w:val="Bulletpoint"/>
              <w:numPr>
                <w:ilvl w:val="0"/>
                <w:numId w:val="0"/>
              </w:numPr>
            </w:pPr>
            <w:r>
              <w:t>4.52</w:t>
            </w:r>
          </w:p>
        </w:tc>
      </w:tr>
      <w:tr w:rsidR="004F0A3E" w:rsidTr="004F0A3E">
        <w:tc>
          <w:tcPr>
            <w:tcW w:w="5070" w:type="dxa"/>
          </w:tcPr>
          <w:p w:rsidR="004F0A3E" w:rsidRDefault="004F0A3E" w:rsidP="00636732">
            <w:pPr>
              <w:pStyle w:val="Bulletpoint"/>
              <w:numPr>
                <w:ilvl w:val="0"/>
                <w:numId w:val="0"/>
              </w:numPr>
            </w:pPr>
            <w:r>
              <w:t>GDP - implicit price deflator - final consumption</w:t>
            </w:r>
            <w:r w:rsidR="00C11AAD">
              <w:t>*</w:t>
            </w:r>
          </w:p>
        </w:tc>
        <w:tc>
          <w:tcPr>
            <w:tcW w:w="1984" w:type="dxa"/>
          </w:tcPr>
          <w:p w:rsidR="004F0A3E" w:rsidRDefault="004F0A3E" w:rsidP="00636732">
            <w:pPr>
              <w:pStyle w:val="Bulletpoint"/>
              <w:numPr>
                <w:ilvl w:val="0"/>
                <w:numId w:val="0"/>
              </w:numPr>
            </w:pPr>
            <w:r>
              <w:t>5.16</w:t>
            </w:r>
          </w:p>
        </w:tc>
        <w:tc>
          <w:tcPr>
            <w:tcW w:w="2188" w:type="dxa"/>
          </w:tcPr>
          <w:p w:rsidR="004F0A3E" w:rsidRDefault="004F0A3E" w:rsidP="00636732">
            <w:pPr>
              <w:pStyle w:val="Bulletpoint"/>
              <w:numPr>
                <w:ilvl w:val="0"/>
                <w:numId w:val="0"/>
              </w:numPr>
            </w:pPr>
            <w:r>
              <w:t>4.21</w:t>
            </w:r>
          </w:p>
        </w:tc>
      </w:tr>
      <w:tr w:rsidR="004F0A3E" w:rsidTr="004F0A3E">
        <w:trPr>
          <w:cnfStyle w:val="000000010000" w:firstRow="0" w:lastRow="0" w:firstColumn="0" w:lastColumn="0" w:oddVBand="0" w:evenVBand="0" w:oddHBand="0" w:evenHBand="1" w:firstRowFirstColumn="0" w:firstRowLastColumn="0" w:lastRowFirstColumn="0" w:lastRowLastColumn="0"/>
        </w:trPr>
        <w:tc>
          <w:tcPr>
            <w:tcW w:w="5070" w:type="dxa"/>
          </w:tcPr>
          <w:p w:rsidR="004F0A3E" w:rsidRDefault="004F0A3E" w:rsidP="00636732">
            <w:pPr>
              <w:pStyle w:val="Bulletpoint"/>
              <w:numPr>
                <w:ilvl w:val="0"/>
                <w:numId w:val="0"/>
              </w:numPr>
            </w:pPr>
            <w:r>
              <w:t>GDP - implicit price deflator - private fixed capital</w:t>
            </w:r>
            <w:r w:rsidR="00C11AAD">
              <w:t>*</w:t>
            </w:r>
            <w:r>
              <w:t xml:space="preserve"> formation - new engineering construction </w:t>
            </w:r>
          </w:p>
        </w:tc>
        <w:tc>
          <w:tcPr>
            <w:tcW w:w="1984" w:type="dxa"/>
          </w:tcPr>
          <w:p w:rsidR="004F0A3E" w:rsidRDefault="004F0A3E" w:rsidP="00636732">
            <w:pPr>
              <w:pStyle w:val="Bulletpoint"/>
              <w:numPr>
                <w:ilvl w:val="0"/>
                <w:numId w:val="0"/>
              </w:numPr>
            </w:pPr>
            <w:r>
              <w:t>4.14</w:t>
            </w:r>
          </w:p>
        </w:tc>
        <w:tc>
          <w:tcPr>
            <w:tcW w:w="2188" w:type="dxa"/>
          </w:tcPr>
          <w:p w:rsidR="004F0A3E" w:rsidRDefault="004F0A3E" w:rsidP="00636732">
            <w:pPr>
              <w:pStyle w:val="Bulletpoint"/>
              <w:numPr>
                <w:ilvl w:val="0"/>
                <w:numId w:val="0"/>
              </w:numPr>
            </w:pPr>
            <w:r>
              <w:t>3.10</w:t>
            </w:r>
          </w:p>
        </w:tc>
      </w:tr>
    </w:tbl>
    <w:p w:rsidR="00592BCD" w:rsidRDefault="00C11AAD" w:rsidP="00636732">
      <w:pPr>
        <w:pStyle w:val="Bulletpoint"/>
        <w:numPr>
          <w:ilvl w:val="0"/>
          <w:numId w:val="0"/>
        </w:numPr>
        <w:rPr>
          <w:rStyle w:val="AERtextsize8"/>
        </w:rPr>
      </w:pPr>
      <w:r>
        <w:t>*</w:t>
      </w:r>
      <w:r w:rsidR="00CA6300">
        <w:rPr>
          <w:rStyle w:val="AERtextsize8"/>
        </w:rPr>
        <w:t xml:space="preserve">At the time of this assessment, GDP data was only available up to the end of the first quarter of 2015 and </w:t>
      </w:r>
      <w:r w:rsidR="003B5F0D">
        <w:rPr>
          <w:rStyle w:val="AERtextsize8"/>
        </w:rPr>
        <w:t>so the table only measures the % change up to the first quarter of 201</w:t>
      </w:r>
      <w:r w:rsidR="00592BCD">
        <w:rPr>
          <w:rStyle w:val="AERtextsize8"/>
        </w:rPr>
        <w:t>5</w:t>
      </w:r>
      <w:r w:rsidR="003B5F0D">
        <w:rPr>
          <w:rStyle w:val="AERtextsize8"/>
        </w:rPr>
        <w:t>.</w:t>
      </w:r>
    </w:p>
    <w:p w:rsidR="0003094F" w:rsidRPr="00CA6300" w:rsidRDefault="00592BCD" w:rsidP="00636732">
      <w:pPr>
        <w:pStyle w:val="Bulletpoint"/>
        <w:numPr>
          <w:ilvl w:val="0"/>
          <w:numId w:val="0"/>
        </w:numPr>
        <w:rPr>
          <w:rStyle w:val="AERtextsize8"/>
        </w:rPr>
      </w:pPr>
      <w:r>
        <w:rPr>
          <w:rStyle w:val="AERtextsize8"/>
        </w:rPr>
        <w:t>Source: ABS</w:t>
      </w:r>
      <w:r>
        <w:rPr>
          <w:rStyle w:val="FootnoteReference"/>
        </w:rPr>
        <w:footnoteReference w:id="5"/>
      </w:r>
      <w:r w:rsidR="003B5F0D">
        <w:rPr>
          <w:rStyle w:val="AERtextsize8"/>
        </w:rPr>
        <w:t xml:space="preserve"> </w:t>
      </w:r>
    </w:p>
    <w:p w:rsidR="00185CB9" w:rsidRDefault="00185CB9" w:rsidP="00185CB9">
      <w:bookmarkStart w:id="16" w:name="_Toc421267131"/>
      <w:bookmarkStart w:id="17" w:name="_Toc421201000"/>
      <w:bookmarkStart w:id="18" w:name="_Toc421201091"/>
      <w:bookmarkStart w:id="19" w:name="_Toc421267133"/>
      <w:bookmarkStart w:id="20" w:name="_Toc421267134"/>
      <w:bookmarkStart w:id="21" w:name="_Toc421267135"/>
      <w:bookmarkStart w:id="22" w:name="_Toc421267139"/>
      <w:bookmarkStart w:id="23" w:name="_Toc421267140"/>
      <w:bookmarkStart w:id="24" w:name="_Toc421267144"/>
      <w:bookmarkStart w:id="25" w:name="_Toc421267149"/>
      <w:bookmarkEnd w:id="16"/>
      <w:bookmarkEnd w:id="17"/>
      <w:bookmarkEnd w:id="18"/>
      <w:bookmarkEnd w:id="19"/>
      <w:bookmarkEnd w:id="20"/>
      <w:bookmarkEnd w:id="21"/>
      <w:bookmarkEnd w:id="22"/>
      <w:bookmarkEnd w:id="23"/>
      <w:bookmarkEnd w:id="24"/>
      <w:bookmarkEnd w:id="25"/>
    </w:p>
    <w:sectPr w:rsidR="00185CB9" w:rsidSect="000D723B">
      <w:footerReference w:type="even" r:id="rId13"/>
      <w:footerReference w:type="default" r:id="rId14"/>
      <w:footerReference w:type="first" r:id="rId15"/>
      <w:pgSz w:w="11906" w:h="16838" w:code="9"/>
      <w:pgMar w:top="1440" w:right="1440" w:bottom="1440" w:left="1440" w:header="709" w:footer="9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C99" w:rsidRDefault="00881C99" w:rsidP="004B4412">
      <w:pPr>
        <w:spacing w:before="0"/>
      </w:pPr>
      <w:r>
        <w:separator/>
      </w:r>
    </w:p>
    <w:p w:rsidR="00881C99" w:rsidRDefault="00881C99"/>
    <w:p w:rsidR="00881C99" w:rsidRDefault="00881C99"/>
  </w:endnote>
  <w:endnote w:type="continuationSeparator" w:id="0">
    <w:p w:rsidR="00881C99" w:rsidRDefault="00881C99" w:rsidP="004B4412">
      <w:pPr>
        <w:spacing w:before="0"/>
      </w:pPr>
      <w:r>
        <w:continuationSeparator/>
      </w:r>
    </w:p>
    <w:p w:rsidR="00881C99" w:rsidRDefault="00881C99"/>
    <w:p w:rsidR="00881C99" w:rsidRDefault="00881C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C99" w:rsidRDefault="007D4714" w:rsidP="00A60023">
    <w:pPr>
      <w:pStyle w:val="Footer"/>
      <w:tabs>
        <w:tab w:val="clear" w:pos="4513"/>
        <w:tab w:val="clear" w:pos="9026"/>
        <w:tab w:val="left" w:pos="855"/>
      </w:tabs>
    </w:pPr>
    <w:r>
      <w:t xml:space="preserve">Regulatory investment test 2015 cost thresholds review </w:t>
    </w:r>
    <w:r w:rsidR="001D3F6F">
      <w:t xml:space="preserve">final </w:t>
    </w:r>
    <w:r>
      <w:t>determination</w:t>
    </w:r>
    <w:r w:rsidR="00881C99">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C99" w:rsidRPr="00A91A9E" w:rsidRDefault="00881C99" w:rsidP="00C71121">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881C99" w:rsidRDefault="00881C99"/>
  <w:p w:rsidR="00881C99" w:rsidRDefault="00881C9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C99" w:rsidRDefault="007D4714" w:rsidP="00CC7F1D">
    <w:pPr>
      <w:pStyle w:val="Footer"/>
      <w:tabs>
        <w:tab w:val="clear" w:pos="9026"/>
        <w:tab w:val="right" w:pos="8505"/>
      </w:tabs>
    </w:pPr>
    <w:r>
      <w:t>R</w:t>
    </w:r>
    <w:r w:rsidRPr="007D4714">
      <w:t xml:space="preserve">egulatory investment test 2015 cost thresholds review </w:t>
    </w:r>
    <w:r w:rsidR="001D3F6F">
      <w:t>final</w:t>
    </w:r>
    <w:r w:rsidR="001D3F6F" w:rsidRPr="007D4714">
      <w:t xml:space="preserve"> </w:t>
    </w:r>
    <w:r w:rsidRPr="007D4714">
      <w:t>determination</w:t>
    </w:r>
    <w:r w:rsidR="00881C99">
      <w:tab/>
    </w:r>
    <w:r w:rsidR="00881C99">
      <w:tab/>
    </w:r>
    <w:r w:rsidR="00881C99">
      <w:fldChar w:fldCharType="begin"/>
    </w:r>
    <w:r w:rsidR="00881C99">
      <w:instrText xml:space="preserve"> PAGE   \* MERGEFORMAT </w:instrText>
    </w:r>
    <w:r w:rsidR="00881C99">
      <w:fldChar w:fldCharType="separate"/>
    </w:r>
    <w:r w:rsidR="002636FC">
      <w:rPr>
        <w:noProof/>
      </w:rPr>
      <w:t>2</w:t>
    </w:r>
    <w:r w:rsidR="00881C99">
      <w:rPr>
        <w:noProof/>
      </w:rPr>
      <w:fldChar w:fldCharType="end"/>
    </w:r>
  </w:p>
  <w:p w:rsidR="00881C99" w:rsidRDefault="00881C99"/>
  <w:p w:rsidR="00881C99" w:rsidRDefault="00881C9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C99" w:rsidRDefault="007D4714" w:rsidP="007D4714">
    <w:pPr>
      <w:pStyle w:val="Footer"/>
    </w:pPr>
    <w:r>
      <w:t>R</w:t>
    </w:r>
    <w:r w:rsidRPr="007D4714">
      <w:t>egulatory investment test 2015 cost thresholds review draft determination</w:t>
    </w:r>
    <w:r w:rsidRPr="007D4714">
      <w:tab/>
    </w:r>
    <w:r w:rsidR="00881C99">
      <w:tab/>
    </w:r>
    <w:r w:rsidR="00881C99">
      <w:fldChar w:fldCharType="begin"/>
    </w:r>
    <w:r w:rsidR="00881C99">
      <w:instrText xml:space="preserve"> PAGE   \* MERGEFORMAT </w:instrText>
    </w:r>
    <w:r w:rsidR="00881C99">
      <w:fldChar w:fldCharType="separate"/>
    </w:r>
    <w:r w:rsidR="002636FC">
      <w:rPr>
        <w:noProof/>
      </w:rPr>
      <w:t>1</w:t>
    </w:r>
    <w:r w:rsidR="00881C99">
      <w:fldChar w:fldCharType="end"/>
    </w:r>
  </w:p>
  <w:p w:rsidR="00881C99" w:rsidRDefault="00881C99" w:rsidP="000736E3">
    <w:pPr>
      <w:pStyle w:val="Footer"/>
      <w:tabs>
        <w:tab w:val="clear" w:pos="4513"/>
        <w:tab w:val="clear" w:pos="9026"/>
        <w:tab w:val="left" w:pos="2763"/>
      </w:tabs>
    </w:pPr>
    <w:r>
      <w:tab/>
    </w:r>
  </w:p>
  <w:p w:rsidR="00881C99" w:rsidRDefault="00881C99"/>
  <w:p w:rsidR="00881C99" w:rsidRDefault="00881C9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C99" w:rsidRDefault="00881C99" w:rsidP="00182906">
      <w:pPr>
        <w:spacing w:before="0"/>
      </w:pPr>
      <w:r>
        <w:separator/>
      </w:r>
    </w:p>
  </w:footnote>
  <w:footnote w:type="continuationSeparator" w:id="0">
    <w:p w:rsidR="00881C99" w:rsidRDefault="00881C99" w:rsidP="00182906">
      <w:pPr>
        <w:spacing w:before="0"/>
      </w:pPr>
      <w:r>
        <w:continuationSeparator/>
      </w:r>
    </w:p>
  </w:footnote>
  <w:footnote w:type="continuationNotice" w:id="1">
    <w:p w:rsidR="00881C99" w:rsidRDefault="00881C99">
      <w:pPr>
        <w:spacing w:before="0" w:line="240" w:lineRule="auto"/>
      </w:pPr>
    </w:p>
  </w:footnote>
  <w:footnote w:id="2">
    <w:p w:rsidR="00CB039A" w:rsidRDefault="00CB039A">
      <w:pPr>
        <w:pStyle w:val="FootnoteText"/>
      </w:pPr>
      <w:r>
        <w:rPr>
          <w:rStyle w:val="FootnoteReference"/>
        </w:rPr>
        <w:footnoteRef/>
      </w:r>
      <w:r>
        <w:t xml:space="preserve"> set out in clause 5.15.3(a),(c). </w:t>
      </w:r>
    </w:p>
  </w:footnote>
  <w:footnote w:id="3">
    <w:p w:rsidR="00BC68D4" w:rsidRDefault="00BC68D4">
      <w:pPr>
        <w:pStyle w:val="FootnoteText"/>
      </w:pPr>
      <w:r>
        <w:rPr>
          <w:rStyle w:val="FootnoteReference"/>
        </w:rPr>
        <w:footnoteRef/>
      </w:r>
      <w:r>
        <w:t xml:space="preserve"> </w:t>
      </w:r>
      <w:r w:rsidR="0007033E">
        <w:t>s</w:t>
      </w:r>
      <w:r w:rsidR="00F5609B">
        <w:t>pecifically the cost thresholds referred to in clauses 5.16.3(a)(2),(4) and (5)</w:t>
      </w:r>
      <w:r w:rsidR="0007033E">
        <w:t xml:space="preserve"> of the NER</w:t>
      </w:r>
      <w:r w:rsidR="00F5609B">
        <w:t xml:space="preserve">. </w:t>
      </w:r>
    </w:p>
  </w:footnote>
  <w:footnote w:id="4">
    <w:p w:rsidR="00B9533A" w:rsidRDefault="00B9533A">
      <w:pPr>
        <w:pStyle w:val="FootnoteText"/>
      </w:pPr>
      <w:r>
        <w:rPr>
          <w:rStyle w:val="FootnoteReference"/>
        </w:rPr>
        <w:footnoteRef/>
      </w:r>
      <w:r>
        <w:t xml:space="preserve"> </w:t>
      </w:r>
      <w:r w:rsidR="0007033E">
        <w:t>s</w:t>
      </w:r>
      <w:r w:rsidR="00F5609B">
        <w:t>pecifically the cost thresholds referred to in clauses 5.17.3(</w:t>
      </w:r>
      <w:r w:rsidR="0007033E">
        <w:t xml:space="preserve">a)(2) and (6) of the NER.  </w:t>
      </w:r>
    </w:p>
  </w:footnote>
  <w:footnote w:id="5">
    <w:p w:rsidR="00592BCD" w:rsidRDefault="00592BCD">
      <w:pPr>
        <w:pStyle w:val="FootnoteText"/>
      </w:pPr>
      <w:r>
        <w:rPr>
          <w:rStyle w:val="FootnoteReference"/>
        </w:rPr>
        <w:footnoteRef/>
      </w:r>
      <w:r>
        <w:t xml:space="preserve"> ABS Consumer Price Index Australia, June 2015, catalogue number 6401.0; Producer Price Index Australia, June 2015, catalogue number </w:t>
      </w:r>
      <w:r w:rsidR="007D4714">
        <w:t xml:space="preserve">6427.0; Australian National Income, Expenditure and Product, March 2015, catalogue number 5206.0.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448269C"/>
    <w:lvl w:ilvl="0">
      <w:start w:val="1"/>
      <w:numFmt w:val="decimal"/>
      <w:pStyle w:val="ListNumber3"/>
      <w:lvlText w:val="%1."/>
      <w:lvlJc w:val="left"/>
      <w:pPr>
        <w:tabs>
          <w:tab w:val="num" w:pos="1021"/>
        </w:tabs>
        <w:ind w:left="1021" w:hanging="34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3">
    <w:nsid w:val="FFFFFF7F"/>
    <w:multiLevelType w:val="singleLevel"/>
    <w:tmpl w:val="9850DE38"/>
    <w:lvl w:ilvl="0">
      <w:start w:val="1"/>
      <w:numFmt w:val="decimal"/>
      <w:pStyle w:val="ListNumber2"/>
      <w:lvlText w:val="%1."/>
      <w:lvlJc w:val="left"/>
      <w:pPr>
        <w:ind w:left="70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041F530A"/>
    <w:multiLevelType w:val="multilevel"/>
    <w:tmpl w:val="90F812A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713"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09C62EF7"/>
    <w:multiLevelType w:val="hybridMultilevel"/>
    <w:tmpl w:val="C6868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C4312B0"/>
    <w:multiLevelType w:val="hybridMultilevel"/>
    <w:tmpl w:val="69705164"/>
    <w:lvl w:ilvl="0" w:tplc="E0F6C07C">
      <w:start w:val="1"/>
      <w:numFmt w:val="lowerLetter"/>
      <w:pStyle w:val="Listalphabet"/>
      <w:lvlText w:val="(%1)"/>
      <w:lvlJc w:val="left"/>
      <w:pPr>
        <w:ind w:left="104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3">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5">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CF519CE"/>
    <w:multiLevelType w:val="multilevel"/>
    <w:tmpl w:val="FDC07CAE"/>
    <w:lvl w:ilvl="0">
      <w:start w:val="1"/>
      <w:numFmt w:val="decimal"/>
      <w:lvlText w:val="%1."/>
      <w:lvlJc w:val="left"/>
      <w:pPr>
        <w:ind w:left="360" w:hanging="360"/>
      </w:pPr>
    </w:lvl>
    <w:lvl w:ilvl="1">
      <w:start w:val="1"/>
      <w:numFmt w:val="decimal"/>
      <w:pStyle w:val="Numberedparagraph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D7D0754"/>
    <w:multiLevelType w:val="hybridMultilevel"/>
    <w:tmpl w:val="C11CE40C"/>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8">
    <w:nsid w:val="1E6D7A80"/>
    <w:multiLevelType w:val="hybridMultilevel"/>
    <w:tmpl w:val="C3B6AAA6"/>
    <w:lvl w:ilvl="0" w:tplc="0C090001">
      <w:start w:val="1"/>
      <w:numFmt w:val="bullet"/>
      <w:lvlText w:val=""/>
      <w:lvlJc w:val="left"/>
      <w:pPr>
        <w:ind w:left="855"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9">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1">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9881C01"/>
    <w:multiLevelType w:val="hybridMultilevel"/>
    <w:tmpl w:val="201E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C4E1207"/>
    <w:multiLevelType w:val="multilevel"/>
    <w:tmpl w:val="7DD83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2D32405"/>
    <w:multiLevelType w:val="hybridMultilevel"/>
    <w:tmpl w:val="4040306A"/>
    <w:lvl w:ilvl="0" w:tplc="0C090019">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nsid w:val="563C0F33"/>
    <w:multiLevelType w:val="multilevel"/>
    <w:tmpl w:val="D74ADE0E"/>
    <w:lvl w:ilvl="0">
      <w:start w:val="1"/>
      <w:numFmt w:val="bullet"/>
      <w:lvlText w:val=""/>
      <w:lvlJc w:val="left"/>
      <w:pPr>
        <w:ind w:left="360" w:hanging="360"/>
      </w:pPr>
      <w:rPr>
        <w:rFonts w:ascii="Symbol" w:hAnsi="Symbol"/>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9">
    <w:nsid w:val="5C5C7569"/>
    <w:multiLevelType w:val="hybridMultilevel"/>
    <w:tmpl w:val="1E4A3CE0"/>
    <w:lvl w:ilvl="0" w:tplc="0C090001">
      <w:start w:val="1"/>
      <w:numFmt w:val="bullet"/>
      <w:lvlText w:val=""/>
      <w:lvlJc w:val="left"/>
      <w:pPr>
        <w:ind w:left="99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0">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31">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7C104FD0"/>
    <w:multiLevelType w:val="hybridMultilevel"/>
    <w:tmpl w:val="11E86C8A"/>
    <w:lvl w:ilvl="0" w:tplc="71EA98B8">
      <w:start w:val="1"/>
      <w:numFmt w:val="lowerLetter"/>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nsid w:val="7E2819EC"/>
    <w:multiLevelType w:val="multilevel"/>
    <w:tmpl w:val="A3742E2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33"/>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0"/>
  </w:num>
  <w:num w:numId="13">
    <w:abstractNumId w:val="21"/>
  </w:num>
  <w:num w:numId="14">
    <w:abstractNumId w:val="13"/>
  </w:num>
  <w:num w:numId="15">
    <w:abstractNumId w:val="16"/>
  </w:num>
  <w:num w:numId="16">
    <w:abstractNumId w:val="23"/>
  </w:num>
  <w:num w:numId="17">
    <w:abstractNumId w:val="12"/>
  </w:num>
  <w:num w:numId="18">
    <w:abstractNumId w:val="20"/>
  </w:num>
  <w:num w:numId="19">
    <w:abstractNumId w:val="11"/>
  </w:num>
  <w:num w:numId="20">
    <w:abstractNumId w:val="24"/>
  </w:num>
  <w:num w:numId="21">
    <w:abstractNumId w:val="31"/>
  </w:num>
  <w:num w:numId="22">
    <w:abstractNumId w:val="19"/>
  </w:num>
  <w:num w:numId="23">
    <w:abstractNumId w:val="2"/>
    <w:lvlOverride w:ilvl="0">
      <w:startOverride w:val="1"/>
    </w:lvlOverride>
  </w:num>
  <w:num w:numId="24">
    <w:abstractNumId w:val="20"/>
    <w:lvlOverride w:ilvl="0">
      <w:startOverride w:val="1"/>
    </w:lvlOverride>
  </w:num>
  <w:num w:numId="25">
    <w:abstractNumId w:val="28"/>
  </w:num>
  <w:num w:numId="26">
    <w:abstractNumId w:val="22"/>
  </w:num>
  <w:num w:numId="27">
    <w:abstractNumId w:val="9"/>
  </w:num>
  <w:num w:numId="28">
    <w:abstractNumId w:val="15"/>
  </w:num>
  <w:num w:numId="29">
    <w:abstractNumId w:val="10"/>
  </w:num>
  <w:num w:numId="30">
    <w:abstractNumId w:val="27"/>
  </w:num>
  <w:num w:numId="3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26"/>
  </w:num>
  <w:num w:numId="36">
    <w:abstractNumId w:val="2"/>
    <w:lvlOverride w:ilvl="0">
      <w:startOverride w:val="1"/>
    </w:lvlOverride>
  </w:num>
  <w:num w:numId="37">
    <w:abstractNumId w:val="2"/>
    <w:lvlOverride w:ilvl="0">
      <w:startOverride w:val="1"/>
    </w:lvlOverride>
  </w:num>
  <w:num w:numId="38">
    <w:abstractNumId w:val="2"/>
    <w:lvlOverride w:ilvl="0">
      <w:startOverride w:val="1"/>
    </w:lvlOverride>
  </w:num>
  <w:num w:numId="39">
    <w:abstractNumId w:val="3"/>
    <w:lvlOverride w:ilvl="0">
      <w:startOverride w:val="1"/>
    </w:lvlOverride>
  </w:num>
  <w:num w:numId="40">
    <w:abstractNumId w:val="3"/>
    <w:lvlOverride w:ilvl="0">
      <w:startOverride w:val="1"/>
    </w:lvlOverride>
  </w:num>
  <w:num w:numId="41">
    <w:abstractNumId w:val="3"/>
    <w:lvlOverride w:ilvl="0">
      <w:startOverride w:val="1"/>
    </w:lvlOverride>
  </w:num>
  <w:num w:numId="42">
    <w:abstractNumId w:val="3"/>
    <w:lvlOverride w:ilvl="0">
      <w:startOverride w:val="1"/>
    </w:lvlOverride>
  </w:num>
  <w:num w:numId="43">
    <w:abstractNumId w:val="3"/>
    <w:lvlOverride w:ilvl="0">
      <w:startOverride w:val="1"/>
    </w:lvlOverride>
  </w:num>
  <w:num w:numId="44">
    <w:abstractNumId w:val="3"/>
    <w:lvlOverride w:ilvl="0">
      <w:startOverride w:val="1"/>
    </w:lvlOverride>
  </w:num>
  <w:num w:numId="45">
    <w:abstractNumId w:val="3"/>
    <w:lvlOverride w:ilvl="0">
      <w:startOverride w:val="1"/>
    </w:lvlOverride>
  </w:num>
  <w:num w:numId="46">
    <w:abstractNumId w:val="25"/>
    <w:lvlOverride w:ilvl="0">
      <w:lvl w:ilvl="0">
        <w:numFmt w:val="bullet"/>
        <w:lvlText w:val=""/>
        <w:lvlJc w:val="left"/>
        <w:pPr>
          <w:tabs>
            <w:tab w:val="num" w:pos="720"/>
          </w:tabs>
          <w:ind w:left="720" w:hanging="360"/>
        </w:pPr>
        <w:rPr>
          <w:rFonts w:ascii="Wingdings" w:hAnsi="Wingdings" w:hint="default"/>
          <w:sz w:val="20"/>
        </w:rPr>
      </w:lvl>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tyleLockTheme/>
  <w:defaultTabStop w:val="340"/>
  <w:characterSpacingControl w:val="doNotCompress"/>
  <w:hdrShapeDefaults>
    <o:shapedefaults v:ext="edit" spidmax="69633"/>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ghuang\Desktop\for upload - final determination - cost thresholds review for the regulatory investment test - November 2015.DOCX"/>
  </w:docVars>
  <w:rsids>
    <w:rsidRoot w:val="00015062"/>
    <w:rsid w:val="00001868"/>
    <w:rsid w:val="000070AE"/>
    <w:rsid w:val="00010E43"/>
    <w:rsid w:val="00012864"/>
    <w:rsid w:val="000139BA"/>
    <w:rsid w:val="00013ADE"/>
    <w:rsid w:val="00015062"/>
    <w:rsid w:val="00021202"/>
    <w:rsid w:val="00024512"/>
    <w:rsid w:val="0002517F"/>
    <w:rsid w:val="0003094F"/>
    <w:rsid w:val="0003219E"/>
    <w:rsid w:val="0003241E"/>
    <w:rsid w:val="00033A84"/>
    <w:rsid w:val="000352C3"/>
    <w:rsid w:val="0003568D"/>
    <w:rsid w:val="0003578C"/>
    <w:rsid w:val="00035C9E"/>
    <w:rsid w:val="00042894"/>
    <w:rsid w:val="00043FFA"/>
    <w:rsid w:val="00046E80"/>
    <w:rsid w:val="00050290"/>
    <w:rsid w:val="00051702"/>
    <w:rsid w:val="000521CC"/>
    <w:rsid w:val="000528CE"/>
    <w:rsid w:val="00052F86"/>
    <w:rsid w:val="00053D49"/>
    <w:rsid w:val="000572F8"/>
    <w:rsid w:val="00063247"/>
    <w:rsid w:val="00064AA3"/>
    <w:rsid w:val="00065819"/>
    <w:rsid w:val="00065E11"/>
    <w:rsid w:val="0007033E"/>
    <w:rsid w:val="00070F9F"/>
    <w:rsid w:val="0007137B"/>
    <w:rsid w:val="000736E3"/>
    <w:rsid w:val="000739CA"/>
    <w:rsid w:val="000740CB"/>
    <w:rsid w:val="00074341"/>
    <w:rsid w:val="000768B1"/>
    <w:rsid w:val="000803D2"/>
    <w:rsid w:val="000806BB"/>
    <w:rsid w:val="00080D52"/>
    <w:rsid w:val="00082197"/>
    <w:rsid w:val="00083F0B"/>
    <w:rsid w:val="00085663"/>
    <w:rsid w:val="00085EBF"/>
    <w:rsid w:val="00090F82"/>
    <w:rsid w:val="000933BA"/>
    <w:rsid w:val="00096E9E"/>
    <w:rsid w:val="000A34EA"/>
    <w:rsid w:val="000A486C"/>
    <w:rsid w:val="000A63A7"/>
    <w:rsid w:val="000A6C7B"/>
    <w:rsid w:val="000B0141"/>
    <w:rsid w:val="000B1A41"/>
    <w:rsid w:val="000B48F4"/>
    <w:rsid w:val="000B514E"/>
    <w:rsid w:val="000C003A"/>
    <w:rsid w:val="000C4636"/>
    <w:rsid w:val="000D122C"/>
    <w:rsid w:val="000D2380"/>
    <w:rsid w:val="000D2B2F"/>
    <w:rsid w:val="000D39EA"/>
    <w:rsid w:val="000D69B0"/>
    <w:rsid w:val="000D723B"/>
    <w:rsid w:val="000E1819"/>
    <w:rsid w:val="000E6C72"/>
    <w:rsid w:val="000E6D6C"/>
    <w:rsid w:val="000E73B8"/>
    <w:rsid w:val="001008E3"/>
    <w:rsid w:val="00102054"/>
    <w:rsid w:val="00106C64"/>
    <w:rsid w:val="00107CC7"/>
    <w:rsid w:val="00113642"/>
    <w:rsid w:val="00114F63"/>
    <w:rsid w:val="00116EB2"/>
    <w:rsid w:val="00124609"/>
    <w:rsid w:val="00127202"/>
    <w:rsid w:val="00130C3C"/>
    <w:rsid w:val="00134A29"/>
    <w:rsid w:val="00136BAA"/>
    <w:rsid w:val="00140B21"/>
    <w:rsid w:val="00143814"/>
    <w:rsid w:val="0014573B"/>
    <w:rsid w:val="00147E69"/>
    <w:rsid w:val="001573E4"/>
    <w:rsid w:val="00160756"/>
    <w:rsid w:val="00170114"/>
    <w:rsid w:val="0017232E"/>
    <w:rsid w:val="00174102"/>
    <w:rsid w:val="0017617E"/>
    <w:rsid w:val="00180157"/>
    <w:rsid w:val="001826F6"/>
    <w:rsid w:val="00182906"/>
    <w:rsid w:val="00185CB9"/>
    <w:rsid w:val="00186F77"/>
    <w:rsid w:val="00190F75"/>
    <w:rsid w:val="001926A4"/>
    <w:rsid w:val="00192AD5"/>
    <w:rsid w:val="001938F6"/>
    <w:rsid w:val="00193BCE"/>
    <w:rsid w:val="00193BE7"/>
    <w:rsid w:val="001A1445"/>
    <w:rsid w:val="001A5163"/>
    <w:rsid w:val="001B1855"/>
    <w:rsid w:val="001B45A0"/>
    <w:rsid w:val="001C2C08"/>
    <w:rsid w:val="001C2D30"/>
    <w:rsid w:val="001D055E"/>
    <w:rsid w:val="001D1214"/>
    <w:rsid w:val="001D3F6F"/>
    <w:rsid w:val="001E0B4A"/>
    <w:rsid w:val="001E6130"/>
    <w:rsid w:val="001E79A5"/>
    <w:rsid w:val="001F492E"/>
    <w:rsid w:val="001F6DA3"/>
    <w:rsid w:val="00200BA8"/>
    <w:rsid w:val="002010BC"/>
    <w:rsid w:val="00202E03"/>
    <w:rsid w:val="002031B7"/>
    <w:rsid w:val="002040B0"/>
    <w:rsid w:val="0020492C"/>
    <w:rsid w:val="00207FDC"/>
    <w:rsid w:val="00210806"/>
    <w:rsid w:val="00223904"/>
    <w:rsid w:val="00224DB9"/>
    <w:rsid w:val="00233775"/>
    <w:rsid w:val="00233FBC"/>
    <w:rsid w:val="00234AB2"/>
    <w:rsid w:val="0024747F"/>
    <w:rsid w:val="00250057"/>
    <w:rsid w:val="00251745"/>
    <w:rsid w:val="00252484"/>
    <w:rsid w:val="00254468"/>
    <w:rsid w:val="002636FC"/>
    <w:rsid w:val="00263AC0"/>
    <w:rsid w:val="00264A7C"/>
    <w:rsid w:val="00267288"/>
    <w:rsid w:val="0026772D"/>
    <w:rsid w:val="00267E9D"/>
    <w:rsid w:val="0027250A"/>
    <w:rsid w:val="00272871"/>
    <w:rsid w:val="002737A4"/>
    <w:rsid w:val="00277EDB"/>
    <w:rsid w:val="00286874"/>
    <w:rsid w:val="00287217"/>
    <w:rsid w:val="00290ED4"/>
    <w:rsid w:val="00294656"/>
    <w:rsid w:val="00296B65"/>
    <w:rsid w:val="002A0432"/>
    <w:rsid w:val="002A2748"/>
    <w:rsid w:val="002A7DEF"/>
    <w:rsid w:val="002B20F5"/>
    <w:rsid w:val="002B4DB2"/>
    <w:rsid w:val="002B5F8C"/>
    <w:rsid w:val="002C23F8"/>
    <w:rsid w:val="002C2B93"/>
    <w:rsid w:val="002C37FB"/>
    <w:rsid w:val="002D41A5"/>
    <w:rsid w:val="002E1BE5"/>
    <w:rsid w:val="002E2BFC"/>
    <w:rsid w:val="002F0523"/>
    <w:rsid w:val="002F4E59"/>
    <w:rsid w:val="002F7986"/>
    <w:rsid w:val="00301B40"/>
    <w:rsid w:val="00302AE6"/>
    <w:rsid w:val="00305CC8"/>
    <w:rsid w:val="00306A3E"/>
    <w:rsid w:val="00307F6D"/>
    <w:rsid w:val="00312C7B"/>
    <w:rsid w:val="00313FEA"/>
    <w:rsid w:val="003177A2"/>
    <w:rsid w:val="003202D9"/>
    <w:rsid w:val="003240C8"/>
    <w:rsid w:val="003271B5"/>
    <w:rsid w:val="00327A1E"/>
    <w:rsid w:val="00331264"/>
    <w:rsid w:val="00331EB1"/>
    <w:rsid w:val="003320B2"/>
    <w:rsid w:val="00334C8D"/>
    <w:rsid w:val="003369B7"/>
    <w:rsid w:val="003518B3"/>
    <w:rsid w:val="0035694D"/>
    <w:rsid w:val="0036422A"/>
    <w:rsid w:val="00371734"/>
    <w:rsid w:val="00372646"/>
    <w:rsid w:val="003767D0"/>
    <w:rsid w:val="0038044F"/>
    <w:rsid w:val="00382B6C"/>
    <w:rsid w:val="003833DF"/>
    <w:rsid w:val="003846F1"/>
    <w:rsid w:val="00385C70"/>
    <w:rsid w:val="00386D92"/>
    <w:rsid w:val="003903E7"/>
    <w:rsid w:val="00390A8B"/>
    <w:rsid w:val="00392213"/>
    <w:rsid w:val="0039476A"/>
    <w:rsid w:val="00397635"/>
    <w:rsid w:val="003B5F0D"/>
    <w:rsid w:val="003B69C0"/>
    <w:rsid w:val="003C0035"/>
    <w:rsid w:val="003C1F8F"/>
    <w:rsid w:val="003D2F62"/>
    <w:rsid w:val="003D6659"/>
    <w:rsid w:val="003E2049"/>
    <w:rsid w:val="003E2D90"/>
    <w:rsid w:val="003E3E48"/>
    <w:rsid w:val="003E7615"/>
    <w:rsid w:val="003F2BE8"/>
    <w:rsid w:val="003F3F3D"/>
    <w:rsid w:val="003F4020"/>
    <w:rsid w:val="003F6A04"/>
    <w:rsid w:val="003F742C"/>
    <w:rsid w:val="004009A2"/>
    <w:rsid w:val="0040305F"/>
    <w:rsid w:val="00422203"/>
    <w:rsid w:val="00424C6B"/>
    <w:rsid w:val="00425658"/>
    <w:rsid w:val="0042673F"/>
    <w:rsid w:val="0043233C"/>
    <w:rsid w:val="00444B13"/>
    <w:rsid w:val="004611B0"/>
    <w:rsid w:val="00466876"/>
    <w:rsid w:val="004766E9"/>
    <w:rsid w:val="00477F3A"/>
    <w:rsid w:val="00480B4B"/>
    <w:rsid w:val="00485BCB"/>
    <w:rsid w:val="00485DC4"/>
    <w:rsid w:val="0049360E"/>
    <w:rsid w:val="004A43D1"/>
    <w:rsid w:val="004A6533"/>
    <w:rsid w:val="004A6B81"/>
    <w:rsid w:val="004A7E61"/>
    <w:rsid w:val="004B3B3E"/>
    <w:rsid w:val="004B4412"/>
    <w:rsid w:val="004B7746"/>
    <w:rsid w:val="004C348C"/>
    <w:rsid w:val="004C66CF"/>
    <w:rsid w:val="004D55BA"/>
    <w:rsid w:val="004E0504"/>
    <w:rsid w:val="004E22EC"/>
    <w:rsid w:val="004E4FFF"/>
    <w:rsid w:val="004E5542"/>
    <w:rsid w:val="004F0A3E"/>
    <w:rsid w:val="004F13DD"/>
    <w:rsid w:val="004F7B38"/>
    <w:rsid w:val="00504F91"/>
    <w:rsid w:val="0050566B"/>
    <w:rsid w:val="005074BB"/>
    <w:rsid w:val="00516A4D"/>
    <w:rsid w:val="00516A8F"/>
    <w:rsid w:val="00517B24"/>
    <w:rsid w:val="005223D8"/>
    <w:rsid w:val="00524A46"/>
    <w:rsid w:val="00527A11"/>
    <w:rsid w:val="00530128"/>
    <w:rsid w:val="005309DD"/>
    <w:rsid w:val="00531862"/>
    <w:rsid w:val="005322C9"/>
    <w:rsid w:val="00532467"/>
    <w:rsid w:val="00541251"/>
    <w:rsid w:val="00541D99"/>
    <w:rsid w:val="005471D9"/>
    <w:rsid w:val="00552087"/>
    <w:rsid w:val="0055403A"/>
    <w:rsid w:val="00557A5B"/>
    <w:rsid w:val="0056080A"/>
    <w:rsid w:val="00560881"/>
    <w:rsid w:val="00562632"/>
    <w:rsid w:val="00564A4D"/>
    <w:rsid w:val="00566BCE"/>
    <w:rsid w:val="00567BA5"/>
    <w:rsid w:val="0057014F"/>
    <w:rsid w:val="00571B35"/>
    <w:rsid w:val="00571D57"/>
    <w:rsid w:val="00572149"/>
    <w:rsid w:val="00573AD6"/>
    <w:rsid w:val="005747B9"/>
    <w:rsid w:val="00575FA3"/>
    <w:rsid w:val="00576438"/>
    <w:rsid w:val="00577A09"/>
    <w:rsid w:val="00581B9B"/>
    <w:rsid w:val="005829C2"/>
    <w:rsid w:val="00584D8F"/>
    <w:rsid w:val="005852B6"/>
    <w:rsid w:val="00592BCD"/>
    <w:rsid w:val="005A3F9A"/>
    <w:rsid w:val="005A404D"/>
    <w:rsid w:val="005B1E3C"/>
    <w:rsid w:val="005C26CC"/>
    <w:rsid w:val="005C4261"/>
    <w:rsid w:val="005C6779"/>
    <w:rsid w:val="005D52C7"/>
    <w:rsid w:val="005D6EAD"/>
    <w:rsid w:val="005D7046"/>
    <w:rsid w:val="005E08E7"/>
    <w:rsid w:val="005E78BF"/>
    <w:rsid w:val="005F7281"/>
    <w:rsid w:val="0060528F"/>
    <w:rsid w:val="00606AFA"/>
    <w:rsid w:val="00614BBD"/>
    <w:rsid w:val="00615C6B"/>
    <w:rsid w:val="00621A4A"/>
    <w:rsid w:val="006262E3"/>
    <w:rsid w:val="00632D6D"/>
    <w:rsid w:val="00636732"/>
    <w:rsid w:val="00642C3E"/>
    <w:rsid w:val="00644D97"/>
    <w:rsid w:val="00651795"/>
    <w:rsid w:val="006570EA"/>
    <w:rsid w:val="00663DAD"/>
    <w:rsid w:val="00665F8B"/>
    <w:rsid w:val="00666196"/>
    <w:rsid w:val="00670957"/>
    <w:rsid w:val="00672136"/>
    <w:rsid w:val="00676679"/>
    <w:rsid w:val="00676E13"/>
    <w:rsid w:val="006A008E"/>
    <w:rsid w:val="006A14DE"/>
    <w:rsid w:val="006A7E53"/>
    <w:rsid w:val="006B0F63"/>
    <w:rsid w:val="006B1796"/>
    <w:rsid w:val="006B3C86"/>
    <w:rsid w:val="006B4CF9"/>
    <w:rsid w:val="006B5F5A"/>
    <w:rsid w:val="006B7AC8"/>
    <w:rsid w:val="006B7E14"/>
    <w:rsid w:val="006C1FEB"/>
    <w:rsid w:val="006C2FBC"/>
    <w:rsid w:val="006C67C3"/>
    <w:rsid w:val="006D0FD9"/>
    <w:rsid w:val="006D16E7"/>
    <w:rsid w:val="006D550F"/>
    <w:rsid w:val="006D61B6"/>
    <w:rsid w:val="006E5524"/>
    <w:rsid w:val="006E6402"/>
    <w:rsid w:val="006F7C44"/>
    <w:rsid w:val="00701CAB"/>
    <w:rsid w:val="00701FC1"/>
    <w:rsid w:val="007036F3"/>
    <w:rsid w:val="00704A90"/>
    <w:rsid w:val="00707563"/>
    <w:rsid w:val="007101A9"/>
    <w:rsid w:val="007117F5"/>
    <w:rsid w:val="0072348C"/>
    <w:rsid w:val="00724A37"/>
    <w:rsid w:val="00724E8F"/>
    <w:rsid w:val="007303C3"/>
    <w:rsid w:val="00733202"/>
    <w:rsid w:val="007350E5"/>
    <w:rsid w:val="00737A27"/>
    <w:rsid w:val="00743223"/>
    <w:rsid w:val="00746E01"/>
    <w:rsid w:val="00746ECD"/>
    <w:rsid w:val="007478FB"/>
    <w:rsid w:val="00755C1B"/>
    <w:rsid w:val="00757BDF"/>
    <w:rsid w:val="00762888"/>
    <w:rsid w:val="00763E5D"/>
    <w:rsid w:val="00767740"/>
    <w:rsid w:val="00771622"/>
    <w:rsid w:val="007779EB"/>
    <w:rsid w:val="00777EE6"/>
    <w:rsid w:val="00781227"/>
    <w:rsid w:val="007814B2"/>
    <w:rsid w:val="00782EEA"/>
    <w:rsid w:val="0078590B"/>
    <w:rsid w:val="00790EA8"/>
    <w:rsid w:val="0079334D"/>
    <w:rsid w:val="007A4D1F"/>
    <w:rsid w:val="007A6D35"/>
    <w:rsid w:val="007A71D6"/>
    <w:rsid w:val="007A7D72"/>
    <w:rsid w:val="007B09BB"/>
    <w:rsid w:val="007B2C72"/>
    <w:rsid w:val="007B3E8A"/>
    <w:rsid w:val="007B5D15"/>
    <w:rsid w:val="007C1686"/>
    <w:rsid w:val="007C1C53"/>
    <w:rsid w:val="007C32EC"/>
    <w:rsid w:val="007C4C27"/>
    <w:rsid w:val="007C74BB"/>
    <w:rsid w:val="007D10A6"/>
    <w:rsid w:val="007D4714"/>
    <w:rsid w:val="007E2BF1"/>
    <w:rsid w:val="007E4904"/>
    <w:rsid w:val="007E4CB5"/>
    <w:rsid w:val="007E7F09"/>
    <w:rsid w:val="007F066B"/>
    <w:rsid w:val="007F074A"/>
    <w:rsid w:val="007F12C0"/>
    <w:rsid w:val="008033C4"/>
    <w:rsid w:val="00806C88"/>
    <w:rsid w:val="0081034E"/>
    <w:rsid w:val="00817137"/>
    <w:rsid w:val="00822850"/>
    <w:rsid w:val="008344F6"/>
    <w:rsid w:val="0083510F"/>
    <w:rsid w:val="008415F7"/>
    <w:rsid w:val="0084167B"/>
    <w:rsid w:val="00843704"/>
    <w:rsid w:val="00851209"/>
    <w:rsid w:val="0085223F"/>
    <w:rsid w:val="008639E0"/>
    <w:rsid w:val="008768CB"/>
    <w:rsid w:val="00881C99"/>
    <w:rsid w:val="00882F80"/>
    <w:rsid w:val="008837AC"/>
    <w:rsid w:val="00884030"/>
    <w:rsid w:val="00885CE1"/>
    <w:rsid w:val="00886EE0"/>
    <w:rsid w:val="0088780B"/>
    <w:rsid w:val="00894F45"/>
    <w:rsid w:val="00896CE7"/>
    <w:rsid w:val="008A2AEE"/>
    <w:rsid w:val="008A3985"/>
    <w:rsid w:val="008A3E3C"/>
    <w:rsid w:val="008A587D"/>
    <w:rsid w:val="008B2CB5"/>
    <w:rsid w:val="008C0505"/>
    <w:rsid w:val="008C0574"/>
    <w:rsid w:val="008C5486"/>
    <w:rsid w:val="008C77E2"/>
    <w:rsid w:val="008D1661"/>
    <w:rsid w:val="008D29DA"/>
    <w:rsid w:val="008D4EF0"/>
    <w:rsid w:val="008D754C"/>
    <w:rsid w:val="008D7DB6"/>
    <w:rsid w:val="008E17F5"/>
    <w:rsid w:val="008E6BDA"/>
    <w:rsid w:val="008E7031"/>
    <w:rsid w:val="008F1528"/>
    <w:rsid w:val="008F21CB"/>
    <w:rsid w:val="008F2354"/>
    <w:rsid w:val="008F7AD5"/>
    <w:rsid w:val="00902592"/>
    <w:rsid w:val="009233EE"/>
    <w:rsid w:val="00925ED9"/>
    <w:rsid w:val="00932664"/>
    <w:rsid w:val="00936A38"/>
    <w:rsid w:val="00942184"/>
    <w:rsid w:val="00943AFD"/>
    <w:rsid w:val="00944D10"/>
    <w:rsid w:val="009460AA"/>
    <w:rsid w:val="00946D7F"/>
    <w:rsid w:val="00950D69"/>
    <w:rsid w:val="00951978"/>
    <w:rsid w:val="009661DE"/>
    <w:rsid w:val="00970804"/>
    <w:rsid w:val="00971A00"/>
    <w:rsid w:val="0097237F"/>
    <w:rsid w:val="00972400"/>
    <w:rsid w:val="00974285"/>
    <w:rsid w:val="00974C88"/>
    <w:rsid w:val="00976563"/>
    <w:rsid w:val="009837A7"/>
    <w:rsid w:val="0098518C"/>
    <w:rsid w:val="009856B7"/>
    <w:rsid w:val="00986DB0"/>
    <w:rsid w:val="00995A37"/>
    <w:rsid w:val="009A47E4"/>
    <w:rsid w:val="009A5FC3"/>
    <w:rsid w:val="009A6059"/>
    <w:rsid w:val="009A6728"/>
    <w:rsid w:val="009B57F0"/>
    <w:rsid w:val="009B74B0"/>
    <w:rsid w:val="009C6B5B"/>
    <w:rsid w:val="009D2EE1"/>
    <w:rsid w:val="009D3855"/>
    <w:rsid w:val="009D6B46"/>
    <w:rsid w:val="009D6BFB"/>
    <w:rsid w:val="009D7085"/>
    <w:rsid w:val="009E4157"/>
    <w:rsid w:val="009E75A7"/>
    <w:rsid w:val="009F3D3E"/>
    <w:rsid w:val="009F3FC5"/>
    <w:rsid w:val="009F4940"/>
    <w:rsid w:val="009F5BA1"/>
    <w:rsid w:val="00A02045"/>
    <w:rsid w:val="00A02A88"/>
    <w:rsid w:val="00A0504E"/>
    <w:rsid w:val="00A0562E"/>
    <w:rsid w:val="00A0726D"/>
    <w:rsid w:val="00A171F9"/>
    <w:rsid w:val="00A21166"/>
    <w:rsid w:val="00A223A9"/>
    <w:rsid w:val="00A22495"/>
    <w:rsid w:val="00A22E59"/>
    <w:rsid w:val="00A27EA5"/>
    <w:rsid w:val="00A31211"/>
    <w:rsid w:val="00A31605"/>
    <w:rsid w:val="00A32FBB"/>
    <w:rsid w:val="00A34E62"/>
    <w:rsid w:val="00A3557D"/>
    <w:rsid w:val="00A4478A"/>
    <w:rsid w:val="00A44852"/>
    <w:rsid w:val="00A56BBB"/>
    <w:rsid w:val="00A57D04"/>
    <w:rsid w:val="00A60023"/>
    <w:rsid w:val="00A60A26"/>
    <w:rsid w:val="00A61598"/>
    <w:rsid w:val="00A75077"/>
    <w:rsid w:val="00A80737"/>
    <w:rsid w:val="00A84F46"/>
    <w:rsid w:val="00A86143"/>
    <w:rsid w:val="00A871F4"/>
    <w:rsid w:val="00A877D0"/>
    <w:rsid w:val="00A9700A"/>
    <w:rsid w:val="00AA2A85"/>
    <w:rsid w:val="00AA3CA7"/>
    <w:rsid w:val="00AB0A72"/>
    <w:rsid w:val="00AB20D7"/>
    <w:rsid w:val="00AB5FB8"/>
    <w:rsid w:val="00AC0D06"/>
    <w:rsid w:val="00AC1B2C"/>
    <w:rsid w:val="00AC24FC"/>
    <w:rsid w:val="00AC2A62"/>
    <w:rsid w:val="00AC3264"/>
    <w:rsid w:val="00AD052E"/>
    <w:rsid w:val="00AD3089"/>
    <w:rsid w:val="00AD3EF8"/>
    <w:rsid w:val="00AD4638"/>
    <w:rsid w:val="00AD5D72"/>
    <w:rsid w:val="00AE03CD"/>
    <w:rsid w:val="00AE1BF1"/>
    <w:rsid w:val="00AE4793"/>
    <w:rsid w:val="00AE77C3"/>
    <w:rsid w:val="00AF0857"/>
    <w:rsid w:val="00AF0DD2"/>
    <w:rsid w:val="00AF1C12"/>
    <w:rsid w:val="00AF1ED6"/>
    <w:rsid w:val="00AF2DCD"/>
    <w:rsid w:val="00AF5372"/>
    <w:rsid w:val="00B07E9C"/>
    <w:rsid w:val="00B1004D"/>
    <w:rsid w:val="00B13048"/>
    <w:rsid w:val="00B1716D"/>
    <w:rsid w:val="00B17780"/>
    <w:rsid w:val="00B17A1D"/>
    <w:rsid w:val="00B207A0"/>
    <w:rsid w:val="00B23C88"/>
    <w:rsid w:val="00B37E38"/>
    <w:rsid w:val="00B43B7A"/>
    <w:rsid w:val="00B514DD"/>
    <w:rsid w:val="00B52AF0"/>
    <w:rsid w:val="00B53C5C"/>
    <w:rsid w:val="00B54658"/>
    <w:rsid w:val="00B55B3A"/>
    <w:rsid w:val="00B56E03"/>
    <w:rsid w:val="00B610A7"/>
    <w:rsid w:val="00B610F2"/>
    <w:rsid w:val="00B620D3"/>
    <w:rsid w:val="00B65CA7"/>
    <w:rsid w:val="00B762C9"/>
    <w:rsid w:val="00B8080B"/>
    <w:rsid w:val="00B87C39"/>
    <w:rsid w:val="00B9030B"/>
    <w:rsid w:val="00B92100"/>
    <w:rsid w:val="00B927D8"/>
    <w:rsid w:val="00B9533A"/>
    <w:rsid w:val="00BA3C98"/>
    <w:rsid w:val="00BA4665"/>
    <w:rsid w:val="00BA7534"/>
    <w:rsid w:val="00BB11D6"/>
    <w:rsid w:val="00BB2FB2"/>
    <w:rsid w:val="00BB3304"/>
    <w:rsid w:val="00BC39A6"/>
    <w:rsid w:val="00BC44D6"/>
    <w:rsid w:val="00BC4DF6"/>
    <w:rsid w:val="00BC68D4"/>
    <w:rsid w:val="00BD3446"/>
    <w:rsid w:val="00BE1F1B"/>
    <w:rsid w:val="00BE47B5"/>
    <w:rsid w:val="00BF1C19"/>
    <w:rsid w:val="00BF6137"/>
    <w:rsid w:val="00BF6BB8"/>
    <w:rsid w:val="00C02F88"/>
    <w:rsid w:val="00C03B0F"/>
    <w:rsid w:val="00C07DD4"/>
    <w:rsid w:val="00C11AAD"/>
    <w:rsid w:val="00C12509"/>
    <w:rsid w:val="00C238CA"/>
    <w:rsid w:val="00C25FA6"/>
    <w:rsid w:val="00C419CA"/>
    <w:rsid w:val="00C43C9D"/>
    <w:rsid w:val="00C44FF1"/>
    <w:rsid w:val="00C538A9"/>
    <w:rsid w:val="00C53B5A"/>
    <w:rsid w:val="00C54F5A"/>
    <w:rsid w:val="00C569B4"/>
    <w:rsid w:val="00C613E2"/>
    <w:rsid w:val="00C67A92"/>
    <w:rsid w:val="00C71121"/>
    <w:rsid w:val="00C71488"/>
    <w:rsid w:val="00C72A99"/>
    <w:rsid w:val="00C85A67"/>
    <w:rsid w:val="00C86679"/>
    <w:rsid w:val="00C869F6"/>
    <w:rsid w:val="00C932F6"/>
    <w:rsid w:val="00CA3741"/>
    <w:rsid w:val="00CA3AFD"/>
    <w:rsid w:val="00CA489E"/>
    <w:rsid w:val="00CA6300"/>
    <w:rsid w:val="00CB039A"/>
    <w:rsid w:val="00CB3BE1"/>
    <w:rsid w:val="00CB666B"/>
    <w:rsid w:val="00CB7357"/>
    <w:rsid w:val="00CC078B"/>
    <w:rsid w:val="00CC213C"/>
    <w:rsid w:val="00CC40F5"/>
    <w:rsid w:val="00CC4E89"/>
    <w:rsid w:val="00CC7F1D"/>
    <w:rsid w:val="00CE4659"/>
    <w:rsid w:val="00CE7648"/>
    <w:rsid w:val="00CE7DC4"/>
    <w:rsid w:val="00CF1B43"/>
    <w:rsid w:val="00CF20C6"/>
    <w:rsid w:val="00CF5DC0"/>
    <w:rsid w:val="00CF7E97"/>
    <w:rsid w:val="00D01CF0"/>
    <w:rsid w:val="00D03091"/>
    <w:rsid w:val="00D03AF6"/>
    <w:rsid w:val="00D0442A"/>
    <w:rsid w:val="00D076F7"/>
    <w:rsid w:val="00D11C18"/>
    <w:rsid w:val="00D12909"/>
    <w:rsid w:val="00D13D76"/>
    <w:rsid w:val="00D21F7F"/>
    <w:rsid w:val="00D229E1"/>
    <w:rsid w:val="00D35FA8"/>
    <w:rsid w:val="00D409E1"/>
    <w:rsid w:val="00D446C3"/>
    <w:rsid w:val="00D46532"/>
    <w:rsid w:val="00D46EA2"/>
    <w:rsid w:val="00D532C9"/>
    <w:rsid w:val="00D56C55"/>
    <w:rsid w:val="00D61388"/>
    <w:rsid w:val="00D613E6"/>
    <w:rsid w:val="00D61A54"/>
    <w:rsid w:val="00D648C4"/>
    <w:rsid w:val="00D64DEA"/>
    <w:rsid w:val="00D65A82"/>
    <w:rsid w:val="00D65DB6"/>
    <w:rsid w:val="00D65EA9"/>
    <w:rsid w:val="00D7101A"/>
    <w:rsid w:val="00D7168E"/>
    <w:rsid w:val="00D71E57"/>
    <w:rsid w:val="00D760DF"/>
    <w:rsid w:val="00D80893"/>
    <w:rsid w:val="00D81EF4"/>
    <w:rsid w:val="00D830C3"/>
    <w:rsid w:val="00D87463"/>
    <w:rsid w:val="00D92CF1"/>
    <w:rsid w:val="00D92D38"/>
    <w:rsid w:val="00D93125"/>
    <w:rsid w:val="00D950F5"/>
    <w:rsid w:val="00DA534D"/>
    <w:rsid w:val="00DA695B"/>
    <w:rsid w:val="00DB0F93"/>
    <w:rsid w:val="00DB1A67"/>
    <w:rsid w:val="00DB1C30"/>
    <w:rsid w:val="00DB5074"/>
    <w:rsid w:val="00DB723B"/>
    <w:rsid w:val="00DC6604"/>
    <w:rsid w:val="00DC6AF7"/>
    <w:rsid w:val="00DC7981"/>
    <w:rsid w:val="00DD1B42"/>
    <w:rsid w:val="00DE4EFA"/>
    <w:rsid w:val="00DE5520"/>
    <w:rsid w:val="00DF17F7"/>
    <w:rsid w:val="00E04818"/>
    <w:rsid w:val="00E06442"/>
    <w:rsid w:val="00E137FB"/>
    <w:rsid w:val="00E16751"/>
    <w:rsid w:val="00E16B9E"/>
    <w:rsid w:val="00E20C8F"/>
    <w:rsid w:val="00E2136E"/>
    <w:rsid w:val="00E22820"/>
    <w:rsid w:val="00E23993"/>
    <w:rsid w:val="00E25B8C"/>
    <w:rsid w:val="00E26EC2"/>
    <w:rsid w:val="00E3174A"/>
    <w:rsid w:val="00E4546C"/>
    <w:rsid w:val="00E5395D"/>
    <w:rsid w:val="00E60031"/>
    <w:rsid w:val="00E65C85"/>
    <w:rsid w:val="00E66199"/>
    <w:rsid w:val="00E66351"/>
    <w:rsid w:val="00E700F8"/>
    <w:rsid w:val="00E7306C"/>
    <w:rsid w:val="00E75390"/>
    <w:rsid w:val="00E755EC"/>
    <w:rsid w:val="00E7624D"/>
    <w:rsid w:val="00E76C3A"/>
    <w:rsid w:val="00E77F88"/>
    <w:rsid w:val="00E81DEC"/>
    <w:rsid w:val="00E917E9"/>
    <w:rsid w:val="00E9216C"/>
    <w:rsid w:val="00EA3D42"/>
    <w:rsid w:val="00EA6B1B"/>
    <w:rsid w:val="00EB0CEB"/>
    <w:rsid w:val="00EB505D"/>
    <w:rsid w:val="00EC3628"/>
    <w:rsid w:val="00EC6BAE"/>
    <w:rsid w:val="00ED03DB"/>
    <w:rsid w:val="00ED6CB0"/>
    <w:rsid w:val="00EE0893"/>
    <w:rsid w:val="00EE28F3"/>
    <w:rsid w:val="00EF5110"/>
    <w:rsid w:val="00F035AA"/>
    <w:rsid w:val="00F07402"/>
    <w:rsid w:val="00F10E02"/>
    <w:rsid w:val="00F1183A"/>
    <w:rsid w:val="00F15882"/>
    <w:rsid w:val="00F171E0"/>
    <w:rsid w:val="00F20BD3"/>
    <w:rsid w:val="00F2166B"/>
    <w:rsid w:val="00F251FF"/>
    <w:rsid w:val="00F30101"/>
    <w:rsid w:val="00F32808"/>
    <w:rsid w:val="00F3573E"/>
    <w:rsid w:val="00F373A5"/>
    <w:rsid w:val="00F40AB8"/>
    <w:rsid w:val="00F4288C"/>
    <w:rsid w:val="00F43FFB"/>
    <w:rsid w:val="00F47559"/>
    <w:rsid w:val="00F50E1A"/>
    <w:rsid w:val="00F5609B"/>
    <w:rsid w:val="00F5681C"/>
    <w:rsid w:val="00F64C7B"/>
    <w:rsid w:val="00F676DD"/>
    <w:rsid w:val="00F706B7"/>
    <w:rsid w:val="00F71778"/>
    <w:rsid w:val="00F7491F"/>
    <w:rsid w:val="00F75A26"/>
    <w:rsid w:val="00F835C9"/>
    <w:rsid w:val="00F83FAD"/>
    <w:rsid w:val="00F90E99"/>
    <w:rsid w:val="00F91025"/>
    <w:rsid w:val="00F9322F"/>
    <w:rsid w:val="00F952A0"/>
    <w:rsid w:val="00F974C6"/>
    <w:rsid w:val="00F974EF"/>
    <w:rsid w:val="00F97AAE"/>
    <w:rsid w:val="00FA2E78"/>
    <w:rsid w:val="00FA3C7F"/>
    <w:rsid w:val="00FA4478"/>
    <w:rsid w:val="00FA4C5B"/>
    <w:rsid w:val="00FB0380"/>
    <w:rsid w:val="00FB2E04"/>
    <w:rsid w:val="00FB628F"/>
    <w:rsid w:val="00FB6ADA"/>
    <w:rsid w:val="00FB74E2"/>
    <w:rsid w:val="00FC577F"/>
    <w:rsid w:val="00FD105A"/>
    <w:rsid w:val="00FD33EE"/>
    <w:rsid w:val="00FD5614"/>
    <w:rsid w:val="00FD5DA7"/>
    <w:rsid w:val="00FD7E6E"/>
    <w:rsid w:val="00FE01FC"/>
    <w:rsid w:val="00FE0BE1"/>
    <w:rsid w:val="00FE0F4F"/>
    <w:rsid w:val="00FE1DE9"/>
    <w:rsid w:val="00FE2281"/>
    <w:rsid w:val="00FE39C2"/>
    <w:rsid w:val="00FE3C32"/>
    <w:rsid w:val="00FE64AE"/>
    <w:rsid w:val="00FF269A"/>
    <w:rsid w:val="00FF32A4"/>
    <w:rsid w:val="00FF56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lsdException w:name="header" w:qFormat="1"/>
    <w:lsdException w:name="footer" w:qFormat="1"/>
    <w:lsdException w:name="caption" w:uiPriority="35" w:qFormat="1"/>
    <w:lsdException w:name="footnote reference" w:uiPriority="0"/>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9"/>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9"/>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basedOn w:val="Normal"/>
    <w:link w:val="FootnoteTextChar"/>
    <w:unhideWhenUsed/>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basedOn w:val="DefaultParagraphFont"/>
    <w:link w:val="FootnoteText"/>
    <w:rsid w:val="00182906"/>
    <w:rPr>
      <w:rFonts w:ascii="Arial" w:hAnsi="Arial"/>
      <w:sz w:val="16"/>
      <w:szCs w:val="20"/>
    </w:rPr>
  </w:style>
  <w:style w:type="character" w:styleId="FootnoteReference">
    <w:name w:val="footnote reference"/>
    <w:basedOn w:val="DefaultParagraphFont"/>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BodyText">
    <w:name w:val="Body Text"/>
    <w:basedOn w:val="Normal"/>
    <w:link w:val="BodyTextChar"/>
    <w:uiPriority w:val="99"/>
    <w:unhideWhenUsed/>
    <w:rsid w:val="00AB0A72"/>
    <w:pPr>
      <w:spacing w:after="120"/>
    </w:pPr>
  </w:style>
  <w:style w:type="character" w:customStyle="1" w:styleId="BodyTextChar">
    <w:name w:val="Body Text Char"/>
    <w:basedOn w:val="DefaultParagraphFont"/>
    <w:link w:val="BodyText"/>
    <w:uiPriority w:val="99"/>
    <w:rsid w:val="00AB0A72"/>
    <w:rPr>
      <w:rFonts w:ascii="Arial" w:hAnsi="Arial"/>
    </w:rPr>
  </w:style>
  <w:style w:type="paragraph" w:styleId="CommentText">
    <w:name w:val="annotation text"/>
    <w:basedOn w:val="Normal"/>
    <w:link w:val="CommentTextChar"/>
    <w:uiPriority w:val="99"/>
    <w:semiHidden/>
    <w:unhideWhenUsed/>
    <w:rsid w:val="00042894"/>
    <w:pPr>
      <w:spacing w:line="240" w:lineRule="auto"/>
    </w:pPr>
    <w:rPr>
      <w:sz w:val="20"/>
      <w:szCs w:val="20"/>
    </w:rPr>
  </w:style>
  <w:style w:type="character" w:customStyle="1" w:styleId="CommentTextChar">
    <w:name w:val="Comment Text Char"/>
    <w:basedOn w:val="DefaultParagraphFont"/>
    <w:link w:val="CommentText"/>
    <w:uiPriority w:val="99"/>
    <w:semiHidden/>
    <w:rsid w:val="0004289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42894"/>
    <w:rPr>
      <w:b/>
      <w:bCs/>
    </w:rPr>
  </w:style>
  <w:style w:type="character" w:customStyle="1" w:styleId="CommentSubjectChar">
    <w:name w:val="Comment Subject Char"/>
    <w:basedOn w:val="CommentTextChar"/>
    <w:link w:val="CommentSubject"/>
    <w:uiPriority w:val="99"/>
    <w:semiHidden/>
    <w:rsid w:val="00042894"/>
    <w:rPr>
      <w:rFonts w:ascii="Arial" w:hAnsi="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lsdException w:name="header" w:qFormat="1"/>
    <w:lsdException w:name="footer" w:qFormat="1"/>
    <w:lsdException w:name="caption" w:uiPriority="35" w:qFormat="1"/>
    <w:lsdException w:name="footnote reference" w:uiPriority="0"/>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9"/>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9"/>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basedOn w:val="Normal"/>
    <w:link w:val="FootnoteTextChar"/>
    <w:unhideWhenUsed/>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basedOn w:val="DefaultParagraphFont"/>
    <w:link w:val="FootnoteText"/>
    <w:rsid w:val="00182906"/>
    <w:rPr>
      <w:rFonts w:ascii="Arial" w:hAnsi="Arial"/>
      <w:sz w:val="16"/>
      <w:szCs w:val="20"/>
    </w:rPr>
  </w:style>
  <w:style w:type="character" w:styleId="FootnoteReference">
    <w:name w:val="footnote reference"/>
    <w:basedOn w:val="DefaultParagraphFont"/>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BodyText">
    <w:name w:val="Body Text"/>
    <w:basedOn w:val="Normal"/>
    <w:link w:val="BodyTextChar"/>
    <w:uiPriority w:val="99"/>
    <w:unhideWhenUsed/>
    <w:rsid w:val="00AB0A72"/>
    <w:pPr>
      <w:spacing w:after="120"/>
    </w:pPr>
  </w:style>
  <w:style w:type="character" w:customStyle="1" w:styleId="BodyTextChar">
    <w:name w:val="Body Text Char"/>
    <w:basedOn w:val="DefaultParagraphFont"/>
    <w:link w:val="BodyText"/>
    <w:uiPriority w:val="99"/>
    <w:rsid w:val="00AB0A72"/>
    <w:rPr>
      <w:rFonts w:ascii="Arial" w:hAnsi="Arial"/>
    </w:rPr>
  </w:style>
  <w:style w:type="paragraph" w:styleId="CommentText">
    <w:name w:val="annotation text"/>
    <w:basedOn w:val="Normal"/>
    <w:link w:val="CommentTextChar"/>
    <w:uiPriority w:val="99"/>
    <w:semiHidden/>
    <w:unhideWhenUsed/>
    <w:rsid w:val="00042894"/>
    <w:pPr>
      <w:spacing w:line="240" w:lineRule="auto"/>
    </w:pPr>
    <w:rPr>
      <w:sz w:val="20"/>
      <w:szCs w:val="20"/>
    </w:rPr>
  </w:style>
  <w:style w:type="character" w:customStyle="1" w:styleId="CommentTextChar">
    <w:name w:val="Comment Text Char"/>
    <w:basedOn w:val="DefaultParagraphFont"/>
    <w:link w:val="CommentText"/>
    <w:uiPriority w:val="99"/>
    <w:semiHidden/>
    <w:rsid w:val="0004289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42894"/>
    <w:rPr>
      <w:b/>
      <w:bCs/>
    </w:rPr>
  </w:style>
  <w:style w:type="character" w:customStyle="1" w:styleId="CommentSubjectChar">
    <w:name w:val="Comment Subject Char"/>
    <w:basedOn w:val="CommentTextChar"/>
    <w:link w:val="CommentSubject"/>
    <w:uiPriority w:val="99"/>
    <w:semiHidden/>
    <w:rsid w:val="00042894"/>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4865">
      <w:bodyDiv w:val="1"/>
      <w:marLeft w:val="0"/>
      <w:marRight w:val="0"/>
      <w:marTop w:val="0"/>
      <w:marBottom w:val="0"/>
      <w:divBdr>
        <w:top w:val="none" w:sz="0" w:space="0" w:color="auto"/>
        <w:left w:val="none" w:sz="0" w:space="0" w:color="auto"/>
        <w:bottom w:val="none" w:sz="0" w:space="0" w:color="auto"/>
        <w:right w:val="none" w:sz="0" w:space="0" w:color="auto"/>
      </w:divBdr>
      <w:divsChild>
        <w:div w:id="2102557685">
          <w:marLeft w:val="0"/>
          <w:marRight w:val="0"/>
          <w:marTop w:val="0"/>
          <w:marBottom w:val="0"/>
          <w:divBdr>
            <w:top w:val="none" w:sz="0" w:space="0" w:color="auto"/>
            <w:left w:val="none" w:sz="0" w:space="0" w:color="auto"/>
            <w:bottom w:val="none" w:sz="0" w:space="0" w:color="auto"/>
            <w:right w:val="none" w:sz="0" w:space="0" w:color="auto"/>
          </w:divBdr>
          <w:divsChild>
            <w:div w:id="239683565">
              <w:marLeft w:val="0"/>
              <w:marRight w:val="0"/>
              <w:marTop w:val="0"/>
              <w:marBottom w:val="0"/>
              <w:divBdr>
                <w:top w:val="none" w:sz="0" w:space="0" w:color="auto"/>
                <w:left w:val="none" w:sz="0" w:space="0" w:color="auto"/>
                <w:bottom w:val="none" w:sz="0" w:space="0" w:color="auto"/>
                <w:right w:val="none" w:sz="0" w:space="0" w:color="auto"/>
              </w:divBdr>
              <w:divsChild>
                <w:div w:id="136074523">
                  <w:marLeft w:val="0"/>
                  <w:marRight w:val="0"/>
                  <w:marTop w:val="0"/>
                  <w:marBottom w:val="0"/>
                  <w:divBdr>
                    <w:top w:val="none" w:sz="0" w:space="0" w:color="auto"/>
                    <w:left w:val="none" w:sz="0" w:space="0" w:color="auto"/>
                    <w:bottom w:val="none" w:sz="0" w:space="0" w:color="auto"/>
                    <w:right w:val="none" w:sz="0" w:space="0" w:color="auto"/>
                  </w:divBdr>
                  <w:divsChild>
                    <w:div w:id="633489517">
                      <w:marLeft w:val="0"/>
                      <w:marRight w:val="0"/>
                      <w:marTop w:val="0"/>
                      <w:marBottom w:val="0"/>
                      <w:divBdr>
                        <w:top w:val="none" w:sz="0" w:space="0" w:color="auto"/>
                        <w:left w:val="none" w:sz="0" w:space="0" w:color="auto"/>
                        <w:bottom w:val="none" w:sz="0" w:space="0" w:color="auto"/>
                        <w:right w:val="none" w:sz="0" w:space="0" w:color="auto"/>
                      </w:divBdr>
                      <w:divsChild>
                        <w:div w:id="1247959441">
                          <w:marLeft w:val="0"/>
                          <w:marRight w:val="0"/>
                          <w:marTop w:val="0"/>
                          <w:marBottom w:val="0"/>
                          <w:divBdr>
                            <w:top w:val="none" w:sz="0" w:space="0" w:color="auto"/>
                            <w:left w:val="none" w:sz="0" w:space="0" w:color="auto"/>
                            <w:bottom w:val="none" w:sz="0" w:space="0" w:color="auto"/>
                            <w:right w:val="none" w:sz="0" w:space="0" w:color="auto"/>
                          </w:divBdr>
                          <w:divsChild>
                            <w:div w:id="1736511728">
                              <w:marLeft w:val="0"/>
                              <w:marRight w:val="0"/>
                              <w:marTop w:val="0"/>
                              <w:marBottom w:val="0"/>
                              <w:divBdr>
                                <w:top w:val="none" w:sz="0" w:space="0" w:color="auto"/>
                                <w:left w:val="none" w:sz="0" w:space="0" w:color="auto"/>
                                <w:bottom w:val="none" w:sz="0" w:space="0" w:color="auto"/>
                                <w:right w:val="none" w:sz="0" w:space="0" w:color="auto"/>
                              </w:divBdr>
                              <w:divsChild>
                                <w:div w:id="1367632709">
                                  <w:marLeft w:val="0"/>
                                  <w:marRight w:val="0"/>
                                  <w:marTop w:val="0"/>
                                  <w:marBottom w:val="0"/>
                                  <w:divBdr>
                                    <w:top w:val="none" w:sz="0" w:space="0" w:color="auto"/>
                                    <w:left w:val="none" w:sz="0" w:space="0" w:color="auto"/>
                                    <w:bottom w:val="none" w:sz="0" w:space="0" w:color="auto"/>
                                    <w:right w:val="none" w:sz="0" w:space="0" w:color="auto"/>
                                  </w:divBdr>
                                  <w:divsChild>
                                    <w:div w:id="240068796">
                                      <w:marLeft w:val="240"/>
                                      <w:marRight w:val="240"/>
                                      <w:marTop w:val="240"/>
                                      <w:marBottom w:val="0"/>
                                      <w:divBdr>
                                        <w:top w:val="none" w:sz="0" w:space="0" w:color="auto"/>
                                        <w:left w:val="none" w:sz="0" w:space="0" w:color="auto"/>
                                        <w:bottom w:val="none" w:sz="0" w:space="0" w:color="auto"/>
                                        <w:right w:val="none" w:sz="0" w:space="0" w:color="auto"/>
                                      </w:divBdr>
                                      <w:divsChild>
                                        <w:div w:id="1750807486">
                                          <w:marLeft w:val="0"/>
                                          <w:marRight w:val="0"/>
                                          <w:marTop w:val="0"/>
                                          <w:marBottom w:val="0"/>
                                          <w:divBdr>
                                            <w:top w:val="none" w:sz="0" w:space="0" w:color="auto"/>
                                            <w:left w:val="none" w:sz="0" w:space="0" w:color="auto"/>
                                            <w:bottom w:val="none" w:sz="0" w:space="0" w:color="auto"/>
                                            <w:right w:val="none" w:sz="0" w:space="0" w:color="auto"/>
                                          </w:divBdr>
                                          <w:divsChild>
                                            <w:div w:id="1167359374">
                                              <w:marLeft w:val="0"/>
                                              <w:marRight w:val="0"/>
                                              <w:marTop w:val="0"/>
                                              <w:marBottom w:val="0"/>
                                              <w:divBdr>
                                                <w:top w:val="none" w:sz="0" w:space="0" w:color="auto"/>
                                                <w:left w:val="none" w:sz="0" w:space="0" w:color="auto"/>
                                                <w:bottom w:val="none" w:sz="0" w:space="0" w:color="auto"/>
                                                <w:right w:val="none" w:sz="0" w:space="0" w:color="auto"/>
                                              </w:divBdr>
                                              <w:divsChild>
                                                <w:div w:id="130111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691595">
      <w:bodyDiv w:val="1"/>
      <w:marLeft w:val="0"/>
      <w:marRight w:val="0"/>
      <w:marTop w:val="0"/>
      <w:marBottom w:val="0"/>
      <w:divBdr>
        <w:top w:val="none" w:sz="0" w:space="0" w:color="auto"/>
        <w:left w:val="none" w:sz="0" w:space="0" w:color="auto"/>
        <w:bottom w:val="none" w:sz="0" w:space="0" w:color="auto"/>
        <w:right w:val="none" w:sz="0" w:space="0" w:color="auto"/>
      </w:divBdr>
    </w:div>
    <w:div w:id="440224734">
      <w:bodyDiv w:val="1"/>
      <w:marLeft w:val="0"/>
      <w:marRight w:val="0"/>
      <w:marTop w:val="0"/>
      <w:marBottom w:val="0"/>
      <w:divBdr>
        <w:top w:val="none" w:sz="0" w:space="0" w:color="auto"/>
        <w:left w:val="none" w:sz="0" w:space="0" w:color="auto"/>
        <w:bottom w:val="none" w:sz="0" w:space="0" w:color="auto"/>
        <w:right w:val="none" w:sz="0" w:space="0" w:color="auto"/>
      </w:divBdr>
    </w:div>
    <w:div w:id="578640032">
      <w:bodyDiv w:val="1"/>
      <w:marLeft w:val="0"/>
      <w:marRight w:val="0"/>
      <w:marTop w:val="0"/>
      <w:marBottom w:val="0"/>
      <w:divBdr>
        <w:top w:val="none" w:sz="0" w:space="0" w:color="auto"/>
        <w:left w:val="none" w:sz="0" w:space="0" w:color="auto"/>
        <w:bottom w:val="none" w:sz="0" w:space="0" w:color="auto"/>
        <w:right w:val="none" w:sz="0" w:space="0" w:color="auto"/>
      </w:divBdr>
    </w:div>
    <w:div w:id="718746639">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160345050">
      <w:bodyDiv w:val="1"/>
      <w:marLeft w:val="0"/>
      <w:marRight w:val="0"/>
      <w:marTop w:val="0"/>
      <w:marBottom w:val="0"/>
      <w:divBdr>
        <w:top w:val="none" w:sz="0" w:space="0" w:color="auto"/>
        <w:left w:val="none" w:sz="0" w:space="0" w:color="auto"/>
        <w:bottom w:val="none" w:sz="0" w:space="0" w:color="auto"/>
        <w:right w:val="none" w:sz="0" w:space="0" w:color="auto"/>
      </w:divBdr>
    </w:div>
    <w:div w:id="1274360579">
      <w:bodyDiv w:val="1"/>
      <w:marLeft w:val="0"/>
      <w:marRight w:val="0"/>
      <w:marTop w:val="0"/>
      <w:marBottom w:val="0"/>
      <w:divBdr>
        <w:top w:val="none" w:sz="0" w:space="0" w:color="auto"/>
        <w:left w:val="none" w:sz="0" w:space="0" w:color="auto"/>
        <w:bottom w:val="none" w:sz="0" w:space="0" w:color="auto"/>
        <w:right w:val="none" w:sz="0" w:space="0" w:color="auto"/>
      </w:divBdr>
    </w:div>
    <w:div w:id="1456214552">
      <w:bodyDiv w:val="1"/>
      <w:marLeft w:val="0"/>
      <w:marRight w:val="0"/>
      <w:marTop w:val="0"/>
      <w:marBottom w:val="0"/>
      <w:divBdr>
        <w:top w:val="none" w:sz="0" w:space="0" w:color="auto"/>
        <w:left w:val="none" w:sz="0" w:space="0" w:color="auto"/>
        <w:bottom w:val="none" w:sz="0" w:space="0" w:color="auto"/>
        <w:right w:val="none" w:sz="0" w:space="0" w:color="auto"/>
      </w:divBdr>
    </w:div>
    <w:div w:id="1749647122">
      <w:bodyDiv w:val="1"/>
      <w:marLeft w:val="0"/>
      <w:marRight w:val="0"/>
      <w:marTop w:val="0"/>
      <w:marBottom w:val="0"/>
      <w:divBdr>
        <w:top w:val="none" w:sz="0" w:space="0" w:color="auto"/>
        <w:left w:val="none" w:sz="0" w:space="0" w:color="auto"/>
        <w:bottom w:val="none" w:sz="0" w:space="0" w:color="auto"/>
        <w:right w:val="none" w:sz="0" w:space="0" w:color="auto"/>
      </w:divBdr>
    </w:div>
    <w:div w:id="181621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aer.gov.au/node/1709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B3AFE3A8</Template>
  <TotalTime>0</TotalTime>
  <Pages>14</Pages>
  <Words>3789</Words>
  <Characters>21603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2015-11-04T05:28:00Z</dcterms:created>
  <dcterms:modified xsi:type="dcterms:W3CDTF">2015-11-04T05:34:00Z</dcterms:modified>
</cp:coreProperties>
</file>