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34964761"/>
        <w:docPartObj>
          <w:docPartGallery w:val="Cover Pages"/>
          <w:docPartUnique/>
        </w:docPartObj>
      </w:sdtPr>
      <w:sdtEndPr>
        <w:rPr>
          <w:rFonts w:eastAsiaTheme="majorEastAsia" w:cstheme="majorBidi"/>
          <w:b/>
          <w:noProof/>
          <w:sz w:val="72"/>
          <w:szCs w:val="72"/>
          <w:lang w:eastAsia="en-AU"/>
        </w:rPr>
      </w:sdtEndPr>
      <w:sdtContent>
        <w:p w:rsidR="007A5631" w:rsidRPr="007A5631" w:rsidRDefault="007A5631" w:rsidP="00951978">
          <w:r w:rsidRPr="007A5631">
            <w:rPr>
              <w:noProof/>
              <w:lang w:eastAsia="en-AU"/>
            </w:rPr>
            <w:drawing>
              <wp:anchor distT="0" distB="0" distL="114300" distR="114300" simplePos="0" relativeHeight="251659264" behindDoc="1" locked="0" layoutInCell="1" allowOverlap="1" wp14:anchorId="7189E27D" wp14:editId="51C2B76A">
                <wp:simplePos x="0" y="0"/>
                <wp:positionH relativeFrom="column">
                  <wp:posOffset>-935154</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7A5631" w:rsidRPr="007A5631" w:rsidRDefault="007A5631" w:rsidP="00F171E0"/>
        <w:p w:rsidR="007A5631" w:rsidRPr="007A5631" w:rsidRDefault="007A5631" w:rsidP="00F171E0"/>
        <w:p w:rsidR="007A5631" w:rsidRPr="007A5631" w:rsidRDefault="007A5631" w:rsidP="00F171E0"/>
        <w:p w:rsidR="007A5631" w:rsidRPr="007A5631" w:rsidRDefault="007A5631" w:rsidP="00F171E0"/>
        <w:p w:rsidR="007A5631" w:rsidRPr="007A5631" w:rsidRDefault="007A5631" w:rsidP="00F171E0"/>
        <w:p w:rsidR="007A5631" w:rsidRPr="007A5631" w:rsidRDefault="007A5631" w:rsidP="00F171E0"/>
        <w:p w:rsidR="007A5631" w:rsidRPr="007A5631" w:rsidRDefault="007A5631" w:rsidP="00F171E0"/>
        <w:p w:rsidR="006A40E7" w:rsidRDefault="007A5631" w:rsidP="00710B63">
          <w:pPr>
            <w:pStyle w:val="ReportTitle"/>
          </w:pPr>
          <w:r w:rsidRPr="007A5631">
            <w:t xml:space="preserve">FINAL </w:t>
          </w:r>
        </w:p>
        <w:p w:rsidR="007A5631" w:rsidRPr="007A5631" w:rsidRDefault="007A5631" w:rsidP="00710B63">
          <w:pPr>
            <w:pStyle w:val="ReportTitle"/>
          </w:pPr>
          <w:r w:rsidRPr="007A5631">
            <w:t xml:space="preserve">Electricity Transmission Network Service Providers </w:t>
          </w:r>
          <w:r w:rsidR="00710B63">
            <w:t>Information G</w:t>
          </w:r>
          <w:r w:rsidRPr="007A5631">
            <w:t xml:space="preserve">uideline </w:t>
          </w:r>
        </w:p>
        <w:p w:rsidR="007A5631" w:rsidRPr="007A5631" w:rsidRDefault="007A5631" w:rsidP="00327A1E">
          <w:pPr>
            <w:pStyle w:val="ReportTitle"/>
          </w:pPr>
        </w:p>
        <w:p w:rsidR="007A5631" w:rsidRPr="007A5631" w:rsidRDefault="007A5631" w:rsidP="00327A1E">
          <w:pPr>
            <w:pStyle w:val="ReportSubtitle"/>
          </w:pPr>
          <w:r>
            <w:t>Version 2</w:t>
          </w:r>
        </w:p>
        <w:p w:rsidR="007A5631" w:rsidRPr="007A5631" w:rsidRDefault="007A5631" w:rsidP="00327A1E">
          <w:pPr>
            <w:pStyle w:val="ReportDate"/>
          </w:pPr>
          <w:r>
            <w:t xml:space="preserve">April </w:t>
          </w:r>
          <w:r w:rsidRPr="007A5631">
            <w:t>2015</w:t>
          </w:r>
        </w:p>
        <w:p w:rsidR="007A5631" w:rsidRPr="007A5631" w:rsidRDefault="007A5631" w:rsidP="007A5631">
          <w:r w:rsidRPr="007A5631">
            <w:br w:type="page"/>
          </w:r>
        </w:p>
        <w:p w:rsidR="007A5631" w:rsidRDefault="007A5631">
          <w:pPr>
            <w:spacing w:line="240" w:lineRule="auto"/>
            <w:rPr>
              <w:rFonts w:eastAsiaTheme="majorEastAsia" w:cstheme="majorBidi"/>
              <w:b/>
              <w:noProof/>
              <w:sz w:val="72"/>
              <w:szCs w:val="72"/>
              <w:lang w:eastAsia="en-AU"/>
            </w:rPr>
          </w:pPr>
          <w:r>
            <w:rPr>
              <w:rFonts w:eastAsiaTheme="majorEastAsia" w:cstheme="majorBidi"/>
              <w:b/>
              <w:noProof/>
              <w:sz w:val="72"/>
              <w:szCs w:val="72"/>
              <w:lang w:eastAsia="en-AU"/>
            </w:rPr>
            <w:lastRenderedPageBreak/>
            <w:br w:type="page"/>
          </w:r>
        </w:p>
      </w:sdtContent>
    </w:sdt>
    <w:p w:rsidR="000A6C7B" w:rsidRDefault="000A6C7B" w:rsidP="00327A1E">
      <w:pPr>
        <w:pStyle w:val="Copyright"/>
      </w:pPr>
      <w:r>
        <w:lastRenderedPageBreak/>
        <w:t>© Commonwealth of Australia 201</w:t>
      </w:r>
      <w:r w:rsidR="00EC5662">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746A01" w:rsidRDefault="000A6C7B" w:rsidP="00746A01">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w:t>
      </w:r>
    </w:p>
    <w:p w:rsidR="00746A01" w:rsidRDefault="00746A01" w:rsidP="000A6C7B">
      <w:pPr>
        <w:pStyle w:val="Copyright"/>
      </w:pPr>
      <w:r w:rsidRPr="00746A01">
        <w:t>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rsidR="00710B63">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235DEB">
        <w:t>53668</w:t>
      </w:r>
      <w:r>
        <w:t>/</w:t>
      </w:r>
      <w:r w:rsidR="00111B02">
        <w:t>D15/41502</w:t>
      </w:r>
    </w:p>
    <w:p w:rsidR="000A6C7B" w:rsidRDefault="000A6C7B" w:rsidP="000A6C7B"/>
    <w:p w:rsidR="000A6C7B" w:rsidRPr="00C569B4" w:rsidRDefault="000A6C7B" w:rsidP="000A6C7B">
      <w:r w:rsidRPr="00C569B4">
        <w:t>Amendment Record</w:t>
      </w:r>
    </w:p>
    <w:tbl>
      <w:tblPr>
        <w:tblStyle w:val="AERTable-Text"/>
        <w:tblW w:w="0" w:type="auto"/>
        <w:tblLook w:val="04A0" w:firstRow="1" w:lastRow="0" w:firstColumn="1" w:lastColumn="0" w:noHBand="0" w:noVBand="1"/>
      </w:tblPr>
      <w:tblGrid>
        <w:gridCol w:w="3080"/>
        <w:gridCol w:w="3081"/>
        <w:gridCol w:w="3081"/>
      </w:tblGrid>
      <w:tr w:rsidR="000A6C7B" w:rsidTr="00E450DB">
        <w:trPr>
          <w:cnfStyle w:val="100000000000" w:firstRow="1" w:lastRow="0" w:firstColumn="0" w:lastColumn="0" w:oddVBand="0" w:evenVBand="0" w:oddHBand="0" w:evenHBand="0" w:firstRowFirstColumn="0" w:firstRowLastColumn="0" w:lastRowFirstColumn="0" w:lastRowLastColumn="0"/>
        </w:trPr>
        <w:tc>
          <w:tcPr>
            <w:tcW w:w="3080" w:type="dxa"/>
          </w:tcPr>
          <w:p w:rsidR="000A6C7B" w:rsidRDefault="000A6C7B" w:rsidP="00FE3C32">
            <w:r>
              <w:t>Version</w:t>
            </w:r>
          </w:p>
        </w:tc>
        <w:tc>
          <w:tcPr>
            <w:tcW w:w="3081" w:type="dxa"/>
          </w:tcPr>
          <w:p w:rsidR="000A6C7B" w:rsidRDefault="000A6C7B" w:rsidP="00FE3C32">
            <w:r>
              <w:t>Date</w:t>
            </w:r>
          </w:p>
        </w:tc>
        <w:tc>
          <w:tcPr>
            <w:tcW w:w="3081" w:type="dxa"/>
          </w:tcPr>
          <w:p w:rsidR="000A6C7B" w:rsidRDefault="000A6C7B" w:rsidP="00FE3C32">
            <w:r>
              <w:t>Pages</w:t>
            </w:r>
          </w:p>
        </w:tc>
      </w:tr>
      <w:tr w:rsidR="000A6C7B" w:rsidTr="00E450DB">
        <w:tc>
          <w:tcPr>
            <w:tcW w:w="3080" w:type="dxa"/>
          </w:tcPr>
          <w:p w:rsidR="000A6C7B" w:rsidRDefault="00235DEB" w:rsidP="00E450DB">
            <w:pPr>
              <w:spacing w:before="0" w:after="200"/>
            </w:pPr>
            <w:r>
              <w:t>1</w:t>
            </w:r>
          </w:p>
        </w:tc>
        <w:tc>
          <w:tcPr>
            <w:tcW w:w="3081" w:type="dxa"/>
          </w:tcPr>
          <w:p w:rsidR="000A6C7B" w:rsidRDefault="00235DEB" w:rsidP="00E450DB">
            <w:pPr>
              <w:spacing w:before="0" w:after="200"/>
            </w:pPr>
            <w:r>
              <w:t>28 September 2007</w:t>
            </w:r>
          </w:p>
        </w:tc>
        <w:tc>
          <w:tcPr>
            <w:tcW w:w="3081" w:type="dxa"/>
          </w:tcPr>
          <w:p w:rsidR="000A6C7B" w:rsidRDefault="00235DEB" w:rsidP="00E450DB">
            <w:pPr>
              <w:spacing w:before="0" w:after="200"/>
            </w:pPr>
            <w:r>
              <w:t>41</w:t>
            </w:r>
          </w:p>
        </w:tc>
      </w:tr>
      <w:tr w:rsidR="000A6C7B" w:rsidTr="00E450DB">
        <w:trPr>
          <w:cnfStyle w:val="000000010000" w:firstRow="0" w:lastRow="0" w:firstColumn="0" w:lastColumn="0" w:oddVBand="0" w:evenVBand="0" w:oddHBand="0" w:evenHBand="1" w:firstRowFirstColumn="0" w:firstRowLastColumn="0" w:lastRowFirstColumn="0" w:lastRowLastColumn="0"/>
        </w:trPr>
        <w:tc>
          <w:tcPr>
            <w:tcW w:w="3080" w:type="dxa"/>
          </w:tcPr>
          <w:p w:rsidR="000A6C7B" w:rsidRDefault="00235DEB" w:rsidP="00E450DB">
            <w:pPr>
              <w:spacing w:before="0" w:after="200"/>
            </w:pPr>
            <w:r>
              <w:t>2</w:t>
            </w:r>
          </w:p>
        </w:tc>
        <w:tc>
          <w:tcPr>
            <w:tcW w:w="3081" w:type="dxa"/>
          </w:tcPr>
          <w:p w:rsidR="000A6C7B" w:rsidRDefault="00111B02" w:rsidP="00E450DB">
            <w:pPr>
              <w:spacing w:before="0" w:after="200"/>
            </w:pPr>
            <w:r>
              <w:t xml:space="preserve">2 </w:t>
            </w:r>
            <w:r w:rsidR="00E2031A">
              <w:t>April 2015</w:t>
            </w:r>
          </w:p>
        </w:tc>
        <w:tc>
          <w:tcPr>
            <w:tcW w:w="3081" w:type="dxa"/>
          </w:tcPr>
          <w:p w:rsidR="000A6C7B" w:rsidRDefault="007A5631" w:rsidP="00A264C0">
            <w:pPr>
              <w:spacing w:before="0" w:after="200"/>
            </w:pPr>
            <w:r>
              <w:t>3</w:t>
            </w:r>
            <w:r w:rsidR="00A264C0">
              <w:t>3</w:t>
            </w:r>
          </w:p>
        </w:tc>
      </w:tr>
    </w:tbl>
    <w:p w:rsidR="000A6C7B" w:rsidRDefault="000A6C7B" w:rsidP="009D6B46"/>
    <w:p w:rsidR="002010BC" w:rsidRDefault="002010BC">
      <w:pPr>
        <w:spacing w:line="240" w:lineRule="auto"/>
      </w:pPr>
      <w:r>
        <w:br w:type="page"/>
      </w:r>
    </w:p>
    <w:p w:rsidR="002010BC" w:rsidRDefault="00A75077" w:rsidP="00A75077">
      <w:pPr>
        <w:pStyle w:val="TOCHeading"/>
      </w:pPr>
      <w:r>
        <w:t>Contents</w:t>
      </w:r>
    </w:p>
    <w:p w:rsidR="00A264C0"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15582067" w:history="1">
        <w:r w:rsidR="00A264C0" w:rsidRPr="00966AAC">
          <w:rPr>
            <w:rStyle w:val="Hyperlink"/>
          </w:rPr>
          <w:t>Shortened forms</w:t>
        </w:r>
        <w:r w:rsidR="00A264C0">
          <w:rPr>
            <w:webHidden/>
          </w:rPr>
          <w:tab/>
        </w:r>
        <w:r w:rsidR="00A264C0">
          <w:rPr>
            <w:webHidden/>
          </w:rPr>
          <w:fldChar w:fldCharType="begin"/>
        </w:r>
        <w:r w:rsidR="00A264C0">
          <w:rPr>
            <w:webHidden/>
          </w:rPr>
          <w:instrText xml:space="preserve"> PAGEREF _Toc415582067 \h </w:instrText>
        </w:r>
        <w:r w:rsidR="00A264C0">
          <w:rPr>
            <w:webHidden/>
          </w:rPr>
        </w:r>
        <w:r w:rsidR="00A264C0">
          <w:rPr>
            <w:webHidden/>
          </w:rPr>
          <w:fldChar w:fldCharType="separate"/>
        </w:r>
        <w:r w:rsidR="00BC5D02">
          <w:rPr>
            <w:webHidden/>
          </w:rPr>
          <w:t>5</w:t>
        </w:r>
        <w:r w:rsidR="00A264C0">
          <w:rPr>
            <w:webHidden/>
          </w:rPr>
          <w:fldChar w:fldCharType="end"/>
        </w:r>
      </w:hyperlink>
    </w:p>
    <w:p w:rsidR="00A264C0" w:rsidRDefault="00BC5D02">
      <w:pPr>
        <w:pStyle w:val="TOC1"/>
        <w:rPr>
          <w:rFonts w:asciiTheme="minorHAnsi" w:eastAsiaTheme="minorEastAsia" w:hAnsiTheme="minorHAnsi"/>
          <w:b w:val="0"/>
          <w:color w:val="auto"/>
          <w:sz w:val="22"/>
          <w:lang w:val="en-AU" w:eastAsia="en-AU"/>
        </w:rPr>
      </w:pPr>
      <w:hyperlink w:anchor="_Toc415582068" w:history="1">
        <w:r w:rsidR="00A264C0" w:rsidRPr="00966AAC">
          <w:rPr>
            <w:rStyle w:val="Hyperlink"/>
          </w:rPr>
          <w:t>1</w:t>
        </w:r>
        <w:r w:rsidR="00A264C0">
          <w:rPr>
            <w:rFonts w:asciiTheme="minorHAnsi" w:eastAsiaTheme="minorEastAsia" w:hAnsiTheme="minorHAnsi"/>
            <w:b w:val="0"/>
            <w:color w:val="auto"/>
            <w:sz w:val="22"/>
            <w:lang w:val="en-AU" w:eastAsia="en-AU"/>
          </w:rPr>
          <w:tab/>
        </w:r>
        <w:r w:rsidR="00A264C0" w:rsidRPr="00966AAC">
          <w:rPr>
            <w:rStyle w:val="Hyperlink"/>
          </w:rPr>
          <w:t>Nature and Authority</w:t>
        </w:r>
        <w:r w:rsidR="00A264C0">
          <w:rPr>
            <w:webHidden/>
          </w:rPr>
          <w:tab/>
        </w:r>
        <w:r w:rsidR="00A264C0">
          <w:rPr>
            <w:webHidden/>
          </w:rPr>
          <w:fldChar w:fldCharType="begin"/>
        </w:r>
        <w:r w:rsidR="00A264C0">
          <w:rPr>
            <w:webHidden/>
          </w:rPr>
          <w:instrText xml:space="preserve"> PAGEREF _Toc415582068 \h </w:instrText>
        </w:r>
        <w:r w:rsidR="00A264C0">
          <w:rPr>
            <w:webHidden/>
          </w:rPr>
        </w:r>
        <w:r w:rsidR="00A264C0">
          <w:rPr>
            <w:webHidden/>
          </w:rPr>
          <w:fldChar w:fldCharType="separate"/>
        </w:r>
        <w:r>
          <w:rPr>
            <w:webHidden/>
          </w:rPr>
          <w:t>6</w:t>
        </w:r>
        <w:r w:rsidR="00A264C0">
          <w:rPr>
            <w:webHidden/>
          </w:rPr>
          <w:fldChar w:fldCharType="end"/>
        </w:r>
      </w:hyperlink>
    </w:p>
    <w:p w:rsidR="00A264C0" w:rsidRDefault="00BC5D02">
      <w:pPr>
        <w:pStyle w:val="TOC1"/>
        <w:rPr>
          <w:rFonts w:asciiTheme="minorHAnsi" w:eastAsiaTheme="minorEastAsia" w:hAnsiTheme="minorHAnsi"/>
          <w:b w:val="0"/>
          <w:color w:val="auto"/>
          <w:sz w:val="22"/>
          <w:lang w:val="en-AU" w:eastAsia="en-AU"/>
        </w:rPr>
      </w:pPr>
      <w:hyperlink w:anchor="_Toc415582076" w:history="1">
        <w:r w:rsidR="00A264C0" w:rsidRPr="00966AAC">
          <w:rPr>
            <w:rStyle w:val="Hyperlink"/>
          </w:rPr>
          <w:t>2</w:t>
        </w:r>
        <w:r w:rsidR="00A264C0">
          <w:rPr>
            <w:rFonts w:asciiTheme="minorHAnsi" w:eastAsiaTheme="minorEastAsia" w:hAnsiTheme="minorHAnsi"/>
            <w:b w:val="0"/>
            <w:color w:val="auto"/>
            <w:sz w:val="22"/>
            <w:lang w:val="en-AU" w:eastAsia="en-AU"/>
          </w:rPr>
          <w:tab/>
        </w:r>
        <w:r w:rsidR="00A264C0" w:rsidRPr="00966AAC">
          <w:rPr>
            <w:rStyle w:val="Hyperlink"/>
          </w:rPr>
          <w:t>General principles</w:t>
        </w:r>
        <w:r w:rsidR="00A264C0">
          <w:rPr>
            <w:webHidden/>
          </w:rPr>
          <w:tab/>
        </w:r>
        <w:r w:rsidR="00A264C0">
          <w:rPr>
            <w:webHidden/>
          </w:rPr>
          <w:fldChar w:fldCharType="begin"/>
        </w:r>
        <w:r w:rsidR="00A264C0">
          <w:rPr>
            <w:webHidden/>
          </w:rPr>
          <w:instrText xml:space="preserve"> PAGEREF _Toc415582076 \h </w:instrText>
        </w:r>
        <w:r w:rsidR="00A264C0">
          <w:rPr>
            <w:webHidden/>
          </w:rPr>
        </w:r>
        <w:r w:rsidR="00A264C0">
          <w:rPr>
            <w:webHidden/>
          </w:rPr>
          <w:fldChar w:fldCharType="separate"/>
        </w:r>
        <w:r>
          <w:rPr>
            <w:webHidden/>
          </w:rPr>
          <w:t>8</w:t>
        </w:r>
        <w:r w:rsidR="00A264C0">
          <w:rPr>
            <w:webHidden/>
          </w:rPr>
          <w:fldChar w:fldCharType="end"/>
        </w:r>
      </w:hyperlink>
    </w:p>
    <w:p w:rsidR="00A264C0" w:rsidRDefault="00BC5D02">
      <w:pPr>
        <w:pStyle w:val="TOC1"/>
        <w:rPr>
          <w:rFonts w:asciiTheme="minorHAnsi" w:eastAsiaTheme="minorEastAsia" w:hAnsiTheme="minorHAnsi"/>
          <w:b w:val="0"/>
          <w:color w:val="auto"/>
          <w:sz w:val="22"/>
          <w:lang w:val="en-AU" w:eastAsia="en-AU"/>
        </w:rPr>
      </w:pPr>
      <w:hyperlink w:anchor="_Toc415582093" w:history="1">
        <w:r w:rsidR="00A264C0" w:rsidRPr="00966AAC">
          <w:rPr>
            <w:rStyle w:val="Hyperlink"/>
          </w:rPr>
          <w:t>3</w:t>
        </w:r>
        <w:r w:rsidR="00A264C0">
          <w:rPr>
            <w:rFonts w:asciiTheme="minorHAnsi" w:eastAsiaTheme="minorEastAsia" w:hAnsiTheme="minorHAnsi"/>
            <w:b w:val="0"/>
            <w:color w:val="auto"/>
            <w:sz w:val="22"/>
            <w:lang w:val="en-AU" w:eastAsia="en-AU"/>
          </w:rPr>
          <w:tab/>
        </w:r>
        <w:r w:rsidR="00A264C0" w:rsidRPr="00966AAC">
          <w:rPr>
            <w:rStyle w:val="Hyperlink"/>
          </w:rPr>
          <w:t>Annual reporting</w:t>
        </w:r>
        <w:r w:rsidR="00A264C0">
          <w:rPr>
            <w:webHidden/>
          </w:rPr>
          <w:tab/>
        </w:r>
        <w:r w:rsidR="00A264C0">
          <w:rPr>
            <w:webHidden/>
          </w:rPr>
          <w:fldChar w:fldCharType="begin"/>
        </w:r>
        <w:r w:rsidR="00A264C0">
          <w:rPr>
            <w:webHidden/>
          </w:rPr>
          <w:instrText xml:space="preserve"> PAGEREF _Toc415582093 \h </w:instrText>
        </w:r>
        <w:r w:rsidR="00A264C0">
          <w:rPr>
            <w:webHidden/>
          </w:rPr>
        </w:r>
        <w:r w:rsidR="00A264C0">
          <w:rPr>
            <w:webHidden/>
          </w:rPr>
          <w:fldChar w:fldCharType="separate"/>
        </w:r>
        <w:r>
          <w:rPr>
            <w:webHidden/>
          </w:rPr>
          <w:t>15</w:t>
        </w:r>
        <w:r w:rsidR="00A264C0">
          <w:rPr>
            <w:webHidden/>
          </w:rPr>
          <w:fldChar w:fldCharType="end"/>
        </w:r>
      </w:hyperlink>
    </w:p>
    <w:p w:rsidR="00A264C0" w:rsidRDefault="00BC5D02">
      <w:pPr>
        <w:pStyle w:val="TOC1"/>
        <w:rPr>
          <w:rFonts w:asciiTheme="minorHAnsi" w:eastAsiaTheme="minorEastAsia" w:hAnsiTheme="minorHAnsi"/>
          <w:b w:val="0"/>
          <w:color w:val="auto"/>
          <w:sz w:val="22"/>
          <w:lang w:val="en-AU" w:eastAsia="en-AU"/>
        </w:rPr>
      </w:pPr>
      <w:hyperlink w:anchor="_Toc415582104" w:history="1">
        <w:r w:rsidR="00A264C0" w:rsidRPr="00966AAC">
          <w:rPr>
            <w:rStyle w:val="Hyperlink"/>
          </w:rPr>
          <w:t>4</w:t>
        </w:r>
        <w:r w:rsidR="00A264C0">
          <w:rPr>
            <w:rFonts w:asciiTheme="minorHAnsi" w:eastAsiaTheme="minorEastAsia" w:hAnsiTheme="minorHAnsi"/>
            <w:b w:val="0"/>
            <w:color w:val="auto"/>
            <w:sz w:val="22"/>
            <w:lang w:val="en-AU" w:eastAsia="en-AU"/>
          </w:rPr>
          <w:tab/>
        </w:r>
        <w:r w:rsidR="00A264C0" w:rsidRPr="00966AAC">
          <w:rPr>
            <w:rStyle w:val="Hyperlink"/>
          </w:rPr>
          <w:t>Guide to completing pro forma statements</w:t>
        </w:r>
        <w:r w:rsidR="00A264C0">
          <w:rPr>
            <w:webHidden/>
          </w:rPr>
          <w:tab/>
        </w:r>
        <w:r w:rsidR="00A264C0">
          <w:rPr>
            <w:webHidden/>
          </w:rPr>
          <w:fldChar w:fldCharType="begin"/>
        </w:r>
        <w:r w:rsidR="00A264C0">
          <w:rPr>
            <w:webHidden/>
          </w:rPr>
          <w:instrText xml:space="preserve"> PAGEREF _Toc415582104 \h </w:instrText>
        </w:r>
        <w:r w:rsidR="00A264C0">
          <w:rPr>
            <w:webHidden/>
          </w:rPr>
        </w:r>
        <w:r w:rsidR="00A264C0">
          <w:rPr>
            <w:webHidden/>
          </w:rPr>
          <w:fldChar w:fldCharType="separate"/>
        </w:r>
        <w:r>
          <w:rPr>
            <w:webHidden/>
          </w:rPr>
          <w:t>20</w:t>
        </w:r>
        <w:r w:rsidR="00A264C0">
          <w:rPr>
            <w:webHidden/>
          </w:rPr>
          <w:fldChar w:fldCharType="end"/>
        </w:r>
      </w:hyperlink>
    </w:p>
    <w:p w:rsidR="00A264C0" w:rsidRDefault="00BC5D02">
      <w:pPr>
        <w:pStyle w:val="TOC1"/>
        <w:rPr>
          <w:rFonts w:asciiTheme="minorHAnsi" w:eastAsiaTheme="minorEastAsia" w:hAnsiTheme="minorHAnsi"/>
          <w:b w:val="0"/>
          <w:color w:val="auto"/>
          <w:sz w:val="22"/>
          <w:lang w:val="en-AU" w:eastAsia="en-AU"/>
        </w:rPr>
      </w:pPr>
      <w:hyperlink w:anchor="_Toc415582122" w:history="1">
        <w:r w:rsidR="00A264C0" w:rsidRPr="00966AAC">
          <w:rPr>
            <w:rStyle w:val="Hyperlink"/>
          </w:rPr>
          <w:t>Glossary</w:t>
        </w:r>
        <w:r w:rsidR="00A264C0">
          <w:rPr>
            <w:webHidden/>
          </w:rPr>
          <w:tab/>
        </w:r>
        <w:r w:rsidR="00A264C0">
          <w:rPr>
            <w:webHidden/>
          </w:rPr>
          <w:fldChar w:fldCharType="begin"/>
        </w:r>
        <w:r w:rsidR="00A264C0">
          <w:rPr>
            <w:webHidden/>
          </w:rPr>
          <w:instrText xml:space="preserve"> PAGEREF _Toc415582122 \h </w:instrText>
        </w:r>
        <w:r w:rsidR="00A264C0">
          <w:rPr>
            <w:webHidden/>
          </w:rPr>
        </w:r>
        <w:r w:rsidR="00A264C0">
          <w:rPr>
            <w:webHidden/>
          </w:rPr>
          <w:fldChar w:fldCharType="separate"/>
        </w:r>
        <w:r>
          <w:rPr>
            <w:webHidden/>
          </w:rPr>
          <w:t>26</w:t>
        </w:r>
        <w:r w:rsidR="00A264C0">
          <w:rPr>
            <w:webHidden/>
          </w:rPr>
          <w:fldChar w:fldCharType="end"/>
        </w:r>
      </w:hyperlink>
    </w:p>
    <w:p w:rsidR="00A264C0" w:rsidRDefault="00BC5D02">
      <w:pPr>
        <w:pStyle w:val="TOC1"/>
        <w:rPr>
          <w:rFonts w:asciiTheme="minorHAnsi" w:eastAsiaTheme="minorEastAsia" w:hAnsiTheme="minorHAnsi"/>
          <w:b w:val="0"/>
          <w:color w:val="auto"/>
          <w:sz w:val="22"/>
          <w:lang w:val="en-AU" w:eastAsia="en-AU"/>
        </w:rPr>
      </w:pPr>
      <w:hyperlink w:anchor="_Toc415582123" w:history="1">
        <w:r w:rsidR="00A264C0" w:rsidRPr="00966AAC">
          <w:rPr>
            <w:rStyle w:val="Hyperlink"/>
          </w:rPr>
          <w:t>Appendix A—Annual reporting templates</w:t>
        </w:r>
        <w:r w:rsidR="00A264C0">
          <w:rPr>
            <w:webHidden/>
          </w:rPr>
          <w:tab/>
        </w:r>
        <w:r w:rsidR="00A264C0">
          <w:rPr>
            <w:webHidden/>
          </w:rPr>
          <w:fldChar w:fldCharType="begin"/>
        </w:r>
        <w:r w:rsidR="00A264C0">
          <w:rPr>
            <w:webHidden/>
          </w:rPr>
          <w:instrText xml:space="preserve"> PAGEREF _Toc415582123 \h </w:instrText>
        </w:r>
        <w:r w:rsidR="00A264C0">
          <w:rPr>
            <w:webHidden/>
          </w:rPr>
        </w:r>
        <w:r w:rsidR="00A264C0">
          <w:rPr>
            <w:webHidden/>
          </w:rPr>
          <w:fldChar w:fldCharType="separate"/>
        </w:r>
        <w:r>
          <w:rPr>
            <w:webHidden/>
          </w:rPr>
          <w:t>31</w:t>
        </w:r>
        <w:r w:rsidR="00A264C0">
          <w:rPr>
            <w:webHidden/>
          </w:rPr>
          <w:fldChar w:fldCharType="end"/>
        </w:r>
      </w:hyperlink>
    </w:p>
    <w:p w:rsidR="00A264C0" w:rsidRDefault="00BC5D02">
      <w:pPr>
        <w:pStyle w:val="TOC1"/>
        <w:rPr>
          <w:rFonts w:asciiTheme="minorHAnsi" w:eastAsiaTheme="minorEastAsia" w:hAnsiTheme="minorHAnsi"/>
          <w:b w:val="0"/>
          <w:color w:val="auto"/>
          <w:sz w:val="22"/>
          <w:lang w:val="en-AU" w:eastAsia="en-AU"/>
        </w:rPr>
      </w:pPr>
      <w:hyperlink w:anchor="_Toc415582124" w:history="1">
        <w:r w:rsidR="00A264C0" w:rsidRPr="00966AAC">
          <w:rPr>
            <w:rStyle w:val="Hyperlink"/>
          </w:rPr>
          <w:t>Appendix B—Service performance templates</w:t>
        </w:r>
        <w:r w:rsidR="00A264C0">
          <w:rPr>
            <w:webHidden/>
          </w:rPr>
          <w:tab/>
        </w:r>
        <w:r w:rsidR="00A264C0">
          <w:rPr>
            <w:webHidden/>
          </w:rPr>
          <w:fldChar w:fldCharType="begin"/>
        </w:r>
        <w:r w:rsidR="00A264C0">
          <w:rPr>
            <w:webHidden/>
          </w:rPr>
          <w:instrText xml:space="preserve"> PAGEREF _Toc415582124 \h </w:instrText>
        </w:r>
        <w:r w:rsidR="00A264C0">
          <w:rPr>
            <w:webHidden/>
          </w:rPr>
        </w:r>
        <w:r w:rsidR="00A264C0">
          <w:rPr>
            <w:webHidden/>
          </w:rPr>
          <w:fldChar w:fldCharType="separate"/>
        </w:r>
        <w:r>
          <w:rPr>
            <w:webHidden/>
          </w:rPr>
          <w:t>32</w:t>
        </w:r>
        <w:r w:rsidR="00A264C0">
          <w:rPr>
            <w:webHidden/>
          </w:rPr>
          <w:fldChar w:fldCharType="end"/>
        </w:r>
      </w:hyperlink>
    </w:p>
    <w:p w:rsidR="00A264C0" w:rsidRDefault="00BC5D02">
      <w:pPr>
        <w:pStyle w:val="TOC1"/>
        <w:rPr>
          <w:rFonts w:asciiTheme="minorHAnsi" w:eastAsiaTheme="minorEastAsia" w:hAnsiTheme="minorHAnsi"/>
          <w:b w:val="0"/>
          <w:color w:val="auto"/>
          <w:sz w:val="22"/>
          <w:lang w:val="en-AU" w:eastAsia="en-AU"/>
        </w:rPr>
      </w:pPr>
      <w:hyperlink w:anchor="_Toc415582125" w:history="1">
        <w:r w:rsidR="00A264C0" w:rsidRPr="00966AAC">
          <w:rPr>
            <w:rStyle w:val="Hyperlink"/>
          </w:rPr>
          <w:t>Appendix C—Example of a directors' responsibility statement</w:t>
        </w:r>
        <w:r w:rsidR="00A264C0">
          <w:rPr>
            <w:webHidden/>
          </w:rPr>
          <w:tab/>
        </w:r>
        <w:r w:rsidR="00A264C0">
          <w:rPr>
            <w:webHidden/>
          </w:rPr>
          <w:fldChar w:fldCharType="begin"/>
        </w:r>
        <w:r w:rsidR="00A264C0">
          <w:rPr>
            <w:webHidden/>
          </w:rPr>
          <w:instrText xml:space="preserve"> PAGEREF _Toc415582125 \h </w:instrText>
        </w:r>
        <w:r w:rsidR="00A264C0">
          <w:rPr>
            <w:webHidden/>
          </w:rPr>
        </w:r>
        <w:r w:rsidR="00A264C0">
          <w:rPr>
            <w:webHidden/>
          </w:rPr>
          <w:fldChar w:fldCharType="separate"/>
        </w:r>
        <w:r>
          <w:rPr>
            <w:webHidden/>
          </w:rPr>
          <w:t>33</w:t>
        </w:r>
        <w:r w:rsidR="00A264C0">
          <w:rPr>
            <w:webHidden/>
          </w:rPr>
          <w:fldChar w:fldCharType="end"/>
        </w:r>
      </w:hyperlink>
    </w:p>
    <w:p w:rsidR="0020492C" w:rsidRDefault="00A75077" w:rsidP="0020492C">
      <w:r>
        <w:fldChar w:fldCharType="end"/>
      </w:r>
      <w:bookmarkStart w:id="0" w:name="_Toc213047617"/>
    </w:p>
    <w:p w:rsidR="00235DEB" w:rsidRPr="00235DEB" w:rsidRDefault="00235DEB" w:rsidP="00235DEB">
      <w:pPr>
        <w:pStyle w:val="Heading1notnumber"/>
      </w:pPr>
      <w:bookmarkStart w:id="1" w:name="_Toc402537455"/>
      <w:bookmarkStart w:id="2" w:name="_Toc404246236"/>
      <w:bookmarkStart w:id="3" w:name="_Toc404437101"/>
      <w:bookmarkStart w:id="4" w:name="_Toc405977420"/>
      <w:bookmarkStart w:id="5" w:name="_Toc415582067"/>
      <w:bookmarkEnd w:id="0"/>
      <w:r w:rsidRPr="00235DEB">
        <w:t>Shortened forms</w:t>
      </w:r>
      <w:bookmarkEnd w:id="1"/>
      <w:bookmarkEnd w:id="2"/>
      <w:bookmarkEnd w:id="3"/>
      <w:bookmarkEnd w:id="4"/>
      <w:bookmarkEnd w:id="5"/>
    </w:p>
    <w:tbl>
      <w:tblPr>
        <w:tblStyle w:val="AERTable-Text"/>
        <w:tblW w:w="0" w:type="auto"/>
        <w:tblLook w:val="04A0" w:firstRow="1" w:lastRow="0" w:firstColumn="1" w:lastColumn="0" w:noHBand="0" w:noVBand="1"/>
      </w:tblPr>
      <w:tblGrid>
        <w:gridCol w:w="3085"/>
        <w:gridCol w:w="5443"/>
      </w:tblGrid>
      <w:tr w:rsidR="00235DEB" w:rsidRPr="007018B0" w:rsidTr="006A40E7">
        <w:trPr>
          <w:cnfStyle w:val="100000000000" w:firstRow="1" w:lastRow="0" w:firstColumn="0" w:lastColumn="0" w:oddVBand="0" w:evenVBand="0" w:oddHBand="0" w:evenHBand="0" w:firstRowFirstColumn="0" w:firstRowLastColumn="0" w:lastRowFirstColumn="0" w:lastRowLastColumn="0"/>
        </w:trPr>
        <w:tc>
          <w:tcPr>
            <w:tcW w:w="3085" w:type="dxa"/>
          </w:tcPr>
          <w:p w:rsidR="00235DEB" w:rsidRPr="00235DEB" w:rsidRDefault="00235DEB" w:rsidP="00235DEB">
            <w:r w:rsidRPr="00235DEB">
              <w:t>Shortened form</w:t>
            </w:r>
          </w:p>
        </w:tc>
        <w:tc>
          <w:tcPr>
            <w:tcW w:w="5443" w:type="dxa"/>
          </w:tcPr>
          <w:p w:rsidR="00235DEB" w:rsidRPr="00235DEB" w:rsidRDefault="00235DEB" w:rsidP="00235DEB">
            <w:r w:rsidRPr="00235DEB">
              <w:t>Extended form</w:t>
            </w:r>
          </w:p>
        </w:tc>
      </w:tr>
      <w:tr w:rsidR="00235DEB" w:rsidRPr="007018B0" w:rsidTr="006A40E7">
        <w:tc>
          <w:tcPr>
            <w:tcW w:w="3085" w:type="dxa"/>
          </w:tcPr>
          <w:p w:rsidR="00235DEB" w:rsidRPr="00235DEB" w:rsidRDefault="00235DEB" w:rsidP="00235DEB">
            <w:r w:rsidRPr="00235DEB">
              <w:t>ACCC</w:t>
            </w:r>
          </w:p>
        </w:tc>
        <w:tc>
          <w:tcPr>
            <w:tcW w:w="5443" w:type="dxa"/>
          </w:tcPr>
          <w:p w:rsidR="00235DEB" w:rsidRPr="00235DEB" w:rsidRDefault="00235DEB" w:rsidP="00235DEB">
            <w:r w:rsidRPr="00235DEB">
              <w:t>Australian Competition and Consumer Commission</w:t>
            </w:r>
          </w:p>
        </w:tc>
      </w:tr>
      <w:tr w:rsidR="00235DEB" w:rsidRPr="007018B0" w:rsidTr="006A40E7">
        <w:trPr>
          <w:cnfStyle w:val="000000010000" w:firstRow="0" w:lastRow="0" w:firstColumn="0" w:lastColumn="0" w:oddVBand="0" w:evenVBand="0" w:oddHBand="0" w:evenHBand="1" w:firstRowFirstColumn="0" w:firstRowLastColumn="0" w:lastRowFirstColumn="0" w:lastRowLastColumn="0"/>
        </w:trPr>
        <w:tc>
          <w:tcPr>
            <w:tcW w:w="3085" w:type="dxa"/>
          </w:tcPr>
          <w:p w:rsidR="00235DEB" w:rsidRPr="00235DEB" w:rsidRDefault="00235DEB" w:rsidP="00235DEB">
            <w:r w:rsidRPr="00235DEB">
              <w:t>AEMO</w:t>
            </w:r>
          </w:p>
        </w:tc>
        <w:tc>
          <w:tcPr>
            <w:tcW w:w="5443" w:type="dxa"/>
          </w:tcPr>
          <w:p w:rsidR="00235DEB" w:rsidRPr="00235DEB" w:rsidRDefault="00235DEB" w:rsidP="00235DEB">
            <w:r w:rsidRPr="00235DEB">
              <w:t>Australian Energy Market Operator</w:t>
            </w:r>
          </w:p>
        </w:tc>
      </w:tr>
      <w:tr w:rsidR="00235DEB" w:rsidRPr="007018B0" w:rsidTr="006A40E7">
        <w:tc>
          <w:tcPr>
            <w:tcW w:w="3085" w:type="dxa"/>
          </w:tcPr>
          <w:p w:rsidR="00235DEB" w:rsidRPr="00235DEB" w:rsidRDefault="00235DEB" w:rsidP="00235DEB">
            <w:r w:rsidRPr="00235DEB">
              <w:t>AER</w:t>
            </w:r>
          </w:p>
        </w:tc>
        <w:tc>
          <w:tcPr>
            <w:tcW w:w="5443" w:type="dxa"/>
          </w:tcPr>
          <w:p w:rsidR="00235DEB" w:rsidRPr="00235DEB" w:rsidRDefault="00235DEB" w:rsidP="00235DEB">
            <w:r w:rsidRPr="00235DEB">
              <w:t>Australian Energy Regulator</w:t>
            </w:r>
          </w:p>
        </w:tc>
      </w:tr>
      <w:tr w:rsidR="00235DEB" w:rsidRPr="007018B0" w:rsidTr="006A40E7">
        <w:trPr>
          <w:cnfStyle w:val="000000010000" w:firstRow="0" w:lastRow="0" w:firstColumn="0" w:lastColumn="0" w:oddVBand="0" w:evenVBand="0" w:oddHBand="0" w:evenHBand="1" w:firstRowFirstColumn="0" w:firstRowLastColumn="0" w:lastRowFirstColumn="0" w:lastRowLastColumn="0"/>
        </w:trPr>
        <w:tc>
          <w:tcPr>
            <w:tcW w:w="3085" w:type="dxa"/>
          </w:tcPr>
          <w:p w:rsidR="00235DEB" w:rsidRPr="00235DEB" w:rsidRDefault="00235DEB" w:rsidP="00235DEB">
            <w:r w:rsidRPr="00235DEB">
              <w:t>NEL</w:t>
            </w:r>
          </w:p>
        </w:tc>
        <w:tc>
          <w:tcPr>
            <w:tcW w:w="5443" w:type="dxa"/>
          </w:tcPr>
          <w:p w:rsidR="00235DEB" w:rsidRPr="00235DEB" w:rsidRDefault="00235DEB" w:rsidP="00235DEB">
            <w:r w:rsidRPr="00235DEB">
              <w:t xml:space="preserve">National Electricity Law </w:t>
            </w:r>
          </w:p>
        </w:tc>
      </w:tr>
      <w:tr w:rsidR="00235DEB" w:rsidRPr="002C2927" w:rsidTr="006A40E7">
        <w:tc>
          <w:tcPr>
            <w:tcW w:w="3085" w:type="dxa"/>
          </w:tcPr>
          <w:p w:rsidR="00235DEB" w:rsidRPr="00235DEB" w:rsidRDefault="00235DEB" w:rsidP="00235DEB">
            <w:r w:rsidRPr="00235DEB">
              <w:t>NER</w:t>
            </w:r>
          </w:p>
        </w:tc>
        <w:tc>
          <w:tcPr>
            <w:tcW w:w="5443" w:type="dxa"/>
          </w:tcPr>
          <w:p w:rsidR="00235DEB" w:rsidRPr="00235DEB" w:rsidRDefault="00235DEB" w:rsidP="00235DEB">
            <w:r w:rsidRPr="00235DEB">
              <w:t>National Electricity Rules</w:t>
            </w:r>
          </w:p>
        </w:tc>
      </w:tr>
      <w:tr w:rsidR="00235DEB" w:rsidRPr="002C2927" w:rsidTr="006A40E7">
        <w:trPr>
          <w:cnfStyle w:val="000000010000" w:firstRow="0" w:lastRow="0" w:firstColumn="0" w:lastColumn="0" w:oddVBand="0" w:evenVBand="0" w:oddHBand="0" w:evenHBand="1" w:firstRowFirstColumn="0" w:firstRowLastColumn="0" w:lastRowFirstColumn="0" w:lastRowLastColumn="0"/>
        </w:trPr>
        <w:tc>
          <w:tcPr>
            <w:tcW w:w="3085" w:type="dxa"/>
          </w:tcPr>
          <w:p w:rsidR="00235DEB" w:rsidRPr="00235DEB" w:rsidRDefault="00235DEB" w:rsidP="00235DEB">
            <w:r w:rsidRPr="00235DEB">
              <w:t>TNSP</w:t>
            </w:r>
          </w:p>
        </w:tc>
        <w:tc>
          <w:tcPr>
            <w:tcW w:w="5443" w:type="dxa"/>
          </w:tcPr>
          <w:p w:rsidR="00235DEB" w:rsidRPr="00235DEB" w:rsidRDefault="00235DEB" w:rsidP="00235DEB">
            <w:r w:rsidRPr="00235DEB">
              <w:t>transmission network service provider</w:t>
            </w:r>
          </w:p>
        </w:tc>
      </w:tr>
    </w:tbl>
    <w:p w:rsidR="00D35DC8" w:rsidRDefault="00D35DC8" w:rsidP="00235DEB">
      <w:pPr>
        <w:pStyle w:val="Numberedparagraph11"/>
        <w:numPr>
          <w:ilvl w:val="0"/>
          <w:numId w:val="0"/>
        </w:numPr>
        <w:ind w:left="680" w:hanging="680"/>
      </w:pPr>
    </w:p>
    <w:p w:rsidR="00235DEB" w:rsidRPr="00235DEB" w:rsidRDefault="00235DEB" w:rsidP="00235DEB">
      <w:pPr>
        <w:pStyle w:val="Heading1"/>
      </w:pPr>
      <w:bookmarkStart w:id="6" w:name="_Toc405977421"/>
      <w:bookmarkStart w:id="7" w:name="_Toc415582068"/>
      <w:r w:rsidRPr="00235DEB">
        <w:t>Nature and Authority</w:t>
      </w:r>
      <w:bookmarkEnd w:id="6"/>
      <w:bookmarkEnd w:id="7"/>
    </w:p>
    <w:p w:rsidR="00235DEB" w:rsidRPr="00235DEB" w:rsidRDefault="00235DEB" w:rsidP="00235DEB">
      <w:pPr>
        <w:pStyle w:val="Heading2"/>
      </w:pPr>
      <w:bookmarkStart w:id="8" w:name="_Toc405977422"/>
      <w:bookmarkStart w:id="9" w:name="_Toc415582069"/>
      <w:r w:rsidRPr="00235DEB">
        <w:t>Introduction</w:t>
      </w:r>
      <w:bookmarkEnd w:id="8"/>
      <w:bookmarkEnd w:id="9"/>
      <w:r w:rsidRPr="00235DEB">
        <w:t xml:space="preserve"> </w:t>
      </w:r>
    </w:p>
    <w:p w:rsidR="00235DEB" w:rsidRPr="00235DEB" w:rsidRDefault="00235DEB" w:rsidP="00235DEB">
      <w:pPr>
        <w:pStyle w:val="BodyText"/>
      </w:pPr>
      <w:r w:rsidRPr="00235DEB">
        <w:t xml:space="preserve">This </w:t>
      </w:r>
      <w:r w:rsidRPr="00C938FB">
        <w:rPr>
          <w:rStyle w:val="Emphasis"/>
        </w:rPr>
        <w:t>guideline</w:t>
      </w:r>
      <w:r w:rsidRPr="00235DEB">
        <w:t xml:space="preserve"> sets out the information that must be provided by a </w:t>
      </w:r>
      <w:r w:rsidRPr="00C938FB">
        <w:rPr>
          <w:rStyle w:val="Emphasis"/>
        </w:rPr>
        <w:t>Transmission Network Service Provider</w:t>
      </w:r>
      <w:r w:rsidRPr="00235DEB">
        <w:t xml:space="preserve"> (</w:t>
      </w:r>
      <w:r w:rsidRPr="00C938FB">
        <w:rPr>
          <w:rStyle w:val="Emphasis"/>
        </w:rPr>
        <w:t>TNSP</w:t>
      </w:r>
      <w:r w:rsidRPr="00235DEB">
        <w:t xml:space="preserve">) to the </w:t>
      </w:r>
      <w:r w:rsidRPr="004F069F">
        <w:rPr>
          <w:rStyle w:val="Emphasis"/>
        </w:rPr>
        <w:t xml:space="preserve">Australian Energy Regulator </w:t>
      </w:r>
      <w:r w:rsidR="004F069F" w:rsidRPr="004F069F">
        <w:rPr>
          <w:rStyle w:val="Emphasis"/>
        </w:rPr>
        <w:t>(AER)</w:t>
      </w:r>
      <w:r w:rsidR="004F069F">
        <w:t xml:space="preserve"> </w:t>
      </w:r>
      <w:r w:rsidRPr="00235DEB">
        <w:t xml:space="preserve">under clause 6A.17 of the </w:t>
      </w:r>
      <w:r w:rsidRPr="00C938FB">
        <w:rPr>
          <w:rStyle w:val="Emphasis"/>
        </w:rPr>
        <w:t>National Electricity Rules</w:t>
      </w:r>
      <w:r w:rsidRPr="00235DEB">
        <w:t xml:space="preserve"> (NER).</w:t>
      </w:r>
    </w:p>
    <w:p w:rsidR="00235DEB" w:rsidRPr="00235DEB" w:rsidRDefault="00235DEB" w:rsidP="00235DEB">
      <w:pPr>
        <w:pStyle w:val="Heading2"/>
      </w:pPr>
      <w:bookmarkStart w:id="10" w:name="_Toc405977423"/>
      <w:bookmarkStart w:id="11" w:name="_Toc415582070"/>
      <w:r w:rsidRPr="00235DEB">
        <w:t>Authority</w:t>
      </w:r>
      <w:bookmarkEnd w:id="10"/>
      <w:bookmarkEnd w:id="11"/>
    </w:p>
    <w:p w:rsidR="00235DEB" w:rsidRPr="00235DEB" w:rsidRDefault="00235DEB" w:rsidP="00235DEB">
      <w:pPr>
        <w:pStyle w:val="BodyText"/>
      </w:pPr>
      <w:r w:rsidRPr="00235DEB">
        <w:t xml:space="preserve">Clause 6A.17.2 of the </w:t>
      </w:r>
      <w:r w:rsidRPr="00C938FB">
        <w:rPr>
          <w:rStyle w:val="Emphasis"/>
        </w:rPr>
        <w:t>NER</w:t>
      </w:r>
      <w:r w:rsidRPr="00235DEB">
        <w:t xml:space="preserve"> requires the </w:t>
      </w:r>
      <w:r w:rsidRPr="00C938FB">
        <w:rPr>
          <w:rStyle w:val="Emphasis"/>
        </w:rPr>
        <w:t>AER</w:t>
      </w:r>
      <w:r w:rsidRPr="00235DEB">
        <w:t xml:space="preserve"> to prepare and publish an </w:t>
      </w:r>
      <w:r w:rsidRPr="00C938FB">
        <w:rPr>
          <w:rStyle w:val="Emphasis"/>
        </w:rPr>
        <w:t>information guideline</w:t>
      </w:r>
      <w:r w:rsidRPr="00235DEB">
        <w:t xml:space="preserve"> in accordance with the </w:t>
      </w:r>
      <w:r w:rsidRPr="00C938FB">
        <w:rPr>
          <w:rStyle w:val="Emphasis"/>
        </w:rPr>
        <w:t>transmission consultation procedures</w:t>
      </w:r>
      <w:r w:rsidRPr="00235DEB">
        <w:t>.</w:t>
      </w:r>
    </w:p>
    <w:p w:rsidR="00235DEB" w:rsidRPr="00235DEB" w:rsidRDefault="00235DEB" w:rsidP="00235DEB">
      <w:pPr>
        <w:pStyle w:val="Heading2"/>
      </w:pPr>
      <w:bookmarkStart w:id="12" w:name="_Toc405977424"/>
      <w:bookmarkStart w:id="13" w:name="_Toc415582071"/>
      <w:r w:rsidRPr="00235DEB">
        <w:t>Role of this guideline</w:t>
      </w:r>
      <w:bookmarkEnd w:id="12"/>
      <w:bookmarkEnd w:id="13"/>
      <w:r w:rsidRPr="00235DEB">
        <w:t xml:space="preserve"> </w:t>
      </w:r>
    </w:p>
    <w:p w:rsidR="00235DEB" w:rsidRPr="00235DEB" w:rsidRDefault="00235DEB" w:rsidP="00235DEB">
      <w:pPr>
        <w:pStyle w:val="BodyText"/>
      </w:pPr>
      <w:r w:rsidRPr="00235DEB">
        <w:t xml:space="preserve">In accordance with clause 6A.17 of the </w:t>
      </w:r>
      <w:r w:rsidRPr="00C938FB">
        <w:rPr>
          <w:rStyle w:val="Emphasis"/>
        </w:rPr>
        <w:t>NER</w:t>
      </w:r>
      <w:r w:rsidRPr="00235DEB">
        <w:t xml:space="preserve">, this </w:t>
      </w:r>
      <w:r w:rsidRPr="00C938FB">
        <w:rPr>
          <w:rStyle w:val="Emphasis"/>
        </w:rPr>
        <w:t>guideline</w:t>
      </w:r>
      <w:r w:rsidRPr="00235DEB">
        <w:t xml:space="preserve"> sets out the manner and form in, and date by, which </w:t>
      </w:r>
      <w:r w:rsidRPr="00C938FB">
        <w:rPr>
          <w:rStyle w:val="Emphasis"/>
        </w:rPr>
        <w:t>TNSPs</w:t>
      </w:r>
      <w:r w:rsidRPr="00235DEB">
        <w:t xml:space="preserve"> should submit the following information to the </w:t>
      </w:r>
      <w:proofErr w:type="gramStart"/>
      <w:r w:rsidRPr="00C938FB">
        <w:rPr>
          <w:rStyle w:val="Emphasis"/>
        </w:rPr>
        <w:t>AER</w:t>
      </w:r>
      <w:r w:rsidRPr="00235DEB">
        <w:t>:</w:t>
      </w:r>
      <w:proofErr w:type="gramEnd"/>
    </w:p>
    <w:p w:rsidR="00235DEB" w:rsidRPr="00C938FB" w:rsidRDefault="00235DEB" w:rsidP="00C938FB">
      <w:pPr>
        <w:pStyle w:val="ListBullet"/>
        <w:rPr>
          <w:rStyle w:val="Emphasis"/>
        </w:rPr>
      </w:pPr>
      <w:r w:rsidRPr="00C938FB">
        <w:rPr>
          <w:rStyle w:val="Emphasis"/>
        </w:rPr>
        <w:t xml:space="preserve">certified annual statements </w:t>
      </w:r>
    </w:p>
    <w:p w:rsidR="00235DEB" w:rsidRPr="00235DEB" w:rsidRDefault="00235DEB" w:rsidP="00C938FB">
      <w:pPr>
        <w:pStyle w:val="ListBullet"/>
      </w:pPr>
      <w:proofErr w:type="gramStart"/>
      <w:r w:rsidRPr="00235DEB">
        <w:t>any</w:t>
      </w:r>
      <w:proofErr w:type="gramEnd"/>
      <w:r w:rsidRPr="00235DEB">
        <w:t xml:space="preserve"> additional information that the </w:t>
      </w:r>
      <w:r w:rsidRPr="00C938FB">
        <w:rPr>
          <w:rStyle w:val="Emphasis"/>
        </w:rPr>
        <w:t>AER</w:t>
      </w:r>
      <w:r w:rsidRPr="00235DEB">
        <w:t xml:space="preserve"> reasonably requires for a purpose set out in clause 6A.17.1(d) of the </w:t>
      </w:r>
      <w:r w:rsidRPr="00C938FB">
        <w:rPr>
          <w:rStyle w:val="Emphasis"/>
        </w:rPr>
        <w:t>NER</w:t>
      </w:r>
      <w:r w:rsidRPr="00235DEB">
        <w:t>.</w:t>
      </w:r>
    </w:p>
    <w:p w:rsidR="00235DEB" w:rsidRPr="00235DEB" w:rsidRDefault="00235DEB" w:rsidP="00235DEB">
      <w:pPr>
        <w:pStyle w:val="BodyText"/>
      </w:pPr>
      <w:r w:rsidRPr="00235DEB">
        <w:t xml:space="preserve">This </w:t>
      </w:r>
      <w:r w:rsidRPr="00C938FB">
        <w:rPr>
          <w:rStyle w:val="Emphasis"/>
        </w:rPr>
        <w:t>guideline</w:t>
      </w:r>
      <w:r w:rsidRPr="00235DEB">
        <w:t xml:space="preserve"> also details the information that a </w:t>
      </w:r>
      <w:r w:rsidRPr="00C938FB">
        <w:rPr>
          <w:rStyle w:val="Emphasis"/>
        </w:rPr>
        <w:t>TNSP</w:t>
      </w:r>
      <w:r w:rsidRPr="00235DEB">
        <w:t xml:space="preserve"> must provide:</w:t>
      </w:r>
    </w:p>
    <w:p w:rsidR="00235DEB" w:rsidRPr="00235DEB" w:rsidRDefault="00235DEB" w:rsidP="00C938FB">
      <w:pPr>
        <w:pStyle w:val="ListBullet"/>
      </w:pPr>
      <w:proofErr w:type="gramStart"/>
      <w:r w:rsidRPr="00235DEB">
        <w:t>under</w:t>
      </w:r>
      <w:proofErr w:type="gramEnd"/>
      <w:r w:rsidRPr="00235DEB">
        <w:t xml:space="preserve"> clauses 6A.17.2(g) and 6A.17.2(h) of the </w:t>
      </w:r>
      <w:r w:rsidRPr="00C938FB">
        <w:rPr>
          <w:rStyle w:val="Emphasis"/>
        </w:rPr>
        <w:t>NER</w:t>
      </w:r>
      <w:r w:rsidRPr="00235DEB">
        <w:t xml:space="preserve"> relating to a reduction in prices under clause 6A.26.2(b) of the </w:t>
      </w:r>
      <w:r w:rsidRPr="00C938FB">
        <w:rPr>
          <w:rStyle w:val="Emphasis"/>
        </w:rPr>
        <w:t>NER</w:t>
      </w:r>
      <w:r w:rsidRPr="00235DEB">
        <w:t xml:space="preserve"> and cost allocation among </w:t>
      </w:r>
      <w:r w:rsidRPr="00C938FB">
        <w:rPr>
          <w:rStyle w:val="Emphasis"/>
        </w:rPr>
        <w:t>TNSPs</w:t>
      </w:r>
      <w:r w:rsidRPr="00235DEB">
        <w:t>.</w:t>
      </w:r>
    </w:p>
    <w:p w:rsidR="00235DEB" w:rsidRPr="00235DEB" w:rsidRDefault="00235DEB" w:rsidP="00235DEB">
      <w:pPr>
        <w:pStyle w:val="BodyText"/>
      </w:pPr>
      <w:r w:rsidRPr="00235DEB">
        <w:t xml:space="preserve">This </w:t>
      </w:r>
      <w:r w:rsidRPr="00C938FB">
        <w:rPr>
          <w:rStyle w:val="Emphasis"/>
        </w:rPr>
        <w:t>guideline</w:t>
      </w:r>
      <w:r w:rsidRPr="00235DEB">
        <w:t xml:space="preserve"> stipulates the minimum information disclosure requirements of the </w:t>
      </w:r>
      <w:r w:rsidRPr="00C938FB">
        <w:rPr>
          <w:rStyle w:val="Emphasis"/>
        </w:rPr>
        <w:t>AER</w:t>
      </w:r>
      <w:r w:rsidRPr="00235DEB">
        <w:t xml:space="preserve"> under clause 6A.17 of the </w:t>
      </w:r>
      <w:r w:rsidRPr="00C938FB">
        <w:rPr>
          <w:rStyle w:val="Emphasis"/>
        </w:rPr>
        <w:t>NER</w:t>
      </w:r>
      <w:r w:rsidRPr="00235DEB">
        <w:t xml:space="preserve">. The obligation of a </w:t>
      </w:r>
      <w:r w:rsidRPr="00C938FB">
        <w:rPr>
          <w:rStyle w:val="Emphasis"/>
        </w:rPr>
        <w:t>TNSP</w:t>
      </w:r>
      <w:r w:rsidRPr="00235DEB">
        <w:t xml:space="preserve"> to comply with this </w:t>
      </w:r>
      <w:r w:rsidRPr="00C938FB">
        <w:rPr>
          <w:rStyle w:val="Emphasis"/>
        </w:rPr>
        <w:t>guideline</w:t>
      </w:r>
      <w:r w:rsidRPr="00235DEB">
        <w:t>:</w:t>
      </w:r>
    </w:p>
    <w:p w:rsidR="00235DEB" w:rsidRPr="00235DEB" w:rsidRDefault="00235DEB" w:rsidP="00C938FB">
      <w:pPr>
        <w:pStyle w:val="ListBullet"/>
      </w:pPr>
      <w:r w:rsidRPr="00235DEB">
        <w:t xml:space="preserve">is additional to any obligation imposed under any other law applying to a </w:t>
      </w:r>
      <w:r w:rsidRPr="00C938FB">
        <w:rPr>
          <w:rStyle w:val="Emphasis"/>
        </w:rPr>
        <w:t>TNSP</w:t>
      </w:r>
      <w:r w:rsidRPr="00235DEB">
        <w:t xml:space="preserve"> </w:t>
      </w:r>
    </w:p>
    <w:p w:rsidR="00235DEB" w:rsidRPr="00235DEB" w:rsidRDefault="00235DEB" w:rsidP="00C938FB">
      <w:pPr>
        <w:pStyle w:val="ListBullet"/>
      </w:pPr>
      <w:proofErr w:type="gramStart"/>
      <w:r w:rsidRPr="00235DEB">
        <w:t>does</w:t>
      </w:r>
      <w:proofErr w:type="gramEnd"/>
      <w:r w:rsidRPr="00235DEB">
        <w:t xml:space="preserve"> not derogate from such an obligation.</w:t>
      </w:r>
    </w:p>
    <w:p w:rsidR="00235DEB" w:rsidRPr="00235DEB" w:rsidRDefault="00235DEB" w:rsidP="00235DEB">
      <w:pPr>
        <w:pStyle w:val="Heading2"/>
      </w:pPr>
      <w:bookmarkStart w:id="14" w:name="_Toc405977425"/>
      <w:bookmarkStart w:id="15" w:name="_Toc415582072"/>
      <w:r w:rsidRPr="00235DEB">
        <w:t>Confidentiality</w:t>
      </w:r>
      <w:bookmarkEnd w:id="14"/>
      <w:bookmarkEnd w:id="15"/>
    </w:p>
    <w:p w:rsidR="00235DEB" w:rsidRPr="00235DEB" w:rsidRDefault="00235DEB" w:rsidP="00235DEB">
      <w:pPr>
        <w:pStyle w:val="BodyText"/>
      </w:pPr>
      <w:r w:rsidRPr="00235DEB">
        <w:t xml:space="preserve">The </w:t>
      </w:r>
      <w:r w:rsidRPr="00C938FB">
        <w:rPr>
          <w:rStyle w:val="Emphasis"/>
        </w:rPr>
        <w:t>AER’s</w:t>
      </w:r>
      <w:r w:rsidRPr="00235DEB">
        <w:t xml:space="preserve"> obligations regarding confidentiality and the disclosure of information provided to it by a </w:t>
      </w:r>
      <w:r w:rsidRPr="00C938FB">
        <w:rPr>
          <w:rStyle w:val="Emphasis"/>
        </w:rPr>
        <w:t>TNSP</w:t>
      </w:r>
      <w:r w:rsidRPr="00235DEB">
        <w:t xml:space="preserve"> are governed by the </w:t>
      </w:r>
      <w:r w:rsidRPr="00C938FB">
        <w:rPr>
          <w:rStyle w:val="Emphasis"/>
        </w:rPr>
        <w:t>Competition and Consumer Act 2010</w:t>
      </w:r>
      <w:r w:rsidRPr="00235DEB">
        <w:t xml:space="preserve">, </w:t>
      </w:r>
      <w:r w:rsidRPr="00C938FB">
        <w:rPr>
          <w:rStyle w:val="Emphasis"/>
        </w:rPr>
        <w:t>National Electricity Law</w:t>
      </w:r>
      <w:r w:rsidRPr="00235DEB">
        <w:t xml:space="preserve"> (NEL) and the </w:t>
      </w:r>
      <w:r w:rsidRPr="00C938FB">
        <w:rPr>
          <w:rStyle w:val="Emphasis"/>
        </w:rPr>
        <w:t>NER</w:t>
      </w:r>
      <w:r w:rsidRPr="00235DEB">
        <w:t xml:space="preserve">. </w:t>
      </w:r>
    </w:p>
    <w:p w:rsidR="00235DEB" w:rsidRDefault="00235DEB" w:rsidP="00235DEB">
      <w:pPr>
        <w:pStyle w:val="BodyText"/>
      </w:pPr>
      <w:r w:rsidRPr="00235DEB">
        <w:t>Our approach to the handling of confidential information is set out in our Confidentiality Guideline.</w:t>
      </w:r>
      <w:r w:rsidRPr="00C938FB">
        <w:rPr>
          <w:rStyle w:val="FootnoteReference"/>
        </w:rPr>
        <w:footnoteReference w:id="2"/>
      </w:r>
      <w:r w:rsidRPr="00C938FB">
        <w:rPr>
          <w:rStyle w:val="FootnoteReference"/>
        </w:rPr>
        <w:t xml:space="preserve"> </w:t>
      </w:r>
      <w:r w:rsidRPr="00C938FB">
        <w:rPr>
          <w:rStyle w:val="Emphasis"/>
        </w:rPr>
        <w:t>TNSPs</w:t>
      </w:r>
      <w:r w:rsidRPr="00235DEB">
        <w:t xml:space="preserve"> submitting confidential information are requested to comply with this guideline.</w:t>
      </w:r>
    </w:p>
    <w:p w:rsidR="00EC5662" w:rsidRPr="00235DEB" w:rsidRDefault="00EC5662" w:rsidP="00235DEB">
      <w:pPr>
        <w:pStyle w:val="BodyText"/>
      </w:pPr>
    </w:p>
    <w:p w:rsidR="00235DEB" w:rsidRPr="00235DEB" w:rsidRDefault="00235DEB" w:rsidP="00235DEB">
      <w:pPr>
        <w:pStyle w:val="Heading2"/>
      </w:pPr>
      <w:bookmarkStart w:id="16" w:name="_Toc405977426"/>
      <w:bookmarkStart w:id="17" w:name="_Toc415582073"/>
      <w:r w:rsidRPr="00235DEB">
        <w:t>Definitions and interpretation</w:t>
      </w:r>
      <w:bookmarkEnd w:id="16"/>
      <w:bookmarkEnd w:id="17"/>
    </w:p>
    <w:p w:rsidR="00235DEB" w:rsidRPr="00235DEB" w:rsidRDefault="00235DEB" w:rsidP="00235DEB">
      <w:pPr>
        <w:pStyle w:val="BodyText"/>
      </w:pPr>
      <w:r w:rsidRPr="00235DEB">
        <w:t xml:space="preserve">In this </w:t>
      </w:r>
      <w:r w:rsidRPr="00784979">
        <w:rPr>
          <w:rStyle w:val="Emphasis"/>
        </w:rPr>
        <w:t>guideline</w:t>
      </w:r>
      <w:r w:rsidRPr="00235DEB">
        <w:t>:</w:t>
      </w:r>
    </w:p>
    <w:p w:rsidR="00235DEB" w:rsidRPr="00235DEB" w:rsidRDefault="00235DEB" w:rsidP="00784979">
      <w:pPr>
        <w:pStyle w:val="ListBullet"/>
      </w:pPr>
      <w:r w:rsidRPr="00235DEB">
        <w:t xml:space="preserve">the words and phrases presented in italics such as this are defined in the glossary of this </w:t>
      </w:r>
      <w:r w:rsidRPr="00784979">
        <w:rPr>
          <w:rStyle w:val="Emphasis"/>
        </w:rPr>
        <w:t>guideline</w:t>
      </w:r>
      <w:r w:rsidRPr="00235DEB">
        <w:t xml:space="preserve"> and have the meaning given to them in:</w:t>
      </w:r>
    </w:p>
    <w:p w:rsidR="00235DEB" w:rsidRPr="00235DEB" w:rsidRDefault="00235DEB" w:rsidP="00784979">
      <w:pPr>
        <w:pStyle w:val="ListBullet2"/>
      </w:pPr>
      <w:r w:rsidRPr="00235DEB">
        <w:t>the glossary</w:t>
      </w:r>
    </w:p>
    <w:p w:rsidR="00235DEB" w:rsidRPr="00235DEB" w:rsidRDefault="00235DEB" w:rsidP="00784979">
      <w:pPr>
        <w:pStyle w:val="ListBullet2"/>
      </w:pPr>
      <w:proofErr w:type="gramStart"/>
      <w:r w:rsidRPr="00235DEB">
        <w:t>if</w:t>
      </w:r>
      <w:proofErr w:type="gramEnd"/>
      <w:r w:rsidRPr="00235DEB">
        <w:t xml:space="preserve"> not defined in the glossary, the </w:t>
      </w:r>
      <w:r w:rsidRPr="00784979">
        <w:rPr>
          <w:rStyle w:val="Emphasis"/>
        </w:rPr>
        <w:t>NER</w:t>
      </w:r>
      <w:r w:rsidRPr="00235DEB">
        <w:t>.</w:t>
      </w:r>
    </w:p>
    <w:p w:rsidR="00235DEB" w:rsidRPr="00235DEB" w:rsidRDefault="00235DEB" w:rsidP="00784979">
      <w:pPr>
        <w:pStyle w:val="ListBullet"/>
      </w:pPr>
      <w:proofErr w:type="gramStart"/>
      <w:r w:rsidRPr="00235DEB">
        <w:t>the</w:t>
      </w:r>
      <w:proofErr w:type="gramEnd"/>
      <w:r w:rsidRPr="00235DEB">
        <w:t xml:space="preserve"> words ‘shall’ and ‘must’ indicate mandatory requirements, unless the overall meaning of the phrase in which one of these words appears, is otherwise.</w:t>
      </w:r>
    </w:p>
    <w:p w:rsidR="00235DEB" w:rsidRPr="00235DEB" w:rsidRDefault="00235DEB" w:rsidP="00235DEB">
      <w:pPr>
        <w:pStyle w:val="BodyText"/>
      </w:pPr>
      <w:r w:rsidRPr="00235DEB">
        <w:t xml:space="preserve">Explanations in this </w:t>
      </w:r>
      <w:r w:rsidRPr="00784979">
        <w:rPr>
          <w:rStyle w:val="Emphasis"/>
        </w:rPr>
        <w:t>guideline</w:t>
      </w:r>
      <w:r w:rsidRPr="00235DEB">
        <w:t xml:space="preserve"> about why certain information is required are provided for guidance only. They do not limit in any way our objectives, functions or powers.</w:t>
      </w:r>
    </w:p>
    <w:p w:rsidR="00235DEB" w:rsidRPr="00235DEB" w:rsidRDefault="00235DEB" w:rsidP="00235DEB">
      <w:pPr>
        <w:pStyle w:val="Heading2"/>
      </w:pPr>
      <w:bookmarkStart w:id="18" w:name="_Toc405977427"/>
      <w:bookmarkStart w:id="19" w:name="_Toc415582074"/>
      <w:r w:rsidRPr="00235DEB">
        <w:t>Process for revision</w:t>
      </w:r>
      <w:bookmarkEnd w:id="18"/>
      <w:bookmarkEnd w:id="19"/>
    </w:p>
    <w:p w:rsidR="00235DEB" w:rsidRPr="00235DEB" w:rsidRDefault="00235DEB" w:rsidP="00235DEB">
      <w:pPr>
        <w:pStyle w:val="BodyText"/>
      </w:pPr>
      <w:r w:rsidRPr="00235DEB">
        <w:t xml:space="preserve">We may amend or replace this </w:t>
      </w:r>
      <w:r w:rsidRPr="00784979">
        <w:rPr>
          <w:rStyle w:val="Emphasis"/>
        </w:rPr>
        <w:t>guideline</w:t>
      </w:r>
      <w:r w:rsidRPr="00235DEB">
        <w:t xml:space="preserve"> from time to time in accordance with the </w:t>
      </w:r>
      <w:r w:rsidRPr="00784979">
        <w:rPr>
          <w:rStyle w:val="Emphasis"/>
        </w:rPr>
        <w:t>transmission consultation procedures</w:t>
      </w:r>
      <w:r w:rsidRPr="00235DEB">
        <w:t>.</w:t>
      </w:r>
    </w:p>
    <w:p w:rsidR="00235DEB" w:rsidRPr="00235DEB" w:rsidRDefault="00235DEB" w:rsidP="00235DEB">
      <w:pPr>
        <w:pStyle w:val="Heading2"/>
      </w:pPr>
      <w:bookmarkStart w:id="20" w:name="_Toc405977428"/>
      <w:bookmarkStart w:id="21" w:name="_Toc415582075"/>
      <w:r w:rsidRPr="00235DEB">
        <w:t>Version history and effective date</w:t>
      </w:r>
      <w:bookmarkEnd w:id="20"/>
      <w:bookmarkEnd w:id="21"/>
    </w:p>
    <w:p w:rsidR="00235DEB" w:rsidRPr="00235DEB" w:rsidRDefault="00235DEB" w:rsidP="00235DEB">
      <w:pPr>
        <w:pStyle w:val="BodyText"/>
      </w:pPr>
      <w:r w:rsidRPr="00235DEB">
        <w:t xml:space="preserve">A version number and an effective date of issue will identify every version of this </w:t>
      </w:r>
      <w:r w:rsidRPr="00784979">
        <w:rPr>
          <w:rStyle w:val="Emphasis"/>
        </w:rPr>
        <w:t>guideline</w:t>
      </w:r>
      <w:r w:rsidRPr="00235DEB">
        <w:t>.</w:t>
      </w:r>
    </w:p>
    <w:p w:rsidR="00235DEB" w:rsidRDefault="00235DEB" w:rsidP="00235DEB">
      <w:pPr>
        <w:pStyle w:val="Numberedparagraph11"/>
        <w:numPr>
          <w:ilvl w:val="0"/>
          <w:numId w:val="0"/>
        </w:numPr>
        <w:ind w:left="680" w:hanging="680"/>
      </w:pPr>
    </w:p>
    <w:p w:rsidR="00437B15" w:rsidRPr="00437B15" w:rsidRDefault="00437B15" w:rsidP="00437B15">
      <w:pPr>
        <w:pStyle w:val="Heading1"/>
      </w:pPr>
      <w:bookmarkStart w:id="22" w:name="_Toc415582076"/>
      <w:r>
        <w:t>G</w:t>
      </w:r>
      <w:r w:rsidRPr="00437B15">
        <w:t>eneral principles</w:t>
      </w:r>
      <w:bookmarkEnd w:id="22"/>
    </w:p>
    <w:p w:rsidR="00437B15" w:rsidRPr="00437B15" w:rsidRDefault="00437B15" w:rsidP="00437B15">
      <w:r w:rsidRPr="00437B15">
        <w:t xml:space="preserve">This section of the guideline sets out the general principles for a </w:t>
      </w:r>
      <w:r w:rsidRPr="00437B15">
        <w:rPr>
          <w:rStyle w:val="Emphasis"/>
        </w:rPr>
        <w:t>TNSP</w:t>
      </w:r>
      <w:r w:rsidRPr="00437B15">
        <w:t xml:space="preserve"> providing information to the </w:t>
      </w:r>
      <w:r w:rsidRPr="00437B15">
        <w:rPr>
          <w:rStyle w:val="Emphasis"/>
        </w:rPr>
        <w:t>AER</w:t>
      </w:r>
      <w:r w:rsidRPr="00437B15">
        <w:t xml:space="preserve">. </w:t>
      </w:r>
    </w:p>
    <w:p w:rsidR="00437B15" w:rsidRPr="00437B15" w:rsidRDefault="00437B15" w:rsidP="00437B15">
      <w:pPr>
        <w:pStyle w:val="Heading2"/>
      </w:pPr>
      <w:bookmarkStart w:id="23" w:name="_Toc415582077"/>
      <w:r w:rsidRPr="00437B15">
        <w:t>Compliance</w:t>
      </w:r>
      <w:bookmarkEnd w:id="23"/>
    </w:p>
    <w:p w:rsidR="00437B15" w:rsidRPr="00437B15" w:rsidRDefault="00437B15" w:rsidP="00437B15">
      <w:r w:rsidRPr="00437B15">
        <w:t>In accordance with clauses 6A.17.1 and 6A.17.2 (</w:t>
      </w:r>
      <w:proofErr w:type="spellStart"/>
      <w:r w:rsidRPr="00437B15">
        <w:t>i</w:t>
      </w:r>
      <w:proofErr w:type="spellEnd"/>
      <w:r w:rsidRPr="00437B15">
        <w:t xml:space="preserve">) of the </w:t>
      </w:r>
      <w:r w:rsidRPr="00437B15">
        <w:rPr>
          <w:rStyle w:val="Emphasis"/>
        </w:rPr>
        <w:t>NER</w:t>
      </w:r>
      <w:r w:rsidRPr="00437B15">
        <w:t xml:space="preserve">, a </w:t>
      </w:r>
      <w:r w:rsidRPr="00437B15">
        <w:rPr>
          <w:rStyle w:val="Emphasis"/>
        </w:rPr>
        <w:t>TNSP</w:t>
      </w:r>
      <w:r w:rsidRPr="00437B15">
        <w:t xml:space="preserve"> must comply with the information disclosure requirements set out in this </w:t>
      </w:r>
      <w:r w:rsidRPr="00437B15">
        <w:rPr>
          <w:rStyle w:val="Emphasis"/>
        </w:rPr>
        <w:t>guideline</w:t>
      </w:r>
      <w:r w:rsidRPr="00437B15">
        <w:t>.</w:t>
      </w:r>
    </w:p>
    <w:p w:rsidR="00437B15" w:rsidRPr="00437B15" w:rsidRDefault="00437B15" w:rsidP="00437B15">
      <w:pPr>
        <w:pStyle w:val="Heading2"/>
      </w:pPr>
      <w:bookmarkStart w:id="24" w:name="_Toc415582078"/>
      <w:r w:rsidRPr="00437B15">
        <w:t>Accounting principles and policies</w:t>
      </w:r>
      <w:bookmarkEnd w:id="24"/>
    </w:p>
    <w:p w:rsidR="00437B15" w:rsidRPr="00437B15" w:rsidRDefault="00437B15" w:rsidP="00437B15">
      <w:r w:rsidRPr="00437B15">
        <w:t xml:space="preserve">If requested by </w:t>
      </w:r>
      <w:r w:rsidR="00E2031A">
        <w:t>us</w:t>
      </w:r>
      <w:r w:rsidRPr="00437B15">
        <w:t xml:space="preserve">, a </w:t>
      </w:r>
      <w:r w:rsidRPr="00437B15">
        <w:rPr>
          <w:rStyle w:val="Emphasis"/>
        </w:rPr>
        <w:t>TNSP</w:t>
      </w:r>
      <w:r w:rsidRPr="00437B15">
        <w:t xml:space="preserve"> must </w:t>
      </w:r>
      <w:r w:rsidR="00E2031A">
        <w:t>provide</w:t>
      </w:r>
      <w:r w:rsidRPr="00437B15">
        <w:t xml:space="preserve"> full and detailed documentation of the </w:t>
      </w:r>
      <w:r w:rsidRPr="00437B15">
        <w:rPr>
          <w:rStyle w:val="Emphasis"/>
        </w:rPr>
        <w:t>regulatory accounting principles and policies</w:t>
      </w:r>
      <w:r w:rsidRPr="00437B15">
        <w:t xml:space="preserve"> </w:t>
      </w:r>
      <w:r w:rsidR="00E2031A">
        <w:t>applied</w:t>
      </w:r>
      <w:r w:rsidRPr="00437B15">
        <w:t>. This information must be provided in a way that ensures we understand the required regulatory information and can make comparisons over time.</w:t>
      </w:r>
    </w:p>
    <w:p w:rsidR="00437B15" w:rsidRPr="00437B15" w:rsidRDefault="00437B15" w:rsidP="00437B15">
      <w:r w:rsidRPr="00437B15">
        <w:t xml:space="preserve">Any changes to the accounting principles and policies from those previously applied by the </w:t>
      </w:r>
      <w:r w:rsidRPr="00437B15">
        <w:rPr>
          <w:rStyle w:val="Emphasis"/>
        </w:rPr>
        <w:t>TNSP</w:t>
      </w:r>
      <w:r w:rsidRPr="00437B15">
        <w:t>, and the rationale for such changes, must be brought to our attention. Where applicable, the impact of the changes on the financial reports should be quantified and given to us.</w:t>
      </w:r>
    </w:p>
    <w:p w:rsidR="00437B15" w:rsidRPr="00437B15" w:rsidRDefault="00437B15" w:rsidP="00437B15">
      <w:r w:rsidRPr="00437B15">
        <w:t xml:space="preserve">For the purposes of the </w:t>
      </w:r>
      <w:r w:rsidRPr="004F69D3">
        <w:rPr>
          <w:rStyle w:val="Emphasis"/>
        </w:rPr>
        <w:t>efficiency benefit sharing schem</w:t>
      </w:r>
      <w:r w:rsidRPr="00437B15">
        <w:t xml:space="preserve">e, a </w:t>
      </w:r>
      <w:r w:rsidRPr="004F69D3">
        <w:rPr>
          <w:rStyle w:val="Emphasis"/>
        </w:rPr>
        <w:t>TNSP</w:t>
      </w:r>
      <w:r w:rsidRPr="00437B15">
        <w:t xml:space="preserve"> must set out in its certified annual statement any changes to its capitalisation policy that occurred during the relevant reporting period. This must include a detailed description of the changes to the capitalisation policy and a calculation of the impact of those changes in capitalisation policy on capital expenditure and operational expenditure. The </w:t>
      </w:r>
      <w:r w:rsidR="00E2031A" w:rsidRPr="004F69D3">
        <w:rPr>
          <w:rStyle w:val="Emphasis"/>
        </w:rPr>
        <w:t>TNSP</w:t>
      </w:r>
      <w:r w:rsidR="00E2031A" w:rsidRPr="00437B15">
        <w:t xml:space="preserve"> </w:t>
      </w:r>
      <w:r w:rsidRPr="00437B15">
        <w:t xml:space="preserve">must also provide adjusted forecast operating expenditures, consistent with the capitalisation policy changes, for all years to which the capitalisation policy changes apply. The adjusted forecast operational expenditures will be used in the calculation of </w:t>
      </w:r>
      <w:r w:rsidRPr="004F69D3">
        <w:rPr>
          <w:rStyle w:val="Emphasis"/>
        </w:rPr>
        <w:t>efficiency benefit sharing scheme</w:t>
      </w:r>
      <w:r w:rsidRPr="00437B15">
        <w:t xml:space="preserve"> carry-over amounts for the next </w:t>
      </w:r>
      <w:r w:rsidRPr="004F69D3">
        <w:rPr>
          <w:rStyle w:val="Emphasis"/>
        </w:rPr>
        <w:t>revenue determination</w:t>
      </w:r>
      <w:r w:rsidRPr="00437B15">
        <w:t xml:space="preserve"> to apply in the next </w:t>
      </w:r>
      <w:r w:rsidRPr="004F69D3">
        <w:rPr>
          <w:rStyle w:val="Emphasis"/>
        </w:rPr>
        <w:t>regulatory control period</w:t>
      </w:r>
      <w:r w:rsidRPr="00437B15">
        <w:t>.</w:t>
      </w:r>
    </w:p>
    <w:p w:rsidR="00437B15" w:rsidRPr="00437B15" w:rsidRDefault="00437B15" w:rsidP="00437B15">
      <w:r w:rsidRPr="00437B15">
        <w:t xml:space="preserve">Except where this </w:t>
      </w:r>
      <w:r w:rsidRPr="004F69D3">
        <w:rPr>
          <w:rStyle w:val="Emphasis"/>
        </w:rPr>
        <w:t>guideline</w:t>
      </w:r>
      <w:r w:rsidRPr="00437B15">
        <w:t xml:space="preserve"> prescribes otherwise, the regulatory information requirements should be completed according to applicable Australian accounting standards.</w:t>
      </w:r>
    </w:p>
    <w:p w:rsidR="00437B15" w:rsidRPr="00437B15" w:rsidRDefault="00437B15" w:rsidP="00437B15">
      <w:pPr>
        <w:pStyle w:val="Heading2"/>
      </w:pPr>
      <w:bookmarkStart w:id="25" w:name="_Toc415582079"/>
      <w:r w:rsidRPr="00437B15">
        <w:t>Cost allocation</w:t>
      </w:r>
      <w:bookmarkEnd w:id="25"/>
      <w:r w:rsidRPr="00437B15">
        <w:t xml:space="preserve"> </w:t>
      </w:r>
    </w:p>
    <w:p w:rsidR="00437B15" w:rsidRPr="00437B15" w:rsidRDefault="00437B15" w:rsidP="00437B15">
      <w:r w:rsidRPr="00437B15">
        <w:t xml:space="preserve">Where completion of the pro forma in </w:t>
      </w:r>
      <w:r w:rsidR="00303D4F">
        <w:t>A</w:t>
      </w:r>
      <w:r w:rsidRPr="00437B15">
        <w:t xml:space="preserve">ppendix A </w:t>
      </w:r>
      <w:r w:rsidR="00303D4F">
        <w:t xml:space="preserve">- Annual Reporting Templates (Appendix A) </w:t>
      </w:r>
      <w:r w:rsidRPr="00437B15">
        <w:t xml:space="preserve">of this document requires a </w:t>
      </w:r>
      <w:r w:rsidRPr="004F69D3">
        <w:rPr>
          <w:rStyle w:val="Emphasis"/>
        </w:rPr>
        <w:t xml:space="preserve">TNSP </w:t>
      </w:r>
      <w:r w:rsidRPr="00437B15">
        <w:t xml:space="preserve">to allocate costs between different categories of transmission services, such allocations must comply with the </w:t>
      </w:r>
      <w:r w:rsidRPr="004F69D3">
        <w:rPr>
          <w:rStyle w:val="Emphasis"/>
        </w:rPr>
        <w:t>cost allocation methodology</w:t>
      </w:r>
      <w:r w:rsidRPr="00437B15">
        <w:t xml:space="preserve"> approved by us under clause</w:t>
      </w:r>
      <w:r w:rsidR="00E2031A">
        <w:t> </w:t>
      </w:r>
      <w:r w:rsidRPr="00437B15">
        <w:t xml:space="preserve">6A.19.4 of the </w:t>
      </w:r>
      <w:r w:rsidRPr="004F69D3">
        <w:rPr>
          <w:rStyle w:val="Emphasis"/>
        </w:rPr>
        <w:t>NER</w:t>
      </w:r>
      <w:r w:rsidRPr="00437B15">
        <w:t>.</w:t>
      </w:r>
    </w:p>
    <w:p w:rsidR="00437B15" w:rsidRPr="00437B15" w:rsidRDefault="00437B15" w:rsidP="00437B15">
      <w:pPr>
        <w:pStyle w:val="Heading2"/>
      </w:pPr>
      <w:bookmarkStart w:id="26" w:name="_Toc415582080"/>
      <w:r w:rsidRPr="00437B15">
        <w:t>Substance over form</w:t>
      </w:r>
      <w:bookmarkEnd w:id="26"/>
    </w:p>
    <w:p w:rsidR="00437B15" w:rsidRPr="00437B15" w:rsidRDefault="00437B15" w:rsidP="00437B15">
      <w:r w:rsidRPr="00437B15">
        <w:t xml:space="preserve">The regulatory information provided by a </w:t>
      </w:r>
      <w:r w:rsidRPr="00503E03">
        <w:rPr>
          <w:rStyle w:val="Emphasis"/>
        </w:rPr>
        <w:t>TNSP</w:t>
      </w:r>
      <w:r w:rsidRPr="00437B15">
        <w:t xml:space="preserve"> in response to this </w:t>
      </w:r>
      <w:r w:rsidRPr="00503E03">
        <w:rPr>
          <w:rStyle w:val="Emphasis"/>
        </w:rPr>
        <w:t>guideline</w:t>
      </w:r>
      <w:r w:rsidRPr="00437B15">
        <w:t xml:space="preserve"> must report both the substance and detail of transactions and events.</w:t>
      </w:r>
      <w:r w:rsidR="00E2031A">
        <w:t xml:space="preserve"> </w:t>
      </w:r>
      <w:r w:rsidRPr="00437B15">
        <w:t>When the commercial substance of a transaction differs from legal form, the commercial substance must be reported.</w:t>
      </w:r>
    </w:p>
    <w:p w:rsidR="00437B15" w:rsidRPr="00437B15" w:rsidRDefault="00437B15" w:rsidP="00437B15">
      <w:r w:rsidRPr="00437B15">
        <w:t>In determining the substance of a transaction or an event, we will consider all its aspects and implications, including the expectations of, and motivations for, it.</w:t>
      </w:r>
    </w:p>
    <w:p w:rsidR="00437B15" w:rsidRPr="00437B15" w:rsidRDefault="00437B15" w:rsidP="00437B15">
      <w:r w:rsidRPr="00437B15">
        <w:t>To determine the substance of a transaction or an event, a group of transactions or events that achieves, or is designed to achieve, an overall commercial effect shall be viewed together.</w:t>
      </w:r>
    </w:p>
    <w:p w:rsidR="00437B15" w:rsidRPr="00437B15" w:rsidRDefault="00437B15" w:rsidP="00437B15">
      <w:pPr>
        <w:pStyle w:val="Heading2"/>
      </w:pPr>
      <w:bookmarkStart w:id="27" w:name="_Toc415582081"/>
      <w:r w:rsidRPr="00437B15">
        <w:t>Materiality</w:t>
      </w:r>
      <w:bookmarkEnd w:id="27"/>
    </w:p>
    <w:p w:rsidR="00437B15" w:rsidRPr="00437B15" w:rsidRDefault="00E2031A" w:rsidP="00437B15">
      <w:r>
        <w:t>We</w:t>
      </w:r>
      <w:r w:rsidR="00437B15" w:rsidRPr="00437B15">
        <w:t xml:space="preserve"> require all </w:t>
      </w:r>
      <w:r w:rsidR="00437B15" w:rsidRPr="00503E03">
        <w:rPr>
          <w:rStyle w:val="Emphasis"/>
        </w:rPr>
        <w:t>material</w:t>
      </w:r>
      <w:r w:rsidR="00437B15" w:rsidRPr="00437B15">
        <w:t xml:space="preserve"> items </w:t>
      </w:r>
      <w:r>
        <w:t>to</w:t>
      </w:r>
      <w:r w:rsidRPr="00437B15">
        <w:t xml:space="preserve"> </w:t>
      </w:r>
      <w:r w:rsidR="00437B15" w:rsidRPr="00437B15">
        <w:t>be disclosed when providing the required regulatory information.</w:t>
      </w:r>
    </w:p>
    <w:p w:rsidR="00437B15" w:rsidRPr="00437B15" w:rsidRDefault="00437B15" w:rsidP="00437B15">
      <w:r w:rsidRPr="00437B15">
        <w:t xml:space="preserve">We will apply the following standards of </w:t>
      </w:r>
      <w:r w:rsidRPr="00503E03">
        <w:rPr>
          <w:rStyle w:val="Emphasis"/>
        </w:rPr>
        <w:t>materiality</w:t>
      </w:r>
      <w:r w:rsidRPr="00437B15">
        <w:t>:</w:t>
      </w:r>
    </w:p>
    <w:p w:rsidR="00437B15" w:rsidRPr="00437B15" w:rsidRDefault="00437B15" w:rsidP="00503E03">
      <w:pPr>
        <w:pStyle w:val="Quotes"/>
      </w:pPr>
      <w:r w:rsidRPr="00437B15">
        <w:t>An item is material if its omission, misstatement or non-disclosure has</w:t>
      </w:r>
      <w:r w:rsidR="00503E03">
        <w:t xml:space="preserve"> </w:t>
      </w:r>
      <w:r w:rsidRPr="00437B15">
        <w:t>the potential to prejudice the understanding of the financial or operational position and nature of the prescribed transmission services gained by reading the required regulatory information.</w:t>
      </w:r>
    </w:p>
    <w:p w:rsidR="00437B15" w:rsidRPr="00437B15" w:rsidRDefault="00437B15" w:rsidP="00437B15">
      <w:pPr>
        <w:pStyle w:val="Heading2"/>
      </w:pPr>
      <w:bookmarkStart w:id="28" w:name="_Toc415582082"/>
      <w:r w:rsidRPr="00437B15">
        <w:t>Ad hoc information requirements</w:t>
      </w:r>
      <w:bookmarkEnd w:id="28"/>
    </w:p>
    <w:p w:rsidR="00437B15" w:rsidRPr="00437B15" w:rsidRDefault="00E2031A" w:rsidP="00437B15">
      <w:r>
        <w:t>We</w:t>
      </w:r>
      <w:r w:rsidR="00437B15" w:rsidRPr="00437B15">
        <w:t xml:space="preserve"> may require ad hoc information from a </w:t>
      </w:r>
      <w:r w:rsidR="00437B15" w:rsidRPr="00503E03">
        <w:rPr>
          <w:rStyle w:val="Emphasis"/>
        </w:rPr>
        <w:t>TNSP</w:t>
      </w:r>
      <w:r w:rsidR="00437B15" w:rsidRPr="00437B15">
        <w:t xml:space="preserve"> for the purposes of clause 6A.17 of the </w:t>
      </w:r>
      <w:r w:rsidR="00437B15" w:rsidRPr="00503E03">
        <w:rPr>
          <w:rStyle w:val="Emphasis"/>
        </w:rPr>
        <w:t>NER</w:t>
      </w:r>
      <w:r w:rsidR="00437B15" w:rsidRPr="00437B15">
        <w:t xml:space="preserve">, but only where reasonably required for the purposes set out in section </w:t>
      </w:r>
      <w:proofErr w:type="gramStart"/>
      <w:r w:rsidR="00437B15" w:rsidRPr="00437B15">
        <w:t>6A.17.1(</w:t>
      </w:r>
      <w:proofErr w:type="gramEnd"/>
      <w:r w:rsidR="00437B15" w:rsidRPr="00437B15">
        <w:t xml:space="preserve">d) of the </w:t>
      </w:r>
      <w:r w:rsidR="00437B15" w:rsidRPr="00503E03">
        <w:rPr>
          <w:rStyle w:val="Emphasis"/>
        </w:rPr>
        <w:t>NER</w:t>
      </w:r>
      <w:r w:rsidR="00437B15" w:rsidRPr="00437B15">
        <w:t>.</w:t>
      </w:r>
    </w:p>
    <w:p w:rsidR="00437B15" w:rsidRPr="00437B15" w:rsidRDefault="00437B15" w:rsidP="00437B15">
      <w:pPr>
        <w:pStyle w:val="Heading2"/>
      </w:pPr>
      <w:bookmarkStart w:id="29" w:name="_Toc415582083"/>
      <w:r w:rsidRPr="00437B15">
        <w:t>Information provided shall be verifiable</w:t>
      </w:r>
      <w:bookmarkEnd w:id="29"/>
    </w:p>
    <w:p w:rsidR="00437B15" w:rsidRPr="00437B15" w:rsidRDefault="00437B15" w:rsidP="00437B15">
      <w:r w:rsidRPr="00437B15">
        <w:t xml:space="preserve">A </w:t>
      </w:r>
      <w:r w:rsidRPr="00503E03">
        <w:rPr>
          <w:rStyle w:val="Emphasis"/>
        </w:rPr>
        <w:t>TNSP</w:t>
      </w:r>
      <w:r w:rsidRPr="00437B15">
        <w:t xml:space="preserve"> shall ensure that all information provided to us is verifiable. As guidance ‘verifiable’ </w:t>
      </w:r>
      <w:r w:rsidR="00E2031A" w:rsidRPr="00437B15">
        <w:t>mean</w:t>
      </w:r>
      <w:r w:rsidR="00E2031A">
        <w:t>s</w:t>
      </w:r>
      <w:r w:rsidRPr="00437B15">
        <w:t xml:space="preserve">, at least, information can be traced to a source document or assumption, by an independent party such as an </w:t>
      </w:r>
      <w:r w:rsidRPr="00503E03">
        <w:rPr>
          <w:rStyle w:val="Emphasis"/>
        </w:rPr>
        <w:t>auditor</w:t>
      </w:r>
      <w:r w:rsidRPr="00437B15">
        <w:t>.</w:t>
      </w:r>
    </w:p>
    <w:p w:rsidR="00437B15" w:rsidRPr="00437B15" w:rsidRDefault="00437B15" w:rsidP="00437B15">
      <w:r w:rsidRPr="00437B15">
        <w:t xml:space="preserve">A </w:t>
      </w:r>
      <w:r w:rsidRPr="00503E03">
        <w:rPr>
          <w:rStyle w:val="Emphasis"/>
        </w:rPr>
        <w:t>TNSP</w:t>
      </w:r>
      <w:r w:rsidRPr="00437B15">
        <w:t xml:space="preserve"> must maintain accounting and reporting arrangements that enable regulatory information to be prepared for submission to us.</w:t>
      </w:r>
    </w:p>
    <w:p w:rsidR="00437B15" w:rsidRPr="00437B15" w:rsidRDefault="00437B15" w:rsidP="00437B15">
      <w:r w:rsidRPr="00437B15">
        <w:t xml:space="preserve">If we require more detailed information than a </w:t>
      </w:r>
      <w:r w:rsidRPr="00503E03">
        <w:rPr>
          <w:rStyle w:val="Emphasis"/>
        </w:rPr>
        <w:t>TNSP</w:t>
      </w:r>
      <w:r w:rsidRPr="00437B15">
        <w:t xml:space="preserve"> provides, we may request further information, including the underlying schedules and accounting records.</w:t>
      </w:r>
    </w:p>
    <w:p w:rsidR="00437B15" w:rsidRPr="00437B15" w:rsidRDefault="00437B15" w:rsidP="00437B15">
      <w:pPr>
        <w:pStyle w:val="Heading2"/>
      </w:pPr>
      <w:bookmarkStart w:id="30" w:name="_Toc415582084"/>
      <w:r w:rsidRPr="00437B15">
        <w:t>Assurance requirements</w:t>
      </w:r>
      <w:bookmarkEnd w:id="30"/>
    </w:p>
    <w:p w:rsidR="00437B15" w:rsidRPr="00437B15" w:rsidRDefault="00437B15" w:rsidP="00437B15">
      <w:r w:rsidRPr="00437B15">
        <w:t xml:space="preserve">Under clause </w:t>
      </w:r>
      <w:proofErr w:type="gramStart"/>
      <w:r w:rsidRPr="00437B15">
        <w:t>6A.17.1(</w:t>
      </w:r>
      <w:proofErr w:type="gramEnd"/>
      <w:r w:rsidRPr="00437B15">
        <w:t xml:space="preserve">e) of the </w:t>
      </w:r>
      <w:r w:rsidRPr="00503E03">
        <w:rPr>
          <w:rStyle w:val="Emphasis"/>
        </w:rPr>
        <w:t>NER</w:t>
      </w:r>
      <w:r w:rsidRPr="00437B15">
        <w:t xml:space="preserve">, </w:t>
      </w:r>
      <w:r w:rsidR="00E2031A">
        <w:t xml:space="preserve">we </w:t>
      </w:r>
      <w:r w:rsidRPr="00437B15">
        <w:t xml:space="preserve">may request or undertake verification or independent audit of any information sought by or provided to it under clause 6A.17 of the </w:t>
      </w:r>
      <w:r w:rsidRPr="00503E03">
        <w:rPr>
          <w:rStyle w:val="Emphasis"/>
        </w:rPr>
        <w:t>NER</w:t>
      </w:r>
      <w:r w:rsidRPr="00437B15">
        <w:t>.</w:t>
      </w:r>
    </w:p>
    <w:p w:rsidR="00437B15" w:rsidRPr="00437B15" w:rsidRDefault="00437B15" w:rsidP="00437B15">
      <w:r w:rsidRPr="00437B15">
        <w:t>We require an audit</w:t>
      </w:r>
      <w:r w:rsidR="004F069F">
        <w:t xml:space="preserve"> to be</w:t>
      </w:r>
      <w:r w:rsidRPr="00437B15">
        <w:t xml:space="preserve"> performed and accompany the submission of a </w:t>
      </w:r>
      <w:r w:rsidRPr="009F2FAB">
        <w:rPr>
          <w:rStyle w:val="Emphasis"/>
        </w:rPr>
        <w:t>TNSP’s</w:t>
      </w:r>
      <w:r w:rsidRPr="00437B15">
        <w:t xml:space="preserve"> regulatory information. The scope of the audit must comply with the requirements set out in this </w:t>
      </w:r>
      <w:r w:rsidRPr="00503E03">
        <w:rPr>
          <w:rStyle w:val="Emphasis"/>
        </w:rPr>
        <w:t>guideline</w:t>
      </w:r>
      <w:r w:rsidRPr="00437B15">
        <w:t>.</w:t>
      </w:r>
    </w:p>
    <w:p w:rsidR="00437B15" w:rsidRPr="00437B15" w:rsidRDefault="00437B15" w:rsidP="00437B15">
      <w:r w:rsidRPr="00437B15">
        <w:t xml:space="preserve">The audit of financial information must be a </w:t>
      </w:r>
      <w:r w:rsidRPr="00503E03">
        <w:rPr>
          <w:rStyle w:val="Emphasis"/>
        </w:rPr>
        <w:t>regulatory audit report</w:t>
      </w:r>
      <w:r w:rsidRPr="00437B15">
        <w:t xml:space="preserve"> as outlined in this </w:t>
      </w:r>
      <w:r w:rsidRPr="00503E03">
        <w:rPr>
          <w:rStyle w:val="Emphasis"/>
        </w:rPr>
        <w:t>guideline</w:t>
      </w:r>
      <w:r w:rsidRPr="00437B15">
        <w:t xml:space="preserve"> and must cover, at a minimum, the following matters:</w:t>
      </w:r>
    </w:p>
    <w:p w:rsidR="00437B15" w:rsidRPr="00437B15" w:rsidRDefault="00437B15" w:rsidP="00503E03">
      <w:pPr>
        <w:pStyle w:val="ListNumber"/>
      </w:pPr>
      <w:r w:rsidRPr="00437B15">
        <w:t>the basis and application of the cost allocation methodology</w:t>
      </w:r>
    </w:p>
    <w:p w:rsidR="00437B15" w:rsidRPr="00437B15" w:rsidRDefault="00437B15" w:rsidP="00503E03">
      <w:pPr>
        <w:pStyle w:val="ListNumber"/>
      </w:pPr>
      <w:r w:rsidRPr="00437B15">
        <w:t>arithmetic accuracy</w:t>
      </w:r>
    </w:p>
    <w:p w:rsidR="00437B15" w:rsidRPr="00437B15" w:rsidRDefault="00437B15" w:rsidP="00503E03">
      <w:pPr>
        <w:pStyle w:val="ListNumber"/>
      </w:pPr>
      <w:proofErr w:type="gramStart"/>
      <w:r w:rsidRPr="00437B15">
        <w:t>reconciliation</w:t>
      </w:r>
      <w:proofErr w:type="gramEnd"/>
      <w:r w:rsidRPr="00437B15">
        <w:t xml:space="preserve"> to statutory financial statements.</w:t>
      </w:r>
    </w:p>
    <w:p w:rsidR="00437B15" w:rsidRPr="00437B15" w:rsidRDefault="00437B15" w:rsidP="00437B15">
      <w:r w:rsidRPr="00437B15">
        <w:t xml:space="preserve">The audit must include an assessment of whether an appropriate sample of all allocations of shared costs accords with the </w:t>
      </w:r>
      <w:r w:rsidRPr="00503E03">
        <w:rPr>
          <w:rStyle w:val="Emphasis"/>
        </w:rPr>
        <w:t>TNSP’s</w:t>
      </w:r>
      <w:r w:rsidRPr="00437B15">
        <w:t xml:space="preserve"> approved </w:t>
      </w:r>
      <w:r w:rsidRPr="00503E03">
        <w:rPr>
          <w:rStyle w:val="Emphasis"/>
        </w:rPr>
        <w:t>cost allocation methodology</w:t>
      </w:r>
      <w:r w:rsidRPr="00437B15">
        <w:t>.</w:t>
      </w:r>
    </w:p>
    <w:p w:rsidR="00437B15" w:rsidRPr="00437B15" w:rsidRDefault="00437B15" w:rsidP="00437B15">
      <w:pPr>
        <w:pStyle w:val="Heading3"/>
      </w:pPr>
      <w:bookmarkStart w:id="31" w:name="_Toc414429959"/>
      <w:bookmarkStart w:id="32" w:name="_Toc415582085"/>
      <w:r w:rsidRPr="00437B15">
        <w:t>Procedural issues</w:t>
      </w:r>
      <w:bookmarkEnd w:id="31"/>
      <w:bookmarkEnd w:id="32"/>
    </w:p>
    <w:p w:rsidR="00437B15" w:rsidRPr="00437B15" w:rsidRDefault="00437B15" w:rsidP="00437B15">
      <w:r w:rsidRPr="00437B15">
        <w:t>The following procedural requirements apply:</w:t>
      </w:r>
    </w:p>
    <w:p w:rsidR="00437B15" w:rsidRPr="00437B15" w:rsidRDefault="00437B15" w:rsidP="00503E03">
      <w:pPr>
        <w:pStyle w:val="ListNumber"/>
        <w:numPr>
          <w:ilvl w:val="0"/>
          <w:numId w:val="32"/>
        </w:numPr>
      </w:pPr>
      <w:r w:rsidRPr="00437B15">
        <w:t xml:space="preserve">The </w:t>
      </w:r>
      <w:r w:rsidRPr="0083595F">
        <w:rPr>
          <w:rStyle w:val="Emphasis"/>
        </w:rPr>
        <w:t>TNSP</w:t>
      </w:r>
      <w:r w:rsidRPr="00437B15">
        <w:t xml:space="preserve"> is responsible for:</w:t>
      </w:r>
    </w:p>
    <w:p w:rsidR="00437B15" w:rsidRPr="00437B15" w:rsidRDefault="00503E03" w:rsidP="009279FF">
      <w:pPr>
        <w:pStyle w:val="ListBullet2"/>
      </w:pPr>
      <w:r>
        <w:t>e</w:t>
      </w:r>
      <w:r w:rsidR="00437B15" w:rsidRPr="00437B15">
        <w:t xml:space="preserve">mploying an </w:t>
      </w:r>
      <w:r w:rsidR="00437B15" w:rsidRPr="0083595F">
        <w:rPr>
          <w:rStyle w:val="Emphasis"/>
        </w:rPr>
        <w:t>auditor</w:t>
      </w:r>
      <w:r w:rsidR="00437B15" w:rsidRPr="00437B15">
        <w:t xml:space="preserve"> to report on the information</w:t>
      </w:r>
    </w:p>
    <w:p w:rsidR="00437B15" w:rsidRPr="00437B15" w:rsidRDefault="00437B15" w:rsidP="009279FF">
      <w:pPr>
        <w:pStyle w:val="ListBullet2"/>
      </w:pPr>
      <w:proofErr w:type="gramStart"/>
      <w:r w:rsidRPr="00437B15">
        <w:t>ensuring</w:t>
      </w:r>
      <w:proofErr w:type="gramEnd"/>
      <w:r w:rsidRPr="00437B15">
        <w:t xml:space="preserve"> we receive the </w:t>
      </w:r>
      <w:r w:rsidRPr="0083595F">
        <w:rPr>
          <w:rStyle w:val="Emphasis"/>
        </w:rPr>
        <w:t>auditor’s</w:t>
      </w:r>
      <w:r w:rsidRPr="00437B15">
        <w:t xml:space="preserve"> assurance that the information can be relied upon for regulatory purposes.</w:t>
      </w:r>
    </w:p>
    <w:p w:rsidR="00437B15" w:rsidRPr="00437B15" w:rsidRDefault="00437B15" w:rsidP="008F76D6">
      <w:pPr>
        <w:pStyle w:val="ListNumber"/>
      </w:pPr>
      <w:r w:rsidRPr="00437B15">
        <w:t xml:space="preserve">A </w:t>
      </w:r>
      <w:r w:rsidRPr="0083595F">
        <w:rPr>
          <w:rStyle w:val="Emphasis"/>
        </w:rPr>
        <w:t>TNSP</w:t>
      </w:r>
      <w:r w:rsidRPr="00437B15">
        <w:t xml:space="preserve"> </w:t>
      </w:r>
      <w:r w:rsidR="00E2031A">
        <w:t>may</w:t>
      </w:r>
      <w:r w:rsidR="00E2031A" w:rsidRPr="00437B15">
        <w:t xml:space="preserve"> </w:t>
      </w:r>
      <w:r w:rsidRPr="00437B15">
        <w:t xml:space="preserve">consult with us on the choice of </w:t>
      </w:r>
      <w:r w:rsidRPr="0083595F">
        <w:rPr>
          <w:rStyle w:val="Emphasis"/>
        </w:rPr>
        <w:t>auditor</w:t>
      </w:r>
      <w:r w:rsidRPr="00437B15">
        <w:t xml:space="preserve"> before the </w:t>
      </w:r>
      <w:r w:rsidRPr="0083595F">
        <w:rPr>
          <w:rStyle w:val="Emphasis"/>
        </w:rPr>
        <w:t>regulatory accounting date</w:t>
      </w:r>
      <w:r w:rsidRPr="00437B15">
        <w:t xml:space="preserve">. We may consider the independence and the expertise required of the </w:t>
      </w:r>
      <w:r w:rsidRPr="0083595F">
        <w:rPr>
          <w:rStyle w:val="Emphasis"/>
        </w:rPr>
        <w:t>auditor</w:t>
      </w:r>
      <w:r w:rsidRPr="00437B15">
        <w:t xml:space="preserve"> when determining the </w:t>
      </w:r>
      <w:r w:rsidRPr="009F2FAB">
        <w:rPr>
          <w:rStyle w:val="Emphasis"/>
        </w:rPr>
        <w:t>auditor’s</w:t>
      </w:r>
      <w:r w:rsidRPr="00437B15">
        <w:t xml:space="preserve"> suitability.</w:t>
      </w:r>
    </w:p>
    <w:p w:rsidR="00437B15" w:rsidRPr="00437B15" w:rsidRDefault="00437B15" w:rsidP="008F76D6">
      <w:pPr>
        <w:pStyle w:val="ListNumber"/>
      </w:pPr>
      <w:r w:rsidRPr="00437B15">
        <w:t xml:space="preserve">The </w:t>
      </w:r>
      <w:r w:rsidRPr="008F76D6">
        <w:rPr>
          <w:rStyle w:val="Emphasis"/>
        </w:rPr>
        <w:t>auditor</w:t>
      </w:r>
      <w:r w:rsidRPr="00437B15">
        <w:t xml:space="preserve"> must undertake any audit in accordance with this </w:t>
      </w:r>
      <w:r w:rsidRPr="008F76D6">
        <w:rPr>
          <w:rStyle w:val="Emphasis"/>
        </w:rPr>
        <w:t>guideline</w:t>
      </w:r>
      <w:r w:rsidRPr="00437B15">
        <w:t>.</w:t>
      </w:r>
    </w:p>
    <w:p w:rsidR="00437B15" w:rsidRPr="00437B15" w:rsidRDefault="00437B15" w:rsidP="008F76D6">
      <w:pPr>
        <w:pStyle w:val="ListNumber"/>
      </w:pPr>
      <w:r w:rsidRPr="00437B15">
        <w:t xml:space="preserve">Any </w:t>
      </w:r>
      <w:r w:rsidRPr="00C14905">
        <w:rPr>
          <w:rStyle w:val="Emphasis"/>
        </w:rPr>
        <w:t>regulatory audit report</w:t>
      </w:r>
      <w:r w:rsidRPr="00437B15">
        <w:t xml:space="preserve"> prepared by the </w:t>
      </w:r>
      <w:r w:rsidRPr="00C14905">
        <w:rPr>
          <w:rStyle w:val="Emphasis"/>
        </w:rPr>
        <w:t>auditor</w:t>
      </w:r>
      <w:r w:rsidRPr="00437B15">
        <w:t xml:space="preserve"> in accordance with this </w:t>
      </w:r>
      <w:r w:rsidRPr="008F76D6">
        <w:rPr>
          <w:rStyle w:val="Emphasis"/>
        </w:rPr>
        <w:t>guideline</w:t>
      </w:r>
      <w:r w:rsidRPr="00437B15">
        <w:t xml:space="preserve"> shall be addressed to the </w:t>
      </w:r>
      <w:r w:rsidRPr="008F76D6">
        <w:rPr>
          <w:rStyle w:val="Emphasis"/>
        </w:rPr>
        <w:t>AER</w:t>
      </w:r>
      <w:r w:rsidRPr="00437B15">
        <w:t xml:space="preserve"> as well as the </w:t>
      </w:r>
      <w:r w:rsidRPr="008F76D6">
        <w:rPr>
          <w:rStyle w:val="Emphasis"/>
        </w:rPr>
        <w:t>TNSP</w:t>
      </w:r>
      <w:r w:rsidRPr="00437B15">
        <w:t>.</w:t>
      </w:r>
    </w:p>
    <w:p w:rsidR="00437B15" w:rsidRPr="00437B15" w:rsidRDefault="00437B15" w:rsidP="008F76D6">
      <w:pPr>
        <w:pStyle w:val="ListNumber"/>
      </w:pPr>
      <w:r w:rsidRPr="00437B15">
        <w:t xml:space="preserve">Unless specified by us, any </w:t>
      </w:r>
      <w:r w:rsidRPr="008F76D6">
        <w:rPr>
          <w:rStyle w:val="Emphasis"/>
        </w:rPr>
        <w:t>regulatory audit report</w:t>
      </w:r>
      <w:r w:rsidRPr="00437B15">
        <w:t xml:space="preserve"> required by this </w:t>
      </w:r>
      <w:r w:rsidRPr="008F76D6">
        <w:rPr>
          <w:rStyle w:val="Emphasis"/>
        </w:rPr>
        <w:t>guideline</w:t>
      </w:r>
      <w:r w:rsidRPr="00437B15">
        <w:t xml:space="preserve"> shall be submitted in the form of an </w:t>
      </w:r>
      <w:r w:rsidRPr="008F76D6">
        <w:rPr>
          <w:rStyle w:val="Emphasis"/>
        </w:rPr>
        <w:t>audit report on a special purpose financial report</w:t>
      </w:r>
      <w:r w:rsidRPr="00437B15">
        <w:t xml:space="preserve">. Where permitted by us, a </w:t>
      </w:r>
      <w:r w:rsidRPr="008F76D6">
        <w:rPr>
          <w:rStyle w:val="Emphasis"/>
        </w:rPr>
        <w:t>TNSP</w:t>
      </w:r>
      <w:r w:rsidRPr="00437B15">
        <w:t xml:space="preserve"> may provide a </w:t>
      </w:r>
      <w:r w:rsidRPr="008F76D6">
        <w:rPr>
          <w:rStyle w:val="Emphasis"/>
        </w:rPr>
        <w:t>regulatory audit report</w:t>
      </w:r>
      <w:r w:rsidRPr="00437B15">
        <w:t xml:space="preserve"> on its </w:t>
      </w:r>
      <w:r w:rsidRPr="008F76D6">
        <w:rPr>
          <w:rStyle w:val="Emphasis"/>
        </w:rPr>
        <w:t>regulatory financial statements</w:t>
      </w:r>
      <w:r w:rsidRPr="00437B15">
        <w:t xml:space="preserve"> and other statements, sched</w:t>
      </w:r>
      <w:r w:rsidR="00303D4F">
        <w:t>ules and work papers listed in A</w:t>
      </w:r>
      <w:r w:rsidRPr="00437B15">
        <w:t xml:space="preserve">ppendix A in the form of a </w:t>
      </w:r>
      <w:r w:rsidRPr="008F76D6">
        <w:rPr>
          <w:rStyle w:val="Emphasis"/>
        </w:rPr>
        <w:t>review of financial reports</w:t>
      </w:r>
      <w:r w:rsidRPr="00437B15">
        <w:t xml:space="preserve"> (negative assurance), or a combination of the foregoing reports. </w:t>
      </w:r>
    </w:p>
    <w:p w:rsidR="00437B15" w:rsidRPr="00437B15" w:rsidRDefault="00437B15" w:rsidP="008F76D6">
      <w:pPr>
        <w:pStyle w:val="ListNumber"/>
      </w:pPr>
      <w:r w:rsidRPr="00437B15">
        <w:t xml:space="preserve">If we request the </w:t>
      </w:r>
      <w:r w:rsidRPr="008F76D6">
        <w:rPr>
          <w:rStyle w:val="Emphasis"/>
        </w:rPr>
        <w:t>auditor’s</w:t>
      </w:r>
      <w:r w:rsidRPr="00437B15">
        <w:t xml:space="preserve"> opinion to be explained, or require more information about the </w:t>
      </w:r>
      <w:r w:rsidRPr="008F76D6">
        <w:rPr>
          <w:rStyle w:val="Emphasis"/>
        </w:rPr>
        <w:t>auditor’s</w:t>
      </w:r>
      <w:r w:rsidRPr="00437B15">
        <w:t xml:space="preserve"> work, we, or our agent, may request a meeting with the </w:t>
      </w:r>
      <w:r w:rsidRPr="008F76D6">
        <w:rPr>
          <w:rStyle w:val="Emphasis"/>
        </w:rPr>
        <w:t>auditor</w:t>
      </w:r>
      <w:r w:rsidRPr="00437B15">
        <w:t xml:space="preserve"> in the presence of the relevant </w:t>
      </w:r>
      <w:r w:rsidRPr="008F76D6">
        <w:rPr>
          <w:rStyle w:val="Emphasis"/>
        </w:rPr>
        <w:t>TNSP</w:t>
      </w:r>
      <w:r w:rsidRPr="00437B15">
        <w:t xml:space="preserve">, both before and after the submission of a </w:t>
      </w:r>
      <w:r w:rsidRPr="008F76D6">
        <w:rPr>
          <w:rStyle w:val="Emphasis"/>
        </w:rPr>
        <w:t>TNSP’s</w:t>
      </w:r>
      <w:r w:rsidRPr="00437B15">
        <w:t xml:space="preserve"> regulatory information. </w:t>
      </w:r>
    </w:p>
    <w:p w:rsidR="00437B15" w:rsidRPr="00437B15" w:rsidRDefault="00437B15" w:rsidP="00437B15">
      <w:pPr>
        <w:pStyle w:val="Heading2"/>
      </w:pPr>
      <w:bookmarkStart w:id="33" w:name="_Toc415582086"/>
      <w:r w:rsidRPr="00437B15">
        <w:t>Disaggregation—reporting by business segment</w:t>
      </w:r>
      <w:bookmarkEnd w:id="33"/>
    </w:p>
    <w:p w:rsidR="00437B15" w:rsidRPr="00437B15" w:rsidRDefault="00437B15" w:rsidP="00437B15">
      <w:r w:rsidRPr="00C14905">
        <w:rPr>
          <w:rStyle w:val="Emphasis"/>
        </w:rPr>
        <w:t>Regulatory financial statements</w:t>
      </w:r>
      <w:r w:rsidRPr="00437B15">
        <w:t xml:space="preserve"> are to be prepared by disaggregating </w:t>
      </w:r>
      <w:r w:rsidRPr="008F76D6">
        <w:rPr>
          <w:rStyle w:val="Emphasis"/>
        </w:rPr>
        <w:t>base accounts</w:t>
      </w:r>
      <w:r w:rsidRPr="00437B15">
        <w:t>.</w:t>
      </w:r>
    </w:p>
    <w:p w:rsidR="00437B15" w:rsidRPr="00437B15" w:rsidRDefault="00437B15" w:rsidP="00437B15">
      <w:r w:rsidRPr="00437B15">
        <w:t>The following diagram illustrates that the general process comprises:</w:t>
      </w:r>
    </w:p>
    <w:p w:rsidR="00437B15" w:rsidRPr="00437B15" w:rsidRDefault="00437B15" w:rsidP="008F76D6">
      <w:pPr>
        <w:pStyle w:val="ListBullet"/>
      </w:pPr>
      <w:r w:rsidRPr="00437B15">
        <w:t xml:space="preserve">preparing </w:t>
      </w:r>
      <w:r w:rsidRPr="008F76D6">
        <w:rPr>
          <w:rStyle w:val="Emphasis"/>
        </w:rPr>
        <w:t>disaggregation statements</w:t>
      </w:r>
      <w:r w:rsidRPr="00437B15">
        <w:t xml:space="preserve"> from the </w:t>
      </w:r>
      <w:r w:rsidRPr="008F76D6">
        <w:rPr>
          <w:rStyle w:val="Emphasis"/>
        </w:rPr>
        <w:t>base accounts</w:t>
      </w:r>
      <w:r w:rsidRPr="00437B15">
        <w:t xml:space="preserve"> and the accounting records that underlie the </w:t>
      </w:r>
      <w:r w:rsidRPr="008F76D6">
        <w:rPr>
          <w:rStyle w:val="Emphasis"/>
        </w:rPr>
        <w:t>base accounts</w:t>
      </w:r>
    </w:p>
    <w:p w:rsidR="00437B15" w:rsidRPr="00437B15" w:rsidRDefault="00437B15" w:rsidP="008F76D6">
      <w:pPr>
        <w:pStyle w:val="ListBullet"/>
      </w:pPr>
      <w:proofErr w:type="gramStart"/>
      <w:r w:rsidRPr="00437B15">
        <w:t>applying</w:t>
      </w:r>
      <w:proofErr w:type="gramEnd"/>
      <w:r w:rsidRPr="00437B15">
        <w:t xml:space="preserve">, where necessary, regulatory accounting adjustments to the </w:t>
      </w:r>
      <w:r w:rsidRPr="008F76D6">
        <w:rPr>
          <w:rStyle w:val="Emphasis"/>
        </w:rPr>
        <w:t>business segments</w:t>
      </w:r>
      <w:r w:rsidRPr="00437B15">
        <w:t xml:space="preserve"> in the </w:t>
      </w:r>
      <w:r w:rsidRPr="008F76D6">
        <w:rPr>
          <w:rStyle w:val="Emphasis"/>
        </w:rPr>
        <w:t>disaggregation statements</w:t>
      </w:r>
      <w:r w:rsidRPr="00437B15">
        <w:t xml:space="preserve">, to derive </w:t>
      </w:r>
      <w:r w:rsidRPr="008F76D6">
        <w:rPr>
          <w:rStyle w:val="Emphasis"/>
        </w:rPr>
        <w:t>regulatory financial statements</w:t>
      </w:r>
      <w:r w:rsidRPr="00437B15">
        <w:t>.</w:t>
      </w:r>
    </w:p>
    <w:p w:rsidR="00437B15" w:rsidRPr="00437B15" w:rsidRDefault="00437B15" w:rsidP="00437B15">
      <w:r w:rsidRPr="00437B15">
        <w:t xml:space="preserve">Accordingly, the </w:t>
      </w:r>
      <w:r w:rsidRPr="008F76D6">
        <w:rPr>
          <w:rStyle w:val="Emphasis"/>
        </w:rPr>
        <w:t>disaggregation statements</w:t>
      </w:r>
      <w:r w:rsidRPr="00437B15">
        <w:t xml:space="preserve">, in combination with any regulatory accounting adjustments, provide an audit trail between the </w:t>
      </w:r>
      <w:r w:rsidRPr="008F76D6">
        <w:rPr>
          <w:rStyle w:val="Emphasis"/>
        </w:rPr>
        <w:t>regulatory financial statements</w:t>
      </w:r>
      <w:r w:rsidRPr="00437B15">
        <w:t xml:space="preserve"> and the accounting records that underlie the base accounts.</w:t>
      </w:r>
    </w:p>
    <w:p w:rsidR="00437B15" w:rsidRPr="00437B15" w:rsidRDefault="00437B15" w:rsidP="00437B15">
      <w:r w:rsidRPr="00437B15">
        <w:t xml:space="preserve"> </w:t>
      </w:r>
    </w:p>
    <w:p w:rsidR="008F76D6" w:rsidRPr="008F76D6" w:rsidRDefault="008F76D6" w:rsidP="008F76D6">
      <w:r w:rsidRPr="008F76D6">
        <w:rPr>
          <w:noProof/>
          <w:lang w:eastAsia="en-AU"/>
        </w:rPr>
        <mc:AlternateContent>
          <mc:Choice Requires="wpc">
            <w:drawing>
              <wp:inline distT="0" distB="0" distL="0" distR="0" wp14:anchorId="288769E8" wp14:editId="6DF6A90B">
                <wp:extent cx="5354955" cy="2390140"/>
                <wp:effectExtent l="0" t="0" r="0" b="0"/>
                <wp:docPr id="25" name="Canvas 25" descr="This diagram shows that base accounts (income statement) then disaggregation statements must be completed first. Any regulatory adjustments can then be made before the regulatory financial statements are finalised." title="Process for reporting financial information about the TNSP"/>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 name="Text Box 13" descr="Text Box: Base Accounts&#10;Income Statement. An arrow points to the next box - disaggregation statements&#10;"/>
                        <wps:cNvSpPr txBox="1">
                          <a:spLocks noChangeArrowheads="1"/>
                        </wps:cNvSpPr>
                        <wps:spPr bwMode="auto">
                          <a:xfrm>
                            <a:off x="398353" y="56908"/>
                            <a:ext cx="994202" cy="2276324"/>
                          </a:xfrm>
                          <a:prstGeom prst="rect">
                            <a:avLst/>
                          </a:prstGeom>
                          <a:solidFill>
                            <a:schemeClr val="accent3">
                              <a:lumMod val="10000"/>
                              <a:lumOff val="90000"/>
                            </a:schemeClr>
                          </a:solidFill>
                          <a:ln w="28575">
                            <a:solidFill>
                              <a:srgbClr val="000000"/>
                            </a:solidFill>
                            <a:miter lim="800000"/>
                            <a:headEnd/>
                            <a:tailEnd/>
                          </a:ln>
                        </wps:spPr>
                        <wps:txbx>
                          <w:txbxContent>
                            <w:p w:rsidR="0060331E" w:rsidRPr="0002086F" w:rsidRDefault="0060331E" w:rsidP="008F76D6">
                              <w:pPr>
                                <w:rPr>
                                  <w:sz w:val="18"/>
                                </w:rPr>
                              </w:pPr>
                            </w:p>
                            <w:p w:rsidR="0060331E" w:rsidRPr="0002086F" w:rsidRDefault="0060331E" w:rsidP="008F76D6">
                              <w:pPr>
                                <w:rPr>
                                  <w:sz w:val="18"/>
                                </w:rPr>
                              </w:pPr>
                            </w:p>
                            <w:p w:rsidR="0060331E" w:rsidRPr="0002086F" w:rsidRDefault="0060331E" w:rsidP="008F76D6">
                              <w:pPr>
                                <w:rPr>
                                  <w:b/>
                                  <w:sz w:val="18"/>
                                </w:rPr>
                              </w:pPr>
                              <w:r w:rsidRPr="0002086F">
                                <w:rPr>
                                  <w:b/>
                                  <w:sz w:val="18"/>
                                </w:rPr>
                                <w:t>Base Accounts</w:t>
                              </w:r>
                            </w:p>
                            <w:p w:rsidR="0060331E" w:rsidRPr="0002086F" w:rsidRDefault="0060331E" w:rsidP="008F76D6">
                              <w:pPr>
                                <w:rPr>
                                  <w:sz w:val="18"/>
                                </w:rPr>
                              </w:pPr>
                              <w:r w:rsidRPr="0002086F">
                                <w:rPr>
                                  <w:sz w:val="18"/>
                                </w:rPr>
                                <w:t>Income Statement</w:t>
                              </w:r>
                            </w:p>
                          </w:txbxContent>
                        </wps:txbx>
                        <wps:bodyPr rot="0" vert="horz" wrap="square" lIns="68031" tIns="34016" rIns="68031" bIns="34016" anchor="t" anchorCtr="0" upright="1">
                          <a:noAutofit/>
                        </wps:bodyPr>
                      </wps:wsp>
                      <wps:wsp>
                        <wps:cNvPr id="19" name="Text Box 14" descr="Text Box: Disaggregation &#10;Statements. An arrow points to the next box - regulatory adjustments&#10;"/>
                        <wps:cNvSpPr txBox="1">
                          <a:spLocks noChangeArrowheads="1"/>
                        </wps:cNvSpPr>
                        <wps:spPr bwMode="auto">
                          <a:xfrm>
                            <a:off x="1634108" y="56908"/>
                            <a:ext cx="1036664" cy="2276324"/>
                          </a:xfrm>
                          <a:prstGeom prst="rect">
                            <a:avLst/>
                          </a:prstGeom>
                          <a:solidFill>
                            <a:schemeClr val="accent3">
                              <a:lumMod val="10000"/>
                              <a:lumOff val="90000"/>
                            </a:schemeClr>
                          </a:solidFill>
                          <a:ln w="28575">
                            <a:solidFill>
                              <a:srgbClr val="000000"/>
                            </a:solidFill>
                            <a:miter lim="800000"/>
                            <a:headEnd/>
                            <a:tailEnd/>
                          </a:ln>
                        </wps:spPr>
                        <wps:txbx>
                          <w:txbxContent>
                            <w:p w:rsidR="0060331E" w:rsidRPr="0002086F" w:rsidRDefault="0060331E" w:rsidP="008F76D6">
                              <w:pPr>
                                <w:rPr>
                                  <w:sz w:val="18"/>
                                </w:rPr>
                              </w:pPr>
                            </w:p>
                            <w:p w:rsidR="0060331E" w:rsidRPr="0002086F" w:rsidRDefault="0060331E" w:rsidP="008F76D6">
                              <w:pPr>
                                <w:rPr>
                                  <w:sz w:val="18"/>
                                </w:rPr>
                              </w:pPr>
                            </w:p>
                            <w:p w:rsidR="0060331E" w:rsidRPr="0002086F" w:rsidRDefault="0060331E" w:rsidP="008F76D6">
                              <w:pPr>
                                <w:rPr>
                                  <w:b/>
                                  <w:sz w:val="18"/>
                                </w:rPr>
                              </w:pPr>
                              <w:r w:rsidRPr="0002086F">
                                <w:rPr>
                                  <w:b/>
                                  <w:sz w:val="18"/>
                                </w:rPr>
                                <w:t xml:space="preserve">Disaggregation </w:t>
                              </w:r>
                            </w:p>
                            <w:p w:rsidR="0060331E" w:rsidRPr="0002086F" w:rsidRDefault="0060331E" w:rsidP="008F76D6">
                              <w:pPr>
                                <w:rPr>
                                  <w:b/>
                                  <w:sz w:val="18"/>
                                </w:rPr>
                              </w:pPr>
                              <w:r w:rsidRPr="0002086F">
                                <w:rPr>
                                  <w:b/>
                                  <w:sz w:val="18"/>
                                </w:rPr>
                                <w:t>Statements</w:t>
                              </w:r>
                            </w:p>
                          </w:txbxContent>
                        </wps:txbx>
                        <wps:bodyPr rot="0" vert="horz" wrap="square" lIns="68031" tIns="34016" rIns="68031" bIns="34016" anchor="t" anchorCtr="0" upright="1">
                          <a:noAutofit/>
                        </wps:bodyPr>
                      </wps:wsp>
                      <wps:wsp>
                        <wps:cNvPr id="20" name="Text Box 15"/>
                        <wps:cNvSpPr txBox="1">
                          <a:spLocks noChangeArrowheads="1"/>
                        </wps:cNvSpPr>
                        <wps:spPr bwMode="auto">
                          <a:xfrm>
                            <a:off x="2935911" y="56908"/>
                            <a:ext cx="939100" cy="2276324"/>
                          </a:xfrm>
                          <a:prstGeom prst="rect">
                            <a:avLst/>
                          </a:prstGeom>
                          <a:solidFill>
                            <a:schemeClr val="accent3">
                              <a:lumMod val="10000"/>
                              <a:lumOff val="90000"/>
                            </a:schemeClr>
                          </a:solidFill>
                          <a:ln w="28575">
                            <a:solidFill>
                              <a:srgbClr val="000000"/>
                            </a:solidFill>
                            <a:miter lim="800000"/>
                            <a:headEnd/>
                            <a:tailEnd/>
                          </a:ln>
                        </wps:spPr>
                        <wps:txbx>
                          <w:txbxContent>
                            <w:p w:rsidR="0060331E" w:rsidRPr="0002086F" w:rsidRDefault="0060331E" w:rsidP="008F76D6">
                              <w:pPr>
                                <w:rPr>
                                  <w:sz w:val="18"/>
                                </w:rPr>
                              </w:pPr>
                            </w:p>
                            <w:p w:rsidR="0060331E" w:rsidRPr="0002086F" w:rsidRDefault="0060331E" w:rsidP="008F76D6">
                              <w:pPr>
                                <w:rPr>
                                  <w:sz w:val="18"/>
                                </w:rPr>
                              </w:pPr>
                            </w:p>
                            <w:p w:rsidR="0060331E" w:rsidRPr="0002086F" w:rsidRDefault="0060331E" w:rsidP="008F76D6">
                              <w:pPr>
                                <w:rPr>
                                  <w:b/>
                                  <w:sz w:val="18"/>
                                </w:rPr>
                              </w:pPr>
                              <w:r w:rsidRPr="0002086F">
                                <w:rPr>
                                  <w:b/>
                                  <w:sz w:val="18"/>
                                </w:rPr>
                                <w:t>Regulatory</w:t>
                              </w:r>
                            </w:p>
                            <w:p w:rsidR="0060331E" w:rsidRPr="0002086F" w:rsidRDefault="0060331E" w:rsidP="008F76D6">
                              <w:pPr>
                                <w:rPr>
                                  <w:b/>
                                  <w:sz w:val="18"/>
                                </w:rPr>
                              </w:pPr>
                              <w:r w:rsidRPr="0002086F">
                                <w:rPr>
                                  <w:b/>
                                  <w:sz w:val="18"/>
                                </w:rPr>
                                <w:t>Adjustments</w:t>
                              </w:r>
                            </w:p>
                          </w:txbxContent>
                        </wps:txbx>
                        <wps:bodyPr rot="0" vert="horz" wrap="square" lIns="68031" tIns="34016" rIns="68031" bIns="34016" anchor="t" anchorCtr="0" upright="1">
                          <a:noAutofit/>
                        </wps:bodyPr>
                      </wps:wsp>
                      <wps:wsp>
                        <wps:cNvPr id="21" name="Text Box 16"/>
                        <wps:cNvSpPr txBox="1">
                          <a:spLocks noChangeArrowheads="1"/>
                        </wps:cNvSpPr>
                        <wps:spPr bwMode="auto">
                          <a:xfrm>
                            <a:off x="4138375" y="56908"/>
                            <a:ext cx="922512" cy="2276324"/>
                          </a:xfrm>
                          <a:prstGeom prst="rect">
                            <a:avLst/>
                          </a:prstGeom>
                          <a:solidFill>
                            <a:schemeClr val="accent3">
                              <a:lumMod val="10000"/>
                              <a:lumOff val="90000"/>
                            </a:schemeClr>
                          </a:solidFill>
                          <a:ln w="28575">
                            <a:solidFill>
                              <a:srgbClr val="000000"/>
                            </a:solidFill>
                            <a:miter lim="800000"/>
                            <a:headEnd/>
                            <a:tailEnd/>
                          </a:ln>
                        </wps:spPr>
                        <wps:txbx>
                          <w:txbxContent>
                            <w:p w:rsidR="0060331E" w:rsidRPr="0002086F" w:rsidRDefault="0060331E" w:rsidP="008F76D6">
                              <w:pPr>
                                <w:rPr>
                                  <w:sz w:val="18"/>
                                </w:rPr>
                              </w:pPr>
                            </w:p>
                            <w:p w:rsidR="0060331E" w:rsidRPr="0002086F" w:rsidRDefault="0060331E" w:rsidP="008F76D6">
                              <w:pPr>
                                <w:rPr>
                                  <w:sz w:val="18"/>
                                </w:rPr>
                              </w:pPr>
                            </w:p>
                            <w:p w:rsidR="0060331E" w:rsidRPr="0002086F" w:rsidRDefault="0060331E" w:rsidP="008F76D6">
                              <w:pPr>
                                <w:rPr>
                                  <w:b/>
                                  <w:sz w:val="18"/>
                                </w:rPr>
                              </w:pPr>
                              <w:r w:rsidRPr="0002086F">
                                <w:rPr>
                                  <w:b/>
                                  <w:sz w:val="18"/>
                                </w:rPr>
                                <w:t>Regulatory Financial Statements</w:t>
                              </w:r>
                            </w:p>
                            <w:p w:rsidR="0060331E" w:rsidRPr="0002086F" w:rsidRDefault="0060331E" w:rsidP="008F76D6">
                              <w:pPr>
                                <w:rPr>
                                  <w:sz w:val="18"/>
                                </w:rPr>
                              </w:pPr>
                              <w:r w:rsidRPr="0002086F">
                                <w:rPr>
                                  <w:sz w:val="18"/>
                                </w:rPr>
                                <w:t>Prescribed transmission services</w:t>
                              </w:r>
                            </w:p>
                          </w:txbxContent>
                        </wps:txbx>
                        <wps:bodyPr rot="0" vert="horz" wrap="square" lIns="68031" tIns="34016" rIns="68031" bIns="34016" anchor="t" anchorCtr="0" upright="1">
                          <a:noAutofit/>
                        </wps:bodyPr>
                      </wps:wsp>
                      <wps:wsp>
                        <wps:cNvPr id="22" name="Right Arrow 17"/>
                        <wps:cNvSpPr>
                          <a:spLocks noChangeArrowheads="1"/>
                        </wps:cNvSpPr>
                        <wps:spPr bwMode="auto">
                          <a:xfrm flipV="1">
                            <a:off x="1392554" y="1173711"/>
                            <a:ext cx="241628" cy="603360"/>
                          </a:xfrm>
                          <a:prstGeom prst="rightArrow">
                            <a:avLst>
                              <a:gd name="adj1" fmla="val 50000"/>
                              <a:gd name="adj2" fmla="val 50000"/>
                            </a:avLst>
                          </a:prstGeom>
                          <a:solidFill>
                            <a:schemeClr val="accent3">
                              <a:lumMod val="10000"/>
                              <a:lumOff val="90000"/>
                            </a:schemeClr>
                          </a:solidFill>
                          <a:ln w="25400">
                            <a:solidFill>
                              <a:srgbClr val="000304"/>
                            </a:solidFill>
                            <a:miter lim="800000"/>
                            <a:headEnd/>
                            <a:tailEnd/>
                          </a:ln>
                        </wps:spPr>
                        <wps:bodyPr rot="0" vert="horz" wrap="square" lIns="91440" tIns="45720" rIns="91440" bIns="45720" anchor="ctr" anchorCtr="0" upright="1">
                          <a:noAutofit/>
                        </wps:bodyPr>
                      </wps:wsp>
                      <wps:wsp>
                        <wps:cNvPr id="23" name="Right Arrow 20"/>
                        <wps:cNvSpPr>
                          <a:spLocks noChangeArrowheads="1"/>
                        </wps:cNvSpPr>
                        <wps:spPr bwMode="auto">
                          <a:xfrm>
                            <a:off x="2670772" y="1209558"/>
                            <a:ext cx="264990" cy="549663"/>
                          </a:xfrm>
                          <a:prstGeom prst="rightArrow">
                            <a:avLst>
                              <a:gd name="adj1" fmla="val 50000"/>
                              <a:gd name="adj2" fmla="val 44273"/>
                            </a:avLst>
                          </a:prstGeom>
                          <a:solidFill>
                            <a:schemeClr val="accent3">
                              <a:lumMod val="10000"/>
                              <a:lumOff val="90000"/>
                            </a:schemeClr>
                          </a:solidFill>
                          <a:ln w="25400">
                            <a:solidFill>
                              <a:srgbClr val="000304"/>
                            </a:solidFill>
                            <a:miter lim="800000"/>
                            <a:headEnd/>
                            <a:tailEnd/>
                          </a:ln>
                        </wps:spPr>
                        <wps:txbx>
                          <w:txbxContent>
                            <w:p w:rsidR="0060331E" w:rsidRPr="0002086F" w:rsidRDefault="0060331E" w:rsidP="008F76D6">
                              <w:pPr>
                                <w:pStyle w:val="NormalWeb"/>
                                <w:rPr>
                                  <w:sz w:val="18"/>
                                </w:rPr>
                              </w:pPr>
                            </w:p>
                          </w:txbxContent>
                        </wps:txbx>
                        <wps:bodyPr rot="0" vert="horz" wrap="square" lIns="68031" tIns="34016" rIns="68031" bIns="34016" anchor="ctr" anchorCtr="0" upright="1">
                          <a:noAutofit/>
                        </wps:bodyPr>
                      </wps:wsp>
                      <wps:wsp>
                        <wps:cNvPr id="24" name="Right Arrow 21"/>
                        <wps:cNvSpPr>
                          <a:spLocks noChangeArrowheads="1"/>
                        </wps:cNvSpPr>
                        <wps:spPr bwMode="auto">
                          <a:xfrm>
                            <a:off x="3874787" y="1280357"/>
                            <a:ext cx="262318" cy="478864"/>
                          </a:xfrm>
                          <a:prstGeom prst="rightArrow">
                            <a:avLst>
                              <a:gd name="adj1" fmla="val 50000"/>
                              <a:gd name="adj2" fmla="val 72144"/>
                            </a:avLst>
                          </a:prstGeom>
                          <a:solidFill>
                            <a:schemeClr val="accent3">
                              <a:lumMod val="10000"/>
                              <a:lumOff val="90000"/>
                            </a:schemeClr>
                          </a:solidFill>
                          <a:ln w="25400">
                            <a:solidFill>
                              <a:srgbClr val="000304"/>
                            </a:solidFill>
                            <a:miter lim="800000"/>
                            <a:headEnd/>
                            <a:tailEnd/>
                          </a:ln>
                        </wps:spPr>
                        <wps:txbx>
                          <w:txbxContent>
                            <w:p w:rsidR="0060331E" w:rsidRPr="0002086F" w:rsidRDefault="0060331E" w:rsidP="008F76D6">
                              <w:pPr>
                                <w:pStyle w:val="NormalWeb"/>
                                <w:rPr>
                                  <w:sz w:val="18"/>
                                </w:rPr>
                              </w:pPr>
                              <w:r w:rsidRPr="0002086F">
                                <w:rPr>
                                  <w:sz w:val="17"/>
                                </w:rPr>
                                <w:t> </w:t>
                              </w:r>
                            </w:p>
                          </w:txbxContent>
                        </wps:txbx>
                        <wps:bodyPr rot="0" vert="horz" wrap="square" lIns="68031" tIns="34016" rIns="68031" bIns="34016" anchor="ctr" anchorCtr="0" upright="1">
                          <a:noAutofit/>
                        </wps:bodyPr>
                      </wps:wsp>
                    </wpc:wpc>
                  </a:graphicData>
                </a:graphic>
              </wp:inline>
            </w:drawing>
          </mc:Choice>
          <mc:Fallback>
            <w:pict>
              <v:group id="Canvas 25" o:spid="_x0000_s1026" editas="canvas" alt="Title: Process for reporting financial information about the TNSP - Description: This diagram shows that base accounts (income statement) then disaggregation statements must be completed first. Any regulatory adjustments can then be made before the regulatory financial statements are finalised." style="width:421.65pt;height:188.2pt;mso-position-horizontal-relative:char;mso-position-vertical-relative:line" coordsize="53549,2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diagram shows that base accounts (income statement) then disaggregation statements must be completed first. Any regulatory adjustments can then be made before the regulatory financial statements are finalised." style="position:absolute;width:53549;height:23901;visibility:visible;mso-wrap-style:square">
                  <v:fill o:detectmouseclick="t"/>
                  <v:path o:connecttype="none"/>
                </v:shape>
                <v:shapetype id="_x0000_t202" coordsize="21600,21600" o:spt="202" path="m,l,21600r21600,l21600,xe">
                  <v:stroke joinstyle="miter"/>
                  <v:path gradientshapeok="t" o:connecttype="rect"/>
                </v:shapetype>
                <v:shape id="Text Box 13" o:spid="_x0000_s1028" type="#_x0000_t202" alt="Text Box: Base Accounts&#10;Income Statement. An arrow points to the next box - disaggregation statements&#10;" style="position:absolute;left:3983;top:569;width:9942;height:2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PMYA&#10;AADbAAAADwAAAGRycy9kb3ducmV2LnhtbESPS2sCQRCE70L+w9CBXERnk0OQjaMkQkDQQHxAPDY7&#10;vQ/c6VlmxnX116cPgdy6qeqqr+fLwbWqpxAbzwaepxko4sLbhisDx8PnZAYqJmSLrWcycKMIy8XD&#10;aI659VfeUb9PlZIQjjkaqFPqcq1jUZPDOPUdsWilDw6TrKHSNuBVwl2rX7LsVTtsWBpq7GhVU3He&#10;X5yB7T31m1NZft3Xh9W378PP+WPMxjw9Du9voBIN6d/8d722gi+w8os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LPMYAAADbAAAADwAAAAAAAAAAAAAAAACYAgAAZHJz&#10;L2Rvd25yZXYueG1sUEsFBgAAAAAEAAQA9QAAAIsDAAAAAA==&#10;" fillcolor="#d6e3ff [342]" strokeweight="2.25pt">
                  <v:textbox inset="1.88975mm,.94489mm,1.88975mm,.94489mm">
                    <w:txbxContent>
                      <w:p w:rsidR="0060331E" w:rsidRPr="0002086F" w:rsidRDefault="0060331E" w:rsidP="008F76D6">
                        <w:pPr>
                          <w:rPr>
                            <w:sz w:val="18"/>
                          </w:rPr>
                        </w:pPr>
                      </w:p>
                      <w:p w:rsidR="0060331E" w:rsidRPr="0002086F" w:rsidRDefault="0060331E" w:rsidP="008F76D6">
                        <w:pPr>
                          <w:rPr>
                            <w:sz w:val="18"/>
                          </w:rPr>
                        </w:pPr>
                      </w:p>
                      <w:p w:rsidR="0060331E" w:rsidRPr="0002086F" w:rsidRDefault="0060331E" w:rsidP="008F76D6">
                        <w:pPr>
                          <w:rPr>
                            <w:b/>
                            <w:sz w:val="18"/>
                          </w:rPr>
                        </w:pPr>
                        <w:r w:rsidRPr="0002086F">
                          <w:rPr>
                            <w:b/>
                            <w:sz w:val="18"/>
                          </w:rPr>
                          <w:t>Base Accounts</w:t>
                        </w:r>
                      </w:p>
                      <w:p w:rsidR="0060331E" w:rsidRPr="0002086F" w:rsidRDefault="0060331E" w:rsidP="008F76D6">
                        <w:pPr>
                          <w:rPr>
                            <w:sz w:val="18"/>
                          </w:rPr>
                        </w:pPr>
                        <w:r w:rsidRPr="0002086F">
                          <w:rPr>
                            <w:sz w:val="18"/>
                          </w:rPr>
                          <w:t>Income Statement</w:t>
                        </w:r>
                      </w:p>
                    </w:txbxContent>
                  </v:textbox>
                </v:shape>
                <v:shape id="Text Box 14" o:spid="_x0000_s1029" type="#_x0000_t202" alt="Text Box: Disaggregation &#10;Statements. An arrow points to the next box - regulatory adjustments&#10;" style="position:absolute;left:16341;top:569;width:10366;height:2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up8IA&#10;AADbAAAADwAAAGRycy9kb3ducmV2LnhtbERPS2sCMRC+F/ofwhS8iGb1IO1qlFYQBCtULehx2Mw+&#10;cDNZkrhu/fVGEHqbj+85s0VnatGS85VlBaNhAoI4s7riQsHvYTV4B+EDssbaMin4Iw+L+evLDFNt&#10;r7yjdh8KEUPYp6igDKFJpfRZSQb90DbEkcutMxgidIXUDq8x3NRynCQTabDi2FBiQ8uSsvP+YhR8&#10;30K7OeX59rY+LH9s647nrz4r1XvrPqcgAnXhX/x0r3Wc/wGPX+I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6nwgAAANsAAAAPAAAAAAAAAAAAAAAAAJgCAABkcnMvZG93&#10;bnJldi54bWxQSwUGAAAAAAQABAD1AAAAhwMAAAAA&#10;" fillcolor="#d6e3ff [342]" strokeweight="2.25pt">
                  <v:textbox inset="1.88975mm,.94489mm,1.88975mm,.94489mm">
                    <w:txbxContent>
                      <w:p w:rsidR="0060331E" w:rsidRPr="0002086F" w:rsidRDefault="0060331E" w:rsidP="008F76D6">
                        <w:pPr>
                          <w:rPr>
                            <w:sz w:val="18"/>
                          </w:rPr>
                        </w:pPr>
                      </w:p>
                      <w:p w:rsidR="0060331E" w:rsidRPr="0002086F" w:rsidRDefault="0060331E" w:rsidP="008F76D6">
                        <w:pPr>
                          <w:rPr>
                            <w:sz w:val="18"/>
                          </w:rPr>
                        </w:pPr>
                      </w:p>
                      <w:p w:rsidR="0060331E" w:rsidRPr="0002086F" w:rsidRDefault="0060331E" w:rsidP="008F76D6">
                        <w:pPr>
                          <w:rPr>
                            <w:b/>
                            <w:sz w:val="18"/>
                          </w:rPr>
                        </w:pPr>
                        <w:r w:rsidRPr="0002086F">
                          <w:rPr>
                            <w:b/>
                            <w:sz w:val="18"/>
                          </w:rPr>
                          <w:t xml:space="preserve">Disaggregation </w:t>
                        </w:r>
                      </w:p>
                      <w:p w:rsidR="0060331E" w:rsidRPr="0002086F" w:rsidRDefault="0060331E" w:rsidP="008F76D6">
                        <w:pPr>
                          <w:rPr>
                            <w:b/>
                            <w:sz w:val="18"/>
                          </w:rPr>
                        </w:pPr>
                        <w:r w:rsidRPr="0002086F">
                          <w:rPr>
                            <w:b/>
                            <w:sz w:val="18"/>
                          </w:rPr>
                          <w:t>Statements</w:t>
                        </w:r>
                      </w:p>
                    </w:txbxContent>
                  </v:textbox>
                </v:shape>
                <v:shape id="Text Box 15" o:spid="_x0000_s1030" type="#_x0000_t202" style="position:absolute;left:29359;top:569;width:9391;height:2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8EA&#10;AADbAAAADwAAAGRycy9kb3ducmV2LnhtbERPy4rCMBTdC/MP4QqzkTHVhUjHKKMwIIyCL3CWl+b2&#10;gc1NSWKtfr1ZCC4P5z1bdKYWLTlfWVYwGiYgiDOrKy4UnI6/X1MQPiBrrC2Tgjt5WMw/ejNMtb3x&#10;ntpDKEQMYZ+igjKEJpXSZyUZ9EPbEEcut85giNAVUju8xXBTy3GSTKTBimNDiQ2tSsouh6tRsHmE&#10;9u8/z7eP9XG1s607X5YDVuqz3/18gwjUhbf45V5rBeO4Pn6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jYfBAAAA2wAAAA8AAAAAAAAAAAAAAAAAmAIAAGRycy9kb3du&#10;cmV2LnhtbFBLBQYAAAAABAAEAPUAAACGAwAAAAA=&#10;" fillcolor="#d6e3ff [342]" strokeweight="2.25pt">
                  <v:textbox inset="1.88975mm,.94489mm,1.88975mm,.94489mm">
                    <w:txbxContent>
                      <w:p w:rsidR="0060331E" w:rsidRPr="0002086F" w:rsidRDefault="0060331E" w:rsidP="008F76D6">
                        <w:pPr>
                          <w:rPr>
                            <w:sz w:val="18"/>
                          </w:rPr>
                        </w:pPr>
                      </w:p>
                      <w:p w:rsidR="0060331E" w:rsidRPr="0002086F" w:rsidRDefault="0060331E" w:rsidP="008F76D6">
                        <w:pPr>
                          <w:rPr>
                            <w:sz w:val="18"/>
                          </w:rPr>
                        </w:pPr>
                      </w:p>
                      <w:p w:rsidR="0060331E" w:rsidRPr="0002086F" w:rsidRDefault="0060331E" w:rsidP="008F76D6">
                        <w:pPr>
                          <w:rPr>
                            <w:b/>
                            <w:sz w:val="18"/>
                          </w:rPr>
                        </w:pPr>
                        <w:r w:rsidRPr="0002086F">
                          <w:rPr>
                            <w:b/>
                            <w:sz w:val="18"/>
                          </w:rPr>
                          <w:t>Regulatory</w:t>
                        </w:r>
                      </w:p>
                      <w:p w:rsidR="0060331E" w:rsidRPr="0002086F" w:rsidRDefault="0060331E" w:rsidP="008F76D6">
                        <w:pPr>
                          <w:rPr>
                            <w:b/>
                            <w:sz w:val="18"/>
                          </w:rPr>
                        </w:pPr>
                        <w:r w:rsidRPr="0002086F">
                          <w:rPr>
                            <w:b/>
                            <w:sz w:val="18"/>
                          </w:rPr>
                          <w:t>Adjustments</w:t>
                        </w:r>
                      </w:p>
                    </w:txbxContent>
                  </v:textbox>
                </v:shape>
                <v:shape id="Text Box 16" o:spid="_x0000_s1031" type="#_x0000_t202" style="position:absolute;left:41383;top:569;width:9225;height:2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0oHMUA&#10;AADbAAAADwAAAGRycy9kb3ducmV2LnhtbESPT2sCMRTE74V+h/AKXopm9SBlaxQVCoIK7SrU42Pz&#10;9g9uXpYkXVc/fSMIHoeZ+Q0zW/SmER05X1tWMB4lIIhzq2suFRwPX8MPED4ga2wsk4IreVjMX19m&#10;mGp74R/qslCKCGGfooIqhDaV0ucVGfQj2xJHr7DOYIjSlVI7vES4aeQkSabSYM1xocKW1hXl5+zP&#10;KNjdQrc9FcX+tjmsv23nfs+rd1Zq8NYvP0EE6sMz/GhvtILJGO5f4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SgcxQAAANsAAAAPAAAAAAAAAAAAAAAAAJgCAABkcnMv&#10;ZG93bnJldi54bWxQSwUGAAAAAAQABAD1AAAAigMAAAAA&#10;" fillcolor="#d6e3ff [342]" strokeweight="2.25pt">
                  <v:textbox inset="1.88975mm,.94489mm,1.88975mm,.94489mm">
                    <w:txbxContent>
                      <w:p w:rsidR="0060331E" w:rsidRPr="0002086F" w:rsidRDefault="0060331E" w:rsidP="008F76D6">
                        <w:pPr>
                          <w:rPr>
                            <w:sz w:val="18"/>
                          </w:rPr>
                        </w:pPr>
                      </w:p>
                      <w:p w:rsidR="0060331E" w:rsidRPr="0002086F" w:rsidRDefault="0060331E" w:rsidP="008F76D6">
                        <w:pPr>
                          <w:rPr>
                            <w:sz w:val="18"/>
                          </w:rPr>
                        </w:pPr>
                      </w:p>
                      <w:p w:rsidR="0060331E" w:rsidRPr="0002086F" w:rsidRDefault="0060331E" w:rsidP="008F76D6">
                        <w:pPr>
                          <w:rPr>
                            <w:b/>
                            <w:sz w:val="18"/>
                          </w:rPr>
                        </w:pPr>
                        <w:r w:rsidRPr="0002086F">
                          <w:rPr>
                            <w:b/>
                            <w:sz w:val="18"/>
                          </w:rPr>
                          <w:t>Regulatory Financial Statements</w:t>
                        </w:r>
                      </w:p>
                      <w:p w:rsidR="0060331E" w:rsidRPr="0002086F" w:rsidRDefault="0060331E" w:rsidP="008F76D6">
                        <w:pPr>
                          <w:rPr>
                            <w:sz w:val="18"/>
                          </w:rPr>
                        </w:pPr>
                        <w:r w:rsidRPr="0002086F">
                          <w:rPr>
                            <w:sz w:val="18"/>
                          </w:rPr>
                          <w:t>Prescribed transmission services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32" type="#_x0000_t13" style="position:absolute;left:13925;top:11737;width:2416;height:603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N1L4A&#10;AADbAAAADwAAAGRycy9kb3ducmV2LnhtbESPywrCMBBF94L/EEZwp6kVRKpRVBBciOADiruhGdti&#10;MylN1Pr3RhBcXu7jcOfL1lTiSY0rLSsYDSMQxJnVJecKLuftYArCeWSNlWVS8CYHy0W3M8dE2xcf&#10;6XnyuQgj7BJUUHhfJ1K6rCCDbmhr4uDdbGPQB9nkUjf4CuOmknEUTaTBkgOhwJo2BWX308N8IW1k&#10;H+vJ/srj+pqODWWb9KBUv9euZiA8tf4f/rV3WkEcw/dL+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BAjdS+AAAA2wAAAA8AAAAAAAAAAAAAAAAAmAIAAGRycy9kb3ducmV2&#10;LnhtbFBLBQYAAAAABAAEAPUAAACDAwAAAAA=&#10;" adj="10800" fillcolor="#d6e3ff [342]" strokecolor="#000304" strokeweight="2pt"/>
                <v:shape id="Right Arrow 20" o:spid="_x0000_s1033" type="#_x0000_t13" style="position:absolute;left:26707;top:12095;width:2650;height:54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3M8QA&#10;AADbAAAADwAAAGRycy9kb3ducmV2LnhtbESPT4vCMBTE7wt+h/CEva2JFkSqURb/4B70oO4evD2a&#10;Z1u2ealNrN1vvxEEj8PM/IaZLTpbiZYaXzrWMBwoEMSZMyXnGr5Pm48JCB+QDVaOScMfeVjMe28z&#10;TI2784HaY8hFhLBPUUMRQp1K6bOCLPqBq4mjd3GNxRBlk0vT4D3CbSVHSo2lxZLjQoE1LQvKfo83&#10;q2FH5/0q2a9bt1Vjdfmpsmud7LR+73efUxCBuvAKP9tfRsMogceX+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4dzPEAAAA2wAAAA8AAAAAAAAAAAAAAAAAmAIAAGRycy9k&#10;b3ducmV2LnhtbFBLBQYAAAAABAAEAPUAAACJAwAAAAA=&#10;" adj="12037" fillcolor="#d6e3ff [342]" strokecolor="#000304" strokeweight="2pt">
                  <v:textbox inset="1.88975mm,.94489mm,1.88975mm,.94489mm">
                    <w:txbxContent>
                      <w:p w:rsidR="0060331E" w:rsidRPr="0002086F" w:rsidRDefault="0060331E" w:rsidP="008F76D6">
                        <w:pPr>
                          <w:pStyle w:val="NormalWeb"/>
                          <w:rPr>
                            <w:sz w:val="18"/>
                          </w:rPr>
                        </w:pPr>
                      </w:p>
                    </w:txbxContent>
                  </v:textbox>
                </v:shape>
                <v:shape id="Right Arrow 21" o:spid="_x0000_s1034" type="#_x0000_t13" style="position:absolute;left:38747;top:12803;width:2624;height:4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eqMUA&#10;AADbAAAADwAAAGRycy9kb3ducmV2LnhtbESPW2vCQBSE3wX/w3KEvulGKW2IriKC4EttvYGPh+zJ&#10;RbNnQ3abxP76bqHg4zAz3zCLVW8q0VLjSssKppMIBHFqdcm5gvNpO45BOI+ssbJMCh7kYLUcDhaY&#10;aNvxgdqjz0WAsEtQQeF9nUjp0oIMuomtiYOX2cagD7LJpW6wC3BTyVkUvUmDJYeFAmvaFJTej99G&#10;wf7aZV+X7tJu3g/TNN5+3LLP249SL6N+PQfhqffP8H97pxXMXuHvS/g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16oxQAAANsAAAAPAAAAAAAAAAAAAAAAAJgCAABkcnMv&#10;ZG93bnJldi54bWxQSwUGAAAAAAQABAD1AAAAigMAAAAA&#10;" adj="6017" fillcolor="#d6e3ff [342]" strokecolor="#000304" strokeweight="2pt">
                  <v:textbox inset="1.88975mm,.94489mm,1.88975mm,.94489mm">
                    <w:txbxContent>
                      <w:p w:rsidR="0060331E" w:rsidRPr="0002086F" w:rsidRDefault="0060331E" w:rsidP="008F76D6">
                        <w:pPr>
                          <w:pStyle w:val="NormalWeb"/>
                          <w:rPr>
                            <w:sz w:val="18"/>
                          </w:rPr>
                        </w:pPr>
                        <w:r w:rsidRPr="0002086F">
                          <w:rPr>
                            <w:sz w:val="17"/>
                          </w:rPr>
                          <w:t> </w:t>
                        </w:r>
                      </w:p>
                    </w:txbxContent>
                  </v:textbox>
                </v:shape>
                <w10:anchorlock/>
              </v:group>
            </w:pict>
          </mc:Fallback>
        </mc:AlternateContent>
      </w:r>
    </w:p>
    <w:p w:rsidR="00841E32" w:rsidRDefault="00841E32" w:rsidP="00437B15"/>
    <w:p w:rsidR="00437B15" w:rsidRPr="00437B15" w:rsidRDefault="00437B15" w:rsidP="00437B15">
      <w:r w:rsidRPr="00437B15">
        <w:t xml:space="preserve">The above diagram is a concise illustration of the process and is no substitute for an understanding of this </w:t>
      </w:r>
      <w:r w:rsidRPr="008F76D6">
        <w:rPr>
          <w:rStyle w:val="Emphasis"/>
        </w:rPr>
        <w:t>guideline</w:t>
      </w:r>
      <w:r w:rsidRPr="00437B15">
        <w:t>.</w:t>
      </w:r>
    </w:p>
    <w:p w:rsidR="00437B15" w:rsidRPr="00437B15" w:rsidRDefault="00437B15" w:rsidP="00437B15">
      <w:r w:rsidRPr="00437B15">
        <w:t xml:space="preserve">It illustrates that we require a </w:t>
      </w:r>
      <w:r w:rsidRPr="008F76D6">
        <w:rPr>
          <w:rStyle w:val="Emphasis"/>
        </w:rPr>
        <w:t>TNSP</w:t>
      </w:r>
      <w:r w:rsidRPr="00437B15">
        <w:t xml:space="preserve"> to prepare </w:t>
      </w:r>
      <w:r w:rsidRPr="008F76D6">
        <w:rPr>
          <w:rStyle w:val="Emphasis"/>
        </w:rPr>
        <w:t>disaggregation statements</w:t>
      </w:r>
      <w:r w:rsidRPr="00437B15">
        <w:t xml:space="preserve"> before any regulatory adjustments, for its statement of financial performance.</w:t>
      </w:r>
    </w:p>
    <w:p w:rsidR="00437B15" w:rsidRPr="00437B15" w:rsidRDefault="00437B15" w:rsidP="00437B15">
      <w:r w:rsidRPr="00437B15">
        <w:t>When:</w:t>
      </w:r>
    </w:p>
    <w:p w:rsidR="00437B15" w:rsidRPr="00437B15" w:rsidRDefault="00437B15" w:rsidP="00395821">
      <w:pPr>
        <w:pStyle w:val="ListBullet"/>
      </w:pPr>
      <w:r w:rsidRPr="00437B15">
        <w:t xml:space="preserve">the </w:t>
      </w:r>
      <w:r w:rsidRPr="008F76D6">
        <w:rPr>
          <w:rStyle w:val="Emphasis"/>
        </w:rPr>
        <w:t>prescribed transmission services</w:t>
      </w:r>
      <w:r w:rsidRPr="00437B15">
        <w:t xml:space="preserve"> relating to a </w:t>
      </w:r>
      <w:r w:rsidRPr="008F76D6">
        <w:rPr>
          <w:rStyle w:val="Emphasis"/>
        </w:rPr>
        <w:t>TNSP</w:t>
      </w:r>
      <w:r w:rsidRPr="00437B15">
        <w:t xml:space="preserve"> are conducted by more than one legal </w:t>
      </w:r>
      <w:r w:rsidRPr="00395821">
        <w:rPr>
          <w:rStyle w:val="Emphasis"/>
        </w:rPr>
        <w:t>entity</w:t>
      </w:r>
      <w:r w:rsidRPr="00437B15">
        <w:t>; and</w:t>
      </w:r>
    </w:p>
    <w:p w:rsidR="00437B15" w:rsidRPr="00437B15" w:rsidRDefault="00437B15" w:rsidP="00395821">
      <w:pPr>
        <w:pStyle w:val="ListBullet"/>
      </w:pPr>
      <w:r w:rsidRPr="00437B15">
        <w:t xml:space="preserve">any such </w:t>
      </w:r>
      <w:r w:rsidRPr="00395821">
        <w:rPr>
          <w:rStyle w:val="Emphasis"/>
        </w:rPr>
        <w:t>entity</w:t>
      </w:r>
      <w:r w:rsidRPr="00437B15">
        <w:t xml:space="preserve"> is not required to prepare audited financial statements under the </w:t>
      </w:r>
      <w:r w:rsidRPr="00395821">
        <w:rPr>
          <w:rStyle w:val="Emphasis"/>
        </w:rPr>
        <w:t>Corporations Act</w:t>
      </w:r>
    </w:p>
    <w:p w:rsidR="00437B15" w:rsidRPr="00437B15" w:rsidRDefault="00437B15" w:rsidP="00437B15">
      <w:proofErr w:type="gramStart"/>
      <w:r w:rsidRPr="00437B15">
        <w:t>the</w:t>
      </w:r>
      <w:proofErr w:type="gramEnd"/>
      <w:r w:rsidRPr="00437B15">
        <w:t xml:space="preserve"> following requirements must be complied with:</w:t>
      </w:r>
    </w:p>
    <w:p w:rsidR="00437B15" w:rsidRPr="00437B15" w:rsidRDefault="00437B15" w:rsidP="00395821">
      <w:pPr>
        <w:pStyle w:val="ListBullet"/>
      </w:pPr>
      <w:r w:rsidRPr="00437B15">
        <w:t xml:space="preserve">consolidated, or aggregated, financial statements must be prepared encompassing the activities of all legal </w:t>
      </w:r>
      <w:r w:rsidRPr="00395821">
        <w:rPr>
          <w:rStyle w:val="Emphasis"/>
        </w:rPr>
        <w:t>entities</w:t>
      </w:r>
      <w:r w:rsidRPr="00437B15">
        <w:t xml:space="preserve"> that conduct prescribed activities</w:t>
      </w:r>
    </w:p>
    <w:p w:rsidR="00437B15" w:rsidRPr="00437B15" w:rsidRDefault="00437B15" w:rsidP="00395821">
      <w:pPr>
        <w:pStyle w:val="ListBullet"/>
      </w:pPr>
      <w:r w:rsidRPr="00437B15">
        <w:t xml:space="preserve">consolidated statements must be prepared and audited as if they were required by the </w:t>
      </w:r>
      <w:r w:rsidRPr="00395821">
        <w:rPr>
          <w:rStyle w:val="Emphasis"/>
        </w:rPr>
        <w:t>Corporations Act</w:t>
      </w:r>
    </w:p>
    <w:p w:rsidR="00437B15" w:rsidRPr="00437B15" w:rsidRDefault="00437B15" w:rsidP="00395821">
      <w:pPr>
        <w:pStyle w:val="ListBullet"/>
      </w:pPr>
      <w:proofErr w:type="gramStart"/>
      <w:r w:rsidRPr="00437B15">
        <w:t>the</w:t>
      </w:r>
      <w:proofErr w:type="gramEnd"/>
      <w:r w:rsidRPr="00437B15">
        <w:t xml:space="preserve"> audited consolidated statements are to be used in place of the audited financial statements when reporting to us and are subject to all of the regulatory requirements of this </w:t>
      </w:r>
      <w:r w:rsidRPr="00395821">
        <w:rPr>
          <w:rStyle w:val="Emphasis"/>
        </w:rPr>
        <w:t>guideline</w:t>
      </w:r>
      <w:r w:rsidRPr="00437B15">
        <w:t>.</w:t>
      </w:r>
    </w:p>
    <w:p w:rsidR="00437B15" w:rsidRPr="00437B15" w:rsidRDefault="00134777" w:rsidP="00437B15">
      <w:pPr>
        <w:pStyle w:val="Heading2"/>
      </w:pPr>
      <w:r>
        <w:t xml:space="preserve"> </w:t>
      </w:r>
      <w:bookmarkStart w:id="34" w:name="_Toc415582087"/>
      <w:r w:rsidR="00437B15" w:rsidRPr="00437B15">
        <w:t>Regulatory adjustments</w:t>
      </w:r>
      <w:bookmarkEnd w:id="34"/>
    </w:p>
    <w:p w:rsidR="00437B15" w:rsidRPr="00437B15" w:rsidRDefault="00437B15" w:rsidP="00437B15">
      <w:r w:rsidRPr="00437B15">
        <w:t xml:space="preserve">In preparing </w:t>
      </w:r>
      <w:r w:rsidRPr="00C14905">
        <w:rPr>
          <w:rStyle w:val="Emphasis"/>
        </w:rPr>
        <w:t>regulatory financial statements</w:t>
      </w:r>
      <w:r w:rsidRPr="00437B15">
        <w:t xml:space="preserve">, a </w:t>
      </w:r>
      <w:r w:rsidRPr="00395821">
        <w:rPr>
          <w:rStyle w:val="Emphasis"/>
        </w:rPr>
        <w:t>TNSP</w:t>
      </w:r>
      <w:r w:rsidRPr="00437B15">
        <w:t xml:space="preserve"> will apply to the </w:t>
      </w:r>
      <w:r w:rsidRPr="00395821">
        <w:rPr>
          <w:rStyle w:val="Emphasis"/>
        </w:rPr>
        <w:t>disaggregation statements</w:t>
      </w:r>
      <w:r w:rsidRPr="00437B15">
        <w:t xml:space="preserve"> or to the </w:t>
      </w:r>
      <w:r w:rsidRPr="00395821">
        <w:rPr>
          <w:rStyle w:val="Emphasis"/>
        </w:rPr>
        <w:t>base accounts</w:t>
      </w:r>
      <w:r w:rsidRPr="00437B15">
        <w:t>, any regulatory adjustments:</w:t>
      </w:r>
    </w:p>
    <w:p w:rsidR="00437B15" w:rsidRPr="00437B15" w:rsidRDefault="00437B15" w:rsidP="00395821">
      <w:pPr>
        <w:pStyle w:val="ListBullet"/>
      </w:pPr>
      <w:r w:rsidRPr="00437B15">
        <w:t xml:space="preserve">considered appropriate by a </w:t>
      </w:r>
      <w:r w:rsidRPr="00395821">
        <w:rPr>
          <w:rStyle w:val="Emphasis"/>
        </w:rPr>
        <w:t>TNSP</w:t>
      </w:r>
      <w:r w:rsidRPr="00437B15">
        <w:t>, or</w:t>
      </w:r>
    </w:p>
    <w:p w:rsidR="00437B15" w:rsidRPr="00437B15" w:rsidRDefault="00437B15" w:rsidP="00395821">
      <w:pPr>
        <w:pStyle w:val="ListBullet"/>
      </w:pPr>
      <w:proofErr w:type="gramStart"/>
      <w:r w:rsidRPr="00437B15">
        <w:t>required</w:t>
      </w:r>
      <w:proofErr w:type="gramEnd"/>
      <w:r w:rsidRPr="00437B15">
        <w:t xml:space="preserve"> by us.</w:t>
      </w:r>
    </w:p>
    <w:p w:rsidR="00437B15" w:rsidRPr="00437B15" w:rsidRDefault="00437B15" w:rsidP="00437B15">
      <w:r w:rsidRPr="00437B15">
        <w:t xml:space="preserve">Pro forma statements that clearly explain the nature and amount of each adjustment shall support all regulatory adjustments. Such pro forma statements are set out in </w:t>
      </w:r>
      <w:r w:rsidR="00826EA4">
        <w:t>A</w:t>
      </w:r>
      <w:r w:rsidRPr="00437B15">
        <w:t>ppendix A of this document.</w:t>
      </w:r>
    </w:p>
    <w:p w:rsidR="00437B15" w:rsidRPr="00437B15" w:rsidRDefault="00134777" w:rsidP="00437B15">
      <w:pPr>
        <w:pStyle w:val="Heading2"/>
      </w:pPr>
      <w:r>
        <w:t xml:space="preserve"> </w:t>
      </w:r>
      <w:bookmarkStart w:id="35" w:name="_Toc415582088"/>
      <w:r w:rsidR="00437B15" w:rsidRPr="00437B15">
        <w:t>Record retention</w:t>
      </w:r>
      <w:bookmarkEnd w:id="35"/>
    </w:p>
    <w:p w:rsidR="00437B15" w:rsidRPr="00437B15" w:rsidRDefault="00437B15" w:rsidP="00437B15">
      <w:r w:rsidRPr="00437B15">
        <w:t xml:space="preserve">A </w:t>
      </w:r>
      <w:r w:rsidRPr="00D74184">
        <w:rPr>
          <w:rStyle w:val="Emphasis"/>
        </w:rPr>
        <w:t>TNSP’s</w:t>
      </w:r>
      <w:r w:rsidRPr="00437B15">
        <w:t xml:space="preserve"> </w:t>
      </w:r>
      <w:r w:rsidRPr="00D74184">
        <w:rPr>
          <w:rStyle w:val="Emphasis"/>
        </w:rPr>
        <w:t>directors</w:t>
      </w:r>
      <w:r w:rsidRPr="00437B15">
        <w:t xml:space="preserve"> are responsible for preparing and presenting the </w:t>
      </w:r>
      <w:r w:rsidRPr="00C14905">
        <w:rPr>
          <w:rStyle w:val="Emphasis"/>
        </w:rPr>
        <w:t>regulatory financial statements</w:t>
      </w:r>
      <w:r w:rsidRPr="00437B15">
        <w:t>.</w:t>
      </w:r>
    </w:p>
    <w:p w:rsidR="00437B15" w:rsidRPr="00437B15" w:rsidRDefault="00437B15" w:rsidP="00437B15">
      <w:r w:rsidRPr="00437B15">
        <w:t xml:space="preserve">A </w:t>
      </w:r>
      <w:r w:rsidRPr="00D74184">
        <w:rPr>
          <w:rStyle w:val="Emphasis"/>
        </w:rPr>
        <w:t>TNSP’s directors</w:t>
      </w:r>
      <w:r w:rsidRPr="00437B15">
        <w:t xml:space="preserve"> shall ensure that a </w:t>
      </w:r>
      <w:r w:rsidRPr="00D74184">
        <w:rPr>
          <w:rStyle w:val="Emphasis"/>
        </w:rPr>
        <w:t>TNSP</w:t>
      </w:r>
      <w:r w:rsidRPr="00437B15">
        <w:t xml:space="preserve"> keeps books that:</w:t>
      </w:r>
    </w:p>
    <w:p w:rsidR="00437B15" w:rsidRPr="00437B15" w:rsidRDefault="00437B15" w:rsidP="00D74184">
      <w:pPr>
        <w:pStyle w:val="ListBullet"/>
      </w:pPr>
      <w:r w:rsidRPr="00437B15">
        <w:t xml:space="preserve">correctly record and explain the transactions and financial position of each regulated </w:t>
      </w:r>
      <w:r w:rsidRPr="00D74184">
        <w:rPr>
          <w:rStyle w:val="Emphasis"/>
        </w:rPr>
        <w:t>business segment</w:t>
      </w:r>
    </w:p>
    <w:p w:rsidR="00437B15" w:rsidRPr="00437B15" w:rsidRDefault="00437B15" w:rsidP="00D74184">
      <w:pPr>
        <w:pStyle w:val="ListBullet"/>
      </w:pPr>
      <w:r w:rsidRPr="00437B15">
        <w:t>support the disaggregation of the audited financial statements and any regulatory adjustments</w:t>
      </w:r>
    </w:p>
    <w:p w:rsidR="00437B15" w:rsidRPr="00437B15" w:rsidRDefault="00437B15" w:rsidP="00D74184">
      <w:pPr>
        <w:pStyle w:val="ListBullet"/>
      </w:pPr>
      <w:proofErr w:type="gramStart"/>
      <w:r w:rsidRPr="00437B15">
        <w:t>allow</w:t>
      </w:r>
      <w:proofErr w:type="gramEnd"/>
      <w:r w:rsidRPr="00437B15">
        <w:t xml:space="preserve"> an </w:t>
      </w:r>
      <w:r w:rsidRPr="00D74184">
        <w:rPr>
          <w:rStyle w:val="Emphasis"/>
        </w:rPr>
        <w:t>auditor</w:t>
      </w:r>
      <w:r w:rsidRPr="00437B15">
        <w:t xml:space="preserve"> to properly form an opinion on the </w:t>
      </w:r>
      <w:r w:rsidRPr="00D74184">
        <w:rPr>
          <w:rStyle w:val="Emphasis"/>
        </w:rPr>
        <w:t>regulatory financial statements</w:t>
      </w:r>
      <w:r w:rsidRPr="00437B15">
        <w:t xml:space="preserve"> as required by this </w:t>
      </w:r>
      <w:r w:rsidRPr="00D74184">
        <w:rPr>
          <w:rStyle w:val="Emphasis"/>
        </w:rPr>
        <w:t>guideline</w:t>
      </w:r>
      <w:r w:rsidRPr="00437B15">
        <w:t>.</w:t>
      </w:r>
    </w:p>
    <w:p w:rsidR="00437B15" w:rsidRPr="00437B15" w:rsidRDefault="00437B15" w:rsidP="00437B15">
      <w:r w:rsidRPr="00437B15">
        <w:t xml:space="preserve">A </w:t>
      </w:r>
      <w:r w:rsidRPr="00D74184">
        <w:rPr>
          <w:rStyle w:val="Emphasis"/>
        </w:rPr>
        <w:t>TNSP’s directors</w:t>
      </w:r>
      <w:r w:rsidRPr="00437B15">
        <w:t xml:space="preserve"> shall also ensure that a </w:t>
      </w:r>
      <w:r w:rsidRPr="00D74184">
        <w:rPr>
          <w:rStyle w:val="Emphasis"/>
        </w:rPr>
        <w:t>TNSP</w:t>
      </w:r>
      <w:r w:rsidRPr="00437B15">
        <w:t xml:space="preserve"> retains the books from which </w:t>
      </w:r>
      <w:r w:rsidRPr="00D74184">
        <w:rPr>
          <w:rStyle w:val="Emphasis"/>
        </w:rPr>
        <w:t>regulatory financial statements</w:t>
      </w:r>
      <w:r w:rsidRPr="00437B15">
        <w:t xml:space="preserve"> are prepared, from either 1 July 1999 or the date the </w:t>
      </w:r>
      <w:r w:rsidRPr="00D74184">
        <w:rPr>
          <w:rStyle w:val="Emphasis"/>
        </w:rPr>
        <w:t>AER</w:t>
      </w:r>
      <w:r w:rsidRPr="00437B15">
        <w:t xml:space="preserve"> (or its predecessor, the </w:t>
      </w:r>
      <w:r w:rsidRPr="00D74184">
        <w:rPr>
          <w:rStyle w:val="Emphasis"/>
        </w:rPr>
        <w:t>Australian Competition and Consumer Commission</w:t>
      </w:r>
      <w:r w:rsidRPr="00437B15">
        <w:t xml:space="preserve">) began to regulate the transmission revenues of the </w:t>
      </w:r>
      <w:r w:rsidRPr="00D74184">
        <w:rPr>
          <w:rStyle w:val="Emphasis"/>
        </w:rPr>
        <w:t>TNSP</w:t>
      </w:r>
      <w:r w:rsidRPr="00437B15">
        <w:t>—whichever is the latter.</w:t>
      </w:r>
    </w:p>
    <w:p w:rsidR="00437B15" w:rsidRPr="00437B15" w:rsidRDefault="00437B15" w:rsidP="00437B15">
      <w:r w:rsidRPr="00437B15">
        <w:t>Books are to be retained for a period ending no sooner than the effective date of the second revenue reset following the date the books were created.</w:t>
      </w:r>
    </w:p>
    <w:p w:rsidR="00437B15" w:rsidRPr="00437B15" w:rsidRDefault="00437B15" w:rsidP="00437B15">
      <w:r w:rsidRPr="00437B15">
        <w:t>All books shall be made available to us when requested.</w:t>
      </w:r>
    </w:p>
    <w:p w:rsidR="00437B15" w:rsidRPr="00437B15" w:rsidRDefault="00134777" w:rsidP="00437B15">
      <w:pPr>
        <w:pStyle w:val="Heading2"/>
      </w:pPr>
      <w:r>
        <w:t xml:space="preserve"> </w:t>
      </w:r>
      <w:bookmarkStart w:id="36" w:name="_Toc415582089"/>
      <w:r w:rsidR="00437B15" w:rsidRPr="00437B15">
        <w:t>Discretionary headings</w:t>
      </w:r>
      <w:bookmarkEnd w:id="36"/>
    </w:p>
    <w:p w:rsidR="00437B15" w:rsidRPr="00437B15" w:rsidRDefault="00437B15" w:rsidP="00437B15">
      <w:r w:rsidRPr="00437B15">
        <w:t xml:space="preserve">Subject to the provisions of this section, a </w:t>
      </w:r>
      <w:r w:rsidRPr="00D74184">
        <w:rPr>
          <w:rStyle w:val="Emphasis"/>
        </w:rPr>
        <w:t>TNSP</w:t>
      </w:r>
      <w:r w:rsidRPr="00437B15">
        <w:t xml:space="preserve"> shall apply the discretionary headings consistently to subsequent </w:t>
      </w:r>
      <w:r w:rsidRPr="00D74184">
        <w:rPr>
          <w:rStyle w:val="Emphasis"/>
        </w:rPr>
        <w:t>regulatory financial statements</w:t>
      </w:r>
      <w:r w:rsidRPr="00437B15">
        <w:t>.</w:t>
      </w:r>
    </w:p>
    <w:p w:rsidR="00437B15" w:rsidRPr="00437B15" w:rsidRDefault="00437B15" w:rsidP="00437B15">
      <w:r w:rsidRPr="00D74184">
        <w:rPr>
          <w:rStyle w:val="Emphasis"/>
        </w:rPr>
        <w:t>Discretionary headings</w:t>
      </w:r>
      <w:r w:rsidRPr="00437B15">
        <w:t xml:space="preserve"> shall agree with, or be traceable to, the </w:t>
      </w:r>
      <w:r w:rsidRPr="00D74184">
        <w:rPr>
          <w:rStyle w:val="Emphasis"/>
        </w:rPr>
        <w:t>account headings</w:t>
      </w:r>
      <w:r w:rsidRPr="00437B15">
        <w:t xml:space="preserve"> in a </w:t>
      </w:r>
      <w:r w:rsidRPr="00D74184">
        <w:rPr>
          <w:rStyle w:val="Emphasis"/>
        </w:rPr>
        <w:t>TNSP’s</w:t>
      </w:r>
      <w:r w:rsidRPr="00437B15">
        <w:t xml:space="preserve"> general ledger or the chart of accounts that underpins its </w:t>
      </w:r>
      <w:r w:rsidRPr="00D74184">
        <w:rPr>
          <w:rStyle w:val="Emphasis"/>
        </w:rPr>
        <w:t>base accounts</w:t>
      </w:r>
      <w:r w:rsidRPr="00437B15">
        <w:t>.</w:t>
      </w:r>
    </w:p>
    <w:p w:rsidR="00437B15" w:rsidRPr="00437B15" w:rsidRDefault="00437B15" w:rsidP="00437B15">
      <w:r w:rsidRPr="00437B15">
        <w:t xml:space="preserve">A </w:t>
      </w:r>
      <w:r w:rsidRPr="00D74184">
        <w:rPr>
          <w:rStyle w:val="Emphasis"/>
        </w:rPr>
        <w:t>TNSP</w:t>
      </w:r>
      <w:r w:rsidRPr="00437B15">
        <w:t xml:space="preserve"> shall meet with </w:t>
      </w:r>
      <w:r w:rsidR="00EA0FBE">
        <w:t>us</w:t>
      </w:r>
      <w:r w:rsidRPr="00437B15">
        <w:t xml:space="preserve"> before submitting </w:t>
      </w:r>
      <w:r w:rsidRPr="00D74184">
        <w:rPr>
          <w:rStyle w:val="Emphasis"/>
        </w:rPr>
        <w:t>regulatory financial statements</w:t>
      </w:r>
      <w:r w:rsidRPr="00437B15">
        <w:t xml:space="preserve">, so that that we can assess whether a </w:t>
      </w:r>
      <w:r w:rsidRPr="00D74184">
        <w:rPr>
          <w:rStyle w:val="Emphasis"/>
        </w:rPr>
        <w:t xml:space="preserve">TNSP’s </w:t>
      </w:r>
      <w:r w:rsidRPr="00437B15">
        <w:t xml:space="preserve">proposed discretionary heading meets </w:t>
      </w:r>
      <w:r w:rsidR="00EA0FBE">
        <w:t>our</w:t>
      </w:r>
      <w:r w:rsidR="00EA0FBE" w:rsidRPr="00437B15">
        <w:t xml:space="preserve"> </w:t>
      </w:r>
      <w:r w:rsidRPr="00437B15">
        <w:t>requirements.</w:t>
      </w:r>
    </w:p>
    <w:p w:rsidR="00437B15" w:rsidRPr="00437B15" w:rsidRDefault="00437B15" w:rsidP="00437B15">
      <w:r w:rsidRPr="00437B15">
        <w:t xml:space="preserve">A </w:t>
      </w:r>
      <w:r w:rsidRPr="00D74184">
        <w:rPr>
          <w:rStyle w:val="Emphasis"/>
        </w:rPr>
        <w:t>TNSP</w:t>
      </w:r>
      <w:r w:rsidRPr="00437B15">
        <w:t xml:space="preserve"> may vary the </w:t>
      </w:r>
      <w:r w:rsidRPr="00D74184">
        <w:rPr>
          <w:rStyle w:val="Emphasis"/>
        </w:rPr>
        <w:t>discretionary headings</w:t>
      </w:r>
      <w:r w:rsidRPr="00437B15">
        <w:t xml:space="preserve"> from those used in a preceding regulatory account period if:</w:t>
      </w:r>
    </w:p>
    <w:p w:rsidR="00437B15" w:rsidRPr="00437B15" w:rsidRDefault="00437B15" w:rsidP="00D74184">
      <w:pPr>
        <w:pStyle w:val="ListBullet"/>
      </w:pPr>
      <w:r w:rsidRPr="00437B15">
        <w:t xml:space="preserve">a revision of this </w:t>
      </w:r>
      <w:r w:rsidRPr="00D74184">
        <w:rPr>
          <w:rStyle w:val="Emphasis"/>
        </w:rPr>
        <w:t>guideline</w:t>
      </w:r>
      <w:r w:rsidRPr="00437B15">
        <w:t xml:space="preserve"> should require such a change, or</w:t>
      </w:r>
    </w:p>
    <w:p w:rsidR="00437B15" w:rsidRPr="00437B15" w:rsidRDefault="00437B15" w:rsidP="00D74184">
      <w:pPr>
        <w:pStyle w:val="ListBullet"/>
      </w:pPr>
      <w:r w:rsidRPr="00437B15">
        <w:t xml:space="preserve">we issue written approval after receiving an application from a </w:t>
      </w:r>
      <w:r w:rsidRPr="00D74184">
        <w:rPr>
          <w:rStyle w:val="Emphasis"/>
        </w:rPr>
        <w:t>TNSP</w:t>
      </w:r>
      <w:r w:rsidRPr="00437B15">
        <w:t xml:space="preserve"> for such a variation, though such an application:</w:t>
      </w:r>
    </w:p>
    <w:p w:rsidR="00437B15" w:rsidRPr="00437B15" w:rsidRDefault="00437B15" w:rsidP="00EA0FBE">
      <w:pPr>
        <w:pStyle w:val="Bulletpoint2"/>
      </w:pPr>
      <w:r w:rsidRPr="00437B15">
        <w:t xml:space="preserve">does not change a </w:t>
      </w:r>
      <w:r w:rsidRPr="00D74184">
        <w:rPr>
          <w:rStyle w:val="Emphasis"/>
        </w:rPr>
        <w:t>TNSP’s</w:t>
      </w:r>
      <w:r w:rsidRPr="00437B15">
        <w:t xml:space="preserve"> obligation under s. 2.11 of this </w:t>
      </w:r>
      <w:r w:rsidRPr="00D74184">
        <w:rPr>
          <w:rStyle w:val="Emphasis"/>
        </w:rPr>
        <w:t>guideline</w:t>
      </w:r>
    </w:p>
    <w:p w:rsidR="00437B15" w:rsidRPr="00437B15" w:rsidRDefault="00437B15" w:rsidP="00EA0FBE">
      <w:pPr>
        <w:pStyle w:val="Bulletpoint2"/>
      </w:pPr>
      <w:proofErr w:type="gramStart"/>
      <w:r w:rsidRPr="00437B15">
        <w:t>should</w:t>
      </w:r>
      <w:proofErr w:type="gramEnd"/>
      <w:r w:rsidRPr="00437B15">
        <w:t xml:space="preserve"> include an explanation of the relationships between revised </w:t>
      </w:r>
      <w:r w:rsidRPr="00D74184">
        <w:rPr>
          <w:rStyle w:val="Emphasis"/>
        </w:rPr>
        <w:t>account headings</w:t>
      </w:r>
      <w:r w:rsidRPr="00437B15">
        <w:t xml:space="preserve"> and their predecessors.</w:t>
      </w:r>
    </w:p>
    <w:p w:rsidR="00437B15" w:rsidRPr="00437B15" w:rsidRDefault="00134777" w:rsidP="00437B15">
      <w:pPr>
        <w:pStyle w:val="Heading2"/>
      </w:pPr>
      <w:r>
        <w:t xml:space="preserve"> </w:t>
      </w:r>
      <w:bookmarkStart w:id="37" w:name="_Toc415582090"/>
      <w:r w:rsidR="00437B15" w:rsidRPr="00437B15">
        <w:t>Regulatory accounting periods</w:t>
      </w:r>
      <w:bookmarkEnd w:id="37"/>
    </w:p>
    <w:p w:rsidR="00437B15" w:rsidRPr="00437B15" w:rsidRDefault="00437B15" w:rsidP="00437B15">
      <w:r w:rsidRPr="00437B15">
        <w:t xml:space="preserve">A </w:t>
      </w:r>
      <w:r w:rsidRPr="00D74184">
        <w:rPr>
          <w:rStyle w:val="Emphasis"/>
        </w:rPr>
        <w:t>TNSP’s regulatory accounting periods</w:t>
      </w:r>
      <w:r w:rsidRPr="00437B15">
        <w:t xml:space="preserve"> shall correspond to those of its </w:t>
      </w:r>
      <w:r w:rsidRPr="00D74184">
        <w:rPr>
          <w:rStyle w:val="Emphasis"/>
        </w:rPr>
        <w:t>base accounts</w:t>
      </w:r>
      <w:r w:rsidRPr="00437B15">
        <w:t xml:space="preserve"> unless we specify otherwise.</w:t>
      </w:r>
    </w:p>
    <w:p w:rsidR="00437B15" w:rsidRPr="00437B15" w:rsidRDefault="00437B15" w:rsidP="00437B15">
      <w:r w:rsidRPr="00437B15">
        <w:t xml:space="preserve">We may require a </w:t>
      </w:r>
      <w:r w:rsidRPr="00D74184">
        <w:rPr>
          <w:rStyle w:val="Emphasis"/>
        </w:rPr>
        <w:t>TNSP</w:t>
      </w:r>
      <w:r w:rsidRPr="00437B15">
        <w:t xml:space="preserve"> to provide all of the following at times other than the normal reporting period or other </w:t>
      </w:r>
      <w:r w:rsidRPr="00D74184">
        <w:rPr>
          <w:rStyle w:val="Emphasis"/>
        </w:rPr>
        <w:t>regulatory accounting dates</w:t>
      </w:r>
      <w:r w:rsidRPr="00437B15">
        <w:t>:</w:t>
      </w:r>
    </w:p>
    <w:p w:rsidR="00437B15" w:rsidRPr="00437B15" w:rsidRDefault="00437B15" w:rsidP="00D74184">
      <w:pPr>
        <w:pStyle w:val="ListBullet"/>
      </w:pPr>
      <w:r w:rsidRPr="00D74184">
        <w:rPr>
          <w:rStyle w:val="Emphasis"/>
        </w:rPr>
        <w:t>Corporations Act</w:t>
      </w:r>
      <w:r w:rsidRPr="00437B15">
        <w:t>-compliant audited financial statements</w:t>
      </w:r>
    </w:p>
    <w:p w:rsidR="00437B15" w:rsidRPr="004F069F" w:rsidRDefault="00437B15" w:rsidP="00D74184">
      <w:pPr>
        <w:pStyle w:val="ListBullet"/>
        <w:rPr>
          <w:rStyle w:val="Emphasis"/>
        </w:rPr>
      </w:pPr>
      <w:r w:rsidRPr="004F069F">
        <w:rPr>
          <w:rStyle w:val="Emphasis"/>
        </w:rPr>
        <w:t>regulatory financial statements</w:t>
      </w:r>
    </w:p>
    <w:p w:rsidR="00437B15" w:rsidRPr="00437B15" w:rsidRDefault="00437B15" w:rsidP="00D74184">
      <w:pPr>
        <w:pStyle w:val="ListBullet"/>
      </w:pPr>
      <w:proofErr w:type="gramStart"/>
      <w:r w:rsidRPr="00437B15">
        <w:t>other</w:t>
      </w:r>
      <w:proofErr w:type="gramEnd"/>
      <w:r w:rsidRPr="00437B15">
        <w:t xml:space="preserve"> information as required by </w:t>
      </w:r>
      <w:r w:rsidR="00710B63" w:rsidRPr="00437B15">
        <w:t>us to</w:t>
      </w:r>
      <w:r w:rsidRPr="00437B15">
        <w:t xml:space="preserve"> discharge our duties under the </w:t>
      </w:r>
      <w:r w:rsidRPr="00D74184">
        <w:rPr>
          <w:rStyle w:val="Emphasis"/>
        </w:rPr>
        <w:t>NER</w:t>
      </w:r>
      <w:r w:rsidRPr="00437B15">
        <w:t>.</w:t>
      </w:r>
    </w:p>
    <w:p w:rsidR="00437B15" w:rsidRPr="00437B15" w:rsidRDefault="00437B15" w:rsidP="00437B15">
      <w:r w:rsidRPr="00437B15">
        <w:t xml:space="preserve">A </w:t>
      </w:r>
      <w:r w:rsidRPr="00D74184">
        <w:rPr>
          <w:rStyle w:val="Emphasis"/>
        </w:rPr>
        <w:t>TNSP</w:t>
      </w:r>
      <w:r w:rsidRPr="00437B15">
        <w:t xml:space="preserve"> shall notify us of any change in its </w:t>
      </w:r>
      <w:r w:rsidRPr="00D74184">
        <w:rPr>
          <w:rStyle w:val="Emphasis"/>
        </w:rPr>
        <w:t>regulatory accounting date</w:t>
      </w:r>
      <w:r w:rsidRPr="00437B15">
        <w:t xml:space="preserve"> in advance of any such change.</w:t>
      </w:r>
    </w:p>
    <w:p w:rsidR="00437B15" w:rsidRPr="00437B15" w:rsidRDefault="00437B15" w:rsidP="00437B15">
      <w:r w:rsidRPr="00437B15">
        <w:t xml:space="preserve">A </w:t>
      </w:r>
      <w:r w:rsidRPr="00D74184">
        <w:rPr>
          <w:rStyle w:val="Emphasis"/>
        </w:rPr>
        <w:t>TNSP’s</w:t>
      </w:r>
      <w:r w:rsidRPr="00437B15">
        <w:t xml:space="preserve"> </w:t>
      </w:r>
      <w:r w:rsidRPr="00D74184">
        <w:rPr>
          <w:rStyle w:val="Emphasis"/>
        </w:rPr>
        <w:t>regulatory accounting periods</w:t>
      </w:r>
      <w:r w:rsidRPr="00437B15">
        <w:t xml:space="preserve"> shall cover a continuous period.</w:t>
      </w:r>
    </w:p>
    <w:p w:rsidR="00437B15" w:rsidRPr="00437B15" w:rsidRDefault="004F069F" w:rsidP="00437B15">
      <w:pPr>
        <w:pStyle w:val="Heading2"/>
      </w:pPr>
      <w:bookmarkStart w:id="38" w:name="_Toc415582091"/>
      <w:r>
        <w:t xml:space="preserve"> </w:t>
      </w:r>
      <w:r w:rsidR="003B0FD1">
        <w:t>Directors' responsibility statement</w:t>
      </w:r>
      <w:bookmarkEnd w:id="38"/>
    </w:p>
    <w:p w:rsidR="00562C2E" w:rsidRDefault="00562C2E" w:rsidP="00562C2E">
      <w:r w:rsidRPr="00562C2E">
        <w:t xml:space="preserve">The regulatory information provided by the </w:t>
      </w:r>
      <w:r w:rsidRPr="009F2FAB">
        <w:rPr>
          <w:rStyle w:val="Emphasis"/>
        </w:rPr>
        <w:t>TNSP</w:t>
      </w:r>
      <w:r w:rsidRPr="00562C2E">
        <w:t xml:space="preserve"> </w:t>
      </w:r>
      <w:r>
        <w:t xml:space="preserve">must be accompanied by a </w:t>
      </w:r>
      <w:r w:rsidRPr="004D457E">
        <w:rPr>
          <w:rStyle w:val="Emphasis"/>
        </w:rPr>
        <w:t>directors’ responsibility statement</w:t>
      </w:r>
      <w:r w:rsidRPr="00562C2E">
        <w:t>.</w:t>
      </w:r>
    </w:p>
    <w:p w:rsidR="00562C2E" w:rsidRDefault="00562C2E" w:rsidP="00562C2E">
      <w:r w:rsidRPr="00562C2E">
        <w:t xml:space="preserve">The </w:t>
      </w:r>
      <w:r w:rsidRPr="004D457E">
        <w:rPr>
          <w:rStyle w:val="Emphasis"/>
        </w:rPr>
        <w:t>directors’ responsibility statement</w:t>
      </w:r>
      <w:r w:rsidRPr="00562C2E">
        <w:t xml:space="preserve"> must include:</w:t>
      </w:r>
    </w:p>
    <w:p w:rsidR="00562C2E" w:rsidRPr="00562C2E" w:rsidRDefault="00562C2E" w:rsidP="00134777">
      <w:pPr>
        <w:pStyle w:val="Bulletpoint"/>
      </w:pPr>
      <w:r w:rsidRPr="00562C2E">
        <w:t>a reference to the specified documents for which responsibility is accepted</w:t>
      </w:r>
    </w:p>
    <w:p w:rsidR="00562C2E" w:rsidRPr="00562C2E" w:rsidRDefault="00562C2E" w:rsidP="00134777">
      <w:pPr>
        <w:pStyle w:val="Bulletpoint"/>
      </w:pPr>
      <w:proofErr w:type="gramStart"/>
      <w:r w:rsidRPr="00562C2E">
        <w:t>assurances</w:t>
      </w:r>
      <w:proofErr w:type="gramEnd"/>
      <w:r w:rsidRPr="00562C2E">
        <w:t xml:space="preserve"> that the documents given to the </w:t>
      </w:r>
      <w:r w:rsidRPr="004D457E">
        <w:rPr>
          <w:rStyle w:val="Emphasis"/>
        </w:rPr>
        <w:t>AER</w:t>
      </w:r>
      <w:r w:rsidRPr="00562C2E">
        <w:t xml:space="preserve"> comply with </w:t>
      </w:r>
      <w:r w:rsidR="00EA0FBE">
        <w:t>this</w:t>
      </w:r>
      <w:r w:rsidRPr="00562C2E">
        <w:t xml:space="preserve"> </w:t>
      </w:r>
      <w:r w:rsidRPr="004D457E">
        <w:rPr>
          <w:rStyle w:val="Emphasis"/>
        </w:rPr>
        <w:t>guideline</w:t>
      </w:r>
      <w:r w:rsidRPr="00562C2E">
        <w:t>.</w:t>
      </w:r>
    </w:p>
    <w:p w:rsidR="00562C2E" w:rsidRPr="00562C2E" w:rsidRDefault="00562C2E" w:rsidP="00562C2E">
      <w:r w:rsidRPr="00562C2E">
        <w:t xml:space="preserve">Where applicable, the </w:t>
      </w:r>
      <w:r w:rsidRPr="004D457E">
        <w:rPr>
          <w:rStyle w:val="Emphasis"/>
        </w:rPr>
        <w:t>directors’ responsibility statement</w:t>
      </w:r>
      <w:r w:rsidRPr="00562C2E">
        <w:t xml:space="preserve"> </w:t>
      </w:r>
      <w:r>
        <w:t xml:space="preserve">must also include assurances </w:t>
      </w:r>
      <w:r w:rsidRPr="00562C2E">
        <w:t xml:space="preserve">relating to the full disclosure to the </w:t>
      </w:r>
      <w:r w:rsidRPr="004D457E">
        <w:rPr>
          <w:rStyle w:val="Emphasis"/>
        </w:rPr>
        <w:t>AER</w:t>
      </w:r>
      <w:r w:rsidRPr="00562C2E">
        <w:t xml:space="preserve"> of:</w:t>
      </w:r>
    </w:p>
    <w:p w:rsidR="00562C2E" w:rsidRPr="00C14905" w:rsidRDefault="00562C2E" w:rsidP="00134777">
      <w:pPr>
        <w:pStyle w:val="Bulletpoint"/>
        <w:rPr>
          <w:rStyle w:val="Emphasis"/>
        </w:rPr>
      </w:pPr>
      <w:r w:rsidRPr="00C14905">
        <w:rPr>
          <w:rStyle w:val="Emphasis"/>
        </w:rPr>
        <w:t>related party transactions</w:t>
      </w:r>
    </w:p>
    <w:p w:rsidR="00562C2E" w:rsidRPr="00C14905" w:rsidRDefault="00562C2E" w:rsidP="00134777">
      <w:pPr>
        <w:pStyle w:val="Bulletpoint"/>
        <w:rPr>
          <w:rStyle w:val="Emphasis"/>
        </w:rPr>
      </w:pPr>
      <w:r w:rsidRPr="00C14905">
        <w:rPr>
          <w:rStyle w:val="Emphasis"/>
        </w:rPr>
        <w:t>third party benefit transactions</w:t>
      </w:r>
    </w:p>
    <w:p w:rsidR="00562C2E" w:rsidRPr="00562C2E" w:rsidRDefault="00562C2E" w:rsidP="00134777">
      <w:pPr>
        <w:pStyle w:val="Bulletpoint"/>
      </w:pPr>
      <w:proofErr w:type="gramStart"/>
      <w:r w:rsidRPr="00C14905">
        <w:rPr>
          <w:rStyle w:val="Emphasis"/>
        </w:rPr>
        <w:t>financing</w:t>
      </w:r>
      <w:proofErr w:type="gramEnd"/>
      <w:r w:rsidRPr="00C14905">
        <w:rPr>
          <w:rStyle w:val="Emphasis"/>
        </w:rPr>
        <w:t xml:space="preserve"> transactions</w:t>
      </w:r>
      <w:r w:rsidRPr="00562C2E">
        <w:t>.</w:t>
      </w:r>
    </w:p>
    <w:p w:rsidR="00562C2E" w:rsidRPr="00437B15" w:rsidRDefault="00562C2E" w:rsidP="00562C2E">
      <w:r w:rsidRPr="00562C2E">
        <w:t xml:space="preserve">An example of a </w:t>
      </w:r>
      <w:r w:rsidRPr="004D457E">
        <w:rPr>
          <w:rStyle w:val="Emphasis"/>
        </w:rPr>
        <w:t>directors’ responsibility statement</w:t>
      </w:r>
      <w:r w:rsidRPr="00562C2E">
        <w:t xml:space="preserve"> for </w:t>
      </w:r>
      <w:r>
        <w:t xml:space="preserve">the certified annual statements </w:t>
      </w:r>
      <w:r w:rsidRPr="00562C2E">
        <w:t xml:space="preserve">is set out in </w:t>
      </w:r>
      <w:r w:rsidR="00303D4F">
        <w:t>A</w:t>
      </w:r>
      <w:r w:rsidRPr="00562C2E">
        <w:t>ppendix C</w:t>
      </w:r>
      <w:r w:rsidR="00303D4F">
        <w:t xml:space="preserve"> - Example of a directors' responsibility statement</w:t>
      </w:r>
      <w:r w:rsidRPr="00562C2E">
        <w:t>.</w:t>
      </w:r>
    </w:p>
    <w:p w:rsidR="00437B15" w:rsidRPr="00437B15" w:rsidRDefault="004D457E" w:rsidP="00437B15">
      <w:pPr>
        <w:pStyle w:val="Heading2"/>
      </w:pPr>
      <w:r>
        <w:t xml:space="preserve"> </w:t>
      </w:r>
      <w:bookmarkStart w:id="39" w:name="_Toc415582092"/>
      <w:r w:rsidR="00437B15" w:rsidRPr="00437B15">
        <w:t>Format of information</w:t>
      </w:r>
      <w:bookmarkEnd w:id="39"/>
    </w:p>
    <w:p w:rsidR="007D1357" w:rsidRPr="007D1357" w:rsidRDefault="007D1357" w:rsidP="007D1357">
      <w:r>
        <w:t xml:space="preserve">In accordance with this </w:t>
      </w:r>
      <w:r w:rsidRPr="007D1357">
        <w:rPr>
          <w:rStyle w:val="Emphasis"/>
        </w:rPr>
        <w:t>guideline</w:t>
      </w:r>
      <w:r>
        <w:t xml:space="preserve">, </w:t>
      </w:r>
      <w:r w:rsidRPr="007D1357">
        <w:rPr>
          <w:rStyle w:val="Emphasis"/>
        </w:rPr>
        <w:t>TNSPs</w:t>
      </w:r>
      <w:r>
        <w:t xml:space="preserve"> must p</w:t>
      </w:r>
      <w:r w:rsidRPr="009734CD">
        <w:t xml:space="preserve">repare </w:t>
      </w:r>
      <w:r>
        <w:t xml:space="preserve">and submit </w:t>
      </w:r>
      <w:r w:rsidRPr="009734CD">
        <w:t>all information in the manner and form</w:t>
      </w:r>
      <w:r>
        <w:t xml:space="preserve"> </w:t>
      </w:r>
      <w:r w:rsidRPr="009734CD">
        <w:t xml:space="preserve">set out </w:t>
      </w:r>
      <w:r>
        <w:t xml:space="preserve">in </w:t>
      </w:r>
      <w:r w:rsidR="00303D4F">
        <w:t xml:space="preserve">Appendix A - </w:t>
      </w:r>
      <w:r>
        <w:t xml:space="preserve">Annual Reporting Templates and </w:t>
      </w:r>
      <w:r w:rsidR="00303D4F">
        <w:t xml:space="preserve">Appendix B - </w:t>
      </w:r>
      <w:r>
        <w:t>Service Performance Templates</w:t>
      </w:r>
      <w:r w:rsidRPr="007D1357">
        <w:t>, and that:</w:t>
      </w:r>
    </w:p>
    <w:p w:rsidR="007D1357" w:rsidRPr="007D1357" w:rsidRDefault="007D1357" w:rsidP="007D1357">
      <w:pPr>
        <w:pStyle w:val="Listalphabet2"/>
      </w:pPr>
      <w:r>
        <w:t>retains without amendment</w:t>
      </w:r>
      <w:r w:rsidRPr="007D1357">
        <w:t xml:space="preserve"> all underlying calculations and formulae endogenous to the templates;</w:t>
      </w:r>
    </w:p>
    <w:p w:rsidR="007D1357" w:rsidRPr="007D1357" w:rsidRDefault="007D1357" w:rsidP="007D1357">
      <w:pPr>
        <w:pStyle w:val="Listalphabet2"/>
      </w:pPr>
      <w:r w:rsidRPr="009734CD">
        <w:t>is not password protected</w:t>
      </w:r>
      <w:r w:rsidRPr="007D1357">
        <w:t>;</w:t>
      </w:r>
    </w:p>
    <w:p w:rsidR="007D1357" w:rsidRPr="007D1357" w:rsidRDefault="007D1357" w:rsidP="007D1357">
      <w:pPr>
        <w:pStyle w:val="Listalphabet2"/>
      </w:pPr>
      <w:r w:rsidRPr="009734CD">
        <w:t>is capable of a ‘copy and past</w:t>
      </w:r>
      <w:r w:rsidRPr="007D1357">
        <w:t>e’ function being applied to it;</w:t>
      </w:r>
    </w:p>
    <w:p w:rsidR="00B31870" w:rsidRDefault="007D1357" w:rsidP="00CC23E8">
      <w:pPr>
        <w:pStyle w:val="Listalphabet2"/>
      </w:pPr>
      <w:r w:rsidRPr="009734CD">
        <w:t xml:space="preserve">is in electronic Microsoft Excel </w:t>
      </w:r>
      <w:r w:rsidRPr="007D1357">
        <w:t>format that allows for all formulas and links to be reviewed;</w:t>
      </w:r>
      <w:r>
        <w:t xml:space="preserve"> </w:t>
      </w:r>
    </w:p>
    <w:p w:rsidR="00B31870" w:rsidRDefault="00CC23E8" w:rsidP="00CC23E8">
      <w:pPr>
        <w:pStyle w:val="Listalphabet2"/>
      </w:pPr>
      <w:r w:rsidRPr="00CC23E8">
        <w:t xml:space="preserve">that is verifiable by the </w:t>
      </w:r>
      <w:r w:rsidRPr="00B31870">
        <w:rPr>
          <w:rStyle w:val="Emphasis"/>
        </w:rPr>
        <w:t>AER</w:t>
      </w:r>
      <w:r w:rsidRPr="00CC23E8">
        <w:t xml:space="preserve">, an </w:t>
      </w:r>
      <w:r w:rsidRPr="00C14905">
        <w:rPr>
          <w:rStyle w:val="Emphasis"/>
        </w:rPr>
        <w:t>auditor</w:t>
      </w:r>
      <w:r w:rsidRPr="00CC23E8">
        <w:t xml:space="preserve"> or an independent third party;</w:t>
      </w:r>
      <w:r w:rsidR="00B31870">
        <w:t xml:space="preserve"> and </w:t>
      </w:r>
    </w:p>
    <w:p w:rsidR="00CC23E8" w:rsidRPr="00CC23E8" w:rsidRDefault="00CC23E8" w:rsidP="00B31870">
      <w:pPr>
        <w:pStyle w:val="Listalphabet2"/>
      </w:pPr>
      <w:proofErr w:type="gramStart"/>
      <w:r w:rsidRPr="00CC23E8">
        <w:t>which</w:t>
      </w:r>
      <w:proofErr w:type="gramEnd"/>
      <w:r w:rsidRPr="00CC23E8">
        <w:t xml:space="preserve"> is readily available for inspection by or submission to the </w:t>
      </w:r>
      <w:r w:rsidRPr="00B31870">
        <w:rPr>
          <w:rStyle w:val="Emphasis"/>
        </w:rPr>
        <w:t>AER</w:t>
      </w:r>
      <w:r w:rsidRPr="00CC23E8">
        <w:t>.</w:t>
      </w:r>
    </w:p>
    <w:p w:rsidR="00437B15" w:rsidRPr="00437B15" w:rsidRDefault="00B31870" w:rsidP="00B31870">
      <w:pPr>
        <w:pStyle w:val="BodyText"/>
      </w:pPr>
      <w:r w:rsidRPr="00B31870">
        <w:t xml:space="preserve">A </w:t>
      </w:r>
      <w:r w:rsidRPr="00B31870">
        <w:rPr>
          <w:rStyle w:val="Emphasis"/>
        </w:rPr>
        <w:t>TNSP</w:t>
      </w:r>
      <w:r w:rsidRPr="00B31870">
        <w:t xml:space="preserve"> must submit all possible information to us electronically via email to </w:t>
      </w:r>
      <w:hyperlink r:id="rId12" w:history="1">
        <w:r w:rsidRPr="00B31870">
          <w:rPr>
            <w:rStyle w:val="Hyperlink"/>
          </w:rPr>
          <w:t>AERInquiry@aer.gov.au</w:t>
        </w:r>
      </w:hyperlink>
      <w:r w:rsidRPr="00B31870">
        <w:rPr>
          <w:rStyle w:val="Hyperlink"/>
          <w:color w:val="auto"/>
          <w:u w:val="none"/>
        </w:rPr>
        <w:t xml:space="preserve"> or through the </w:t>
      </w:r>
      <w:r w:rsidRPr="007A5631">
        <w:rPr>
          <w:rStyle w:val="Emphasis"/>
        </w:rPr>
        <w:t>AER</w:t>
      </w:r>
      <w:r w:rsidRPr="00B31870">
        <w:rPr>
          <w:rStyle w:val="Hyperlink"/>
          <w:color w:val="auto"/>
          <w:u w:val="none"/>
        </w:rPr>
        <w:t xml:space="preserve"> secure file transfer service</w:t>
      </w:r>
      <w:r w:rsidRPr="00B31870">
        <w:t xml:space="preserve">. </w:t>
      </w:r>
      <w:r w:rsidR="00437B15" w:rsidRPr="00437B15">
        <w:t xml:space="preserve">Information can be </w:t>
      </w:r>
      <w:r>
        <w:t xml:space="preserve">addressed </w:t>
      </w:r>
      <w:r w:rsidR="00437B15" w:rsidRPr="00437B15">
        <w:t>to:</w:t>
      </w:r>
    </w:p>
    <w:p w:rsidR="009279FF" w:rsidRDefault="009279FF" w:rsidP="009279FF">
      <w:pPr>
        <w:pStyle w:val="NoSpacing"/>
      </w:pPr>
    </w:p>
    <w:p w:rsidR="00CC23E8" w:rsidRDefault="00CC23E8" w:rsidP="00B31870">
      <w:pPr>
        <w:pStyle w:val="NoSpacing"/>
      </w:pPr>
      <w:r>
        <w:t>General Manager, Network Finance and Reporting</w:t>
      </w:r>
    </w:p>
    <w:p w:rsidR="00437B15" w:rsidRPr="00F80D25" w:rsidRDefault="00437B15" w:rsidP="00B31870">
      <w:pPr>
        <w:pStyle w:val="NoSpacing"/>
      </w:pPr>
      <w:r w:rsidRPr="00F80D25">
        <w:t xml:space="preserve">Australian Energy Regulator </w:t>
      </w:r>
    </w:p>
    <w:p w:rsidR="00437B15" w:rsidRPr="00F80D25" w:rsidRDefault="00437B15" w:rsidP="00B31870">
      <w:pPr>
        <w:pStyle w:val="NoSpacing"/>
      </w:pPr>
      <w:r w:rsidRPr="00F80D25">
        <w:t>GPO Box 520</w:t>
      </w:r>
    </w:p>
    <w:p w:rsidR="00437B15" w:rsidRPr="00F80D25" w:rsidRDefault="00710B63" w:rsidP="00B31870">
      <w:pPr>
        <w:pStyle w:val="NoSpacing"/>
      </w:pPr>
      <w:r w:rsidRPr="00F80D25">
        <w:t>Melbourne Vic 3001</w:t>
      </w:r>
    </w:p>
    <w:p w:rsidR="00F80D25" w:rsidRDefault="00F80D25" w:rsidP="00B31870">
      <w:pPr>
        <w:pStyle w:val="NoSpacing"/>
      </w:pPr>
    </w:p>
    <w:p w:rsidR="00437B15" w:rsidRPr="00F80D25" w:rsidRDefault="00437B15" w:rsidP="00B31870">
      <w:pPr>
        <w:pStyle w:val="NoSpacing"/>
      </w:pPr>
      <w:proofErr w:type="spellStart"/>
      <w:r w:rsidRPr="00F80D25">
        <w:t>Ph</w:t>
      </w:r>
      <w:proofErr w:type="spellEnd"/>
      <w:r w:rsidRPr="00F80D25">
        <w:t>: (03) 9290 1444</w:t>
      </w:r>
    </w:p>
    <w:p w:rsidR="00437B15" w:rsidRPr="00F80D25" w:rsidRDefault="00437B15" w:rsidP="00B31870">
      <w:pPr>
        <w:pStyle w:val="NoSpacing"/>
      </w:pPr>
      <w:r w:rsidRPr="00F80D25">
        <w:t>Fax: (03) 9290 1457</w:t>
      </w:r>
    </w:p>
    <w:p w:rsidR="00A0726D" w:rsidRPr="00F80D25" w:rsidRDefault="00437B15" w:rsidP="00B31870">
      <w:pPr>
        <w:pStyle w:val="NoSpacing"/>
      </w:pPr>
      <w:r w:rsidRPr="00F80D25">
        <w:t xml:space="preserve">Email: </w:t>
      </w:r>
      <w:hyperlink r:id="rId13" w:history="1">
        <w:r w:rsidR="009279FF" w:rsidRPr="00F80D25">
          <w:rPr>
            <w:rStyle w:val="Hyperlink"/>
          </w:rPr>
          <w:t>AERInquiry@AER.gov.au</w:t>
        </w:r>
      </w:hyperlink>
      <w:r w:rsidR="009279FF" w:rsidRPr="00F80D25">
        <w:t xml:space="preserve"> </w:t>
      </w:r>
      <w:r w:rsidRPr="00F80D25">
        <w:t xml:space="preserve"> </w:t>
      </w:r>
    </w:p>
    <w:p w:rsidR="009279FF" w:rsidRDefault="009279FF" w:rsidP="009279FF">
      <w:pPr>
        <w:pStyle w:val="BodyTextFirstIndent"/>
      </w:pPr>
    </w:p>
    <w:p w:rsidR="009279FF" w:rsidRDefault="009279FF" w:rsidP="009279FF">
      <w:pPr>
        <w:pStyle w:val="BodyTextFirstIndent"/>
      </w:pPr>
    </w:p>
    <w:p w:rsidR="00E450DB" w:rsidRPr="00E450DB" w:rsidRDefault="00E450DB" w:rsidP="00E450DB">
      <w:pPr>
        <w:pStyle w:val="Heading1"/>
      </w:pPr>
      <w:bookmarkStart w:id="40" w:name="_Toc415582093"/>
      <w:r w:rsidRPr="00E450DB">
        <w:t>Annual reporting</w:t>
      </w:r>
      <w:bookmarkEnd w:id="40"/>
    </w:p>
    <w:p w:rsidR="00E450DB" w:rsidRPr="00E450DB" w:rsidRDefault="00E450DB" w:rsidP="00E450DB">
      <w:pPr>
        <w:pStyle w:val="Heading2"/>
      </w:pPr>
      <w:bookmarkStart w:id="41" w:name="_Toc415582094"/>
      <w:r w:rsidRPr="00E450DB">
        <w:t>Introduction</w:t>
      </w:r>
      <w:bookmarkEnd w:id="41"/>
      <w:r w:rsidRPr="00E450DB">
        <w:t xml:space="preserve"> </w:t>
      </w:r>
    </w:p>
    <w:p w:rsidR="00E450DB" w:rsidRPr="00E450DB" w:rsidRDefault="00E450DB" w:rsidP="00E450DB">
      <w:pPr>
        <w:pStyle w:val="BodyTextFirstIndent"/>
        <w:ind w:firstLine="0"/>
      </w:pPr>
      <w:r w:rsidRPr="00E450DB">
        <w:t xml:space="preserve">Under clause </w:t>
      </w:r>
      <w:proofErr w:type="gramStart"/>
      <w:r w:rsidRPr="00E450DB">
        <w:t>6A.17.1(</w:t>
      </w:r>
      <w:proofErr w:type="gramEnd"/>
      <w:r w:rsidRPr="00E450DB">
        <w:t xml:space="preserve">d) of the </w:t>
      </w:r>
      <w:r w:rsidRPr="00E450DB">
        <w:rPr>
          <w:rStyle w:val="Emphasis"/>
        </w:rPr>
        <w:t>NER</w:t>
      </w:r>
      <w:r w:rsidRPr="00E450DB">
        <w:t xml:space="preserve">, the </w:t>
      </w:r>
      <w:r w:rsidRPr="00E450DB">
        <w:rPr>
          <w:rStyle w:val="Emphasis"/>
        </w:rPr>
        <w:t>AER</w:t>
      </w:r>
      <w:r w:rsidRPr="00E450DB">
        <w:t xml:space="preserve"> may use certified annual statements and other information reasonably required of a </w:t>
      </w:r>
      <w:r w:rsidRPr="00E450DB">
        <w:rPr>
          <w:rStyle w:val="Emphasis"/>
        </w:rPr>
        <w:t>TNSP</w:t>
      </w:r>
      <w:r w:rsidRPr="00E450DB">
        <w:t>:</w:t>
      </w:r>
    </w:p>
    <w:p w:rsidR="00E450DB" w:rsidRPr="00E450DB" w:rsidRDefault="00E450DB" w:rsidP="00E450DB">
      <w:pPr>
        <w:pStyle w:val="ListBullet"/>
      </w:pPr>
      <w:r w:rsidRPr="00E450DB">
        <w:t xml:space="preserve">monitor, report on and enforce a </w:t>
      </w:r>
      <w:r w:rsidRPr="00E450DB">
        <w:rPr>
          <w:rStyle w:val="Emphasis"/>
        </w:rPr>
        <w:t>TNSP’s</w:t>
      </w:r>
      <w:r w:rsidRPr="00E450DB">
        <w:t xml:space="preserve"> compliance with its total revenue cap for the </w:t>
      </w:r>
      <w:r w:rsidRPr="00E450DB">
        <w:rPr>
          <w:rStyle w:val="Emphasis"/>
        </w:rPr>
        <w:t>regulatory control period</w:t>
      </w:r>
      <w:r w:rsidRPr="00E450DB">
        <w:t xml:space="preserve">, the </w:t>
      </w:r>
      <w:r w:rsidRPr="00E450DB">
        <w:rPr>
          <w:rStyle w:val="Emphasis"/>
        </w:rPr>
        <w:t>maximum allowed revenue</w:t>
      </w:r>
      <w:r w:rsidRPr="00E450DB">
        <w:t xml:space="preserve"> for the </w:t>
      </w:r>
      <w:r w:rsidRPr="00E450DB">
        <w:rPr>
          <w:rStyle w:val="Emphasis"/>
        </w:rPr>
        <w:t>TNSP</w:t>
      </w:r>
      <w:r w:rsidRPr="00E450DB">
        <w:t xml:space="preserve"> for each </w:t>
      </w:r>
      <w:r w:rsidRPr="00E450DB">
        <w:rPr>
          <w:rStyle w:val="Emphasis"/>
        </w:rPr>
        <w:t>regulatory year</w:t>
      </w:r>
      <w:r w:rsidRPr="00E450DB">
        <w:t xml:space="preserve"> and any requirements imposed on the </w:t>
      </w:r>
      <w:r w:rsidRPr="00E450DB">
        <w:rPr>
          <w:rStyle w:val="Emphasis"/>
        </w:rPr>
        <w:t>TNSP</w:t>
      </w:r>
      <w:r w:rsidRPr="00E450DB">
        <w:t xml:space="preserve"> under a </w:t>
      </w:r>
      <w:r w:rsidRPr="00E450DB">
        <w:rPr>
          <w:rStyle w:val="Emphasis"/>
        </w:rPr>
        <w:t>transmission determination</w:t>
      </w:r>
    </w:p>
    <w:p w:rsidR="00E450DB" w:rsidRPr="00E450DB" w:rsidRDefault="00E450DB" w:rsidP="00E450DB">
      <w:pPr>
        <w:pStyle w:val="ListBullet"/>
      </w:pPr>
      <w:r w:rsidRPr="00E450DB">
        <w:t xml:space="preserve">to monitor, report and enforce compliance with the </w:t>
      </w:r>
      <w:r w:rsidRPr="00E450DB">
        <w:rPr>
          <w:rStyle w:val="Emphasis"/>
        </w:rPr>
        <w:t>TNSP’s</w:t>
      </w:r>
      <w:r w:rsidRPr="00E450DB">
        <w:t xml:space="preserve"> cost allocation methodology</w:t>
      </w:r>
    </w:p>
    <w:p w:rsidR="00E450DB" w:rsidRPr="00E450DB" w:rsidRDefault="00E450DB" w:rsidP="00E450DB">
      <w:pPr>
        <w:pStyle w:val="ListBullet"/>
      </w:pPr>
      <w:r w:rsidRPr="00E450DB">
        <w:t xml:space="preserve">as an input regarding the financial, economic and operational performance of the </w:t>
      </w:r>
      <w:r w:rsidRPr="00E450DB">
        <w:rPr>
          <w:rStyle w:val="Emphasis"/>
        </w:rPr>
        <w:t>TNSP</w:t>
      </w:r>
      <w:r w:rsidRPr="00E450DB">
        <w:t xml:space="preserve">, to inform the </w:t>
      </w:r>
      <w:r w:rsidRPr="00E450DB">
        <w:rPr>
          <w:rStyle w:val="Emphasis"/>
        </w:rPr>
        <w:t>AER’s</w:t>
      </w:r>
      <w:r w:rsidRPr="00E450DB">
        <w:t xml:space="preserve"> decision making for the making of </w:t>
      </w:r>
      <w:r w:rsidRPr="00E450DB">
        <w:rPr>
          <w:rStyle w:val="Emphasis"/>
        </w:rPr>
        <w:t>revenue determinations</w:t>
      </w:r>
      <w:r w:rsidRPr="00E450DB">
        <w:t xml:space="preserve"> or other regulatory controls to apply in future </w:t>
      </w:r>
      <w:r w:rsidRPr="00E450DB">
        <w:rPr>
          <w:rStyle w:val="Emphasis"/>
        </w:rPr>
        <w:t>regulatory control periods</w:t>
      </w:r>
    </w:p>
    <w:p w:rsidR="00E450DB" w:rsidRPr="00E450DB" w:rsidRDefault="00E450DB" w:rsidP="00E450DB">
      <w:pPr>
        <w:pStyle w:val="ListBullet"/>
      </w:pPr>
      <w:r w:rsidRPr="00E450DB">
        <w:t xml:space="preserve">to monitor and report on the performance of the </w:t>
      </w:r>
      <w:r w:rsidRPr="00E450DB">
        <w:rPr>
          <w:rStyle w:val="Emphasis"/>
        </w:rPr>
        <w:t>TNSP</w:t>
      </w:r>
      <w:r w:rsidRPr="00E450DB">
        <w:t xml:space="preserve"> under any </w:t>
      </w:r>
      <w:r w:rsidRPr="00E450DB">
        <w:rPr>
          <w:rStyle w:val="Emphasis"/>
        </w:rPr>
        <w:t>efficiency benefit sharing scheme</w:t>
      </w:r>
      <w:r w:rsidRPr="00E450DB">
        <w:t xml:space="preserve">, </w:t>
      </w:r>
      <w:r w:rsidRPr="00E450DB">
        <w:rPr>
          <w:rStyle w:val="Emphasis"/>
        </w:rPr>
        <w:t>capital expenditure sharing scheme</w:t>
      </w:r>
      <w:r w:rsidRPr="00E450DB">
        <w:t xml:space="preserve">, </w:t>
      </w:r>
      <w:r w:rsidRPr="00E450DB">
        <w:rPr>
          <w:rStyle w:val="Emphasis"/>
        </w:rPr>
        <w:t>service target performance incentive scheme</w:t>
      </w:r>
      <w:r w:rsidRPr="00E450DB">
        <w:t xml:space="preserve">, or </w:t>
      </w:r>
      <w:r w:rsidRPr="00E450DB">
        <w:rPr>
          <w:rStyle w:val="Emphasis"/>
        </w:rPr>
        <w:t>small scale incentive scheme</w:t>
      </w:r>
      <w:r w:rsidRPr="00E450DB">
        <w:t xml:space="preserve"> that applies to it.</w:t>
      </w:r>
    </w:p>
    <w:p w:rsidR="00E450DB" w:rsidRPr="00E450DB" w:rsidRDefault="00E450DB" w:rsidP="00E450DB">
      <w:pPr>
        <w:pStyle w:val="BodyTextFirstIndent"/>
        <w:ind w:firstLine="0"/>
      </w:pPr>
      <w:r w:rsidRPr="00E450DB">
        <w:t>This section outlines the scope of information required by us and provides guidance on reporting this information to us.</w:t>
      </w:r>
    </w:p>
    <w:p w:rsidR="00E450DB" w:rsidRPr="00E450DB" w:rsidRDefault="00E450DB" w:rsidP="00E450DB">
      <w:pPr>
        <w:pStyle w:val="BodyTextFirstIndent"/>
        <w:ind w:firstLine="0"/>
      </w:pPr>
      <w:r w:rsidRPr="00E450DB">
        <w:t xml:space="preserve">Section 2 sets out the general principles for a </w:t>
      </w:r>
      <w:r w:rsidRPr="00E450DB">
        <w:rPr>
          <w:rStyle w:val="Emphasis"/>
        </w:rPr>
        <w:t>TNSP</w:t>
      </w:r>
      <w:r w:rsidRPr="00E450DB">
        <w:t xml:space="preserve"> to follow in providing information to us. These principles take precedence over the pro forma statements in </w:t>
      </w:r>
      <w:r w:rsidR="00303D4F">
        <w:t>A</w:t>
      </w:r>
      <w:r w:rsidRPr="00E450DB">
        <w:t>ppendix A</w:t>
      </w:r>
      <w:r w:rsidR="0060331E">
        <w:t xml:space="preserve">, </w:t>
      </w:r>
      <w:r w:rsidR="009A33F2">
        <w:t xml:space="preserve">the service reporting template in </w:t>
      </w:r>
      <w:r w:rsidR="0060331E">
        <w:t>Appendix B</w:t>
      </w:r>
      <w:r w:rsidRPr="00E450DB">
        <w:t xml:space="preserve"> and </w:t>
      </w:r>
      <w:r w:rsidR="0060331E">
        <w:t xml:space="preserve">the </w:t>
      </w:r>
      <w:r w:rsidRPr="00E450DB">
        <w:t>guidance set out in this section.</w:t>
      </w:r>
    </w:p>
    <w:p w:rsidR="00E450DB" w:rsidRPr="00E450DB" w:rsidRDefault="00E450DB" w:rsidP="00E450DB">
      <w:pPr>
        <w:pStyle w:val="BodyTextFirstIndent"/>
        <w:ind w:firstLine="0"/>
      </w:pPr>
      <w:proofErr w:type="gramStart"/>
      <w:r w:rsidRPr="00E450DB">
        <w:t xml:space="preserve">Appendix A sets out the pro forma statements that should be used to submit information to the </w:t>
      </w:r>
      <w:r w:rsidRPr="00E450DB">
        <w:rPr>
          <w:rStyle w:val="Emphasis"/>
        </w:rPr>
        <w:t>AER</w:t>
      </w:r>
      <w:r w:rsidRPr="00E450DB">
        <w:t>.</w:t>
      </w:r>
      <w:proofErr w:type="gramEnd"/>
    </w:p>
    <w:p w:rsidR="00EA0FBE" w:rsidRDefault="00EA0FBE" w:rsidP="00EA0FBE">
      <w:pPr>
        <w:pStyle w:val="Heading2"/>
      </w:pPr>
      <w:bookmarkStart w:id="42" w:name="_Toc415582095"/>
      <w:r>
        <w:t>Date of submission</w:t>
      </w:r>
      <w:bookmarkEnd w:id="42"/>
    </w:p>
    <w:p w:rsidR="00E450DB" w:rsidRPr="00E450DB" w:rsidRDefault="00E450DB" w:rsidP="00E450DB">
      <w:pPr>
        <w:pStyle w:val="BodyTextFirstIndent"/>
        <w:ind w:firstLine="0"/>
      </w:pPr>
      <w:r w:rsidRPr="00E450DB">
        <w:t xml:space="preserve">A </w:t>
      </w:r>
      <w:r w:rsidRPr="00E450DB">
        <w:rPr>
          <w:rStyle w:val="Emphasis"/>
        </w:rPr>
        <w:t>TNSP</w:t>
      </w:r>
      <w:r w:rsidRPr="00E450DB">
        <w:t xml:space="preserve"> shall deliver this information to us no later than four months after a </w:t>
      </w:r>
      <w:r w:rsidRPr="00E450DB">
        <w:rPr>
          <w:rStyle w:val="Emphasis"/>
        </w:rPr>
        <w:t>regulatory accounting date</w:t>
      </w:r>
      <w:r w:rsidRPr="00E450DB">
        <w:t>.</w:t>
      </w:r>
    </w:p>
    <w:p w:rsidR="00E450DB" w:rsidRPr="00E450DB" w:rsidRDefault="00E450DB" w:rsidP="00E450DB">
      <w:pPr>
        <w:pStyle w:val="Heading2"/>
      </w:pPr>
      <w:bookmarkStart w:id="43" w:name="_Toc415582096"/>
      <w:r w:rsidRPr="00E450DB">
        <w:t>Historic financial information</w:t>
      </w:r>
      <w:bookmarkEnd w:id="43"/>
    </w:p>
    <w:p w:rsidR="00E450DB" w:rsidRPr="00E450DB" w:rsidRDefault="00E450DB" w:rsidP="00E450DB">
      <w:pPr>
        <w:pStyle w:val="BodyTextFirstIndent"/>
        <w:ind w:firstLine="0"/>
      </w:pPr>
      <w:r w:rsidRPr="00E450DB">
        <w:t xml:space="preserve">To ensure information provided is consistent with this </w:t>
      </w:r>
      <w:r w:rsidRPr="00E450DB">
        <w:rPr>
          <w:rStyle w:val="Emphasis"/>
        </w:rPr>
        <w:t>guideline</w:t>
      </w:r>
      <w:r w:rsidRPr="00E450DB">
        <w:t xml:space="preserve">, the </w:t>
      </w:r>
      <w:r w:rsidRPr="00E450DB">
        <w:rPr>
          <w:rStyle w:val="Emphasis"/>
        </w:rPr>
        <w:t>regulatory financial statements</w:t>
      </w:r>
      <w:r w:rsidRPr="00E450DB">
        <w:t xml:space="preserve"> and the pro </w:t>
      </w:r>
      <w:proofErr w:type="spellStart"/>
      <w:r w:rsidRPr="00E450DB">
        <w:t>formas</w:t>
      </w:r>
      <w:proofErr w:type="spellEnd"/>
      <w:r w:rsidRPr="00E450DB">
        <w:t xml:space="preserve"> must follow the pro forma statement</w:t>
      </w:r>
      <w:r w:rsidR="00303D4F">
        <w:t>s set out in A</w:t>
      </w:r>
      <w:r w:rsidRPr="00E450DB">
        <w:t xml:space="preserve">ppendix A. They do not prevent a </w:t>
      </w:r>
      <w:r w:rsidRPr="00E450DB">
        <w:rPr>
          <w:rStyle w:val="Emphasis"/>
        </w:rPr>
        <w:t>TNSP</w:t>
      </w:r>
      <w:r w:rsidRPr="00E450DB">
        <w:t xml:space="preserve"> from providing further information should the </w:t>
      </w:r>
      <w:r w:rsidRPr="00E450DB">
        <w:rPr>
          <w:rStyle w:val="Emphasis"/>
        </w:rPr>
        <w:t>TNSP</w:t>
      </w:r>
      <w:r w:rsidRPr="00E450DB">
        <w:t xml:space="preserve"> believe that this would add to our understanding of the </w:t>
      </w:r>
      <w:r w:rsidRPr="00E450DB">
        <w:rPr>
          <w:rStyle w:val="Emphasis"/>
        </w:rPr>
        <w:t>TNSP’s</w:t>
      </w:r>
      <w:r w:rsidRPr="00E450DB">
        <w:t xml:space="preserve"> business.</w:t>
      </w:r>
    </w:p>
    <w:p w:rsidR="00E450DB" w:rsidRDefault="00E450DB" w:rsidP="00E450DB">
      <w:pPr>
        <w:pStyle w:val="BodyTextFirstIndent"/>
        <w:ind w:firstLine="0"/>
      </w:pPr>
      <w:r w:rsidRPr="00E450DB">
        <w:t xml:space="preserve">A </w:t>
      </w:r>
      <w:r w:rsidRPr="00E450DB">
        <w:rPr>
          <w:rStyle w:val="Emphasis"/>
        </w:rPr>
        <w:t>TNSP</w:t>
      </w:r>
      <w:r w:rsidRPr="00E450DB">
        <w:t xml:space="preserve"> is not required to complete the </w:t>
      </w:r>
      <w:r w:rsidR="00303D4F">
        <w:t>pro forma statements listed in A</w:t>
      </w:r>
      <w:r w:rsidRPr="00E450DB">
        <w:t xml:space="preserve">ppendix A if a </w:t>
      </w:r>
      <w:r w:rsidRPr="00E450DB">
        <w:rPr>
          <w:rStyle w:val="Emphasis"/>
        </w:rPr>
        <w:t>TNSP</w:t>
      </w:r>
      <w:r w:rsidRPr="00E450DB">
        <w:t xml:space="preserve"> meets the requirements of clause 4.17 of this </w:t>
      </w:r>
      <w:r w:rsidRPr="00E450DB">
        <w:rPr>
          <w:rStyle w:val="Emphasis"/>
        </w:rPr>
        <w:t>guideline</w:t>
      </w:r>
      <w:r w:rsidRPr="00E450DB">
        <w:t xml:space="preserve">. </w:t>
      </w:r>
      <w:r w:rsidR="00A45B57">
        <w:t>T</w:t>
      </w:r>
      <w:r w:rsidRPr="00E450DB">
        <w:t xml:space="preserve">able </w:t>
      </w:r>
      <w:r w:rsidR="00EA0FBE">
        <w:t xml:space="preserve">3.1 </w:t>
      </w:r>
      <w:r w:rsidRPr="00E450DB">
        <w:t>lis</w:t>
      </w:r>
      <w:r w:rsidR="00303D4F">
        <w:t>ts the pro forma statements in A</w:t>
      </w:r>
      <w:r w:rsidRPr="00E450DB">
        <w:t>ppendix A.</w:t>
      </w:r>
    </w:p>
    <w:p w:rsidR="007A5631" w:rsidRDefault="007A5631" w:rsidP="00E450DB">
      <w:pPr>
        <w:pStyle w:val="BodyTextFirstIndent"/>
        <w:ind w:firstLine="0"/>
      </w:pPr>
    </w:p>
    <w:p w:rsidR="007A5631" w:rsidRPr="00E450DB" w:rsidRDefault="007A5631" w:rsidP="00E450DB">
      <w:pPr>
        <w:pStyle w:val="BodyTextFirstIndent"/>
        <w:ind w:firstLine="0"/>
      </w:pPr>
    </w:p>
    <w:p w:rsidR="00E450DB" w:rsidRPr="00E450DB" w:rsidRDefault="00EA0FBE" w:rsidP="007A5631">
      <w:pPr>
        <w:pStyle w:val="Tabletitle"/>
      </w:pPr>
      <w:r>
        <w:t>Table 3.1: Pro</w:t>
      </w:r>
      <w:r w:rsidR="00710B63">
        <w:t xml:space="preserve"> </w:t>
      </w:r>
      <w:r>
        <w:t>forma statements</w:t>
      </w:r>
    </w:p>
    <w:tbl>
      <w:tblPr>
        <w:tblStyle w:val="LightShading-Accent2"/>
        <w:tblW w:w="8528" w:type="dxa"/>
        <w:tblLook w:val="01E0" w:firstRow="1" w:lastRow="1" w:firstColumn="1" w:lastColumn="1" w:noHBand="0" w:noVBand="0"/>
      </w:tblPr>
      <w:tblGrid>
        <w:gridCol w:w="2660"/>
        <w:gridCol w:w="3436"/>
        <w:gridCol w:w="2432"/>
      </w:tblGrid>
      <w:tr w:rsidR="00576B38" w:rsidRPr="00CA14FD" w:rsidTr="00CA14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576B38" w:rsidRPr="00CA14FD" w:rsidRDefault="00576B38" w:rsidP="00CA14FD">
            <w:pPr>
              <w:pStyle w:val="Tabletitle"/>
              <w:rPr>
                <w14:textFill>
                  <w14:solidFill>
                    <w14:schemeClr w14:val="tx1">
                      <w14:lumMod w14:val="75000"/>
                      <w14:lumMod w14:val="75000"/>
                      <w14:lumOff w14:val="0"/>
                    </w14:schemeClr>
                  </w14:solidFill>
                </w14:textFill>
              </w:rPr>
            </w:pPr>
            <w:r w:rsidRPr="00CA14FD">
              <w:rPr>
                <w14:textFill>
                  <w14:solidFill>
                    <w14:schemeClr w14:val="tx1">
                      <w14:lumMod w14:val="75000"/>
                      <w14:lumMod w14:val="75000"/>
                      <w14:lumOff w14:val="0"/>
                    </w14:schemeClr>
                  </w14:solidFill>
                </w14:textFill>
              </w:rPr>
              <w:t>Type</w:t>
            </w:r>
          </w:p>
        </w:tc>
        <w:tc>
          <w:tcPr>
            <w:tcW w:w="3436" w:type="dxa"/>
          </w:tcPr>
          <w:p w:rsidR="00576B38" w:rsidRPr="00CA14FD" w:rsidRDefault="00576B38" w:rsidP="00CA14FD">
            <w:pPr>
              <w:pStyle w:val="Tabletitle"/>
              <w:cnfStyle w:val="100000000000" w:firstRow="1" w:lastRow="0" w:firstColumn="0" w:lastColumn="0" w:oddVBand="0" w:evenVBand="0" w:oddHBand="0" w:evenHBand="0" w:firstRowFirstColumn="0" w:firstRowLastColumn="0" w:lastRowFirstColumn="0" w:lastRowLastColumn="0"/>
              <w:rPr>
                <w14:textFill>
                  <w14:solidFill>
                    <w14:schemeClr w14:val="tx1">
                      <w14:lumMod w14:val="75000"/>
                      <w14:lumMod w14:val="75000"/>
                      <w14:lumOff w14:val="0"/>
                    </w14:schemeClr>
                  </w14:solidFill>
                </w14:textFill>
              </w:rPr>
            </w:pPr>
            <w:r w:rsidRPr="00CA14FD">
              <w:rPr>
                <w14:textFill>
                  <w14:solidFill>
                    <w14:schemeClr w14:val="tx1">
                      <w14:lumMod w14:val="75000"/>
                      <w14:lumMod w14:val="75000"/>
                      <w14:lumOff w14:val="0"/>
                    </w14:schemeClr>
                  </w14:solidFill>
                </w14:textFill>
              </w:rPr>
              <w:t>Pro forma statement</w:t>
            </w:r>
          </w:p>
        </w:tc>
        <w:tc>
          <w:tcPr>
            <w:cnfStyle w:val="000100000000" w:firstRow="0" w:lastRow="0" w:firstColumn="0" w:lastColumn="1" w:oddVBand="0" w:evenVBand="0" w:oddHBand="0" w:evenHBand="0" w:firstRowFirstColumn="0" w:firstRowLastColumn="0" w:lastRowFirstColumn="0" w:lastRowLastColumn="0"/>
            <w:tcW w:w="2432" w:type="dxa"/>
          </w:tcPr>
          <w:p w:rsidR="00576B38" w:rsidRPr="00CA14FD" w:rsidRDefault="00576B38" w:rsidP="00CA14FD">
            <w:pPr>
              <w:pStyle w:val="Tabletitle"/>
              <w:rPr>
                <w14:textFill>
                  <w14:solidFill>
                    <w14:schemeClr w14:val="tx1">
                      <w14:lumMod w14:val="75000"/>
                      <w14:lumMod w14:val="75000"/>
                      <w14:lumOff w14:val="0"/>
                    </w14:schemeClr>
                  </w14:solidFill>
                </w14:textFill>
              </w:rPr>
            </w:pPr>
            <w:r w:rsidRPr="00CA14FD">
              <w:rPr>
                <w14:textFill>
                  <w14:solidFill>
                    <w14:schemeClr w14:val="tx1">
                      <w14:lumMod w14:val="75000"/>
                      <w14:lumMod w14:val="75000"/>
                      <w14:lumOff w14:val="0"/>
                    </w14:schemeClr>
                  </w14:solidFill>
                </w14:textFill>
              </w:rPr>
              <w:t>Statement number</w:t>
            </w:r>
          </w:p>
        </w:tc>
      </w:tr>
      <w:tr w:rsidR="00EA0FBE" w:rsidRPr="00576B38" w:rsidTr="00CA14FD">
        <w:trPr>
          <w:trHeight w:val="105"/>
        </w:trPr>
        <w:tc>
          <w:tcPr>
            <w:cnfStyle w:val="001000000000" w:firstRow="0" w:lastRow="0" w:firstColumn="1" w:lastColumn="0" w:oddVBand="0" w:evenVBand="0" w:oddHBand="0" w:evenHBand="0" w:firstRowFirstColumn="0" w:firstRowLastColumn="0" w:lastRowFirstColumn="0" w:lastRowLastColumn="0"/>
            <w:tcW w:w="2660" w:type="dxa"/>
          </w:tcPr>
          <w:p w:rsidR="00EA0FBE" w:rsidRPr="00576B38" w:rsidRDefault="00EA0FBE" w:rsidP="00EA0FBE">
            <w:pPr>
              <w:pStyle w:val="Tabletext"/>
            </w:pPr>
            <w:r w:rsidRPr="00576B38">
              <w:t>Regulatory financial statements</w:t>
            </w:r>
          </w:p>
        </w:tc>
        <w:tc>
          <w:tcPr>
            <w:tcW w:w="3436" w:type="dxa"/>
          </w:tcPr>
          <w:p w:rsidR="00EA0FBE" w:rsidRPr="00576B38" w:rsidRDefault="00EA0FBE" w:rsidP="00EA0FBE">
            <w:pPr>
              <w:pStyle w:val="Tabletext"/>
              <w:cnfStyle w:val="000000000000" w:firstRow="0" w:lastRow="0" w:firstColumn="0" w:lastColumn="0" w:oddVBand="0" w:evenVBand="0" w:oddHBand="0" w:evenHBand="0" w:firstRowFirstColumn="0" w:firstRowLastColumn="0" w:lastRowFirstColumn="0" w:lastRowLastColumn="0"/>
            </w:pPr>
            <w:r w:rsidRPr="00576B38">
              <w:t>Income statement</w:t>
            </w:r>
          </w:p>
        </w:tc>
        <w:tc>
          <w:tcPr>
            <w:cnfStyle w:val="000100000000" w:firstRow="0" w:lastRow="0" w:firstColumn="0" w:lastColumn="1" w:oddVBand="0" w:evenVBand="0" w:oddHBand="0" w:evenHBand="0" w:firstRowFirstColumn="0" w:firstRowLastColumn="0" w:lastRowFirstColumn="0" w:lastRowLastColumn="0"/>
            <w:tcW w:w="2432" w:type="dxa"/>
          </w:tcPr>
          <w:p w:rsidR="00EA0FBE" w:rsidRPr="00576B38" w:rsidRDefault="00EA0FBE" w:rsidP="00EA0FBE">
            <w:pPr>
              <w:pStyle w:val="Tabletext"/>
            </w:pPr>
            <w:r w:rsidRPr="00576B38">
              <w:t xml:space="preserve">RFS </w:t>
            </w:r>
            <w:proofErr w:type="spellStart"/>
            <w:r w:rsidRPr="00576B38">
              <w:t>Inc</w:t>
            </w:r>
            <w:proofErr w:type="spellEnd"/>
          </w:p>
        </w:tc>
      </w:tr>
      <w:tr w:rsidR="00576B38" w:rsidRPr="00576B38" w:rsidTr="00CA14FD">
        <w:trPr>
          <w:trHeight w:val="105"/>
        </w:trPr>
        <w:tc>
          <w:tcPr>
            <w:cnfStyle w:val="001000000000" w:firstRow="0" w:lastRow="0" w:firstColumn="1" w:lastColumn="0" w:oddVBand="0" w:evenVBand="0" w:oddHBand="0" w:evenHBand="0" w:firstRowFirstColumn="0" w:firstRowLastColumn="0" w:lastRowFirstColumn="0" w:lastRowLastColumn="0"/>
            <w:tcW w:w="2660" w:type="dxa"/>
          </w:tcPr>
          <w:p w:rsidR="00576B38" w:rsidRPr="00576B38" w:rsidRDefault="00576B38" w:rsidP="00EA0FBE">
            <w:pPr>
              <w:pStyle w:val="Tabletext"/>
            </w:pPr>
            <w:r w:rsidRPr="00576B38">
              <w:t>Disaggregation statement</w:t>
            </w:r>
          </w:p>
        </w:tc>
        <w:tc>
          <w:tcPr>
            <w:tcW w:w="3436" w:type="dxa"/>
          </w:tcPr>
          <w:p w:rsidR="00576B38" w:rsidRPr="00576B38" w:rsidRDefault="00576B38" w:rsidP="00EA0FBE">
            <w:pPr>
              <w:pStyle w:val="Tabletext"/>
              <w:cnfStyle w:val="000000000000" w:firstRow="0" w:lastRow="0" w:firstColumn="0" w:lastColumn="0" w:oddVBand="0" w:evenVBand="0" w:oddHBand="0" w:evenHBand="0" w:firstRowFirstColumn="0" w:firstRowLastColumn="0" w:lastRowFirstColumn="0" w:lastRowLastColumn="0"/>
            </w:pPr>
            <w:r w:rsidRPr="00576B38">
              <w:t>Income statement</w:t>
            </w:r>
          </w:p>
        </w:tc>
        <w:tc>
          <w:tcPr>
            <w:cnfStyle w:val="000100000000" w:firstRow="0" w:lastRow="0" w:firstColumn="0" w:lastColumn="1" w:oddVBand="0" w:evenVBand="0" w:oddHBand="0" w:evenHBand="0" w:firstRowFirstColumn="0" w:firstRowLastColumn="0" w:lastRowFirstColumn="0" w:lastRowLastColumn="0"/>
            <w:tcW w:w="2432" w:type="dxa"/>
          </w:tcPr>
          <w:p w:rsidR="00576B38" w:rsidRPr="00576B38" w:rsidRDefault="00576B38" w:rsidP="00EA0FBE">
            <w:pPr>
              <w:pStyle w:val="Tabletext"/>
            </w:pPr>
            <w:r w:rsidRPr="00576B38">
              <w:t xml:space="preserve">DISAGG </w:t>
            </w:r>
            <w:proofErr w:type="spellStart"/>
            <w:r w:rsidRPr="00576B38">
              <w:t>Inc</w:t>
            </w:r>
            <w:proofErr w:type="spellEnd"/>
          </w:p>
        </w:tc>
      </w:tr>
      <w:tr w:rsidR="00576B38" w:rsidRPr="00576B38" w:rsidTr="00CA14FD">
        <w:trPr>
          <w:trHeight w:val="197"/>
        </w:trPr>
        <w:tc>
          <w:tcPr>
            <w:cnfStyle w:val="001000000000" w:firstRow="0" w:lastRow="0" w:firstColumn="1" w:lastColumn="0" w:oddVBand="0" w:evenVBand="0" w:oddHBand="0" w:evenHBand="0" w:firstRowFirstColumn="0" w:firstRowLastColumn="0" w:lastRowFirstColumn="0" w:lastRowLastColumn="0"/>
            <w:tcW w:w="2660" w:type="dxa"/>
            <w:vMerge w:val="restart"/>
          </w:tcPr>
          <w:p w:rsidR="00576B38" w:rsidRPr="00576B38" w:rsidRDefault="00576B38" w:rsidP="00EA0FBE">
            <w:pPr>
              <w:pStyle w:val="Tabletext"/>
            </w:pPr>
            <w:proofErr w:type="spellStart"/>
            <w:r w:rsidRPr="00576B38">
              <w:t>Workpapers</w:t>
            </w:r>
            <w:proofErr w:type="spellEnd"/>
            <w:r w:rsidRPr="00576B38">
              <w:t xml:space="preserve"> supporting the disaggregation statements</w:t>
            </w:r>
          </w:p>
        </w:tc>
        <w:tc>
          <w:tcPr>
            <w:tcW w:w="3436" w:type="dxa"/>
          </w:tcPr>
          <w:p w:rsidR="00576B38" w:rsidRPr="00576B38" w:rsidRDefault="00576B38" w:rsidP="00EA0FBE">
            <w:pPr>
              <w:pStyle w:val="Tabletext"/>
              <w:cnfStyle w:val="000000000000" w:firstRow="0" w:lastRow="0" w:firstColumn="0" w:lastColumn="0" w:oddVBand="0" w:evenVBand="0" w:oddHBand="0" w:evenHBand="0" w:firstRowFirstColumn="0" w:firstRowLastColumn="0" w:lastRowFirstColumn="0" w:lastRowLastColumn="0"/>
            </w:pPr>
            <w:r w:rsidRPr="00576B38">
              <w:t>Operations and maintenance expenditure</w:t>
            </w:r>
          </w:p>
        </w:tc>
        <w:tc>
          <w:tcPr>
            <w:cnfStyle w:val="000100000000" w:firstRow="0" w:lastRow="0" w:firstColumn="0" w:lastColumn="1" w:oddVBand="0" w:evenVBand="0" w:oddHBand="0" w:evenHBand="0" w:firstRowFirstColumn="0" w:firstRowLastColumn="0" w:lastRowFirstColumn="0" w:lastRowLastColumn="0"/>
            <w:tcW w:w="2432" w:type="dxa"/>
          </w:tcPr>
          <w:p w:rsidR="00576B38" w:rsidRPr="00576B38" w:rsidRDefault="00576B38" w:rsidP="00EA0FBE">
            <w:pPr>
              <w:pStyle w:val="Tabletext"/>
            </w:pPr>
            <w:r w:rsidRPr="00576B38">
              <w:t xml:space="preserve">DISAGG </w:t>
            </w:r>
            <w:proofErr w:type="spellStart"/>
            <w:r w:rsidRPr="00576B38">
              <w:t>opex</w:t>
            </w:r>
            <w:proofErr w:type="spellEnd"/>
          </w:p>
        </w:tc>
      </w:tr>
      <w:tr w:rsidR="00576B38" w:rsidRPr="00576B38" w:rsidTr="00CA14FD">
        <w:trPr>
          <w:trHeight w:val="196"/>
        </w:trPr>
        <w:tc>
          <w:tcPr>
            <w:cnfStyle w:val="001000000000" w:firstRow="0" w:lastRow="0" w:firstColumn="1" w:lastColumn="0" w:oddVBand="0" w:evenVBand="0" w:oddHBand="0" w:evenHBand="0" w:firstRowFirstColumn="0" w:firstRowLastColumn="0" w:lastRowFirstColumn="0" w:lastRowLastColumn="0"/>
            <w:tcW w:w="2660" w:type="dxa"/>
            <w:vMerge/>
          </w:tcPr>
          <w:p w:rsidR="00576B38" w:rsidRPr="00576B38" w:rsidRDefault="00576B38" w:rsidP="00EA0FBE">
            <w:pPr>
              <w:pStyle w:val="Tabletext"/>
            </w:pPr>
          </w:p>
        </w:tc>
        <w:tc>
          <w:tcPr>
            <w:tcW w:w="3436" w:type="dxa"/>
          </w:tcPr>
          <w:p w:rsidR="00576B38" w:rsidRPr="00576B38" w:rsidRDefault="00576B38" w:rsidP="00EA0FBE">
            <w:pPr>
              <w:pStyle w:val="Tabletext"/>
              <w:cnfStyle w:val="000000000000" w:firstRow="0" w:lastRow="0" w:firstColumn="0" w:lastColumn="0" w:oddVBand="0" w:evenVBand="0" w:oddHBand="0" w:evenHBand="0" w:firstRowFirstColumn="0" w:firstRowLastColumn="0" w:lastRowFirstColumn="0" w:lastRowLastColumn="0"/>
            </w:pPr>
            <w:r w:rsidRPr="00576B38">
              <w:t>Causal allocations</w:t>
            </w:r>
          </w:p>
        </w:tc>
        <w:tc>
          <w:tcPr>
            <w:cnfStyle w:val="000100000000" w:firstRow="0" w:lastRow="0" w:firstColumn="0" w:lastColumn="1" w:oddVBand="0" w:evenVBand="0" w:oddHBand="0" w:evenHBand="0" w:firstRowFirstColumn="0" w:firstRowLastColumn="0" w:lastRowFirstColumn="0" w:lastRowLastColumn="0"/>
            <w:tcW w:w="2432" w:type="dxa"/>
          </w:tcPr>
          <w:p w:rsidR="00576B38" w:rsidRPr="00576B38" w:rsidRDefault="00576B38" w:rsidP="00EA0FBE">
            <w:pPr>
              <w:pStyle w:val="Tabletext"/>
            </w:pPr>
            <w:r w:rsidRPr="00576B38">
              <w:t xml:space="preserve">DISAGG </w:t>
            </w:r>
            <w:proofErr w:type="spellStart"/>
            <w:r w:rsidRPr="00576B38">
              <w:t>Aloc</w:t>
            </w:r>
            <w:proofErr w:type="spellEnd"/>
            <w:r w:rsidRPr="00576B38">
              <w:t xml:space="preserve"> 1</w:t>
            </w:r>
          </w:p>
        </w:tc>
      </w:tr>
      <w:tr w:rsidR="00576B38" w:rsidRPr="00576B38" w:rsidTr="00CA14FD">
        <w:trPr>
          <w:trHeight w:val="196"/>
        </w:trPr>
        <w:tc>
          <w:tcPr>
            <w:cnfStyle w:val="001000000000" w:firstRow="0" w:lastRow="0" w:firstColumn="1" w:lastColumn="0" w:oddVBand="0" w:evenVBand="0" w:oddHBand="0" w:evenHBand="0" w:firstRowFirstColumn="0" w:firstRowLastColumn="0" w:lastRowFirstColumn="0" w:lastRowLastColumn="0"/>
            <w:tcW w:w="2660" w:type="dxa"/>
            <w:vMerge/>
          </w:tcPr>
          <w:p w:rsidR="00576B38" w:rsidRPr="00576B38" w:rsidRDefault="00576B38" w:rsidP="00EA0FBE">
            <w:pPr>
              <w:pStyle w:val="Tabletext"/>
            </w:pPr>
          </w:p>
        </w:tc>
        <w:tc>
          <w:tcPr>
            <w:tcW w:w="3436" w:type="dxa"/>
          </w:tcPr>
          <w:p w:rsidR="00576B38" w:rsidRPr="00576B38" w:rsidRDefault="00576B38" w:rsidP="00EA0FBE">
            <w:pPr>
              <w:pStyle w:val="Tabletext"/>
              <w:cnfStyle w:val="000000000000" w:firstRow="0" w:lastRow="0" w:firstColumn="0" w:lastColumn="0" w:oddVBand="0" w:evenVBand="0" w:oddHBand="0" w:evenHBand="0" w:firstRowFirstColumn="0" w:firstRowLastColumn="0" w:lastRowFirstColumn="0" w:lastRowLastColumn="0"/>
            </w:pPr>
            <w:r w:rsidRPr="00576B38">
              <w:t>Non-causal allocations</w:t>
            </w:r>
          </w:p>
        </w:tc>
        <w:tc>
          <w:tcPr>
            <w:cnfStyle w:val="000100000000" w:firstRow="0" w:lastRow="0" w:firstColumn="0" w:lastColumn="1" w:oddVBand="0" w:evenVBand="0" w:oddHBand="0" w:evenHBand="0" w:firstRowFirstColumn="0" w:firstRowLastColumn="0" w:lastRowFirstColumn="0" w:lastRowLastColumn="0"/>
            <w:tcW w:w="2432" w:type="dxa"/>
          </w:tcPr>
          <w:p w:rsidR="00576B38" w:rsidRPr="00576B38" w:rsidRDefault="00576B38" w:rsidP="00EA0FBE">
            <w:pPr>
              <w:pStyle w:val="Tabletext"/>
            </w:pPr>
            <w:r w:rsidRPr="00576B38">
              <w:t xml:space="preserve">DISAGG </w:t>
            </w:r>
            <w:proofErr w:type="spellStart"/>
            <w:r w:rsidRPr="00576B38">
              <w:t>Aloc</w:t>
            </w:r>
            <w:proofErr w:type="spellEnd"/>
            <w:r w:rsidRPr="00576B38">
              <w:t xml:space="preserve"> 2</w:t>
            </w:r>
          </w:p>
        </w:tc>
      </w:tr>
      <w:tr w:rsidR="00A45B57" w:rsidRPr="00576B38" w:rsidTr="00CA14FD">
        <w:trPr>
          <w:trHeight w:val="53"/>
        </w:trPr>
        <w:tc>
          <w:tcPr>
            <w:cnfStyle w:val="001000000000" w:firstRow="0" w:lastRow="0" w:firstColumn="1" w:lastColumn="0" w:oddVBand="0" w:evenVBand="0" w:oddHBand="0" w:evenHBand="0" w:firstRowFirstColumn="0" w:firstRowLastColumn="0" w:lastRowFirstColumn="0" w:lastRowLastColumn="0"/>
            <w:tcW w:w="2660" w:type="dxa"/>
            <w:vMerge w:val="restart"/>
          </w:tcPr>
          <w:p w:rsidR="00A45B57" w:rsidRPr="00576B38" w:rsidRDefault="00A45B57" w:rsidP="00EA0FBE">
            <w:pPr>
              <w:pStyle w:val="Tabletext"/>
              <w:rPr>
                <w:bCs w:val="0"/>
              </w:rPr>
            </w:pPr>
            <w:r w:rsidRPr="00576B38">
              <w:t>Prescribed transmission services</w:t>
            </w:r>
          </w:p>
          <w:p w:rsidR="00A45B57" w:rsidRPr="00576B38" w:rsidRDefault="00A45B57" w:rsidP="00EA0FBE">
            <w:pPr>
              <w:pStyle w:val="Tabletext"/>
            </w:pPr>
          </w:p>
        </w:tc>
        <w:tc>
          <w:tcPr>
            <w:tcW w:w="3436" w:type="dxa"/>
          </w:tcPr>
          <w:p w:rsidR="00A45B57" w:rsidRPr="00576B38" w:rsidRDefault="00A45B57" w:rsidP="00EA0FBE">
            <w:pPr>
              <w:pStyle w:val="Tabletext"/>
              <w:cnfStyle w:val="000000000000" w:firstRow="0" w:lastRow="0" w:firstColumn="0" w:lastColumn="0" w:oddVBand="0" w:evenVBand="0" w:oddHBand="0" w:evenHBand="0" w:firstRowFirstColumn="0" w:firstRowLastColumn="0" w:lastRowFirstColumn="0" w:lastRowLastColumn="0"/>
            </w:pPr>
            <w:r w:rsidRPr="00576B38">
              <w:t>Regulatory adjustment journals</w:t>
            </w:r>
          </w:p>
        </w:tc>
        <w:tc>
          <w:tcPr>
            <w:cnfStyle w:val="000100000000" w:firstRow="0" w:lastRow="0" w:firstColumn="0" w:lastColumn="1" w:oddVBand="0" w:evenVBand="0" w:oddHBand="0" w:evenHBand="0" w:firstRowFirstColumn="0" w:firstRowLastColumn="0" w:lastRowFirstColumn="0" w:lastRowLastColumn="0"/>
            <w:tcW w:w="2432" w:type="dxa"/>
          </w:tcPr>
          <w:p w:rsidR="00A45B57" w:rsidRPr="00576B38" w:rsidRDefault="00A45B57" w:rsidP="00EA0FBE">
            <w:pPr>
              <w:pStyle w:val="Tabletext"/>
            </w:pPr>
            <w:r w:rsidRPr="00576B38">
              <w:t>PTS ADJ</w:t>
            </w:r>
          </w:p>
        </w:tc>
      </w:tr>
      <w:tr w:rsidR="00A45B57" w:rsidRPr="00576B38" w:rsidTr="00CA14FD">
        <w:trPr>
          <w:trHeight w:val="52"/>
        </w:trPr>
        <w:tc>
          <w:tcPr>
            <w:cnfStyle w:val="001000000000" w:firstRow="0" w:lastRow="0" w:firstColumn="1" w:lastColumn="0" w:oddVBand="0" w:evenVBand="0" w:oddHBand="0" w:evenHBand="0" w:firstRowFirstColumn="0" w:firstRowLastColumn="0" w:lastRowFirstColumn="0" w:lastRowLastColumn="0"/>
            <w:tcW w:w="2660" w:type="dxa"/>
            <w:vMerge/>
          </w:tcPr>
          <w:p w:rsidR="00A45B57" w:rsidRPr="00576B38" w:rsidRDefault="00A45B57" w:rsidP="00EA0FBE">
            <w:pPr>
              <w:pStyle w:val="Tabletext"/>
            </w:pPr>
          </w:p>
        </w:tc>
        <w:tc>
          <w:tcPr>
            <w:tcW w:w="3436" w:type="dxa"/>
          </w:tcPr>
          <w:p w:rsidR="00A45B57" w:rsidRPr="00576B38" w:rsidRDefault="00A45B57" w:rsidP="00EA0FBE">
            <w:pPr>
              <w:pStyle w:val="Tabletext"/>
              <w:cnfStyle w:val="000000000000" w:firstRow="0" w:lastRow="0" w:firstColumn="0" w:lastColumn="0" w:oddVBand="0" w:evenVBand="0" w:oddHBand="0" w:evenHBand="0" w:firstRowFirstColumn="0" w:firstRowLastColumn="0" w:lastRowFirstColumn="0" w:lastRowLastColumn="0"/>
            </w:pPr>
            <w:r w:rsidRPr="00576B38">
              <w:t>Price reduction/recovery</w:t>
            </w:r>
          </w:p>
        </w:tc>
        <w:tc>
          <w:tcPr>
            <w:cnfStyle w:val="000100000000" w:firstRow="0" w:lastRow="0" w:firstColumn="0" w:lastColumn="1" w:oddVBand="0" w:evenVBand="0" w:oddHBand="0" w:evenHBand="0" w:firstRowFirstColumn="0" w:firstRowLastColumn="0" w:lastRowFirstColumn="0" w:lastRowLastColumn="0"/>
            <w:tcW w:w="2432" w:type="dxa"/>
          </w:tcPr>
          <w:p w:rsidR="00A45B57" w:rsidRPr="00576B38" w:rsidRDefault="00A45B57" w:rsidP="00EA0FBE">
            <w:pPr>
              <w:pStyle w:val="Tabletext"/>
            </w:pPr>
            <w:r w:rsidRPr="00576B38">
              <w:t xml:space="preserve">PTS </w:t>
            </w:r>
            <w:proofErr w:type="spellStart"/>
            <w:r w:rsidRPr="00576B38">
              <w:t>PriceRedn</w:t>
            </w:r>
            <w:proofErr w:type="spellEnd"/>
          </w:p>
        </w:tc>
      </w:tr>
      <w:tr w:rsidR="00A45B57" w:rsidRPr="00576B38" w:rsidTr="00CA14FD">
        <w:trPr>
          <w:trHeight w:val="52"/>
        </w:trPr>
        <w:tc>
          <w:tcPr>
            <w:cnfStyle w:val="001000000000" w:firstRow="0" w:lastRow="0" w:firstColumn="1" w:lastColumn="0" w:oddVBand="0" w:evenVBand="0" w:oddHBand="0" w:evenHBand="0" w:firstRowFirstColumn="0" w:firstRowLastColumn="0" w:lastRowFirstColumn="0" w:lastRowLastColumn="0"/>
            <w:tcW w:w="2660" w:type="dxa"/>
            <w:vMerge/>
          </w:tcPr>
          <w:p w:rsidR="00A45B57" w:rsidRPr="00576B38" w:rsidRDefault="00A45B57" w:rsidP="00EA0FBE">
            <w:pPr>
              <w:pStyle w:val="Tabletext"/>
            </w:pPr>
          </w:p>
        </w:tc>
        <w:tc>
          <w:tcPr>
            <w:tcW w:w="3436" w:type="dxa"/>
          </w:tcPr>
          <w:p w:rsidR="00A45B57" w:rsidRPr="00576B38" w:rsidRDefault="00A45B57" w:rsidP="00EA0FBE">
            <w:pPr>
              <w:pStyle w:val="Tabletext"/>
              <w:cnfStyle w:val="000000000000" w:firstRow="0" w:lastRow="0" w:firstColumn="0" w:lastColumn="0" w:oddVBand="0" w:evenVBand="0" w:oddHBand="0" w:evenHBand="0" w:firstRowFirstColumn="0" w:firstRowLastColumn="0" w:lastRowFirstColumn="0" w:lastRowLastColumn="0"/>
            </w:pPr>
            <w:r w:rsidRPr="00576B38">
              <w:t>Discount</w:t>
            </w:r>
          </w:p>
        </w:tc>
        <w:tc>
          <w:tcPr>
            <w:cnfStyle w:val="000100000000" w:firstRow="0" w:lastRow="0" w:firstColumn="0" w:lastColumn="1" w:oddVBand="0" w:evenVBand="0" w:oddHBand="0" w:evenHBand="0" w:firstRowFirstColumn="0" w:firstRowLastColumn="0" w:lastRowFirstColumn="0" w:lastRowLastColumn="0"/>
            <w:tcW w:w="2432" w:type="dxa"/>
          </w:tcPr>
          <w:p w:rsidR="00A45B57" w:rsidRPr="00576B38" w:rsidRDefault="00A45B57" w:rsidP="00EA0FBE">
            <w:pPr>
              <w:pStyle w:val="Tabletext"/>
            </w:pPr>
            <w:r w:rsidRPr="00576B38">
              <w:t>PTS Disc</w:t>
            </w:r>
          </w:p>
        </w:tc>
      </w:tr>
      <w:tr w:rsidR="00A45B57" w:rsidRPr="00576B38" w:rsidTr="00CA14FD">
        <w:trPr>
          <w:trHeight w:val="52"/>
        </w:trPr>
        <w:tc>
          <w:tcPr>
            <w:cnfStyle w:val="001000000000" w:firstRow="0" w:lastRow="0" w:firstColumn="1" w:lastColumn="0" w:oddVBand="0" w:evenVBand="0" w:oddHBand="0" w:evenHBand="0" w:firstRowFirstColumn="0" w:firstRowLastColumn="0" w:lastRowFirstColumn="0" w:lastRowLastColumn="0"/>
            <w:tcW w:w="2660" w:type="dxa"/>
            <w:vMerge/>
          </w:tcPr>
          <w:p w:rsidR="00A45B57" w:rsidRPr="00576B38" w:rsidRDefault="00A45B57" w:rsidP="00EA0FBE">
            <w:pPr>
              <w:pStyle w:val="Tabletext"/>
            </w:pPr>
          </w:p>
        </w:tc>
        <w:tc>
          <w:tcPr>
            <w:tcW w:w="3436" w:type="dxa"/>
          </w:tcPr>
          <w:p w:rsidR="00A45B57" w:rsidRPr="00576B38" w:rsidRDefault="00A45B57" w:rsidP="00EA0FBE">
            <w:pPr>
              <w:pStyle w:val="Tabletext"/>
              <w:cnfStyle w:val="000000000000" w:firstRow="0" w:lastRow="0" w:firstColumn="0" w:lastColumn="0" w:oddVBand="0" w:evenVBand="0" w:oddHBand="0" w:evenHBand="0" w:firstRowFirstColumn="0" w:firstRowLastColumn="0" w:lastRowFirstColumn="0" w:lastRowLastColumn="0"/>
            </w:pPr>
            <w:r w:rsidRPr="00576B38">
              <w:t>Revenue analysis</w:t>
            </w:r>
          </w:p>
        </w:tc>
        <w:tc>
          <w:tcPr>
            <w:cnfStyle w:val="000100000000" w:firstRow="0" w:lastRow="0" w:firstColumn="0" w:lastColumn="1" w:oddVBand="0" w:evenVBand="0" w:oddHBand="0" w:evenHBand="0" w:firstRowFirstColumn="0" w:firstRowLastColumn="0" w:lastRowFirstColumn="0" w:lastRowLastColumn="0"/>
            <w:tcW w:w="2432" w:type="dxa"/>
          </w:tcPr>
          <w:p w:rsidR="00A45B57" w:rsidRPr="00576B38" w:rsidRDefault="00A45B57" w:rsidP="00EA0FBE">
            <w:pPr>
              <w:pStyle w:val="Tabletext"/>
            </w:pPr>
            <w:r w:rsidRPr="00576B38">
              <w:t>PTS Rev</w:t>
            </w:r>
          </w:p>
        </w:tc>
      </w:tr>
      <w:tr w:rsidR="00A45B57" w:rsidRPr="00576B38" w:rsidTr="00CA14FD">
        <w:trPr>
          <w:trHeight w:val="269"/>
        </w:trPr>
        <w:tc>
          <w:tcPr>
            <w:cnfStyle w:val="001000000000" w:firstRow="0" w:lastRow="0" w:firstColumn="1" w:lastColumn="0" w:oddVBand="0" w:evenVBand="0" w:oddHBand="0" w:evenHBand="0" w:firstRowFirstColumn="0" w:firstRowLastColumn="0" w:lastRowFirstColumn="0" w:lastRowLastColumn="0"/>
            <w:tcW w:w="2660" w:type="dxa"/>
            <w:vMerge/>
          </w:tcPr>
          <w:p w:rsidR="00A45B57" w:rsidRPr="00576B38" w:rsidRDefault="00A45B57" w:rsidP="00EA0FBE">
            <w:pPr>
              <w:pStyle w:val="Tabletext"/>
            </w:pPr>
          </w:p>
        </w:tc>
        <w:tc>
          <w:tcPr>
            <w:tcW w:w="3436" w:type="dxa"/>
          </w:tcPr>
          <w:p w:rsidR="00A45B57" w:rsidRPr="00576B38" w:rsidRDefault="00A45B57" w:rsidP="00A45B57">
            <w:pPr>
              <w:pStyle w:val="Tabletext"/>
              <w:cnfStyle w:val="000000000000" w:firstRow="0" w:lastRow="0" w:firstColumn="0" w:lastColumn="0" w:oddVBand="0" w:evenVBand="0" w:oddHBand="0" w:evenHBand="0" w:firstRowFirstColumn="0" w:firstRowLastColumn="0" w:lastRowFirstColumn="0" w:lastRowLastColumn="0"/>
            </w:pPr>
            <w:r w:rsidRPr="00576B38">
              <w:t>Asset aging schedule</w:t>
            </w:r>
          </w:p>
        </w:tc>
        <w:tc>
          <w:tcPr>
            <w:cnfStyle w:val="000100000000" w:firstRow="0" w:lastRow="0" w:firstColumn="0" w:lastColumn="1" w:oddVBand="0" w:evenVBand="0" w:oddHBand="0" w:evenHBand="0" w:firstRowFirstColumn="0" w:firstRowLastColumn="0" w:lastRowFirstColumn="0" w:lastRowLastColumn="0"/>
            <w:tcW w:w="2432" w:type="dxa"/>
          </w:tcPr>
          <w:p w:rsidR="00A45B57" w:rsidRPr="00576B38" w:rsidRDefault="00A45B57" w:rsidP="00A45B57">
            <w:pPr>
              <w:pStyle w:val="Tabletext"/>
            </w:pPr>
            <w:r w:rsidRPr="00576B38">
              <w:t>PTS Asset Aging</w:t>
            </w:r>
          </w:p>
        </w:tc>
      </w:tr>
      <w:tr w:rsidR="00EA0FBE" w:rsidRPr="00576B38" w:rsidTr="00CA14FD">
        <w:trPr>
          <w:trHeight w:val="104"/>
        </w:trPr>
        <w:tc>
          <w:tcPr>
            <w:cnfStyle w:val="001000000000" w:firstRow="0" w:lastRow="0" w:firstColumn="1" w:lastColumn="0" w:oddVBand="0" w:evenVBand="0" w:oddHBand="0" w:evenHBand="0" w:firstRowFirstColumn="0" w:firstRowLastColumn="0" w:lastRowFirstColumn="0" w:lastRowLastColumn="0"/>
            <w:tcW w:w="2660" w:type="dxa"/>
          </w:tcPr>
          <w:p w:rsidR="00CA14FD" w:rsidRDefault="00CA14FD" w:rsidP="00EA0FBE">
            <w:pPr>
              <w:pStyle w:val="Tabletext"/>
            </w:pPr>
            <w:r w:rsidRPr="00576B38">
              <w:t>Provisions schedules:</w:t>
            </w:r>
          </w:p>
          <w:p w:rsidR="00EA0FBE" w:rsidRPr="00576B38" w:rsidRDefault="00EA0FBE" w:rsidP="00EA0FBE">
            <w:pPr>
              <w:pStyle w:val="Tabletext"/>
            </w:pPr>
            <w:r w:rsidRPr="00576B38">
              <w:t>Disaggregation statements</w:t>
            </w:r>
          </w:p>
        </w:tc>
        <w:tc>
          <w:tcPr>
            <w:tcW w:w="3436" w:type="dxa"/>
          </w:tcPr>
          <w:p w:rsidR="00EA0FBE" w:rsidRDefault="00EA0FBE" w:rsidP="00EA0FBE">
            <w:pPr>
              <w:pStyle w:val="Tabletext"/>
              <w:cnfStyle w:val="000000000000" w:firstRow="0" w:lastRow="0" w:firstColumn="0" w:lastColumn="0" w:oddVBand="0" w:evenVBand="0" w:oddHBand="0" w:evenHBand="0" w:firstRowFirstColumn="0" w:firstRowLastColumn="0" w:lastRowFirstColumn="0" w:lastRowLastColumn="0"/>
            </w:pPr>
            <w:r w:rsidRPr="00576B38">
              <w:t>Provisions summary</w:t>
            </w:r>
          </w:p>
          <w:p w:rsidR="00A45B57" w:rsidRPr="00576B38" w:rsidRDefault="00A45B57" w:rsidP="00EA0FBE">
            <w:pPr>
              <w:pStyle w:val="Tabletext"/>
              <w:cnfStyle w:val="000000000000" w:firstRow="0" w:lastRow="0" w:firstColumn="0" w:lastColumn="0" w:oddVBand="0" w:evenVBand="0" w:oddHBand="0" w:evenHBand="0" w:firstRowFirstColumn="0" w:firstRowLastColumn="0" w:lastRowFirstColumn="0" w:lastRowLastColumn="0"/>
            </w:pPr>
            <w:r>
              <w:t>Provisions Reconciliation</w:t>
            </w:r>
          </w:p>
        </w:tc>
        <w:tc>
          <w:tcPr>
            <w:cnfStyle w:val="000100000000" w:firstRow="0" w:lastRow="0" w:firstColumn="0" w:lastColumn="1" w:oddVBand="0" w:evenVBand="0" w:oddHBand="0" w:evenHBand="0" w:firstRowFirstColumn="0" w:firstRowLastColumn="0" w:lastRowFirstColumn="0" w:lastRowLastColumn="0"/>
            <w:tcW w:w="2432" w:type="dxa"/>
          </w:tcPr>
          <w:p w:rsidR="00EA0FBE" w:rsidRDefault="00EA0FBE" w:rsidP="00EA0FBE">
            <w:pPr>
              <w:pStyle w:val="Tabletext"/>
            </w:pPr>
            <w:proofErr w:type="spellStart"/>
            <w:r w:rsidRPr="00576B38">
              <w:t>DISAGGProvSum</w:t>
            </w:r>
            <w:proofErr w:type="spellEnd"/>
          </w:p>
          <w:p w:rsidR="00A45B57" w:rsidRPr="00576B38" w:rsidRDefault="00A45B57" w:rsidP="00EA0FBE">
            <w:pPr>
              <w:pStyle w:val="Tabletext"/>
            </w:pPr>
            <w:r>
              <w:t xml:space="preserve">PTS </w:t>
            </w:r>
            <w:proofErr w:type="spellStart"/>
            <w:r>
              <w:t>ProvRec</w:t>
            </w:r>
            <w:proofErr w:type="spellEnd"/>
          </w:p>
        </w:tc>
      </w:tr>
      <w:tr w:rsidR="00EA0FBE" w:rsidRPr="00576B38" w:rsidTr="00CA14FD">
        <w:trPr>
          <w:trHeight w:val="169"/>
        </w:trPr>
        <w:tc>
          <w:tcPr>
            <w:cnfStyle w:val="001000000000" w:firstRow="0" w:lastRow="0" w:firstColumn="1" w:lastColumn="0" w:oddVBand="0" w:evenVBand="0" w:oddHBand="0" w:evenHBand="0" w:firstRowFirstColumn="0" w:firstRowLastColumn="0" w:lastRowFirstColumn="0" w:lastRowLastColumn="0"/>
            <w:tcW w:w="2660" w:type="dxa"/>
            <w:vMerge w:val="restart"/>
          </w:tcPr>
          <w:p w:rsidR="00EA0FBE" w:rsidRPr="00576B38" w:rsidRDefault="00CA14FD" w:rsidP="00EA0FBE">
            <w:pPr>
              <w:pStyle w:val="Tabletext"/>
            </w:pPr>
            <w:r>
              <w:t xml:space="preserve">Other </w:t>
            </w:r>
            <w:r w:rsidR="00EA0FBE" w:rsidRPr="00576B38">
              <w:t>Information</w:t>
            </w:r>
          </w:p>
        </w:tc>
        <w:tc>
          <w:tcPr>
            <w:tcW w:w="3436" w:type="dxa"/>
          </w:tcPr>
          <w:p w:rsidR="00EA0FBE" w:rsidRPr="00576B38" w:rsidRDefault="00EA0FBE" w:rsidP="00EA0FBE">
            <w:pPr>
              <w:pStyle w:val="Tabletext"/>
              <w:cnfStyle w:val="000000000000" w:firstRow="0" w:lastRow="0" w:firstColumn="0" w:lastColumn="0" w:oddVBand="0" w:evenVBand="0" w:oddHBand="0" w:evenHBand="0" w:firstRowFirstColumn="0" w:firstRowLastColumn="0" w:lastRowFirstColumn="0" w:lastRowLastColumn="0"/>
            </w:pPr>
            <w:r w:rsidRPr="00576B38">
              <w:t>Related party transactions</w:t>
            </w:r>
          </w:p>
        </w:tc>
        <w:tc>
          <w:tcPr>
            <w:cnfStyle w:val="000100000000" w:firstRow="0" w:lastRow="0" w:firstColumn="0" w:lastColumn="1" w:oddVBand="0" w:evenVBand="0" w:oddHBand="0" w:evenHBand="0" w:firstRowFirstColumn="0" w:firstRowLastColumn="0" w:lastRowFirstColumn="0" w:lastRowLastColumn="0"/>
            <w:tcW w:w="2432" w:type="dxa"/>
          </w:tcPr>
          <w:p w:rsidR="00EA0FBE" w:rsidRPr="00576B38" w:rsidRDefault="00EA0FBE" w:rsidP="00EA0FBE">
            <w:pPr>
              <w:pStyle w:val="Tabletext"/>
            </w:pPr>
            <w:proofErr w:type="spellStart"/>
            <w:r w:rsidRPr="00576B38">
              <w:t>Inf</w:t>
            </w:r>
            <w:proofErr w:type="spellEnd"/>
            <w:r w:rsidRPr="00576B38">
              <w:t xml:space="preserve"> </w:t>
            </w:r>
            <w:proofErr w:type="spellStart"/>
            <w:r w:rsidRPr="00576B38">
              <w:t>Rel</w:t>
            </w:r>
            <w:proofErr w:type="spellEnd"/>
            <w:r w:rsidRPr="00576B38">
              <w:t xml:space="preserve"> Part Trans</w:t>
            </w:r>
          </w:p>
        </w:tc>
      </w:tr>
      <w:tr w:rsidR="00EA0FBE" w:rsidRPr="00576B38" w:rsidTr="00CA14FD">
        <w:trPr>
          <w:trHeight w:val="169"/>
        </w:trPr>
        <w:tc>
          <w:tcPr>
            <w:cnfStyle w:val="001000000000" w:firstRow="0" w:lastRow="0" w:firstColumn="1" w:lastColumn="0" w:oddVBand="0" w:evenVBand="0" w:oddHBand="0" w:evenHBand="0" w:firstRowFirstColumn="0" w:firstRowLastColumn="0" w:lastRowFirstColumn="0" w:lastRowLastColumn="0"/>
            <w:tcW w:w="2660" w:type="dxa"/>
            <w:vMerge/>
          </w:tcPr>
          <w:p w:rsidR="00EA0FBE" w:rsidRPr="00576B38" w:rsidRDefault="00EA0FBE" w:rsidP="00EA0FBE">
            <w:pPr>
              <w:pStyle w:val="Tabletext"/>
            </w:pPr>
          </w:p>
        </w:tc>
        <w:tc>
          <w:tcPr>
            <w:tcW w:w="3436" w:type="dxa"/>
          </w:tcPr>
          <w:p w:rsidR="00EA0FBE" w:rsidRPr="00576B38" w:rsidRDefault="00EA0FBE" w:rsidP="00EA0FBE">
            <w:pPr>
              <w:pStyle w:val="Tabletext"/>
              <w:cnfStyle w:val="000000000000" w:firstRow="0" w:lastRow="0" w:firstColumn="0" w:lastColumn="0" w:oddVBand="0" w:evenVBand="0" w:oddHBand="0" w:evenHBand="0" w:firstRowFirstColumn="0" w:firstRowLastColumn="0" w:lastRowFirstColumn="0" w:lastRowLastColumn="0"/>
            </w:pPr>
            <w:r w:rsidRPr="00576B38">
              <w:t>Revenue reconciliation</w:t>
            </w:r>
          </w:p>
        </w:tc>
        <w:tc>
          <w:tcPr>
            <w:cnfStyle w:val="000100000000" w:firstRow="0" w:lastRow="0" w:firstColumn="0" w:lastColumn="1" w:oddVBand="0" w:evenVBand="0" w:oddHBand="0" w:evenHBand="0" w:firstRowFirstColumn="0" w:firstRowLastColumn="0" w:lastRowFirstColumn="0" w:lastRowLastColumn="0"/>
            <w:tcW w:w="2432" w:type="dxa"/>
          </w:tcPr>
          <w:p w:rsidR="00EA0FBE" w:rsidRPr="00576B38" w:rsidRDefault="00EA0FBE" w:rsidP="00EA0FBE">
            <w:pPr>
              <w:pStyle w:val="Tabletext"/>
            </w:pPr>
            <w:proofErr w:type="spellStart"/>
            <w:r w:rsidRPr="00576B38">
              <w:t>Inf</w:t>
            </w:r>
            <w:proofErr w:type="spellEnd"/>
            <w:r w:rsidRPr="00576B38">
              <w:t xml:space="preserve"> Rev Rec</w:t>
            </w:r>
          </w:p>
        </w:tc>
      </w:tr>
      <w:tr w:rsidR="00EA0FBE" w:rsidRPr="00576B38" w:rsidTr="00CA14FD">
        <w:tc>
          <w:tcPr>
            <w:cnfStyle w:val="001000000000" w:firstRow="0" w:lastRow="0" w:firstColumn="1" w:lastColumn="0" w:oddVBand="0" w:evenVBand="0" w:oddHBand="0" w:evenHBand="0" w:firstRowFirstColumn="0" w:firstRowLastColumn="0" w:lastRowFirstColumn="0" w:lastRowLastColumn="0"/>
            <w:tcW w:w="2660" w:type="dxa"/>
          </w:tcPr>
          <w:p w:rsidR="00EA0FBE" w:rsidRPr="00576B38" w:rsidRDefault="00EA0FBE" w:rsidP="00EA0FBE">
            <w:pPr>
              <w:pStyle w:val="Tabletext"/>
            </w:pPr>
            <w:r w:rsidRPr="00576B38">
              <w:t>Non-financial schedules</w:t>
            </w:r>
          </w:p>
        </w:tc>
        <w:tc>
          <w:tcPr>
            <w:tcW w:w="3436" w:type="dxa"/>
          </w:tcPr>
          <w:p w:rsidR="00EA0FBE" w:rsidRPr="00576B38" w:rsidRDefault="00EA0FBE" w:rsidP="00EA0FBE">
            <w:pPr>
              <w:pStyle w:val="Tabletext"/>
              <w:cnfStyle w:val="000000000000" w:firstRow="0" w:lastRow="0" w:firstColumn="0" w:lastColumn="0" w:oddVBand="0" w:evenVBand="0" w:oddHBand="0" w:evenHBand="0" w:firstRowFirstColumn="0" w:firstRowLastColumn="0" w:lastRowFirstColumn="0" w:lastRowLastColumn="0"/>
            </w:pPr>
            <w:r w:rsidRPr="00576B38">
              <w:t>Current map of the network</w:t>
            </w:r>
          </w:p>
        </w:tc>
        <w:tc>
          <w:tcPr>
            <w:cnfStyle w:val="000100000000" w:firstRow="0" w:lastRow="0" w:firstColumn="0" w:lastColumn="1" w:oddVBand="0" w:evenVBand="0" w:oddHBand="0" w:evenHBand="0" w:firstRowFirstColumn="0" w:firstRowLastColumn="0" w:lastRowFirstColumn="0" w:lastRowLastColumn="0"/>
            <w:tcW w:w="2432" w:type="dxa"/>
          </w:tcPr>
          <w:p w:rsidR="00EA0FBE" w:rsidRPr="00576B38" w:rsidRDefault="00EA0FBE" w:rsidP="00EA0FBE">
            <w:pPr>
              <w:pStyle w:val="Tabletext"/>
            </w:pPr>
            <w:r w:rsidRPr="00576B38">
              <w:t xml:space="preserve">NFS </w:t>
            </w:r>
            <w:proofErr w:type="spellStart"/>
            <w:r w:rsidRPr="00576B38">
              <w:t>Curr</w:t>
            </w:r>
            <w:proofErr w:type="spellEnd"/>
            <w:r w:rsidRPr="00576B38">
              <w:t xml:space="preserve"> Map </w:t>
            </w:r>
            <w:proofErr w:type="spellStart"/>
            <w:r w:rsidRPr="00576B38">
              <w:t>Netw</w:t>
            </w:r>
            <w:proofErr w:type="spellEnd"/>
          </w:p>
        </w:tc>
      </w:tr>
      <w:tr w:rsidR="00EA0FBE" w:rsidRPr="00576B38" w:rsidTr="00CA14FD">
        <w:trPr>
          <w:trHeight w:val="93"/>
        </w:trPr>
        <w:tc>
          <w:tcPr>
            <w:cnfStyle w:val="001000000000" w:firstRow="0" w:lastRow="0" w:firstColumn="1" w:lastColumn="0" w:oddVBand="0" w:evenVBand="0" w:oddHBand="0" w:evenHBand="0" w:firstRowFirstColumn="0" w:firstRowLastColumn="0" w:lastRowFirstColumn="0" w:lastRowLastColumn="0"/>
            <w:tcW w:w="2660" w:type="dxa"/>
            <w:vMerge w:val="restart"/>
          </w:tcPr>
          <w:p w:rsidR="00EA0FBE" w:rsidRPr="00576B38" w:rsidRDefault="00EA0FBE" w:rsidP="00A45B57">
            <w:pPr>
              <w:pStyle w:val="Tabletext"/>
            </w:pPr>
            <w:r w:rsidRPr="00576B38">
              <w:t>Historic operating expenditure (</w:t>
            </w:r>
            <w:proofErr w:type="spellStart"/>
            <w:r w:rsidRPr="00576B38">
              <w:t>opex</w:t>
            </w:r>
            <w:proofErr w:type="spellEnd"/>
            <w:r w:rsidRPr="00576B38">
              <w:t>)</w:t>
            </w:r>
          </w:p>
        </w:tc>
        <w:tc>
          <w:tcPr>
            <w:tcW w:w="3436" w:type="dxa"/>
          </w:tcPr>
          <w:p w:rsidR="00EA0FBE" w:rsidRPr="00576B38" w:rsidRDefault="00EA0FBE" w:rsidP="00EA0FBE">
            <w:pPr>
              <w:pStyle w:val="Tabletext"/>
              <w:cnfStyle w:val="000000000000" w:firstRow="0" w:lastRow="0" w:firstColumn="0" w:lastColumn="0" w:oddVBand="0" w:evenVBand="0" w:oddHBand="0" w:evenHBand="0" w:firstRowFirstColumn="0" w:firstRowLastColumn="0" w:lastRowFirstColumn="0" w:lastRowLastColumn="0"/>
            </w:pPr>
            <w:r w:rsidRPr="00576B38">
              <w:t xml:space="preserve">Historic </w:t>
            </w:r>
            <w:proofErr w:type="spellStart"/>
            <w:r w:rsidRPr="00576B38">
              <w:t>opex</w:t>
            </w:r>
            <w:proofErr w:type="spellEnd"/>
            <w:r w:rsidRPr="00576B38">
              <w:t xml:space="preserve"> by category—summary</w:t>
            </w:r>
          </w:p>
        </w:tc>
        <w:tc>
          <w:tcPr>
            <w:cnfStyle w:val="000100000000" w:firstRow="0" w:lastRow="0" w:firstColumn="0" w:lastColumn="1" w:oddVBand="0" w:evenVBand="0" w:oddHBand="0" w:evenHBand="0" w:firstRowFirstColumn="0" w:firstRowLastColumn="0" w:lastRowFirstColumn="0" w:lastRowLastColumn="0"/>
            <w:tcW w:w="2432" w:type="dxa"/>
          </w:tcPr>
          <w:p w:rsidR="00EA0FBE" w:rsidRPr="00576B38" w:rsidRDefault="00EA0FBE" w:rsidP="00EA0FBE">
            <w:pPr>
              <w:pStyle w:val="Tabletext"/>
            </w:pPr>
            <w:r w:rsidRPr="00576B38">
              <w:t>HOE Sum</w:t>
            </w:r>
          </w:p>
        </w:tc>
      </w:tr>
      <w:tr w:rsidR="00EA0FBE" w:rsidRPr="00576B38" w:rsidTr="00CA14FD">
        <w:trPr>
          <w:trHeight w:val="89"/>
        </w:trPr>
        <w:tc>
          <w:tcPr>
            <w:cnfStyle w:val="001000000000" w:firstRow="0" w:lastRow="0" w:firstColumn="1" w:lastColumn="0" w:oddVBand="0" w:evenVBand="0" w:oddHBand="0" w:evenHBand="0" w:firstRowFirstColumn="0" w:firstRowLastColumn="0" w:lastRowFirstColumn="0" w:lastRowLastColumn="0"/>
            <w:tcW w:w="2660" w:type="dxa"/>
            <w:vMerge/>
          </w:tcPr>
          <w:p w:rsidR="00EA0FBE" w:rsidRPr="00576B38" w:rsidRDefault="00EA0FBE" w:rsidP="00EA0FBE">
            <w:pPr>
              <w:pStyle w:val="Tabletext"/>
            </w:pPr>
          </w:p>
        </w:tc>
        <w:tc>
          <w:tcPr>
            <w:tcW w:w="3436" w:type="dxa"/>
          </w:tcPr>
          <w:p w:rsidR="00EA0FBE" w:rsidRPr="00576B38" w:rsidRDefault="00EA0FBE" w:rsidP="00EA0FBE">
            <w:pPr>
              <w:pStyle w:val="Tabletext"/>
              <w:cnfStyle w:val="000000000000" w:firstRow="0" w:lastRow="0" w:firstColumn="0" w:lastColumn="0" w:oddVBand="0" w:evenVBand="0" w:oddHBand="0" w:evenHBand="0" w:firstRowFirstColumn="0" w:firstRowLastColumn="0" w:lastRowFirstColumn="0" w:lastRowLastColumn="0"/>
            </w:pPr>
            <w:r w:rsidRPr="00576B38">
              <w:t xml:space="preserve">Historic </w:t>
            </w:r>
            <w:proofErr w:type="spellStart"/>
            <w:r w:rsidRPr="00576B38">
              <w:t>opex</w:t>
            </w:r>
            <w:proofErr w:type="spellEnd"/>
            <w:r w:rsidRPr="00576B38">
              <w:t xml:space="preserve"> by category base year</w:t>
            </w:r>
          </w:p>
        </w:tc>
        <w:tc>
          <w:tcPr>
            <w:cnfStyle w:val="000100000000" w:firstRow="0" w:lastRow="0" w:firstColumn="0" w:lastColumn="1" w:oddVBand="0" w:evenVBand="0" w:oddHBand="0" w:evenHBand="0" w:firstRowFirstColumn="0" w:firstRowLastColumn="0" w:lastRowFirstColumn="0" w:lastRowLastColumn="0"/>
            <w:tcW w:w="2432" w:type="dxa"/>
          </w:tcPr>
          <w:p w:rsidR="00EA0FBE" w:rsidRPr="00576B38" w:rsidRDefault="00EA0FBE" w:rsidP="00EA0FBE">
            <w:pPr>
              <w:pStyle w:val="Tabletext"/>
            </w:pPr>
            <w:r w:rsidRPr="00576B38">
              <w:t>HOE Base</w:t>
            </w:r>
          </w:p>
        </w:tc>
      </w:tr>
      <w:tr w:rsidR="00EA0FBE" w:rsidRPr="00576B38" w:rsidTr="00CA14FD">
        <w:trPr>
          <w:trHeight w:val="89"/>
        </w:trPr>
        <w:tc>
          <w:tcPr>
            <w:cnfStyle w:val="001000000000" w:firstRow="0" w:lastRow="0" w:firstColumn="1" w:lastColumn="0" w:oddVBand="0" w:evenVBand="0" w:oddHBand="0" w:evenHBand="0" w:firstRowFirstColumn="0" w:firstRowLastColumn="0" w:lastRowFirstColumn="0" w:lastRowLastColumn="0"/>
            <w:tcW w:w="2660" w:type="dxa"/>
            <w:vMerge/>
          </w:tcPr>
          <w:p w:rsidR="00EA0FBE" w:rsidRPr="00576B38" w:rsidRDefault="00EA0FBE" w:rsidP="00EA0FBE">
            <w:pPr>
              <w:pStyle w:val="Tabletext"/>
            </w:pPr>
          </w:p>
        </w:tc>
        <w:tc>
          <w:tcPr>
            <w:tcW w:w="3436" w:type="dxa"/>
          </w:tcPr>
          <w:p w:rsidR="00EA0FBE" w:rsidRPr="00576B38" w:rsidRDefault="00EA0FBE" w:rsidP="00EA0FBE">
            <w:pPr>
              <w:pStyle w:val="Tabletext"/>
              <w:cnfStyle w:val="000000000000" w:firstRow="0" w:lastRow="0" w:firstColumn="0" w:lastColumn="0" w:oddVBand="0" w:evenVBand="0" w:oddHBand="0" w:evenHBand="0" w:firstRowFirstColumn="0" w:firstRowLastColumn="0" w:lastRowFirstColumn="0" w:lastRowLastColumn="0"/>
            </w:pPr>
            <w:r w:rsidRPr="00576B38">
              <w:t xml:space="preserve">Historic </w:t>
            </w:r>
            <w:proofErr w:type="spellStart"/>
            <w:r w:rsidRPr="00576B38">
              <w:t>opex</w:t>
            </w:r>
            <w:proofErr w:type="spellEnd"/>
            <w:r w:rsidRPr="00576B38">
              <w:t xml:space="preserve"> by category 1st FY</w:t>
            </w:r>
          </w:p>
        </w:tc>
        <w:tc>
          <w:tcPr>
            <w:cnfStyle w:val="000100000000" w:firstRow="0" w:lastRow="0" w:firstColumn="0" w:lastColumn="1" w:oddVBand="0" w:evenVBand="0" w:oddHBand="0" w:evenHBand="0" w:firstRowFirstColumn="0" w:firstRowLastColumn="0" w:lastRowFirstColumn="0" w:lastRowLastColumn="0"/>
            <w:tcW w:w="2432" w:type="dxa"/>
          </w:tcPr>
          <w:p w:rsidR="00EA0FBE" w:rsidRPr="00576B38" w:rsidRDefault="00EA0FBE" w:rsidP="00EA0FBE">
            <w:pPr>
              <w:pStyle w:val="Tabletext"/>
            </w:pPr>
            <w:r w:rsidRPr="00576B38">
              <w:t>HOE 1st FY</w:t>
            </w:r>
          </w:p>
        </w:tc>
      </w:tr>
      <w:tr w:rsidR="00EA0FBE" w:rsidRPr="00576B38" w:rsidTr="00CA14FD">
        <w:trPr>
          <w:trHeight w:val="89"/>
        </w:trPr>
        <w:tc>
          <w:tcPr>
            <w:cnfStyle w:val="001000000000" w:firstRow="0" w:lastRow="0" w:firstColumn="1" w:lastColumn="0" w:oddVBand="0" w:evenVBand="0" w:oddHBand="0" w:evenHBand="0" w:firstRowFirstColumn="0" w:firstRowLastColumn="0" w:lastRowFirstColumn="0" w:lastRowLastColumn="0"/>
            <w:tcW w:w="2660" w:type="dxa"/>
            <w:vMerge/>
          </w:tcPr>
          <w:p w:rsidR="00EA0FBE" w:rsidRPr="00576B38" w:rsidRDefault="00EA0FBE" w:rsidP="00EA0FBE">
            <w:pPr>
              <w:pStyle w:val="Tabletext"/>
            </w:pPr>
          </w:p>
        </w:tc>
        <w:tc>
          <w:tcPr>
            <w:tcW w:w="3436" w:type="dxa"/>
          </w:tcPr>
          <w:p w:rsidR="00EA0FBE" w:rsidRPr="00576B38" w:rsidRDefault="00EA0FBE" w:rsidP="00EA0FBE">
            <w:pPr>
              <w:pStyle w:val="Tabletext"/>
              <w:cnfStyle w:val="000000000000" w:firstRow="0" w:lastRow="0" w:firstColumn="0" w:lastColumn="0" w:oddVBand="0" w:evenVBand="0" w:oddHBand="0" w:evenHBand="0" w:firstRowFirstColumn="0" w:firstRowLastColumn="0" w:lastRowFirstColumn="0" w:lastRowLastColumn="0"/>
            </w:pPr>
            <w:r w:rsidRPr="00576B38">
              <w:t xml:space="preserve">Historic </w:t>
            </w:r>
            <w:proofErr w:type="spellStart"/>
            <w:r w:rsidRPr="00576B38">
              <w:t>opex</w:t>
            </w:r>
            <w:proofErr w:type="spellEnd"/>
            <w:r w:rsidRPr="00576B38">
              <w:t xml:space="preserve"> by category 2nd FY</w:t>
            </w:r>
          </w:p>
        </w:tc>
        <w:tc>
          <w:tcPr>
            <w:cnfStyle w:val="000100000000" w:firstRow="0" w:lastRow="0" w:firstColumn="0" w:lastColumn="1" w:oddVBand="0" w:evenVBand="0" w:oddHBand="0" w:evenHBand="0" w:firstRowFirstColumn="0" w:firstRowLastColumn="0" w:lastRowFirstColumn="0" w:lastRowLastColumn="0"/>
            <w:tcW w:w="2432" w:type="dxa"/>
          </w:tcPr>
          <w:p w:rsidR="00EA0FBE" w:rsidRPr="00576B38" w:rsidRDefault="00EA0FBE" w:rsidP="00EA0FBE">
            <w:pPr>
              <w:pStyle w:val="Tabletext"/>
            </w:pPr>
            <w:r w:rsidRPr="00576B38">
              <w:t>HOE 2ndt FY</w:t>
            </w:r>
          </w:p>
        </w:tc>
      </w:tr>
      <w:tr w:rsidR="00EA0FBE" w:rsidRPr="00576B38" w:rsidTr="00CA14FD">
        <w:trPr>
          <w:trHeight w:val="89"/>
        </w:trPr>
        <w:tc>
          <w:tcPr>
            <w:cnfStyle w:val="001000000000" w:firstRow="0" w:lastRow="0" w:firstColumn="1" w:lastColumn="0" w:oddVBand="0" w:evenVBand="0" w:oddHBand="0" w:evenHBand="0" w:firstRowFirstColumn="0" w:firstRowLastColumn="0" w:lastRowFirstColumn="0" w:lastRowLastColumn="0"/>
            <w:tcW w:w="2660" w:type="dxa"/>
            <w:vMerge/>
          </w:tcPr>
          <w:p w:rsidR="00EA0FBE" w:rsidRPr="00576B38" w:rsidRDefault="00EA0FBE" w:rsidP="00EA0FBE">
            <w:pPr>
              <w:pStyle w:val="Tabletext"/>
            </w:pPr>
          </w:p>
        </w:tc>
        <w:tc>
          <w:tcPr>
            <w:tcW w:w="3436" w:type="dxa"/>
          </w:tcPr>
          <w:p w:rsidR="00EA0FBE" w:rsidRPr="00576B38" w:rsidRDefault="00EA0FBE" w:rsidP="00EA0FBE">
            <w:pPr>
              <w:pStyle w:val="Tabletext"/>
              <w:cnfStyle w:val="000000000000" w:firstRow="0" w:lastRow="0" w:firstColumn="0" w:lastColumn="0" w:oddVBand="0" w:evenVBand="0" w:oddHBand="0" w:evenHBand="0" w:firstRowFirstColumn="0" w:firstRowLastColumn="0" w:lastRowFirstColumn="0" w:lastRowLastColumn="0"/>
            </w:pPr>
            <w:r w:rsidRPr="00576B38">
              <w:t xml:space="preserve">Historic </w:t>
            </w:r>
            <w:proofErr w:type="spellStart"/>
            <w:r w:rsidRPr="00576B38">
              <w:t>opex</w:t>
            </w:r>
            <w:proofErr w:type="spellEnd"/>
            <w:r w:rsidRPr="00576B38">
              <w:t xml:space="preserve"> by category 3rd FY</w:t>
            </w:r>
          </w:p>
        </w:tc>
        <w:tc>
          <w:tcPr>
            <w:cnfStyle w:val="000100000000" w:firstRow="0" w:lastRow="0" w:firstColumn="0" w:lastColumn="1" w:oddVBand="0" w:evenVBand="0" w:oddHBand="0" w:evenHBand="0" w:firstRowFirstColumn="0" w:firstRowLastColumn="0" w:lastRowFirstColumn="0" w:lastRowLastColumn="0"/>
            <w:tcW w:w="2432" w:type="dxa"/>
          </w:tcPr>
          <w:p w:rsidR="00EA0FBE" w:rsidRPr="00576B38" w:rsidRDefault="00EA0FBE" w:rsidP="00EA0FBE">
            <w:pPr>
              <w:pStyle w:val="Tabletext"/>
            </w:pPr>
            <w:r w:rsidRPr="00576B38">
              <w:t>HOE 3rdt FY</w:t>
            </w:r>
          </w:p>
        </w:tc>
      </w:tr>
      <w:tr w:rsidR="00EA0FBE" w:rsidRPr="00576B38" w:rsidTr="00CA14FD">
        <w:trPr>
          <w:trHeight w:val="89"/>
        </w:trPr>
        <w:tc>
          <w:tcPr>
            <w:cnfStyle w:val="001000000000" w:firstRow="0" w:lastRow="0" w:firstColumn="1" w:lastColumn="0" w:oddVBand="0" w:evenVBand="0" w:oddHBand="0" w:evenHBand="0" w:firstRowFirstColumn="0" w:firstRowLastColumn="0" w:lastRowFirstColumn="0" w:lastRowLastColumn="0"/>
            <w:tcW w:w="2660" w:type="dxa"/>
            <w:vMerge/>
          </w:tcPr>
          <w:p w:rsidR="00EA0FBE" w:rsidRPr="00576B38" w:rsidRDefault="00EA0FBE" w:rsidP="00EA0FBE">
            <w:pPr>
              <w:pStyle w:val="Tabletext"/>
            </w:pPr>
          </w:p>
        </w:tc>
        <w:tc>
          <w:tcPr>
            <w:tcW w:w="3436" w:type="dxa"/>
          </w:tcPr>
          <w:p w:rsidR="00EA0FBE" w:rsidRPr="00576B38" w:rsidRDefault="00EA0FBE" w:rsidP="00EA0FBE">
            <w:pPr>
              <w:pStyle w:val="Tabletext"/>
              <w:cnfStyle w:val="000000000000" w:firstRow="0" w:lastRow="0" w:firstColumn="0" w:lastColumn="0" w:oddVBand="0" w:evenVBand="0" w:oddHBand="0" w:evenHBand="0" w:firstRowFirstColumn="0" w:firstRowLastColumn="0" w:lastRowFirstColumn="0" w:lastRowLastColumn="0"/>
            </w:pPr>
            <w:r w:rsidRPr="00576B38">
              <w:t xml:space="preserve">Historic </w:t>
            </w:r>
            <w:proofErr w:type="spellStart"/>
            <w:r w:rsidRPr="00576B38">
              <w:t>opex</w:t>
            </w:r>
            <w:proofErr w:type="spellEnd"/>
            <w:r w:rsidRPr="00576B38">
              <w:t xml:space="preserve"> by category 4th FY</w:t>
            </w:r>
          </w:p>
        </w:tc>
        <w:tc>
          <w:tcPr>
            <w:cnfStyle w:val="000100000000" w:firstRow="0" w:lastRow="0" w:firstColumn="0" w:lastColumn="1" w:oddVBand="0" w:evenVBand="0" w:oddHBand="0" w:evenHBand="0" w:firstRowFirstColumn="0" w:firstRowLastColumn="0" w:lastRowFirstColumn="0" w:lastRowLastColumn="0"/>
            <w:tcW w:w="2432" w:type="dxa"/>
          </w:tcPr>
          <w:p w:rsidR="00EA0FBE" w:rsidRPr="00576B38" w:rsidRDefault="00EA0FBE" w:rsidP="00EA0FBE">
            <w:pPr>
              <w:pStyle w:val="Tabletext"/>
            </w:pPr>
            <w:r w:rsidRPr="00576B38">
              <w:t>HOE 4th FY</w:t>
            </w:r>
          </w:p>
        </w:tc>
      </w:tr>
      <w:tr w:rsidR="00EA0FBE" w:rsidRPr="00576B38" w:rsidTr="00CA14FD">
        <w:tc>
          <w:tcPr>
            <w:cnfStyle w:val="001000000000" w:firstRow="0" w:lastRow="0" w:firstColumn="1" w:lastColumn="0" w:oddVBand="0" w:evenVBand="0" w:oddHBand="0" w:evenHBand="0" w:firstRowFirstColumn="0" w:firstRowLastColumn="0" w:lastRowFirstColumn="0" w:lastRowLastColumn="0"/>
            <w:tcW w:w="2660" w:type="dxa"/>
            <w:vMerge/>
          </w:tcPr>
          <w:p w:rsidR="00EA0FBE" w:rsidRPr="00576B38" w:rsidRDefault="00EA0FBE" w:rsidP="00EA0FBE">
            <w:pPr>
              <w:pStyle w:val="Tabletext"/>
            </w:pPr>
          </w:p>
        </w:tc>
        <w:tc>
          <w:tcPr>
            <w:tcW w:w="3436" w:type="dxa"/>
          </w:tcPr>
          <w:p w:rsidR="00EA0FBE" w:rsidRPr="00576B38" w:rsidRDefault="00EA0FBE" w:rsidP="00EA0FBE">
            <w:pPr>
              <w:pStyle w:val="Tabletext"/>
              <w:cnfStyle w:val="000000000000" w:firstRow="0" w:lastRow="0" w:firstColumn="0" w:lastColumn="0" w:oddVBand="0" w:evenVBand="0" w:oddHBand="0" w:evenHBand="0" w:firstRowFirstColumn="0" w:firstRowLastColumn="0" w:lastRowFirstColumn="0" w:lastRowLastColumn="0"/>
            </w:pPr>
            <w:r w:rsidRPr="00576B38">
              <w:t xml:space="preserve">Historic </w:t>
            </w:r>
            <w:proofErr w:type="spellStart"/>
            <w:r w:rsidRPr="00576B38">
              <w:t>opex</w:t>
            </w:r>
            <w:proofErr w:type="spellEnd"/>
            <w:r w:rsidRPr="00576B38">
              <w:t xml:space="preserve"> by category 5th FY</w:t>
            </w:r>
          </w:p>
        </w:tc>
        <w:tc>
          <w:tcPr>
            <w:cnfStyle w:val="000100000000" w:firstRow="0" w:lastRow="0" w:firstColumn="0" w:lastColumn="1" w:oddVBand="0" w:evenVBand="0" w:oddHBand="0" w:evenHBand="0" w:firstRowFirstColumn="0" w:firstRowLastColumn="0" w:lastRowFirstColumn="0" w:lastRowLastColumn="0"/>
            <w:tcW w:w="2432" w:type="dxa"/>
          </w:tcPr>
          <w:p w:rsidR="00EA0FBE" w:rsidRPr="00576B38" w:rsidRDefault="00EA0FBE" w:rsidP="00EA0FBE">
            <w:pPr>
              <w:pStyle w:val="Tabletext"/>
            </w:pPr>
            <w:r w:rsidRPr="00576B38">
              <w:t>HOE 5th FY</w:t>
            </w:r>
          </w:p>
        </w:tc>
      </w:tr>
      <w:tr w:rsidR="00CA14FD" w:rsidRPr="00576B38" w:rsidTr="00CA14FD">
        <w:trPr>
          <w:trHeight w:val="79"/>
        </w:trPr>
        <w:tc>
          <w:tcPr>
            <w:cnfStyle w:val="001000000000" w:firstRow="0" w:lastRow="0" w:firstColumn="1" w:lastColumn="0" w:oddVBand="0" w:evenVBand="0" w:oddHBand="0" w:evenHBand="0" w:firstRowFirstColumn="0" w:firstRowLastColumn="0" w:lastRowFirstColumn="0" w:lastRowLastColumn="0"/>
            <w:tcW w:w="2660" w:type="dxa"/>
            <w:vMerge w:val="restart"/>
          </w:tcPr>
          <w:p w:rsidR="00CA14FD" w:rsidRPr="00576B38" w:rsidRDefault="00CA14FD" w:rsidP="00EA0FBE">
            <w:pPr>
              <w:pStyle w:val="Tabletext"/>
            </w:pPr>
            <w:r w:rsidRPr="00576B38">
              <w:t>Historic capital expenditure (capex)</w:t>
            </w:r>
          </w:p>
        </w:tc>
        <w:tc>
          <w:tcPr>
            <w:tcW w:w="3436" w:type="dxa"/>
          </w:tcPr>
          <w:p w:rsidR="00CA14FD" w:rsidRPr="00576B38" w:rsidRDefault="00CA14FD" w:rsidP="00EA0FBE">
            <w:pPr>
              <w:pStyle w:val="Tabletext"/>
              <w:cnfStyle w:val="000000000000" w:firstRow="0" w:lastRow="0" w:firstColumn="0" w:lastColumn="0" w:oddVBand="0" w:evenVBand="0" w:oddHBand="0" w:evenHBand="0" w:firstRowFirstColumn="0" w:firstRowLastColumn="0" w:lastRowFirstColumn="0" w:lastRowLastColumn="0"/>
            </w:pPr>
            <w:r w:rsidRPr="00576B38">
              <w:t>Historic capex by category</w:t>
            </w:r>
          </w:p>
        </w:tc>
        <w:tc>
          <w:tcPr>
            <w:cnfStyle w:val="000100000000" w:firstRow="0" w:lastRow="0" w:firstColumn="0" w:lastColumn="1" w:oddVBand="0" w:evenVBand="0" w:oddHBand="0" w:evenHBand="0" w:firstRowFirstColumn="0" w:firstRowLastColumn="0" w:lastRowFirstColumn="0" w:lastRowLastColumn="0"/>
            <w:tcW w:w="2432" w:type="dxa"/>
          </w:tcPr>
          <w:p w:rsidR="00CA14FD" w:rsidRPr="00576B38" w:rsidRDefault="00CA14FD" w:rsidP="00EA0FBE">
            <w:pPr>
              <w:pStyle w:val="Tabletext"/>
            </w:pPr>
            <w:r w:rsidRPr="00576B38">
              <w:t>HCE Cat</w:t>
            </w:r>
          </w:p>
        </w:tc>
      </w:tr>
      <w:tr w:rsidR="00CA14FD" w:rsidRPr="00576B38" w:rsidTr="00CA14FD">
        <w:trPr>
          <w:trHeight w:val="78"/>
        </w:trPr>
        <w:tc>
          <w:tcPr>
            <w:cnfStyle w:val="001000000000" w:firstRow="0" w:lastRow="0" w:firstColumn="1" w:lastColumn="0" w:oddVBand="0" w:evenVBand="0" w:oddHBand="0" w:evenHBand="0" w:firstRowFirstColumn="0" w:firstRowLastColumn="0" w:lastRowFirstColumn="0" w:lastRowLastColumn="0"/>
            <w:tcW w:w="2660" w:type="dxa"/>
            <w:vMerge/>
          </w:tcPr>
          <w:p w:rsidR="00CA14FD" w:rsidRPr="00576B38" w:rsidRDefault="00CA14FD" w:rsidP="00EA0FBE">
            <w:pPr>
              <w:pStyle w:val="Tabletext"/>
            </w:pPr>
          </w:p>
        </w:tc>
        <w:tc>
          <w:tcPr>
            <w:tcW w:w="3436" w:type="dxa"/>
          </w:tcPr>
          <w:p w:rsidR="00CA14FD" w:rsidRPr="00576B38" w:rsidRDefault="00CA14FD" w:rsidP="00EA0FBE">
            <w:pPr>
              <w:pStyle w:val="Tabletext"/>
              <w:cnfStyle w:val="000000000000" w:firstRow="0" w:lastRow="0" w:firstColumn="0" w:lastColumn="0" w:oddVBand="0" w:evenVBand="0" w:oddHBand="0" w:evenHBand="0" w:firstRowFirstColumn="0" w:firstRowLastColumn="0" w:lastRowFirstColumn="0" w:lastRowLastColumn="0"/>
            </w:pPr>
            <w:r w:rsidRPr="00576B38">
              <w:t>Historic capex by asset class</w:t>
            </w:r>
          </w:p>
        </w:tc>
        <w:tc>
          <w:tcPr>
            <w:cnfStyle w:val="000100000000" w:firstRow="0" w:lastRow="0" w:firstColumn="0" w:lastColumn="1" w:oddVBand="0" w:evenVBand="0" w:oddHBand="0" w:evenHBand="0" w:firstRowFirstColumn="0" w:firstRowLastColumn="0" w:lastRowFirstColumn="0" w:lastRowLastColumn="0"/>
            <w:tcW w:w="2432" w:type="dxa"/>
          </w:tcPr>
          <w:p w:rsidR="00CA14FD" w:rsidRPr="00576B38" w:rsidRDefault="00CA14FD" w:rsidP="00EA0FBE">
            <w:pPr>
              <w:pStyle w:val="Tabletext"/>
            </w:pPr>
            <w:r w:rsidRPr="00576B38">
              <w:t xml:space="preserve">HCE Ass </w:t>
            </w:r>
            <w:proofErr w:type="spellStart"/>
            <w:r w:rsidRPr="00576B38">
              <w:t>Cls</w:t>
            </w:r>
            <w:proofErr w:type="spellEnd"/>
          </w:p>
        </w:tc>
      </w:tr>
      <w:tr w:rsidR="00CA14FD" w:rsidRPr="00576B38" w:rsidTr="00CA14FD">
        <w:trPr>
          <w:trHeight w:val="78"/>
        </w:trPr>
        <w:tc>
          <w:tcPr>
            <w:cnfStyle w:val="001000000000" w:firstRow="0" w:lastRow="0" w:firstColumn="1" w:lastColumn="0" w:oddVBand="0" w:evenVBand="0" w:oddHBand="0" w:evenHBand="0" w:firstRowFirstColumn="0" w:firstRowLastColumn="0" w:lastRowFirstColumn="0" w:lastRowLastColumn="0"/>
            <w:tcW w:w="2660" w:type="dxa"/>
            <w:vMerge/>
          </w:tcPr>
          <w:p w:rsidR="00CA14FD" w:rsidRPr="00576B38" w:rsidRDefault="00CA14FD" w:rsidP="00EA0FBE">
            <w:pPr>
              <w:pStyle w:val="Tabletext"/>
            </w:pPr>
          </w:p>
        </w:tc>
        <w:tc>
          <w:tcPr>
            <w:tcW w:w="3436" w:type="dxa"/>
          </w:tcPr>
          <w:p w:rsidR="00CA14FD" w:rsidRPr="00576B38" w:rsidRDefault="00CA14FD" w:rsidP="00EA0FBE">
            <w:pPr>
              <w:pStyle w:val="Tabletext"/>
              <w:cnfStyle w:val="000000000000" w:firstRow="0" w:lastRow="0" w:firstColumn="0" w:lastColumn="0" w:oddVBand="0" w:evenVBand="0" w:oddHBand="0" w:evenHBand="0" w:firstRowFirstColumn="0" w:firstRowLastColumn="0" w:lastRowFirstColumn="0" w:lastRowLastColumn="0"/>
            </w:pPr>
            <w:r w:rsidRPr="00576B38">
              <w:t>Historic capex—network</w:t>
            </w:r>
          </w:p>
        </w:tc>
        <w:tc>
          <w:tcPr>
            <w:cnfStyle w:val="000100000000" w:firstRow="0" w:lastRow="0" w:firstColumn="0" w:lastColumn="1" w:oddVBand="0" w:evenVBand="0" w:oddHBand="0" w:evenHBand="0" w:firstRowFirstColumn="0" w:firstRowLastColumn="0" w:lastRowFirstColumn="0" w:lastRowLastColumn="0"/>
            <w:tcW w:w="2432" w:type="dxa"/>
          </w:tcPr>
          <w:p w:rsidR="00CA14FD" w:rsidRPr="00576B38" w:rsidRDefault="00CA14FD" w:rsidP="00EA0FBE">
            <w:pPr>
              <w:pStyle w:val="Tabletext"/>
            </w:pPr>
            <w:r w:rsidRPr="00576B38">
              <w:t xml:space="preserve">HCE </w:t>
            </w:r>
            <w:proofErr w:type="spellStart"/>
            <w:r w:rsidRPr="00576B38">
              <w:t>Netw</w:t>
            </w:r>
            <w:proofErr w:type="spellEnd"/>
          </w:p>
        </w:tc>
      </w:tr>
      <w:tr w:rsidR="00CA14FD" w:rsidRPr="00576B38" w:rsidTr="00CA14FD">
        <w:trPr>
          <w:trHeight w:val="78"/>
        </w:trPr>
        <w:tc>
          <w:tcPr>
            <w:cnfStyle w:val="001000000000" w:firstRow="0" w:lastRow="0" w:firstColumn="1" w:lastColumn="0" w:oddVBand="0" w:evenVBand="0" w:oddHBand="0" w:evenHBand="0" w:firstRowFirstColumn="0" w:firstRowLastColumn="0" w:lastRowFirstColumn="0" w:lastRowLastColumn="0"/>
            <w:tcW w:w="2660" w:type="dxa"/>
            <w:vMerge/>
          </w:tcPr>
          <w:p w:rsidR="00CA14FD" w:rsidRPr="00576B38" w:rsidRDefault="00CA14FD" w:rsidP="00EA0FBE">
            <w:pPr>
              <w:pStyle w:val="Tabletext"/>
            </w:pPr>
          </w:p>
        </w:tc>
        <w:tc>
          <w:tcPr>
            <w:tcW w:w="3436" w:type="dxa"/>
          </w:tcPr>
          <w:p w:rsidR="00CA14FD" w:rsidRPr="00576B38" w:rsidRDefault="00CA14FD" w:rsidP="00EA0FBE">
            <w:pPr>
              <w:pStyle w:val="Tabletext"/>
              <w:cnfStyle w:val="000000000000" w:firstRow="0" w:lastRow="0" w:firstColumn="0" w:lastColumn="0" w:oddVBand="0" w:evenVBand="0" w:oddHBand="0" w:evenHBand="0" w:firstRowFirstColumn="0" w:firstRowLastColumn="0" w:lastRowFirstColumn="0" w:lastRowLastColumn="0"/>
            </w:pPr>
            <w:r w:rsidRPr="00576B38">
              <w:t>Historic capex—non-network</w:t>
            </w:r>
          </w:p>
        </w:tc>
        <w:tc>
          <w:tcPr>
            <w:cnfStyle w:val="000100000000" w:firstRow="0" w:lastRow="0" w:firstColumn="0" w:lastColumn="1" w:oddVBand="0" w:evenVBand="0" w:oddHBand="0" w:evenHBand="0" w:firstRowFirstColumn="0" w:firstRowLastColumn="0" w:lastRowFirstColumn="0" w:lastRowLastColumn="0"/>
            <w:tcW w:w="2432" w:type="dxa"/>
          </w:tcPr>
          <w:p w:rsidR="00CA14FD" w:rsidRPr="00576B38" w:rsidRDefault="00CA14FD" w:rsidP="00EA0FBE">
            <w:pPr>
              <w:pStyle w:val="Tabletext"/>
            </w:pPr>
            <w:r w:rsidRPr="00576B38">
              <w:t xml:space="preserve">HCE Non </w:t>
            </w:r>
            <w:proofErr w:type="spellStart"/>
            <w:r w:rsidRPr="00576B38">
              <w:t>Netw</w:t>
            </w:r>
            <w:proofErr w:type="spellEnd"/>
          </w:p>
        </w:tc>
      </w:tr>
      <w:tr w:rsidR="00CA14FD" w:rsidRPr="00576B38" w:rsidTr="00CA14FD">
        <w:trPr>
          <w:trHeight w:val="169"/>
        </w:trPr>
        <w:tc>
          <w:tcPr>
            <w:cnfStyle w:val="001000000000" w:firstRow="0" w:lastRow="0" w:firstColumn="1" w:lastColumn="0" w:oddVBand="0" w:evenVBand="0" w:oddHBand="0" w:evenHBand="0" w:firstRowFirstColumn="0" w:firstRowLastColumn="0" w:lastRowFirstColumn="0" w:lastRowLastColumn="0"/>
            <w:tcW w:w="2660" w:type="dxa"/>
            <w:vMerge w:val="restart"/>
          </w:tcPr>
          <w:p w:rsidR="00CA14FD" w:rsidRPr="00576B38" w:rsidRDefault="00CA14FD" w:rsidP="00A45B57">
            <w:pPr>
              <w:pStyle w:val="Tabletext"/>
            </w:pPr>
            <w:r w:rsidRPr="00576B38">
              <w:t>Commentary</w:t>
            </w:r>
          </w:p>
        </w:tc>
        <w:tc>
          <w:tcPr>
            <w:tcW w:w="3436" w:type="dxa"/>
          </w:tcPr>
          <w:p w:rsidR="00CA14FD" w:rsidRPr="00576B38" w:rsidRDefault="00CA14FD" w:rsidP="00EA0FBE">
            <w:pPr>
              <w:pStyle w:val="Tabletext"/>
              <w:cnfStyle w:val="000000000000" w:firstRow="0" w:lastRow="0" w:firstColumn="0" w:lastColumn="0" w:oddVBand="0" w:evenVBand="0" w:oddHBand="0" w:evenHBand="0" w:firstRowFirstColumn="0" w:firstRowLastColumn="0" w:lastRowFirstColumn="0" w:lastRowLastColumn="0"/>
            </w:pPr>
            <w:r w:rsidRPr="00576B38">
              <w:t xml:space="preserve">Commentary on </w:t>
            </w:r>
            <w:proofErr w:type="spellStart"/>
            <w:r w:rsidRPr="00576B38">
              <w:t>opex</w:t>
            </w:r>
            <w:proofErr w:type="spellEnd"/>
            <w:r w:rsidRPr="00576B38">
              <w:tab/>
            </w:r>
          </w:p>
        </w:tc>
        <w:tc>
          <w:tcPr>
            <w:cnfStyle w:val="000100000000" w:firstRow="0" w:lastRow="0" w:firstColumn="0" w:lastColumn="1" w:oddVBand="0" w:evenVBand="0" w:oddHBand="0" w:evenHBand="0" w:firstRowFirstColumn="0" w:firstRowLastColumn="0" w:lastRowFirstColumn="0" w:lastRowLastColumn="0"/>
            <w:tcW w:w="2432" w:type="dxa"/>
          </w:tcPr>
          <w:p w:rsidR="00CA14FD" w:rsidRPr="00576B38" w:rsidRDefault="00CA14FD" w:rsidP="00EA0FBE">
            <w:pPr>
              <w:pStyle w:val="Tabletext"/>
            </w:pPr>
            <w:proofErr w:type="spellStart"/>
            <w:r w:rsidRPr="00576B38">
              <w:t>Comm</w:t>
            </w:r>
            <w:proofErr w:type="spellEnd"/>
            <w:r w:rsidRPr="00576B38">
              <w:t xml:space="preserve"> </w:t>
            </w:r>
            <w:proofErr w:type="spellStart"/>
            <w:r w:rsidRPr="00576B38">
              <w:t>opex</w:t>
            </w:r>
            <w:proofErr w:type="spellEnd"/>
          </w:p>
        </w:tc>
      </w:tr>
      <w:tr w:rsidR="00CA14FD" w:rsidRPr="00576B38" w:rsidTr="00CA14FD">
        <w:trPr>
          <w:trHeight w:val="169"/>
        </w:trPr>
        <w:tc>
          <w:tcPr>
            <w:cnfStyle w:val="001000000000" w:firstRow="0" w:lastRow="0" w:firstColumn="1" w:lastColumn="0" w:oddVBand="0" w:evenVBand="0" w:oddHBand="0" w:evenHBand="0" w:firstRowFirstColumn="0" w:firstRowLastColumn="0" w:lastRowFirstColumn="0" w:lastRowLastColumn="0"/>
            <w:tcW w:w="2660" w:type="dxa"/>
            <w:vMerge/>
          </w:tcPr>
          <w:p w:rsidR="00CA14FD" w:rsidRPr="00576B38" w:rsidRDefault="00CA14FD" w:rsidP="00EA0FBE">
            <w:pPr>
              <w:pStyle w:val="Tabletext"/>
            </w:pPr>
          </w:p>
        </w:tc>
        <w:tc>
          <w:tcPr>
            <w:tcW w:w="3436" w:type="dxa"/>
          </w:tcPr>
          <w:p w:rsidR="00CA14FD" w:rsidRPr="00576B38" w:rsidRDefault="00CA14FD" w:rsidP="00EA0FBE">
            <w:pPr>
              <w:pStyle w:val="Tabletext"/>
              <w:cnfStyle w:val="000000000000" w:firstRow="0" w:lastRow="0" w:firstColumn="0" w:lastColumn="0" w:oddVBand="0" w:evenVBand="0" w:oddHBand="0" w:evenHBand="0" w:firstRowFirstColumn="0" w:firstRowLastColumn="0" w:lastRowFirstColumn="0" w:lastRowLastColumn="0"/>
            </w:pPr>
            <w:r w:rsidRPr="00576B38">
              <w:t>Commentary on historic capex</w:t>
            </w:r>
          </w:p>
        </w:tc>
        <w:tc>
          <w:tcPr>
            <w:cnfStyle w:val="000100000000" w:firstRow="0" w:lastRow="0" w:firstColumn="0" w:lastColumn="1" w:oddVBand="0" w:evenVBand="0" w:oddHBand="0" w:evenHBand="0" w:firstRowFirstColumn="0" w:firstRowLastColumn="0" w:lastRowFirstColumn="0" w:lastRowLastColumn="0"/>
            <w:tcW w:w="2432" w:type="dxa"/>
          </w:tcPr>
          <w:p w:rsidR="00CA14FD" w:rsidRPr="00576B38" w:rsidRDefault="00CA14FD" w:rsidP="00EA0FBE">
            <w:pPr>
              <w:pStyle w:val="Tabletext"/>
            </w:pPr>
            <w:proofErr w:type="spellStart"/>
            <w:r w:rsidRPr="00576B38">
              <w:t>Comm</w:t>
            </w:r>
            <w:proofErr w:type="spellEnd"/>
            <w:r w:rsidRPr="00576B38">
              <w:t xml:space="preserve"> </w:t>
            </w:r>
            <w:proofErr w:type="spellStart"/>
            <w:r w:rsidRPr="00576B38">
              <w:t>Hist</w:t>
            </w:r>
            <w:proofErr w:type="spellEnd"/>
            <w:r w:rsidRPr="00576B38">
              <w:t xml:space="preserve"> capex</w:t>
            </w:r>
          </w:p>
        </w:tc>
      </w:tr>
      <w:tr w:rsidR="00EA0FBE" w:rsidRPr="00576B38" w:rsidTr="00CA14FD">
        <w:trPr>
          <w:trHeight w:val="157"/>
        </w:trPr>
        <w:tc>
          <w:tcPr>
            <w:cnfStyle w:val="001000000000" w:firstRow="0" w:lastRow="0" w:firstColumn="1" w:lastColumn="0" w:oddVBand="0" w:evenVBand="0" w:oddHBand="0" w:evenHBand="0" w:firstRowFirstColumn="0" w:firstRowLastColumn="0" w:lastRowFirstColumn="0" w:lastRowLastColumn="0"/>
            <w:tcW w:w="2660" w:type="dxa"/>
            <w:vMerge w:val="restart"/>
          </w:tcPr>
          <w:p w:rsidR="00EA0FBE" w:rsidRPr="00576B38" w:rsidRDefault="00EA0FBE" w:rsidP="00EA0FBE">
            <w:pPr>
              <w:pStyle w:val="Tabletext"/>
            </w:pPr>
            <w:r w:rsidRPr="00576B38">
              <w:t>Instructions</w:t>
            </w:r>
          </w:p>
        </w:tc>
        <w:tc>
          <w:tcPr>
            <w:tcW w:w="3436" w:type="dxa"/>
          </w:tcPr>
          <w:p w:rsidR="00EA0FBE" w:rsidRPr="00576B38" w:rsidRDefault="00EA0FBE" w:rsidP="00EA0FBE">
            <w:pPr>
              <w:pStyle w:val="Tabletext"/>
              <w:cnfStyle w:val="000000000000" w:firstRow="0" w:lastRow="0" w:firstColumn="0" w:lastColumn="0" w:oddVBand="0" w:evenVBand="0" w:oddHBand="0" w:evenHBand="0" w:firstRowFirstColumn="0" w:firstRowLastColumn="0" w:lastRowFirstColumn="0" w:lastRowLastColumn="0"/>
            </w:pPr>
            <w:proofErr w:type="spellStart"/>
            <w:r w:rsidRPr="00576B38">
              <w:t>Opex</w:t>
            </w:r>
            <w:proofErr w:type="spellEnd"/>
            <w:r w:rsidRPr="00576B38">
              <w:t xml:space="preserve"> instructions</w:t>
            </w:r>
          </w:p>
        </w:tc>
        <w:tc>
          <w:tcPr>
            <w:cnfStyle w:val="000100000000" w:firstRow="0" w:lastRow="0" w:firstColumn="0" w:lastColumn="1" w:oddVBand="0" w:evenVBand="0" w:oddHBand="0" w:evenHBand="0" w:firstRowFirstColumn="0" w:firstRowLastColumn="0" w:lastRowFirstColumn="0" w:lastRowLastColumn="0"/>
            <w:tcW w:w="2432" w:type="dxa"/>
          </w:tcPr>
          <w:p w:rsidR="00EA0FBE" w:rsidRPr="00576B38" w:rsidRDefault="00EA0FBE" w:rsidP="00EA0FBE">
            <w:pPr>
              <w:pStyle w:val="Tabletext"/>
            </w:pPr>
            <w:r w:rsidRPr="00576B38">
              <w:t xml:space="preserve">Ins </w:t>
            </w:r>
            <w:proofErr w:type="spellStart"/>
            <w:r w:rsidRPr="00576B38">
              <w:t>Opex</w:t>
            </w:r>
            <w:proofErr w:type="spellEnd"/>
          </w:p>
        </w:tc>
      </w:tr>
      <w:tr w:rsidR="00EA0FBE" w:rsidRPr="00576B38" w:rsidTr="00CA14FD">
        <w:trPr>
          <w:cnfStyle w:val="010000000000" w:firstRow="0" w:lastRow="1" w:firstColumn="0" w:lastColumn="0" w:oddVBand="0" w:evenVBand="0" w:oddHBand="0"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2660" w:type="dxa"/>
            <w:vMerge/>
          </w:tcPr>
          <w:p w:rsidR="00EA0FBE" w:rsidRPr="00576B38" w:rsidRDefault="00EA0FBE" w:rsidP="00EA0FBE">
            <w:pPr>
              <w:pStyle w:val="Tabletext"/>
            </w:pPr>
          </w:p>
        </w:tc>
        <w:tc>
          <w:tcPr>
            <w:tcW w:w="3436" w:type="dxa"/>
          </w:tcPr>
          <w:p w:rsidR="00EA0FBE" w:rsidRPr="00576B38" w:rsidRDefault="00EA0FBE" w:rsidP="00EA0FBE">
            <w:pPr>
              <w:pStyle w:val="Tabletext"/>
              <w:cnfStyle w:val="010000000000" w:firstRow="0" w:lastRow="1" w:firstColumn="0" w:lastColumn="0" w:oddVBand="0" w:evenVBand="0" w:oddHBand="0" w:evenHBand="0" w:firstRowFirstColumn="0" w:firstRowLastColumn="0" w:lastRowFirstColumn="0" w:lastRowLastColumn="0"/>
            </w:pPr>
            <w:r w:rsidRPr="00576B38">
              <w:t>Historic capex instructions</w:t>
            </w:r>
          </w:p>
        </w:tc>
        <w:tc>
          <w:tcPr>
            <w:cnfStyle w:val="000100000000" w:firstRow="0" w:lastRow="0" w:firstColumn="0" w:lastColumn="1" w:oddVBand="0" w:evenVBand="0" w:oddHBand="0" w:evenHBand="0" w:firstRowFirstColumn="0" w:firstRowLastColumn="0" w:lastRowFirstColumn="0" w:lastRowLastColumn="0"/>
            <w:tcW w:w="2432" w:type="dxa"/>
          </w:tcPr>
          <w:p w:rsidR="00EA0FBE" w:rsidRPr="00576B38" w:rsidRDefault="00EA0FBE" w:rsidP="00EA0FBE">
            <w:pPr>
              <w:pStyle w:val="Tabletext"/>
            </w:pPr>
            <w:r w:rsidRPr="00576B38">
              <w:t>Ins Capex</w:t>
            </w:r>
          </w:p>
        </w:tc>
      </w:tr>
    </w:tbl>
    <w:p w:rsidR="00E450DB" w:rsidRPr="00E450DB" w:rsidRDefault="00E450DB" w:rsidP="00E450DB">
      <w:pPr>
        <w:pStyle w:val="BodyTextFirstIndent"/>
        <w:ind w:firstLine="0"/>
      </w:pPr>
      <w:r w:rsidRPr="00E450DB">
        <w:t xml:space="preserve">Guidance on how the principles in section 2 should be applied to complete the pro forma statements listed above is set out in section 4 of this </w:t>
      </w:r>
      <w:r w:rsidRPr="00576B38">
        <w:rPr>
          <w:rStyle w:val="Emphasis"/>
        </w:rPr>
        <w:t>guideline</w:t>
      </w:r>
      <w:r w:rsidRPr="00E450DB">
        <w:t>.</w:t>
      </w:r>
    </w:p>
    <w:p w:rsidR="00E450DB" w:rsidRPr="00E450DB" w:rsidRDefault="00E450DB" w:rsidP="00576B38">
      <w:pPr>
        <w:pStyle w:val="Heading2"/>
      </w:pPr>
      <w:bookmarkStart w:id="44" w:name="_Toc415582097"/>
      <w:r w:rsidRPr="00E450DB">
        <w:t>Map of network</w:t>
      </w:r>
      <w:bookmarkEnd w:id="44"/>
    </w:p>
    <w:p w:rsidR="00E450DB" w:rsidRPr="00E450DB" w:rsidRDefault="00E450DB" w:rsidP="00576B38">
      <w:pPr>
        <w:pStyle w:val="BodyTextFirstIndent"/>
        <w:ind w:firstLine="0"/>
      </w:pPr>
      <w:r w:rsidRPr="00E450DB">
        <w:t xml:space="preserve">A </w:t>
      </w:r>
      <w:r w:rsidRPr="00576B38">
        <w:rPr>
          <w:rStyle w:val="Emphasis"/>
        </w:rPr>
        <w:t>TNSP</w:t>
      </w:r>
      <w:r w:rsidRPr="00E450DB">
        <w:t xml:space="preserve"> shall </w:t>
      </w:r>
      <w:r w:rsidR="006A40E7">
        <w:t>provide</w:t>
      </w:r>
      <w:r w:rsidRPr="00E450DB">
        <w:t xml:space="preserve"> a map of the current network as at the </w:t>
      </w:r>
      <w:r w:rsidRPr="00576B38">
        <w:rPr>
          <w:rStyle w:val="Emphasis"/>
        </w:rPr>
        <w:t>regulatory accounting date</w:t>
      </w:r>
      <w:r w:rsidRPr="00E450DB">
        <w:t xml:space="preserve"> identifying:</w:t>
      </w:r>
    </w:p>
    <w:p w:rsidR="00E450DB" w:rsidRPr="00E450DB" w:rsidRDefault="00E450DB" w:rsidP="00CA14FD">
      <w:pPr>
        <w:pStyle w:val="Bulletpoint"/>
      </w:pPr>
      <w:r w:rsidRPr="00E450DB">
        <w:t xml:space="preserve">the different ratings of the </w:t>
      </w:r>
      <w:r w:rsidRPr="00576B38">
        <w:rPr>
          <w:rStyle w:val="Emphasis"/>
        </w:rPr>
        <w:t>transmission lines</w:t>
      </w:r>
    </w:p>
    <w:p w:rsidR="00E450DB" w:rsidRPr="00E450DB" w:rsidRDefault="00E450DB" w:rsidP="00CA14FD">
      <w:pPr>
        <w:pStyle w:val="Bulletpoint"/>
      </w:pPr>
      <w:proofErr w:type="gramStart"/>
      <w:r w:rsidRPr="00E450DB">
        <w:t>other</w:t>
      </w:r>
      <w:proofErr w:type="gramEnd"/>
      <w:r w:rsidRPr="00E450DB">
        <w:t xml:space="preserve"> major network assets.</w:t>
      </w:r>
    </w:p>
    <w:p w:rsidR="00E450DB" w:rsidRPr="00E450DB" w:rsidRDefault="00E450DB" w:rsidP="00576B38">
      <w:pPr>
        <w:pStyle w:val="Heading2"/>
      </w:pPr>
      <w:bookmarkStart w:id="45" w:name="_Toc415582098"/>
      <w:r w:rsidRPr="00E450DB">
        <w:t>Service performance information</w:t>
      </w:r>
      <w:bookmarkEnd w:id="45"/>
    </w:p>
    <w:p w:rsidR="00E450DB" w:rsidRPr="00E450DB" w:rsidRDefault="00E450DB" w:rsidP="00576B38">
      <w:pPr>
        <w:pStyle w:val="Heading3"/>
      </w:pPr>
      <w:r w:rsidRPr="00E450DB">
        <w:tab/>
      </w:r>
      <w:bookmarkStart w:id="46" w:name="_Toc414429972"/>
      <w:bookmarkStart w:id="47" w:name="_Toc415582099"/>
      <w:r w:rsidRPr="00E450DB">
        <w:t>Information for annual compliance</w:t>
      </w:r>
      <w:bookmarkEnd w:id="46"/>
      <w:bookmarkEnd w:id="47"/>
    </w:p>
    <w:p w:rsidR="00E450DB" w:rsidRPr="00E450DB" w:rsidRDefault="00E450DB" w:rsidP="00576B38">
      <w:pPr>
        <w:pStyle w:val="BodyTextFirstIndent"/>
        <w:ind w:firstLine="0"/>
      </w:pPr>
      <w:r w:rsidRPr="00E450DB">
        <w:t xml:space="preserve">Each </w:t>
      </w:r>
      <w:r w:rsidRPr="00576B38">
        <w:rPr>
          <w:rStyle w:val="Emphasis"/>
        </w:rPr>
        <w:t>TNSP</w:t>
      </w:r>
      <w:r w:rsidRPr="00E450DB">
        <w:t xml:space="preserve"> subject to the </w:t>
      </w:r>
      <w:r w:rsidRPr="00576B38">
        <w:rPr>
          <w:rStyle w:val="Emphasis"/>
        </w:rPr>
        <w:t>service target performance incentive scheme</w:t>
      </w:r>
      <w:r w:rsidRPr="00E450DB">
        <w:t xml:space="preserve"> must report the following service performance information to us by 1 February each year:</w:t>
      </w:r>
    </w:p>
    <w:p w:rsidR="00E450DB" w:rsidRPr="00E450DB" w:rsidRDefault="00E450DB" w:rsidP="00CA14FD">
      <w:pPr>
        <w:pStyle w:val="Bulletpoint"/>
      </w:pPr>
      <w:r w:rsidRPr="00E450DB">
        <w:t xml:space="preserve">Actual service performance results for the previous calendar year as measured by the </w:t>
      </w:r>
      <w:r w:rsidRPr="00576B38">
        <w:rPr>
          <w:rStyle w:val="Emphasis"/>
        </w:rPr>
        <w:t>performance incentive scheme parameters</w:t>
      </w:r>
      <w:r w:rsidRPr="00E450DB">
        <w:t xml:space="preserve"> that apply to the </w:t>
      </w:r>
      <w:r w:rsidRPr="00576B38">
        <w:rPr>
          <w:rStyle w:val="Emphasis"/>
        </w:rPr>
        <w:t>TNSP</w:t>
      </w:r>
      <w:r w:rsidRPr="00E450DB">
        <w:t xml:space="preserve"> under the </w:t>
      </w:r>
      <w:r w:rsidRPr="00576B38">
        <w:rPr>
          <w:rStyle w:val="Emphasis"/>
        </w:rPr>
        <w:t>service target performance incentive scheme</w:t>
      </w:r>
      <w:r w:rsidRPr="00E450DB">
        <w:t xml:space="preserve">. The </w:t>
      </w:r>
      <w:r w:rsidRPr="00576B38">
        <w:rPr>
          <w:rStyle w:val="Emphasis"/>
        </w:rPr>
        <w:t>TNSP</w:t>
      </w:r>
      <w:r w:rsidRPr="00E450DB">
        <w:t xml:space="preserve"> must report its performance both with and without any proposed exclusions.</w:t>
      </w:r>
    </w:p>
    <w:p w:rsidR="00E450DB" w:rsidRPr="00E450DB" w:rsidRDefault="00E450DB" w:rsidP="00CA14FD">
      <w:pPr>
        <w:pStyle w:val="Bulletpoint"/>
      </w:pPr>
      <w:r w:rsidRPr="00E450DB">
        <w:t xml:space="preserve">A list of events that the </w:t>
      </w:r>
      <w:r w:rsidRPr="00576B38">
        <w:rPr>
          <w:rStyle w:val="Emphasis"/>
        </w:rPr>
        <w:t>TNSP</w:t>
      </w:r>
      <w:r w:rsidRPr="00E450DB">
        <w:t xml:space="preserve"> considers should be excluded from performance results, and for each event:</w:t>
      </w:r>
    </w:p>
    <w:p w:rsidR="00E450DB" w:rsidRPr="00E450DB" w:rsidRDefault="00E450DB" w:rsidP="00CA14FD">
      <w:pPr>
        <w:pStyle w:val="Bulletpoint2"/>
      </w:pPr>
      <w:r w:rsidRPr="00E450DB">
        <w:t>a description of the event</w:t>
      </w:r>
    </w:p>
    <w:p w:rsidR="00E450DB" w:rsidRPr="00E450DB" w:rsidRDefault="00E450DB" w:rsidP="00CA14FD">
      <w:pPr>
        <w:pStyle w:val="Bulletpoint2"/>
      </w:pPr>
      <w:r w:rsidRPr="00E450DB">
        <w:t>a description of the impact of the event</w:t>
      </w:r>
    </w:p>
    <w:p w:rsidR="00E450DB" w:rsidRPr="00E450DB" w:rsidRDefault="00E450DB" w:rsidP="00CA14FD">
      <w:pPr>
        <w:pStyle w:val="Bulletpoint2"/>
      </w:pPr>
      <w:r w:rsidRPr="00E450DB">
        <w:t>a quantification of the impact of the event on the network</w:t>
      </w:r>
      <w:r w:rsidR="00576B38">
        <w:rPr>
          <w:rStyle w:val="FootnoteReference"/>
        </w:rPr>
        <w:footnoteReference w:id="3"/>
      </w:r>
      <w:r w:rsidRPr="00E450DB">
        <w:t xml:space="preserve"> and service performance </w:t>
      </w:r>
    </w:p>
    <w:p w:rsidR="00E450DB" w:rsidRPr="00E450DB" w:rsidRDefault="00E450DB" w:rsidP="00CA14FD">
      <w:pPr>
        <w:pStyle w:val="Bulletpoint2"/>
      </w:pPr>
      <w:r w:rsidRPr="00E450DB">
        <w:t xml:space="preserve">reasons the event should be excluded and how they meet any relevant exclusion definition </w:t>
      </w:r>
    </w:p>
    <w:p w:rsidR="00E450DB" w:rsidRPr="00E450DB" w:rsidRDefault="00E450DB" w:rsidP="00CA14FD">
      <w:pPr>
        <w:pStyle w:val="Bulletpoint2"/>
      </w:pPr>
      <w:r w:rsidRPr="00E450DB">
        <w:t>for force majeure events, an analysis of how the definition meets the definition of force majeure in the service target performance incentive scheme and other such information as required under the scheme in relation to force majeure</w:t>
      </w:r>
    </w:p>
    <w:p w:rsidR="00E450DB" w:rsidRPr="00E450DB" w:rsidRDefault="00E450DB" w:rsidP="00CA14FD">
      <w:pPr>
        <w:pStyle w:val="Bulletpoint2"/>
      </w:pPr>
      <w:r w:rsidRPr="00E450DB">
        <w:t>for third party events, a description of where and how the event occurred and who is responsible for the event, and</w:t>
      </w:r>
    </w:p>
    <w:p w:rsidR="00E450DB" w:rsidRPr="00E450DB" w:rsidRDefault="00E450DB" w:rsidP="00CA14FD">
      <w:pPr>
        <w:pStyle w:val="Bulletpoint2"/>
      </w:pPr>
      <w:proofErr w:type="gramStart"/>
      <w:r w:rsidRPr="00E450DB">
        <w:t>where</w:t>
      </w:r>
      <w:proofErr w:type="gramEnd"/>
      <w:r w:rsidRPr="00E450DB">
        <w:t xml:space="preserve"> available, provide supporting documentation for the event.</w:t>
      </w:r>
      <w:r w:rsidR="00576B38">
        <w:rPr>
          <w:rStyle w:val="FootnoteReference"/>
        </w:rPr>
        <w:footnoteReference w:id="4"/>
      </w:r>
      <w:r w:rsidRPr="00E450DB">
        <w:t xml:space="preserve"> </w:t>
      </w:r>
    </w:p>
    <w:p w:rsidR="00E450DB" w:rsidRPr="00E450DB" w:rsidRDefault="00E450DB" w:rsidP="00CA14FD">
      <w:pPr>
        <w:pStyle w:val="Bulletpoint"/>
      </w:pPr>
      <w:r w:rsidRPr="00E450DB">
        <w:t>The primary drivers of performance in the present calendar year, including reasons for any significant changes in performance from the previous calendar year.</w:t>
      </w:r>
    </w:p>
    <w:p w:rsidR="00E450DB" w:rsidRPr="00E450DB" w:rsidRDefault="00E450DB" w:rsidP="00CA14FD">
      <w:pPr>
        <w:pStyle w:val="Bulletpoint"/>
      </w:pPr>
      <w:r w:rsidRPr="00E450DB">
        <w:t xml:space="preserve">The </w:t>
      </w:r>
      <w:r w:rsidRPr="00576B38">
        <w:rPr>
          <w:rStyle w:val="Emphasis"/>
        </w:rPr>
        <w:t xml:space="preserve">TNSP’s </w:t>
      </w:r>
      <w:r w:rsidRPr="00E450DB">
        <w:t xml:space="preserve">proposed service standards factor (s-factor) and financial incentive calculated in accordance with the </w:t>
      </w:r>
      <w:r w:rsidRPr="00576B38">
        <w:rPr>
          <w:rStyle w:val="Emphasis"/>
        </w:rPr>
        <w:t>transmission determination</w:t>
      </w:r>
      <w:r w:rsidRPr="00E450DB">
        <w:t xml:space="preserve"> and the </w:t>
      </w:r>
      <w:r w:rsidRPr="00576B38">
        <w:rPr>
          <w:rStyle w:val="Emphasis"/>
        </w:rPr>
        <w:t>service target performance incentive scheme</w:t>
      </w:r>
      <w:r w:rsidRPr="00E450DB">
        <w:t xml:space="preserve">. The </w:t>
      </w:r>
      <w:r w:rsidRPr="00576B38">
        <w:rPr>
          <w:rStyle w:val="Emphasis"/>
        </w:rPr>
        <w:t>TNSP</w:t>
      </w:r>
      <w:r w:rsidRPr="00E450DB">
        <w:t xml:space="preserve"> must report the value of the s factor and financial incentive both before and after any proposed exclusions.</w:t>
      </w:r>
    </w:p>
    <w:p w:rsidR="00E450DB" w:rsidRPr="00E450DB" w:rsidRDefault="00E450DB" w:rsidP="00CA14FD">
      <w:pPr>
        <w:pStyle w:val="Bulletpoint"/>
      </w:pPr>
      <w:r w:rsidRPr="00E450DB">
        <w:t xml:space="preserve">A list of the current criteria for any aspect of the </w:t>
      </w:r>
      <w:r w:rsidRPr="007E5A96">
        <w:rPr>
          <w:rStyle w:val="Emphasis"/>
        </w:rPr>
        <w:t>TNSP’s performance incentive scheme parameters</w:t>
      </w:r>
      <w:r w:rsidRPr="00E450DB">
        <w:t xml:space="preserve"> defined by the </w:t>
      </w:r>
      <w:r w:rsidRPr="007E5A96">
        <w:rPr>
          <w:rStyle w:val="Emphasis"/>
        </w:rPr>
        <w:t>TNSP</w:t>
      </w:r>
      <w:r w:rsidRPr="00E450DB">
        <w:t xml:space="preserve"> and subject to change during the </w:t>
      </w:r>
      <w:r w:rsidRPr="007E5A96">
        <w:rPr>
          <w:rStyle w:val="Emphasis"/>
        </w:rPr>
        <w:t>regulatory control period</w:t>
      </w:r>
      <w:r w:rsidRPr="00E450DB">
        <w:t>.</w:t>
      </w:r>
    </w:p>
    <w:p w:rsidR="00E450DB" w:rsidRPr="00E450DB" w:rsidRDefault="00E450DB" w:rsidP="007E5A96">
      <w:pPr>
        <w:pStyle w:val="Heading3"/>
      </w:pPr>
      <w:bookmarkStart w:id="48" w:name="_Toc414429973"/>
      <w:bookmarkStart w:id="49" w:name="_Toc415582100"/>
      <w:r w:rsidRPr="00E450DB">
        <w:t>Transition between regulatory control periods</w:t>
      </w:r>
      <w:bookmarkEnd w:id="48"/>
      <w:bookmarkEnd w:id="49"/>
    </w:p>
    <w:p w:rsidR="00E450DB" w:rsidRPr="00E450DB" w:rsidRDefault="00E450DB" w:rsidP="007E5A96">
      <w:pPr>
        <w:pStyle w:val="BodyTextFirstIndent"/>
        <w:ind w:firstLine="0"/>
      </w:pPr>
      <w:r w:rsidRPr="00E450DB">
        <w:t xml:space="preserve">Where the previous calendar year covers two </w:t>
      </w:r>
      <w:r w:rsidRPr="007E5A96">
        <w:rPr>
          <w:rStyle w:val="Emphasis"/>
        </w:rPr>
        <w:t>regulatory control periods</w:t>
      </w:r>
      <w:r w:rsidRPr="00E450DB">
        <w:t xml:space="preserve">, the </w:t>
      </w:r>
      <w:r w:rsidRPr="007E5A96">
        <w:rPr>
          <w:rStyle w:val="Emphasis"/>
        </w:rPr>
        <w:t>TNSP</w:t>
      </w:r>
      <w:r w:rsidRPr="00E450DB">
        <w:t xml:space="preserve"> must report its performance for:</w:t>
      </w:r>
    </w:p>
    <w:p w:rsidR="00E450DB" w:rsidRPr="00E450DB" w:rsidRDefault="00E450DB" w:rsidP="00CA14FD">
      <w:pPr>
        <w:pStyle w:val="Bulletpoint"/>
      </w:pPr>
      <w:r w:rsidRPr="00E450DB">
        <w:t xml:space="preserve">the period under the previous </w:t>
      </w:r>
      <w:r w:rsidRPr="007E5A96">
        <w:rPr>
          <w:rStyle w:val="Emphasis"/>
        </w:rPr>
        <w:t>regulatory control period</w:t>
      </w:r>
      <w:r w:rsidRPr="00E450DB">
        <w:t xml:space="preserve"> (from 1 January to 30 June and from 1 January to 31 March for </w:t>
      </w:r>
      <w:proofErr w:type="spellStart"/>
      <w:r w:rsidRPr="00E450DB">
        <w:t>AusNet</w:t>
      </w:r>
      <w:proofErr w:type="spellEnd"/>
      <w:r w:rsidRPr="00E450DB">
        <w:t xml:space="preserve"> Services) as measured by the </w:t>
      </w:r>
      <w:r w:rsidRPr="007E5A96">
        <w:rPr>
          <w:rStyle w:val="Emphasis"/>
        </w:rPr>
        <w:t>performance incentive scheme parameters</w:t>
      </w:r>
      <w:r w:rsidRPr="00E450DB">
        <w:t xml:space="preserve"> that applied to the </w:t>
      </w:r>
      <w:r w:rsidRPr="007E5A96">
        <w:rPr>
          <w:rStyle w:val="Emphasis"/>
        </w:rPr>
        <w:t>TNSP</w:t>
      </w:r>
      <w:r w:rsidRPr="00E450DB">
        <w:t xml:space="preserve"> under the previous </w:t>
      </w:r>
      <w:r w:rsidRPr="007E5A96">
        <w:rPr>
          <w:rStyle w:val="Emphasis"/>
        </w:rPr>
        <w:t>regulatory control period</w:t>
      </w:r>
      <w:r w:rsidRPr="00E450DB">
        <w:t xml:space="preserve"> </w:t>
      </w:r>
    </w:p>
    <w:p w:rsidR="00E450DB" w:rsidRPr="00E450DB" w:rsidRDefault="00E450DB" w:rsidP="00CA14FD">
      <w:pPr>
        <w:pStyle w:val="Bulletpoint"/>
      </w:pPr>
      <w:proofErr w:type="gramStart"/>
      <w:r w:rsidRPr="00E450DB">
        <w:t>the</w:t>
      </w:r>
      <w:proofErr w:type="gramEnd"/>
      <w:r w:rsidRPr="00E450DB">
        <w:t xml:space="preserve"> period under the current </w:t>
      </w:r>
      <w:r w:rsidRPr="007E5A96">
        <w:rPr>
          <w:rStyle w:val="Emphasis"/>
        </w:rPr>
        <w:t>regulatory control period</w:t>
      </w:r>
      <w:r w:rsidRPr="00E450DB">
        <w:t xml:space="preserve"> (from 1 July to 31 December and from 1 April to 31 December for </w:t>
      </w:r>
      <w:proofErr w:type="spellStart"/>
      <w:r w:rsidRPr="00E450DB">
        <w:t>AusNet</w:t>
      </w:r>
      <w:proofErr w:type="spellEnd"/>
      <w:r w:rsidRPr="00E450DB">
        <w:t xml:space="preserve"> Services) as measured by the </w:t>
      </w:r>
      <w:r w:rsidRPr="007E5A96">
        <w:rPr>
          <w:rStyle w:val="Emphasis"/>
        </w:rPr>
        <w:t>performance incentive scheme parameters</w:t>
      </w:r>
      <w:r w:rsidRPr="00E450DB">
        <w:t xml:space="preserve"> that apply to the </w:t>
      </w:r>
      <w:r w:rsidRPr="007E5A96">
        <w:rPr>
          <w:rStyle w:val="Emphasis"/>
        </w:rPr>
        <w:t>TNSP</w:t>
      </w:r>
      <w:r w:rsidRPr="00E450DB">
        <w:t xml:space="preserve"> under the current </w:t>
      </w:r>
      <w:r w:rsidRPr="007E5A96">
        <w:rPr>
          <w:rStyle w:val="Emphasis"/>
        </w:rPr>
        <w:t>regulatory control period</w:t>
      </w:r>
      <w:r w:rsidRPr="00E450DB">
        <w:t>.</w:t>
      </w:r>
    </w:p>
    <w:p w:rsidR="00E450DB" w:rsidRPr="00E450DB" w:rsidRDefault="00E450DB" w:rsidP="007E5A96">
      <w:pPr>
        <w:pStyle w:val="Heading3"/>
      </w:pPr>
      <w:bookmarkStart w:id="50" w:name="_Toc414429974"/>
      <w:bookmarkStart w:id="51" w:name="_Toc415582101"/>
      <w:r w:rsidRPr="00E450DB">
        <w:t>Templates and performance reports</w:t>
      </w:r>
      <w:bookmarkEnd w:id="50"/>
      <w:bookmarkEnd w:id="51"/>
    </w:p>
    <w:p w:rsidR="00E450DB" w:rsidRPr="00E450DB" w:rsidRDefault="00E450DB" w:rsidP="007E5A96">
      <w:pPr>
        <w:pStyle w:val="BodyTextFirstIndent"/>
        <w:ind w:firstLine="0"/>
      </w:pPr>
      <w:r w:rsidRPr="00E450DB">
        <w:t xml:space="preserve">We will provide each </w:t>
      </w:r>
      <w:r w:rsidRPr="007E5A96">
        <w:rPr>
          <w:rStyle w:val="Emphasis"/>
        </w:rPr>
        <w:t>TNSP</w:t>
      </w:r>
      <w:r w:rsidRPr="00E450DB">
        <w:t xml:space="preserve"> with a customised service perfo</w:t>
      </w:r>
      <w:r w:rsidR="00CA14FD">
        <w:t>rmance reporting template by 15 </w:t>
      </w:r>
      <w:r w:rsidRPr="00E450DB">
        <w:t xml:space="preserve">December each year. Each </w:t>
      </w:r>
      <w:r w:rsidRPr="007E5A96">
        <w:rPr>
          <w:rStyle w:val="Emphasis"/>
        </w:rPr>
        <w:t>TNSP</w:t>
      </w:r>
      <w:r w:rsidRPr="00E450DB">
        <w:t xml:space="preserve"> must use this template to report relevant service performance information to us.</w:t>
      </w:r>
    </w:p>
    <w:p w:rsidR="00E450DB" w:rsidRPr="00E450DB" w:rsidRDefault="00E450DB" w:rsidP="007E5A96">
      <w:pPr>
        <w:pStyle w:val="BodyTextFirstIndent"/>
        <w:ind w:firstLine="0"/>
      </w:pPr>
      <w:r w:rsidRPr="00E450DB">
        <w:t xml:space="preserve">Each </w:t>
      </w:r>
      <w:r w:rsidRPr="007E5A96">
        <w:rPr>
          <w:rStyle w:val="Emphasis"/>
        </w:rPr>
        <w:t>TNSP’s</w:t>
      </w:r>
      <w:r w:rsidRPr="00E450DB">
        <w:t xml:space="preserve"> service performance reporting template will be customised to allow for the differences in the </w:t>
      </w:r>
      <w:r w:rsidRPr="007E5A96">
        <w:rPr>
          <w:rStyle w:val="Emphasis"/>
        </w:rPr>
        <w:t>performance incentive scheme parameters</w:t>
      </w:r>
      <w:r w:rsidRPr="00E450DB">
        <w:t xml:space="preserve">, weightings and values that apply to each </w:t>
      </w:r>
      <w:r w:rsidRPr="007E5A96">
        <w:rPr>
          <w:rStyle w:val="Emphasis"/>
        </w:rPr>
        <w:t>TNSP</w:t>
      </w:r>
      <w:r w:rsidRPr="00E450DB">
        <w:t xml:space="preserve"> under the </w:t>
      </w:r>
      <w:r w:rsidRPr="007E5A96">
        <w:rPr>
          <w:rStyle w:val="Emphasis"/>
        </w:rPr>
        <w:t>service target performance incentive scheme</w:t>
      </w:r>
      <w:r w:rsidRPr="00E450DB">
        <w:t>. A sample service performance rep</w:t>
      </w:r>
      <w:r w:rsidR="00303D4F">
        <w:t>orting template is provided in A</w:t>
      </w:r>
      <w:r w:rsidRPr="00E450DB">
        <w:t>ppendix B.</w:t>
      </w:r>
    </w:p>
    <w:p w:rsidR="00E450DB" w:rsidRPr="00E450DB" w:rsidRDefault="00E450DB" w:rsidP="007E5A96">
      <w:pPr>
        <w:pStyle w:val="BodyTextFirstIndent"/>
        <w:ind w:firstLine="0"/>
      </w:pPr>
      <w:r w:rsidRPr="00E450DB">
        <w:t xml:space="preserve">We will provide guidance on completing each </w:t>
      </w:r>
      <w:r w:rsidRPr="007E5A96">
        <w:rPr>
          <w:rStyle w:val="Emphasis"/>
        </w:rPr>
        <w:t>TNSP’s</w:t>
      </w:r>
      <w:r w:rsidRPr="00E450DB">
        <w:t xml:space="preserve"> customised service performance reporting template. </w:t>
      </w:r>
    </w:p>
    <w:p w:rsidR="00E450DB" w:rsidRPr="00E450DB" w:rsidRDefault="00E450DB" w:rsidP="007E5A96">
      <w:pPr>
        <w:pStyle w:val="BodyTextFirstIndent"/>
        <w:ind w:firstLine="0"/>
      </w:pPr>
      <w:r w:rsidRPr="00E450DB">
        <w:t xml:space="preserve">We will update each </w:t>
      </w:r>
      <w:r w:rsidRPr="007E5A96">
        <w:rPr>
          <w:rStyle w:val="Emphasis"/>
        </w:rPr>
        <w:t>TNSP’s</w:t>
      </w:r>
      <w:r w:rsidRPr="00E450DB">
        <w:t xml:space="preserve"> reporting template annually to:</w:t>
      </w:r>
    </w:p>
    <w:p w:rsidR="00E450DB" w:rsidRPr="00E450DB" w:rsidRDefault="00E450DB" w:rsidP="007E5A96">
      <w:pPr>
        <w:pStyle w:val="ListBullet"/>
      </w:pPr>
      <w:r w:rsidRPr="00E450DB">
        <w:t xml:space="preserve">account for changes in the </w:t>
      </w:r>
      <w:r w:rsidRPr="007E5A96">
        <w:rPr>
          <w:rStyle w:val="Emphasis"/>
        </w:rPr>
        <w:t>performance incentive scheme parameters</w:t>
      </w:r>
      <w:r w:rsidRPr="00E450DB">
        <w:t xml:space="preserve"> or values that apply to the </w:t>
      </w:r>
      <w:r w:rsidRPr="007E5A96">
        <w:rPr>
          <w:rStyle w:val="Emphasis"/>
        </w:rPr>
        <w:t>TNSP</w:t>
      </w:r>
      <w:r w:rsidRPr="00E450DB">
        <w:t xml:space="preserve"> under the </w:t>
      </w:r>
      <w:r w:rsidRPr="007E5A96">
        <w:rPr>
          <w:rStyle w:val="Emphasis"/>
        </w:rPr>
        <w:t>service target performance incentive scheme</w:t>
      </w:r>
    </w:p>
    <w:p w:rsidR="00E450DB" w:rsidRPr="00E450DB" w:rsidRDefault="00E450DB" w:rsidP="00CA14FD">
      <w:pPr>
        <w:pStyle w:val="Bulletpoint"/>
      </w:pPr>
      <w:r w:rsidRPr="00E450DB">
        <w:t xml:space="preserve">account for changes in the variables which affect the calculation of the financial incentive under the </w:t>
      </w:r>
      <w:r w:rsidRPr="007E5A96">
        <w:rPr>
          <w:rStyle w:val="Emphasis"/>
        </w:rPr>
        <w:t>service target performance incentive scheme</w:t>
      </w:r>
      <w:r w:rsidRPr="00E450DB">
        <w:t xml:space="preserve"> (for example, changes to consumer price index inputs)</w:t>
      </w:r>
    </w:p>
    <w:p w:rsidR="00E450DB" w:rsidRPr="00E450DB" w:rsidRDefault="00E450DB" w:rsidP="00CA14FD">
      <w:pPr>
        <w:pStyle w:val="Bulletpoint"/>
      </w:pPr>
      <w:proofErr w:type="gramStart"/>
      <w:r w:rsidRPr="00E450DB">
        <w:t>update</w:t>
      </w:r>
      <w:proofErr w:type="gramEnd"/>
      <w:r w:rsidRPr="00E450DB">
        <w:t xml:space="preserve"> references to the correct reporting period and financial year.</w:t>
      </w:r>
    </w:p>
    <w:p w:rsidR="00E450DB" w:rsidRPr="00E450DB" w:rsidRDefault="00E450DB" w:rsidP="007E5A96">
      <w:pPr>
        <w:pStyle w:val="BodyTextFirstIndent"/>
        <w:ind w:firstLine="0"/>
      </w:pPr>
      <w:r w:rsidRPr="00E450DB">
        <w:t xml:space="preserve">We will consult with affected </w:t>
      </w:r>
      <w:r w:rsidRPr="007E5A96">
        <w:rPr>
          <w:rStyle w:val="Emphasis"/>
        </w:rPr>
        <w:t>TNSP</w:t>
      </w:r>
      <w:r w:rsidRPr="00841E32">
        <w:rPr>
          <w:rStyle w:val="Emphasis"/>
        </w:rPr>
        <w:t>s</w:t>
      </w:r>
      <w:r w:rsidRPr="00E450DB">
        <w:t xml:space="preserve"> when making these changes.</w:t>
      </w:r>
    </w:p>
    <w:p w:rsidR="00E450DB" w:rsidRPr="00E450DB" w:rsidRDefault="00E450DB" w:rsidP="007E5A96">
      <w:pPr>
        <w:pStyle w:val="BodyTextFirstIndent"/>
        <w:ind w:firstLine="0"/>
      </w:pPr>
      <w:r w:rsidRPr="007E5A96">
        <w:rPr>
          <w:rStyle w:val="Emphasis"/>
        </w:rPr>
        <w:t>TNSPs</w:t>
      </w:r>
      <w:r w:rsidRPr="00E450DB">
        <w:t xml:space="preserve"> must report any service performance information:</w:t>
      </w:r>
    </w:p>
    <w:p w:rsidR="00E450DB" w:rsidRPr="00E450DB" w:rsidRDefault="00E450DB" w:rsidP="00CA14FD">
      <w:pPr>
        <w:pStyle w:val="Bulletpoint"/>
      </w:pPr>
      <w:r w:rsidRPr="00E450DB">
        <w:t xml:space="preserve">required by this </w:t>
      </w:r>
      <w:r w:rsidRPr="007E5A96">
        <w:rPr>
          <w:rStyle w:val="Emphasis"/>
        </w:rPr>
        <w:t>guideline</w:t>
      </w:r>
      <w:r w:rsidRPr="00E450DB">
        <w:t xml:space="preserve"> but not provided for in the service performance reporting template </w:t>
      </w:r>
    </w:p>
    <w:p w:rsidR="00E450DB" w:rsidRPr="00E450DB" w:rsidRDefault="00E450DB" w:rsidP="00CA14FD">
      <w:pPr>
        <w:pStyle w:val="Bulletpoint"/>
      </w:pPr>
      <w:r w:rsidRPr="00E450DB">
        <w:t xml:space="preserve">additional supporting information </w:t>
      </w:r>
    </w:p>
    <w:p w:rsidR="00E450DB" w:rsidRPr="00E450DB" w:rsidRDefault="00E450DB" w:rsidP="007E5A96">
      <w:pPr>
        <w:pStyle w:val="BodyTextFirstIndent"/>
        <w:ind w:firstLine="0"/>
      </w:pPr>
      <w:proofErr w:type="gramStart"/>
      <w:r w:rsidRPr="00E450DB">
        <w:t>in</w:t>
      </w:r>
      <w:proofErr w:type="gramEnd"/>
      <w:r w:rsidRPr="00E450DB">
        <w:t xml:space="preserve"> a separate performance report. Each </w:t>
      </w:r>
      <w:r w:rsidRPr="007E5A96">
        <w:rPr>
          <w:rStyle w:val="Emphasis"/>
        </w:rPr>
        <w:t xml:space="preserve">TNSP </w:t>
      </w:r>
      <w:r w:rsidRPr="00E450DB">
        <w:t xml:space="preserve">must prepare this performance report and submit it to us with the </w:t>
      </w:r>
      <w:r w:rsidRPr="007E5A96">
        <w:rPr>
          <w:rStyle w:val="Emphasis"/>
        </w:rPr>
        <w:t xml:space="preserve">TNSP’s </w:t>
      </w:r>
      <w:r w:rsidRPr="00E450DB">
        <w:t>service performance reporting template.</w:t>
      </w:r>
    </w:p>
    <w:p w:rsidR="00E450DB" w:rsidRPr="00E450DB" w:rsidRDefault="00E450DB" w:rsidP="007E5A96">
      <w:pPr>
        <w:pStyle w:val="Heading3"/>
      </w:pPr>
      <w:bookmarkStart w:id="52" w:name="_Toc414429975"/>
      <w:bookmarkStart w:id="53" w:name="_Toc415582102"/>
      <w:r w:rsidRPr="00E450DB">
        <w:t>Compliance review</w:t>
      </w:r>
      <w:bookmarkEnd w:id="52"/>
      <w:bookmarkEnd w:id="53"/>
    </w:p>
    <w:p w:rsidR="00E450DB" w:rsidRPr="00E450DB" w:rsidRDefault="00E450DB" w:rsidP="007E5A96">
      <w:pPr>
        <w:pStyle w:val="BodyTextFirstIndent"/>
        <w:ind w:firstLine="0"/>
      </w:pPr>
      <w:r w:rsidRPr="00E450DB">
        <w:t xml:space="preserve">We will conduct an annual review of the service performance information in accordance with the </w:t>
      </w:r>
      <w:r w:rsidRPr="007E5A96">
        <w:rPr>
          <w:rStyle w:val="Emphasis"/>
        </w:rPr>
        <w:t>service target performance incentive scheme</w:t>
      </w:r>
      <w:r w:rsidRPr="00E450DB">
        <w:t xml:space="preserve">. </w:t>
      </w:r>
    </w:p>
    <w:p w:rsidR="00E450DB" w:rsidRPr="00E450DB" w:rsidRDefault="00E450DB" w:rsidP="007E5A96">
      <w:pPr>
        <w:pStyle w:val="Heading3"/>
      </w:pPr>
      <w:bookmarkStart w:id="54" w:name="_Toc414429976"/>
      <w:bookmarkStart w:id="55" w:name="_Toc415582103"/>
      <w:r w:rsidRPr="00E450DB">
        <w:t>Publication and disclosure of information</w:t>
      </w:r>
      <w:bookmarkEnd w:id="54"/>
      <w:bookmarkEnd w:id="55"/>
    </w:p>
    <w:p w:rsidR="00E450DB" w:rsidRPr="00E450DB" w:rsidRDefault="00E450DB" w:rsidP="007E5A96">
      <w:pPr>
        <w:pStyle w:val="BodyTextFirstIndent"/>
        <w:ind w:firstLine="0"/>
      </w:pPr>
      <w:r w:rsidRPr="00E450DB">
        <w:t xml:space="preserve">We intend to publish all relevant information from the compliance review process on the </w:t>
      </w:r>
      <w:r w:rsidRPr="007E5A96">
        <w:rPr>
          <w:rStyle w:val="Emphasis"/>
        </w:rPr>
        <w:t>AER’s</w:t>
      </w:r>
      <w:r w:rsidRPr="00E450DB">
        <w:t xml:space="preserve"> website. </w:t>
      </w:r>
      <w:r w:rsidRPr="007E5A96">
        <w:rPr>
          <w:rStyle w:val="Emphasis"/>
        </w:rPr>
        <w:t>TNSPs</w:t>
      </w:r>
      <w:r w:rsidRPr="00E450DB">
        <w:t xml:space="preserve"> submitting confidential information are requested to comply with </w:t>
      </w:r>
      <w:r w:rsidR="00CA14FD">
        <w:t>our</w:t>
      </w:r>
      <w:r w:rsidRPr="00E450DB">
        <w:t xml:space="preserve"> Confidentiality Guideline when submitting any service performance information. Further information about the use and disclosure of information provided to us is set out in the </w:t>
      </w:r>
      <w:hyperlink r:id="rId14" w:history="1">
        <w:r w:rsidR="007E5A96" w:rsidRPr="007E5A96">
          <w:rPr>
            <w:rStyle w:val="Hyperlink"/>
          </w:rPr>
          <w:t>ACCC/AER Information Policy, June 2014</w:t>
        </w:r>
      </w:hyperlink>
      <w:r w:rsidRPr="00E450DB">
        <w:t>.</w:t>
      </w:r>
    </w:p>
    <w:p w:rsidR="009279FF" w:rsidRDefault="009279FF" w:rsidP="009279FF">
      <w:pPr>
        <w:pStyle w:val="BodyTextFirstIndent"/>
      </w:pPr>
    </w:p>
    <w:p w:rsidR="00156D0D" w:rsidRPr="00156D0D" w:rsidRDefault="00156D0D" w:rsidP="00156D0D">
      <w:pPr>
        <w:pStyle w:val="Heading1"/>
      </w:pPr>
      <w:bookmarkStart w:id="56" w:name="_Toc405977451"/>
      <w:bookmarkStart w:id="57" w:name="_Toc415582104"/>
      <w:r w:rsidRPr="00156D0D">
        <w:t xml:space="preserve">Guide </w:t>
      </w:r>
      <w:r w:rsidR="00CA14FD">
        <w:t>to</w:t>
      </w:r>
      <w:r w:rsidR="00CA14FD" w:rsidRPr="00156D0D">
        <w:t xml:space="preserve"> </w:t>
      </w:r>
      <w:r w:rsidRPr="00156D0D">
        <w:t>completing pro forma statements</w:t>
      </w:r>
      <w:bookmarkEnd w:id="56"/>
      <w:bookmarkEnd w:id="57"/>
    </w:p>
    <w:p w:rsidR="00156D0D" w:rsidRPr="00156D0D" w:rsidRDefault="00156D0D" w:rsidP="00156D0D">
      <w:pPr>
        <w:pStyle w:val="Heading2"/>
      </w:pPr>
      <w:bookmarkStart w:id="58" w:name="_Toc405977452"/>
      <w:bookmarkStart w:id="59" w:name="_Toc415582105"/>
      <w:r w:rsidRPr="00156D0D">
        <w:t>Disaggregation of income</w:t>
      </w:r>
      <w:bookmarkEnd w:id="58"/>
      <w:bookmarkEnd w:id="59"/>
    </w:p>
    <w:p w:rsidR="00156D0D" w:rsidRPr="00156D0D" w:rsidRDefault="00156D0D" w:rsidP="00156D0D">
      <w:pPr>
        <w:pStyle w:val="BodyText"/>
      </w:pPr>
      <w:r w:rsidRPr="00156D0D">
        <w:t xml:space="preserve">Items of income in the </w:t>
      </w:r>
      <w:r w:rsidRPr="00156D0D">
        <w:rPr>
          <w:rStyle w:val="Emphasis"/>
        </w:rPr>
        <w:t>base accounts</w:t>
      </w:r>
      <w:r w:rsidRPr="00156D0D">
        <w:t xml:space="preserve"> shall be disaggregated between </w:t>
      </w:r>
      <w:r w:rsidRPr="00156D0D">
        <w:rPr>
          <w:rStyle w:val="Emphasis"/>
        </w:rPr>
        <w:t>business segments</w:t>
      </w:r>
      <w:r w:rsidRPr="00156D0D">
        <w:t xml:space="preserve"> according to the principles set out in section 2 of this </w:t>
      </w:r>
      <w:r w:rsidR="00CA14FD" w:rsidRPr="00CA14FD">
        <w:rPr>
          <w:rStyle w:val="Emphasis"/>
        </w:rPr>
        <w:t>guideline</w:t>
      </w:r>
      <w:r w:rsidRPr="00156D0D">
        <w:t>.</w:t>
      </w:r>
    </w:p>
    <w:p w:rsidR="00156D0D" w:rsidRPr="00156D0D" w:rsidRDefault="00156D0D" w:rsidP="00156D0D">
      <w:pPr>
        <w:pStyle w:val="BodyText"/>
      </w:pPr>
      <w:r w:rsidRPr="00156D0D">
        <w:t xml:space="preserve">The </w:t>
      </w:r>
      <w:r w:rsidRPr="00156D0D">
        <w:rPr>
          <w:rStyle w:val="Emphasis"/>
        </w:rPr>
        <w:t>regulatory financial statements</w:t>
      </w:r>
      <w:r w:rsidRPr="00156D0D">
        <w:t xml:space="preserve"> shall provide</w:t>
      </w:r>
      <w:r w:rsidR="00CA14FD">
        <w:t>,</w:t>
      </w:r>
      <w:r w:rsidRPr="00156D0D">
        <w:t xml:space="preserve"> for the </w:t>
      </w:r>
      <w:r w:rsidRPr="00156D0D">
        <w:rPr>
          <w:rStyle w:val="Emphasis"/>
        </w:rPr>
        <w:t>prescribed services segment</w:t>
      </w:r>
      <w:r w:rsidRPr="00156D0D">
        <w:t>, an analysis of income by principle component, together with a description of each component.</w:t>
      </w:r>
    </w:p>
    <w:p w:rsidR="00156D0D" w:rsidRPr="00156D0D" w:rsidRDefault="00156D0D" w:rsidP="00156D0D">
      <w:pPr>
        <w:pStyle w:val="Heading2"/>
      </w:pPr>
      <w:bookmarkStart w:id="60" w:name="_Toc405977453"/>
      <w:bookmarkStart w:id="61" w:name="_Toc415582106"/>
      <w:r w:rsidRPr="00156D0D">
        <w:t>Inter-segmental transactions</w:t>
      </w:r>
      <w:bookmarkEnd w:id="60"/>
      <w:bookmarkEnd w:id="61"/>
    </w:p>
    <w:p w:rsidR="00156D0D" w:rsidRPr="00156D0D" w:rsidRDefault="00156D0D" w:rsidP="00156D0D">
      <w:pPr>
        <w:pStyle w:val="BodyText"/>
      </w:pPr>
      <w:r w:rsidRPr="00156D0D">
        <w:t xml:space="preserve">The </w:t>
      </w:r>
      <w:r w:rsidRPr="00156D0D">
        <w:rPr>
          <w:rStyle w:val="Emphasis"/>
        </w:rPr>
        <w:t>base accounts</w:t>
      </w:r>
      <w:r w:rsidRPr="00156D0D">
        <w:t xml:space="preserve"> may not account for transactions between business segments. Accordingly, </w:t>
      </w:r>
      <w:r w:rsidRPr="00156D0D">
        <w:rPr>
          <w:rStyle w:val="Emphasis"/>
        </w:rPr>
        <w:t>inter-segmental income</w:t>
      </w:r>
      <w:r w:rsidRPr="00156D0D">
        <w:t xml:space="preserve"> and the corresponding costs shall be recorded in the profit and loss accounts of the </w:t>
      </w:r>
      <w:r w:rsidRPr="00156D0D">
        <w:rPr>
          <w:rStyle w:val="Emphasis"/>
        </w:rPr>
        <w:t>business segments</w:t>
      </w:r>
      <w:r w:rsidRPr="00156D0D">
        <w:t xml:space="preserve"> in which they arise.</w:t>
      </w:r>
    </w:p>
    <w:p w:rsidR="00156D0D" w:rsidRPr="00156D0D" w:rsidRDefault="00156D0D" w:rsidP="00156D0D">
      <w:pPr>
        <w:pStyle w:val="BodyText"/>
      </w:pPr>
      <w:r w:rsidRPr="00156D0D">
        <w:t xml:space="preserve">For each item of </w:t>
      </w:r>
      <w:r w:rsidRPr="00156D0D">
        <w:rPr>
          <w:rStyle w:val="Emphasis"/>
        </w:rPr>
        <w:t>inter-segmental income</w:t>
      </w:r>
      <w:r w:rsidRPr="00156D0D">
        <w:t xml:space="preserve"> or </w:t>
      </w:r>
      <w:r w:rsidRPr="00156D0D">
        <w:rPr>
          <w:rStyle w:val="Emphasis"/>
        </w:rPr>
        <w:t>inter-segmental cost</w:t>
      </w:r>
      <w:r w:rsidRPr="00156D0D">
        <w:t xml:space="preserve"> arising in each of the </w:t>
      </w:r>
      <w:r w:rsidRPr="00156D0D">
        <w:rPr>
          <w:rStyle w:val="Emphasis"/>
        </w:rPr>
        <w:t>business segments</w:t>
      </w:r>
      <w:r w:rsidRPr="00156D0D">
        <w:t xml:space="preserve">, the </w:t>
      </w:r>
      <w:r w:rsidRPr="00156D0D">
        <w:rPr>
          <w:rStyle w:val="Emphasis"/>
        </w:rPr>
        <w:t>regulatory financial statements</w:t>
      </w:r>
      <w:r w:rsidRPr="00156D0D">
        <w:t xml:space="preserve"> shall also disclose a disaggregation journal that follows the principles of double-entry bookkeeping and provides descriptions of the:</w:t>
      </w:r>
    </w:p>
    <w:p w:rsidR="00156D0D" w:rsidRPr="00156D0D" w:rsidRDefault="00156D0D" w:rsidP="0077180D">
      <w:pPr>
        <w:pStyle w:val="ListBullet"/>
      </w:pPr>
      <w:r w:rsidRPr="00156D0D">
        <w:t>item</w:t>
      </w:r>
    </w:p>
    <w:p w:rsidR="00156D0D" w:rsidRPr="00156D0D" w:rsidRDefault="00156D0D" w:rsidP="0077180D">
      <w:pPr>
        <w:pStyle w:val="ListBullet"/>
      </w:pPr>
      <w:r w:rsidRPr="00156D0D">
        <w:t>balancing accounting entry or entries</w:t>
      </w:r>
    </w:p>
    <w:p w:rsidR="00156D0D" w:rsidRPr="00156D0D" w:rsidRDefault="00156D0D" w:rsidP="0077180D">
      <w:pPr>
        <w:pStyle w:val="ListBullet"/>
      </w:pPr>
      <w:proofErr w:type="gramStart"/>
      <w:r w:rsidRPr="00156D0D">
        <w:rPr>
          <w:rStyle w:val="Emphasis"/>
        </w:rPr>
        <w:t>business</w:t>
      </w:r>
      <w:proofErr w:type="gramEnd"/>
      <w:r w:rsidRPr="00156D0D">
        <w:rPr>
          <w:rStyle w:val="Emphasis"/>
        </w:rPr>
        <w:t xml:space="preserve"> segment</w:t>
      </w:r>
      <w:r w:rsidRPr="00156D0D">
        <w:t xml:space="preserve"> or </w:t>
      </w:r>
      <w:r w:rsidRPr="00156D0D">
        <w:rPr>
          <w:rStyle w:val="Emphasis"/>
        </w:rPr>
        <w:t>segments</w:t>
      </w:r>
      <w:r w:rsidRPr="00156D0D">
        <w:t>, in whose income and expenditure account or accounts the balancing accounting entries arise.</w:t>
      </w:r>
    </w:p>
    <w:p w:rsidR="00156D0D" w:rsidRPr="00156D0D" w:rsidRDefault="00156D0D" w:rsidP="00156D0D">
      <w:pPr>
        <w:pStyle w:val="Heading2"/>
      </w:pPr>
      <w:bookmarkStart w:id="62" w:name="_Toc405977454"/>
      <w:bookmarkStart w:id="63" w:name="_Toc415582107"/>
      <w:r w:rsidRPr="00156D0D">
        <w:t>Operating and maintenance (</w:t>
      </w:r>
      <w:proofErr w:type="spellStart"/>
      <w:r w:rsidRPr="00156D0D">
        <w:t>opex</w:t>
      </w:r>
      <w:proofErr w:type="spellEnd"/>
      <w:r w:rsidRPr="00156D0D">
        <w:t>) costs</w:t>
      </w:r>
      <w:bookmarkEnd w:id="62"/>
      <w:bookmarkEnd w:id="63"/>
    </w:p>
    <w:p w:rsidR="00156D0D" w:rsidRPr="00156D0D" w:rsidRDefault="00156D0D" w:rsidP="00156D0D">
      <w:pPr>
        <w:pStyle w:val="BodyText"/>
      </w:pPr>
      <w:r w:rsidRPr="00156D0D">
        <w:t xml:space="preserve">The </w:t>
      </w:r>
      <w:r w:rsidRPr="00156D0D">
        <w:rPr>
          <w:rStyle w:val="Emphasis"/>
        </w:rPr>
        <w:t>regulatory financial statements</w:t>
      </w:r>
      <w:r w:rsidRPr="00156D0D">
        <w:t xml:space="preserve"> shall include a note that:</w:t>
      </w:r>
    </w:p>
    <w:p w:rsidR="00156D0D" w:rsidRPr="00156D0D" w:rsidRDefault="00156D0D" w:rsidP="0077180D">
      <w:pPr>
        <w:pStyle w:val="ListBullet"/>
      </w:pPr>
      <w:r w:rsidRPr="00156D0D">
        <w:t xml:space="preserve">dissects the </w:t>
      </w:r>
      <w:proofErr w:type="spellStart"/>
      <w:r w:rsidRPr="00156D0D">
        <w:t>opex</w:t>
      </w:r>
      <w:proofErr w:type="spellEnd"/>
      <w:r w:rsidRPr="00156D0D">
        <w:t xml:space="preserve"> costs by </w:t>
      </w:r>
      <w:r w:rsidRPr="00156D0D">
        <w:rPr>
          <w:rStyle w:val="Emphasis"/>
        </w:rPr>
        <w:t>account heading</w:t>
      </w:r>
    </w:p>
    <w:p w:rsidR="00156D0D" w:rsidRPr="00156D0D" w:rsidRDefault="00156D0D" w:rsidP="0077180D">
      <w:pPr>
        <w:pStyle w:val="ListBullet"/>
      </w:pPr>
      <w:r w:rsidRPr="00156D0D">
        <w:t xml:space="preserve">disaggregates the </w:t>
      </w:r>
      <w:proofErr w:type="spellStart"/>
      <w:r w:rsidRPr="00156D0D">
        <w:t>opex</w:t>
      </w:r>
      <w:proofErr w:type="spellEnd"/>
      <w:r w:rsidRPr="00156D0D">
        <w:t xml:space="preserve"> costs disclosed by each </w:t>
      </w:r>
      <w:r w:rsidRPr="00156D0D">
        <w:rPr>
          <w:rStyle w:val="Emphasis"/>
        </w:rPr>
        <w:t>account heading</w:t>
      </w:r>
      <w:r w:rsidRPr="00156D0D">
        <w:t xml:space="preserve">, across </w:t>
      </w:r>
      <w:r w:rsidRPr="00156D0D">
        <w:rPr>
          <w:rStyle w:val="Emphasis"/>
        </w:rPr>
        <w:t>business segments</w:t>
      </w:r>
    </w:p>
    <w:p w:rsidR="00156D0D" w:rsidRPr="00156D0D" w:rsidRDefault="00156D0D" w:rsidP="0077180D">
      <w:pPr>
        <w:pStyle w:val="ListBullet"/>
      </w:pPr>
      <w:r w:rsidRPr="00156D0D">
        <w:t xml:space="preserve">provides an audit trail to the </w:t>
      </w:r>
      <w:r w:rsidRPr="0077180D">
        <w:rPr>
          <w:rStyle w:val="Emphasis"/>
        </w:rPr>
        <w:t>account code</w:t>
      </w:r>
      <w:r w:rsidRPr="00156D0D">
        <w:t xml:space="preserve"> or </w:t>
      </w:r>
      <w:r w:rsidRPr="0077180D">
        <w:rPr>
          <w:rStyle w:val="Emphasis"/>
        </w:rPr>
        <w:t>account codes</w:t>
      </w:r>
      <w:r w:rsidRPr="00156D0D">
        <w:t xml:space="preserve"> that each </w:t>
      </w:r>
      <w:r w:rsidRPr="0077180D">
        <w:rPr>
          <w:rStyle w:val="Emphasis"/>
        </w:rPr>
        <w:t>account heading</w:t>
      </w:r>
      <w:r w:rsidRPr="00156D0D">
        <w:t xml:space="preserve"> represents or is based on</w:t>
      </w:r>
    </w:p>
    <w:p w:rsidR="00156D0D" w:rsidRPr="00156D0D" w:rsidRDefault="00156D0D" w:rsidP="0077180D">
      <w:pPr>
        <w:pStyle w:val="ListBullet"/>
      </w:pPr>
      <w:r w:rsidRPr="00156D0D">
        <w:t xml:space="preserve">provides totals by </w:t>
      </w:r>
      <w:r w:rsidRPr="0077180D">
        <w:rPr>
          <w:rStyle w:val="Emphasis"/>
        </w:rPr>
        <w:t>account heading</w:t>
      </w:r>
      <w:r w:rsidRPr="00156D0D">
        <w:t xml:space="preserve"> and </w:t>
      </w:r>
      <w:r w:rsidRPr="0077180D">
        <w:rPr>
          <w:rStyle w:val="Emphasis"/>
        </w:rPr>
        <w:t>business segment</w:t>
      </w:r>
    </w:p>
    <w:p w:rsidR="00156D0D" w:rsidRPr="00156D0D" w:rsidRDefault="00156D0D" w:rsidP="0077180D">
      <w:pPr>
        <w:pStyle w:val="ListBullet"/>
      </w:pPr>
      <w:r w:rsidRPr="00156D0D">
        <w:t xml:space="preserve">discloses the descriptions and amounts of </w:t>
      </w:r>
      <w:proofErr w:type="spellStart"/>
      <w:r w:rsidRPr="00156D0D">
        <w:t>opex</w:t>
      </w:r>
      <w:proofErr w:type="spellEnd"/>
      <w:r w:rsidRPr="00156D0D">
        <w:t xml:space="preserve"> costs that are inter-segmental</w:t>
      </w:r>
    </w:p>
    <w:p w:rsidR="00156D0D" w:rsidRPr="00156D0D" w:rsidRDefault="00156D0D" w:rsidP="0077180D">
      <w:pPr>
        <w:pStyle w:val="ListBullet"/>
      </w:pPr>
      <w:proofErr w:type="gramStart"/>
      <w:r w:rsidRPr="00156D0D">
        <w:t>reconciles</w:t>
      </w:r>
      <w:proofErr w:type="gramEnd"/>
      <w:r w:rsidRPr="00156D0D">
        <w:t xml:space="preserve"> the sum of the individual items in the </w:t>
      </w:r>
      <w:proofErr w:type="spellStart"/>
      <w:r w:rsidRPr="00156D0D">
        <w:t>opex</w:t>
      </w:r>
      <w:proofErr w:type="spellEnd"/>
      <w:r w:rsidRPr="00156D0D">
        <w:t xml:space="preserve"> cost analysis to the total </w:t>
      </w:r>
      <w:proofErr w:type="spellStart"/>
      <w:r w:rsidRPr="00156D0D">
        <w:t>opex</w:t>
      </w:r>
      <w:proofErr w:type="spellEnd"/>
      <w:r w:rsidRPr="00156D0D">
        <w:t xml:space="preserve"> costs included in the </w:t>
      </w:r>
      <w:r w:rsidRPr="0077180D">
        <w:rPr>
          <w:rStyle w:val="Emphasis"/>
        </w:rPr>
        <w:t>base accounts</w:t>
      </w:r>
      <w:r w:rsidRPr="00156D0D">
        <w:t xml:space="preserve">—if no reconciliation is necessary, the note should still state the total of </w:t>
      </w:r>
      <w:proofErr w:type="spellStart"/>
      <w:r w:rsidRPr="00156D0D">
        <w:t>opex</w:t>
      </w:r>
      <w:proofErr w:type="spellEnd"/>
      <w:r w:rsidRPr="00156D0D">
        <w:t xml:space="preserve"> costs included in the </w:t>
      </w:r>
      <w:r w:rsidRPr="0077180D">
        <w:rPr>
          <w:rStyle w:val="Emphasis"/>
        </w:rPr>
        <w:t>base accounts</w:t>
      </w:r>
      <w:r w:rsidRPr="00156D0D">
        <w:t>.</w:t>
      </w:r>
    </w:p>
    <w:p w:rsidR="00156D0D" w:rsidRDefault="00156D0D" w:rsidP="00156D0D">
      <w:pPr>
        <w:pStyle w:val="BodyText"/>
      </w:pPr>
      <w:r w:rsidRPr="00156D0D">
        <w:t xml:space="preserve">Pro forma statements ‘DISAGG </w:t>
      </w:r>
      <w:proofErr w:type="spellStart"/>
      <w:r w:rsidRPr="00156D0D">
        <w:t>Opex</w:t>
      </w:r>
      <w:proofErr w:type="spellEnd"/>
      <w:r w:rsidRPr="00156D0D">
        <w:t xml:space="preserve">’ in </w:t>
      </w:r>
      <w:r w:rsidR="00710B63">
        <w:t>A</w:t>
      </w:r>
      <w:r w:rsidRPr="00156D0D">
        <w:t>ppendix A set out how this information should be presented.</w:t>
      </w:r>
    </w:p>
    <w:p w:rsidR="0077180D" w:rsidRPr="00156D0D" w:rsidRDefault="0077180D" w:rsidP="00156D0D">
      <w:pPr>
        <w:pStyle w:val="BodyText"/>
      </w:pPr>
    </w:p>
    <w:p w:rsidR="00156D0D" w:rsidRPr="00156D0D" w:rsidRDefault="00156D0D" w:rsidP="0077180D">
      <w:pPr>
        <w:pStyle w:val="Heading2"/>
      </w:pPr>
      <w:bookmarkStart w:id="64" w:name="_Toc405977455"/>
      <w:bookmarkStart w:id="65" w:name="_Toc415582108"/>
      <w:r w:rsidRPr="00156D0D">
        <w:t>Cost attribution</w:t>
      </w:r>
      <w:bookmarkEnd w:id="64"/>
      <w:bookmarkEnd w:id="65"/>
      <w:r w:rsidRPr="00156D0D">
        <w:t xml:space="preserve"> </w:t>
      </w:r>
    </w:p>
    <w:p w:rsidR="00156D0D" w:rsidRPr="00156D0D" w:rsidRDefault="00156D0D" w:rsidP="00156D0D">
      <w:pPr>
        <w:pStyle w:val="BodyText"/>
      </w:pPr>
      <w:r w:rsidRPr="00156D0D">
        <w:t xml:space="preserve">The </w:t>
      </w:r>
      <w:r w:rsidRPr="0077180D">
        <w:rPr>
          <w:rStyle w:val="Emphasis"/>
        </w:rPr>
        <w:t>regulatory financial statements</w:t>
      </w:r>
      <w:r w:rsidRPr="00156D0D">
        <w:t xml:space="preserve"> shall include a note that discloses for each </w:t>
      </w:r>
      <w:proofErr w:type="spellStart"/>
      <w:r w:rsidRPr="00156D0D">
        <w:t>opex</w:t>
      </w:r>
      <w:proofErr w:type="spellEnd"/>
      <w:r w:rsidRPr="00156D0D">
        <w:t xml:space="preserve"> cost </w:t>
      </w:r>
      <w:r w:rsidRPr="0077180D">
        <w:rPr>
          <w:rStyle w:val="Emphasis"/>
        </w:rPr>
        <w:t>account heading</w:t>
      </w:r>
      <w:r w:rsidRPr="00156D0D">
        <w:t>:</w:t>
      </w:r>
    </w:p>
    <w:p w:rsidR="00156D0D" w:rsidRPr="00156D0D" w:rsidRDefault="00156D0D" w:rsidP="00427BBC">
      <w:pPr>
        <w:pStyle w:val="ListBullet"/>
      </w:pPr>
      <w:r w:rsidRPr="00156D0D">
        <w:t xml:space="preserve">the amount of costs within the </w:t>
      </w:r>
      <w:r w:rsidRPr="0077180D">
        <w:rPr>
          <w:rStyle w:val="Emphasis"/>
        </w:rPr>
        <w:t>account heading</w:t>
      </w:r>
      <w:r w:rsidRPr="00156D0D">
        <w:t xml:space="preserve"> that can be </w:t>
      </w:r>
      <w:r w:rsidRPr="0077180D">
        <w:rPr>
          <w:rStyle w:val="Emphasis"/>
        </w:rPr>
        <w:t>directly attributed</w:t>
      </w:r>
      <w:r w:rsidRPr="00156D0D">
        <w:t xml:space="preserve"> to </w:t>
      </w:r>
      <w:r w:rsidRPr="0077180D">
        <w:rPr>
          <w:rStyle w:val="Emphasis"/>
        </w:rPr>
        <w:t>business segments</w:t>
      </w:r>
    </w:p>
    <w:p w:rsidR="00156D0D" w:rsidRPr="00156D0D" w:rsidRDefault="00156D0D" w:rsidP="00427BBC">
      <w:pPr>
        <w:pStyle w:val="ListBullet"/>
      </w:pPr>
      <w:proofErr w:type="gramStart"/>
      <w:r w:rsidRPr="00156D0D">
        <w:t>how</w:t>
      </w:r>
      <w:proofErr w:type="gramEnd"/>
      <w:r w:rsidRPr="00156D0D">
        <w:t xml:space="preserve"> indirect costs have been allocated according to the </w:t>
      </w:r>
      <w:r w:rsidRPr="00427BBC">
        <w:rPr>
          <w:rStyle w:val="Emphasis"/>
        </w:rPr>
        <w:t>cost allocation methodology</w:t>
      </w:r>
      <w:r w:rsidRPr="00156D0D">
        <w:t xml:space="preserve">, including the amount of cost allocation to each </w:t>
      </w:r>
      <w:r w:rsidRPr="00427BBC">
        <w:rPr>
          <w:rStyle w:val="Emphasis"/>
        </w:rPr>
        <w:t>business segment</w:t>
      </w:r>
      <w:r w:rsidRPr="00156D0D">
        <w:t>.</w:t>
      </w:r>
    </w:p>
    <w:p w:rsidR="00156D0D" w:rsidRPr="00156D0D" w:rsidRDefault="00156D0D" w:rsidP="00156D0D">
      <w:pPr>
        <w:pStyle w:val="BodyText"/>
      </w:pPr>
      <w:r w:rsidRPr="00156D0D">
        <w:t xml:space="preserve">A note or cross-reference shall provide an audit trail to the </w:t>
      </w:r>
      <w:r w:rsidRPr="00427BBC">
        <w:rPr>
          <w:rStyle w:val="Emphasis"/>
        </w:rPr>
        <w:t>account code</w:t>
      </w:r>
      <w:r w:rsidRPr="00156D0D">
        <w:t xml:space="preserve"> or </w:t>
      </w:r>
      <w:r w:rsidRPr="00427BBC">
        <w:rPr>
          <w:rStyle w:val="Emphasis"/>
        </w:rPr>
        <w:t>account codes</w:t>
      </w:r>
      <w:r w:rsidRPr="00156D0D">
        <w:t xml:space="preserve"> that each </w:t>
      </w:r>
      <w:proofErr w:type="spellStart"/>
      <w:r w:rsidRPr="00156D0D">
        <w:t>opex</w:t>
      </w:r>
      <w:proofErr w:type="spellEnd"/>
      <w:r w:rsidRPr="00156D0D">
        <w:t xml:space="preserve"> </w:t>
      </w:r>
      <w:r w:rsidRPr="00427BBC">
        <w:rPr>
          <w:rStyle w:val="Emphasis"/>
        </w:rPr>
        <w:t>account heading</w:t>
      </w:r>
      <w:r w:rsidRPr="00156D0D">
        <w:t xml:space="preserve"> represents or is based on.</w:t>
      </w:r>
    </w:p>
    <w:p w:rsidR="00156D0D" w:rsidRPr="00156D0D" w:rsidRDefault="00156D0D" w:rsidP="00156D0D">
      <w:pPr>
        <w:pStyle w:val="BodyText"/>
      </w:pPr>
      <w:r w:rsidRPr="00156D0D">
        <w:t>A pro fo</w:t>
      </w:r>
      <w:r w:rsidR="00303D4F">
        <w:t xml:space="preserve">rma statement—DISAGG </w:t>
      </w:r>
      <w:proofErr w:type="spellStart"/>
      <w:r w:rsidR="00303D4F">
        <w:t>Aloc</w:t>
      </w:r>
      <w:proofErr w:type="spellEnd"/>
      <w:r w:rsidR="00303D4F">
        <w:t xml:space="preserve"> 1—in A</w:t>
      </w:r>
      <w:r w:rsidRPr="00156D0D">
        <w:t>ppendix A provides an example of how the information required under this section (4.4) should be presented.</w:t>
      </w:r>
    </w:p>
    <w:p w:rsidR="00156D0D" w:rsidRPr="00156D0D" w:rsidRDefault="00156D0D" w:rsidP="00427BBC">
      <w:pPr>
        <w:pStyle w:val="Heading2"/>
      </w:pPr>
      <w:bookmarkStart w:id="66" w:name="_Toc405977456"/>
      <w:bookmarkStart w:id="67" w:name="_Toc415582109"/>
      <w:r w:rsidRPr="00156D0D">
        <w:t>Depreciation</w:t>
      </w:r>
      <w:bookmarkEnd w:id="66"/>
      <w:bookmarkEnd w:id="67"/>
    </w:p>
    <w:p w:rsidR="00156D0D" w:rsidRPr="00156D0D" w:rsidRDefault="00156D0D" w:rsidP="00156D0D">
      <w:pPr>
        <w:pStyle w:val="BodyText"/>
      </w:pPr>
      <w:r w:rsidRPr="00156D0D">
        <w:t xml:space="preserve">Depreciation charges should be attributed to </w:t>
      </w:r>
      <w:r w:rsidRPr="00B46927">
        <w:rPr>
          <w:rStyle w:val="Emphasis"/>
        </w:rPr>
        <w:t>business segments</w:t>
      </w:r>
      <w:r w:rsidRPr="00156D0D">
        <w:t xml:space="preserve"> according to the disaggregation of assets that give rise to these charges.</w:t>
      </w:r>
    </w:p>
    <w:p w:rsidR="00156D0D" w:rsidRPr="00156D0D" w:rsidRDefault="00156D0D" w:rsidP="00156D0D">
      <w:pPr>
        <w:pStyle w:val="BodyText"/>
      </w:pPr>
      <w:r w:rsidRPr="00156D0D">
        <w:t xml:space="preserve">Regulatory adjustments shall be made to state the regulatory depreciation charge attributed to the </w:t>
      </w:r>
      <w:r w:rsidRPr="00B46927">
        <w:rPr>
          <w:rStyle w:val="Emphasis"/>
        </w:rPr>
        <w:t>prescribed services segment</w:t>
      </w:r>
      <w:r w:rsidRPr="00156D0D">
        <w:t>.</w:t>
      </w:r>
    </w:p>
    <w:p w:rsidR="00156D0D" w:rsidRPr="00156D0D" w:rsidRDefault="00156D0D" w:rsidP="00B46927">
      <w:pPr>
        <w:pStyle w:val="Heading2"/>
      </w:pPr>
      <w:bookmarkStart w:id="68" w:name="_Toc405977457"/>
      <w:bookmarkStart w:id="69" w:name="_Toc415582110"/>
      <w:r w:rsidRPr="00156D0D">
        <w:t>Other expenditure</w:t>
      </w:r>
      <w:bookmarkEnd w:id="68"/>
      <w:bookmarkEnd w:id="69"/>
    </w:p>
    <w:p w:rsidR="00156D0D" w:rsidRPr="00156D0D" w:rsidRDefault="00156D0D" w:rsidP="00156D0D">
      <w:pPr>
        <w:pStyle w:val="BodyText"/>
      </w:pPr>
      <w:r w:rsidRPr="00156D0D">
        <w:t xml:space="preserve">Other expenditure arising in the profit and loss account not specifically addressed elsewhere in this section, shall be disaggregated between </w:t>
      </w:r>
      <w:r w:rsidRPr="00B46927">
        <w:rPr>
          <w:rStyle w:val="Emphasis"/>
        </w:rPr>
        <w:t>business segments</w:t>
      </w:r>
      <w:r w:rsidRPr="00156D0D">
        <w:t xml:space="preserve"> in accordance with:</w:t>
      </w:r>
    </w:p>
    <w:p w:rsidR="00156D0D" w:rsidRPr="00156D0D" w:rsidRDefault="00156D0D" w:rsidP="00B46927">
      <w:pPr>
        <w:pStyle w:val="ListBullet"/>
      </w:pPr>
      <w:r w:rsidRPr="00156D0D">
        <w:t>the principles set out in section 2</w:t>
      </w:r>
    </w:p>
    <w:p w:rsidR="00156D0D" w:rsidRPr="00156D0D" w:rsidRDefault="00156D0D" w:rsidP="00B46927">
      <w:pPr>
        <w:pStyle w:val="ListBullet"/>
      </w:pPr>
      <w:proofErr w:type="gramStart"/>
      <w:r w:rsidRPr="00156D0D">
        <w:t>the</w:t>
      </w:r>
      <w:proofErr w:type="gramEnd"/>
      <w:r w:rsidRPr="00156D0D">
        <w:t xml:space="preserve"> disclosure requirements set out </w:t>
      </w:r>
      <w:r w:rsidR="00303D4F">
        <w:t>in the pro forma statements in A</w:t>
      </w:r>
      <w:r w:rsidRPr="00156D0D">
        <w:t>ppendix A.</w:t>
      </w:r>
    </w:p>
    <w:p w:rsidR="00156D0D" w:rsidRPr="00156D0D" w:rsidRDefault="00156D0D" w:rsidP="00B46927">
      <w:pPr>
        <w:pStyle w:val="Heading2"/>
      </w:pPr>
      <w:bookmarkStart w:id="70" w:name="_Toc405977458"/>
      <w:bookmarkStart w:id="71" w:name="_Toc415582111"/>
      <w:r w:rsidRPr="00156D0D">
        <w:t>Interest payable, interest receivable, dividends payable and dividends receivable</w:t>
      </w:r>
      <w:bookmarkEnd w:id="70"/>
      <w:bookmarkEnd w:id="71"/>
    </w:p>
    <w:p w:rsidR="00156D0D" w:rsidRPr="00156D0D" w:rsidRDefault="00156D0D" w:rsidP="00156D0D">
      <w:pPr>
        <w:pStyle w:val="BodyText"/>
      </w:pPr>
      <w:r w:rsidRPr="00156D0D">
        <w:t>These items may be recorded under the column headed ‘</w:t>
      </w:r>
      <w:r w:rsidRPr="00B46927">
        <w:rPr>
          <w:rStyle w:val="Emphasis"/>
        </w:rPr>
        <w:t>Not allocated</w:t>
      </w:r>
      <w:r w:rsidRPr="00156D0D">
        <w:t xml:space="preserve">’ in the </w:t>
      </w:r>
      <w:r w:rsidRPr="00B46927">
        <w:rPr>
          <w:rStyle w:val="Emphasis"/>
        </w:rPr>
        <w:t>disaggregation statements</w:t>
      </w:r>
      <w:r w:rsidRPr="00156D0D">
        <w:t>.</w:t>
      </w:r>
    </w:p>
    <w:p w:rsidR="00156D0D" w:rsidRPr="00156D0D" w:rsidRDefault="00CA14FD" w:rsidP="00B46927">
      <w:pPr>
        <w:pStyle w:val="Heading2"/>
      </w:pPr>
      <w:bookmarkStart w:id="72" w:name="_Toc405977459"/>
      <w:bookmarkStart w:id="73" w:name="_Toc415582112"/>
      <w:r w:rsidRPr="00156D0D">
        <w:t>Asset</w:t>
      </w:r>
      <w:r>
        <w:t xml:space="preserve"> ageing</w:t>
      </w:r>
      <w:bookmarkEnd w:id="72"/>
      <w:bookmarkEnd w:id="73"/>
    </w:p>
    <w:p w:rsidR="00156D0D" w:rsidRPr="00156D0D" w:rsidRDefault="00156D0D" w:rsidP="00EE6748">
      <w:pPr>
        <w:pStyle w:val="BodyText"/>
      </w:pPr>
      <w:r w:rsidRPr="00156D0D">
        <w:t xml:space="preserve">The </w:t>
      </w:r>
      <w:r w:rsidRPr="00B46927">
        <w:rPr>
          <w:rStyle w:val="Emphasis"/>
        </w:rPr>
        <w:t>regulatory financial statements</w:t>
      </w:r>
      <w:r w:rsidRPr="00156D0D">
        <w:t xml:space="preserve"> shall include</w:t>
      </w:r>
      <w:r w:rsidR="00EE6748">
        <w:rPr>
          <w:rStyle w:val="Emphasis"/>
        </w:rPr>
        <w:t xml:space="preserve"> </w:t>
      </w:r>
      <w:r w:rsidR="00EE6748" w:rsidRPr="00156D0D">
        <w:t>a</w:t>
      </w:r>
      <w:r w:rsidR="00EE6748">
        <w:t xml:space="preserve"> pro forma statement in Appendix </w:t>
      </w:r>
      <w:proofErr w:type="gramStart"/>
      <w:r w:rsidR="00EE6748">
        <w:t>A</w:t>
      </w:r>
      <w:proofErr w:type="gramEnd"/>
      <w:r w:rsidR="00EE6748">
        <w:t xml:space="preserve"> </w:t>
      </w:r>
      <w:r w:rsidR="00841E32">
        <w:t xml:space="preserve">- </w:t>
      </w:r>
      <w:r w:rsidR="00841E32" w:rsidRPr="00841E32">
        <w:t xml:space="preserve">PTS Asset Aging </w:t>
      </w:r>
      <w:r w:rsidR="00841E32">
        <w:t>-</w:t>
      </w:r>
      <w:r w:rsidR="00710B63">
        <w:t xml:space="preserve"> </w:t>
      </w:r>
      <w:r w:rsidR="00EE6748">
        <w:t xml:space="preserve">containing </w:t>
      </w:r>
      <w:r w:rsidR="00EE6748" w:rsidRPr="00EE6748">
        <w:rPr>
          <w:rStyle w:val="Emphasis"/>
          <w:i w:val="0"/>
          <w:iCs w:val="0"/>
        </w:rPr>
        <w:t>asset aging information</w:t>
      </w:r>
      <w:r w:rsidR="00EE6748">
        <w:rPr>
          <w:rStyle w:val="Emphasis"/>
        </w:rPr>
        <w:t xml:space="preserve">. </w:t>
      </w:r>
      <w:r w:rsidR="00EE6748">
        <w:t>T</w:t>
      </w:r>
      <w:r w:rsidR="00EE6748" w:rsidRPr="00156D0D">
        <w:t xml:space="preserve">he </w:t>
      </w:r>
      <w:r w:rsidR="00EE6748" w:rsidRPr="00F906BA">
        <w:rPr>
          <w:rStyle w:val="Emphasis"/>
        </w:rPr>
        <w:t>mandatory and discretionary headings</w:t>
      </w:r>
      <w:r w:rsidR="00EE6748">
        <w:t xml:space="preserve"> used in the </w:t>
      </w:r>
      <w:r w:rsidR="00437F8F">
        <w:t>asset aging schedule m</w:t>
      </w:r>
      <w:r w:rsidR="00EE6748">
        <w:t xml:space="preserve">ust be the same headings </w:t>
      </w:r>
      <w:r w:rsidR="00437F8F">
        <w:t xml:space="preserve">as those </w:t>
      </w:r>
      <w:r w:rsidR="00EE6748">
        <w:t>used in the</w:t>
      </w:r>
      <w:r w:rsidR="00437F8F" w:rsidRPr="00437F8F">
        <w:t xml:space="preserve"> </w:t>
      </w:r>
      <w:r w:rsidR="00437F8F">
        <w:t xml:space="preserve">'HCE Ass </w:t>
      </w:r>
      <w:proofErr w:type="spellStart"/>
      <w:r w:rsidR="00437F8F">
        <w:t>Cls</w:t>
      </w:r>
      <w:proofErr w:type="spellEnd"/>
      <w:r w:rsidR="00EE6748">
        <w:t xml:space="preserve"> '</w:t>
      </w:r>
      <w:r w:rsidR="00437F8F">
        <w:t xml:space="preserve"> </w:t>
      </w:r>
      <w:r w:rsidR="00EE6748">
        <w:t xml:space="preserve">pro forma statement </w:t>
      </w:r>
      <w:r w:rsidR="00841E32">
        <w:t>in</w:t>
      </w:r>
      <w:r w:rsidR="00EE6748">
        <w:t xml:space="preserve"> Appendix A.</w:t>
      </w:r>
    </w:p>
    <w:p w:rsidR="00156D0D" w:rsidRPr="00156D0D" w:rsidRDefault="00156D0D" w:rsidP="00B46927">
      <w:pPr>
        <w:pStyle w:val="Heading2"/>
      </w:pPr>
      <w:bookmarkStart w:id="74" w:name="_Toc405977460"/>
      <w:bookmarkStart w:id="75" w:name="_Toc415582113"/>
      <w:r w:rsidRPr="00156D0D">
        <w:t>Asset categories</w:t>
      </w:r>
      <w:bookmarkEnd w:id="74"/>
      <w:bookmarkEnd w:id="75"/>
    </w:p>
    <w:p w:rsidR="00156D0D" w:rsidRPr="00156D0D" w:rsidRDefault="00CA14FD" w:rsidP="00156D0D">
      <w:pPr>
        <w:pStyle w:val="BodyText"/>
      </w:pPr>
      <w:r>
        <w:t>A</w:t>
      </w:r>
      <w:r w:rsidR="00156D0D" w:rsidRPr="00156D0D">
        <w:t xml:space="preserve"> </w:t>
      </w:r>
      <w:r w:rsidR="00156D0D" w:rsidRPr="00B46927">
        <w:rPr>
          <w:rStyle w:val="Emphasis"/>
        </w:rPr>
        <w:t>TNSP</w:t>
      </w:r>
      <w:r w:rsidR="00156D0D" w:rsidRPr="00156D0D">
        <w:t xml:space="preserve"> may use </w:t>
      </w:r>
      <w:r w:rsidR="00156D0D" w:rsidRPr="00B46927">
        <w:rPr>
          <w:rStyle w:val="Emphasis"/>
        </w:rPr>
        <w:t>discretionary headings</w:t>
      </w:r>
      <w:r w:rsidR="00156D0D" w:rsidRPr="00156D0D">
        <w:t xml:space="preserve"> to define sub-categories of assets. </w:t>
      </w:r>
      <w:r w:rsidR="00156D0D" w:rsidRPr="00B46927">
        <w:rPr>
          <w:rStyle w:val="Emphasis"/>
        </w:rPr>
        <w:t>Discretionary headings</w:t>
      </w:r>
      <w:r w:rsidR="00156D0D" w:rsidRPr="00156D0D">
        <w:t xml:space="preserve"> may be defined at a </w:t>
      </w:r>
      <w:r w:rsidR="00156D0D" w:rsidRPr="00B46927">
        <w:rPr>
          <w:rStyle w:val="Emphasis"/>
        </w:rPr>
        <w:t xml:space="preserve">TNSP’s </w:t>
      </w:r>
      <w:r w:rsidR="00156D0D" w:rsidRPr="00156D0D">
        <w:t xml:space="preserve">discretion, consistent with section 2.12 of this </w:t>
      </w:r>
      <w:r w:rsidR="00156D0D" w:rsidRPr="00B46927">
        <w:rPr>
          <w:rStyle w:val="Emphasis"/>
        </w:rPr>
        <w:t>guideline</w:t>
      </w:r>
      <w:r w:rsidR="00156D0D" w:rsidRPr="00156D0D">
        <w:t>. However:</w:t>
      </w:r>
    </w:p>
    <w:p w:rsidR="00156D0D" w:rsidRPr="00156D0D" w:rsidRDefault="00156D0D" w:rsidP="00B46927">
      <w:pPr>
        <w:pStyle w:val="ListBullet"/>
      </w:pPr>
      <w:r w:rsidRPr="00156D0D">
        <w:t xml:space="preserve">the </w:t>
      </w:r>
      <w:r w:rsidRPr="00B46927">
        <w:rPr>
          <w:rStyle w:val="Emphasis"/>
        </w:rPr>
        <w:t>discretionary headings</w:t>
      </w:r>
      <w:r w:rsidRPr="00156D0D">
        <w:t xml:space="preserve"> should provide meaningful information about the composition of the property plant and equipment utilised by a </w:t>
      </w:r>
      <w:r w:rsidRPr="00B46927">
        <w:rPr>
          <w:rStyle w:val="Emphasis"/>
        </w:rPr>
        <w:t>TNSP</w:t>
      </w:r>
    </w:p>
    <w:p w:rsidR="00156D0D" w:rsidRPr="00156D0D" w:rsidRDefault="00156D0D" w:rsidP="00B46927">
      <w:pPr>
        <w:pStyle w:val="ListBullet"/>
      </w:pPr>
      <w:proofErr w:type="gramStart"/>
      <w:r w:rsidRPr="00156D0D">
        <w:t>sub-category</w:t>
      </w:r>
      <w:proofErr w:type="gramEnd"/>
      <w:r w:rsidRPr="00156D0D">
        <w:t xml:space="preserve"> headings shall be applied consistently between </w:t>
      </w:r>
      <w:r w:rsidRPr="00B46927">
        <w:rPr>
          <w:rStyle w:val="Emphasis"/>
        </w:rPr>
        <w:t>regulatory accounting periods</w:t>
      </w:r>
      <w:r w:rsidRPr="00156D0D">
        <w:t>.</w:t>
      </w:r>
    </w:p>
    <w:p w:rsidR="00156D0D" w:rsidRPr="00156D0D" w:rsidRDefault="00841E32" w:rsidP="00156D0D">
      <w:pPr>
        <w:pStyle w:val="BodyText"/>
      </w:pPr>
      <w:r>
        <w:t>The</w:t>
      </w:r>
      <w:r w:rsidR="00156D0D" w:rsidRPr="00156D0D">
        <w:t xml:space="preserve"> </w:t>
      </w:r>
      <w:r w:rsidR="00E60409" w:rsidRPr="00F906BA">
        <w:rPr>
          <w:rStyle w:val="Emphasis"/>
        </w:rPr>
        <w:t>mandatory and discretionary headings</w:t>
      </w:r>
      <w:r w:rsidR="00E60409">
        <w:t xml:space="preserve"> </w:t>
      </w:r>
      <w:r w:rsidR="00EE6748">
        <w:t>used i</w:t>
      </w:r>
      <w:r w:rsidR="00E60409">
        <w:t xml:space="preserve">n the </w:t>
      </w:r>
      <w:r w:rsidR="00EE6748">
        <w:t xml:space="preserve">'HCE Ass </w:t>
      </w:r>
      <w:proofErr w:type="spellStart"/>
      <w:r w:rsidR="00EE6748">
        <w:t>Cls</w:t>
      </w:r>
      <w:proofErr w:type="spellEnd"/>
      <w:r w:rsidR="00EE6748">
        <w:t xml:space="preserve">' </w:t>
      </w:r>
      <w:r w:rsidR="00156D0D" w:rsidRPr="00156D0D">
        <w:t xml:space="preserve">pro forma statement </w:t>
      </w:r>
      <w:r>
        <w:t>in</w:t>
      </w:r>
      <w:r w:rsidR="00303D4F">
        <w:t xml:space="preserve"> A</w:t>
      </w:r>
      <w:r w:rsidR="00156D0D" w:rsidRPr="00156D0D">
        <w:t xml:space="preserve">ppendix A </w:t>
      </w:r>
      <w:r w:rsidR="00EE6748">
        <w:t xml:space="preserve">must be the same headings used in the 'PTS Asset Aging' pro forma statement </w:t>
      </w:r>
      <w:r>
        <w:t>in</w:t>
      </w:r>
      <w:r w:rsidR="00EE6748">
        <w:t xml:space="preserve"> Appendix A.</w:t>
      </w:r>
    </w:p>
    <w:p w:rsidR="00156D0D" w:rsidRPr="00156D0D" w:rsidRDefault="005A25A1" w:rsidP="00B46927">
      <w:pPr>
        <w:pStyle w:val="Heading2"/>
      </w:pPr>
      <w:bookmarkStart w:id="76" w:name="_Toc405977461"/>
      <w:r>
        <w:t xml:space="preserve"> </w:t>
      </w:r>
      <w:bookmarkStart w:id="77" w:name="_Toc415582114"/>
      <w:r w:rsidR="00156D0D" w:rsidRPr="00156D0D">
        <w:t>Customer contributions</w:t>
      </w:r>
      <w:bookmarkEnd w:id="76"/>
      <w:bookmarkEnd w:id="77"/>
    </w:p>
    <w:p w:rsidR="00156D0D" w:rsidRPr="00156D0D" w:rsidRDefault="00156D0D" w:rsidP="00156D0D">
      <w:pPr>
        <w:pStyle w:val="BodyText"/>
      </w:pPr>
      <w:r w:rsidRPr="00156D0D">
        <w:t>For the purposes of regulatory reporting, the Urgent Issues Group’s Interpretation 1017, ‘Developer and Customer Contributions for Connection to a Price Regulated Network’, is not to be applied.</w:t>
      </w:r>
    </w:p>
    <w:p w:rsidR="00262655" w:rsidRDefault="00156D0D" w:rsidP="00156D0D">
      <w:pPr>
        <w:pStyle w:val="BodyText"/>
      </w:pPr>
      <w:r w:rsidRPr="00156D0D">
        <w:t xml:space="preserve">The </w:t>
      </w:r>
      <w:r w:rsidRPr="00FE5B98">
        <w:rPr>
          <w:rStyle w:val="Emphasis"/>
        </w:rPr>
        <w:t>regulatory asset base</w:t>
      </w:r>
      <w:r w:rsidRPr="00156D0D">
        <w:t xml:space="preserve"> is to be reported net of customer contributions. Accordingly, </w:t>
      </w:r>
      <w:r w:rsidRPr="00FE5B98">
        <w:rPr>
          <w:rStyle w:val="Emphasis"/>
        </w:rPr>
        <w:t>TNSPs</w:t>
      </w:r>
      <w:r w:rsidRPr="00156D0D">
        <w:t xml:space="preserve"> must maintain contra accounts to the relevant asset accounts. Customer contributions should be recorded in the relevant pro forma statements in the ‘</w:t>
      </w:r>
      <w:r w:rsidRPr="00FE5B98">
        <w:rPr>
          <w:rStyle w:val="Emphasis"/>
        </w:rPr>
        <w:t>Not allocated</w:t>
      </w:r>
      <w:r w:rsidRPr="00156D0D">
        <w:t>’ column associated with the asset to which it has contributed.</w:t>
      </w:r>
      <w:r w:rsidR="00262655">
        <w:t xml:space="preserve"> W</w:t>
      </w:r>
      <w:r w:rsidR="00262655" w:rsidRPr="00262655">
        <w:t xml:space="preserve">hen completing the 'HCE Ass </w:t>
      </w:r>
      <w:proofErr w:type="spellStart"/>
      <w:r w:rsidR="00262655" w:rsidRPr="00262655">
        <w:t>Cls</w:t>
      </w:r>
      <w:proofErr w:type="spellEnd"/>
      <w:r w:rsidR="00262655" w:rsidRPr="00262655">
        <w:t>'</w:t>
      </w:r>
      <w:r w:rsidR="00262655">
        <w:t xml:space="preserve"> </w:t>
      </w:r>
      <w:r w:rsidR="00262655" w:rsidRPr="00262655">
        <w:t xml:space="preserve">pro forma statement in Appendix </w:t>
      </w:r>
      <w:proofErr w:type="gramStart"/>
      <w:r w:rsidR="00262655" w:rsidRPr="00262655">
        <w:t>A</w:t>
      </w:r>
      <w:proofErr w:type="gramEnd"/>
      <w:r w:rsidR="00262655">
        <w:t xml:space="preserve"> </w:t>
      </w:r>
      <w:r w:rsidR="00262655" w:rsidRPr="00A45B57">
        <w:rPr>
          <w:rStyle w:val="Emphasis"/>
        </w:rPr>
        <w:t>TNSPs</w:t>
      </w:r>
      <w:r w:rsidR="00262655" w:rsidRPr="00262655">
        <w:t xml:space="preserve"> should report capex net of customer contributions</w:t>
      </w:r>
      <w:r w:rsidR="00262655">
        <w:t xml:space="preserve"> but, where relevant, note </w:t>
      </w:r>
      <w:r w:rsidR="00262655" w:rsidRPr="00262655">
        <w:t>any customer contribution amounts</w:t>
      </w:r>
      <w:r w:rsidR="00262655">
        <w:t>.</w:t>
      </w:r>
    </w:p>
    <w:p w:rsidR="00156D0D" w:rsidRPr="00156D0D" w:rsidRDefault="00156D0D" w:rsidP="00156D0D">
      <w:pPr>
        <w:pStyle w:val="BodyText"/>
      </w:pPr>
      <w:r w:rsidRPr="00156D0D">
        <w:t>Regulatory depreciation charges shall be calculated on asset balances stated net of customer contributions.</w:t>
      </w:r>
    </w:p>
    <w:p w:rsidR="00156D0D" w:rsidRPr="00156D0D" w:rsidRDefault="005A25A1" w:rsidP="00FE5B98">
      <w:pPr>
        <w:pStyle w:val="Heading2"/>
      </w:pPr>
      <w:bookmarkStart w:id="78" w:name="_Toc405977462"/>
      <w:r>
        <w:t xml:space="preserve"> </w:t>
      </w:r>
      <w:bookmarkStart w:id="79" w:name="_Toc415582115"/>
      <w:r w:rsidR="00156D0D" w:rsidRPr="00156D0D">
        <w:t>Goodwill arising on acquisition</w:t>
      </w:r>
      <w:bookmarkEnd w:id="78"/>
      <w:bookmarkEnd w:id="79"/>
    </w:p>
    <w:p w:rsidR="00156D0D" w:rsidRPr="00156D0D" w:rsidRDefault="00156D0D" w:rsidP="00156D0D">
      <w:pPr>
        <w:pStyle w:val="BodyText"/>
      </w:pPr>
      <w:r w:rsidRPr="00156D0D">
        <w:t xml:space="preserve">Any balance representing </w:t>
      </w:r>
      <w:r w:rsidRPr="00C14905">
        <w:rPr>
          <w:rStyle w:val="Emphasis"/>
        </w:rPr>
        <w:t>goodwill</w:t>
      </w:r>
      <w:r w:rsidRPr="00156D0D">
        <w:t xml:space="preserve"> on acquisition of assets and its associated amortisation shall be recorded under the column headed ‘</w:t>
      </w:r>
      <w:r w:rsidRPr="00FE5B98">
        <w:rPr>
          <w:rStyle w:val="Emphasis"/>
        </w:rPr>
        <w:t>Not allocated</w:t>
      </w:r>
      <w:r w:rsidRPr="00156D0D">
        <w:t>’ in the disaggregation statements.</w:t>
      </w:r>
    </w:p>
    <w:p w:rsidR="00156D0D" w:rsidRPr="00156D0D" w:rsidRDefault="005A25A1" w:rsidP="00FE5B98">
      <w:pPr>
        <w:pStyle w:val="Heading2"/>
      </w:pPr>
      <w:bookmarkStart w:id="80" w:name="_Toc405977463"/>
      <w:r>
        <w:t xml:space="preserve"> </w:t>
      </w:r>
      <w:bookmarkStart w:id="81" w:name="_Toc415582116"/>
      <w:r w:rsidR="00156D0D" w:rsidRPr="00156D0D">
        <w:t>Other statement of financial position items</w:t>
      </w:r>
      <w:bookmarkEnd w:id="80"/>
      <w:bookmarkEnd w:id="81"/>
    </w:p>
    <w:p w:rsidR="00156D0D" w:rsidRPr="00156D0D" w:rsidRDefault="00156D0D" w:rsidP="00156D0D">
      <w:pPr>
        <w:pStyle w:val="BodyText"/>
      </w:pPr>
      <w:r w:rsidRPr="00156D0D">
        <w:t xml:space="preserve">Statement of financial position and statement of cash flows items not specifically addressed in section 3 of this </w:t>
      </w:r>
      <w:r w:rsidRPr="006A0C0A">
        <w:rPr>
          <w:rStyle w:val="Emphasis"/>
        </w:rPr>
        <w:t>guideline</w:t>
      </w:r>
      <w:r w:rsidRPr="00156D0D">
        <w:t xml:space="preserve"> shall be disaggregated between </w:t>
      </w:r>
      <w:r w:rsidRPr="006A0C0A">
        <w:rPr>
          <w:rStyle w:val="Emphasis"/>
        </w:rPr>
        <w:t>business segments</w:t>
      </w:r>
      <w:r w:rsidRPr="00156D0D">
        <w:t xml:space="preserve"> according to the:</w:t>
      </w:r>
    </w:p>
    <w:p w:rsidR="00156D0D" w:rsidRPr="00156D0D" w:rsidRDefault="00156D0D" w:rsidP="006A0C0A">
      <w:pPr>
        <w:pStyle w:val="ListBullet"/>
      </w:pPr>
      <w:r w:rsidRPr="00156D0D">
        <w:t xml:space="preserve">principles set out in section 2 of this </w:t>
      </w:r>
      <w:r w:rsidRPr="006A0C0A">
        <w:rPr>
          <w:rStyle w:val="Emphasis"/>
        </w:rPr>
        <w:t>guideline</w:t>
      </w:r>
    </w:p>
    <w:p w:rsidR="00156D0D" w:rsidRPr="00156D0D" w:rsidRDefault="00156D0D" w:rsidP="006A0C0A">
      <w:pPr>
        <w:pStyle w:val="ListBullet"/>
      </w:pPr>
      <w:proofErr w:type="gramStart"/>
      <w:r w:rsidRPr="00156D0D">
        <w:t>disclosure</w:t>
      </w:r>
      <w:proofErr w:type="gramEnd"/>
      <w:r w:rsidRPr="00156D0D">
        <w:t xml:space="preserve"> requirements set out </w:t>
      </w:r>
      <w:r w:rsidR="00303D4F">
        <w:t>in the pro forma statements in A</w:t>
      </w:r>
      <w:r w:rsidRPr="00156D0D">
        <w:t>ppendix A.</w:t>
      </w:r>
    </w:p>
    <w:p w:rsidR="00156D0D" w:rsidRPr="00156D0D" w:rsidRDefault="005A25A1" w:rsidP="008A2EF2">
      <w:pPr>
        <w:pStyle w:val="Heading2"/>
      </w:pPr>
      <w:bookmarkStart w:id="82" w:name="_Toc405977464"/>
      <w:r>
        <w:t xml:space="preserve"> </w:t>
      </w:r>
      <w:bookmarkStart w:id="83" w:name="_Toc415582117"/>
      <w:r w:rsidR="00156D0D" w:rsidRPr="00156D0D">
        <w:t>Provisions</w:t>
      </w:r>
      <w:bookmarkEnd w:id="82"/>
      <w:bookmarkEnd w:id="83"/>
    </w:p>
    <w:p w:rsidR="00156D0D" w:rsidRPr="00156D0D" w:rsidRDefault="00156D0D" w:rsidP="00156D0D">
      <w:pPr>
        <w:pStyle w:val="BodyText"/>
      </w:pPr>
      <w:r w:rsidRPr="00156D0D">
        <w:t xml:space="preserve">The </w:t>
      </w:r>
      <w:r w:rsidRPr="008A2EF2">
        <w:rPr>
          <w:rStyle w:val="Emphasis"/>
        </w:rPr>
        <w:t>regulatory financial statements</w:t>
      </w:r>
      <w:r w:rsidRPr="00156D0D">
        <w:t xml:space="preserve"> shall disclose enough of the disaggregation information to provide a reconciliation of the provisions disclosed by the </w:t>
      </w:r>
      <w:r w:rsidRPr="008A2EF2">
        <w:rPr>
          <w:rStyle w:val="Emphasis"/>
        </w:rPr>
        <w:t>base accounts</w:t>
      </w:r>
      <w:r w:rsidRPr="00156D0D">
        <w:t xml:space="preserve"> to those disclosed for the </w:t>
      </w:r>
      <w:r w:rsidRPr="008A2EF2">
        <w:rPr>
          <w:rStyle w:val="Emphasis"/>
        </w:rPr>
        <w:t>prescribed services segment</w:t>
      </w:r>
      <w:r w:rsidRPr="00156D0D">
        <w:t xml:space="preserve">. The pro forma </w:t>
      </w:r>
      <w:r w:rsidR="00710B63">
        <w:t xml:space="preserve">statement ‘DISAGG </w:t>
      </w:r>
      <w:proofErr w:type="spellStart"/>
      <w:r w:rsidR="00710B63">
        <w:t>Prov</w:t>
      </w:r>
      <w:proofErr w:type="spellEnd"/>
      <w:r w:rsidR="00710B63">
        <w:t xml:space="preserve"> Sum’ in A</w:t>
      </w:r>
      <w:r w:rsidRPr="00156D0D">
        <w:t>ppendix A sets out the minimum disclosure requirements.</w:t>
      </w:r>
    </w:p>
    <w:p w:rsidR="00156D0D" w:rsidRPr="00156D0D" w:rsidRDefault="00156D0D" w:rsidP="00156D0D">
      <w:pPr>
        <w:pStyle w:val="BodyText"/>
      </w:pPr>
      <w:r w:rsidRPr="00156D0D">
        <w:t xml:space="preserve">The disaggregation of provisions should follow the principles set out in section 2 of this </w:t>
      </w:r>
      <w:r w:rsidRPr="008A2EF2">
        <w:rPr>
          <w:rStyle w:val="Emphasis"/>
        </w:rPr>
        <w:t>guideline</w:t>
      </w:r>
      <w:r w:rsidRPr="00156D0D">
        <w:t>.</w:t>
      </w:r>
    </w:p>
    <w:p w:rsidR="00156D0D" w:rsidRPr="00156D0D" w:rsidRDefault="00156D0D" w:rsidP="00156D0D">
      <w:pPr>
        <w:pStyle w:val="BodyText"/>
      </w:pPr>
      <w:r w:rsidRPr="00156D0D">
        <w:t xml:space="preserve">The following information shall be provided for each </w:t>
      </w:r>
      <w:r w:rsidRPr="00C14905">
        <w:rPr>
          <w:rStyle w:val="Emphasis"/>
        </w:rPr>
        <w:t>material</w:t>
      </w:r>
      <w:r w:rsidRPr="00156D0D">
        <w:t xml:space="preserve"> provision and in total for all other provisions in the </w:t>
      </w:r>
      <w:r w:rsidRPr="008A2EF2">
        <w:rPr>
          <w:rStyle w:val="Emphasis"/>
        </w:rPr>
        <w:t>prescribed services segment</w:t>
      </w:r>
      <w:r w:rsidRPr="00156D0D">
        <w:t>:</w:t>
      </w:r>
    </w:p>
    <w:p w:rsidR="00156D0D" w:rsidRPr="00156D0D" w:rsidRDefault="00156D0D" w:rsidP="006A0C0A">
      <w:pPr>
        <w:pStyle w:val="ListBullet"/>
      </w:pPr>
      <w:r w:rsidRPr="00156D0D">
        <w:t xml:space="preserve">the balance at the beginning of the </w:t>
      </w:r>
      <w:r w:rsidRPr="008A2EF2">
        <w:rPr>
          <w:rStyle w:val="Emphasis"/>
        </w:rPr>
        <w:t>regulatory accounting period</w:t>
      </w:r>
    </w:p>
    <w:p w:rsidR="00156D0D" w:rsidRPr="00156D0D" w:rsidRDefault="00156D0D" w:rsidP="006A0C0A">
      <w:pPr>
        <w:pStyle w:val="ListBullet"/>
      </w:pPr>
      <w:r w:rsidRPr="00156D0D">
        <w:t>amounts set aside to provisions</w:t>
      </w:r>
    </w:p>
    <w:p w:rsidR="00156D0D" w:rsidRPr="00156D0D" w:rsidRDefault="00156D0D" w:rsidP="006A0C0A">
      <w:pPr>
        <w:pStyle w:val="ListBullet"/>
      </w:pPr>
      <w:r w:rsidRPr="00156D0D">
        <w:t>expenditure charged to provisions</w:t>
      </w:r>
    </w:p>
    <w:p w:rsidR="00156D0D" w:rsidRPr="00156D0D" w:rsidRDefault="00156D0D" w:rsidP="006A0C0A">
      <w:pPr>
        <w:pStyle w:val="ListBullet"/>
      </w:pPr>
      <w:r w:rsidRPr="00156D0D">
        <w:t>amounts written back from provisions</w:t>
      </w:r>
    </w:p>
    <w:p w:rsidR="00156D0D" w:rsidRPr="00156D0D" w:rsidRDefault="00156D0D" w:rsidP="006A0C0A">
      <w:pPr>
        <w:pStyle w:val="ListBullet"/>
      </w:pPr>
      <w:r w:rsidRPr="00156D0D">
        <w:t xml:space="preserve">the network movement charged or credited to the profit and loss account </w:t>
      </w:r>
    </w:p>
    <w:p w:rsidR="00156D0D" w:rsidRPr="00156D0D" w:rsidRDefault="00156D0D" w:rsidP="006A0C0A">
      <w:pPr>
        <w:pStyle w:val="ListBullet"/>
      </w:pPr>
      <w:proofErr w:type="gramStart"/>
      <w:r w:rsidRPr="00156D0D">
        <w:t>the</w:t>
      </w:r>
      <w:proofErr w:type="gramEnd"/>
      <w:r w:rsidRPr="00156D0D">
        <w:t xml:space="preserve"> balance at the end of the </w:t>
      </w:r>
      <w:r w:rsidRPr="006A0C0A">
        <w:rPr>
          <w:rStyle w:val="Emphasis"/>
        </w:rPr>
        <w:t>regulatory accounting period</w:t>
      </w:r>
      <w:r w:rsidRPr="00156D0D">
        <w:t>.</w:t>
      </w:r>
    </w:p>
    <w:p w:rsidR="00156D0D" w:rsidRPr="00156D0D" w:rsidRDefault="00156D0D" w:rsidP="00156D0D">
      <w:pPr>
        <w:pStyle w:val="BodyText"/>
      </w:pPr>
      <w:r w:rsidRPr="00156D0D">
        <w:t xml:space="preserve">The pro forma statements ‘DISAGG </w:t>
      </w:r>
      <w:proofErr w:type="spellStart"/>
      <w:r w:rsidRPr="00156D0D">
        <w:t>Prov</w:t>
      </w:r>
      <w:proofErr w:type="spellEnd"/>
      <w:r w:rsidRPr="00156D0D">
        <w:t xml:space="preserve"> Sum’ and ‘PTS </w:t>
      </w:r>
      <w:proofErr w:type="spellStart"/>
      <w:r w:rsidRPr="00156D0D">
        <w:t>Prov</w:t>
      </w:r>
      <w:proofErr w:type="spellEnd"/>
      <w:r w:rsidRPr="00156D0D">
        <w:t xml:space="preserve"> Rec’ </w:t>
      </w:r>
      <w:r w:rsidR="00303D4F">
        <w:t>in A</w:t>
      </w:r>
      <w:r w:rsidRPr="00156D0D">
        <w:t>ppendix A indicate how this information should be disclosed.</w:t>
      </w:r>
    </w:p>
    <w:p w:rsidR="00156D0D" w:rsidRPr="00156D0D" w:rsidRDefault="005A25A1" w:rsidP="008A2EF2">
      <w:pPr>
        <w:pStyle w:val="Heading2"/>
      </w:pPr>
      <w:bookmarkStart w:id="84" w:name="_Toc405977465"/>
      <w:r>
        <w:t xml:space="preserve"> </w:t>
      </w:r>
      <w:bookmarkStart w:id="85" w:name="_Toc415582118"/>
      <w:r w:rsidR="00156D0D" w:rsidRPr="00156D0D">
        <w:t>Related party transactions</w:t>
      </w:r>
      <w:bookmarkEnd w:id="84"/>
      <w:bookmarkEnd w:id="85"/>
    </w:p>
    <w:p w:rsidR="00156D0D" w:rsidRPr="004F069F" w:rsidRDefault="00156D0D" w:rsidP="00156D0D">
      <w:pPr>
        <w:pStyle w:val="BodyText"/>
        <w:rPr>
          <w:rStyle w:val="Emphasis"/>
        </w:rPr>
      </w:pPr>
      <w:r w:rsidRPr="00156D0D">
        <w:t xml:space="preserve">A </w:t>
      </w:r>
      <w:r w:rsidRPr="008A2EF2">
        <w:rPr>
          <w:rStyle w:val="Emphasis"/>
        </w:rPr>
        <w:t>TNSP</w:t>
      </w:r>
      <w:r w:rsidRPr="00156D0D">
        <w:t xml:space="preserve"> shall inform us of:</w:t>
      </w:r>
    </w:p>
    <w:p w:rsidR="00156D0D" w:rsidRPr="00156D0D" w:rsidRDefault="00156D0D" w:rsidP="008A2EF2">
      <w:pPr>
        <w:pStyle w:val="ListBullet"/>
      </w:pPr>
      <w:r w:rsidRPr="004F069F">
        <w:rPr>
          <w:rStyle w:val="Emphasis"/>
        </w:rPr>
        <w:t>any material</w:t>
      </w:r>
      <w:r w:rsidRPr="00156D0D">
        <w:t xml:space="preserve"> </w:t>
      </w:r>
      <w:r w:rsidRPr="004F069F">
        <w:rPr>
          <w:rStyle w:val="Emphasis"/>
        </w:rPr>
        <w:t>related party transactions</w:t>
      </w:r>
      <w:r w:rsidRPr="00156D0D">
        <w:t xml:space="preserve"> whose costs are attributed to, or allocated between, categories of transmission services provided by the </w:t>
      </w:r>
      <w:r w:rsidRPr="008A2EF2">
        <w:rPr>
          <w:rStyle w:val="Emphasis"/>
        </w:rPr>
        <w:t>TNSP</w:t>
      </w:r>
      <w:r w:rsidRPr="00156D0D">
        <w:t>, including:</w:t>
      </w:r>
    </w:p>
    <w:p w:rsidR="00156D0D" w:rsidRPr="00156D0D" w:rsidRDefault="00156D0D" w:rsidP="008A2EF2">
      <w:pPr>
        <w:pStyle w:val="ListBullet2"/>
      </w:pPr>
      <w:r w:rsidRPr="00156D0D">
        <w:t xml:space="preserve">details of the </w:t>
      </w:r>
      <w:r w:rsidRPr="004F069F">
        <w:rPr>
          <w:rStyle w:val="Emphasis"/>
        </w:rPr>
        <w:t>related party</w:t>
      </w:r>
    </w:p>
    <w:p w:rsidR="00156D0D" w:rsidRPr="00156D0D" w:rsidRDefault="00156D0D" w:rsidP="008A2EF2">
      <w:pPr>
        <w:pStyle w:val="ListBullet2"/>
      </w:pPr>
      <w:r w:rsidRPr="00156D0D">
        <w:t xml:space="preserve">the terms of </w:t>
      </w:r>
      <w:r w:rsidRPr="004F069F">
        <w:rPr>
          <w:rStyle w:val="Emphasis"/>
        </w:rPr>
        <w:t>the related party</w:t>
      </w:r>
      <w:r w:rsidRPr="00156D0D">
        <w:t xml:space="preserve"> contract</w:t>
      </w:r>
    </w:p>
    <w:p w:rsidR="00156D0D" w:rsidRPr="00156D0D" w:rsidRDefault="00156D0D" w:rsidP="008A2EF2">
      <w:pPr>
        <w:pStyle w:val="ListBullet2"/>
      </w:pPr>
      <w:r w:rsidRPr="00156D0D">
        <w:t xml:space="preserve">a description of the goods and/or services that are the subject of the transaction </w:t>
      </w:r>
    </w:p>
    <w:p w:rsidR="00156D0D" w:rsidRPr="00156D0D" w:rsidRDefault="00156D0D" w:rsidP="008A2EF2">
      <w:pPr>
        <w:pStyle w:val="ListBullet2"/>
      </w:pPr>
      <w:proofErr w:type="gramStart"/>
      <w:r w:rsidRPr="00156D0D">
        <w:t>a</w:t>
      </w:r>
      <w:proofErr w:type="gramEnd"/>
      <w:r w:rsidRPr="00156D0D">
        <w:t xml:space="preserve"> description of the procurement process undertaken in respect of the goods and/or services that are the subject of the transaction, and in particular, whether or not the procurement process was a competitive process.</w:t>
      </w:r>
    </w:p>
    <w:p w:rsidR="00156D0D" w:rsidRPr="00156D0D" w:rsidRDefault="00156D0D" w:rsidP="008A2EF2">
      <w:pPr>
        <w:pStyle w:val="ListBullet"/>
      </w:pPr>
      <w:r w:rsidRPr="00156D0D">
        <w:t xml:space="preserve">the </w:t>
      </w:r>
      <w:r w:rsidRPr="008A2EF2">
        <w:rPr>
          <w:rStyle w:val="Emphasis"/>
        </w:rPr>
        <w:t>TNSP’s</w:t>
      </w:r>
      <w:r w:rsidRPr="00156D0D">
        <w:t xml:space="preserve"> confirmation that the terms and conditions of any </w:t>
      </w:r>
      <w:r w:rsidRPr="004F069F">
        <w:rPr>
          <w:rStyle w:val="Emphasis"/>
        </w:rPr>
        <w:t>related party</w:t>
      </w:r>
      <w:r w:rsidRPr="00156D0D">
        <w:t xml:space="preserve"> contract that it has require the </w:t>
      </w:r>
      <w:r w:rsidRPr="004F069F">
        <w:rPr>
          <w:rStyle w:val="Emphasis"/>
        </w:rPr>
        <w:t>related party</w:t>
      </w:r>
      <w:r w:rsidRPr="00156D0D">
        <w:t xml:space="preserve"> to provide sufficient information to the </w:t>
      </w:r>
      <w:r w:rsidRPr="008A2EF2">
        <w:rPr>
          <w:rStyle w:val="Emphasis"/>
        </w:rPr>
        <w:t>TNSP</w:t>
      </w:r>
      <w:r w:rsidRPr="00156D0D">
        <w:t xml:space="preserve"> to enable the </w:t>
      </w:r>
      <w:r w:rsidRPr="008A2EF2">
        <w:rPr>
          <w:rStyle w:val="Emphasis"/>
        </w:rPr>
        <w:t>TNSP</w:t>
      </w:r>
      <w:r w:rsidRPr="00156D0D">
        <w:t xml:space="preserve"> to meet obligations to attribute or allocate the costs of that </w:t>
      </w:r>
      <w:r w:rsidRPr="004F069F">
        <w:rPr>
          <w:rStyle w:val="Emphasis"/>
        </w:rPr>
        <w:t>related party</w:t>
      </w:r>
      <w:r w:rsidRPr="00156D0D">
        <w:t xml:space="preserve"> contract under this </w:t>
      </w:r>
      <w:r w:rsidRPr="008A2EF2">
        <w:rPr>
          <w:rStyle w:val="Emphasis"/>
        </w:rPr>
        <w:t>guideline</w:t>
      </w:r>
      <w:r w:rsidRPr="00156D0D">
        <w:t>.</w:t>
      </w:r>
    </w:p>
    <w:p w:rsidR="00156D0D" w:rsidRDefault="00156D0D" w:rsidP="00156D0D">
      <w:pPr>
        <w:pStyle w:val="BodyText"/>
      </w:pPr>
      <w:r w:rsidRPr="00156D0D">
        <w:t xml:space="preserve">A </w:t>
      </w:r>
      <w:r w:rsidRPr="008A2EF2">
        <w:rPr>
          <w:rStyle w:val="Emphasis"/>
        </w:rPr>
        <w:t>TNSP</w:t>
      </w:r>
      <w:r w:rsidRPr="00156D0D">
        <w:t xml:space="preserve"> shall also provide further detailed information on, or explanations of, transactions with related parties, as we may sometimes require.</w:t>
      </w:r>
    </w:p>
    <w:p w:rsidR="00B57D83" w:rsidRPr="00B57D83" w:rsidRDefault="00B57D83" w:rsidP="00B57D83">
      <w:r w:rsidRPr="00B57D83">
        <w:t xml:space="preserve">The </w:t>
      </w:r>
      <w:r w:rsidRPr="004D457E">
        <w:rPr>
          <w:rStyle w:val="Emphasis"/>
        </w:rPr>
        <w:t>directors’ responsibility statement</w:t>
      </w:r>
      <w:r w:rsidRPr="00B57D83">
        <w:t xml:space="preserve"> shall include a specific affirmation that either:</w:t>
      </w:r>
    </w:p>
    <w:p w:rsidR="00B57D83" w:rsidRPr="00B57D83" w:rsidRDefault="00B57D83" w:rsidP="004D457E">
      <w:pPr>
        <w:pStyle w:val="Bulletpoint"/>
      </w:pPr>
      <w:r w:rsidRPr="00B57D83">
        <w:t xml:space="preserve">no </w:t>
      </w:r>
      <w:r w:rsidRPr="004D457E">
        <w:rPr>
          <w:rStyle w:val="Emphasis"/>
        </w:rPr>
        <w:t>material related party transactions</w:t>
      </w:r>
      <w:r w:rsidRPr="00B57D83">
        <w:t xml:space="preserve"> arose</w:t>
      </w:r>
      <w:r w:rsidR="00280671">
        <w:t>; or</w:t>
      </w:r>
    </w:p>
    <w:p w:rsidR="00B57D83" w:rsidRPr="00156D0D" w:rsidRDefault="00B57D83" w:rsidP="004D457E">
      <w:pPr>
        <w:pStyle w:val="Bulletpoint"/>
      </w:pPr>
      <w:proofErr w:type="gramStart"/>
      <w:r w:rsidRPr="00B57D83">
        <w:t>the</w:t>
      </w:r>
      <w:proofErr w:type="gramEnd"/>
      <w:r w:rsidRPr="00B57D83">
        <w:t xml:space="preserve"> disclosure requirements of this section (4.14) have been complied with.</w:t>
      </w:r>
    </w:p>
    <w:p w:rsidR="00156D0D" w:rsidRPr="00156D0D" w:rsidRDefault="005A25A1" w:rsidP="008A2EF2">
      <w:pPr>
        <w:pStyle w:val="Heading2"/>
      </w:pPr>
      <w:bookmarkStart w:id="86" w:name="_Toc405977466"/>
      <w:r>
        <w:t xml:space="preserve"> </w:t>
      </w:r>
      <w:bookmarkStart w:id="87" w:name="_Toc415582119"/>
      <w:r w:rsidR="00156D0D" w:rsidRPr="00156D0D">
        <w:t>Third party benefits</w:t>
      </w:r>
      <w:bookmarkEnd w:id="86"/>
      <w:bookmarkEnd w:id="87"/>
    </w:p>
    <w:p w:rsidR="00156D0D" w:rsidRPr="00156D0D" w:rsidRDefault="00156D0D" w:rsidP="00156D0D">
      <w:pPr>
        <w:pStyle w:val="BodyText"/>
      </w:pPr>
      <w:r w:rsidRPr="00156D0D">
        <w:t xml:space="preserve">When the </w:t>
      </w:r>
      <w:r w:rsidRPr="008A2EF2">
        <w:rPr>
          <w:rStyle w:val="Emphasis"/>
        </w:rPr>
        <w:t>regulatory financial statements</w:t>
      </w:r>
      <w:r w:rsidRPr="00156D0D">
        <w:t xml:space="preserve"> record transactions associated with any subcontracting, purchase or other arrangements, which cause:</w:t>
      </w:r>
    </w:p>
    <w:p w:rsidR="00156D0D" w:rsidRPr="00156D0D" w:rsidRDefault="00156D0D" w:rsidP="008A2EF2">
      <w:pPr>
        <w:pStyle w:val="ListBullet"/>
      </w:pPr>
      <w:r w:rsidRPr="00156D0D">
        <w:t xml:space="preserve">a </w:t>
      </w:r>
      <w:r w:rsidRPr="004F069F">
        <w:rPr>
          <w:rStyle w:val="Emphasis"/>
        </w:rPr>
        <w:t>TNSP</w:t>
      </w:r>
    </w:p>
    <w:p w:rsidR="00156D0D" w:rsidRPr="00156D0D" w:rsidRDefault="00156D0D" w:rsidP="008A2EF2">
      <w:pPr>
        <w:pStyle w:val="ListBullet"/>
      </w:pPr>
      <w:r w:rsidRPr="00156D0D">
        <w:t xml:space="preserve">any related party of a </w:t>
      </w:r>
      <w:r w:rsidRPr="008A2EF2">
        <w:rPr>
          <w:rStyle w:val="Emphasis"/>
        </w:rPr>
        <w:t>TNSP</w:t>
      </w:r>
    </w:p>
    <w:p w:rsidR="00156D0D" w:rsidRPr="00156D0D" w:rsidRDefault="00156D0D" w:rsidP="00156D0D">
      <w:pPr>
        <w:pStyle w:val="BodyText"/>
      </w:pPr>
      <w:proofErr w:type="gramStart"/>
      <w:r w:rsidRPr="00156D0D">
        <w:t>to</w:t>
      </w:r>
      <w:proofErr w:type="gramEnd"/>
      <w:r w:rsidRPr="00156D0D">
        <w:t xml:space="preserve"> enjoy a beneficial interest in income, or other value that accrues in the hands of a third party, a </w:t>
      </w:r>
      <w:r w:rsidRPr="008A2EF2">
        <w:rPr>
          <w:rStyle w:val="Emphasis"/>
        </w:rPr>
        <w:t>TNSP</w:t>
      </w:r>
      <w:r w:rsidRPr="00156D0D">
        <w:t xml:space="preserve"> shall disclose for each such arrangement:</w:t>
      </w:r>
    </w:p>
    <w:p w:rsidR="00156D0D" w:rsidRPr="00156D0D" w:rsidRDefault="00156D0D" w:rsidP="008A2EF2">
      <w:pPr>
        <w:pStyle w:val="ListBullet"/>
      </w:pPr>
      <w:r w:rsidRPr="00156D0D">
        <w:t>a description of the arrangement</w:t>
      </w:r>
    </w:p>
    <w:p w:rsidR="00156D0D" w:rsidRPr="00156D0D" w:rsidRDefault="00156D0D" w:rsidP="008A2EF2">
      <w:pPr>
        <w:pStyle w:val="ListBullet"/>
      </w:pPr>
      <w:r w:rsidRPr="00156D0D">
        <w:t>its underlying purpose</w:t>
      </w:r>
    </w:p>
    <w:p w:rsidR="00156D0D" w:rsidRPr="00156D0D" w:rsidRDefault="00156D0D" w:rsidP="008A2EF2">
      <w:pPr>
        <w:pStyle w:val="ListBullet"/>
      </w:pPr>
      <w:r w:rsidRPr="00156D0D">
        <w:t>details of the counterparty</w:t>
      </w:r>
    </w:p>
    <w:p w:rsidR="00156D0D" w:rsidRPr="00156D0D" w:rsidRDefault="00156D0D" w:rsidP="008A2EF2">
      <w:pPr>
        <w:pStyle w:val="ListBullet"/>
      </w:pPr>
      <w:r w:rsidRPr="00156D0D">
        <w:t>details of the third parties</w:t>
      </w:r>
    </w:p>
    <w:p w:rsidR="00156D0D" w:rsidRPr="00156D0D" w:rsidRDefault="00156D0D" w:rsidP="008A2EF2">
      <w:pPr>
        <w:pStyle w:val="ListBullet"/>
      </w:pPr>
      <w:r w:rsidRPr="00156D0D">
        <w:t xml:space="preserve">the monetary value of such transactions that arose in the </w:t>
      </w:r>
      <w:r w:rsidRPr="008A2EF2">
        <w:rPr>
          <w:rStyle w:val="Emphasis"/>
        </w:rPr>
        <w:t>regulatory accounting period</w:t>
      </w:r>
      <w:r w:rsidRPr="00156D0D">
        <w:t xml:space="preserve"> </w:t>
      </w:r>
    </w:p>
    <w:p w:rsidR="00156D0D" w:rsidRPr="00156D0D" w:rsidRDefault="00156D0D" w:rsidP="008A2EF2">
      <w:pPr>
        <w:pStyle w:val="ListBullet"/>
      </w:pPr>
      <w:r w:rsidRPr="00156D0D">
        <w:t xml:space="preserve">the basis of charge for the transaction entered into by a </w:t>
      </w:r>
      <w:r w:rsidRPr="008A2EF2">
        <w:rPr>
          <w:rStyle w:val="Emphasis"/>
        </w:rPr>
        <w:t>TNSP</w:t>
      </w:r>
    </w:p>
    <w:p w:rsidR="00156D0D" w:rsidRPr="00156D0D" w:rsidRDefault="00156D0D" w:rsidP="008A2EF2">
      <w:pPr>
        <w:pStyle w:val="ListBullet"/>
      </w:pPr>
      <w:r w:rsidRPr="00156D0D">
        <w:t xml:space="preserve">the basis of calculation of the corresponding benefit received by a </w:t>
      </w:r>
      <w:r w:rsidRPr="008A2EF2">
        <w:rPr>
          <w:rStyle w:val="Emphasis"/>
        </w:rPr>
        <w:t>TNSP</w:t>
      </w:r>
      <w:r w:rsidRPr="00156D0D">
        <w:t xml:space="preserve"> or the </w:t>
      </w:r>
      <w:r w:rsidRPr="00C14905">
        <w:rPr>
          <w:rStyle w:val="Emphasis"/>
        </w:rPr>
        <w:t>related party</w:t>
      </w:r>
    </w:p>
    <w:p w:rsidR="00B57D83" w:rsidRDefault="00156D0D" w:rsidP="00B57D83">
      <w:pPr>
        <w:pStyle w:val="ListBullet"/>
      </w:pPr>
      <w:proofErr w:type="gramStart"/>
      <w:r w:rsidRPr="00156D0D">
        <w:t>a</w:t>
      </w:r>
      <w:proofErr w:type="gramEnd"/>
      <w:r w:rsidRPr="00156D0D">
        <w:t xml:space="preserve"> summary of the associated accounting entries that have been recorded in the </w:t>
      </w:r>
      <w:r w:rsidRPr="008A2EF2">
        <w:rPr>
          <w:rStyle w:val="Emphasis"/>
        </w:rPr>
        <w:t>prescribed services segment</w:t>
      </w:r>
      <w:r w:rsidRPr="00156D0D">
        <w:t>.</w:t>
      </w:r>
    </w:p>
    <w:p w:rsidR="00B57D83" w:rsidRPr="00B57D83" w:rsidRDefault="00B57D83" w:rsidP="00B57D83">
      <w:r w:rsidRPr="00B57D83">
        <w:t xml:space="preserve">The </w:t>
      </w:r>
      <w:r w:rsidRPr="004D457E">
        <w:rPr>
          <w:rStyle w:val="Emphasis"/>
        </w:rPr>
        <w:t>directors’ responsibility statement</w:t>
      </w:r>
      <w:r w:rsidRPr="00B57D83">
        <w:t xml:space="preserve"> shall include a specific affirmation that either:</w:t>
      </w:r>
    </w:p>
    <w:p w:rsidR="00B57D83" w:rsidRPr="00B57D83" w:rsidRDefault="00B57D83" w:rsidP="004D457E">
      <w:pPr>
        <w:pStyle w:val="Bulletpoint"/>
      </w:pPr>
      <w:r w:rsidRPr="00B57D83">
        <w:t>no such transactions arose</w:t>
      </w:r>
      <w:r w:rsidR="00280671">
        <w:t>; or</w:t>
      </w:r>
    </w:p>
    <w:p w:rsidR="00B57D83" w:rsidRPr="00156D0D" w:rsidRDefault="00B57D83" w:rsidP="00B57D83">
      <w:pPr>
        <w:pStyle w:val="ListBullet"/>
      </w:pPr>
      <w:proofErr w:type="gramStart"/>
      <w:r w:rsidRPr="00B57D83">
        <w:t>the</w:t>
      </w:r>
      <w:proofErr w:type="gramEnd"/>
      <w:r w:rsidRPr="00B57D83">
        <w:t xml:space="preserve"> disclosure requirements of this section (4.15) have been complied with.</w:t>
      </w:r>
    </w:p>
    <w:p w:rsidR="00156D0D" w:rsidRPr="00156D0D" w:rsidRDefault="005A25A1" w:rsidP="008A2EF2">
      <w:pPr>
        <w:pStyle w:val="Heading2"/>
      </w:pPr>
      <w:bookmarkStart w:id="88" w:name="_Toc405977467"/>
      <w:bookmarkStart w:id="89" w:name="_GoBack"/>
      <w:bookmarkEnd w:id="89"/>
      <w:r>
        <w:t xml:space="preserve"> </w:t>
      </w:r>
      <w:bookmarkStart w:id="90" w:name="_Toc415582120"/>
      <w:r w:rsidR="00156D0D" w:rsidRPr="00156D0D">
        <w:t>Financing transactions</w:t>
      </w:r>
      <w:bookmarkEnd w:id="88"/>
      <w:bookmarkEnd w:id="90"/>
    </w:p>
    <w:p w:rsidR="00156D0D" w:rsidRPr="00156D0D" w:rsidRDefault="00156D0D" w:rsidP="00156D0D">
      <w:pPr>
        <w:pStyle w:val="BodyText"/>
      </w:pPr>
      <w:r w:rsidRPr="00156D0D">
        <w:t xml:space="preserve">When the </w:t>
      </w:r>
      <w:r w:rsidRPr="008A2EF2">
        <w:rPr>
          <w:rStyle w:val="Emphasis"/>
        </w:rPr>
        <w:t>disaggregation statements</w:t>
      </w:r>
      <w:r w:rsidRPr="00156D0D">
        <w:t xml:space="preserve"> record any accounting entries, the effect of which is to provide:</w:t>
      </w:r>
    </w:p>
    <w:p w:rsidR="00156D0D" w:rsidRPr="00156D0D" w:rsidRDefault="00156D0D" w:rsidP="008A2EF2">
      <w:pPr>
        <w:pStyle w:val="ListBullet"/>
      </w:pPr>
      <w:r w:rsidRPr="00156D0D">
        <w:t>a decrement to financing or interest costs in the statement of financial performance</w:t>
      </w:r>
    </w:p>
    <w:p w:rsidR="00156D0D" w:rsidRPr="00156D0D" w:rsidRDefault="00156D0D" w:rsidP="008A2EF2">
      <w:pPr>
        <w:pStyle w:val="ListBullet"/>
      </w:pPr>
      <w:r w:rsidRPr="00156D0D">
        <w:t xml:space="preserve">in the </w:t>
      </w:r>
      <w:r w:rsidRPr="008A2EF2">
        <w:rPr>
          <w:rStyle w:val="Emphasis"/>
        </w:rPr>
        <w:t>prescribed services segment</w:t>
      </w:r>
      <w:r w:rsidRPr="00156D0D">
        <w:t>, a related:</w:t>
      </w:r>
    </w:p>
    <w:p w:rsidR="00156D0D" w:rsidRPr="00156D0D" w:rsidRDefault="00156D0D" w:rsidP="008A2EF2">
      <w:pPr>
        <w:pStyle w:val="ListBullet2"/>
      </w:pPr>
      <w:r w:rsidRPr="00156D0D">
        <w:t>decrement to earnings before interest and tax</w:t>
      </w:r>
    </w:p>
    <w:p w:rsidR="00156D0D" w:rsidRPr="00156D0D" w:rsidRDefault="00156D0D" w:rsidP="008A2EF2">
      <w:pPr>
        <w:pStyle w:val="ListBullet2"/>
      </w:pPr>
      <w:r w:rsidRPr="00156D0D">
        <w:t>increase in asset values</w:t>
      </w:r>
    </w:p>
    <w:p w:rsidR="00156D0D" w:rsidRPr="00156D0D" w:rsidRDefault="00156D0D" w:rsidP="00156D0D">
      <w:pPr>
        <w:pStyle w:val="BodyText"/>
      </w:pPr>
      <w:proofErr w:type="gramStart"/>
      <w:r w:rsidRPr="00156D0D">
        <w:t>a</w:t>
      </w:r>
      <w:proofErr w:type="gramEnd"/>
      <w:r w:rsidRPr="00156D0D">
        <w:t xml:space="preserve"> </w:t>
      </w:r>
      <w:r w:rsidRPr="008A2EF2">
        <w:rPr>
          <w:rStyle w:val="Emphasis"/>
        </w:rPr>
        <w:t>TNSP</w:t>
      </w:r>
      <w:r w:rsidRPr="00156D0D">
        <w:t xml:space="preserve"> shall disclose:</w:t>
      </w:r>
    </w:p>
    <w:p w:rsidR="00156D0D" w:rsidRPr="00156D0D" w:rsidRDefault="00156D0D" w:rsidP="008A2EF2">
      <w:pPr>
        <w:pStyle w:val="ListBullet"/>
      </w:pPr>
      <w:r w:rsidRPr="00156D0D">
        <w:t>descriptions of the transactions, their underlying purpose and any counterparties an analysis of:</w:t>
      </w:r>
    </w:p>
    <w:p w:rsidR="00156D0D" w:rsidRPr="00156D0D" w:rsidRDefault="00156D0D" w:rsidP="008A2EF2">
      <w:pPr>
        <w:pStyle w:val="ListBullet2"/>
      </w:pPr>
      <w:r w:rsidRPr="00156D0D">
        <w:t>the monetary amounts involved</w:t>
      </w:r>
    </w:p>
    <w:p w:rsidR="00156D0D" w:rsidRPr="00156D0D" w:rsidRDefault="00156D0D" w:rsidP="008A2EF2">
      <w:pPr>
        <w:pStyle w:val="ListBullet2"/>
      </w:pPr>
      <w:r w:rsidRPr="00156D0D">
        <w:t>the bases of charge</w:t>
      </w:r>
    </w:p>
    <w:p w:rsidR="00156D0D" w:rsidRDefault="00156D0D" w:rsidP="008A2EF2">
      <w:pPr>
        <w:pStyle w:val="ListBullet2"/>
      </w:pPr>
      <w:proofErr w:type="gramStart"/>
      <w:r w:rsidRPr="00156D0D">
        <w:t>the</w:t>
      </w:r>
      <w:proofErr w:type="gramEnd"/>
      <w:r w:rsidRPr="00156D0D">
        <w:t xml:space="preserve"> associated accounting entries that have been recorded in the </w:t>
      </w:r>
      <w:r w:rsidRPr="008A2EF2">
        <w:rPr>
          <w:rStyle w:val="Emphasis"/>
        </w:rPr>
        <w:t>regulatory financial statements</w:t>
      </w:r>
      <w:r w:rsidRPr="00156D0D">
        <w:t>.</w:t>
      </w:r>
    </w:p>
    <w:p w:rsidR="00B57D83" w:rsidRPr="00B57D83" w:rsidRDefault="00B57D83" w:rsidP="00B57D83">
      <w:r w:rsidRPr="00B57D83">
        <w:t xml:space="preserve">The </w:t>
      </w:r>
      <w:r w:rsidRPr="004D457E">
        <w:rPr>
          <w:rStyle w:val="Emphasis"/>
        </w:rPr>
        <w:t>directors’ responsibility statement</w:t>
      </w:r>
      <w:r w:rsidRPr="00B57D83">
        <w:t xml:space="preserve"> shall include a specific affirmation that either:</w:t>
      </w:r>
    </w:p>
    <w:p w:rsidR="00B57D83" w:rsidRPr="00B57D83" w:rsidRDefault="00B57D83" w:rsidP="004D457E">
      <w:pPr>
        <w:pStyle w:val="Bulletpoint"/>
      </w:pPr>
      <w:r w:rsidRPr="00B57D83">
        <w:t>no such transactions arose</w:t>
      </w:r>
      <w:r w:rsidR="00280671">
        <w:t>; or</w:t>
      </w:r>
    </w:p>
    <w:p w:rsidR="00B57D83" w:rsidRDefault="00B57D83" w:rsidP="004D457E">
      <w:pPr>
        <w:pStyle w:val="Bulletpoint"/>
      </w:pPr>
      <w:proofErr w:type="gramStart"/>
      <w:r w:rsidRPr="00B57D83">
        <w:t>the</w:t>
      </w:r>
      <w:proofErr w:type="gramEnd"/>
      <w:r w:rsidRPr="00B57D83">
        <w:t xml:space="preserve"> disclosure requirements of this section (4.16) have been complied with.</w:t>
      </w:r>
    </w:p>
    <w:p w:rsidR="00841E32" w:rsidRPr="00156D0D" w:rsidRDefault="00841E32" w:rsidP="00841E32"/>
    <w:p w:rsidR="00156D0D" w:rsidRPr="00156D0D" w:rsidRDefault="00C66EC8" w:rsidP="008A2EF2">
      <w:pPr>
        <w:pStyle w:val="Heading2"/>
      </w:pPr>
      <w:bookmarkStart w:id="91" w:name="_Toc405977468"/>
      <w:r>
        <w:t xml:space="preserve"> </w:t>
      </w:r>
      <w:bookmarkStart w:id="92" w:name="_Toc415582121"/>
      <w:r w:rsidR="00156D0D" w:rsidRPr="00156D0D">
        <w:t>Regulatory Information Instrument responses</w:t>
      </w:r>
      <w:bookmarkEnd w:id="91"/>
      <w:bookmarkEnd w:id="92"/>
    </w:p>
    <w:p w:rsidR="00156D0D" w:rsidRPr="00156D0D" w:rsidRDefault="00156D0D" w:rsidP="00156D0D">
      <w:pPr>
        <w:pStyle w:val="BodyText"/>
      </w:pPr>
      <w:r w:rsidRPr="00156D0D">
        <w:t xml:space="preserve">If a </w:t>
      </w:r>
      <w:r w:rsidRPr="008A2EF2">
        <w:rPr>
          <w:rStyle w:val="Emphasis"/>
        </w:rPr>
        <w:t>TNSP</w:t>
      </w:r>
      <w:r w:rsidRPr="00156D0D">
        <w:t xml:space="preserve"> is required to provide information to the </w:t>
      </w:r>
      <w:r w:rsidRPr="008A2EF2">
        <w:rPr>
          <w:rStyle w:val="Emphasis"/>
        </w:rPr>
        <w:t>AER</w:t>
      </w:r>
      <w:r w:rsidRPr="00156D0D">
        <w:t xml:space="preserve"> in response to a </w:t>
      </w:r>
      <w:r w:rsidRPr="008A2EF2">
        <w:rPr>
          <w:rStyle w:val="Emphasis"/>
        </w:rPr>
        <w:t>Regulatory Information Instrument</w:t>
      </w:r>
      <w:r w:rsidRPr="00156D0D">
        <w:t xml:space="preserve"> it is not a requirement for this information to be provided to the </w:t>
      </w:r>
      <w:r w:rsidRPr="008A2EF2">
        <w:rPr>
          <w:rStyle w:val="Emphasis"/>
        </w:rPr>
        <w:t>AER</w:t>
      </w:r>
      <w:r w:rsidRPr="00156D0D">
        <w:t xml:space="preserve"> in response to this </w:t>
      </w:r>
      <w:r w:rsidRPr="008A2EF2">
        <w:rPr>
          <w:rStyle w:val="Emphasis"/>
        </w:rPr>
        <w:t>guideline</w:t>
      </w:r>
      <w:r w:rsidRPr="00156D0D">
        <w:t>.</w:t>
      </w:r>
    </w:p>
    <w:p w:rsidR="00156D0D" w:rsidRDefault="00156D0D" w:rsidP="00156D0D">
      <w:pPr>
        <w:pStyle w:val="BodyText"/>
      </w:pPr>
      <w:r w:rsidRPr="00156D0D">
        <w:br w:type="page"/>
      </w:r>
    </w:p>
    <w:p w:rsidR="00737CD4" w:rsidRPr="00737CD4" w:rsidRDefault="00737CD4" w:rsidP="00737CD4">
      <w:pPr>
        <w:pStyle w:val="Heading1notnumber"/>
      </w:pPr>
      <w:bookmarkStart w:id="93" w:name="_Toc405977469"/>
      <w:bookmarkStart w:id="94" w:name="_Toc415582122"/>
      <w:r w:rsidRPr="00737CD4">
        <w:t>Glossary</w:t>
      </w:r>
      <w:bookmarkEnd w:id="93"/>
      <w:bookmarkEnd w:id="94"/>
    </w:p>
    <w:p w:rsidR="00737CD4" w:rsidRPr="00737CD4" w:rsidRDefault="00737CD4" w:rsidP="00737CD4">
      <w:r w:rsidRPr="00737CD4">
        <w:t xml:space="preserve">This </w:t>
      </w:r>
      <w:r w:rsidRPr="00737CD4">
        <w:rPr>
          <w:rStyle w:val="Emphasis"/>
        </w:rPr>
        <w:t>guideline</w:t>
      </w:r>
      <w:r w:rsidRPr="00737CD4">
        <w:t xml:space="preserve"> uses the following definitions.</w:t>
      </w:r>
    </w:p>
    <w:tbl>
      <w:tblPr>
        <w:tblStyle w:val="AERTable-Text"/>
        <w:tblW w:w="0" w:type="auto"/>
        <w:tblLook w:val="01E0" w:firstRow="1" w:lastRow="1" w:firstColumn="1" w:lastColumn="1" w:noHBand="0" w:noVBand="0"/>
      </w:tblPr>
      <w:tblGrid>
        <w:gridCol w:w="2808"/>
        <w:gridCol w:w="5720"/>
      </w:tblGrid>
      <w:tr w:rsidR="00737CD4" w:rsidRPr="00737CD4" w:rsidTr="00E15393">
        <w:trPr>
          <w:cnfStyle w:val="100000000000" w:firstRow="1" w:lastRow="0" w:firstColumn="0" w:lastColumn="0" w:oddVBand="0" w:evenVBand="0" w:oddHBand="0" w:evenHBand="0" w:firstRowFirstColumn="0" w:firstRowLastColumn="0" w:lastRowFirstColumn="0" w:lastRowLastColumn="0"/>
          <w:tblHeader/>
        </w:trPr>
        <w:tc>
          <w:tcPr>
            <w:tcW w:w="2808" w:type="dxa"/>
          </w:tcPr>
          <w:p w:rsidR="00737CD4" w:rsidRPr="00737CD4" w:rsidRDefault="00737CD4" w:rsidP="00737CD4">
            <w:pPr>
              <w:pStyle w:val="Tabletext"/>
              <w:rPr>
                <w:lang w:val="en-GB"/>
              </w:rPr>
            </w:pPr>
            <w:r w:rsidRPr="00737CD4">
              <w:rPr>
                <w:lang w:val="en-GB"/>
              </w:rPr>
              <w:t>Term</w:t>
            </w:r>
          </w:p>
        </w:tc>
        <w:tc>
          <w:tcPr>
            <w:tcW w:w="5720" w:type="dxa"/>
          </w:tcPr>
          <w:p w:rsidR="00737CD4" w:rsidRPr="00737CD4" w:rsidRDefault="00737CD4" w:rsidP="00737CD4">
            <w:pPr>
              <w:pStyle w:val="Tabletext"/>
              <w:rPr>
                <w:lang w:val="en-GB"/>
              </w:rPr>
            </w:pPr>
            <w:r w:rsidRPr="00737CD4">
              <w:rPr>
                <w:lang w:val="en-GB"/>
              </w:rPr>
              <w:t>Definition</w:t>
            </w:r>
          </w:p>
        </w:tc>
      </w:tr>
      <w:tr w:rsidR="00737CD4" w:rsidRPr="00737CD4" w:rsidTr="00737CD4">
        <w:tc>
          <w:tcPr>
            <w:tcW w:w="2808" w:type="dxa"/>
          </w:tcPr>
          <w:p w:rsidR="00737CD4" w:rsidRPr="00737CD4" w:rsidRDefault="00737CD4" w:rsidP="00737CD4">
            <w:pPr>
              <w:pStyle w:val="Tabletext"/>
              <w:rPr>
                <w:lang w:val="en-GB"/>
              </w:rPr>
            </w:pPr>
            <w:r w:rsidRPr="00737CD4">
              <w:rPr>
                <w:lang w:val="en-GB"/>
              </w:rPr>
              <w:t>Account codes</w:t>
            </w:r>
          </w:p>
        </w:tc>
        <w:tc>
          <w:tcPr>
            <w:tcW w:w="5720" w:type="dxa"/>
          </w:tcPr>
          <w:p w:rsidR="00737CD4" w:rsidRPr="00737CD4" w:rsidRDefault="00737CD4" w:rsidP="00737CD4">
            <w:pPr>
              <w:pStyle w:val="Tabletext"/>
              <w:rPr>
                <w:lang w:val="en-GB"/>
              </w:rPr>
            </w:pPr>
            <w:r w:rsidRPr="00737CD4">
              <w:rPr>
                <w:lang w:val="en-GB"/>
              </w:rPr>
              <w:t xml:space="preserve">The nomenclature used to index the base account records, e.g. general ledger or activity codes. </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rPr>
                <w:lang w:val="en-GB"/>
              </w:rPr>
            </w:pPr>
            <w:r w:rsidRPr="00737CD4">
              <w:rPr>
                <w:lang w:val="en-GB"/>
              </w:rPr>
              <w:t>Account heading</w:t>
            </w:r>
          </w:p>
        </w:tc>
        <w:tc>
          <w:tcPr>
            <w:tcW w:w="5720" w:type="dxa"/>
          </w:tcPr>
          <w:p w:rsidR="00737CD4" w:rsidRPr="00737CD4" w:rsidRDefault="00737CD4" w:rsidP="00737CD4">
            <w:pPr>
              <w:pStyle w:val="Tabletext"/>
              <w:rPr>
                <w:lang w:val="en-GB"/>
              </w:rPr>
            </w:pPr>
            <w:r w:rsidRPr="00737CD4">
              <w:rPr>
                <w:lang w:val="en-GB"/>
              </w:rPr>
              <w:t>Either an account heading used in an accounting record such as a general ledger or a higher-level summarisation of such headings.</w:t>
            </w:r>
          </w:p>
        </w:tc>
      </w:tr>
      <w:tr w:rsidR="00737CD4" w:rsidRPr="00737CD4" w:rsidTr="00737CD4">
        <w:tc>
          <w:tcPr>
            <w:tcW w:w="2808" w:type="dxa"/>
          </w:tcPr>
          <w:p w:rsidR="00737CD4" w:rsidRPr="00737CD4" w:rsidRDefault="00737CD4" w:rsidP="00737CD4">
            <w:pPr>
              <w:pStyle w:val="Tabletext"/>
              <w:rPr>
                <w:lang w:val="en-GB"/>
              </w:rPr>
            </w:pPr>
            <w:r w:rsidRPr="00737CD4">
              <w:rPr>
                <w:lang w:val="en-GB"/>
              </w:rPr>
              <w:t>Auditor</w:t>
            </w:r>
          </w:p>
        </w:tc>
        <w:tc>
          <w:tcPr>
            <w:tcW w:w="5720" w:type="dxa"/>
          </w:tcPr>
          <w:p w:rsidR="00737CD4" w:rsidRPr="00737CD4" w:rsidRDefault="00737CD4" w:rsidP="00737CD4">
            <w:pPr>
              <w:pStyle w:val="Tabletext"/>
              <w:rPr>
                <w:lang w:val="en-GB"/>
              </w:rPr>
            </w:pPr>
            <w:r w:rsidRPr="00737CD4">
              <w:rPr>
                <w:lang w:val="en-GB"/>
              </w:rPr>
              <w:t xml:space="preserve">A registered company auditor independent of a TNSP. </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rPr>
                <w:lang w:val="en-GB"/>
              </w:rPr>
            </w:pPr>
            <w:r w:rsidRPr="00737CD4">
              <w:rPr>
                <w:lang w:val="en-GB"/>
              </w:rPr>
              <w:t>Audit report on a special purpose financial report</w:t>
            </w:r>
          </w:p>
        </w:tc>
        <w:tc>
          <w:tcPr>
            <w:tcW w:w="5720" w:type="dxa"/>
          </w:tcPr>
          <w:p w:rsidR="00737CD4" w:rsidRPr="00737CD4" w:rsidRDefault="00737CD4" w:rsidP="00737CD4">
            <w:pPr>
              <w:pStyle w:val="Tabletext"/>
              <w:rPr>
                <w:lang w:val="en-GB"/>
              </w:rPr>
            </w:pPr>
            <w:r w:rsidRPr="00737CD4">
              <w:rPr>
                <w:lang w:val="en-GB"/>
              </w:rPr>
              <w:t>An audit report on regulatory information submitted to the AER by a TNSP prepared in accordance with Australian Auditing Standard AUS 802, and in accordance with a financial reporting framework such as this guideline, other than accounting standards and Urgent Issues Group consensus views.</w:t>
            </w:r>
          </w:p>
        </w:tc>
      </w:tr>
      <w:tr w:rsidR="00737CD4" w:rsidRPr="00737CD4" w:rsidTr="00737CD4">
        <w:tc>
          <w:tcPr>
            <w:tcW w:w="2808" w:type="dxa"/>
          </w:tcPr>
          <w:p w:rsidR="00737CD4" w:rsidRPr="00737CD4" w:rsidRDefault="00737CD4" w:rsidP="00737CD4">
            <w:pPr>
              <w:pStyle w:val="Tabletext"/>
            </w:pPr>
            <w:r w:rsidRPr="00737CD4">
              <w:rPr>
                <w:lang w:val="en-GB"/>
              </w:rPr>
              <w:t>Australian Competition and Consumer Commission</w:t>
            </w:r>
          </w:p>
        </w:tc>
        <w:tc>
          <w:tcPr>
            <w:tcW w:w="5720" w:type="dxa"/>
          </w:tcPr>
          <w:p w:rsidR="00737CD4" w:rsidRPr="00737CD4" w:rsidRDefault="00737CD4" w:rsidP="00737CD4">
            <w:pPr>
              <w:pStyle w:val="Tabletext"/>
              <w:rPr>
                <w:lang w:val="en-GB"/>
              </w:rPr>
            </w:pPr>
            <w:r w:rsidRPr="00737CD4">
              <w:rPr>
                <w:lang w:val="en-GB"/>
              </w:rPr>
              <w:t xml:space="preserve">The Australian Competition and Consumer Commission as established under the Trade Practices Act 1974 (Commonwealth) (renamed the </w:t>
            </w:r>
            <w:r w:rsidRPr="00737CD4">
              <w:rPr>
                <w:rStyle w:val="Emphasis"/>
              </w:rPr>
              <w:t>Competition and Consumer Act 2010</w:t>
            </w:r>
            <w:r w:rsidRPr="00737CD4">
              <w:rPr>
                <w:lang w:val="en-GB"/>
              </w:rPr>
              <w:t xml:space="preserve"> on 1 January 2011). </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pPr>
            <w:r w:rsidRPr="00737CD4">
              <w:t>Base accounts</w:t>
            </w:r>
          </w:p>
        </w:tc>
        <w:tc>
          <w:tcPr>
            <w:tcW w:w="5720" w:type="dxa"/>
          </w:tcPr>
          <w:p w:rsidR="00737CD4" w:rsidRPr="00737CD4" w:rsidRDefault="00737CD4" w:rsidP="00737CD4">
            <w:pPr>
              <w:pStyle w:val="Tabletext"/>
            </w:pPr>
            <w:r w:rsidRPr="00737CD4">
              <w:t>General purpose financial statements that:</w:t>
            </w:r>
          </w:p>
          <w:p w:rsidR="00737CD4" w:rsidRPr="00737CD4" w:rsidRDefault="00737CD4" w:rsidP="00737CD4">
            <w:pPr>
              <w:pStyle w:val="ListBullet"/>
            </w:pPr>
            <w:r w:rsidRPr="00737CD4">
              <w:t>contain the entirety of the activities of a TNSP’s business segments</w:t>
            </w:r>
          </w:p>
          <w:p w:rsidR="00737CD4" w:rsidRPr="00737CD4" w:rsidRDefault="00737CD4" w:rsidP="00737CD4">
            <w:pPr>
              <w:pStyle w:val="ListBullet"/>
            </w:pPr>
            <w:r w:rsidRPr="00737CD4">
              <w:t>are consolidated or aggregated where appropriate</w:t>
            </w:r>
          </w:p>
          <w:p w:rsidR="00737CD4" w:rsidRPr="00737CD4" w:rsidRDefault="00737CD4" w:rsidP="00737CD4">
            <w:pPr>
              <w:pStyle w:val="ListBullet"/>
            </w:pPr>
            <w:r w:rsidRPr="00737CD4">
              <w:t>are prepared in accordance with:</w:t>
            </w:r>
          </w:p>
          <w:p w:rsidR="00737CD4" w:rsidRPr="00737CD4" w:rsidRDefault="00737CD4" w:rsidP="00737CD4">
            <w:pPr>
              <w:pStyle w:val="ListBullet2"/>
            </w:pPr>
            <w:r w:rsidRPr="00737CD4">
              <w:t>the Corporations Act</w:t>
            </w:r>
          </w:p>
          <w:p w:rsidR="00737CD4" w:rsidRPr="00737CD4" w:rsidRDefault="00737CD4" w:rsidP="00737CD4">
            <w:pPr>
              <w:pStyle w:val="ListBullet2"/>
            </w:pPr>
            <w:r w:rsidRPr="00737CD4">
              <w:t>Australian Accounting Standards</w:t>
            </w:r>
          </w:p>
          <w:p w:rsidR="00737CD4" w:rsidRPr="00737CD4" w:rsidRDefault="00737CD4" w:rsidP="00737CD4">
            <w:pPr>
              <w:pStyle w:val="ListBullet2"/>
            </w:pPr>
            <w:r w:rsidRPr="00737CD4">
              <w:t>Urgent Issues Group consensus views</w:t>
            </w:r>
          </w:p>
          <w:p w:rsidR="00737CD4" w:rsidRPr="00737CD4" w:rsidRDefault="00737CD4" w:rsidP="00737CD4">
            <w:pPr>
              <w:pStyle w:val="ListBullet2"/>
            </w:pPr>
            <w:proofErr w:type="gramStart"/>
            <w:r w:rsidRPr="00737CD4">
              <w:t>are</w:t>
            </w:r>
            <w:proofErr w:type="gramEnd"/>
            <w:r w:rsidRPr="00737CD4">
              <w:t xml:space="preserve"> audited under Australian Auditing Standards.</w:t>
            </w:r>
          </w:p>
        </w:tc>
      </w:tr>
      <w:tr w:rsidR="00737CD4" w:rsidRPr="00737CD4" w:rsidTr="00737CD4">
        <w:tc>
          <w:tcPr>
            <w:tcW w:w="2808" w:type="dxa"/>
          </w:tcPr>
          <w:p w:rsidR="00737CD4" w:rsidRPr="00737CD4" w:rsidRDefault="00737CD4" w:rsidP="00737CD4">
            <w:pPr>
              <w:pStyle w:val="Tabletext"/>
            </w:pPr>
            <w:r w:rsidRPr="00737CD4">
              <w:t>Base account records</w:t>
            </w:r>
          </w:p>
        </w:tc>
        <w:tc>
          <w:tcPr>
            <w:tcW w:w="5720" w:type="dxa"/>
          </w:tcPr>
          <w:p w:rsidR="00737CD4" w:rsidRPr="00737CD4" w:rsidRDefault="00737CD4" w:rsidP="00737CD4">
            <w:pPr>
              <w:pStyle w:val="Tabletext"/>
            </w:pPr>
            <w:r w:rsidRPr="00737CD4">
              <w:t>The accounting records maintained by a TNSP regardless of any regulatory reporting requirement, for the purposes of preparing base accounts and providing the managers of a TNSP with management reports.</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pPr>
            <w:r w:rsidRPr="00737CD4">
              <w:t>Business segment or segments</w:t>
            </w:r>
          </w:p>
        </w:tc>
        <w:tc>
          <w:tcPr>
            <w:tcW w:w="5720" w:type="dxa"/>
          </w:tcPr>
          <w:p w:rsidR="00737CD4" w:rsidRPr="00737CD4" w:rsidRDefault="00737CD4" w:rsidP="00737CD4">
            <w:pPr>
              <w:pStyle w:val="Tabletext"/>
            </w:pPr>
            <w:r w:rsidRPr="00737CD4">
              <w:t>A part of the total business reported by the base accounts that is involved with providing:</w:t>
            </w:r>
          </w:p>
          <w:p w:rsidR="00737CD4" w:rsidRPr="00737CD4" w:rsidRDefault="00737CD4" w:rsidP="00737CD4">
            <w:pPr>
              <w:pStyle w:val="ListBullet"/>
            </w:pPr>
            <w:r w:rsidRPr="00737CD4">
              <w:t>prescribed transmission services</w:t>
            </w:r>
          </w:p>
          <w:p w:rsidR="00737CD4" w:rsidRPr="00737CD4" w:rsidRDefault="00737CD4" w:rsidP="00737CD4">
            <w:pPr>
              <w:pStyle w:val="ListBullet"/>
            </w:pPr>
            <w:r w:rsidRPr="00737CD4">
              <w:t>negotiated transmission services</w:t>
            </w:r>
          </w:p>
          <w:p w:rsidR="00737CD4" w:rsidRPr="00737CD4" w:rsidRDefault="00737CD4" w:rsidP="00737CD4">
            <w:pPr>
              <w:pStyle w:val="ListBullet"/>
            </w:pPr>
            <w:proofErr w:type="gramStart"/>
            <w:r w:rsidRPr="00737CD4">
              <w:t>not</w:t>
            </w:r>
            <w:proofErr w:type="gramEnd"/>
            <w:r w:rsidRPr="00737CD4">
              <w:t xml:space="preserve"> allocated.</w:t>
            </w:r>
          </w:p>
        </w:tc>
      </w:tr>
      <w:tr w:rsidR="00737CD4" w:rsidRPr="00737CD4" w:rsidTr="00737CD4">
        <w:tc>
          <w:tcPr>
            <w:tcW w:w="2808" w:type="dxa"/>
          </w:tcPr>
          <w:p w:rsidR="00737CD4" w:rsidRPr="00737CD4" w:rsidRDefault="00737CD4" w:rsidP="00737CD4">
            <w:pPr>
              <w:pStyle w:val="Tabletext"/>
            </w:pPr>
            <w:r w:rsidRPr="00737CD4">
              <w:t>Corporations Act</w:t>
            </w:r>
          </w:p>
        </w:tc>
        <w:tc>
          <w:tcPr>
            <w:tcW w:w="5720" w:type="dxa"/>
          </w:tcPr>
          <w:p w:rsidR="00737CD4" w:rsidRPr="00737CD4" w:rsidRDefault="00737CD4" w:rsidP="00737CD4">
            <w:pPr>
              <w:pStyle w:val="Tabletext"/>
              <w:rPr>
                <w:rStyle w:val="Emphasis"/>
              </w:rPr>
            </w:pPr>
            <w:r w:rsidRPr="00737CD4">
              <w:rPr>
                <w:rStyle w:val="Emphasis"/>
              </w:rPr>
              <w:t>Corporations Act 2001 (</w:t>
            </w:r>
            <w:proofErr w:type="spellStart"/>
            <w:r w:rsidRPr="00737CD4">
              <w:rPr>
                <w:rStyle w:val="Emphasis"/>
              </w:rPr>
              <w:t>Cth</w:t>
            </w:r>
            <w:proofErr w:type="spellEnd"/>
            <w:r w:rsidRPr="00737CD4">
              <w:rPr>
                <w:rStyle w:val="Emphasis"/>
              </w:rPr>
              <w:t>)</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pPr>
            <w:r w:rsidRPr="00737CD4">
              <w:t>Directly attributable or directly attributed</w:t>
            </w:r>
          </w:p>
        </w:tc>
        <w:tc>
          <w:tcPr>
            <w:tcW w:w="5720" w:type="dxa"/>
          </w:tcPr>
          <w:p w:rsidR="00737CD4" w:rsidRPr="00737CD4" w:rsidRDefault="00737CD4" w:rsidP="00737CD4">
            <w:pPr>
              <w:pStyle w:val="Tabletext"/>
            </w:pPr>
            <w:r w:rsidRPr="00737CD4">
              <w:t>Directly attributable or directly attributed to an object such as a business segment, if it is wholly and exclusively associated with that segment.</w:t>
            </w:r>
          </w:p>
        </w:tc>
      </w:tr>
      <w:tr w:rsidR="00737CD4" w:rsidRPr="00737CD4" w:rsidTr="00737CD4">
        <w:tc>
          <w:tcPr>
            <w:tcW w:w="2808" w:type="dxa"/>
          </w:tcPr>
          <w:p w:rsidR="00737CD4" w:rsidRPr="00737CD4" w:rsidRDefault="00737CD4" w:rsidP="00737CD4">
            <w:pPr>
              <w:pStyle w:val="Tabletext"/>
            </w:pPr>
            <w:r w:rsidRPr="00737CD4">
              <w:t>Director</w:t>
            </w:r>
          </w:p>
        </w:tc>
        <w:tc>
          <w:tcPr>
            <w:tcW w:w="5720" w:type="dxa"/>
          </w:tcPr>
          <w:p w:rsidR="00737CD4" w:rsidRPr="00737CD4" w:rsidRDefault="00737CD4" w:rsidP="00737CD4">
            <w:pPr>
              <w:pStyle w:val="Tabletext"/>
            </w:pPr>
            <w:r w:rsidRPr="00737CD4">
              <w:t>A director of a TNSP.</w:t>
            </w:r>
          </w:p>
        </w:tc>
      </w:tr>
      <w:tr w:rsidR="00360F46"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360F46" w:rsidRPr="00737CD4" w:rsidRDefault="00360F46" w:rsidP="00737CD4">
            <w:pPr>
              <w:pStyle w:val="Tabletext"/>
            </w:pPr>
            <w:r>
              <w:t>Directors' responsibility statement</w:t>
            </w:r>
          </w:p>
        </w:tc>
        <w:tc>
          <w:tcPr>
            <w:tcW w:w="5720" w:type="dxa"/>
          </w:tcPr>
          <w:p w:rsidR="00360F46" w:rsidRPr="00360F46" w:rsidRDefault="00841E32" w:rsidP="00360F46">
            <w:r>
              <w:t>A</w:t>
            </w:r>
            <w:r w:rsidR="00360F46" w:rsidRPr="00360F46">
              <w:t xml:space="preserve"> statement signed and dated by not less than two directors of</w:t>
            </w:r>
            <w:r w:rsidR="00360F46">
              <w:t xml:space="preserve"> </w:t>
            </w:r>
            <w:r w:rsidR="00360F46" w:rsidRPr="00360F46">
              <w:t>a TNSP, which states whether in the opinion of those</w:t>
            </w:r>
            <w:r w:rsidR="00360F46">
              <w:t xml:space="preserve"> </w:t>
            </w:r>
            <w:r w:rsidR="00360F46" w:rsidRPr="00360F46">
              <w:t>directors, the regulatory information, statements, schedules</w:t>
            </w:r>
            <w:r w:rsidR="00360F46">
              <w:t xml:space="preserve"> </w:t>
            </w:r>
            <w:r w:rsidR="00303D4F">
              <w:t>and work papers listed in A</w:t>
            </w:r>
            <w:r w:rsidR="00360F46" w:rsidRPr="00360F46">
              <w:t>ppendix A of th</w:t>
            </w:r>
            <w:r w:rsidR="004D457E">
              <w:t>is</w:t>
            </w:r>
            <w:r w:rsidR="00360F46" w:rsidRPr="00360F46">
              <w:t xml:space="preserve"> guideline:</w:t>
            </w:r>
          </w:p>
          <w:p w:rsidR="00360F46" w:rsidRPr="00360F46" w:rsidRDefault="00360F46" w:rsidP="004D457E">
            <w:pPr>
              <w:pStyle w:val="Bulletpoint"/>
            </w:pPr>
            <w:r w:rsidRPr="00360F46">
              <w:t>present fairly the statement of financial performance required by th</w:t>
            </w:r>
            <w:r w:rsidR="004D457E">
              <w:t>is</w:t>
            </w:r>
            <w:r>
              <w:t xml:space="preserve"> </w:t>
            </w:r>
            <w:r w:rsidRPr="00360F46">
              <w:t>guideline, of each business segment for the regulatory</w:t>
            </w:r>
            <w:r>
              <w:t xml:space="preserve"> </w:t>
            </w:r>
            <w:r w:rsidRPr="00360F46">
              <w:t>accounting period</w:t>
            </w:r>
          </w:p>
          <w:p w:rsidR="00360F46" w:rsidRPr="00360F46" w:rsidRDefault="00360F46" w:rsidP="004D457E">
            <w:pPr>
              <w:pStyle w:val="Bulletpoint"/>
            </w:pPr>
            <w:r w:rsidRPr="00360F46">
              <w:t>have been made out in accordance with applicable and</w:t>
            </w:r>
            <w:r>
              <w:t xml:space="preserve"> </w:t>
            </w:r>
            <w:r w:rsidRPr="00360F46">
              <w:t>appropriate regulatory accounting principles and policies</w:t>
            </w:r>
          </w:p>
          <w:p w:rsidR="00360F46" w:rsidRPr="00737CD4" w:rsidRDefault="00360F46" w:rsidP="004D457E">
            <w:pPr>
              <w:pStyle w:val="Bulletpoint"/>
            </w:pPr>
            <w:proofErr w:type="gramStart"/>
            <w:r w:rsidRPr="00360F46">
              <w:t>have</w:t>
            </w:r>
            <w:proofErr w:type="gramEnd"/>
            <w:r w:rsidRPr="00360F46">
              <w:t xml:space="preserve"> been prepared in accordance with the AER’s</w:t>
            </w:r>
            <w:r>
              <w:t xml:space="preserve"> </w:t>
            </w:r>
            <w:r w:rsidRPr="00360F46">
              <w:t>requirements, set out in th</w:t>
            </w:r>
            <w:r w:rsidR="004D457E">
              <w:t>is</w:t>
            </w:r>
            <w:r w:rsidRPr="00360F46">
              <w:t xml:space="preserve"> guideline.</w:t>
            </w:r>
          </w:p>
        </w:tc>
      </w:tr>
      <w:tr w:rsidR="00737CD4" w:rsidRPr="00737CD4" w:rsidTr="00737CD4">
        <w:tc>
          <w:tcPr>
            <w:tcW w:w="2808" w:type="dxa"/>
          </w:tcPr>
          <w:p w:rsidR="00737CD4" w:rsidRPr="00737CD4" w:rsidRDefault="00737CD4" w:rsidP="00737CD4">
            <w:pPr>
              <w:pStyle w:val="Tabletext"/>
            </w:pPr>
            <w:r w:rsidRPr="00737CD4">
              <w:t>Disaggregation statement</w:t>
            </w:r>
          </w:p>
        </w:tc>
        <w:tc>
          <w:tcPr>
            <w:tcW w:w="5720" w:type="dxa"/>
          </w:tcPr>
          <w:p w:rsidR="00737CD4" w:rsidRPr="00737CD4" w:rsidRDefault="00737CD4" w:rsidP="00737CD4">
            <w:pPr>
              <w:pStyle w:val="Tabletext"/>
            </w:pPr>
            <w:r w:rsidRPr="00737CD4">
              <w:t>A statement that comprises a TNSP’s base accounts disaggregated between business segments.</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pPr>
            <w:r w:rsidRPr="00737CD4">
              <w:t>Discretionary heading</w:t>
            </w:r>
          </w:p>
        </w:tc>
        <w:tc>
          <w:tcPr>
            <w:tcW w:w="5720" w:type="dxa"/>
          </w:tcPr>
          <w:p w:rsidR="00737CD4" w:rsidRPr="00737CD4" w:rsidRDefault="00737CD4" w:rsidP="00737CD4">
            <w:pPr>
              <w:pStyle w:val="Tabletext"/>
            </w:pPr>
            <w:r w:rsidRPr="00737CD4">
              <w:t>An account heading within regulatory information submitted to the AER by a TNSP that may be defined by a TNSP.</w:t>
            </w:r>
          </w:p>
        </w:tc>
      </w:tr>
      <w:tr w:rsidR="00737CD4" w:rsidRPr="00737CD4" w:rsidTr="00737CD4">
        <w:tc>
          <w:tcPr>
            <w:tcW w:w="2808" w:type="dxa"/>
          </w:tcPr>
          <w:p w:rsidR="00737CD4" w:rsidRPr="00737CD4" w:rsidRDefault="00737CD4" w:rsidP="00737CD4">
            <w:pPr>
              <w:pStyle w:val="Tabletext"/>
            </w:pPr>
            <w:r w:rsidRPr="00737CD4">
              <w:t>Entity</w:t>
            </w:r>
          </w:p>
        </w:tc>
        <w:tc>
          <w:tcPr>
            <w:tcW w:w="5720" w:type="dxa"/>
          </w:tcPr>
          <w:p w:rsidR="00737CD4" w:rsidRPr="00737CD4" w:rsidRDefault="00737CD4" w:rsidP="00737CD4">
            <w:pPr>
              <w:pStyle w:val="Tabletext"/>
            </w:pPr>
            <w:r w:rsidRPr="00737CD4">
              <w:t>A corporate body, business or economic entity, or segment thereof.</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pPr>
            <w:r w:rsidRPr="00737CD4">
              <w:t>Financing transaction</w:t>
            </w:r>
          </w:p>
        </w:tc>
        <w:tc>
          <w:tcPr>
            <w:tcW w:w="5720" w:type="dxa"/>
          </w:tcPr>
          <w:p w:rsidR="00737CD4" w:rsidRPr="00737CD4" w:rsidRDefault="00737CD4" w:rsidP="00737CD4">
            <w:pPr>
              <w:pStyle w:val="Tabletext"/>
            </w:pPr>
            <w:r w:rsidRPr="00737CD4">
              <w:t>An accounting entry in regulatory information submitted to the AER by a TNSP the effect of which is to provide:</w:t>
            </w:r>
          </w:p>
          <w:p w:rsidR="00737CD4" w:rsidRPr="00737CD4" w:rsidRDefault="00737CD4" w:rsidP="00737CD4">
            <w:pPr>
              <w:pStyle w:val="ListBullet"/>
            </w:pPr>
            <w:r w:rsidRPr="00737CD4">
              <w:t>a decrement to financing or interest costs in the statement of financial performance</w:t>
            </w:r>
          </w:p>
          <w:p w:rsidR="00737CD4" w:rsidRPr="00737CD4" w:rsidRDefault="00737CD4" w:rsidP="00737CD4">
            <w:pPr>
              <w:pStyle w:val="ListBullet"/>
            </w:pPr>
            <w:r w:rsidRPr="00737CD4">
              <w:t>relating to prescribed transmission services, a related:</w:t>
            </w:r>
          </w:p>
          <w:p w:rsidR="00737CD4" w:rsidRPr="00737CD4" w:rsidRDefault="00737CD4" w:rsidP="00737CD4">
            <w:pPr>
              <w:pStyle w:val="ListBullet2"/>
            </w:pPr>
            <w:r w:rsidRPr="00737CD4">
              <w:t>decrement to earnings before interest and tax</w:t>
            </w:r>
          </w:p>
          <w:p w:rsidR="00737CD4" w:rsidRPr="00737CD4" w:rsidRDefault="00737CD4" w:rsidP="00737CD4">
            <w:pPr>
              <w:pStyle w:val="ListBullet2"/>
            </w:pPr>
            <w:proofErr w:type="gramStart"/>
            <w:r w:rsidRPr="00737CD4">
              <w:t>increase</w:t>
            </w:r>
            <w:proofErr w:type="gramEnd"/>
            <w:r w:rsidRPr="00737CD4">
              <w:t xml:space="preserve"> in asset values. </w:t>
            </w:r>
          </w:p>
        </w:tc>
      </w:tr>
      <w:tr w:rsidR="00737CD4" w:rsidRPr="00737CD4" w:rsidTr="00737CD4">
        <w:tc>
          <w:tcPr>
            <w:tcW w:w="2808" w:type="dxa"/>
          </w:tcPr>
          <w:p w:rsidR="00737CD4" w:rsidRPr="00737CD4" w:rsidRDefault="00737CD4" w:rsidP="00737CD4">
            <w:pPr>
              <w:pStyle w:val="Tabletext"/>
            </w:pPr>
            <w:r w:rsidRPr="00737CD4">
              <w:t>Goodwill</w:t>
            </w:r>
          </w:p>
        </w:tc>
        <w:tc>
          <w:tcPr>
            <w:tcW w:w="5720" w:type="dxa"/>
          </w:tcPr>
          <w:p w:rsidR="00737CD4" w:rsidRPr="00737CD4" w:rsidRDefault="00737CD4" w:rsidP="00737CD4">
            <w:pPr>
              <w:pStyle w:val="Tabletext"/>
            </w:pPr>
            <w:r w:rsidRPr="00737CD4">
              <w:t>The difference between the fair value of the consideration paid for a business and the fair value of the assets acquired.</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pPr>
            <w:r w:rsidRPr="00737CD4">
              <w:t>General purpose financial statements</w:t>
            </w:r>
          </w:p>
        </w:tc>
        <w:tc>
          <w:tcPr>
            <w:tcW w:w="5720" w:type="dxa"/>
          </w:tcPr>
          <w:p w:rsidR="00737CD4" w:rsidRPr="00737CD4" w:rsidRDefault="00737CD4" w:rsidP="00737CD4">
            <w:pPr>
              <w:pStyle w:val="Tabletext"/>
            </w:pPr>
            <w:r w:rsidRPr="00737CD4">
              <w:t>Financial statements that are prepared in accordance with Australian Accounting Standards or other generally accepted accounting practices.</w:t>
            </w:r>
          </w:p>
        </w:tc>
      </w:tr>
      <w:tr w:rsidR="00737CD4" w:rsidRPr="00737CD4" w:rsidTr="00737CD4">
        <w:tc>
          <w:tcPr>
            <w:tcW w:w="2808" w:type="dxa"/>
          </w:tcPr>
          <w:p w:rsidR="00737CD4" w:rsidRPr="00737CD4" w:rsidRDefault="00737CD4" w:rsidP="00737CD4">
            <w:pPr>
              <w:pStyle w:val="Tabletext"/>
            </w:pPr>
            <w:r w:rsidRPr="00737CD4">
              <w:t>Guideline</w:t>
            </w:r>
          </w:p>
        </w:tc>
        <w:tc>
          <w:tcPr>
            <w:tcW w:w="5720" w:type="dxa"/>
          </w:tcPr>
          <w:p w:rsidR="00737CD4" w:rsidRPr="00737CD4" w:rsidRDefault="00737CD4" w:rsidP="00737CD4">
            <w:pPr>
              <w:pStyle w:val="Tabletext"/>
            </w:pPr>
            <w:r w:rsidRPr="00737CD4">
              <w:t>This information guideline.</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pPr>
            <w:r w:rsidRPr="00737CD4">
              <w:t>Information guideline</w:t>
            </w:r>
          </w:p>
        </w:tc>
        <w:tc>
          <w:tcPr>
            <w:tcW w:w="5720" w:type="dxa"/>
          </w:tcPr>
          <w:p w:rsidR="00737CD4" w:rsidRPr="00737CD4" w:rsidRDefault="00737CD4" w:rsidP="00737CD4">
            <w:pPr>
              <w:pStyle w:val="Tabletext"/>
            </w:pPr>
            <w:r w:rsidRPr="00737CD4">
              <w:t>The guideline made by the AER under clause 6A.17.2 of the NER.</w:t>
            </w:r>
          </w:p>
        </w:tc>
      </w:tr>
      <w:tr w:rsidR="00737CD4" w:rsidRPr="00737CD4" w:rsidTr="00737CD4">
        <w:tc>
          <w:tcPr>
            <w:tcW w:w="2808" w:type="dxa"/>
          </w:tcPr>
          <w:p w:rsidR="00737CD4" w:rsidRPr="00737CD4" w:rsidRDefault="00737CD4" w:rsidP="00737CD4">
            <w:pPr>
              <w:pStyle w:val="Tabletext"/>
            </w:pPr>
            <w:r w:rsidRPr="00737CD4">
              <w:t>Inter-segmental cost</w:t>
            </w:r>
          </w:p>
        </w:tc>
        <w:tc>
          <w:tcPr>
            <w:tcW w:w="5720" w:type="dxa"/>
          </w:tcPr>
          <w:p w:rsidR="00737CD4" w:rsidRPr="00737CD4" w:rsidRDefault="00737CD4" w:rsidP="00737CD4">
            <w:pPr>
              <w:pStyle w:val="Tabletext"/>
            </w:pPr>
            <w:r w:rsidRPr="00737CD4">
              <w:t>A cost that arises from transactions between business segments.</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pPr>
            <w:r w:rsidRPr="00737CD4">
              <w:t>Inter-segmental income</w:t>
            </w:r>
          </w:p>
        </w:tc>
        <w:tc>
          <w:tcPr>
            <w:tcW w:w="5720" w:type="dxa"/>
          </w:tcPr>
          <w:p w:rsidR="00737CD4" w:rsidRPr="00737CD4" w:rsidRDefault="004F069F" w:rsidP="00737CD4">
            <w:pPr>
              <w:pStyle w:val="Tabletext"/>
            </w:pPr>
            <w:r>
              <w:t>I</w:t>
            </w:r>
            <w:r w:rsidR="00737CD4" w:rsidRPr="00737CD4">
              <w:t>ncome that arises from transactions between business segments.</w:t>
            </w:r>
          </w:p>
        </w:tc>
      </w:tr>
      <w:tr w:rsidR="00737CD4" w:rsidRPr="00737CD4" w:rsidTr="00737CD4">
        <w:tc>
          <w:tcPr>
            <w:tcW w:w="2808" w:type="dxa"/>
          </w:tcPr>
          <w:p w:rsidR="00737CD4" w:rsidRPr="00737CD4" w:rsidRDefault="00737CD4" w:rsidP="00737CD4">
            <w:pPr>
              <w:pStyle w:val="Tabletext"/>
            </w:pPr>
            <w:r w:rsidRPr="00737CD4">
              <w:t>Inter-segmental transaction</w:t>
            </w:r>
          </w:p>
        </w:tc>
        <w:tc>
          <w:tcPr>
            <w:tcW w:w="5720" w:type="dxa"/>
          </w:tcPr>
          <w:p w:rsidR="00737CD4" w:rsidRPr="00737CD4" w:rsidRDefault="00737CD4" w:rsidP="00737CD4">
            <w:pPr>
              <w:pStyle w:val="Tabletext"/>
            </w:pPr>
            <w:r w:rsidRPr="00737CD4">
              <w:t>An inter-segmental cost or an inter-segmental income.</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pPr>
            <w:r w:rsidRPr="00737CD4">
              <w:t>Mandatory heading</w:t>
            </w:r>
          </w:p>
        </w:tc>
        <w:tc>
          <w:tcPr>
            <w:tcW w:w="5720" w:type="dxa"/>
          </w:tcPr>
          <w:p w:rsidR="00737CD4" w:rsidRPr="00737CD4" w:rsidRDefault="00737CD4" w:rsidP="00737CD4">
            <w:pPr>
              <w:pStyle w:val="Tabletext"/>
            </w:pPr>
            <w:r w:rsidRPr="00737CD4">
              <w:t xml:space="preserve">A mandatory account heading within the pro forma </w:t>
            </w:r>
            <w:r w:rsidR="00303D4F">
              <w:t>statements contained in A</w:t>
            </w:r>
            <w:r w:rsidRPr="00737CD4">
              <w:t>ppendix A.</w:t>
            </w:r>
          </w:p>
        </w:tc>
      </w:tr>
      <w:tr w:rsidR="00737CD4" w:rsidRPr="00737CD4" w:rsidTr="00737CD4">
        <w:tc>
          <w:tcPr>
            <w:tcW w:w="2808" w:type="dxa"/>
          </w:tcPr>
          <w:p w:rsidR="00737CD4" w:rsidRPr="00737CD4" w:rsidRDefault="00737CD4" w:rsidP="00737CD4">
            <w:pPr>
              <w:pStyle w:val="Tabletext"/>
            </w:pPr>
            <w:r w:rsidRPr="00737CD4">
              <w:t>Material or materiality</w:t>
            </w:r>
          </w:p>
        </w:tc>
        <w:tc>
          <w:tcPr>
            <w:tcW w:w="5720" w:type="dxa"/>
          </w:tcPr>
          <w:p w:rsidR="00737CD4" w:rsidRPr="00737CD4" w:rsidRDefault="00737CD4" w:rsidP="00737CD4">
            <w:pPr>
              <w:pStyle w:val="Tabletext"/>
            </w:pPr>
            <w:r w:rsidRPr="00737CD4">
              <w:t>As set out at section 2.5 of this guideline.</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pPr>
            <w:r w:rsidRPr="00737CD4">
              <w:t>Material related party transaction</w:t>
            </w:r>
          </w:p>
        </w:tc>
        <w:tc>
          <w:tcPr>
            <w:tcW w:w="5720" w:type="dxa"/>
          </w:tcPr>
          <w:p w:rsidR="00737CD4" w:rsidRPr="00737CD4" w:rsidRDefault="00737CD4" w:rsidP="00737CD4">
            <w:pPr>
              <w:pStyle w:val="Tabletext"/>
            </w:pPr>
            <w:r w:rsidRPr="00737CD4">
              <w:t>A transaction or a number of transactions intended to achieve a common commercial effect, conducted with a related party that had a value of $0.5m or more in a regulatory accounting period.</w:t>
            </w:r>
          </w:p>
        </w:tc>
      </w:tr>
      <w:tr w:rsidR="00737CD4" w:rsidRPr="00737CD4" w:rsidTr="00737CD4">
        <w:tc>
          <w:tcPr>
            <w:tcW w:w="2808" w:type="dxa"/>
          </w:tcPr>
          <w:p w:rsidR="00737CD4" w:rsidRPr="00737CD4" w:rsidRDefault="00737CD4" w:rsidP="00737CD4">
            <w:pPr>
              <w:pStyle w:val="Tabletext"/>
            </w:pPr>
            <w:r w:rsidRPr="00737CD4">
              <w:t>National Electricity Law</w:t>
            </w:r>
          </w:p>
        </w:tc>
        <w:tc>
          <w:tcPr>
            <w:tcW w:w="5720" w:type="dxa"/>
          </w:tcPr>
          <w:p w:rsidR="00737CD4" w:rsidRPr="00737CD4" w:rsidRDefault="00737CD4" w:rsidP="00737CD4">
            <w:pPr>
              <w:pStyle w:val="Tabletext"/>
            </w:pPr>
            <w:r w:rsidRPr="00737CD4">
              <w:t xml:space="preserve">The National Electricity Law set out in schedule to the </w:t>
            </w:r>
            <w:r w:rsidRPr="00737CD4">
              <w:rPr>
                <w:rStyle w:val="Emphasis"/>
              </w:rPr>
              <w:t>National Electricity (South Australia) Act 1996</w:t>
            </w:r>
            <w:r w:rsidRPr="00737CD4">
              <w:t>.</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pPr>
            <w:r w:rsidRPr="00737CD4">
              <w:t>National Electricity Rules</w:t>
            </w:r>
          </w:p>
        </w:tc>
        <w:tc>
          <w:tcPr>
            <w:tcW w:w="5720" w:type="dxa"/>
          </w:tcPr>
          <w:p w:rsidR="00737CD4" w:rsidRPr="00737CD4" w:rsidRDefault="00737CD4" w:rsidP="00737CD4">
            <w:pPr>
              <w:pStyle w:val="Tabletext"/>
            </w:pPr>
            <w:r w:rsidRPr="00737CD4">
              <w:t>The rules, as defined in the National Electricity Law.</w:t>
            </w:r>
          </w:p>
        </w:tc>
      </w:tr>
      <w:tr w:rsidR="00737CD4" w:rsidRPr="00737CD4" w:rsidTr="00737CD4">
        <w:tc>
          <w:tcPr>
            <w:tcW w:w="2808" w:type="dxa"/>
          </w:tcPr>
          <w:p w:rsidR="00737CD4" w:rsidRPr="00737CD4" w:rsidRDefault="00737CD4" w:rsidP="00737CD4">
            <w:pPr>
              <w:pStyle w:val="Tabletext"/>
            </w:pPr>
            <w:r w:rsidRPr="00737CD4">
              <w:t>Not allocated</w:t>
            </w:r>
          </w:p>
        </w:tc>
        <w:tc>
          <w:tcPr>
            <w:tcW w:w="5720" w:type="dxa"/>
          </w:tcPr>
          <w:p w:rsidR="00737CD4" w:rsidRPr="00737CD4" w:rsidRDefault="00737CD4" w:rsidP="00737CD4">
            <w:pPr>
              <w:pStyle w:val="Tabletext"/>
            </w:pPr>
            <w:r w:rsidRPr="00737CD4">
              <w:t>The content of those account headings that are not required by this guideline to be allocated between business segments.</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pPr>
            <w:r w:rsidRPr="00737CD4">
              <w:t>Notes to, and forming part of, the regulatory financial statements</w:t>
            </w:r>
          </w:p>
        </w:tc>
        <w:tc>
          <w:tcPr>
            <w:tcW w:w="5720" w:type="dxa"/>
          </w:tcPr>
          <w:p w:rsidR="00737CD4" w:rsidRPr="00737CD4" w:rsidRDefault="00737CD4" w:rsidP="00737CD4">
            <w:pPr>
              <w:pStyle w:val="Tabletext"/>
            </w:pPr>
            <w:r w:rsidRPr="00737CD4">
              <w:t>The additional information provided in relation to the regulatory financial statements, together with any further information that a TNSP believes is necessary to convey a full and proper understanding of the financial affairs of the regulated business segment.</w:t>
            </w:r>
          </w:p>
        </w:tc>
      </w:tr>
      <w:tr w:rsidR="00737CD4" w:rsidRPr="00737CD4" w:rsidTr="00737CD4">
        <w:tc>
          <w:tcPr>
            <w:tcW w:w="2808" w:type="dxa"/>
          </w:tcPr>
          <w:p w:rsidR="00737CD4" w:rsidRPr="00737CD4" w:rsidRDefault="00737CD4" w:rsidP="00737CD4">
            <w:pPr>
              <w:pStyle w:val="Tabletext"/>
            </w:pPr>
            <w:r w:rsidRPr="00737CD4">
              <w:t>Prescribed services segment</w:t>
            </w:r>
          </w:p>
        </w:tc>
        <w:tc>
          <w:tcPr>
            <w:tcW w:w="5720" w:type="dxa"/>
          </w:tcPr>
          <w:p w:rsidR="00737CD4" w:rsidRPr="00737CD4" w:rsidRDefault="00737CD4" w:rsidP="00737CD4">
            <w:pPr>
              <w:pStyle w:val="Tabletext"/>
            </w:pPr>
            <w:r w:rsidRPr="00737CD4">
              <w:t>That part of the total business reported by the base accounts that is involved in providing prescribed transmission services.</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pPr>
            <w:r w:rsidRPr="00737CD4">
              <w:t>Regulatory accounting date</w:t>
            </w:r>
          </w:p>
        </w:tc>
        <w:tc>
          <w:tcPr>
            <w:tcW w:w="5720" w:type="dxa"/>
          </w:tcPr>
          <w:p w:rsidR="00737CD4" w:rsidRPr="00737CD4" w:rsidRDefault="00737CD4" w:rsidP="00737CD4">
            <w:pPr>
              <w:pStyle w:val="Tabletext"/>
            </w:pPr>
            <w:r w:rsidRPr="00737CD4">
              <w:t>The end date of a regulatory accounting period.</w:t>
            </w:r>
          </w:p>
        </w:tc>
      </w:tr>
      <w:tr w:rsidR="00737CD4" w:rsidRPr="00737CD4" w:rsidTr="00737CD4">
        <w:tc>
          <w:tcPr>
            <w:tcW w:w="2808" w:type="dxa"/>
          </w:tcPr>
          <w:p w:rsidR="00737CD4" w:rsidRPr="00737CD4" w:rsidRDefault="00737CD4" w:rsidP="00737CD4">
            <w:pPr>
              <w:pStyle w:val="Tabletext"/>
            </w:pPr>
            <w:r w:rsidRPr="00737CD4">
              <w:t>Regulatory accounting period</w:t>
            </w:r>
          </w:p>
        </w:tc>
        <w:tc>
          <w:tcPr>
            <w:tcW w:w="5720" w:type="dxa"/>
          </w:tcPr>
          <w:p w:rsidR="00737CD4" w:rsidRPr="00737CD4" w:rsidRDefault="00737CD4" w:rsidP="00737CD4">
            <w:pPr>
              <w:pStyle w:val="Tabletext"/>
            </w:pPr>
            <w:r w:rsidRPr="00737CD4">
              <w:t>A period on which a single set of regulatory financial statements report.</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pPr>
            <w:r w:rsidRPr="00737CD4">
              <w:t>Regulatory accounting principles</w:t>
            </w:r>
          </w:p>
        </w:tc>
        <w:tc>
          <w:tcPr>
            <w:tcW w:w="5720" w:type="dxa"/>
          </w:tcPr>
          <w:p w:rsidR="00737CD4" w:rsidRPr="00737CD4" w:rsidRDefault="00737CD4" w:rsidP="00737CD4">
            <w:pPr>
              <w:pStyle w:val="Tabletext"/>
            </w:pPr>
            <w:r w:rsidRPr="00737CD4">
              <w:t xml:space="preserve">Accounting principles and policies that have been used to prepare regulatory financial statements that may be additional to or </w:t>
            </w:r>
            <w:proofErr w:type="gramStart"/>
            <w:r w:rsidRPr="00737CD4">
              <w:t>replace,</w:t>
            </w:r>
            <w:proofErr w:type="gramEnd"/>
            <w:r w:rsidRPr="00737CD4">
              <w:t xml:space="preserve"> the accounting principles and policies used to prepare base accounts.</w:t>
            </w:r>
          </w:p>
        </w:tc>
      </w:tr>
      <w:tr w:rsidR="00737CD4" w:rsidRPr="00737CD4" w:rsidTr="00737CD4">
        <w:tc>
          <w:tcPr>
            <w:tcW w:w="2808" w:type="dxa"/>
          </w:tcPr>
          <w:p w:rsidR="00737CD4" w:rsidRPr="00737CD4" w:rsidRDefault="00737CD4" w:rsidP="00737CD4">
            <w:pPr>
              <w:pStyle w:val="Tabletext"/>
            </w:pPr>
            <w:r w:rsidRPr="00737CD4">
              <w:t>Regulatory audit report</w:t>
            </w:r>
          </w:p>
        </w:tc>
        <w:tc>
          <w:tcPr>
            <w:tcW w:w="5720" w:type="dxa"/>
          </w:tcPr>
          <w:p w:rsidR="00737CD4" w:rsidRPr="00737CD4" w:rsidRDefault="00737CD4" w:rsidP="00737CD4">
            <w:pPr>
              <w:pStyle w:val="Tabletext"/>
            </w:pPr>
            <w:r w:rsidRPr="00737CD4">
              <w:t>An auditor’s report on regulatory information submitted to the AER by a TNSP which may take the form of:</w:t>
            </w:r>
          </w:p>
          <w:p w:rsidR="00737CD4" w:rsidRPr="00737CD4" w:rsidRDefault="00737CD4" w:rsidP="00737CD4">
            <w:pPr>
              <w:pStyle w:val="ListBullet"/>
            </w:pPr>
            <w:r w:rsidRPr="00737CD4">
              <w:t>an audit report on a special purpose financial information</w:t>
            </w:r>
          </w:p>
          <w:p w:rsidR="00737CD4" w:rsidRPr="00737CD4" w:rsidRDefault="00737CD4" w:rsidP="00737CD4">
            <w:pPr>
              <w:pStyle w:val="ListBullet"/>
            </w:pPr>
            <w:r w:rsidRPr="00737CD4">
              <w:t>a review of financial reports</w:t>
            </w:r>
          </w:p>
          <w:p w:rsidR="00737CD4" w:rsidRPr="00737CD4" w:rsidRDefault="00737CD4" w:rsidP="00737CD4">
            <w:pPr>
              <w:pStyle w:val="ListBullet"/>
            </w:pPr>
            <w:proofErr w:type="gramStart"/>
            <w:r w:rsidRPr="00737CD4">
              <w:t>a</w:t>
            </w:r>
            <w:proofErr w:type="gramEnd"/>
            <w:r w:rsidRPr="00737CD4">
              <w:t xml:space="preserve"> combination of the above reports.</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pPr>
            <w:r w:rsidRPr="00737CD4">
              <w:t>Regulatory financial statements</w:t>
            </w:r>
          </w:p>
        </w:tc>
        <w:tc>
          <w:tcPr>
            <w:tcW w:w="5720" w:type="dxa"/>
          </w:tcPr>
          <w:p w:rsidR="00737CD4" w:rsidRPr="00737CD4" w:rsidRDefault="00737CD4" w:rsidP="00737CD4">
            <w:pPr>
              <w:pStyle w:val="Tabletext"/>
            </w:pPr>
            <w:r w:rsidRPr="00737CD4">
              <w:t>The historic financial information pertaining to prescribed transmission services that includes the:</w:t>
            </w:r>
          </w:p>
          <w:p w:rsidR="00737CD4" w:rsidRPr="00737CD4" w:rsidRDefault="00737CD4" w:rsidP="00737CD4">
            <w:pPr>
              <w:pStyle w:val="ListBullet"/>
            </w:pPr>
            <w:r w:rsidRPr="00737CD4">
              <w:t>statement of financial performance</w:t>
            </w:r>
          </w:p>
          <w:p w:rsidR="00737CD4" w:rsidRPr="00737CD4" w:rsidRDefault="00737CD4" w:rsidP="00737CD4">
            <w:pPr>
              <w:pStyle w:val="Tabletext"/>
            </w:pPr>
            <w:proofErr w:type="gramStart"/>
            <w:r w:rsidRPr="00737CD4">
              <w:t>notes</w:t>
            </w:r>
            <w:proofErr w:type="gramEnd"/>
            <w:r w:rsidRPr="00737CD4">
              <w:t xml:space="preserve"> to, and forming part of, the regulatory financial statements.</w:t>
            </w:r>
          </w:p>
        </w:tc>
      </w:tr>
      <w:tr w:rsidR="00737CD4" w:rsidRPr="00737CD4" w:rsidTr="00737CD4">
        <w:tc>
          <w:tcPr>
            <w:tcW w:w="2808" w:type="dxa"/>
          </w:tcPr>
          <w:p w:rsidR="00737CD4" w:rsidRPr="00737CD4" w:rsidRDefault="00737CD4" w:rsidP="00737CD4">
            <w:pPr>
              <w:pStyle w:val="Tabletext"/>
            </w:pPr>
            <w:r w:rsidRPr="00737CD4">
              <w:t>Regulatory Information Instrument</w:t>
            </w:r>
          </w:p>
        </w:tc>
        <w:tc>
          <w:tcPr>
            <w:tcW w:w="5720" w:type="dxa"/>
          </w:tcPr>
          <w:p w:rsidR="00737CD4" w:rsidRPr="00737CD4" w:rsidRDefault="00737CD4" w:rsidP="00737CD4">
            <w:pPr>
              <w:pStyle w:val="Tabletext"/>
            </w:pPr>
            <w:r w:rsidRPr="00737CD4">
              <w:t xml:space="preserve">Is either a general regulatory information order or a regulatory information notice as defined in the National Electricity </w:t>
            </w:r>
            <w:proofErr w:type="gramStart"/>
            <w:r w:rsidRPr="00737CD4">
              <w:t>Law.</w:t>
            </w:r>
            <w:proofErr w:type="gramEnd"/>
          </w:p>
          <w:p w:rsidR="00737CD4" w:rsidRPr="00737CD4" w:rsidRDefault="00737CD4" w:rsidP="00841E32">
            <w:pPr>
              <w:pStyle w:val="Tabletext"/>
            </w:pPr>
            <w:r w:rsidRPr="00737CD4">
              <w:t xml:space="preserve">An example of a Regulatory Information Instrument is a regulatory information notice issued to a TNSP to collect annual category analysis </w:t>
            </w:r>
            <w:r w:rsidR="00841E32">
              <w:t>or</w:t>
            </w:r>
            <w:r w:rsidRPr="00737CD4">
              <w:t xml:space="preserve"> benchmarking data.</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pPr>
            <w:r w:rsidRPr="00737CD4">
              <w:t>Regulatory information notice (RIN)</w:t>
            </w:r>
          </w:p>
        </w:tc>
        <w:tc>
          <w:tcPr>
            <w:tcW w:w="5720" w:type="dxa"/>
          </w:tcPr>
          <w:p w:rsidR="00737CD4" w:rsidRPr="00737CD4" w:rsidRDefault="00737CD4" w:rsidP="00737CD4">
            <w:pPr>
              <w:pStyle w:val="Tabletext"/>
            </w:pPr>
            <w:r w:rsidRPr="00737CD4">
              <w:t xml:space="preserve">Has the meaning given by section 28D of the National Electricity </w:t>
            </w:r>
            <w:proofErr w:type="gramStart"/>
            <w:r w:rsidRPr="00737CD4">
              <w:t>Law.</w:t>
            </w:r>
            <w:proofErr w:type="gramEnd"/>
          </w:p>
        </w:tc>
      </w:tr>
      <w:tr w:rsidR="00737CD4" w:rsidRPr="00737CD4" w:rsidTr="00737CD4">
        <w:tc>
          <w:tcPr>
            <w:tcW w:w="2808" w:type="dxa"/>
          </w:tcPr>
          <w:p w:rsidR="00737CD4" w:rsidRPr="00737CD4" w:rsidRDefault="00737CD4" w:rsidP="00737CD4">
            <w:pPr>
              <w:pStyle w:val="Tabletext"/>
            </w:pPr>
            <w:r w:rsidRPr="00737CD4">
              <w:t>Related party</w:t>
            </w:r>
          </w:p>
        </w:tc>
        <w:tc>
          <w:tcPr>
            <w:tcW w:w="5720" w:type="dxa"/>
          </w:tcPr>
          <w:p w:rsidR="00737CD4" w:rsidRPr="00737CD4" w:rsidRDefault="00737CD4" w:rsidP="00737CD4">
            <w:pPr>
              <w:pStyle w:val="Tabletext"/>
            </w:pPr>
            <w:r w:rsidRPr="00737CD4">
              <w:t>In relation to all business segments within a TNSP either:</w:t>
            </w:r>
          </w:p>
          <w:p w:rsidR="00737CD4" w:rsidRPr="00737CD4" w:rsidRDefault="00737CD4" w:rsidP="00705A6F">
            <w:pPr>
              <w:pStyle w:val="Listalphabet"/>
            </w:pPr>
            <w:r w:rsidRPr="00737CD4">
              <w:t>any entity that, at any time during the regulatory accounting period, has control or material influence over a TNSP</w:t>
            </w:r>
          </w:p>
          <w:p w:rsidR="00737CD4" w:rsidRPr="00737CD4" w:rsidRDefault="00737CD4" w:rsidP="00705A6F">
            <w:pPr>
              <w:pStyle w:val="Listalphabet"/>
            </w:pPr>
            <w:r w:rsidRPr="00737CD4">
              <w:t>any entity that, at any time during the regulatory accounting period, is subject to control or material influence by a TNSP</w:t>
            </w:r>
          </w:p>
          <w:p w:rsidR="00737CD4" w:rsidRPr="00737CD4" w:rsidRDefault="00737CD4" w:rsidP="00705A6F">
            <w:pPr>
              <w:pStyle w:val="Listalphabet"/>
            </w:pPr>
            <w:r w:rsidRPr="00737CD4">
              <w:t>any entity that, at any time during the regulatory accounting period, is controlled by the same entity that controls a TNSP</w:t>
            </w:r>
          </w:p>
          <w:p w:rsidR="00737CD4" w:rsidRPr="00737CD4" w:rsidRDefault="00737CD4" w:rsidP="00705A6F">
            <w:pPr>
              <w:pStyle w:val="Listalphabet"/>
            </w:pPr>
            <w:r w:rsidRPr="00737CD4">
              <w:t>any entity that, at any time during the regulatory accounting period, is controlled by an entity that materially influences a TNSP</w:t>
            </w:r>
          </w:p>
          <w:p w:rsidR="00737CD4" w:rsidRPr="00737CD4" w:rsidRDefault="00737CD4" w:rsidP="00705A6F">
            <w:pPr>
              <w:pStyle w:val="Listalphabet"/>
            </w:pPr>
            <w:r w:rsidRPr="00737CD4">
              <w:t>any entity that, at any time during the regulatory accounting period, is materially influenced by an entity with control over a TNSP</w:t>
            </w:r>
          </w:p>
          <w:p w:rsidR="00737CD4" w:rsidRPr="00737CD4" w:rsidRDefault="00737CD4" w:rsidP="00705A6F">
            <w:pPr>
              <w:pStyle w:val="Listalphabet"/>
            </w:pPr>
            <w:r w:rsidRPr="00737CD4">
              <w:t xml:space="preserve">any entity that, at any time during the regulatory accounting period, is materially influenced by an entity with material </w:t>
            </w:r>
            <w:r w:rsidRPr="00737CD4" w:rsidDel="00E14920">
              <w:t xml:space="preserve"> </w:t>
            </w:r>
          </w:p>
          <w:p w:rsidR="00737CD4" w:rsidRPr="00737CD4" w:rsidRDefault="00737CD4" w:rsidP="00705A6F">
            <w:pPr>
              <w:pStyle w:val="Listalphabet"/>
            </w:pPr>
            <w:r w:rsidRPr="00737CD4">
              <w:t>any entity that, at any time during the regulatory accounting period, is controlled or is materially influenced by an entity that is subject to control or material influence by a TNSP</w:t>
            </w:r>
          </w:p>
          <w:p w:rsidR="00737CD4" w:rsidRPr="00737CD4" w:rsidRDefault="00737CD4" w:rsidP="00705A6F">
            <w:pPr>
              <w:pStyle w:val="Listalphabet"/>
            </w:pPr>
            <w:r w:rsidRPr="00737CD4">
              <w:t xml:space="preserve">any director of a TNSP or any of their director-related entities </w:t>
            </w:r>
          </w:p>
          <w:p w:rsidR="00737CD4" w:rsidRPr="00737CD4" w:rsidRDefault="00737CD4" w:rsidP="00705A6F">
            <w:pPr>
              <w:pStyle w:val="Listalphabet"/>
            </w:pPr>
            <w:r w:rsidRPr="00737CD4">
              <w:t xml:space="preserve">any director of any entity identified as a related party in subsections (a) to (g) above, or any of their director-related entities </w:t>
            </w:r>
          </w:p>
          <w:p w:rsidR="00737CD4" w:rsidRPr="00737CD4" w:rsidRDefault="00737CD4" w:rsidP="00705A6F">
            <w:pPr>
              <w:pStyle w:val="Listalphabet"/>
            </w:pPr>
            <w:proofErr w:type="gramStart"/>
            <w:r w:rsidRPr="00737CD4">
              <w:t>any</w:t>
            </w:r>
            <w:proofErr w:type="gramEnd"/>
            <w:r w:rsidRPr="00737CD4">
              <w:t xml:space="preserve"> other business segment within a TNSP.</w:t>
            </w:r>
          </w:p>
          <w:p w:rsidR="00737CD4" w:rsidRPr="00737CD4" w:rsidRDefault="00737CD4" w:rsidP="00705A6F">
            <w:pPr>
              <w:pStyle w:val="Tabletext"/>
            </w:pPr>
            <w:r w:rsidRPr="00737CD4">
              <w:t>but excludes any other entity (except those identified as a related party under subsection (h)) where the related party relationship results solely from normal dealings of:</w:t>
            </w:r>
          </w:p>
          <w:p w:rsidR="00737CD4" w:rsidRPr="00737CD4" w:rsidRDefault="00737CD4" w:rsidP="00705A6F">
            <w:pPr>
              <w:pStyle w:val="Listalphabet"/>
            </w:pPr>
            <w:r w:rsidRPr="00737CD4">
              <w:t>financial institutions</w:t>
            </w:r>
          </w:p>
          <w:p w:rsidR="00737CD4" w:rsidRPr="00737CD4" w:rsidRDefault="00737CD4" w:rsidP="00705A6F">
            <w:pPr>
              <w:pStyle w:val="Listalphabet"/>
            </w:pPr>
            <w:r w:rsidRPr="00737CD4">
              <w:t xml:space="preserve">authorised trustee corporations (as defined in the Corporations Act) </w:t>
            </w:r>
          </w:p>
          <w:p w:rsidR="00737CD4" w:rsidRPr="00737CD4" w:rsidRDefault="00737CD4" w:rsidP="00705A6F">
            <w:pPr>
              <w:pStyle w:val="Listalphabet"/>
            </w:pPr>
            <w:r w:rsidRPr="00737CD4">
              <w:t>fund managers</w:t>
            </w:r>
          </w:p>
          <w:p w:rsidR="00737CD4" w:rsidRPr="00737CD4" w:rsidRDefault="00737CD4" w:rsidP="00705A6F">
            <w:pPr>
              <w:pStyle w:val="Listalphabet"/>
            </w:pPr>
            <w:r w:rsidRPr="00737CD4">
              <w:t>trade unions</w:t>
            </w:r>
          </w:p>
          <w:p w:rsidR="00737CD4" w:rsidRPr="00737CD4" w:rsidRDefault="00737CD4" w:rsidP="00705A6F">
            <w:pPr>
              <w:pStyle w:val="Listalphabet"/>
            </w:pPr>
            <w:r w:rsidRPr="00737CD4">
              <w:t>statutory authorities</w:t>
            </w:r>
          </w:p>
          <w:p w:rsidR="00737CD4" w:rsidRPr="00737CD4" w:rsidRDefault="00737CD4" w:rsidP="00705A6F">
            <w:pPr>
              <w:pStyle w:val="Listalphabet"/>
            </w:pPr>
            <w:r w:rsidRPr="00737CD4">
              <w:t>government departments</w:t>
            </w:r>
          </w:p>
          <w:p w:rsidR="00737CD4" w:rsidRPr="00737CD4" w:rsidRDefault="00737CD4" w:rsidP="00705A6F">
            <w:pPr>
              <w:pStyle w:val="Listalphabet"/>
            </w:pPr>
            <w:proofErr w:type="gramStart"/>
            <w:r w:rsidRPr="00737CD4">
              <w:t>local</w:t>
            </w:r>
            <w:proofErr w:type="gramEnd"/>
            <w:r w:rsidRPr="00737CD4">
              <w:t xml:space="preserve"> governments.</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pPr>
            <w:r w:rsidRPr="00737CD4">
              <w:t>Related party transaction</w:t>
            </w:r>
          </w:p>
        </w:tc>
        <w:tc>
          <w:tcPr>
            <w:tcW w:w="5720" w:type="dxa"/>
          </w:tcPr>
          <w:p w:rsidR="00737CD4" w:rsidRPr="00737CD4" w:rsidRDefault="00737CD4" w:rsidP="00737CD4">
            <w:pPr>
              <w:pStyle w:val="Tabletext"/>
            </w:pPr>
            <w:r w:rsidRPr="00737CD4">
              <w:t>A transaction, or a number of transactions, intended to achieve a common commercial effect, conducted with a related party.</w:t>
            </w:r>
          </w:p>
        </w:tc>
      </w:tr>
      <w:tr w:rsidR="00737CD4" w:rsidRPr="00737CD4" w:rsidTr="00737CD4">
        <w:tc>
          <w:tcPr>
            <w:tcW w:w="2808" w:type="dxa"/>
          </w:tcPr>
          <w:p w:rsidR="00737CD4" w:rsidRPr="00737CD4" w:rsidRDefault="00737CD4" w:rsidP="00737CD4">
            <w:pPr>
              <w:pStyle w:val="Tabletext"/>
            </w:pPr>
            <w:r w:rsidRPr="00737CD4">
              <w:t>Review of financial reports</w:t>
            </w:r>
          </w:p>
        </w:tc>
        <w:tc>
          <w:tcPr>
            <w:tcW w:w="5720" w:type="dxa"/>
          </w:tcPr>
          <w:p w:rsidR="00737CD4" w:rsidRPr="00737CD4" w:rsidRDefault="00737CD4" w:rsidP="00737CD4">
            <w:pPr>
              <w:pStyle w:val="Tabletext"/>
            </w:pPr>
            <w:r w:rsidRPr="00737CD4">
              <w:t>A review of a financial report, prepared in accordance with Australian Auditing Standards. An auditor should carry out procedures sufficient to enable them to state whether, on the basis of procedures which do not provide all the evidence that would be required in an audit, anything has come to their attention that causes them to believe that the financial report is not prepared, in all material aspects, according to an identified financial reporting framework, e.g. this guideline. The review report contains a clear written expression of negative assurance.</w:t>
            </w:r>
          </w:p>
        </w:tc>
      </w:tr>
      <w:tr w:rsidR="00737CD4" w:rsidRPr="00737CD4" w:rsidTr="00737CD4">
        <w:trPr>
          <w:cnfStyle w:val="000000010000" w:firstRow="0" w:lastRow="0" w:firstColumn="0" w:lastColumn="0" w:oddVBand="0" w:evenVBand="0" w:oddHBand="0" w:evenHBand="1" w:firstRowFirstColumn="0" w:firstRowLastColumn="0" w:lastRowFirstColumn="0" w:lastRowLastColumn="0"/>
        </w:trPr>
        <w:tc>
          <w:tcPr>
            <w:tcW w:w="2808" w:type="dxa"/>
          </w:tcPr>
          <w:p w:rsidR="00737CD4" w:rsidRPr="00737CD4" w:rsidRDefault="00737CD4" w:rsidP="00737CD4">
            <w:pPr>
              <w:pStyle w:val="Tabletext"/>
            </w:pPr>
            <w:r w:rsidRPr="00737CD4">
              <w:t>Third party benefit transactions</w:t>
            </w:r>
          </w:p>
        </w:tc>
        <w:tc>
          <w:tcPr>
            <w:tcW w:w="5720" w:type="dxa"/>
          </w:tcPr>
          <w:p w:rsidR="00737CD4" w:rsidRPr="00737CD4" w:rsidRDefault="00737CD4" w:rsidP="00737CD4">
            <w:pPr>
              <w:pStyle w:val="Tabletext"/>
            </w:pPr>
            <w:r w:rsidRPr="00737CD4">
              <w:t xml:space="preserve">A </w:t>
            </w:r>
            <w:proofErr w:type="gramStart"/>
            <w:r w:rsidRPr="00737CD4">
              <w:t>transaction,</w:t>
            </w:r>
            <w:proofErr w:type="gramEnd"/>
            <w:r w:rsidRPr="00737CD4">
              <w:t xml:space="preserve"> or a number of transactions intended to achieve a common commercial effect, conducted with a third party.</w:t>
            </w:r>
          </w:p>
        </w:tc>
      </w:tr>
    </w:tbl>
    <w:p w:rsidR="00FF6BD2" w:rsidRPr="00FF6BD2" w:rsidRDefault="00FF6BD2" w:rsidP="00FF6BD2">
      <w:pPr>
        <w:pStyle w:val="Heading1notnumber"/>
      </w:pPr>
      <w:bookmarkStart w:id="95" w:name="_Toc405977470"/>
      <w:bookmarkStart w:id="96" w:name="_Toc415582123"/>
      <w:r w:rsidRPr="00FF6BD2">
        <w:t>Appendix A—Annual reporting templates</w:t>
      </w:r>
      <w:bookmarkEnd w:id="95"/>
      <w:bookmarkEnd w:id="96"/>
    </w:p>
    <w:p w:rsidR="00FF6BD2" w:rsidRPr="00FF6BD2" w:rsidRDefault="00FF6BD2" w:rsidP="00FF6BD2">
      <w:pPr>
        <w:pStyle w:val="Heading1notnumber"/>
      </w:pPr>
      <w:bookmarkStart w:id="97" w:name="_Toc405977471"/>
      <w:bookmarkStart w:id="98" w:name="_Toc415582124"/>
      <w:r w:rsidRPr="00FF6BD2">
        <w:t>Appendix B—Service performance templates</w:t>
      </w:r>
      <w:bookmarkEnd w:id="97"/>
      <w:bookmarkEnd w:id="98"/>
    </w:p>
    <w:p w:rsidR="00FF6BD2" w:rsidRPr="00FF6BD2" w:rsidRDefault="00FF6BD2" w:rsidP="00FF6BD2">
      <w:pPr>
        <w:pStyle w:val="Heading1notnumber"/>
      </w:pPr>
      <w:bookmarkStart w:id="99" w:name="_Toc405977472"/>
      <w:bookmarkStart w:id="100" w:name="_Toc415582125"/>
      <w:r w:rsidRPr="00FF6BD2">
        <w:t xml:space="preserve">Appendix C—Example of a </w:t>
      </w:r>
      <w:bookmarkEnd w:id="99"/>
      <w:r w:rsidR="00562C2E">
        <w:t>directors' responsibility statement</w:t>
      </w:r>
      <w:bookmarkEnd w:id="100"/>
    </w:p>
    <w:p w:rsidR="00562C2E" w:rsidRPr="00562C2E" w:rsidRDefault="00562C2E" w:rsidP="00562C2E">
      <w:r w:rsidRPr="00562C2E">
        <w:t>In the opinion of the directors of [the TNSP]:</w:t>
      </w:r>
    </w:p>
    <w:p w:rsidR="00562C2E" w:rsidRPr="00562C2E" w:rsidRDefault="00562C2E" w:rsidP="0060331E">
      <w:pPr>
        <w:pStyle w:val="ListBullet"/>
      </w:pPr>
      <w:r w:rsidRPr="00562C2E">
        <w:t>the regulatory financial statements and other statements, schedules and work</w:t>
      </w:r>
      <w:r>
        <w:t xml:space="preserve"> </w:t>
      </w:r>
      <w:r w:rsidRPr="00562C2E">
        <w:t>papers set out on pages [x] to [y] are drawn up to present fairly as required by the</w:t>
      </w:r>
      <w:r>
        <w:t xml:space="preserve"> </w:t>
      </w:r>
      <w:r w:rsidRPr="00562C2E">
        <w:t>AER’s Transmission Network Service Provider</w:t>
      </w:r>
      <w:r w:rsidR="008F2043">
        <w:t>s</w:t>
      </w:r>
      <w:r w:rsidRPr="00562C2E">
        <w:t xml:space="preserve"> Information </w:t>
      </w:r>
      <w:r w:rsidR="005A25A1">
        <w:t>G</w:t>
      </w:r>
      <w:r w:rsidRPr="00562C2E">
        <w:t>uideline issued</w:t>
      </w:r>
      <w:r>
        <w:t xml:space="preserve"> </w:t>
      </w:r>
      <w:r w:rsidRPr="00562C2E">
        <w:t>[version date]</w:t>
      </w:r>
      <w:r w:rsidR="008F2043">
        <w:t>, including</w:t>
      </w:r>
      <w:r w:rsidR="006D6452">
        <w:t>:</w:t>
      </w:r>
    </w:p>
    <w:p w:rsidR="00562C2E" w:rsidRPr="00562C2E" w:rsidRDefault="00562C2E" w:rsidP="0060331E">
      <w:pPr>
        <w:pStyle w:val="ListBullet2"/>
      </w:pPr>
      <w:r w:rsidRPr="00562C2E">
        <w:t>the results of each business segment for the reg</w:t>
      </w:r>
      <w:r>
        <w:t xml:space="preserve">ulatory accounting period ended </w:t>
      </w:r>
      <w:r w:rsidRPr="00562C2E">
        <w:t>[period end]</w:t>
      </w:r>
    </w:p>
    <w:p w:rsidR="00562C2E" w:rsidRPr="00562C2E" w:rsidRDefault="00562C2E" w:rsidP="0060331E">
      <w:pPr>
        <w:pStyle w:val="ListBullet2"/>
      </w:pPr>
      <w:r w:rsidRPr="00562C2E">
        <w:t>information concerning the state of affairs at [period end], of each business segment</w:t>
      </w:r>
    </w:p>
    <w:p w:rsidR="00562C2E" w:rsidRPr="00562C2E" w:rsidRDefault="00562C2E" w:rsidP="0060331E">
      <w:pPr>
        <w:pStyle w:val="ListBullet2"/>
      </w:pPr>
      <w:r w:rsidRPr="00562C2E">
        <w:t>information concerning all related party transactions required by section 4.1</w:t>
      </w:r>
      <w:r w:rsidR="005A25A1">
        <w:t>4</w:t>
      </w:r>
      <w:r>
        <w:t xml:space="preserve"> of the </w:t>
      </w:r>
      <w:r w:rsidRPr="00562C2E">
        <w:t>guidelines; [delete if inapplicable]</w:t>
      </w:r>
    </w:p>
    <w:p w:rsidR="00562C2E" w:rsidRPr="00562C2E" w:rsidRDefault="00562C2E" w:rsidP="0060331E">
      <w:pPr>
        <w:pStyle w:val="ListBullet2"/>
      </w:pPr>
      <w:r w:rsidRPr="00562C2E">
        <w:t>information concerning all third party benefit transact</w:t>
      </w:r>
      <w:r>
        <w:t>ions required by paragraph 4.1</w:t>
      </w:r>
      <w:r w:rsidR="005A25A1">
        <w:t>5</w:t>
      </w:r>
      <w:r>
        <w:t xml:space="preserve"> </w:t>
      </w:r>
      <w:r w:rsidRPr="00562C2E">
        <w:t>of the guidelines [delete if inapplicable]</w:t>
      </w:r>
    </w:p>
    <w:p w:rsidR="00562C2E" w:rsidRPr="00562C2E" w:rsidRDefault="00562C2E" w:rsidP="0060331E">
      <w:pPr>
        <w:pStyle w:val="ListBullet2"/>
      </w:pPr>
      <w:r w:rsidRPr="00562C2E">
        <w:t>information concerning all financing transactions required by paragraph 4.1</w:t>
      </w:r>
      <w:r w:rsidR="005A25A1">
        <w:t>6</w:t>
      </w:r>
      <w:r w:rsidRPr="00562C2E">
        <w:t xml:space="preserve"> of t</w:t>
      </w:r>
      <w:r>
        <w:t xml:space="preserve">he </w:t>
      </w:r>
      <w:r w:rsidRPr="00562C2E">
        <w:t>guidelines [delete if inapplicable]</w:t>
      </w:r>
    </w:p>
    <w:p w:rsidR="00562C2E" w:rsidRPr="00562C2E" w:rsidRDefault="00562C2E" w:rsidP="0060331E">
      <w:pPr>
        <w:pStyle w:val="ListBullet"/>
      </w:pPr>
      <w:r w:rsidRPr="00562C2E">
        <w:t>no related party transactions arose during the regulatory accounting period that</w:t>
      </w:r>
      <w:r>
        <w:t xml:space="preserve"> </w:t>
      </w:r>
      <w:r w:rsidRPr="00562C2E">
        <w:t>require disclosure under paragraph 4.1</w:t>
      </w:r>
      <w:r w:rsidR="005A25A1">
        <w:t>4</w:t>
      </w:r>
      <w:r w:rsidRPr="00562C2E">
        <w:t xml:space="preserve"> of the guideline [to be deleted only if</w:t>
      </w:r>
      <w:r>
        <w:t xml:space="preserve"> </w:t>
      </w:r>
      <w:r w:rsidRPr="00562C2E">
        <w:t>disclosure is confirmed above]</w:t>
      </w:r>
    </w:p>
    <w:p w:rsidR="00562C2E" w:rsidRPr="00562C2E" w:rsidRDefault="00562C2E" w:rsidP="0060331E">
      <w:pPr>
        <w:pStyle w:val="ListBullet"/>
      </w:pPr>
      <w:r w:rsidRPr="00562C2E">
        <w:t>no third party benefit transactions arose during the regulatory accounting period</w:t>
      </w:r>
      <w:r>
        <w:t xml:space="preserve"> </w:t>
      </w:r>
      <w:r w:rsidRPr="00562C2E">
        <w:t>that require disclosure under paragraph 4.1</w:t>
      </w:r>
      <w:r w:rsidR="005A25A1">
        <w:t>5</w:t>
      </w:r>
      <w:r w:rsidRPr="00562C2E">
        <w:t xml:space="preserve"> of the guideline [to be deleted only</w:t>
      </w:r>
      <w:r>
        <w:t xml:space="preserve"> </w:t>
      </w:r>
      <w:r w:rsidRPr="00562C2E">
        <w:t>if disclosure is confirmed above]</w:t>
      </w:r>
    </w:p>
    <w:p w:rsidR="00562C2E" w:rsidRPr="00562C2E" w:rsidRDefault="00562C2E" w:rsidP="0060331E">
      <w:pPr>
        <w:pStyle w:val="ListBullet"/>
      </w:pPr>
      <w:proofErr w:type="gramStart"/>
      <w:r w:rsidRPr="00562C2E">
        <w:t>no</w:t>
      </w:r>
      <w:proofErr w:type="gramEnd"/>
      <w:r w:rsidRPr="00562C2E">
        <w:t xml:space="preserve"> financing transactions arose during the regulatory accounting period that</w:t>
      </w:r>
      <w:r>
        <w:t xml:space="preserve"> </w:t>
      </w:r>
      <w:r w:rsidRPr="00562C2E">
        <w:t>require</w:t>
      </w:r>
      <w:r w:rsidR="00826EA4">
        <w:t>s</w:t>
      </w:r>
      <w:r w:rsidRPr="00562C2E">
        <w:t xml:space="preserve"> disclosure under paragraph 4.1</w:t>
      </w:r>
      <w:r w:rsidR="005A25A1">
        <w:t>6</w:t>
      </w:r>
      <w:r w:rsidRPr="00562C2E">
        <w:t xml:space="preserve"> of the guideline [to be deleted only if</w:t>
      </w:r>
      <w:r>
        <w:t xml:space="preserve"> </w:t>
      </w:r>
      <w:r w:rsidRPr="00562C2E">
        <w:t>disclosure is confirmed above].</w:t>
      </w:r>
    </w:p>
    <w:p w:rsidR="00562C2E" w:rsidRPr="00562C2E" w:rsidRDefault="00562C2E" w:rsidP="00562C2E">
      <w:r w:rsidRPr="00562C2E">
        <w:t xml:space="preserve">The terms and definitions used in this statement accord </w:t>
      </w:r>
      <w:r>
        <w:t xml:space="preserve">with the definitions set out in </w:t>
      </w:r>
      <w:r w:rsidRPr="00562C2E">
        <w:t xml:space="preserve">the AER’s Transmission </w:t>
      </w:r>
      <w:r w:rsidR="005A25A1">
        <w:t>N</w:t>
      </w:r>
      <w:r w:rsidRPr="00562C2E">
        <w:t xml:space="preserve">etwork </w:t>
      </w:r>
      <w:r w:rsidR="005A25A1">
        <w:t>S</w:t>
      </w:r>
      <w:r w:rsidRPr="00562C2E">
        <w:t xml:space="preserve">ervice </w:t>
      </w:r>
      <w:r w:rsidR="005A25A1">
        <w:t>P</w:t>
      </w:r>
      <w:r w:rsidRPr="00562C2E">
        <w:t xml:space="preserve">rovider </w:t>
      </w:r>
      <w:r w:rsidR="005A25A1">
        <w:t>I</w:t>
      </w:r>
      <w:r w:rsidRPr="00562C2E">
        <w:t xml:space="preserve">nformation </w:t>
      </w:r>
      <w:r w:rsidR="005A25A1">
        <w:t>G</w:t>
      </w:r>
      <w:r w:rsidRPr="00562C2E">
        <w:t>uideline referred to</w:t>
      </w:r>
      <w:r>
        <w:t xml:space="preserve"> </w:t>
      </w:r>
      <w:r w:rsidRPr="00562C2E">
        <w:t>above.</w:t>
      </w:r>
    </w:p>
    <w:p w:rsidR="00562C2E" w:rsidRPr="00562C2E" w:rsidRDefault="00562C2E" w:rsidP="00562C2E">
      <w:r w:rsidRPr="00562C2E">
        <w:t>Signed in accordance with a resolution of directors:</w:t>
      </w:r>
    </w:p>
    <w:p w:rsidR="00562C2E" w:rsidRPr="00562C2E" w:rsidRDefault="00562C2E" w:rsidP="00562C2E">
      <w:r w:rsidRPr="00562C2E">
        <w:t>_______________________________ _______________________________</w:t>
      </w:r>
    </w:p>
    <w:p w:rsidR="00562C2E" w:rsidRPr="00562C2E" w:rsidRDefault="00562C2E" w:rsidP="00562C2E">
      <w:r w:rsidRPr="00562C2E">
        <w:t xml:space="preserve">[Name of director] </w:t>
      </w:r>
      <w:r w:rsidR="001E0111">
        <w:tab/>
      </w:r>
      <w:r w:rsidR="001E0111">
        <w:tab/>
      </w:r>
      <w:r w:rsidR="001E0111">
        <w:tab/>
      </w:r>
      <w:r w:rsidR="001E0111">
        <w:tab/>
      </w:r>
      <w:r w:rsidR="001E0111">
        <w:tab/>
      </w:r>
      <w:r w:rsidR="001E0111">
        <w:tab/>
        <w:t xml:space="preserve">  </w:t>
      </w:r>
      <w:r w:rsidRPr="00562C2E">
        <w:t>Dated</w:t>
      </w:r>
    </w:p>
    <w:p w:rsidR="00562C2E" w:rsidRPr="00562C2E" w:rsidRDefault="00562C2E" w:rsidP="00562C2E">
      <w:r w:rsidRPr="00562C2E">
        <w:t>Director</w:t>
      </w:r>
    </w:p>
    <w:p w:rsidR="00562C2E" w:rsidRPr="00562C2E" w:rsidRDefault="00562C2E" w:rsidP="00562C2E">
      <w:r w:rsidRPr="00562C2E">
        <w:t>_______________________________ _______________________________</w:t>
      </w:r>
    </w:p>
    <w:p w:rsidR="00562C2E" w:rsidRPr="00562C2E" w:rsidRDefault="00562C2E" w:rsidP="00562C2E">
      <w:r w:rsidRPr="00562C2E">
        <w:t xml:space="preserve">[Name of director] </w:t>
      </w:r>
      <w:r w:rsidR="001E0111">
        <w:tab/>
      </w:r>
      <w:r w:rsidR="001E0111">
        <w:tab/>
      </w:r>
      <w:r w:rsidR="001E0111">
        <w:tab/>
      </w:r>
      <w:r w:rsidR="001E0111">
        <w:tab/>
      </w:r>
      <w:r w:rsidR="001E0111">
        <w:tab/>
      </w:r>
      <w:r w:rsidR="001E0111">
        <w:tab/>
        <w:t xml:space="preserve">  </w:t>
      </w:r>
      <w:r w:rsidRPr="00562C2E">
        <w:t>Dated</w:t>
      </w:r>
    </w:p>
    <w:p w:rsidR="00737CD4" w:rsidRPr="00737CD4" w:rsidRDefault="00562C2E" w:rsidP="00737CD4">
      <w:r w:rsidRPr="00562C2E">
        <w:t>Director</w:t>
      </w:r>
    </w:p>
    <w:sectPr w:rsidR="00737CD4" w:rsidRPr="00737CD4" w:rsidSect="00E137FB">
      <w:footerReference w:type="even" r:id="rId15"/>
      <w:footerReference w:type="default" r:id="rId16"/>
      <w:footerReference w:type="first" r:id="rId17"/>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31E" w:rsidRDefault="0060331E" w:rsidP="004B4412">
      <w:pPr>
        <w:spacing w:before="0"/>
      </w:pPr>
      <w:r>
        <w:separator/>
      </w:r>
    </w:p>
    <w:p w:rsidR="0060331E" w:rsidRDefault="0060331E"/>
    <w:p w:rsidR="0060331E" w:rsidRDefault="0060331E"/>
  </w:endnote>
  <w:endnote w:type="continuationSeparator" w:id="0">
    <w:p w:rsidR="0060331E" w:rsidRDefault="0060331E" w:rsidP="004B4412">
      <w:pPr>
        <w:spacing w:before="0"/>
      </w:pPr>
      <w:r>
        <w:continuationSeparator/>
      </w:r>
    </w:p>
    <w:p w:rsidR="0060331E" w:rsidRDefault="0060331E"/>
    <w:p w:rsidR="0060331E" w:rsidRDefault="00603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31E" w:rsidRPr="00A91A9E" w:rsidRDefault="0060331E" w:rsidP="00E450DB">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60331E" w:rsidRDefault="0060331E"/>
  <w:p w:rsidR="0060331E" w:rsidRDefault="006033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31E" w:rsidRDefault="0060331E" w:rsidP="00CC7F1D">
    <w:pPr>
      <w:pStyle w:val="Footer"/>
      <w:tabs>
        <w:tab w:val="clear" w:pos="9026"/>
        <w:tab w:val="right" w:pos="8505"/>
      </w:tabs>
    </w:pPr>
    <w:r>
      <w:t>Electricity transmission information guideline (Version 2)</w:t>
    </w:r>
    <w:r>
      <w:fldChar w:fldCharType="begin"/>
    </w:r>
    <w:r>
      <w:instrText xml:space="preserve"> STYLEREF  "Report Title"  \* MERGEFORMAT </w:instrText>
    </w:r>
    <w:r>
      <w:rPr>
        <w:noProof/>
      </w:rPr>
      <w:fldChar w:fldCharType="end"/>
    </w:r>
    <w:r>
      <w:tab/>
    </w:r>
    <w:r>
      <w:tab/>
    </w:r>
    <w:r>
      <w:fldChar w:fldCharType="begin"/>
    </w:r>
    <w:r>
      <w:instrText xml:space="preserve"> PAGE   \* MERGEFORMAT </w:instrText>
    </w:r>
    <w:r>
      <w:fldChar w:fldCharType="separate"/>
    </w:r>
    <w:r w:rsidR="00BC5D02">
      <w:rPr>
        <w:noProof/>
      </w:rPr>
      <w:t>32</w:t>
    </w:r>
    <w:r>
      <w:rPr>
        <w:noProof/>
      </w:rPr>
      <w:fldChar w:fldCharType="end"/>
    </w:r>
  </w:p>
  <w:p w:rsidR="0060331E" w:rsidRDefault="0060331E"/>
  <w:p w:rsidR="0060331E" w:rsidRDefault="0060331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31E" w:rsidRDefault="00BC5D02" w:rsidP="00CC7F1D">
    <w:pPr>
      <w:pStyle w:val="Footer"/>
      <w:tabs>
        <w:tab w:val="clear" w:pos="9026"/>
        <w:tab w:val="right" w:pos="8505"/>
      </w:tabs>
    </w:pPr>
    <w:r>
      <w:fldChar w:fldCharType="begin"/>
    </w:r>
    <w:r>
      <w:instrText xml:space="preserve"> STYLEREF  "Report Title"  \* MERGEFORMAT </w:instrText>
    </w:r>
    <w:r>
      <w:fldChar w:fldCharType="separate"/>
    </w:r>
    <w:r>
      <w:rPr>
        <w:noProof/>
      </w:rPr>
      <w:t>FINAL</w:t>
    </w:r>
    <w:r>
      <w:rPr>
        <w:noProof/>
      </w:rPr>
      <w:fldChar w:fldCharType="end"/>
    </w:r>
    <w:r w:rsidR="0060331E">
      <w:tab/>
    </w:r>
    <w:r w:rsidR="0060331E">
      <w:tab/>
    </w:r>
    <w:r w:rsidR="0060331E">
      <w:fldChar w:fldCharType="begin"/>
    </w:r>
    <w:r w:rsidR="0060331E">
      <w:instrText xml:space="preserve"> PAGE   \* MERGEFORMAT </w:instrText>
    </w:r>
    <w:r w:rsidR="0060331E">
      <w:fldChar w:fldCharType="separate"/>
    </w:r>
    <w:r>
      <w:rPr>
        <w:noProof/>
      </w:rPr>
      <w:t>1</w:t>
    </w:r>
    <w:r w:rsidR="0060331E">
      <w:fldChar w:fldCharType="end"/>
    </w:r>
  </w:p>
  <w:p w:rsidR="0060331E" w:rsidRDefault="0060331E">
    <w:pPr>
      <w:pStyle w:val="Footer"/>
    </w:pPr>
  </w:p>
  <w:p w:rsidR="0060331E" w:rsidRDefault="0060331E"/>
  <w:p w:rsidR="0060331E" w:rsidRDefault="006033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31E" w:rsidRDefault="0060331E" w:rsidP="00182906">
      <w:pPr>
        <w:spacing w:before="0"/>
      </w:pPr>
      <w:r>
        <w:separator/>
      </w:r>
    </w:p>
  </w:footnote>
  <w:footnote w:type="continuationSeparator" w:id="0">
    <w:p w:rsidR="0060331E" w:rsidRDefault="0060331E" w:rsidP="00182906">
      <w:pPr>
        <w:spacing w:before="0"/>
      </w:pPr>
      <w:r>
        <w:continuationSeparator/>
      </w:r>
    </w:p>
  </w:footnote>
  <w:footnote w:type="continuationNotice" w:id="1">
    <w:p w:rsidR="0060331E" w:rsidRDefault="0060331E">
      <w:pPr>
        <w:spacing w:before="0" w:line="240" w:lineRule="auto"/>
      </w:pPr>
    </w:p>
  </w:footnote>
  <w:footnote w:id="2">
    <w:p w:rsidR="0060331E" w:rsidRDefault="0060331E" w:rsidP="00C938FB">
      <w:pPr>
        <w:pStyle w:val="FootnoteText"/>
      </w:pPr>
      <w:r>
        <w:rPr>
          <w:rStyle w:val="FootnoteReference"/>
        </w:rPr>
        <w:footnoteRef/>
      </w:r>
      <w:r>
        <w:t xml:space="preserve"> </w:t>
      </w:r>
      <w:r>
        <w:tab/>
      </w:r>
      <w:proofErr w:type="gramStart"/>
      <w:r w:rsidRPr="00C938FB">
        <w:t>AER, ‘</w:t>
      </w:r>
      <w:r w:rsidRPr="00C938FB">
        <w:rPr>
          <w:rStyle w:val="Emphasis"/>
        </w:rPr>
        <w:t>Better regulation – Confidentiality Guideline</w:t>
      </w:r>
      <w:r w:rsidRPr="00C938FB">
        <w:t>’, November 2013.</w:t>
      </w:r>
      <w:proofErr w:type="gramEnd"/>
      <w:r w:rsidRPr="00C938FB">
        <w:t xml:space="preserve"> It should be noted that the ACCC/AER, </w:t>
      </w:r>
      <w:r w:rsidRPr="00C938FB">
        <w:rPr>
          <w:rStyle w:val="Emphasis"/>
        </w:rPr>
        <w:t>‘Information Policy: the collection, use and disclosure of information’</w:t>
      </w:r>
      <w:r w:rsidRPr="00C938FB">
        <w:t>, June 2014 also applies to confidential information submitted to the AER.</w:t>
      </w:r>
    </w:p>
  </w:footnote>
  <w:footnote w:id="3">
    <w:p w:rsidR="0060331E" w:rsidRDefault="0060331E">
      <w:pPr>
        <w:pStyle w:val="FootnoteText"/>
      </w:pPr>
      <w:r w:rsidRPr="00576B38">
        <w:rPr>
          <w:rStyle w:val="FootnoteReference"/>
          <w:sz w:val="16"/>
          <w:vertAlign w:val="baseline"/>
        </w:rPr>
        <w:footnoteRef/>
      </w:r>
      <w:r w:rsidRPr="00576B38">
        <w:t xml:space="preserve"> </w:t>
      </w:r>
      <w:r>
        <w:tab/>
      </w:r>
      <w:r w:rsidRPr="00576B38">
        <w:t>For example, impact on the network may be measured in time, energy undelivered or any other relevant unit of measure.</w:t>
      </w:r>
    </w:p>
  </w:footnote>
  <w:footnote w:id="4">
    <w:p w:rsidR="0060331E" w:rsidRDefault="0060331E">
      <w:pPr>
        <w:pStyle w:val="FootnoteText"/>
      </w:pPr>
      <w:r>
        <w:rPr>
          <w:rStyle w:val="FootnoteReference"/>
        </w:rPr>
        <w:footnoteRef/>
      </w:r>
      <w:r>
        <w:t xml:space="preserve"> </w:t>
      </w:r>
      <w:r>
        <w:tab/>
      </w:r>
      <w:r w:rsidRPr="00576B38">
        <w:t>Supporting documentation may include external reports and information that details the impact of an event.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4404"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4E10174E"/>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9EC327A"/>
    <w:multiLevelType w:val="hybridMultilevel"/>
    <w:tmpl w:val="CF70896A"/>
    <w:lvl w:ilvl="0" w:tplc="4B825062">
      <w:start w:val="1"/>
      <w:numFmt w:val="lowerLetter"/>
      <w:lvlText w:val="(%1)"/>
      <w:lvlJc w:val="left"/>
      <w:pPr>
        <w:ind w:left="1404" w:hanging="360"/>
      </w:pPr>
      <w:rPr>
        <w:rFonts w:ascii="Times New Roman" w:hAnsi="Times New Roman" w:hint="default"/>
        <w:sz w:val="18"/>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42D115C"/>
    <w:multiLevelType w:val="multilevel"/>
    <w:tmpl w:val="1AB4B7F8"/>
    <w:lvl w:ilvl="0">
      <w:start w:val="1"/>
      <w:numFmt w:val="decimal"/>
      <w:lvlText w:val="%1."/>
      <w:lvlJc w:val="left"/>
      <w:pPr>
        <w:tabs>
          <w:tab w:val="num" w:pos="567"/>
        </w:tabs>
        <w:ind w:left="567" w:hanging="567"/>
      </w:pPr>
      <w:rPr>
        <w:rFonts w:hint="default"/>
        <w:b/>
        <w:i w:val="0"/>
        <w:sz w:val="24"/>
      </w:rPr>
    </w:lvl>
    <w:lvl w:ilvl="1">
      <w:start w:val="1"/>
      <w:numFmt w:val="decimal"/>
      <w:lvlText w:val="%1.%2"/>
      <w:lvlJc w:val="left"/>
      <w:pPr>
        <w:tabs>
          <w:tab w:val="num" w:pos="567"/>
        </w:tabs>
        <w:ind w:left="567" w:hanging="567"/>
      </w:pPr>
      <w:rPr>
        <w:rFonts w:hint="default"/>
        <w:b w:val="0"/>
        <w:i w:val="0"/>
        <w:sz w:val="24"/>
      </w:rPr>
    </w:lvl>
    <w:lvl w:ilvl="2">
      <w:start w:val="1"/>
      <w:numFmt w:val="lowerLetter"/>
      <w:lvlText w:val="(%3)"/>
      <w:lvlJc w:val="left"/>
      <w:pPr>
        <w:tabs>
          <w:tab w:val="num" w:pos="1134"/>
        </w:tabs>
        <w:ind w:left="1134" w:hanging="567"/>
      </w:pPr>
      <w:rPr>
        <w:rFonts w:hint="default"/>
        <w:b w:val="0"/>
        <w:color w:val="auto"/>
        <w:sz w:val="24"/>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29D86FD9"/>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22">
    <w:nsid w:val="2FB612CC"/>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B541698"/>
    <w:multiLevelType w:val="multilevel"/>
    <w:tmpl w:val="6324DC28"/>
    <w:lvl w:ilvl="0">
      <w:start w:val="1"/>
      <w:numFmt w:val="decimal"/>
      <w:lvlText w:val="%1."/>
      <w:lvlJc w:val="left"/>
      <w:pPr>
        <w:tabs>
          <w:tab w:val="num" w:pos="567"/>
        </w:tabs>
        <w:ind w:left="567" w:hanging="567"/>
      </w:pPr>
      <w:rPr>
        <w:rFonts w:hint="default"/>
        <w:b/>
        <w:i w:val="0"/>
        <w:sz w:val="24"/>
      </w:rPr>
    </w:lvl>
    <w:lvl w:ilvl="1">
      <w:start w:val="1"/>
      <w:numFmt w:val="decimal"/>
      <w:lvlText w:val="%1.%2"/>
      <w:lvlJc w:val="left"/>
      <w:pPr>
        <w:tabs>
          <w:tab w:val="num" w:pos="851"/>
        </w:tabs>
        <w:ind w:left="851" w:hanging="567"/>
      </w:pPr>
      <w:rPr>
        <w:rFonts w:hint="default"/>
        <w:b w:val="0"/>
        <w:i w:val="0"/>
        <w:sz w:val="24"/>
      </w:rPr>
    </w:lvl>
    <w:lvl w:ilvl="2">
      <w:start w:val="5"/>
      <w:numFmt w:val="lowerLetter"/>
      <w:lvlText w:val="(%3)"/>
      <w:lvlJc w:val="left"/>
      <w:pPr>
        <w:tabs>
          <w:tab w:val="num" w:pos="1134"/>
        </w:tabs>
        <w:ind w:left="1134" w:hanging="567"/>
      </w:pPr>
      <w:rPr>
        <w:rFonts w:hint="default"/>
        <w:b w:val="0"/>
        <w:color w:val="auto"/>
        <w:sz w:val="24"/>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653E4736"/>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2">
    <w:nsid w:val="68E31FA7"/>
    <w:multiLevelType w:val="hybridMultilevel"/>
    <w:tmpl w:val="64A445EA"/>
    <w:lvl w:ilvl="0" w:tplc="2A485F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3"/>
  </w:num>
  <w:num w:numId="14">
    <w:abstractNumId w:val="13"/>
  </w:num>
  <w:num w:numId="15">
    <w:abstractNumId w:val="17"/>
  </w:num>
  <w:num w:numId="16">
    <w:abstractNumId w:val="25"/>
  </w:num>
  <w:num w:numId="17">
    <w:abstractNumId w:val="12"/>
  </w:num>
  <w:num w:numId="18">
    <w:abstractNumId w:val="20"/>
  </w:num>
  <w:num w:numId="19">
    <w:abstractNumId w:val="11"/>
  </w:num>
  <w:num w:numId="20">
    <w:abstractNumId w:val="26"/>
  </w:num>
  <w:num w:numId="21">
    <w:abstractNumId w:val="33"/>
  </w:num>
  <w:num w:numId="22">
    <w:abstractNumId w:val="18"/>
  </w:num>
  <w:num w:numId="23">
    <w:abstractNumId w:val="2"/>
    <w:lvlOverride w:ilvl="0">
      <w:startOverride w:val="1"/>
    </w:lvlOverride>
  </w:num>
  <w:num w:numId="24">
    <w:abstractNumId w:val="20"/>
    <w:lvlOverride w:ilvl="0">
      <w:startOverride w:val="1"/>
    </w:lvlOverride>
  </w:num>
  <w:num w:numId="25">
    <w:abstractNumId w:val="29"/>
  </w:num>
  <w:num w:numId="26">
    <w:abstractNumId w:val="24"/>
  </w:num>
  <w:num w:numId="27">
    <w:abstractNumId w:val="9"/>
  </w:num>
  <w:num w:numId="28">
    <w:abstractNumId w:val="15"/>
  </w:num>
  <w:num w:numId="29">
    <w:abstractNumId w:val="10"/>
  </w:num>
  <w:num w:numId="30">
    <w:abstractNumId w:val="28"/>
  </w:num>
  <w:num w:numId="31">
    <w:abstractNumId w:val="22"/>
  </w:num>
  <w:num w:numId="32">
    <w:abstractNumId w:val="8"/>
    <w:lvlOverride w:ilvl="0">
      <w:startOverride w:val="1"/>
    </w:lvlOverride>
  </w:num>
  <w:num w:numId="33">
    <w:abstractNumId w:val="30"/>
  </w:num>
  <w:num w:numId="34">
    <w:abstractNumId w:val="21"/>
  </w:num>
  <w:num w:numId="35">
    <w:abstractNumId w:val="16"/>
  </w:num>
  <w:num w:numId="36">
    <w:abstractNumId w:val="12"/>
  </w:num>
  <w:num w:numId="37">
    <w:abstractNumId w:val="12"/>
    <w:lvlOverride w:ilvl="0">
      <w:startOverride w:val="1"/>
    </w:lvlOverride>
  </w:num>
  <w:num w:numId="38">
    <w:abstractNumId w:val="12"/>
    <w:lvlOverride w:ilvl="0">
      <w:startOverride w:val="1"/>
    </w:lvlOverride>
  </w:num>
  <w:num w:numId="39">
    <w:abstractNumId w:val="12"/>
    <w:lvlOverride w:ilvl="0">
      <w:startOverride w:val="1"/>
    </w:lvlOverride>
  </w:num>
  <w:num w:numId="40">
    <w:abstractNumId w:val="19"/>
  </w:num>
  <w:num w:numId="41">
    <w:abstractNumId w:val="32"/>
  </w:num>
  <w:num w:numId="42">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NotTrackFormatting/>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2662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pick\aer final electricity transmission information guideline (version 2) - april 2015 (D2015-00041502) (1).docx"/>
  </w:docVars>
  <w:rsids>
    <w:rsidRoot w:val="00D35DC8"/>
    <w:rsid w:val="00021202"/>
    <w:rsid w:val="00024639"/>
    <w:rsid w:val="0002517F"/>
    <w:rsid w:val="0003578C"/>
    <w:rsid w:val="00043630"/>
    <w:rsid w:val="00063247"/>
    <w:rsid w:val="00070F9F"/>
    <w:rsid w:val="0007137B"/>
    <w:rsid w:val="00074341"/>
    <w:rsid w:val="00085663"/>
    <w:rsid w:val="00085EBF"/>
    <w:rsid w:val="000A6C7B"/>
    <w:rsid w:val="000D122C"/>
    <w:rsid w:val="000E1819"/>
    <w:rsid w:val="000E6C72"/>
    <w:rsid w:val="000F5352"/>
    <w:rsid w:val="00107CC7"/>
    <w:rsid w:val="00110BBA"/>
    <w:rsid w:val="00111B02"/>
    <w:rsid w:val="00116EB2"/>
    <w:rsid w:val="00124609"/>
    <w:rsid w:val="00130C3C"/>
    <w:rsid w:val="00134777"/>
    <w:rsid w:val="0014573B"/>
    <w:rsid w:val="00153CD6"/>
    <w:rsid w:val="00156D0D"/>
    <w:rsid w:val="001573E4"/>
    <w:rsid w:val="00160756"/>
    <w:rsid w:val="00164274"/>
    <w:rsid w:val="00170114"/>
    <w:rsid w:val="0017232E"/>
    <w:rsid w:val="00174102"/>
    <w:rsid w:val="00180157"/>
    <w:rsid w:val="00182906"/>
    <w:rsid w:val="00182E3F"/>
    <w:rsid w:val="00185CB9"/>
    <w:rsid w:val="00186F77"/>
    <w:rsid w:val="001926A4"/>
    <w:rsid w:val="00192AD5"/>
    <w:rsid w:val="001B0F09"/>
    <w:rsid w:val="001B116F"/>
    <w:rsid w:val="001B45A0"/>
    <w:rsid w:val="001D055E"/>
    <w:rsid w:val="001E0111"/>
    <w:rsid w:val="001F492E"/>
    <w:rsid w:val="001F6DA3"/>
    <w:rsid w:val="002010BC"/>
    <w:rsid w:val="00202E03"/>
    <w:rsid w:val="0020492C"/>
    <w:rsid w:val="00207FDC"/>
    <w:rsid w:val="00224DB9"/>
    <w:rsid w:val="00225372"/>
    <w:rsid w:val="00233775"/>
    <w:rsid w:val="00235435"/>
    <w:rsid w:val="00235DEB"/>
    <w:rsid w:val="00251745"/>
    <w:rsid w:val="00262655"/>
    <w:rsid w:val="00263AC0"/>
    <w:rsid w:val="0026772D"/>
    <w:rsid w:val="00280671"/>
    <w:rsid w:val="00286874"/>
    <w:rsid w:val="00296B65"/>
    <w:rsid w:val="002A7839"/>
    <w:rsid w:val="002A7DEF"/>
    <w:rsid w:val="002B6E4E"/>
    <w:rsid w:val="002E1BE5"/>
    <w:rsid w:val="002E2BFC"/>
    <w:rsid w:val="002F7986"/>
    <w:rsid w:val="00301B40"/>
    <w:rsid w:val="00303D4F"/>
    <w:rsid w:val="00305CC8"/>
    <w:rsid w:val="00307F6D"/>
    <w:rsid w:val="003177A2"/>
    <w:rsid w:val="003271B5"/>
    <w:rsid w:val="00327A1E"/>
    <w:rsid w:val="00331264"/>
    <w:rsid w:val="00334C8D"/>
    <w:rsid w:val="003518B3"/>
    <w:rsid w:val="00360F46"/>
    <w:rsid w:val="00375FEE"/>
    <w:rsid w:val="003846F1"/>
    <w:rsid w:val="0039374F"/>
    <w:rsid w:val="00395821"/>
    <w:rsid w:val="003B0FD1"/>
    <w:rsid w:val="00412B77"/>
    <w:rsid w:val="00427BBC"/>
    <w:rsid w:val="00434F0A"/>
    <w:rsid w:val="00437B15"/>
    <w:rsid w:val="00437F8F"/>
    <w:rsid w:val="00461739"/>
    <w:rsid w:val="0047664E"/>
    <w:rsid w:val="00480B4B"/>
    <w:rsid w:val="00485DC4"/>
    <w:rsid w:val="004A24A6"/>
    <w:rsid w:val="004A3A7A"/>
    <w:rsid w:val="004A43D1"/>
    <w:rsid w:val="004B4412"/>
    <w:rsid w:val="004C348C"/>
    <w:rsid w:val="004D457E"/>
    <w:rsid w:val="004D55BA"/>
    <w:rsid w:val="004E22EC"/>
    <w:rsid w:val="004F069F"/>
    <w:rsid w:val="004F50D1"/>
    <w:rsid w:val="004F69D3"/>
    <w:rsid w:val="00503E03"/>
    <w:rsid w:val="00530128"/>
    <w:rsid w:val="00532467"/>
    <w:rsid w:val="0056080A"/>
    <w:rsid w:val="00562632"/>
    <w:rsid w:val="00562C2E"/>
    <w:rsid w:val="00564A4D"/>
    <w:rsid w:val="00567A31"/>
    <w:rsid w:val="00567BA5"/>
    <w:rsid w:val="00571B35"/>
    <w:rsid w:val="00571D57"/>
    <w:rsid w:val="00576B38"/>
    <w:rsid w:val="00577A09"/>
    <w:rsid w:val="005829C2"/>
    <w:rsid w:val="00583654"/>
    <w:rsid w:val="00584D8F"/>
    <w:rsid w:val="005A25A1"/>
    <w:rsid w:val="005A404D"/>
    <w:rsid w:val="005B1E3C"/>
    <w:rsid w:val="005C26CC"/>
    <w:rsid w:val="005C4261"/>
    <w:rsid w:val="0060331E"/>
    <w:rsid w:val="00615C6B"/>
    <w:rsid w:val="00632D6D"/>
    <w:rsid w:val="00642C3E"/>
    <w:rsid w:val="00663DAD"/>
    <w:rsid w:val="00670957"/>
    <w:rsid w:val="00676679"/>
    <w:rsid w:val="006A0C0A"/>
    <w:rsid w:val="006A40E7"/>
    <w:rsid w:val="006B4CF9"/>
    <w:rsid w:val="006B7AC8"/>
    <w:rsid w:val="006C1FEB"/>
    <w:rsid w:val="006D550F"/>
    <w:rsid w:val="006D6452"/>
    <w:rsid w:val="00701CAB"/>
    <w:rsid w:val="00705A6F"/>
    <w:rsid w:val="00707563"/>
    <w:rsid w:val="00710B63"/>
    <w:rsid w:val="00715ED3"/>
    <w:rsid w:val="0072348C"/>
    <w:rsid w:val="00724A37"/>
    <w:rsid w:val="007303C3"/>
    <w:rsid w:val="00737CD4"/>
    <w:rsid w:val="00740A3B"/>
    <w:rsid w:val="00743223"/>
    <w:rsid w:val="00746A01"/>
    <w:rsid w:val="00746E01"/>
    <w:rsid w:val="00757BDF"/>
    <w:rsid w:val="00760279"/>
    <w:rsid w:val="00763E5D"/>
    <w:rsid w:val="00767740"/>
    <w:rsid w:val="0077180D"/>
    <w:rsid w:val="00777EE6"/>
    <w:rsid w:val="00781D34"/>
    <w:rsid w:val="00782EEA"/>
    <w:rsid w:val="00784979"/>
    <w:rsid w:val="007A4D1F"/>
    <w:rsid w:val="007A5631"/>
    <w:rsid w:val="007B2C72"/>
    <w:rsid w:val="007C1C53"/>
    <w:rsid w:val="007C74BB"/>
    <w:rsid w:val="007D1357"/>
    <w:rsid w:val="007E4904"/>
    <w:rsid w:val="007E4CB5"/>
    <w:rsid w:val="007E5A96"/>
    <w:rsid w:val="007F066B"/>
    <w:rsid w:val="008033C4"/>
    <w:rsid w:val="00806C88"/>
    <w:rsid w:val="0081034E"/>
    <w:rsid w:val="00826EA4"/>
    <w:rsid w:val="008273BA"/>
    <w:rsid w:val="008344F6"/>
    <w:rsid w:val="0083510F"/>
    <w:rsid w:val="0083595F"/>
    <w:rsid w:val="00841E32"/>
    <w:rsid w:val="00843704"/>
    <w:rsid w:val="00851209"/>
    <w:rsid w:val="00862D25"/>
    <w:rsid w:val="008826C7"/>
    <w:rsid w:val="008837AC"/>
    <w:rsid w:val="008A2EF2"/>
    <w:rsid w:val="008A3E3C"/>
    <w:rsid w:val="008A587D"/>
    <w:rsid w:val="008C5486"/>
    <w:rsid w:val="008D1661"/>
    <w:rsid w:val="008E7031"/>
    <w:rsid w:val="008E7960"/>
    <w:rsid w:val="008F2043"/>
    <w:rsid w:val="008F2354"/>
    <w:rsid w:val="008F76D6"/>
    <w:rsid w:val="009233EE"/>
    <w:rsid w:val="009279FF"/>
    <w:rsid w:val="009460AA"/>
    <w:rsid w:val="00951978"/>
    <w:rsid w:val="009661DE"/>
    <w:rsid w:val="009856B7"/>
    <w:rsid w:val="009A33F2"/>
    <w:rsid w:val="009A5FC3"/>
    <w:rsid w:val="009B74B0"/>
    <w:rsid w:val="009B795A"/>
    <w:rsid w:val="009C73A0"/>
    <w:rsid w:val="009D6B46"/>
    <w:rsid w:val="009F2FAB"/>
    <w:rsid w:val="009F4940"/>
    <w:rsid w:val="009F5BA1"/>
    <w:rsid w:val="00A02A88"/>
    <w:rsid w:val="00A0562E"/>
    <w:rsid w:val="00A0726D"/>
    <w:rsid w:val="00A22495"/>
    <w:rsid w:val="00A264C0"/>
    <w:rsid w:val="00A32FBB"/>
    <w:rsid w:val="00A415C4"/>
    <w:rsid w:val="00A4478A"/>
    <w:rsid w:val="00A44852"/>
    <w:rsid w:val="00A45B57"/>
    <w:rsid w:val="00A57D04"/>
    <w:rsid w:val="00A60023"/>
    <w:rsid w:val="00A60A26"/>
    <w:rsid w:val="00A61598"/>
    <w:rsid w:val="00A75077"/>
    <w:rsid w:val="00A75109"/>
    <w:rsid w:val="00A84F46"/>
    <w:rsid w:val="00A871F4"/>
    <w:rsid w:val="00A90A09"/>
    <w:rsid w:val="00AC1B2C"/>
    <w:rsid w:val="00AC3264"/>
    <w:rsid w:val="00AE1BF1"/>
    <w:rsid w:val="00AF0857"/>
    <w:rsid w:val="00AF0DD2"/>
    <w:rsid w:val="00AF1ED6"/>
    <w:rsid w:val="00B01112"/>
    <w:rsid w:val="00B042B9"/>
    <w:rsid w:val="00B0642C"/>
    <w:rsid w:val="00B13048"/>
    <w:rsid w:val="00B1716D"/>
    <w:rsid w:val="00B17A1D"/>
    <w:rsid w:val="00B207A0"/>
    <w:rsid w:val="00B31870"/>
    <w:rsid w:val="00B37E38"/>
    <w:rsid w:val="00B46927"/>
    <w:rsid w:val="00B514DD"/>
    <w:rsid w:val="00B52AF0"/>
    <w:rsid w:val="00B56E03"/>
    <w:rsid w:val="00B57D83"/>
    <w:rsid w:val="00B62940"/>
    <w:rsid w:val="00B668A9"/>
    <w:rsid w:val="00B8080B"/>
    <w:rsid w:val="00B87C39"/>
    <w:rsid w:val="00B927D8"/>
    <w:rsid w:val="00BA3C98"/>
    <w:rsid w:val="00BA4665"/>
    <w:rsid w:val="00BB0575"/>
    <w:rsid w:val="00BB2FB2"/>
    <w:rsid w:val="00BB3304"/>
    <w:rsid w:val="00BC5D02"/>
    <w:rsid w:val="00BD3446"/>
    <w:rsid w:val="00BE1F1B"/>
    <w:rsid w:val="00BE47B5"/>
    <w:rsid w:val="00C14905"/>
    <w:rsid w:val="00C25FA6"/>
    <w:rsid w:val="00C538A9"/>
    <w:rsid w:val="00C53B5A"/>
    <w:rsid w:val="00C54F5A"/>
    <w:rsid w:val="00C569B4"/>
    <w:rsid w:val="00C66EC8"/>
    <w:rsid w:val="00C67A92"/>
    <w:rsid w:val="00C7598C"/>
    <w:rsid w:val="00C86679"/>
    <w:rsid w:val="00C938FB"/>
    <w:rsid w:val="00CA14FD"/>
    <w:rsid w:val="00CA489E"/>
    <w:rsid w:val="00CB666B"/>
    <w:rsid w:val="00CC213C"/>
    <w:rsid w:val="00CC23E8"/>
    <w:rsid w:val="00CC7F1D"/>
    <w:rsid w:val="00D01CF0"/>
    <w:rsid w:val="00D0442A"/>
    <w:rsid w:val="00D35DC8"/>
    <w:rsid w:val="00D5514F"/>
    <w:rsid w:val="00D61388"/>
    <w:rsid w:val="00D61A54"/>
    <w:rsid w:val="00D64DEA"/>
    <w:rsid w:val="00D7168E"/>
    <w:rsid w:val="00D71E57"/>
    <w:rsid w:val="00D74184"/>
    <w:rsid w:val="00D80893"/>
    <w:rsid w:val="00D92CF1"/>
    <w:rsid w:val="00D92D38"/>
    <w:rsid w:val="00D950F5"/>
    <w:rsid w:val="00DB0F93"/>
    <w:rsid w:val="00DB1A67"/>
    <w:rsid w:val="00DB1C30"/>
    <w:rsid w:val="00DB5074"/>
    <w:rsid w:val="00DB723B"/>
    <w:rsid w:val="00DC7981"/>
    <w:rsid w:val="00DE4EFA"/>
    <w:rsid w:val="00DE5520"/>
    <w:rsid w:val="00E04818"/>
    <w:rsid w:val="00E06442"/>
    <w:rsid w:val="00E137FB"/>
    <w:rsid w:val="00E15393"/>
    <w:rsid w:val="00E16751"/>
    <w:rsid w:val="00E2031A"/>
    <w:rsid w:val="00E22820"/>
    <w:rsid w:val="00E23993"/>
    <w:rsid w:val="00E25B8C"/>
    <w:rsid w:val="00E450DB"/>
    <w:rsid w:val="00E60409"/>
    <w:rsid w:val="00E65C85"/>
    <w:rsid w:val="00E66199"/>
    <w:rsid w:val="00E755EC"/>
    <w:rsid w:val="00E7624D"/>
    <w:rsid w:val="00EA0FBE"/>
    <w:rsid w:val="00EA35FB"/>
    <w:rsid w:val="00EA3D42"/>
    <w:rsid w:val="00EA6B1B"/>
    <w:rsid w:val="00EB505D"/>
    <w:rsid w:val="00EC5662"/>
    <w:rsid w:val="00EE28F3"/>
    <w:rsid w:val="00EE6748"/>
    <w:rsid w:val="00EF5110"/>
    <w:rsid w:val="00F15882"/>
    <w:rsid w:val="00F171E0"/>
    <w:rsid w:val="00F20BD3"/>
    <w:rsid w:val="00F373A5"/>
    <w:rsid w:val="00F47559"/>
    <w:rsid w:val="00F64C7B"/>
    <w:rsid w:val="00F676DD"/>
    <w:rsid w:val="00F71778"/>
    <w:rsid w:val="00F75A26"/>
    <w:rsid w:val="00F80D25"/>
    <w:rsid w:val="00F835C9"/>
    <w:rsid w:val="00F83FAD"/>
    <w:rsid w:val="00F84173"/>
    <w:rsid w:val="00F906BA"/>
    <w:rsid w:val="00F952A0"/>
    <w:rsid w:val="00FA3C7F"/>
    <w:rsid w:val="00FB0392"/>
    <w:rsid w:val="00FB319E"/>
    <w:rsid w:val="00FB74E2"/>
    <w:rsid w:val="00FD5614"/>
    <w:rsid w:val="00FE0BE1"/>
    <w:rsid w:val="00FE1DE9"/>
    <w:rsid w:val="00FE39C2"/>
    <w:rsid w:val="00FE3C32"/>
    <w:rsid w:val="00FE5B98"/>
    <w:rsid w:val="00FE64AE"/>
    <w:rsid w:val="00FF6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36"/>
      </w:numPr>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503E03"/>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235DEB"/>
    <w:pPr>
      <w:spacing w:after="120"/>
    </w:pPr>
  </w:style>
  <w:style w:type="character" w:customStyle="1" w:styleId="BodyTextChar">
    <w:name w:val="Body Text Char"/>
    <w:basedOn w:val="DefaultParagraphFont"/>
    <w:link w:val="BodyText"/>
    <w:uiPriority w:val="99"/>
    <w:rsid w:val="00235DEB"/>
    <w:rPr>
      <w:rFonts w:ascii="Arial" w:hAnsi="Arial"/>
    </w:rPr>
  </w:style>
  <w:style w:type="paragraph" w:styleId="BlockText">
    <w:name w:val="Block Text"/>
    <w:basedOn w:val="Normal"/>
    <w:uiPriority w:val="99"/>
    <w:unhideWhenUsed/>
    <w:rsid w:val="00503E03"/>
    <w:pPr>
      <w:pBdr>
        <w:top w:val="single" w:sz="2" w:space="10" w:color="2F002F" w:themeColor="accent1" w:frame="1"/>
        <w:left w:val="single" w:sz="2" w:space="10" w:color="2F002F" w:themeColor="accent1" w:frame="1"/>
        <w:bottom w:val="single" w:sz="2" w:space="10" w:color="2F002F" w:themeColor="accent1" w:frame="1"/>
        <w:right w:val="single" w:sz="2" w:space="10" w:color="2F002F" w:themeColor="accent1" w:frame="1"/>
      </w:pBdr>
      <w:ind w:left="1152" w:right="1152"/>
    </w:pPr>
    <w:rPr>
      <w:rFonts w:asciiTheme="minorHAnsi" w:eastAsiaTheme="minorEastAsia" w:hAnsiTheme="minorHAnsi"/>
      <w:i/>
      <w:iCs/>
      <w:color w:val="2F002F" w:themeColor="accent1"/>
    </w:rPr>
  </w:style>
  <w:style w:type="paragraph" w:styleId="NormalWeb">
    <w:name w:val="Normal (Web)"/>
    <w:basedOn w:val="Normal"/>
    <w:uiPriority w:val="99"/>
    <w:semiHidden/>
    <w:unhideWhenUsed/>
    <w:rsid w:val="008F76D6"/>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9279FF"/>
    <w:pPr>
      <w:spacing w:after="120" w:line="480" w:lineRule="auto"/>
      <w:ind w:left="283"/>
    </w:pPr>
  </w:style>
  <w:style w:type="character" w:customStyle="1" w:styleId="BodyTextIndent2Char">
    <w:name w:val="Body Text Indent 2 Char"/>
    <w:basedOn w:val="DefaultParagraphFont"/>
    <w:link w:val="BodyTextIndent2"/>
    <w:uiPriority w:val="99"/>
    <w:rsid w:val="009279FF"/>
    <w:rPr>
      <w:rFonts w:ascii="Arial" w:hAnsi="Arial"/>
    </w:rPr>
  </w:style>
  <w:style w:type="paragraph" w:styleId="PlainText">
    <w:name w:val="Plain Text"/>
    <w:basedOn w:val="Normal"/>
    <w:link w:val="PlainTextChar"/>
    <w:uiPriority w:val="99"/>
    <w:unhideWhenUsed/>
    <w:rsid w:val="009279FF"/>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9279FF"/>
    <w:rPr>
      <w:rFonts w:ascii="Consolas" w:hAnsi="Consolas"/>
      <w:sz w:val="21"/>
      <w:szCs w:val="21"/>
    </w:rPr>
  </w:style>
  <w:style w:type="paragraph" w:styleId="CommentText">
    <w:name w:val="annotation text"/>
    <w:basedOn w:val="Normal"/>
    <w:link w:val="CommentTextChar"/>
    <w:uiPriority w:val="99"/>
    <w:semiHidden/>
    <w:unhideWhenUsed/>
    <w:rsid w:val="00B01112"/>
    <w:pPr>
      <w:spacing w:line="240" w:lineRule="auto"/>
    </w:pPr>
    <w:rPr>
      <w:sz w:val="20"/>
      <w:szCs w:val="20"/>
    </w:rPr>
  </w:style>
  <w:style w:type="character" w:customStyle="1" w:styleId="CommentTextChar">
    <w:name w:val="Comment Text Char"/>
    <w:basedOn w:val="DefaultParagraphFont"/>
    <w:link w:val="CommentText"/>
    <w:uiPriority w:val="99"/>
    <w:semiHidden/>
    <w:rsid w:val="00B011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01112"/>
    <w:rPr>
      <w:b/>
      <w:bCs/>
    </w:rPr>
  </w:style>
  <w:style w:type="character" w:customStyle="1" w:styleId="CommentSubjectChar">
    <w:name w:val="Comment Subject Char"/>
    <w:basedOn w:val="CommentTextChar"/>
    <w:link w:val="CommentSubject"/>
    <w:uiPriority w:val="99"/>
    <w:semiHidden/>
    <w:rsid w:val="00B01112"/>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36"/>
      </w:numPr>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503E03"/>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235DEB"/>
    <w:pPr>
      <w:spacing w:after="120"/>
    </w:pPr>
  </w:style>
  <w:style w:type="character" w:customStyle="1" w:styleId="BodyTextChar">
    <w:name w:val="Body Text Char"/>
    <w:basedOn w:val="DefaultParagraphFont"/>
    <w:link w:val="BodyText"/>
    <w:uiPriority w:val="99"/>
    <w:rsid w:val="00235DEB"/>
    <w:rPr>
      <w:rFonts w:ascii="Arial" w:hAnsi="Arial"/>
    </w:rPr>
  </w:style>
  <w:style w:type="paragraph" w:styleId="BlockText">
    <w:name w:val="Block Text"/>
    <w:basedOn w:val="Normal"/>
    <w:uiPriority w:val="99"/>
    <w:unhideWhenUsed/>
    <w:rsid w:val="00503E03"/>
    <w:pPr>
      <w:pBdr>
        <w:top w:val="single" w:sz="2" w:space="10" w:color="2F002F" w:themeColor="accent1" w:frame="1"/>
        <w:left w:val="single" w:sz="2" w:space="10" w:color="2F002F" w:themeColor="accent1" w:frame="1"/>
        <w:bottom w:val="single" w:sz="2" w:space="10" w:color="2F002F" w:themeColor="accent1" w:frame="1"/>
        <w:right w:val="single" w:sz="2" w:space="10" w:color="2F002F" w:themeColor="accent1" w:frame="1"/>
      </w:pBdr>
      <w:ind w:left="1152" w:right="1152"/>
    </w:pPr>
    <w:rPr>
      <w:rFonts w:asciiTheme="minorHAnsi" w:eastAsiaTheme="minorEastAsia" w:hAnsiTheme="minorHAnsi"/>
      <w:i/>
      <w:iCs/>
      <w:color w:val="2F002F" w:themeColor="accent1"/>
    </w:rPr>
  </w:style>
  <w:style w:type="paragraph" w:styleId="NormalWeb">
    <w:name w:val="Normal (Web)"/>
    <w:basedOn w:val="Normal"/>
    <w:uiPriority w:val="99"/>
    <w:semiHidden/>
    <w:unhideWhenUsed/>
    <w:rsid w:val="008F76D6"/>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9279FF"/>
    <w:pPr>
      <w:spacing w:after="120" w:line="480" w:lineRule="auto"/>
      <w:ind w:left="283"/>
    </w:pPr>
  </w:style>
  <w:style w:type="character" w:customStyle="1" w:styleId="BodyTextIndent2Char">
    <w:name w:val="Body Text Indent 2 Char"/>
    <w:basedOn w:val="DefaultParagraphFont"/>
    <w:link w:val="BodyTextIndent2"/>
    <w:uiPriority w:val="99"/>
    <w:rsid w:val="009279FF"/>
    <w:rPr>
      <w:rFonts w:ascii="Arial" w:hAnsi="Arial"/>
    </w:rPr>
  </w:style>
  <w:style w:type="paragraph" w:styleId="PlainText">
    <w:name w:val="Plain Text"/>
    <w:basedOn w:val="Normal"/>
    <w:link w:val="PlainTextChar"/>
    <w:uiPriority w:val="99"/>
    <w:unhideWhenUsed/>
    <w:rsid w:val="009279FF"/>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9279FF"/>
    <w:rPr>
      <w:rFonts w:ascii="Consolas" w:hAnsi="Consolas"/>
      <w:sz w:val="21"/>
      <w:szCs w:val="21"/>
    </w:rPr>
  </w:style>
  <w:style w:type="paragraph" w:styleId="CommentText">
    <w:name w:val="annotation text"/>
    <w:basedOn w:val="Normal"/>
    <w:link w:val="CommentTextChar"/>
    <w:uiPriority w:val="99"/>
    <w:semiHidden/>
    <w:unhideWhenUsed/>
    <w:rsid w:val="00B01112"/>
    <w:pPr>
      <w:spacing w:line="240" w:lineRule="auto"/>
    </w:pPr>
    <w:rPr>
      <w:sz w:val="20"/>
      <w:szCs w:val="20"/>
    </w:rPr>
  </w:style>
  <w:style w:type="character" w:customStyle="1" w:styleId="CommentTextChar">
    <w:name w:val="Comment Text Char"/>
    <w:basedOn w:val="DefaultParagraphFont"/>
    <w:link w:val="CommentText"/>
    <w:uiPriority w:val="99"/>
    <w:semiHidden/>
    <w:rsid w:val="00B011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01112"/>
    <w:rPr>
      <w:b/>
      <w:bCs/>
    </w:rPr>
  </w:style>
  <w:style w:type="character" w:customStyle="1" w:styleId="CommentSubjectChar">
    <w:name w:val="Comment Subject Char"/>
    <w:basedOn w:val="CommentTextChar"/>
    <w:link w:val="CommentSubject"/>
    <w:uiPriority w:val="99"/>
    <w:semiHidden/>
    <w:rsid w:val="00B0111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ERInquiry@AER.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er.gov.au/node/6280"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838A21-2740-4268-A93C-DA31186C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B0016D52</Template>
  <TotalTime>0</TotalTime>
  <Pages>33</Pages>
  <Words>7158</Words>
  <Characters>40804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2015-04-02T01:50:00Z</dcterms:created>
  <dcterms:modified xsi:type="dcterms:W3CDTF">2015-04-02T01:52:00Z</dcterms:modified>
</cp:coreProperties>
</file>