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bookmarkEnd w:id="0" w:displacedByCustomXml="next"/>
    <w:sdt>
      <w:sdtPr>
        <w:id w:val="12275767"/>
        <w:docPartObj>
          <w:docPartGallery w:val="Cover Pages"/>
          <w:docPartUnique/>
        </w:docPartObj>
      </w:sdtPr>
      <w:sdtEndPr>
        <w:rPr>
          <w:rFonts w:eastAsiaTheme="majorEastAsia" w:cstheme="majorBidi"/>
          <w:b/>
          <w:noProof/>
          <w:sz w:val="72"/>
          <w:szCs w:val="72"/>
          <w:lang w:eastAsia="en-AU"/>
        </w:rPr>
      </w:sdtEndPr>
      <w:sdtContent>
        <w:p w:rsidR="009558FF" w:rsidRPr="009558FF" w:rsidRDefault="009558FF" w:rsidP="00951978">
          <w:r w:rsidRPr="009558FF">
            <w:drawing>
              <wp:anchor distT="0" distB="0" distL="114300" distR="114300" simplePos="0" relativeHeight="251659264" behindDoc="1" locked="0" layoutInCell="1" allowOverlap="1" wp14:anchorId="4B9A1692" wp14:editId="7160BF8B">
                <wp:simplePos x="0" y="0"/>
                <wp:positionH relativeFrom="column">
                  <wp:posOffset>-1104900</wp:posOffset>
                </wp:positionH>
                <wp:positionV relativeFrom="paragraph">
                  <wp:posOffset>-927735</wp:posOffset>
                </wp:positionV>
                <wp:extent cx="7591425" cy="10728960"/>
                <wp:effectExtent l="0" t="0" r="9525" b="0"/>
                <wp:wrapNone/>
                <wp:docPr id="2" name="Picture 2" descr="Australian Energy Regulator Report 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ER report front cover_D0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591425" cy="10728960"/>
                        </a:xfrm>
                        <a:prstGeom prst="rect">
                          <a:avLst/>
                        </a:prstGeom>
                        <a:noFill/>
                      </pic:spPr>
                    </pic:pic>
                  </a:graphicData>
                </a:graphic>
                <wp14:sizeRelH relativeFrom="page">
                  <wp14:pctWidth>0</wp14:pctWidth>
                </wp14:sizeRelH>
                <wp14:sizeRelV relativeFrom="page">
                  <wp14:pctHeight>0</wp14:pctHeight>
                </wp14:sizeRelV>
              </wp:anchor>
            </w:drawing>
          </w:r>
        </w:p>
        <w:p w:rsidR="009558FF" w:rsidRPr="009558FF" w:rsidRDefault="009558FF" w:rsidP="00F171E0"/>
        <w:p w:rsidR="009558FF" w:rsidRPr="009558FF" w:rsidRDefault="009558FF" w:rsidP="00F171E0"/>
        <w:p w:rsidR="009558FF" w:rsidRPr="009558FF" w:rsidRDefault="009558FF" w:rsidP="00F171E0"/>
        <w:p w:rsidR="009558FF" w:rsidRPr="009558FF" w:rsidRDefault="009558FF" w:rsidP="00F171E0"/>
        <w:p w:rsidR="009558FF" w:rsidRPr="009558FF" w:rsidRDefault="009558FF" w:rsidP="00F171E0"/>
        <w:p w:rsidR="009558FF" w:rsidRPr="009558FF" w:rsidRDefault="009558FF" w:rsidP="00F171E0"/>
        <w:p w:rsidR="009558FF" w:rsidRPr="009558FF" w:rsidRDefault="009558FF" w:rsidP="00F171E0"/>
        <w:p w:rsidR="009558FF" w:rsidRPr="009558FF" w:rsidRDefault="009558FF" w:rsidP="00F171E0"/>
        <w:p w:rsidR="009558FF" w:rsidRPr="00DB723B" w:rsidRDefault="009558FF" w:rsidP="009558FF">
          <w:pPr>
            <w:pStyle w:val="ReportTitle"/>
          </w:pPr>
          <w:r>
            <w:t>Gas industry RoLR exercise report</w:t>
          </w:r>
        </w:p>
        <w:p w:rsidR="009558FF" w:rsidRPr="00DB723B" w:rsidRDefault="009558FF" w:rsidP="009558FF">
          <w:pPr>
            <w:pStyle w:val="ReportDate"/>
          </w:pPr>
          <w:r>
            <w:t>11 December 2015</w:t>
          </w:r>
        </w:p>
        <w:p w:rsidR="009558FF" w:rsidRPr="009558FF" w:rsidRDefault="009558FF" w:rsidP="009558FF">
          <w:r w:rsidRPr="009558FF">
            <w:br w:type="page"/>
          </w:r>
        </w:p>
        <w:p w:rsidR="009558FF" w:rsidRDefault="009558FF">
          <w:pPr>
            <w:spacing w:line="240" w:lineRule="auto"/>
            <w:rPr>
              <w:rFonts w:eastAsiaTheme="majorEastAsia" w:cstheme="majorBidi"/>
              <w:b/>
              <w:noProof/>
              <w:sz w:val="72"/>
              <w:szCs w:val="72"/>
              <w:lang w:eastAsia="en-AU"/>
            </w:rPr>
          </w:pPr>
        </w:p>
      </w:sdtContent>
    </w:sdt>
    <w:p w:rsidR="000A6C7B" w:rsidRPr="002B771B" w:rsidRDefault="000A6C7B" w:rsidP="002B771B">
      <w:pPr>
        <w:pStyle w:val="Copyright"/>
        <w:rPr>
          <w:rFonts w:eastAsiaTheme="majorEastAsia" w:cstheme="majorBidi"/>
          <w:b/>
          <w:noProof/>
          <w:sz w:val="72"/>
          <w:szCs w:val="72"/>
          <w:lang w:eastAsia="en-AU"/>
        </w:rPr>
      </w:pPr>
      <w:r>
        <w:t>© Commonwealth of Australia 201</w:t>
      </w:r>
      <w:r w:rsidR="00D81EF4">
        <w:t>5</w:t>
      </w:r>
    </w:p>
    <w:p w:rsidR="000A6C7B" w:rsidRDefault="000A6C7B" w:rsidP="000A6C7B">
      <w:pPr>
        <w:pStyle w:val="Copyright"/>
      </w:pPr>
      <w:r>
        <w:t>This work is copyright. In addition to any use permitted under the Copyright Act 1968, all material contained within this work is provided under a Creative Commons Attributions 3.0 Australia licence, with the exception of:</w:t>
      </w:r>
    </w:p>
    <w:p w:rsidR="000A6C7B" w:rsidRDefault="000A6C7B" w:rsidP="00185CB9">
      <w:pPr>
        <w:pStyle w:val="StyleCopyrightBefore0pt"/>
        <w:numPr>
          <w:ilvl w:val="0"/>
          <w:numId w:val="27"/>
        </w:numPr>
      </w:pPr>
      <w:r>
        <w:t>the Commonwealth Coat of Arms</w:t>
      </w:r>
    </w:p>
    <w:p w:rsidR="000A6C7B" w:rsidRDefault="000A6C7B" w:rsidP="00185CB9">
      <w:pPr>
        <w:pStyle w:val="StyleCopyrightBefore0pt"/>
        <w:numPr>
          <w:ilvl w:val="0"/>
          <w:numId w:val="27"/>
        </w:numPr>
      </w:pPr>
      <w:r>
        <w:t>the ACCC and AER logos</w:t>
      </w:r>
    </w:p>
    <w:p w:rsidR="000A6C7B" w:rsidRPr="00B927D8" w:rsidRDefault="000A6C7B" w:rsidP="00B927D8">
      <w:pPr>
        <w:pStyle w:val="ListBullet"/>
        <w:numPr>
          <w:ilvl w:val="0"/>
          <w:numId w:val="27"/>
        </w:numPr>
        <w:rPr>
          <w:sz w:val="20"/>
          <w:szCs w:val="20"/>
        </w:rPr>
      </w:pPr>
      <w:r w:rsidRPr="007A4D1F">
        <w:rPr>
          <w:sz w:val="20"/>
          <w:szCs w:val="20"/>
        </w:rPr>
        <w:t>any illustration, diagram, photograph or graphic over which the Australian Competition and Consumer Commission does not hold copyright, but which may be part of or contained within this publication. The details of the relevant licence conditions are available on the Creative Commons website, as is the full legal code for the CC BY 3.0 AU licence.</w:t>
      </w:r>
    </w:p>
    <w:p w:rsidR="000A6C7B" w:rsidRDefault="000A6C7B" w:rsidP="000A6C7B">
      <w:pPr>
        <w:pStyle w:val="Copyright"/>
      </w:pPr>
      <w:r>
        <w:t xml:space="preserve">Requests and inquiries concerning reproduction and rights should be addressed to the </w:t>
      </w:r>
      <w:r w:rsidR="007A4D1F">
        <w:br/>
      </w:r>
      <w:r>
        <w:t xml:space="preserve">Director, Corporate Communications, </w:t>
      </w:r>
      <w:r w:rsidR="007A4D1F">
        <w:br/>
      </w:r>
      <w:r>
        <w:t xml:space="preserve">Australian Competition and Consumer Commission, </w:t>
      </w:r>
      <w:r w:rsidR="007A4D1F">
        <w:br/>
      </w:r>
      <w:r>
        <w:t xml:space="preserve">GPO Box 4141, </w:t>
      </w:r>
      <w:r w:rsidR="007A4D1F">
        <w:br/>
      </w:r>
      <w:r>
        <w:t xml:space="preserve">Canberra ACT 2601 </w:t>
      </w:r>
      <w:r w:rsidR="007A4D1F">
        <w:br/>
      </w:r>
      <w:r>
        <w:t>or publishing.unit@accc.gov.au.</w:t>
      </w:r>
    </w:p>
    <w:p w:rsidR="00951978" w:rsidRDefault="000A6C7B" w:rsidP="00A02A88">
      <w:pPr>
        <w:pStyle w:val="Copyright"/>
      </w:pPr>
      <w:r>
        <w:t>Inquiries about this publication should be addressed to:</w:t>
      </w:r>
    </w:p>
    <w:p w:rsidR="000A6C7B" w:rsidRDefault="000A6C7B" w:rsidP="000A6C7B">
      <w:pPr>
        <w:pStyle w:val="Copyright"/>
      </w:pPr>
      <w:r>
        <w:t xml:space="preserve">Australian Energy </w:t>
      </w:r>
      <w:r w:rsidRPr="00F171E0">
        <w:t>Regulator</w:t>
      </w:r>
      <w:r w:rsidR="00951978">
        <w:br/>
      </w:r>
      <w:r>
        <w:t>GPO Box 520</w:t>
      </w:r>
      <w:r w:rsidR="00951978">
        <w:br/>
      </w:r>
      <w:r>
        <w:t>Melbourne</w:t>
      </w:r>
      <w:r w:rsidR="002B771B">
        <w:t xml:space="preserve"> </w:t>
      </w:r>
      <w:r>
        <w:t>Vic</w:t>
      </w:r>
      <w:r w:rsidR="002B771B">
        <w:t xml:space="preserve"> </w:t>
      </w:r>
      <w:r>
        <w:t>3001</w:t>
      </w:r>
    </w:p>
    <w:p w:rsidR="000A6C7B" w:rsidRDefault="000A6C7B" w:rsidP="000A6C7B">
      <w:pPr>
        <w:pStyle w:val="Copyright"/>
      </w:pPr>
      <w:r>
        <w:t>Tel: (03) 9290 1444</w:t>
      </w:r>
      <w:r w:rsidR="00951978">
        <w:br/>
      </w:r>
      <w:r>
        <w:t>Fax: (03) 9290 1457</w:t>
      </w:r>
    </w:p>
    <w:p w:rsidR="000A6C7B" w:rsidRPr="00951978" w:rsidRDefault="000A6C7B" w:rsidP="000A6C7B">
      <w:pPr>
        <w:pStyle w:val="Copyright"/>
        <w:rPr>
          <w:color w:val="0000FF"/>
          <w:sz w:val="22"/>
          <w:u w:val="single"/>
        </w:rPr>
      </w:pPr>
      <w:r>
        <w:t xml:space="preserve">Email: </w:t>
      </w:r>
      <w:hyperlink r:id="rId11" w:history="1">
        <w:r w:rsidRPr="00D64888">
          <w:rPr>
            <w:rStyle w:val="Hyperlink"/>
          </w:rPr>
          <w:t>AERInquiry@aer.gov.au</w:t>
        </w:r>
      </w:hyperlink>
      <w:r w:rsidR="00951978">
        <w:rPr>
          <w:rStyle w:val="Hyperlink"/>
        </w:rPr>
        <w:br/>
      </w:r>
      <w:r>
        <w:t xml:space="preserve">AER Reference: </w:t>
      </w:r>
      <w:r w:rsidR="00F00C63">
        <w:t>51929</w:t>
      </w:r>
      <w:r w:rsidR="007A2A78">
        <w:t>-</w:t>
      </w:r>
      <w:r w:rsidR="00FC34F6">
        <w:t>D15/</w:t>
      </w:r>
      <w:r w:rsidR="00480F3A">
        <w:t>163155</w:t>
      </w:r>
    </w:p>
    <w:p w:rsidR="000A6C7B" w:rsidRDefault="000A6C7B" w:rsidP="000A6C7B"/>
    <w:p w:rsidR="000A6C7B" w:rsidRPr="00C569B4" w:rsidRDefault="000A6C7B" w:rsidP="000A6C7B">
      <w:r w:rsidRPr="00C569B4">
        <w:t>Amendment Record</w:t>
      </w:r>
    </w:p>
    <w:tbl>
      <w:tblPr>
        <w:tblStyle w:val="AERTable-Text"/>
        <w:tblW w:w="0" w:type="auto"/>
        <w:tblLook w:val="04A0" w:firstRow="1" w:lastRow="0" w:firstColumn="1" w:lastColumn="0" w:noHBand="0" w:noVBand="1"/>
      </w:tblPr>
      <w:tblGrid>
        <w:gridCol w:w="2901"/>
        <w:gridCol w:w="2906"/>
        <w:gridCol w:w="2886"/>
      </w:tblGrid>
      <w:tr w:rsidR="000A6C7B" w:rsidTr="006E6C3F">
        <w:trPr>
          <w:cnfStyle w:val="100000000000" w:firstRow="1" w:lastRow="0" w:firstColumn="0" w:lastColumn="0" w:oddVBand="0" w:evenVBand="0" w:oddHBand="0" w:evenHBand="0" w:firstRowFirstColumn="0" w:firstRowLastColumn="0" w:lastRowFirstColumn="0" w:lastRowLastColumn="0"/>
        </w:trPr>
        <w:tc>
          <w:tcPr>
            <w:tcW w:w="3080" w:type="dxa"/>
          </w:tcPr>
          <w:p w:rsidR="000A6C7B" w:rsidRDefault="000A6C7B" w:rsidP="00FE3C32">
            <w:r>
              <w:t>Version</w:t>
            </w:r>
          </w:p>
        </w:tc>
        <w:tc>
          <w:tcPr>
            <w:tcW w:w="3081" w:type="dxa"/>
          </w:tcPr>
          <w:p w:rsidR="000A6C7B" w:rsidRDefault="000A6C7B" w:rsidP="00FE3C32">
            <w:r>
              <w:t>Date</w:t>
            </w:r>
          </w:p>
        </w:tc>
        <w:tc>
          <w:tcPr>
            <w:tcW w:w="3081" w:type="dxa"/>
          </w:tcPr>
          <w:p w:rsidR="000A6C7B" w:rsidRDefault="000A6C7B" w:rsidP="00FE3C32">
            <w:r>
              <w:t>Pages</w:t>
            </w:r>
          </w:p>
        </w:tc>
      </w:tr>
      <w:tr w:rsidR="000A6C7B" w:rsidTr="006E6C3F">
        <w:tc>
          <w:tcPr>
            <w:tcW w:w="3080" w:type="dxa"/>
          </w:tcPr>
          <w:p w:rsidR="000A6C7B" w:rsidRDefault="00FC34F6" w:rsidP="006E6C3F">
            <w:pPr>
              <w:spacing w:before="0" w:after="200"/>
            </w:pPr>
            <w:r>
              <w:t>1.0</w:t>
            </w:r>
          </w:p>
        </w:tc>
        <w:tc>
          <w:tcPr>
            <w:tcW w:w="3081" w:type="dxa"/>
          </w:tcPr>
          <w:p w:rsidR="000A6C7B" w:rsidRDefault="006F69A7" w:rsidP="006F69A7">
            <w:pPr>
              <w:spacing w:before="0" w:after="200"/>
            </w:pPr>
            <w:r>
              <w:t xml:space="preserve">11 December </w:t>
            </w:r>
            <w:r w:rsidR="00FC34F6">
              <w:t>2015</w:t>
            </w:r>
          </w:p>
        </w:tc>
        <w:tc>
          <w:tcPr>
            <w:tcW w:w="3081" w:type="dxa"/>
          </w:tcPr>
          <w:p w:rsidR="000A6C7B" w:rsidRDefault="00A8146C" w:rsidP="006E6C3F">
            <w:pPr>
              <w:spacing w:before="0" w:after="200"/>
            </w:pPr>
            <w:r>
              <w:t>10</w:t>
            </w:r>
          </w:p>
        </w:tc>
      </w:tr>
      <w:tr w:rsidR="000A6C7B" w:rsidTr="006E6C3F">
        <w:trPr>
          <w:cnfStyle w:val="000000010000" w:firstRow="0" w:lastRow="0" w:firstColumn="0" w:lastColumn="0" w:oddVBand="0" w:evenVBand="0" w:oddHBand="0" w:evenHBand="1" w:firstRowFirstColumn="0" w:firstRowLastColumn="0" w:lastRowFirstColumn="0" w:lastRowLastColumn="0"/>
        </w:trPr>
        <w:tc>
          <w:tcPr>
            <w:tcW w:w="3080" w:type="dxa"/>
          </w:tcPr>
          <w:p w:rsidR="000A6C7B" w:rsidRDefault="000A6C7B" w:rsidP="006E6C3F">
            <w:pPr>
              <w:spacing w:before="0" w:after="200"/>
            </w:pPr>
          </w:p>
        </w:tc>
        <w:tc>
          <w:tcPr>
            <w:tcW w:w="3081" w:type="dxa"/>
          </w:tcPr>
          <w:p w:rsidR="000A6C7B" w:rsidRDefault="000A6C7B" w:rsidP="006E6C3F">
            <w:pPr>
              <w:spacing w:before="0" w:after="200"/>
            </w:pPr>
          </w:p>
        </w:tc>
        <w:tc>
          <w:tcPr>
            <w:tcW w:w="3081" w:type="dxa"/>
          </w:tcPr>
          <w:p w:rsidR="000A6C7B" w:rsidRDefault="000A6C7B" w:rsidP="006E6C3F">
            <w:pPr>
              <w:spacing w:before="0" w:after="200"/>
            </w:pPr>
          </w:p>
        </w:tc>
      </w:tr>
    </w:tbl>
    <w:p w:rsidR="000A6C7B" w:rsidRDefault="000A6C7B" w:rsidP="009D6B46"/>
    <w:p w:rsidR="002010BC" w:rsidRDefault="002010BC">
      <w:pPr>
        <w:spacing w:line="240" w:lineRule="auto"/>
      </w:pPr>
      <w:r>
        <w:br w:type="page"/>
      </w:r>
    </w:p>
    <w:p w:rsidR="002010BC" w:rsidRDefault="002010BC" w:rsidP="00DB5074"/>
    <w:p w:rsidR="002010BC" w:rsidRDefault="00A75077" w:rsidP="00A75077">
      <w:pPr>
        <w:pStyle w:val="TOCHeading"/>
      </w:pPr>
      <w:r>
        <w:t>Contents</w:t>
      </w:r>
    </w:p>
    <w:p w:rsidR="00EB1B3B" w:rsidRDefault="00A75077">
      <w:pPr>
        <w:pStyle w:val="TOC1"/>
        <w:rPr>
          <w:rFonts w:asciiTheme="minorHAnsi" w:eastAsiaTheme="minorEastAsia" w:hAnsiTheme="minorHAnsi"/>
          <w:b w:val="0"/>
          <w:color w:val="auto"/>
          <w:sz w:val="22"/>
          <w:lang w:val="en-AU" w:eastAsia="en-AU"/>
        </w:rPr>
      </w:pPr>
      <w:r>
        <w:fldChar w:fldCharType="begin"/>
      </w:r>
      <w:r>
        <w:instrText xml:space="preserve"> TOC \o "1-3" \h \z \u </w:instrText>
      </w:r>
      <w:r>
        <w:fldChar w:fldCharType="separate"/>
      </w:r>
      <w:hyperlink w:anchor="_Toc435186159" w:history="1">
        <w:r w:rsidR="00EB1B3B" w:rsidRPr="000078DD">
          <w:rPr>
            <w:rStyle w:val="Hyperlink"/>
          </w:rPr>
          <w:t>1</w:t>
        </w:r>
        <w:r w:rsidR="00EB1B3B">
          <w:rPr>
            <w:rFonts w:asciiTheme="minorHAnsi" w:eastAsiaTheme="minorEastAsia" w:hAnsiTheme="minorHAnsi"/>
            <w:b w:val="0"/>
            <w:color w:val="auto"/>
            <w:sz w:val="22"/>
            <w:lang w:val="en-AU" w:eastAsia="en-AU"/>
          </w:rPr>
          <w:tab/>
        </w:r>
        <w:r w:rsidR="00EB1B3B" w:rsidRPr="000078DD">
          <w:rPr>
            <w:rStyle w:val="Hyperlink"/>
          </w:rPr>
          <w:t>Background</w:t>
        </w:r>
        <w:r w:rsidR="00EB1B3B">
          <w:rPr>
            <w:webHidden/>
          </w:rPr>
          <w:tab/>
        </w:r>
        <w:r w:rsidR="00EB1B3B">
          <w:rPr>
            <w:webHidden/>
          </w:rPr>
          <w:fldChar w:fldCharType="begin"/>
        </w:r>
        <w:r w:rsidR="00EB1B3B">
          <w:rPr>
            <w:webHidden/>
          </w:rPr>
          <w:instrText xml:space="preserve"> PAGEREF _Toc435186159 \h </w:instrText>
        </w:r>
        <w:r w:rsidR="00EB1B3B">
          <w:rPr>
            <w:webHidden/>
          </w:rPr>
        </w:r>
        <w:r w:rsidR="00EB1B3B">
          <w:rPr>
            <w:webHidden/>
          </w:rPr>
          <w:fldChar w:fldCharType="separate"/>
        </w:r>
        <w:r w:rsidR="009558FF">
          <w:rPr>
            <w:webHidden/>
          </w:rPr>
          <w:t>1</w:t>
        </w:r>
        <w:r w:rsidR="00EB1B3B">
          <w:rPr>
            <w:webHidden/>
          </w:rPr>
          <w:fldChar w:fldCharType="end"/>
        </w:r>
      </w:hyperlink>
    </w:p>
    <w:p w:rsidR="00EB1B3B" w:rsidRDefault="00D01334">
      <w:pPr>
        <w:pStyle w:val="TOC2"/>
        <w:rPr>
          <w:rFonts w:asciiTheme="minorHAnsi" w:eastAsiaTheme="minorEastAsia" w:hAnsiTheme="minorHAnsi"/>
          <w:b w:val="0"/>
          <w:color w:val="auto"/>
          <w:sz w:val="22"/>
          <w:lang w:eastAsia="en-AU"/>
        </w:rPr>
      </w:pPr>
      <w:hyperlink w:anchor="_Toc435186160" w:history="1">
        <w:r w:rsidR="00EB1B3B" w:rsidRPr="000078DD">
          <w:rPr>
            <w:rStyle w:val="Hyperlink"/>
          </w:rPr>
          <w:t>1.1</w:t>
        </w:r>
        <w:r w:rsidR="00EB1B3B">
          <w:rPr>
            <w:rFonts w:asciiTheme="minorHAnsi" w:eastAsiaTheme="minorEastAsia" w:hAnsiTheme="minorHAnsi"/>
            <w:b w:val="0"/>
            <w:color w:val="auto"/>
            <w:sz w:val="22"/>
            <w:lang w:eastAsia="en-AU"/>
          </w:rPr>
          <w:tab/>
        </w:r>
        <w:r w:rsidR="00EB1B3B" w:rsidRPr="000078DD">
          <w:rPr>
            <w:rStyle w:val="Hyperlink"/>
          </w:rPr>
          <w:t>National Energy Retail Law RoLR provisions</w:t>
        </w:r>
        <w:r w:rsidR="00EB1B3B">
          <w:rPr>
            <w:webHidden/>
          </w:rPr>
          <w:tab/>
        </w:r>
        <w:r w:rsidR="00EB1B3B">
          <w:rPr>
            <w:webHidden/>
          </w:rPr>
          <w:fldChar w:fldCharType="begin"/>
        </w:r>
        <w:r w:rsidR="00EB1B3B">
          <w:rPr>
            <w:webHidden/>
          </w:rPr>
          <w:instrText xml:space="preserve"> PAGEREF _Toc435186160 \h </w:instrText>
        </w:r>
        <w:r w:rsidR="00EB1B3B">
          <w:rPr>
            <w:webHidden/>
          </w:rPr>
        </w:r>
        <w:r w:rsidR="00EB1B3B">
          <w:rPr>
            <w:webHidden/>
          </w:rPr>
          <w:fldChar w:fldCharType="separate"/>
        </w:r>
        <w:r w:rsidR="009558FF">
          <w:rPr>
            <w:webHidden/>
          </w:rPr>
          <w:t>1</w:t>
        </w:r>
        <w:r w:rsidR="00EB1B3B">
          <w:rPr>
            <w:webHidden/>
          </w:rPr>
          <w:fldChar w:fldCharType="end"/>
        </w:r>
      </w:hyperlink>
    </w:p>
    <w:p w:rsidR="00EB1B3B" w:rsidRDefault="00D01334">
      <w:pPr>
        <w:pStyle w:val="TOC2"/>
        <w:rPr>
          <w:rFonts w:asciiTheme="minorHAnsi" w:eastAsiaTheme="minorEastAsia" w:hAnsiTheme="minorHAnsi"/>
          <w:b w:val="0"/>
          <w:color w:val="auto"/>
          <w:sz w:val="22"/>
          <w:lang w:eastAsia="en-AU"/>
        </w:rPr>
      </w:pPr>
      <w:hyperlink w:anchor="_Toc435186161" w:history="1">
        <w:r w:rsidR="00EB1B3B" w:rsidRPr="000078DD">
          <w:rPr>
            <w:rStyle w:val="Hyperlink"/>
          </w:rPr>
          <w:t>1.2</w:t>
        </w:r>
        <w:r w:rsidR="00EB1B3B">
          <w:rPr>
            <w:rFonts w:asciiTheme="minorHAnsi" w:eastAsiaTheme="minorEastAsia" w:hAnsiTheme="minorHAnsi"/>
            <w:b w:val="0"/>
            <w:color w:val="auto"/>
            <w:sz w:val="22"/>
            <w:lang w:eastAsia="en-AU"/>
          </w:rPr>
          <w:tab/>
        </w:r>
        <w:r w:rsidR="00EB1B3B" w:rsidRPr="000078DD">
          <w:rPr>
            <w:rStyle w:val="Hyperlink"/>
          </w:rPr>
          <w:t>Participants in the gas industry RoLR exercise</w:t>
        </w:r>
        <w:r w:rsidR="00EB1B3B">
          <w:rPr>
            <w:webHidden/>
          </w:rPr>
          <w:tab/>
        </w:r>
        <w:r w:rsidR="00EB1B3B">
          <w:rPr>
            <w:webHidden/>
          </w:rPr>
          <w:fldChar w:fldCharType="begin"/>
        </w:r>
        <w:r w:rsidR="00EB1B3B">
          <w:rPr>
            <w:webHidden/>
          </w:rPr>
          <w:instrText xml:space="preserve"> PAGEREF _Toc435186161 \h </w:instrText>
        </w:r>
        <w:r w:rsidR="00EB1B3B">
          <w:rPr>
            <w:webHidden/>
          </w:rPr>
        </w:r>
        <w:r w:rsidR="00EB1B3B">
          <w:rPr>
            <w:webHidden/>
          </w:rPr>
          <w:fldChar w:fldCharType="separate"/>
        </w:r>
        <w:r w:rsidR="009558FF">
          <w:rPr>
            <w:webHidden/>
          </w:rPr>
          <w:t>1</w:t>
        </w:r>
        <w:r w:rsidR="00EB1B3B">
          <w:rPr>
            <w:webHidden/>
          </w:rPr>
          <w:fldChar w:fldCharType="end"/>
        </w:r>
      </w:hyperlink>
    </w:p>
    <w:p w:rsidR="00EB1B3B" w:rsidRDefault="00D01334">
      <w:pPr>
        <w:pStyle w:val="TOC2"/>
        <w:rPr>
          <w:rFonts w:asciiTheme="minorHAnsi" w:eastAsiaTheme="minorEastAsia" w:hAnsiTheme="minorHAnsi"/>
          <w:b w:val="0"/>
          <w:color w:val="auto"/>
          <w:sz w:val="22"/>
          <w:lang w:eastAsia="en-AU"/>
        </w:rPr>
      </w:pPr>
      <w:hyperlink w:anchor="_Toc435186162" w:history="1">
        <w:r w:rsidR="00EB1B3B" w:rsidRPr="000078DD">
          <w:rPr>
            <w:rStyle w:val="Hyperlink"/>
          </w:rPr>
          <w:t>1.3</w:t>
        </w:r>
        <w:r w:rsidR="00EB1B3B">
          <w:rPr>
            <w:rFonts w:asciiTheme="minorHAnsi" w:eastAsiaTheme="minorEastAsia" w:hAnsiTheme="minorHAnsi"/>
            <w:b w:val="0"/>
            <w:color w:val="auto"/>
            <w:sz w:val="22"/>
            <w:lang w:eastAsia="en-AU"/>
          </w:rPr>
          <w:tab/>
        </w:r>
        <w:r w:rsidR="00EB1B3B" w:rsidRPr="000078DD">
          <w:rPr>
            <w:rStyle w:val="Hyperlink"/>
          </w:rPr>
          <w:t>Purpose of the gas industry RoLR exercise</w:t>
        </w:r>
        <w:r w:rsidR="00EB1B3B">
          <w:rPr>
            <w:webHidden/>
          </w:rPr>
          <w:tab/>
        </w:r>
        <w:r w:rsidR="00EB1B3B">
          <w:rPr>
            <w:webHidden/>
          </w:rPr>
          <w:fldChar w:fldCharType="begin"/>
        </w:r>
        <w:r w:rsidR="00EB1B3B">
          <w:rPr>
            <w:webHidden/>
          </w:rPr>
          <w:instrText xml:space="preserve"> PAGEREF _Toc435186162 \h </w:instrText>
        </w:r>
        <w:r w:rsidR="00EB1B3B">
          <w:rPr>
            <w:webHidden/>
          </w:rPr>
        </w:r>
        <w:r w:rsidR="00EB1B3B">
          <w:rPr>
            <w:webHidden/>
          </w:rPr>
          <w:fldChar w:fldCharType="separate"/>
        </w:r>
        <w:r w:rsidR="009558FF">
          <w:rPr>
            <w:webHidden/>
          </w:rPr>
          <w:t>1</w:t>
        </w:r>
        <w:r w:rsidR="00EB1B3B">
          <w:rPr>
            <w:webHidden/>
          </w:rPr>
          <w:fldChar w:fldCharType="end"/>
        </w:r>
      </w:hyperlink>
    </w:p>
    <w:p w:rsidR="00EB1B3B" w:rsidRDefault="00D01334">
      <w:pPr>
        <w:pStyle w:val="TOC2"/>
        <w:rPr>
          <w:rFonts w:asciiTheme="minorHAnsi" w:eastAsiaTheme="minorEastAsia" w:hAnsiTheme="minorHAnsi"/>
          <w:b w:val="0"/>
          <w:color w:val="auto"/>
          <w:sz w:val="22"/>
          <w:lang w:eastAsia="en-AU"/>
        </w:rPr>
      </w:pPr>
      <w:hyperlink w:anchor="_Toc435186163" w:history="1">
        <w:r w:rsidR="00EB1B3B" w:rsidRPr="000078DD">
          <w:rPr>
            <w:rStyle w:val="Hyperlink"/>
          </w:rPr>
          <w:t>1.4</w:t>
        </w:r>
        <w:r w:rsidR="00EB1B3B">
          <w:rPr>
            <w:rFonts w:asciiTheme="minorHAnsi" w:eastAsiaTheme="minorEastAsia" w:hAnsiTheme="minorHAnsi"/>
            <w:b w:val="0"/>
            <w:color w:val="auto"/>
            <w:sz w:val="22"/>
            <w:lang w:eastAsia="en-AU"/>
          </w:rPr>
          <w:tab/>
        </w:r>
        <w:r w:rsidR="00EB1B3B" w:rsidRPr="000078DD">
          <w:rPr>
            <w:rStyle w:val="Hyperlink"/>
          </w:rPr>
          <w:t>Scenario for the gas industry RoLR exercise</w:t>
        </w:r>
        <w:r w:rsidR="00EB1B3B">
          <w:rPr>
            <w:webHidden/>
          </w:rPr>
          <w:tab/>
        </w:r>
        <w:r w:rsidR="00EB1B3B">
          <w:rPr>
            <w:webHidden/>
          </w:rPr>
          <w:fldChar w:fldCharType="begin"/>
        </w:r>
        <w:r w:rsidR="00EB1B3B">
          <w:rPr>
            <w:webHidden/>
          </w:rPr>
          <w:instrText xml:space="preserve"> PAGEREF _Toc435186163 \h </w:instrText>
        </w:r>
        <w:r w:rsidR="00EB1B3B">
          <w:rPr>
            <w:webHidden/>
          </w:rPr>
        </w:r>
        <w:r w:rsidR="00EB1B3B">
          <w:rPr>
            <w:webHidden/>
          </w:rPr>
          <w:fldChar w:fldCharType="separate"/>
        </w:r>
        <w:r w:rsidR="009558FF">
          <w:rPr>
            <w:webHidden/>
          </w:rPr>
          <w:t>2</w:t>
        </w:r>
        <w:r w:rsidR="00EB1B3B">
          <w:rPr>
            <w:webHidden/>
          </w:rPr>
          <w:fldChar w:fldCharType="end"/>
        </w:r>
      </w:hyperlink>
    </w:p>
    <w:p w:rsidR="00EB1B3B" w:rsidRDefault="00D01334">
      <w:pPr>
        <w:pStyle w:val="TOC2"/>
        <w:rPr>
          <w:rFonts w:asciiTheme="minorHAnsi" w:eastAsiaTheme="minorEastAsia" w:hAnsiTheme="minorHAnsi"/>
          <w:b w:val="0"/>
          <w:color w:val="auto"/>
          <w:sz w:val="22"/>
          <w:lang w:eastAsia="en-AU"/>
        </w:rPr>
      </w:pPr>
      <w:hyperlink w:anchor="_Toc435186164" w:history="1">
        <w:r w:rsidR="00EB1B3B" w:rsidRPr="000078DD">
          <w:rPr>
            <w:rStyle w:val="Hyperlink"/>
          </w:rPr>
          <w:t>1.5</w:t>
        </w:r>
        <w:r w:rsidR="00EB1B3B">
          <w:rPr>
            <w:rFonts w:asciiTheme="minorHAnsi" w:eastAsiaTheme="minorEastAsia" w:hAnsiTheme="minorHAnsi"/>
            <w:b w:val="0"/>
            <w:color w:val="auto"/>
            <w:sz w:val="22"/>
            <w:lang w:eastAsia="en-AU"/>
          </w:rPr>
          <w:tab/>
        </w:r>
        <w:r w:rsidR="00EB1B3B" w:rsidRPr="000078DD">
          <w:rPr>
            <w:rStyle w:val="Hyperlink"/>
          </w:rPr>
          <w:t>Sequence of the exercise</w:t>
        </w:r>
        <w:r w:rsidR="00EB1B3B">
          <w:rPr>
            <w:webHidden/>
          </w:rPr>
          <w:tab/>
        </w:r>
        <w:r w:rsidR="00EB1B3B">
          <w:rPr>
            <w:webHidden/>
          </w:rPr>
          <w:fldChar w:fldCharType="begin"/>
        </w:r>
        <w:r w:rsidR="00EB1B3B">
          <w:rPr>
            <w:webHidden/>
          </w:rPr>
          <w:instrText xml:space="preserve"> PAGEREF _Toc435186164 \h </w:instrText>
        </w:r>
        <w:r w:rsidR="00EB1B3B">
          <w:rPr>
            <w:webHidden/>
          </w:rPr>
        </w:r>
        <w:r w:rsidR="00EB1B3B">
          <w:rPr>
            <w:webHidden/>
          </w:rPr>
          <w:fldChar w:fldCharType="separate"/>
        </w:r>
        <w:r w:rsidR="009558FF">
          <w:rPr>
            <w:webHidden/>
          </w:rPr>
          <w:t>3</w:t>
        </w:r>
        <w:r w:rsidR="00EB1B3B">
          <w:rPr>
            <w:webHidden/>
          </w:rPr>
          <w:fldChar w:fldCharType="end"/>
        </w:r>
      </w:hyperlink>
    </w:p>
    <w:p w:rsidR="00EB1B3B" w:rsidRDefault="00D01334">
      <w:pPr>
        <w:pStyle w:val="TOC1"/>
        <w:rPr>
          <w:rFonts w:asciiTheme="minorHAnsi" w:eastAsiaTheme="minorEastAsia" w:hAnsiTheme="minorHAnsi"/>
          <w:b w:val="0"/>
          <w:color w:val="auto"/>
          <w:sz w:val="22"/>
          <w:lang w:val="en-AU" w:eastAsia="en-AU"/>
        </w:rPr>
      </w:pPr>
      <w:hyperlink w:anchor="_Toc435186165" w:history="1">
        <w:r w:rsidR="00EB1B3B" w:rsidRPr="000078DD">
          <w:rPr>
            <w:rStyle w:val="Hyperlink"/>
          </w:rPr>
          <w:t>2</w:t>
        </w:r>
        <w:r w:rsidR="00EB1B3B">
          <w:rPr>
            <w:rFonts w:asciiTheme="minorHAnsi" w:eastAsiaTheme="minorEastAsia" w:hAnsiTheme="minorHAnsi"/>
            <w:b w:val="0"/>
            <w:color w:val="auto"/>
            <w:sz w:val="22"/>
            <w:lang w:val="en-AU" w:eastAsia="en-AU"/>
          </w:rPr>
          <w:tab/>
        </w:r>
        <w:r w:rsidR="00EB1B3B" w:rsidRPr="000078DD">
          <w:rPr>
            <w:rStyle w:val="Hyperlink"/>
          </w:rPr>
          <w:t>Communications and documentation covered by the exercise</w:t>
        </w:r>
        <w:r w:rsidR="00EB1B3B">
          <w:rPr>
            <w:webHidden/>
          </w:rPr>
          <w:tab/>
        </w:r>
        <w:r w:rsidR="00EB1B3B">
          <w:rPr>
            <w:webHidden/>
          </w:rPr>
          <w:fldChar w:fldCharType="begin"/>
        </w:r>
        <w:r w:rsidR="00EB1B3B">
          <w:rPr>
            <w:webHidden/>
          </w:rPr>
          <w:instrText xml:space="preserve"> PAGEREF _Toc435186165 \h </w:instrText>
        </w:r>
        <w:r w:rsidR="00EB1B3B">
          <w:rPr>
            <w:webHidden/>
          </w:rPr>
        </w:r>
        <w:r w:rsidR="00EB1B3B">
          <w:rPr>
            <w:webHidden/>
          </w:rPr>
          <w:fldChar w:fldCharType="separate"/>
        </w:r>
        <w:r w:rsidR="009558FF">
          <w:rPr>
            <w:webHidden/>
          </w:rPr>
          <w:t>4</w:t>
        </w:r>
        <w:r w:rsidR="00EB1B3B">
          <w:rPr>
            <w:webHidden/>
          </w:rPr>
          <w:fldChar w:fldCharType="end"/>
        </w:r>
      </w:hyperlink>
    </w:p>
    <w:p w:rsidR="00EB1B3B" w:rsidRDefault="00D01334">
      <w:pPr>
        <w:pStyle w:val="TOC1"/>
        <w:rPr>
          <w:rFonts w:asciiTheme="minorHAnsi" w:eastAsiaTheme="minorEastAsia" w:hAnsiTheme="minorHAnsi"/>
          <w:b w:val="0"/>
          <w:color w:val="auto"/>
          <w:sz w:val="22"/>
          <w:lang w:val="en-AU" w:eastAsia="en-AU"/>
        </w:rPr>
      </w:pPr>
      <w:hyperlink w:anchor="_Toc435186166" w:history="1">
        <w:r w:rsidR="00EB1B3B" w:rsidRPr="000078DD">
          <w:rPr>
            <w:rStyle w:val="Hyperlink"/>
          </w:rPr>
          <w:t>3</w:t>
        </w:r>
        <w:r w:rsidR="00EB1B3B">
          <w:rPr>
            <w:rFonts w:asciiTheme="minorHAnsi" w:eastAsiaTheme="minorEastAsia" w:hAnsiTheme="minorHAnsi"/>
            <w:b w:val="0"/>
            <w:color w:val="auto"/>
            <w:sz w:val="22"/>
            <w:lang w:val="en-AU" w:eastAsia="en-AU"/>
          </w:rPr>
          <w:tab/>
        </w:r>
        <w:r w:rsidR="00EB1B3B" w:rsidRPr="000078DD">
          <w:rPr>
            <w:rStyle w:val="Hyperlink"/>
          </w:rPr>
          <w:t>Feedback received from RoLR Plan participants on the exercise</w:t>
        </w:r>
        <w:r w:rsidR="00EB1B3B">
          <w:rPr>
            <w:webHidden/>
          </w:rPr>
          <w:tab/>
        </w:r>
        <w:r w:rsidR="00EB1B3B">
          <w:rPr>
            <w:webHidden/>
          </w:rPr>
          <w:fldChar w:fldCharType="begin"/>
        </w:r>
        <w:r w:rsidR="00EB1B3B">
          <w:rPr>
            <w:webHidden/>
          </w:rPr>
          <w:instrText xml:space="preserve"> PAGEREF _Toc435186166 \h </w:instrText>
        </w:r>
        <w:r w:rsidR="00EB1B3B">
          <w:rPr>
            <w:webHidden/>
          </w:rPr>
        </w:r>
        <w:r w:rsidR="00EB1B3B">
          <w:rPr>
            <w:webHidden/>
          </w:rPr>
          <w:fldChar w:fldCharType="separate"/>
        </w:r>
        <w:r w:rsidR="009558FF">
          <w:rPr>
            <w:webHidden/>
          </w:rPr>
          <w:t>7</w:t>
        </w:r>
        <w:r w:rsidR="00EB1B3B">
          <w:rPr>
            <w:webHidden/>
          </w:rPr>
          <w:fldChar w:fldCharType="end"/>
        </w:r>
      </w:hyperlink>
    </w:p>
    <w:p w:rsidR="00EB1B3B" w:rsidRDefault="00D01334">
      <w:pPr>
        <w:pStyle w:val="TOC2"/>
        <w:rPr>
          <w:rFonts w:asciiTheme="minorHAnsi" w:eastAsiaTheme="minorEastAsia" w:hAnsiTheme="minorHAnsi"/>
          <w:b w:val="0"/>
          <w:color w:val="auto"/>
          <w:sz w:val="22"/>
          <w:lang w:eastAsia="en-AU"/>
        </w:rPr>
      </w:pPr>
      <w:hyperlink w:anchor="_Toc435186167" w:history="1">
        <w:r w:rsidR="00EB1B3B" w:rsidRPr="000078DD">
          <w:rPr>
            <w:rStyle w:val="Hyperlink"/>
          </w:rPr>
          <w:t>3.1</w:t>
        </w:r>
        <w:r w:rsidR="00EB1B3B">
          <w:rPr>
            <w:rFonts w:asciiTheme="minorHAnsi" w:eastAsiaTheme="minorEastAsia" w:hAnsiTheme="minorHAnsi"/>
            <w:b w:val="0"/>
            <w:color w:val="auto"/>
            <w:sz w:val="22"/>
            <w:lang w:eastAsia="en-AU"/>
          </w:rPr>
          <w:tab/>
        </w:r>
        <w:r w:rsidR="00EB1B3B" w:rsidRPr="000078DD">
          <w:rPr>
            <w:rStyle w:val="Hyperlink"/>
          </w:rPr>
          <w:t>AER next steps</w:t>
        </w:r>
        <w:r w:rsidR="00EB1B3B">
          <w:rPr>
            <w:webHidden/>
          </w:rPr>
          <w:tab/>
        </w:r>
        <w:r w:rsidR="00EB1B3B">
          <w:rPr>
            <w:webHidden/>
          </w:rPr>
          <w:fldChar w:fldCharType="begin"/>
        </w:r>
        <w:r w:rsidR="00EB1B3B">
          <w:rPr>
            <w:webHidden/>
          </w:rPr>
          <w:instrText xml:space="preserve"> PAGEREF _Toc435186167 \h </w:instrText>
        </w:r>
        <w:r w:rsidR="00EB1B3B">
          <w:rPr>
            <w:webHidden/>
          </w:rPr>
        </w:r>
        <w:r w:rsidR="00EB1B3B">
          <w:rPr>
            <w:webHidden/>
          </w:rPr>
          <w:fldChar w:fldCharType="separate"/>
        </w:r>
        <w:r w:rsidR="009558FF">
          <w:rPr>
            <w:webHidden/>
          </w:rPr>
          <w:t>10</w:t>
        </w:r>
        <w:r w:rsidR="00EB1B3B">
          <w:rPr>
            <w:webHidden/>
          </w:rPr>
          <w:fldChar w:fldCharType="end"/>
        </w:r>
      </w:hyperlink>
    </w:p>
    <w:p w:rsidR="00EB1B3B" w:rsidRDefault="00D01334">
      <w:pPr>
        <w:pStyle w:val="TOC2"/>
        <w:rPr>
          <w:rFonts w:asciiTheme="minorHAnsi" w:eastAsiaTheme="minorEastAsia" w:hAnsiTheme="minorHAnsi"/>
          <w:b w:val="0"/>
          <w:color w:val="auto"/>
          <w:sz w:val="22"/>
          <w:lang w:eastAsia="en-AU"/>
        </w:rPr>
      </w:pPr>
      <w:hyperlink w:anchor="_Toc435186168" w:history="1">
        <w:r w:rsidR="00EB1B3B" w:rsidRPr="000078DD">
          <w:rPr>
            <w:rStyle w:val="Hyperlink"/>
          </w:rPr>
          <w:t>3.2</w:t>
        </w:r>
        <w:r w:rsidR="00EB1B3B">
          <w:rPr>
            <w:rFonts w:asciiTheme="minorHAnsi" w:eastAsiaTheme="minorEastAsia" w:hAnsiTheme="minorHAnsi"/>
            <w:b w:val="0"/>
            <w:color w:val="auto"/>
            <w:sz w:val="22"/>
            <w:lang w:eastAsia="en-AU"/>
          </w:rPr>
          <w:tab/>
        </w:r>
        <w:r w:rsidR="00EB1B3B" w:rsidRPr="000078DD">
          <w:rPr>
            <w:rStyle w:val="Hyperlink"/>
          </w:rPr>
          <w:t>Further gas RoLR information</w:t>
        </w:r>
        <w:r w:rsidR="00EB1B3B">
          <w:rPr>
            <w:webHidden/>
          </w:rPr>
          <w:tab/>
        </w:r>
        <w:r w:rsidR="00EB1B3B">
          <w:rPr>
            <w:webHidden/>
          </w:rPr>
          <w:fldChar w:fldCharType="begin"/>
        </w:r>
        <w:r w:rsidR="00EB1B3B">
          <w:rPr>
            <w:webHidden/>
          </w:rPr>
          <w:instrText xml:space="preserve"> PAGEREF _Toc435186168 \h </w:instrText>
        </w:r>
        <w:r w:rsidR="00EB1B3B">
          <w:rPr>
            <w:webHidden/>
          </w:rPr>
        </w:r>
        <w:r w:rsidR="00EB1B3B">
          <w:rPr>
            <w:webHidden/>
          </w:rPr>
          <w:fldChar w:fldCharType="separate"/>
        </w:r>
        <w:r w:rsidR="009558FF">
          <w:rPr>
            <w:webHidden/>
          </w:rPr>
          <w:t>10</w:t>
        </w:r>
        <w:r w:rsidR="00EB1B3B">
          <w:rPr>
            <w:webHidden/>
          </w:rPr>
          <w:fldChar w:fldCharType="end"/>
        </w:r>
      </w:hyperlink>
    </w:p>
    <w:p w:rsidR="0020492C" w:rsidRDefault="00A75077" w:rsidP="009F5BA1">
      <w:r>
        <w:fldChar w:fldCharType="end"/>
      </w:r>
      <w:r w:rsidR="0020492C">
        <w:tab/>
      </w:r>
    </w:p>
    <w:p w:rsidR="0020492C" w:rsidRDefault="0020492C" w:rsidP="0020492C">
      <w:bookmarkStart w:id="1" w:name="_Toc213047617"/>
    </w:p>
    <w:p w:rsidR="0020492C" w:rsidRDefault="0020492C" w:rsidP="0020492C">
      <w:pPr>
        <w:sectPr w:rsidR="0020492C" w:rsidSect="007A4D1F">
          <w:footerReference w:type="default" r:id="rId12"/>
          <w:pgSz w:w="11906" w:h="16838" w:code="9"/>
          <w:pgMar w:top="1440" w:right="1700" w:bottom="1582" w:left="1729" w:header="720" w:footer="1009" w:gutter="0"/>
          <w:pgNumType w:fmt="lowerRoman"/>
          <w:cols w:space="720"/>
          <w:docGrid w:linePitch="326"/>
        </w:sectPr>
      </w:pPr>
    </w:p>
    <w:p w:rsidR="0020492C" w:rsidRDefault="00FC34F6" w:rsidP="00562632">
      <w:pPr>
        <w:pStyle w:val="Heading1"/>
      </w:pPr>
      <w:bookmarkStart w:id="2" w:name="_Toc435186159"/>
      <w:r>
        <w:lastRenderedPageBreak/>
        <w:t>Background</w:t>
      </w:r>
      <w:bookmarkEnd w:id="1"/>
      <w:bookmarkEnd w:id="2"/>
    </w:p>
    <w:p w:rsidR="0020492C" w:rsidRDefault="00A36987" w:rsidP="002E1BE5">
      <w:pPr>
        <w:pStyle w:val="Heading2"/>
      </w:pPr>
      <w:bookmarkStart w:id="3" w:name="_Toc213047618"/>
      <w:bookmarkStart w:id="4" w:name="_Toc435186160"/>
      <w:r>
        <w:t>National Energy Retail Law RoLR provisions</w:t>
      </w:r>
      <w:bookmarkEnd w:id="3"/>
      <w:bookmarkEnd w:id="4"/>
    </w:p>
    <w:p w:rsidR="00F00C63" w:rsidRDefault="00F00C63" w:rsidP="00F00C63">
      <w:r w:rsidRPr="00F00C63">
        <w:t xml:space="preserve">Under the National Energy Retail Law, the </w:t>
      </w:r>
      <w:r w:rsidR="002B771B">
        <w:t>Australian Energy Regulator (</w:t>
      </w:r>
      <w:r w:rsidRPr="00F00C63">
        <w:t>AER</w:t>
      </w:r>
      <w:r w:rsidR="002B771B">
        <w:t>)</w:t>
      </w:r>
      <w:r w:rsidRPr="00F00C63">
        <w:t xml:space="preserve"> oversee</w:t>
      </w:r>
      <w:r w:rsidR="002B771B">
        <w:t>s</w:t>
      </w:r>
      <w:r w:rsidRPr="00F00C63">
        <w:t xml:space="preserve"> the national Retailer of Last Resort (</w:t>
      </w:r>
      <w:hyperlink r:id="rId13" w:anchor="RoLR" w:history="1">
        <w:r w:rsidRPr="00F00C63">
          <w:t>RoLR</w:t>
        </w:r>
      </w:hyperlink>
      <w:r w:rsidRPr="00F00C63">
        <w:t xml:space="preserve">) scheme. The scheme is designed to ensure that in the event of retailer failure, customers continue to receive electricity and/or gas supply. </w:t>
      </w:r>
      <w:r w:rsidR="002B771B">
        <w:t>T</w:t>
      </w:r>
      <w:r w:rsidRPr="00F00C63">
        <w:t xml:space="preserve">he AER must publish </w:t>
      </w:r>
      <w:r w:rsidR="00FC34F6">
        <w:t xml:space="preserve">RoLR guidelines and a RoLR Plan, </w:t>
      </w:r>
      <w:r w:rsidRPr="00F00C63">
        <w:t xml:space="preserve">appoint default RoLRs, </w:t>
      </w:r>
      <w:r w:rsidR="00EB1B3B">
        <w:t xml:space="preserve">seek expressions of interest from retailers to be additional RoLRs, </w:t>
      </w:r>
      <w:r w:rsidRPr="00F00C63">
        <w:t xml:space="preserve">maintain and publish a </w:t>
      </w:r>
      <w:r w:rsidR="00FC34F6">
        <w:t xml:space="preserve">register of RoLRs, appoint designated RoLRs for specific RoLR events and </w:t>
      </w:r>
      <w:r w:rsidRPr="00F00C63">
        <w:t>make RoLR cost recovery scheme determinations.</w:t>
      </w:r>
    </w:p>
    <w:p w:rsidR="00FC34F6" w:rsidRDefault="00FC34F6" w:rsidP="00FC34F6">
      <w:r w:rsidRPr="00F00C63">
        <w:t>The AER</w:t>
      </w:r>
      <w:r w:rsidR="002B771B">
        <w:t>'s</w:t>
      </w:r>
      <w:r w:rsidRPr="00F00C63">
        <w:t xml:space="preserve"> RoLR plan</w:t>
      </w:r>
      <w:r>
        <w:t xml:space="preserve"> provide</w:t>
      </w:r>
      <w:r w:rsidR="002B771B">
        <w:t>s</w:t>
      </w:r>
      <w:r>
        <w:t xml:space="preserve"> for </w:t>
      </w:r>
      <w:r w:rsidRPr="00F00C63">
        <w:t>regular exercises to be carried out by the participants in the plan</w:t>
      </w:r>
      <w:r>
        <w:rPr>
          <w:rStyle w:val="FootnoteReference"/>
        </w:rPr>
        <w:footnoteReference w:id="2"/>
      </w:r>
      <w:r w:rsidRPr="00F00C63">
        <w:t xml:space="preserve"> . </w:t>
      </w:r>
      <w:r>
        <w:t xml:space="preserve">The </w:t>
      </w:r>
      <w:r w:rsidRPr="00F00C63">
        <w:t xml:space="preserve">AER </w:t>
      </w:r>
      <w:r w:rsidR="002B771B">
        <w:t>must</w:t>
      </w:r>
      <w:r w:rsidRPr="00F00C63">
        <w:t xml:space="preserve"> publish a report on the conduct of RoLR exercises</w:t>
      </w:r>
      <w:r>
        <w:t>.</w:t>
      </w:r>
      <w:r>
        <w:rPr>
          <w:rStyle w:val="FootnoteReference"/>
        </w:rPr>
        <w:footnoteReference w:id="3"/>
      </w:r>
      <w:r w:rsidR="002B771B">
        <w:t xml:space="preserve"> </w:t>
      </w:r>
    </w:p>
    <w:p w:rsidR="00241F35" w:rsidRDefault="00241F35" w:rsidP="00241F35">
      <w:pPr>
        <w:pStyle w:val="Heading2"/>
      </w:pPr>
      <w:bookmarkStart w:id="5" w:name="_Toc435186161"/>
      <w:r>
        <w:t>P</w:t>
      </w:r>
      <w:r w:rsidR="00B02362">
        <w:t xml:space="preserve">articipants in the </w:t>
      </w:r>
      <w:r w:rsidR="00560280">
        <w:t>gas</w:t>
      </w:r>
      <w:r>
        <w:t xml:space="preserve"> industry RoLR exercise</w:t>
      </w:r>
      <w:bookmarkEnd w:id="5"/>
    </w:p>
    <w:p w:rsidR="00241F35" w:rsidRDefault="00FC34F6" w:rsidP="00241F35">
      <w:r>
        <w:t xml:space="preserve">On </w:t>
      </w:r>
      <w:r w:rsidR="00560280">
        <w:t xml:space="preserve">10 November </w:t>
      </w:r>
      <w:r>
        <w:t xml:space="preserve">2015, the AER </w:t>
      </w:r>
      <w:r w:rsidR="00EB1B3B">
        <w:t xml:space="preserve">together with the Essential Services Commission of Victoria </w:t>
      </w:r>
      <w:r>
        <w:t xml:space="preserve">conducted a RoLR exercise for </w:t>
      </w:r>
      <w:r w:rsidR="00560280">
        <w:t xml:space="preserve">gas </w:t>
      </w:r>
      <w:r w:rsidR="00A36987">
        <w:t xml:space="preserve">industry RoLR plan </w:t>
      </w:r>
      <w:r>
        <w:t>participants</w:t>
      </w:r>
      <w:r w:rsidR="00A36987">
        <w:t>.</w:t>
      </w:r>
      <w:r w:rsidR="002B771B">
        <w:t xml:space="preserve"> </w:t>
      </w:r>
      <w:r w:rsidR="00A36987">
        <w:t xml:space="preserve">The participants </w:t>
      </w:r>
      <w:r w:rsidR="002B771B">
        <w:t>included</w:t>
      </w:r>
      <w:r w:rsidR="00A36987">
        <w:t xml:space="preserve"> retailers r</w:t>
      </w:r>
      <w:r w:rsidR="00D82F1D" w:rsidRPr="00624D9C">
        <w:t>egistered</w:t>
      </w:r>
      <w:r w:rsidR="00A36987">
        <w:t xml:space="preserve"> as</w:t>
      </w:r>
      <w:r w:rsidR="00D82F1D" w:rsidRPr="00624D9C">
        <w:t xml:space="preserve"> RoLRs</w:t>
      </w:r>
      <w:r w:rsidR="00A36987">
        <w:t xml:space="preserve"> for</w:t>
      </w:r>
      <w:r w:rsidR="00E01D38">
        <w:t xml:space="preserve"> </w:t>
      </w:r>
      <w:r w:rsidR="00560280">
        <w:t>gas</w:t>
      </w:r>
      <w:r w:rsidR="00A36987">
        <w:t xml:space="preserve"> customers</w:t>
      </w:r>
      <w:r w:rsidR="00D82F1D" w:rsidRPr="00624D9C">
        <w:t xml:space="preserve">, energy departments of participating jurisdictions, </w:t>
      </w:r>
      <w:r w:rsidR="00560280">
        <w:t xml:space="preserve">gas </w:t>
      </w:r>
      <w:r w:rsidR="00D82F1D" w:rsidRPr="00624D9C">
        <w:t xml:space="preserve">distributors, </w:t>
      </w:r>
      <w:r w:rsidR="00A36987">
        <w:t>the Australian Energy Market Operator (</w:t>
      </w:r>
      <w:r w:rsidR="00D82F1D" w:rsidRPr="00624D9C">
        <w:t>AEMO</w:t>
      </w:r>
      <w:r w:rsidR="00A36987">
        <w:t>)</w:t>
      </w:r>
      <w:r w:rsidR="00D82F1D" w:rsidRPr="00624D9C">
        <w:t xml:space="preserve"> and </w:t>
      </w:r>
      <w:r w:rsidR="00A36987">
        <w:t xml:space="preserve">energy </w:t>
      </w:r>
      <w:r w:rsidR="00D82F1D" w:rsidRPr="00624D9C">
        <w:t>ombudsman schemes</w:t>
      </w:r>
      <w:r w:rsidR="00D82F1D">
        <w:t>.</w:t>
      </w:r>
      <w:r w:rsidR="002B771B">
        <w:t xml:space="preserve"> </w:t>
      </w:r>
      <w:r w:rsidR="00241F35">
        <w:t xml:space="preserve">While participants based solely in Victoria are not covered by the </w:t>
      </w:r>
      <w:r w:rsidR="007D44B7">
        <w:t>Retail Law</w:t>
      </w:r>
      <w:r w:rsidR="00241F35">
        <w:t xml:space="preserve">, Victorian </w:t>
      </w:r>
      <w:r w:rsidR="00560280">
        <w:t xml:space="preserve">gas </w:t>
      </w:r>
      <w:r w:rsidR="00241F35">
        <w:t xml:space="preserve">distribution businesses chose to </w:t>
      </w:r>
      <w:r w:rsidR="00EB1B3B">
        <w:t>participate in the exercise</w:t>
      </w:r>
      <w:r w:rsidR="00241F35">
        <w:t>.</w:t>
      </w:r>
      <w:r w:rsidR="002B771B">
        <w:t xml:space="preserve"> </w:t>
      </w:r>
      <w:r w:rsidR="006F69A7">
        <w:t>This report discusses those aspects of the joint exercise that occurred under the Retail Law framework, and not those aspects that occurred under the Victorian gas regulatory framework.</w:t>
      </w:r>
    </w:p>
    <w:p w:rsidR="008D1AF8" w:rsidRDefault="008D1AF8" w:rsidP="008D1AF8">
      <w:r>
        <w:t>Participants were not required to attend at AER offices, but remained in their usual place of business, as they would in a RoLR event.</w:t>
      </w:r>
      <w:r w:rsidR="002B771B">
        <w:t xml:space="preserve"> </w:t>
      </w:r>
      <w:r>
        <w:t xml:space="preserve">The exercise was conducted primarily through emails from and to the AER's RoLR mailbox, </w:t>
      </w:r>
      <w:hyperlink r:id="rId14" w:history="1">
        <w:r w:rsidRPr="00B63931">
          <w:rPr>
            <w:rStyle w:val="Hyperlink"/>
          </w:rPr>
          <w:t>AERRoLR@aer.gov.au</w:t>
        </w:r>
      </w:hyperlink>
      <w:r>
        <w:t xml:space="preserve">, with follow up phone calls where necessary. </w:t>
      </w:r>
    </w:p>
    <w:p w:rsidR="00B02362" w:rsidRDefault="00B02362" w:rsidP="00B02362">
      <w:pPr>
        <w:pStyle w:val="Heading2"/>
      </w:pPr>
      <w:bookmarkStart w:id="6" w:name="_Toc435186162"/>
      <w:r>
        <w:t xml:space="preserve">Purpose of the </w:t>
      </w:r>
      <w:r w:rsidR="00560280">
        <w:t xml:space="preserve">gas </w:t>
      </w:r>
      <w:r>
        <w:t>industry RoLR exercise</w:t>
      </w:r>
      <w:bookmarkEnd w:id="6"/>
    </w:p>
    <w:p w:rsidR="00EA56F4" w:rsidRPr="00624D9C" w:rsidRDefault="00FC34F6" w:rsidP="00EA56F4">
      <w:r>
        <w:t>This report sets out the conduct</w:t>
      </w:r>
      <w:r w:rsidR="00A36987">
        <w:t xml:space="preserve"> and outcomes of t</w:t>
      </w:r>
      <w:r>
        <w:t>h</w:t>
      </w:r>
      <w:r w:rsidR="00A36987">
        <w:t>e</w:t>
      </w:r>
      <w:r>
        <w:t xml:space="preserve"> exercise.</w:t>
      </w:r>
      <w:r w:rsidR="002B771B">
        <w:t xml:space="preserve"> </w:t>
      </w:r>
      <w:r>
        <w:t xml:space="preserve">The exercise </w:t>
      </w:r>
      <w:r w:rsidR="00EA56F4" w:rsidRPr="00624D9C">
        <w:t>familiarise</w:t>
      </w:r>
      <w:r w:rsidR="007D44B7">
        <w:t>d</w:t>
      </w:r>
      <w:r w:rsidR="00EA56F4" w:rsidRPr="00624D9C">
        <w:t xml:space="preserve"> participants with the communication flows and RoLR documentation that would be used in a</w:t>
      </w:r>
      <w:r w:rsidR="00560280">
        <w:t xml:space="preserve"> gas </w:t>
      </w:r>
      <w:r w:rsidR="00EA56F4" w:rsidRPr="00624D9C">
        <w:t>RoLR event</w:t>
      </w:r>
      <w:r w:rsidR="00EA56F4">
        <w:t>, to:</w:t>
      </w:r>
      <w:r w:rsidR="002B771B">
        <w:t xml:space="preserve"> </w:t>
      </w:r>
    </w:p>
    <w:p w:rsidR="00FC34F6" w:rsidRPr="00F00C63" w:rsidRDefault="00FC34F6" w:rsidP="00FC34F6">
      <w:pPr>
        <w:pStyle w:val="Bulletpoint"/>
      </w:pPr>
      <w:r w:rsidRPr="00990B09">
        <w:t>assist RoLR plan participants to better undertake their responsibilities during a RoLR event</w:t>
      </w:r>
    </w:p>
    <w:p w:rsidR="00FC34F6" w:rsidRPr="00FC34F6" w:rsidRDefault="00FC34F6" w:rsidP="00FC34F6">
      <w:pPr>
        <w:pStyle w:val="Bulletpoint"/>
      </w:pPr>
      <w:r w:rsidRPr="00FC34F6">
        <w:t xml:space="preserve">remind RoLR plan participants of their </w:t>
      </w:r>
      <w:r w:rsidR="007D44B7">
        <w:t xml:space="preserve">RoLR scheme </w:t>
      </w:r>
      <w:r w:rsidRPr="00FC34F6">
        <w:t>obligations</w:t>
      </w:r>
    </w:p>
    <w:p w:rsidR="00FC34F6" w:rsidRDefault="00FC34F6" w:rsidP="00FC34F6">
      <w:pPr>
        <w:pStyle w:val="Bulletpoint"/>
      </w:pPr>
      <w:r w:rsidRPr="00FC34F6">
        <w:lastRenderedPageBreak/>
        <w:t>clarify</w:t>
      </w:r>
      <w:r w:rsidR="007D44B7">
        <w:t xml:space="preserve"> and seek feedback on</w:t>
      </w:r>
      <w:r w:rsidRPr="00FC34F6">
        <w:t xml:space="preserve"> the procedures that would be follo</w:t>
      </w:r>
      <w:r>
        <w:t>wed in a retailer failure event</w:t>
      </w:r>
      <w:r w:rsidR="00FA35C1">
        <w:t>; and</w:t>
      </w:r>
    </w:p>
    <w:p w:rsidR="00FC34F6" w:rsidRDefault="00FC34F6" w:rsidP="00FC34F6">
      <w:pPr>
        <w:pStyle w:val="Bulletpoint"/>
      </w:pPr>
      <w:r>
        <w:t xml:space="preserve">clarify </w:t>
      </w:r>
      <w:r w:rsidR="007D44B7">
        <w:t>and seek feedback on</w:t>
      </w:r>
      <w:r w:rsidR="007D44B7" w:rsidRPr="00FC34F6">
        <w:t xml:space="preserve"> </w:t>
      </w:r>
      <w:r>
        <w:t>the documentation that would be used in a retailer failure event.</w:t>
      </w:r>
      <w:r w:rsidR="002B771B">
        <w:t xml:space="preserve"> </w:t>
      </w:r>
    </w:p>
    <w:p w:rsidR="00FC34F6" w:rsidRDefault="0023227A" w:rsidP="00F00C63">
      <w:r>
        <w:t xml:space="preserve">Participants in the exercise were requested to provide feedback to the AER by </w:t>
      </w:r>
      <w:r w:rsidR="00560280">
        <w:t>17 Novem</w:t>
      </w:r>
      <w:r w:rsidR="006F69A7">
        <w:t>b</w:t>
      </w:r>
      <w:r w:rsidR="00560280">
        <w:t xml:space="preserve">er </w:t>
      </w:r>
      <w:r>
        <w:t>2015.</w:t>
      </w:r>
      <w:r w:rsidR="002B771B">
        <w:t xml:space="preserve"> </w:t>
      </w:r>
      <w:r w:rsidR="00E23195">
        <w:t>During and following the exercise, participants</w:t>
      </w:r>
      <w:r w:rsidR="000B527F">
        <w:t xml:space="preserve"> raised a number of issues and</w:t>
      </w:r>
      <w:r w:rsidR="00E23195">
        <w:t xml:space="preserve"> feedback</w:t>
      </w:r>
      <w:r w:rsidR="000B527F">
        <w:t xml:space="preserve"> on various aspects of the exercise</w:t>
      </w:r>
      <w:r w:rsidR="00E23195">
        <w:t>.</w:t>
      </w:r>
      <w:r w:rsidR="002B771B">
        <w:t xml:space="preserve"> </w:t>
      </w:r>
      <w:r w:rsidR="00E23195">
        <w:t>This feedback, and the AER's response, is discussed later in this report.</w:t>
      </w:r>
      <w:r w:rsidR="002B771B">
        <w:t xml:space="preserve"> </w:t>
      </w:r>
    </w:p>
    <w:p w:rsidR="006213D4" w:rsidRDefault="006213D4" w:rsidP="006213D4">
      <w:pPr>
        <w:pStyle w:val="Heading2"/>
      </w:pPr>
      <w:bookmarkStart w:id="7" w:name="_Toc435186163"/>
      <w:r>
        <w:t>Scenario</w:t>
      </w:r>
      <w:r w:rsidR="008D1AF8">
        <w:t xml:space="preserve"> for the </w:t>
      </w:r>
      <w:r w:rsidR="00560280">
        <w:t xml:space="preserve">gas </w:t>
      </w:r>
      <w:r w:rsidR="008D1AF8">
        <w:t>industry RoLR exercise</w:t>
      </w:r>
      <w:bookmarkEnd w:id="7"/>
    </w:p>
    <w:p w:rsidR="00624D9C" w:rsidRDefault="00624D9C" w:rsidP="00624D9C">
      <w:r w:rsidRPr="00624D9C">
        <w:t>The scenario for the exercise involve</w:t>
      </w:r>
      <w:r w:rsidR="008D1AF8">
        <w:t>d</w:t>
      </w:r>
      <w:r w:rsidRPr="00624D9C">
        <w:t xml:space="preserve"> the failure of a hypothetical second tier </w:t>
      </w:r>
      <w:r w:rsidR="00560280">
        <w:t xml:space="preserve">gas </w:t>
      </w:r>
      <w:r w:rsidRPr="00624D9C">
        <w:t xml:space="preserve">retailer, Infinite </w:t>
      </w:r>
      <w:r w:rsidR="00560280">
        <w:t>Gas</w:t>
      </w:r>
      <w:r w:rsidR="00EB1B3B">
        <w:t xml:space="preserve"> Pty Ltd (Infinite Gas)</w:t>
      </w:r>
      <w:r w:rsidRPr="00624D9C">
        <w:t>, which ha</w:t>
      </w:r>
      <w:r w:rsidR="008D1AF8">
        <w:t>d</w:t>
      </w:r>
      <w:r w:rsidRPr="00624D9C">
        <w:t xml:space="preserve"> customers in</w:t>
      </w:r>
      <w:r w:rsidR="00EB1B3B">
        <w:t xml:space="preserve"> Queensland, New South Wales, the Australian Capital Territory, South Australia and Victoria.  </w:t>
      </w:r>
      <w:r w:rsidRPr="00624D9C">
        <w:t xml:space="preserve">Its </w:t>
      </w:r>
      <w:r w:rsidR="00410676">
        <w:t xml:space="preserve">national </w:t>
      </w:r>
      <w:r w:rsidRPr="00624D9C">
        <w:t>market share average</w:t>
      </w:r>
      <w:r w:rsidR="008D1AF8">
        <w:t>d</w:t>
      </w:r>
      <w:r w:rsidRPr="00624D9C">
        <w:t xml:space="preserve"> </w:t>
      </w:r>
      <w:r w:rsidR="00EB1B3B">
        <w:t xml:space="preserve">around </w:t>
      </w:r>
      <w:r w:rsidRPr="00624D9C">
        <w:t>5 per cent.</w:t>
      </w:r>
      <w:r w:rsidR="002B771B">
        <w:t xml:space="preserve"> </w:t>
      </w:r>
      <w:r w:rsidRPr="00624D9C">
        <w:t>The failed retailer h</w:t>
      </w:r>
      <w:r w:rsidR="008D1AF8">
        <w:t>e</w:t>
      </w:r>
      <w:r w:rsidRPr="00624D9C">
        <w:t xml:space="preserve">ld a national retailer authorisation </w:t>
      </w:r>
      <w:r w:rsidR="00EB1B3B">
        <w:t xml:space="preserve">for gas </w:t>
      </w:r>
      <w:r w:rsidRPr="00624D9C">
        <w:t xml:space="preserve">and a Victorian </w:t>
      </w:r>
      <w:r w:rsidR="00560280">
        <w:t xml:space="preserve">gas </w:t>
      </w:r>
      <w:r w:rsidRPr="00624D9C">
        <w:t>retail licence.</w:t>
      </w:r>
      <w:r w:rsidR="002B771B">
        <w:t xml:space="preserve"> </w:t>
      </w:r>
    </w:p>
    <w:p w:rsidR="00A77763" w:rsidRDefault="00410676" w:rsidP="00624D9C">
      <w:r>
        <w:t>In t</w:t>
      </w:r>
      <w:r w:rsidR="00A77763">
        <w:t>he scenario</w:t>
      </w:r>
      <w:r>
        <w:t>,</w:t>
      </w:r>
      <w:r w:rsidR="00A77763">
        <w:t xml:space="preserve"> </w:t>
      </w:r>
      <w:r>
        <w:t xml:space="preserve">AEMO </w:t>
      </w:r>
      <w:r w:rsidR="00A77763">
        <w:t>issu</w:t>
      </w:r>
      <w:r w:rsidR="00AC185C">
        <w:t>ed</w:t>
      </w:r>
      <w:r w:rsidR="00A77763">
        <w:t xml:space="preserve"> a default notice </w:t>
      </w:r>
      <w:r w:rsidR="00EB1B3B">
        <w:t xml:space="preserve">to Infinite Gas in both the Short Term Trading Market (STTM) and the Declared Wholesale Gas Market (DWGM).  AEMO </w:t>
      </w:r>
      <w:r w:rsidR="00A77763">
        <w:t>subsequently</w:t>
      </w:r>
      <w:r w:rsidR="00EB1B3B">
        <w:t xml:space="preserve"> issued</w:t>
      </w:r>
      <w:r w:rsidR="00A77763">
        <w:t xml:space="preserve"> a suspension notice</w:t>
      </w:r>
      <w:r w:rsidR="00EB1B3B">
        <w:t xml:space="preserve"> to Infinite Gas in both the STTM and the DWGM</w:t>
      </w:r>
      <w:r w:rsidR="00A77763">
        <w:t>.</w:t>
      </w:r>
      <w:r w:rsidR="002B771B">
        <w:t xml:space="preserve"> </w:t>
      </w:r>
      <w:r w:rsidR="00A77763">
        <w:t>The AER then issued a RoLR notice.</w:t>
      </w:r>
    </w:p>
    <w:p w:rsidR="00CD51C2" w:rsidRDefault="00CD51C2" w:rsidP="00CD51C2">
      <w:r>
        <w:t>The exercise addressed:</w:t>
      </w:r>
    </w:p>
    <w:p w:rsidR="00CD51C2" w:rsidRDefault="00410676" w:rsidP="00CD51C2">
      <w:pPr>
        <w:pStyle w:val="Bulletpoint"/>
      </w:pPr>
      <w:r>
        <w:t>t</w:t>
      </w:r>
      <w:r w:rsidR="00CD51C2">
        <w:t>he payment default procedure under the</w:t>
      </w:r>
      <w:r w:rsidR="00EB1B3B">
        <w:t xml:space="preserve"> STTM and DWGM </w:t>
      </w:r>
      <w:r w:rsidR="00227716">
        <w:t xml:space="preserve">provisions </w:t>
      </w:r>
      <w:r w:rsidR="00EB1B3B">
        <w:t>in the</w:t>
      </w:r>
      <w:r w:rsidR="00CD51C2">
        <w:t xml:space="preserve"> National </w:t>
      </w:r>
      <w:r w:rsidR="00560280">
        <w:t xml:space="preserve">Gas </w:t>
      </w:r>
      <w:r w:rsidR="00CD51C2">
        <w:t xml:space="preserve">Rules where a retailer fails to </w:t>
      </w:r>
      <w:r w:rsidR="00560280">
        <w:t>make a payment</w:t>
      </w:r>
      <w:r w:rsidR="00CD51C2">
        <w:t>.</w:t>
      </w:r>
      <w:r w:rsidR="002B771B">
        <w:t xml:space="preserve"> </w:t>
      </w:r>
    </w:p>
    <w:p w:rsidR="00CD51C2" w:rsidRDefault="00CD51C2" w:rsidP="00CD51C2">
      <w:pPr>
        <w:pStyle w:val="Bulletpoint"/>
      </w:pPr>
      <w:r>
        <w:t>the AER's contingency powers</w:t>
      </w:r>
    </w:p>
    <w:p w:rsidR="00CD51C2" w:rsidRDefault="00410676" w:rsidP="00CD51C2">
      <w:pPr>
        <w:pStyle w:val="Bulletpoint"/>
      </w:pPr>
      <w:r>
        <w:t>t</w:t>
      </w:r>
      <w:r w:rsidR="00CD51C2">
        <w:t>he process for appointing additional RoLRs as designated RoLRs</w:t>
      </w:r>
    </w:p>
    <w:p w:rsidR="00CD51C2" w:rsidRDefault="00CD51C2" w:rsidP="00CD51C2">
      <w:pPr>
        <w:pStyle w:val="Bulletpoint"/>
      </w:pPr>
      <w:r>
        <w:t xml:space="preserve"> </w:t>
      </w:r>
      <w:r w:rsidR="00410676">
        <w:t>t</w:t>
      </w:r>
      <w:r>
        <w:t>he key decision making points and communication flows in the lead up to and after a RoLR event</w:t>
      </w:r>
    </w:p>
    <w:p w:rsidR="00CD51C2" w:rsidRDefault="00410676" w:rsidP="00CD51C2">
      <w:pPr>
        <w:pStyle w:val="Bulletpoint"/>
      </w:pPr>
      <w:r>
        <w:t>t</w:t>
      </w:r>
      <w:r w:rsidR="00CD51C2">
        <w:t>he content of a</w:t>
      </w:r>
      <w:r w:rsidR="00EB1B3B">
        <w:t xml:space="preserve"> gas</w:t>
      </w:r>
      <w:r w:rsidR="00CD51C2">
        <w:t xml:space="preserve"> RoLR notice.</w:t>
      </w:r>
    </w:p>
    <w:p w:rsidR="00CD51C2" w:rsidRPr="00CD51C2" w:rsidRDefault="00CD51C2" w:rsidP="00AC185C">
      <w:pPr>
        <w:pStyle w:val="Bulletpoint"/>
        <w:numPr>
          <w:ilvl w:val="0"/>
          <w:numId w:val="0"/>
        </w:numPr>
      </w:pPr>
      <w:r>
        <w:t xml:space="preserve">While the payment default procedure under the </w:t>
      </w:r>
      <w:r w:rsidR="00EB1B3B">
        <w:t xml:space="preserve">STTM provisions in the </w:t>
      </w:r>
      <w:r w:rsidR="0078614B">
        <w:t xml:space="preserve">National </w:t>
      </w:r>
      <w:r w:rsidR="00560280">
        <w:t xml:space="preserve">Gas </w:t>
      </w:r>
      <w:r w:rsidR="00410676">
        <w:t xml:space="preserve">Rules </w:t>
      </w:r>
      <w:r w:rsidR="00EB1B3B">
        <w:t xml:space="preserve">is unlikely to provide </w:t>
      </w:r>
      <w:r>
        <w:t xml:space="preserve">sufficient time </w:t>
      </w:r>
      <w:r w:rsidR="00410676">
        <w:t xml:space="preserve">to appoint </w:t>
      </w:r>
      <w:r>
        <w:t>additional RoLRs with non-firm offers</w:t>
      </w:r>
      <w:r w:rsidR="00410676">
        <w:t xml:space="preserve"> as </w:t>
      </w:r>
      <w:r>
        <w:t xml:space="preserve">designated RoLRs, the AER decided to include that process in the </w:t>
      </w:r>
      <w:r w:rsidRPr="00CD51C2">
        <w:t>exercise.</w:t>
      </w:r>
      <w:r w:rsidR="002B771B">
        <w:t xml:space="preserve"> </w:t>
      </w:r>
      <w:r w:rsidRPr="00CD51C2">
        <w:t>Additional RoLRs with non-firm offers were a</w:t>
      </w:r>
      <w:r w:rsidR="00EB1B3B">
        <w:t>pproached prior to the exercise, and invited to make offers for affected customers on distribution systems for which they had made non-firm offers.</w:t>
      </w:r>
      <w:r w:rsidR="00560280">
        <w:t xml:space="preserve"> </w:t>
      </w:r>
    </w:p>
    <w:p w:rsidR="00624D9C" w:rsidRDefault="00D82F1D" w:rsidP="00624D9C">
      <w:r>
        <w:t>T</w:t>
      </w:r>
      <w:r w:rsidR="00410676">
        <w:t>able 1 sets out t</w:t>
      </w:r>
      <w:r>
        <w:t>he hypothetical failed retailer</w:t>
      </w:r>
      <w:r w:rsidR="00410676">
        <w:t>'s</w:t>
      </w:r>
      <w:r>
        <w:t xml:space="preserve"> customer base</w:t>
      </w:r>
      <w:r w:rsidR="003E4F5E">
        <w:t xml:space="preserve"> of 181,219 customers.  </w:t>
      </w:r>
    </w:p>
    <w:p w:rsidR="00227716" w:rsidRDefault="00227716">
      <w:pPr>
        <w:spacing w:line="240" w:lineRule="auto"/>
        <w:rPr>
          <w:b/>
          <w:bCs/>
          <w:color w:val="076A92" w:themeColor="text1"/>
          <w:sz w:val="24"/>
          <w:szCs w:val="18"/>
        </w:rPr>
      </w:pPr>
      <w:r>
        <w:br w:type="page"/>
      </w:r>
    </w:p>
    <w:p w:rsidR="00D82F1D" w:rsidRPr="002E1BE5" w:rsidRDefault="00D82F1D" w:rsidP="00D82F1D">
      <w:pPr>
        <w:pStyle w:val="Caption"/>
      </w:pPr>
      <w:r>
        <w:lastRenderedPageBreak/>
        <w:t xml:space="preserve">Table </w:t>
      </w:r>
      <w:r w:rsidRPr="00D82F1D">
        <w:fldChar w:fldCharType="begin"/>
      </w:r>
      <w:r>
        <w:instrText xml:space="preserve"> STYLEREF 1 \s </w:instrText>
      </w:r>
      <w:r w:rsidRPr="00D82F1D">
        <w:fldChar w:fldCharType="separate"/>
      </w:r>
      <w:r w:rsidR="009558FF">
        <w:rPr>
          <w:noProof/>
        </w:rPr>
        <w:t>1</w:t>
      </w:r>
      <w:r w:rsidRPr="00D82F1D">
        <w:fldChar w:fldCharType="end"/>
      </w:r>
      <w:r w:rsidR="00227716" w:rsidRPr="00D82F1D" w:rsidDel="00227716">
        <w:t xml:space="preserve"> </w:t>
      </w:r>
    </w:p>
    <w:tbl>
      <w:tblPr>
        <w:tblStyle w:val="AERTable-Text"/>
        <w:tblW w:w="0" w:type="auto"/>
        <w:tblLook w:val="04A0" w:firstRow="1" w:lastRow="0" w:firstColumn="1" w:lastColumn="0" w:noHBand="0" w:noVBand="1"/>
      </w:tblPr>
      <w:tblGrid>
        <w:gridCol w:w="2341"/>
        <w:gridCol w:w="2430"/>
        <w:gridCol w:w="2371"/>
        <w:gridCol w:w="2100"/>
      </w:tblGrid>
      <w:tr w:rsidR="00D82F1D" w:rsidRPr="00796046" w:rsidTr="00D82F1D">
        <w:trPr>
          <w:cnfStyle w:val="100000000000" w:firstRow="1" w:lastRow="0" w:firstColumn="0" w:lastColumn="0" w:oddVBand="0" w:evenVBand="0" w:oddHBand="0" w:evenHBand="0" w:firstRowFirstColumn="0" w:firstRowLastColumn="0" w:lastRowFirstColumn="0" w:lastRowLastColumn="0"/>
        </w:trPr>
        <w:tc>
          <w:tcPr>
            <w:tcW w:w="2341" w:type="dxa"/>
          </w:tcPr>
          <w:p w:rsidR="00D82F1D" w:rsidRPr="00D82F1D" w:rsidRDefault="008D1AF8" w:rsidP="00A8146C">
            <w:pPr>
              <w:pStyle w:val="Caption"/>
            </w:pPr>
            <w:r>
              <w:t xml:space="preserve">Failed retailer customer base </w:t>
            </w:r>
          </w:p>
        </w:tc>
        <w:tc>
          <w:tcPr>
            <w:tcW w:w="2430" w:type="dxa"/>
          </w:tcPr>
          <w:p w:rsidR="00D82F1D" w:rsidRPr="00D82F1D" w:rsidRDefault="003E4F5E" w:rsidP="00D82F1D">
            <w:r>
              <w:t>Customer numbers</w:t>
            </w:r>
          </w:p>
        </w:tc>
        <w:tc>
          <w:tcPr>
            <w:tcW w:w="2371" w:type="dxa"/>
          </w:tcPr>
          <w:p w:rsidR="00D82F1D" w:rsidRPr="00D82F1D" w:rsidRDefault="00D82F1D" w:rsidP="00D82F1D"/>
        </w:tc>
        <w:tc>
          <w:tcPr>
            <w:tcW w:w="2100" w:type="dxa"/>
          </w:tcPr>
          <w:p w:rsidR="00D82F1D" w:rsidRPr="00D82F1D" w:rsidRDefault="003E4F5E" w:rsidP="00D82F1D">
            <w:r>
              <w:t>Market share %</w:t>
            </w:r>
          </w:p>
        </w:tc>
      </w:tr>
      <w:tr w:rsidR="00D82F1D" w:rsidRPr="00796046" w:rsidTr="00D82F1D">
        <w:tc>
          <w:tcPr>
            <w:tcW w:w="2341" w:type="dxa"/>
          </w:tcPr>
          <w:p w:rsidR="00D82F1D" w:rsidRPr="00D82F1D" w:rsidRDefault="003E4F5E" w:rsidP="00D82F1D">
            <w:pPr>
              <w:pStyle w:val="Tabletext"/>
            </w:pPr>
            <w:r>
              <w:t>NSW</w:t>
            </w:r>
          </w:p>
        </w:tc>
        <w:tc>
          <w:tcPr>
            <w:tcW w:w="2430" w:type="dxa"/>
          </w:tcPr>
          <w:p w:rsidR="00D82F1D" w:rsidRPr="00D82F1D" w:rsidRDefault="003E4F5E" w:rsidP="00D82F1D">
            <w:pPr>
              <w:pStyle w:val="Tabletext-right"/>
            </w:pPr>
            <w:r>
              <w:t>64094</w:t>
            </w:r>
          </w:p>
        </w:tc>
        <w:tc>
          <w:tcPr>
            <w:tcW w:w="2371" w:type="dxa"/>
          </w:tcPr>
          <w:p w:rsidR="00D82F1D" w:rsidRPr="00796046" w:rsidRDefault="00D82F1D" w:rsidP="00D82F1D"/>
        </w:tc>
        <w:tc>
          <w:tcPr>
            <w:tcW w:w="2100" w:type="dxa"/>
          </w:tcPr>
          <w:p w:rsidR="00D82F1D" w:rsidRPr="00624D9C" w:rsidRDefault="003E4F5E" w:rsidP="00D82F1D">
            <w:r>
              <w:t>5.32</w:t>
            </w:r>
          </w:p>
        </w:tc>
      </w:tr>
      <w:tr w:rsidR="00D82F1D" w:rsidRPr="00796046" w:rsidTr="00D82F1D">
        <w:trPr>
          <w:cnfStyle w:val="000000010000" w:firstRow="0" w:lastRow="0" w:firstColumn="0" w:lastColumn="0" w:oddVBand="0" w:evenVBand="0" w:oddHBand="0" w:evenHBand="1" w:firstRowFirstColumn="0" w:firstRowLastColumn="0" w:lastRowFirstColumn="0" w:lastRowLastColumn="0"/>
        </w:trPr>
        <w:tc>
          <w:tcPr>
            <w:tcW w:w="2341" w:type="dxa"/>
          </w:tcPr>
          <w:p w:rsidR="00D82F1D" w:rsidRDefault="003E4F5E" w:rsidP="00D82F1D">
            <w:pPr>
              <w:pStyle w:val="Tabletext"/>
            </w:pPr>
            <w:r>
              <w:t>ACT</w:t>
            </w:r>
          </w:p>
        </w:tc>
        <w:tc>
          <w:tcPr>
            <w:tcW w:w="2430" w:type="dxa"/>
          </w:tcPr>
          <w:p w:rsidR="00D82F1D" w:rsidRPr="00624D9C" w:rsidRDefault="003E4F5E" w:rsidP="00D82F1D">
            <w:pPr>
              <w:pStyle w:val="Tabletext-right"/>
            </w:pPr>
            <w:r>
              <w:t>3512</w:t>
            </w:r>
          </w:p>
        </w:tc>
        <w:tc>
          <w:tcPr>
            <w:tcW w:w="2371" w:type="dxa"/>
          </w:tcPr>
          <w:p w:rsidR="00D82F1D" w:rsidRPr="00796046" w:rsidRDefault="00D82F1D" w:rsidP="00410676"/>
        </w:tc>
        <w:tc>
          <w:tcPr>
            <w:tcW w:w="2100" w:type="dxa"/>
          </w:tcPr>
          <w:p w:rsidR="00D82F1D" w:rsidRPr="00796046" w:rsidRDefault="003E4F5E" w:rsidP="00D82F1D">
            <w:r>
              <w:t>2.78</w:t>
            </w:r>
          </w:p>
        </w:tc>
      </w:tr>
      <w:tr w:rsidR="00D82F1D" w:rsidRPr="00796046" w:rsidTr="00D82F1D">
        <w:tc>
          <w:tcPr>
            <w:tcW w:w="2341" w:type="dxa"/>
          </w:tcPr>
          <w:p w:rsidR="00D82F1D" w:rsidRDefault="00D82F1D" w:rsidP="00D82F1D">
            <w:pPr>
              <w:pStyle w:val="Tabletext"/>
            </w:pPr>
            <w:r>
              <w:t>Queensland</w:t>
            </w:r>
          </w:p>
        </w:tc>
        <w:tc>
          <w:tcPr>
            <w:tcW w:w="2430" w:type="dxa"/>
          </w:tcPr>
          <w:p w:rsidR="00D82F1D" w:rsidRPr="00624D9C" w:rsidRDefault="003E4F5E" w:rsidP="00D82F1D">
            <w:pPr>
              <w:pStyle w:val="Tabletext-right"/>
            </w:pPr>
            <w:r>
              <w:t>1229</w:t>
            </w:r>
          </w:p>
        </w:tc>
        <w:tc>
          <w:tcPr>
            <w:tcW w:w="2371" w:type="dxa"/>
          </w:tcPr>
          <w:p w:rsidR="00D82F1D" w:rsidRPr="00796046" w:rsidRDefault="00D82F1D" w:rsidP="00410676"/>
        </w:tc>
        <w:tc>
          <w:tcPr>
            <w:tcW w:w="2100" w:type="dxa"/>
          </w:tcPr>
          <w:p w:rsidR="00D82F1D" w:rsidRPr="00796046" w:rsidRDefault="003E4F5E" w:rsidP="00D82F1D">
            <w:r>
              <w:t>1.60</w:t>
            </w:r>
          </w:p>
        </w:tc>
      </w:tr>
      <w:tr w:rsidR="00A8146C" w:rsidRPr="00796046" w:rsidTr="00D82F1D">
        <w:trPr>
          <w:cnfStyle w:val="000000010000" w:firstRow="0" w:lastRow="0" w:firstColumn="0" w:lastColumn="0" w:oddVBand="0" w:evenVBand="0" w:oddHBand="0" w:evenHBand="1" w:firstRowFirstColumn="0" w:firstRowLastColumn="0" w:lastRowFirstColumn="0" w:lastRowLastColumn="0"/>
        </w:trPr>
        <w:tc>
          <w:tcPr>
            <w:tcW w:w="2341" w:type="dxa"/>
          </w:tcPr>
          <w:p w:rsidR="00A8146C" w:rsidRDefault="00A8146C" w:rsidP="00D82F1D">
            <w:pPr>
              <w:pStyle w:val="Tabletext"/>
            </w:pPr>
            <w:r>
              <w:t>South Australia</w:t>
            </w:r>
          </w:p>
        </w:tc>
        <w:tc>
          <w:tcPr>
            <w:tcW w:w="2430" w:type="dxa"/>
          </w:tcPr>
          <w:p w:rsidR="00A8146C" w:rsidRDefault="00A8146C" w:rsidP="00D82F1D">
            <w:pPr>
              <w:pStyle w:val="Tabletext-right"/>
            </w:pPr>
            <w:r>
              <w:t>17560</w:t>
            </w:r>
          </w:p>
        </w:tc>
        <w:tc>
          <w:tcPr>
            <w:tcW w:w="2371" w:type="dxa"/>
          </w:tcPr>
          <w:p w:rsidR="00A8146C" w:rsidRPr="00796046" w:rsidRDefault="00A8146C" w:rsidP="00410676"/>
        </w:tc>
        <w:tc>
          <w:tcPr>
            <w:tcW w:w="2100" w:type="dxa"/>
          </w:tcPr>
          <w:p w:rsidR="00A8146C" w:rsidRDefault="00A8146C" w:rsidP="00D82F1D">
            <w:r>
              <w:t>4.17</w:t>
            </w:r>
          </w:p>
        </w:tc>
      </w:tr>
      <w:tr w:rsidR="00A8146C" w:rsidRPr="00796046" w:rsidTr="00D82F1D">
        <w:tc>
          <w:tcPr>
            <w:tcW w:w="2341" w:type="dxa"/>
          </w:tcPr>
          <w:p w:rsidR="00A8146C" w:rsidRDefault="00A8146C" w:rsidP="00D82F1D">
            <w:pPr>
              <w:pStyle w:val="Tabletext"/>
            </w:pPr>
            <w:r>
              <w:t>Victoria</w:t>
            </w:r>
          </w:p>
        </w:tc>
        <w:tc>
          <w:tcPr>
            <w:tcW w:w="2430" w:type="dxa"/>
          </w:tcPr>
          <w:p w:rsidR="00A8146C" w:rsidRDefault="00A8146C" w:rsidP="00A8146C">
            <w:pPr>
              <w:pStyle w:val="Tabletext-right"/>
            </w:pPr>
            <w:r>
              <w:t>94824</w:t>
            </w:r>
          </w:p>
        </w:tc>
        <w:tc>
          <w:tcPr>
            <w:tcW w:w="2371" w:type="dxa"/>
          </w:tcPr>
          <w:p w:rsidR="00A8146C" w:rsidRPr="00796046" w:rsidRDefault="00A8146C" w:rsidP="00410676"/>
        </w:tc>
        <w:tc>
          <w:tcPr>
            <w:tcW w:w="2100" w:type="dxa"/>
          </w:tcPr>
          <w:p w:rsidR="00A8146C" w:rsidRDefault="00A8146C" w:rsidP="00D82F1D">
            <w:r>
              <w:t>5.40</w:t>
            </w:r>
          </w:p>
        </w:tc>
      </w:tr>
    </w:tbl>
    <w:p w:rsidR="00D82F1D" w:rsidRPr="00624D9C" w:rsidRDefault="00D82F1D" w:rsidP="00624D9C"/>
    <w:p w:rsidR="00A77763" w:rsidRDefault="00A77763" w:rsidP="00624D9C">
      <w:pPr>
        <w:pStyle w:val="Heading2"/>
      </w:pPr>
      <w:bookmarkStart w:id="8" w:name="_Toc435186164"/>
      <w:r>
        <w:t>Sequence of the exercise</w:t>
      </w:r>
      <w:bookmarkEnd w:id="8"/>
    </w:p>
    <w:p w:rsidR="00D37ECC" w:rsidRDefault="00D37ECC" w:rsidP="00624D9C">
      <w:r>
        <w:t xml:space="preserve">The </w:t>
      </w:r>
      <w:r w:rsidR="00A77763">
        <w:t>sequence of the exercise was as follows</w:t>
      </w:r>
      <w:r>
        <w:t>:</w:t>
      </w:r>
    </w:p>
    <w:p w:rsidR="00D37ECC" w:rsidRDefault="00410676" w:rsidP="00AC185C">
      <w:pPr>
        <w:pStyle w:val="Heading5notnumbered"/>
      </w:pPr>
      <w:r>
        <w:t xml:space="preserve">1. </w:t>
      </w:r>
      <w:r w:rsidR="00A77763">
        <w:t>Issue of</w:t>
      </w:r>
      <w:r w:rsidR="00560280">
        <w:t xml:space="preserve"> default notices </w:t>
      </w:r>
      <w:r w:rsidR="00A77763">
        <w:t>by AEMO</w:t>
      </w:r>
    </w:p>
    <w:p w:rsidR="00D37ECC" w:rsidRDefault="00D37ECC" w:rsidP="00AC185C">
      <w:pPr>
        <w:pStyle w:val="Bulletpoint"/>
        <w:numPr>
          <w:ilvl w:val="0"/>
          <w:numId w:val="0"/>
        </w:numPr>
        <w:ind w:left="357"/>
      </w:pPr>
      <w:r w:rsidRPr="00624D9C">
        <w:t xml:space="preserve">Infinite </w:t>
      </w:r>
      <w:r w:rsidR="00560280">
        <w:t xml:space="preserve">Gas failed to </w:t>
      </w:r>
      <w:r w:rsidR="006F69A7">
        <w:t xml:space="preserve">settle its monthly account for both the Declared Wholesale Gas Market and the Short Term Trading Market for the month of September 2015, which were both due at 12 noon on Wednesday 28th October 2015. </w:t>
      </w:r>
      <w:r w:rsidR="000744E7">
        <w:t xml:space="preserve">This is a default event in each of the wholesale markets. At 2pm on Wednesday 28th October, AEMO </w:t>
      </w:r>
      <w:r w:rsidRPr="00624D9C">
        <w:t xml:space="preserve">issued </w:t>
      </w:r>
      <w:r w:rsidR="000744E7">
        <w:t xml:space="preserve">Infinite Gas with two default notices: one for its default in the DWGM, and a separate </w:t>
      </w:r>
      <w:r w:rsidR="00560280">
        <w:t>default not</w:t>
      </w:r>
      <w:r w:rsidRPr="00624D9C">
        <w:t xml:space="preserve">ice </w:t>
      </w:r>
      <w:r w:rsidR="000744E7">
        <w:t>for its default in the STTM</w:t>
      </w:r>
      <w:r w:rsidRPr="00624D9C">
        <w:t>.</w:t>
      </w:r>
      <w:r w:rsidR="002B771B">
        <w:t xml:space="preserve"> </w:t>
      </w:r>
    </w:p>
    <w:p w:rsidR="00A77763" w:rsidRDefault="00410676" w:rsidP="00AC185C">
      <w:pPr>
        <w:pStyle w:val="Heading5notnumbered"/>
      </w:pPr>
      <w:r>
        <w:t xml:space="preserve">2. </w:t>
      </w:r>
      <w:r w:rsidR="00A77763">
        <w:t>Issue of suspension notice</w:t>
      </w:r>
      <w:r w:rsidR="00560280">
        <w:t>s</w:t>
      </w:r>
      <w:r w:rsidR="00A77763">
        <w:t xml:space="preserve"> by AEMO</w:t>
      </w:r>
    </w:p>
    <w:p w:rsidR="008870C0" w:rsidRDefault="00D37ECC" w:rsidP="00AC185C">
      <w:pPr>
        <w:pStyle w:val="Bulletpoint"/>
        <w:numPr>
          <w:ilvl w:val="0"/>
          <w:numId w:val="0"/>
        </w:numPr>
        <w:ind w:left="357"/>
      </w:pPr>
      <w:r w:rsidRPr="00624D9C">
        <w:t xml:space="preserve">Infinite </w:t>
      </w:r>
      <w:r w:rsidR="00227716">
        <w:t>Gas</w:t>
      </w:r>
      <w:r w:rsidR="00227716" w:rsidRPr="00624D9C">
        <w:t xml:space="preserve"> </w:t>
      </w:r>
      <w:r>
        <w:t>wa</w:t>
      </w:r>
      <w:r w:rsidRPr="00624D9C">
        <w:t>s unable to rectify the default</w:t>
      </w:r>
      <w:r w:rsidR="00560280">
        <w:t>s</w:t>
      </w:r>
      <w:r w:rsidR="00A77763">
        <w:t xml:space="preserve"> set out in the default notice</w:t>
      </w:r>
      <w:r w:rsidR="00560280">
        <w:t>s</w:t>
      </w:r>
      <w:r w:rsidR="000744E7">
        <w:t xml:space="preserve"> by the due date of 2pm on Thursday 29th October,</w:t>
      </w:r>
      <w:r w:rsidRPr="00624D9C">
        <w:t xml:space="preserve"> and </w:t>
      </w:r>
      <w:r w:rsidR="000744E7">
        <w:t xml:space="preserve">at 4pm on Thursday 29th October, AEMO issued </w:t>
      </w:r>
      <w:r w:rsidR="00560280">
        <w:t>two</w:t>
      </w:r>
      <w:r w:rsidRPr="00624D9C">
        <w:t xml:space="preserve"> suspension notice</w:t>
      </w:r>
      <w:r w:rsidR="00560280">
        <w:t>s</w:t>
      </w:r>
      <w:r w:rsidR="000744E7">
        <w:t>, suspending it from the DWGM and the STTM</w:t>
      </w:r>
      <w:r w:rsidR="00FA35C1">
        <w:t>,</w:t>
      </w:r>
      <w:r w:rsidR="000744E7">
        <w:t xml:space="preserve"> respectively.  </w:t>
      </w:r>
      <w:r>
        <w:t xml:space="preserve">Suspension </w:t>
      </w:r>
      <w:r w:rsidR="008870C0">
        <w:t>took effect at midnight</w:t>
      </w:r>
      <w:r w:rsidR="007737D8">
        <w:t xml:space="preserve"> of that day</w:t>
      </w:r>
      <w:r w:rsidR="008870C0">
        <w:t>.</w:t>
      </w:r>
      <w:r>
        <w:t xml:space="preserve"> </w:t>
      </w:r>
    </w:p>
    <w:p w:rsidR="00A77763" w:rsidRDefault="00410676" w:rsidP="00AC185C">
      <w:pPr>
        <w:pStyle w:val="Heading5notnumbered"/>
      </w:pPr>
      <w:r>
        <w:t xml:space="preserve">4. </w:t>
      </w:r>
      <w:r w:rsidR="00A77763">
        <w:t>Issue of RoLR notice by the AER</w:t>
      </w:r>
    </w:p>
    <w:p w:rsidR="00A77763" w:rsidRDefault="007737D8" w:rsidP="00AC185C">
      <w:pPr>
        <w:pStyle w:val="Bulletpoint"/>
        <w:numPr>
          <w:ilvl w:val="0"/>
          <w:numId w:val="0"/>
        </w:numPr>
        <w:ind w:left="357"/>
      </w:pPr>
      <w:r>
        <w:t>Following</w:t>
      </w:r>
      <w:r w:rsidR="000374E4">
        <w:t xml:space="preserve"> </w:t>
      </w:r>
      <w:r w:rsidR="000744E7">
        <w:t xml:space="preserve">the </w:t>
      </w:r>
      <w:r w:rsidR="000374E4">
        <w:t xml:space="preserve">suspension of Infinite </w:t>
      </w:r>
      <w:r w:rsidR="00560280">
        <w:t>Gas from the STTM</w:t>
      </w:r>
      <w:r w:rsidR="000374E4">
        <w:t xml:space="preserve">, </w:t>
      </w:r>
      <w:r w:rsidR="000744E7">
        <w:t xml:space="preserve">on Friday 30th October, </w:t>
      </w:r>
      <w:r w:rsidR="000374E4">
        <w:t>the AER issued a RoLR notice</w:t>
      </w:r>
      <w:r w:rsidR="00CD51C2">
        <w:t>, as well as associated documents</w:t>
      </w:r>
      <w:r w:rsidR="000374E4">
        <w:t>.</w:t>
      </w:r>
      <w:r w:rsidR="002B771B">
        <w:t xml:space="preserve"> </w:t>
      </w:r>
    </w:p>
    <w:p w:rsidR="00527668" w:rsidRDefault="006442D3" w:rsidP="00D17119">
      <w:pPr>
        <w:pStyle w:val="Heading1"/>
      </w:pPr>
      <w:bookmarkStart w:id="9" w:name="_Toc435186165"/>
      <w:r>
        <w:lastRenderedPageBreak/>
        <w:t>C</w:t>
      </w:r>
      <w:r w:rsidR="009E3B5A">
        <w:t>ommunication</w:t>
      </w:r>
      <w:r w:rsidR="00CD51C2">
        <w:t xml:space="preserve">s </w:t>
      </w:r>
      <w:r w:rsidR="00FA4113">
        <w:t xml:space="preserve">and documentation </w:t>
      </w:r>
      <w:r w:rsidR="00CD51C2">
        <w:t>covered by the exercise</w:t>
      </w:r>
      <w:bookmarkEnd w:id="9"/>
      <w:r w:rsidR="009E3B5A">
        <w:t xml:space="preserve"> </w:t>
      </w:r>
    </w:p>
    <w:p w:rsidR="00527668" w:rsidRDefault="00F07609" w:rsidP="00527668">
      <w:r>
        <w:t>Some communications by the AER are mandatory under the Retail Law and the AER's RoLR Plan.</w:t>
      </w:r>
      <w:r w:rsidR="002B771B">
        <w:t xml:space="preserve"> </w:t>
      </w:r>
      <w:r>
        <w:t>Other communications are discretionary</w:t>
      </w:r>
      <w:r w:rsidR="007737D8">
        <w:t xml:space="preserve"> and will depend on</w:t>
      </w:r>
      <w:r>
        <w:t xml:space="preserve"> the circumstances of a particular retailer failure.</w:t>
      </w:r>
      <w:r w:rsidR="002B771B">
        <w:t xml:space="preserve"> </w:t>
      </w:r>
      <w:r w:rsidR="00527668" w:rsidRPr="00990B09">
        <w:t xml:space="preserve">The exercise addressed the following </w:t>
      </w:r>
      <w:r w:rsidR="00C02189">
        <w:t xml:space="preserve">communications that </w:t>
      </w:r>
      <w:r w:rsidR="007B2C8B">
        <w:t xml:space="preserve">the AER </w:t>
      </w:r>
      <w:r w:rsidR="00C02189">
        <w:t xml:space="preserve">would generally </w:t>
      </w:r>
      <w:r w:rsidR="007B2C8B">
        <w:t xml:space="preserve">provide </w:t>
      </w:r>
      <w:r w:rsidR="00C02189">
        <w:t>during a</w:t>
      </w:r>
      <w:r w:rsidR="00560280">
        <w:t xml:space="preserve"> gas </w:t>
      </w:r>
      <w:r w:rsidR="00C02189">
        <w:t>RoLR event</w:t>
      </w:r>
      <w:r>
        <w:t>:</w:t>
      </w:r>
      <w:r w:rsidR="002B771B">
        <w:t xml:space="preserve"> </w:t>
      </w:r>
    </w:p>
    <w:p w:rsidR="00560280" w:rsidRPr="00560280" w:rsidRDefault="00560280" w:rsidP="00560280">
      <w:pPr>
        <w:pStyle w:val="Tabletitle"/>
      </w:pPr>
      <w:r w:rsidRPr="00560280">
        <w:t>Day 1 in the scenario – Wednesday 28th October 2015 – following AEMO’s issue of a default notice to a gas retailer:</w:t>
      </w:r>
    </w:p>
    <w:p w:rsidR="00560280" w:rsidRDefault="000C126F" w:rsidP="000C126F">
      <w:pPr>
        <w:pStyle w:val="Numberedparagraph11"/>
      </w:pPr>
      <w:r>
        <w:t xml:space="preserve">Advice to Ministers (with energy department RoLR contacts participating in lieu of Ministers) and AEMO that the AER has formed a </w:t>
      </w:r>
      <w:r w:rsidR="00560280" w:rsidRPr="00560280">
        <w:t>“reason to believe” under section 130</w:t>
      </w:r>
      <w:r>
        <w:t>(5)</w:t>
      </w:r>
      <w:r w:rsidR="00560280" w:rsidRPr="00560280">
        <w:t xml:space="preserve"> of the National Energy Retail Law that there is a risk of retailer failure, </w:t>
      </w:r>
      <w:r>
        <w:t xml:space="preserve"> following the issuing of </w:t>
      </w:r>
      <w:r w:rsidR="00560280" w:rsidRPr="00560280">
        <w:t xml:space="preserve">default notices for default events in both the STTM and the DWGM </w:t>
      </w:r>
      <w:r>
        <w:t>.  Under the RoLR Plan, the AER will also notify energy departments of the 'reason to believe'.</w:t>
      </w:r>
    </w:p>
    <w:p w:rsidR="000C126F" w:rsidRDefault="000C126F" w:rsidP="000C126F">
      <w:pPr>
        <w:pStyle w:val="Numberedparagraph11"/>
      </w:pPr>
      <w:r>
        <w:t xml:space="preserve">Advice to retailers registered as additional RoLRs with non-firm offers that there is a risk of retailer failure.  (This email was sent before the exercise, to allow sufficient time for the retailers to determine whether or not to firm up their offers).  The email followed the issue of the default notices, and included load information on the retailer in distress.  The AER sought the registered RoLRs' advice as to whether they were willing to be designated as a RoLR for any customers of the failed retailer.  The email also addressed confidentiality obligations under section 131 of the Retail Law.  </w:t>
      </w:r>
      <w:r w:rsidR="00A8146C">
        <w:t xml:space="preserve">Note: Non-firm offers were sought as, in jurisdictions that have applied the </w:t>
      </w:r>
      <w:r>
        <w:t>National Energy Customer Framework</w:t>
      </w:r>
      <w:r w:rsidR="00A8146C">
        <w:t>, there are non-firm offers for gas customers but no firm offers</w:t>
      </w:r>
      <w:r>
        <w:t xml:space="preserve">.  </w:t>
      </w:r>
    </w:p>
    <w:p w:rsidR="000C126F" w:rsidRDefault="00A8146C" w:rsidP="000C126F">
      <w:pPr>
        <w:pStyle w:val="Numberedparagraph11"/>
      </w:pPr>
      <w:r>
        <w:t xml:space="preserve">Two </w:t>
      </w:r>
      <w:r w:rsidR="0090345E">
        <w:t>registered RoLRs</w:t>
      </w:r>
      <w:r>
        <w:t xml:space="preserve"> with non-firm offers made offers</w:t>
      </w:r>
      <w:r w:rsidR="0090345E">
        <w:t xml:space="preserve"> to be designated for two of the affected gas distribution systems.  (This email was sent before the exercise).</w:t>
      </w:r>
    </w:p>
    <w:p w:rsidR="0090345E" w:rsidRDefault="0090345E" w:rsidP="000C126F">
      <w:pPr>
        <w:pStyle w:val="Numberedparagraph11"/>
      </w:pPr>
      <w:r>
        <w:t>An email from the AER seeking advice from the registered RoLRs that were firming up their offers as to whether they thought they may need the AER to issue section 137 gas directions. (This email was sent before the exercise).</w:t>
      </w:r>
    </w:p>
    <w:p w:rsidR="0090345E" w:rsidRDefault="0090345E" w:rsidP="000C126F">
      <w:pPr>
        <w:pStyle w:val="Numberedparagraph11"/>
      </w:pPr>
      <w:r>
        <w:t>Confirmation from the two registered ROLRs that they did not consider at that stage that they would require gas directions to be issued.  (This email was sent before the exercise).</w:t>
      </w:r>
    </w:p>
    <w:p w:rsidR="0090345E" w:rsidRDefault="0090345E" w:rsidP="000C126F">
      <w:pPr>
        <w:pStyle w:val="Numberedparagraph11"/>
      </w:pPr>
      <w:r>
        <w:t xml:space="preserve">Notification from the AER in accordance with section 132(4) of the Retail Law that the AER has accepted both offers made by registered RoLRs </w:t>
      </w:r>
      <w:r w:rsidR="00D93903">
        <w:t xml:space="preserve">to be designated for two of the affected gas distribution systems.  This email also included notification to retailers within that group of companies registered as default RoLRs that there is a risk of a retailer failure.   The email sought advice as to whether or not the AER would need to make any section 137 gas directions in relation to the supply or transportation of gas for the customers of the failed retailer.  The email also addressed confidentiality obligations under section 131 of the Retail Law.  </w:t>
      </w:r>
    </w:p>
    <w:p w:rsidR="00560280" w:rsidRPr="00560280" w:rsidRDefault="00560280" w:rsidP="000C126F">
      <w:pPr>
        <w:pStyle w:val="Numberedparagraph11"/>
      </w:pPr>
      <w:r w:rsidRPr="00560280">
        <w:t xml:space="preserve">Notification to retailers registered as default RoLRs that there is a risk of a retailer failure following the issue of a default notice. </w:t>
      </w:r>
      <w:r w:rsidR="00D93903">
        <w:t xml:space="preserve">The email sought advice as to whether or not the AER would need to make any section 137 gas directions in relation to the supply or transportation of gas for the customers of the failed retailer.  Where the </w:t>
      </w:r>
      <w:r w:rsidR="00D93903">
        <w:lastRenderedPageBreak/>
        <w:t xml:space="preserve">default RoLRs would not be required to perform the RoLR function, because the AER would be designating additional (ie, voluntary) RoLRs, this email advised of the AER's intention to appoint additional RoLRs. </w:t>
      </w:r>
      <w:r w:rsidRPr="00560280">
        <w:t>This email also address</w:t>
      </w:r>
      <w:r w:rsidR="00D93903">
        <w:t>ed</w:t>
      </w:r>
      <w:r w:rsidRPr="00560280">
        <w:t xml:space="preserve"> confidentiality obligations under s. 131 of the Retail Law.  </w:t>
      </w:r>
    </w:p>
    <w:p w:rsidR="00560280" w:rsidRPr="00560280" w:rsidRDefault="00560280" w:rsidP="00560280">
      <w:pPr>
        <w:pStyle w:val="Tabletitle"/>
      </w:pPr>
      <w:r w:rsidRPr="00560280">
        <w:t>Day 2 in the scenario – Thursday 29 October 2015 – following the retailer’s failure to respond to the default notices by 2pm:</w:t>
      </w:r>
    </w:p>
    <w:p w:rsidR="000C126F" w:rsidRDefault="000C126F" w:rsidP="00560280">
      <w:pPr>
        <w:pStyle w:val="Numberedparagraph11"/>
      </w:pPr>
      <w:r>
        <w:t xml:space="preserve">The </w:t>
      </w:r>
      <w:r w:rsidR="00560280" w:rsidRPr="00560280">
        <w:t>AER advise</w:t>
      </w:r>
      <w:r>
        <w:t>d</w:t>
      </w:r>
      <w:r w:rsidR="00560280" w:rsidRPr="00560280">
        <w:t xml:space="preserve"> Ministers and energy departments that</w:t>
      </w:r>
      <w:r>
        <w:t xml:space="preserve"> </w:t>
      </w:r>
      <w:r w:rsidR="00D93903">
        <w:t>Infinite Gas</w:t>
      </w:r>
      <w:r>
        <w:t xml:space="preserve"> had failed to meet the requirements of both </w:t>
      </w:r>
      <w:r w:rsidR="00EC3D3A">
        <w:t xml:space="preserve">the </w:t>
      </w:r>
      <w:r>
        <w:t>default notice</w:t>
      </w:r>
      <w:r w:rsidR="00EC3D3A">
        <w:t xml:space="preserve"> issued in the STTM, and the separate default notice issued in the DWGM</w:t>
      </w:r>
      <w:r>
        <w:t xml:space="preserve">, and that AEMO must </w:t>
      </w:r>
      <w:r w:rsidR="00560280" w:rsidRPr="00560280">
        <w:t>now issue a suspension notice</w:t>
      </w:r>
      <w:r>
        <w:t xml:space="preserve"> in each market.</w:t>
      </w:r>
      <w:r w:rsidR="00EC3D3A">
        <w:t xml:space="preserve"> This email advised that suspension from a wholesale market triggers a RoLR event, and provided some information on the AER's next steps if a RoLR event occurred in the STTM.  </w:t>
      </w:r>
      <w:r>
        <w:t xml:space="preserve"> </w:t>
      </w:r>
      <w:r w:rsidR="00560280" w:rsidRPr="00560280">
        <w:t xml:space="preserve"> </w:t>
      </w:r>
    </w:p>
    <w:p w:rsidR="00FE30B8" w:rsidRDefault="00560280" w:rsidP="00560280">
      <w:pPr>
        <w:pStyle w:val="Numberedparagraph11"/>
      </w:pPr>
      <w:r w:rsidRPr="00560280">
        <w:t xml:space="preserve">Provision of appointment notices under s. 132(2) of the Retail Law to </w:t>
      </w:r>
      <w:r w:rsidR="00FE30B8">
        <w:t xml:space="preserve">the </w:t>
      </w:r>
      <w:r w:rsidRPr="00560280">
        <w:t xml:space="preserve">additional RoLRs that </w:t>
      </w:r>
      <w:r w:rsidR="00FE30B8">
        <w:t xml:space="preserve">were </w:t>
      </w:r>
      <w:r w:rsidR="00E91E53">
        <w:t xml:space="preserve">appointed </w:t>
      </w:r>
      <w:r w:rsidR="00FE30B8">
        <w:t>by the AER</w:t>
      </w:r>
      <w:r w:rsidRPr="00560280">
        <w:t xml:space="preserve"> </w:t>
      </w:r>
      <w:r w:rsidR="00E91E53">
        <w:t xml:space="preserve">as designated </w:t>
      </w:r>
      <w:r w:rsidRPr="00560280">
        <w:t>RoLRs.  This email also advise</w:t>
      </w:r>
      <w:r w:rsidR="00FE30B8">
        <w:t>d</w:t>
      </w:r>
      <w:r w:rsidRPr="00560280">
        <w:t xml:space="preserve"> RoLRs to notify the AER as soon as they become aware of any insufficiency in the gas supply or capacity available to them.</w:t>
      </w:r>
    </w:p>
    <w:p w:rsidR="00560280" w:rsidRDefault="00560280" w:rsidP="00560280">
      <w:pPr>
        <w:pStyle w:val="Numberedparagraph11"/>
      </w:pPr>
      <w:r w:rsidRPr="00560280">
        <w:t xml:space="preserve"> Provision of appointment notices to AEMO in accordance with the requirement in s. 132(2) o</w:t>
      </w:r>
      <w:r w:rsidR="001C071D">
        <w:t>f the Retail Law, and advice to AEMO that any customers not covered by the additional RoLR appointments should be transferred to the responsible default RoLRs.</w:t>
      </w:r>
      <w:r w:rsidRPr="00560280">
        <w:t xml:space="preserve"> </w:t>
      </w:r>
    </w:p>
    <w:p w:rsidR="00FE30B8" w:rsidRDefault="00560280" w:rsidP="00560280">
      <w:pPr>
        <w:pStyle w:val="Numberedparagraph11"/>
      </w:pPr>
      <w:r w:rsidRPr="00560280">
        <w:t>Advice to default RoLRs that will be deemed to be appointed under s. 132(1) of the Retail Law that they will be designated RoLRs.  This email also advise</w:t>
      </w:r>
      <w:r w:rsidR="00FE30B8">
        <w:t>d</w:t>
      </w:r>
      <w:r w:rsidRPr="00560280">
        <w:t xml:space="preserve"> RoLRs to notify the AER as soon as they become aware of any insufficiency in the gas supply or capacity available to them.  </w:t>
      </w:r>
    </w:p>
    <w:p w:rsidR="00FE7788" w:rsidRDefault="00FE7788" w:rsidP="00560280">
      <w:pPr>
        <w:pStyle w:val="Numberedparagraph11"/>
      </w:pPr>
      <w:r>
        <w:t xml:space="preserve">Advice to </w:t>
      </w:r>
      <w:r w:rsidR="0078614B">
        <w:t xml:space="preserve">other </w:t>
      </w:r>
      <w:r>
        <w:t xml:space="preserve">default RoLRs that </w:t>
      </w:r>
      <w:r w:rsidR="00FA35C1">
        <w:t xml:space="preserve">they </w:t>
      </w:r>
      <w:r>
        <w:t>would not be requ</w:t>
      </w:r>
      <w:r w:rsidR="00883F79">
        <w:t>ir</w:t>
      </w:r>
      <w:r>
        <w:t>ed to act as default RoLRs</w:t>
      </w:r>
      <w:r w:rsidR="00883F79">
        <w:t xml:space="preserve"> </w:t>
      </w:r>
      <w:r w:rsidR="00FA35C1">
        <w:t xml:space="preserve">as </w:t>
      </w:r>
      <w:r w:rsidR="00883F79">
        <w:t>the AER has appointed additional RoLRs for the relevant gas distribution</w:t>
      </w:r>
      <w:r w:rsidR="0078614B">
        <w:t xml:space="preserve"> systems</w:t>
      </w:r>
      <w:r w:rsidR="00883F79">
        <w:t xml:space="preserve">.  </w:t>
      </w:r>
    </w:p>
    <w:p w:rsidR="00560280" w:rsidRDefault="00560280" w:rsidP="00560280">
      <w:pPr>
        <w:pStyle w:val="Numberedparagraph11"/>
      </w:pPr>
      <w:r w:rsidRPr="00560280">
        <w:t xml:space="preserve">Advice to gas distributors that there is a risk of a retailer failure, advising which retailers will be appointed as designated RoLRs if a RoLR event occurs.  Under the RoLR Plan, the AER may inform distributors and certain other persons of the designated RoLRs prior to the RoLR event. This email </w:t>
      </w:r>
      <w:r w:rsidR="00FE30B8">
        <w:t xml:space="preserve">also addressed </w:t>
      </w:r>
      <w:r w:rsidRPr="00560280">
        <w:t xml:space="preserve">confidentiality obligations under s. 131 of the Retail Law, and </w:t>
      </w:r>
      <w:r w:rsidR="00FE30B8">
        <w:t xml:space="preserve">sought </w:t>
      </w:r>
      <w:r w:rsidRPr="00560280">
        <w:t>confirmation from distributors that</w:t>
      </w:r>
      <w:r w:rsidR="00883F79">
        <w:t>, if a RoLR event occurs,</w:t>
      </w:r>
      <w:r w:rsidRPr="00560280">
        <w:t xml:space="preserve"> they </w:t>
      </w:r>
      <w:r w:rsidR="00FE30B8">
        <w:t xml:space="preserve">would </w:t>
      </w:r>
      <w:r w:rsidRPr="00560280">
        <w:t>allocate the capacity available to the fail</w:t>
      </w:r>
      <w:r w:rsidR="00883F79">
        <w:t>ed</w:t>
      </w:r>
      <w:r w:rsidRPr="00560280">
        <w:t xml:space="preserve"> retailer to designated RoLRs.  </w:t>
      </w:r>
    </w:p>
    <w:p w:rsidR="001E164A" w:rsidRPr="00560280" w:rsidRDefault="001E164A" w:rsidP="00560280">
      <w:pPr>
        <w:pStyle w:val="Numberedparagraph11"/>
      </w:pPr>
      <w:r>
        <w:t xml:space="preserve">Confirmation from gas distributors that the capacity of the failed retailer can be allocated to the designated RoLR.  </w:t>
      </w:r>
    </w:p>
    <w:p w:rsidR="00560280" w:rsidRPr="00560280" w:rsidRDefault="00560280" w:rsidP="00560280">
      <w:pPr>
        <w:pStyle w:val="Tabletitle"/>
      </w:pPr>
      <w:r w:rsidRPr="00560280">
        <w:t>Day 2 in the scenario – Thursday 29 October 2015 – following AEMO’s issue of two suspension notices (STTM and DWGM) at 4pm:</w:t>
      </w:r>
    </w:p>
    <w:p w:rsidR="00FE30B8" w:rsidRDefault="00FE30B8" w:rsidP="00FE30B8">
      <w:pPr>
        <w:pStyle w:val="Numberedparagraph11"/>
      </w:pPr>
      <w:r>
        <w:t xml:space="preserve">The </w:t>
      </w:r>
      <w:r w:rsidR="00560280" w:rsidRPr="00560280">
        <w:t>AER advise</w:t>
      </w:r>
      <w:r>
        <w:t>d</w:t>
      </w:r>
      <w:r w:rsidR="00560280" w:rsidRPr="00560280">
        <w:t xml:space="preserve"> Ministers</w:t>
      </w:r>
      <w:r>
        <w:t xml:space="preserve"> and </w:t>
      </w:r>
      <w:r w:rsidR="001D499E">
        <w:t xml:space="preserve">Ombudsmen </w:t>
      </w:r>
      <w:r>
        <w:t xml:space="preserve">that AEMO had issued suspension notices to Infinite Gas in both the DWGM and the STTM, and that suspension would be effective from 12:00am Friday 30 October 2015.  Some </w:t>
      </w:r>
      <w:r w:rsidR="001D499E">
        <w:t xml:space="preserve">background information, including </w:t>
      </w:r>
      <w:r>
        <w:t>on affected customer numbers</w:t>
      </w:r>
      <w:r w:rsidR="001D499E">
        <w:t>,</w:t>
      </w:r>
      <w:r>
        <w:t xml:space="preserve"> load </w:t>
      </w:r>
      <w:r w:rsidR="001D499E">
        <w:t xml:space="preserve">and designated RoLRs, </w:t>
      </w:r>
      <w:r>
        <w:t xml:space="preserve">was provided.  </w:t>
      </w:r>
      <w:r w:rsidR="001D499E">
        <w:t xml:space="preserve">Some information on the AER's communication strategy was provided. </w:t>
      </w:r>
      <w:r w:rsidR="00186117">
        <w:t xml:space="preserve">This email </w:t>
      </w:r>
      <w:r w:rsidR="001D499E">
        <w:t xml:space="preserve">also </w:t>
      </w:r>
      <w:r w:rsidR="00186117">
        <w:t xml:space="preserve">noted that RoLR events in the DWGM are overseen by AEMO and the Essential Services Commission of Victoria.  </w:t>
      </w:r>
    </w:p>
    <w:p w:rsidR="00186117" w:rsidRDefault="00FE30B8" w:rsidP="00186117">
      <w:pPr>
        <w:pStyle w:val="Numberedparagraph11"/>
      </w:pPr>
      <w:r>
        <w:lastRenderedPageBreak/>
        <w:t>Advice to relevant RoLR plan participants (retailers registered as RoLRs for gas customers</w:t>
      </w:r>
      <w:r w:rsidR="00301AAC">
        <w:t xml:space="preserve"> and</w:t>
      </w:r>
      <w:r>
        <w:t xml:space="preserve"> gas distributors) that AEMO had issued suspension notices to Infinite Gas in both the DWGM and the STTM, and that suspension would be effective from 12:00am Friday 30 October 2015. </w:t>
      </w:r>
      <w:r w:rsidR="00186117">
        <w:t xml:space="preserve"> </w:t>
      </w:r>
      <w:r w:rsidR="00301AAC">
        <w:t xml:space="preserve">Information on </w:t>
      </w:r>
      <w:r w:rsidR="00186117">
        <w:t xml:space="preserve">customer numbers and </w:t>
      </w:r>
      <w:r w:rsidR="00301AAC">
        <w:t>designated RoLRs</w:t>
      </w:r>
      <w:r w:rsidR="00633627">
        <w:t xml:space="preserve"> for each </w:t>
      </w:r>
      <w:r w:rsidR="00FA35C1">
        <w:t xml:space="preserve">affected </w:t>
      </w:r>
      <w:r w:rsidR="00633627">
        <w:t>gas distribution system</w:t>
      </w:r>
      <w:r w:rsidR="00301AAC">
        <w:t xml:space="preserve"> </w:t>
      </w:r>
      <w:r w:rsidR="00186117">
        <w:t>was provided.  This email</w:t>
      </w:r>
      <w:r w:rsidR="00301AAC">
        <w:t xml:space="preserve"> also</w:t>
      </w:r>
      <w:r w:rsidR="00186117">
        <w:t xml:space="preserve"> noted that RoLR events in the DWGM are overseen by AEMO and the Essential Services Commission of Victoria.  </w:t>
      </w:r>
    </w:p>
    <w:p w:rsidR="00560280" w:rsidRPr="00560280" w:rsidRDefault="00560280" w:rsidP="00560280">
      <w:pPr>
        <w:pStyle w:val="Numberedparagraph11"/>
      </w:pPr>
      <w:r w:rsidRPr="00560280">
        <w:t>Provision to individual</w:t>
      </w:r>
      <w:r w:rsidR="001E164A">
        <w:t xml:space="preserve"> </w:t>
      </w:r>
      <w:r w:rsidRPr="00560280">
        <w:t xml:space="preserve">RoLRs of a summary table of Infinite Gas’s load and </w:t>
      </w:r>
      <w:r w:rsidR="00301AAC">
        <w:t xml:space="preserve">MIRN (customer connection) </w:t>
      </w:r>
      <w:r w:rsidRPr="00560280">
        <w:t xml:space="preserve">numbers for the month of September 2015 for their respective areas of responsibility, to assist them in preparing for the transfer of customers and understanding whether administered price caps </w:t>
      </w:r>
      <w:r w:rsidR="00633627">
        <w:t xml:space="preserve">may </w:t>
      </w:r>
      <w:r w:rsidRPr="00560280">
        <w:t xml:space="preserve">apply in the STTM. </w:t>
      </w:r>
    </w:p>
    <w:p w:rsidR="00560280" w:rsidRDefault="00560280" w:rsidP="00560280">
      <w:pPr>
        <w:pStyle w:val="Tabletitle"/>
      </w:pPr>
      <w:r w:rsidRPr="00560280">
        <w:t>Day 3 in the scenario – Friday 30 October 2015 - following the suspension of Infinite Gas from the STTM and DWGM with effect from 12:00am Friday 30 October:</w:t>
      </w:r>
    </w:p>
    <w:p w:rsidR="00E57CED" w:rsidRDefault="00E57CED" w:rsidP="00E57CED">
      <w:pPr>
        <w:pStyle w:val="Numberedparagraph11"/>
      </w:pPr>
      <w:r>
        <w:t xml:space="preserve">Provision to Ministers and energy Ombudsmen of a copy of the </w:t>
      </w:r>
      <w:r w:rsidR="00D30CEE">
        <w:t xml:space="preserve">AER's </w:t>
      </w:r>
      <w:r>
        <w:t>RoLR notice, a RoLR event questions and answers factsheet</w:t>
      </w:r>
      <w:r w:rsidR="00D30CEE">
        <w:t xml:space="preserve"> for customers of Infinite Gas</w:t>
      </w:r>
      <w:r>
        <w:t xml:space="preserve">, and some background information on the RoLR event. </w:t>
      </w:r>
    </w:p>
    <w:p w:rsidR="00E57CED" w:rsidRPr="00560280" w:rsidRDefault="00E57CED" w:rsidP="00E57CED">
      <w:pPr>
        <w:pStyle w:val="Numberedparagraph11"/>
      </w:pPr>
      <w:r>
        <w:t>Provision to gas retailers and distributors of a copy of the RoLR notice, and a RoLR event questions and answers factsheet</w:t>
      </w:r>
      <w:r w:rsidR="00D30CEE">
        <w:t xml:space="preserve"> for customers of Infinite Gas</w:t>
      </w:r>
      <w:r>
        <w:t xml:space="preserve">.  </w:t>
      </w:r>
    </w:p>
    <w:p w:rsidR="00560280" w:rsidRPr="00560280" w:rsidRDefault="00560280" w:rsidP="00560280">
      <w:pPr>
        <w:pStyle w:val="Tabletitle"/>
      </w:pPr>
      <w:r w:rsidRPr="00560280">
        <w:t xml:space="preserve">At the conclusion of the exercise </w:t>
      </w:r>
    </w:p>
    <w:p w:rsidR="00D17119" w:rsidRPr="00D17119" w:rsidRDefault="007B2C8B" w:rsidP="00E57CED">
      <w:pPr>
        <w:pStyle w:val="Numberedparagraph11"/>
      </w:pPr>
      <w:r>
        <w:t>A</w:t>
      </w:r>
      <w:r w:rsidRPr="00D17119">
        <w:t xml:space="preserve"> </w:t>
      </w:r>
      <w:r w:rsidR="00D17119" w:rsidRPr="00D17119">
        <w:t>final email s</w:t>
      </w:r>
      <w:r w:rsidR="0077288E">
        <w:t>eeking</w:t>
      </w:r>
      <w:r w:rsidR="00D17119" w:rsidRPr="00D17119">
        <w:t xml:space="preserve"> feedback on the communication flows and RoLR documents for clarity and comprehensiveness.</w:t>
      </w:r>
      <w:r w:rsidR="002B771B">
        <w:t xml:space="preserve"> </w:t>
      </w:r>
    </w:p>
    <w:p w:rsidR="00624D9C" w:rsidRDefault="00624D9C" w:rsidP="00624D9C">
      <w:pPr>
        <w:pStyle w:val="Heading2"/>
        <w:numPr>
          <w:ilvl w:val="0"/>
          <w:numId w:val="0"/>
        </w:numPr>
        <w:ind w:left="680"/>
      </w:pPr>
    </w:p>
    <w:p w:rsidR="00527668" w:rsidRDefault="00527668" w:rsidP="008F01FD">
      <w:pPr>
        <w:pStyle w:val="Heading1"/>
      </w:pPr>
      <w:bookmarkStart w:id="10" w:name="_Toc435186166"/>
      <w:r>
        <w:lastRenderedPageBreak/>
        <w:t xml:space="preserve">Feedback </w:t>
      </w:r>
      <w:r w:rsidR="008F01FD">
        <w:t xml:space="preserve">received from RoLR Plan participants on </w:t>
      </w:r>
      <w:r>
        <w:t>the exercise</w:t>
      </w:r>
      <w:bookmarkEnd w:id="10"/>
    </w:p>
    <w:p w:rsidR="001217A1" w:rsidRDefault="000C189F" w:rsidP="001217A1">
      <w:r>
        <w:t>The AER received feedback on the exercise and documents from each category of RoLR Plan participant: energy departments, energy Ombudsmen, registered RoLRs, electricity distributors</w:t>
      </w:r>
      <w:r w:rsidR="0009463E">
        <w:t xml:space="preserve"> and AEMO</w:t>
      </w:r>
      <w:r>
        <w:t>.</w:t>
      </w:r>
      <w:r w:rsidR="002B771B">
        <w:t xml:space="preserve"> </w:t>
      </w:r>
      <w:r w:rsidR="00706913">
        <w:t>The key feedback on the RoLR exercise was:</w:t>
      </w:r>
    </w:p>
    <w:p w:rsidR="00706913" w:rsidRPr="001217A1" w:rsidRDefault="002B771B" w:rsidP="00EB0374">
      <w:pPr>
        <w:pStyle w:val="Bulletpoint"/>
        <w:numPr>
          <w:ilvl w:val="0"/>
          <w:numId w:val="0"/>
        </w:numPr>
        <w:ind w:left="357"/>
      </w:pPr>
      <w:r>
        <w:t xml:space="preserve"> </w:t>
      </w:r>
    </w:p>
    <w:tbl>
      <w:tblPr>
        <w:tblStyle w:val="AERTable-Text"/>
        <w:tblW w:w="0" w:type="auto"/>
        <w:tblLook w:val="04A0" w:firstRow="1" w:lastRow="0" w:firstColumn="1" w:lastColumn="0" w:noHBand="0" w:noVBand="1"/>
      </w:tblPr>
      <w:tblGrid>
        <w:gridCol w:w="2780"/>
        <w:gridCol w:w="2888"/>
        <w:gridCol w:w="2888"/>
      </w:tblGrid>
      <w:tr w:rsidR="00BF78E1" w:rsidRPr="00796046" w:rsidTr="006E6C3F">
        <w:trPr>
          <w:cnfStyle w:val="100000000000" w:firstRow="1" w:lastRow="0" w:firstColumn="0" w:lastColumn="0" w:oddVBand="0" w:evenVBand="0" w:oddHBand="0" w:evenHBand="0" w:firstRowFirstColumn="0" w:firstRowLastColumn="0" w:lastRowFirstColumn="0" w:lastRowLastColumn="0"/>
        </w:trPr>
        <w:tc>
          <w:tcPr>
            <w:tcW w:w="2780" w:type="dxa"/>
          </w:tcPr>
          <w:p w:rsidR="00BF78E1" w:rsidRPr="00BF78E1" w:rsidRDefault="00BF78E1" w:rsidP="00BF78E1">
            <w:pPr>
              <w:pStyle w:val="TableHeading"/>
            </w:pPr>
            <w:r>
              <w:t xml:space="preserve">Participant feedback </w:t>
            </w:r>
          </w:p>
        </w:tc>
        <w:tc>
          <w:tcPr>
            <w:tcW w:w="2888" w:type="dxa"/>
          </w:tcPr>
          <w:p w:rsidR="00BF78E1" w:rsidRPr="00BF78E1" w:rsidRDefault="00BF78E1" w:rsidP="00BF78E1"/>
        </w:tc>
        <w:tc>
          <w:tcPr>
            <w:tcW w:w="2888" w:type="dxa"/>
          </w:tcPr>
          <w:p w:rsidR="00BF78E1" w:rsidRPr="00BF78E1" w:rsidRDefault="00BF78E1" w:rsidP="00BF78E1">
            <w:r>
              <w:t>AER Response</w:t>
            </w:r>
          </w:p>
        </w:tc>
      </w:tr>
      <w:tr w:rsidR="00BF78E1" w:rsidRPr="00796046" w:rsidTr="006E6C3F">
        <w:tc>
          <w:tcPr>
            <w:tcW w:w="2780" w:type="dxa"/>
          </w:tcPr>
          <w:p w:rsidR="00BF78E1" w:rsidRPr="00BF78E1" w:rsidRDefault="00E57CED" w:rsidP="00B506BC">
            <w:pPr>
              <w:pStyle w:val="Tabletext"/>
            </w:pPr>
            <w:r>
              <w:t>Gas retailers of last resort noted th</w:t>
            </w:r>
            <w:r w:rsidR="008573A2">
              <w:t xml:space="preserve">e importance of receiving up-to-date load information of the failing retailer </w:t>
            </w:r>
            <w:r w:rsidR="00D63892">
              <w:t xml:space="preserve">(in de-identified form) </w:t>
            </w:r>
            <w:r w:rsidR="008573A2">
              <w:t xml:space="preserve">as early as possible, in order to </w:t>
            </w:r>
            <w:r>
              <w:t>advise the AER on whether or not they would need the AER to issue gas directions under section 137 of the Retail Law</w:t>
            </w:r>
            <w:r w:rsidR="00D63892">
              <w:t xml:space="preserve">, and to assist them in planning and forecasting. </w:t>
            </w:r>
            <w:r>
              <w:t xml:space="preserve"> </w:t>
            </w:r>
            <w:r w:rsidR="00165532">
              <w:t xml:space="preserve">They indicated that this information would need to be more current than the </w:t>
            </w:r>
            <w:r w:rsidR="007E31A1">
              <w:t>validated data available to the AER from the Market Information Bulletin Board</w:t>
            </w:r>
            <w:r w:rsidR="00D63892">
              <w:t>, which is well over a month old by the time the AER receives it</w:t>
            </w:r>
            <w:r w:rsidR="007E31A1">
              <w:t>.</w:t>
            </w:r>
            <w:r>
              <w:t xml:space="preserve"> </w:t>
            </w:r>
            <w:r w:rsidR="007E31A1">
              <w:t xml:space="preserve"> </w:t>
            </w:r>
            <w:r w:rsidR="00D63892">
              <w:t>Participants noted that up-to-date load data will not have been validated by AEMO</w:t>
            </w:r>
            <w:r w:rsidR="00B506BC">
              <w:t xml:space="preserve">.  </w:t>
            </w:r>
            <w:r w:rsidR="00D63892">
              <w:t xml:space="preserve"> </w:t>
            </w:r>
          </w:p>
        </w:tc>
        <w:tc>
          <w:tcPr>
            <w:tcW w:w="2888" w:type="dxa"/>
          </w:tcPr>
          <w:p w:rsidR="00BF78E1" w:rsidRPr="00BF78E1" w:rsidRDefault="00BF78E1" w:rsidP="00BF78E1">
            <w:pPr>
              <w:pStyle w:val="Tabletext-right"/>
            </w:pPr>
          </w:p>
        </w:tc>
        <w:tc>
          <w:tcPr>
            <w:tcW w:w="2888" w:type="dxa"/>
          </w:tcPr>
          <w:p w:rsidR="00AE5125" w:rsidRPr="00796046" w:rsidRDefault="0040576E" w:rsidP="0040576E">
            <w:r w:rsidRPr="0040576E">
              <w:t>The AER notes that load information is confidential information, and is unlikely to be released by AEMO directly to designated RoLRs until the failed retailer has been suspended from the wholesale gas market.  However, Division 3 of Part 8 of the Retail Law enables the AER to disclose confidential information in certain circumstances.</w:t>
            </w:r>
            <w:r>
              <w:t xml:space="preserve">  </w:t>
            </w:r>
            <w:r w:rsidR="00D63892">
              <w:t xml:space="preserve">In an impending gas RoLR event, the AER will seek up-to-date </w:t>
            </w:r>
            <w:r w:rsidR="00565F65">
              <w:t xml:space="preserve">(ie, unvalidated) </w:t>
            </w:r>
            <w:r w:rsidR="00D63892">
              <w:t xml:space="preserve">load data from AEMO to provide to gas retailers of last resort.  Any disclosures that the AER makes will be subject to conditions of confidentiality which retailers will need to agree to prior to receiving any load information.  These conditions would include </w:t>
            </w:r>
            <w:r w:rsidR="00565F65">
              <w:t xml:space="preserve">conditions </w:t>
            </w:r>
            <w:r w:rsidR="00AE5125">
              <w:t>limiting the</w:t>
            </w:r>
            <w:r w:rsidR="00D63892">
              <w:t xml:space="preserve"> retailer's </w:t>
            </w:r>
            <w:r w:rsidR="00AE5125">
              <w:t xml:space="preserve">use of the information to the </w:t>
            </w:r>
            <w:r w:rsidR="00565F65">
              <w:t xml:space="preserve">anticipated </w:t>
            </w:r>
            <w:r w:rsidR="00AE5125">
              <w:t>RoLR event, and requiring the destruction of the information if a RoLR event does not eventuate.</w:t>
            </w:r>
          </w:p>
        </w:tc>
      </w:tr>
      <w:tr w:rsidR="00870F24" w:rsidRPr="00796046" w:rsidTr="006E6C3F">
        <w:trPr>
          <w:cnfStyle w:val="000000010000" w:firstRow="0" w:lastRow="0" w:firstColumn="0" w:lastColumn="0" w:oddVBand="0" w:evenVBand="0" w:oddHBand="0" w:evenHBand="1" w:firstRowFirstColumn="0" w:firstRowLastColumn="0" w:lastRowFirstColumn="0" w:lastRowLastColumn="0"/>
        </w:trPr>
        <w:tc>
          <w:tcPr>
            <w:tcW w:w="2780" w:type="dxa"/>
          </w:tcPr>
          <w:p w:rsidR="00870F24" w:rsidRDefault="00AE5125" w:rsidP="00EA158A">
            <w:r>
              <w:t xml:space="preserve">When the AER first contacts registered RoLRs with non-firm offers to seek their advice on whether they are willing to be designated as RoLR for any customers of </w:t>
            </w:r>
            <w:r>
              <w:lastRenderedPageBreak/>
              <w:t xml:space="preserve">the failed retailer, the AER should at this stage ask them to advise whether or not they require any section 137 gas directions to support their offer, rather than inquiring once an offer has been made.  </w:t>
            </w:r>
          </w:p>
        </w:tc>
        <w:tc>
          <w:tcPr>
            <w:tcW w:w="2888" w:type="dxa"/>
          </w:tcPr>
          <w:p w:rsidR="00870F24" w:rsidRPr="00796046" w:rsidRDefault="00870F24" w:rsidP="00BF78E1"/>
        </w:tc>
        <w:tc>
          <w:tcPr>
            <w:tcW w:w="2888" w:type="dxa"/>
          </w:tcPr>
          <w:p w:rsidR="00870F24" w:rsidRDefault="00EA158A" w:rsidP="00BF78E1">
            <w:r>
              <w:t xml:space="preserve">The AER has amended its templates to ensure that section 137 gas direction issues are addressed in the AER's initial contact with </w:t>
            </w:r>
            <w:r>
              <w:lastRenderedPageBreak/>
              <w:t xml:space="preserve">additional and default RoLRs.   </w:t>
            </w:r>
          </w:p>
        </w:tc>
      </w:tr>
      <w:tr w:rsidR="00870F24" w:rsidRPr="00796046" w:rsidTr="006E6C3F">
        <w:tc>
          <w:tcPr>
            <w:tcW w:w="2780" w:type="dxa"/>
          </w:tcPr>
          <w:p w:rsidR="00870F24" w:rsidRDefault="00EA158A" w:rsidP="00EA158A">
            <w:pPr>
              <w:pStyle w:val="Tabletext"/>
            </w:pPr>
            <w:r>
              <w:lastRenderedPageBreak/>
              <w:t xml:space="preserve">Gas retailers of last resort queried what measures might be used to </w:t>
            </w:r>
            <w:r w:rsidR="00AE5125" w:rsidRPr="00AE5125">
              <w:t>gain visibility over the failed retailer</w:t>
            </w:r>
            <w:r>
              <w:t>'</w:t>
            </w:r>
            <w:r w:rsidR="00AE5125" w:rsidRPr="00AE5125">
              <w:t>s terms and pricing that would underpin a s</w:t>
            </w:r>
            <w:r>
              <w:t xml:space="preserve">ection </w:t>
            </w:r>
            <w:r w:rsidR="00AE5125" w:rsidRPr="00AE5125">
              <w:t xml:space="preserve">137 </w:t>
            </w:r>
            <w:r>
              <w:t xml:space="preserve">gas </w:t>
            </w:r>
            <w:r w:rsidR="00AE5125" w:rsidRPr="00AE5125">
              <w:t>direction</w:t>
            </w:r>
            <w:r>
              <w:t xml:space="preserve">, and the timing around this.  </w:t>
            </w:r>
          </w:p>
        </w:tc>
        <w:tc>
          <w:tcPr>
            <w:tcW w:w="2888" w:type="dxa"/>
          </w:tcPr>
          <w:p w:rsidR="00870F24" w:rsidRPr="00796046" w:rsidRDefault="00870F24" w:rsidP="00BF78E1"/>
        </w:tc>
        <w:tc>
          <w:tcPr>
            <w:tcW w:w="2888" w:type="dxa"/>
          </w:tcPr>
          <w:p w:rsidR="00870F24" w:rsidRDefault="00EA158A" w:rsidP="00FA35C1">
            <w:r>
              <w:t>Unless the failed retailer is willing to provide the AER with information on the terms and conditions of its gas supply</w:t>
            </w:r>
            <w:r w:rsidR="005B31DE">
              <w:t xml:space="preserve"> and haulage</w:t>
            </w:r>
            <w:r>
              <w:t xml:space="preserve"> contracts, the AER would need to use compulsive powers to obtain </w:t>
            </w:r>
            <w:r w:rsidR="005B31DE">
              <w:t xml:space="preserve">its </w:t>
            </w:r>
            <w:r>
              <w:t>contracts.   Without the full cooperation of the failed retailer, it is likely to take some time for the AER to obtain the terms and conditions of the gas contract</w:t>
            </w:r>
            <w:r w:rsidR="005B31DE">
              <w:t>s</w:t>
            </w:r>
            <w:r>
              <w:t xml:space="preserve">, and, if necessary, to specify under section 137(6) of the Retail Law terms and conditions that better accord with those that prevail in the market.  The AER is </w:t>
            </w:r>
            <w:r w:rsidR="0078614B">
              <w:t xml:space="preserve">very </w:t>
            </w:r>
            <w:r>
              <w:t xml:space="preserve">unlikely to be in a position to make this assessment at the time of issuing the RoLR notice.  An amendment to the RoLR notice to specify terms and conditions </w:t>
            </w:r>
            <w:r w:rsidR="005B31DE">
              <w:t>that better accord with prevailing market conditions may</w:t>
            </w:r>
            <w:r>
              <w:t xml:space="preserve"> take some time.  </w:t>
            </w:r>
          </w:p>
        </w:tc>
      </w:tr>
      <w:tr w:rsidR="00A95465" w:rsidRPr="00796046" w:rsidTr="006E6C3F">
        <w:trPr>
          <w:cnfStyle w:val="000000010000" w:firstRow="0" w:lastRow="0" w:firstColumn="0" w:lastColumn="0" w:oddVBand="0" w:evenVBand="0" w:oddHBand="0" w:evenHBand="1" w:firstRowFirstColumn="0" w:firstRowLastColumn="0" w:lastRowFirstColumn="0" w:lastRowLastColumn="0"/>
        </w:trPr>
        <w:tc>
          <w:tcPr>
            <w:tcW w:w="2780" w:type="dxa"/>
          </w:tcPr>
          <w:p w:rsidR="00A95465" w:rsidRDefault="00AE5125" w:rsidP="00EA158A">
            <w:pPr>
              <w:pStyle w:val="Tabletext"/>
            </w:pPr>
            <w:r>
              <w:t>The AER's notification to participants that a suspension from the STTM has occurred</w:t>
            </w:r>
            <w:r w:rsidR="00EA158A">
              <w:t>, and the AER's RoLR notice,</w:t>
            </w:r>
            <w:r>
              <w:t xml:space="preserve"> should explain the term 'gas day'.  </w:t>
            </w:r>
          </w:p>
        </w:tc>
        <w:tc>
          <w:tcPr>
            <w:tcW w:w="2888" w:type="dxa"/>
          </w:tcPr>
          <w:p w:rsidR="00A95465" w:rsidRPr="00796046" w:rsidRDefault="00A95465" w:rsidP="00BF78E1"/>
        </w:tc>
        <w:tc>
          <w:tcPr>
            <w:tcW w:w="2888" w:type="dxa"/>
          </w:tcPr>
          <w:p w:rsidR="00A95465" w:rsidRDefault="00EA158A" w:rsidP="00E026E4">
            <w:r>
              <w:t xml:space="preserve">The AER agrees, and will </w:t>
            </w:r>
            <w:r w:rsidR="00E026E4">
              <w:t xml:space="preserve">explain </w:t>
            </w:r>
            <w:r>
              <w:t xml:space="preserve">the term "gas day" </w:t>
            </w:r>
            <w:r w:rsidR="00E026E4">
              <w:t>in its communications, and will define the term in the RoLR Notice.  The AER will use the definition of "gas day" in rule 364 of the National Gas Rules</w:t>
            </w:r>
            <w:r w:rsidR="00AE5125">
              <w:t xml:space="preserve">. </w:t>
            </w:r>
          </w:p>
        </w:tc>
      </w:tr>
      <w:tr w:rsidR="00CF437C" w:rsidRPr="00796046" w:rsidTr="006E6C3F">
        <w:tc>
          <w:tcPr>
            <w:tcW w:w="2780" w:type="dxa"/>
          </w:tcPr>
          <w:p w:rsidR="00CF437C" w:rsidRDefault="00E026E4" w:rsidP="00E026E4">
            <w:r>
              <w:t xml:space="preserve">RoLRs do not require information on the total number of MIRNs or load on a gas distribution system, </w:t>
            </w:r>
            <w:r>
              <w:lastRenderedPageBreak/>
              <w:t xml:space="preserve">but information on the failed retailer's </w:t>
            </w:r>
            <w:r w:rsidR="00B05718" w:rsidRPr="00B05718">
              <w:t>‘MIRN to customer count’ would be usefu</w:t>
            </w:r>
            <w:r>
              <w:t xml:space="preserve">l.  This information assists RoLRs to determine the </w:t>
            </w:r>
            <w:r w:rsidR="00B05718" w:rsidRPr="00B05718">
              <w:t>number of accounts to set up</w:t>
            </w:r>
            <w:r>
              <w:t xml:space="preserve"> </w:t>
            </w:r>
            <w:r w:rsidR="00B05718" w:rsidRPr="00B05718">
              <w:t>and whether or not there are potentially large multi-site customers</w:t>
            </w:r>
            <w:r>
              <w:t xml:space="preserve"> being transferred to them.  </w:t>
            </w:r>
          </w:p>
        </w:tc>
        <w:tc>
          <w:tcPr>
            <w:tcW w:w="2888" w:type="dxa"/>
          </w:tcPr>
          <w:p w:rsidR="00CF437C" w:rsidRPr="00796046" w:rsidRDefault="00CF437C" w:rsidP="00BF78E1"/>
        </w:tc>
        <w:tc>
          <w:tcPr>
            <w:tcW w:w="2888" w:type="dxa"/>
          </w:tcPr>
          <w:p w:rsidR="00CF437C" w:rsidRDefault="00686A51" w:rsidP="00686A51">
            <w:r>
              <w:t xml:space="preserve">The AER is unable to provide an exact 'MIRN to customer' count, but will be able to draw on information provided to us </w:t>
            </w:r>
            <w:r>
              <w:lastRenderedPageBreak/>
              <w:t xml:space="preserve">through our retail performance reporting RoLR.  The AER receives customer count information from retailers on a quarterly basis, which is broken down by residential, small business and large gas customers.  While this information will not be up-to-date at the time of any RoLR event, it should provide a reasonable indication of the breakdown of affected customers and the 'MIRN to customer' count.  </w:t>
            </w:r>
          </w:p>
        </w:tc>
      </w:tr>
      <w:tr w:rsidR="004801CF" w:rsidRPr="00796046" w:rsidTr="006E6C3F">
        <w:trPr>
          <w:cnfStyle w:val="000000010000" w:firstRow="0" w:lastRow="0" w:firstColumn="0" w:lastColumn="0" w:oddVBand="0" w:evenVBand="0" w:oddHBand="0" w:evenHBand="1" w:firstRowFirstColumn="0" w:firstRowLastColumn="0" w:lastRowFirstColumn="0" w:lastRowLastColumn="0"/>
        </w:trPr>
        <w:tc>
          <w:tcPr>
            <w:tcW w:w="2780" w:type="dxa"/>
          </w:tcPr>
          <w:p w:rsidR="00B05718" w:rsidRPr="008E3AE2" w:rsidRDefault="00053832" w:rsidP="00053832">
            <w:pPr>
              <w:rPr>
                <w:lang w:val="en-US"/>
              </w:rPr>
            </w:pPr>
            <w:r>
              <w:lastRenderedPageBreak/>
              <w:t xml:space="preserve">When load and customer information is provided to RoLRs, it would be useful if the AER could also provide </w:t>
            </w:r>
            <w:r w:rsidR="008E3AE2">
              <w:t xml:space="preserve">information on the commercial and industrial and mass market customer counts.   </w:t>
            </w:r>
          </w:p>
          <w:p w:rsidR="004801CF" w:rsidRDefault="004801CF" w:rsidP="00231386"/>
        </w:tc>
        <w:tc>
          <w:tcPr>
            <w:tcW w:w="2888" w:type="dxa"/>
          </w:tcPr>
          <w:p w:rsidR="004801CF" w:rsidRPr="00796046" w:rsidRDefault="004801CF" w:rsidP="00BF78E1"/>
        </w:tc>
        <w:tc>
          <w:tcPr>
            <w:tcW w:w="2888" w:type="dxa"/>
          </w:tcPr>
          <w:p w:rsidR="004801CF" w:rsidRDefault="00686A51" w:rsidP="00686A51">
            <w:r>
              <w:t xml:space="preserve">The AER is unable to provide up-to-date information on the commercial and industrial and mass market customer counts, but the information referred to above should assist RoLRs.  </w:t>
            </w:r>
          </w:p>
        </w:tc>
      </w:tr>
      <w:tr w:rsidR="00947DC1" w:rsidRPr="00796046" w:rsidTr="006E6C3F">
        <w:tc>
          <w:tcPr>
            <w:tcW w:w="2780" w:type="dxa"/>
          </w:tcPr>
          <w:p w:rsidR="00947DC1" w:rsidRDefault="00E026E4" w:rsidP="00E026E4">
            <w:r>
              <w:t xml:space="preserve">The "Frequently Asked Questions" advise customers that RoLRs will contact them within a month, however, the AER's RoLR Plan requires RoLRs to use best endeavours to contact customers </w:t>
            </w:r>
            <w:r w:rsidR="00E3375C">
              <w:t>with</w:t>
            </w:r>
            <w:r>
              <w:t xml:space="preserve">in 25 business days.  </w:t>
            </w:r>
          </w:p>
        </w:tc>
        <w:tc>
          <w:tcPr>
            <w:tcW w:w="2888" w:type="dxa"/>
          </w:tcPr>
          <w:p w:rsidR="00947DC1" w:rsidRPr="00796046" w:rsidRDefault="00947DC1" w:rsidP="00BF78E1"/>
        </w:tc>
        <w:tc>
          <w:tcPr>
            <w:tcW w:w="2888" w:type="dxa"/>
          </w:tcPr>
          <w:p w:rsidR="00947DC1" w:rsidRDefault="00E026E4" w:rsidP="00E3375C">
            <w:r>
              <w:t xml:space="preserve">The "Frequently Asked Questions" have been revised to advise customers that their RoLR will contact them within </w:t>
            </w:r>
            <w:r w:rsidR="00E3375C">
              <w:t xml:space="preserve"> </w:t>
            </w:r>
            <w:r>
              <w:t xml:space="preserve">the next five weeks.  </w:t>
            </w:r>
          </w:p>
        </w:tc>
      </w:tr>
      <w:tr w:rsidR="00CF437C" w:rsidRPr="00796046" w:rsidTr="006E6C3F">
        <w:trPr>
          <w:cnfStyle w:val="000000010000" w:firstRow="0" w:lastRow="0" w:firstColumn="0" w:lastColumn="0" w:oddVBand="0" w:evenVBand="0" w:oddHBand="0" w:evenHBand="1" w:firstRowFirstColumn="0" w:firstRowLastColumn="0" w:lastRowFirstColumn="0" w:lastRowLastColumn="0"/>
        </w:trPr>
        <w:tc>
          <w:tcPr>
            <w:tcW w:w="2780" w:type="dxa"/>
          </w:tcPr>
          <w:p w:rsidR="00CF437C" w:rsidRDefault="00053832" w:rsidP="00053832">
            <w:r>
              <w:t xml:space="preserve">To provide transparency of the </w:t>
            </w:r>
            <w:r w:rsidR="00B05718" w:rsidRPr="00B05718">
              <w:t xml:space="preserve">activities and notifications that </w:t>
            </w:r>
            <w:r>
              <w:t xml:space="preserve">would occur during a RoLR event, future </w:t>
            </w:r>
            <w:r w:rsidR="00B05718">
              <w:t xml:space="preserve">RoLR exercises </w:t>
            </w:r>
            <w:r w:rsidR="00B05718" w:rsidRPr="00B05718">
              <w:t>should be conducted as a round table forum with attendance from representatives across the industry. This would enable the AER to run through the full R</w:t>
            </w:r>
            <w:r w:rsidR="00B05718">
              <w:t>o</w:t>
            </w:r>
            <w:r w:rsidR="00B05718" w:rsidRPr="00B05718">
              <w:t>LR process with all participants aware of the activities.   Many retailers are not registered R</w:t>
            </w:r>
            <w:r>
              <w:t>o</w:t>
            </w:r>
            <w:r w:rsidR="00B05718" w:rsidRPr="00B05718">
              <w:t xml:space="preserve">LRs and have very little exposure </w:t>
            </w:r>
            <w:r w:rsidR="00B05718" w:rsidRPr="00B05718">
              <w:lastRenderedPageBreak/>
              <w:t>to R</w:t>
            </w:r>
            <w:r w:rsidR="00B05718">
              <w:t>o</w:t>
            </w:r>
            <w:r w:rsidR="00B05718" w:rsidRPr="00B05718">
              <w:t>LR processes so it is important to maximise the learning opportunity that R</w:t>
            </w:r>
            <w:r w:rsidR="00B05718">
              <w:t>o</w:t>
            </w:r>
            <w:r w:rsidR="00B05718" w:rsidRPr="00B05718">
              <w:t xml:space="preserve">LR exercises present. </w:t>
            </w:r>
          </w:p>
        </w:tc>
        <w:tc>
          <w:tcPr>
            <w:tcW w:w="2888" w:type="dxa"/>
          </w:tcPr>
          <w:p w:rsidR="00CF437C" w:rsidRPr="00796046" w:rsidRDefault="00CF437C" w:rsidP="00BF78E1"/>
        </w:tc>
        <w:tc>
          <w:tcPr>
            <w:tcW w:w="2888" w:type="dxa"/>
          </w:tcPr>
          <w:p w:rsidR="00CF437C" w:rsidRDefault="00053832" w:rsidP="00396CE1">
            <w:r>
              <w:t xml:space="preserve">This report is designed to provide some transparency of the activities and notifications that would occur during a RoLR event.  The AER will conduct a 'round table' style exercise at </w:t>
            </w:r>
            <w:r w:rsidR="00396CE1">
              <w:t>one of its future exercises</w:t>
            </w:r>
            <w:r>
              <w:t xml:space="preserve">.  The AER will give consideration as to whether retailers that are not registered RoLRs should be required to attend.  As retailers that are not registered RoLRs have </w:t>
            </w:r>
            <w:r w:rsidR="00396CE1">
              <w:t xml:space="preserve">fewer </w:t>
            </w:r>
            <w:r>
              <w:t xml:space="preserve">obligations in a RoLR event (such as cancelling customer </w:t>
            </w:r>
            <w:r>
              <w:lastRenderedPageBreak/>
              <w:t xml:space="preserve">transfers to the failed retailer, and advising the affected customers) it may be more effective for the AER to communicate these obligations to retailers that are not registered RoLRs when circulating its RoLR notice.  </w:t>
            </w:r>
            <w:r w:rsidR="00396CE1">
              <w:t xml:space="preserve">Given the nature of these obligations, the attendance of non-RoLR retailers at RoLR exercises may not be necessary.  </w:t>
            </w:r>
          </w:p>
        </w:tc>
      </w:tr>
    </w:tbl>
    <w:p w:rsidR="0018334C" w:rsidRDefault="0018334C" w:rsidP="0018334C"/>
    <w:p w:rsidR="00BF78E1" w:rsidRDefault="00BF78E1" w:rsidP="0018334C"/>
    <w:p w:rsidR="00C603CE" w:rsidRDefault="00C603CE" w:rsidP="0018334C">
      <w:pPr>
        <w:pStyle w:val="Heading2"/>
      </w:pPr>
      <w:bookmarkStart w:id="11" w:name="_Toc435186167"/>
      <w:r>
        <w:t>AER next steps</w:t>
      </w:r>
      <w:bookmarkEnd w:id="11"/>
    </w:p>
    <w:p w:rsidR="00763D5D" w:rsidRDefault="00763D5D" w:rsidP="00C603CE">
      <w:r>
        <w:t xml:space="preserve">The AER </w:t>
      </w:r>
      <w:r w:rsidR="00396CE1">
        <w:t xml:space="preserve">has revised </w:t>
      </w:r>
      <w:r>
        <w:t xml:space="preserve">its RoLR processes and templates to address the feedback received from </w:t>
      </w:r>
      <w:r w:rsidR="00396CE1">
        <w:t xml:space="preserve">gas </w:t>
      </w:r>
      <w:r>
        <w:t>RoLR plan participants.</w:t>
      </w:r>
      <w:r w:rsidR="002B771B">
        <w:t xml:space="preserve"> </w:t>
      </w:r>
      <w:r w:rsidR="00A87CC4">
        <w:t xml:space="preserve"> </w:t>
      </w:r>
      <w:r w:rsidR="00396CE1">
        <w:t xml:space="preserve">The AER will consider the format of the next RoLR exercise, including whether to have gas and electricity specific exercises, or a combined exercise.  </w:t>
      </w:r>
    </w:p>
    <w:p w:rsidR="00763D5D" w:rsidRPr="00C603CE" w:rsidRDefault="00763D5D" w:rsidP="00C603CE"/>
    <w:p w:rsidR="0018334C" w:rsidRDefault="0018334C" w:rsidP="0018334C">
      <w:pPr>
        <w:pStyle w:val="Heading2"/>
      </w:pPr>
      <w:bookmarkStart w:id="12" w:name="_Toc435186168"/>
      <w:r>
        <w:t xml:space="preserve">Further </w:t>
      </w:r>
      <w:r w:rsidR="00560280">
        <w:t xml:space="preserve">gas </w:t>
      </w:r>
      <w:r>
        <w:t>RoLR information</w:t>
      </w:r>
      <w:bookmarkEnd w:id="12"/>
    </w:p>
    <w:p w:rsidR="0018334C" w:rsidRDefault="0018334C" w:rsidP="0018334C"/>
    <w:p w:rsidR="00F07609" w:rsidRDefault="0018334C" w:rsidP="0018334C">
      <w:r w:rsidRPr="00212908">
        <w:t xml:space="preserve">National Energy Retail Law: </w:t>
      </w:r>
    </w:p>
    <w:p w:rsidR="00396CE1" w:rsidRDefault="00D01334" w:rsidP="0018334C">
      <w:hyperlink r:id="rId15" w:history="1">
        <w:r w:rsidR="00396CE1" w:rsidRPr="00AA4112">
          <w:rPr>
            <w:rStyle w:val="Hyperlink"/>
          </w:rPr>
          <w:t>https://www.legislation.sa.gov.au/LZ/C/A/NATIONAL%20ENERGY%20RETAIL%20LAW%20(SOUTH%20AUSTRALIA)%20ACT%202011/CURRENT/2011.6.UN.PDF</w:t>
        </w:r>
      </w:hyperlink>
      <w:r w:rsidR="00396CE1">
        <w:t xml:space="preserve"> </w:t>
      </w:r>
    </w:p>
    <w:p w:rsidR="00396CE1" w:rsidRDefault="0018334C" w:rsidP="0018334C">
      <w:r w:rsidRPr="00051332">
        <w:t xml:space="preserve">AER RoLR Guidelines and RoLR plan: </w:t>
      </w:r>
      <w:hyperlink r:id="rId16" w:history="1">
        <w:r w:rsidR="00396CE1" w:rsidRPr="00AA4112">
          <w:rPr>
            <w:rStyle w:val="Hyperlink"/>
          </w:rPr>
          <w:t>https://www.aer.gov.au/retail-markets/retailer-failure</w:t>
        </w:r>
      </w:hyperlink>
      <w:r w:rsidR="00396CE1">
        <w:t xml:space="preserve"> </w:t>
      </w:r>
    </w:p>
    <w:p w:rsidR="0018334C" w:rsidRPr="00E40E79" w:rsidRDefault="0018334C" w:rsidP="0018334C">
      <w:r>
        <w:t xml:space="preserve">AER </w:t>
      </w:r>
      <w:r w:rsidRPr="00051332">
        <w:t xml:space="preserve">RoLR email contact: </w:t>
      </w:r>
      <w:hyperlink r:id="rId17" w:history="1">
        <w:r w:rsidRPr="00212908">
          <w:rPr>
            <w:rStyle w:val="Hyperlink"/>
          </w:rPr>
          <w:t>AERRoLR@aer.gov.au</w:t>
        </w:r>
      </w:hyperlink>
    </w:p>
    <w:p w:rsidR="0018334C" w:rsidRDefault="0018334C" w:rsidP="0018334C">
      <w:r w:rsidRPr="00051332">
        <w:t>AEMO</w:t>
      </w:r>
      <w:r w:rsidR="00F07609">
        <w:t xml:space="preserve"> </w:t>
      </w:r>
      <w:r w:rsidR="00560280">
        <w:t>gas retail market procedures</w:t>
      </w:r>
      <w:r>
        <w:t xml:space="preserve">: </w:t>
      </w:r>
      <w:hyperlink r:id="rId18" w:history="1">
        <w:r w:rsidR="00396CE1" w:rsidRPr="00AA4112">
          <w:rPr>
            <w:rStyle w:val="Hyperlink"/>
          </w:rPr>
          <w:t>http://www.aemo.com.au/Gas/Policies-and-Procedures/Retail-Gas-Market-Procedures</w:t>
        </w:r>
      </w:hyperlink>
      <w:r w:rsidR="00396CE1">
        <w:t xml:space="preserve"> </w:t>
      </w:r>
    </w:p>
    <w:sectPr w:rsidR="0018334C" w:rsidSect="00E137FB">
      <w:footerReference w:type="even" r:id="rId19"/>
      <w:footerReference w:type="default" r:id="rId20"/>
      <w:footerReference w:type="first" r:id="rId21"/>
      <w:pgSz w:w="11906" w:h="16838"/>
      <w:pgMar w:top="1440" w:right="1440" w:bottom="1440" w:left="1440" w:header="708" w:footer="8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3ECF" w:rsidRDefault="00823ECF" w:rsidP="004B4412">
      <w:pPr>
        <w:spacing w:before="0"/>
      </w:pPr>
      <w:r>
        <w:separator/>
      </w:r>
    </w:p>
    <w:p w:rsidR="00823ECF" w:rsidRDefault="00823ECF"/>
    <w:p w:rsidR="00823ECF" w:rsidRDefault="00823ECF"/>
  </w:endnote>
  <w:endnote w:type="continuationSeparator" w:id="0">
    <w:p w:rsidR="00823ECF" w:rsidRDefault="00823ECF" w:rsidP="004B4412">
      <w:pPr>
        <w:spacing w:before="0"/>
      </w:pPr>
      <w:r>
        <w:continuationSeparator/>
      </w:r>
    </w:p>
    <w:p w:rsidR="00823ECF" w:rsidRDefault="00823ECF"/>
    <w:p w:rsidR="00823ECF" w:rsidRDefault="00823EC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3ECF" w:rsidRPr="007A4D1F" w:rsidRDefault="00823ECF" w:rsidP="007A4D1F">
    <w:pPr>
      <w:tabs>
        <w:tab w:val="left" w:pos="1623"/>
        <w:tab w:val="center" w:pos="4513"/>
        <w:tab w:val="right" w:pos="9026"/>
      </w:tabs>
      <w:spacing w:after="120"/>
      <w:rPr>
        <w:rFonts w:eastAsia="Arial" w:cs="Times New Roman"/>
        <w:color w:val="076A92" w:themeColor="text1"/>
        <w:sz w:val="18"/>
      </w:rPr>
    </w:pPr>
    <w:r>
      <w:rPr>
        <w:rFonts w:eastAsia="Arial" w:cs="Times New Roman"/>
        <w:color w:val="076A92" w:themeColor="text1"/>
        <w:sz w:val="18"/>
      </w:rPr>
      <w:fldChar w:fldCharType="begin"/>
    </w:r>
    <w:r>
      <w:rPr>
        <w:rFonts w:eastAsia="Arial" w:cs="Times New Roman"/>
        <w:color w:val="076A92" w:themeColor="text1"/>
        <w:sz w:val="18"/>
      </w:rPr>
      <w:instrText xml:space="preserve"> STYLEREF  "Report Title"  \* MERGEFORMAT </w:instrText>
    </w:r>
    <w:r>
      <w:rPr>
        <w:rFonts w:eastAsia="Arial" w:cs="Times New Roman"/>
        <w:color w:val="076A92" w:themeColor="text1"/>
        <w:sz w:val="18"/>
      </w:rPr>
      <w:fldChar w:fldCharType="separate"/>
    </w:r>
    <w:r w:rsidR="00D01334" w:rsidRPr="00D01334">
      <w:rPr>
        <w:rFonts w:eastAsia="Arial" w:cs="Times New Roman"/>
        <w:b/>
        <w:bCs/>
        <w:noProof/>
        <w:color w:val="076A92" w:themeColor="text1"/>
        <w:sz w:val="18"/>
        <w:lang w:val="en-US"/>
      </w:rPr>
      <w:t>Gas industry RoLR</w:t>
    </w:r>
    <w:r w:rsidR="00D01334">
      <w:rPr>
        <w:rFonts w:eastAsia="Arial" w:cs="Times New Roman"/>
        <w:noProof/>
        <w:color w:val="076A92" w:themeColor="text1"/>
        <w:sz w:val="18"/>
      </w:rPr>
      <w:t xml:space="preserve"> exercise report</w:t>
    </w:r>
    <w:r>
      <w:rPr>
        <w:rFonts w:eastAsia="Arial" w:cs="Times New Roman"/>
        <w:color w:val="076A92" w:themeColor="text1"/>
        <w:sz w:val="18"/>
      </w:rPr>
      <w:fldChar w:fldCharType="end"/>
    </w:r>
    <w:r w:rsidRPr="007A4D1F">
      <w:rPr>
        <w:rFonts w:eastAsia="Arial" w:cs="Times New Roman"/>
        <w:color w:val="076A92" w:themeColor="text1"/>
        <w:sz w:val="18"/>
      </w:rPr>
      <w:tab/>
    </w:r>
    <w:r w:rsidRPr="007A4D1F">
      <w:rPr>
        <w:rFonts w:eastAsia="Arial" w:cs="Times New Roman"/>
        <w:color w:val="076A92" w:themeColor="text1"/>
        <w:sz w:val="18"/>
      </w:rPr>
      <w:tab/>
    </w:r>
    <w:r w:rsidRPr="007A4D1F">
      <w:rPr>
        <w:rFonts w:eastAsia="Arial" w:cs="Times New Roman"/>
        <w:color w:val="076A92" w:themeColor="text1"/>
        <w:sz w:val="18"/>
      </w:rPr>
      <w:tab/>
    </w:r>
    <w:r w:rsidRPr="007A4D1F">
      <w:rPr>
        <w:rFonts w:eastAsia="Arial" w:cs="Times New Roman"/>
        <w:color w:val="076A92" w:themeColor="text1"/>
        <w:sz w:val="18"/>
      </w:rPr>
      <w:fldChar w:fldCharType="begin"/>
    </w:r>
    <w:r w:rsidRPr="007A4D1F">
      <w:rPr>
        <w:rFonts w:eastAsia="Arial" w:cs="Times New Roman"/>
        <w:color w:val="076A92" w:themeColor="text1"/>
        <w:sz w:val="18"/>
      </w:rPr>
      <w:instrText xml:space="preserve"> PAGE   \* MERGEFORMAT </w:instrText>
    </w:r>
    <w:r w:rsidRPr="007A4D1F">
      <w:rPr>
        <w:rFonts w:eastAsia="Arial" w:cs="Times New Roman"/>
        <w:color w:val="076A92" w:themeColor="text1"/>
        <w:sz w:val="18"/>
      </w:rPr>
      <w:fldChar w:fldCharType="separate"/>
    </w:r>
    <w:r w:rsidR="00D01334">
      <w:rPr>
        <w:rFonts w:eastAsia="Arial" w:cs="Times New Roman"/>
        <w:noProof/>
        <w:color w:val="076A92" w:themeColor="text1"/>
        <w:sz w:val="18"/>
      </w:rPr>
      <w:t>i</w:t>
    </w:r>
    <w:r w:rsidRPr="007A4D1F">
      <w:rPr>
        <w:rFonts w:eastAsia="Arial" w:cs="Times New Roman"/>
        <w:noProof/>
        <w:color w:val="076A92" w:themeColor="text1"/>
        <w:sz w:val="18"/>
      </w:rPr>
      <w:fldChar w:fldCharType="end"/>
    </w:r>
    <w:r w:rsidRPr="007A4D1F">
      <w:rPr>
        <w:rFonts w:eastAsia="Arial" w:cs="Times New Roman"/>
        <w:color w:val="076A92" w:themeColor="text1"/>
        <w:sz w:val="18"/>
      </w:rPr>
      <w:tab/>
    </w:r>
  </w:p>
  <w:p w:rsidR="00823ECF" w:rsidRDefault="00823ECF" w:rsidP="00A60023">
    <w:pPr>
      <w:pStyle w:val="Footer"/>
      <w:tabs>
        <w:tab w:val="clear" w:pos="4513"/>
        <w:tab w:val="clear" w:pos="9026"/>
        <w:tab w:val="left" w:pos="855"/>
      </w:tabs>
    </w:pP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3ECF" w:rsidRPr="00A91A9E" w:rsidRDefault="00823ECF" w:rsidP="006E6C3F">
    <w:pPr>
      <w:pBdr>
        <w:top w:val="single" w:sz="2" w:space="1" w:color="auto"/>
      </w:pBdr>
      <w:tabs>
        <w:tab w:val="right" w:pos="8448"/>
      </w:tabs>
      <w:rPr>
        <w:rStyle w:val="PageNumber"/>
      </w:rPr>
    </w:pPr>
    <w:r w:rsidRPr="00A91A9E">
      <w:rPr>
        <w:rStyle w:val="PageNumber"/>
      </w:rPr>
      <w:fldChar w:fldCharType="begin"/>
    </w:r>
    <w:r w:rsidRPr="00A91A9E">
      <w:rPr>
        <w:rStyle w:val="PageNumber"/>
      </w:rPr>
      <w:instrText xml:space="preserve"> PAGE   \* MERGEFORMAT </w:instrText>
    </w:r>
    <w:r w:rsidRPr="00A91A9E">
      <w:rPr>
        <w:rStyle w:val="PageNumber"/>
      </w:rPr>
      <w:fldChar w:fldCharType="separate"/>
    </w:r>
    <w:r>
      <w:rPr>
        <w:rStyle w:val="PageNumber"/>
        <w:noProof/>
      </w:rPr>
      <w:t>2</w:t>
    </w:r>
    <w:r w:rsidRPr="00A91A9E">
      <w:rPr>
        <w:rStyle w:val="PageNumber"/>
      </w:rPr>
      <w:fldChar w:fldCharType="end"/>
    </w:r>
    <w:r w:rsidRPr="00A91A9E">
      <w:rPr>
        <w:rStyle w:val="PageNumber"/>
      </w:rPr>
      <w:tab/>
      <w:t>Xxx report—month/year</w:t>
    </w:r>
  </w:p>
  <w:p w:rsidR="00823ECF" w:rsidRDefault="00823ECF"/>
  <w:p w:rsidR="00823ECF" w:rsidRDefault="00823ECF"/>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3ECF" w:rsidRDefault="00D01334" w:rsidP="00CC7F1D">
    <w:pPr>
      <w:pStyle w:val="Footer"/>
      <w:tabs>
        <w:tab w:val="clear" w:pos="9026"/>
        <w:tab w:val="right" w:pos="8505"/>
      </w:tabs>
    </w:pPr>
    <w:r>
      <w:fldChar w:fldCharType="begin"/>
    </w:r>
    <w:r>
      <w:instrText xml:space="preserve"> STYLEREF  "Report Title"  \* MERGEFORMAT </w:instrText>
    </w:r>
    <w:r>
      <w:fldChar w:fldCharType="separate"/>
    </w:r>
    <w:r>
      <w:rPr>
        <w:noProof/>
      </w:rPr>
      <w:t>Gas industry RoLR exercise report</w:t>
    </w:r>
    <w:r>
      <w:rPr>
        <w:noProof/>
      </w:rPr>
      <w:fldChar w:fldCharType="end"/>
    </w:r>
    <w:r w:rsidR="00244413">
      <w:t xml:space="preserve"> - </w:t>
    </w:r>
    <w:r w:rsidR="00A8146C">
      <w:t xml:space="preserve">December </w:t>
    </w:r>
    <w:r w:rsidR="00244413">
      <w:t>2015</w:t>
    </w:r>
    <w:r w:rsidR="00823ECF">
      <w:tab/>
    </w:r>
    <w:r w:rsidR="00823ECF">
      <w:fldChar w:fldCharType="begin"/>
    </w:r>
    <w:r w:rsidR="00823ECF">
      <w:instrText xml:space="preserve"> PAGE   \* MERGEFORMAT </w:instrText>
    </w:r>
    <w:r w:rsidR="00823ECF">
      <w:fldChar w:fldCharType="separate"/>
    </w:r>
    <w:r>
      <w:rPr>
        <w:noProof/>
      </w:rPr>
      <w:t>9</w:t>
    </w:r>
    <w:r w:rsidR="00823ECF">
      <w:rPr>
        <w:noProof/>
      </w:rPr>
      <w:fldChar w:fldCharType="end"/>
    </w:r>
  </w:p>
  <w:p w:rsidR="00823ECF" w:rsidRDefault="00823ECF"/>
  <w:p w:rsidR="00823ECF" w:rsidRDefault="00823ECF"/>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3ECF" w:rsidRDefault="00D01334" w:rsidP="00CC7F1D">
    <w:pPr>
      <w:pStyle w:val="Footer"/>
      <w:tabs>
        <w:tab w:val="clear" w:pos="9026"/>
        <w:tab w:val="right" w:pos="8505"/>
      </w:tabs>
    </w:pPr>
    <w:r>
      <w:fldChar w:fldCharType="begin"/>
    </w:r>
    <w:r>
      <w:instrText xml:space="preserve"> STYLEREF  "Report Title"  \* MERGEFORMAT </w:instrText>
    </w:r>
    <w:r>
      <w:fldChar w:fldCharType="separate"/>
    </w:r>
    <w:r>
      <w:rPr>
        <w:noProof/>
      </w:rPr>
      <w:t>Gas industry RoLR exercise report</w:t>
    </w:r>
    <w:r>
      <w:rPr>
        <w:noProof/>
      </w:rPr>
      <w:fldChar w:fldCharType="end"/>
    </w:r>
    <w:r w:rsidR="00244413">
      <w:t xml:space="preserve"> - </w:t>
    </w:r>
    <w:r w:rsidR="00A8146C">
      <w:t xml:space="preserve">December </w:t>
    </w:r>
    <w:r w:rsidR="00244413">
      <w:t>2015</w:t>
    </w:r>
    <w:r w:rsidR="00823ECF">
      <w:tab/>
    </w:r>
    <w:r w:rsidR="00823ECF">
      <w:tab/>
    </w:r>
    <w:r w:rsidR="00823ECF">
      <w:fldChar w:fldCharType="begin"/>
    </w:r>
    <w:r w:rsidR="00823ECF">
      <w:instrText xml:space="preserve"> PAGE   \* MERGEFORMAT </w:instrText>
    </w:r>
    <w:r w:rsidR="00823ECF">
      <w:fldChar w:fldCharType="separate"/>
    </w:r>
    <w:r>
      <w:rPr>
        <w:noProof/>
      </w:rPr>
      <w:t>1</w:t>
    </w:r>
    <w:r w:rsidR="00823ECF">
      <w:fldChar w:fldCharType="end"/>
    </w:r>
  </w:p>
  <w:p w:rsidR="00823ECF" w:rsidRDefault="00823ECF">
    <w:pPr>
      <w:pStyle w:val="Footer"/>
    </w:pPr>
  </w:p>
  <w:p w:rsidR="00823ECF" w:rsidRDefault="00823ECF"/>
  <w:p w:rsidR="00823ECF" w:rsidRDefault="00823EC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3ECF" w:rsidRDefault="00823ECF" w:rsidP="00182906">
      <w:pPr>
        <w:spacing w:before="0"/>
      </w:pPr>
      <w:r>
        <w:separator/>
      </w:r>
    </w:p>
  </w:footnote>
  <w:footnote w:type="continuationSeparator" w:id="0">
    <w:p w:rsidR="00823ECF" w:rsidRDefault="00823ECF" w:rsidP="00182906">
      <w:pPr>
        <w:spacing w:before="0"/>
      </w:pPr>
      <w:r>
        <w:continuationSeparator/>
      </w:r>
    </w:p>
  </w:footnote>
  <w:footnote w:type="continuationNotice" w:id="1">
    <w:p w:rsidR="00823ECF" w:rsidRDefault="00823ECF">
      <w:pPr>
        <w:spacing w:before="0" w:line="240" w:lineRule="auto"/>
      </w:pPr>
    </w:p>
  </w:footnote>
  <w:footnote w:id="2">
    <w:p w:rsidR="00823ECF" w:rsidRDefault="00823ECF">
      <w:pPr>
        <w:pStyle w:val="FootnoteText"/>
      </w:pPr>
      <w:r>
        <w:rPr>
          <w:rStyle w:val="FootnoteReference"/>
        </w:rPr>
        <w:footnoteRef/>
      </w:r>
      <w:r>
        <w:t xml:space="preserve"> Section 162(2)(b) of the National Energy Retail Law. </w:t>
      </w:r>
    </w:p>
  </w:footnote>
  <w:footnote w:id="3">
    <w:p w:rsidR="00823ECF" w:rsidRDefault="00823ECF">
      <w:pPr>
        <w:pStyle w:val="FootnoteText"/>
      </w:pPr>
      <w:r>
        <w:rPr>
          <w:rStyle w:val="FootnoteReference"/>
        </w:rPr>
        <w:footnoteRef/>
      </w:r>
      <w:r>
        <w:t xml:space="preserve"> Section 163(a) of the National Energy Retail Law.</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0E8D0B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756075B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7D84C18C"/>
    <w:lvl w:ilvl="0">
      <w:start w:val="1"/>
      <w:numFmt w:val="decimal"/>
      <w:pStyle w:val="ListNumber3"/>
      <w:lvlText w:val="%1."/>
      <w:lvlJc w:val="left"/>
      <w:pPr>
        <w:tabs>
          <w:tab w:val="num" w:pos="1021"/>
        </w:tabs>
        <w:ind w:left="1021" w:hanging="341"/>
      </w:pPr>
      <w:rPr>
        <w:rFonts w:hint="default"/>
      </w:rPr>
    </w:lvl>
  </w:abstractNum>
  <w:abstractNum w:abstractNumId="3">
    <w:nsid w:val="FFFFFF7F"/>
    <w:multiLevelType w:val="singleLevel"/>
    <w:tmpl w:val="C9043968"/>
    <w:lvl w:ilvl="0">
      <w:start w:val="1"/>
      <w:numFmt w:val="decimal"/>
      <w:pStyle w:val="ListNumber2"/>
      <w:lvlText w:val="%1."/>
      <w:lvlJc w:val="left"/>
      <w:pPr>
        <w:ind w:left="700" w:hanging="360"/>
      </w:pPr>
    </w:lvl>
  </w:abstractNum>
  <w:abstractNum w:abstractNumId="4">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E46A7DC6"/>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E262730C"/>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3C004CC0"/>
    <w:lvl w:ilvl="0">
      <w:start w:val="1"/>
      <w:numFmt w:val="decimal"/>
      <w:pStyle w:val="ListNumber"/>
      <w:lvlText w:val="%1."/>
      <w:lvlJc w:val="left"/>
      <w:pPr>
        <w:tabs>
          <w:tab w:val="num" w:pos="1211"/>
        </w:tabs>
        <w:ind w:left="1211" w:hanging="360"/>
      </w:pPr>
    </w:lvl>
  </w:abstractNum>
  <w:abstractNum w:abstractNumId="9">
    <w:nsid w:val="03BE4FB3"/>
    <w:multiLevelType w:val="hybridMultilevel"/>
    <w:tmpl w:val="D74ADE0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nsid w:val="041F530A"/>
    <w:multiLevelType w:val="multilevel"/>
    <w:tmpl w:val="4E603EEA"/>
    <w:lvl w:ilvl="0">
      <w:start w:val="1"/>
      <w:numFmt w:val="decimal"/>
      <w:pStyle w:val="Heading1"/>
      <w:lvlText w:val="%1"/>
      <w:lvlJc w:val="left"/>
      <w:pPr>
        <w:ind w:left="432" w:hanging="432"/>
      </w:pPr>
    </w:lvl>
    <w:lvl w:ilvl="1">
      <w:start w:val="1"/>
      <w:numFmt w:val="decimal"/>
      <w:pStyle w:val="Heading2"/>
      <w:lvlText w:val="%1.%2"/>
      <w:lvlJc w:val="left"/>
      <w:pPr>
        <w:ind w:left="2277"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1">
    <w:nsid w:val="09C62EF7"/>
    <w:multiLevelType w:val="hybridMultilevel"/>
    <w:tmpl w:val="C68681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0C4312B0"/>
    <w:multiLevelType w:val="hybridMultilevel"/>
    <w:tmpl w:val="C1266B52"/>
    <w:lvl w:ilvl="0" w:tplc="990A9FAA">
      <w:start w:val="1"/>
      <w:numFmt w:val="lowerLetter"/>
      <w:pStyle w:val="Listalphabet"/>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3">
    <w:nsid w:val="0DD2542B"/>
    <w:multiLevelType w:val="hybridMultilevel"/>
    <w:tmpl w:val="60FAC388"/>
    <w:lvl w:ilvl="0" w:tplc="50264BE2">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133E73B6"/>
    <w:multiLevelType w:val="hybridMultilevel"/>
    <w:tmpl w:val="80220B84"/>
    <w:lvl w:ilvl="0" w:tplc="F5987420">
      <w:start w:val="1"/>
      <w:numFmt w:val="decimal"/>
      <w:pStyle w:val="Numberedparagraph"/>
      <w:lvlText w:val="%1."/>
      <w:lvlJc w:val="left"/>
      <w:pPr>
        <w:ind w:left="360" w:hanging="360"/>
      </w:pPr>
      <w:rPr>
        <w:rFonts w:hint="default"/>
      </w:rPr>
    </w:lvl>
    <w:lvl w:ilvl="1" w:tplc="A5728FDE" w:tentative="1">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15">
    <w:nsid w:val="17E8651D"/>
    <w:multiLevelType w:val="hybridMultilevel"/>
    <w:tmpl w:val="9F2CD78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nsid w:val="18E65396"/>
    <w:multiLevelType w:val="hybridMultilevel"/>
    <w:tmpl w:val="07384C54"/>
    <w:lvl w:ilvl="0" w:tplc="8530271E">
      <w:start w:val="1"/>
      <w:numFmt w:val="decimal"/>
      <w:pStyle w:val="NumberedChapterTitle"/>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1CF519CE"/>
    <w:multiLevelType w:val="multilevel"/>
    <w:tmpl w:val="FDC07CAE"/>
    <w:lvl w:ilvl="0">
      <w:start w:val="1"/>
      <w:numFmt w:val="decimal"/>
      <w:lvlText w:val="%1."/>
      <w:lvlJc w:val="left"/>
      <w:pPr>
        <w:ind w:left="360" w:hanging="360"/>
      </w:pPr>
    </w:lvl>
    <w:lvl w:ilvl="1">
      <w:start w:val="1"/>
      <w:numFmt w:val="decimal"/>
      <w:pStyle w:val="Numberedparagraph11"/>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1F6066C2"/>
    <w:multiLevelType w:val="hybridMultilevel"/>
    <w:tmpl w:val="2F5E7F54"/>
    <w:lvl w:ilvl="0" w:tplc="C5FCFD8A">
      <w:start w:val="1"/>
      <w:numFmt w:val="decimal"/>
      <w:lvlText w:val="1.%1"/>
      <w:lvlJc w:val="left"/>
      <w:pPr>
        <w:ind w:left="36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28865DF8"/>
    <w:multiLevelType w:val="hybridMultilevel"/>
    <w:tmpl w:val="EC0E5568"/>
    <w:lvl w:ilvl="0" w:tplc="D90E7D7A">
      <w:start w:val="1"/>
      <w:numFmt w:val="lowerLetter"/>
      <w:pStyle w:val="Listalphabet2"/>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20">
    <w:nsid w:val="319F5A29"/>
    <w:multiLevelType w:val="hybridMultilevel"/>
    <w:tmpl w:val="B3A2F3B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1">
    <w:nsid w:val="3923347D"/>
    <w:multiLevelType w:val="hybridMultilevel"/>
    <w:tmpl w:val="D45C48E2"/>
    <w:lvl w:ilvl="0" w:tplc="D66A534E">
      <w:start w:val="1"/>
      <w:numFmt w:val="bullet"/>
      <w:pStyle w:val="ListBullet"/>
      <w:lvlText w:val=""/>
      <w:lvlJc w:val="left"/>
      <w:pPr>
        <w:ind w:left="720" w:hanging="360"/>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3CB36B76"/>
    <w:multiLevelType w:val="hybridMultilevel"/>
    <w:tmpl w:val="95A0B55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3">
    <w:nsid w:val="49881C01"/>
    <w:multiLevelType w:val="hybridMultilevel"/>
    <w:tmpl w:val="201E93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499F124F"/>
    <w:multiLevelType w:val="multilevel"/>
    <w:tmpl w:val="5666D91E"/>
    <w:styleLink w:val="AlphanumericList"/>
    <w:lvl w:ilvl="0">
      <w:start w:val="1"/>
      <w:numFmt w:val="decimal"/>
      <w:lvlText w:val="A.%1"/>
      <w:lvlJc w:val="left"/>
      <w:pPr>
        <w:ind w:left="360" w:hanging="360"/>
      </w:pPr>
      <w:rPr>
        <w:rFonts w:ascii="Arial" w:hAnsi="Arial" w:hint="default"/>
        <w:sz w:val="22"/>
      </w:rPr>
    </w:lvl>
    <w:lvl w:ilvl="1">
      <w:start w:val="1"/>
      <w:numFmt w:val="decimal"/>
      <w:lvlRestart w:val="0"/>
      <w:lvlText w:val="A.%1.%2"/>
      <w:lvlJc w:val="left"/>
      <w:pPr>
        <w:ind w:left="720" w:hanging="360"/>
      </w:pPr>
      <w:rPr>
        <w:rFonts w:hint="default"/>
      </w:rPr>
    </w:lvl>
    <w:lvl w:ilvl="2">
      <w:start w:val="1"/>
      <w:numFmt w:val="decimal"/>
      <w:lvlRestart w:val="0"/>
      <w:lvlText w:val="A.%1.%2.%3"/>
      <w:lvlJc w:val="left"/>
      <w:pPr>
        <w:ind w:left="1080" w:hanging="360"/>
      </w:pPr>
      <w:rPr>
        <w:rFonts w:hint="default"/>
      </w:rPr>
    </w:lvl>
    <w:lvl w:ilvl="3">
      <w:start w:val="1"/>
      <w:numFmt w:val="none"/>
      <w:lvlText w:val="(1)"/>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nsid w:val="49E52C90"/>
    <w:multiLevelType w:val="hybridMultilevel"/>
    <w:tmpl w:val="8C0ACE80"/>
    <w:lvl w:ilvl="0" w:tplc="9D00B0D8">
      <w:start w:val="1"/>
      <w:numFmt w:val="lowerRoman"/>
      <w:pStyle w:val="ListLegal"/>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nsid w:val="563C0F33"/>
    <w:multiLevelType w:val="multilevel"/>
    <w:tmpl w:val="D74ADE0E"/>
    <w:lvl w:ilvl="0">
      <w:start w:val="1"/>
      <w:numFmt w:val="bullet"/>
      <w:lvlText w:val=""/>
      <w:lvlJc w:val="left"/>
      <w:pPr>
        <w:ind w:left="360" w:hanging="360"/>
      </w:pPr>
      <w:rPr>
        <w:rFonts w:ascii="Symbol" w:hAnsi="Symbol"/>
        <w:sz w:val="20"/>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7">
    <w:nsid w:val="59474DF1"/>
    <w:multiLevelType w:val="multilevel"/>
    <w:tmpl w:val="5BC065FC"/>
    <w:lvl w:ilvl="0">
      <w:start w:val="1"/>
      <w:numFmt w:val="decimal"/>
      <w:pStyle w:val="LegalNumbering"/>
      <w:isLgl/>
      <w:lvlText w:val="%1)"/>
      <w:lvlJc w:val="left"/>
      <w:pPr>
        <w:ind w:left="340" w:hanging="340"/>
      </w:pPr>
      <w:rPr>
        <w:rFonts w:hint="default"/>
      </w:rPr>
    </w:lvl>
    <w:lvl w:ilvl="1">
      <w:start w:val="1"/>
      <w:numFmt w:val="lowerLetter"/>
      <w:lvlText w:val="%2) "/>
      <w:lvlJc w:val="left"/>
      <w:pPr>
        <w:ind w:left="680" w:hanging="340"/>
      </w:pPr>
      <w:rPr>
        <w:rFonts w:hint="default"/>
      </w:rPr>
    </w:lvl>
    <w:lvl w:ilvl="2">
      <w:start w:val="1"/>
      <w:numFmt w:val="lowerRoman"/>
      <w:lvlText w:val="%3)"/>
      <w:lvlJc w:val="left"/>
      <w:pPr>
        <w:tabs>
          <w:tab w:val="num" w:pos="1701"/>
        </w:tabs>
        <w:ind w:left="1021" w:hanging="341"/>
      </w:pPr>
      <w:rPr>
        <w:rFonts w:hint="default"/>
      </w:rPr>
    </w:lvl>
    <w:lvl w:ilvl="3">
      <w:start w:val="1"/>
      <w:numFmt w:val="decimal"/>
      <w:lvlText w:val="(%4) "/>
      <w:lvlJc w:val="left"/>
      <w:pPr>
        <w:tabs>
          <w:tab w:val="num" w:pos="1758"/>
        </w:tabs>
        <w:ind w:left="1361" w:hanging="340"/>
      </w:pPr>
      <w:rPr>
        <w:rFonts w:hint="default"/>
      </w:rPr>
    </w:lvl>
    <w:lvl w:ilvl="4">
      <w:start w:val="1"/>
      <w:numFmt w:val="lowerLetter"/>
      <w:lvlText w:val="(%5)"/>
      <w:lvlJc w:val="left"/>
      <w:pPr>
        <w:ind w:left="1701" w:hanging="340"/>
      </w:pPr>
      <w:rPr>
        <w:rFonts w:hint="default"/>
      </w:rPr>
    </w:lvl>
    <w:lvl w:ilvl="5">
      <w:start w:val="1"/>
      <w:numFmt w:val="lowerRoman"/>
      <w:lvlText w:val="(%6)"/>
      <w:lvlJc w:val="left"/>
      <w:pPr>
        <w:tabs>
          <w:tab w:val="num" w:pos="2608"/>
        </w:tabs>
        <w:ind w:left="2041" w:hanging="340"/>
      </w:pPr>
      <w:rPr>
        <w:rFonts w:hint="default"/>
      </w:rPr>
    </w:lvl>
    <w:lvl w:ilvl="6">
      <w:start w:val="1"/>
      <w:numFmt w:val="decimal"/>
      <w:lvlText w:val="%7."/>
      <w:lvlJc w:val="left"/>
      <w:pPr>
        <w:tabs>
          <w:tab w:val="num" w:pos="3175"/>
        </w:tabs>
        <w:ind w:left="2381" w:hanging="340"/>
      </w:pPr>
      <w:rPr>
        <w:rFonts w:hint="default"/>
      </w:rPr>
    </w:lvl>
    <w:lvl w:ilvl="7">
      <w:start w:val="1"/>
      <w:numFmt w:val="lowerLetter"/>
      <w:lvlText w:val="%8."/>
      <w:lvlJc w:val="left"/>
      <w:pPr>
        <w:tabs>
          <w:tab w:val="num" w:pos="3799"/>
        </w:tabs>
        <w:ind w:left="2722" w:hanging="341"/>
      </w:pPr>
      <w:rPr>
        <w:rFonts w:hint="default"/>
      </w:rPr>
    </w:lvl>
    <w:lvl w:ilvl="8">
      <w:start w:val="1"/>
      <w:numFmt w:val="lowerRoman"/>
      <w:lvlText w:val="%9."/>
      <w:lvlJc w:val="left"/>
      <w:pPr>
        <w:ind w:left="3062" w:hanging="340"/>
      </w:pPr>
      <w:rPr>
        <w:rFonts w:hint="default"/>
      </w:rPr>
    </w:lvl>
  </w:abstractNum>
  <w:abstractNum w:abstractNumId="28">
    <w:nsid w:val="6726588A"/>
    <w:multiLevelType w:val="hybridMultilevel"/>
    <w:tmpl w:val="CC927964"/>
    <w:lvl w:ilvl="0" w:tplc="0C09000F">
      <w:start w:val="1"/>
      <w:numFmt w:val="bullet"/>
      <w:pStyle w:val="Bulletpoint2"/>
      <w:lvlText w:val="o"/>
      <w:lvlJc w:val="left"/>
      <w:pPr>
        <w:ind w:left="1003" w:hanging="360"/>
      </w:pPr>
      <w:rPr>
        <w:rFonts w:ascii="Courier New" w:hAnsi="Courier New" w:cs="Courier New" w:hint="default"/>
      </w:rPr>
    </w:lvl>
    <w:lvl w:ilvl="1" w:tplc="0C090019" w:tentative="1">
      <w:start w:val="1"/>
      <w:numFmt w:val="bullet"/>
      <w:lvlText w:val="o"/>
      <w:lvlJc w:val="left"/>
      <w:pPr>
        <w:ind w:left="1723" w:hanging="360"/>
      </w:pPr>
      <w:rPr>
        <w:rFonts w:ascii="Courier New" w:hAnsi="Courier New" w:cs="Courier New" w:hint="default"/>
      </w:rPr>
    </w:lvl>
    <w:lvl w:ilvl="2" w:tplc="0C09001B" w:tentative="1">
      <w:start w:val="1"/>
      <w:numFmt w:val="bullet"/>
      <w:lvlText w:val=""/>
      <w:lvlJc w:val="left"/>
      <w:pPr>
        <w:ind w:left="2443" w:hanging="360"/>
      </w:pPr>
      <w:rPr>
        <w:rFonts w:ascii="Wingdings" w:hAnsi="Wingdings" w:hint="default"/>
      </w:rPr>
    </w:lvl>
    <w:lvl w:ilvl="3" w:tplc="0C09000F" w:tentative="1">
      <w:start w:val="1"/>
      <w:numFmt w:val="bullet"/>
      <w:lvlText w:val=""/>
      <w:lvlJc w:val="left"/>
      <w:pPr>
        <w:ind w:left="3163" w:hanging="360"/>
      </w:pPr>
      <w:rPr>
        <w:rFonts w:ascii="Symbol" w:hAnsi="Symbol" w:hint="default"/>
      </w:rPr>
    </w:lvl>
    <w:lvl w:ilvl="4" w:tplc="0C090019" w:tentative="1">
      <w:start w:val="1"/>
      <w:numFmt w:val="bullet"/>
      <w:lvlText w:val="o"/>
      <w:lvlJc w:val="left"/>
      <w:pPr>
        <w:ind w:left="3883" w:hanging="360"/>
      </w:pPr>
      <w:rPr>
        <w:rFonts w:ascii="Courier New" w:hAnsi="Courier New" w:cs="Courier New" w:hint="default"/>
      </w:rPr>
    </w:lvl>
    <w:lvl w:ilvl="5" w:tplc="0C09001B" w:tentative="1">
      <w:start w:val="1"/>
      <w:numFmt w:val="bullet"/>
      <w:lvlText w:val=""/>
      <w:lvlJc w:val="left"/>
      <w:pPr>
        <w:ind w:left="4603" w:hanging="360"/>
      </w:pPr>
      <w:rPr>
        <w:rFonts w:ascii="Wingdings" w:hAnsi="Wingdings" w:hint="default"/>
      </w:rPr>
    </w:lvl>
    <w:lvl w:ilvl="6" w:tplc="0C09000F" w:tentative="1">
      <w:start w:val="1"/>
      <w:numFmt w:val="bullet"/>
      <w:lvlText w:val=""/>
      <w:lvlJc w:val="left"/>
      <w:pPr>
        <w:ind w:left="5323" w:hanging="360"/>
      </w:pPr>
      <w:rPr>
        <w:rFonts w:ascii="Symbol" w:hAnsi="Symbol" w:hint="default"/>
      </w:rPr>
    </w:lvl>
    <w:lvl w:ilvl="7" w:tplc="0C090019" w:tentative="1">
      <w:start w:val="1"/>
      <w:numFmt w:val="bullet"/>
      <w:lvlText w:val="o"/>
      <w:lvlJc w:val="left"/>
      <w:pPr>
        <w:ind w:left="6043" w:hanging="360"/>
      </w:pPr>
      <w:rPr>
        <w:rFonts w:ascii="Courier New" w:hAnsi="Courier New" w:cs="Courier New" w:hint="default"/>
      </w:rPr>
    </w:lvl>
    <w:lvl w:ilvl="8" w:tplc="0C09001B" w:tentative="1">
      <w:start w:val="1"/>
      <w:numFmt w:val="bullet"/>
      <w:lvlText w:val=""/>
      <w:lvlJc w:val="left"/>
      <w:pPr>
        <w:ind w:left="6763" w:hanging="360"/>
      </w:pPr>
      <w:rPr>
        <w:rFonts w:ascii="Wingdings" w:hAnsi="Wingdings" w:hint="default"/>
      </w:rPr>
    </w:lvl>
  </w:abstractNum>
  <w:abstractNum w:abstractNumId="29">
    <w:nsid w:val="6A131683"/>
    <w:multiLevelType w:val="hybridMultilevel"/>
    <w:tmpl w:val="A47E15B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0">
    <w:nsid w:val="6E9C238A"/>
    <w:multiLevelType w:val="hybridMultilevel"/>
    <w:tmpl w:val="2FCC359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1">
    <w:nsid w:val="71052EFE"/>
    <w:multiLevelType w:val="hybridMultilevel"/>
    <w:tmpl w:val="52FCFAA8"/>
    <w:lvl w:ilvl="0" w:tplc="C846CA5C">
      <w:start w:val="1"/>
      <w:numFmt w:val="lowerRoman"/>
      <w:pStyle w:val="ListLegal3"/>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nsid w:val="7B7D3B8E"/>
    <w:multiLevelType w:val="hybridMultilevel"/>
    <w:tmpl w:val="CF4E692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3">
    <w:nsid w:val="7E2819EC"/>
    <w:multiLevelType w:val="multilevel"/>
    <w:tmpl w:val="1250F310"/>
    <w:lvl w:ilvl="0">
      <w:start w:val="1"/>
      <w:numFmt w:val="bullet"/>
      <w:pStyle w:val="Bulletpoin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4"/>
  </w:num>
  <w:num w:numId="2">
    <w:abstractNumId w:val="33"/>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8"/>
  </w:num>
  <w:num w:numId="13">
    <w:abstractNumId w:val="21"/>
  </w:num>
  <w:num w:numId="14">
    <w:abstractNumId w:val="13"/>
  </w:num>
  <w:num w:numId="15">
    <w:abstractNumId w:val="17"/>
  </w:num>
  <w:num w:numId="16">
    <w:abstractNumId w:val="24"/>
  </w:num>
  <w:num w:numId="17">
    <w:abstractNumId w:val="12"/>
  </w:num>
  <w:num w:numId="18">
    <w:abstractNumId w:val="19"/>
  </w:num>
  <w:num w:numId="19">
    <w:abstractNumId w:val="11"/>
  </w:num>
  <w:num w:numId="20">
    <w:abstractNumId w:val="25"/>
  </w:num>
  <w:num w:numId="21">
    <w:abstractNumId w:val="31"/>
  </w:num>
  <w:num w:numId="22">
    <w:abstractNumId w:val="18"/>
  </w:num>
  <w:num w:numId="23">
    <w:abstractNumId w:val="2"/>
    <w:lvlOverride w:ilvl="0">
      <w:startOverride w:val="1"/>
    </w:lvlOverride>
  </w:num>
  <w:num w:numId="24">
    <w:abstractNumId w:val="19"/>
    <w:lvlOverride w:ilvl="0">
      <w:startOverride w:val="1"/>
    </w:lvlOverride>
  </w:num>
  <w:num w:numId="25">
    <w:abstractNumId w:val="27"/>
  </w:num>
  <w:num w:numId="26">
    <w:abstractNumId w:val="23"/>
  </w:num>
  <w:num w:numId="27">
    <w:abstractNumId w:val="9"/>
  </w:num>
  <w:num w:numId="28">
    <w:abstractNumId w:val="16"/>
  </w:num>
  <w:num w:numId="29">
    <w:abstractNumId w:val="10"/>
  </w:num>
  <w:num w:numId="30">
    <w:abstractNumId w:val="26"/>
  </w:num>
  <w:num w:numId="31">
    <w:abstractNumId w:val="33"/>
  </w:num>
  <w:num w:numId="32">
    <w:abstractNumId w:val="22"/>
  </w:num>
  <w:num w:numId="3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2"/>
  </w:num>
  <w:num w:numId="3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3"/>
  <w:removePersonalInformation/>
  <w:removeDateAndTime/>
  <w:proofState w:spelling="clean" w:grammar="clean"/>
  <w:stylePaneFormatFilter w:val="9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ocumentProtection w:formatting="1" w:enforcement="1" w:spinCount="100000" w:hashValue="V8DQQcTcxLoJvfwNpwbiosaGc5ldkUUup2kDvxELNck=" w:saltValue="9bk2AvJj52KBBALdPUzBFw==" w:algorithmName="SHA-256"/>
  <w:styleLockTheme/>
  <w:defaultTabStop w:val="340"/>
  <w:characterSpacingControl w:val="doNotCompress"/>
  <w:hdrShapeDefaults>
    <o:shapedefaults v:ext="edit" spidmax="40961"/>
  </w:hdrShapeDefaults>
  <w:footnotePr>
    <w:footnote w:id="-1"/>
    <w:footnote w:id="0"/>
    <w:footnote w:id="1"/>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H:\trimdata\TRIM\TEMP\HPTRIM.10000\D15 163155  20151211 - 3.3 - attachment 1 - Gas RoLR exercise report.DOCX"/>
  </w:docVars>
  <w:rsids>
    <w:rsidRoot w:val="00367710"/>
    <w:rsid w:val="00021202"/>
    <w:rsid w:val="0002344C"/>
    <w:rsid w:val="0002517F"/>
    <w:rsid w:val="0003578C"/>
    <w:rsid w:val="000374E4"/>
    <w:rsid w:val="000441E9"/>
    <w:rsid w:val="00053832"/>
    <w:rsid w:val="00057A8E"/>
    <w:rsid w:val="00063247"/>
    <w:rsid w:val="00070F9F"/>
    <w:rsid w:val="0007137B"/>
    <w:rsid w:val="00074341"/>
    <w:rsid w:val="000744E7"/>
    <w:rsid w:val="00085663"/>
    <w:rsid w:val="00085EBF"/>
    <w:rsid w:val="00093CE8"/>
    <w:rsid w:val="0009463E"/>
    <w:rsid w:val="00095594"/>
    <w:rsid w:val="000A6C7B"/>
    <w:rsid w:val="000B527F"/>
    <w:rsid w:val="000C126F"/>
    <w:rsid w:val="000C189F"/>
    <w:rsid w:val="000D122C"/>
    <w:rsid w:val="000E1819"/>
    <w:rsid w:val="000E6C72"/>
    <w:rsid w:val="000F636B"/>
    <w:rsid w:val="00107CC7"/>
    <w:rsid w:val="00116EB2"/>
    <w:rsid w:val="001217A1"/>
    <w:rsid w:val="00122D8E"/>
    <w:rsid w:val="00124609"/>
    <w:rsid w:val="00130C3C"/>
    <w:rsid w:val="00131CF5"/>
    <w:rsid w:val="0014573B"/>
    <w:rsid w:val="001573E4"/>
    <w:rsid w:val="00160756"/>
    <w:rsid w:val="00162C76"/>
    <w:rsid w:val="00165532"/>
    <w:rsid w:val="00170114"/>
    <w:rsid w:val="0017232E"/>
    <w:rsid w:val="00174102"/>
    <w:rsid w:val="00180157"/>
    <w:rsid w:val="00182906"/>
    <w:rsid w:val="0018334C"/>
    <w:rsid w:val="00185CB9"/>
    <w:rsid w:val="00186117"/>
    <w:rsid w:val="00186F77"/>
    <w:rsid w:val="001926A4"/>
    <w:rsid w:val="00192AD5"/>
    <w:rsid w:val="001B45A0"/>
    <w:rsid w:val="001B6683"/>
    <w:rsid w:val="001C071D"/>
    <w:rsid w:val="001D055E"/>
    <w:rsid w:val="001D499E"/>
    <w:rsid w:val="001E164A"/>
    <w:rsid w:val="001F278D"/>
    <w:rsid w:val="001F492E"/>
    <w:rsid w:val="001F6DA3"/>
    <w:rsid w:val="002010BC"/>
    <w:rsid w:val="00202E03"/>
    <w:rsid w:val="0020492C"/>
    <w:rsid w:val="0020619E"/>
    <w:rsid w:val="0020799B"/>
    <w:rsid w:val="00207FDC"/>
    <w:rsid w:val="00220E1F"/>
    <w:rsid w:val="0022493D"/>
    <w:rsid w:val="00224DB9"/>
    <w:rsid w:val="00227716"/>
    <w:rsid w:val="00231386"/>
    <w:rsid w:val="0023227A"/>
    <w:rsid w:val="00233775"/>
    <w:rsid w:val="00241F35"/>
    <w:rsid w:val="00242D71"/>
    <w:rsid w:val="00244413"/>
    <w:rsid w:val="00251745"/>
    <w:rsid w:val="00254500"/>
    <w:rsid w:val="0025508B"/>
    <w:rsid w:val="00263AC0"/>
    <w:rsid w:val="00265DAD"/>
    <w:rsid w:val="0026772D"/>
    <w:rsid w:val="0027348A"/>
    <w:rsid w:val="00286874"/>
    <w:rsid w:val="00296B65"/>
    <w:rsid w:val="0029771F"/>
    <w:rsid w:val="002A5609"/>
    <w:rsid w:val="002A7DEF"/>
    <w:rsid w:val="002B771B"/>
    <w:rsid w:val="002C7ED6"/>
    <w:rsid w:val="002D3C3D"/>
    <w:rsid w:val="002E1BE5"/>
    <w:rsid w:val="002E2BFC"/>
    <w:rsid w:val="002F2468"/>
    <w:rsid w:val="002F6060"/>
    <w:rsid w:val="002F7986"/>
    <w:rsid w:val="002F798A"/>
    <w:rsid w:val="00300283"/>
    <w:rsid w:val="00301AAC"/>
    <w:rsid w:val="00301B40"/>
    <w:rsid w:val="00305CC8"/>
    <w:rsid w:val="00307F6D"/>
    <w:rsid w:val="003177A2"/>
    <w:rsid w:val="003271B5"/>
    <w:rsid w:val="00327A1E"/>
    <w:rsid w:val="00331264"/>
    <w:rsid w:val="00334C8D"/>
    <w:rsid w:val="003518B3"/>
    <w:rsid w:val="00367710"/>
    <w:rsid w:val="00374D43"/>
    <w:rsid w:val="003756B8"/>
    <w:rsid w:val="003846F1"/>
    <w:rsid w:val="00396CE1"/>
    <w:rsid w:val="003A00A5"/>
    <w:rsid w:val="003A2AF6"/>
    <w:rsid w:val="003B343E"/>
    <w:rsid w:val="003E4F5E"/>
    <w:rsid w:val="0040576E"/>
    <w:rsid w:val="00410676"/>
    <w:rsid w:val="00410ED9"/>
    <w:rsid w:val="00410F35"/>
    <w:rsid w:val="0041726A"/>
    <w:rsid w:val="00434EAF"/>
    <w:rsid w:val="00441096"/>
    <w:rsid w:val="00445952"/>
    <w:rsid w:val="00450111"/>
    <w:rsid w:val="004607E8"/>
    <w:rsid w:val="00467FAE"/>
    <w:rsid w:val="004801CF"/>
    <w:rsid w:val="00480B4B"/>
    <w:rsid w:val="00480F3A"/>
    <w:rsid w:val="00485DC4"/>
    <w:rsid w:val="004A43D1"/>
    <w:rsid w:val="004B4412"/>
    <w:rsid w:val="004B6DF8"/>
    <w:rsid w:val="004C025C"/>
    <w:rsid w:val="004C348C"/>
    <w:rsid w:val="004D55BA"/>
    <w:rsid w:val="004E22EC"/>
    <w:rsid w:val="004E28A7"/>
    <w:rsid w:val="00527668"/>
    <w:rsid w:val="00530128"/>
    <w:rsid w:val="00532467"/>
    <w:rsid w:val="00560280"/>
    <w:rsid w:val="0056080A"/>
    <w:rsid w:val="00562632"/>
    <w:rsid w:val="00564A4D"/>
    <w:rsid w:val="00565F65"/>
    <w:rsid w:val="00567BA5"/>
    <w:rsid w:val="00571B35"/>
    <w:rsid w:val="00571D57"/>
    <w:rsid w:val="00577A09"/>
    <w:rsid w:val="005829C2"/>
    <w:rsid w:val="005836AE"/>
    <w:rsid w:val="00584D8F"/>
    <w:rsid w:val="00587E58"/>
    <w:rsid w:val="005A404D"/>
    <w:rsid w:val="005A4B63"/>
    <w:rsid w:val="005B1E3C"/>
    <w:rsid w:val="005B31DE"/>
    <w:rsid w:val="005C26CC"/>
    <w:rsid w:val="005C4261"/>
    <w:rsid w:val="005E0E8D"/>
    <w:rsid w:val="005E4ED5"/>
    <w:rsid w:val="005F065D"/>
    <w:rsid w:val="00615C6B"/>
    <w:rsid w:val="006213D4"/>
    <w:rsid w:val="006231E6"/>
    <w:rsid w:val="00624D9C"/>
    <w:rsid w:val="00632D6D"/>
    <w:rsid w:val="00633627"/>
    <w:rsid w:val="00637E5E"/>
    <w:rsid w:val="00642C3E"/>
    <w:rsid w:val="006442D3"/>
    <w:rsid w:val="006470D8"/>
    <w:rsid w:val="00663DAD"/>
    <w:rsid w:val="00670957"/>
    <w:rsid w:val="00676679"/>
    <w:rsid w:val="00686A51"/>
    <w:rsid w:val="006B4CF9"/>
    <w:rsid w:val="006B7AC8"/>
    <w:rsid w:val="006C1FEB"/>
    <w:rsid w:val="006D550F"/>
    <w:rsid w:val="006D58F0"/>
    <w:rsid w:val="006E4393"/>
    <w:rsid w:val="006E6C3F"/>
    <w:rsid w:val="006F427E"/>
    <w:rsid w:val="006F69A7"/>
    <w:rsid w:val="00701CAB"/>
    <w:rsid w:val="00706913"/>
    <w:rsid w:val="00707563"/>
    <w:rsid w:val="0072348C"/>
    <w:rsid w:val="00724A37"/>
    <w:rsid w:val="00726169"/>
    <w:rsid w:val="007303C3"/>
    <w:rsid w:val="00734668"/>
    <w:rsid w:val="00743223"/>
    <w:rsid w:val="00746E01"/>
    <w:rsid w:val="00757BDF"/>
    <w:rsid w:val="00763D5D"/>
    <w:rsid w:val="00763E5D"/>
    <w:rsid w:val="00767740"/>
    <w:rsid w:val="0077288E"/>
    <w:rsid w:val="007737D8"/>
    <w:rsid w:val="00773EC8"/>
    <w:rsid w:val="00777EE6"/>
    <w:rsid w:val="00782EEA"/>
    <w:rsid w:val="0078614B"/>
    <w:rsid w:val="007A2A78"/>
    <w:rsid w:val="007A4D1F"/>
    <w:rsid w:val="007A6BD7"/>
    <w:rsid w:val="007B2C72"/>
    <w:rsid w:val="007B2C8B"/>
    <w:rsid w:val="007C1C53"/>
    <w:rsid w:val="007C74BB"/>
    <w:rsid w:val="007D0AB9"/>
    <w:rsid w:val="007D44B7"/>
    <w:rsid w:val="007D472E"/>
    <w:rsid w:val="007E31A1"/>
    <w:rsid w:val="007E3938"/>
    <w:rsid w:val="007E4904"/>
    <w:rsid w:val="007E4CB5"/>
    <w:rsid w:val="007F066B"/>
    <w:rsid w:val="007F1D9C"/>
    <w:rsid w:val="0080213A"/>
    <w:rsid w:val="008033C4"/>
    <w:rsid w:val="00803A52"/>
    <w:rsid w:val="00806C88"/>
    <w:rsid w:val="0081034E"/>
    <w:rsid w:val="00816878"/>
    <w:rsid w:val="00823ECF"/>
    <w:rsid w:val="008344F6"/>
    <w:rsid w:val="0083510F"/>
    <w:rsid w:val="00843704"/>
    <w:rsid w:val="008448A4"/>
    <w:rsid w:val="00851209"/>
    <w:rsid w:val="00854AF8"/>
    <w:rsid w:val="008573A2"/>
    <w:rsid w:val="00870F24"/>
    <w:rsid w:val="008837AC"/>
    <w:rsid w:val="00883F79"/>
    <w:rsid w:val="008870C0"/>
    <w:rsid w:val="008A3E3C"/>
    <w:rsid w:val="008A587D"/>
    <w:rsid w:val="008B0945"/>
    <w:rsid w:val="008C0199"/>
    <w:rsid w:val="008C5486"/>
    <w:rsid w:val="008D1661"/>
    <w:rsid w:val="008D1AF8"/>
    <w:rsid w:val="008E3AE2"/>
    <w:rsid w:val="008E7031"/>
    <w:rsid w:val="008F01FD"/>
    <w:rsid w:val="008F2354"/>
    <w:rsid w:val="0090345E"/>
    <w:rsid w:val="009233EE"/>
    <w:rsid w:val="00926F17"/>
    <w:rsid w:val="009460AA"/>
    <w:rsid w:val="00947DC1"/>
    <w:rsid w:val="00951978"/>
    <w:rsid w:val="009558FF"/>
    <w:rsid w:val="009661DE"/>
    <w:rsid w:val="009678D9"/>
    <w:rsid w:val="009856B7"/>
    <w:rsid w:val="009A5FC3"/>
    <w:rsid w:val="009B346F"/>
    <w:rsid w:val="009B5953"/>
    <w:rsid w:val="009B74B0"/>
    <w:rsid w:val="009C254B"/>
    <w:rsid w:val="009C3462"/>
    <w:rsid w:val="009D6B46"/>
    <w:rsid w:val="009E3B5A"/>
    <w:rsid w:val="009E4773"/>
    <w:rsid w:val="009E560F"/>
    <w:rsid w:val="009F4940"/>
    <w:rsid w:val="009F5BA1"/>
    <w:rsid w:val="00A02540"/>
    <w:rsid w:val="00A02A88"/>
    <w:rsid w:val="00A0562E"/>
    <w:rsid w:val="00A0726D"/>
    <w:rsid w:val="00A22495"/>
    <w:rsid w:val="00A32FBB"/>
    <w:rsid w:val="00A36987"/>
    <w:rsid w:val="00A416B1"/>
    <w:rsid w:val="00A419E6"/>
    <w:rsid w:val="00A4478A"/>
    <w:rsid w:val="00A44852"/>
    <w:rsid w:val="00A57D04"/>
    <w:rsid w:val="00A60023"/>
    <w:rsid w:val="00A60A26"/>
    <w:rsid w:val="00A61598"/>
    <w:rsid w:val="00A73E7A"/>
    <w:rsid w:val="00A75077"/>
    <w:rsid w:val="00A77763"/>
    <w:rsid w:val="00A8146C"/>
    <w:rsid w:val="00A82CE6"/>
    <w:rsid w:val="00A84F46"/>
    <w:rsid w:val="00A871F4"/>
    <w:rsid w:val="00A87957"/>
    <w:rsid w:val="00A87CC4"/>
    <w:rsid w:val="00A91028"/>
    <w:rsid w:val="00A95465"/>
    <w:rsid w:val="00AC185C"/>
    <w:rsid w:val="00AC1B2C"/>
    <w:rsid w:val="00AC3264"/>
    <w:rsid w:val="00AD143F"/>
    <w:rsid w:val="00AD4D28"/>
    <w:rsid w:val="00AE1BF1"/>
    <w:rsid w:val="00AE5125"/>
    <w:rsid w:val="00AF0857"/>
    <w:rsid w:val="00AF0DD2"/>
    <w:rsid w:val="00AF1ED6"/>
    <w:rsid w:val="00AF710A"/>
    <w:rsid w:val="00B02362"/>
    <w:rsid w:val="00B05718"/>
    <w:rsid w:val="00B104D9"/>
    <w:rsid w:val="00B13048"/>
    <w:rsid w:val="00B1716D"/>
    <w:rsid w:val="00B17A1D"/>
    <w:rsid w:val="00B207A0"/>
    <w:rsid w:val="00B22D61"/>
    <w:rsid w:val="00B30BAD"/>
    <w:rsid w:val="00B37E38"/>
    <w:rsid w:val="00B506BC"/>
    <w:rsid w:val="00B514DD"/>
    <w:rsid w:val="00B52AF0"/>
    <w:rsid w:val="00B56E03"/>
    <w:rsid w:val="00B8080B"/>
    <w:rsid w:val="00B875CF"/>
    <w:rsid w:val="00B87C39"/>
    <w:rsid w:val="00B927D8"/>
    <w:rsid w:val="00BA3C98"/>
    <w:rsid w:val="00BA4665"/>
    <w:rsid w:val="00BB2FB2"/>
    <w:rsid w:val="00BB3304"/>
    <w:rsid w:val="00BB344B"/>
    <w:rsid w:val="00BD328B"/>
    <w:rsid w:val="00BD3446"/>
    <w:rsid w:val="00BE1F1B"/>
    <w:rsid w:val="00BE47B5"/>
    <w:rsid w:val="00BF338D"/>
    <w:rsid w:val="00BF4A1D"/>
    <w:rsid w:val="00BF78E1"/>
    <w:rsid w:val="00BF7A1D"/>
    <w:rsid w:val="00C02189"/>
    <w:rsid w:val="00C03DCF"/>
    <w:rsid w:val="00C22506"/>
    <w:rsid w:val="00C25FA6"/>
    <w:rsid w:val="00C538A9"/>
    <w:rsid w:val="00C538D5"/>
    <w:rsid w:val="00C53B5A"/>
    <w:rsid w:val="00C54F5A"/>
    <w:rsid w:val="00C569B4"/>
    <w:rsid w:val="00C603CE"/>
    <w:rsid w:val="00C67A92"/>
    <w:rsid w:val="00C86679"/>
    <w:rsid w:val="00C90711"/>
    <w:rsid w:val="00C9240B"/>
    <w:rsid w:val="00CA0E0B"/>
    <w:rsid w:val="00CA1FA0"/>
    <w:rsid w:val="00CA489E"/>
    <w:rsid w:val="00CB666B"/>
    <w:rsid w:val="00CC213C"/>
    <w:rsid w:val="00CC7F1D"/>
    <w:rsid w:val="00CD1B70"/>
    <w:rsid w:val="00CD51C2"/>
    <w:rsid w:val="00CE6EAF"/>
    <w:rsid w:val="00CF437C"/>
    <w:rsid w:val="00D01334"/>
    <w:rsid w:val="00D01CF0"/>
    <w:rsid w:val="00D0442A"/>
    <w:rsid w:val="00D17119"/>
    <w:rsid w:val="00D30CEE"/>
    <w:rsid w:val="00D37ECC"/>
    <w:rsid w:val="00D41A77"/>
    <w:rsid w:val="00D51286"/>
    <w:rsid w:val="00D54840"/>
    <w:rsid w:val="00D61388"/>
    <w:rsid w:val="00D61A54"/>
    <w:rsid w:val="00D63892"/>
    <w:rsid w:val="00D64DEA"/>
    <w:rsid w:val="00D7168E"/>
    <w:rsid w:val="00D71E57"/>
    <w:rsid w:val="00D740EB"/>
    <w:rsid w:val="00D76B61"/>
    <w:rsid w:val="00D80893"/>
    <w:rsid w:val="00D81EF4"/>
    <w:rsid w:val="00D82F1D"/>
    <w:rsid w:val="00D8314D"/>
    <w:rsid w:val="00D92CF1"/>
    <w:rsid w:val="00D92D38"/>
    <w:rsid w:val="00D93903"/>
    <w:rsid w:val="00D950F5"/>
    <w:rsid w:val="00DB0F93"/>
    <w:rsid w:val="00DB1A67"/>
    <w:rsid w:val="00DB1C30"/>
    <w:rsid w:val="00DB5074"/>
    <w:rsid w:val="00DB723B"/>
    <w:rsid w:val="00DC2286"/>
    <w:rsid w:val="00DC7981"/>
    <w:rsid w:val="00DD07B3"/>
    <w:rsid w:val="00DE4EFA"/>
    <w:rsid w:val="00DE5520"/>
    <w:rsid w:val="00DE7791"/>
    <w:rsid w:val="00E01C43"/>
    <w:rsid w:val="00E01D38"/>
    <w:rsid w:val="00E026E4"/>
    <w:rsid w:val="00E04818"/>
    <w:rsid w:val="00E06442"/>
    <w:rsid w:val="00E137FB"/>
    <w:rsid w:val="00E16751"/>
    <w:rsid w:val="00E22820"/>
    <w:rsid w:val="00E23195"/>
    <w:rsid w:val="00E23993"/>
    <w:rsid w:val="00E25B8C"/>
    <w:rsid w:val="00E3375C"/>
    <w:rsid w:val="00E43B04"/>
    <w:rsid w:val="00E47667"/>
    <w:rsid w:val="00E57CED"/>
    <w:rsid w:val="00E65C85"/>
    <w:rsid w:val="00E66199"/>
    <w:rsid w:val="00E708F5"/>
    <w:rsid w:val="00E755EC"/>
    <w:rsid w:val="00E7624D"/>
    <w:rsid w:val="00E91E53"/>
    <w:rsid w:val="00E96CA4"/>
    <w:rsid w:val="00EA158A"/>
    <w:rsid w:val="00EA3D42"/>
    <w:rsid w:val="00EA56F4"/>
    <w:rsid w:val="00EA6B1B"/>
    <w:rsid w:val="00EB0374"/>
    <w:rsid w:val="00EB1B3B"/>
    <w:rsid w:val="00EB505D"/>
    <w:rsid w:val="00EC3D3A"/>
    <w:rsid w:val="00EE28F3"/>
    <w:rsid w:val="00EE4211"/>
    <w:rsid w:val="00EF5110"/>
    <w:rsid w:val="00F00C63"/>
    <w:rsid w:val="00F07609"/>
    <w:rsid w:val="00F15882"/>
    <w:rsid w:val="00F171E0"/>
    <w:rsid w:val="00F20BD3"/>
    <w:rsid w:val="00F34144"/>
    <w:rsid w:val="00F35972"/>
    <w:rsid w:val="00F373A5"/>
    <w:rsid w:val="00F44413"/>
    <w:rsid w:val="00F47559"/>
    <w:rsid w:val="00F64C7B"/>
    <w:rsid w:val="00F676DD"/>
    <w:rsid w:val="00F71778"/>
    <w:rsid w:val="00F7382C"/>
    <w:rsid w:val="00F74977"/>
    <w:rsid w:val="00F75A26"/>
    <w:rsid w:val="00F766E1"/>
    <w:rsid w:val="00F835C9"/>
    <w:rsid w:val="00F83FAD"/>
    <w:rsid w:val="00F952A0"/>
    <w:rsid w:val="00F963BC"/>
    <w:rsid w:val="00FA35C1"/>
    <w:rsid w:val="00FA3C7F"/>
    <w:rsid w:val="00FA4113"/>
    <w:rsid w:val="00FB74E2"/>
    <w:rsid w:val="00FC34F6"/>
    <w:rsid w:val="00FD5614"/>
    <w:rsid w:val="00FE0BE1"/>
    <w:rsid w:val="00FE1DE9"/>
    <w:rsid w:val="00FE30B8"/>
    <w:rsid w:val="00FE39C2"/>
    <w:rsid w:val="00FE3C32"/>
    <w:rsid w:val="00FE5BE4"/>
    <w:rsid w:val="00FE64AE"/>
    <w:rsid w:val="00FE778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footnote text" w:uiPriority="0"/>
    <w:lsdException w:name="header" w:qFormat="1"/>
    <w:lsdException w:name="footer" w:qFormat="1"/>
    <w:lsdException w:name="caption" w:uiPriority="35" w:qFormat="1"/>
    <w:lsdException w:name="footnote reference" w:uiPriority="0"/>
    <w:lsdException w:name="page number" w:uiPriority="0"/>
    <w:lsdException w:name="List" w:qFormat="1"/>
    <w:lsdException w:name="List Number" w:qFormat="1"/>
    <w:lsdException w:name="Title" w:semiHidden="0" w:uiPriority="10" w:unhideWhenUsed="0"/>
    <w:lsdException w:name="Default Paragraph Font" w:uiPriority="1"/>
    <w:lsdException w:name="List Continue" w:qFormat="1"/>
    <w:lsdException w:name="Subtitle" w:semiHidden="0" w:uiPriority="11" w:unhideWhenUsed="0"/>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latentStyles>
  <w:style w:type="paragraph" w:default="1" w:styleId="Normal">
    <w:name w:val="Normal"/>
    <w:qFormat/>
    <w:rsid w:val="00BA3C98"/>
    <w:pPr>
      <w:spacing w:line="276" w:lineRule="auto"/>
    </w:pPr>
    <w:rPr>
      <w:rFonts w:ascii="Arial" w:hAnsi="Arial"/>
    </w:rPr>
  </w:style>
  <w:style w:type="paragraph" w:styleId="Heading1">
    <w:name w:val="heading 1"/>
    <w:basedOn w:val="Normal"/>
    <w:next w:val="Normal"/>
    <w:link w:val="Heading1Char"/>
    <w:qFormat/>
    <w:rsid w:val="00B927D8"/>
    <w:pPr>
      <w:pageBreakBefore/>
      <w:numPr>
        <w:numId w:val="29"/>
      </w:numPr>
      <w:tabs>
        <w:tab w:val="left" w:pos="680"/>
      </w:tabs>
      <w:spacing w:before="240"/>
      <w:ind w:left="680" w:hanging="680"/>
      <w:outlineLvl w:val="0"/>
    </w:pPr>
    <w:rPr>
      <w:rFonts w:eastAsiaTheme="majorEastAsia" w:cstheme="majorBidi"/>
      <w:b/>
      <w:bCs/>
      <w:color w:val="70635A"/>
      <w:sz w:val="36"/>
      <w:szCs w:val="28"/>
    </w:rPr>
  </w:style>
  <w:style w:type="paragraph" w:styleId="Heading2">
    <w:name w:val="heading 2"/>
    <w:next w:val="Normal"/>
    <w:link w:val="Heading2Char"/>
    <w:qFormat/>
    <w:rsid w:val="00B927D8"/>
    <w:pPr>
      <w:numPr>
        <w:ilvl w:val="1"/>
        <w:numId w:val="29"/>
      </w:numPr>
      <w:tabs>
        <w:tab w:val="left" w:pos="680"/>
      </w:tabs>
      <w:spacing w:line="240" w:lineRule="atLeast"/>
      <w:ind w:left="680" w:hanging="680"/>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qFormat/>
    <w:rsid w:val="00B927D8"/>
    <w:pPr>
      <w:numPr>
        <w:ilvl w:val="2"/>
        <w:numId w:val="29"/>
      </w:numPr>
      <w:tabs>
        <w:tab w:val="left" w:pos="1021"/>
      </w:tabs>
      <w:spacing w:before="240"/>
      <w:ind w:left="1021" w:hanging="1021"/>
      <w:outlineLvl w:val="2"/>
    </w:pPr>
    <w:rPr>
      <w:rFonts w:eastAsiaTheme="majorEastAsia" w:cstheme="majorBidi"/>
      <w:b/>
      <w:bCs/>
      <w:color w:val="70635A" w:themeColor="text2"/>
      <w:sz w:val="28"/>
    </w:rPr>
  </w:style>
  <w:style w:type="paragraph" w:styleId="Heading4">
    <w:name w:val="heading 4"/>
    <w:basedOn w:val="Normal"/>
    <w:next w:val="Normal"/>
    <w:link w:val="Heading4Char"/>
    <w:qFormat/>
    <w:rsid w:val="00B927D8"/>
    <w:pPr>
      <w:numPr>
        <w:ilvl w:val="3"/>
        <w:numId w:val="29"/>
      </w:numPr>
      <w:tabs>
        <w:tab w:val="left" w:pos="1021"/>
      </w:tabs>
      <w:spacing w:before="240"/>
      <w:ind w:left="1021" w:hanging="1021"/>
      <w:outlineLvl w:val="3"/>
    </w:pPr>
    <w:rPr>
      <w:rFonts w:eastAsiaTheme="majorEastAsia" w:cstheme="majorBidi"/>
      <w:b/>
      <w:bCs/>
      <w:iCs/>
      <w:color w:val="51626F"/>
      <w:sz w:val="24"/>
    </w:rPr>
  </w:style>
  <w:style w:type="paragraph" w:styleId="Heading5">
    <w:name w:val="heading 5"/>
    <w:next w:val="Normal"/>
    <w:link w:val="Heading5Char"/>
    <w:uiPriority w:val="2"/>
    <w:qFormat/>
    <w:rsid w:val="00B927D8"/>
    <w:pPr>
      <w:numPr>
        <w:ilvl w:val="4"/>
        <w:numId w:val="29"/>
      </w:numPr>
      <w:tabs>
        <w:tab w:val="left" w:pos="1361"/>
      </w:tabs>
      <w:spacing w:line="240" w:lineRule="atLeast"/>
      <w:ind w:left="1361" w:hanging="1361"/>
      <w:outlineLvl w:val="4"/>
    </w:pPr>
    <w:rPr>
      <w:rFonts w:ascii="Arial" w:eastAsiaTheme="majorEastAsia" w:hAnsi="Arial" w:cstheme="majorBidi"/>
      <w:b/>
      <w:color w:val="170017" w:themeColor="accent1" w:themeShade="7F"/>
    </w:rPr>
  </w:style>
  <w:style w:type="paragraph" w:styleId="Heading6">
    <w:name w:val="heading 6"/>
    <w:basedOn w:val="Normal"/>
    <w:next w:val="Normal"/>
    <w:link w:val="Heading6Char"/>
    <w:uiPriority w:val="2"/>
    <w:qFormat/>
    <w:rsid w:val="00B37E38"/>
    <w:pPr>
      <w:numPr>
        <w:ilvl w:val="5"/>
        <w:numId w:val="29"/>
      </w:numPr>
      <w:tabs>
        <w:tab w:val="left" w:pos="1361"/>
      </w:tabs>
      <w:spacing w:before="240"/>
      <w:ind w:left="1361" w:hanging="1361"/>
      <w:outlineLvl w:val="5"/>
    </w:pPr>
    <w:rPr>
      <w:rFonts w:eastAsiaTheme="majorEastAsia" w:cstheme="majorBidi"/>
      <w:b/>
      <w:i/>
      <w:iCs/>
      <w:color w:val="076A92" w:themeColor="text1"/>
    </w:rPr>
  </w:style>
  <w:style w:type="paragraph" w:styleId="Heading7">
    <w:name w:val="heading 7"/>
    <w:basedOn w:val="Normal"/>
    <w:next w:val="Normal"/>
    <w:link w:val="Heading7Char"/>
    <w:uiPriority w:val="2"/>
    <w:qFormat/>
    <w:rsid w:val="00B927D8"/>
    <w:pPr>
      <w:numPr>
        <w:ilvl w:val="6"/>
        <w:numId w:val="29"/>
      </w:numPr>
      <w:tabs>
        <w:tab w:val="left" w:pos="1701"/>
      </w:tabs>
      <w:spacing w:before="240"/>
      <w:ind w:left="1701" w:hanging="1701"/>
      <w:outlineLvl w:val="6"/>
    </w:pPr>
    <w:rPr>
      <w:rFonts w:eastAsiaTheme="majorEastAsia" w:cstheme="majorBidi"/>
      <w:i/>
      <w:iCs/>
    </w:rPr>
  </w:style>
  <w:style w:type="paragraph" w:styleId="Heading8">
    <w:name w:val="heading 8"/>
    <w:basedOn w:val="Normal"/>
    <w:next w:val="Normal"/>
    <w:link w:val="Heading8Char"/>
    <w:uiPriority w:val="2"/>
    <w:qFormat/>
    <w:rsid w:val="00B927D8"/>
    <w:pPr>
      <w:numPr>
        <w:ilvl w:val="7"/>
        <w:numId w:val="29"/>
      </w:numPr>
      <w:tabs>
        <w:tab w:val="left" w:pos="1701"/>
      </w:tabs>
      <w:spacing w:before="240"/>
      <w:ind w:left="1701" w:hanging="1701"/>
      <w:outlineLvl w:val="7"/>
    </w:pPr>
    <w:rPr>
      <w:rFonts w:eastAsiaTheme="majorEastAsia" w:cstheme="majorBidi"/>
      <w:color w:val="2F002F" w:themeColor="accent1"/>
      <w:szCs w:val="20"/>
    </w:rPr>
  </w:style>
  <w:style w:type="paragraph" w:styleId="Heading9">
    <w:name w:val="heading 9"/>
    <w:basedOn w:val="Normal"/>
    <w:next w:val="Normal"/>
    <w:link w:val="Heading9Char"/>
    <w:uiPriority w:val="2"/>
    <w:qFormat/>
    <w:rsid w:val="00B927D8"/>
    <w:pPr>
      <w:numPr>
        <w:ilvl w:val="8"/>
        <w:numId w:val="29"/>
      </w:numPr>
      <w:tabs>
        <w:tab w:val="left" w:pos="1701"/>
      </w:tabs>
      <w:spacing w:before="240"/>
      <w:ind w:left="1701" w:hanging="1701"/>
      <w:outlineLvl w:val="8"/>
    </w:pPr>
    <w:rPr>
      <w:rFonts w:eastAsiaTheme="majorEastAsia" w:cstheme="majorBidi"/>
      <w: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927D8"/>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rsid w:val="00B927D8"/>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rsid w:val="00B927D8"/>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rsid w:val="00B927D8"/>
    <w:rPr>
      <w:rFonts w:ascii="Arial" w:eastAsiaTheme="majorEastAsia" w:hAnsi="Arial" w:cstheme="majorBidi"/>
      <w:b/>
      <w:bCs/>
      <w:iCs/>
      <w:color w:val="51626F"/>
      <w:sz w:val="24"/>
    </w:rPr>
  </w:style>
  <w:style w:type="character" w:customStyle="1" w:styleId="Heading5Char">
    <w:name w:val="Heading 5 Char"/>
    <w:basedOn w:val="DefaultParagraphFont"/>
    <w:link w:val="Heading5"/>
    <w:uiPriority w:val="2"/>
    <w:rsid w:val="00B927D8"/>
    <w:rPr>
      <w:rFonts w:ascii="Arial" w:eastAsiaTheme="majorEastAsia" w:hAnsi="Arial" w:cstheme="majorBidi"/>
      <w:b/>
      <w:color w:val="170017" w:themeColor="accent1" w:themeShade="7F"/>
    </w:rPr>
  </w:style>
  <w:style w:type="character" w:customStyle="1" w:styleId="Heading6Char">
    <w:name w:val="Heading 6 Char"/>
    <w:basedOn w:val="DefaultParagraphFont"/>
    <w:link w:val="Heading6"/>
    <w:uiPriority w:val="2"/>
    <w:rsid w:val="00B37E38"/>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F835C9"/>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F835C9"/>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EB505D"/>
    <w:pPr>
      <w:tabs>
        <w:tab w:val="right" w:leader="dot" w:pos="8363"/>
      </w:tabs>
      <w:spacing w:after="100"/>
      <w:ind w:left="2977"/>
    </w:pPr>
    <w:rPr>
      <w:noProof/>
    </w:rPr>
  </w:style>
  <w:style w:type="paragraph" w:styleId="TOC9">
    <w:name w:val="toc 9"/>
    <w:basedOn w:val="Normal"/>
    <w:next w:val="Normal"/>
    <w:uiPriority w:val="39"/>
    <w:rsid w:val="00EB505D"/>
    <w:pPr>
      <w:tabs>
        <w:tab w:val="right" w:leader="dot" w:pos="8363"/>
      </w:tabs>
      <w:spacing w:after="100"/>
      <w:ind w:left="3402"/>
    </w:pPr>
    <w:rPr>
      <w:noProof/>
    </w:rPr>
  </w:style>
  <w:style w:type="paragraph" w:customStyle="1" w:styleId="Heading1notnumber">
    <w:name w:val="Heading 1 not number"/>
    <w:basedOn w:val="Heading1"/>
    <w:qFormat/>
    <w:rsid w:val="00130C3C"/>
    <w:pPr>
      <w:numPr>
        <w:numId w:val="0"/>
      </w:numPr>
    </w:pPr>
  </w:style>
  <w:style w:type="paragraph" w:customStyle="1" w:styleId="Heading2notnumbered">
    <w:name w:val="Heading 2 not numbered"/>
    <w:basedOn w:val="Heading2"/>
    <w:rsid w:val="00130C3C"/>
    <w:pPr>
      <w:numPr>
        <w:ilvl w:val="0"/>
        <w:numId w:val="0"/>
      </w:numPr>
    </w:pPr>
    <w:rPr>
      <w:rFonts w:eastAsia="Times New Roman" w:cs="Times New Roman"/>
      <w:szCs w:val="20"/>
    </w:rPr>
  </w:style>
  <w:style w:type="paragraph" w:customStyle="1" w:styleId="Heading3notnumbered">
    <w:name w:val="Heading 3 not numbered"/>
    <w:basedOn w:val="Heading3"/>
    <w:rsid w:val="00130C3C"/>
    <w:pPr>
      <w:numPr>
        <w:ilvl w:val="0"/>
        <w:numId w:val="0"/>
      </w:numPr>
    </w:pPr>
    <w:rPr>
      <w:rFonts w:eastAsia="Times New Roman" w:cs="Times New Roman"/>
      <w:szCs w:val="20"/>
    </w:rPr>
  </w:style>
  <w:style w:type="paragraph" w:customStyle="1" w:styleId="Heading4notnumbered">
    <w:name w:val="Heading 4 not numbered"/>
    <w:basedOn w:val="Heading4"/>
    <w:rsid w:val="00130C3C"/>
    <w:pPr>
      <w:numPr>
        <w:ilvl w:val="0"/>
        <w:numId w:val="0"/>
      </w:numPr>
    </w:pPr>
    <w:rPr>
      <w:rFonts w:eastAsia="Times New Roman" w:cs="Times New Roman"/>
      <w:iCs w:val="0"/>
      <w:szCs w:val="20"/>
    </w:rPr>
  </w:style>
  <w:style w:type="paragraph" w:customStyle="1" w:styleId="Heading5notnumbered">
    <w:name w:val="Heading 5 not numbered"/>
    <w:basedOn w:val="Heading5"/>
    <w:rsid w:val="00130C3C"/>
    <w:pPr>
      <w:numPr>
        <w:ilvl w:val="0"/>
        <w:numId w:val="0"/>
      </w:numPr>
    </w:pPr>
    <w:rPr>
      <w:rFonts w:eastAsia="Times New Roman" w:cs="Times New Roman"/>
      <w:bCs/>
      <w:szCs w:val="20"/>
    </w:rPr>
  </w:style>
  <w:style w:type="paragraph" w:customStyle="1" w:styleId="Heading6notnumbered">
    <w:name w:val="Heading 6 not numbered"/>
    <w:basedOn w:val="Heading6"/>
    <w:rsid w:val="00130C3C"/>
    <w:pPr>
      <w:numPr>
        <w:ilvl w:val="0"/>
        <w:numId w:val="0"/>
      </w:numPr>
    </w:pPr>
    <w:rPr>
      <w:rFonts w:eastAsia="Times New Roman" w:cs="Times New Roman"/>
      <w:bCs/>
      <w:szCs w:val="20"/>
    </w:r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Boxedtext">
    <w:name w:val="Boxed text"/>
    <w:basedOn w:val="Normal"/>
    <w:link w:val="BoxedtextChar"/>
    <w:uiPriority w:val="1"/>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BoxedtextChar">
    <w:name w:val="Boxed text Char"/>
    <w:basedOn w:val="DefaultParagraphFont"/>
    <w:link w:val="Boxedtext"/>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next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next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Bulletpoint">
    <w:name w:val="Bullet point"/>
    <w:basedOn w:val="ListBullet"/>
    <w:qFormat/>
    <w:rsid w:val="00FE64AE"/>
    <w:pPr>
      <w:numPr>
        <w:numId w:val="2"/>
      </w:numPr>
      <w:ind w:left="357" w:hanging="357"/>
    </w:pPr>
    <w:rPr>
      <w:rFonts w:cs="Times New Roman"/>
    </w:rPr>
  </w:style>
  <w:style w:type="paragraph" w:styleId="ListBullet">
    <w:name w:val="List Bullet"/>
    <w:basedOn w:val="Normal"/>
    <w:uiPriority w:val="99"/>
    <w:unhideWhenUsed/>
    <w:rsid w:val="00DB5074"/>
    <w:pPr>
      <w:numPr>
        <w:numId w:val="13"/>
      </w:numPr>
      <w:tabs>
        <w:tab w:val="left" w:pos="340"/>
      </w:tabs>
      <w:spacing w:before="120"/>
      <w:ind w:left="340" w:hanging="340"/>
    </w:pPr>
  </w:style>
  <w:style w:type="paragraph" w:customStyle="1" w:styleId="Bulletpoint2">
    <w:name w:val="Bullet point 2"/>
    <w:basedOn w:val="ListBullet2"/>
    <w:uiPriority w:val="1"/>
    <w:qFormat/>
    <w:rsid w:val="008033C4"/>
    <w:pPr>
      <w:numPr>
        <w:numId w:val="12"/>
      </w:numPr>
      <w:ind w:left="998" w:hanging="357"/>
    </w:pPr>
  </w:style>
  <w:style w:type="paragraph" w:styleId="ListNumber">
    <w:name w:val="List Number"/>
    <w:basedOn w:val="Normal"/>
    <w:uiPriority w:val="99"/>
    <w:qFormat/>
    <w:rsid w:val="00CA489E"/>
    <w:pPr>
      <w:numPr>
        <w:numId w:val="7"/>
      </w:numPr>
      <w:tabs>
        <w:tab w:val="num" w:pos="340"/>
      </w:tabs>
      <w:spacing w:before="120"/>
      <w:ind w:left="340" w:hanging="340"/>
    </w:pPr>
  </w:style>
  <w:style w:type="paragraph" w:styleId="ListBullet2">
    <w:name w:val="List Bullet 2"/>
    <w:basedOn w:val="Normal"/>
    <w:uiPriority w:val="99"/>
    <w:unhideWhenUsed/>
    <w:rsid w:val="00DB5074"/>
    <w:pPr>
      <w:numPr>
        <w:numId w:val="3"/>
      </w:numPr>
      <w:tabs>
        <w:tab w:val="clear" w:pos="643"/>
        <w:tab w:val="num" w:pos="680"/>
      </w:tabs>
      <w:spacing w:before="120"/>
      <w:ind w:left="680" w:hanging="340"/>
    </w:pPr>
  </w:style>
  <w:style w:type="paragraph" w:styleId="TOCHeading">
    <w:name w:val="TOC Heading"/>
    <w:basedOn w:val="Normal"/>
    <w:next w:val="Normal"/>
    <w:uiPriority w:val="39"/>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semiHidden/>
    <w:unhideWhenUsed/>
    <w:rsid w:val="003518B3"/>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18B3"/>
    <w:rPr>
      <w:rFonts w:ascii="Tahoma" w:hAnsi="Tahoma" w:cs="Tahoma"/>
      <w:sz w:val="16"/>
      <w:szCs w:val="16"/>
    </w:rPr>
  </w:style>
  <w:style w:type="paragraph" w:styleId="Footer">
    <w:name w:val="footer"/>
    <w:basedOn w:val="Normal"/>
    <w:link w:val="FooterChar"/>
    <w:uiPriority w:val="99"/>
    <w:unhideWhenUsed/>
    <w:qFormat/>
    <w:rsid w:val="00F835C9"/>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F835C9"/>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2"/>
    <w:rsid w:val="00B927D8"/>
    <w:rPr>
      <w:rFonts w:ascii="Arial" w:eastAsiaTheme="majorEastAsia" w:hAnsi="Arial" w:cstheme="majorBidi"/>
      <w:i/>
      <w:iCs/>
    </w:rPr>
  </w:style>
  <w:style w:type="character" w:customStyle="1" w:styleId="Heading8Char">
    <w:name w:val="Heading 8 Char"/>
    <w:basedOn w:val="DefaultParagraphFont"/>
    <w:link w:val="Heading8"/>
    <w:uiPriority w:val="2"/>
    <w:rsid w:val="00B927D8"/>
    <w:rPr>
      <w:rFonts w:ascii="Arial" w:eastAsiaTheme="majorEastAsia" w:hAnsi="Arial" w:cstheme="majorBidi"/>
      <w:color w:val="2F002F" w:themeColor="accent1"/>
      <w:szCs w:val="20"/>
    </w:rPr>
  </w:style>
  <w:style w:type="character" w:customStyle="1" w:styleId="Heading9Char">
    <w:name w:val="Heading 9 Char"/>
    <w:basedOn w:val="DefaultParagraphFont"/>
    <w:link w:val="Heading9"/>
    <w:uiPriority w:val="2"/>
    <w:rsid w:val="00B927D8"/>
    <w:rPr>
      <w:rFonts w:ascii="Arial" w:eastAsiaTheme="majorEastAsia" w:hAnsi="Arial" w:cstheme="majorBidi"/>
      <w:i/>
      <w:iCs/>
      <w:szCs w:val="20"/>
    </w:rPr>
  </w:style>
  <w:style w:type="paragraph" w:customStyle="1" w:styleId="Heading7notnumbered">
    <w:name w:val="Heading 7 not numbered"/>
    <w:basedOn w:val="Heading7"/>
    <w:rsid w:val="00130C3C"/>
    <w:pPr>
      <w:numPr>
        <w:ilvl w:val="0"/>
        <w:numId w:val="0"/>
      </w:numPr>
    </w:pPr>
    <w:rPr>
      <w:rFonts w:eastAsia="Times New Roman" w:cs="Times New Roman"/>
      <w:szCs w:val="20"/>
    </w:rPr>
  </w:style>
  <w:style w:type="paragraph" w:customStyle="1" w:styleId="Heading8notnumbered">
    <w:name w:val="Heading 8 not numbered"/>
    <w:basedOn w:val="Heading8"/>
    <w:rsid w:val="00130C3C"/>
    <w:pPr>
      <w:numPr>
        <w:ilvl w:val="0"/>
        <w:numId w:val="0"/>
      </w:numPr>
    </w:pPr>
    <w:rPr>
      <w:rFonts w:eastAsia="Times New Roman" w:cs="Times New Roman"/>
    </w:r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rsid w:val="00D7168E"/>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rsid w:val="00EB505D"/>
    <w:pPr>
      <w:tabs>
        <w:tab w:val="left" w:leader="dot" w:pos="880"/>
        <w:tab w:val="right" w:leader="dot" w:pos="8363"/>
      </w:tabs>
      <w:spacing w:after="100"/>
      <w:ind w:left="425"/>
    </w:pPr>
    <w:rPr>
      <w:b/>
      <w:noProof/>
      <w:color w:val="70635A" w:themeColor="text2"/>
      <w:sz w:val="24"/>
    </w:rPr>
  </w:style>
  <w:style w:type="paragraph" w:styleId="TOC3">
    <w:name w:val="toc 3"/>
    <w:basedOn w:val="Normal"/>
    <w:next w:val="Normal"/>
    <w:uiPriority w:val="39"/>
    <w:rsid w:val="00EB505D"/>
    <w:pPr>
      <w:tabs>
        <w:tab w:val="left" w:pos="1760"/>
        <w:tab w:val="right" w:leader="dot" w:pos="8363"/>
      </w:tabs>
      <w:spacing w:after="100"/>
      <w:ind w:left="851"/>
    </w:pPr>
    <w:rPr>
      <w:noProof/>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basedOn w:val="Normal"/>
    <w:link w:val="FootnoteTextChar"/>
    <w:unhideWhenUsed/>
    <w:rsid w:val="00182906"/>
    <w:pPr>
      <w:widowControl w:val="0"/>
      <w:tabs>
        <w:tab w:val="left" w:pos="340"/>
      </w:tabs>
      <w:spacing w:before="0" w:line="240" w:lineRule="exact"/>
      <w:ind w:left="340" w:hanging="340"/>
    </w:pPr>
    <w:rPr>
      <w:sz w:val="16"/>
      <w:szCs w:val="20"/>
    </w:rPr>
  </w:style>
  <w:style w:type="character" w:customStyle="1" w:styleId="FootnoteTextChar">
    <w:name w:val="Footnote Text Char"/>
    <w:basedOn w:val="DefaultParagraphFont"/>
    <w:link w:val="FootnoteText"/>
    <w:rsid w:val="00182906"/>
    <w:rPr>
      <w:rFonts w:ascii="Arial" w:hAnsi="Arial"/>
      <w:sz w:val="16"/>
      <w:szCs w:val="20"/>
    </w:rPr>
  </w:style>
  <w:style w:type="character" w:styleId="FootnoteReference">
    <w:name w:val="footnote reference"/>
    <w:basedOn w:val="DefaultParagraphFont"/>
    <w:unhideWhenUsed/>
    <w:rsid w:val="00B37E38"/>
    <w:rPr>
      <w:sz w:val="24"/>
      <w:vertAlign w:val="superscript"/>
    </w:rPr>
  </w:style>
  <w:style w:type="character" w:styleId="Strong">
    <w:name w:val="Strong"/>
    <w:basedOn w:val="DefaultParagraphFont"/>
    <w:uiPriority w:val="22"/>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EB505D"/>
    <w:pPr>
      <w:tabs>
        <w:tab w:val="right" w:leader="dot" w:pos="8363"/>
      </w:tabs>
      <w:spacing w:after="100"/>
      <w:ind w:left="1276"/>
    </w:pPr>
    <w:rPr>
      <w:noProof/>
    </w:rPr>
  </w:style>
  <w:style w:type="paragraph" w:styleId="TOC5">
    <w:name w:val="toc 5"/>
    <w:basedOn w:val="Normal"/>
    <w:next w:val="Normal"/>
    <w:uiPriority w:val="39"/>
    <w:rsid w:val="00EB505D"/>
    <w:pPr>
      <w:tabs>
        <w:tab w:val="right" w:leader="dot" w:pos="8363"/>
      </w:tabs>
      <w:spacing w:after="100"/>
      <w:ind w:left="1701"/>
    </w:pPr>
    <w:rPr>
      <w:noProof/>
    </w:rPr>
  </w:style>
  <w:style w:type="paragraph" w:styleId="TOC6">
    <w:name w:val="toc 6"/>
    <w:basedOn w:val="Normal"/>
    <w:next w:val="Normal"/>
    <w:uiPriority w:val="39"/>
    <w:rsid w:val="009F4940"/>
    <w:pPr>
      <w:tabs>
        <w:tab w:val="right" w:leader="dot" w:pos="9016"/>
      </w:tabs>
      <w:spacing w:after="100"/>
      <w:ind w:left="2127"/>
    </w:pPr>
    <w:rPr>
      <w:noProof/>
    </w:rPr>
  </w:style>
  <w:style w:type="paragraph" w:styleId="TOC7">
    <w:name w:val="toc 7"/>
    <w:basedOn w:val="Normal"/>
    <w:next w:val="Normal"/>
    <w:uiPriority w:val="39"/>
    <w:rsid w:val="00EB505D"/>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Heading9notnumbered">
    <w:name w:val="Heading 9 not numbered"/>
    <w:basedOn w:val="Heading9"/>
    <w:rsid w:val="00130C3C"/>
    <w:pPr>
      <w:numPr>
        <w:ilvl w:val="0"/>
        <w:numId w:val="0"/>
      </w:numPr>
    </w:pPr>
    <w:rPr>
      <w:rFonts w:eastAsia="Times New Roman" w:cs="Times New Roman"/>
    </w:rPr>
  </w:style>
  <w:style w:type="paragraph" w:styleId="Caption">
    <w:name w:val="caption"/>
    <w:basedOn w:val="Normal"/>
    <w:next w:val="Normal"/>
    <w:uiPriority w:val="35"/>
    <w:unhideWhenUsed/>
    <w:qFormat/>
    <w:rsid w:val="002E1BE5"/>
    <w:pPr>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basedOn w:val="Normal"/>
    <w:uiPriority w:val="99"/>
    <w:unhideWhenUsed/>
    <w:rsid w:val="00DB5074"/>
    <w:pPr>
      <w:numPr>
        <w:numId w:val="4"/>
      </w:numPr>
      <w:tabs>
        <w:tab w:val="clear" w:pos="926"/>
        <w:tab w:val="num" w:pos="1021"/>
      </w:tabs>
      <w:spacing w:before="120"/>
      <w:ind w:left="1020" w:hanging="34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basedOn w:val="Normal"/>
    <w:uiPriority w:val="99"/>
    <w:unhideWhenUsed/>
    <w:qFormat/>
    <w:rsid w:val="00DB5074"/>
    <w:pPr>
      <w:tabs>
        <w:tab w:val="left" w:pos="340"/>
      </w:tabs>
      <w:spacing w:before="120"/>
      <w:ind w:left="340"/>
    </w:pPr>
  </w:style>
  <w:style w:type="paragraph" w:styleId="ListContinue2">
    <w:name w:val="List Continue 2"/>
    <w:basedOn w:val="Normal"/>
    <w:uiPriority w:val="99"/>
    <w:unhideWhenUsed/>
    <w:rsid w:val="00567BA5"/>
    <w:pPr>
      <w:tabs>
        <w:tab w:val="left" w:pos="680"/>
      </w:tabs>
      <w:spacing w:before="120"/>
      <w:ind w:left="680"/>
    </w:pPr>
  </w:style>
  <w:style w:type="paragraph" w:styleId="ListContinue3">
    <w:name w:val="List Continue 3"/>
    <w:basedOn w:val="Normal"/>
    <w:uiPriority w:val="99"/>
    <w:unhideWhenUsed/>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562632"/>
    <w:pPr>
      <w:numPr>
        <w:ilvl w:val="1"/>
        <w:numId w:val="15"/>
      </w:numPr>
      <w:tabs>
        <w:tab w:val="left" w:pos="1021"/>
      </w:tabs>
      <w:spacing w:line="240" w:lineRule="atLeast"/>
      <w:ind w:left="680" w:hanging="680"/>
    </w:pPr>
    <w:rPr>
      <w:rFonts w:eastAsiaTheme="majorEastAsia" w:cs="Arial"/>
      <w:bCs/>
      <w:szCs w:val="26"/>
    </w:r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A22495"/>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rsid w:val="000A6C7B"/>
    <w:rPr>
      <w:b w:val="0"/>
      <w:sz w:val="36"/>
      <w:szCs w:val="36"/>
    </w:rPr>
  </w:style>
  <w:style w:type="paragraph" w:customStyle="1" w:styleId="ReportSubtitle">
    <w:name w:val="Report Subtitle"/>
    <w:basedOn w:val="ReportTitle"/>
    <w:link w:val="ReportSubtitleChar"/>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20"/>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ListLegal3">
    <w:name w:val="List Legal 3"/>
    <w:basedOn w:val="ListNumber3"/>
    <w:rsid w:val="00571D57"/>
    <w:pPr>
      <w:numPr>
        <w:numId w:val="21"/>
      </w:numPr>
      <w:tabs>
        <w:tab w:val="left" w:pos="1361"/>
      </w:tabs>
      <w:ind w:left="1361" w:hanging="340"/>
    </w:pPr>
  </w:style>
  <w:style w:type="paragraph" w:customStyle="1" w:styleId="ListLegal4">
    <w:name w:val="List Legal 4"/>
    <w:basedOn w:val="ListLegal3"/>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Listalphabet2">
    <w:name w:val="List alphabet 2"/>
    <w:basedOn w:val="Listalphabet"/>
    <w:rsid w:val="00DB5074"/>
    <w:pPr>
      <w:numPr>
        <w:numId w:val="18"/>
      </w:numPr>
      <w:tabs>
        <w:tab w:val="clear" w:pos="340"/>
        <w:tab w:val="left" w:pos="680"/>
      </w:tabs>
      <w:ind w:left="680" w:hanging="340"/>
    </w:pPr>
  </w:style>
  <w:style w:type="paragraph" w:customStyle="1" w:styleId="Listalphabet3">
    <w:name w:val="List alphabet 3"/>
    <w:basedOn w:val="Listalphabet2"/>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Quotes">
    <w:name w:val="Quotes"/>
    <w:basedOn w:val="Normal"/>
    <w:rsid w:val="0020492C"/>
    <w:pPr>
      <w:spacing w:before="120" w:after="120" w:line="240" w:lineRule="auto"/>
      <w:ind w:left="567" w:right="793"/>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5"/>
      </w:numPr>
      <w:tabs>
        <w:tab w:val="left" w:pos="680"/>
        <w:tab w:val="left" w:pos="1021"/>
        <w:tab w:val="left" w:pos="1361"/>
      </w:tabs>
      <w:spacing w:line="240" w:lineRule="auto"/>
    </w:pPr>
  </w:style>
  <w:style w:type="character" w:customStyle="1" w:styleId="AERtextsize8">
    <w:name w:val="AER text size 8"/>
    <w:basedOn w:val="DefaultParagraphFont"/>
    <w:uiPriority w:val="1"/>
    <w:qFormat/>
    <w:rsid w:val="00CC213C"/>
    <w:rPr>
      <w:rFonts w:ascii="Arial" w:hAnsi="Arial"/>
      <w:color w:val="auto"/>
      <w:sz w:val="16"/>
    </w:rPr>
  </w:style>
  <w:style w:type="paragraph" w:customStyle="1" w:styleId="NumberedChapterTitle">
    <w:name w:val="Numbered Chapter Title"/>
    <w:basedOn w:val="Chaptertitle"/>
    <w:qFormat/>
    <w:rsid w:val="00EB505D"/>
    <w:pPr>
      <w:numPr>
        <w:numId w:val="28"/>
      </w:numPr>
      <w:tabs>
        <w:tab w:val="left" w:pos="680"/>
      </w:tabs>
      <w:ind w:left="680" w:hanging="680"/>
    </w:pPr>
  </w:style>
  <w:style w:type="paragraph" w:styleId="Revision">
    <w:name w:val="Revision"/>
    <w:hidden/>
    <w:uiPriority w:val="99"/>
    <w:semiHidden/>
    <w:rsid w:val="00182906"/>
    <w:pPr>
      <w:spacing w:before="0"/>
    </w:pPr>
    <w:rPr>
      <w:rFonts w:ascii="Arial" w:hAnsi="Arial"/>
    </w:rPr>
  </w:style>
  <w:style w:type="character" w:customStyle="1" w:styleId="Subscript">
    <w:name w:val="Subscript"/>
    <w:basedOn w:val="DefaultParagraphFont"/>
    <w:uiPriority w:val="1"/>
    <w:qFormat/>
    <w:rsid w:val="00AF1ED6"/>
    <w:rPr>
      <w:vertAlign w:val="subscript"/>
    </w:rPr>
  </w:style>
  <w:style w:type="character" w:customStyle="1" w:styleId="Superscript">
    <w:name w:val="Superscript"/>
    <w:basedOn w:val="Subscript"/>
    <w:uiPriority w:val="1"/>
    <w:qFormat/>
    <w:rsid w:val="00AF1ED6"/>
    <w:rPr>
      <w:vertAlign w:val="superscript"/>
    </w:rPr>
  </w:style>
  <w:style w:type="paragraph" w:styleId="CommentText">
    <w:name w:val="annotation text"/>
    <w:basedOn w:val="Normal"/>
    <w:link w:val="CommentTextChar"/>
    <w:uiPriority w:val="99"/>
    <w:semiHidden/>
    <w:unhideWhenUsed/>
    <w:rsid w:val="005E0E8D"/>
    <w:pPr>
      <w:spacing w:line="240" w:lineRule="auto"/>
    </w:pPr>
    <w:rPr>
      <w:sz w:val="20"/>
      <w:szCs w:val="20"/>
    </w:rPr>
  </w:style>
  <w:style w:type="character" w:customStyle="1" w:styleId="CommentTextChar">
    <w:name w:val="Comment Text Char"/>
    <w:basedOn w:val="DefaultParagraphFont"/>
    <w:link w:val="CommentText"/>
    <w:uiPriority w:val="99"/>
    <w:semiHidden/>
    <w:rsid w:val="005E0E8D"/>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5E0E8D"/>
    <w:rPr>
      <w:b/>
      <w:bCs/>
    </w:rPr>
  </w:style>
  <w:style w:type="character" w:customStyle="1" w:styleId="CommentSubjectChar">
    <w:name w:val="Comment Subject Char"/>
    <w:basedOn w:val="CommentTextChar"/>
    <w:link w:val="CommentSubject"/>
    <w:uiPriority w:val="99"/>
    <w:semiHidden/>
    <w:rsid w:val="005E0E8D"/>
    <w:rPr>
      <w:rFonts w:ascii="Arial" w:hAnsi="Arial"/>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footnote text" w:uiPriority="0"/>
    <w:lsdException w:name="header" w:qFormat="1"/>
    <w:lsdException w:name="footer" w:qFormat="1"/>
    <w:lsdException w:name="caption" w:uiPriority="35" w:qFormat="1"/>
    <w:lsdException w:name="footnote reference" w:uiPriority="0"/>
    <w:lsdException w:name="page number" w:uiPriority="0"/>
    <w:lsdException w:name="List" w:qFormat="1"/>
    <w:lsdException w:name="List Number" w:qFormat="1"/>
    <w:lsdException w:name="Title" w:semiHidden="0" w:uiPriority="10" w:unhideWhenUsed="0"/>
    <w:lsdException w:name="Default Paragraph Font" w:uiPriority="1"/>
    <w:lsdException w:name="List Continue" w:qFormat="1"/>
    <w:lsdException w:name="Subtitle" w:semiHidden="0" w:uiPriority="11" w:unhideWhenUsed="0"/>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latentStyles>
  <w:style w:type="paragraph" w:default="1" w:styleId="Normal">
    <w:name w:val="Normal"/>
    <w:qFormat/>
    <w:rsid w:val="00BA3C98"/>
    <w:pPr>
      <w:spacing w:line="276" w:lineRule="auto"/>
    </w:pPr>
    <w:rPr>
      <w:rFonts w:ascii="Arial" w:hAnsi="Arial"/>
    </w:rPr>
  </w:style>
  <w:style w:type="paragraph" w:styleId="Heading1">
    <w:name w:val="heading 1"/>
    <w:basedOn w:val="Normal"/>
    <w:next w:val="Normal"/>
    <w:link w:val="Heading1Char"/>
    <w:qFormat/>
    <w:rsid w:val="00B927D8"/>
    <w:pPr>
      <w:pageBreakBefore/>
      <w:numPr>
        <w:numId w:val="29"/>
      </w:numPr>
      <w:tabs>
        <w:tab w:val="left" w:pos="680"/>
      </w:tabs>
      <w:spacing w:before="240"/>
      <w:ind w:left="680" w:hanging="680"/>
      <w:outlineLvl w:val="0"/>
    </w:pPr>
    <w:rPr>
      <w:rFonts w:eastAsiaTheme="majorEastAsia" w:cstheme="majorBidi"/>
      <w:b/>
      <w:bCs/>
      <w:color w:val="70635A"/>
      <w:sz w:val="36"/>
      <w:szCs w:val="28"/>
    </w:rPr>
  </w:style>
  <w:style w:type="paragraph" w:styleId="Heading2">
    <w:name w:val="heading 2"/>
    <w:next w:val="Normal"/>
    <w:link w:val="Heading2Char"/>
    <w:qFormat/>
    <w:rsid w:val="00B927D8"/>
    <w:pPr>
      <w:numPr>
        <w:ilvl w:val="1"/>
        <w:numId w:val="29"/>
      </w:numPr>
      <w:tabs>
        <w:tab w:val="left" w:pos="680"/>
      </w:tabs>
      <w:spacing w:line="240" w:lineRule="atLeast"/>
      <w:ind w:left="680" w:hanging="680"/>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qFormat/>
    <w:rsid w:val="00B927D8"/>
    <w:pPr>
      <w:numPr>
        <w:ilvl w:val="2"/>
        <w:numId w:val="29"/>
      </w:numPr>
      <w:tabs>
        <w:tab w:val="left" w:pos="1021"/>
      </w:tabs>
      <w:spacing w:before="240"/>
      <w:ind w:left="1021" w:hanging="1021"/>
      <w:outlineLvl w:val="2"/>
    </w:pPr>
    <w:rPr>
      <w:rFonts w:eastAsiaTheme="majorEastAsia" w:cstheme="majorBidi"/>
      <w:b/>
      <w:bCs/>
      <w:color w:val="70635A" w:themeColor="text2"/>
      <w:sz w:val="28"/>
    </w:rPr>
  </w:style>
  <w:style w:type="paragraph" w:styleId="Heading4">
    <w:name w:val="heading 4"/>
    <w:basedOn w:val="Normal"/>
    <w:next w:val="Normal"/>
    <w:link w:val="Heading4Char"/>
    <w:qFormat/>
    <w:rsid w:val="00B927D8"/>
    <w:pPr>
      <w:numPr>
        <w:ilvl w:val="3"/>
        <w:numId w:val="29"/>
      </w:numPr>
      <w:tabs>
        <w:tab w:val="left" w:pos="1021"/>
      </w:tabs>
      <w:spacing w:before="240"/>
      <w:ind w:left="1021" w:hanging="1021"/>
      <w:outlineLvl w:val="3"/>
    </w:pPr>
    <w:rPr>
      <w:rFonts w:eastAsiaTheme="majorEastAsia" w:cstheme="majorBidi"/>
      <w:b/>
      <w:bCs/>
      <w:iCs/>
      <w:color w:val="51626F"/>
      <w:sz w:val="24"/>
    </w:rPr>
  </w:style>
  <w:style w:type="paragraph" w:styleId="Heading5">
    <w:name w:val="heading 5"/>
    <w:next w:val="Normal"/>
    <w:link w:val="Heading5Char"/>
    <w:uiPriority w:val="2"/>
    <w:qFormat/>
    <w:rsid w:val="00B927D8"/>
    <w:pPr>
      <w:numPr>
        <w:ilvl w:val="4"/>
        <w:numId w:val="29"/>
      </w:numPr>
      <w:tabs>
        <w:tab w:val="left" w:pos="1361"/>
      </w:tabs>
      <w:spacing w:line="240" w:lineRule="atLeast"/>
      <w:ind w:left="1361" w:hanging="1361"/>
      <w:outlineLvl w:val="4"/>
    </w:pPr>
    <w:rPr>
      <w:rFonts w:ascii="Arial" w:eastAsiaTheme="majorEastAsia" w:hAnsi="Arial" w:cstheme="majorBidi"/>
      <w:b/>
      <w:color w:val="170017" w:themeColor="accent1" w:themeShade="7F"/>
    </w:rPr>
  </w:style>
  <w:style w:type="paragraph" w:styleId="Heading6">
    <w:name w:val="heading 6"/>
    <w:basedOn w:val="Normal"/>
    <w:next w:val="Normal"/>
    <w:link w:val="Heading6Char"/>
    <w:uiPriority w:val="2"/>
    <w:qFormat/>
    <w:rsid w:val="00B37E38"/>
    <w:pPr>
      <w:numPr>
        <w:ilvl w:val="5"/>
        <w:numId w:val="29"/>
      </w:numPr>
      <w:tabs>
        <w:tab w:val="left" w:pos="1361"/>
      </w:tabs>
      <w:spacing w:before="240"/>
      <w:ind w:left="1361" w:hanging="1361"/>
      <w:outlineLvl w:val="5"/>
    </w:pPr>
    <w:rPr>
      <w:rFonts w:eastAsiaTheme="majorEastAsia" w:cstheme="majorBidi"/>
      <w:b/>
      <w:i/>
      <w:iCs/>
      <w:color w:val="076A92" w:themeColor="text1"/>
    </w:rPr>
  </w:style>
  <w:style w:type="paragraph" w:styleId="Heading7">
    <w:name w:val="heading 7"/>
    <w:basedOn w:val="Normal"/>
    <w:next w:val="Normal"/>
    <w:link w:val="Heading7Char"/>
    <w:uiPriority w:val="2"/>
    <w:qFormat/>
    <w:rsid w:val="00B927D8"/>
    <w:pPr>
      <w:numPr>
        <w:ilvl w:val="6"/>
        <w:numId w:val="29"/>
      </w:numPr>
      <w:tabs>
        <w:tab w:val="left" w:pos="1701"/>
      </w:tabs>
      <w:spacing w:before="240"/>
      <w:ind w:left="1701" w:hanging="1701"/>
      <w:outlineLvl w:val="6"/>
    </w:pPr>
    <w:rPr>
      <w:rFonts w:eastAsiaTheme="majorEastAsia" w:cstheme="majorBidi"/>
      <w:i/>
      <w:iCs/>
    </w:rPr>
  </w:style>
  <w:style w:type="paragraph" w:styleId="Heading8">
    <w:name w:val="heading 8"/>
    <w:basedOn w:val="Normal"/>
    <w:next w:val="Normal"/>
    <w:link w:val="Heading8Char"/>
    <w:uiPriority w:val="2"/>
    <w:qFormat/>
    <w:rsid w:val="00B927D8"/>
    <w:pPr>
      <w:numPr>
        <w:ilvl w:val="7"/>
        <w:numId w:val="29"/>
      </w:numPr>
      <w:tabs>
        <w:tab w:val="left" w:pos="1701"/>
      </w:tabs>
      <w:spacing w:before="240"/>
      <w:ind w:left="1701" w:hanging="1701"/>
      <w:outlineLvl w:val="7"/>
    </w:pPr>
    <w:rPr>
      <w:rFonts w:eastAsiaTheme="majorEastAsia" w:cstheme="majorBidi"/>
      <w:color w:val="2F002F" w:themeColor="accent1"/>
      <w:szCs w:val="20"/>
    </w:rPr>
  </w:style>
  <w:style w:type="paragraph" w:styleId="Heading9">
    <w:name w:val="heading 9"/>
    <w:basedOn w:val="Normal"/>
    <w:next w:val="Normal"/>
    <w:link w:val="Heading9Char"/>
    <w:uiPriority w:val="2"/>
    <w:qFormat/>
    <w:rsid w:val="00B927D8"/>
    <w:pPr>
      <w:numPr>
        <w:ilvl w:val="8"/>
        <w:numId w:val="29"/>
      </w:numPr>
      <w:tabs>
        <w:tab w:val="left" w:pos="1701"/>
      </w:tabs>
      <w:spacing w:before="240"/>
      <w:ind w:left="1701" w:hanging="1701"/>
      <w:outlineLvl w:val="8"/>
    </w:pPr>
    <w:rPr>
      <w:rFonts w:eastAsiaTheme="majorEastAsia" w:cstheme="majorBidi"/>
      <w: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927D8"/>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rsid w:val="00B927D8"/>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rsid w:val="00B927D8"/>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rsid w:val="00B927D8"/>
    <w:rPr>
      <w:rFonts w:ascii="Arial" w:eastAsiaTheme="majorEastAsia" w:hAnsi="Arial" w:cstheme="majorBidi"/>
      <w:b/>
      <w:bCs/>
      <w:iCs/>
      <w:color w:val="51626F"/>
      <w:sz w:val="24"/>
    </w:rPr>
  </w:style>
  <w:style w:type="character" w:customStyle="1" w:styleId="Heading5Char">
    <w:name w:val="Heading 5 Char"/>
    <w:basedOn w:val="DefaultParagraphFont"/>
    <w:link w:val="Heading5"/>
    <w:uiPriority w:val="2"/>
    <w:rsid w:val="00B927D8"/>
    <w:rPr>
      <w:rFonts w:ascii="Arial" w:eastAsiaTheme="majorEastAsia" w:hAnsi="Arial" w:cstheme="majorBidi"/>
      <w:b/>
      <w:color w:val="170017" w:themeColor="accent1" w:themeShade="7F"/>
    </w:rPr>
  </w:style>
  <w:style w:type="character" w:customStyle="1" w:styleId="Heading6Char">
    <w:name w:val="Heading 6 Char"/>
    <w:basedOn w:val="DefaultParagraphFont"/>
    <w:link w:val="Heading6"/>
    <w:uiPriority w:val="2"/>
    <w:rsid w:val="00B37E38"/>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F835C9"/>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F835C9"/>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EB505D"/>
    <w:pPr>
      <w:tabs>
        <w:tab w:val="right" w:leader="dot" w:pos="8363"/>
      </w:tabs>
      <w:spacing w:after="100"/>
      <w:ind w:left="2977"/>
    </w:pPr>
    <w:rPr>
      <w:noProof/>
    </w:rPr>
  </w:style>
  <w:style w:type="paragraph" w:styleId="TOC9">
    <w:name w:val="toc 9"/>
    <w:basedOn w:val="Normal"/>
    <w:next w:val="Normal"/>
    <w:uiPriority w:val="39"/>
    <w:rsid w:val="00EB505D"/>
    <w:pPr>
      <w:tabs>
        <w:tab w:val="right" w:leader="dot" w:pos="8363"/>
      </w:tabs>
      <w:spacing w:after="100"/>
      <w:ind w:left="3402"/>
    </w:pPr>
    <w:rPr>
      <w:noProof/>
    </w:rPr>
  </w:style>
  <w:style w:type="paragraph" w:customStyle="1" w:styleId="Heading1notnumber">
    <w:name w:val="Heading 1 not number"/>
    <w:basedOn w:val="Heading1"/>
    <w:qFormat/>
    <w:rsid w:val="00130C3C"/>
    <w:pPr>
      <w:numPr>
        <w:numId w:val="0"/>
      </w:numPr>
    </w:pPr>
  </w:style>
  <w:style w:type="paragraph" w:customStyle="1" w:styleId="Heading2notnumbered">
    <w:name w:val="Heading 2 not numbered"/>
    <w:basedOn w:val="Heading2"/>
    <w:rsid w:val="00130C3C"/>
    <w:pPr>
      <w:numPr>
        <w:ilvl w:val="0"/>
        <w:numId w:val="0"/>
      </w:numPr>
    </w:pPr>
    <w:rPr>
      <w:rFonts w:eastAsia="Times New Roman" w:cs="Times New Roman"/>
      <w:szCs w:val="20"/>
    </w:rPr>
  </w:style>
  <w:style w:type="paragraph" w:customStyle="1" w:styleId="Heading3notnumbered">
    <w:name w:val="Heading 3 not numbered"/>
    <w:basedOn w:val="Heading3"/>
    <w:rsid w:val="00130C3C"/>
    <w:pPr>
      <w:numPr>
        <w:ilvl w:val="0"/>
        <w:numId w:val="0"/>
      </w:numPr>
    </w:pPr>
    <w:rPr>
      <w:rFonts w:eastAsia="Times New Roman" w:cs="Times New Roman"/>
      <w:szCs w:val="20"/>
    </w:rPr>
  </w:style>
  <w:style w:type="paragraph" w:customStyle="1" w:styleId="Heading4notnumbered">
    <w:name w:val="Heading 4 not numbered"/>
    <w:basedOn w:val="Heading4"/>
    <w:rsid w:val="00130C3C"/>
    <w:pPr>
      <w:numPr>
        <w:ilvl w:val="0"/>
        <w:numId w:val="0"/>
      </w:numPr>
    </w:pPr>
    <w:rPr>
      <w:rFonts w:eastAsia="Times New Roman" w:cs="Times New Roman"/>
      <w:iCs w:val="0"/>
      <w:szCs w:val="20"/>
    </w:rPr>
  </w:style>
  <w:style w:type="paragraph" w:customStyle="1" w:styleId="Heading5notnumbered">
    <w:name w:val="Heading 5 not numbered"/>
    <w:basedOn w:val="Heading5"/>
    <w:rsid w:val="00130C3C"/>
    <w:pPr>
      <w:numPr>
        <w:ilvl w:val="0"/>
        <w:numId w:val="0"/>
      </w:numPr>
    </w:pPr>
    <w:rPr>
      <w:rFonts w:eastAsia="Times New Roman" w:cs="Times New Roman"/>
      <w:bCs/>
      <w:szCs w:val="20"/>
    </w:rPr>
  </w:style>
  <w:style w:type="paragraph" w:customStyle="1" w:styleId="Heading6notnumbered">
    <w:name w:val="Heading 6 not numbered"/>
    <w:basedOn w:val="Heading6"/>
    <w:rsid w:val="00130C3C"/>
    <w:pPr>
      <w:numPr>
        <w:ilvl w:val="0"/>
        <w:numId w:val="0"/>
      </w:numPr>
    </w:pPr>
    <w:rPr>
      <w:rFonts w:eastAsia="Times New Roman" w:cs="Times New Roman"/>
      <w:bCs/>
      <w:szCs w:val="20"/>
    </w:r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Boxedtext">
    <w:name w:val="Boxed text"/>
    <w:basedOn w:val="Normal"/>
    <w:link w:val="BoxedtextChar"/>
    <w:uiPriority w:val="1"/>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BoxedtextChar">
    <w:name w:val="Boxed text Char"/>
    <w:basedOn w:val="DefaultParagraphFont"/>
    <w:link w:val="Boxedtext"/>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next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next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Bulletpoint">
    <w:name w:val="Bullet point"/>
    <w:basedOn w:val="ListBullet"/>
    <w:qFormat/>
    <w:rsid w:val="00FE64AE"/>
    <w:pPr>
      <w:numPr>
        <w:numId w:val="2"/>
      </w:numPr>
      <w:ind w:left="357" w:hanging="357"/>
    </w:pPr>
    <w:rPr>
      <w:rFonts w:cs="Times New Roman"/>
    </w:rPr>
  </w:style>
  <w:style w:type="paragraph" w:styleId="ListBullet">
    <w:name w:val="List Bullet"/>
    <w:basedOn w:val="Normal"/>
    <w:uiPriority w:val="99"/>
    <w:unhideWhenUsed/>
    <w:rsid w:val="00DB5074"/>
    <w:pPr>
      <w:numPr>
        <w:numId w:val="13"/>
      </w:numPr>
      <w:tabs>
        <w:tab w:val="left" w:pos="340"/>
      </w:tabs>
      <w:spacing w:before="120"/>
      <w:ind w:left="340" w:hanging="340"/>
    </w:pPr>
  </w:style>
  <w:style w:type="paragraph" w:customStyle="1" w:styleId="Bulletpoint2">
    <w:name w:val="Bullet point 2"/>
    <w:basedOn w:val="ListBullet2"/>
    <w:uiPriority w:val="1"/>
    <w:qFormat/>
    <w:rsid w:val="008033C4"/>
    <w:pPr>
      <w:numPr>
        <w:numId w:val="12"/>
      </w:numPr>
      <w:ind w:left="998" w:hanging="357"/>
    </w:pPr>
  </w:style>
  <w:style w:type="paragraph" w:styleId="ListNumber">
    <w:name w:val="List Number"/>
    <w:basedOn w:val="Normal"/>
    <w:uiPriority w:val="99"/>
    <w:qFormat/>
    <w:rsid w:val="00CA489E"/>
    <w:pPr>
      <w:numPr>
        <w:numId w:val="7"/>
      </w:numPr>
      <w:tabs>
        <w:tab w:val="num" w:pos="340"/>
      </w:tabs>
      <w:spacing w:before="120"/>
      <w:ind w:left="340" w:hanging="340"/>
    </w:pPr>
  </w:style>
  <w:style w:type="paragraph" w:styleId="ListBullet2">
    <w:name w:val="List Bullet 2"/>
    <w:basedOn w:val="Normal"/>
    <w:uiPriority w:val="99"/>
    <w:unhideWhenUsed/>
    <w:rsid w:val="00DB5074"/>
    <w:pPr>
      <w:numPr>
        <w:numId w:val="3"/>
      </w:numPr>
      <w:tabs>
        <w:tab w:val="clear" w:pos="643"/>
        <w:tab w:val="num" w:pos="680"/>
      </w:tabs>
      <w:spacing w:before="120"/>
      <w:ind w:left="680" w:hanging="340"/>
    </w:pPr>
  </w:style>
  <w:style w:type="paragraph" w:styleId="TOCHeading">
    <w:name w:val="TOC Heading"/>
    <w:basedOn w:val="Normal"/>
    <w:next w:val="Normal"/>
    <w:uiPriority w:val="39"/>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semiHidden/>
    <w:unhideWhenUsed/>
    <w:rsid w:val="003518B3"/>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18B3"/>
    <w:rPr>
      <w:rFonts w:ascii="Tahoma" w:hAnsi="Tahoma" w:cs="Tahoma"/>
      <w:sz w:val="16"/>
      <w:szCs w:val="16"/>
    </w:rPr>
  </w:style>
  <w:style w:type="paragraph" w:styleId="Footer">
    <w:name w:val="footer"/>
    <w:basedOn w:val="Normal"/>
    <w:link w:val="FooterChar"/>
    <w:uiPriority w:val="99"/>
    <w:unhideWhenUsed/>
    <w:qFormat/>
    <w:rsid w:val="00F835C9"/>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F835C9"/>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2"/>
    <w:rsid w:val="00B927D8"/>
    <w:rPr>
      <w:rFonts w:ascii="Arial" w:eastAsiaTheme="majorEastAsia" w:hAnsi="Arial" w:cstheme="majorBidi"/>
      <w:i/>
      <w:iCs/>
    </w:rPr>
  </w:style>
  <w:style w:type="character" w:customStyle="1" w:styleId="Heading8Char">
    <w:name w:val="Heading 8 Char"/>
    <w:basedOn w:val="DefaultParagraphFont"/>
    <w:link w:val="Heading8"/>
    <w:uiPriority w:val="2"/>
    <w:rsid w:val="00B927D8"/>
    <w:rPr>
      <w:rFonts w:ascii="Arial" w:eastAsiaTheme="majorEastAsia" w:hAnsi="Arial" w:cstheme="majorBidi"/>
      <w:color w:val="2F002F" w:themeColor="accent1"/>
      <w:szCs w:val="20"/>
    </w:rPr>
  </w:style>
  <w:style w:type="character" w:customStyle="1" w:styleId="Heading9Char">
    <w:name w:val="Heading 9 Char"/>
    <w:basedOn w:val="DefaultParagraphFont"/>
    <w:link w:val="Heading9"/>
    <w:uiPriority w:val="2"/>
    <w:rsid w:val="00B927D8"/>
    <w:rPr>
      <w:rFonts w:ascii="Arial" w:eastAsiaTheme="majorEastAsia" w:hAnsi="Arial" w:cstheme="majorBidi"/>
      <w:i/>
      <w:iCs/>
      <w:szCs w:val="20"/>
    </w:rPr>
  </w:style>
  <w:style w:type="paragraph" w:customStyle="1" w:styleId="Heading7notnumbered">
    <w:name w:val="Heading 7 not numbered"/>
    <w:basedOn w:val="Heading7"/>
    <w:rsid w:val="00130C3C"/>
    <w:pPr>
      <w:numPr>
        <w:ilvl w:val="0"/>
        <w:numId w:val="0"/>
      </w:numPr>
    </w:pPr>
    <w:rPr>
      <w:rFonts w:eastAsia="Times New Roman" w:cs="Times New Roman"/>
      <w:szCs w:val="20"/>
    </w:rPr>
  </w:style>
  <w:style w:type="paragraph" w:customStyle="1" w:styleId="Heading8notnumbered">
    <w:name w:val="Heading 8 not numbered"/>
    <w:basedOn w:val="Heading8"/>
    <w:rsid w:val="00130C3C"/>
    <w:pPr>
      <w:numPr>
        <w:ilvl w:val="0"/>
        <w:numId w:val="0"/>
      </w:numPr>
    </w:pPr>
    <w:rPr>
      <w:rFonts w:eastAsia="Times New Roman" w:cs="Times New Roman"/>
    </w:r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rsid w:val="00D7168E"/>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rsid w:val="00EB505D"/>
    <w:pPr>
      <w:tabs>
        <w:tab w:val="left" w:leader="dot" w:pos="880"/>
        <w:tab w:val="right" w:leader="dot" w:pos="8363"/>
      </w:tabs>
      <w:spacing w:after="100"/>
      <w:ind w:left="425"/>
    </w:pPr>
    <w:rPr>
      <w:b/>
      <w:noProof/>
      <w:color w:val="70635A" w:themeColor="text2"/>
      <w:sz w:val="24"/>
    </w:rPr>
  </w:style>
  <w:style w:type="paragraph" w:styleId="TOC3">
    <w:name w:val="toc 3"/>
    <w:basedOn w:val="Normal"/>
    <w:next w:val="Normal"/>
    <w:uiPriority w:val="39"/>
    <w:rsid w:val="00EB505D"/>
    <w:pPr>
      <w:tabs>
        <w:tab w:val="left" w:pos="1760"/>
        <w:tab w:val="right" w:leader="dot" w:pos="8363"/>
      </w:tabs>
      <w:spacing w:after="100"/>
      <w:ind w:left="851"/>
    </w:pPr>
    <w:rPr>
      <w:noProof/>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basedOn w:val="Normal"/>
    <w:link w:val="FootnoteTextChar"/>
    <w:unhideWhenUsed/>
    <w:rsid w:val="00182906"/>
    <w:pPr>
      <w:widowControl w:val="0"/>
      <w:tabs>
        <w:tab w:val="left" w:pos="340"/>
      </w:tabs>
      <w:spacing w:before="0" w:line="240" w:lineRule="exact"/>
      <w:ind w:left="340" w:hanging="340"/>
    </w:pPr>
    <w:rPr>
      <w:sz w:val="16"/>
      <w:szCs w:val="20"/>
    </w:rPr>
  </w:style>
  <w:style w:type="character" w:customStyle="1" w:styleId="FootnoteTextChar">
    <w:name w:val="Footnote Text Char"/>
    <w:basedOn w:val="DefaultParagraphFont"/>
    <w:link w:val="FootnoteText"/>
    <w:rsid w:val="00182906"/>
    <w:rPr>
      <w:rFonts w:ascii="Arial" w:hAnsi="Arial"/>
      <w:sz w:val="16"/>
      <w:szCs w:val="20"/>
    </w:rPr>
  </w:style>
  <w:style w:type="character" w:styleId="FootnoteReference">
    <w:name w:val="footnote reference"/>
    <w:basedOn w:val="DefaultParagraphFont"/>
    <w:unhideWhenUsed/>
    <w:rsid w:val="00B37E38"/>
    <w:rPr>
      <w:sz w:val="24"/>
      <w:vertAlign w:val="superscript"/>
    </w:rPr>
  </w:style>
  <w:style w:type="character" w:styleId="Strong">
    <w:name w:val="Strong"/>
    <w:basedOn w:val="DefaultParagraphFont"/>
    <w:uiPriority w:val="22"/>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EB505D"/>
    <w:pPr>
      <w:tabs>
        <w:tab w:val="right" w:leader="dot" w:pos="8363"/>
      </w:tabs>
      <w:spacing w:after="100"/>
      <w:ind w:left="1276"/>
    </w:pPr>
    <w:rPr>
      <w:noProof/>
    </w:rPr>
  </w:style>
  <w:style w:type="paragraph" w:styleId="TOC5">
    <w:name w:val="toc 5"/>
    <w:basedOn w:val="Normal"/>
    <w:next w:val="Normal"/>
    <w:uiPriority w:val="39"/>
    <w:rsid w:val="00EB505D"/>
    <w:pPr>
      <w:tabs>
        <w:tab w:val="right" w:leader="dot" w:pos="8363"/>
      </w:tabs>
      <w:spacing w:after="100"/>
      <w:ind w:left="1701"/>
    </w:pPr>
    <w:rPr>
      <w:noProof/>
    </w:rPr>
  </w:style>
  <w:style w:type="paragraph" w:styleId="TOC6">
    <w:name w:val="toc 6"/>
    <w:basedOn w:val="Normal"/>
    <w:next w:val="Normal"/>
    <w:uiPriority w:val="39"/>
    <w:rsid w:val="009F4940"/>
    <w:pPr>
      <w:tabs>
        <w:tab w:val="right" w:leader="dot" w:pos="9016"/>
      </w:tabs>
      <w:spacing w:after="100"/>
      <w:ind w:left="2127"/>
    </w:pPr>
    <w:rPr>
      <w:noProof/>
    </w:rPr>
  </w:style>
  <w:style w:type="paragraph" w:styleId="TOC7">
    <w:name w:val="toc 7"/>
    <w:basedOn w:val="Normal"/>
    <w:next w:val="Normal"/>
    <w:uiPriority w:val="39"/>
    <w:rsid w:val="00EB505D"/>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Heading9notnumbered">
    <w:name w:val="Heading 9 not numbered"/>
    <w:basedOn w:val="Heading9"/>
    <w:rsid w:val="00130C3C"/>
    <w:pPr>
      <w:numPr>
        <w:ilvl w:val="0"/>
        <w:numId w:val="0"/>
      </w:numPr>
    </w:pPr>
    <w:rPr>
      <w:rFonts w:eastAsia="Times New Roman" w:cs="Times New Roman"/>
    </w:rPr>
  </w:style>
  <w:style w:type="paragraph" w:styleId="Caption">
    <w:name w:val="caption"/>
    <w:basedOn w:val="Normal"/>
    <w:next w:val="Normal"/>
    <w:uiPriority w:val="35"/>
    <w:unhideWhenUsed/>
    <w:qFormat/>
    <w:rsid w:val="002E1BE5"/>
    <w:pPr>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basedOn w:val="Normal"/>
    <w:uiPriority w:val="99"/>
    <w:unhideWhenUsed/>
    <w:rsid w:val="00DB5074"/>
    <w:pPr>
      <w:numPr>
        <w:numId w:val="4"/>
      </w:numPr>
      <w:tabs>
        <w:tab w:val="clear" w:pos="926"/>
        <w:tab w:val="num" w:pos="1021"/>
      </w:tabs>
      <w:spacing w:before="120"/>
      <w:ind w:left="1020" w:hanging="34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basedOn w:val="Normal"/>
    <w:uiPriority w:val="99"/>
    <w:unhideWhenUsed/>
    <w:qFormat/>
    <w:rsid w:val="00DB5074"/>
    <w:pPr>
      <w:tabs>
        <w:tab w:val="left" w:pos="340"/>
      </w:tabs>
      <w:spacing w:before="120"/>
      <w:ind w:left="340"/>
    </w:pPr>
  </w:style>
  <w:style w:type="paragraph" w:styleId="ListContinue2">
    <w:name w:val="List Continue 2"/>
    <w:basedOn w:val="Normal"/>
    <w:uiPriority w:val="99"/>
    <w:unhideWhenUsed/>
    <w:rsid w:val="00567BA5"/>
    <w:pPr>
      <w:tabs>
        <w:tab w:val="left" w:pos="680"/>
      </w:tabs>
      <w:spacing w:before="120"/>
      <w:ind w:left="680"/>
    </w:pPr>
  </w:style>
  <w:style w:type="paragraph" w:styleId="ListContinue3">
    <w:name w:val="List Continue 3"/>
    <w:basedOn w:val="Normal"/>
    <w:uiPriority w:val="99"/>
    <w:unhideWhenUsed/>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562632"/>
    <w:pPr>
      <w:numPr>
        <w:ilvl w:val="1"/>
        <w:numId w:val="15"/>
      </w:numPr>
      <w:tabs>
        <w:tab w:val="left" w:pos="1021"/>
      </w:tabs>
      <w:spacing w:line="240" w:lineRule="atLeast"/>
      <w:ind w:left="680" w:hanging="680"/>
    </w:pPr>
    <w:rPr>
      <w:rFonts w:eastAsiaTheme="majorEastAsia" w:cs="Arial"/>
      <w:bCs/>
      <w:szCs w:val="26"/>
    </w:r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A22495"/>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rsid w:val="000A6C7B"/>
    <w:rPr>
      <w:b w:val="0"/>
      <w:sz w:val="36"/>
      <w:szCs w:val="36"/>
    </w:rPr>
  </w:style>
  <w:style w:type="paragraph" w:customStyle="1" w:styleId="ReportSubtitle">
    <w:name w:val="Report Subtitle"/>
    <w:basedOn w:val="ReportTitle"/>
    <w:link w:val="ReportSubtitleChar"/>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20"/>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ListLegal3">
    <w:name w:val="List Legal 3"/>
    <w:basedOn w:val="ListNumber3"/>
    <w:rsid w:val="00571D57"/>
    <w:pPr>
      <w:numPr>
        <w:numId w:val="21"/>
      </w:numPr>
      <w:tabs>
        <w:tab w:val="left" w:pos="1361"/>
      </w:tabs>
      <w:ind w:left="1361" w:hanging="340"/>
    </w:pPr>
  </w:style>
  <w:style w:type="paragraph" w:customStyle="1" w:styleId="ListLegal4">
    <w:name w:val="List Legal 4"/>
    <w:basedOn w:val="ListLegal3"/>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Listalphabet2">
    <w:name w:val="List alphabet 2"/>
    <w:basedOn w:val="Listalphabet"/>
    <w:rsid w:val="00DB5074"/>
    <w:pPr>
      <w:numPr>
        <w:numId w:val="18"/>
      </w:numPr>
      <w:tabs>
        <w:tab w:val="clear" w:pos="340"/>
        <w:tab w:val="left" w:pos="680"/>
      </w:tabs>
      <w:ind w:left="680" w:hanging="340"/>
    </w:pPr>
  </w:style>
  <w:style w:type="paragraph" w:customStyle="1" w:styleId="Listalphabet3">
    <w:name w:val="List alphabet 3"/>
    <w:basedOn w:val="Listalphabet2"/>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Quotes">
    <w:name w:val="Quotes"/>
    <w:basedOn w:val="Normal"/>
    <w:rsid w:val="0020492C"/>
    <w:pPr>
      <w:spacing w:before="120" w:after="120" w:line="240" w:lineRule="auto"/>
      <w:ind w:left="567" w:right="793"/>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5"/>
      </w:numPr>
      <w:tabs>
        <w:tab w:val="left" w:pos="680"/>
        <w:tab w:val="left" w:pos="1021"/>
        <w:tab w:val="left" w:pos="1361"/>
      </w:tabs>
      <w:spacing w:line="240" w:lineRule="auto"/>
    </w:pPr>
  </w:style>
  <w:style w:type="character" w:customStyle="1" w:styleId="AERtextsize8">
    <w:name w:val="AER text size 8"/>
    <w:basedOn w:val="DefaultParagraphFont"/>
    <w:uiPriority w:val="1"/>
    <w:qFormat/>
    <w:rsid w:val="00CC213C"/>
    <w:rPr>
      <w:rFonts w:ascii="Arial" w:hAnsi="Arial"/>
      <w:color w:val="auto"/>
      <w:sz w:val="16"/>
    </w:rPr>
  </w:style>
  <w:style w:type="paragraph" w:customStyle="1" w:styleId="NumberedChapterTitle">
    <w:name w:val="Numbered Chapter Title"/>
    <w:basedOn w:val="Chaptertitle"/>
    <w:qFormat/>
    <w:rsid w:val="00EB505D"/>
    <w:pPr>
      <w:numPr>
        <w:numId w:val="28"/>
      </w:numPr>
      <w:tabs>
        <w:tab w:val="left" w:pos="680"/>
      </w:tabs>
      <w:ind w:left="680" w:hanging="680"/>
    </w:pPr>
  </w:style>
  <w:style w:type="paragraph" w:styleId="Revision">
    <w:name w:val="Revision"/>
    <w:hidden/>
    <w:uiPriority w:val="99"/>
    <w:semiHidden/>
    <w:rsid w:val="00182906"/>
    <w:pPr>
      <w:spacing w:before="0"/>
    </w:pPr>
    <w:rPr>
      <w:rFonts w:ascii="Arial" w:hAnsi="Arial"/>
    </w:rPr>
  </w:style>
  <w:style w:type="character" w:customStyle="1" w:styleId="Subscript">
    <w:name w:val="Subscript"/>
    <w:basedOn w:val="DefaultParagraphFont"/>
    <w:uiPriority w:val="1"/>
    <w:qFormat/>
    <w:rsid w:val="00AF1ED6"/>
    <w:rPr>
      <w:vertAlign w:val="subscript"/>
    </w:rPr>
  </w:style>
  <w:style w:type="character" w:customStyle="1" w:styleId="Superscript">
    <w:name w:val="Superscript"/>
    <w:basedOn w:val="Subscript"/>
    <w:uiPriority w:val="1"/>
    <w:qFormat/>
    <w:rsid w:val="00AF1ED6"/>
    <w:rPr>
      <w:vertAlign w:val="superscript"/>
    </w:rPr>
  </w:style>
  <w:style w:type="paragraph" w:styleId="CommentText">
    <w:name w:val="annotation text"/>
    <w:basedOn w:val="Normal"/>
    <w:link w:val="CommentTextChar"/>
    <w:uiPriority w:val="99"/>
    <w:semiHidden/>
    <w:unhideWhenUsed/>
    <w:rsid w:val="005E0E8D"/>
    <w:pPr>
      <w:spacing w:line="240" w:lineRule="auto"/>
    </w:pPr>
    <w:rPr>
      <w:sz w:val="20"/>
      <w:szCs w:val="20"/>
    </w:rPr>
  </w:style>
  <w:style w:type="character" w:customStyle="1" w:styleId="CommentTextChar">
    <w:name w:val="Comment Text Char"/>
    <w:basedOn w:val="DefaultParagraphFont"/>
    <w:link w:val="CommentText"/>
    <w:uiPriority w:val="99"/>
    <w:semiHidden/>
    <w:rsid w:val="005E0E8D"/>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5E0E8D"/>
    <w:rPr>
      <w:b/>
      <w:bCs/>
    </w:rPr>
  </w:style>
  <w:style w:type="character" w:customStyle="1" w:styleId="CommentSubjectChar">
    <w:name w:val="Comment Subject Char"/>
    <w:basedOn w:val="CommentTextChar"/>
    <w:link w:val="CommentSubject"/>
    <w:uiPriority w:val="99"/>
    <w:semiHidden/>
    <w:rsid w:val="005E0E8D"/>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822571">
      <w:bodyDiv w:val="1"/>
      <w:marLeft w:val="0"/>
      <w:marRight w:val="0"/>
      <w:marTop w:val="0"/>
      <w:marBottom w:val="0"/>
      <w:divBdr>
        <w:top w:val="none" w:sz="0" w:space="0" w:color="auto"/>
        <w:left w:val="none" w:sz="0" w:space="0" w:color="auto"/>
        <w:bottom w:val="none" w:sz="0" w:space="0" w:color="auto"/>
        <w:right w:val="none" w:sz="0" w:space="0" w:color="auto"/>
      </w:divBdr>
    </w:div>
    <w:div w:id="165823132">
      <w:bodyDiv w:val="1"/>
      <w:marLeft w:val="0"/>
      <w:marRight w:val="0"/>
      <w:marTop w:val="0"/>
      <w:marBottom w:val="0"/>
      <w:divBdr>
        <w:top w:val="none" w:sz="0" w:space="0" w:color="auto"/>
        <w:left w:val="none" w:sz="0" w:space="0" w:color="auto"/>
        <w:bottom w:val="none" w:sz="0" w:space="0" w:color="auto"/>
        <w:right w:val="none" w:sz="0" w:space="0" w:color="auto"/>
      </w:divBdr>
    </w:div>
    <w:div w:id="339547666">
      <w:bodyDiv w:val="1"/>
      <w:marLeft w:val="0"/>
      <w:marRight w:val="0"/>
      <w:marTop w:val="0"/>
      <w:marBottom w:val="0"/>
      <w:divBdr>
        <w:top w:val="none" w:sz="0" w:space="0" w:color="auto"/>
        <w:left w:val="none" w:sz="0" w:space="0" w:color="auto"/>
        <w:bottom w:val="none" w:sz="0" w:space="0" w:color="auto"/>
        <w:right w:val="none" w:sz="0" w:space="0" w:color="auto"/>
      </w:divBdr>
    </w:div>
    <w:div w:id="352802999">
      <w:bodyDiv w:val="1"/>
      <w:marLeft w:val="0"/>
      <w:marRight w:val="0"/>
      <w:marTop w:val="0"/>
      <w:marBottom w:val="0"/>
      <w:divBdr>
        <w:top w:val="none" w:sz="0" w:space="0" w:color="auto"/>
        <w:left w:val="none" w:sz="0" w:space="0" w:color="auto"/>
        <w:bottom w:val="none" w:sz="0" w:space="0" w:color="auto"/>
        <w:right w:val="none" w:sz="0" w:space="0" w:color="auto"/>
      </w:divBdr>
    </w:div>
    <w:div w:id="440224734">
      <w:bodyDiv w:val="1"/>
      <w:marLeft w:val="0"/>
      <w:marRight w:val="0"/>
      <w:marTop w:val="0"/>
      <w:marBottom w:val="0"/>
      <w:divBdr>
        <w:top w:val="none" w:sz="0" w:space="0" w:color="auto"/>
        <w:left w:val="none" w:sz="0" w:space="0" w:color="auto"/>
        <w:bottom w:val="none" w:sz="0" w:space="0" w:color="auto"/>
        <w:right w:val="none" w:sz="0" w:space="0" w:color="auto"/>
      </w:divBdr>
    </w:div>
    <w:div w:id="935557328">
      <w:bodyDiv w:val="1"/>
      <w:marLeft w:val="0"/>
      <w:marRight w:val="0"/>
      <w:marTop w:val="0"/>
      <w:marBottom w:val="0"/>
      <w:divBdr>
        <w:top w:val="none" w:sz="0" w:space="0" w:color="auto"/>
        <w:left w:val="none" w:sz="0" w:space="0" w:color="auto"/>
        <w:bottom w:val="none" w:sz="0" w:space="0" w:color="auto"/>
        <w:right w:val="none" w:sz="0" w:space="0" w:color="auto"/>
      </w:divBdr>
    </w:div>
    <w:div w:id="941689380">
      <w:bodyDiv w:val="1"/>
      <w:marLeft w:val="0"/>
      <w:marRight w:val="0"/>
      <w:marTop w:val="0"/>
      <w:marBottom w:val="0"/>
      <w:divBdr>
        <w:top w:val="none" w:sz="0" w:space="0" w:color="auto"/>
        <w:left w:val="none" w:sz="0" w:space="0" w:color="auto"/>
        <w:bottom w:val="none" w:sz="0" w:space="0" w:color="auto"/>
        <w:right w:val="none" w:sz="0" w:space="0" w:color="auto"/>
      </w:divBdr>
    </w:div>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 w:id="1055734084">
      <w:bodyDiv w:val="1"/>
      <w:marLeft w:val="0"/>
      <w:marRight w:val="0"/>
      <w:marTop w:val="0"/>
      <w:marBottom w:val="0"/>
      <w:divBdr>
        <w:top w:val="none" w:sz="0" w:space="0" w:color="auto"/>
        <w:left w:val="none" w:sz="0" w:space="0" w:color="auto"/>
        <w:bottom w:val="none" w:sz="0" w:space="0" w:color="auto"/>
        <w:right w:val="none" w:sz="0" w:space="0" w:color="auto"/>
      </w:divBdr>
    </w:div>
    <w:div w:id="1171601712">
      <w:bodyDiv w:val="1"/>
      <w:marLeft w:val="0"/>
      <w:marRight w:val="0"/>
      <w:marTop w:val="0"/>
      <w:marBottom w:val="0"/>
      <w:divBdr>
        <w:top w:val="none" w:sz="0" w:space="0" w:color="auto"/>
        <w:left w:val="none" w:sz="0" w:space="0" w:color="auto"/>
        <w:bottom w:val="none" w:sz="0" w:space="0" w:color="auto"/>
        <w:right w:val="none" w:sz="0" w:space="0" w:color="auto"/>
      </w:divBdr>
    </w:div>
    <w:div w:id="1188181662">
      <w:bodyDiv w:val="1"/>
      <w:marLeft w:val="0"/>
      <w:marRight w:val="0"/>
      <w:marTop w:val="0"/>
      <w:marBottom w:val="0"/>
      <w:divBdr>
        <w:top w:val="none" w:sz="0" w:space="0" w:color="auto"/>
        <w:left w:val="none" w:sz="0" w:space="0" w:color="auto"/>
        <w:bottom w:val="none" w:sz="0" w:space="0" w:color="auto"/>
        <w:right w:val="none" w:sz="0" w:space="0" w:color="auto"/>
      </w:divBdr>
    </w:div>
    <w:div w:id="1206334680">
      <w:bodyDiv w:val="1"/>
      <w:marLeft w:val="0"/>
      <w:marRight w:val="0"/>
      <w:marTop w:val="0"/>
      <w:marBottom w:val="0"/>
      <w:divBdr>
        <w:top w:val="none" w:sz="0" w:space="0" w:color="auto"/>
        <w:left w:val="none" w:sz="0" w:space="0" w:color="auto"/>
        <w:bottom w:val="none" w:sz="0" w:space="0" w:color="auto"/>
        <w:right w:val="none" w:sz="0" w:space="0" w:color="auto"/>
      </w:divBdr>
    </w:div>
    <w:div w:id="1525896551">
      <w:bodyDiv w:val="1"/>
      <w:marLeft w:val="0"/>
      <w:marRight w:val="0"/>
      <w:marTop w:val="0"/>
      <w:marBottom w:val="0"/>
      <w:divBdr>
        <w:top w:val="none" w:sz="0" w:space="0" w:color="auto"/>
        <w:left w:val="none" w:sz="0" w:space="0" w:color="auto"/>
        <w:bottom w:val="none" w:sz="0" w:space="0" w:color="auto"/>
        <w:right w:val="none" w:sz="0" w:space="0" w:color="auto"/>
      </w:divBdr>
    </w:div>
    <w:div w:id="1541043569">
      <w:bodyDiv w:val="1"/>
      <w:marLeft w:val="0"/>
      <w:marRight w:val="0"/>
      <w:marTop w:val="0"/>
      <w:marBottom w:val="0"/>
      <w:divBdr>
        <w:top w:val="none" w:sz="0" w:space="0" w:color="auto"/>
        <w:left w:val="none" w:sz="0" w:space="0" w:color="auto"/>
        <w:bottom w:val="none" w:sz="0" w:space="0" w:color="auto"/>
        <w:right w:val="none" w:sz="0" w:space="0" w:color="auto"/>
      </w:divBdr>
    </w:div>
    <w:div w:id="1568153593">
      <w:bodyDiv w:val="1"/>
      <w:marLeft w:val="0"/>
      <w:marRight w:val="0"/>
      <w:marTop w:val="0"/>
      <w:marBottom w:val="0"/>
      <w:divBdr>
        <w:top w:val="none" w:sz="0" w:space="0" w:color="auto"/>
        <w:left w:val="none" w:sz="0" w:space="0" w:color="auto"/>
        <w:bottom w:val="none" w:sz="0" w:space="0" w:color="auto"/>
        <w:right w:val="none" w:sz="0" w:space="0" w:color="auto"/>
      </w:divBdr>
    </w:div>
    <w:div w:id="1601329123">
      <w:bodyDiv w:val="1"/>
      <w:marLeft w:val="0"/>
      <w:marRight w:val="0"/>
      <w:marTop w:val="0"/>
      <w:marBottom w:val="0"/>
      <w:divBdr>
        <w:top w:val="none" w:sz="0" w:space="0" w:color="auto"/>
        <w:left w:val="none" w:sz="0" w:space="0" w:color="auto"/>
        <w:bottom w:val="none" w:sz="0" w:space="0" w:color="auto"/>
        <w:right w:val="none" w:sz="0" w:space="0" w:color="auto"/>
      </w:divBdr>
    </w:div>
    <w:div w:id="1615597405">
      <w:bodyDiv w:val="1"/>
      <w:marLeft w:val="0"/>
      <w:marRight w:val="0"/>
      <w:marTop w:val="0"/>
      <w:marBottom w:val="0"/>
      <w:divBdr>
        <w:top w:val="none" w:sz="0" w:space="0" w:color="auto"/>
        <w:left w:val="none" w:sz="0" w:space="0" w:color="auto"/>
        <w:bottom w:val="none" w:sz="0" w:space="0" w:color="auto"/>
        <w:right w:val="none" w:sz="0" w:space="0" w:color="auto"/>
      </w:divBdr>
    </w:div>
    <w:div w:id="1835296689">
      <w:bodyDiv w:val="1"/>
      <w:marLeft w:val="0"/>
      <w:marRight w:val="0"/>
      <w:marTop w:val="0"/>
      <w:marBottom w:val="0"/>
      <w:divBdr>
        <w:top w:val="none" w:sz="0" w:space="0" w:color="auto"/>
        <w:left w:val="none" w:sz="0" w:space="0" w:color="auto"/>
        <w:bottom w:val="none" w:sz="0" w:space="0" w:color="auto"/>
        <w:right w:val="none" w:sz="0" w:space="0" w:color="auto"/>
      </w:divBdr>
    </w:div>
    <w:div w:id="1843277498">
      <w:bodyDiv w:val="1"/>
      <w:marLeft w:val="0"/>
      <w:marRight w:val="0"/>
      <w:marTop w:val="0"/>
      <w:marBottom w:val="0"/>
      <w:divBdr>
        <w:top w:val="none" w:sz="0" w:space="0" w:color="auto"/>
        <w:left w:val="none" w:sz="0" w:space="0" w:color="auto"/>
        <w:bottom w:val="none" w:sz="0" w:space="0" w:color="auto"/>
        <w:right w:val="none" w:sz="0" w:space="0" w:color="auto"/>
      </w:divBdr>
    </w:div>
    <w:div w:id="1976449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aer.gov.au/glossary" TargetMode="External"/><Relationship Id="rId18" Type="http://schemas.openxmlformats.org/officeDocument/2006/relationships/hyperlink" Target="http://www.aemo.com.au/Gas/Policies-and-Procedures/Retail-Gas-Market-Procedures" TargetMode="External"/><Relationship Id="rId3" Type="http://schemas.openxmlformats.org/officeDocument/2006/relationships/numbering" Target="numbering.xml"/><Relationship Id="rId21" Type="http://schemas.openxmlformats.org/officeDocument/2006/relationships/footer" Target="footer4.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yperlink" Target="mailto:AERRoLR@aer.gov.au" TargetMode="External"/><Relationship Id="rId2" Type="http://schemas.openxmlformats.org/officeDocument/2006/relationships/customXml" Target="../customXml/item2.xml"/><Relationship Id="rId16" Type="http://schemas.openxmlformats.org/officeDocument/2006/relationships/hyperlink" Target="https://www.aer.gov.au/retail-markets/retailer-failure"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ERInquiry@aer.gov.au" TargetMode="External"/><Relationship Id="rId5" Type="http://schemas.microsoft.com/office/2007/relationships/stylesWithEffects" Target="stylesWithEffects.xml"/><Relationship Id="rId15" Type="http://schemas.openxmlformats.org/officeDocument/2006/relationships/hyperlink" Target="https://www.legislation.sa.gov.au/LZ/C/A/NATIONAL%20ENERGY%20RETAIL%20LAW%20(SOUTH%20AUSTRALIA)%20ACT%202011/CURRENT/2011.6.UN.PDF" TargetMode="External"/><Relationship Id="rId23" Type="http://schemas.openxmlformats.org/officeDocument/2006/relationships/theme" Target="theme/theme1.xml"/><Relationship Id="rId10" Type="http://schemas.openxmlformats.org/officeDocument/2006/relationships/image" Target="media/image1.jpeg"/><Relationship Id="rId19" Type="http://schemas.openxmlformats.org/officeDocument/2006/relationships/footer" Target="footer2.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mailto:AERRoLR@aer.gov.au" TargetMode="External"/><Relationship Id="rId22" Type="http://schemas.openxmlformats.org/officeDocument/2006/relationships/fontTable" Target="fontTable.xml"/></Relationships>
</file>

<file path=word/theme/theme1.xml><?xml version="1.0" encoding="utf-8"?>
<a:theme xmlns:a="http://schemas.openxmlformats.org/drawingml/2006/main" name="AER">
  <a:themeElements>
    <a:clrScheme name="AER Colour theme">
      <a:dk1>
        <a:srgbClr val="076A92"/>
      </a:dk1>
      <a:lt1>
        <a:sysClr val="window" lastClr="FFFFFF"/>
      </a:lt1>
      <a:dk2>
        <a:srgbClr val="70635A"/>
      </a:dk2>
      <a:lt2>
        <a:srgbClr val="FFFFFF"/>
      </a:lt2>
      <a:accent1>
        <a:srgbClr val="2F002F"/>
      </a:accent1>
      <a:accent2>
        <a:srgbClr val="C14E00"/>
      </a:accent2>
      <a:accent3>
        <a:srgbClr val="002060"/>
      </a:accent3>
      <a:accent4>
        <a:srgbClr val="C00000"/>
      </a:accent4>
      <a:accent5>
        <a:srgbClr val="000000"/>
      </a:accent5>
      <a:accent6>
        <a:srgbClr val="70303C"/>
      </a:accent6>
      <a:hlink>
        <a:srgbClr val="0000FF"/>
      </a:hlink>
      <a:folHlink>
        <a:srgbClr val="800080"/>
      </a:folHlink>
    </a:clrScheme>
    <a:fontScheme name="Custom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BE3603D-F68C-4829-BEC2-D2255503E9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61947C26</Template>
  <TotalTime>0</TotalTime>
  <Pages>13</Pages>
  <Words>3545</Words>
  <Characters>20210</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2015-12-15T01:26:00Z</dcterms:created>
  <dcterms:modified xsi:type="dcterms:W3CDTF">2015-12-15T01:27:00Z</dcterms:modified>
</cp:coreProperties>
</file>