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7D" w:rsidRDefault="00871BD2" w:rsidP="004A667D">
      <w:r>
        <w:rPr>
          <w:rStyle w:val="AERtextsize8"/>
        </w:rPr>
        <w:t>+</w:t>
      </w:r>
      <w:r w:rsidR="002063D2">
        <w:rPr>
          <w:rStyle w:val="AERtextsize8"/>
        </w:rPr>
        <w:t>78</w:t>
      </w:r>
      <w:r w:rsidR="003D1275">
        <w:rPr>
          <w:rStyle w:val="AERtextsize8"/>
        </w:rPr>
        <w:t xml:space="preserve"> </w:t>
      </w:r>
      <w:bookmarkStart w:id="0" w:name="OLE_LINK1"/>
      <w:r w:rsidR="004A66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63.3pt;margin-top:-70.8pt;width:572.45pt;height:813.2pt;z-index:-251668992;mso-position-horizontal-relative:text;mso-position-vertical-relative:text">
            <v:imagedata r:id="rId8" o:title="AER-draft-brown"/>
          </v:shape>
        </w:pict>
      </w:r>
    </w:p>
    <w:p w:rsidR="004A667D" w:rsidRDefault="004A667D" w:rsidP="004A667D"/>
    <w:p w:rsidR="004A667D" w:rsidRDefault="004A667D" w:rsidP="004A667D"/>
    <w:p w:rsidR="004A667D" w:rsidRDefault="004A667D" w:rsidP="004A667D"/>
    <w:p w:rsidR="004A667D" w:rsidRPr="00433BD9" w:rsidRDefault="004A667D" w:rsidP="004A667D"/>
    <w:p w:rsidR="004A667D" w:rsidRPr="00433BD9" w:rsidRDefault="004A667D" w:rsidP="004A667D"/>
    <w:p w:rsidR="004A667D" w:rsidRPr="00433BD9" w:rsidRDefault="004A667D" w:rsidP="004A667D"/>
    <w:p w:rsidR="004A667D" w:rsidRDefault="004A667D" w:rsidP="004A667D">
      <w:pPr>
        <w:pStyle w:val="AERtitle1"/>
      </w:pPr>
    </w:p>
    <w:p w:rsidR="004A667D" w:rsidRDefault="00B24835" w:rsidP="004A667D">
      <w:pPr>
        <w:pStyle w:val="AERtitle1"/>
      </w:pPr>
      <w:r>
        <w:t>Better Regulation</w:t>
      </w:r>
    </w:p>
    <w:p w:rsidR="004A667D" w:rsidRDefault="004A667D" w:rsidP="004A667D">
      <w:pPr>
        <w:pStyle w:val="AERtitle1"/>
      </w:pPr>
    </w:p>
    <w:p w:rsidR="004A667D" w:rsidRDefault="003F06ED" w:rsidP="004A667D">
      <w:pPr>
        <w:pStyle w:val="AERtitle1"/>
      </w:pPr>
      <w:r>
        <w:t>Distribution an</w:t>
      </w:r>
      <w:r w:rsidR="000E3A3A">
        <w:t xml:space="preserve">d transmission confidentiality </w:t>
      </w:r>
      <w:r w:rsidR="00381C33">
        <w:t>guidelines</w:t>
      </w:r>
      <w:r>
        <w:t xml:space="preserve"> </w:t>
      </w:r>
    </w:p>
    <w:p w:rsidR="004A667D" w:rsidRDefault="004A667D" w:rsidP="004A667D">
      <w:pPr>
        <w:pStyle w:val="AERtitle1"/>
      </w:pPr>
    </w:p>
    <w:p w:rsidR="004A667D" w:rsidRDefault="004A667D" w:rsidP="004A667D">
      <w:pPr>
        <w:pStyle w:val="AERtitle2"/>
      </w:pPr>
      <w:r>
        <w:t>I</w:t>
      </w:r>
      <w:r w:rsidRPr="00B15C59">
        <w:t>ssues paper</w:t>
      </w:r>
    </w:p>
    <w:p w:rsidR="004A667D" w:rsidRDefault="004A667D" w:rsidP="004A667D">
      <w:pPr>
        <w:pStyle w:val="AERtitle1"/>
      </w:pPr>
    </w:p>
    <w:p w:rsidR="004A667D" w:rsidRPr="00F6235D" w:rsidRDefault="004A667D" w:rsidP="004A667D">
      <w:pPr>
        <w:pStyle w:val="AERtitle1"/>
      </w:pPr>
    </w:p>
    <w:bookmarkEnd w:id="0"/>
    <w:p w:rsidR="004A667D" w:rsidRDefault="003A16F3" w:rsidP="004A667D">
      <w:pPr>
        <w:pStyle w:val="AERtitle1"/>
      </w:pPr>
      <w:r>
        <w:t>March</w:t>
      </w:r>
      <w:r w:rsidRPr="003B58E6">
        <w:t xml:space="preserve"> </w:t>
      </w:r>
      <w:r w:rsidR="004A667D" w:rsidRPr="003B58E6">
        <w:t>201</w:t>
      </w:r>
      <w:r w:rsidR="003F06ED">
        <w:t>3</w:t>
      </w:r>
    </w:p>
    <w:p w:rsidR="004A667D" w:rsidRPr="003B58E6" w:rsidRDefault="004A667D" w:rsidP="004A667D"/>
    <w:p w:rsidR="004A667D" w:rsidRDefault="004A667D" w:rsidP="004A667D"/>
    <w:p w:rsidR="004A667D" w:rsidRDefault="004A667D" w:rsidP="004A667D">
      <w:pPr>
        <w:sectPr w:rsidR="004A667D" w:rsidSect="00886F00">
          <w:headerReference w:type="even" r:id="rId9"/>
          <w:headerReference w:type="default" r:id="rId10"/>
          <w:footerReference w:type="even" r:id="rId11"/>
          <w:footerReference w:type="default" r:id="rId12"/>
          <w:pgSz w:w="11906" w:h="16838" w:code="9"/>
          <w:pgMar w:top="1440" w:right="1440" w:bottom="1440" w:left="1440" w:header="709" w:footer="709" w:gutter="0"/>
          <w:pgNumType w:fmt="lowerRoman" w:start="1"/>
          <w:cols w:space="708"/>
          <w:docGrid w:linePitch="360"/>
        </w:sectPr>
      </w:pPr>
    </w:p>
    <w:p w:rsidR="004A667D" w:rsidRPr="00F6235D" w:rsidRDefault="004A667D" w:rsidP="004A667D">
      <w:pPr>
        <w:pStyle w:val="AERbodytext"/>
      </w:pPr>
      <w:r w:rsidRPr="00F6235D">
        <w:lastRenderedPageBreak/>
        <w:t>© Commonwealth of Australia 201</w:t>
      </w:r>
      <w:r w:rsidR="003F06ED">
        <w:t>3</w:t>
      </w:r>
      <w:r>
        <w:t xml:space="preserve"> </w:t>
      </w:r>
    </w:p>
    <w:p w:rsidR="004A667D" w:rsidRPr="00F6235D" w:rsidRDefault="004A667D" w:rsidP="004A667D">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ountry-region">
        <w:smartTag w:uri="urn:schemas-microsoft-com:office:smarttags" w:element="place">
          <w:r w:rsidRPr="00F6235D">
            <w:t>Canberra</w:t>
          </w:r>
        </w:smartTag>
      </w:smartTag>
      <w:r w:rsidRPr="00F6235D">
        <w:t xml:space="preserve"> ACT 2601.</w:t>
      </w:r>
    </w:p>
    <w:p w:rsidR="004A667D" w:rsidRDefault="004A667D" w:rsidP="004A667D">
      <w:pPr>
        <w:pStyle w:val="AERbodytext"/>
      </w:pPr>
    </w:p>
    <w:p w:rsidR="004A667D" w:rsidRPr="00226EEC" w:rsidRDefault="00226EEC" w:rsidP="00226EEC">
      <w:pPr>
        <w:rPr>
          <w:b/>
          <w:color w:val="E36C0A"/>
          <w:sz w:val="36"/>
          <w:szCs w:val="36"/>
        </w:rPr>
      </w:pPr>
      <w:bookmarkStart w:id="1" w:name="_Toc341968859"/>
      <w:bookmarkStart w:id="2" w:name="_Toc342636976"/>
      <w:r>
        <w:br w:type="page"/>
      </w:r>
      <w:r w:rsidR="004A667D" w:rsidRPr="00226EEC">
        <w:rPr>
          <w:b/>
          <w:color w:val="E36C0A"/>
          <w:sz w:val="36"/>
          <w:szCs w:val="36"/>
        </w:rPr>
        <w:lastRenderedPageBreak/>
        <w:t>Request for submissions</w:t>
      </w:r>
      <w:bookmarkEnd w:id="1"/>
      <w:bookmarkEnd w:id="2"/>
    </w:p>
    <w:p w:rsidR="00871BD2" w:rsidRPr="00871BD2" w:rsidRDefault="00871BD2" w:rsidP="00871BD2">
      <w:pPr>
        <w:pStyle w:val="AERbodytextindent1"/>
        <w:numPr>
          <w:ilvl w:val="0"/>
          <w:numId w:val="6"/>
        </w:numPr>
      </w:pPr>
      <w:r w:rsidRPr="00871BD2">
        <w:t xml:space="preserve">This issues paper is part of the Australian Energy Regulator's (AER) Better Regulation program of work, which follows changes to the National Electricity Rules announced in November 2012 by the Australian Energy Market Commission. </w:t>
      </w:r>
      <w:r w:rsidR="008222DC">
        <w:t>Our</w:t>
      </w:r>
      <w:r w:rsidRPr="00871BD2">
        <w:t xml:space="preserve"> approach to regulation under the new framework will be set out in a series of guidelines to be published by the end of November 2013.</w:t>
      </w:r>
      <w:r w:rsidRPr="00871BD2">
        <w:rPr>
          <w:vertAlign w:val="superscript"/>
        </w:rPr>
        <w:footnoteReference w:id="1"/>
      </w:r>
    </w:p>
    <w:p w:rsidR="00871BD2" w:rsidRPr="00871BD2" w:rsidRDefault="00871BD2" w:rsidP="00871BD2">
      <w:pPr>
        <w:pStyle w:val="AERbodytextindent1"/>
        <w:numPr>
          <w:ilvl w:val="0"/>
          <w:numId w:val="6"/>
        </w:numPr>
      </w:pPr>
      <w:r w:rsidRPr="00871BD2">
        <w:t xml:space="preserve">Interested parties are invited to make written submissions to </w:t>
      </w:r>
      <w:r w:rsidR="008222DC">
        <w:t xml:space="preserve">us </w:t>
      </w:r>
      <w:r w:rsidRPr="00871BD2">
        <w:t>regarding this issues paper by the close of business,</w:t>
      </w:r>
      <w:r w:rsidRPr="00871BD2" w:rsidDel="00ED6E22">
        <w:t xml:space="preserve"> </w:t>
      </w:r>
      <w:r w:rsidR="004D159A">
        <w:t>14</w:t>
      </w:r>
      <w:r w:rsidRPr="00871BD2">
        <w:t xml:space="preserve"> May 2013.</w:t>
      </w:r>
    </w:p>
    <w:p w:rsidR="00871BD2" w:rsidRPr="00871BD2" w:rsidRDefault="00871BD2" w:rsidP="00871BD2">
      <w:pPr>
        <w:pStyle w:val="AERbodytextindent1"/>
        <w:numPr>
          <w:ilvl w:val="0"/>
          <w:numId w:val="6"/>
        </w:numPr>
      </w:pPr>
      <w:r w:rsidRPr="00871BD2">
        <w:t xml:space="preserve">Submissions should be sent electronically to: </w:t>
      </w:r>
      <w:hyperlink r:id="rId13" w:history="1">
        <w:r w:rsidR="00B85B0A" w:rsidRPr="004E3644">
          <w:rPr>
            <w:rStyle w:val="Hyperlink"/>
          </w:rPr>
          <w:t>confide</w:t>
        </w:r>
        <w:r w:rsidR="00B85B0A" w:rsidRPr="004E3644">
          <w:rPr>
            <w:rStyle w:val="Hyperlink"/>
          </w:rPr>
          <w:t>n</w:t>
        </w:r>
        <w:r w:rsidR="00B85B0A" w:rsidRPr="004E3644">
          <w:rPr>
            <w:rStyle w:val="Hyperlink"/>
          </w:rPr>
          <w:t>tiality@aer.gov.au</w:t>
        </w:r>
      </w:hyperlink>
      <w:r w:rsidRPr="00871BD2">
        <w:t xml:space="preserve">. </w:t>
      </w:r>
      <w:r w:rsidR="008222DC">
        <w:t>We</w:t>
      </w:r>
      <w:r w:rsidRPr="00871BD2">
        <w:t xml:space="preserve"> prefer that all submissions sent in an electronic format are in Microsoft Word or other text readable document form.</w:t>
      </w:r>
    </w:p>
    <w:p w:rsidR="00871BD2" w:rsidRPr="00871BD2" w:rsidRDefault="00871BD2" w:rsidP="00871BD2">
      <w:pPr>
        <w:pStyle w:val="AERbodytextindent1"/>
        <w:numPr>
          <w:ilvl w:val="0"/>
          <w:numId w:val="6"/>
        </w:numPr>
      </w:pPr>
      <w:r w:rsidRPr="00871BD2">
        <w:t>Alternatively, submissions can be sent to:</w:t>
      </w:r>
    </w:p>
    <w:p w:rsidR="00871BD2" w:rsidRPr="00871BD2" w:rsidRDefault="00871BD2" w:rsidP="008222DC">
      <w:pPr>
        <w:pStyle w:val="AERbodytextindent1"/>
        <w:numPr>
          <w:ilvl w:val="0"/>
          <w:numId w:val="6"/>
        </w:numPr>
        <w:spacing w:after="0" w:line="240" w:lineRule="auto"/>
      </w:pPr>
      <w:r w:rsidRPr="00871BD2">
        <w:t>Chris Pattas</w:t>
      </w:r>
    </w:p>
    <w:p w:rsidR="00871BD2" w:rsidRPr="00871BD2" w:rsidRDefault="00871BD2" w:rsidP="008222DC">
      <w:pPr>
        <w:pStyle w:val="AERbodytextindent1"/>
        <w:numPr>
          <w:ilvl w:val="0"/>
          <w:numId w:val="6"/>
        </w:numPr>
        <w:spacing w:after="0" w:line="240" w:lineRule="auto"/>
      </w:pPr>
      <w:r w:rsidRPr="00871BD2">
        <w:t>General Manager–Network Operations and Development</w:t>
      </w:r>
    </w:p>
    <w:p w:rsidR="00871BD2" w:rsidRPr="00871BD2" w:rsidRDefault="00871BD2" w:rsidP="008222DC">
      <w:pPr>
        <w:pStyle w:val="AERbodytextindent1"/>
        <w:numPr>
          <w:ilvl w:val="0"/>
          <w:numId w:val="6"/>
        </w:numPr>
        <w:spacing w:after="0" w:line="240" w:lineRule="auto"/>
      </w:pPr>
      <w:r w:rsidRPr="00871BD2">
        <w:t>Australian Energy Regulator</w:t>
      </w:r>
    </w:p>
    <w:p w:rsidR="00871BD2" w:rsidRPr="00871BD2" w:rsidRDefault="00871BD2" w:rsidP="008222DC">
      <w:pPr>
        <w:pStyle w:val="AERbodytextindent1"/>
        <w:numPr>
          <w:ilvl w:val="0"/>
          <w:numId w:val="6"/>
        </w:numPr>
        <w:spacing w:after="0" w:line="240" w:lineRule="auto"/>
      </w:pPr>
      <w:r w:rsidRPr="00871BD2">
        <w:t>GPO Box 520</w:t>
      </w:r>
    </w:p>
    <w:p w:rsidR="00871BD2" w:rsidRPr="00871BD2" w:rsidRDefault="00871BD2" w:rsidP="008222DC">
      <w:pPr>
        <w:pStyle w:val="AERbodytextindent1"/>
        <w:numPr>
          <w:ilvl w:val="0"/>
          <w:numId w:val="6"/>
        </w:numPr>
        <w:spacing w:after="0" w:line="240" w:lineRule="auto"/>
      </w:pPr>
      <w:r w:rsidRPr="00871BD2">
        <w:t>Melbourne Vic 3001</w:t>
      </w:r>
    </w:p>
    <w:p w:rsidR="00871BD2" w:rsidRPr="00871BD2" w:rsidRDefault="00871BD2" w:rsidP="008222DC">
      <w:pPr>
        <w:pStyle w:val="AERbodytextindent1"/>
        <w:spacing w:after="120"/>
      </w:pPr>
    </w:p>
    <w:p w:rsidR="00871BD2" w:rsidRPr="00871BD2" w:rsidRDefault="008222DC" w:rsidP="00871BD2">
      <w:pPr>
        <w:pStyle w:val="AERbodytextindent1"/>
        <w:numPr>
          <w:ilvl w:val="0"/>
          <w:numId w:val="6"/>
        </w:numPr>
      </w:pPr>
      <w:r>
        <w:t>We</w:t>
      </w:r>
      <w:r w:rsidR="00871BD2" w:rsidRPr="00871BD2">
        <w:t xml:space="preserve"> prefer that all submissions be publicly available to facilitate an informed and transparent consultative process. </w:t>
      </w:r>
      <w:r>
        <w:t xml:space="preserve">We </w:t>
      </w:r>
      <w:r w:rsidR="00871BD2" w:rsidRPr="00871BD2">
        <w:t xml:space="preserve">will </w:t>
      </w:r>
      <w:r>
        <w:t>treat submissions</w:t>
      </w:r>
      <w:r w:rsidR="00871BD2" w:rsidRPr="00871BD2">
        <w:t xml:space="preserve"> as public documents unless otherwise requested. Parties wishing to submit confidential information are requested to:</w:t>
      </w:r>
    </w:p>
    <w:p w:rsidR="00871BD2" w:rsidRPr="00871BD2" w:rsidRDefault="00871BD2" w:rsidP="00871BD2">
      <w:pPr>
        <w:pStyle w:val="AERbodytextindent1"/>
        <w:numPr>
          <w:ilvl w:val="0"/>
          <w:numId w:val="2"/>
        </w:numPr>
      </w:pPr>
      <w:r w:rsidRPr="00871BD2">
        <w:t>clearly identify the information that is the subject of the confidentiality claim</w:t>
      </w:r>
    </w:p>
    <w:p w:rsidR="00871BD2" w:rsidRPr="00871BD2" w:rsidRDefault="00871BD2" w:rsidP="00871BD2">
      <w:pPr>
        <w:pStyle w:val="AERbodytextindent1"/>
        <w:numPr>
          <w:ilvl w:val="0"/>
          <w:numId w:val="2"/>
        </w:numPr>
      </w:pPr>
      <w:r w:rsidRPr="00871BD2">
        <w:t>provide a non-confidential version of the submission in a form suitable for publication.</w:t>
      </w:r>
    </w:p>
    <w:p w:rsidR="00871BD2" w:rsidRPr="00871BD2" w:rsidRDefault="00871BD2" w:rsidP="00871BD2">
      <w:pPr>
        <w:pStyle w:val="AERbodytextindent1"/>
        <w:numPr>
          <w:ilvl w:val="0"/>
          <w:numId w:val="6"/>
        </w:numPr>
      </w:pPr>
      <w:r w:rsidRPr="00871BD2">
        <w:t xml:space="preserve">All non-confidential submissions will be placed on </w:t>
      </w:r>
      <w:r w:rsidR="008222DC">
        <w:t>our</w:t>
      </w:r>
      <w:r w:rsidRPr="00871BD2">
        <w:t xml:space="preserve"> website at </w:t>
      </w:r>
      <w:hyperlink r:id="rId14" w:history="1">
        <w:r w:rsidRPr="00871BD2">
          <w:rPr>
            <w:rStyle w:val="Hyperlink"/>
          </w:rPr>
          <w:t>www.aer.gov.au</w:t>
        </w:r>
      </w:hyperlink>
      <w:r w:rsidRPr="00871BD2">
        <w:t xml:space="preserve">. For further information regarding the </w:t>
      </w:r>
      <w:r w:rsidR="008222DC">
        <w:t>our</w:t>
      </w:r>
      <w:r w:rsidR="008222DC" w:rsidRPr="00871BD2">
        <w:t xml:space="preserve"> </w:t>
      </w:r>
      <w:r w:rsidRPr="00871BD2">
        <w:t>use and disclosure of information provided to</w:t>
      </w:r>
      <w:r w:rsidR="008222DC">
        <w:t xml:space="preserve"> us</w:t>
      </w:r>
      <w:r w:rsidRPr="00871BD2">
        <w:t xml:space="preserve">, see the ACCC/AER Information Policy, October 2008 available on </w:t>
      </w:r>
      <w:r w:rsidR="008222DC">
        <w:t>our</w:t>
      </w:r>
      <w:r w:rsidR="008222DC" w:rsidRPr="00871BD2">
        <w:t xml:space="preserve"> </w:t>
      </w:r>
      <w:r w:rsidRPr="00871BD2">
        <w:t>website.</w:t>
      </w:r>
    </w:p>
    <w:p w:rsidR="00871BD2" w:rsidRDefault="00871BD2" w:rsidP="00871BD2">
      <w:pPr>
        <w:pStyle w:val="AERbodytextindent1"/>
        <w:numPr>
          <w:ilvl w:val="0"/>
          <w:numId w:val="6"/>
        </w:numPr>
      </w:pPr>
      <w:r w:rsidRPr="00871BD2">
        <w:t>Enquires about this paper, or about lodging submissions, should be directed to the Network Operations and Development Branch of the AER on (03) 9290 1444</w:t>
      </w:r>
      <w:r w:rsidR="008222DC">
        <w:t xml:space="preserve"> or via email to confidentiality@aer.gov.au.</w:t>
      </w:r>
    </w:p>
    <w:p w:rsidR="002C6E28" w:rsidRDefault="002C6E28" w:rsidP="002C6E28">
      <w:pPr>
        <w:pStyle w:val="UnnumberedHeading"/>
        <w:rPr>
          <w:rStyle w:val="AERtextbolditalics"/>
          <w:b/>
          <w:i w:val="0"/>
        </w:rPr>
      </w:pPr>
      <w:bookmarkStart w:id="3" w:name="_Toc349834046"/>
      <w:r>
        <w:rPr>
          <w:rStyle w:val="AERtextbolditalics"/>
          <w:b/>
          <w:i w:val="0"/>
        </w:rPr>
        <w:lastRenderedPageBreak/>
        <w:t>Contents</w:t>
      </w:r>
      <w:bookmarkEnd w:id="3"/>
    </w:p>
    <w:p w:rsidR="00C45C72" w:rsidRDefault="00D319E0">
      <w:pPr>
        <w:pStyle w:val="TOC1"/>
        <w:tabs>
          <w:tab w:val="right" w:leader="dot" w:pos="9016"/>
        </w:tabs>
        <w:rPr>
          <w:rFonts w:ascii="Calibri" w:eastAsia="Times New Roman" w:hAnsi="Calibri"/>
          <w:b w:val="0"/>
          <w:bCs w:val="0"/>
          <w:noProof/>
          <w:sz w:val="22"/>
          <w:szCs w:val="22"/>
          <w:lang w:eastAsia="en-AU"/>
        </w:rPr>
      </w:pPr>
      <w:r w:rsidRPr="00D319E0">
        <w:fldChar w:fldCharType="begin"/>
      </w:r>
      <w:r w:rsidR="00AF3E95">
        <w:instrText xml:space="preserve"> TOC \o "1-2" \h \z \u \t "Heading 7,1,Heading 8,2" </w:instrText>
      </w:r>
      <w:r w:rsidRPr="00D319E0">
        <w:fldChar w:fldCharType="separate"/>
      </w:r>
      <w:hyperlink w:anchor="_Toc349834046" w:history="1">
        <w:r w:rsidR="00C45C72" w:rsidRPr="0044496D">
          <w:rPr>
            <w:rStyle w:val="Hyperlink"/>
            <w:noProof/>
          </w:rPr>
          <w:t>Contents</w:t>
        </w:r>
        <w:r w:rsidR="00C45C72">
          <w:rPr>
            <w:noProof/>
            <w:webHidden/>
          </w:rPr>
          <w:tab/>
        </w:r>
        <w:r w:rsidR="00C45C72">
          <w:rPr>
            <w:noProof/>
            <w:webHidden/>
          </w:rPr>
          <w:fldChar w:fldCharType="begin"/>
        </w:r>
        <w:r w:rsidR="00C45C72">
          <w:rPr>
            <w:noProof/>
            <w:webHidden/>
          </w:rPr>
          <w:instrText xml:space="preserve"> PAGEREF _Toc349834046 \h </w:instrText>
        </w:r>
        <w:r w:rsidR="00C45C72">
          <w:rPr>
            <w:noProof/>
            <w:webHidden/>
          </w:rPr>
        </w:r>
        <w:r w:rsidR="00C45C72">
          <w:rPr>
            <w:noProof/>
            <w:webHidden/>
          </w:rPr>
          <w:fldChar w:fldCharType="separate"/>
        </w:r>
        <w:r w:rsidR="00C45C72">
          <w:rPr>
            <w:noProof/>
            <w:webHidden/>
          </w:rPr>
          <w:t>4</w:t>
        </w:r>
        <w:r w:rsidR="00C45C72">
          <w:rPr>
            <w:noProof/>
            <w:webHidden/>
          </w:rPr>
          <w:fldChar w:fldCharType="end"/>
        </w:r>
      </w:hyperlink>
    </w:p>
    <w:p w:rsidR="00C45C72" w:rsidRDefault="00C45C72">
      <w:pPr>
        <w:pStyle w:val="TOC1"/>
        <w:tabs>
          <w:tab w:val="right" w:leader="dot" w:pos="9016"/>
        </w:tabs>
        <w:rPr>
          <w:rFonts w:ascii="Calibri" w:eastAsia="Times New Roman" w:hAnsi="Calibri"/>
          <w:b w:val="0"/>
          <w:bCs w:val="0"/>
          <w:noProof/>
          <w:sz w:val="22"/>
          <w:szCs w:val="22"/>
          <w:lang w:eastAsia="en-AU"/>
        </w:rPr>
      </w:pPr>
      <w:hyperlink w:anchor="_Toc349834047" w:history="1">
        <w:r w:rsidRPr="0044496D">
          <w:rPr>
            <w:rStyle w:val="Hyperlink"/>
            <w:noProof/>
          </w:rPr>
          <w:t>Glossary</w:t>
        </w:r>
        <w:r>
          <w:rPr>
            <w:noProof/>
            <w:webHidden/>
          </w:rPr>
          <w:tab/>
        </w:r>
        <w:r>
          <w:rPr>
            <w:noProof/>
            <w:webHidden/>
          </w:rPr>
          <w:fldChar w:fldCharType="begin"/>
        </w:r>
        <w:r>
          <w:rPr>
            <w:noProof/>
            <w:webHidden/>
          </w:rPr>
          <w:instrText xml:space="preserve"> PAGEREF _Toc349834047 \h </w:instrText>
        </w:r>
        <w:r>
          <w:rPr>
            <w:noProof/>
            <w:webHidden/>
          </w:rPr>
        </w:r>
        <w:r>
          <w:rPr>
            <w:noProof/>
            <w:webHidden/>
          </w:rPr>
          <w:fldChar w:fldCharType="separate"/>
        </w:r>
        <w:r>
          <w:rPr>
            <w:noProof/>
            <w:webHidden/>
          </w:rPr>
          <w:t>5</w:t>
        </w:r>
        <w:r>
          <w:rPr>
            <w:noProof/>
            <w:webHidden/>
          </w:rPr>
          <w:fldChar w:fldCharType="end"/>
        </w:r>
      </w:hyperlink>
    </w:p>
    <w:p w:rsidR="00C45C72" w:rsidRDefault="00C45C72">
      <w:pPr>
        <w:pStyle w:val="TOC1"/>
        <w:tabs>
          <w:tab w:val="right" w:leader="dot" w:pos="9016"/>
        </w:tabs>
        <w:rPr>
          <w:rFonts w:ascii="Calibri" w:eastAsia="Times New Roman" w:hAnsi="Calibri"/>
          <w:b w:val="0"/>
          <w:bCs w:val="0"/>
          <w:noProof/>
          <w:sz w:val="22"/>
          <w:szCs w:val="22"/>
          <w:lang w:eastAsia="en-AU"/>
        </w:rPr>
      </w:pPr>
      <w:hyperlink w:anchor="_Toc349834048" w:history="1">
        <w:r w:rsidRPr="0044496D">
          <w:rPr>
            <w:rStyle w:val="Hyperlink"/>
            <w:noProof/>
          </w:rPr>
          <w:t>Summary and list of questions</w:t>
        </w:r>
        <w:r>
          <w:rPr>
            <w:noProof/>
            <w:webHidden/>
          </w:rPr>
          <w:tab/>
        </w:r>
        <w:r>
          <w:rPr>
            <w:noProof/>
            <w:webHidden/>
          </w:rPr>
          <w:fldChar w:fldCharType="begin"/>
        </w:r>
        <w:r>
          <w:rPr>
            <w:noProof/>
            <w:webHidden/>
          </w:rPr>
          <w:instrText xml:space="preserve"> PAGEREF _Toc349834048 \h </w:instrText>
        </w:r>
        <w:r>
          <w:rPr>
            <w:noProof/>
            <w:webHidden/>
          </w:rPr>
        </w:r>
        <w:r>
          <w:rPr>
            <w:noProof/>
            <w:webHidden/>
          </w:rPr>
          <w:fldChar w:fldCharType="separate"/>
        </w:r>
        <w:r>
          <w:rPr>
            <w:noProof/>
            <w:webHidden/>
          </w:rPr>
          <w:t>6</w:t>
        </w:r>
        <w:r>
          <w:rPr>
            <w:noProof/>
            <w:webHidden/>
          </w:rPr>
          <w:fldChar w:fldCharType="end"/>
        </w:r>
      </w:hyperlink>
    </w:p>
    <w:p w:rsidR="00C45C72" w:rsidRDefault="00C45C72">
      <w:pPr>
        <w:pStyle w:val="TOC1"/>
        <w:tabs>
          <w:tab w:val="left" w:pos="400"/>
          <w:tab w:val="right" w:leader="dot" w:pos="9016"/>
        </w:tabs>
        <w:rPr>
          <w:rFonts w:ascii="Calibri" w:eastAsia="Times New Roman" w:hAnsi="Calibri"/>
          <w:b w:val="0"/>
          <w:bCs w:val="0"/>
          <w:noProof/>
          <w:sz w:val="22"/>
          <w:szCs w:val="22"/>
          <w:lang w:eastAsia="en-AU"/>
        </w:rPr>
      </w:pPr>
      <w:hyperlink w:anchor="_Toc349834049" w:history="1">
        <w:r w:rsidRPr="0044496D">
          <w:rPr>
            <w:rStyle w:val="Hyperlink"/>
            <w:noProof/>
          </w:rPr>
          <w:t>1</w:t>
        </w:r>
        <w:r>
          <w:rPr>
            <w:rFonts w:ascii="Calibri" w:eastAsia="Times New Roman" w:hAnsi="Calibri"/>
            <w:b w:val="0"/>
            <w:bCs w:val="0"/>
            <w:noProof/>
            <w:sz w:val="22"/>
            <w:szCs w:val="22"/>
            <w:lang w:eastAsia="en-AU"/>
          </w:rPr>
          <w:tab/>
        </w:r>
        <w:r w:rsidRPr="0044496D">
          <w:rPr>
            <w:rStyle w:val="Hyperlink"/>
            <w:noProof/>
          </w:rPr>
          <w:t>Introduction</w:t>
        </w:r>
        <w:r>
          <w:rPr>
            <w:noProof/>
            <w:webHidden/>
          </w:rPr>
          <w:tab/>
        </w:r>
        <w:r>
          <w:rPr>
            <w:noProof/>
            <w:webHidden/>
          </w:rPr>
          <w:fldChar w:fldCharType="begin"/>
        </w:r>
        <w:r>
          <w:rPr>
            <w:noProof/>
            <w:webHidden/>
          </w:rPr>
          <w:instrText xml:space="preserve"> PAGEREF _Toc349834049 \h </w:instrText>
        </w:r>
        <w:r>
          <w:rPr>
            <w:noProof/>
            <w:webHidden/>
          </w:rPr>
        </w:r>
        <w:r>
          <w:rPr>
            <w:noProof/>
            <w:webHidden/>
          </w:rPr>
          <w:fldChar w:fldCharType="separate"/>
        </w:r>
        <w:r>
          <w:rPr>
            <w:noProof/>
            <w:webHidden/>
          </w:rPr>
          <w:t>9</w:t>
        </w:r>
        <w:r>
          <w:rPr>
            <w:noProof/>
            <w:webHidden/>
          </w:rPr>
          <w:fldChar w:fldCharType="end"/>
        </w:r>
      </w:hyperlink>
    </w:p>
    <w:p w:rsidR="00C45C72" w:rsidRDefault="00C45C72">
      <w:pPr>
        <w:pStyle w:val="TOC1"/>
        <w:tabs>
          <w:tab w:val="left" w:pos="400"/>
          <w:tab w:val="right" w:leader="dot" w:pos="9016"/>
        </w:tabs>
        <w:rPr>
          <w:rFonts w:ascii="Calibri" w:eastAsia="Times New Roman" w:hAnsi="Calibri"/>
          <w:b w:val="0"/>
          <w:bCs w:val="0"/>
          <w:noProof/>
          <w:sz w:val="22"/>
          <w:szCs w:val="22"/>
          <w:lang w:eastAsia="en-AU"/>
        </w:rPr>
      </w:pPr>
      <w:hyperlink w:anchor="_Toc349834050" w:history="1">
        <w:r w:rsidRPr="0044496D">
          <w:rPr>
            <w:rStyle w:val="Hyperlink"/>
            <w:noProof/>
          </w:rPr>
          <w:t>2</w:t>
        </w:r>
        <w:r>
          <w:rPr>
            <w:rFonts w:ascii="Calibri" w:eastAsia="Times New Roman" w:hAnsi="Calibri"/>
            <w:b w:val="0"/>
            <w:bCs w:val="0"/>
            <w:noProof/>
            <w:sz w:val="22"/>
            <w:szCs w:val="22"/>
            <w:lang w:eastAsia="en-AU"/>
          </w:rPr>
          <w:tab/>
        </w:r>
        <w:r w:rsidRPr="0044496D">
          <w:rPr>
            <w:rStyle w:val="Hyperlink"/>
            <w:noProof/>
          </w:rPr>
          <w:t>Purpose and objective of the proposed confidentiality guidelines</w:t>
        </w:r>
        <w:r>
          <w:rPr>
            <w:noProof/>
            <w:webHidden/>
          </w:rPr>
          <w:tab/>
        </w:r>
        <w:r>
          <w:rPr>
            <w:noProof/>
            <w:webHidden/>
          </w:rPr>
          <w:fldChar w:fldCharType="begin"/>
        </w:r>
        <w:r>
          <w:rPr>
            <w:noProof/>
            <w:webHidden/>
          </w:rPr>
          <w:instrText xml:space="preserve"> PAGEREF _Toc349834050 \h </w:instrText>
        </w:r>
        <w:r>
          <w:rPr>
            <w:noProof/>
            <w:webHidden/>
          </w:rPr>
        </w:r>
        <w:r>
          <w:rPr>
            <w:noProof/>
            <w:webHidden/>
          </w:rPr>
          <w:fldChar w:fldCharType="separate"/>
        </w:r>
        <w:r>
          <w:rPr>
            <w:noProof/>
            <w:webHidden/>
          </w:rPr>
          <w:t>13</w:t>
        </w:r>
        <w:r>
          <w:rPr>
            <w:noProof/>
            <w:webHidden/>
          </w:rPr>
          <w:fldChar w:fldCharType="end"/>
        </w:r>
      </w:hyperlink>
    </w:p>
    <w:p w:rsidR="00C45C72" w:rsidRDefault="00C45C72">
      <w:pPr>
        <w:pStyle w:val="TOC1"/>
        <w:tabs>
          <w:tab w:val="left" w:pos="400"/>
          <w:tab w:val="right" w:leader="dot" w:pos="9016"/>
        </w:tabs>
        <w:rPr>
          <w:rFonts w:ascii="Calibri" w:eastAsia="Times New Roman" w:hAnsi="Calibri"/>
          <w:b w:val="0"/>
          <w:bCs w:val="0"/>
          <w:noProof/>
          <w:sz w:val="22"/>
          <w:szCs w:val="22"/>
          <w:lang w:eastAsia="en-AU"/>
        </w:rPr>
      </w:pPr>
      <w:hyperlink w:anchor="_Toc349834051" w:history="1">
        <w:r w:rsidRPr="0044496D">
          <w:rPr>
            <w:rStyle w:val="Hyperlink"/>
            <w:noProof/>
          </w:rPr>
          <w:t>3</w:t>
        </w:r>
        <w:r>
          <w:rPr>
            <w:rFonts w:ascii="Calibri" w:eastAsia="Times New Roman" w:hAnsi="Calibri"/>
            <w:b w:val="0"/>
            <w:bCs w:val="0"/>
            <w:noProof/>
            <w:sz w:val="22"/>
            <w:szCs w:val="22"/>
            <w:lang w:eastAsia="en-AU"/>
          </w:rPr>
          <w:tab/>
        </w:r>
        <w:r w:rsidRPr="0044496D">
          <w:rPr>
            <w:rStyle w:val="Hyperlink"/>
            <w:noProof/>
          </w:rPr>
          <w:t>Current AER information handling process</w:t>
        </w:r>
        <w:r>
          <w:rPr>
            <w:noProof/>
            <w:webHidden/>
          </w:rPr>
          <w:tab/>
        </w:r>
        <w:r>
          <w:rPr>
            <w:noProof/>
            <w:webHidden/>
          </w:rPr>
          <w:fldChar w:fldCharType="begin"/>
        </w:r>
        <w:r>
          <w:rPr>
            <w:noProof/>
            <w:webHidden/>
          </w:rPr>
          <w:instrText xml:space="preserve"> PAGEREF _Toc349834051 \h </w:instrText>
        </w:r>
        <w:r>
          <w:rPr>
            <w:noProof/>
            <w:webHidden/>
          </w:rPr>
        </w:r>
        <w:r>
          <w:rPr>
            <w:noProof/>
            <w:webHidden/>
          </w:rPr>
          <w:fldChar w:fldCharType="separate"/>
        </w:r>
        <w:r>
          <w:rPr>
            <w:noProof/>
            <w:webHidden/>
          </w:rPr>
          <w:t>14</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2" w:history="1">
        <w:r w:rsidRPr="0044496D">
          <w:rPr>
            <w:rStyle w:val="Hyperlink"/>
            <w:noProof/>
          </w:rPr>
          <w:t>3.1</w:t>
        </w:r>
        <w:r>
          <w:rPr>
            <w:rFonts w:ascii="Calibri" w:eastAsia="Times New Roman" w:hAnsi="Calibri"/>
            <w:iCs w:val="0"/>
            <w:noProof/>
            <w:sz w:val="22"/>
            <w:szCs w:val="22"/>
            <w:lang w:eastAsia="en-AU"/>
          </w:rPr>
          <w:tab/>
        </w:r>
        <w:r w:rsidRPr="0044496D">
          <w:rPr>
            <w:rStyle w:val="Hyperlink"/>
            <w:noProof/>
          </w:rPr>
          <w:t>Stage one: informal discussions before receiving information</w:t>
        </w:r>
        <w:r>
          <w:rPr>
            <w:noProof/>
            <w:webHidden/>
          </w:rPr>
          <w:tab/>
        </w:r>
        <w:r>
          <w:rPr>
            <w:noProof/>
            <w:webHidden/>
          </w:rPr>
          <w:fldChar w:fldCharType="begin"/>
        </w:r>
        <w:r>
          <w:rPr>
            <w:noProof/>
            <w:webHidden/>
          </w:rPr>
          <w:instrText xml:space="preserve"> PAGEREF _Toc349834052 \h </w:instrText>
        </w:r>
        <w:r>
          <w:rPr>
            <w:noProof/>
            <w:webHidden/>
          </w:rPr>
        </w:r>
        <w:r>
          <w:rPr>
            <w:noProof/>
            <w:webHidden/>
          </w:rPr>
          <w:fldChar w:fldCharType="separate"/>
        </w:r>
        <w:r>
          <w:rPr>
            <w:noProof/>
            <w:webHidden/>
          </w:rPr>
          <w:t>14</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3" w:history="1">
        <w:r w:rsidRPr="0044496D">
          <w:rPr>
            <w:rStyle w:val="Hyperlink"/>
            <w:noProof/>
          </w:rPr>
          <w:t>3.2</w:t>
        </w:r>
        <w:r>
          <w:rPr>
            <w:rFonts w:ascii="Calibri" w:eastAsia="Times New Roman" w:hAnsi="Calibri"/>
            <w:iCs w:val="0"/>
            <w:noProof/>
            <w:sz w:val="22"/>
            <w:szCs w:val="22"/>
            <w:lang w:eastAsia="en-AU"/>
          </w:rPr>
          <w:tab/>
        </w:r>
        <w:r w:rsidRPr="0044496D">
          <w:rPr>
            <w:rStyle w:val="Hyperlink"/>
            <w:noProof/>
          </w:rPr>
          <w:t>Stage two: formal processes after receiving information</w:t>
        </w:r>
        <w:r>
          <w:rPr>
            <w:noProof/>
            <w:webHidden/>
          </w:rPr>
          <w:tab/>
        </w:r>
        <w:r>
          <w:rPr>
            <w:noProof/>
            <w:webHidden/>
          </w:rPr>
          <w:fldChar w:fldCharType="begin"/>
        </w:r>
        <w:r>
          <w:rPr>
            <w:noProof/>
            <w:webHidden/>
          </w:rPr>
          <w:instrText xml:space="preserve"> PAGEREF _Toc349834053 \h </w:instrText>
        </w:r>
        <w:r>
          <w:rPr>
            <w:noProof/>
            <w:webHidden/>
          </w:rPr>
        </w:r>
        <w:r>
          <w:rPr>
            <w:noProof/>
            <w:webHidden/>
          </w:rPr>
          <w:fldChar w:fldCharType="separate"/>
        </w:r>
        <w:r>
          <w:rPr>
            <w:noProof/>
            <w:webHidden/>
          </w:rPr>
          <w:t>14</w:t>
        </w:r>
        <w:r>
          <w:rPr>
            <w:noProof/>
            <w:webHidden/>
          </w:rPr>
          <w:fldChar w:fldCharType="end"/>
        </w:r>
      </w:hyperlink>
    </w:p>
    <w:p w:rsidR="00C45C72" w:rsidRDefault="00C45C72">
      <w:pPr>
        <w:pStyle w:val="TOC1"/>
        <w:tabs>
          <w:tab w:val="left" w:pos="400"/>
          <w:tab w:val="right" w:leader="dot" w:pos="9016"/>
        </w:tabs>
        <w:rPr>
          <w:rFonts w:ascii="Calibri" w:eastAsia="Times New Roman" w:hAnsi="Calibri"/>
          <w:b w:val="0"/>
          <w:bCs w:val="0"/>
          <w:noProof/>
          <w:sz w:val="22"/>
          <w:szCs w:val="22"/>
          <w:lang w:eastAsia="en-AU"/>
        </w:rPr>
      </w:pPr>
      <w:hyperlink w:anchor="_Toc349834054" w:history="1">
        <w:r w:rsidRPr="0044496D">
          <w:rPr>
            <w:rStyle w:val="Hyperlink"/>
            <w:noProof/>
          </w:rPr>
          <w:t>4</w:t>
        </w:r>
        <w:r>
          <w:rPr>
            <w:rFonts w:ascii="Calibri" w:eastAsia="Times New Roman" w:hAnsi="Calibri"/>
            <w:b w:val="0"/>
            <w:bCs w:val="0"/>
            <w:noProof/>
            <w:sz w:val="22"/>
            <w:szCs w:val="22"/>
            <w:lang w:eastAsia="en-AU"/>
          </w:rPr>
          <w:tab/>
        </w:r>
        <w:r w:rsidRPr="0044496D">
          <w:rPr>
            <w:rStyle w:val="Hyperlink"/>
            <w:noProof/>
          </w:rPr>
          <w:t>Developing the confidentiality guidelines</w:t>
        </w:r>
        <w:r>
          <w:rPr>
            <w:noProof/>
            <w:webHidden/>
          </w:rPr>
          <w:tab/>
        </w:r>
        <w:r>
          <w:rPr>
            <w:noProof/>
            <w:webHidden/>
          </w:rPr>
          <w:fldChar w:fldCharType="begin"/>
        </w:r>
        <w:r>
          <w:rPr>
            <w:noProof/>
            <w:webHidden/>
          </w:rPr>
          <w:instrText xml:space="preserve"> PAGEREF _Toc349834054 \h </w:instrText>
        </w:r>
        <w:r>
          <w:rPr>
            <w:noProof/>
            <w:webHidden/>
          </w:rPr>
        </w:r>
        <w:r>
          <w:rPr>
            <w:noProof/>
            <w:webHidden/>
          </w:rPr>
          <w:fldChar w:fldCharType="separate"/>
        </w:r>
        <w:r>
          <w:rPr>
            <w:noProof/>
            <w:webHidden/>
          </w:rPr>
          <w:t>17</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5" w:history="1">
        <w:r w:rsidRPr="0044496D">
          <w:rPr>
            <w:rStyle w:val="Hyperlink"/>
            <w:noProof/>
          </w:rPr>
          <w:t>4.1</w:t>
        </w:r>
        <w:r>
          <w:rPr>
            <w:rFonts w:ascii="Calibri" w:eastAsia="Times New Roman" w:hAnsi="Calibri"/>
            <w:iCs w:val="0"/>
            <w:noProof/>
            <w:sz w:val="22"/>
            <w:szCs w:val="22"/>
            <w:lang w:eastAsia="en-AU"/>
          </w:rPr>
          <w:tab/>
        </w:r>
        <w:r w:rsidRPr="0044496D">
          <w:rPr>
            <w:rStyle w:val="Hyperlink"/>
            <w:noProof/>
          </w:rPr>
          <w:t>Manner in which NSPs may make confidentiality claims</w:t>
        </w:r>
        <w:r>
          <w:rPr>
            <w:noProof/>
            <w:webHidden/>
          </w:rPr>
          <w:tab/>
        </w:r>
        <w:r>
          <w:rPr>
            <w:noProof/>
            <w:webHidden/>
          </w:rPr>
          <w:fldChar w:fldCharType="begin"/>
        </w:r>
        <w:r>
          <w:rPr>
            <w:noProof/>
            <w:webHidden/>
          </w:rPr>
          <w:instrText xml:space="preserve"> PAGEREF _Toc349834055 \h </w:instrText>
        </w:r>
        <w:r>
          <w:rPr>
            <w:noProof/>
            <w:webHidden/>
          </w:rPr>
        </w:r>
        <w:r>
          <w:rPr>
            <w:noProof/>
            <w:webHidden/>
          </w:rPr>
          <w:fldChar w:fldCharType="separate"/>
        </w:r>
        <w:r>
          <w:rPr>
            <w:noProof/>
            <w:webHidden/>
          </w:rPr>
          <w:t>17</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6" w:history="1">
        <w:r w:rsidRPr="0044496D">
          <w:rPr>
            <w:rStyle w:val="Hyperlink"/>
            <w:noProof/>
          </w:rPr>
          <w:t>4.2</w:t>
        </w:r>
        <w:r>
          <w:rPr>
            <w:rFonts w:ascii="Calibri" w:eastAsia="Times New Roman" w:hAnsi="Calibri"/>
            <w:iCs w:val="0"/>
            <w:noProof/>
            <w:sz w:val="22"/>
            <w:szCs w:val="22"/>
            <w:lang w:eastAsia="en-AU"/>
          </w:rPr>
          <w:tab/>
        </w:r>
        <w:r w:rsidRPr="0044496D">
          <w:rPr>
            <w:rStyle w:val="Hyperlink"/>
            <w:noProof/>
          </w:rPr>
          <w:t>Categories or lists of confidential information</w:t>
        </w:r>
        <w:r>
          <w:rPr>
            <w:noProof/>
            <w:webHidden/>
          </w:rPr>
          <w:tab/>
        </w:r>
        <w:r>
          <w:rPr>
            <w:noProof/>
            <w:webHidden/>
          </w:rPr>
          <w:fldChar w:fldCharType="begin"/>
        </w:r>
        <w:r>
          <w:rPr>
            <w:noProof/>
            <w:webHidden/>
          </w:rPr>
          <w:instrText xml:space="preserve"> PAGEREF _Toc349834056 \h </w:instrText>
        </w:r>
        <w:r>
          <w:rPr>
            <w:noProof/>
            <w:webHidden/>
          </w:rPr>
        </w:r>
        <w:r>
          <w:rPr>
            <w:noProof/>
            <w:webHidden/>
          </w:rPr>
          <w:fldChar w:fldCharType="separate"/>
        </w:r>
        <w:r>
          <w:rPr>
            <w:noProof/>
            <w:webHidden/>
          </w:rPr>
          <w:t>18</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7" w:history="1">
        <w:r w:rsidRPr="0044496D">
          <w:rPr>
            <w:rStyle w:val="Hyperlink"/>
            <w:noProof/>
          </w:rPr>
          <w:t>4.3</w:t>
        </w:r>
        <w:r>
          <w:rPr>
            <w:rFonts w:ascii="Calibri" w:eastAsia="Times New Roman" w:hAnsi="Calibri"/>
            <w:iCs w:val="0"/>
            <w:noProof/>
            <w:sz w:val="22"/>
            <w:szCs w:val="22"/>
            <w:lang w:eastAsia="en-AU"/>
          </w:rPr>
          <w:tab/>
        </w:r>
        <w:r w:rsidRPr="0044496D">
          <w:rPr>
            <w:rStyle w:val="Hyperlink"/>
            <w:noProof/>
          </w:rPr>
          <w:t>Website notices</w:t>
        </w:r>
        <w:r>
          <w:rPr>
            <w:noProof/>
            <w:webHidden/>
          </w:rPr>
          <w:tab/>
        </w:r>
        <w:r>
          <w:rPr>
            <w:noProof/>
            <w:webHidden/>
          </w:rPr>
          <w:fldChar w:fldCharType="begin"/>
        </w:r>
        <w:r>
          <w:rPr>
            <w:noProof/>
            <w:webHidden/>
          </w:rPr>
          <w:instrText xml:space="preserve"> PAGEREF _Toc349834057 \h </w:instrText>
        </w:r>
        <w:r>
          <w:rPr>
            <w:noProof/>
            <w:webHidden/>
          </w:rPr>
        </w:r>
        <w:r>
          <w:rPr>
            <w:noProof/>
            <w:webHidden/>
          </w:rPr>
          <w:fldChar w:fldCharType="separate"/>
        </w:r>
        <w:r>
          <w:rPr>
            <w:noProof/>
            <w:webHidden/>
          </w:rPr>
          <w:t>20</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8" w:history="1">
        <w:r w:rsidRPr="0044496D">
          <w:rPr>
            <w:rStyle w:val="Hyperlink"/>
            <w:noProof/>
          </w:rPr>
          <w:t>4.4</w:t>
        </w:r>
        <w:r>
          <w:rPr>
            <w:rFonts w:ascii="Calibri" w:eastAsia="Times New Roman" w:hAnsi="Calibri"/>
            <w:iCs w:val="0"/>
            <w:noProof/>
            <w:sz w:val="22"/>
            <w:szCs w:val="22"/>
            <w:lang w:eastAsia="en-AU"/>
          </w:rPr>
          <w:tab/>
        </w:r>
        <w:r w:rsidRPr="0044496D">
          <w:rPr>
            <w:rStyle w:val="Hyperlink"/>
            <w:noProof/>
          </w:rPr>
          <w:t>Blanket confidentiality claims</w:t>
        </w:r>
        <w:r>
          <w:rPr>
            <w:noProof/>
            <w:webHidden/>
          </w:rPr>
          <w:tab/>
        </w:r>
        <w:r>
          <w:rPr>
            <w:noProof/>
            <w:webHidden/>
          </w:rPr>
          <w:fldChar w:fldCharType="begin"/>
        </w:r>
        <w:r>
          <w:rPr>
            <w:noProof/>
            <w:webHidden/>
          </w:rPr>
          <w:instrText xml:space="preserve"> PAGEREF _Toc349834058 \h </w:instrText>
        </w:r>
        <w:r>
          <w:rPr>
            <w:noProof/>
            <w:webHidden/>
          </w:rPr>
        </w:r>
        <w:r>
          <w:rPr>
            <w:noProof/>
            <w:webHidden/>
          </w:rPr>
          <w:fldChar w:fldCharType="separate"/>
        </w:r>
        <w:r>
          <w:rPr>
            <w:noProof/>
            <w:webHidden/>
          </w:rPr>
          <w:t>20</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59" w:history="1">
        <w:r w:rsidRPr="0044496D">
          <w:rPr>
            <w:rStyle w:val="Hyperlink"/>
            <w:noProof/>
          </w:rPr>
          <w:t>4.5</w:t>
        </w:r>
        <w:r>
          <w:rPr>
            <w:rFonts w:ascii="Calibri" w:eastAsia="Times New Roman" w:hAnsi="Calibri"/>
            <w:iCs w:val="0"/>
            <w:noProof/>
            <w:sz w:val="22"/>
            <w:szCs w:val="22"/>
            <w:lang w:eastAsia="en-AU"/>
          </w:rPr>
          <w:tab/>
        </w:r>
        <w:r w:rsidRPr="0044496D">
          <w:rPr>
            <w:rStyle w:val="Hyperlink"/>
            <w:noProof/>
          </w:rPr>
          <w:t>Third party documents</w:t>
        </w:r>
        <w:r>
          <w:rPr>
            <w:noProof/>
            <w:webHidden/>
          </w:rPr>
          <w:tab/>
        </w:r>
        <w:r>
          <w:rPr>
            <w:noProof/>
            <w:webHidden/>
          </w:rPr>
          <w:fldChar w:fldCharType="begin"/>
        </w:r>
        <w:r>
          <w:rPr>
            <w:noProof/>
            <w:webHidden/>
          </w:rPr>
          <w:instrText xml:space="preserve"> PAGEREF _Toc349834059 \h </w:instrText>
        </w:r>
        <w:r>
          <w:rPr>
            <w:noProof/>
            <w:webHidden/>
          </w:rPr>
        </w:r>
        <w:r>
          <w:rPr>
            <w:noProof/>
            <w:webHidden/>
          </w:rPr>
          <w:fldChar w:fldCharType="separate"/>
        </w:r>
        <w:r>
          <w:rPr>
            <w:noProof/>
            <w:webHidden/>
          </w:rPr>
          <w:t>21</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60" w:history="1">
        <w:r w:rsidRPr="0044496D">
          <w:rPr>
            <w:rStyle w:val="Hyperlink"/>
            <w:noProof/>
          </w:rPr>
          <w:t>4.6</w:t>
        </w:r>
        <w:r>
          <w:rPr>
            <w:rFonts w:ascii="Calibri" w:eastAsia="Times New Roman" w:hAnsi="Calibri"/>
            <w:iCs w:val="0"/>
            <w:noProof/>
            <w:sz w:val="22"/>
            <w:szCs w:val="22"/>
            <w:lang w:eastAsia="en-AU"/>
          </w:rPr>
          <w:tab/>
        </w:r>
        <w:r w:rsidRPr="0044496D">
          <w:rPr>
            <w:rStyle w:val="Hyperlink"/>
            <w:noProof/>
          </w:rPr>
          <w:t>Scope and Coverage</w:t>
        </w:r>
        <w:r>
          <w:rPr>
            <w:noProof/>
            <w:webHidden/>
          </w:rPr>
          <w:tab/>
        </w:r>
        <w:r>
          <w:rPr>
            <w:noProof/>
            <w:webHidden/>
          </w:rPr>
          <w:fldChar w:fldCharType="begin"/>
        </w:r>
        <w:r>
          <w:rPr>
            <w:noProof/>
            <w:webHidden/>
          </w:rPr>
          <w:instrText xml:space="preserve"> PAGEREF _Toc349834060 \h </w:instrText>
        </w:r>
        <w:r>
          <w:rPr>
            <w:noProof/>
            <w:webHidden/>
          </w:rPr>
        </w:r>
        <w:r>
          <w:rPr>
            <w:noProof/>
            <w:webHidden/>
          </w:rPr>
          <w:fldChar w:fldCharType="separate"/>
        </w:r>
        <w:r>
          <w:rPr>
            <w:noProof/>
            <w:webHidden/>
          </w:rPr>
          <w:t>21</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61" w:history="1">
        <w:r w:rsidRPr="0044496D">
          <w:rPr>
            <w:rStyle w:val="Hyperlink"/>
            <w:noProof/>
          </w:rPr>
          <w:t>4.7</w:t>
        </w:r>
        <w:r>
          <w:rPr>
            <w:rFonts w:ascii="Calibri" w:eastAsia="Times New Roman" w:hAnsi="Calibri"/>
            <w:iCs w:val="0"/>
            <w:noProof/>
            <w:sz w:val="22"/>
            <w:szCs w:val="22"/>
            <w:lang w:eastAsia="en-AU"/>
          </w:rPr>
          <w:tab/>
        </w:r>
        <w:r w:rsidRPr="0044496D">
          <w:rPr>
            <w:rStyle w:val="Hyperlink"/>
            <w:noProof/>
          </w:rPr>
          <w:t>Compliance costs</w:t>
        </w:r>
        <w:r>
          <w:rPr>
            <w:noProof/>
            <w:webHidden/>
          </w:rPr>
          <w:tab/>
        </w:r>
        <w:r>
          <w:rPr>
            <w:noProof/>
            <w:webHidden/>
          </w:rPr>
          <w:fldChar w:fldCharType="begin"/>
        </w:r>
        <w:r>
          <w:rPr>
            <w:noProof/>
            <w:webHidden/>
          </w:rPr>
          <w:instrText xml:space="preserve"> PAGEREF _Toc349834061 \h </w:instrText>
        </w:r>
        <w:r>
          <w:rPr>
            <w:noProof/>
            <w:webHidden/>
          </w:rPr>
        </w:r>
        <w:r>
          <w:rPr>
            <w:noProof/>
            <w:webHidden/>
          </w:rPr>
          <w:fldChar w:fldCharType="separate"/>
        </w:r>
        <w:r>
          <w:rPr>
            <w:noProof/>
            <w:webHidden/>
          </w:rPr>
          <w:t>22</w:t>
        </w:r>
        <w:r>
          <w:rPr>
            <w:noProof/>
            <w:webHidden/>
          </w:rPr>
          <w:fldChar w:fldCharType="end"/>
        </w:r>
      </w:hyperlink>
    </w:p>
    <w:p w:rsidR="00C45C72" w:rsidRDefault="00C45C72">
      <w:pPr>
        <w:pStyle w:val="TOC2"/>
        <w:tabs>
          <w:tab w:val="left" w:pos="800"/>
          <w:tab w:val="right" w:leader="dot" w:pos="9016"/>
        </w:tabs>
        <w:rPr>
          <w:rFonts w:ascii="Calibri" w:eastAsia="Times New Roman" w:hAnsi="Calibri"/>
          <w:iCs w:val="0"/>
          <w:noProof/>
          <w:sz w:val="22"/>
          <w:szCs w:val="22"/>
          <w:lang w:eastAsia="en-AU"/>
        </w:rPr>
      </w:pPr>
      <w:hyperlink w:anchor="_Toc349834062" w:history="1">
        <w:r w:rsidRPr="0044496D">
          <w:rPr>
            <w:rStyle w:val="Hyperlink"/>
            <w:noProof/>
          </w:rPr>
          <w:t>4.8</w:t>
        </w:r>
        <w:r>
          <w:rPr>
            <w:rFonts w:ascii="Calibri" w:eastAsia="Times New Roman" w:hAnsi="Calibri"/>
            <w:iCs w:val="0"/>
            <w:noProof/>
            <w:sz w:val="22"/>
            <w:szCs w:val="22"/>
            <w:lang w:eastAsia="en-AU"/>
          </w:rPr>
          <w:tab/>
        </w:r>
        <w:r w:rsidRPr="0044496D">
          <w:rPr>
            <w:rStyle w:val="Hyperlink"/>
            <w:noProof/>
          </w:rPr>
          <w:t>Limited release of information</w:t>
        </w:r>
        <w:r>
          <w:rPr>
            <w:noProof/>
            <w:webHidden/>
          </w:rPr>
          <w:tab/>
        </w:r>
        <w:r>
          <w:rPr>
            <w:noProof/>
            <w:webHidden/>
          </w:rPr>
          <w:fldChar w:fldCharType="begin"/>
        </w:r>
        <w:r>
          <w:rPr>
            <w:noProof/>
            <w:webHidden/>
          </w:rPr>
          <w:instrText xml:space="preserve"> PAGEREF _Toc349834062 \h </w:instrText>
        </w:r>
        <w:r>
          <w:rPr>
            <w:noProof/>
            <w:webHidden/>
          </w:rPr>
        </w:r>
        <w:r>
          <w:rPr>
            <w:noProof/>
            <w:webHidden/>
          </w:rPr>
          <w:fldChar w:fldCharType="separate"/>
        </w:r>
        <w:r>
          <w:rPr>
            <w:noProof/>
            <w:webHidden/>
          </w:rPr>
          <w:t>22</w:t>
        </w:r>
        <w:r>
          <w:rPr>
            <w:noProof/>
            <w:webHidden/>
          </w:rPr>
          <w:fldChar w:fldCharType="end"/>
        </w:r>
      </w:hyperlink>
    </w:p>
    <w:p w:rsidR="00C45C72" w:rsidRDefault="00C45C72">
      <w:pPr>
        <w:pStyle w:val="TOC1"/>
        <w:tabs>
          <w:tab w:val="left" w:pos="400"/>
          <w:tab w:val="right" w:leader="dot" w:pos="9016"/>
        </w:tabs>
        <w:rPr>
          <w:rFonts w:ascii="Calibri" w:eastAsia="Times New Roman" w:hAnsi="Calibri"/>
          <w:b w:val="0"/>
          <w:bCs w:val="0"/>
          <w:noProof/>
          <w:sz w:val="22"/>
          <w:szCs w:val="22"/>
          <w:lang w:eastAsia="en-AU"/>
        </w:rPr>
      </w:pPr>
      <w:hyperlink w:anchor="_Toc349834063" w:history="1">
        <w:r w:rsidRPr="0044496D">
          <w:rPr>
            <w:rStyle w:val="Hyperlink"/>
            <w:noProof/>
          </w:rPr>
          <w:t>5</w:t>
        </w:r>
        <w:r>
          <w:rPr>
            <w:rFonts w:ascii="Calibri" w:eastAsia="Times New Roman" w:hAnsi="Calibri"/>
            <w:b w:val="0"/>
            <w:bCs w:val="0"/>
            <w:noProof/>
            <w:sz w:val="22"/>
            <w:szCs w:val="22"/>
            <w:lang w:eastAsia="en-AU"/>
          </w:rPr>
          <w:tab/>
        </w:r>
        <w:r w:rsidRPr="0044496D">
          <w:rPr>
            <w:rStyle w:val="Hyperlink"/>
            <w:noProof/>
          </w:rPr>
          <w:t>Next steps</w:t>
        </w:r>
        <w:r>
          <w:rPr>
            <w:noProof/>
            <w:webHidden/>
          </w:rPr>
          <w:tab/>
        </w:r>
        <w:r>
          <w:rPr>
            <w:noProof/>
            <w:webHidden/>
          </w:rPr>
          <w:fldChar w:fldCharType="begin"/>
        </w:r>
        <w:r>
          <w:rPr>
            <w:noProof/>
            <w:webHidden/>
          </w:rPr>
          <w:instrText xml:space="preserve"> PAGEREF _Toc349834063 \h </w:instrText>
        </w:r>
        <w:r>
          <w:rPr>
            <w:noProof/>
            <w:webHidden/>
          </w:rPr>
        </w:r>
        <w:r>
          <w:rPr>
            <w:noProof/>
            <w:webHidden/>
          </w:rPr>
          <w:fldChar w:fldCharType="separate"/>
        </w:r>
        <w:r>
          <w:rPr>
            <w:noProof/>
            <w:webHidden/>
          </w:rPr>
          <w:t>23</w:t>
        </w:r>
        <w:r>
          <w:rPr>
            <w:noProof/>
            <w:webHidden/>
          </w:rPr>
          <w:fldChar w:fldCharType="end"/>
        </w:r>
      </w:hyperlink>
    </w:p>
    <w:p w:rsidR="00C45C72" w:rsidRDefault="00C45C72">
      <w:pPr>
        <w:pStyle w:val="TOC1"/>
        <w:tabs>
          <w:tab w:val="right" w:leader="dot" w:pos="9016"/>
        </w:tabs>
        <w:rPr>
          <w:rFonts w:ascii="Calibri" w:eastAsia="Times New Roman" w:hAnsi="Calibri"/>
          <w:b w:val="0"/>
          <w:bCs w:val="0"/>
          <w:noProof/>
          <w:sz w:val="22"/>
          <w:szCs w:val="22"/>
          <w:lang w:eastAsia="en-AU"/>
        </w:rPr>
      </w:pPr>
      <w:hyperlink w:anchor="_Toc349834064" w:history="1">
        <w:r w:rsidRPr="0044496D">
          <w:rPr>
            <w:rStyle w:val="Hyperlink"/>
            <w:noProof/>
          </w:rPr>
          <w:t>Attachment 1</w:t>
        </w:r>
        <w:r>
          <w:rPr>
            <w:noProof/>
            <w:webHidden/>
          </w:rPr>
          <w:tab/>
        </w:r>
        <w:r>
          <w:rPr>
            <w:noProof/>
            <w:webHidden/>
          </w:rPr>
          <w:fldChar w:fldCharType="begin"/>
        </w:r>
        <w:r>
          <w:rPr>
            <w:noProof/>
            <w:webHidden/>
          </w:rPr>
          <w:instrText xml:space="preserve"> PAGEREF _Toc349834064 \h </w:instrText>
        </w:r>
        <w:r>
          <w:rPr>
            <w:noProof/>
            <w:webHidden/>
          </w:rPr>
        </w:r>
        <w:r>
          <w:rPr>
            <w:noProof/>
            <w:webHidden/>
          </w:rPr>
          <w:fldChar w:fldCharType="separate"/>
        </w:r>
        <w:r>
          <w:rPr>
            <w:noProof/>
            <w:webHidden/>
          </w:rPr>
          <w:t>24</w:t>
        </w:r>
        <w:r>
          <w:rPr>
            <w:noProof/>
            <w:webHidden/>
          </w:rPr>
          <w:fldChar w:fldCharType="end"/>
        </w:r>
      </w:hyperlink>
    </w:p>
    <w:p w:rsidR="00C45C72" w:rsidRDefault="00C45C72">
      <w:pPr>
        <w:pStyle w:val="TOC1"/>
        <w:tabs>
          <w:tab w:val="right" w:leader="dot" w:pos="9016"/>
        </w:tabs>
        <w:rPr>
          <w:rFonts w:ascii="Calibri" w:eastAsia="Times New Roman" w:hAnsi="Calibri"/>
          <w:b w:val="0"/>
          <w:bCs w:val="0"/>
          <w:noProof/>
          <w:sz w:val="22"/>
          <w:szCs w:val="22"/>
          <w:lang w:eastAsia="en-AU"/>
        </w:rPr>
      </w:pPr>
      <w:hyperlink w:anchor="_Toc349834065" w:history="1">
        <w:r w:rsidRPr="0044496D">
          <w:rPr>
            <w:rStyle w:val="Hyperlink"/>
            <w:noProof/>
          </w:rPr>
          <w:t>Attachment 2</w:t>
        </w:r>
        <w:r>
          <w:rPr>
            <w:noProof/>
            <w:webHidden/>
          </w:rPr>
          <w:tab/>
        </w:r>
        <w:r>
          <w:rPr>
            <w:noProof/>
            <w:webHidden/>
          </w:rPr>
          <w:fldChar w:fldCharType="begin"/>
        </w:r>
        <w:r>
          <w:rPr>
            <w:noProof/>
            <w:webHidden/>
          </w:rPr>
          <w:instrText xml:space="preserve"> PAGEREF _Toc349834065 \h </w:instrText>
        </w:r>
        <w:r>
          <w:rPr>
            <w:noProof/>
            <w:webHidden/>
          </w:rPr>
        </w:r>
        <w:r>
          <w:rPr>
            <w:noProof/>
            <w:webHidden/>
          </w:rPr>
          <w:fldChar w:fldCharType="separate"/>
        </w:r>
        <w:r>
          <w:rPr>
            <w:noProof/>
            <w:webHidden/>
          </w:rPr>
          <w:t>25</w:t>
        </w:r>
        <w:r>
          <w:rPr>
            <w:noProof/>
            <w:webHidden/>
          </w:rPr>
          <w:fldChar w:fldCharType="end"/>
        </w:r>
      </w:hyperlink>
    </w:p>
    <w:p w:rsidR="00276E97" w:rsidRDefault="00D319E0" w:rsidP="002C6E28">
      <w:pPr>
        <w:pStyle w:val="TOC1"/>
        <w:rPr>
          <w:rStyle w:val="AERtextbolditalics"/>
        </w:rPr>
      </w:pPr>
      <w:r>
        <w:fldChar w:fldCharType="end"/>
      </w:r>
      <w:bookmarkStart w:id="4" w:name="_Toc341969800"/>
    </w:p>
    <w:p w:rsidR="00276E97" w:rsidRDefault="00276E97" w:rsidP="00276E97">
      <w:pPr>
        <w:pStyle w:val="UnnumberedHeading"/>
        <w:rPr>
          <w:rStyle w:val="AERtextbolditalics"/>
          <w:b/>
          <w:i w:val="0"/>
        </w:rPr>
      </w:pPr>
      <w:bookmarkStart w:id="5" w:name="_Toc349834047"/>
      <w:r w:rsidRPr="00276E97">
        <w:rPr>
          <w:rStyle w:val="AERtextbolditalics"/>
          <w:b/>
          <w:i w:val="0"/>
        </w:rPr>
        <w:lastRenderedPageBreak/>
        <w:t>Glossary</w:t>
      </w:r>
      <w:bookmarkEnd w:id="5"/>
      <w:r w:rsidRPr="00276E97">
        <w:rPr>
          <w:rStyle w:val="AERtextbolditalics"/>
          <w:b/>
          <w:i w:val="0"/>
        </w:rPr>
        <w:t xml:space="preserve"> </w:t>
      </w:r>
    </w:p>
    <w:p w:rsidR="00AC7EAB" w:rsidRPr="003800E4" w:rsidRDefault="00AC7EAB" w:rsidP="00AC7EAB">
      <w:pPr>
        <w:pStyle w:val="Caption"/>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967"/>
      </w:tblGrid>
      <w:tr w:rsidR="00AB622A" w:rsidRPr="00AB622A" w:rsidTr="00AB622A">
        <w:tc>
          <w:tcPr>
            <w:tcW w:w="3085" w:type="dxa"/>
            <w:shd w:val="clear" w:color="auto" w:fill="365F91"/>
            <w:noWrap/>
            <w:vAlign w:val="center"/>
          </w:tcPr>
          <w:p w:rsidR="00AB622A" w:rsidRPr="00AB622A" w:rsidRDefault="00AB622A" w:rsidP="00AB622A">
            <w:pPr>
              <w:spacing w:before="120" w:after="80"/>
              <w:ind w:left="360"/>
              <w:jc w:val="left"/>
              <w:rPr>
                <w:b/>
                <w:color w:val="FFFFFF"/>
              </w:rPr>
            </w:pPr>
            <w:r w:rsidRPr="00AB622A">
              <w:rPr>
                <w:b/>
                <w:color w:val="FFFFFF"/>
              </w:rPr>
              <w:t>Acronym</w:t>
            </w:r>
          </w:p>
        </w:tc>
        <w:tc>
          <w:tcPr>
            <w:tcW w:w="5967" w:type="dxa"/>
            <w:shd w:val="clear" w:color="auto" w:fill="365F91"/>
            <w:noWrap/>
            <w:vAlign w:val="center"/>
          </w:tcPr>
          <w:p w:rsidR="00AB622A" w:rsidRPr="00AB622A" w:rsidRDefault="0080211C" w:rsidP="00AB622A">
            <w:pPr>
              <w:spacing w:before="120" w:after="80"/>
              <w:ind w:left="360"/>
              <w:rPr>
                <w:b/>
                <w:color w:val="FFFFFF"/>
              </w:rPr>
            </w:pPr>
            <w:r w:rsidRPr="00AB622A">
              <w:rPr>
                <w:b/>
                <w:color w:val="FFFFFF"/>
              </w:rPr>
              <w:t>Extended</w:t>
            </w:r>
            <w:r w:rsidR="00AB622A" w:rsidRPr="00AB622A">
              <w:rPr>
                <w:b/>
                <w:color w:val="FFFFFF"/>
              </w:rPr>
              <w:t xml:space="preserve"> Form</w:t>
            </w:r>
          </w:p>
        </w:tc>
      </w:tr>
      <w:tr w:rsidR="00AB622A" w:rsidRPr="0080211C" w:rsidTr="003E3DDD">
        <w:tc>
          <w:tcPr>
            <w:tcW w:w="3085" w:type="dxa"/>
            <w:noWrap/>
            <w:vAlign w:val="center"/>
          </w:tcPr>
          <w:p w:rsidR="00AB622A" w:rsidRPr="0080211C" w:rsidRDefault="00AB622A" w:rsidP="003344AF">
            <w:pPr>
              <w:spacing w:before="120" w:after="80"/>
              <w:rPr>
                <w:sz w:val="16"/>
                <w:szCs w:val="16"/>
              </w:rPr>
            </w:pPr>
            <w:r w:rsidRPr="0080211C">
              <w:rPr>
                <w:sz w:val="16"/>
                <w:szCs w:val="16"/>
              </w:rPr>
              <w:t>AEMC</w:t>
            </w:r>
          </w:p>
        </w:tc>
        <w:tc>
          <w:tcPr>
            <w:tcW w:w="5967" w:type="dxa"/>
            <w:noWrap/>
            <w:vAlign w:val="center"/>
          </w:tcPr>
          <w:p w:rsidR="00AB622A" w:rsidRPr="0080211C" w:rsidRDefault="00AB622A" w:rsidP="003344AF">
            <w:pPr>
              <w:pStyle w:val="AERbodytext"/>
              <w:spacing w:before="120" w:after="80"/>
              <w:rPr>
                <w:sz w:val="16"/>
                <w:szCs w:val="16"/>
              </w:rPr>
            </w:pPr>
            <w:r w:rsidRPr="0080211C">
              <w:rPr>
                <w:sz w:val="16"/>
                <w:szCs w:val="16"/>
              </w:rPr>
              <w:t>Australian Energy Market Commission</w:t>
            </w:r>
          </w:p>
        </w:tc>
      </w:tr>
      <w:tr w:rsidR="00AB622A" w:rsidRPr="0080211C" w:rsidTr="003E3DDD">
        <w:tc>
          <w:tcPr>
            <w:tcW w:w="3085" w:type="dxa"/>
            <w:shd w:val="clear" w:color="auto" w:fill="DBE5F1"/>
            <w:noWrap/>
            <w:vAlign w:val="center"/>
          </w:tcPr>
          <w:p w:rsidR="00AB622A" w:rsidRPr="0080211C" w:rsidRDefault="00AB622A" w:rsidP="003344AF">
            <w:pPr>
              <w:spacing w:before="120" w:after="80"/>
              <w:rPr>
                <w:sz w:val="16"/>
                <w:szCs w:val="16"/>
              </w:rPr>
            </w:pPr>
            <w:r w:rsidRPr="0080211C">
              <w:rPr>
                <w:sz w:val="16"/>
                <w:szCs w:val="16"/>
              </w:rPr>
              <w:t>AER</w:t>
            </w:r>
          </w:p>
        </w:tc>
        <w:tc>
          <w:tcPr>
            <w:tcW w:w="5967" w:type="dxa"/>
            <w:shd w:val="clear" w:color="auto" w:fill="DBE5F1"/>
            <w:noWrap/>
            <w:vAlign w:val="center"/>
          </w:tcPr>
          <w:p w:rsidR="00AB622A" w:rsidRPr="0080211C" w:rsidRDefault="00AB622A" w:rsidP="003344AF">
            <w:pPr>
              <w:pStyle w:val="AERbodytext"/>
              <w:spacing w:before="120" w:after="80"/>
              <w:rPr>
                <w:sz w:val="16"/>
                <w:szCs w:val="16"/>
              </w:rPr>
            </w:pPr>
            <w:r w:rsidRPr="0080211C">
              <w:rPr>
                <w:sz w:val="16"/>
                <w:szCs w:val="16"/>
              </w:rPr>
              <w:t>Australian Energy Regulator</w:t>
            </w:r>
          </w:p>
        </w:tc>
      </w:tr>
      <w:tr w:rsidR="00AB622A" w:rsidRPr="0080211C" w:rsidTr="003E3DDD">
        <w:tc>
          <w:tcPr>
            <w:tcW w:w="3085" w:type="dxa"/>
            <w:noWrap/>
            <w:vAlign w:val="center"/>
          </w:tcPr>
          <w:p w:rsidR="00AB622A" w:rsidRPr="0080211C" w:rsidRDefault="00AB622A" w:rsidP="003344AF">
            <w:pPr>
              <w:spacing w:before="120" w:after="80"/>
              <w:rPr>
                <w:sz w:val="16"/>
                <w:szCs w:val="16"/>
              </w:rPr>
            </w:pPr>
            <w:r w:rsidRPr="0080211C">
              <w:rPr>
                <w:sz w:val="16"/>
                <w:szCs w:val="16"/>
              </w:rPr>
              <w:t xml:space="preserve">Confidentiality </w:t>
            </w:r>
            <w:r w:rsidR="00381C33">
              <w:rPr>
                <w:sz w:val="16"/>
                <w:szCs w:val="16"/>
              </w:rPr>
              <w:t>guidelines</w:t>
            </w:r>
          </w:p>
        </w:tc>
        <w:tc>
          <w:tcPr>
            <w:tcW w:w="5967" w:type="dxa"/>
            <w:noWrap/>
            <w:vAlign w:val="center"/>
          </w:tcPr>
          <w:p w:rsidR="00AB622A" w:rsidRPr="0080211C" w:rsidRDefault="00AB622A" w:rsidP="003344AF">
            <w:pPr>
              <w:pStyle w:val="AERbodytext"/>
              <w:spacing w:before="120" w:after="80"/>
              <w:rPr>
                <w:sz w:val="16"/>
                <w:szCs w:val="16"/>
              </w:rPr>
            </w:pPr>
            <w:r w:rsidRPr="0080211C">
              <w:rPr>
                <w:sz w:val="16"/>
                <w:szCs w:val="16"/>
              </w:rPr>
              <w:t>Distribution Confidentiality Guidelines and Transmission Confidentiality Guidelines</w:t>
            </w:r>
          </w:p>
        </w:tc>
      </w:tr>
      <w:tr w:rsidR="00AB622A" w:rsidRPr="0080211C" w:rsidTr="003E3DDD">
        <w:tc>
          <w:tcPr>
            <w:tcW w:w="3085" w:type="dxa"/>
            <w:shd w:val="clear" w:color="auto" w:fill="DBE5F1"/>
            <w:noWrap/>
            <w:vAlign w:val="center"/>
          </w:tcPr>
          <w:p w:rsidR="00AB622A" w:rsidRPr="0080211C" w:rsidRDefault="00AB622A" w:rsidP="003344AF">
            <w:pPr>
              <w:spacing w:before="120" w:after="80"/>
              <w:rPr>
                <w:sz w:val="16"/>
                <w:szCs w:val="16"/>
              </w:rPr>
            </w:pPr>
            <w:r w:rsidRPr="0080211C">
              <w:rPr>
                <w:sz w:val="16"/>
                <w:szCs w:val="16"/>
              </w:rPr>
              <w:t>DNSP</w:t>
            </w:r>
          </w:p>
        </w:tc>
        <w:tc>
          <w:tcPr>
            <w:tcW w:w="5967" w:type="dxa"/>
            <w:shd w:val="clear" w:color="auto" w:fill="DBE5F1"/>
            <w:noWrap/>
            <w:vAlign w:val="center"/>
          </w:tcPr>
          <w:p w:rsidR="00AB622A" w:rsidRPr="0080211C" w:rsidRDefault="00AB622A" w:rsidP="003344AF">
            <w:pPr>
              <w:pStyle w:val="AERbodytext"/>
              <w:spacing w:before="120" w:after="80"/>
              <w:rPr>
                <w:sz w:val="16"/>
                <w:szCs w:val="16"/>
              </w:rPr>
            </w:pPr>
            <w:r w:rsidRPr="0080211C">
              <w:rPr>
                <w:sz w:val="16"/>
                <w:szCs w:val="16"/>
              </w:rPr>
              <w:t>Distribution Network Service Provider</w:t>
            </w:r>
          </w:p>
        </w:tc>
      </w:tr>
      <w:tr w:rsidR="00AB622A" w:rsidRPr="0080211C" w:rsidTr="003E3DDD">
        <w:tc>
          <w:tcPr>
            <w:tcW w:w="3085" w:type="dxa"/>
            <w:noWrap/>
            <w:vAlign w:val="center"/>
          </w:tcPr>
          <w:p w:rsidR="00AB622A" w:rsidRPr="0080211C" w:rsidRDefault="00AB622A" w:rsidP="003344AF">
            <w:pPr>
              <w:spacing w:before="120" w:after="80"/>
              <w:rPr>
                <w:sz w:val="16"/>
                <w:szCs w:val="16"/>
              </w:rPr>
            </w:pPr>
            <w:r w:rsidRPr="0080211C">
              <w:rPr>
                <w:sz w:val="16"/>
                <w:szCs w:val="16"/>
              </w:rPr>
              <w:t>NEL</w:t>
            </w:r>
          </w:p>
        </w:tc>
        <w:tc>
          <w:tcPr>
            <w:tcW w:w="5967" w:type="dxa"/>
            <w:noWrap/>
            <w:vAlign w:val="center"/>
          </w:tcPr>
          <w:p w:rsidR="00AB622A" w:rsidRPr="0080211C" w:rsidRDefault="00AB622A" w:rsidP="003344AF">
            <w:pPr>
              <w:pStyle w:val="AERbodytext"/>
              <w:spacing w:before="120" w:after="80"/>
              <w:rPr>
                <w:sz w:val="16"/>
                <w:szCs w:val="16"/>
              </w:rPr>
            </w:pPr>
            <w:r w:rsidRPr="0080211C">
              <w:rPr>
                <w:sz w:val="16"/>
                <w:szCs w:val="16"/>
              </w:rPr>
              <w:t>National Electricity Law</w:t>
            </w:r>
          </w:p>
        </w:tc>
      </w:tr>
      <w:tr w:rsidR="00AB622A" w:rsidRPr="0080211C" w:rsidTr="003E3DDD">
        <w:tc>
          <w:tcPr>
            <w:tcW w:w="3085" w:type="dxa"/>
            <w:shd w:val="clear" w:color="auto" w:fill="DBE5F1"/>
            <w:noWrap/>
            <w:vAlign w:val="center"/>
          </w:tcPr>
          <w:p w:rsidR="00AB622A" w:rsidRPr="0080211C" w:rsidRDefault="001C6F63" w:rsidP="003344AF">
            <w:pPr>
              <w:spacing w:before="120" w:after="80"/>
              <w:rPr>
                <w:sz w:val="16"/>
                <w:szCs w:val="16"/>
              </w:rPr>
            </w:pPr>
            <w:r>
              <w:rPr>
                <w:sz w:val="16"/>
                <w:szCs w:val="16"/>
              </w:rPr>
              <w:t>Rules</w:t>
            </w:r>
          </w:p>
        </w:tc>
        <w:tc>
          <w:tcPr>
            <w:tcW w:w="5967" w:type="dxa"/>
            <w:shd w:val="clear" w:color="auto" w:fill="DBE5F1"/>
            <w:noWrap/>
            <w:vAlign w:val="center"/>
          </w:tcPr>
          <w:p w:rsidR="00AB622A" w:rsidRPr="0080211C" w:rsidRDefault="00AB622A" w:rsidP="003344AF">
            <w:pPr>
              <w:pStyle w:val="AERbodytext"/>
              <w:spacing w:before="120" w:after="80"/>
              <w:rPr>
                <w:sz w:val="16"/>
                <w:szCs w:val="16"/>
              </w:rPr>
            </w:pPr>
            <w:r w:rsidRPr="0080211C">
              <w:rPr>
                <w:sz w:val="16"/>
                <w:szCs w:val="16"/>
              </w:rPr>
              <w:t>National Electricity Rules</w:t>
            </w:r>
          </w:p>
        </w:tc>
      </w:tr>
      <w:tr w:rsidR="00AB622A" w:rsidRPr="0080211C" w:rsidTr="003E3DDD">
        <w:tc>
          <w:tcPr>
            <w:tcW w:w="3085" w:type="dxa"/>
            <w:noWrap/>
            <w:vAlign w:val="center"/>
          </w:tcPr>
          <w:p w:rsidR="00AB622A" w:rsidRPr="0080211C" w:rsidRDefault="00AB622A" w:rsidP="003344AF">
            <w:pPr>
              <w:spacing w:before="120" w:after="80"/>
              <w:rPr>
                <w:sz w:val="16"/>
                <w:szCs w:val="16"/>
              </w:rPr>
            </w:pPr>
            <w:r w:rsidRPr="0080211C">
              <w:rPr>
                <w:sz w:val="16"/>
                <w:szCs w:val="16"/>
              </w:rPr>
              <w:t>NSP</w:t>
            </w:r>
          </w:p>
        </w:tc>
        <w:tc>
          <w:tcPr>
            <w:tcW w:w="5967" w:type="dxa"/>
            <w:noWrap/>
            <w:vAlign w:val="center"/>
          </w:tcPr>
          <w:p w:rsidR="00AB622A" w:rsidRPr="0080211C" w:rsidRDefault="00AB622A" w:rsidP="003344AF">
            <w:pPr>
              <w:pStyle w:val="AERbodytext"/>
              <w:spacing w:before="120" w:after="80"/>
              <w:rPr>
                <w:sz w:val="16"/>
                <w:szCs w:val="16"/>
              </w:rPr>
            </w:pPr>
            <w:r w:rsidRPr="0080211C">
              <w:rPr>
                <w:sz w:val="16"/>
                <w:szCs w:val="16"/>
              </w:rPr>
              <w:t>Network Service Provider</w:t>
            </w:r>
          </w:p>
        </w:tc>
      </w:tr>
      <w:tr w:rsidR="00AB622A" w:rsidRPr="0080211C" w:rsidTr="003E3DDD">
        <w:tc>
          <w:tcPr>
            <w:tcW w:w="3085" w:type="dxa"/>
            <w:shd w:val="clear" w:color="auto" w:fill="DBE5F1"/>
            <w:noWrap/>
            <w:vAlign w:val="center"/>
          </w:tcPr>
          <w:p w:rsidR="00AB622A" w:rsidRPr="0080211C" w:rsidRDefault="00AB622A" w:rsidP="003344AF">
            <w:pPr>
              <w:spacing w:before="120" w:after="80"/>
              <w:rPr>
                <w:sz w:val="16"/>
                <w:szCs w:val="16"/>
              </w:rPr>
            </w:pPr>
            <w:r w:rsidRPr="0080211C">
              <w:rPr>
                <w:sz w:val="16"/>
                <w:szCs w:val="16"/>
              </w:rPr>
              <w:t>EUCV</w:t>
            </w:r>
          </w:p>
        </w:tc>
        <w:tc>
          <w:tcPr>
            <w:tcW w:w="5967" w:type="dxa"/>
            <w:shd w:val="clear" w:color="auto" w:fill="DBE5F1"/>
            <w:noWrap/>
            <w:vAlign w:val="center"/>
          </w:tcPr>
          <w:p w:rsidR="00AB622A" w:rsidRPr="0080211C" w:rsidRDefault="00AB622A" w:rsidP="003344AF">
            <w:pPr>
              <w:pStyle w:val="AERbodytext"/>
              <w:spacing w:before="120" w:after="80"/>
              <w:rPr>
                <w:sz w:val="16"/>
                <w:szCs w:val="16"/>
              </w:rPr>
            </w:pPr>
            <w:r w:rsidRPr="0080211C">
              <w:rPr>
                <w:sz w:val="16"/>
                <w:szCs w:val="16"/>
              </w:rPr>
              <w:t>Energy Users Coalition of Victoria</w:t>
            </w:r>
          </w:p>
        </w:tc>
      </w:tr>
      <w:tr w:rsidR="00AB622A" w:rsidRPr="0080211C" w:rsidTr="003E3DDD">
        <w:tc>
          <w:tcPr>
            <w:tcW w:w="3085" w:type="dxa"/>
            <w:noWrap/>
            <w:vAlign w:val="center"/>
          </w:tcPr>
          <w:p w:rsidR="00AB622A" w:rsidRPr="0080211C" w:rsidRDefault="00AB622A" w:rsidP="003344AF">
            <w:pPr>
              <w:spacing w:before="120" w:after="80"/>
              <w:rPr>
                <w:sz w:val="16"/>
                <w:szCs w:val="16"/>
              </w:rPr>
            </w:pPr>
            <w:r w:rsidRPr="0080211C">
              <w:rPr>
                <w:sz w:val="16"/>
                <w:szCs w:val="16"/>
              </w:rPr>
              <w:t>TNSP</w:t>
            </w:r>
          </w:p>
        </w:tc>
        <w:tc>
          <w:tcPr>
            <w:tcW w:w="5967" w:type="dxa"/>
            <w:noWrap/>
            <w:vAlign w:val="center"/>
          </w:tcPr>
          <w:p w:rsidR="00AB622A" w:rsidRPr="0080211C" w:rsidRDefault="00AB622A" w:rsidP="003344AF">
            <w:pPr>
              <w:pStyle w:val="AERbodytext"/>
              <w:spacing w:before="120" w:after="80"/>
              <w:rPr>
                <w:sz w:val="16"/>
                <w:szCs w:val="16"/>
              </w:rPr>
            </w:pPr>
            <w:r w:rsidRPr="0080211C">
              <w:rPr>
                <w:sz w:val="16"/>
                <w:szCs w:val="16"/>
              </w:rPr>
              <w:t>Transmission Network Service Provider</w:t>
            </w:r>
          </w:p>
        </w:tc>
      </w:tr>
      <w:tr w:rsidR="00381C33" w:rsidRPr="0080211C" w:rsidTr="003E3DDD">
        <w:tc>
          <w:tcPr>
            <w:tcW w:w="3085" w:type="dxa"/>
            <w:noWrap/>
            <w:vAlign w:val="center"/>
          </w:tcPr>
          <w:p w:rsidR="00381C33" w:rsidRPr="0080211C" w:rsidRDefault="00381C33" w:rsidP="003344AF">
            <w:pPr>
              <w:spacing w:before="120" w:after="80"/>
              <w:rPr>
                <w:sz w:val="16"/>
                <w:szCs w:val="16"/>
              </w:rPr>
            </w:pPr>
            <w:r>
              <w:rPr>
                <w:sz w:val="16"/>
                <w:szCs w:val="16"/>
              </w:rPr>
              <w:t>28ZB test</w:t>
            </w:r>
          </w:p>
        </w:tc>
        <w:tc>
          <w:tcPr>
            <w:tcW w:w="5967" w:type="dxa"/>
            <w:noWrap/>
            <w:vAlign w:val="center"/>
          </w:tcPr>
          <w:p w:rsidR="00381C33" w:rsidRPr="0080211C" w:rsidRDefault="00381C33" w:rsidP="00381C33">
            <w:pPr>
              <w:pStyle w:val="AERbodytext"/>
              <w:spacing w:before="120" w:after="80"/>
            </w:pPr>
            <w:r>
              <w:rPr>
                <w:sz w:val="16"/>
                <w:szCs w:val="16"/>
              </w:rPr>
              <w:t>The test for disclosing information set out in section 28ZB of the National Electricity</w:t>
            </w:r>
            <w:r w:rsidR="00534BDD">
              <w:rPr>
                <w:sz w:val="16"/>
                <w:szCs w:val="16"/>
              </w:rPr>
              <w:t xml:space="preserve"> Law</w:t>
            </w:r>
            <w:r>
              <w:rPr>
                <w:sz w:val="16"/>
                <w:szCs w:val="16"/>
              </w:rPr>
              <w:t xml:space="preserve"> </w:t>
            </w:r>
          </w:p>
        </w:tc>
      </w:tr>
    </w:tbl>
    <w:p w:rsidR="00F94514" w:rsidRDefault="00F94514" w:rsidP="009B5380">
      <w:pPr>
        <w:pStyle w:val="AERbodytext"/>
      </w:pPr>
    </w:p>
    <w:p w:rsidR="009B5380" w:rsidRPr="009B5380" w:rsidRDefault="009B5380" w:rsidP="009B5380">
      <w:pPr>
        <w:pStyle w:val="AERbodytext"/>
      </w:pPr>
    </w:p>
    <w:p w:rsidR="00871BD2" w:rsidRDefault="00871BD2" w:rsidP="00871BD2">
      <w:pPr>
        <w:pStyle w:val="UnnumberedHeading"/>
        <w:rPr>
          <w:rStyle w:val="AERtextbolditalics"/>
          <w:b/>
          <w:i w:val="0"/>
        </w:rPr>
      </w:pPr>
      <w:bookmarkStart w:id="6" w:name="_Toc349834048"/>
      <w:r>
        <w:rPr>
          <w:rStyle w:val="AERtextbolditalics"/>
          <w:b/>
          <w:i w:val="0"/>
        </w:rPr>
        <w:lastRenderedPageBreak/>
        <w:t>Summary</w:t>
      </w:r>
      <w:r w:rsidR="00FC6B0E">
        <w:rPr>
          <w:rStyle w:val="AERtextbolditalics"/>
          <w:b/>
          <w:i w:val="0"/>
        </w:rPr>
        <w:t xml:space="preserve"> and list of questions</w:t>
      </w:r>
      <w:bookmarkEnd w:id="6"/>
    </w:p>
    <w:p w:rsidR="00871BD2" w:rsidRPr="00C735CA" w:rsidRDefault="00747A1B" w:rsidP="00871BD2">
      <w:pPr>
        <w:pStyle w:val="AERbodytext"/>
      </w:pPr>
      <w:r>
        <w:rPr>
          <w:rStyle w:val="AERbody"/>
        </w:rPr>
        <w:t>T</w:t>
      </w:r>
      <w:r w:rsidR="00871BD2" w:rsidRPr="00254211">
        <w:rPr>
          <w:rStyle w:val="AERbody"/>
        </w:rPr>
        <w:t>he Aus</w:t>
      </w:r>
      <w:r w:rsidR="00871BD2">
        <w:rPr>
          <w:rStyle w:val="AERbody"/>
        </w:rPr>
        <w:t xml:space="preserve">tralian Energy Regulator (AER) </w:t>
      </w:r>
      <w:r>
        <w:rPr>
          <w:rStyle w:val="AERbody"/>
        </w:rPr>
        <w:t>is</w:t>
      </w:r>
      <w:r w:rsidR="00871BD2" w:rsidRPr="00254211">
        <w:rPr>
          <w:rStyle w:val="AERbody"/>
        </w:rPr>
        <w:t xml:space="preserve"> responsible for the economic regulation of electricity </w:t>
      </w:r>
      <w:r w:rsidR="00871BD2">
        <w:rPr>
          <w:rStyle w:val="AERbody"/>
        </w:rPr>
        <w:t>transmission</w:t>
      </w:r>
      <w:r w:rsidR="00871BD2" w:rsidRPr="00254211">
        <w:rPr>
          <w:rStyle w:val="AERbody"/>
        </w:rPr>
        <w:t xml:space="preserve"> and distribution services in the national electricity market (NEM) as well as gas transportation services. </w:t>
      </w:r>
      <w:r w:rsidR="00871BD2">
        <w:rPr>
          <w:rStyle w:val="AERbody"/>
        </w:rPr>
        <w:t>We also monitor</w:t>
      </w:r>
      <w:r w:rsidR="00871BD2" w:rsidRPr="00254211">
        <w:rPr>
          <w:rStyle w:val="AERbody"/>
        </w:rPr>
        <w:t xml:space="preserve"> the wholesale electricity and gas markets and </w:t>
      </w:r>
      <w:r w:rsidR="00871BD2">
        <w:rPr>
          <w:rStyle w:val="AERbody"/>
        </w:rPr>
        <w:t>are</w:t>
      </w:r>
      <w:r w:rsidR="00871BD2" w:rsidRPr="00254211">
        <w:rPr>
          <w:rStyle w:val="AERbody"/>
        </w:rPr>
        <w:t xml:space="preserve"> responsible for compliance with and enforcement of the National Electricity Rules (</w:t>
      </w:r>
      <w:r w:rsidR="002C6E28">
        <w:rPr>
          <w:rStyle w:val="AERbody"/>
        </w:rPr>
        <w:t>Rules</w:t>
      </w:r>
      <w:r w:rsidR="00871BD2" w:rsidRPr="00254211">
        <w:rPr>
          <w:rStyle w:val="AERbody"/>
        </w:rPr>
        <w:t>) and National Gas Rules</w:t>
      </w:r>
      <w:r>
        <w:rPr>
          <w:rStyle w:val="AERbody"/>
        </w:rPr>
        <w:t xml:space="preserve"> (NGR)</w:t>
      </w:r>
      <w:r w:rsidR="00871BD2">
        <w:rPr>
          <w:rStyle w:val="AERbody"/>
        </w:rPr>
        <w:t>.</w:t>
      </w:r>
    </w:p>
    <w:p w:rsidR="00871BD2" w:rsidRDefault="00871BD2" w:rsidP="00871BD2">
      <w:pPr>
        <w:pStyle w:val="AERbodytext"/>
        <w:rPr>
          <w:rStyle w:val="AERbody"/>
        </w:rPr>
      </w:pPr>
      <w:r w:rsidRPr="00C735CA">
        <w:t xml:space="preserve">We are beginning a program of work to deliver an improved regulatory framework focused on the long term interests of electricity consumers. This follows from changes to the </w:t>
      </w:r>
      <w:r w:rsidR="008222DC">
        <w:t>R</w:t>
      </w:r>
      <w:r w:rsidR="00747A1B">
        <w:t>ules</w:t>
      </w:r>
      <w:r w:rsidRPr="00C735CA">
        <w:t xml:space="preserve"> and </w:t>
      </w:r>
      <w:r w:rsidR="00747A1B">
        <w:t>NGR</w:t>
      </w:r>
      <w:r w:rsidRPr="00C735CA">
        <w:t xml:space="preserve"> that were published by the Australian Energy Market Commission</w:t>
      </w:r>
      <w:r w:rsidR="00747A1B">
        <w:t xml:space="preserve"> (AEMC)</w:t>
      </w:r>
      <w:r w:rsidRPr="00C735CA">
        <w:t xml:space="preserve"> on 29 November 2012.</w:t>
      </w:r>
      <w:r>
        <w:t xml:space="preserve"> Our approach to regulation under the new framework will be set out in a series of guidelines to be published by the end of November 2013.</w:t>
      </w:r>
      <w:r w:rsidRPr="00C735CA">
        <w:t xml:space="preserve"> </w:t>
      </w:r>
    </w:p>
    <w:p w:rsidR="00871BD2" w:rsidRDefault="00871BD2" w:rsidP="00993250">
      <w:pPr>
        <w:pStyle w:val="AERbodytext"/>
      </w:pPr>
      <w:r>
        <w:t xml:space="preserve">A major element of our new approach is the publication of Distribution Confidentiality Guidelines and Transmission Confidentiality Guidelines (the </w:t>
      </w:r>
      <w:r w:rsidR="00FC6B0E">
        <w:t>confidentiality g</w:t>
      </w:r>
      <w:r>
        <w:t>uidelines)</w:t>
      </w:r>
      <w:r w:rsidR="00352D53">
        <w:t xml:space="preserve">. The Rules require </w:t>
      </w:r>
      <w:r w:rsidR="00950E1F">
        <w:t xml:space="preserve">us to </w:t>
      </w:r>
      <w:r w:rsidR="00352D53">
        <w:t>make and</w:t>
      </w:r>
      <w:r>
        <w:t xml:space="preserve"> publish </w:t>
      </w:r>
      <w:r w:rsidR="00352D53">
        <w:t xml:space="preserve">the confidentiality guidelines </w:t>
      </w:r>
      <w:r>
        <w:t>by 29 November 2013.</w:t>
      </w:r>
      <w:r>
        <w:rPr>
          <w:rStyle w:val="FootnoteReference"/>
        </w:rPr>
        <w:footnoteReference w:id="2"/>
      </w:r>
      <w:r w:rsidRPr="00B15C59">
        <w:t xml:space="preserve"> </w:t>
      </w:r>
      <w:r>
        <w:t xml:space="preserve">The </w:t>
      </w:r>
      <w:r w:rsidR="00FC6B0E">
        <w:t>confidentiality g</w:t>
      </w:r>
      <w:r>
        <w:t xml:space="preserve">uidelines must specify </w:t>
      </w:r>
      <w:r w:rsidRPr="008C31EB">
        <w:t xml:space="preserve">the manner in which </w:t>
      </w:r>
      <w:r>
        <w:t xml:space="preserve">network service providers (NSPs) </w:t>
      </w:r>
      <w:r w:rsidRPr="008C31EB">
        <w:t>may make confidentiality claims</w:t>
      </w:r>
      <w:r>
        <w:t>.</w:t>
      </w:r>
      <w:r>
        <w:rPr>
          <w:rStyle w:val="FootnoteReference"/>
        </w:rPr>
        <w:footnoteReference w:id="3"/>
      </w:r>
      <w:r>
        <w:t xml:space="preserve"> The </w:t>
      </w:r>
      <w:r w:rsidR="00747A1B">
        <w:t>confidentiality g</w:t>
      </w:r>
      <w:r>
        <w:t xml:space="preserve">uidelines will be binding on the AER and NSPs in relation to </w:t>
      </w:r>
      <w:r w:rsidR="00993250">
        <w:rPr>
          <w:rStyle w:val="AERbody"/>
        </w:rPr>
        <w:t>initial and revised regulatory proposals, revenue proposals and proposed pricing methodologies</w:t>
      </w:r>
      <w:r w:rsidR="00774811">
        <w:rPr>
          <w:rStyle w:val="AERbody"/>
        </w:rPr>
        <w:t xml:space="preserve">. </w:t>
      </w:r>
      <w:r>
        <w:t>We are also considering applying the guidelines as policy to all information the AER receives.</w:t>
      </w:r>
    </w:p>
    <w:p w:rsidR="00B949A7" w:rsidRDefault="00871BD2" w:rsidP="00871BD2">
      <w:pPr>
        <w:pStyle w:val="AERbodytext"/>
      </w:pPr>
      <w:r>
        <w:t xml:space="preserve">This issues paper </w:t>
      </w:r>
      <w:r w:rsidR="00B949A7">
        <w:t>is</w:t>
      </w:r>
      <w:r>
        <w:t xml:space="preserve"> our first step in consulting on the </w:t>
      </w:r>
      <w:r w:rsidR="00747A1B">
        <w:t>confidentiality g</w:t>
      </w:r>
      <w:r>
        <w:t>uidelines</w:t>
      </w:r>
      <w:r w:rsidR="00B949A7">
        <w:t>.</w:t>
      </w:r>
      <w:r w:rsidR="00C300F6">
        <w:t xml:space="preserve"> </w:t>
      </w:r>
      <w:r w:rsidR="00FC3619">
        <w:t xml:space="preserve">It is </w:t>
      </w:r>
      <w:r>
        <w:t>based upon our experience to date dealing with confidentiality claims and using our information disclosure powers.</w:t>
      </w:r>
      <w:r w:rsidR="00B949A7">
        <w:t xml:space="preserve"> </w:t>
      </w:r>
    </w:p>
    <w:p w:rsidR="00ED5AB1" w:rsidRDefault="00871BD2" w:rsidP="00B2157E">
      <w:pPr>
        <w:pStyle w:val="AERbodytext"/>
      </w:pPr>
      <w:r>
        <w:t xml:space="preserve">On the whole, </w:t>
      </w:r>
      <w:r w:rsidR="00ED5AB1">
        <w:t xml:space="preserve">we will be looking to </w:t>
      </w:r>
      <w:r w:rsidR="008222DC">
        <w:t xml:space="preserve">achieve </w:t>
      </w:r>
      <w:r w:rsidR="00ED5AB1">
        <w:t xml:space="preserve">a balance between protecting </w:t>
      </w:r>
      <w:r w:rsidR="00B62E86">
        <w:t xml:space="preserve">certain </w:t>
      </w:r>
      <w:r w:rsidR="00ED5AB1">
        <w:t>information</w:t>
      </w:r>
      <w:r w:rsidR="00B2157E">
        <w:t xml:space="preserve"> </w:t>
      </w:r>
      <w:r w:rsidR="00B62E86">
        <w:t>because of its sensitive nature</w:t>
      </w:r>
      <w:r w:rsidR="00ED5AB1">
        <w:t xml:space="preserve"> and the need to disclose information for an open and transparent </w:t>
      </w:r>
      <w:r w:rsidR="00ED5AB1" w:rsidRPr="00871316">
        <w:t>regulatory decision</w:t>
      </w:r>
      <w:r w:rsidR="00B2157E" w:rsidRPr="00871316">
        <w:t xml:space="preserve"> </w:t>
      </w:r>
      <w:r w:rsidR="00ED5AB1" w:rsidRPr="00871316">
        <w:t>making</w:t>
      </w:r>
      <w:r w:rsidR="00ED5AB1">
        <w:t xml:space="preserve"> process that allows all stakeholders to engage effectively. We also want to move </w:t>
      </w:r>
      <w:r w:rsidR="008222DC">
        <w:t xml:space="preserve">away </w:t>
      </w:r>
      <w:r w:rsidR="00ED5AB1">
        <w:t>from our current practice of using formal information disclosure powers on a regular basis.</w:t>
      </w:r>
      <w:r w:rsidR="002C6E28">
        <w:rPr>
          <w:rStyle w:val="FootnoteReference"/>
        </w:rPr>
        <w:footnoteReference w:id="4"/>
      </w:r>
      <w:r w:rsidR="00ED5AB1">
        <w:t xml:space="preserve"> </w:t>
      </w:r>
      <w:r w:rsidR="00B949A7">
        <w:t xml:space="preserve">Our </w:t>
      </w:r>
      <w:r w:rsidR="00ED5AB1">
        <w:t xml:space="preserve">aim </w:t>
      </w:r>
      <w:r w:rsidR="00FE3D1B">
        <w:t xml:space="preserve">is </w:t>
      </w:r>
      <w:r w:rsidR="00ED5AB1">
        <w:t xml:space="preserve">to have a more collaborative process where: </w:t>
      </w:r>
    </w:p>
    <w:p w:rsidR="00ED5AB1" w:rsidRDefault="00ED5AB1" w:rsidP="00ED5AB1">
      <w:pPr>
        <w:pStyle w:val="AERbulletlistfirststyle"/>
      </w:pPr>
      <w:r>
        <w:t>before we receive information</w:t>
      </w:r>
      <w:r w:rsidR="00D26605">
        <w:t>,</w:t>
      </w:r>
      <w:r>
        <w:t xml:space="preserve"> </w:t>
      </w:r>
      <w:r w:rsidR="00D26605">
        <w:t xml:space="preserve">we work with </w:t>
      </w:r>
      <w:r>
        <w:t xml:space="preserve">NSPs </w:t>
      </w:r>
      <w:r w:rsidR="00D26605">
        <w:t xml:space="preserve">to reach a common </w:t>
      </w:r>
      <w:r>
        <w:t>understand</w:t>
      </w:r>
      <w:r w:rsidR="00D26605">
        <w:t>ing of</w:t>
      </w:r>
      <w:r w:rsidR="00625A2F">
        <w:t xml:space="preserve"> </w:t>
      </w:r>
      <w:r>
        <w:t>the types of information we will generally protect or disclose and how to make confidentiality claims</w:t>
      </w:r>
    </w:p>
    <w:p w:rsidR="00ED5AB1" w:rsidRDefault="00ED5AB1" w:rsidP="00ED5AB1">
      <w:pPr>
        <w:pStyle w:val="AERbulletlistfirststyle"/>
      </w:pPr>
      <w:r>
        <w:t xml:space="preserve">at the time we receive information, </w:t>
      </w:r>
      <w:r w:rsidR="00D26605">
        <w:t xml:space="preserve">NSPs claim </w:t>
      </w:r>
      <w:r>
        <w:t xml:space="preserve">confidentiality in a fashion that </w:t>
      </w:r>
      <w:r w:rsidR="00D26605">
        <w:t xml:space="preserve">allows us to resolve most confidentiality claims quickly and </w:t>
      </w:r>
      <w:r>
        <w:t>minimises the need for us to resort to formal disclosure powers.</w:t>
      </w:r>
    </w:p>
    <w:p w:rsidR="00871BD2" w:rsidRDefault="00F20CB2" w:rsidP="00871BD2">
      <w:r>
        <w:t>We see</w:t>
      </w:r>
      <w:r w:rsidR="00B04F4C">
        <w:t xml:space="preserve"> the </w:t>
      </w:r>
      <w:r w:rsidR="00B949A7">
        <w:t xml:space="preserve">confidentiality guidelines </w:t>
      </w:r>
      <w:r w:rsidR="00B04F4C">
        <w:t>playing</w:t>
      </w:r>
      <w:r>
        <w:t xml:space="preserve"> an important </w:t>
      </w:r>
      <w:r w:rsidR="00B04F4C">
        <w:t>role in</w:t>
      </w:r>
      <w:r>
        <w:t xml:space="preserve"> </w:t>
      </w:r>
      <w:r w:rsidR="00B04F4C">
        <w:t xml:space="preserve">facilitating this process by </w:t>
      </w:r>
      <w:r w:rsidR="00334578">
        <w:t>clarifying the process for making confidentiality claims</w:t>
      </w:r>
      <w:r w:rsidR="00B04F4C">
        <w:t xml:space="preserve">. </w:t>
      </w:r>
      <w:r w:rsidR="00871BD2">
        <w:t xml:space="preserve">In developing and implementing our </w:t>
      </w:r>
      <w:r w:rsidR="00334578">
        <w:t>confident</w:t>
      </w:r>
      <w:r w:rsidR="00FE3D1B">
        <w:t>ia</w:t>
      </w:r>
      <w:r w:rsidR="00334578">
        <w:t>l</w:t>
      </w:r>
      <w:r w:rsidR="00FE3D1B">
        <w:t>it</w:t>
      </w:r>
      <w:r w:rsidR="00334578">
        <w:t>y guidelines</w:t>
      </w:r>
      <w:r w:rsidR="00B949A7">
        <w:t xml:space="preserve"> </w:t>
      </w:r>
      <w:r w:rsidR="00871BD2">
        <w:t xml:space="preserve">we will be mindful of consumer interests as articulated in the </w:t>
      </w:r>
      <w:r w:rsidR="001C6F63">
        <w:t xml:space="preserve">National Electricity Objective </w:t>
      </w:r>
      <w:r w:rsidR="00871BD2">
        <w:t xml:space="preserve">and in the revenue and pricing principles, but also </w:t>
      </w:r>
      <w:r w:rsidR="008222DC">
        <w:t xml:space="preserve">views </w:t>
      </w:r>
      <w:r w:rsidR="00871BD2">
        <w:t xml:space="preserve">directly expressed through consumer engagement. </w:t>
      </w:r>
    </w:p>
    <w:p w:rsidR="00871BD2" w:rsidRDefault="00871BD2" w:rsidP="00871BD2">
      <w:pPr>
        <w:pStyle w:val="AERbodytext"/>
      </w:pPr>
      <w:r>
        <w:t xml:space="preserve">We are </w:t>
      </w:r>
      <w:r w:rsidRPr="00B15C59">
        <w:t xml:space="preserve">seeking </w:t>
      </w:r>
      <w:r>
        <w:t xml:space="preserve">direct input from </w:t>
      </w:r>
      <w:r w:rsidRPr="00B15C59">
        <w:t xml:space="preserve">industry </w:t>
      </w:r>
      <w:r>
        <w:t xml:space="preserve">and other stakeholders </w:t>
      </w:r>
      <w:r w:rsidRPr="00B15C59">
        <w:t xml:space="preserve">into the development of </w:t>
      </w:r>
      <w:r>
        <w:t xml:space="preserve">the </w:t>
      </w:r>
      <w:r w:rsidR="00534BDD">
        <w:t>confidentiality g</w:t>
      </w:r>
      <w:r>
        <w:t xml:space="preserve">uidelines. Issues raised in this paper are intended to form a basis for discussion </w:t>
      </w:r>
      <w:r>
        <w:lastRenderedPageBreak/>
        <w:t xml:space="preserve">between ourselves and stakeholders in the coming months through detailed working groups and in written submissions. </w:t>
      </w:r>
    </w:p>
    <w:p w:rsidR="00871BD2" w:rsidRDefault="00871BD2" w:rsidP="00871BD2">
      <w:pPr>
        <w:pStyle w:val="AERbodytext"/>
      </w:pPr>
      <w:r>
        <w:t>We have separately set out our overall approach to consulting on the range of new guidelines and schemes.</w:t>
      </w:r>
      <w:r>
        <w:rPr>
          <w:rStyle w:val="FootnoteReference"/>
        </w:rPr>
        <w:footnoteReference w:id="5"/>
      </w:r>
      <w:r>
        <w:t xml:space="preserve"> The process will include multiple consultation stages (after the issues paper and draft Guidelines) with various methods of engagement (for</w:t>
      </w:r>
      <w:r w:rsidR="008222DC">
        <w:t>ums</w:t>
      </w:r>
      <w:r>
        <w:t xml:space="preserve">, workgroups, written submissions and bilateral meetings). The next steps in consultation on the </w:t>
      </w:r>
      <w:r w:rsidR="000B4397">
        <w:t>confidentiality g</w:t>
      </w:r>
      <w:r>
        <w:t xml:space="preserve">uidelines are outlined in </w:t>
      </w:r>
      <w:r w:rsidRPr="00F077BA">
        <w:rPr>
          <w:rStyle w:val="AERbody"/>
        </w:rPr>
        <w:t xml:space="preserve">section </w:t>
      </w:r>
      <w:r>
        <w:rPr>
          <w:rStyle w:val="AERbody"/>
        </w:rPr>
        <w:fldChar w:fldCharType="begin"/>
      </w:r>
      <w:r>
        <w:rPr>
          <w:rStyle w:val="AERbody"/>
        </w:rPr>
        <w:instrText xml:space="preserve"> REF _Ref342479903 \r \h </w:instrText>
      </w:r>
      <w:r>
        <w:rPr>
          <w:rStyle w:val="AERbody"/>
        </w:rPr>
      </w:r>
      <w:r>
        <w:rPr>
          <w:rStyle w:val="AERbody"/>
        </w:rPr>
        <w:fldChar w:fldCharType="separate"/>
      </w:r>
      <w:r w:rsidR="00B03332">
        <w:rPr>
          <w:rStyle w:val="AERbody"/>
        </w:rPr>
        <w:t>5</w:t>
      </w:r>
      <w:r>
        <w:rPr>
          <w:rStyle w:val="AERbody"/>
        </w:rPr>
        <w:fldChar w:fldCharType="end"/>
      </w:r>
      <w:r w:rsidRPr="00F077BA">
        <w:rPr>
          <w:rStyle w:val="AERbody"/>
        </w:rPr>
        <w:t xml:space="preserve"> below</w:t>
      </w:r>
      <w:r>
        <w:t>.</w:t>
      </w:r>
    </w:p>
    <w:p w:rsidR="00871BD2" w:rsidRDefault="00871BD2" w:rsidP="00871BD2">
      <w:pPr>
        <w:pStyle w:val="AERbodytext"/>
      </w:pPr>
      <w:r>
        <w:t xml:space="preserve">Questions for stakeholder comment are posed throughout the issues paper and are repeated here as a summary. </w:t>
      </w:r>
    </w:p>
    <w:p w:rsidR="00807A41" w:rsidRDefault="00807A41" w:rsidP="00807A41">
      <w:pPr>
        <w:pStyle w:val="AERbodytext"/>
        <w:rPr>
          <w:rStyle w:val="AERtextbolditalics"/>
        </w:rPr>
      </w:pPr>
      <w:r>
        <w:rPr>
          <w:rStyle w:val="AERtextbolditalics"/>
        </w:rPr>
        <w:t>Manner in which NSPs may make confidentiality claims</w:t>
      </w:r>
    </w:p>
    <w:p w:rsidR="00807A41" w:rsidRPr="00E6401C" w:rsidRDefault="00807A41" w:rsidP="00871BD2">
      <w:pPr>
        <w:pStyle w:val="AERbodytext"/>
        <w:rPr>
          <w:rStyle w:val="AERtextbolditalics"/>
        </w:rPr>
      </w:pPr>
      <w:r>
        <w:pict>
          <v:shapetype id="_x0000_t202" coordsize="21600,21600" o:spt="202" path="m,l,21600r21600,l21600,xe">
            <v:stroke joinstyle="miter"/>
            <v:path gradientshapeok="t" o:connecttype="rect"/>
          </v:shapetype>
          <v:shape id="_x0000_s1108" type="#_x0000_t202" style="width:458.35pt;height:62.9pt;mso-position-horizontal-relative:char;mso-position-vertical-relative:line;mso-width-relative:margin;mso-height-relative:margin">
            <v:textbox style="mso-next-textbox:#_x0000_s1108">
              <w:txbxContent>
                <w:p w:rsidR="0079718F" w:rsidRDefault="0079718F" w:rsidP="00807A41">
                  <w:pPr>
                    <w:pStyle w:val="Caption"/>
                    <w:rPr>
                      <w:rStyle w:val="AERbody"/>
                    </w:rPr>
                  </w:pPr>
                  <w:r>
                    <w:t>Question 1</w:t>
                  </w:r>
                </w:p>
                <w:p w:rsidR="0079718F" w:rsidRDefault="0079718F" w:rsidP="00807A41">
                  <w:r w:rsidRPr="00D26605">
                    <w:rPr>
                      <w:rStyle w:val="AERbody"/>
                    </w:rPr>
                    <w:t>W</w:t>
                  </w:r>
                  <w:r>
                    <w:rPr>
                      <w:rStyle w:val="AERbody"/>
                    </w:rPr>
                    <w:t>hat are</w:t>
                  </w:r>
                  <w:r w:rsidRPr="00D26605">
                    <w:rPr>
                      <w:rStyle w:val="AERbody"/>
                    </w:rPr>
                    <w:t xml:space="preserve"> stakeholders</w:t>
                  </w:r>
                  <w:r>
                    <w:rPr>
                      <w:rStyle w:val="AERbody"/>
                    </w:rPr>
                    <w:t>’ views</w:t>
                  </w:r>
                  <w:r w:rsidRPr="00D26605">
                    <w:rPr>
                      <w:rStyle w:val="AERbody"/>
                    </w:rPr>
                    <w:t xml:space="preserve"> </w:t>
                  </w:r>
                  <w:r>
                    <w:rPr>
                      <w:rStyle w:val="AERbody"/>
                    </w:rPr>
                    <w:t>on requiring NSPs to make confidentiality claims using the template in Attachment 1?</w:t>
                  </w:r>
                </w:p>
              </w:txbxContent>
            </v:textbox>
            <w10:wrap type="none"/>
            <w10:anchorlock/>
          </v:shape>
        </w:pict>
      </w:r>
    </w:p>
    <w:p w:rsidR="00807A41" w:rsidRDefault="00807A41" w:rsidP="00807A41">
      <w:pPr>
        <w:pStyle w:val="AERbodytext"/>
        <w:rPr>
          <w:rStyle w:val="AERtextbolditalics"/>
        </w:rPr>
      </w:pPr>
      <w:r>
        <w:rPr>
          <w:rStyle w:val="AERtextbolditalics"/>
        </w:rPr>
        <w:t>Categories</w:t>
      </w:r>
      <w:r w:rsidR="0074400E">
        <w:rPr>
          <w:rStyle w:val="AERtextbolditalics"/>
        </w:rPr>
        <w:t xml:space="preserve"> or lists</w:t>
      </w:r>
      <w:r>
        <w:rPr>
          <w:rStyle w:val="AERtextbolditalics"/>
        </w:rPr>
        <w:t xml:space="preserve"> of confidential information</w:t>
      </w:r>
    </w:p>
    <w:p w:rsidR="00871BD2" w:rsidRDefault="00807A41" w:rsidP="00871BD2">
      <w:pPr>
        <w:pStyle w:val="AERbodytext"/>
      </w:pPr>
      <w:r>
        <w:pict>
          <v:shape id="_x0000_s1111" type="#_x0000_t202" style="width:458.35pt;height:62.9pt;mso-position-horizontal-relative:char;mso-position-vertical-relative:line;mso-width-relative:margin;mso-height-relative:margin">
            <v:textbox style="mso-next-textbox:#_x0000_s1111">
              <w:txbxContent>
                <w:p w:rsidR="0079718F" w:rsidRDefault="0079718F" w:rsidP="00807A41">
                  <w:pPr>
                    <w:pStyle w:val="Caption"/>
                    <w:rPr>
                      <w:rStyle w:val="AERbody"/>
                    </w:rPr>
                  </w:pPr>
                  <w:r>
                    <w:t>Question 2</w:t>
                  </w:r>
                </w:p>
                <w:p w:rsidR="0079718F" w:rsidRDefault="0079718F" w:rsidP="00807A41">
                  <w:r w:rsidRPr="00807A41">
                    <w:rPr>
                      <w:rStyle w:val="AERbody"/>
                    </w:rPr>
                    <w:t>Should the confidentiality guidelines specify categories of information by which NSPs must classify any claims of confidentiality?</w:t>
                  </w:r>
                </w:p>
              </w:txbxContent>
            </v:textbox>
            <w10:wrap type="none"/>
            <w10:anchorlock/>
          </v:shape>
        </w:pict>
      </w:r>
    </w:p>
    <w:p w:rsidR="00807A41" w:rsidRDefault="00807A41" w:rsidP="00871BD2">
      <w:pPr>
        <w:pStyle w:val="AERbodytext"/>
      </w:pPr>
      <w:r>
        <w:pict>
          <v:shape id="_x0000_s1113" type="#_x0000_t202" style="width:458.35pt;height:62.9pt;mso-position-horizontal-relative:char;mso-position-vertical-relative:line;mso-width-relative:margin;mso-height-relative:margin">
            <v:textbox style="mso-next-textbox:#_x0000_s1113">
              <w:txbxContent>
                <w:p w:rsidR="0079718F" w:rsidRDefault="0079718F" w:rsidP="00807A41">
                  <w:pPr>
                    <w:pStyle w:val="Caption"/>
                    <w:rPr>
                      <w:rStyle w:val="AERbody"/>
                    </w:rPr>
                  </w:pPr>
                  <w:r>
                    <w:t>Question 3</w:t>
                  </w:r>
                </w:p>
                <w:p w:rsidR="0079718F" w:rsidRDefault="0079718F" w:rsidP="00807A41">
                  <w:r w:rsidRPr="00807A41">
                    <w:rPr>
                      <w:rStyle w:val="AERbody"/>
                    </w:rPr>
                    <w:t xml:space="preserve">In addition to the proposed items listed </w:t>
                  </w:r>
                  <w:r>
                    <w:rPr>
                      <w:rStyle w:val="AERbody"/>
                    </w:rPr>
                    <w:t xml:space="preserve">in section </w:t>
                  </w:r>
                  <w:r>
                    <w:rPr>
                      <w:rStyle w:val="AERbody"/>
                    </w:rPr>
                    <w:fldChar w:fldCharType="begin"/>
                  </w:r>
                  <w:r>
                    <w:rPr>
                      <w:rStyle w:val="AERbody"/>
                    </w:rPr>
                    <w:instrText xml:space="preserve"> REF _Ref349201498 \r \h </w:instrText>
                  </w:r>
                  <w:r>
                    <w:rPr>
                      <w:rStyle w:val="AERbody"/>
                    </w:rPr>
                  </w:r>
                  <w:r>
                    <w:rPr>
                      <w:rStyle w:val="AERbody"/>
                    </w:rPr>
                    <w:fldChar w:fldCharType="separate"/>
                  </w:r>
                  <w:r>
                    <w:rPr>
                      <w:rStyle w:val="AERbody"/>
                    </w:rPr>
                    <w:t>4.2</w:t>
                  </w:r>
                  <w:r>
                    <w:rPr>
                      <w:rStyle w:val="AERbody"/>
                    </w:rPr>
                    <w:fldChar w:fldCharType="end"/>
                  </w:r>
                  <w:r w:rsidRPr="00807A41">
                    <w:rPr>
                      <w:rStyle w:val="AERbody"/>
                    </w:rPr>
                    <w:t>, are there any other items stakeholders consider we should protect?</w:t>
                  </w:r>
                </w:p>
              </w:txbxContent>
            </v:textbox>
            <w10:wrap type="none"/>
            <w10:anchorlock/>
          </v:shape>
        </w:pict>
      </w:r>
    </w:p>
    <w:p w:rsidR="00807A41" w:rsidRDefault="00807A41" w:rsidP="00871BD2">
      <w:pPr>
        <w:pStyle w:val="AERbodytext"/>
      </w:pPr>
      <w:r>
        <w:pict>
          <v:shape id="_x0000_s1114" type="#_x0000_t202" style="width:458.35pt;height:62.9pt;mso-position-horizontal-relative:char;mso-position-vertical-relative:line;mso-width-relative:margin;mso-height-relative:margin">
            <v:textbox style="mso-next-textbox:#_x0000_s1114">
              <w:txbxContent>
                <w:p w:rsidR="0079718F" w:rsidRDefault="0079718F" w:rsidP="00807A41">
                  <w:pPr>
                    <w:pStyle w:val="Caption"/>
                    <w:rPr>
                      <w:rStyle w:val="AERbody"/>
                    </w:rPr>
                  </w:pPr>
                  <w:r>
                    <w:t>Question 4</w:t>
                  </w:r>
                </w:p>
                <w:p w:rsidR="0079718F" w:rsidRDefault="0079718F" w:rsidP="00807A41">
                  <w:r w:rsidRPr="00807A41">
                    <w:rPr>
                      <w:rStyle w:val="AERbody"/>
                    </w:rPr>
                    <w:t xml:space="preserve">In addition to the proposed items listed </w:t>
                  </w:r>
                  <w:r>
                    <w:rPr>
                      <w:rStyle w:val="AERbody"/>
                    </w:rPr>
                    <w:t xml:space="preserve">in section </w:t>
                  </w:r>
                  <w:r>
                    <w:rPr>
                      <w:rStyle w:val="AERbody"/>
                    </w:rPr>
                    <w:fldChar w:fldCharType="begin"/>
                  </w:r>
                  <w:r>
                    <w:rPr>
                      <w:rStyle w:val="AERbody"/>
                    </w:rPr>
                    <w:instrText xml:space="preserve"> REF _Ref349201498 \r \h </w:instrText>
                  </w:r>
                  <w:r>
                    <w:rPr>
                      <w:rStyle w:val="AERbody"/>
                    </w:rPr>
                  </w:r>
                  <w:r>
                    <w:rPr>
                      <w:rStyle w:val="AERbody"/>
                    </w:rPr>
                    <w:fldChar w:fldCharType="separate"/>
                  </w:r>
                  <w:r>
                    <w:rPr>
                      <w:rStyle w:val="AERbody"/>
                    </w:rPr>
                    <w:t>4.2</w:t>
                  </w:r>
                  <w:r>
                    <w:rPr>
                      <w:rStyle w:val="AERbody"/>
                    </w:rPr>
                    <w:fldChar w:fldCharType="end"/>
                  </w:r>
                  <w:r w:rsidRPr="00807A41">
                    <w:rPr>
                      <w:rStyle w:val="AERbody"/>
                    </w:rPr>
                    <w:t xml:space="preserve">, are there any other items stakeholders consider we should </w:t>
                  </w:r>
                  <w:r>
                    <w:rPr>
                      <w:rStyle w:val="AERbody"/>
                    </w:rPr>
                    <w:t>disclose</w:t>
                  </w:r>
                  <w:r w:rsidRPr="00807A41">
                    <w:rPr>
                      <w:rStyle w:val="AERbody"/>
                    </w:rPr>
                    <w:t>?</w:t>
                  </w:r>
                </w:p>
              </w:txbxContent>
            </v:textbox>
            <w10:wrap type="none"/>
            <w10:anchorlock/>
          </v:shape>
        </w:pict>
      </w:r>
    </w:p>
    <w:p w:rsidR="00807A41" w:rsidRDefault="00807A41" w:rsidP="00807A41">
      <w:pPr>
        <w:pStyle w:val="AERbodytext"/>
        <w:rPr>
          <w:rStyle w:val="AERtextbolditalics"/>
        </w:rPr>
      </w:pPr>
      <w:r>
        <w:rPr>
          <w:rStyle w:val="AERtextbolditalics"/>
        </w:rPr>
        <w:t>Website notices</w:t>
      </w:r>
    </w:p>
    <w:p w:rsidR="00D26605" w:rsidRPr="00D26605" w:rsidRDefault="00D26605" w:rsidP="00807A41">
      <w:pPr>
        <w:pStyle w:val="AERbodytext"/>
        <w:rPr>
          <w:b/>
          <w:i/>
        </w:rPr>
      </w:pPr>
      <w:r>
        <w:pict>
          <v:shape id="_x0000_s1117" type="#_x0000_t202" style="width:458.35pt;height:62.9pt;mso-position-horizontal-relative:char;mso-position-vertical-relative:line;mso-width-relative:margin;mso-height-relative:margin">
            <v:textbox style="mso-next-textbox:#_x0000_s1117">
              <w:txbxContent>
                <w:p w:rsidR="0079718F" w:rsidRDefault="0079718F" w:rsidP="00D26605">
                  <w:pPr>
                    <w:pStyle w:val="Caption"/>
                    <w:rPr>
                      <w:rStyle w:val="AERbody"/>
                    </w:rPr>
                  </w:pPr>
                  <w:r>
                    <w:t>Question 5</w:t>
                  </w:r>
                </w:p>
                <w:p w:rsidR="0079718F" w:rsidRDefault="0079718F" w:rsidP="0075628E">
                  <w:r>
                    <w:rPr>
                      <w:rStyle w:val="AERbody"/>
                    </w:rPr>
                    <w:t>What are stakeholders’ views on requiring NSPs to use the template in Attachment 2 to determine the proportion of information over which they have claimed confidentiality?</w:t>
                  </w:r>
                </w:p>
                <w:p w:rsidR="0079718F" w:rsidRDefault="0079718F" w:rsidP="00D26605"/>
              </w:txbxContent>
            </v:textbox>
            <w10:wrap type="none"/>
            <w10:anchorlock/>
          </v:shape>
        </w:pict>
      </w:r>
    </w:p>
    <w:p w:rsidR="00F824B7" w:rsidRDefault="00F824B7" w:rsidP="00D26605">
      <w:pPr>
        <w:pStyle w:val="AERbodytext"/>
        <w:rPr>
          <w:rStyle w:val="AERtextbolditalics"/>
        </w:rPr>
      </w:pPr>
    </w:p>
    <w:p w:rsidR="00D26605" w:rsidRDefault="00DB1120" w:rsidP="00D26605">
      <w:pPr>
        <w:pStyle w:val="AERbodytext"/>
        <w:rPr>
          <w:rStyle w:val="AERtextbolditalics"/>
        </w:rPr>
      </w:pPr>
      <w:r>
        <w:rPr>
          <w:rStyle w:val="AERtextbolditalics"/>
        </w:rPr>
        <w:lastRenderedPageBreak/>
        <w:t>Blanket confidentiality claims</w:t>
      </w:r>
    </w:p>
    <w:p w:rsidR="00D26605" w:rsidRPr="00D26605" w:rsidRDefault="00D26605" w:rsidP="00807A41">
      <w:pPr>
        <w:pStyle w:val="AERbodytext"/>
        <w:rPr>
          <w:b/>
          <w:i/>
        </w:rPr>
      </w:pPr>
      <w:r>
        <w:pict>
          <v:shape id="_x0000_s1119" type="#_x0000_t202" style="width:458.35pt;height:62.9pt;mso-position-horizontal-relative:char;mso-position-vertical-relative:line;mso-width-relative:margin;mso-height-relative:margin">
            <v:textbox style="mso-next-textbox:#_x0000_s1119">
              <w:txbxContent>
                <w:p w:rsidR="0079718F" w:rsidRDefault="0079718F" w:rsidP="00D26605">
                  <w:pPr>
                    <w:pStyle w:val="Caption"/>
                    <w:rPr>
                      <w:rStyle w:val="AERbody"/>
                    </w:rPr>
                  </w:pPr>
                  <w:r>
                    <w:t>Question 6</w:t>
                  </w:r>
                </w:p>
                <w:p w:rsidR="0079718F" w:rsidRDefault="0079718F" w:rsidP="00D26605">
                  <w:r w:rsidRPr="00D26605">
                    <w:rPr>
                      <w:rStyle w:val="AERbody"/>
                    </w:rPr>
                    <w:t>W</w:t>
                  </w:r>
                  <w:r>
                    <w:rPr>
                      <w:rStyle w:val="AERbody"/>
                    </w:rPr>
                    <w:t>hat are</w:t>
                  </w:r>
                  <w:r w:rsidRPr="00D26605">
                    <w:rPr>
                      <w:rStyle w:val="AERbody"/>
                    </w:rPr>
                    <w:t xml:space="preserve"> stakeholders</w:t>
                  </w:r>
                  <w:r>
                    <w:rPr>
                      <w:rStyle w:val="AERbody"/>
                    </w:rPr>
                    <w:t>’ views</w:t>
                  </w:r>
                  <w:r w:rsidRPr="00D26605">
                    <w:rPr>
                      <w:rStyle w:val="AERbody"/>
                    </w:rPr>
                    <w:t xml:space="preserve"> </w:t>
                  </w:r>
                  <w:r>
                    <w:rPr>
                      <w:rStyle w:val="AERbody"/>
                    </w:rPr>
                    <w:t xml:space="preserve">on </w:t>
                  </w:r>
                  <w:r w:rsidRPr="00D26605">
                    <w:rPr>
                      <w:rStyle w:val="AERbody"/>
                    </w:rPr>
                    <w:t>our proposed measures for dealing with blanket confidentiality claims in</w:t>
                  </w:r>
                  <w:r>
                    <w:rPr>
                      <w:rStyle w:val="AERbody"/>
                    </w:rPr>
                    <w:t xml:space="preserve"> the confidentiality guidelines?</w:t>
                  </w:r>
                </w:p>
              </w:txbxContent>
            </v:textbox>
            <w10:wrap type="none"/>
            <w10:anchorlock/>
          </v:shape>
        </w:pict>
      </w:r>
    </w:p>
    <w:p w:rsidR="00D26605" w:rsidRDefault="00D26605" w:rsidP="00D26605">
      <w:pPr>
        <w:pStyle w:val="AERbodytext"/>
        <w:rPr>
          <w:rStyle w:val="AERtextbolditalics"/>
        </w:rPr>
      </w:pPr>
      <w:r>
        <w:rPr>
          <w:rStyle w:val="AERtextbolditalics"/>
        </w:rPr>
        <w:t>Third party documents</w:t>
      </w:r>
    </w:p>
    <w:p w:rsidR="00D26605" w:rsidRPr="00D26605" w:rsidRDefault="00D26605" w:rsidP="00D26605">
      <w:pPr>
        <w:pStyle w:val="AERbodytext"/>
        <w:rPr>
          <w:b/>
          <w:i/>
        </w:rPr>
      </w:pPr>
      <w:r>
        <w:pict>
          <v:shape id="_x0000_s1121" type="#_x0000_t202" style="width:458.35pt;height:62.9pt;mso-position-horizontal-relative:char;mso-position-vertical-relative:line;mso-width-relative:margin;mso-height-relative:margin">
            <v:textbox style="mso-next-textbox:#_x0000_s1121">
              <w:txbxContent>
                <w:p w:rsidR="0079718F" w:rsidRDefault="0079718F" w:rsidP="00D26605">
                  <w:pPr>
                    <w:pStyle w:val="Caption"/>
                    <w:rPr>
                      <w:rStyle w:val="AERbody"/>
                    </w:rPr>
                  </w:pPr>
                  <w:r>
                    <w:t>Question 7</w:t>
                  </w:r>
                </w:p>
                <w:p w:rsidR="0079718F" w:rsidRDefault="0079718F" w:rsidP="00D26605">
                  <w:r w:rsidRPr="00D26605">
                    <w:rPr>
                      <w:rStyle w:val="AERbody"/>
                    </w:rPr>
                    <w:t>W</w:t>
                  </w:r>
                  <w:r>
                    <w:rPr>
                      <w:rStyle w:val="AERbody"/>
                    </w:rPr>
                    <w:t>hat are</w:t>
                  </w:r>
                  <w:r w:rsidRPr="00D26605">
                    <w:rPr>
                      <w:rStyle w:val="AERbody"/>
                    </w:rPr>
                    <w:t xml:space="preserve"> stakeholders</w:t>
                  </w:r>
                  <w:r>
                    <w:rPr>
                      <w:rStyle w:val="AERbody"/>
                    </w:rPr>
                    <w:t>’ views</w:t>
                  </w:r>
                  <w:r w:rsidRPr="00D26605">
                    <w:rPr>
                      <w:rStyle w:val="AERbody"/>
                    </w:rPr>
                    <w:t xml:space="preserve"> on our position that NSPs should verify all third party confidentiality claims that a</w:t>
                  </w:r>
                  <w:r w:rsidR="002F28A2">
                    <w:rPr>
                      <w:rStyle w:val="AERbody"/>
                    </w:rPr>
                    <w:t>re included in their submission?</w:t>
                  </w:r>
                </w:p>
              </w:txbxContent>
            </v:textbox>
            <w10:wrap type="none"/>
            <w10:anchorlock/>
          </v:shape>
        </w:pict>
      </w:r>
    </w:p>
    <w:p w:rsidR="00E0088C" w:rsidRDefault="00E0088C" w:rsidP="00E0088C">
      <w:pPr>
        <w:pStyle w:val="AERbodytext"/>
        <w:rPr>
          <w:rStyle w:val="AERtextbolditalics"/>
        </w:rPr>
      </w:pPr>
      <w:r>
        <w:rPr>
          <w:rStyle w:val="AERtextbolditalics"/>
        </w:rPr>
        <w:t>Scope and coverage</w:t>
      </w:r>
    </w:p>
    <w:p w:rsidR="00D26605" w:rsidRPr="00E0088C" w:rsidRDefault="0075269D" w:rsidP="00D26605">
      <w:pPr>
        <w:pStyle w:val="AERbodytext"/>
        <w:rPr>
          <w:b/>
          <w:i/>
        </w:rPr>
      </w:pPr>
      <w:r>
        <w:pict>
          <v:shape id="_x0000_s1123" type="#_x0000_t202" style="width:458.35pt;height:78.25pt;mso-position-horizontal-relative:char;mso-position-vertical-relative:line;mso-width-relative:margin;mso-height-relative:margin">
            <v:textbox style="mso-next-textbox:#_x0000_s1123">
              <w:txbxContent>
                <w:p w:rsidR="0079718F" w:rsidRDefault="0079718F" w:rsidP="00E0088C">
                  <w:pPr>
                    <w:pStyle w:val="Caption"/>
                    <w:rPr>
                      <w:rStyle w:val="AERbody"/>
                    </w:rPr>
                  </w:pPr>
                  <w:r>
                    <w:t>Question 8</w:t>
                  </w:r>
                </w:p>
                <w:p w:rsidR="0079718F" w:rsidRDefault="0079718F" w:rsidP="0075269D">
                  <w:r>
                    <w:rPr>
                      <w:rStyle w:val="AERbody"/>
                    </w:rPr>
                    <w:t xml:space="preserve">Should we apply </w:t>
                  </w:r>
                  <w:r w:rsidRPr="00E0088C">
                    <w:rPr>
                      <w:rStyle w:val="AERbody"/>
                    </w:rPr>
                    <w:t>the confidentiality guidelines</w:t>
                  </w:r>
                  <w:r>
                    <w:rPr>
                      <w:rStyle w:val="AERbody"/>
                    </w:rPr>
                    <w:t>, as a policy,</w:t>
                  </w:r>
                  <w:r w:rsidRPr="00E0088C">
                    <w:rPr>
                      <w:rStyle w:val="AERbody"/>
                    </w:rPr>
                    <w:t xml:space="preserve"> </w:t>
                  </w:r>
                  <w:r>
                    <w:rPr>
                      <w:rStyle w:val="AERbody"/>
                    </w:rPr>
                    <w:t>to all information we receive from NSPs and gas service providers? If not, what information handling procedures should we use to deal with this information?</w:t>
                  </w:r>
                </w:p>
                <w:p w:rsidR="0079718F" w:rsidRDefault="0079718F" w:rsidP="00094EA8"/>
                <w:p w:rsidR="0079718F" w:rsidRDefault="0079718F" w:rsidP="00094EA8"/>
              </w:txbxContent>
            </v:textbox>
            <w10:wrap type="none"/>
            <w10:anchorlock/>
          </v:shape>
        </w:pict>
      </w:r>
    </w:p>
    <w:p w:rsidR="00E0088C" w:rsidRDefault="00E0088C" w:rsidP="00E0088C">
      <w:pPr>
        <w:pStyle w:val="AERbodytext"/>
        <w:rPr>
          <w:rStyle w:val="AERtextbolditalics"/>
        </w:rPr>
      </w:pPr>
      <w:r>
        <w:rPr>
          <w:rStyle w:val="AERtextbolditalics"/>
        </w:rPr>
        <w:t>Compliance costs</w:t>
      </w:r>
    </w:p>
    <w:p w:rsidR="00E0088C" w:rsidRDefault="00E0088C" w:rsidP="00E0088C">
      <w:pPr>
        <w:pStyle w:val="AERbodytext"/>
        <w:rPr>
          <w:rStyle w:val="AERtextbolditalics"/>
        </w:rPr>
      </w:pPr>
      <w:r>
        <w:pict>
          <v:shape id="_x0000_s1125" type="#_x0000_t202" style="width:458.35pt;height:62.9pt;mso-position-horizontal-relative:char;mso-position-vertical-relative:line;mso-width-relative:margin;mso-height-relative:margin">
            <v:textbox style="mso-next-textbox:#_x0000_s1125">
              <w:txbxContent>
                <w:p w:rsidR="0079718F" w:rsidRDefault="0079718F" w:rsidP="00E0088C">
                  <w:pPr>
                    <w:pStyle w:val="Caption"/>
                    <w:rPr>
                      <w:rStyle w:val="AERbody"/>
                    </w:rPr>
                  </w:pPr>
                  <w:r w:rsidRPr="0075269D">
                    <w:t>Question 9</w:t>
                  </w:r>
                </w:p>
                <w:p w:rsidR="0079718F" w:rsidRDefault="0079718F" w:rsidP="00E0088C">
                  <w:r w:rsidRPr="00D26605">
                    <w:rPr>
                      <w:rStyle w:val="AERbody"/>
                    </w:rPr>
                    <w:t>W</w:t>
                  </w:r>
                  <w:r>
                    <w:rPr>
                      <w:rStyle w:val="AERbody"/>
                    </w:rPr>
                    <w:t>hat are</w:t>
                  </w:r>
                  <w:r w:rsidRPr="00D26605">
                    <w:rPr>
                      <w:rStyle w:val="AERbody"/>
                    </w:rPr>
                    <w:t xml:space="preserve"> stakeholders</w:t>
                  </w:r>
                  <w:r>
                    <w:rPr>
                      <w:rStyle w:val="AERbody"/>
                    </w:rPr>
                    <w:t>’ views</w:t>
                  </w:r>
                  <w:r w:rsidRPr="00D26605">
                    <w:rPr>
                      <w:rStyle w:val="AERbody"/>
                    </w:rPr>
                    <w:t xml:space="preserve"> </w:t>
                  </w:r>
                  <w:r w:rsidRPr="00E0088C">
                    <w:rPr>
                      <w:rStyle w:val="AERbody"/>
                    </w:rPr>
                    <w:t xml:space="preserve">on ensuring appropriate disclosure of information whilst </w:t>
                  </w:r>
                  <w:r w:rsidR="002F28A2">
                    <w:rPr>
                      <w:rStyle w:val="AERbody"/>
                    </w:rPr>
                    <w:t>minimising administrative costs?</w:t>
                  </w:r>
                </w:p>
              </w:txbxContent>
            </v:textbox>
            <w10:wrap type="none"/>
            <w10:anchorlock/>
          </v:shape>
        </w:pict>
      </w:r>
    </w:p>
    <w:p w:rsidR="00E0088C" w:rsidRDefault="004C079D" w:rsidP="00D26605">
      <w:pPr>
        <w:pStyle w:val="AERbodytext"/>
        <w:rPr>
          <w:rStyle w:val="AERtextbolditalics"/>
        </w:rPr>
      </w:pPr>
      <w:r>
        <w:rPr>
          <w:rStyle w:val="AERtextbolditalics"/>
        </w:rPr>
        <w:t>Limited release of confidential information</w:t>
      </w:r>
    </w:p>
    <w:p w:rsidR="004C079D" w:rsidRDefault="0069750E" w:rsidP="00D26605">
      <w:pPr>
        <w:pStyle w:val="AERbodytext"/>
        <w:rPr>
          <w:rStyle w:val="AERtextbolditalics"/>
        </w:rPr>
      </w:pPr>
      <w:r>
        <w:rPr>
          <w:noProof/>
          <w:lang w:eastAsia="en-AU"/>
        </w:rPr>
      </w:r>
      <w:r>
        <w:pict>
          <v:shape id="_x0000_s1129" type="#_x0000_t202" style="width:458.35pt;height:62.9pt;mso-position-horizontal-relative:char;mso-position-vertical-relative:line;mso-width-relative:margin;mso-height-relative:margin">
            <v:textbox style="mso-next-textbox:#_x0000_s1129">
              <w:txbxContent>
                <w:p w:rsidR="0069750E" w:rsidRDefault="0069750E" w:rsidP="0069750E">
                  <w:pPr>
                    <w:pStyle w:val="Caption"/>
                  </w:pPr>
                  <w:r>
                    <w:t>Question 10</w:t>
                  </w:r>
                </w:p>
                <w:p w:rsidR="0069750E" w:rsidRPr="0069750E" w:rsidRDefault="0069750E" w:rsidP="0069750E">
                  <w:pPr>
                    <w:pStyle w:val="AERbodytext"/>
                  </w:pPr>
                  <w:r>
                    <w:t>Should we facilitate NSPs disclosing information to certain stakeholders for the purpose of making a submission to the AER?</w:t>
                  </w:r>
                </w:p>
              </w:txbxContent>
            </v:textbox>
            <w10:wrap type="none"/>
            <w10:anchorlock/>
          </v:shape>
        </w:pict>
      </w:r>
    </w:p>
    <w:p w:rsidR="00D26605" w:rsidRDefault="00D26605" w:rsidP="00807A41">
      <w:pPr>
        <w:pStyle w:val="AERbodytext"/>
        <w:rPr>
          <w:rStyle w:val="AERtextbolditalics"/>
        </w:rPr>
      </w:pPr>
    </w:p>
    <w:p w:rsidR="009A3EF8" w:rsidRPr="009A3EF8" w:rsidRDefault="009A3EF8" w:rsidP="009A3EF8">
      <w:pPr>
        <w:pStyle w:val="Heading1"/>
      </w:pPr>
      <w:bookmarkStart w:id="7" w:name="_Toc349834049"/>
      <w:r w:rsidRPr="009A3EF8">
        <w:lastRenderedPageBreak/>
        <w:t>Introduction</w:t>
      </w:r>
      <w:bookmarkEnd w:id="7"/>
      <w:r w:rsidRPr="009A3EF8">
        <w:t xml:space="preserve"> </w:t>
      </w:r>
    </w:p>
    <w:p w:rsidR="00DB0A6C" w:rsidRDefault="00DB0A6C" w:rsidP="00DB0A6C">
      <w:pPr>
        <w:pStyle w:val="AERbulletlistfirststyle"/>
        <w:numPr>
          <w:ilvl w:val="0"/>
          <w:numId w:val="0"/>
        </w:numPr>
      </w:pPr>
      <w:bookmarkStart w:id="8" w:name="_Toc342638024"/>
      <w:bookmarkStart w:id="9" w:name="_Toc342638025"/>
      <w:bookmarkStart w:id="10" w:name="_Toc342638026"/>
      <w:bookmarkEnd w:id="4"/>
      <w:bookmarkEnd w:id="8"/>
      <w:bookmarkEnd w:id="9"/>
      <w:bookmarkEnd w:id="10"/>
      <w:r>
        <w:rPr>
          <w:rStyle w:val="AERbody"/>
        </w:rPr>
        <w:t xml:space="preserve">The AER has both the obligation to protect confidential information and the authority </w:t>
      </w:r>
      <w:r w:rsidR="00D86C6A">
        <w:rPr>
          <w:rStyle w:val="AERbody"/>
        </w:rPr>
        <w:t xml:space="preserve">in certain circumstances </w:t>
      </w:r>
      <w:r>
        <w:rPr>
          <w:rStyle w:val="AERbody"/>
        </w:rPr>
        <w:t>to disclose it. We</w:t>
      </w:r>
      <w:r w:rsidRPr="003F638F">
        <w:rPr>
          <w:rStyle w:val="AERbody"/>
        </w:rPr>
        <w:t xml:space="preserve"> must take all reasonable measures to </w:t>
      </w:r>
      <w:r>
        <w:rPr>
          <w:rStyle w:val="AERbody"/>
        </w:rPr>
        <w:t>protect from unauthorised use or</w:t>
      </w:r>
      <w:r w:rsidRPr="003F638F">
        <w:rPr>
          <w:rStyle w:val="AERbody"/>
        </w:rPr>
        <w:t xml:space="preserve"> disclosure information given to </w:t>
      </w:r>
      <w:r>
        <w:rPr>
          <w:rStyle w:val="AERbody"/>
        </w:rPr>
        <w:t>us</w:t>
      </w:r>
      <w:r w:rsidRPr="003F638F">
        <w:rPr>
          <w:rStyle w:val="AERbody"/>
        </w:rPr>
        <w:t xml:space="preserve"> in confidence or obtained by compulsion.</w:t>
      </w:r>
      <w:r>
        <w:rPr>
          <w:rStyle w:val="FootnoteReference"/>
        </w:rPr>
        <w:footnoteReference w:id="6"/>
      </w:r>
      <w:r>
        <w:rPr>
          <w:rStyle w:val="AERbody"/>
        </w:rPr>
        <w:t xml:space="preserve"> However, we </w:t>
      </w:r>
      <w:r w:rsidR="00FC6B0E">
        <w:rPr>
          <w:rStyle w:val="AERbody"/>
        </w:rPr>
        <w:t xml:space="preserve">also have information disclosure powers. We </w:t>
      </w:r>
      <w:r>
        <w:rPr>
          <w:rStyle w:val="AERbody"/>
        </w:rPr>
        <w:t>are authorised to disclose information to certain government agencies</w:t>
      </w:r>
      <w:r>
        <w:rPr>
          <w:rStyle w:val="FootnoteReference"/>
        </w:rPr>
        <w:footnoteReference w:id="7"/>
      </w:r>
      <w:r>
        <w:rPr>
          <w:rStyle w:val="AERbody"/>
        </w:rPr>
        <w:t xml:space="preserve"> and, under the NEL, </w:t>
      </w:r>
      <w:r>
        <w:t>to disclose confidential information where the information:</w:t>
      </w:r>
    </w:p>
    <w:p w:rsidR="00DB0A6C" w:rsidRDefault="00DB0A6C" w:rsidP="00DB0A6C">
      <w:pPr>
        <w:pStyle w:val="AERbulletlistfirststyle"/>
      </w:pPr>
      <w:r w:rsidRPr="00EC1BB0">
        <w:t>is already in the public domain</w:t>
      </w:r>
      <w:r>
        <w:rPr>
          <w:rStyle w:val="FootnoteReference"/>
        </w:rPr>
        <w:footnoteReference w:id="8"/>
      </w:r>
      <w:r>
        <w:t xml:space="preserve"> or the </w:t>
      </w:r>
      <w:r w:rsidRPr="00EC1BB0">
        <w:t>information provider gives written consent</w:t>
      </w:r>
      <w:r>
        <w:t>;</w:t>
      </w:r>
      <w:r w:rsidRPr="00EC1BB0">
        <w:rPr>
          <w:rStyle w:val="FootnoteReference"/>
        </w:rPr>
        <w:footnoteReference w:id="9"/>
      </w:r>
    </w:p>
    <w:p w:rsidR="00DB0A6C" w:rsidRDefault="00DB0A6C" w:rsidP="00DB0A6C">
      <w:pPr>
        <w:pStyle w:val="AERbulletlistfirststyle"/>
      </w:pPr>
      <w:r>
        <w:t>will afford</w:t>
      </w:r>
      <w:r w:rsidRPr="00EC1BB0">
        <w:t xml:space="preserve"> a person affected by</w:t>
      </w:r>
      <w:r>
        <w:t xml:space="preserve"> our </w:t>
      </w:r>
      <w:r w:rsidRPr="00EC1BB0">
        <w:t>decision natural justice</w:t>
      </w:r>
      <w:r>
        <w:t>;</w:t>
      </w:r>
      <w:r>
        <w:rPr>
          <w:rStyle w:val="FootnoteReference"/>
        </w:rPr>
        <w:footnoteReference w:id="10"/>
      </w:r>
      <w:r w:rsidRPr="00EC1BB0">
        <w:t xml:space="preserve">  </w:t>
      </w:r>
    </w:p>
    <w:p w:rsidR="00DB0A6C" w:rsidRDefault="00DB0A6C" w:rsidP="00DB0A6C">
      <w:pPr>
        <w:pStyle w:val="AERbulletlistfirststyle"/>
      </w:pPr>
      <w:r>
        <w:t xml:space="preserve">is </w:t>
      </w:r>
      <w:r w:rsidRPr="00EC1BB0">
        <w:t xml:space="preserve">for the purpose of </w:t>
      </w:r>
      <w:r>
        <w:t>court or tribunal</w:t>
      </w:r>
      <w:r w:rsidRPr="00EC1BB0">
        <w:t xml:space="preserve"> proceedings</w:t>
      </w:r>
      <w:r>
        <w:t>;</w:t>
      </w:r>
      <w:r>
        <w:rPr>
          <w:rStyle w:val="FootnoteReference"/>
        </w:rPr>
        <w:footnoteReference w:id="11"/>
      </w:r>
      <w:r>
        <w:t xml:space="preserve"> </w:t>
      </w:r>
    </w:p>
    <w:p w:rsidR="00DB0A6C" w:rsidRDefault="00DB0A6C" w:rsidP="00DB0A6C">
      <w:pPr>
        <w:pStyle w:val="AERbulletlistfirststyle"/>
      </w:pPr>
      <w:r w:rsidRPr="00EC1BB0">
        <w:t>does not identify the information provider</w:t>
      </w:r>
      <w:r>
        <w:t>;</w:t>
      </w:r>
      <w:r>
        <w:rPr>
          <w:rStyle w:val="FootnoteReference"/>
        </w:rPr>
        <w:footnoteReference w:id="12"/>
      </w:r>
      <w:r w:rsidRPr="00EC1BB0">
        <w:t xml:space="preserve"> </w:t>
      </w:r>
      <w:r>
        <w:t>or</w:t>
      </w:r>
      <w:r w:rsidRPr="00EC1BB0">
        <w:t xml:space="preserve"> </w:t>
      </w:r>
    </w:p>
    <w:p w:rsidR="00DB0A6C" w:rsidRDefault="00DB0A6C" w:rsidP="00DB0A6C">
      <w:pPr>
        <w:pStyle w:val="AERbulletlistfirststyle"/>
      </w:pPr>
      <w:r w:rsidRPr="00EC1BB0">
        <w:t xml:space="preserve">would not cause detriment to the information provider; or the public benefit </w:t>
      </w:r>
      <w:r>
        <w:t>in disclosing the information</w:t>
      </w:r>
      <w:r w:rsidRPr="00EC1BB0">
        <w:t xml:space="preserve"> outweighs </w:t>
      </w:r>
      <w:r>
        <w:t>any</w:t>
      </w:r>
      <w:r w:rsidRPr="00EC1BB0">
        <w:t xml:space="preserve"> detriment</w:t>
      </w:r>
      <w:r>
        <w:t>.</w:t>
      </w:r>
      <w:r>
        <w:rPr>
          <w:rStyle w:val="FootnoteReference"/>
        </w:rPr>
        <w:footnoteReference w:id="13"/>
      </w:r>
      <w:r w:rsidRPr="00EC1BB0">
        <w:t xml:space="preserve">   </w:t>
      </w:r>
    </w:p>
    <w:p w:rsidR="00DB0A6C" w:rsidRDefault="00DB0A6C" w:rsidP="00DB0A6C">
      <w:pPr>
        <w:pStyle w:val="AERbulletlistfirststyle"/>
        <w:numPr>
          <w:ilvl w:val="0"/>
          <w:numId w:val="0"/>
        </w:numPr>
      </w:pPr>
      <w:r>
        <w:t xml:space="preserve">We have always been committed to treating confidential information responsibly and in accordance with the law. We recognise that disclosing confidential information may have an adverse effect on </w:t>
      </w:r>
      <w:r w:rsidR="00725214">
        <w:t>NSP</w:t>
      </w:r>
      <w:r>
        <w:t>s. However, w</w:t>
      </w:r>
      <w:r w:rsidR="004C5DC2">
        <w:t>e are also committed to achieving</w:t>
      </w:r>
      <w:r>
        <w:t xml:space="preserve"> a balance between protecting confidential information and the need to disclose information for an open and transparent regulatory decision-making process that allows </w:t>
      </w:r>
      <w:r w:rsidR="00725214">
        <w:t xml:space="preserve">all </w:t>
      </w:r>
      <w:r>
        <w:t xml:space="preserve">stakeholders to engage effectively. To achieve this balance, we have developed procedures to both protect and disclose information as appropriate. These include training our staff, maintaining relevant IT mechanisms and, especially over the last year, </w:t>
      </w:r>
      <w:r w:rsidR="00FE3D1B">
        <w:t>using formal information gathering powers</w:t>
      </w:r>
      <w:r w:rsidR="008222DC">
        <w:t>.</w:t>
      </w:r>
    </w:p>
    <w:p w:rsidR="00DB0A6C" w:rsidRDefault="00DB0A6C" w:rsidP="00DB0A6C">
      <w:pPr>
        <w:pStyle w:val="AERbodytext"/>
      </w:pPr>
      <w:r>
        <w:t xml:space="preserve">More recently, in November 2012, the AEMC made changes to the </w:t>
      </w:r>
      <w:r w:rsidR="008222DC">
        <w:t>R</w:t>
      </w:r>
      <w:r>
        <w:t xml:space="preserve">ules that set out the process for regulating electricity network businesses. </w:t>
      </w:r>
      <w:r w:rsidR="00FC6B0E">
        <w:t>T</w:t>
      </w:r>
      <w:r>
        <w:t xml:space="preserve">hese changes </w:t>
      </w:r>
      <w:r w:rsidR="00FC6B0E">
        <w:t>included</w:t>
      </w:r>
      <w:r>
        <w:t xml:space="preserve"> new rules regarding the process for NSPs to make confidentiality claims over information they submit </w:t>
      </w:r>
      <w:r w:rsidR="00774811">
        <w:t xml:space="preserve">during the </w:t>
      </w:r>
      <w:r>
        <w:t>regulatory determination process</w:t>
      </w:r>
      <w:r w:rsidR="00774811">
        <w:t>. Specifically, the new rules apply to NSPs</w:t>
      </w:r>
      <w:r w:rsidR="00586DE9">
        <w:t>’</w:t>
      </w:r>
      <w:r w:rsidR="00774811">
        <w:t xml:space="preserve"> </w:t>
      </w:r>
      <w:r w:rsidR="00774811">
        <w:rPr>
          <w:rStyle w:val="AERbody"/>
        </w:rPr>
        <w:t>initial and revised regulatory proposals, revenue proposals and proposed pricing methodologies</w:t>
      </w:r>
      <w:r w:rsidR="001E432E">
        <w:rPr>
          <w:rStyle w:val="AERbody"/>
        </w:rPr>
        <w:t>.</w:t>
      </w:r>
    </w:p>
    <w:p w:rsidR="00DB0A6C" w:rsidRDefault="00DB0A6C" w:rsidP="00DB0A6C">
      <w:pPr>
        <w:pStyle w:val="AERbulletlistfirststyle"/>
        <w:numPr>
          <w:ilvl w:val="0"/>
          <w:numId w:val="0"/>
        </w:numPr>
      </w:pPr>
      <w:r>
        <w:t xml:space="preserve">These new </w:t>
      </w:r>
      <w:r w:rsidR="008222DC">
        <w:t>R</w:t>
      </w:r>
      <w:r>
        <w:t>ules require us to</w:t>
      </w:r>
      <w:r w:rsidRPr="00EA0350">
        <w:t xml:space="preserve"> make and publish</w:t>
      </w:r>
      <w:r>
        <w:t xml:space="preserve"> </w:t>
      </w:r>
      <w:r w:rsidRPr="00EA0350">
        <w:t>Distribution Confidentiality Guideline</w:t>
      </w:r>
      <w:r>
        <w:t>s</w:t>
      </w:r>
      <w:r w:rsidRPr="00EA0350">
        <w:t xml:space="preserve"> and Transmission Confidentiality Guideline</w:t>
      </w:r>
      <w:r>
        <w:t>s.</w:t>
      </w:r>
      <w:r>
        <w:rPr>
          <w:rStyle w:val="FootnoteReference"/>
        </w:rPr>
        <w:footnoteReference w:id="14"/>
      </w:r>
      <w:r>
        <w:t xml:space="preserve"> </w:t>
      </w:r>
      <w:r w:rsidR="00FC3619" w:rsidRPr="008B6CC5">
        <w:t xml:space="preserve">We have decided to deal with both </w:t>
      </w:r>
      <w:r w:rsidR="00FC3619">
        <w:t>guidelines</w:t>
      </w:r>
      <w:r w:rsidR="00FC3619" w:rsidRPr="008B6CC5">
        <w:t xml:space="preserve"> together in a single </w:t>
      </w:r>
      <w:r w:rsidR="00FC3619">
        <w:t xml:space="preserve">set of </w:t>
      </w:r>
      <w:r w:rsidR="00FC3619" w:rsidRPr="008B6CC5">
        <w:t>guideline</w:t>
      </w:r>
      <w:r w:rsidR="00FC3619">
        <w:t>s</w:t>
      </w:r>
      <w:r w:rsidR="00FC3619" w:rsidRPr="008B6CC5">
        <w:t xml:space="preserve"> (the confidentiality guideline</w:t>
      </w:r>
      <w:r w:rsidR="00FC3619">
        <w:t>s</w:t>
      </w:r>
      <w:r w:rsidR="00FC3619" w:rsidRPr="008B6CC5">
        <w:t>).</w:t>
      </w:r>
      <w:r w:rsidR="00FC6B0E">
        <w:t xml:space="preserve">The </w:t>
      </w:r>
      <w:r>
        <w:t xml:space="preserve">confidentiality guidelines must specify </w:t>
      </w:r>
      <w:r w:rsidRPr="008C31EB">
        <w:t xml:space="preserve">the manner in which </w:t>
      </w:r>
      <w:r>
        <w:t xml:space="preserve">NSPs </w:t>
      </w:r>
      <w:r w:rsidRPr="008C31EB">
        <w:t>may make confidentiality claims</w:t>
      </w:r>
      <w:r>
        <w:t>.</w:t>
      </w:r>
      <w:r>
        <w:rPr>
          <w:rStyle w:val="FootnoteReference"/>
        </w:rPr>
        <w:footnoteReference w:id="15"/>
      </w:r>
      <w:r w:rsidRPr="008C31EB">
        <w:t xml:space="preserve"> </w:t>
      </w:r>
      <w:r>
        <w:t>They may also i</w:t>
      </w:r>
      <w:r w:rsidRPr="002555E8">
        <w:t>nclude categories of confidential information</w:t>
      </w:r>
      <w:r>
        <w:t xml:space="preserve"> by which NSPs must classify any claims of confidentiality in t</w:t>
      </w:r>
      <w:r w:rsidRPr="002555E8">
        <w:t xml:space="preserve">heir regulatory proposals, revenue proposals or proposed pricing </w:t>
      </w:r>
      <w:r>
        <w:t>methodologies</w:t>
      </w:r>
      <w:r w:rsidRPr="002555E8">
        <w:t>.</w:t>
      </w:r>
      <w:r w:rsidRPr="002555E8">
        <w:rPr>
          <w:rStyle w:val="FootnoteReference"/>
        </w:rPr>
        <w:footnoteReference w:id="16"/>
      </w:r>
      <w:r>
        <w:t xml:space="preserve"> There must be confidentiality </w:t>
      </w:r>
      <w:r>
        <w:lastRenderedPageBreak/>
        <w:t xml:space="preserve">guidelines in force at all times after the date on which we first publish the </w:t>
      </w:r>
      <w:r w:rsidRPr="00197C0F">
        <w:t>confidentiality guidelines</w:t>
      </w:r>
      <w:r>
        <w:t>.</w:t>
      </w:r>
      <w:r>
        <w:rPr>
          <w:rStyle w:val="FootnoteReference"/>
        </w:rPr>
        <w:footnoteReference w:id="17"/>
      </w:r>
      <w:r>
        <w:t xml:space="preserve"> The confidentiality guidelines </w:t>
      </w:r>
      <w:r w:rsidR="00FC6B0E">
        <w:t>will be</w:t>
      </w:r>
      <w:r>
        <w:t xml:space="preserve"> binding on us and NSP</w:t>
      </w:r>
      <w:r w:rsidR="00FC6B0E">
        <w:t>s</w:t>
      </w:r>
      <w:r>
        <w:t>.</w:t>
      </w:r>
      <w:r>
        <w:rPr>
          <w:rStyle w:val="FootnoteReference"/>
        </w:rPr>
        <w:footnoteReference w:id="18"/>
      </w:r>
    </w:p>
    <w:p w:rsidR="00DB0A6C" w:rsidRDefault="00913E7B" w:rsidP="00DB0A6C">
      <w:pPr>
        <w:pStyle w:val="AERbulletlistfirststyle"/>
        <w:numPr>
          <w:ilvl w:val="0"/>
          <w:numId w:val="0"/>
        </w:numPr>
      </w:pPr>
      <w:r>
        <w:t>The new R</w:t>
      </w:r>
      <w:r w:rsidR="00DB0A6C">
        <w:t xml:space="preserve">ules </w:t>
      </w:r>
      <w:r w:rsidR="00DB0A6C" w:rsidRPr="005F7697">
        <w:t xml:space="preserve">complement </w:t>
      </w:r>
      <w:r w:rsidR="00FC6B0E">
        <w:t xml:space="preserve">our </w:t>
      </w:r>
      <w:r w:rsidR="00DB0A6C" w:rsidRPr="005F7697">
        <w:t xml:space="preserve">existing </w:t>
      </w:r>
      <w:r w:rsidR="00FC6B0E">
        <w:t>obligations to protect information and our information disclosure powers</w:t>
      </w:r>
      <w:r w:rsidR="00FC6B0E">
        <w:rPr>
          <w:rStyle w:val="AERbody"/>
        </w:rPr>
        <w:t>.</w:t>
      </w:r>
      <w:r w:rsidR="00DB0A6C" w:rsidRPr="005F7697">
        <w:rPr>
          <w:rStyle w:val="AERbody"/>
        </w:rPr>
        <w:t xml:space="preserve"> </w:t>
      </w:r>
      <w:r w:rsidR="00FC6B0E">
        <w:t xml:space="preserve">These </w:t>
      </w:r>
      <w:r w:rsidR="00DB0A6C" w:rsidRPr="005F7697">
        <w:t>have not changed.</w:t>
      </w:r>
      <w:r w:rsidR="00DB0A6C">
        <w:t xml:space="preserve"> They are also consistent with our existing procedures for both protecting and disclosing information</w:t>
      </w:r>
      <w:r w:rsidR="001E2881">
        <w:t xml:space="preserve"> – see section 3 below</w:t>
      </w:r>
      <w:r w:rsidR="00DB0A6C">
        <w:t xml:space="preserve">. However, the new </w:t>
      </w:r>
      <w:r w:rsidR="008222DC">
        <w:t>R</w:t>
      </w:r>
      <w:r w:rsidR="00DB0A6C">
        <w:t xml:space="preserve">ules provide an important </w:t>
      </w:r>
      <w:r w:rsidR="0071543B">
        <w:t>new feature</w:t>
      </w:r>
      <w:r w:rsidR="00DB0A6C">
        <w:t xml:space="preserve">. </w:t>
      </w:r>
      <w:r w:rsidR="0071543B">
        <w:t>As mentioned above, the confidentiality guidelines are binding. Therefore, a</w:t>
      </w:r>
      <w:r w:rsidR="00DB0A6C">
        <w:t>ll NSPs’</w:t>
      </w:r>
      <w:r w:rsidR="00DB0A6C" w:rsidRPr="004E1962">
        <w:t xml:space="preserve"> regulatory proposal</w:t>
      </w:r>
      <w:r w:rsidR="00DB0A6C">
        <w:t>s</w:t>
      </w:r>
      <w:r w:rsidR="00DB0A6C" w:rsidRPr="004E1962">
        <w:t>, revenue proposal</w:t>
      </w:r>
      <w:r w:rsidR="00DB0A6C">
        <w:t>s</w:t>
      </w:r>
      <w:r w:rsidR="00DB0A6C" w:rsidRPr="004E1962">
        <w:t xml:space="preserve"> </w:t>
      </w:r>
      <w:r w:rsidR="00DB0A6C">
        <w:t>and</w:t>
      </w:r>
      <w:r w:rsidR="00DB0A6C" w:rsidRPr="004E1962">
        <w:t xml:space="preserve"> proposed pricing methodolog</w:t>
      </w:r>
      <w:r w:rsidR="00DB0A6C">
        <w:t>ies must</w:t>
      </w:r>
      <w:r w:rsidR="00DB0A6C" w:rsidRPr="004E1962">
        <w:t xml:space="preserve"> comply with </w:t>
      </w:r>
      <w:r w:rsidR="00DB0A6C">
        <w:t>the confidentiality guidelines.</w:t>
      </w:r>
      <w:r w:rsidR="0071543B">
        <w:rPr>
          <w:rStyle w:val="FootnoteReference"/>
        </w:rPr>
        <w:footnoteReference w:id="19"/>
      </w:r>
      <w:r w:rsidR="00DB0A6C">
        <w:t xml:space="preserve"> If not</w:t>
      </w:r>
      <w:r w:rsidR="00DB0A6C" w:rsidRPr="004E1962">
        <w:t xml:space="preserve">, </w:t>
      </w:r>
      <w:r w:rsidR="00DB0A6C">
        <w:t xml:space="preserve">we may reject </w:t>
      </w:r>
      <w:r w:rsidR="002541E9">
        <w:t>an</w:t>
      </w:r>
      <w:r w:rsidR="00DB0A6C">
        <w:t xml:space="preserve"> NSP’s </w:t>
      </w:r>
      <w:r w:rsidR="00DB0A6C" w:rsidRPr="004E1962">
        <w:t>proposal</w:t>
      </w:r>
      <w:r w:rsidR="00DB0A6C">
        <w:t xml:space="preserve"> and require it to resubmit it, in compliance with the confidentiality </w:t>
      </w:r>
      <w:r w:rsidR="00381C33">
        <w:t>guidelines</w:t>
      </w:r>
      <w:r w:rsidR="00DB0A6C" w:rsidRPr="004E1962">
        <w:t>.</w:t>
      </w:r>
      <w:r w:rsidR="00DB0A6C">
        <w:rPr>
          <w:rStyle w:val="FootnoteReference"/>
        </w:rPr>
        <w:footnoteReference w:id="20"/>
      </w:r>
    </w:p>
    <w:p w:rsidR="002541E9" w:rsidRDefault="00DB0A6C" w:rsidP="00DB0A6C">
      <w:pPr>
        <w:pStyle w:val="AERbodytext"/>
        <w:rPr>
          <w:rStyle w:val="AERbody"/>
        </w:rPr>
      </w:pPr>
      <w:r w:rsidRPr="00AF4F68">
        <w:rPr>
          <w:rStyle w:val="AERbody"/>
        </w:rPr>
        <w:t>Th</w:t>
      </w:r>
      <w:r w:rsidR="009C5E48">
        <w:rPr>
          <w:rStyle w:val="AERbody"/>
        </w:rPr>
        <w:t>is</w:t>
      </w:r>
      <w:r w:rsidRPr="00AF4F68">
        <w:rPr>
          <w:rStyle w:val="AERbody"/>
        </w:rPr>
        <w:t xml:space="preserve"> </w:t>
      </w:r>
      <w:r w:rsidR="0071543B">
        <w:rPr>
          <w:rStyle w:val="AERbody"/>
        </w:rPr>
        <w:t>feature</w:t>
      </w:r>
      <w:r w:rsidRPr="00AF4F68">
        <w:rPr>
          <w:rStyle w:val="AERbody"/>
        </w:rPr>
        <w:t xml:space="preserve"> is an appropriate measure to assist in </w:t>
      </w:r>
      <w:r w:rsidR="008222DC">
        <w:rPr>
          <w:rStyle w:val="AERbody"/>
        </w:rPr>
        <w:t>achieving</w:t>
      </w:r>
      <w:r w:rsidR="008222DC" w:rsidRPr="00AF4F68">
        <w:rPr>
          <w:rStyle w:val="AERbody"/>
        </w:rPr>
        <w:t xml:space="preserve"> </w:t>
      </w:r>
      <w:r w:rsidRPr="00AF4F68">
        <w:rPr>
          <w:rStyle w:val="AERbody"/>
        </w:rPr>
        <w:t xml:space="preserve">the correct balance between protecting information and disclosing it. Unlike businesses in competitive markets, network service providers are natural monopolies or have significant market power. </w:t>
      </w:r>
      <w:r w:rsidR="00B04F4C">
        <w:rPr>
          <w:rStyle w:val="AERbody"/>
        </w:rPr>
        <w:t xml:space="preserve">This can mean that information on </w:t>
      </w:r>
      <w:r w:rsidR="00CE1659">
        <w:rPr>
          <w:rStyle w:val="AERbody"/>
        </w:rPr>
        <w:t>an NSP</w:t>
      </w:r>
      <w:r w:rsidR="00586DE9">
        <w:rPr>
          <w:rStyle w:val="AERbody"/>
        </w:rPr>
        <w:t>’</w:t>
      </w:r>
      <w:r w:rsidR="00CE1659">
        <w:rPr>
          <w:rStyle w:val="AERbody"/>
        </w:rPr>
        <w:t>s operation</w:t>
      </w:r>
      <w:r w:rsidR="00586DE9">
        <w:rPr>
          <w:rStyle w:val="AERbody"/>
        </w:rPr>
        <w:t>s</w:t>
      </w:r>
      <w:r w:rsidR="00B04F4C">
        <w:rPr>
          <w:rStyle w:val="AERbody"/>
        </w:rPr>
        <w:t xml:space="preserve">, such as </w:t>
      </w:r>
      <w:r w:rsidR="00300FD2">
        <w:rPr>
          <w:rStyle w:val="AERbody"/>
        </w:rPr>
        <w:t>most</w:t>
      </w:r>
      <w:r w:rsidR="001E2881">
        <w:rPr>
          <w:rStyle w:val="AERbody"/>
        </w:rPr>
        <w:t xml:space="preserve"> of </w:t>
      </w:r>
      <w:r w:rsidR="00B04F4C">
        <w:rPr>
          <w:rStyle w:val="AERbody"/>
        </w:rPr>
        <w:t xml:space="preserve">its detailed </w:t>
      </w:r>
      <w:r w:rsidR="00CE1659">
        <w:rPr>
          <w:rStyle w:val="AERbody"/>
        </w:rPr>
        <w:t xml:space="preserve">supply </w:t>
      </w:r>
      <w:r w:rsidR="00B04F4C">
        <w:rPr>
          <w:rStyle w:val="AERbody"/>
        </w:rPr>
        <w:t>costs</w:t>
      </w:r>
      <w:r w:rsidR="00CE1659">
        <w:rPr>
          <w:rStyle w:val="AERbody"/>
        </w:rPr>
        <w:t>,</w:t>
      </w:r>
      <w:r w:rsidR="00B04F4C">
        <w:rPr>
          <w:rStyle w:val="AERbody"/>
        </w:rPr>
        <w:t xml:space="preserve"> will not typically be as commercially sensitive as </w:t>
      </w:r>
      <w:r w:rsidR="00CE1659">
        <w:rPr>
          <w:rStyle w:val="AERbody"/>
        </w:rPr>
        <w:t xml:space="preserve">for </w:t>
      </w:r>
      <w:r w:rsidR="00B04F4C">
        <w:rPr>
          <w:rStyle w:val="AERbody"/>
        </w:rPr>
        <w:t>businesses in a competitive market</w:t>
      </w:r>
      <w:r w:rsidR="00CE1659">
        <w:rPr>
          <w:rStyle w:val="AERbody"/>
        </w:rPr>
        <w:t>. In a competitive market,</w:t>
      </w:r>
      <w:r w:rsidR="00B04F4C">
        <w:rPr>
          <w:rStyle w:val="AERbody"/>
        </w:rPr>
        <w:t xml:space="preserve"> </w:t>
      </w:r>
      <w:r w:rsidR="001E2881">
        <w:rPr>
          <w:rStyle w:val="AERbody"/>
        </w:rPr>
        <w:t>such details c</w:t>
      </w:r>
      <w:r w:rsidR="00B04F4C">
        <w:rPr>
          <w:rStyle w:val="AERbody"/>
        </w:rPr>
        <w:t xml:space="preserve">ould undermine competitive rivalry and fair market conduct. </w:t>
      </w:r>
      <w:r w:rsidR="00CE1659">
        <w:rPr>
          <w:rStyle w:val="AERbody"/>
        </w:rPr>
        <w:t>E</w:t>
      </w:r>
      <w:r w:rsidR="00300FD2">
        <w:rPr>
          <w:rStyle w:val="AERbody"/>
        </w:rPr>
        <w:t xml:space="preserve">xceptions </w:t>
      </w:r>
      <w:r w:rsidR="00CE1659">
        <w:rPr>
          <w:rStyle w:val="AERbody"/>
        </w:rPr>
        <w:t xml:space="preserve">to this view </w:t>
      </w:r>
      <w:r w:rsidR="00300FD2">
        <w:rPr>
          <w:rStyle w:val="AERbody"/>
        </w:rPr>
        <w:t>would mainly relate to information which may compromise an NSP’s commercial tender processes or affect its ability to obtain a competitive input price</w:t>
      </w:r>
      <w:r w:rsidR="00CE1659">
        <w:rPr>
          <w:rStyle w:val="AERbody"/>
        </w:rPr>
        <w:t>.</w:t>
      </w:r>
      <w:r w:rsidR="00CE1659">
        <w:rPr>
          <w:rStyle w:val="FootnoteReference"/>
        </w:rPr>
        <w:footnoteReference w:id="21"/>
      </w:r>
      <w:r w:rsidR="00300FD2">
        <w:rPr>
          <w:rStyle w:val="AERbody"/>
        </w:rPr>
        <w:t xml:space="preserve"> </w:t>
      </w:r>
      <w:r w:rsidR="00B04F4C">
        <w:rPr>
          <w:rStyle w:val="AERbody"/>
        </w:rPr>
        <w:t>As well</w:t>
      </w:r>
      <w:r w:rsidRPr="00AF4F68">
        <w:rPr>
          <w:rStyle w:val="AERbody"/>
        </w:rPr>
        <w:t xml:space="preserve">, asymmetric information </w:t>
      </w:r>
      <w:r w:rsidR="001E2881">
        <w:rPr>
          <w:rStyle w:val="AERbody"/>
        </w:rPr>
        <w:t xml:space="preserve">inhibits the </w:t>
      </w:r>
      <w:r w:rsidR="00CE1659">
        <w:rPr>
          <w:rStyle w:val="AERbody"/>
        </w:rPr>
        <w:t xml:space="preserve">stakeholders’ ability </w:t>
      </w:r>
      <w:r w:rsidR="001E2881">
        <w:rPr>
          <w:rStyle w:val="AERbody"/>
        </w:rPr>
        <w:t>to participate effectively in the process</w:t>
      </w:r>
      <w:r w:rsidRPr="00AF4F68">
        <w:rPr>
          <w:rStyle w:val="AERbody"/>
        </w:rPr>
        <w:t xml:space="preserve">. For example, </w:t>
      </w:r>
      <w:r w:rsidR="00725214">
        <w:rPr>
          <w:rStyle w:val="AERbody"/>
        </w:rPr>
        <w:t xml:space="preserve">all </w:t>
      </w:r>
      <w:r w:rsidRPr="00AF4F68">
        <w:rPr>
          <w:rStyle w:val="AERbody"/>
        </w:rPr>
        <w:t xml:space="preserve">stakeholders need the opportunity to comment on and scrutinise NSP proposals. Also, it is appropriate </w:t>
      </w:r>
      <w:r>
        <w:rPr>
          <w:rStyle w:val="AERbody"/>
        </w:rPr>
        <w:t>that</w:t>
      </w:r>
      <w:r w:rsidRPr="00AF4F68">
        <w:rPr>
          <w:rStyle w:val="AERbody"/>
        </w:rPr>
        <w:t xml:space="preserve"> </w:t>
      </w:r>
      <w:r w:rsidR="00725214">
        <w:rPr>
          <w:rStyle w:val="AERbody"/>
        </w:rPr>
        <w:t xml:space="preserve">all </w:t>
      </w:r>
      <w:r w:rsidRPr="00AF4F68">
        <w:rPr>
          <w:rStyle w:val="AERbody"/>
        </w:rPr>
        <w:t xml:space="preserve">stakeholders </w:t>
      </w:r>
      <w:r>
        <w:rPr>
          <w:rStyle w:val="AERbody"/>
        </w:rPr>
        <w:t xml:space="preserve">can </w:t>
      </w:r>
      <w:r w:rsidRPr="00AF4F68">
        <w:rPr>
          <w:rStyle w:val="AERbody"/>
        </w:rPr>
        <w:t>fully understand the efficiency of an NSP’s performance and proposals</w:t>
      </w:r>
      <w:r w:rsidR="00CE1659">
        <w:rPr>
          <w:rStyle w:val="AERbody"/>
        </w:rPr>
        <w:t>. This enables them</w:t>
      </w:r>
      <w:r w:rsidR="001E2881">
        <w:rPr>
          <w:rStyle w:val="AERbody"/>
        </w:rPr>
        <w:t xml:space="preserve"> to better understand why </w:t>
      </w:r>
      <w:r w:rsidR="00CE1659">
        <w:rPr>
          <w:rStyle w:val="AERbody"/>
        </w:rPr>
        <w:t>an NSP</w:t>
      </w:r>
      <w:r w:rsidR="001E2881">
        <w:rPr>
          <w:rStyle w:val="AERbody"/>
        </w:rPr>
        <w:t xml:space="preserve"> is seeking </w:t>
      </w:r>
      <w:r w:rsidR="00CE1659">
        <w:rPr>
          <w:rStyle w:val="AERbody"/>
        </w:rPr>
        <w:t xml:space="preserve">particular </w:t>
      </w:r>
      <w:r w:rsidR="001E2881">
        <w:rPr>
          <w:rStyle w:val="AERbody"/>
        </w:rPr>
        <w:t>expenditure allowances</w:t>
      </w:r>
      <w:r w:rsidRPr="00AF4F68">
        <w:rPr>
          <w:rStyle w:val="AERbody"/>
        </w:rPr>
        <w:t xml:space="preserve">. Therefore, a substantial degree of information should be available to all stakeholders. </w:t>
      </w:r>
    </w:p>
    <w:p w:rsidR="00D86C6A" w:rsidRDefault="002541E9" w:rsidP="002541E9">
      <w:pPr>
        <w:pStyle w:val="AERbodytext"/>
        <w:rPr>
          <w:rStyle w:val="AERbody"/>
        </w:rPr>
      </w:pPr>
      <w:r>
        <w:rPr>
          <w:rStyle w:val="AERbody"/>
        </w:rPr>
        <w:t xml:space="preserve">Please note, </w:t>
      </w:r>
      <w:r w:rsidR="00DB0A6C" w:rsidRPr="00AF4F68">
        <w:rPr>
          <w:rStyle w:val="AERbody"/>
        </w:rPr>
        <w:t xml:space="preserve">we do not intend to publish all information we receive. Balance is our aim – not total disclosure. </w:t>
      </w:r>
    </w:p>
    <w:p w:rsidR="002541E9" w:rsidRDefault="00D86C6A" w:rsidP="002541E9">
      <w:pPr>
        <w:pStyle w:val="AERbodytext"/>
        <w:rPr>
          <w:rStyle w:val="AERbody"/>
        </w:rPr>
      </w:pPr>
      <w:r>
        <w:rPr>
          <w:rStyle w:val="AERbody"/>
        </w:rPr>
        <w:t xml:space="preserve">Of the various information disclosure powers we have, we most often use the power in section </w:t>
      </w:r>
      <w:r w:rsidR="0074400E">
        <w:rPr>
          <w:rStyle w:val="AERbody"/>
        </w:rPr>
        <w:t>28ZB of the NEL</w:t>
      </w:r>
      <w:r>
        <w:rPr>
          <w:rStyle w:val="AERbody"/>
        </w:rPr>
        <w:t>. It</w:t>
      </w:r>
      <w:r w:rsidR="0074400E">
        <w:rPr>
          <w:rStyle w:val="AERbody"/>
        </w:rPr>
        <w:t xml:space="preserve"> provides a test for determining whether to protect or disclose information</w:t>
      </w:r>
      <w:r w:rsidR="00CE1659">
        <w:rPr>
          <w:rStyle w:val="AERbody"/>
        </w:rPr>
        <w:t xml:space="preserve"> (the 28ZB test). </w:t>
      </w:r>
      <w:r w:rsidR="002541E9">
        <w:rPr>
          <w:rStyle w:val="AERbody"/>
        </w:rPr>
        <w:t xml:space="preserve">It requires </w:t>
      </w:r>
      <w:r>
        <w:rPr>
          <w:rStyle w:val="AERbody"/>
        </w:rPr>
        <w:t>that, before disclosing information, we m</w:t>
      </w:r>
      <w:r w:rsidR="002541E9">
        <w:rPr>
          <w:rStyle w:val="AERbody"/>
        </w:rPr>
        <w:t>us</w:t>
      </w:r>
      <w:r>
        <w:rPr>
          <w:rStyle w:val="AERbody"/>
        </w:rPr>
        <w:t>t</w:t>
      </w:r>
      <w:r w:rsidR="002541E9">
        <w:rPr>
          <w:rStyle w:val="AERbody"/>
        </w:rPr>
        <w:t xml:space="preserve"> decide whether: </w:t>
      </w:r>
    </w:p>
    <w:p w:rsidR="002541E9" w:rsidRPr="002541E9" w:rsidRDefault="002541E9" w:rsidP="002541E9">
      <w:pPr>
        <w:pStyle w:val="AERbulletlistfirststyle"/>
      </w:pPr>
      <w:r>
        <w:rPr>
          <w:rFonts w:ascii="Arial" w:hAnsi="Arial" w:cs="Arial"/>
          <w:color w:val="000000"/>
        </w:rPr>
        <w:t xml:space="preserve">disclosing information would cause detriment to the person who has given it </w:t>
      </w:r>
      <w:r w:rsidR="00EE76C7">
        <w:rPr>
          <w:rFonts w:ascii="Arial" w:hAnsi="Arial" w:cs="Arial"/>
          <w:color w:val="000000"/>
        </w:rPr>
        <w:t xml:space="preserve">to </w:t>
      </w:r>
      <w:r>
        <w:rPr>
          <w:rFonts w:ascii="Arial" w:hAnsi="Arial" w:cs="Arial"/>
          <w:color w:val="000000"/>
        </w:rPr>
        <w:t xml:space="preserve">us or to the person from whom that person received it; or </w:t>
      </w:r>
    </w:p>
    <w:p w:rsidR="002541E9" w:rsidRDefault="002541E9" w:rsidP="002541E9">
      <w:pPr>
        <w:pStyle w:val="AERbulletlistfirststyle"/>
        <w:rPr>
          <w:rStyle w:val="AERbody"/>
        </w:rPr>
      </w:pPr>
      <w:r>
        <w:rPr>
          <w:rFonts w:ascii="Arial" w:hAnsi="Arial" w:cs="Arial"/>
          <w:color w:val="000000"/>
        </w:rPr>
        <w:t>that, although the disclosure of the information would cause detriment to such a person, the public benefit in disclosing it outweighs that detriment.</w:t>
      </w:r>
    </w:p>
    <w:p w:rsidR="002541E9" w:rsidRDefault="00D86C6A" w:rsidP="002541E9">
      <w:pPr>
        <w:rPr>
          <w:rStyle w:val="AERbody"/>
        </w:rPr>
      </w:pPr>
      <w:r>
        <w:rPr>
          <w:rStyle w:val="AERbody"/>
        </w:rPr>
        <w:t xml:space="preserve">In future, where we need to use formal information disclosure powers, we </w:t>
      </w:r>
      <w:r w:rsidR="002541E9">
        <w:rPr>
          <w:rStyle w:val="AERbody"/>
        </w:rPr>
        <w:t xml:space="preserve">intend to continue </w:t>
      </w:r>
      <w:r>
        <w:rPr>
          <w:rStyle w:val="AERbody"/>
        </w:rPr>
        <w:t>to most often rely on</w:t>
      </w:r>
      <w:r w:rsidR="002541E9">
        <w:rPr>
          <w:rStyle w:val="AERbody"/>
        </w:rPr>
        <w:t xml:space="preserve"> </w:t>
      </w:r>
      <w:r>
        <w:rPr>
          <w:rStyle w:val="AERbody"/>
        </w:rPr>
        <w:t xml:space="preserve">the power in section </w:t>
      </w:r>
      <w:r w:rsidR="002541E9">
        <w:rPr>
          <w:rStyle w:val="AERbody"/>
        </w:rPr>
        <w:t>28ZB.</w:t>
      </w:r>
    </w:p>
    <w:p w:rsidR="00DB0A6C" w:rsidRDefault="00DB0A6C" w:rsidP="00DB0A6C">
      <w:pPr>
        <w:pStyle w:val="AERbulletlistfirststyle"/>
        <w:numPr>
          <w:ilvl w:val="0"/>
          <w:numId w:val="0"/>
        </w:numPr>
        <w:rPr>
          <w:rStyle w:val="AERbody"/>
        </w:rPr>
      </w:pPr>
      <w:r>
        <w:t>O</w:t>
      </w:r>
      <w:r>
        <w:rPr>
          <w:rStyle w:val="AERbody"/>
        </w:rPr>
        <w:t>ur</w:t>
      </w:r>
      <w:r w:rsidRPr="00C62545">
        <w:rPr>
          <w:rStyle w:val="AERbody"/>
        </w:rPr>
        <w:t xml:space="preserve"> experience</w:t>
      </w:r>
      <w:r w:rsidR="002541E9">
        <w:rPr>
          <w:rStyle w:val="AERbody"/>
        </w:rPr>
        <w:t xml:space="preserve"> with confidentiality claims</w:t>
      </w:r>
      <w:r w:rsidR="000F53F8">
        <w:rPr>
          <w:rStyle w:val="AERbody"/>
        </w:rPr>
        <w:t xml:space="preserve"> </w:t>
      </w:r>
      <w:r w:rsidR="002541E9">
        <w:rPr>
          <w:rStyle w:val="AERbody"/>
        </w:rPr>
        <w:t xml:space="preserve">to date </w:t>
      </w:r>
      <w:r w:rsidRPr="00C62545">
        <w:rPr>
          <w:rStyle w:val="AERbody"/>
        </w:rPr>
        <w:t xml:space="preserve">has been </w:t>
      </w:r>
      <w:r w:rsidR="002541E9">
        <w:rPr>
          <w:rStyle w:val="AERbody"/>
        </w:rPr>
        <w:t>mixed. We agree with NSPs regarding many confidentiality claims. However,</w:t>
      </w:r>
      <w:r w:rsidRPr="00C62545">
        <w:rPr>
          <w:rStyle w:val="AERbody"/>
        </w:rPr>
        <w:t xml:space="preserve"> </w:t>
      </w:r>
      <w:r>
        <w:rPr>
          <w:rStyle w:val="AERbody"/>
        </w:rPr>
        <w:t xml:space="preserve">some </w:t>
      </w:r>
      <w:r w:rsidR="00725214">
        <w:rPr>
          <w:rStyle w:val="AERbody"/>
        </w:rPr>
        <w:t>NSP</w:t>
      </w:r>
      <w:r w:rsidRPr="00C62545">
        <w:rPr>
          <w:rStyle w:val="AERbody"/>
        </w:rPr>
        <w:t>s</w:t>
      </w:r>
      <w:r>
        <w:rPr>
          <w:rStyle w:val="AERbody"/>
        </w:rPr>
        <w:t xml:space="preserve"> claim </w:t>
      </w:r>
      <w:r w:rsidRPr="00C62545">
        <w:rPr>
          <w:rStyle w:val="AERbody"/>
        </w:rPr>
        <w:t xml:space="preserve">confidentiality </w:t>
      </w:r>
      <w:r>
        <w:rPr>
          <w:rStyle w:val="AERbody"/>
        </w:rPr>
        <w:t>over</w:t>
      </w:r>
      <w:r w:rsidRPr="00C62545">
        <w:rPr>
          <w:rStyle w:val="AERbody"/>
        </w:rPr>
        <w:t xml:space="preserve"> entire documents or en</w:t>
      </w:r>
      <w:r>
        <w:rPr>
          <w:rStyle w:val="AERbody"/>
        </w:rPr>
        <w:t>tire submissions. These claims may not explain why the AER should protect the information</w:t>
      </w:r>
      <w:r w:rsidR="0079718F">
        <w:rPr>
          <w:rStyle w:val="AERbody"/>
        </w:rPr>
        <w:t>.</w:t>
      </w:r>
      <w:r>
        <w:rPr>
          <w:rStyle w:val="AERbody"/>
        </w:rPr>
        <w:t xml:space="preserve"> </w:t>
      </w:r>
      <w:r w:rsidR="00F65C2E">
        <w:rPr>
          <w:rStyle w:val="AERbody"/>
        </w:rPr>
        <w:t>For example these claims are often as simple as “In confidence” without any explanation of how disclosure would cause detriment</w:t>
      </w:r>
      <w:r w:rsidR="002A6CC5">
        <w:rPr>
          <w:rStyle w:val="AERbody"/>
        </w:rPr>
        <w:t xml:space="preserve"> which is not outweighed by the public benefit. </w:t>
      </w:r>
      <w:r>
        <w:rPr>
          <w:rStyle w:val="AERbody"/>
        </w:rPr>
        <w:t xml:space="preserve">For example, Table 1 </w:t>
      </w:r>
      <w:r>
        <w:rPr>
          <w:rStyle w:val="AERbody"/>
        </w:rPr>
        <w:lastRenderedPageBreak/>
        <w:t xml:space="preserve">shows a page count of the regulatory proposals Victorian </w:t>
      </w:r>
      <w:r w:rsidR="00190A14">
        <w:rPr>
          <w:rStyle w:val="AERbody"/>
        </w:rPr>
        <w:t xml:space="preserve">Distribution Network Service Providers (DNSPs) </w:t>
      </w:r>
      <w:r>
        <w:rPr>
          <w:rStyle w:val="AERbody"/>
        </w:rPr>
        <w:t>submitted for the 2011-15 distribution determinations.</w:t>
      </w:r>
      <w:r>
        <w:rPr>
          <w:rStyle w:val="FootnoteReference"/>
        </w:rPr>
        <w:footnoteReference w:id="22"/>
      </w:r>
      <w:r>
        <w:rPr>
          <w:rStyle w:val="AERbody"/>
        </w:rPr>
        <w:t xml:space="preserve"> </w:t>
      </w:r>
    </w:p>
    <w:p w:rsidR="0027185E" w:rsidRDefault="0027185E" w:rsidP="008222DC">
      <w:pPr>
        <w:pStyle w:val="Caption"/>
        <w:ind w:left="0" w:firstLine="0"/>
      </w:pPr>
      <w:r w:rsidRPr="0027185E">
        <w:t xml:space="preserve">Table </w:t>
      </w:r>
      <w:r w:rsidR="003D6B07">
        <w:t>1</w:t>
      </w:r>
      <w:r w:rsidRPr="0027185E">
        <w:tab/>
        <w:t>Page count - documents DNSPs</w:t>
      </w:r>
      <w:r w:rsidR="003D6B07">
        <w:t xml:space="preserve"> submitted</w:t>
      </w:r>
      <w:r w:rsidRPr="0027185E">
        <w:t xml:space="preserve"> </w:t>
      </w:r>
      <w:r w:rsidR="003D6B07">
        <w:t>to</w:t>
      </w:r>
      <w:r w:rsidRPr="0027185E">
        <w:t xml:space="preserve"> the AER's Victorian electricity distribution determination (2011-15)</w:t>
      </w:r>
    </w:p>
    <w:tbl>
      <w:tblPr>
        <w:tblW w:w="0" w:type="auto"/>
        <w:tblBorders>
          <w:bottom w:val="single" w:sz="4" w:space="0" w:color="365F91"/>
        </w:tblBorders>
        <w:tblLayout w:type="fixed"/>
        <w:tblLook w:val="04A0"/>
      </w:tblPr>
      <w:tblGrid>
        <w:gridCol w:w="2221"/>
        <w:gridCol w:w="1755"/>
        <w:gridCol w:w="1755"/>
        <w:gridCol w:w="1755"/>
        <w:gridCol w:w="1756"/>
      </w:tblGrid>
      <w:tr w:rsidR="00D50B31" w:rsidRPr="008222DC" w:rsidTr="00B03332">
        <w:tc>
          <w:tcPr>
            <w:tcW w:w="2221" w:type="dxa"/>
            <w:tcBorders>
              <w:bottom w:val="nil"/>
            </w:tcBorders>
            <w:shd w:val="clear" w:color="auto" w:fill="365F91"/>
            <w:noWrap/>
            <w:vAlign w:val="center"/>
          </w:tcPr>
          <w:p w:rsidR="00D50B31" w:rsidRPr="008222DC" w:rsidRDefault="00D50B31" w:rsidP="0027185E">
            <w:pPr>
              <w:pStyle w:val="AERtabletextleft"/>
              <w:rPr>
                <w:rFonts w:ascii="Verdana" w:hAnsi="Verdana"/>
                <w:b/>
                <w:color w:val="FFFFFF"/>
                <w:szCs w:val="16"/>
              </w:rPr>
            </w:pPr>
          </w:p>
        </w:tc>
        <w:tc>
          <w:tcPr>
            <w:tcW w:w="3510" w:type="dxa"/>
            <w:gridSpan w:val="2"/>
            <w:tcBorders>
              <w:bottom w:val="nil"/>
            </w:tcBorders>
            <w:shd w:val="clear" w:color="auto" w:fill="365F91"/>
            <w:noWrap/>
            <w:vAlign w:val="center"/>
          </w:tcPr>
          <w:p w:rsidR="00D50B31" w:rsidRPr="008222DC" w:rsidRDefault="00D50B31" w:rsidP="0027185E">
            <w:pPr>
              <w:pStyle w:val="AERtabletextleft"/>
              <w:rPr>
                <w:rFonts w:ascii="Verdana" w:hAnsi="Verdana"/>
                <w:b/>
                <w:color w:val="FFFFFF"/>
                <w:szCs w:val="16"/>
              </w:rPr>
            </w:pPr>
            <w:r w:rsidRPr="008222DC">
              <w:rPr>
                <w:rFonts w:ascii="Verdana" w:hAnsi="Verdana"/>
                <w:b/>
                <w:color w:val="FFFFFF"/>
                <w:szCs w:val="16"/>
              </w:rPr>
              <w:t>Regulatory Proposal</w:t>
            </w:r>
          </w:p>
        </w:tc>
        <w:tc>
          <w:tcPr>
            <w:tcW w:w="3511" w:type="dxa"/>
            <w:gridSpan w:val="2"/>
            <w:tcBorders>
              <w:bottom w:val="nil"/>
            </w:tcBorders>
            <w:shd w:val="clear" w:color="auto" w:fill="365F91"/>
            <w:noWrap/>
            <w:vAlign w:val="center"/>
          </w:tcPr>
          <w:p w:rsidR="00D50B31" w:rsidRPr="008222DC" w:rsidRDefault="00D50B31" w:rsidP="0027185E">
            <w:pPr>
              <w:pStyle w:val="AERtabletextleft"/>
              <w:rPr>
                <w:rFonts w:ascii="Verdana" w:hAnsi="Verdana"/>
                <w:b/>
                <w:color w:val="FFFFFF"/>
                <w:szCs w:val="16"/>
              </w:rPr>
            </w:pPr>
            <w:r w:rsidRPr="008222DC">
              <w:rPr>
                <w:rFonts w:ascii="Verdana" w:hAnsi="Verdana"/>
                <w:b/>
                <w:color w:val="FFFFFF"/>
                <w:szCs w:val="16"/>
              </w:rPr>
              <w:t>Revised Regulatory Propose</w:t>
            </w:r>
          </w:p>
        </w:tc>
      </w:tr>
      <w:tr w:rsidR="00D50B31" w:rsidRPr="00B705DC" w:rsidTr="00D50B31">
        <w:tc>
          <w:tcPr>
            <w:tcW w:w="2221" w:type="dxa"/>
            <w:tcBorders>
              <w:top w:val="nil"/>
            </w:tcBorders>
            <w:noWrap/>
            <w:vAlign w:val="center"/>
          </w:tcPr>
          <w:p w:rsidR="00D50B31" w:rsidRPr="00B705DC" w:rsidRDefault="00D50B31" w:rsidP="0027185E">
            <w:pPr>
              <w:pStyle w:val="AERtabletextleft"/>
            </w:pPr>
          </w:p>
        </w:tc>
        <w:tc>
          <w:tcPr>
            <w:tcW w:w="1755" w:type="dxa"/>
            <w:tcBorders>
              <w:top w:val="nil"/>
            </w:tcBorders>
            <w:noWrap/>
            <w:vAlign w:val="center"/>
          </w:tcPr>
          <w:p w:rsidR="00D50B31" w:rsidRPr="00B705DC" w:rsidRDefault="00D50B31" w:rsidP="0027185E">
            <w:pPr>
              <w:pStyle w:val="AERtabletextleft"/>
            </w:pPr>
            <w:r w:rsidRPr="00B705DC">
              <w:t>Public</w:t>
            </w:r>
          </w:p>
        </w:tc>
        <w:tc>
          <w:tcPr>
            <w:tcW w:w="1755" w:type="dxa"/>
            <w:tcBorders>
              <w:top w:val="nil"/>
            </w:tcBorders>
            <w:noWrap/>
            <w:vAlign w:val="center"/>
          </w:tcPr>
          <w:p w:rsidR="00D50B31" w:rsidRPr="00B705DC" w:rsidRDefault="00D50B31" w:rsidP="0027185E">
            <w:pPr>
              <w:pStyle w:val="AERtabletextleft"/>
            </w:pPr>
            <w:r w:rsidRPr="00B705DC">
              <w:t>Confidential</w:t>
            </w:r>
          </w:p>
        </w:tc>
        <w:tc>
          <w:tcPr>
            <w:tcW w:w="1755" w:type="dxa"/>
            <w:tcBorders>
              <w:top w:val="nil"/>
            </w:tcBorders>
            <w:noWrap/>
            <w:vAlign w:val="center"/>
          </w:tcPr>
          <w:p w:rsidR="00D50B31" w:rsidRPr="00B705DC" w:rsidRDefault="00D50B31" w:rsidP="0027185E">
            <w:pPr>
              <w:pStyle w:val="AERtabletextleft"/>
            </w:pPr>
            <w:r w:rsidRPr="00B705DC">
              <w:t xml:space="preserve">Public </w:t>
            </w:r>
          </w:p>
        </w:tc>
        <w:tc>
          <w:tcPr>
            <w:tcW w:w="1756" w:type="dxa"/>
            <w:tcBorders>
              <w:top w:val="nil"/>
            </w:tcBorders>
            <w:noWrap/>
            <w:vAlign w:val="center"/>
          </w:tcPr>
          <w:p w:rsidR="00D50B31" w:rsidRPr="00B705DC" w:rsidRDefault="00D50B31" w:rsidP="0027185E">
            <w:pPr>
              <w:pStyle w:val="AERtabletextleft"/>
            </w:pPr>
            <w:r w:rsidRPr="00B705DC">
              <w:t>Confidential</w:t>
            </w:r>
          </w:p>
        </w:tc>
      </w:tr>
      <w:tr w:rsidR="00D50B31" w:rsidRPr="00B705DC" w:rsidTr="00D50B31">
        <w:tc>
          <w:tcPr>
            <w:tcW w:w="2221" w:type="dxa"/>
            <w:shd w:val="clear" w:color="auto" w:fill="DBE5F1"/>
            <w:noWrap/>
            <w:vAlign w:val="center"/>
          </w:tcPr>
          <w:p w:rsidR="00D50B31" w:rsidRPr="00B705DC" w:rsidRDefault="00D50B31" w:rsidP="0027185E">
            <w:pPr>
              <w:pStyle w:val="AERtabletextleft"/>
            </w:pPr>
            <w:r w:rsidRPr="00B705DC">
              <w:t>Business 1</w:t>
            </w:r>
          </w:p>
        </w:tc>
        <w:tc>
          <w:tcPr>
            <w:tcW w:w="1755" w:type="dxa"/>
            <w:shd w:val="clear" w:color="auto" w:fill="DBE5F1"/>
            <w:noWrap/>
            <w:vAlign w:val="center"/>
          </w:tcPr>
          <w:p w:rsidR="00D50B31" w:rsidRPr="00B705DC" w:rsidRDefault="00D50B31" w:rsidP="0027185E">
            <w:pPr>
              <w:pStyle w:val="AERtabletextleft"/>
            </w:pPr>
            <w:r w:rsidRPr="00B705DC">
              <w:t>1,540</w:t>
            </w:r>
          </w:p>
        </w:tc>
        <w:tc>
          <w:tcPr>
            <w:tcW w:w="1755" w:type="dxa"/>
            <w:shd w:val="clear" w:color="auto" w:fill="DBE5F1"/>
            <w:noWrap/>
            <w:vAlign w:val="center"/>
          </w:tcPr>
          <w:p w:rsidR="00D50B31" w:rsidRPr="00B705DC" w:rsidRDefault="00D50B31" w:rsidP="0027185E">
            <w:pPr>
              <w:pStyle w:val="AERtabletextleft"/>
            </w:pPr>
            <w:r w:rsidRPr="00B705DC">
              <w:t>4,584</w:t>
            </w:r>
          </w:p>
        </w:tc>
        <w:tc>
          <w:tcPr>
            <w:tcW w:w="1755" w:type="dxa"/>
            <w:shd w:val="clear" w:color="auto" w:fill="DBE5F1"/>
            <w:noWrap/>
            <w:vAlign w:val="center"/>
          </w:tcPr>
          <w:p w:rsidR="00D50B31" w:rsidRPr="00B705DC" w:rsidRDefault="00D50B31" w:rsidP="0027185E">
            <w:pPr>
              <w:pStyle w:val="AERtabletextleft"/>
            </w:pPr>
            <w:r w:rsidRPr="00B705DC">
              <w:t>4,157</w:t>
            </w:r>
          </w:p>
        </w:tc>
        <w:tc>
          <w:tcPr>
            <w:tcW w:w="1756" w:type="dxa"/>
            <w:shd w:val="clear" w:color="auto" w:fill="DBE5F1"/>
            <w:noWrap/>
            <w:vAlign w:val="center"/>
          </w:tcPr>
          <w:p w:rsidR="00D50B31" w:rsidRPr="00B705DC" w:rsidRDefault="00D50B31" w:rsidP="0027185E">
            <w:pPr>
              <w:pStyle w:val="AERtabletextleft"/>
            </w:pPr>
            <w:r w:rsidRPr="00B705DC">
              <w:t>5,599</w:t>
            </w:r>
          </w:p>
        </w:tc>
      </w:tr>
      <w:tr w:rsidR="00D50B31" w:rsidRPr="00B705DC" w:rsidTr="00D50B31">
        <w:tc>
          <w:tcPr>
            <w:tcW w:w="2221" w:type="dxa"/>
            <w:noWrap/>
            <w:vAlign w:val="center"/>
          </w:tcPr>
          <w:p w:rsidR="00D50B31" w:rsidRPr="00B705DC" w:rsidRDefault="00D50B31" w:rsidP="0027185E">
            <w:pPr>
              <w:pStyle w:val="AERtabletextleft"/>
            </w:pPr>
            <w:r w:rsidRPr="00B705DC">
              <w:t>Business 2</w:t>
            </w:r>
          </w:p>
        </w:tc>
        <w:tc>
          <w:tcPr>
            <w:tcW w:w="1755" w:type="dxa"/>
            <w:noWrap/>
            <w:vAlign w:val="center"/>
          </w:tcPr>
          <w:p w:rsidR="00D50B31" w:rsidRPr="00B705DC" w:rsidRDefault="00D50B31" w:rsidP="0027185E">
            <w:pPr>
              <w:pStyle w:val="AERtabletextleft"/>
            </w:pPr>
            <w:r w:rsidRPr="00B705DC">
              <w:t>2,960</w:t>
            </w:r>
          </w:p>
        </w:tc>
        <w:tc>
          <w:tcPr>
            <w:tcW w:w="1755" w:type="dxa"/>
            <w:noWrap/>
            <w:vAlign w:val="center"/>
          </w:tcPr>
          <w:p w:rsidR="00D50B31" w:rsidRPr="00B705DC" w:rsidRDefault="00D50B31" w:rsidP="0027185E">
            <w:pPr>
              <w:pStyle w:val="AERtabletextleft"/>
            </w:pPr>
            <w:r w:rsidRPr="00B705DC">
              <w:t>5,</w:t>
            </w:r>
            <w:r>
              <w:t>2</w:t>
            </w:r>
            <w:r w:rsidRPr="00B705DC">
              <w:t>31</w:t>
            </w:r>
          </w:p>
        </w:tc>
        <w:tc>
          <w:tcPr>
            <w:tcW w:w="1755" w:type="dxa"/>
            <w:noWrap/>
            <w:vAlign w:val="center"/>
          </w:tcPr>
          <w:p w:rsidR="00D50B31" w:rsidRPr="00B705DC" w:rsidRDefault="00D50B31" w:rsidP="0027185E">
            <w:pPr>
              <w:pStyle w:val="AERtabletextleft"/>
            </w:pPr>
            <w:r w:rsidRPr="00B705DC">
              <w:t>9,337</w:t>
            </w:r>
          </w:p>
        </w:tc>
        <w:tc>
          <w:tcPr>
            <w:tcW w:w="1756" w:type="dxa"/>
            <w:noWrap/>
            <w:vAlign w:val="center"/>
          </w:tcPr>
          <w:p w:rsidR="00D50B31" w:rsidRPr="00B705DC" w:rsidRDefault="00D50B31" w:rsidP="0027185E">
            <w:pPr>
              <w:pStyle w:val="AERtabletextleft"/>
            </w:pPr>
            <w:r w:rsidRPr="00B705DC">
              <w:t>10,235</w:t>
            </w:r>
          </w:p>
        </w:tc>
      </w:tr>
      <w:tr w:rsidR="00D50B31" w:rsidRPr="00B705DC" w:rsidTr="00D50B31">
        <w:tc>
          <w:tcPr>
            <w:tcW w:w="2221" w:type="dxa"/>
            <w:shd w:val="clear" w:color="auto" w:fill="DBE5F1"/>
            <w:noWrap/>
            <w:vAlign w:val="center"/>
          </w:tcPr>
          <w:p w:rsidR="00D50B31" w:rsidRPr="00B705DC" w:rsidRDefault="00D50B31" w:rsidP="0027185E">
            <w:pPr>
              <w:pStyle w:val="AERtabletextleft"/>
            </w:pPr>
            <w:r w:rsidRPr="00B705DC">
              <w:t>Business 3</w:t>
            </w:r>
          </w:p>
        </w:tc>
        <w:tc>
          <w:tcPr>
            <w:tcW w:w="1755" w:type="dxa"/>
            <w:shd w:val="clear" w:color="auto" w:fill="DBE5F1"/>
            <w:noWrap/>
          </w:tcPr>
          <w:p w:rsidR="00D50B31" w:rsidRPr="00B705DC" w:rsidRDefault="00D50B31" w:rsidP="0027185E">
            <w:pPr>
              <w:pStyle w:val="AERtabletextleft"/>
            </w:pPr>
            <w:r>
              <w:t>1,869</w:t>
            </w:r>
          </w:p>
        </w:tc>
        <w:tc>
          <w:tcPr>
            <w:tcW w:w="1755" w:type="dxa"/>
            <w:shd w:val="clear" w:color="auto" w:fill="DBE5F1"/>
            <w:noWrap/>
          </w:tcPr>
          <w:p w:rsidR="00D50B31" w:rsidRPr="00B705DC" w:rsidRDefault="00D50B31" w:rsidP="0027185E">
            <w:pPr>
              <w:pStyle w:val="AERtabletextleft"/>
            </w:pPr>
            <w:r w:rsidRPr="00B705DC">
              <w:t>22,811</w:t>
            </w:r>
          </w:p>
        </w:tc>
        <w:tc>
          <w:tcPr>
            <w:tcW w:w="1755" w:type="dxa"/>
            <w:shd w:val="clear" w:color="auto" w:fill="DBE5F1"/>
            <w:noWrap/>
          </w:tcPr>
          <w:p w:rsidR="00D50B31" w:rsidRPr="00B705DC" w:rsidRDefault="00D50B31" w:rsidP="0027185E">
            <w:pPr>
              <w:pStyle w:val="AERtabletextleft"/>
            </w:pPr>
            <w:r w:rsidRPr="00B705DC">
              <w:t>1,704</w:t>
            </w:r>
          </w:p>
        </w:tc>
        <w:tc>
          <w:tcPr>
            <w:tcW w:w="1756" w:type="dxa"/>
            <w:shd w:val="clear" w:color="auto" w:fill="DBE5F1"/>
            <w:noWrap/>
          </w:tcPr>
          <w:p w:rsidR="00D50B31" w:rsidRPr="00B705DC" w:rsidRDefault="00D50B31" w:rsidP="0027185E">
            <w:pPr>
              <w:pStyle w:val="AERtabletextleft"/>
            </w:pPr>
            <w:r w:rsidRPr="00B705DC">
              <w:t>2,626</w:t>
            </w:r>
          </w:p>
        </w:tc>
      </w:tr>
    </w:tbl>
    <w:p w:rsidR="00DB0A6C" w:rsidRDefault="00DB0A6C" w:rsidP="00DB0A6C">
      <w:pPr>
        <w:pStyle w:val="AERtablesource"/>
      </w:pPr>
      <w:r>
        <w:t>Note:</w:t>
      </w:r>
      <w:r>
        <w:tab/>
        <w:t xml:space="preserve">The AER’s page count is approximate. </w:t>
      </w:r>
      <w:r w:rsidR="00F824B7">
        <w:t>It does not account for the different types of documents submitted by each of the Victorian DNSPs, and does not include spreadsheets, AER or AEMC documents that are publicly available and references to legislation and regulations.</w:t>
      </w:r>
    </w:p>
    <w:p w:rsidR="00DB0A6C" w:rsidRDefault="00DB0A6C" w:rsidP="00DB0A6C">
      <w:pPr>
        <w:pStyle w:val="AERbulletlistfirststyle"/>
        <w:numPr>
          <w:ilvl w:val="0"/>
          <w:numId w:val="0"/>
        </w:numPr>
      </w:pPr>
      <w:r>
        <w:t>Many of these claims were for entire documents and did not include reasons</w:t>
      </w:r>
      <w:r w:rsidR="00832E74">
        <w:t xml:space="preserve"> why the </w:t>
      </w:r>
      <w:r w:rsidR="0074400E">
        <w:t xml:space="preserve">AER should protect the </w:t>
      </w:r>
      <w:r w:rsidR="00832E74">
        <w:t>information</w:t>
      </w:r>
      <w:r>
        <w:t xml:space="preserve">. </w:t>
      </w:r>
      <w:r w:rsidR="000F53F8">
        <w:t>Also</w:t>
      </w:r>
      <w:r>
        <w:t xml:space="preserve">, the volume made it difficult for the AER to </w:t>
      </w:r>
      <w:r w:rsidR="00F65C2E">
        <w:t>apply its formal information disclosure powers, without diverting substantial resources from analysing the proposals</w:t>
      </w:r>
      <w:r>
        <w:t xml:space="preserve">. In turn, this prevented other stakeholders from accessing </w:t>
      </w:r>
      <w:r w:rsidR="002541E9">
        <w:t xml:space="preserve">that </w:t>
      </w:r>
      <w:r>
        <w:t>information</w:t>
      </w:r>
      <w:r w:rsidR="002541E9">
        <w:t>, hindering their</w:t>
      </w:r>
      <w:r>
        <w:t xml:space="preserve"> </w:t>
      </w:r>
      <w:r w:rsidR="002541E9">
        <w:t>ability</w:t>
      </w:r>
      <w:r>
        <w:t xml:space="preserve"> to engage effectively in the </w:t>
      </w:r>
      <w:r w:rsidRPr="00F824B7">
        <w:t>regulatory process</w:t>
      </w:r>
      <w:r>
        <w:t>.</w:t>
      </w:r>
    </w:p>
    <w:p w:rsidR="00DB0A6C" w:rsidRDefault="00DB0A6C" w:rsidP="00DB0A6C">
      <w:pPr>
        <w:pStyle w:val="AERbulletlistfirststyle"/>
        <w:numPr>
          <w:ilvl w:val="0"/>
          <w:numId w:val="0"/>
        </w:numPr>
      </w:pPr>
      <w:r>
        <w:t>More recently, stakeholders have also expressed concern. Recently the Energy Users Coalition of Victoria (EUCV) made the following comments on APA GasNet's access arrangement proposal:</w:t>
      </w:r>
    </w:p>
    <w:p w:rsidR="00DB0A6C" w:rsidRDefault="00DB0A6C" w:rsidP="00DB0A6C">
      <w:pPr>
        <w:pStyle w:val="AERbulletlistfirststyle"/>
      </w:pPr>
      <w:r>
        <w:t>GasNet refers to an appendix to explain why its major augmentation project costing $110.4 million is necessary, however because this appendix was not disclosed it could not be scrutinised by stakeholders.</w:t>
      </w:r>
      <w:r>
        <w:rPr>
          <w:rStyle w:val="FootnoteReference"/>
        </w:rPr>
        <w:footnoteReference w:id="23"/>
      </w:r>
    </w:p>
    <w:p w:rsidR="00DB0A6C" w:rsidRDefault="00DB0A6C" w:rsidP="00DB0A6C">
      <w:pPr>
        <w:pStyle w:val="AERbulletlistfirststyle"/>
      </w:pPr>
      <w:r>
        <w:t>Also, due to lack of detail about three other smaller projects, EUCV is unable to comment on the value for money that the projects might provide.</w:t>
      </w:r>
      <w:r>
        <w:rPr>
          <w:rStyle w:val="FootnoteReference"/>
        </w:rPr>
        <w:footnoteReference w:id="24"/>
      </w:r>
      <w:r>
        <w:t xml:space="preserve"> </w:t>
      </w:r>
    </w:p>
    <w:p w:rsidR="00DB0A6C" w:rsidRDefault="00DB0A6C" w:rsidP="00DB0A6C">
      <w:pPr>
        <w:pStyle w:val="AERbodytext"/>
      </w:pPr>
      <w:r>
        <w:t xml:space="preserve">Over the next 12 months, </w:t>
      </w:r>
      <w:r w:rsidR="00725214">
        <w:t xml:space="preserve">all </w:t>
      </w:r>
      <w:r>
        <w:t xml:space="preserve">stakeholders will have </w:t>
      </w:r>
      <w:r w:rsidRPr="00B15C59">
        <w:t xml:space="preserve">direct input into the development of </w:t>
      </w:r>
      <w:r>
        <w:t>th</w:t>
      </w:r>
      <w:r w:rsidR="00381C33">
        <w:t>e</w:t>
      </w:r>
      <w:r>
        <w:t>s</w:t>
      </w:r>
      <w:r w:rsidR="00381C33">
        <w:t>e</w:t>
      </w:r>
      <w:r>
        <w:t xml:space="preserve"> confidentiality </w:t>
      </w:r>
      <w:r w:rsidR="00381C33">
        <w:t>guidelines</w:t>
      </w:r>
      <w:r>
        <w:t xml:space="preserve">. We intend that issues raised in this paper will form a basis for discussion through workshops and written submissions. </w:t>
      </w:r>
    </w:p>
    <w:p w:rsidR="00DB0A6C" w:rsidRDefault="00DB0A6C" w:rsidP="00DB0A6C">
      <w:pPr>
        <w:pStyle w:val="AERbodytext"/>
        <w:numPr>
          <w:ilvl w:val="0"/>
          <w:numId w:val="0"/>
        </w:numPr>
      </w:pPr>
      <w:r>
        <w:t>We have separately set out our overall approach to consulting on the range of new guidelines and schemes.</w:t>
      </w:r>
      <w:r>
        <w:rPr>
          <w:rStyle w:val="FootnoteReference"/>
        </w:rPr>
        <w:footnoteReference w:id="25"/>
      </w:r>
      <w:r>
        <w:t xml:space="preserve"> The process will include multiple consultation stages (after the issues paper and draft decision) with various methods of engagement. Section </w:t>
      </w:r>
      <w:r w:rsidR="00190A14">
        <w:t>5</w:t>
      </w:r>
      <w:r>
        <w:t xml:space="preserve"> of this issues paper outlines the next steps in consultation.</w:t>
      </w:r>
    </w:p>
    <w:p w:rsidR="00DB0A6C" w:rsidRPr="009A3EF8" w:rsidRDefault="00DB0A6C" w:rsidP="00DB0A6C">
      <w:pPr>
        <w:pStyle w:val="Heading1"/>
      </w:pPr>
      <w:bookmarkStart w:id="11" w:name="_Toc346610651"/>
      <w:bookmarkStart w:id="12" w:name="_Toc346610700"/>
      <w:bookmarkStart w:id="13" w:name="_Toc349834050"/>
      <w:bookmarkEnd w:id="11"/>
      <w:bookmarkEnd w:id="12"/>
      <w:r w:rsidRPr="00CF439F">
        <w:lastRenderedPageBreak/>
        <w:t>Purpose and objective of the proposed confidentiality guidelines</w:t>
      </w:r>
      <w:bookmarkEnd w:id="13"/>
      <w:r w:rsidRPr="00CF439F">
        <w:t xml:space="preserve"> </w:t>
      </w:r>
    </w:p>
    <w:p w:rsidR="00A92ABF" w:rsidRDefault="00DB0A6C" w:rsidP="00DB0A6C">
      <w:pPr>
        <w:rPr>
          <w:rStyle w:val="AERbody"/>
        </w:rPr>
      </w:pPr>
      <w:r w:rsidRPr="000E3A28">
        <w:rPr>
          <w:rStyle w:val="AERbody"/>
        </w:rPr>
        <w:t xml:space="preserve">The </w:t>
      </w:r>
      <w:r>
        <w:rPr>
          <w:rStyle w:val="AERbody"/>
        </w:rPr>
        <w:t>proposed confidentiality guideline</w:t>
      </w:r>
      <w:r w:rsidR="00381C33">
        <w:rPr>
          <w:rStyle w:val="AERbody"/>
        </w:rPr>
        <w:t>s</w:t>
      </w:r>
      <w:r>
        <w:rPr>
          <w:rStyle w:val="AERbody"/>
        </w:rPr>
        <w:t xml:space="preserve"> aim </w:t>
      </w:r>
      <w:r w:rsidRPr="000E3A28">
        <w:rPr>
          <w:rStyle w:val="AERbody"/>
        </w:rPr>
        <w:t xml:space="preserve">to </w:t>
      </w:r>
      <w:r>
        <w:rPr>
          <w:rStyle w:val="AERbody"/>
        </w:rPr>
        <w:t xml:space="preserve">assist in </w:t>
      </w:r>
      <w:r w:rsidRPr="000E3A28">
        <w:rPr>
          <w:rStyle w:val="AERbody"/>
        </w:rPr>
        <w:t>deliver</w:t>
      </w:r>
      <w:r>
        <w:rPr>
          <w:rStyle w:val="AERbody"/>
        </w:rPr>
        <w:t>ing</w:t>
      </w:r>
      <w:r w:rsidRPr="000E3A28">
        <w:rPr>
          <w:rStyle w:val="AERbody"/>
        </w:rPr>
        <w:t xml:space="preserve"> better regulatory decisions.</w:t>
      </w:r>
      <w:r>
        <w:rPr>
          <w:rStyle w:val="AERbody"/>
        </w:rPr>
        <w:t xml:space="preserve"> It aims to </w:t>
      </w:r>
      <w:r w:rsidR="00A82EFB">
        <w:rPr>
          <w:rStyle w:val="AERbody"/>
        </w:rPr>
        <w:t xml:space="preserve">achieve </w:t>
      </w:r>
      <w:r>
        <w:rPr>
          <w:rStyle w:val="AERbody"/>
        </w:rPr>
        <w:t xml:space="preserve">the right balance between protecting and disclosing information in accordance with the law. By </w:t>
      </w:r>
      <w:r w:rsidR="00A82EFB">
        <w:rPr>
          <w:rStyle w:val="AERbody"/>
        </w:rPr>
        <w:t xml:space="preserve">achieving </w:t>
      </w:r>
      <w:r>
        <w:rPr>
          <w:rStyle w:val="AERbody"/>
        </w:rPr>
        <w:t xml:space="preserve">this balance we aim to simultaneously provide appropriate protection and facilitate improved stakeholder engagement. </w:t>
      </w:r>
    </w:p>
    <w:p w:rsidR="00DB0A6C" w:rsidRDefault="00DB0A6C" w:rsidP="00DB0A6C">
      <w:r>
        <w:t>Th</w:t>
      </w:r>
      <w:r w:rsidR="00FC3619">
        <w:t>e confidentiality</w:t>
      </w:r>
      <w:r>
        <w:t xml:space="preserve"> guide</w:t>
      </w:r>
      <w:r w:rsidR="00FC3619">
        <w:t>lines</w:t>
      </w:r>
      <w:r>
        <w:t xml:space="preserve"> also aim to make </w:t>
      </w:r>
      <w:r w:rsidR="00725214">
        <w:t>NSP</w:t>
      </w:r>
      <w:r>
        <w:t xml:space="preserve">s accountable for their confidentiality claims. Consistent with our current procedures, </w:t>
      </w:r>
      <w:r w:rsidR="00FC3619">
        <w:t xml:space="preserve">they </w:t>
      </w:r>
      <w:r>
        <w:t xml:space="preserve">aim to require </w:t>
      </w:r>
      <w:r w:rsidR="00725214">
        <w:t>NSP</w:t>
      </w:r>
      <w:r>
        <w:t>s</w:t>
      </w:r>
      <w:r w:rsidRPr="00C17692">
        <w:t xml:space="preserve"> to </w:t>
      </w:r>
      <w:r>
        <w:t>provide</w:t>
      </w:r>
      <w:r w:rsidRPr="00C17692">
        <w:t xml:space="preserve"> </w:t>
      </w:r>
      <w:r>
        <w:t xml:space="preserve">clear and logical reasons as to why we should protect information. These reasons will need to focus on how disclosing the information will cause detriment to the </w:t>
      </w:r>
      <w:r w:rsidR="00725214">
        <w:t>NSP</w:t>
      </w:r>
      <w:r>
        <w:t xml:space="preserve"> and </w:t>
      </w:r>
      <w:r w:rsidR="00FC3619">
        <w:t xml:space="preserve">whether </w:t>
      </w:r>
      <w:r>
        <w:t xml:space="preserve">the public benefit in disclosing </w:t>
      </w:r>
      <w:r w:rsidR="00FC3619">
        <w:t>information</w:t>
      </w:r>
      <w:r w:rsidR="00177160">
        <w:t xml:space="preserve"> outweigh</w:t>
      </w:r>
      <w:r w:rsidR="00FC3619">
        <w:t>s</w:t>
      </w:r>
      <w:r w:rsidR="00177160">
        <w:t xml:space="preserve"> that detriment</w:t>
      </w:r>
      <w:r>
        <w:t xml:space="preserve">. </w:t>
      </w:r>
      <w:r w:rsidR="001E1218">
        <w:t>This type of reasoning will assist the AER in determining whether it should protect or disclose information.</w:t>
      </w:r>
    </w:p>
    <w:p w:rsidR="00DB0A6C" w:rsidRDefault="00DB0A6C" w:rsidP="00DB0A6C">
      <w:r>
        <w:t>Finally, the confidentiality guideline</w:t>
      </w:r>
      <w:r w:rsidR="00381C33">
        <w:t>s</w:t>
      </w:r>
      <w:r>
        <w:t xml:space="preserve"> aim to make the process for claiming confidentiality </w:t>
      </w:r>
      <w:r w:rsidR="008466DF">
        <w:t xml:space="preserve">and how we will assess </w:t>
      </w:r>
      <w:r w:rsidR="00B01317">
        <w:t>these</w:t>
      </w:r>
      <w:r w:rsidR="008466DF">
        <w:t xml:space="preserve"> claims </w:t>
      </w:r>
      <w:r w:rsidR="00FC3619">
        <w:t>clearer</w:t>
      </w:r>
      <w:r>
        <w:t xml:space="preserve">. The confidentiality </w:t>
      </w:r>
      <w:r w:rsidR="00381C33">
        <w:t>guidelines</w:t>
      </w:r>
      <w:r>
        <w:t xml:space="preserve"> will involve </w:t>
      </w:r>
      <w:r w:rsidRPr="00972F77">
        <w:t>clear and well understood procedures</w:t>
      </w:r>
      <w:r>
        <w:t xml:space="preserve"> </w:t>
      </w:r>
      <w:r w:rsidRPr="00972F77">
        <w:t xml:space="preserve">that outline what information </w:t>
      </w:r>
      <w:r>
        <w:t xml:space="preserve">we are likely to protect as well as a streamlined process on how to make confidentiality claims. </w:t>
      </w:r>
      <w:r w:rsidR="001E2881">
        <w:t xml:space="preserve">This provides greater certainty to </w:t>
      </w:r>
      <w:r w:rsidR="0074400E">
        <w:t xml:space="preserve">NSPs </w:t>
      </w:r>
      <w:r w:rsidR="001E2881">
        <w:t>provid</w:t>
      </w:r>
      <w:r w:rsidR="0074400E">
        <w:t>ing</w:t>
      </w:r>
      <w:r w:rsidR="001E2881">
        <w:t xml:space="preserve"> </w:t>
      </w:r>
      <w:r w:rsidR="00CE1659">
        <w:t xml:space="preserve">information to </w:t>
      </w:r>
      <w:r w:rsidR="008466DF">
        <w:t>us</w:t>
      </w:r>
      <w:r w:rsidR="001E2881">
        <w:t>.</w:t>
      </w:r>
    </w:p>
    <w:p w:rsidR="00981B9E" w:rsidRDefault="008466DF" w:rsidP="002D6510">
      <w:pPr>
        <w:pStyle w:val="Heading1"/>
      </w:pPr>
      <w:bookmarkStart w:id="14" w:name="_Ref342480021"/>
      <w:bookmarkStart w:id="15" w:name="_Toc342636988"/>
      <w:bookmarkStart w:id="16" w:name="_Toc349834051"/>
      <w:r>
        <w:lastRenderedPageBreak/>
        <w:t>Our c</w:t>
      </w:r>
      <w:r w:rsidR="00981B9E">
        <w:t>urrent information handling process</w:t>
      </w:r>
      <w:bookmarkEnd w:id="16"/>
    </w:p>
    <w:p w:rsidR="00981B9E" w:rsidRDefault="008466DF" w:rsidP="00981B9E">
      <w:pPr>
        <w:pStyle w:val="AERbodytext"/>
      </w:pPr>
      <w:r>
        <w:t>We</w:t>
      </w:r>
      <w:r w:rsidR="00981B9E">
        <w:t xml:space="preserve"> currently use a </w:t>
      </w:r>
      <w:r w:rsidR="003573D7">
        <w:t>two</w:t>
      </w:r>
      <w:r w:rsidR="00981B9E">
        <w:t xml:space="preserve"> stage process for determining whether to protect or disclose information. </w:t>
      </w:r>
      <w:r w:rsidR="00AB6E3E">
        <w:t>The process aims to act as a filter, resolving more confidentiality issues at each stage. This section outlines that process.</w:t>
      </w:r>
    </w:p>
    <w:p w:rsidR="00981B9E" w:rsidRDefault="00981B9E" w:rsidP="00981B9E">
      <w:pPr>
        <w:pStyle w:val="Heading2"/>
      </w:pPr>
      <w:bookmarkStart w:id="17" w:name="_Toc349834052"/>
      <w:r>
        <w:t xml:space="preserve">Stage one: </w:t>
      </w:r>
      <w:r w:rsidR="00AB6E3E">
        <w:t xml:space="preserve">informal discussions </w:t>
      </w:r>
      <w:r>
        <w:t>before receiving information</w:t>
      </w:r>
      <w:bookmarkEnd w:id="17"/>
    </w:p>
    <w:p w:rsidR="00981B9E" w:rsidRDefault="00981B9E" w:rsidP="00981B9E">
      <w:pPr>
        <w:pStyle w:val="AERbulletlistfirststyle"/>
        <w:numPr>
          <w:ilvl w:val="0"/>
          <w:numId w:val="0"/>
        </w:numPr>
        <w:rPr>
          <w:rStyle w:val="AERbody"/>
        </w:rPr>
      </w:pPr>
      <w:r>
        <w:rPr>
          <w:rStyle w:val="AERbody"/>
        </w:rPr>
        <w:t>Our preference is to deal with issues around protecting</w:t>
      </w:r>
      <w:r w:rsidR="00FC3619">
        <w:rPr>
          <w:rStyle w:val="AERbody"/>
        </w:rPr>
        <w:t xml:space="preserve"> and </w:t>
      </w:r>
      <w:r>
        <w:rPr>
          <w:rStyle w:val="AERbody"/>
        </w:rPr>
        <w:t xml:space="preserve">disclosing information in a collaborative fashion. Therefore, we seek to inform NSPs of our information handling processes before they provide us with information. Specifically, we notify </w:t>
      </w:r>
      <w:r w:rsidR="00725214">
        <w:rPr>
          <w:rStyle w:val="AERbody"/>
        </w:rPr>
        <w:t>NSP</w:t>
      </w:r>
      <w:r>
        <w:rPr>
          <w:rStyle w:val="AERbody"/>
        </w:rPr>
        <w:t>s that if they wish to claim confidentiality over any information they submit, they must:</w:t>
      </w:r>
    </w:p>
    <w:p w:rsidR="00981B9E" w:rsidRDefault="00981B9E" w:rsidP="00981B9E">
      <w:pPr>
        <w:pStyle w:val="AERnumberedlistsecondstyle"/>
      </w:pPr>
      <w:r>
        <w:t xml:space="preserve">for all information and documents, clearly identify and mark the part of the information they consider confidential. </w:t>
      </w:r>
    </w:p>
    <w:p w:rsidR="00981B9E" w:rsidRDefault="00981B9E" w:rsidP="00981B9E">
      <w:pPr>
        <w:pStyle w:val="AERnumberedlistsecondstyle"/>
      </w:pPr>
      <w:r>
        <w:t xml:space="preserve">provide reasons that support each confidentiality claim. We ask </w:t>
      </w:r>
      <w:r w:rsidR="00381C33">
        <w:t>NSP</w:t>
      </w:r>
      <w:r>
        <w:t>s to explain why we should protect particular information, focussing on the 28ZB test.</w:t>
      </w:r>
    </w:p>
    <w:p w:rsidR="00981B9E" w:rsidRDefault="00981B9E" w:rsidP="00981B9E">
      <w:pPr>
        <w:pStyle w:val="AERnumberedlistsecondstyle"/>
      </w:pPr>
      <w:r>
        <w:t>submit both a public and confidential version of the document.</w:t>
      </w:r>
    </w:p>
    <w:p w:rsidR="00981B9E" w:rsidRDefault="00981B9E" w:rsidP="00981B9E">
      <w:pPr>
        <w:pStyle w:val="AERbulletlistfirststyle"/>
        <w:numPr>
          <w:ilvl w:val="0"/>
          <w:numId w:val="0"/>
        </w:numPr>
        <w:rPr>
          <w:rStyle w:val="AERbody"/>
        </w:rPr>
      </w:pPr>
      <w:r>
        <w:rPr>
          <w:rStyle w:val="AERbody"/>
        </w:rPr>
        <w:t>We also notify NSPs that:</w:t>
      </w:r>
    </w:p>
    <w:p w:rsidR="00981B9E" w:rsidRDefault="00981B9E" w:rsidP="00981B9E">
      <w:pPr>
        <w:pStyle w:val="AERnumberedlistsecondstyle"/>
        <w:rPr>
          <w:rStyle w:val="AERbody"/>
        </w:rPr>
      </w:pPr>
      <w:r>
        <w:rPr>
          <w:rStyle w:val="AERbody"/>
        </w:rPr>
        <w:t xml:space="preserve">a confidentiality claim, by itself, is insufficient to prevent disclosure. </w:t>
      </w:r>
      <w:r w:rsidR="00FC3619">
        <w:rPr>
          <w:rStyle w:val="AERbody"/>
        </w:rPr>
        <w:t xml:space="preserve">We have </w:t>
      </w:r>
      <w:r w:rsidR="00FC3619" w:rsidRPr="00FC3619">
        <w:rPr>
          <w:rStyle w:val="AERtextitalic"/>
          <w:i w:val="0"/>
        </w:rPr>
        <w:t>information disclosure powers</w:t>
      </w:r>
      <w:r>
        <w:rPr>
          <w:rStyle w:val="AERbody"/>
        </w:rPr>
        <w:t xml:space="preserve">, </w:t>
      </w:r>
      <w:r w:rsidR="00FC3619">
        <w:rPr>
          <w:rStyle w:val="AERbody"/>
        </w:rPr>
        <w:t>such as those in section</w:t>
      </w:r>
      <w:r>
        <w:rPr>
          <w:rStyle w:val="AERbody"/>
        </w:rPr>
        <w:t xml:space="preserve"> 28ZB </w:t>
      </w:r>
      <w:r w:rsidR="00FC3619">
        <w:rPr>
          <w:rStyle w:val="AERbody"/>
        </w:rPr>
        <w:t>of the NEL.</w:t>
      </w:r>
    </w:p>
    <w:p w:rsidR="00981B9E" w:rsidRDefault="00981B9E" w:rsidP="00981B9E">
      <w:pPr>
        <w:pStyle w:val="AERnumberedlistsecondstyle"/>
        <w:rPr>
          <w:rStyle w:val="AERbody"/>
        </w:rPr>
      </w:pPr>
      <w:r>
        <w:rPr>
          <w:rStyle w:val="AERbody"/>
        </w:rPr>
        <w:t xml:space="preserve">if a </w:t>
      </w:r>
      <w:r w:rsidR="00381C33">
        <w:rPr>
          <w:rStyle w:val="AERbody"/>
        </w:rPr>
        <w:t>NSP</w:t>
      </w:r>
      <w:r>
        <w:rPr>
          <w:rStyle w:val="AERbody"/>
        </w:rPr>
        <w:t xml:space="preserve"> makes a confidentiality claim in the manner mentioned above, this will reduce the likelihood that we will exercise these powers.</w:t>
      </w:r>
    </w:p>
    <w:p w:rsidR="00981B9E" w:rsidRDefault="00981B9E" w:rsidP="00981B9E">
      <w:pPr>
        <w:pStyle w:val="AERnumberedlistsecondstyle"/>
        <w:rPr>
          <w:rStyle w:val="AERbody"/>
        </w:rPr>
      </w:pPr>
      <w:r>
        <w:rPr>
          <w:rStyle w:val="AERbody"/>
        </w:rPr>
        <w:t xml:space="preserve">prior to exercising these powers, we will provide the </w:t>
      </w:r>
      <w:r w:rsidR="00381C33">
        <w:rPr>
          <w:rStyle w:val="AERbody"/>
        </w:rPr>
        <w:t>NSP</w:t>
      </w:r>
      <w:r>
        <w:rPr>
          <w:rStyle w:val="AERbody"/>
        </w:rPr>
        <w:t xml:space="preserve"> with notice and an opportunity to comment.</w:t>
      </w:r>
    </w:p>
    <w:p w:rsidR="00FB5CFD" w:rsidRDefault="00FB5CFD" w:rsidP="00981B9E">
      <w:pPr>
        <w:pStyle w:val="AERbodytext"/>
        <w:rPr>
          <w:rStyle w:val="AERbody"/>
        </w:rPr>
      </w:pPr>
      <w:r>
        <w:rPr>
          <w:rStyle w:val="AERbody"/>
        </w:rPr>
        <w:t xml:space="preserve">We </w:t>
      </w:r>
      <w:r w:rsidR="00967D49">
        <w:rPr>
          <w:rStyle w:val="AERbody"/>
        </w:rPr>
        <w:t>encourage</w:t>
      </w:r>
      <w:r>
        <w:rPr>
          <w:rStyle w:val="AERbody"/>
        </w:rPr>
        <w:t xml:space="preserve"> NSPs </w:t>
      </w:r>
      <w:r w:rsidR="00967D49">
        <w:rPr>
          <w:rStyle w:val="AERbody"/>
        </w:rPr>
        <w:t xml:space="preserve">to </w:t>
      </w:r>
      <w:r>
        <w:rPr>
          <w:rStyle w:val="AERbody"/>
        </w:rPr>
        <w:t xml:space="preserve">engage with us on these issues before they provide us with information. </w:t>
      </w:r>
    </w:p>
    <w:p w:rsidR="00981B9E" w:rsidRDefault="00981B9E" w:rsidP="00981B9E">
      <w:pPr>
        <w:pStyle w:val="AERbodytext"/>
      </w:pPr>
      <w:r>
        <w:rPr>
          <w:rStyle w:val="AERbody"/>
        </w:rPr>
        <w:t xml:space="preserve">We aim to resolve </w:t>
      </w:r>
      <w:r w:rsidR="00AB6E3E">
        <w:rPr>
          <w:rStyle w:val="AERbody"/>
        </w:rPr>
        <w:t xml:space="preserve">as many </w:t>
      </w:r>
      <w:r>
        <w:rPr>
          <w:rStyle w:val="AERbody"/>
        </w:rPr>
        <w:t xml:space="preserve">confidentiality issues </w:t>
      </w:r>
      <w:r w:rsidR="00AB6E3E">
        <w:rPr>
          <w:rStyle w:val="AERbody"/>
        </w:rPr>
        <w:t xml:space="preserve">as possible </w:t>
      </w:r>
      <w:r>
        <w:rPr>
          <w:rStyle w:val="AERbody"/>
        </w:rPr>
        <w:t>at this stage. Before we receive information, there is often less time pressure</w:t>
      </w:r>
      <w:r w:rsidR="00FC3619">
        <w:rPr>
          <w:rStyle w:val="AERbody"/>
        </w:rPr>
        <w:t xml:space="preserve"> and the competing need for us to assess the proposal’s substance has not yet arisen</w:t>
      </w:r>
      <w:r w:rsidR="00AB6E3E">
        <w:rPr>
          <w:rStyle w:val="AERbody"/>
        </w:rPr>
        <w:t>. As a result, there is often</w:t>
      </w:r>
      <w:r>
        <w:rPr>
          <w:rStyle w:val="AERbody"/>
        </w:rPr>
        <w:t xml:space="preserve"> greater opportunity for us to work with NSPs </w:t>
      </w:r>
      <w:r w:rsidR="00FC3619">
        <w:t>to reach a common understanding of the types of information we will generally protect or disclose and how to make confidentiality claims</w:t>
      </w:r>
      <w:r w:rsidR="00AB6E3E">
        <w:rPr>
          <w:rStyle w:val="AERbody"/>
        </w:rPr>
        <w:t xml:space="preserve">. We consider this is the best way to </w:t>
      </w:r>
      <w:r w:rsidR="00967D49">
        <w:rPr>
          <w:rStyle w:val="AERbody"/>
        </w:rPr>
        <w:t xml:space="preserve">achieve </w:t>
      </w:r>
      <w:r w:rsidR="00AB6E3E">
        <w:rPr>
          <w:rStyle w:val="AERbody"/>
        </w:rPr>
        <w:t xml:space="preserve">the right balance </w:t>
      </w:r>
      <w:r w:rsidR="00AB6E3E">
        <w:t>between protecting information and disclos</w:t>
      </w:r>
      <w:r w:rsidR="000B376A">
        <w:t>ing</w:t>
      </w:r>
      <w:r w:rsidR="00AB6E3E">
        <w:t xml:space="preserve"> </w:t>
      </w:r>
      <w:r w:rsidR="000B376A">
        <w:t xml:space="preserve">it </w:t>
      </w:r>
      <w:r w:rsidR="00AB6E3E">
        <w:t xml:space="preserve">for an open and transparent regulatory decision. </w:t>
      </w:r>
      <w:r w:rsidR="0038204D">
        <w:t xml:space="preserve">We would prefer </w:t>
      </w:r>
      <w:r w:rsidR="00AB6E3E">
        <w:t>that only very few issues continue beyond this stage.</w:t>
      </w:r>
    </w:p>
    <w:p w:rsidR="00AB6E3E" w:rsidRDefault="00AB6E3E" w:rsidP="00981B9E">
      <w:pPr>
        <w:pStyle w:val="AERbodytext"/>
        <w:rPr>
          <w:rStyle w:val="AERbody"/>
        </w:rPr>
      </w:pPr>
      <w:r>
        <w:rPr>
          <w:rStyle w:val="AERbody"/>
        </w:rPr>
        <w:t>Our experience has been that we have been unable to resolve all confidentiality issues at stage one. Where that happens, we move to stage two.</w:t>
      </w:r>
    </w:p>
    <w:p w:rsidR="00AB6E3E" w:rsidRDefault="00AB6E3E" w:rsidP="00AB6E3E">
      <w:pPr>
        <w:pStyle w:val="Heading2"/>
      </w:pPr>
      <w:r w:rsidRPr="00AB6E3E">
        <w:t xml:space="preserve"> </w:t>
      </w:r>
      <w:bookmarkStart w:id="18" w:name="_Toc349834053"/>
      <w:r>
        <w:t>Stage two: formal processes after receiving information</w:t>
      </w:r>
      <w:bookmarkEnd w:id="18"/>
    </w:p>
    <w:p w:rsidR="00AB6E3E" w:rsidRDefault="00AB6E3E" w:rsidP="00AB6E3E">
      <w:pPr>
        <w:pStyle w:val="AERbulletlistfirststyle"/>
        <w:numPr>
          <w:ilvl w:val="0"/>
          <w:numId w:val="0"/>
        </w:numPr>
        <w:rPr>
          <w:rStyle w:val="AERbody"/>
        </w:rPr>
      </w:pPr>
      <w:r>
        <w:rPr>
          <w:rStyle w:val="AERbody"/>
        </w:rPr>
        <w:t>Once we receive information</w:t>
      </w:r>
      <w:r w:rsidR="000B376A">
        <w:rPr>
          <w:rStyle w:val="AERbody"/>
        </w:rPr>
        <w:t>,</w:t>
      </w:r>
      <w:r>
        <w:rPr>
          <w:rStyle w:val="AERbody"/>
        </w:rPr>
        <w:t xml:space="preserve"> </w:t>
      </w:r>
      <w:r w:rsidR="0038204D">
        <w:rPr>
          <w:rStyle w:val="AERbody"/>
        </w:rPr>
        <w:t xml:space="preserve">we disclose the information the NSP has consented to place in the public domain. We also </w:t>
      </w:r>
      <w:r>
        <w:rPr>
          <w:rStyle w:val="AERbody"/>
        </w:rPr>
        <w:t>assess each confidentiality claim. Where we agree with the claim, we protect the information. Where we disagree, we examine the claim against our</w:t>
      </w:r>
      <w:r w:rsidR="000B376A">
        <w:rPr>
          <w:rStyle w:val="AERbody"/>
        </w:rPr>
        <w:t xml:space="preserve"> information</w:t>
      </w:r>
      <w:r>
        <w:rPr>
          <w:rStyle w:val="AERbody"/>
        </w:rPr>
        <w:t xml:space="preserve"> disclosure powers, </w:t>
      </w:r>
      <w:r w:rsidR="000778E1">
        <w:rPr>
          <w:rStyle w:val="AERbody"/>
        </w:rPr>
        <w:t xml:space="preserve">including </w:t>
      </w:r>
      <w:r>
        <w:rPr>
          <w:rStyle w:val="AERbody"/>
        </w:rPr>
        <w:t xml:space="preserve">the 28ZB test. </w:t>
      </w:r>
      <w:r w:rsidR="000778E1" w:rsidRPr="000778E1">
        <w:t>If the AER is considering whether to disclose the information under s 28ZB</w:t>
      </w:r>
      <w:r>
        <w:rPr>
          <w:rStyle w:val="AERbody"/>
        </w:rPr>
        <w:t xml:space="preserve">, </w:t>
      </w:r>
      <w:r>
        <w:rPr>
          <w:rStyle w:val="AERbody"/>
        </w:rPr>
        <w:lastRenderedPageBreak/>
        <w:t>we issue the NSP</w:t>
      </w:r>
      <w:r w:rsidR="000B376A">
        <w:rPr>
          <w:rStyle w:val="AERbody"/>
        </w:rPr>
        <w:t xml:space="preserve"> (and appropriate third parties)</w:t>
      </w:r>
      <w:r>
        <w:rPr>
          <w:rStyle w:val="AERbody"/>
        </w:rPr>
        <w:t xml:space="preserve"> with an initial disclosure notice. This notice outlines:</w:t>
      </w:r>
      <w:r>
        <w:rPr>
          <w:rStyle w:val="FootnoteReference"/>
        </w:rPr>
        <w:footnoteReference w:id="26"/>
      </w:r>
    </w:p>
    <w:p w:rsidR="00AB6E3E" w:rsidRDefault="00AB6E3E" w:rsidP="00AB6E3E">
      <w:pPr>
        <w:pStyle w:val="AERnumberedlistsecondstyle"/>
        <w:numPr>
          <w:ilvl w:val="2"/>
          <w:numId w:val="8"/>
        </w:numPr>
      </w:pPr>
      <w:r>
        <w:t>our</w:t>
      </w:r>
      <w:r w:rsidRPr="00667991">
        <w:t xml:space="preserve"> intention to disclose </w:t>
      </w:r>
      <w:r>
        <w:t>the</w:t>
      </w:r>
      <w:r w:rsidRPr="00667991">
        <w:t xml:space="preserve"> information</w:t>
      </w:r>
    </w:p>
    <w:p w:rsidR="00AB6E3E" w:rsidRDefault="00AB6E3E" w:rsidP="00AB6E3E">
      <w:pPr>
        <w:pStyle w:val="AERnumberedlistsecondstyle"/>
        <w:numPr>
          <w:ilvl w:val="2"/>
          <w:numId w:val="8"/>
        </w:numPr>
      </w:pPr>
      <w:r>
        <w:t>the nature of our intended disclosure</w:t>
      </w:r>
    </w:p>
    <w:p w:rsidR="00AB6E3E" w:rsidRDefault="00AB6E3E" w:rsidP="00AB6E3E">
      <w:pPr>
        <w:pStyle w:val="AERnumberedlistsecondstyle"/>
        <w:numPr>
          <w:ilvl w:val="2"/>
          <w:numId w:val="8"/>
        </w:numPr>
      </w:pPr>
      <w:r w:rsidRPr="00667991">
        <w:t xml:space="preserve">short, document-by-document reasons as to why </w:t>
      </w:r>
      <w:r>
        <w:t>we believe</w:t>
      </w:r>
      <w:r w:rsidRPr="00667991">
        <w:t>:</w:t>
      </w:r>
    </w:p>
    <w:p w:rsidR="00AB6E3E" w:rsidRDefault="00AB6E3E" w:rsidP="00AB6E3E">
      <w:pPr>
        <w:pStyle w:val="AERnumberedlistthirdstyle"/>
        <w:numPr>
          <w:ilvl w:val="3"/>
          <w:numId w:val="8"/>
        </w:numPr>
      </w:pPr>
      <w:r>
        <w:t>disclos</w:t>
      </w:r>
      <w:r w:rsidRPr="00667991">
        <w:t xml:space="preserve">ing the information will not cause detriment to the </w:t>
      </w:r>
      <w:r w:rsidR="00381C33">
        <w:t>NSP</w:t>
      </w:r>
      <w:r w:rsidRPr="00667991">
        <w:t xml:space="preserve">; or </w:t>
      </w:r>
    </w:p>
    <w:p w:rsidR="00AB6E3E" w:rsidRDefault="00AB6E3E" w:rsidP="00AB6E3E">
      <w:pPr>
        <w:pStyle w:val="AERnumberedlistthirdstyle"/>
        <w:numPr>
          <w:ilvl w:val="3"/>
          <w:numId w:val="8"/>
        </w:numPr>
      </w:pPr>
      <w:r>
        <w:t>the public benefit in disclosing the information outweighs any detriment.</w:t>
      </w:r>
    </w:p>
    <w:p w:rsidR="00AB6E3E" w:rsidRPr="00667991" w:rsidRDefault="00AB6E3E" w:rsidP="00AB6E3E">
      <w:pPr>
        <w:pStyle w:val="AERnumberedlistsecondstyle"/>
        <w:numPr>
          <w:ilvl w:val="2"/>
          <w:numId w:val="8"/>
        </w:numPr>
      </w:pPr>
      <w:r>
        <w:t xml:space="preserve">that within the timeframe specified, the </w:t>
      </w:r>
      <w:r w:rsidR="000B376A">
        <w:t xml:space="preserve">NSP (or third party) </w:t>
      </w:r>
      <w:r>
        <w:t>may make representations to us on why we should not disclosure the information.</w:t>
      </w:r>
    </w:p>
    <w:p w:rsidR="00AB6E3E" w:rsidRDefault="00AB6E3E" w:rsidP="00AB6E3E">
      <w:pPr>
        <w:pStyle w:val="AERbodytext"/>
      </w:pPr>
      <w:r>
        <w:t>We</w:t>
      </w:r>
      <w:r w:rsidRPr="00A06AE6">
        <w:t xml:space="preserve"> must give the </w:t>
      </w:r>
      <w:r>
        <w:t xml:space="preserve">information provider </w:t>
      </w:r>
      <w:r w:rsidR="000B376A">
        <w:t xml:space="preserve">(or third party) </w:t>
      </w:r>
      <w:r w:rsidRPr="00A06AE6">
        <w:t>a minimum of five business days to respond to the initial disclosure notice.</w:t>
      </w:r>
      <w:r>
        <w:rPr>
          <w:rStyle w:val="FootnoteReference"/>
        </w:rPr>
        <w:footnoteReference w:id="27"/>
      </w:r>
      <w:r w:rsidRPr="00A06AE6">
        <w:t xml:space="preserve"> </w:t>
      </w:r>
      <w:r>
        <w:t>But, t</w:t>
      </w:r>
      <w:r w:rsidRPr="00A06AE6">
        <w:t xml:space="preserve">he actual time </w:t>
      </w:r>
      <w:r>
        <w:t xml:space="preserve">we allow </w:t>
      </w:r>
      <w:r w:rsidRPr="00A06AE6">
        <w:t>depend</w:t>
      </w:r>
      <w:r>
        <w:t>s</w:t>
      </w:r>
      <w:r w:rsidRPr="00A06AE6">
        <w:t xml:space="preserve"> on the volume and complexity of information </w:t>
      </w:r>
      <w:r>
        <w:t>we</w:t>
      </w:r>
      <w:r w:rsidRPr="00A06AE6">
        <w:t xml:space="preserve"> </w:t>
      </w:r>
      <w:r w:rsidR="000B376A">
        <w:t>propose</w:t>
      </w:r>
      <w:r w:rsidRPr="00A06AE6">
        <w:t xml:space="preserve"> to disclose.</w:t>
      </w:r>
    </w:p>
    <w:p w:rsidR="00AB6E3E" w:rsidRPr="00B32C0F" w:rsidRDefault="00AB6E3E" w:rsidP="00584CD8">
      <w:pPr>
        <w:pStyle w:val="AERbulletlistfirststyle"/>
        <w:numPr>
          <w:ilvl w:val="0"/>
          <w:numId w:val="0"/>
        </w:numPr>
      </w:pPr>
      <w:r>
        <w:rPr>
          <w:rStyle w:val="AERbody"/>
        </w:rPr>
        <w:t>If within the prescribed timeframe, the NSP</w:t>
      </w:r>
      <w:r w:rsidR="000B376A">
        <w:rPr>
          <w:rStyle w:val="AERbody"/>
        </w:rPr>
        <w:t xml:space="preserve"> (or third party)</w:t>
      </w:r>
      <w:r>
        <w:rPr>
          <w:rStyle w:val="AERbody"/>
        </w:rPr>
        <w:t xml:space="preserve"> responds to the initial disclosure notice, we consider the response. </w:t>
      </w:r>
      <w:r w:rsidR="0038204D">
        <w:rPr>
          <w:rStyle w:val="AERbody"/>
        </w:rPr>
        <w:t>We disclose any information the NSP has consented to placing in the public domain. Also, w</w:t>
      </w:r>
      <w:r>
        <w:rPr>
          <w:rStyle w:val="AERbody"/>
        </w:rPr>
        <w:t>here we agree with the response, we protect th</w:t>
      </w:r>
      <w:r w:rsidR="0038204D">
        <w:rPr>
          <w:rStyle w:val="AERbody"/>
        </w:rPr>
        <w:t>at</w:t>
      </w:r>
      <w:r>
        <w:rPr>
          <w:rStyle w:val="AERbody"/>
        </w:rPr>
        <w:t xml:space="preserve"> information.</w:t>
      </w:r>
      <w:r w:rsidR="00584CD8" w:rsidRPr="00584CD8">
        <w:rPr>
          <w:rStyle w:val="AERbody"/>
        </w:rPr>
        <w:t xml:space="preserve"> </w:t>
      </w:r>
      <w:r w:rsidR="00584CD8">
        <w:rPr>
          <w:rStyle w:val="AERbody"/>
        </w:rPr>
        <w:t>Where we disagree,</w:t>
      </w:r>
      <w:r>
        <w:t xml:space="preserve"> we</w:t>
      </w:r>
      <w:r w:rsidRPr="00B32C0F">
        <w:t xml:space="preserve"> issue a further disclosure notice which</w:t>
      </w:r>
      <w:r>
        <w:t xml:space="preserve"> outlines</w:t>
      </w:r>
      <w:r w:rsidRPr="00B32C0F">
        <w:t>:</w:t>
      </w:r>
      <w:r w:rsidRPr="00F5275D">
        <w:rPr>
          <w:rStyle w:val="FootnoteReference"/>
        </w:rPr>
        <w:t xml:space="preserve"> </w:t>
      </w:r>
      <w:r w:rsidRPr="00F5275D">
        <w:rPr>
          <w:rStyle w:val="FootnoteReference"/>
        </w:rPr>
        <w:footnoteReference w:id="28"/>
      </w:r>
    </w:p>
    <w:p w:rsidR="00AB6E3E" w:rsidRDefault="00AB6E3E" w:rsidP="00AB6E3E">
      <w:pPr>
        <w:pStyle w:val="AERnumberedlistsecondstyle"/>
      </w:pPr>
      <w:r>
        <w:t>our</w:t>
      </w:r>
      <w:r w:rsidRPr="00B32C0F">
        <w:t xml:space="preserve"> intention to disclose the information</w:t>
      </w:r>
      <w:r>
        <w:t>;</w:t>
      </w:r>
    </w:p>
    <w:p w:rsidR="00AB6E3E" w:rsidRDefault="00AB6E3E" w:rsidP="00AB6E3E">
      <w:pPr>
        <w:pStyle w:val="AERnumberedlistsecondstyle"/>
      </w:pPr>
      <w:r>
        <w:t>the nature of the intended disclosure</w:t>
      </w:r>
    </w:p>
    <w:p w:rsidR="00AB6E3E" w:rsidRDefault="00AB6E3E" w:rsidP="00AB6E3E">
      <w:pPr>
        <w:pStyle w:val="AERnumberedlistsecondstyle"/>
      </w:pPr>
      <w:r>
        <w:t>reasons as to why we consider that:</w:t>
      </w:r>
    </w:p>
    <w:p w:rsidR="00AB6E3E" w:rsidRDefault="00AB6E3E" w:rsidP="00AB6E3E">
      <w:pPr>
        <w:pStyle w:val="AERnumberedlistthirdstyle"/>
      </w:pPr>
      <w:r>
        <w:t xml:space="preserve">disclosing the information will not cause detriment to the </w:t>
      </w:r>
      <w:r w:rsidR="00381C33">
        <w:t>NSP</w:t>
      </w:r>
      <w:r>
        <w:t xml:space="preserve">; or </w:t>
      </w:r>
    </w:p>
    <w:p w:rsidR="00AB6E3E" w:rsidRDefault="00AB6E3E" w:rsidP="00AB6E3E">
      <w:pPr>
        <w:pStyle w:val="AERnumberedlistthirdstyle"/>
      </w:pPr>
      <w:r>
        <w:t xml:space="preserve">the public benefit in disclosing the information outweighs any detriment to the </w:t>
      </w:r>
      <w:r w:rsidR="00381C33">
        <w:t>NSP</w:t>
      </w:r>
      <w:r>
        <w:t xml:space="preserve">. </w:t>
      </w:r>
    </w:p>
    <w:p w:rsidR="0038204D" w:rsidRDefault="0038204D" w:rsidP="0038204D">
      <w:pPr>
        <w:pStyle w:val="AERnumberedlistthirdstyle"/>
        <w:numPr>
          <w:ilvl w:val="0"/>
          <w:numId w:val="0"/>
        </w:numPr>
      </w:pPr>
      <w:r>
        <w:t>A</w:t>
      </w:r>
      <w:r w:rsidR="000B376A">
        <w:t xml:space="preserve"> NSP (or third party) </w:t>
      </w:r>
      <w:r>
        <w:t>can</w:t>
      </w:r>
      <w:r w:rsidR="00CE2EE9" w:rsidRPr="00CE2EE9">
        <w:t xml:space="preserve"> </w:t>
      </w:r>
      <w:r>
        <w:t>seek merits review of a further disclosure notice</w:t>
      </w:r>
      <w:r w:rsidR="00F824B7">
        <w:t>.</w:t>
      </w:r>
      <w:r w:rsidR="00CE2EE9">
        <w:rPr>
          <w:rStyle w:val="FootnoteReference"/>
        </w:rPr>
        <w:footnoteReference w:id="29"/>
      </w:r>
      <w:r>
        <w:t xml:space="preserve"> To date, this has not happened. </w:t>
      </w:r>
      <w:r w:rsidR="000B376A">
        <w:t xml:space="preserve">As a result we have </w:t>
      </w:r>
      <w:r>
        <w:t>disclose</w:t>
      </w:r>
      <w:r w:rsidR="000B376A">
        <w:t>d</w:t>
      </w:r>
      <w:r>
        <w:t xml:space="preserve"> the information five businesses days after the further disclosure notice.</w:t>
      </w:r>
      <w:r w:rsidR="001D41F1">
        <w:rPr>
          <w:rStyle w:val="FootnoteReference"/>
        </w:rPr>
        <w:footnoteReference w:id="30"/>
      </w:r>
    </w:p>
    <w:p w:rsidR="0038204D" w:rsidRDefault="0038204D" w:rsidP="0038204D">
      <w:pPr>
        <w:pStyle w:val="AERnumberedlistthirdstyle"/>
        <w:numPr>
          <w:ilvl w:val="0"/>
          <w:numId w:val="0"/>
        </w:numPr>
      </w:pPr>
      <w:r>
        <w:t xml:space="preserve">If </w:t>
      </w:r>
      <w:r w:rsidR="000B376A">
        <w:t xml:space="preserve">someone </w:t>
      </w:r>
      <w:r>
        <w:t>seeks merits review, the Australian Competition Tribunal has 20 business days to decide the issue. Otherwise, the AER may disclose the information.</w:t>
      </w:r>
    </w:p>
    <w:p w:rsidR="00AB6E3E" w:rsidRDefault="00AB6E3E" w:rsidP="00AB6E3E">
      <w:pPr>
        <w:pStyle w:val="AERbulletlistfirststyle"/>
        <w:numPr>
          <w:ilvl w:val="0"/>
          <w:numId w:val="0"/>
        </w:numPr>
        <w:rPr>
          <w:rStyle w:val="AERbody"/>
        </w:rPr>
      </w:pPr>
      <w:r>
        <w:rPr>
          <w:rStyle w:val="AERbody"/>
        </w:rPr>
        <w:t xml:space="preserve">It is clear that </w:t>
      </w:r>
      <w:r w:rsidR="0038204D">
        <w:rPr>
          <w:rStyle w:val="AERbody"/>
        </w:rPr>
        <w:t xml:space="preserve">stage two of the process </w:t>
      </w:r>
      <w:r>
        <w:rPr>
          <w:rStyle w:val="AERbody"/>
        </w:rPr>
        <w:t xml:space="preserve">is very formal, resource intensive and places an additional administrative burden on </w:t>
      </w:r>
      <w:r w:rsidR="00381C33">
        <w:rPr>
          <w:rStyle w:val="AERbody"/>
        </w:rPr>
        <w:t>NSP</w:t>
      </w:r>
      <w:r>
        <w:rPr>
          <w:rStyle w:val="AERbody"/>
        </w:rPr>
        <w:t>s</w:t>
      </w:r>
      <w:r w:rsidR="000B376A">
        <w:rPr>
          <w:rStyle w:val="AERbody"/>
        </w:rPr>
        <w:t>, third parties</w:t>
      </w:r>
      <w:r>
        <w:rPr>
          <w:rStyle w:val="AERbody"/>
        </w:rPr>
        <w:t xml:space="preserve"> and us. We </w:t>
      </w:r>
      <w:r w:rsidR="00273129">
        <w:rPr>
          <w:rStyle w:val="AERbody"/>
        </w:rPr>
        <w:t xml:space="preserve">would prefer to avoid stage two. Therefore, we </w:t>
      </w:r>
      <w:r>
        <w:rPr>
          <w:rStyle w:val="AERbody"/>
        </w:rPr>
        <w:t xml:space="preserve">are aiming for the confidentiality </w:t>
      </w:r>
      <w:r w:rsidR="00381C33">
        <w:rPr>
          <w:rStyle w:val="AERbody"/>
        </w:rPr>
        <w:t>guidelines</w:t>
      </w:r>
      <w:r>
        <w:rPr>
          <w:rStyle w:val="AERbody"/>
        </w:rPr>
        <w:t xml:space="preserve"> to </w:t>
      </w:r>
      <w:r w:rsidR="004A437E">
        <w:rPr>
          <w:rStyle w:val="AERbody"/>
        </w:rPr>
        <w:t>strengthen</w:t>
      </w:r>
      <w:r w:rsidR="00273129">
        <w:rPr>
          <w:rStyle w:val="AERbody"/>
        </w:rPr>
        <w:t xml:space="preserve"> our existing stage one processes. The confidentiality guidelines would </w:t>
      </w:r>
      <w:r>
        <w:rPr>
          <w:rStyle w:val="AERbody"/>
        </w:rPr>
        <w:t xml:space="preserve">put in place a set of clear and well understood procedures that outline the way in which </w:t>
      </w:r>
      <w:r w:rsidR="00381C33">
        <w:rPr>
          <w:rStyle w:val="AERbody"/>
        </w:rPr>
        <w:t>NSP</w:t>
      </w:r>
      <w:r>
        <w:rPr>
          <w:rStyle w:val="AERbody"/>
        </w:rPr>
        <w:t xml:space="preserve">s may make confidentiality claims in their submissions. Also, we aim for the confidentiality </w:t>
      </w:r>
      <w:r w:rsidR="00381C33">
        <w:rPr>
          <w:rStyle w:val="AERbody"/>
        </w:rPr>
        <w:t>guidelines</w:t>
      </w:r>
      <w:r>
        <w:rPr>
          <w:rStyle w:val="AERbody"/>
        </w:rPr>
        <w:t xml:space="preserve"> to provide </w:t>
      </w:r>
      <w:r w:rsidR="00381C33">
        <w:rPr>
          <w:rStyle w:val="AERbody"/>
        </w:rPr>
        <w:t>NSP</w:t>
      </w:r>
      <w:r>
        <w:rPr>
          <w:rStyle w:val="AERbody"/>
        </w:rPr>
        <w:t xml:space="preserve">s with a clear understanding of information we </w:t>
      </w:r>
      <w:r w:rsidR="000B376A">
        <w:rPr>
          <w:rStyle w:val="AERbody"/>
        </w:rPr>
        <w:t xml:space="preserve">will generally </w:t>
      </w:r>
      <w:r>
        <w:rPr>
          <w:rStyle w:val="AERbody"/>
        </w:rPr>
        <w:lastRenderedPageBreak/>
        <w:t>protect</w:t>
      </w:r>
      <w:r w:rsidR="000B376A">
        <w:rPr>
          <w:rStyle w:val="AERbody"/>
        </w:rPr>
        <w:t xml:space="preserve"> and disclose</w:t>
      </w:r>
      <w:r>
        <w:rPr>
          <w:rStyle w:val="AERbody"/>
        </w:rPr>
        <w:t xml:space="preserve">. In turn, the confidentiality </w:t>
      </w:r>
      <w:r w:rsidR="00381C33">
        <w:rPr>
          <w:rStyle w:val="AERbody"/>
        </w:rPr>
        <w:t>guidelines</w:t>
      </w:r>
      <w:r>
        <w:rPr>
          <w:rStyle w:val="AERbody"/>
        </w:rPr>
        <w:t xml:space="preserve"> may reduce the need for us to use </w:t>
      </w:r>
      <w:r w:rsidR="000B376A">
        <w:rPr>
          <w:rStyle w:val="AERbody"/>
        </w:rPr>
        <w:t xml:space="preserve">the </w:t>
      </w:r>
      <w:r w:rsidR="003573D7">
        <w:rPr>
          <w:rStyle w:val="AERbody"/>
        </w:rPr>
        <w:t xml:space="preserve">stage two </w:t>
      </w:r>
      <w:r w:rsidR="000B376A">
        <w:rPr>
          <w:rStyle w:val="AERbody"/>
        </w:rPr>
        <w:t>information disclosure powers</w:t>
      </w:r>
      <w:r>
        <w:rPr>
          <w:rStyle w:val="AERbody"/>
        </w:rPr>
        <w:t xml:space="preserve">. </w:t>
      </w:r>
    </w:p>
    <w:p w:rsidR="003D1275" w:rsidRDefault="003D1275" w:rsidP="002D6510">
      <w:pPr>
        <w:pStyle w:val="Heading1"/>
      </w:pPr>
      <w:bookmarkStart w:id="19" w:name="_Toc349834054"/>
      <w:r w:rsidRPr="002D6510">
        <w:lastRenderedPageBreak/>
        <w:t xml:space="preserve">Developing </w:t>
      </w:r>
      <w:r w:rsidR="00066BB7" w:rsidRPr="002D6510">
        <w:t>the confidentiality guideline</w:t>
      </w:r>
      <w:r w:rsidR="003161E8">
        <w:t>s</w:t>
      </w:r>
      <w:bookmarkEnd w:id="19"/>
      <w:r w:rsidR="000E66F9" w:rsidRPr="002D6510">
        <w:t xml:space="preserve"> </w:t>
      </w:r>
      <w:bookmarkEnd w:id="14"/>
      <w:bookmarkEnd w:id="15"/>
    </w:p>
    <w:p w:rsidR="003161E8" w:rsidRPr="001F1010" w:rsidRDefault="003161E8" w:rsidP="003161E8">
      <w:pPr>
        <w:pStyle w:val="AERbulletlistfirststyle"/>
        <w:numPr>
          <w:ilvl w:val="0"/>
          <w:numId w:val="0"/>
        </w:numPr>
        <w:rPr>
          <w:rStyle w:val="AERbody"/>
        </w:rPr>
      </w:pPr>
      <w:r>
        <w:t>T</w:t>
      </w:r>
      <w:r w:rsidR="003573D7">
        <w:t xml:space="preserve">he confidentiality guidelines </w:t>
      </w:r>
      <w:r>
        <w:t xml:space="preserve">must </w:t>
      </w:r>
      <w:r w:rsidR="003573D7">
        <w:t xml:space="preserve">specify the manner in which NSPs may make confidentiality claims in their </w:t>
      </w:r>
      <w:r w:rsidR="003573D7">
        <w:rPr>
          <w:rStyle w:val="AERbody"/>
        </w:rPr>
        <w:t>regulatory proposals, revenue proposals and proposed pricing methodologies</w:t>
      </w:r>
      <w:r>
        <w:rPr>
          <w:rStyle w:val="AERbody"/>
        </w:rPr>
        <w:t>. This may include specifying categories of confidential information by reference to which NSPs must classify any confidentiality claims.</w:t>
      </w:r>
      <w:r w:rsidR="00986676">
        <w:rPr>
          <w:rStyle w:val="FootnoteReference"/>
        </w:rPr>
        <w:footnoteReference w:id="31"/>
      </w:r>
      <w:r>
        <w:rPr>
          <w:rStyle w:val="AERbody"/>
        </w:rPr>
        <w:t xml:space="preserve"> Also, we must publish a notice on our website that sets out th</w:t>
      </w:r>
      <w:r w:rsidRPr="001F1010">
        <w:rPr>
          <w:rStyle w:val="AERbody"/>
        </w:rPr>
        <w:t xml:space="preserve">e proportion of material in </w:t>
      </w:r>
      <w:r>
        <w:rPr>
          <w:rStyle w:val="AERbody"/>
        </w:rPr>
        <w:t>a NSP's</w:t>
      </w:r>
      <w:r w:rsidRPr="001F1010">
        <w:rPr>
          <w:rStyle w:val="AERbody"/>
        </w:rPr>
        <w:t xml:space="preserve"> regulatory proposal, revenue proposal or proposed pricing methodology that is subject to </w:t>
      </w:r>
      <w:r>
        <w:rPr>
          <w:rStyle w:val="AERbody"/>
        </w:rPr>
        <w:t>a</w:t>
      </w:r>
      <w:r w:rsidRPr="001F1010">
        <w:rPr>
          <w:rStyle w:val="AERbody"/>
        </w:rPr>
        <w:t xml:space="preserve"> claim of confidentiality compared to that which is not.</w:t>
      </w:r>
      <w:r w:rsidRPr="001F1010">
        <w:rPr>
          <w:rStyle w:val="FootnoteReference"/>
        </w:rPr>
        <w:footnoteReference w:id="32"/>
      </w:r>
      <w:r w:rsidRPr="001F1010">
        <w:rPr>
          <w:rStyle w:val="AERbody"/>
        </w:rPr>
        <w:t xml:space="preserve"> </w:t>
      </w:r>
      <w:r>
        <w:rPr>
          <w:rStyle w:val="AERbody"/>
        </w:rPr>
        <w:t>This process also applies to a NSP’s</w:t>
      </w:r>
      <w:r w:rsidRPr="001F1010">
        <w:rPr>
          <w:rStyle w:val="AERbody"/>
        </w:rPr>
        <w:t xml:space="preserve"> revised revenue proposal, revised regulatory proposal and revised proposed pricing methodology</w:t>
      </w:r>
      <w:r>
        <w:rPr>
          <w:rStyle w:val="AERbody"/>
        </w:rPr>
        <w:t>.</w:t>
      </w:r>
      <w:r w:rsidRPr="001F1010">
        <w:rPr>
          <w:rStyle w:val="FootnoteReference"/>
        </w:rPr>
        <w:footnoteReference w:id="33"/>
      </w:r>
    </w:p>
    <w:p w:rsidR="003573D7" w:rsidRPr="003573D7" w:rsidRDefault="003161E8" w:rsidP="003573D7">
      <w:pPr>
        <w:pStyle w:val="AERbodytext"/>
      </w:pPr>
      <w:r>
        <w:rPr>
          <w:rStyle w:val="AERbody"/>
        </w:rPr>
        <w:t>This section discusses all of the above and other issues we consider relevant to NSPs making confidentiality claims.</w:t>
      </w:r>
    </w:p>
    <w:p w:rsidR="003161E8" w:rsidRPr="00CD226E" w:rsidRDefault="003161E8" w:rsidP="003161E8">
      <w:pPr>
        <w:pStyle w:val="Heading2"/>
        <w:rPr>
          <w:rStyle w:val="AERbody"/>
          <w:color w:val="E36C0A"/>
          <w:sz w:val="28"/>
        </w:rPr>
      </w:pPr>
      <w:bookmarkStart w:id="20" w:name="_Toc349834055"/>
      <w:r>
        <w:rPr>
          <w:rStyle w:val="AERbody"/>
          <w:color w:val="E36C0A"/>
          <w:sz w:val="28"/>
        </w:rPr>
        <w:t xml:space="preserve">Manner in which NSPs may </w:t>
      </w:r>
      <w:r w:rsidRPr="00CD226E">
        <w:rPr>
          <w:rStyle w:val="AERbody"/>
          <w:color w:val="E36C0A"/>
          <w:sz w:val="28"/>
        </w:rPr>
        <w:t>mak</w:t>
      </w:r>
      <w:r>
        <w:rPr>
          <w:rStyle w:val="AERbody"/>
          <w:color w:val="E36C0A"/>
          <w:sz w:val="28"/>
        </w:rPr>
        <w:t>e</w:t>
      </w:r>
      <w:r w:rsidRPr="00CD226E">
        <w:rPr>
          <w:rStyle w:val="AERbody"/>
          <w:color w:val="E36C0A"/>
          <w:sz w:val="28"/>
        </w:rPr>
        <w:t xml:space="preserve"> confidentiality claims</w:t>
      </w:r>
      <w:bookmarkEnd w:id="20"/>
    </w:p>
    <w:p w:rsidR="003161E8" w:rsidRDefault="004F7B4C" w:rsidP="003161E8">
      <w:pPr>
        <w:pStyle w:val="AERbulletlistfirststyle"/>
        <w:numPr>
          <w:ilvl w:val="0"/>
          <w:numId w:val="0"/>
        </w:numPr>
        <w:rPr>
          <w:rStyle w:val="AERbody"/>
        </w:rPr>
      </w:pPr>
      <w:r>
        <w:t>As discussed above, the confidentiality guidelines must specify the manner in which NSPs may make confidentiality claims</w:t>
      </w:r>
      <w:r>
        <w:rPr>
          <w:rStyle w:val="AERbody"/>
        </w:rPr>
        <w:t xml:space="preserve">. </w:t>
      </w:r>
      <w:r w:rsidR="003161E8">
        <w:rPr>
          <w:rStyle w:val="AERbody"/>
        </w:rPr>
        <w:t>Recently,</w:t>
      </w:r>
      <w:r w:rsidR="003161E8" w:rsidRPr="00F353AF">
        <w:rPr>
          <w:rStyle w:val="AERbody"/>
        </w:rPr>
        <w:t xml:space="preserve"> </w:t>
      </w:r>
      <w:r w:rsidR="003161E8">
        <w:rPr>
          <w:rStyle w:val="AERbody"/>
        </w:rPr>
        <w:t>we have used</w:t>
      </w:r>
      <w:r w:rsidR="003161E8" w:rsidRPr="00F353AF">
        <w:rPr>
          <w:rStyle w:val="AERbody"/>
        </w:rPr>
        <w:t xml:space="preserve"> a template </w:t>
      </w:r>
      <w:r w:rsidR="003161E8">
        <w:rPr>
          <w:rStyle w:val="AERbody"/>
        </w:rPr>
        <w:t>which outlines</w:t>
      </w:r>
      <w:r w:rsidR="003161E8" w:rsidRPr="00F353AF">
        <w:rPr>
          <w:rStyle w:val="AERbody"/>
        </w:rPr>
        <w:t xml:space="preserve"> how </w:t>
      </w:r>
      <w:r w:rsidR="003161E8">
        <w:rPr>
          <w:rStyle w:val="AERbody"/>
        </w:rPr>
        <w:t>NSPs</w:t>
      </w:r>
      <w:r w:rsidR="003161E8" w:rsidRPr="00F353AF">
        <w:rPr>
          <w:rStyle w:val="AERbody"/>
        </w:rPr>
        <w:t xml:space="preserve"> are to identify and make confidentiality claims. </w:t>
      </w:r>
      <w:r w:rsidR="003161E8">
        <w:rPr>
          <w:rStyle w:val="AERbody"/>
        </w:rPr>
        <w:t>Based on this template</w:t>
      </w:r>
      <w:r w:rsidR="00986676">
        <w:rPr>
          <w:rStyle w:val="AERbody"/>
        </w:rPr>
        <w:t xml:space="preserve"> (attachment 1)</w:t>
      </w:r>
      <w:r w:rsidR="003161E8">
        <w:rPr>
          <w:rStyle w:val="AERbody"/>
        </w:rPr>
        <w:t xml:space="preserve">, we propose a template for NSPs to apply when making confidentiality claims </w:t>
      </w:r>
      <w:r w:rsidR="00986676">
        <w:rPr>
          <w:rStyle w:val="AERbody"/>
        </w:rPr>
        <w:t xml:space="preserve">in accordance with </w:t>
      </w:r>
      <w:r w:rsidR="003161E8">
        <w:rPr>
          <w:rStyle w:val="AERbody"/>
        </w:rPr>
        <w:t xml:space="preserve">the confidentiality </w:t>
      </w:r>
      <w:r w:rsidR="00381C33">
        <w:rPr>
          <w:rStyle w:val="AERbody"/>
        </w:rPr>
        <w:t>guidelines</w:t>
      </w:r>
      <w:r w:rsidR="003161E8">
        <w:rPr>
          <w:rStyle w:val="AERbody"/>
        </w:rPr>
        <w:t xml:space="preserve">. </w:t>
      </w:r>
    </w:p>
    <w:p w:rsidR="003161E8" w:rsidRDefault="003161E8" w:rsidP="003161E8">
      <w:pPr>
        <w:pStyle w:val="AERbulletlistfirststyle"/>
        <w:numPr>
          <w:ilvl w:val="0"/>
          <w:numId w:val="0"/>
        </w:numPr>
        <w:rPr>
          <w:rStyle w:val="AERbody"/>
        </w:rPr>
      </w:pPr>
      <w:r>
        <w:rPr>
          <w:rStyle w:val="AERbody"/>
        </w:rPr>
        <w:t>Under this approach we would require NSPs to:</w:t>
      </w:r>
    </w:p>
    <w:p w:rsidR="003161E8" w:rsidRDefault="003161E8" w:rsidP="003161E8">
      <w:pPr>
        <w:pStyle w:val="AERbulletlistfirststyle"/>
        <w:rPr>
          <w:rStyle w:val="AERbody"/>
        </w:rPr>
      </w:pPr>
      <w:r>
        <w:rPr>
          <w:rStyle w:val="AERbody"/>
        </w:rPr>
        <w:t xml:space="preserve">clearly identify by page and paragraph number the sections of documents which </w:t>
      </w:r>
      <w:r w:rsidRPr="00C824B7">
        <w:rPr>
          <w:rStyle w:val="AERbody"/>
        </w:rPr>
        <w:t>c</w:t>
      </w:r>
      <w:r>
        <w:rPr>
          <w:rStyle w:val="AERbody"/>
        </w:rPr>
        <w:t>ontain information they consider we should protect;</w:t>
      </w:r>
    </w:p>
    <w:p w:rsidR="003161E8" w:rsidRDefault="003161E8" w:rsidP="003161E8">
      <w:pPr>
        <w:pStyle w:val="AERbulletlistfirststyle"/>
        <w:rPr>
          <w:rStyle w:val="AERbody"/>
        </w:rPr>
      </w:pPr>
      <w:r>
        <w:rPr>
          <w:rStyle w:val="AERbody"/>
        </w:rPr>
        <w:t xml:space="preserve">submit a public and confidential version of the document.  </w:t>
      </w:r>
    </w:p>
    <w:p w:rsidR="003161E8" w:rsidRDefault="003161E8" w:rsidP="003161E8">
      <w:pPr>
        <w:pStyle w:val="AERbulletlistfirststyle"/>
        <w:numPr>
          <w:ilvl w:val="1"/>
          <w:numId w:val="2"/>
        </w:numPr>
        <w:rPr>
          <w:rStyle w:val="AERbody"/>
        </w:rPr>
      </w:pPr>
      <w:r>
        <w:rPr>
          <w:rStyle w:val="AERbody"/>
        </w:rPr>
        <w:t xml:space="preserve">the public version must clearly identify the information the NSP wants us to protect. It must redact or 'black out' that information. So as to retain the same formatting and page numbers as the confidential version NSPs must not delete the redacted information. Apart from the redacted information, </w:t>
      </w:r>
      <w:r w:rsidRPr="0006644C">
        <w:rPr>
          <w:rStyle w:val="AERbody"/>
        </w:rPr>
        <w:t>the public version must be identical to the confidential</w:t>
      </w:r>
      <w:r>
        <w:rPr>
          <w:rStyle w:val="AERbody"/>
        </w:rPr>
        <w:t xml:space="preserve"> version;</w:t>
      </w:r>
    </w:p>
    <w:p w:rsidR="003161E8" w:rsidRDefault="003161E8" w:rsidP="003161E8">
      <w:pPr>
        <w:pStyle w:val="AERbulletlistfirststyle"/>
        <w:numPr>
          <w:ilvl w:val="1"/>
          <w:numId w:val="2"/>
        </w:numPr>
        <w:rPr>
          <w:rStyle w:val="AERbody"/>
        </w:rPr>
      </w:pPr>
      <w:r>
        <w:rPr>
          <w:rStyle w:val="AERbody"/>
        </w:rPr>
        <w:t>the confidential version must clearly identify the parts of the document which contain information the NSP wants us to protect. This is to be done by highlighting the confidential information in yellow shading;</w:t>
      </w:r>
    </w:p>
    <w:p w:rsidR="00986676" w:rsidRPr="0006644C" w:rsidRDefault="00986676" w:rsidP="003161E8">
      <w:pPr>
        <w:pStyle w:val="AERbulletlistfirststyle"/>
        <w:numPr>
          <w:ilvl w:val="1"/>
          <w:numId w:val="2"/>
        </w:numPr>
        <w:rPr>
          <w:rStyle w:val="AERbody"/>
        </w:rPr>
      </w:pPr>
      <w:r>
        <w:rPr>
          <w:rStyle w:val="AERbody"/>
        </w:rPr>
        <w:t xml:space="preserve">for electronic documents </w:t>
      </w:r>
      <w:r w:rsidR="00BE7E52">
        <w:rPr>
          <w:rStyle w:val="AERbody"/>
        </w:rPr>
        <w:t xml:space="preserve">specify in the filename </w:t>
      </w:r>
      <w:r>
        <w:rPr>
          <w:rStyle w:val="AERbody"/>
        </w:rPr>
        <w:t>whether the docume</w:t>
      </w:r>
      <w:r w:rsidR="00CE6EC5">
        <w:rPr>
          <w:rStyle w:val="AERbody"/>
        </w:rPr>
        <w:t>nt is “public” or “confidential</w:t>
      </w:r>
      <w:r>
        <w:rPr>
          <w:rStyle w:val="AERbody"/>
        </w:rPr>
        <w:t>”</w:t>
      </w:r>
      <w:r w:rsidR="00CE6EC5">
        <w:rPr>
          <w:rStyle w:val="AERbody"/>
        </w:rPr>
        <w:t>;</w:t>
      </w:r>
    </w:p>
    <w:p w:rsidR="003161E8" w:rsidRDefault="003161E8" w:rsidP="003161E8">
      <w:pPr>
        <w:pStyle w:val="AERbulletlistfirststyle"/>
        <w:rPr>
          <w:rStyle w:val="AERbody"/>
        </w:rPr>
      </w:pPr>
      <w:r>
        <w:rPr>
          <w:rStyle w:val="AERbody"/>
        </w:rPr>
        <w:t xml:space="preserve">identify any </w:t>
      </w:r>
      <w:r w:rsidRPr="00C824B7">
        <w:rPr>
          <w:rStyle w:val="AERbody"/>
        </w:rPr>
        <w:t xml:space="preserve">category </w:t>
      </w:r>
      <w:r>
        <w:rPr>
          <w:rStyle w:val="AERbody"/>
        </w:rPr>
        <w:t>the</w:t>
      </w:r>
      <w:r w:rsidRPr="00C824B7">
        <w:rPr>
          <w:rStyle w:val="AERbody"/>
        </w:rPr>
        <w:t xml:space="preserve"> information falls </w:t>
      </w:r>
      <w:r>
        <w:rPr>
          <w:rStyle w:val="AERbody"/>
        </w:rPr>
        <w:t xml:space="preserve">under (see </w:t>
      </w:r>
      <w:r w:rsidRPr="00CE1659">
        <w:rPr>
          <w:rStyle w:val="AERbody"/>
        </w:rPr>
        <w:t xml:space="preserve">section </w:t>
      </w:r>
      <w:fldSimple w:instr=" REF _Ref349201498 \r \h  \* MERGEFORMAT ">
        <w:r w:rsidR="0074400E" w:rsidRPr="00CE1659">
          <w:rPr>
            <w:rStyle w:val="AERbody"/>
          </w:rPr>
          <w:t>4.2</w:t>
        </w:r>
      </w:fldSimple>
      <w:r w:rsidRPr="0074400E">
        <w:rPr>
          <w:rStyle w:val="AERbody"/>
        </w:rPr>
        <w:t>);</w:t>
      </w:r>
      <w:r>
        <w:rPr>
          <w:rStyle w:val="AERbody"/>
        </w:rPr>
        <w:t xml:space="preserve"> and</w:t>
      </w:r>
    </w:p>
    <w:p w:rsidR="003161E8" w:rsidRDefault="003161E8" w:rsidP="003161E8">
      <w:pPr>
        <w:pStyle w:val="AERbulletlistfirststyle"/>
        <w:rPr>
          <w:rStyle w:val="AERbody"/>
        </w:rPr>
      </w:pPr>
      <w:r>
        <w:rPr>
          <w:rStyle w:val="AERbody"/>
        </w:rPr>
        <w:t xml:space="preserve">provide reasons why </w:t>
      </w:r>
      <w:r w:rsidR="00986676">
        <w:rPr>
          <w:rStyle w:val="AERbody"/>
        </w:rPr>
        <w:t xml:space="preserve">the NSP considers </w:t>
      </w:r>
      <w:r>
        <w:rPr>
          <w:rStyle w:val="AERbody"/>
        </w:rPr>
        <w:t xml:space="preserve">we should protect the </w:t>
      </w:r>
      <w:r w:rsidRPr="00C824B7">
        <w:rPr>
          <w:rStyle w:val="AERbody"/>
        </w:rPr>
        <w:t xml:space="preserve">information. </w:t>
      </w:r>
      <w:r>
        <w:rPr>
          <w:rStyle w:val="AERbody"/>
        </w:rPr>
        <w:t xml:space="preserve">Reasons </w:t>
      </w:r>
      <w:r w:rsidR="00BE7E52">
        <w:rPr>
          <w:rStyle w:val="AERbody"/>
        </w:rPr>
        <w:t>should</w:t>
      </w:r>
      <w:r>
        <w:rPr>
          <w:rStyle w:val="AERbody"/>
        </w:rPr>
        <w:t xml:space="preserve"> </w:t>
      </w:r>
      <w:r w:rsidR="00986676">
        <w:rPr>
          <w:rStyle w:val="AERbody"/>
        </w:rPr>
        <w:t xml:space="preserve">explain </w:t>
      </w:r>
      <w:r>
        <w:rPr>
          <w:rStyle w:val="AERbody"/>
        </w:rPr>
        <w:t xml:space="preserve">how </w:t>
      </w:r>
      <w:r w:rsidR="007E23BF">
        <w:rPr>
          <w:rStyle w:val="AERbody"/>
        </w:rPr>
        <w:t>disclosure would cause detriment to the NSP and</w:t>
      </w:r>
      <w:r w:rsidR="00FC5AC4">
        <w:rPr>
          <w:rStyle w:val="AERbody"/>
        </w:rPr>
        <w:t xml:space="preserve"> why the public benefit in disclosing this information does not outweigh this detriment. </w:t>
      </w:r>
    </w:p>
    <w:bookmarkStart w:id="21" w:name="_Ref349039668"/>
    <w:p w:rsidR="00A92ABF" w:rsidRDefault="00807A41" w:rsidP="00A92ABF">
      <w:pPr>
        <w:pStyle w:val="AERbulletlistfirststyle"/>
        <w:numPr>
          <w:ilvl w:val="0"/>
          <w:numId w:val="0"/>
        </w:numPr>
        <w:rPr>
          <w:rStyle w:val="AERtextbold"/>
        </w:rPr>
      </w:pPr>
      <w:r>
        <w:pict>
          <v:shape id="_x0000_s1110" type="#_x0000_t202" style="width:458.35pt;height:62.9pt;mso-position-horizontal-relative:char;mso-position-vertical-relative:line;mso-width-relative:margin;mso-height-relative:margin">
            <v:textbox style="mso-next-textbox:#_x0000_s1110">
              <w:txbxContent>
                <w:p w:rsidR="0079718F" w:rsidRDefault="0079718F" w:rsidP="00807A41">
                  <w:pPr>
                    <w:pStyle w:val="Caption"/>
                    <w:rPr>
                      <w:rStyle w:val="AERbody"/>
                    </w:rPr>
                  </w:pPr>
                  <w:r>
                    <w:t>Question 1</w:t>
                  </w:r>
                </w:p>
                <w:p w:rsidR="0079718F" w:rsidRDefault="0079718F" w:rsidP="00807A41">
                  <w:r w:rsidRPr="00D26605">
                    <w:rPr>
                      <w:rStyle w:val="AERbody"/>
                    </w:rPr>
                    <w:t>W</w:t>
                  </w:r>
                  <w:r>
                    <w:rPr>
                      <w:rStyle w:val="AERbody"/>
                    </w:rPr>
                    <w:t>hat are</w:t>
                  </w:r>
                  <w:r w:rsidRPr="00D26605">
                    <w:rPr>
                      <w:rStyle w:val="AERbody"/>
                    </w:rPr>
                    <w:t xml:space="preserve"> stakeholders</w:t>
                  </w:r>
                  <w:r>
                    <w:rPr>
                      <w:rStyle w:val="AERbody"/>
                    </w:rPr>
                    <w:t>’ views</w:t>
                  </w:r>
                  <w:r w:rsidRPr="00D26605">
                    <w:rPr>
                      <w:rStyle w:val="AERbody"/>
                    </w:rPr>
                    <w:t xml:space="preserve"> </w:t>
                  </w:r>
                  <w:r>
                    <w:rPr>
                      <w:rStyle w:val="AERbody"/>
                    </w:rPr>
                    <w:t>on requiring NSPs to make confidentiality claims using the template in Attachment 1?</w:t>
                  </w:r>
                </w:p>
              </w:txbxContent>
            </v:textbox>
            <w10:wrap type="none"/>
            <w10:anchorlock/>
          </v:shape>
        </w:pict>
      </w:r>
    </w:p>
    <w:p w:rsidR="00884295" w:rsidRPr="00CD226E" w:rsidRDefault="00884295" w:rsidP="00CD226E">
      <w:pPr>
        <w:pStyle w:val="Heading2"/>
        <w:rPr>
          <w:rStyle w:val="AERbody"/>
          <w:color w:val="E36C0A"/>
          <w:sz w:val="28"/>
        </w:rPr>
      </w:pPr>
      <w:bookmarkStart w:id="22" w:name="_Ref349201498"/>
      <w:bookmarkStart w:id="23" w:name="_Toc349834056"/>
      <w:r w:rsidRPr="00CD226E">
        <w:rPr>
          <w:rStyle w:val="AERbody"/>
          <w:color w:val="E36C0A"/>
          <w:sz w:val="28"/>
        </w:rPr>
        <w:t xml:space="preserve">Categories </w:t>
      </w:r>
      <w:r w:rsidR="00300FD2">
        <w:rPr>
          <w:rStyle w:val="AERbody"/>
          <w:color w:val="E36C0A"/>
          <w:sz w:val="28"/>
        </w:rPr>
        <w:t xml:space="preserve">or lists </w:t>
      </w:r>
      <w:r w:rsidRPr="00CD226E">
        <w:rPr>
          <w:rStyle w:val="AERbody"/>
          <w:color w:val="E36C0A"/>
          <w:sz w:val="28"/>
        </w:rPr>
        <w:t>of confidential information</w:t>
      </w:r>
      <w:bookmarkEnd w:id="21"/>
      <w:bookmarkEnd w:id="22"/>
      <w:bookmarkEnd w:id="23"/>
    </w:p>
    <w:p w:rsidR="00F25D4C" w:rsidRDefault="004F7B4C" w:rsidP="00FA2B61">
      <w:pPr>
        <w:pStyle w:val="AERbulletlistfirststyle"/>
        <w:numPr>
          <w:ilvl w:val="0"/>
          <w:numId w:val="0"/>
        </w:numPr>
        <w:rPr>
          <w:rStyle w:val="AERbody"/>
        </w:rPr>
      </w:pPr>
      <w:r>
        <w:rPr>
          <w:rStyle w:val="AERbody"/>
        </w:rPr>
        <w:t>T</w:t>
      </w:r>
      <w:r w:rsidR="00E731AF">
        <w:rPr>
          <w:rStyle w:val="AERbody"/>
        </w:rPr>
        <w:t xml:space="preserve">he confidentiality guidelines </w:t>
      </w:r>
      <w:r w:rsidR="0026096B">
        <w:rPr>
          <w:rStyle w:val="AERbody"/>
        </w:rPr>
        <w:t>may include categories of confidential information</w:t>
      </w:r>
      <w:r w:rsidR="00E731AF">
        <w:rPr>
          <w:rStyle w:val="AERbody"/>
        </w:rPr>
        <w:t xml:space="preserve">. </w:t>
      </w:r>
      <w:r w:rsidR="002A577F">
        <w:rPr>
          <w:rStyle w:val="AERbody"/>
        </w:rPr>
        <w:t>If it does, a</w:t>
      </w:r>
      <w:r w:rsidR="00E731AF">
        <w:rPr>
          <w:rStyle w:val="AERbody"/>
        </w:rPr>
        <w:t xml:space="preserve"> </w:t>
      </w:r>
      <w:r w:rsidR="0026096B">
        <w:rPr>
          <w:rStyle w:val="AERbody"/>
        </w:rPr>
        <w:t>N</w:t>
      </w:r>
      <w:r w:rsidR="00B76314">
        <w:rPr>
          <w:rStyle w:val="AERbody"/>
        </w:rPr>
        <w:t>SP</w:t>
      </w:r>
      <w:r w:rsidR="0026096B">
        <w:rPr>
          <w:rStyle w:val="AERbody"/>
        </w:rPr>
        <w:t xml:space="preserve"> must classify </w:t>
      </w:r>
      <w:r w:rsidR="00E731AF">
        <w:rPr>
          <w:rStyle w:val="AERbody"/>
        </w:rPr>
        <w:t>the information it claims confidentiality over into these categories</w:t>
      </w:r>
      <w:r w:rsidR="0026096B">
        <w:rPr>
          <w:rStyle w:val="AERbody"/>
        </w:rPr>
        <w:t xml:space="preserve">. </w:t>
      </w:r>
    </w:p>
    <w:p w:rsidR="00305B9E" w:rsidRDefault="004D04E7" w:rsidP="00FA2B61">
      <w:pPr>
        <w:pStyle w:val="AERbulletlistfirststyle"/>
        <w:numPr>
          <w:ilvl w:val="0"/>
          <w:numId w:val="0"/>
        </w:numPr>
        <w:rPr>
          <w:rStyle w:val="AERbody"/>
        </w:rPr>
      </w:pPr>
      <w:r>
        <w:rPr>
          <w:rStyle w:val="AERbody"/>
        </w:rPr>
        <w:t>We</w:t>
      </w:r>
      <w:r w:rsidR="0026096B">
        <w:rPr>
          <w:rStyle w:val="AERbody"/>
        </w:rPr>
        <w:t xml:space="preserve"> </w:t>
      </w:r>
      <w:r w:rsidR="002A577F">
        <w:rPr>
          <w:rStyle w:val="AERbody"/>
        </w:rPr>
        <w:t xml:space="preserve">are considering whether it is </w:t>
      </w:r>
      <w:r w:rsidR="00986676">
        <w:rPr>
          <w:rStyle w:val="AERbody"/>
        </w:rPr>
        <w:t xml:space="preserve">appropriate </w:t>
      </w:r>
      <w:r w:rsidR="002A577F">
        <w:rPr>
          <w:rStyle w:val="AERbody"/>
        </w:rPr>
        <w:t xml:space="preserve">for the confidentiality </w:t>
      </w:r>
      <w:r w:rsidR="00381C33">
        <w:rPr>
          <w:rStyle w:val="AERbody"/>
        </w:rPr>
        <w:t>guidelines</w:t>
      </w:r>
      <w:r w:rsidR="002A577F">
        <w:rPr>
          <w:rStyle w:val="AERbody"/>
        </w:rPr>
        <w:t xml:space="preserve"> to include categories. Ultimately, </w:t>
      </w:r>
      <w:r w:rsidR="000778E1">
        <w:rPr>
          <w:rStyle w:val="AERbody"/>
        </w:rPr>
        <w:t xml:space="preserve">the law </w:t>
      </w:r>
      <w:r w:rsidR="002A577F">
        <w:rPr>
          <w:rStyle w:val="AERbody"/>
        </w:rPr>
        <w:t xml:space="preserve">will determine whether we </w:t>
      </w:r>
      <w:r w:rsidR="00423C49">
        <w:rPr>
          <w:rStyle w:val="AERbody"/>
        </w:rPr>
        <w:t>may</w:t>
      </w:r>
      <w:r w:rsidR="002A577F">
        <w:rPr>
          <w:rStyle w:val="AERbody"/>
        </w:rPr>
        <w:t xml:space="preserve"> disclose information. Whether or not an NSP classifies its confidentiality claims into categories does not change how we must apply the </w:t>
      </w:r>
      <w:r w:rsidR="000778E1">
        <w:rPr>
          <w:rStyle w:val="AERbody"/>
        </w:rPr>
        <w:t xml:space="preserve">law, including the </w:t>
      </w:r>
      <w:r w:rsidR="004A437E">
        <w:rPr>
          <w:rStyle w:val="AERbody"/>
        </w:rPr>
        <w:t xml:space="preserve">28ZB </w:t>
      </w:r>
      <w:r w:rsidR="002A577F">
        <w:rPr>
          <w:rStyle w:val="AERbody"/>
        </w:rPr>
        <w:t xml:space="preserve">test. </w:t>
      </w:r>
    </w:p>
    <w:p w:rsidR="002A577F" w:rsidRDefault="002A577F" w:rsidP="00FA2B61">
      <w:pPr>
        <w:pStyle w:val="AERbulletlistfirststyle"/>
        <w:numPr>
          <w:ilvl w:val="0"/>
          <w:numId w:val="0"/>
        </w:numPr>
        <w:rPr>
          <w:rStyle w:val="AERbody"/>
        </w:rPr>
      </w:pPr>
      <w:r>
        <w:rPr>
          <w:rStyle w:val="AERbody"/>
        </w:rPr>
        <w:t xml:space="preserve">Also, it seems unlikely that there are many categories of information that we should always protect or always disclose. Rather, in any given category, there will </w:t>
      </w:r>
      <w:r w:rsidR="00986676">
        <w:rPr>
          <w:rStyle w:val="AERbody"/>
        </w:rPr>
        <w:t xml:space="preserve">simultaneously be </w:t>
      </w:r>
      <w:r>
        <w:rPr>
          <w:rStyle w:val="AERbody"/>
        </w:rPr>
        <w:t xml:space="preserve">some information </w:t>
      </w:r>
      <w:r w:rsidR="00986676">
        <w:rPr>
          <w:rStyle w:val="AERbody"/>
        </w:rPr>
        <w:t>we should protect and some we should disclose</w:t>
      </w:r>
      <w:r>
        <w:rPr>
          <w:rStyle w:val="AERbody"/>
        </w:rPr>
        <w:t xml:space="preserve">. For example, we consider that we should </w:t>
      </w:r>
      <w:r w:rsidR="00986676">
        <w:rPr>
          <w:rStyle w:val="AERbody"/>
        </w:rPr>
        <w:t xml:space="preserve">disclose many consultants’ reports. We consider they often provide commentary to support a NSP’s proposal, rather than information which, if disclosed, might cause detriment to the NSP or consultant. But, </w:t>
      </w:r>
      <w:r w:rsidR="00D87DA5">
        <w:rPr>
          <w:rStyle w:val="AERbody"/>
        </w:rPr>
        <w:t>some parts of some consultants’ reports do contain information, such as very detailed cost information, which we would generally protect</w:t>
      </w:r>
      <w:r w:rsidR="00305B9E">
        <w:rPr>
          <w:rStyle w:val="AERbody"/>
        </w:rPr>
        <w:t>.</w:t>
      </w:r>
    </w:p>
    <w:p w:rsidR="00AF55BA" w:rsidRDefault="00305B9E" w:rsidP="00FA2B61">
      <w:pPr>
        <w:pStyle w:val="AERbulletlistfirststyle"/>
        <w:numPr>
          <w:ilvl w:val="0"/>
          <w:numId w:val="0"/>
        </w:numPr>
        <w:rPr>
          <w:rStyle w:val="AERbody"/>
        </w:rPr>
      </w:pPr>
      <w:r>
        <w:rPr>
          <w:rStyle w:val="AERbody"/>
        </w:rPr>
        <w:t xml:space="preserve">Also, classifying confidentiality claims into categories would create </w:t>
      </w:r>
      <w:r w:rsidR="00AF55BA">
        <w:rPr>
          <w:rStyle w:val="AERbody"/>
        </w:rPr>
        <w:t xml:space="preserve">an </w:t>
      </w:r>
      <w:r>
        <w:rPr>
          <w:rStyle w:val="AERbody"/>
        </w:rPr>
        <w:t xml:space="preserve">additional administrative burden on NSPs. </w:t>
      </w:r>
      <w:r w:rsidR="00AF55BA">
        <w:rPr>
          <w:rStyle w:val="AERbody"/>
        </w:rPr>
        <w:t xml:space="preserve">That said, </w:t>
      </w:r>
      <w:r w:rsidR="0074400E">
        <w:rPr>
          <w:rStyle w:val="AERbody"/>
        </w:rPr>
        <w:t xml:space="preserve">using </w:t>
      </w:r>
      <w:r w:rsidR="00AF55BA">
        <w:rPr>
          <w:rStyle w:val="AERbody"/>
        </w:rPr>
        <w:t xml:space="preserve">categories may provide greater certainty to NSPs on how </w:t>
      </w:r>
      <w:r w:rsidR="0074400E">
        <w:rPr>
          <w:rStyle w:val="AERbody"/>
        </w:rPr>
        <w:t xml:space="preserve">they should make </w:t>
      </w:r>
      <w:r w:rsidR="00AF55BA">
        <w:rPr>
          <w:rStyle w:val="AERbody"/>
        </w:rPr>
        <w:t xml:space="preserve">confidentiality claims and </w:t>
      </w:r>
      <w:r w:rsidR="0074400E">
        <w:rPr>
          <w:rStyle w:val="AERbody"/>
        </w:rPr>
        <w:t xml:space="preserve">how we </w:t>
      </w:r>
      <w:r w:rsidR="00AF55BA">
        <w:rPr>
          <w:rStyle w:val="AERbody"/>
        </w:rPr>
        <w:t>would treat</w:t>
      </w:r>
      <w:r w:rsidR="0074400E">
        <w:rPr>
          <w:rStyle w:val="AERbody"/>
        </w:rPr>
        <w:t xml:space="preserve"> them</w:t>
      </w:r>
      <w:r w:rsidR="00AF55BA">
        <w:rPr>
          <w:rStyle w:val="AERbody"/>
        </w:rPr>
        <w:t>. At this stage we are unsure that requiring classification into categories produces sufficient benefit to justify the additional administrative burden.</w:t>
      </w:r>
    </w:p>
    <w:p w:rsidR="00305B9E" w:rsidRDefault="00AF55BA" w:rsidP="00FA2B61">
      <w:pPr>
        <w:pStyle w:val="AERbulletlistfirststyle"/>
        <w:numPr>
          <w:ilvl w:val="0"/>
          <w:numId w:val="0"/>
        </w:numPr>
        <w:rPr>
          <w:rStyle w:val="AERbody"/>
        </w:rPr>
      </w:pPr>
      <w:r>
        <w:rPr>
          <w:rStyle w:val="AERbody"/>
        </w:rPr>
        <w:t>On balance</w:t>
      </w:r>
      <w:r w:rsidR="00305B9E">
        <w:rPr>
          <w:rStyle w:val="AERbody"/>
        </w:rPr>
        <w:t xml:space="preserve">, </w:t>
      </w:r>
      <w:r w:rsidR="0074400E">
        <w:rPr>
          <w:rStyle w:val="AERbody"/>
        </w:rPr>
        <w:t>currently</w:t>
      </w:r>
      <w:r>
        <w:rPr>
          <w:rStyle w:val="AERbody"/>
        </w:rPr>
        <w:t xml:space="preserve">, </w:t>
      </w:r>
      <w:r w:rsidR="00305B9E">
        <w:rPr>
          <w:rStyle w:val="AERbody"/>
        </w:rPr>
        <w:t xml:space="preserve">we are leaning towards not requiring NSPs to classify claims for confidentiality into categories. </w:t>
      </w:r>
    </w:p>
    <w:p w:rsidR="00305B9E" w:rsidRDefault="00807A41" w:rsidP="00305B9E">
      <w:pPr>
        <w:pStyle w:val="AERbodytext"/>
        <w:rPr>
          <w:rStyle w:val="AERtextbold"/>
        </w:rPr>
      </w:pPr>
      <w:r>
        <w:pict>
          <v:shape id="_x0000_s1112" type="#_x0000_t202" style="width:458.35pt;height:62.9pt;mso-position-horizontal-relative:char;mso-position-vertical-relative:line;mso-width-relative:margin;mso-height-relative:margin">
            <v:textbox style="mso-next-textbox:#_x0000_s1112">
              <w:txbxContent>
                <w:p w:rsidR="0079718F" w:rsidRDefault="0079718F" w:rsidP="00807A41">
                  <w:pPr>
                    <w:pStyle w:val="Caption"/>
                    <w:rPr>
                      <w:rStyle w:val="AERbody"/>
                    </w:rPr>
                  </w:pPr>
                  <w:r>
                    <w:t>Question 2</w:t>
                  </w:r>
                </w:p>
                <w:p w:rsidR="0079718F" w:rsidRDefault="0079718F" w:rsidP="00807A41">
                  <w:r w:rsidRPr="00807A41">
                    <w:rPr>
                      <w:rStyle w:val="AERbody"/>
                    </w:rPr>
                    <w:t>Should the confidentiality guidelines specify categories of information by which NSPs must classify any claims of confidentiality?</w:t>
                  </w:r>
                </w:p>
              </w:txbxContent>
            </v:textbox>
            <w10:wrap type="none"/>
            <w10:anchorlock/>
          </v:shape>
        </w:pict>
      </w:r>
    </w:p>
    <w:p w:rsidR="00305B9E" w:rsidRDefault="00305B9E" w:rsidP="00FA2B61">
      <w:pPr>
        <w:pStyle w:val="AERbulletlistfirststyle"/>
        <w:numPr>
          <w:ilvl w:val="0"/>
          <w:numId w:val="0"/>
        </w:numPr>
        <w:rPr>
          <w:rStyle w:val="AERbody"/>
        </w:rPr>
      </w:pPr>
      <w:r>
        <w:rPr>
          <w:rStyle w:val="AERbody"/>
        </w:rPr>
        <w:t>Regardless of whether the confidentiality guideline</w:t>
      </w:r>
      <w:r w:rsidR="00381C33">
        <w:rPr>
          <w:rStyle w:val="AERbody"/>
        </w:rPr>
        <w:t>s</w:t>
      </w:r>
      <w:r>
        <w:rPr>
          <w:rStyle w:val="AERbody"/>
        </w:rPr>
        <w:t xml:space="preserve"> include categories, providing clarity to NSPs is </w:t>
      </w:r>
      <w:r w:rsidR="004A437E">
        <w:rPr>
          <w:rStyle w:val="AERbody"/>
        </w:rPr>
        <w:t xml:space="preserve">a </w:t>
      </w:r>
      <w:r>
        <w:rPr>
          <w:rStyle w:val="AERbody"/>
        </w:rPr>
        <w:t>key</w:t>
      </w:r>
      <w:r w:rsidR="004A437E">
        <w:rPr>
          <w:rStyle w:val="AERbody"/>
        </w:rPr>
        <w:t xml:space="preserve"> objective</w:t>
      </w:r>
      <w:r>
        <w:rPr>
          <w:rStyle w:val="AERbody"/>
        </w:rPr>
        <w:t xml:space="preserve">. Therefore, in any case, we intend the confidentiality </w:t>
      </w:r>
      <w:r w:rsidR="00381C33">
        <w:rPr>
          <w:rStyle w:val="AERbody"/>
        </w:rPr>
        <w:t>guidelines</w:t>
      </w:r>
      <w:r>
        <w:rPr>
          <w:rStyle w:val="AERbody"/>
        </w:rPr>
        <w:t xml:space="preserve"> to </w:t>
      </w:r>
      <w:r w:rsidR="00227548">
        <w:rPr>
          <w:rStyle w:val="AERbody"/>
        </w:rPr>
        <w:t xml:space="preserve">include </w:t>
      </w:r>
      <w:r>
        <w:rPr>
          <w:rStyle w:val="AERbody"/>
        </w:rPr>
        <w:t xml:space="preserve">a list of items </w:t>
      </w:r>
      <w:r w:rsidR="000778E1" w:rsidRPr="000778E1">
        <w:t xml:space="preserve">which </w:t>
      </w:r>
      <w:r w:rsidR="00227548">
        <w:t>will provide guidance to NSPs</w:t>
      </w:r>
      <w:r>
        <w:rPr>
          <w:rStyle w:val="AERbody"/>
        </w:rPr>
        <w:t xml:space="preserve">. </w:t>
      </w:r>
    </w:p>
    <w:p w:rsidR="0026096B" w:rsidRDefault="00305B9E" w:rsidP="00FA2B61">
      <w:pPr>
        <w:pStyle w:val="AERbulletlistfirststyle"/>
        <w:numPr>
          <w:ilvl w:val="0"/>
          <w:numId w:val="0"/>
        </w:numPr>
        <w:rPr>
          <w:rStyle w:val="AERbody"/>
        </w:rPr>
      </w:pPr>
      <w:r>
        <w:rPr>
          <w:rStyle w:val="AERbody"/>
        </w:rPr>
        <w:t xml:space="preserve">Our current list of items we </w:t>
      </w:r>
      <w:r w:rsidR="00D87DA5">
        <w:rPr>
          <w:rStyle w:val="AERbody"/>
        </w:rPr>
        <w:t>are</w:t>
      </w:r>
      <w:r>
        <w:rPr>
          <w:rStyle w:val="AERbody"/>
        </w:rPr>
        <w:t xml:space="preserve"> consider</w:t>
      </w:r>
      <w:r w:rsidR="00D87DA5">
        <w:rPr>
          <w:rStyle w:val="AERbody"/>
        </w:rPr>
        <w:t>ing</w:t>
      </w:r>
      <w:r>
        <w:rPr>
          <w:rStyle w:val="AERbody"/>
        </w:rPr>
        <w:t xml:space="preserve"> protect</w:t>
      </w:r>
      <w:r w:rsidR="00D87DA5">
        <w:rPr>
          <w:rStyle w:val="AERbody"/>
        </w:rPr>
        <w:t>ing</w:t>
      </w:r>
      <w:r>
        <w:rPr>
          <w:rStyle w:val="AERbody"/>
        </w:rPr>
        <w:t xml:space="preserve"> includes</w:t>
      </w:r>
      <w:r w:rsidR="00FA2B61">
        <w:rPr>
          <w:rStyle w:val="AERbody"/>
        </w:rPr>
        <w:t>:</w:t>
      </w:r>
      <w:r w:rsidR="000E38DB">
        <w:rPr>
          <w:rStyle w:val="AERbody"/>
        </w:rPr>
        <w:t xml:space="preserve"> </w:t>
      </w:r>
    </w:p>
    <w:p w:rsidR="005E38B6" w:rsidRPr="00FA2B61" w:rsidRDefault="005E38B6" w:rsidP="00FA2B61">
      <w:pPr>
        <w:pStyle w:val="AERnumberedlistfirststyle"/>
      </w:pPr>
      <w:r w:rsidRPr="00FA2B61">
        <w:rPr>
          <w:rStyle w:val="AERbody"/>
        </w:rPr>
        <w:t xml:space="preserve">Information affecting the security of the network - information which if made public may jeopardise security of the network or </w:t>
      </w:r>
      <w:r w:rsidR="006734F6" w:rsidRPr="00FA2B61">
        <w:rPr>
          <w:rStyle w:val="AERbody"/>
        </w:rPr>
        <w:t xml:space="preserve">a </w:t>
      </w:r>
      <w:r w:rsidR="00B76314">
        <w:rPr>
          <w:rStyle w:val="AERbody"/>
        </w:rPr>
        <w:t>NSP</w:t>
      </w:r>
      <w:r w:rsidR="006868E2">
        <w:rPr>
          <w:rStyle w:val="AERbody"/>
        </w:rPr>
        <w:t>'</w:t>
      </w:r>
      <w:r w:rsidRPr="00FA2B61">
        <w:rPr>
          <w:rStyle w:val="AERbody"/>
        </w:rPr>
        <w:t xml:space="preserve">s ability to effectively plan and operate its network.  </w:t>
      </w:r>
    </w:p>
    <w:p w:rsidR="0026096B" w:rsidRPr="00FA2B61" w:rsidRDefault="00A61781" w:rsidP="00FA2B61">
      <w:pPr>
        <w:pStyle w:val="AERnumberedlistfirststyle"/>
        <w:rPr>
          <w:rStyle w:val="AERbody"/>
        </w:rPr>
      </w:pPr>
      <w:r w:rsidRPr="00FA2B61">
        <w:rPr>
          <w:rStyle w:val="AERbody"/>
        </w:rPr>
        <w:t>Market sensitive cost inputs</w:t>
      </w:r>
      <w:r w:rsidR="005E38B6" w:rsidRPr="00FA2B61">
        <w:rPr>
          <w:rStyle w:val="AERbody"/>
        </w:rPr>
        <w:t xml:space="preserve"> </w:t>
      </w:r>
      <w:r w:rsidRPr="00FA2B61">
        <w:rPr>
          <w:rStyle w:val="AERbody"/>
        </w:rPr>
        <w:t xml:space="preserve">- </w:t>
      </w:r>
      <w:r w:rsidR="006734F6" w:rsidRPr="00FA2B61">
        <w:rPr>
          <w:rStyle w:val="AERbody"/>
        </w:rPr>
        <w:t>information such as supplier</w:t>
      </w:r>
      <w:r w:rsidRPr="00FA2B61">
        <w:rPr>
          <w:rStyle w:val="AERbody"/>
        </w:rPr>
        <w:t xml:space="preserve"> prices and internal labour costs</w:t>
      </w:r>
      <w:r w:rsidR="006734F6" w:rsidRPr="00FA2B61">
        <w:rPr>
          <w:rStyle w:val="AERbody"/>
        </w:rPr>
        <w:t xml:space="preserve"> and i</w:t>
      </w:r>
      <w:r w:rsidR="0026096B" w:rsidRPr="00FA2B61">
        <w:rPr>
          <w:rStyle w:val="AERbody"/>
        </w:rPr>
        <w:t>nformation</w:t>
      </w:r>
      <w:r w:rsidR="006734F6" w:rsidRPr="00FA2B61">
        <w:rPr>
          <w:rStyle w:val="AERbody"/>
        </w:rPr>
        <w:t xml:space="preserve"> which would affect </w:t>
      </w:r>
      <w:r w:rsidR="0026096B" w:rsidRPr="00FA2B61">
        <w:rPr>
          <w:rStyle w:val="AERbody"/>
        </w:rPr>
        <w:t xml:space="preserve">the </w:t>
      </w:r>
      <w:r w:rsidR="00BF005B">
        <w:rPr>
          <w:rStyle w:val="AERbody"/>
        </w:rPr>
        <w:t>NSP</w:t>
      </w:r>
      <w:r w:rsidR="006734F6" w:rsidRPr="00FA2B61">
        <w:rPr>
          <w:rStyle w:val="AERbody"/>
        </w:rPr>
        <w:t>s ability t</w:t>
      </w:r>
      <w:r w:rsidR="0026096B" w:rsidRPr="00FA2B61">
        <w:rPr>
          <w:rStyle w:val="AERbody"/>
        </w:rPr>
        <w:t>o obtain competitive prices</w:t>
      </w:r>
      <w:r w:rsidR="006734F6" w:rsidRPr="00FA2B61">
        <w:rPr>
          <w:rStyle w:val="AERbody"/>
        </w:rPr>
        <w:t xml:space="preserve"> in</w:t>
      </w:r>
      <w:r w:rsidR="004C479E" w:rsidRPr="00FA2B61">
        <w:rPr>
          <w:rStyle w:val="AERbody"/>
        </w:rPr>
        <w:t xml:space="preserve"> future</w:t>
      </w:r>
      <w:r w:rsidR="006734F6" w:rsidRPr="00FA2B61">
        <w:rPr>
          <w:rStyle w:val="AERbody"/>
        </w:rPr>
        <w:t xml:space="preserve"> infrastructure transactions</w:t>
      </w:r>
      <w:r w:rsidR="00E1346C">
        <w:rPr>
          <w:rStyle w:val="AERbody"/>
        </w:rPr>
        <w:t>, such as tender processes</w:t>
      </w:r>
      <w:r w:rsidR="006734F6" w:rsidRPr="00FA2B61">
        <w:rPr>
          <w:rStyle w:val="AERbody"/>
        </w:rPr>
        <w:t>.</w:t>
      </w:r>
    </w:p>
    <w:p w:rsidR="0026096B" w:rsidRPr="00FA2B61" w:rsidRDefault="0026096B" w:rsidP="00FA2B61">
      <w:pPr>
        <w:pStyle w:val="AERnumberedlistfirststyle"/>
        <w:rPr>
          <w:rStyle w:val="AERbody"/>
        </w:rPr>
      </w:pPr>
      <w:r w:rsidRPr="00FA2B61">
        <w:rPr>
          <w:rStyle w:val="AERbody"/>
        </w:rPr>
        <w:t xml:space="preserve">Market intelligence </w:t>
      </w:r>
      <w:r w:rsidR="00A61781" w:rsidRPr="00FA2B61">
        <w:rPr>
          <w:rStyle w:val="AERbody"/>
        </w:rPr>
        <w:t xml:space="preserve">- </w:t>
      </w:r>
      <w:r w:rsidR="00A61781" w:rsidRPr="00FA2B61">
        <w:t xml:space="preserve">information which </w:t>
      </w:r>
      <w:r w:rsidR="006868E2">
        <w:t>may</w:t>
      </w:r>
      <w:r w:rsidR="00A61781" w:rsidRPr="00FA2B61">
        <w:t xml:space="preserve"> provid</w:t>
      </w:r>
      <w:r w:rsidR="00BF005B">
        <w:t>e an advantage to a</w:t>
      </w:r>
      <w:r w:rsidR="00A61781" w:rsidRPr="00FA2B61">
        <w:t xml:space="preserve"> </w:t>
      </w:r>
      <w:r w:rsidR="006734F6" w:rsidRPr="00FA2B61">
        <w:t>NSP's</w:t>
      </w:r>
      <w:r w:rsidR="00A61781" w:rsidRPr="00FA2B61">
        <w:t xml:space="preserve"> competitors </w:t>
      </w:r>
      <w:r w:rsidR="005E38B6" w:rsidRPr="00FA2B61">
        <w:t>for</w:t>
      </w:r>
      <w:r w:rsidR="00A61781" w:rsidRPr="00FA2B61">
        <w:t xml:space="preserve"> non-regulated </w:t>
      </w:r>
      <w:r w:rsidR="00E1346C">
        <w:t xml:space="preserve">or contestable </w:t>
      </w:r>
      <w:r w:rsidR="00A61781" w:rsidRPr="00FA2B61">
        <w:t>activities</w:t>
      </w:r>
      <w:r w:rsidR="006868E2">
        <w:t>.</w:t>
      </w:r>
    </w:p>
    <w:p w:rsidR="006734F6" w:rsidRPr="00FA2B61" w:rsidRDefault="007F1D5D" w:rsidP="00FA2B61">
      <w:pPr>
        <w:pStyle w:val="AERnumberedlistfirststyle"/>
      </w:pPr>
      <w:r w:rsidRPr="00FA2B61">
        <w:lastRenderedPageBreak/>
        <w:t>Strategic information</w:t>
      </w:r>
      <w:r w:rsidR="00A61781" w:rsidRPr="00FA2B61">
        <w:t xml:space="preserve"> –</w:t>
      </w:r>
      <w:r w:rsidR="006734F6" w:rsidRPr="00FA2B61">
        <w:t xml:space="preserve"> </w:t>
      </w:r>
      <w:r w:rsidR="006868E2">
        <w:t xml:space="preserve">information </w:t>
      </w:r>
      <w:r w:rsidR="006734F6" w:rsidRPr="00FA2B61">
        <w:t xml:space="preserve">such as </w:t>
      </w:r>
      <w:r w:rsidR="00BF005B">
        <w:t>the</w:t>
      </w:r>
      <w:r w:rsidR="006734F6" w:rsidRPr="00FA2B61">
        <w:t xml:space="preserve"> acquisition of land and easements</w:t>
      </w:r>
      <w:r w:rsidRPr="00FA2B61">
        <w:t xml:space="preserve">, where the </w:t>
      </w:r>
      <w:r w:rsidR="006734F6" w:rsidRPr="00FA2B61">
        <w:t>release of this information</w:t>
      </w:r>
      <w:r w:rsidR="00BF005B">
        <w:t xml:space="preserve"> might adversely impact the NSP</w:t>
      </w:r>
      <w:r w:rsidR="006734F6" w:rsidRPr="00FA2B61">
        <w:t>s ability t</w:t>
      </w:r>
      <w:r w:rsidR="00D87DA5">
        <w:t>o negotiate a fair market price for these items</w:t>
      </w:r>
      <w:r w:rsidR="006734F6" w:rsidRPr="00FA2B61">
        <w:t xml:space="preserve">. </w:t>
      </w:r>
    </w:p>
    <w:p w:rsidR="00253BB2" w:rsidRDefault="00E63EDE" w:rsidP="00FA2B61">
      <w:pPr>
        <w:pStyle w:val="AERnumberedlistfirststyle"/>
      </w:pPr>
      <w:r w:rsidRPr="00FA2B61">
        <w:t xml:space="preserve">Personal information - </w:t>
      </w:r>
      <w:r w:rsidR="005E38B6" w:rsidRPr="00FA2B61">
        <w:t xml:space="preserve">information </w:t>
      </w:r>
      <w:r w:rsidRPr="00FA2B61">
        <w:t>about an individual whose identity is apparent, o</w:t>
      </w:r>
      <w:r w:rsidR="00716106">
        <w:t xml:space="preserve">r can </w:t>
      </w:r>
      <w:r w:rsidR="006868E2">
        <w:t>reasonably be ascertained from the information</w:t>
      </w:r>
      <w:r w:rsidR="00E1346C">
        <w:t xml:space="preserve"> which raises privacy considerations</w:t>
      </w:r>
      <w:r w:rsidRPr="00FA2B61">
        <w:t xml:space="preserve">. </w:t>
      </w:r>
    </w:p>
    <w:p w:rsidR="008F743F" w:rsidRDefault="00807A41" w:rsidP="008F743F">
      <w:pPr>
        <w:pStyle w:val="AERbodytext"/>
        <w:rPr>
          <w:rStyle w:val="AERtextbold"/>
        </w:rPr>
      </w:pPr>
      <w:r>
        <w:pict>
          <v:shape id="_x0000_s1115" type="#_x0000_t202" style="width:458.35pt;height:62.9pt;mso-position-horizontal-relative:char;mso-position-vertical-relative:line;mso-width-relative:margin;mso-height-relative:margin">
            <v:textbox style="mso-next-textbox:#_x0000_s1115">
              <w:txbxContent>
                <w:p w:rsidR="0079718F" w:rsidRDefault="0079718F" w:rsidP="00807A41">
                  <w:pPr>
                    <w:pStyle w:val="Caption"/>
                    <w:rPr>
                      <w:rStyle w:val="AERbody"/>
                    </w:rPr>
                  </w:pPr>
                  <w:r>
                    <w:t>Question 3</w:t>
                  </w:r>
                </w:p>
                <w:p w:rsidR="0079718F" w:rsidRDefault="0079718F" w:rsidP="00807A41">
                  <w:r w:rsidRPr="00807A41">
                    <w:rPr>
                      <w:rStyle w:val="AERbody"/>
                    </w:rPr>
                    <w:t xml:space="preserve">In addition to the proposed items listed </w:t>
                  </w:r>
                  <w:r>
                    <w:rPr>
                      <w:rStyle w:val="AERbody"/>
                    </w:rPr>
                    <w:t xml:space="preserve">in section </w:t>
                  </w:r>
                  <w:r>
                    <w:rPr>
                      <w:rStyle w:val="AERbody"/>
                    </w:rPr>
                    <w:fldChar w:fldCharType="begin"/>
                  </w:r>
                  <w:r>
                    <w:rPr>
                      <w:rStyle w:val="AERbody"/>
                    </w:rPr>
                    <w:instrText xml:space="preserve"> REF _Ref349201498 \r \h </w:instrText>
                  </w:r>
                  <w:r>
                    <w:rPr>
                      <w:rStyle w:val="AERbody"/>
                    </w:rPr>
                  </w:r>
                  <w:r>
                    <w:rPr>
                      <w:rStyle w:val="AERbody"/>
                    </w:rPr>
                    <w:fldChar w:fldCharType="separate"/>
                  </w:r>
                  <w:r>
                    <w:rPr>
                      <w:rStyle w:val="AERbody"/>
                    </w:rPr>
                    <w:t>4.2</w:t>
                  </w:r>
                  <w:r>
                    <w:rPr>
                      <w:rStyle w:val="AERbody"/>
                    </w:rPr>
                    <w:fldChar w:fldCharType="end"/>
                  </w:r>
                  <w:r w:rsidRPr="00807A41">
                    <w:rPr>
                      <w:rStyle w:val="AERbody"/>
                    </w:rPr>
                    <w:t>, are there any other items stakeholders consider we should protect?</w:t>
                  </w:r>
                </w:p>
              </w:txbxContent>
            </v:textbox>
            <w10:wrap type="none"/>
            <w10:anchorlock/>
          </v:shape>
        </w:pict>
      </w:r>
    </w:p>
    <w:p w:rsidR="00AF55BA" w:rsidRDefault="0074400E" w:rsidP="0074400E">
      <w:pPr>
        <w:pStyle w:val="Heading3"/>
        <w:rPr>
          <w:rStyle w:val="AERbody"/>
        </w:rPr>
      </w:pPr>
      <w:r>
        <w:rPr>
          <w:rStyle w:val="AERbody"/>
        </w:rPr>
        <w:t>I</w:t>
      </w:r>
      <w:r w:rsidR="00AF55BA">
        <w:rPr>
          <w:rStyle w:val="AERbody"/>
        </w:rPr>
        <w:t xml:space="preserve">nformation </w:t>
      </w:r>
      <w:r>
        <w:rPr>
          <w:rStyle w:val="AERbody"/>
        </w:rPr>
        <w:t xml:space="preserve">we </w:t>
      </w:r>
      <w:r w:rsidR="00AF55BA">
        <w:rPr>
          <w:rStyle w:val="AERbody"/>
        </w:rPr>
        <w:t>should disclose</w:t>
      </w:r>
    </w:p>
    <w:p w:rsidR="004A437E" w:rsidRDefault="000778E1" w:rsidP="00A82378">
      <w:pPr>
        <w:pStyle w:val="AERnumberedlistfirststyle"/>
        <w:numPr>
          <w:ilvl w:val="0"/>
          <w:numId w:val="0"/>
        </w:numPr>
        <w:rPr>
          <w:rStyle w:val="AERbody"/>
        </w:rPr>
      </w:pPr>
      <w:r>
        <w:rPr>
          <w:rStyle w:val="AERbody"/>
        </w:rPr>
        <w:t xml:space="preserve">We must apply our information disclosure powers on a case by case basis. </w:t>
      </w:r>
      <w:r w:rsidR="00227548">
        <w:rPr>
          <w:rStyle w:val="AERbody"/>
        </w:rPr>
        <w:t>In the</w:t>
      </w:r>
      <w:r>
        <w:rPr>
          <w:rStyle w:val="AERbody"/>
        </w:rPr>
        <w:t xml:space="preserve"> past </w:t>
      </w:r>
      <w:r w:rsidR="00227548">
        <w:rPr>
          <w:rStyle w:val="AERbody"/>
        </w:rPr>
        <w:t xml:space="preserve">we have decided to disclose items </w:t>
      </w:r>
      <w:r w:rsidR="00305B9E">
        <w:rPr>
          <w:rStyle w:val="AERbody"/>
        </w:rPr>
        <w:t>includ</w:t>
      </w:r>
      <w:r w:rsidR="00227548">
        <w:rPr>
          <w:rStyle w:val="AERbody"/>
        </w:rPr>
        <w:t>ing</w:t>
      </w:r>
      <w:r w:rsidR="004A437E">
        <w:rPr>
          <w:rStyle w:val="AERbody"/>
        </w:rPr>
        <w:t>:</w:t>
      </w:r>
    </w:p>
    <w:p w:rsidR="004A437E" w:rsidRPr="00E93A2E" w:rsidRDefault="00A82378" w:rsidP="004A437E">
      <w:pPr>
        <w:pStyle w:val="AERbulletlistfirststyle"/>
      </w:pPr>
      <w:r>
        <w:rPr>
          <w:rStyle w:val="AERbody"/>
        </w:rPr>
        <w:t xml:space="preserve"> </w:t>
      </w:r>
      <w:r w:rsidR="00EE1517" w:rsidRPr="00E93A2E">
        <w:t>consultant reports</w:t>
      </w:r>
      <w:r w:rsidR="00912E6D" w:rsidRPr="00E93A2E">
        <w:t xml:space="preserve"> </w:t>
      </w:r>
    </w:p>
    <w:p w:rsidR="004A437E" w:rsidRPr="00E93A2E" w:rsidRDefault="00DB271F" w:rsidP="004A437E">
      <w:pPr>
        <w:pStyle w:val="AERbulletlistfirststyle"/>
      </w:pPr>
      <w:r w:rsidRPr="00E93A2E">
        <w:t>asset ma</w:t>
      </w:r>
      <w:r w:rsidR="00485512" w:rsidRPr="00E93A2E">
        <w:t>nagement plan</w:t>
      </w:r>
      <w:r w:rsidR="004D1837" w:rsidRPr="00E93A2E">
        <w:t>s</w:t>
      </w:r>
    </w:p>
    <w:p w:rsidR="004A437E" w:rsidRPr="00E93A2E" w:rsidRDefault="00485512" w:rsidP="004A437E">
      <w:pPr>
        <w:pStyle w:val="AERbulletlistfirststyle"/>
      </w:pPr>
      <w:r w:rsidRPr="00E93A2E">
        <w:t>financial model</w:t>
      </w:r>
      <w:r w:rsidR="004D1837" w:rsidRPr="00E93A2E">
        <w:t>s</w:t>
      </w:r>
    </w:p>
    <w:p w:rsidR="004A437E" w:rsidRPr="00E93A2E" w:rsidRDefault="00AD782C" w:rsidP="004A437E">
      <w:pPr>
        <w:pStyle w:val="AERbulletlistfirststyle"/>
      </w:pPr>
      <w:r w:rsidRPr="00E93A2E">
        <w:t>forecast and actual expenditure</w:t>
      </w:r>
      <w:r w:rsidR="00A50980" w:rsidRPr="00E93A2E">
        <w:t xml:space="preserve"> (including by category)</w:t>
      </w:r>
    </w:p>
    <w:p w:rsidR="004A437E" w:rsidRPr="00E93A2E" w:rsidRDefault="00AD782C" w:rsidP="004A437E">
      <w:pPr>
        <w:pStyle w:val="AERbulletlistfirststyle"/>
      </w:pPr>
      <w:r w:rsidRPr="00E93A2E">
        <w:t>weighted average cost of debt</w:t>
      </w:r>
      <w:r w:rsidR="00A50980" w:rsidRPr="00E93A2E">
        <w:t xml:space="preserve"> </w:t>
      </w:r>
      <w:r w:rsidRPr="00E93A2E">
        <w:t>(actual)</w:t>
      </w:r>
    </w:p>
    <w:p w:rsidR="004A437E" w:rsidRPr="00E93A2E" w:rsidRDefault="00AD782C" w:rsidP="004A437E">
      <w:pPr>
        <w:pStyle w:val="AERbulletlistfirststyle"/>
      </w:pPr>
      <w:r w:rsidRPr="00E93A2E">
        <w:t>financial statements</w:t>
      </w:r>
    </w:p>
    <w:p w:rsidR="004A437E" w:rsidRPr="00E93A2E" w:rsidRDefault="00AD782C" w:rsidP="004A437E">
      <w:pPr>
        <w:pStyle w:val="AERbulletlistfirststyle"/>
      </w:pPr>
      <w:r w:rsidRPr="00E93A2E">
        <w:t>changes in provisions</w:t>
      </w:r>
    </w:p>
    <w:p w:rsidR="004A437E" w:rsidRPr="00E93A2E" w:rsidRDefault="00AD782C" w:rsidP="004A437E">
      <w:pPr>
        <w:pStyle w:val="AERbulletlistfirststyle"/>
      </w:pPr>
      <w:r w:rsidRPr="00E93A2E">
        <w:t>efficiency benefit sharing scheme data</w:t>
      </w:r>
    </w:p>
    <w:p w:rsidR="004A437E" w:rsidRPr="00E93A2E" w:rsidRDefault="00AD782C" w:rsidP="004A437E">
      <w:pPr>
        <w:pStyle w:val="AERbulletlistfirststyle"/>
      </w:pPr>
      <w:r w:rsidRPr="00E93A2E">
        <w:t>demand management incentive scheme reports</w:t>
      </w:r>
    </w:p>
    <w:p w:rsidR="004A437E" w:rsidRPr="00E93A2E" w:rsidRDefault="00510667" w:rsidP="004A437E">
      <w:pPr>
        <w:pStyle w:val="AERbulletlistfirststyle"/>
      </w:pPr>
      <w:r w:rsidRPr="00E93A2E">
        <w:t>network</w:t>
      </w:r>
      <w:r w:rsidR="00AD782C" w:rsidRPr="00E93A2E">
        <w:t xml:space="preserve"> performance data</w:t>
      </w:r>
    </w:p>
    <w:p w:rsidR="004A437E" w:rsidRPr="00E93A2E" w:rsidRDefault="00AD782C" w:rsidP="004A437E">
      <w:pPr>
        <w:pStyle w:val="AERbulletlistfirststyle"/>
      </w:pPr>
      <w:r w:rsidRPr="00E93A2E">
        <w:t>network metrics</w:t>
      </w:r>
    </w:p>
    <w:p w:rsidR="004A437E" w:rsidRPr="00E93A2E" w:rsidRDefault="00AD782C" w:rsidP="004A437E">
      <w:pPr>
        <w:pStyle w:val="AERbulletlistfirststyle"/>
      </w:pPr>
      <w:r w:rsidRPr="00E93A2E">
        <w:t>ne</w:t>
      </w:r>
      <w:r w:rsidR="009925B3" w:rsidRPr="00E93A2E">
        <w:t>twork demand</w:t>
      </w:r>
    </w:p>
    <w:p w:rsidR="00DB271F" w:rsidRPr="00E93A2E" w:rsidRDefault="009925B3" w:rsidP="004A437E">
      <w:pPr>
        <w:pStyle w:val="AERbulletlistfirststyle"/>
      </w:pPr>
      <w:r w:rsidRPr="00E93A2E">
        <w:t xml:space="preserve">asset installation data and commentary that explains data or a </w:t>
      </w:r>
      <w:r w:rsidR="00381C33" w:rsidRPr="00E93A2E">
        <w:t>NSP</w:t>
      </w:r>
      <w:r w:rsidRPr="00E93A2E">
        <w:t>’s position</w:t>
      </w:r>
      <w:r w:rsidR="00AF55BA" w:rsidRPr="00E93A2E">
        <w:t xml:space="preserve"> and justification for its expenditure proposal</w:t>
      </w:r>
      <w:r w:rsidRPr="00E93A2E">
        <w:t>.</w:t>
      </w:r>
      <w:r w:rsidR="00AD782C" w:rsidRPr="00E93A2E">
        <w:t xml:space="preserve"> </w:t>
      </w:r>
    </w:p>
    <w:p w:rsidR="00A92ABF" w:rsidRDefault="00831F6B" w:rsidP="00A82378">
      <w:pPr>
        <w:pStyle w:val="AERnumberedlistfirststyle"/>
        <w:numPr>
          <w:ilvl w:val="0"/>
          <w:numId w:val="0"/>
        </w:numPr>
      </w:pPr>
      <w:r>
        <w:rPr>
          <w:rStyle w:val="AERbody"/>
        </w:rPr>
        <w:t>More generally,</w:t>
      </w:r>
      <w:r w:rsidR="00A92ABF">
        <w:rPr>
          <w:rStyle w:val="AERbody"/>
        </w:rPr>
        <w:t xml:space="preserve"> we </w:t>
      </w:r>
      <w:r w:rsidR="00300FD2">
        <w:rPr>
          <w:rStyle w:val="AERbody"/>
        </w:rPr>
        <w:t xml:space="preserve">also </w:t>
      </w:r>
      <w:r w:rsidR="00A92ABF">
        <w:rPr>
          <w:rStyle w:val="AERbody"/>
        </w:rPr>
        <w:t xml:space="preserve">consider that the public benefit in transparency will outweigh any </w:t>
      </w:r>
      <w:r w:rsidR="00300FD2">
        <w:rPr>
          <w:rStyle w:val="AERbody"/>
        </w:rPr>
        <w:t xml:space="preserve">claimed </w:t>
      </w:r>
      <w:r w:rsidR="00A92ABF">
        <w:rPr>
          <w:rStyle w:val="AERbody"/>
        </w:rPr>
        <w:t>detriment resulting from embarrassment</w:t>
      </w:r>
      <w:r w:rsidR="00300FD2">
        <w:rPr>
          <w:rStyle w:val="AERbody"/>
        </w:rPr>
        <w:t xml:space="preserve"> or such similar concerns</w:t>
      </w:r>
      <w:r w:rsidR="00A92ABF">
        <w:rPr>
          <w:rStyle w:val="AERbody"/>
        </w:rPr>
        <w:t>.</w:t>
      </w:r>
      <w:r w:rsidR="004A437E">
        <w:rPr>
          <w:rStyle w:val="AERbody"/>
        </w:rPr>
        <w:t xml:space="preserve"> For example, </w:t>
      </w:r>
      <w:r w:rsidR="0075628E">
        <w:rPr>
          <w:rStyle w:val="AERbody"/>
        </w:rPr>
        <w:t xml:space="preserve">we consider the public benefit in transparency would </w:t>
      </w:r>
      <w:r w:rsidR="000778E1">
        <w:rPr>
          <w:rStyle w:val="AERbody"/>
        </w:rPr>
        <w:t xml:space="preserve">often </w:t>
      </w:r>
      <w:r w:rsidR="0075628E">
        <w:rPr>
          <w:rStyle w:val="AERbody"/>
        </w:rPr>
        <w:t xml:space="preserve">outweigh any detriment an NSP might suffer from </w:t>
      </w:r>
      <w:r w:rsidR="004A437E">
        <w:rPr>
          <w:rStyle w:val="AERbody"/>
        </w:rPr>
        <w:t>negative</w:t>
      </w:r>
      <w:r w:rsidR="00F65C2E">
        <w:rPr>
          <w:rStyle w:val="AERbody"/>
        </w:rPr>
        <w:t>, but accurate,</w:t>
      </w:r>
      <w:r w:rsidR="004A437E">
        <w:rPr>
          <w:rStyle w:val="AERbody"/>
        </w:rPr>
        <w:t xml:space="preserve"> comments about a NSP’s performance or business decision making.</w:t>
      </w:r>
    </w:p>
    <w:p w:rsidR="00A92ABF" w:rsidRDefault="00807A41" w:rsidP="00A92ABF">
      <w:pPr>
        <w:pStyle w:val="AERbodytext"/>
        <w:rPr>
          <w:rStyle w:val="AERtextbold"/>
        </w:rPr>
      </w:pPr>
      <w:r>
        <w:pict>
          <v:shape id="_x0000_s1116" type="#_x0000_t202" style="width:458.35pt;height:62.9pt;mso-position-horizontal-relative:char;mso-position-vertical-relative:line;mso-width-relative:margin;mso-height-relative:margin">
            <v:textbox style="mso-next-textbox:#_x0000_s1116">
              <w:txbxContent>
                <w:p w:rsidR="0079718F" w:rsidRDefault="0079718F" w:rsidP="00807A41">
                  <w:pPr>
                    <w:pStyle w:val="Caption"/>
                    <w:rPr>
                      <w:rStyle w:val="AERbody"/>
                    </w:rPr>
                  </w:pPr>
                  <w:r>
                    <w:t>Question 4</w:t>
                  </w:r>
                </w:p>
                <w:p w:rsidR="0079718F" w:rsidRDefault="0079718F" w:rsidP="00807A41">
                  <w:r w:rsidRPr="00807A41">
                    <w:rPr>
                      <w:rStyle w:val="AERbody"/>
                    </w:rPr>
                    <w:t xml:space="preserve">In addition to the proposed items listed </w:t>
                  </w:r>
                  <w:r>
                    <w:rPr>
                      <w:rStyle w:val="AERbody"/>
                    </w:rPr>
                    <w:t xml:space="preserve">in section </w:t>
                  </w:r>
                  <w:r>
                    <w:rPr>
                      <w:rStyle w:val="AERbody"/>
                    </w:rPr>
                    <w:fldChar w:fldCharType="begin"/>
                  </w:r>
                  <w:r>
                    <w:rPr>
                      <w:rStyle w:val="AERbody"/>
                    </w:rPr>
                    <w:instrText xml:space="preserve"> REF _Ref349201498 \r \h </w:instrText>
                  </w:r>
                  <w:r>
                    <w:rPr>
                      <w:rStyle w:val="AERbody"/>
                    </w:rPr>
                  </w:r>
                  <w:r>
                    <w:rPr>
                      <w:rStyle w:val="AERbody"/>
                    </w:rPr>
                    <w:fldChar w:fldCharType="separate"/>
                  </w:r>
                  <w:r>
                    <w:rPr>
                      <w:rStyle w:val="AERbody"/>
                    </w:rPr>
                    <w:t>4.2</w:t>
                  </w:r>
                  <w:r>
                    <w:rPr>
                      <w:rStyle w:val="AERbody"/>
                    </w:rPr>
                    <w:fldChar w:fldCharType="end"/>
                  </w:r>
                  <w:r w:rsidRPr="00807A41">
                    <w:rPr>
                      <w:rStyle w:val="AERbody"/>
                    </w:rPr>
                    <w:t xml:space="preserve">, are there any other items stakeholders consider we should </w:t>
                  </w:r>
                  <w:r>
                    <w:rPr>
                      <w:rStyle w:val="AERbody"/>
                    </w:rPr>
                    <w:t>disclose</w:t>
                  </w:r>
                  <w:r w:rsidRPr="00807A41">
                    <w:rPr>
                      <w:rStyle w:val="AERbody"/>
                    </w:rPr>
                    <w:t>?</w:t>
                  </w:r>
                </w:p>
              </w:txbxContent>
            </v:textbox>
            <w10:wrap type="none"/>
            <w10:anchorlock/>
          </v:shape>
        </w:pict>
      </w:r>
    </w:p>
    <w:p w:rsidR="004F7B4C" w:rsidRPr="00CD226E" w:rsidRDefault="004F7B4C" w:rsidP="004F7B4C">
      <w:pPr>
        <w:pStyle w:val="Heading2"/>
        <w:rPr>
          <w:rStyle w:val="AERbody"/>
          <w:color w:val="E36C0A"/>
          <w:sz w:val="28"/>
        </w:rPr>
      </w:pPr>
      <w:bookmarkStart w:id="24" w:name="_Toc349834057"/>
      <w:r>
        <w:rPr>
          <w:rStyle w:val="AERbody"/>
          <w:color w:val="E36C0A"/>
          <w:sz w:val="28"/>
        </w:rPr>
        <w:lastRenderedPageBreak/>
        <w:t>Website notices</w:t>
      </w:r>
      <w:bookmarkEnd w:id="24"/>
    </w:p>
    <w:p w:rsidR="004F7B4C" w:rsidRPr="001F1010" w:rsidRDefault="004F7B4C" w:rsidP="004F7B4C">
      <w:pPr>
        <w:pStyle w:val="AERbulletlistfirststyle"/>
        <w:numPr>
          <w:ilvl w:val="0"/>
          <w:numId w:val="0"/>
        </w:numPr>
        <w:rPr>
          <w:rStyle w:val="AERbody"/>
        </w:rPr>
      </w:pPr>
      <w:r>
        <w:rPr>
          <w:rStyle w:val="AERbody"/>
        </w:rPr>
        <w:t>We must publish a notice on our website that sets out th</w:t>
      </w:r>
      <w:r w:rsidRPr="001F1010">
        <w:rPr>
          <w:rStyle w:val="AERbody"/>
        </w:rPr>
        <w:t xml:space="preserve">e proportion of material in </w:t>
      </w:r>
      <w:r>
        <w:rPr>
          <w:rStyle w:val="AERbody"/>
        </w:rPr>
        <w:t>a NSP's</w:t>
      </w:r>
      <w:r w:rsidRPr="001F1010">
        <w:rPr>
          <w:rStyle w:val="AERbody"/>
        </w:rPr>
        <w:t xml:space="preserve"> regulatory proposal, revenue proposal or proposed pricing methodology that is subject to </w:t>
      </w:r>
      <w:r>
        <w:rPr>
          <w:rStyle w:val="AERbody"/>
        </w:rPr>
        <w:t>a</w:t>
      </w:r>
      <w:r w:rsidRPr="001F1010">
        <w:rPr>
          <w:rStyle w:val="AERbody"/>
        </w:rPr>
        <w:t xml:space="preserve"> claim of confidentiality compared to that which is not.</w:t>
      </w:r>
      <w:r w:rsidRPr="001F1010">
        <w:rPr>
          <w:rStyle w:val="FootnoteReference"/>
        </w:rPr>
        <w:footnoteReference w:id="34"/>
      </w:r>
      <w:r w:rsidRPr="001F1010">
        <w:rPr>
          <w:rStyle w:val="AERbody"/>
        </w:rPr>
        <w:t xml:space="preserve"> </w:t>
      </w:r>
      <w:r>
        <w:rPr>
          <w:rStyle w:val="AERbody"/>
        </w:rPr>
        <w:t>This process also applies to NSPs</w:t>
      </w:r>
      <w:r w:rsidR="00D87DA5">
        <w:rPr>
          <w:rStyle w:val="AERbody"/>
        </w:rPr>
        <w:t>’</w:t>
      </w:r>
      <w:r w:rsidRPr="001F1010">
        <w:rPr>
          <w:rStyle w:val="AERbody"/>
        </w:rPr>
        <w:t xml:space="preserve"> revised revenue proposal, revised regulatory proposal and revised proposed pricing methodology</w:t>
      </w:r>
      <w:r>
        <w:rPr>
          <w:rStyle w:val="AERbody"/>
        </w:rPr>
        <w:t>.</w:t>
      </w:r>
      <w:r w:rsidRPr="001F1010">
        <w:rPr>
          <w:rStyle w:val="FootnoteReference"/>
        </w:rPr>
        <w:footnoteReference w:id="35"/>
      </w:r>
    </w:p>
    <w:p w:rsidR="004F7B4C" w:rsidRDefault="004F7B4C" w:rsidP="004F7B4C">
      <w:pPr>
        <w:pStyle w:val="AERbulletlistfirststyle"/>
        <w:numPr>
          <w:ilvl w:val="0"/>
          <w:numId w:val="0"/>
        </w:numPr>
        <w:rPr>
          <w:rStyle w:val="AERbody"/>
        </w:rPr>
      </w:pPr>
      <w:r>
        <w:rPr>
          <w:rStyle w:val="AERbody"/>
        </w:rPr>
        <w:t xml:space="preserve">We consider that NSPs are best </w:t>
      </w:r>
      <w:r w:rsidR="00D87DA5">
        <w:rPr>
          <w:rStyle w:val="AERbody"/>
        </w:rPr>
        <w:t xml:space="preserve">placed </w:t>
      </w:r>
      <w:r>
        <w:rPr>
          <w:rStyle w:val="AERbody"/>
        </w:rPr>
        <w:t xml:space="preserve">to assess </w:t>
      </w:r>
      <w:r w:rsidR="00D87DA5">
        <w:rPr>
          <w:rStyle w:val="AERbody"/>
        </w:rPr>
        <w:t xml:space="preserve">the </w:t>
      </w:r>
      <w:r>
        <w:rPr>
          <w:rStyle w:val="AERbody"/>
        </w:rPr>
        <w:t xml:space="preserve">proportion of </w:t>
      </w:r>
      <w:r w:rsidR="00D87DA5">
        <w:rPr>
          <w:rStyle w:val="AERbody"/>
        </w:rPr>
        <w:t>information they</w:t>
      </w:r>
      <w:r>
        <w:rPr>
          <w:rStyle w:val="AERbody"/>
        </w:rPr>
        <w:t xml:space="preserve"> submi</w:t>
      </w:r>
      <w:r w:rsidR="00D87DA5">
        <w:rPr>
          <w:rStyle w:val="AERbody"/>
        </w:rPr>
        <w:t>t</w:t>
      </w:r>
      <w:r>
        <w:rPr>
          <w:rStyle w:val="AERbody"/>
        </w:rPr>
        <w:t xml:space="preserve"> is </w:t>
      </w:r>
      <w:r w:rsidRPr="001F1010">
        <w:rPr>
          <w:rStyle w:val="AERbody"/>
        </w:rPr>
        <w:t xml:space="preserve">subject to </w:t>
      </w:r>
      <w:r w:rsidRPr="002D015E">
        <w:rPr>
          <w:rStyle w:val="AERbody"/>
        </w:rPr>
        <w:t>a claim of confidentiality compared to that which is not</w:t>
      </w:r>
      <w:r>
        <w:rPr>
          <w:rStyle w:val="AERbody"/>
        </w:rPr>
        <w:t xml:space="preserve">. Therefore we propose </w:t>
      </w:r>
      <w:r w:rsidR="00D87DA5">
        <w:rPr>
          <w:rStyle w:val="AERbody"/>
        </w:rPr>
        <w:t xml:space="preserve">the confidentiality guidelines include </w:t>
      </w:r>
      <w:r>
        <w:rPr>
          <w:rStyle w:val="AERbody"/>
        </w:rPr>
        <w:t xml:space="preserve">a template </w:t>
      </w:r>
      <w:r w:rsidR="00D87DA5">
        <w:rPr>
          <w:rStyle w:val="AERbody"/>
        </w:rPr>
        <w:t xml:space="preserve">(attachment 2) </w:t>
      </w:r>
      <w:r>
        <w:rPr>
          <w:rStyle w:val="AERbody"/>
        </w:rPr>
        <w:t>which requires NSPs to specify the number of pages it submi</w:t>
      </w:r>
      <w:r w:rsidR="00DB1120">
        <w:rPr>
          <w:rStyle w:val="AERbody"/>
        </w:rPr>
        <w:t>ts</w:t>
      </w:r>
      <w:r>
        <w:rPr>
          <w:rStyle w:val="AERbody"/>
        </w:rPr>
        <w:t xml:space="preserve"> over which it has made a confidentiality claim and the number of pages which it consents to placing in the public domain. </w:t>
      </w:r>
      <w:r w:rsidRPr="002D015E">
        <w:rPr>
          <w:rStyle w:val="AERbody"/>
        </w:rPr>
        <w:t xml:space="preserve"> </w:t>
      </w:r>
    </w:p>
    <w:p w:rsidR="004F7B4C" w:rsidRDefault="00FC2ADC" w:rsidP="004F7B4C">
      <w:pPr>
        <w:pStyle w:val="AERbulletlistfirststyle"/>
        <w:numPr>
          <w:ilvl w:val="0"/>
          <w:numId w:val="0"/>
        </w:numPr>
        <w:rPr>
          <w:rStyle w:val="AERtextbold"/>
        </w:rPr>
      </w:pPr>
      <w:r>
        <w:pict>
          <v:shape id="_x0000_s1118" type="#_x0000_t202" style="width:458.35pt;height:61.85pt;mso-position-horizontal-relative:char;mso-position-vertical-relative:line;mso-width-relative:margin;mso-height-relative:margin">
            <v:textbox style="mso-next-textbox:#_x0000_s1118">
              <w:txbxContent>
                <w:p w:rsidR="0079718F" w:rsidRDefault="0079718F" w:rsidP="00D26605">
                  <w:pPr>
                    <w:pStyle w:val="Caption"/>
                    <w:rPr>
                      <w:rStyle w:val="AERbody"/>
                    </w:rPr>
                  </w:pPr>
                  <w:r>
                    <w:t>Question 5</w:t>
                  </w:r>
                </w:p>
                <w:p w:rsidR="0079718F" w:rsidRDefault="0079718F" w:rsidP="00D26605">
                  <w:r>
                    <w:rPr>
                      <w:rStyle w:val="AERbody"/>
                    </w:rPr>
                    <w:t>What are stakeholders’ views on requiring NSPs to use the template in Attachment 2 to determine the proportion of information over which they have claimed confidentiality?</w:t>
                  </w:r>
                </w:p>
              </w:txbxContent>
            </v:textbox>
            <w10:wrap type="none"/>
            <w10:anchorlock/>
          </v:shape>
        </w:pict>
      </w:r>
    </w:p>
    <w:p w:rsidR="004F7B4C" w:rsidRPr="00CD226E" w:rsidRDefault="00DB1120" w:rsidP="004F7B4C">
      <w:pPr>
        <w:pStyle w:val="Heading2"/>
        <w:rPr>
          <w:rStyle w:val="AERbody"/>
          <w:color w:val="E36C0A"/>
          <w:sz w:val="28"/>
        </w:rPr>
      </w:pPr>
      <w:bookmarkStart w:id="25" w:name="_Toc349834058"/>
      <w:r>
        <w:rPr>
          <w:rStyle w:val="AERbody"/>
          <w:color w:val="E36C0A"/>
          <w:sz w:val="28"/>
        </w:rPr>
        <w:t>Blanket confidentiality claims</w:t>
      </w:r>
      <w:bookmarkEnd w:id="25"/>
    </w:p>
    <w:p w:rsidR="00FB5CFD" w:rsidRPr="004F7B4C" w:rsidRDefault="00FB5CFD" w:rsidP="004F7B4C">
      <w:pPr>
        <w:pStyle w:val="AERnumberedlistfirststyle"/>
        <w:numPr>
          <w:ilvl w:val="0"/>
          <w:numId w:val="0"/>
        </w:numPr>
      </w:pPr>
      <w:r>
        <w:t>We consider that there are few documents which need to be protected in full. We consider that most documents need either partial protection</w:t>
      </w:r>
      <w:r w:rsidR="00EA7FE5">
        <w:t xml:space="preserve"> or can be </w:t>
      </w:r>
      <w:r w:rsidR="00D26605">
        <w:t xml:space="preserve">completely </w:t>
      </w:r>
      <w:r w:rsidR="00EA7FE5">
        <w:t>disclosed</w:t>
      </w:r>
      <w:r>
        <w:t>. This is because, in our experience, most documents we receive contain both</w:t>
      </w:r>
      <w:r w:rsidR="00B15046">
        <w:t xml:space="preserve"> information we should protect and information we should disclose.</w:t>
      </w:r>
    </w:p>
    <w:p w:rsidR="00041809" w:rsidRDefault="00B15046" w:rsidP="003F7B83">
      <w:pPr>
        <w:pStyle w:val="AERbulletlistfirststyle"/>
        <w:numPr>
          <w:ilvl w:val="0"/>
          <w:numId w:val="0"/>
        </w:numPr>
        <w:rPr>
          <w:rStyle w:val="AERbody"/>
        </w:rPr>
      </w:pPr>
      <w:r w:rsidRPr="00B15046">
        <w:rPr>
          <w:rStyle w:val="AERbody"/>
        </w:rPr>
        <w:t>NSPs</w:t>
      </w:r>
      <w:r>
        <w:rPr>
          <w:rStyle w:val="AERbody"/>
        </w:rPr>
        <w:t xml:space="preserve"> </w:t>
      </w:r>
      <w:r w:rsidR="000479DE">
        <w:rPr>
          <w:rStyle w:val="AERbody"/>
        </w:rPr>
        <w:t xml:space="preserve">often provide us with </w:t>
      </w:r>
      <w:r w:rsidR="007D172E">
        <w:rPr>
          <w:rStyle w:val="AERbody"/>
        </w:rPr>
        <w:t xml:space="preserve">documents </w:t>
      </w:r>
      <w:r w:rsidR="000479DE">
        <w:rPr>
          <w:rStyle w:val="AERbody"/>
        </w:rPr>
        <w:t xml:space="preserve">that contain </w:t>
      </w:r>
      <w:r w:rsidR="00E731AF">
        <w:rPr>
          <w:rStyle w:val="AERbody"/>
        </w:rPr>
        <w:t xml:space="preserve">both </w:t>
      </w:r>
      <w:r w:rsidR="004C479E">
        <w:rPr>
          <w:rStyle w:val="AERbody"/>
        </w:rPr>
        <w:t xml:space="preserve">confidential and non confidential </w:t>
      </w:r>
      <w:r w:rsidR="001833D1">
        <w:rPr>
          <w:rStyle w:val="AERbody"/>
        </w:rPr>
        <w:t>i</w:t>
      </w:r>
      <w:r w:rsidR="00041809">
        <w:rPr>
          <w:rStyle w:val="AERbody"/>
        </w:rPr>
        <w:t>nformation.</w:t>
      </w:r>
      <w:r w:rsidR="000479DE">
        <w:rPr>
          <w:rStyle w:val="AERbody"/>
        </w:rPr>
        <w:t xml:space="preserve"> </w:t>
      </w:r>
      <w:r w:rsidR="000F3D08">
        <w:rPr>
          <w:rStyle w:val="AERbody"/>
        </w:rPr>
        <w:t xml:space="preserve">Whilst an </w:t>
      </w:r>
      <w:r>
        <w:rPr>
          <w:rStyle w:val="AERbody"/>
        </w:rPr>
        <w:t xml:space="preserve">NSP </w:t>
      </w:r>
      <w:r w:rsidR="007D172E">
        <w:rPr>
          <w:rStyle w:val="AERbody"/>
        </w:rPr>
        <w:t xml:space="preserve">may claim </w:t>
      </w:r>
      <w:r w:rsidR="00041809">
        <w:rPr>
          <w:rStyle w:val="AERbody"/>
        </w:rPr>
        <w:t xml:space="preserve">confidentiality </w:t>
      </w:r>
      <w:r w:rsidR="007D172E">
        <w:rPr>
          <w:rStyle w:val="AERbody"/>
        </w:rPr>
        <w:t xml:space="preserve">over </w:t>
      </w:r>
      <w:r w:rsidR="00041809">
        <w:rPr>
          <w:rStyle w:val="AERbody"/>
        </w:rPr>
        <w:t>the entire document</w:t>
      </w:r>
      <w:r w:rsidR="006D0BB8">
        <w:rPr>
          <w:rStyle w:val="AERbody"/>
        </w:rPr>
        <w:t>,</w:t>
      </w:r>
      <w:r w:rsidR="00041809">
        <w:rPr>
          <w:rStyle w:val="AERbody"/>
        </w:rPr>
        <w:t xml:space="preserve"> </w:t>
      </w:r>
      <w:r w:rsidR="0075628E" w:rsidRPr="0075628E">
        <w:t>the majority of the document</w:t>
      </w:r>
      <w:r w:rsidR="0075628E">
        <w:t>’</w:t>
      </w:r>
      <w:r w:rsidR="0075628E" w:rsidRPr="0075628E">
        <w:t>s content does not need protecti</w:t>
      </w:r>
      <w:r w:rsidR="0075628E">
        <w:t>o</w:t>
      </w:r>
      <w:r w:rsidR="0075628E" w:rsidRPr="0075628E">
        <w:t>n</w:t>
      </w:r>
      <w:r w:rsidR="00041809">
        <w:rPr>
          <w:rStyle w:val="AERbody"/>
        </w:rPr>
        <w:t>.</w:t>
      </w:r>
      <w:r w:rsidR="00F93CB6">
        <w:rPr>
          <w:rStyle w:val="AERbody"/>
        </w:rPr>
        <w:t xml:space="preserve"> </w:t>
      </w:r>
      <w:r w:rsidR="004D04E7">
        <w:rPr>
          <w:rStyle w:val="AERbody"/>
        </w:rPr>
        <w:t xml:space="preserve">We </w:t>
      </w:r>
      <w:r w:rsidR="00B77C43">
        <w:rPr>
          <w:rStyle w:val="AERbody"/>
        </w:rPr>
        <w:t>refer to this as</w:t>
      </w:r>
      <w:r w:rsidR="00AC486B">
        <w:rPr>
          <w:rStyle w:val="AERbody"/>
        </w:rPr>
        <w:t xml:space="preserve"> 'blanket confidentiality claim</w:t>
      </w:r>
      <w:r w:rsidR="00B77C43">
        <w:rPr>
          <w:rStyle w:val="AERbody"/>
        </w:rPr>
        <w:t>s</w:t>
      </w:r>
      <w:r w:rsidR="004D04E7">
        <w:rPr>
          <w:rStyle w:val="AERbody"/>
        </w:rPr>
        <w:t>'</w:t>
      </w:r>
      <w:r w:rsidR="00F93CB6">
        <w:rPr>
          <w:rStyle w:val="AERbody"/>
        </w:rPr>
        <w:t>.</w:t>
      </w:r>
      <w:r w:rsidR="00041809">
        <w:rPr>
          <w:rStyle w:val="AERbody"/>
        </w:rPr>
        <w:t xml:space="preserve"> </w:t>
      </w:r>
      <w:r w:rsidR="00F93CB6">
        <w:rPr>
          <w:rStyle w:val="AERbody"/>
        </w:rPr>
        <w:t>Blanket confidentiality claims</w:t>
      </w:r>
      <w:r w:rsidR="004C479E">
        <w:rPr>
          <w:rStyle w:val="AERbody"/>
        </w:rPr>
        <w:t xml:space="preserve"> </w:t>
      </w:r>
      <w:r w:rsidR="00AC486B">
        <w:rPr>
          <w:rStyle w:val="AERbody"/>
        </w:rPr>
        <w:t>are</w:t>
      </w:r>
      <w:r w:rsidR="00F93CB6">
        <w:rPr>
          <w:rStyle w:val="AERbody"/>
        </w:rPr>
        <w:t xml:space="preserve"> </w:t>
      </w:r>
      <w:r w:rsidR="004C479E">
        <w:rPr>
          <w:rStyle w:val="AERbody"/>
        </w:rPr>
        <w:t xml:space="preserve">broader than is necessary to provide </w:t>
      </w:r>
      <w:r w:rsidR="00041809">
        <w:rPr>
          <w:rStyle w:val="AERbody"/>
        </w:rPr>
        <w:t>appropriate protection.</w:t>
      </w:r>
      <w:r w:rsidR="00622A5A">
        <w:rPr>
          <w:rStyle w:val="AERbody"/>
        </w:rPr>
        <w:t xml:space="preserve"> </w:t>
      </w:r>
      <w:r w:rsidR="00976599">
        <w:rPr>
          <w:rStyle w:val="AERbody"/>
        </w:rPr>
        <w:t xml:space="preserve">Furthermore, </w:t>
      </w:r>
      <w:r w:rsidR="00F93CB6">
        <w:rPr>
          <w:rStyle w:val="AERbody"/>
        </w:rPr>
        <w:t xml:space="preserve">blanket confidentiality </w:t>
      </w:r>
      <w:r w:rsidR="00976599">
        <w:rPr>
          <w:rStyle w:val="AERbody"/>
        </w:rPr>
        <w:t>claims reduce the information available for public scrutiny and informed comment from</w:t>
      </w:r>
      <w:r w:rsidR="00381C33">
        <w:rPr>
          <w:rStyle w:val="AERbody"/>
        </w:rPr>
        <w:t xml:space="preserve"> other</w:t>
      </w:r>
      <w:r w:rsidR="00976599">
        <w:rPr>
          <w:rStyle w:val="AERbody"/>
        </w:rPr>
        <w:t xml:space="preserve"> stakeholders. </w:t>
      </w:r>
      <w:r w:rsidR="000F3D08">
        <w:rPr>
          <w:rStyle w:val="AERbody"/>
        </w:rPr>
        <w:t xml:space="preserve">From an assessment perspective they are very time and resources intensive and the outcome of our assessment is generally that the </w:t>
      </w:r>
      <w:r w:rsidR="000778E1">
        <w:rPr>
          <w:rStyle w:val="AERbody"/>
        </w:rPr>
        <w:t xml:space="preserve">evidence does not support a </w:t>
      </w:r>
      <w:r w:rsidR="000F3D08">
        <w:rPr>
          <w:rStyle w:val="AERbody"/>
        </w:rPr>
        <w:t xml:space="preserve">blanket claim. </w:t>
      </w:r>
    </w:p>
    <w:p w:rsidR="003E3DDD" w:rsidRPr="003E3DDD" w:rsidRDefault="006D0BB8" w:rsidP="003E3DDD">
      <w:pPr>
        <w:rPr>
          <w:rFonts w:ascii="Times New Roman" w:hAnsi="Times New Roman"/>
          <w:sz w:val="24"/>
          <w:szCs w:val="24"/>
        </w:rPr>
      </w:pPr>
      <w:r>
        <w:rPr>
          <w:rStyle w:val="AERbody"/>
        </w:rPr>
        <w:t>We have a</w:t>
      </w:r>
      <w:r w:rsidR="00972F77" w:rsidRPr="00972F77">
        <w:rPr>
          <w:rStyle w:val="AERbody"/>
        </w:rPr>
        <w:t xml:space="preserve"> general policy </w:t>
      </w:r>
      <w:r w:rsidR="00885318">
        <w:rPr>
          <w:rStyle w:val="AERbody"/>
        </w:rPr>
        <w:t>to treat</w:t>
      </w:r>
      <w:r w:rsidR="00972F77" w:rsidRPr="00972F77">
        <w:rPr>
          <w:rStyle w:val="AERbody"/>
        </w:rPr>
        <w:t xml:space="preserve"> submissions as public documents </w:t>
      </w:r>
      <w:r w:rsidR="00885318">
        <w:rPr>
          <w:rStyle w:val="AERbody"/>
        </w:rPr>
        <w:t xml:space="preserve">which we will </w:t>
      </w:r>
      <w:r w:rsidR="00A144B8">
        <w:rPr>
          <w:rStyle w:val="AERbody"/>
        </w:rPr>
        <w:t>publish</w:t>
      </w:r>
      <w:r w:rsidR="00885318">
        <w:rPr>
          <w:rStyle w:val="AERbody"/>
        </w:rPr>
        <w:t xml:space="preserve"> </w:t>
      </w:r>
      <w:r w:rsidR="00972F77" w:rsidRPr="00972F77">
        <w:rPr>
          <w:rStyle w:val="AERbody"/>
        </w:rPr>
        <w:t xml:space="preserve">on </w:t>
      </w:r>
      <w:r w:rsidR="004D04E7">
        <w:rPr>
          <w:rStyle w:val="AERbody"/>
        </w:rPr>
        <w:t>our</w:t>
      </w:r>
      <w:r w:rsidR="00972F77" w:rsidRPr="00972F77">
        <w:rPr>
          <w:rStyle w:val="AERbody"/>
        </w:rPr>
        <w:t xml:space="preserve"> website</w:t>
      </w:r>
      <w:r w:rsidR="007415CF">
        <w:rPr>
          <w:rStyle w:val="AERbody"/>
        </w:rPr>
        <w:t>.</w:t>
      </w:r>
      <w:r w:rsidR="001F20D8">
        <w:rPr>
          <w:rStyle w:val="FootnoteReference"/>
        </w:rPr>
        <w:footnoteReference w:id="36"/>
      </w:r>
      <w:r w:rsidR="007415CF">
        <w:rPr>
          <w:rStyle w:val="AERbody"/>
        </w:rPr>
        <w:t xml:space="preserve"> </w:t>
      </w:r>
      <w:r w:rsidR="00B15046">
        <w:rPr>
          <w:rStyle w:val="AERbody"/>
        </w:rPr>
        <w:t xml:space="preserve">Other than in exceptional circumstances, we </w:t>
      </w:r>
      <w:r w:rsidR="003E3DDD">
        <w:rPr>
          <w:rStyle w:val="AERbody"/>
        </w:rPr>
        <w:t xml:space="preserve">do not accept blanket confidentiality claims. </w:t>
      </w:r>
      <w:r w:rsidR="00B15046">
        <w:rPr>
          <w:rStyle w:val="AERbody"/>
        </w:rPr>
        <w:t xml:space="preserve">Recently, we have made greater </w:t>
      </w:r>
      <w:r w:rsidR="003E3DDD">
        <w:rPr>
          <w:rStyle w:val="AERbody"/>
        </w:rPr>
        <w:t>use</w:t>
      </w:r>
      <w:r w:rsidR="00B15046">
        <w:rPr>
          <w:rStyle w:val="AERbody"/>
        </w:rPr>
        <w:t xml:space="preserve"> of</w:t>
      </w:r>
      <w:r w:rsidR="003E3DDD">
        <w:rPr>
          <w:rStyle w:val="AERbody"/>
        </w:rPr>
        <w:t xml:space="preserve"> </w:t>
      </w:r>
      <w:r w:rsidR="00DB1120">
        <w:rPr>
          <w:rStyle w:val="AERbody"/>
        </w:rPr>
        <w:t xml:space="preserve">our information disclosure powers in </w:t>
      </w:r>
      <w:r w:rsidR="00B15046">
        <w:rPr>
          <w:rStyle w:val="AERbody"/>
        </w:rPr>
        <w:t>stage two of our information handling process</w:t>
      </w:r>
      <w:r w:rsidR="00080100">
        <w:rPr>
          <w:rStyle w:val="FootnoteReference"/>
        </w:rPr>
        <w:footnoteReference w:id="37"/>
      </w:r>
      <w:r w:rsidR="003E3DDD">
        <w:rPr>
          <w:rStyle w:val="AERbody"/>
        </w:rPr>
        <w:t xml:space="preserve"> to </w:t>
      </w:r>
      <w:r w:rsidR="00B15046">
        <w:rPr>
          <w:rStyle w:val="AERbody"/>
        </w:rPr>
        <w:t xml:space="preserve">overcome blanket confidentiality claims. </w:t>
      </w:r>
      <w:r w:rsidR="0074400E">
        <w:rPr>
          <w:rStyle w:val="AERbody"/>
        </w:rPr>
        <w:t xml:space="preserve">This places the onus on the NSP to justify its confidentiality claims in full. </w:t>
      </w:r>
      <w:r w:rsidR="0075628E">
        <w:rPr>
          <w:rStyle w:val="AERbody"/>
        </w:rPr>
        <w:t xml:space="preserve">Our experience is that doing so </w:t>
      </w:r>
      <w:r w:rsidR="0074400E">
        <w:rPr>
          <w:rStyle w:val="AERbody"/>
        </w:rPr>
        <w:t>result</w:t>
      </w:r>
      <w:r w:rsidR="0075628E">
        <w:rPr>
          <w:rStyle w:val="AERbody"/>
        </w:rPr>
        <w:t>s</w:t>
      </w:r>
      <w:r w:rsidR="0074400E">
        <w:rPr>
          <w:rStyle w:val="AERbody"/>
        </w:rPr>
        <w:t xml:space="preserve"> in more information entering the public domain. </w:t>
      </w:r>
      <w:r w:rsidR="00B15046">
        <w:rPr>
          <w:rStyle w:val="AERbody"/>
        </w:rPr>
        <w:t xml:space="preserve">This helps </w:t>
      </w:r>
      <w:r w:rsidR="00381C33">
        <w:rPr>
          <w:rStyle w:val="AERbody"/>
        </w:rPr>
        <w:t xml:space="preserve">all </w:t>
      </w:r>
      <w:r w:rsidR="003E3DDD">
        <w:rPr>
          <w:rStyle w:val="AERbody"/>
        </w:rPr>
        <w:t xml:space="preserve">stakeholders access an appropriate amount of information to participate </w:t>
      </w:r>
      <w:r w:rsidR="00DB1120">
        <w:rPr>
          <w:rStyle w:val="AERbody"/>
        </w:rPr>
        <w:t xml:space="preserve">effectively </w:t>
      </w:r>
      <w:r w:rsidR="0022377E">
        <w:rPr>
          <w:rStyle w:val="AERbody"/>
        </w:rPr>
        <w:t xml:space="preserve">in AER processes. </w:t>
      </w:r>
      <w:r w:rsidR="000F3D08">
        <w:rPr>
          <w:rStyle w:val="AERbody"/>
        </w:rPr>
        <w:t xml:space="preserve">However, </w:t>
      </w:r>
      <w:r w:rsidR="00BD16EB">
        <w:rPr>
          <w:rStyle w:val="AERbody"/>
        </w:rPr>
        <w:t>this process</w:t>
      </w:r>
      <w:r w:rsidR="000F3D08">
        <w:rPr>
          <w:rStyle w:val="AERbody"/>
        </w:rPr>
        <w:t xml:space="preserve"> is formal</w:t>
      </w:r>
      <w:r w:rsidR="00B859A6">
        <w:rPr>
          <w:rStyle w:val="AERbody"/>
        </w:rPr>
        <w:t xml:space="preserve"> and is</w:t>
      </w:r>
      <w:r w:rsidR="000F3D08">
        <w:rPr>
          <w:rStyle w:val="AERbody"/>
        </w:rPr>
        <w:t xml:space="preserve"> time and resource </w:t>
      </w:r>
      <w:r w:rsidR="00BD16EB">
        <w:rPr>
          <w:rStyle w:val="AERbody"/>
        </w:rPr>
        <w:t>intensive</w:t>
      </w:r>
      <w:r w:rsidR="000F3D08">
        <w:rPr>
          <w:rStyle w:val="AERbody"/>
        </w:rPr>
        <w:t xml:space="preserve"> for all parties. </w:t>
      </w:r>
    </w:p>
    <w:p w:rsidR="00091AC5" w:rsidRDefault="00B15046" w:rsidP="00F10FED">
      <w:pPr>
        <w:pStyle w:val="AERbulletlistfirststyle"/>
        <w:numPr>
          <w:ilvl w:val="0"/>
          <w:numId w:val="0"/>
        </w:numPr>
        <w:rPr>
          <w:rStyle w:val="AERbody"/>
        </w:rPr>
      </w:pPr>
      <w:r>
        <w:rPr>
          <w:rStyle w:val="AERbody"/>
        </w:rPr>
        <w:t xml:space="preserve">In response to </w:t>
      </w:r>
      <w:r w:rsidR="00DB1120">
        <w:rPr>
          <w:rStyle w:val="AERbody"/>
        </w:rPr>
        <w:t>using our information disclosure powers more</w:t>
      </w:r>
      <w:r>
        <w:rPr>
          <w:rStyle w:val="AERbody"/>
        </w:rPr>
        <w:t>, certain NSPs</w:t>
      </w:r>
      <w:r w:rsidR="009D39EE" w:rsidRPr="009D39EE">
        <w:rPr>
          <w:rStyle w:val="AERbody"/>
        </w:rPr>
        <w:t xml:space="preserve"> </w:t>
      </w:r>
      <w:r>
        <w:rPr>
          <w:rStyle w:val="AERbody"/>
        </w:rPr>
        <w:t xml:space="preserve">have begun </w:t>
      </w:r>
      <w:r w:rsidR="009D39EE" w:rsidRPr="009D39EE">
        <w:rPr>
          <w:rStyle w:val="AERbody"/>
        </w:rPr>
        <w:t xml:space="preserve">to limit confidentiality claims to only that </w:t>
      </w:r>
      <w:r w:rsidR="00B77C43">
        <w:rPr>
          <w:rStyle w:val="AERbody"/>
        </w:rPr>
        <w:t xml:space="preserve">information which </w:t>
      </w:r>
      <w:r>
        <w:rPr>
          <w:rStyle w:val="AERbody"/>
        </w:rPr>
        <w:t xml:space="preserve">we should protect in accordance with the 28ZB </w:t>
      </w:r>
      <w:r>
        <w:rPr>
          <w:rStyle w:val="AERbody"/>
        </w:rPr>
        <w:lastRenderedPageBreak/>
        <w:t>test</w:t>
      </w:r>
      <w:r w:rsidR="009D39EE" w:rsidRPr="009D39EE">
        <w:rPr>
          <w:rStyle w:val="AERbody"/>
        </w:rPr>
        <w:t xml:space="preserve">. </w:t>
      </w:r>
      <w:r w:rsidR="006D0BB8">
        <w:rPr>
          <w:rStyle w:val="AERbody"/>
        </w:rPr>
        <w:t xml:space="preserve">We </w:t>
      </w:r>
      <w:r>
        <w:rPr>
          <w:rStyle w:val="AERbody"/>
        </w:rPr>
        <w:t xml:space="preserve">are keen to see this trend become the standard all NSPs apply. Therefore, we propose that the confidentiality guidelines require NSPs making blanket </w:t>
      </w:r>
      <w:r w:rsidR="00DB1120">
        <w:rPr>
          <w:rStyle w:val="AERbody"/>
        </w:rPr>
        <w:t xml:space="preserve">confidentiality </w:t>
      </w:r>
      <w:r>
        <w:rPr>
          <w:rStyle w:val="AERbody"/>
        </w:rPr>
        <w:t>claim</w:t>
      </w:r>
      <w:r w:rsidR="00DB1120">
        <w:rPr>
          <w:rStyle w:val="AERbody"/>
        </w:rPr>
        <w:t>s</w:t>
      </w:r>
      <w:r>
        <w:rPr>
          <w:rStyle w:val="AERbody"/>
        </w:rPr>
        <w:t xml:space="preserve"> provide reasons</w:t>
      </w:r>
      <w:r w:rsidR="00BD16EB">
        <w:rPr>
          <w:rStyle w:val="AERbody"/>
        </w:rPr>
        <w:t xml:space="preserve"> </w:t>
      </w:r>
      <w:r>
        <w:rPr>
          <w:rStyle w:val="AERbody"/>
        </w:rPr>
        <w:t xml:space="preserve">showing why we should protect </w:t>
      </w:r>
      <w:r w:rsidR="00BD16EB">
        <w:rPr>
          <w:rStyle w:val="AERbody"/>
        </w:rPr>
        <w:t xml:space="preserve">each </w:t>
      </w:r>
      <w:r>
        <w:rPr>
          <w:rStyle w:val="AERbody"/>
        </w:rPr>
        <w:t>individual aspect of the relevant document. If we consider a blanket claim for confidentiality does not meet this requirement, we may exercise our powers to reject the proposal</w:t>
      </w:r>
      <w:r w:rsidR="007A13D3">
        <w:rPr>
          <w:rStyle w:val="AERbody"/>
        </w:rPr>
        <w:t xml:space="preserve"> in its entirety</w:t>
      </w:r>
      <w:r>
        <w:rPr>
          <w:rStyle w:val="AERbody"/>
        </w:rPr>
        <w:t>.</w:t>
      </w:r>
      <w:r w:rsidR="00DB1120">
        <w:rPr>
          <w:rStyle w:val="FootnoteReference"/>
        </w:rPr>
        <w:footnoteReference w:id="38"/>
      </w:r>
      <w:r>
        <w:rPr>
          <w:rStyle w:val="AERbody"/>
        </w:rPr>
        <w:t xml:space="preserve"> </w:t>
      </w:r>
    </w:p>
    <w:p w:rsidR="00F353AF" w:rsidRPr="00EC1C8E" w:rsidRDefault="00791799" w:rsidP="00EC1C8E">
      <w:pPr>
        <w:pStyle w:val="AERbulletlistfirststyle"/>
        <w:numPr>
          <w:ilvl w:val="0"/>
          <w:numId w:val="0"/>
        </w:numPr>
        <w:rPr>
          <w:rStyle w:val="AERbody"/>
          <w:b/>
        </w:rPr>
      </w:pPr>
      <w:r>
        <w:pict>
          <v:shape id="_x0000_s1120" type="#_x0000_t202" style="width:458.35pt;height:65pt;mso-position-horizontal-relative:char;mso-position-vertical-relative:line;mso-width-relative:margin;mso-height-relative:margin">
            <v:textbox style="mso-next-textbox:#_x0000_s1120">
              <w:txbxContent>
                <w:p w:rsidR="0079718F" w:rsidRDefault="0079718F" w:rsidP="00D26605">
                  <w:pPr>
                    <w:pStyle w:val="Caption"/>
                    <w:rPr>
                      <w:rStyle w:val="AERbody"/>
                    </w:rPr>
                  </w:pPr>
                  <w:r>
                    <w:t>Question 6</w:t>
                  </w:r>
                </w:p>
                <w:p w:rsidR="0079718F" w:rsidRDefault="0079718F" w:rsidP="00D26605">
                  <w:r>
                    <w:rPr>
                      <w:rStyle w:val="AERbody"/>
                    </w:rPr>
                    <w:t>What are</w:t>
                  </w:r>
                  <w:r w:rsidRPr="00D26605">
                    <w:rPr>
                      <w:rStyle w:val="AERbody"/>
                    </w:rPr>
                    <w:t xml:space="preserve"> stakeholders</w:t>
                  </w:r>
                  <w:r>
                    <w:rPr>
                      <w:rStyle w:val="AERbody"/>
                    </w:rPr>
                    <w:t>’ views</w:t>
                  </w:r>
                  <w:r w:rsidRPr="00D26605">
                    <w:rPr>
                      <w:rStyle w:val="AERbody"/>
                    </w:rPr>
                    <w:t xml:space="preserve"> </w:t>
                  </w:r>
                  <w:r>
                    <w:rPr>
                      <w:rStyle w:val="AERbody"/>
                    </w:rPr>
                    <w:t xml:space="preserve">on </w:t>
                  </w:r>
                  <w:r w:rsidRPr="00D26605">
                    <w:rPr>
                      <w:rStyle w:val="AERbody"/>
                    </w:rPr>
                    <w:t>our proposed measures for dealing with blanket confidentiality claims in</w:t>
                  </w:r>
                  <w:r>
                    <w:rPr>
                      <w:rStyle w:val="AERbody"/>
                    </w:rPr>
                    <w:t xml:space="preserve"> the confidentiality guidelines?</w:t>
                  </w:r>
                </w:p>
              </w:txbxContent>
            </v:textbox>
            <w10:wrap type="none"/>
            <w10:anchorlock/>
          </v:shape>
        </w:pict>
      </w:r>
    </w:p>
    <w:p w:rsidR="00EC1C8E" w:rsidRPr="00CD226E" w:rsidRDefault="00542C91" w:rsidP="00CD226E">
      <w:pPr>
        <w:pStyle w:val="Heading2"/>
        <w:rPr>
          <w:rStyle w:val="AERbody"/>
          <w:color w:val="E36C0A"/>
          <w:sz w:val="28"/>
        </w:rPr>
      </w:pPr>
      <w:bookmarkStart w:id="26" w:name="_Toc349834059"/>
      <w:r w:rsidRPr="00CD226E">
        <w:rPr>
          <w:rStyle w:val="AERbody"/>
          <w:color w:val="E36C0A"/>
          <w:sz w:val="28"/>
        </w:rPr>
        <w:t>Third party documents</w:t>
      </w:r>
      <w:bookmarkEnd w:id="26"/>
      <w:r w:rsidRPr="00CD226E">
        <w:rPr>
          <w:rStyle w:val="AERbody"/>
          <w:color w:val="E36C0A"/>
          <w:sz w:val="28"/>
        </w:rPr>
        <w:t xml:space="preserve"> </w:t>
      </w:r>
    </w:p>
    <w:p w:rsidR="00FC6627" w:rsidRDefault="0083273A" w:rsidP="00EC1C8E">
      <w:pPr>
        <w:pStyle w:val="AERbodytext"/>
        <w:rPr>
          <w:rStyle w:val="AERbody"/>
        </w:rPr>
      </w:pPr>
      <w:r>
        <w:rPr>
          <w:rStyle w:val="AERbody"/>
        </w:rPr>
        <w:t xml:space="preserve">Often </w:t>
      </w:r>
      <w:r w:rsidR="00381C33">
        <w:rPr>
          <w:rStyle w:val="AERbody"/>
        </w:rPr>
        <w:t>NSP</w:t>
      </w:r>
      <w:r w:rsidR="00EC1C8E">
        <w:rPr>
          <w:rStyle w:val="AERbody"/>
        </w:rPr>
        <w:t>s</w:t>
      </w:r>
      <w:r>
        <w:rPr>
          <w:rStyle w:val="AERbody"/>
        </w:rPr>
        <w:t xml:space="preserve"> include in their submission</w:t>
      </w:r>
      <w:r w:rsidR="00DD2B8B">
        <w:rPr>
          <w:rStyle w:val="AERbody"/>
        </w:rPr>
        <w:t>s</w:t>
      </w:r>
      <w:r>
        <w:rPr>
          <w:rStyle w:val="AERbody"/>
        </w:rPr>
        <w:t xml:space="preserve"> </w:t>
      </w:r>
      <w:r w:rsidR="00EC1C8E">
        <w:rPr>
          <w:rStyle w:val="AERbody"/>
        </w:rPr>
        <w:t xml:space="preserve">information </w:t>
      </w:r>
      <w:r w:rsidR="00DD2B8B">
        <w:rPr>
          <w:rStyle w:val="AERbody"/>
        </w:rPr>
        <w:t xml:space="preserve">they have obtained from </w:t>
      </w:r>
      <w:r w:rsidR="00BD285B">
        <w:rPr>
          <w:rStyle w:val="AERbody"/>
        </w:rPr>
        <w:t xml:space="preserve">a </w:t>
      </w:r>
      <w:r w:rsidR="00EC1C8E">
        <w:rPr>
          <w:rStyle w:val="AERbody"/>
        </w:rPr>
        <w:t>third part</w:t>
      </w:r>
      <w:r>
        <w:rPr>
          <w:rStyle w:val="AERbody"/>
        </w:rPr>
        <w:t>y</w:t>
      </w:r>
      <w:r w:rsidR="00EC1C8E">
        <w:rPr>
          <w:rStyle w:val="AERbody"/>
        </w:rPr>
        <w:t xml:space="preserve"> such as </w:t>
      </w:r>
      <w:r>
        <w:rPr>
          <w:rStyle w:val="AERbody"/>
        </w:rPr>
        <w:t>a consultant report</w:t>
      </w:r>
      <w:r w:rsidR="00EC1C8E">
        <w:rPr>
          <w:rStyle w:val="AERbody"/>
        </w:rPr>
        <w:t xml:space="preserve"> </w:t>
      </w:r>
      <w:r w:rsidR="00FC6627">
        <w:rPr>
          <w:rStyle w:val="AERbody"/>
        </w:rPr>
        <w:t xml:space="preserve">or </w:t>
      </w:r>
      <w:r w:rsidR="00E731AF">
        <w:rPr>
          <w:rStyle w:val="AERbody"/>
        </w:rPr>
        <w:t xml:space="preserve">an </w:t>
      </w:r>
      <w:r w:rsidR="00FC6627">
        <w:rPr>
          <w:rStyle w:val="AERbody"/>
        </w:rPr>
        <w:t>audit</w:t>
      </w:r>
      <w:r>
        <w:rPr>
          <w:rStyle w:val="AERbody"/>
        </w:rPr>
        <w:t>or</w:t>
      </w:r>
      <w:r w:rsidR="00FC6627">
        <w:rPr>
          <w:rStyle w:val="AERbody"/>
        </w:rPr>
        <w:t xml:space="preserve"> report</w:t>
      </w:r>
      <w:r w:rsidR="00EC1C8E">
        <w:rPr>
          <w:rStyle w:val="AERbody"/>
        </w:rPr>
        <w:t xml:space="preserve">. </w:t>
      </w:r>
      <w:r w:rsidR="00DD2B8B">
        <w:rPr>
          <w:rStyle w:val="AERbody"/>
        </w:rPr>
        <w:t>Often</w:t>
      </w:r>
      <w:r>
        <w:rPr>
          <w:rStyle w:val="AERbody"/>
        </w:rPr>
        <w:t xml:space="preserve">, the </w:t>
      </w:r>
      <w:r w:rsidR="00821175">
        <w:rPr>
          <w:rStyle w:val="AERbody"/>
        </w:rPr>
        <w:t xml:space="preserve">third party </w:t>
      </w:r>
      <w:r>
        <w:rPr>
          <w:rStyle w:val="AERbody"/>
        </w:rPr>
        <w:t>makes a</w:t>
      </w:r>
      <w:r w:rsidR="00821175">
        <w:rPr>
          <w:rStyle w:val="AERbody"/>
        </w:rPr>
        <w:t xml:space="preserve"> blanket </w:t>
      </w:r>
      <w:r>
        <w:rPr>
          <w:rStyle w:val="AERbody"/>
        </w:rPr>
        <w:t>confidentiality</w:t>
      </w:r>
      <w:r w:rsidR="00821175">
        <w:rPr>
          <w:rStyle w:val="AERbody"/>
        </w:rPr>
        <w:t xml:space="preserve"> claim over </w:t>
      </w:r>
      <w:r w:rsidR="00094EA8">
        <w:rPr>
          <w:rStyle w:val="AERbody"/>
        </w:rPr>
        <w:t>this</w:t>
      </w:r>
      <w:r w:rsidR="00821175">
        <w:rPr>
          <w:rStyle w:val="AERbody"/>
        </w:rPr>
        <w:t xml:space="preserve"> information</w:t>
      </w:r>
      <w:r w:rsidR="00031791">
        <w:rPr>
          <w:rStyle w:val="AERbody"/>
        </w:rPr>
        <w:t xml:space="preserve">. </w:t>
      </w:r>
      <w:r>
        <w:rPr>
          <w:rStyle w:val="AERbody"/>
        </w:rPr>
        <w:t xml:space="preserve">In </w:t>
      </w:r>
      <w:r w:rsidR="00423C49">
        <w:rPr>
          <w:rStyle w:val="AERbody"/>
        </w:rPr>
        <w:t>these circumstances we may</w:t>
      </w:r>
      <w:r>
        <w:rPr>
          <w:rStyle w:val="AERbody"/>
        </w:rPr>
        <w:t xml:space="preserve"> </w:t>
      </w:r>
      <w:r w:rsidR="00423C49">
        <w:rPr>
          <w:rStyle w:val="AERbody"/>
        </w:rPr>
        <w:t xml:space="preserve">disclose </w:t>
      </w:r>
      <w:r w:rsidR="00A144B8">
        <w:rPr>
          <w:rStyle w:val="AERbody"/>
        </w:rPr>
        <w:t>the</w:t>
      </w:r>
      <w:r>
        <w:rPr>
          <w:rStyle w:val="AERbody"/>
        </w:rPr>
        <w:t xml:space="preserve"> information</w:t>
      </w:r>
      <w:r w:rsidR="00423C49">
        <w:rPr>
          <w:rStyle w:val="AERbody"/>
        </w:rPr>
        <w:t xml:space="preserve"> if we are satisfied it should be disclosed under </w:t>
      </w:r>
      <w:r w:rsidR="00EA7FE5">
        <w:rPr>
          <w:rStyle w:val="AERbody"/>
        </w:rPr>
        <w:t xml:space="preserve">the </w:t>
      </w:r>
      <w:r w:rsidR="00821175">
        <w:rPr>
          <w:rStyle w:val="AERbody"/>
        </w:rPr>
        <w:t xml:space="preserve">28ZB </w:t>
      </w:r>
      <w:r w:rsidR="00EA7FE5">
        <w:rPr>
          <w:rStyle w:val="AERbody"/>
        </w:rPr>
        <w:t>test</w:t>
      </w:r>
      <w:r>
        <w:rPr>
          <w:rStyle w:val="AERbody"/>
        </w:rPr>
        <w:t>.</w:t>
      </w:r>
      <w:r w:rsidR="00772A12">
        <w:rPr>
          <w:rStyle w:val="FootnoteReference"/>
        </w:rPr>
        <w:footnoteReference w:id="39"/>
      </w:r>
      <w:r w:rsidR="00156F3D">
        <w:rPr>
          <w:rStyle w:val="AERbody"/>
        </w:rPr>
        <w:t xml:space="preserve"> </w:t>
      </w:r>
      <w:r w:rsidR="00FF7021">
        <w:rPr>
          <w:rStyle w:val="AERbody"/>
        </w:rPr>
        <w:t>T</w:t>
      </w:r>
      <w:r w:rsidR="00156F3D">
        <w:rPr>
          <w:rStyle w:val="AERbody"/>
        </w:rPr>
        <w:t xml:space="preserve">his process </w:t>
      </w:r>
      <w:r w:rsidR="00DD2B8B">
        <w:rPr>
          <w:rStyle w:val="AERbody"/>
        </w:rPr>
        <w:t xml:space="preserve">places </w:t>
      </w:r>
      <w:r w:rsidR="00156F3D">
        <w:rPr>
          <w:rStyle w:val="AERbody"/>
        </w:rPr>
        <w:t xml:space="preserve">extra administrative burden on us and the third party. </w:t>
      </w:r>
      <w:r w:rsidR="00FC6627">
        <w:rPr>
          <w:rStyle w:val="AERbody"/>
        </w:rPr>
        <w:t xml:space="preserve"> </w:t>
      </w:r>
    </w:p>
    <w:p w:rsidR="00542C91" w:rsidRDefault="00DD2B8B" w:rsidP="00141F90">
      <w:pPr>
        <w:pStyle w:val="AERbodytext"/>
        <w:rPr>
          <w:rStyle w:val="AERbody"/>
        </w:rPr>
      </w:pPr>
      <w:r>
        <w:rPr>
          <w:rStyle w:val="AERbody"/>
        </w:rPr>
        <w:t>T</w:t>
      </w:r>
      <w:r w:rsidR="00156F3D">
        <w:rPr>
          <w:rStyle w:val="AERbody"/>
        </w:rPr>
        <w:t>herefore</w:t>
      </w:r>
      <w:r>
        <w:rPr>
          <w:rStyle w:val="AERbody"/>
        </w:rPr>
        <w:t>, in the guidelines, we are considering</w:t>
      </w:r>
      <w:r w:rsidR="00156F3D">
        <w:rPr>
          <w:rStyle w:val="AERbody"/>
        </w:rPr>
        <w:t xml:space="preserve"> </w:t>
      </w:r>
      <w:r w:rsidR="00EA7FE5">
        <w:rPr>
          <w:rStyle w:val="AERbody"/>
        </w:rPr>
        <w:t xml:space="preserve">requiring NSPs to provide the same reasoning for third party documents as for any other blanket confidentiality claim. We consider this approach would provide an incentive for NSPs to take responsibility </w:t>
      </w:r>
      <w:r w:rsidR="00D20E80">
        <w:rPr>
          <w:rStyle w:val="AERbody"/>
        </w:rPr>
        <w:t xml:space="preserve">for verifying </w:t>
      </w:r>
      <w:r w:rsidR="00542C91">
        <w:rPr>
          <w:rStyle w:val="AERbody"/>
        </w:rPr>
        <w:t>third part</w:t>
      </w:r>
      <w:r w:rsidR="00EA7FE5">
        <w:rPr>
          <w:rStyle w:val="AERbody"/>
        </w:rPr>
        <w:t>ie</w:t>
      </w:r>
      <w:r w:rsidR="00E731AF">
        <w:rPr>
          <w:rStyle w:val="AERbody"/>
        </w:rPr>
        <w:t>s</w:t>
      </w:r>
      <w:r w:rsidR="00EA7FE5">
        <w:rPr>
          <w:rStyle w:val="AERbody"/>
        </w:rPr>
        <w:t>’</w:t>
      </w:r>
      <w:r w:rsidR="00542C91">
        <w:rPr>
          <w:rStyle w:val="AERbody"/>
        </w:rPr>
        <w:t xml:space="preserve"> confidenti</w:t>
      </w:r>
      <w:r w:rsidR="00D20E80">
        <w:rPr>
          <w:rStyle w:val="AERbody"/>
        </w:rPr>
        <w:t>ality claim</w:t>
      </w:r>
      <w:r w:rsidR="00EA7FE5">
        <w:rPr>
          <w:rStyle w:val="AERbody"/>
        </w:rPr>
        <w:t>s. It would also</w:t>
      </w:r>
      <w:r w:rsidR="00D20E80">
        <w:rPr>
          <w:rStyle w:val="AERbody"/>
        </w:rPr>
        <w:t xml:space="preserve"> </w:t>
      </w:r>
      <w:r w:rsidR="00EA7FE5">
        <w:rPr>
          <w:rStyle w:val="AERbody"/>
        </w:rPr>
        <w:t xml:space="preserve">assist in making sure that </w:t>
      </w:r>
      <w:r w:rsidR="00D20E80">
        <w:rPr>
          <w:rStyle w:val="AERbody"/>
        </w:rPr>
        <w:t xml:space="preserve">that </w:t>
      </w:r>
      <w:r w:rsidR="00EA7FE5">
        <w:rPr>
          <w:rStyle w:val="AERbody"/>
        </w:rPr>
        <w:t>third party documents do not have confidentiality claims broader than is appropriate</w:t>
      </w:r>
      <w:r w:rsidR="00B469A5">
        <w:rPr>
          <w:rStyle w:val="AERbody"/>
        </w:rPr>
        <w:t xml:space="preserve">. We would consider third party information in the same way as </w:t>
      </w:r>
      <w:r w:rsidR="004F58F8">
        <w:rPr>
          <w:rStyle w:val="AERbody"/>
        </w:rPr>
        <w:t xml:space="preserve">any other </w:t>
      </w:r>
      <w:r w:rsidR="00B469A5">
        <w:rPr>
          <w:rStyle w:val="AERbody"/>
        </w:rPr>
        <w:t xml:space="preserve">material provided to us by NSPs. </w:t>
      </w:r>
    </w:p>
    <w:p w:rsidR="0017023A" w:rsidRDefault="00F10033" w:rsidP="0017023A">
      <w:pPr>
        <w:pStyle w:val="AERbodytext"/>
        <w:rPr>
          <w:rStyle w:val="AERtextbold"/>
        </w:rPr>
      </w:pPr>
      <w:r>
        <w:pict>
          <v:shape id="_x0000_s1122" type="#_x0000_t202" style="width:458.35pt;height:64.75pt;mso-position-horizontal-relative:char;mso-position-vertical-relative:line;mso-width-relative:margin;mso-height-relative:margin">
            <v:textbox style="mso-next-textbox:#_x0000_s1122">
              <w:txbxContent>
                <w:p w:rsidR="0079718F" w:rsidRDefault="0079718F" w:rsidP="00D26605">
                  <w:pPr>
                    <w:pStyle w:val="Caption"/>
                    <w:rPr>
                      <w:rStyle w:val="AERbody"/>
                    </w:rPr>
                  </w:pPr>
                  <w:r>
                    <w:t>Question 7</w:t>
                  </w:r>
                </w:p>
                <w:p w:rsidR="0079718F" w:rsidRDefault="0079718F" w:rsidP="00D26605">
                  <w:r w:rsidRPr="00D26605">
                    <w:rPr>
                      <w:rStyle w:val="AERbody"/>
                    </w:rPr>
                    <w:t>W</w:t>
                  </w:r>
                  <w:r>
                    <w:rPr>
                      <w:rStyle w:val="AERbody"/>
                    </w:rPr>
                    <w:t>hat are</w:t>
                  </w:r>
                  <w:r w:rsidRPr="00D26605">
                    <w:rPr>
                      <w:rStyle w:val="AERbody"/>
                    </w:rPr>
                    <w:t xml:space="preserve"> stakeholders</w:t>
                  </w:r>
                  <w:r>
                    <w:rPr>
                      <w:rStyle w:val="AERbody"/>
                    </w:rPr>
                    <w:t>’ views</w:t>
                  </w:r>
                  <w:r w:rsidRPr="00D26605">
                    <w:rPr>
                      <w:rStyle w:val="AERbody"/>
                    </w:rPr>
                    <w:t xml:space="preserve"> on our position that NSPs should verify all third party confidentiality claims that are included in their submission</w:t>
                  </w:r>
                  <w:r w:rsidR="0022377E">
                    <w:rPr>
                      <w:rStyle w:val="AERbody"/>
                    </w:rPr>
                    <w:t>?</w:t>
                  </w:r>
                </w:p>
              </w:txbxContent>
            </v:textbox>
            <w10:wrap type="none"/>
            <w10:anchorlock/>
          </v:shape>
        </w:pict>
      </w:r>
    </w:p>
    <w:p w:rsidR="003F5BB1" w:rsidRPr="00CD226E" w:rsidRDefault="003D13BD" w:rsidP="00CD226E">
      <w:pPr>
        <w:pStyle w:val="Heading2"/>
        <w:rPr>
          <w:rStyle w:val="AERbody"/>
          <w:color w:val="E36C0A"/>
          <w:sz w:val="28"/>
        </w:rPr>
      </w:pPr>
      <w:bookmarkStart w:id="27" w:name="_Toc349834060"/>
      <w:r w:rsidRPr="00CD226E">
        <w:rPr>
          <w:rStyle w:val="AERbody"/>
          <w:color w:val="E36C0A"/>
          <w:sz w:val="28"/>
        </w:rPr>
        <w:t xml:space="preserve">Scope and </w:t>
      </w:r>
      <w:r w:rsidR="003F5BB1" w:rsidRPr="00CD226E">
        <w:rPr>
          <w:rStyle w:val="AERbody"/>
          <w:color w:val="E36C0A"/>
          <w:sz w:val="28"/>
        </w:rPr>
        <w:t>Coverage</w:t>
      </w:r>
      <w:bookmarkEnd w:id="27"/>
    </w:p>
    <w:p w:rsidR="00FC04EF" w:rsidRDefault="002C1F80" w:rsidP="00721014">
      <w:pPr>
        <w:pStyle w:val="AERbulletlistfirststyle"/>
        <w:numPr>
          <w:ilvl w:val="0"/>
          <w:numId w:val="0"/>
        </w:numPr>
        <w:rPr>
          <w:rStyle w:val="AERbody"/>
        </w:rPr>
      </w:pPr>
      <w:r>
        <w:rPr>
          <w:rStyle w:val="AERbody"/>
        </w:rPr>
        <w:t>T</w:t>
      </w:r>
      <w:r w:rsidR="00FC04EF">
        <w:rPr>
          <w:rStyle w:val="AERbody"/>
        </w:rPr>
        <w:t>h</w:t>
      </w:r>
      <w:r w:rsidR="00094EA8">
        <w:rPr>
          <w:rStyle w:val="AERbody"/>
        </w:rPr>
        <w:t>e</w:t>
      </w:r>
      <w:r w:rsidR="00FC04EF">
        <w:rPr>
          <w:rStyle w:val="AERbody"/>
        </w:rPr>
        <w:t xml:space="preserve"> </w:t>
      </w:r>
      <w:r w:rsidR="00AD6C3C">
        <w:rPr>
          <w:rStyle w:val="AERbody"/>
        </w:rPr>
        <w:t>confidentiality guideline</w:t>
      </w:r>
      <w:r w:rsidR="00381C33">
        <w:rPr>
          <w:rStyle w:val="AERbody"/>
        </w:rPr>
        <w:t>s</w:t>
      </w:r>
      <w:r w:rsidR="00AD6C3C">
        <w:rPr>
          <w:rStyle w:val="AERbody"/>
        </w:rPr>
        <w:t xml:space="preserve"> </w:t>
      </w:r>
      <w:r w:rsidR="00FC04EF">
        <w:rPr>
          <w:rStyle w:val="AERbody"/>
        </w:rPr>
        <w:t>appl</w:t>
      </w:r>
      <w:r w:rsidR="00381C33">
        <w:rPr>
          <w:rStyle w:val="AERbody"/>
        </w:rPr>
        <w:t>y</w:t>
      </w:r>
      <w:r w:rsidR="00FC04EF">
        <w:rPr>
          <w:rStyle w:val="AERbody"/>
        </w:rPr>
        <w:t xml:space="preserve"> to </w:t>
      </w:r>
      <w:r w:rsidR="0075628E">
        <w:rPr>
          <w:rStyle w:val="AERbody"/>
        </w:rPr>
        <w:t>electricity</w:t>
      </w:r>
      <w:r w:rsidR="004F54D3">
        <w:rPr>
          <w:rStyle w:val="AERbody"/>
        </w:rPr>
        <w:t xml:space="preserve"> </w:t>
      </w:r>
      <w:r w:rsidR="00721014">
        <w:rPr>
          <w:rStyle w:val="AERbody"/>
        </w:rPr>
        <w:t>NSPs</w:t>
      </w:r>
      <w:r w:rsidR="0075628E">
        <w:rPr>
          <w:rStyle w:val="AERbody"/>
        </w:rPr>
        <w:t>’</w:t>
      </w:r>
      <w:r w:rsidR="00721014">
        <w:rPr>
          <w:rStyle w:val="AERbody"/>
        </w:rPr>
        <w:t xml:space="preserve"> </w:t>
      </w:r>
      <w:r w:rsidR="0010093B">
        <w:rPr>
          <w:rStyle w:val="AERbody"/>
        </w:rPr>
        <w:t xml:space="preserve">initial and revised </w:t>
      </w:r>
      <w:r w:rsidR="00FC04EF">
        <w:rPr>
          <w:rStyle w:val="AERbody"/>
        </w:rPr>
        <w:t>regulatory proposals, revenue proposals and proposed pricing methodolog</w:t>
      </w:r>
      <w:r w:rsidR="00E731AF">
        <w:rPr>
          <w:rStyle w:val="AERbody"/>
        </w:rPr>
        <w:t>ies</w:t>
      </w:r>
      <w:r w:rsidR="0010093B">
        <w:rPr>
          <w:rStyle w:val="AERbody"/>
        </w:rPr>
        <w:t>.</w:t>
      </w:r>
      <w:r w:rsidR="00721014">
        <w:rPr>
          <w:rStyle w:val="AERbody"/>
        </w:rPr>
        <w:t xml:space="preserve"> </w:t>
      </w:r>
      <w:r w:rsidR="00736507">
        <w:rPr>
          <w:rStyle w:val="AERbody"/>
        </w:rPr>
        <w:t xml:space="preserve">We </w:t>
      </w:r>
      <w:r w:rsidR="00FC04EF">
        <w:rPr>
          <w:rStyle w:val="AERbody"/>
        </w:rPr>
        <w:t xml:space="preserve">consider that there is </w:t>
      </w:r>
      <w:r w:rsidR="00736507">
        <w:rPr>
          <w:rStyle w:val="AERbody"/>
        </w:rPr>
        <w:t xml:space="preserve">significant </w:t>
      </w:r>
      <w:r w:rsidR="00FC04EF">
        <w:rPr>
          <w:rStyle w:val="AERbody"/>
        </w:rPr>
        <w:t>value in</w:t>
      </w:r>
      <w:r w:rsidR="00DD4376">
        <w:rPr>
          <w:rStyle w:val="AERbody"/>
        </w:rPr>
        <w:t xml:space="preserve"> having a single</w:t>
      </w:r>
      <w:r w:rsidR="00736507">
        <w:rPr>
          <w:rStyle w:val="AERbody"/>
        </w:rPr>
        <w:t xml:space="preserve"> </w:t>
      </w:r>
      <w:r w:rsidR="00DD4376">
        <w:rPr>
          <w:rStyle w:val="AERbody"/>
        </w:rPr>
        <w:t xml:space="preserve">well accepted approach to dealing with </w:t>
      </w:r>
      <w:r w:rsidR="00BB659C">
        <w:rPr>
          <w:rStyle w:val="AERbody"/>
        </w:rPr>
        <w:t xml:space="preserve">all </w:t>
      </w:r>
      <w:r w:rsidR="00DD4376">
        <w:rPr>
          <w:rStyle w:val="AERbody"/>
        </w:rPr>
        <w:t xml:space="preserve">information </w:t>
      </w:r>
      <w:r w:rsidR="00736507">
        <w:rPr>
          <w:rStyle w:val="AERbody"/>
        </w:rPr>
        <w:t xml:space="preserve">we </w:t>
      </w:r>
      <w:r w:rsidR="00DD4376">
        <w:rPr>
          <w:rStyle w:val="AERbody"/>
        </w:rPr>
        <w:t>receive.</w:t>
      </w:r>
      <w:r w:rsidR="00115097">
        <w:rPr>
          <w:rStyle w:val="AERbody"/>
        </w:rPr>
        <w:t xml:space="preserve"> </w:t>
      </w:r>
      <w:r w:rsidR="00DD4376">
        <w:rPr>
          <w:rStyle w:val="AERbody"/>
        </w:rPr>
        <w:t>T</w:t>
      </w:r>
      <w:r w:rsidR="00736507">
        <w:rPr>
          <w:rStyle w:val="AERbody"/>
        </w:rPr>
        <w:t xml:space="preserve">herefore, </w:t>
      </w:r>
      <w:r w:rsidR="004D5FF3">
        <w:rPr>
          <w:rStyle w:val="AERbody"/>
        </w:rPr>
        <w:t xml:space="preserve">as a matter of policy, </w:t>
      </w:r>
      <w:r w:rsidR="00736507">
        <w:rPr>
          <w:rStyle w:val="AERbody"/>
        </w:rPr>
        <w:t xml:space="preserve">we </w:t>
      </w:r>
      <w:r w:rsidR="00094EA8">
        <w:rPr>
          <w:rStyle w:val="AERbody"/>
        </w:rPr>
        <w:t xml:space="preserve">are considering </w:t>
      </w:r>
      <w:r w:rsidR="00736507">
        <w:rPr>
          <w:rStyle w:val="AERbody"/>
        </w:rPr>
        <w:t>a</w:t>
      </w:r>
      <w:r w:rsidR="00056317">
        <w:rPr>
          <w:rStyle w:val="AERbody"/>
        </w:rPr>
        <w:t>pply</w:t>
      </w:r>
      <w:r w:rsidR="00094EA8">
        <w:rPr>
          <w:rStyle w:val="AERbody"/>
        </w:rPr>
        <w:t>ing</w:t>
      </w:r>
      <w:r w:rsidR="00056317">
        <w:rPr>
          <w:rStyle w:val="AERbody"/>
        </w:rPr>
        <w:t xml:space="preserve"> </w:t>
      </w:r>
      <w:r w:rsidR="00736507">
        <w:rPr>
          <w:rStyle w:val="AERbody"/>
        </w:rPr>
        <w:t xml:space="preserve">the confidentiality </w:t>
      </w:r>
      <w:r w:rsidR="00381C33">
        <w:rPr>
          <w:rStyle w:val="AERbody"/>
        </w:rPr>
        <w:t>guidelines</w:t>
      </w:r>
      <w:r w:rsidR="00736507">
        <w:rPr>
          <w:rStyle w:val="AERbody"/>
        </w:rPr>
        <w:t xml:space="preserve"> to </w:t>
      </w:r>
      <w:r w:rsidR="00FC04EF">
        <w:rPr>
          <w:rStyle w:val="AERbody"/>
        </w:rPr>
        <w:t xml:space="preserve">all information </w:t>
      </w:r>
      <w:r w:rsidR="00DD2B8B">
        <w:rPr>
          <w:rStyle w:val="AERbody"/>
        </w:rPr>
        <w:t>we receive</w:t>
      </w:r>
      <w:r w:rsidR="00EA7FE5">
        <w:rPr>
          <w:rStyle w:val="AERbody"/>
        </w:rPr>
        <w:t xml:space="preserve"> from </w:t>
      </w:r>
      <w:r w:rsidR="0075628E">
        <w:rPr>
          <w:rStyle w:val="AERbody"/>
        </w:rPr>
        <w:t xml:space="preserve">electricity </w:t>
      </w:r>
      <w:r w:rsidR="00EA7FE5">
        <w:rPr>
          <w:rStyle w:val="AERbody"/>
        </w:rPr>
        <w:t>NSPs</w:t>
      </w:r>
      <w:r w:rsidR="00721014">
        <w:rPr>
          <w:rStyle w:val="AERbody"/>
        </w:rPr>
        <w:t>.</w:t>
      </w:r>
      <w:r w:rsidR="00EA7FE5">
        <w:rPr>
          <w:rStyle w:val="AERbody"/>
        </w:rPr>
        <w:t xml:space="preserve"> This would include responses to </w:t>
      </w:r>
      <w:r w:rsidR="00914F76">
        <w:rPr>
          <w:rStyle w:val="AERbody"/>
        </w:rPr>
        <w:t>Regulatory Information Notices</w:t>
      </w:r>
      <w:r w:rsidR="00EA7FE5">
        <w:rPr>
          <w:rStyle w:val="AERbody"/>
        </w:rPr>
        <w:t>, information requests and submissions on proposals.</w:t>
      </w:r>
      <w:r w:rsidR="00094EA8">
        <w:rPr>
          <w:rStyle w:val="AERbody"/>
        </w:rPr>
        <w:t xml:space="preserve"> We would also seek to apply the policy </w:t>
      </w:r>
      <w:r w:rsidR="004A437E">
        <w:rPr>
          <w:rStyle w:val="AERbody"/>
        </w:rPr>
        <w:t>to</w:t>
      </w:r>
      <w:r w:rsidR="0075628E">
        <w:rPr>
          <w:rStyle w:val="AERbody"/>
        </w:rPr>
        <w:t xml:space="preserve"> all information we receive from </w:t>
      </w:r>
      <w:r w:rsidR="00094EA8">
        <w:rPr>
          <w:rStyle w:val="AERbody"/>
        </w:rPr>
        <w:t>gas service providers</w:t>
      </w:r>
      <w:r w:rsidR="00B769DF">
        <w:rPr>
          <w:rStyle w:val="AERbody"/>
        </w:rPr>
        <w:t>.</w:t>
      </w:r>
    </w:p>
    <w:p w:rsidR="00D30B5A" w:rsidRDefault="0075269D" w:rsidP="0061761A">
      <w:pPr>
        <w:pStyle w:val="AERbulletlistfirststyle"/>
        <w:numPr>
          <w:ilvl w:val="0"/>
          <w:numId w:val="0"/>
        </w:numPr>
        <w:rPr>
          <w:rStyle w:val="AERtextbold"/>
        </w:rPr>
      </w:pPr>
      <w:r>
        <w:pict>
          <v:shape id="_x0000_s1124" type="#_x0000_t202" style="width:458.35pt;height:72.65pt;mso-position-horizontal-relative:char;mso-position-vertical-relative:line;mso-width-relative:margin;mso-height-relative:margin">
            <v:textbox style="mso-next-textbox:#_x0000_s1124">
              <w:txbxContent>
                <w:p w:rsidR="0079718F" w:rsidRDefault="0079718F" w:rsidP="00E0088C">
                  <w:pPr>
                    <w:pStyle w:val="Caption"/>
                    <w:rPr>
                      <w:rStyle w:val="AERbody"/>
                    </w:rPr>
                  </w:pPr>
                  <w:r>
                    <w:t>Question 8</w:t>
                  </w:r>
                </w:p>
                <w:p w:rsidR="0079718F" w:rsidRDefault="0079718F" w:rsidP="00E0088C">
                  <w:r>
                    <w:rPr>
                      <w:rStyle w:val="AERbody"/>
                    </w:rPr>
                    <w:t xml:space="preserve">Should we apply </w:t>
                  </w:r>
                  <w:r w:rsidRPr="00E0088C">
                    <w:rPr>
                      <w:rStyle w:val="AERbody"/>
                    </w:rPr>
                    <w:t>the confidentiality guidelines</w:t>
                  </w:r>
                  <w:r>
                    <w:rPr>
                      <w:rStyle w:val="AERbody"/>
                    </w:rPr>
                    <w:t>, as a policy,</w:t>
                  </w:r>
                  <w:r w:rsidRPr="00E0088C">
                    <w:rPr>
                      <w:rStyle w:val="AERbody"/>
                    </w:rPr>
                    <w:t xml:space="preserve"> </w:t>
                  </w:r>
                  <w:r>
                    <w:rPr>
                      <w:rStyle w:val="AERbody"/>
                    </w:rPr>
                    <w:t>to all information we receive from NSPs and gas service providers? If not, what information handling procedures should we use to deal with this information?</w:t>
                  </w:r>
                </w:p>
              </w:txbxContent>
            </v:textbox>
            <w10:wrap type="none"/>
            <w10:anchorlock/>
          </v:shape>
        </w:pict>
      </w:r>
    </w:p>
    <w:p w:rsidR="004F7B4C" w:rsidRPr="00CD226E" w:rsidRDefault="004F7B4C" w:rsidP="004F7B4C">
      <w:pPr>
        <w:pStyle w:val="Heading2"/>
        <w:rPr>
          <w:rStyle w:val="AERbody"/>
          <w:color w:val="E36C0A"/>
          <w:sz w:val="28"/>
        </w:rPr>
      </w:pPr>
      <w:bookmarkStart w:id="28" w:name="_Toc349834061"/>
      <w:r>
        <w:rPr>
          <w:rStyle w:val="AERbody"/>
          <w:color w:val="E36C0A"/>
          <w:sz w:val="28"/>
        </w:rPr>
        <w:t>Compliance costs</w:t>
      </w:r>
      <w:bookmarkEnd w:id="28"/>
    </w:p>
    <w:p w:rsidR="004F7B4C" w:rsidRDefault="004F7B4C" w:rsidP="004F7B4C">
      <w:pPr>
        <w:pStyle w:val="AERbulletlistfirststyle"/>
        <w:numPr>
          <w:ilvl w:val="0"/>
          <w:numId w:val="0"/>
        </w:numPr>
        <w:rPr>
          <w:rStyle w:val="AERbody"/>
        </w:rPr>
      </w:pPr>
      <w:r>
        <w:rPr>
          <w:rStyle w:val="AERbody"/>
        </w:rPr>
        <w:t xml:space="preserve">We are aware that our proposed approach may increase </w:t>
      </w:r>
      <w:r w:rsidR="00381C33">
        <w:rPr>
          <w:rStyle w:val="AERbody"/>
        </w:rPr>
        <w:t>NSP</w:t>
      </w:r>
      <w:r>
        <w:rPr>
          <w:rStyle w:val="AERbody"/>
        </w:rPr>
        <w:t>s’ compliance costs. For example over the course of a reset, compliance with the confidentiality guideline</w:t>
      </w:r>
      <w:r w:rsidR="00381C33">
        <w:rPr>
          <w:rStyle w:val="AERbody"/>
        </w:rPr>
        <w:t>s</w:t>
      </w:r>
      <w:r>
        <w:rPr>
          <w:rStyle w:val="AERbody"/>
        </w:rPr>
        <w:t xml:space="preserve"> may result in additional administrative resources for </w:t>
      </w:r>
      <w:r w:rsidR="00381C33">
        <w:rPr>
          <w:rStyle w:val="AERbody"/>
        </w:rPr>
        <w:t>NSP</w:t>
      </w:r>
      <w:r>
        <w:rPr>
          <w:rStyle w:val="AERbody"/>
        </w:rPr>
        <w:t xml:space="preserve">s. </w:t>
      </w:r>
    </w:p>
    <w:p w:rsidR="004F7B4C" w:rsidRPr="00D44B04" w:rsidRDefault="00FC6B0E" w:rsidP="004F7B4C">
      <w:pPr>
        <w:pStyle w:val="AERbulletlistfirststyle"/>
        <w:numPr>
          <w:ilvl w:val="0"/>
          <w:numId w:val="0"/>
        </w:numPr>
        <w:rPr>
          <w:rStyle w:val="AERtextbold"/>
        </w:rPr>
      </w:pPr>
      <w:r>
        <w:rPr>
          <w:noProof/>
          <w:lang w:eastAsia="en-AU"/>
        </w:rPr>
      </w:r>
      <w:r>
        <w:pict>
          <v:shape id="_x0000_s1127" type="#_x0000_t202" style="width:458.35pt;height:62.9pt;mso-position-horizontal-relative:char;mso-position-vertical-relative:line;mso-width-relative:margin;mso-height-relative:margin">
            <v:textbox style="mso-next-textbox:#_x0000_s1127">
              <w:txbxContent>
                <w:p w:rsidR="0079718F" w:rsidRDefault="0079718F" w:rsidP="00FC6B0E">
                  <w:pPr>
                    <w:pStyle w:val="Caption"/>
                    <w:rPr>
                      <w:rStyle w:val="AERbody"/>
                    </w:rPr>
                  </w:pPr>
                  <w:r>
                    <w:t>Question 9</w:t>
                  </w:r>
                </w:p>
                <w:p w:rsidR="0079718F" w:rsidRDefault="0079718F" w:rsidP="00FC6B0E">
                  <w:r w:rsidRPr="00D26605">
                    <w:rPr>
                      <w:rStyle w:val="AERbody"/>
                    </w:rPr>
                    <w:t>W</w:t>
                  </w:r>
                  <w:r>
                    <w:rPr>
                      <w:rStyle w:val="AERbody"/>
                    </w:rPr>
                    <w:t>hat are</w:t>
                  </w:r>
                  <w:r w:rsidRPr="00D26605">
                    <w:rPr>
                      <w:rStyle w:val="AERbody"/>
                    </w:rPr>
                    <w:t xml:space="preserve"> stakeholders</w:t>
                  </w:r>
                  <w:r>
                    <w:rPr>
                      <w:rStyle w:val="AERbody"/>
                    </w:rPr>
                    <w:t>’ views</w:t>
                  </w:r>
                  <w:r w:rsidRPr="00E0088C">
                    <w:rPr>
                      <w:rStyle w:val="AERbody"/>
                    </w:rPr>
                    <w:t xml:space="preserve"> on ensuring appropriate disclosure of information whilst </w:t>
                  </w:r>
                  <w:r w:rsidR="005249CE">
                    <w:rPr>
                      <w:rStyle w:val="AERbody"/>
                    </w:rPr>
                    <w:t>minimising administrative costs?</w:t>
                  </w:r>
                </w:p>
              </w:txbxContent>
            </v:textbox>
            <w10:wrap type="none"/>
            <w10:anchorlock/>
          </v:shape>
        </w:pict>
      </w:r>
    </w:p>
    <w:p w:rsidR="006612F1" w:rsidRDefault="006612F1" w:rsidP="006612F1">
      <w:pPr>
        <w:pStyle w:val="Heading2"/>
        <w:rPr>
          <w:rStyle w:val="AERtextbold"/>
          <w:b/>
        </w:rPr>
      </w:pPr>
      <w:bookmarkStart w:id="29" w:name="_Toc349834062"/>
      <w:r w:rsidRPr="00446C5B">
        <w:rPr>
          <w:rStyle w:val="AERtextbold"/>
          <w:b/>
        </w:rPr>
        <w:t>Limited release of information</w:t>
      </w:r>
      <w:bookmarkEnd w:id="29"/>
      <w:r w:rsidRPr="00446C5B">
        <w:rPr>
          <w:rStyle w:val="AERtextbold"/>
          <w:b/>
        </w:rPr>
        <w:t xml:space="preserve"> </w:t>
      </w:r>
    </w:p>
    <w:p w:rsidR="008606A0" w:rsidRDefault="00BE5848" w:rsidP="008606A0">
      <w:r>
        <w:t>From time to time</w:t>
      </w:r>
      <w:r w:rsidR="00F2327D">
        <w:t xml:space="preserve"> other organisations</w:t>
      </w:r>
      <w:r>
        <w:t xml:space="preserve">, </w:t>
      </w:r>
      <w:r w:rsidR="00F2327D">
        <w:t xml:space="preserve">such as </w:t>
      </w:r>
      <w:r>
        <w:t>the</w:t>
      </w:r>
      <w:r w:rsidR="008F0FA3">
        <w:t xml:space="preserve"> ACCC</w:t>
      </w:r>
      <w:r w:rsidR="00F2327D">
        <w:t>,</w:t>
      </w:r>
      <w:r w:rsidR="008F0FA3">
        <w:t xml:space="preserve"> ha</w:t>
      </w:r>
      <w:r w:rsidR="00F2327D">
        <w:t>ve</w:t>
      </w:r>
      <w:r w:rsidR="008F0FA3">
        <w:t xml:space="preserve"> facilitated the release of </w:t>
      </w:r>
      <w:r>
        <w:t>confidential</w:t>
      </w:r>
      <w:r w:rsidR="008F0FA3">
        <w:t xml:space="preserve"> information to third parties for the purpose of making a submission. </w:t>
      </w:r>
      <w:r w:rsidR="00F22BD6">
        <w:t>For example</w:t>
      </w:r>
      <w:r w:rsidR="00F2327D">
        <w:t>, in the telecommunication context,</w:t>
      </w:r>
      <w:r w:rsidR="00F22BD6">
        <w:t xml:space="preserve"> a </w:t>
      </w:r>
      <w:r w:rsidR="00D65756">
        <w:t>carrier</w:t>
      </w:r>
      <w:r w:rsidR="00F22BD6">
        <w:t xml:space="preserve"> would agree to disclose its confidential information to certain parties provided </w:t>
      </w:r>
      <w:r w:rsidR="00F2327D">
        <w:t xml:space="preserve">they </w:t>
      </w:r>
      <w:r w:rsidR="00F22BD6">
        <w:t xml:space="preserve">signed a confidentiality undertaking. The confidentiality undertaking </w:t>
      </w:r>
      <w:r w:rsidR="00ED538D">
        <w:t>specified</w:t>
      </w:r>
      <w:r w:rsidR="00F22BD6">
        <w:t xml:space="preserve"> the </w:t>
      </w:r>
      <w:r w:rsidR="00D65756">
        <w:t xml:space="preserve">purpose for which the </w:t>
      </w:r>
      <w:r w:rsidR="00F2327D">
        <w:t xml:space="preserve">recipient may use the </w:t>
      </w:r>
      <w:r w:rsidR="00D65756">
        <w:t xml:space="preserve">confidential information </w:t>
      </w:r>
      <w:r w:rsidR="00F2327D">
        <w:t>and that they must</w:t>
      </w:r>
      <w:r w:rsidR="00F22BD6">
        <w:t xml:space="preserve"> not disclose the confidential information t</w:t>
      </w:r>
      <w:r w:rsidR="00D65756">
        <w:t xml:space="preserve">o anyone else without the </w:t>
      </w:r>
      <w:r w:rsidR="00F2327D">
        <w:t xml:space="preserve">carrier’s </w:t>
      </w:r>
      <w:r w:rsidR="00D65756">
        <w:t xml:space="preserve">consent. </w:t>
      </w:r>
      <w:r w:rsidR="00F42CFA">
        <w:t>The ACCC made available on its website the</w:t>
      </w:r>
      <w:r w:rsidR="00ED538D">
        <w:t xml:space="preserve"> </w:t>
      </w:r>
      <w:r w:rsidR="00D65756">
        <w:t>confidentiality</w:t>
      </w:r>
      <w:r w:rsidR="00ED538D">
        <w:t xml:space="preserve"> undertaking for parties to sign </w:t>
      </w:r>
      <w:r w:rsidR="00D65756">
        <w:t>and</w:t>
      </w:r>
      <w:r w:rsidR="00A42DAC">
        <w:t xml:space="preserve"> details of how the parties could</w:t>
      </w:r>
      <w:r w:rsidR="00D65756">
        <w:t xml:space="preserve"> </w:t>
      </w:r>
      <w:r w:rsidR="003A296B">
        <w:t>submit</w:t>
      </w:r>
      <w:r w:rsidR="00A42DAC">
        <w:t xml:space="preserve"> the confidentiality undertaking to the </w:t>
      </w:r>
      <w:r w:rsidR="00F42CFA">
        <w:t xml:space="preserve">carrier. </w:t>
      </w:r>
    </w:p>
    <w:p w:rsidR="00446C5B" w:rsidRDefault="00BF4BB7" w:rsidP="00ED538D">
      <w:r>
        <w:t>T</w:t>
      </w:r>
      <w:r w:rsidR="00ED538D">
        <w:t xml:space="preserve">o facilitate better </w:t>
      </w:r>
      <w:r w:rsidR="00D65756">
        <w:t xml:space="preserve">stakeholder </w:t>
      </w:r>
      <w:r>
        <w:t xml:space="preserve">engagement in our </w:t>
      </w:r>
      <w:r w:rsidRPr="006173EF">
        <w:t>regulatory decision making process,</w:t>
      </w:r>
      <w:r>
        <w:t xml:space="preserve"> we </w:t>
      </w:r>
      <w:r w:rsidR="00F2327D">
        <w:t xml:space="preserve">are considering including </w:t>
      </w:r>
      <w:r>
        <w:t>a similar approach</w:t>
      </w:r>
      <w:r w:rsidR="00666FA7">
        <w:t xml:space="preserve"> to that described above. </w:t>
      </w:r>
      <w:r w:rsidR="00A42DAC">
        <w:t xml:space="preserve">That is, </w:t>
      </w:r>
      <w:r w:rsidR="00666FA7">
        <w:t>NSP</w:t>
      </w:r>
      <w:r>
        <w:t>s</w:t>
      </w:r>
      <w:r w:rsidR="00A42DAC">
        <w:t xml:space="preserve"> may</w:t>
      </w:r>
      <w:r>
        <w:t xml:space="preserve"> disclose</w:t>
      </w:r>
      <w:r w:rsidR="00666FA7">
        <w:t xml:space="preserve"> their</w:t>
      </w:r>
      <w:r>
        <w:t xml:space="preserve"> </w:t>
      </w:r>
      <w:r w:rsidR="00666FA7">
        <w:t>information</w:t>
      </w:r>
      <w:r>
        <w:t xml:space="preserve"> to certain stakeholders for the purpose of </w:t>
      </w:r>
      <w:r w:rsidR="00666FA7">
        <w:t>the</w:t>
      </w:r>
      <w:r>
        <w:t xml:space="preserve"> stakeholder making a </w:t>
      </w:r>
      <w:r w:rsidR="00666FA7">
        <w:t>submission on the NSP’s proposal</w:t>
      </w:r>
      <w:r w:rsidR="00A42DAC">
        <w:t xml:space="preserve">. </w:t>
      </w:r>
    </w:p>
    <w:p w:rsidR="0069750E" w:rsidRDefault="0069750E" w:rsidP="00ED538D">
      <w:r>
        <w:rPr>
          <w:noProof/>
          <w:lang w:eastAsia="en-AU"/>
        </w:rPr>
      </w:r>
      <w:r>
        <w:pict>
          <v:shape id="_x0000_s1128" type="#_x0000_t202" style="width:458.35pt;height:62.9pt;mso-position-horizontal-relative:char;mso-position-vertical-relative:line;mso-width-relative:margin;mso-height-relative:margin">
            <v:textbox style="mso-next-textbox:#_x0000_s1128">
              <w:txbxContent>
                <w:p w:rsidR="0069750E" w:rsidRDefault="0069750E" w:rsidP="0069750E">
                  <w:pPr>
                    <w:pStyle w:val="Caption"/>
                  </w:pPr>
                  <w:r>
                    <w:t>Question 10</w:t>
                  </w:r>
                </w:p>
                <w:p w:rsidR="0069750E" w:rsidRPr="0069750E" w:rsidRDefault="0069750E" w:rsidP="0069750E">
                  <w:pPr>
                    <w:pStyle w:val="AERbodytext"/>
                  </w:pPr>
                  <w:r>
                    <w:t>Should we facilitate NSPs disclosing information to certain stakeholders for the purpose of making a submission to the AER?</w:t>
                  </w:r>
                </w:p>
              </w:txbxContent>
            </v:textbox>
            <w10:wrap type="none"/>
            <w10:anchorlock/>
          </v:shape>
        </w:pict>
      </w:r>
    </w:p>
    <w:p w:rsidR="00072D68" w:rsidRPr="00861EA5" w:rsidRDefault="00072D68" w:rsidP="00861EA5">
      <w:pPr>
        <w:pStyle w:val="Heading1"/>
      </w:pPr>
      <w:bookmarkStart w:id="30" w:name="_Toc342636995"/>
      <w:bookmarkStart w:id="31" w:name="_Toc342638043"/>
      <w:bookmarkStart w:id="32" w:name="_Toc342639930"/>
      <w:bookmarkStart w:id="33" w:name="_Toc342053724"/>
      <w:bookmarkStart w:id="34" w:name="_Toc342053936"/>
      <w:bookmarkStart w:id="35" w:name="_Toc342053728"/>
      <w:bookmarkStart w:id="36" w:name="_Toc342053940"/>
      <w:bookmarkStart w:id="37" w:name="_Toc342053747"/>
      <w:bookmarkStart w:id="38" w:name="_Toc342053959"/>
      <w:bookmarkStart w:id="39" w:name="_Toc342053759"/>
      <w:bookmarkStart w:id="40" w:name="_Toc342053971"/>
      <w:bookmarkStart w:id="41" w:name="_Toc342053763"/>
      <w:bookmarkStart w:id="42" w:name="_Toc342053975"/>
      <w:bookmarkStart w:id="43" w:name="_Toc342053764"/>
      <w:bookmarkStart w:id="44" w:name="_Toc342053976"/>
      <w:bookmarkStart w:id="45" w:name="_Toc342636998"/>
      <w:bookmarkStart w:id="46" w:name="_Toc342638046"/>
      <w:bookmarkStart w:id="47" w:name="_Toc342639933"/>
      <w:bookmarkStart w:id="48" w:name="_Toc338846886"/>
      <w:bookmarkStart w:id="49" w:name="_Toc338846942"/>
      <w:bookmarkStart w:id="50" w:name="_Toc339469675"/>
      <w:bookmarkStart w:id="51" w:name="_Toc339469733"/>
      <w:bookmarkStart w:id="52" w:name="_Toc339549447"/>
      <w:bookmarkStart w:id="53" w:name="_Toc338846900"/>
      <w:bookmarkStart w:id="54" w:name="_Toc338846956"/>
      <w:bookmarkStart w:id="55" w:name="_Toc339469687"/>
      <w:bookmarkStart w:id="56" w:name="_Toc339469745"/>
      <w:bookmarkStart w:id="57" w:name="_Toc338846901"/>
      <w:bookmarkStart w:id="58" w:name="_Toc338846957"/>
      <w:bookmarkStart w:id="59" w:name="_Toc339469688"/>
      <w:bookmarkStart w:id="60" w:name="_Toc339469746"/>
      <w:bookmarkStart w:id="61" w:name="_Toc341082609"/>
      <w:bookmarkStart w:id="62" w:name="_Ref342479903"/>
      <w:bookmarkStart w:id="63" w:name="_Toc342637000"/>
      <w:bookmarkStart w:id="64" w:name="_Toc34983406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861EA5">
        <w:lastRenderedPageBreak/>
        <w:t>Next steps</w:t>
      </w:r>
      <w:bookmarkEnd w:id="62"/>
      <w:bookmarkEnd w:id="63"/>
      <w:bookmarkEnd w:id="64"/>
    </w:p>
    <w:p w:rsidR="0068088B" w:rsidRPr="0068088B" w:rsidRDefault="0068088B" w:rsidP="0068088B">
      <w:pPr>
        <w:pStyle w:val="AERbodytext"/>
      </w:pPr>
      <w:r w:rsidRPr="0068088B">
        <w:t>As noted in our recent open letter</w:t>
      </w:r>
      <w:r w:rsidRPr="0068088B">
        <w:rPr>
          <w:rStyle w:val="FootnoteReference"/>
        </w:rPr>
        <w:footnoteReference w:id="40"/>
      </w:r>
      <w:r w:rsidRPr="0068088B">
        <w:t xml:space="preserve">, we will </w:t>
      </w:r>
      <w:r w:rsidR="00112F71">
        <w:t>engage</w:t>
      </w:r>
      <w:r w:rsidRPr="0068088B">
        <w:t xml:space="preserve"> closely with the </w:t>
      </w:r>
      <w:r w:rsidR="00112F71">
        <w:t xml:space="preserve">sector to develop </w:t>
      </w:r>
      <w:r w:rsidRPr="0068088B">
        <w:t>a series of guidelines over the next year. In most instances this will commence with a guideline specific stakeholder forum an</w:t>
      </w:r>
      <w:r w:rsidR="00112F71">
        <w:t xml:space="preserve">d </w:t>
      </w:r>
      <w:r w:rsidR="00FA7FD5">
        <w:t>then on-going</w:t>
      </w:r>
      <w:r w:rsidR="0075628E">
        <w:t xml:space="preserve"> </w:t>
      </w:r>
      <w:r w:rsidR="00112F71">
        <w:t xml:space="preserve">workshops. </w:t>
      </w:r>
    </w:p>
    <w:p w:rsidR="0068088B" w:rsidRPr="0068088B" w:rsidRDefault="005A1892" w:rsidP="00C81253">
      <w:pPr>
        <w:pStyle w:val="AERbodytext"/>
      </w:pPr>
      <w:r>
        <w:t>Based on the suggestions in this issues paper, w</w:t>
      </w:r>
      <w:r w:rsidR="007B02F5">
        <w:t xml:space="preserve">e </w:t>
      </w:r>
      <w:r w:rsidR="0068088B" w:rsidRPr="0068088B">
        <w:t xml:space="preserve">expect </w:t>
      </w:r>
      <w:r w:rsidR="002B185C">
        <w:t xml:space="preserve">that </w:t>
      </w:r>
      <w:r w:rsidR="0068088B" w:rsidRPr="0068088B">
        <w:t>the initial forum will collate stakeholder views on the scope and tim</w:t>
      </w:r>
      <w:r>
        <w:t xml:space="preserve">ing of issues to consider. </w:t>
      </w:r>
      <w:r w:rsidR="0068088B" w:rsidRPr="0068088B">
        <w:t>We expect</w:t>
      </w:r>
      <w:r w:rsidR="002B185C">
        <w:t xml:space="preserve"> that</w:t>
      </w:r>
      <w:r w:rsidR="0068088B" w:rsidRPr="0068088B">
        <w:t xml:space="preserve"> this will be affected by the availability of stakeholders with particular expertise, the complexity of particular issues to be considered and having to coordinate the timing of other guideline consultation</w:t>
      </w:r>
      <w:r w:rsidR="002B185C">
        <w:t>s</w:t>
      </w:r>
      <w:r w:rsidR="0068088B" w:rsidRPr="0068088B">
        <w:t>. Table 1 lists the timeframes anticipated for the working group stage of consultation, leading into the prescribed steps and timing of consultation under the NER procedures for transmission and distribution.</w:t>
      </w:r>
    </w:p>
    <w:p w:rsidR="0068088B" w:rsidRPr="0068088B" w:rsidRDefault="0068088B" w:rsidP="0068088B">
      <w:pPr>
        <w:pStyle w:val="Caption"/>
      </w:pPr>
      <w:r w:rsidRPr="0068088B">
        <w:t>Table 1</w:t>
      </w:r>
      <w:r w:rsidRPr="0068088B">
        <w:tab/>
        <w:t xml:space="preserve">Timeline for </w:t>
      </w:r>
      <w:r w:rsidR="00191E62">
        <w:t>confidentiality g</w:t>
      </w:r>
      <w:r w:rsidRPr="0068088B">
        <w:t>uideline</w:t>
      </w:r>
      <w:r w:rsidR="00381C33">
        <w:t>s</w:t>
      </w:r>
      <w:r w:rsidRPr="0068088B">
        <w:t xml:space="preserve"> development</w:t>
      </w:r>
    </w:p>
    <w:tbl>
      <w:tblPr>
        <w:tblW w:w="9322" w:type="dxa"/>
        <w:tblBorders>
          <w:bottom w:val="single" w:sz="4" w:space="0" w:color="365F91"/>
        </w:tblBorders>
        <w:tblLook w:val="04A0"/>
      </w:tblPr>
      <w:tblGrid>
        <w:gridCol w:w="1526"/>
        <w:gridCol w:w="2126"/>
        <w:gridCol w:w="5670"/>
      </w:tblGrid>
      <w:tr w:rsidR="0068088B" w:rsidRPr="00E77220" w:rsidTr="002B7A3A">
        <w:tc>
          <w:tcPr>
            <w:tcW w:w="1526" w:type="dxa"/>
            <w:shd w:val="clear" w:color="auto" w:fill="365F91"/>
            <w:vAlign w:val="center"/>
          </w:tcPr>
          <w:p w:rsidR="0068088B" w:rsidRPr="004701A2" w:rsidRDefault="0068088B" w:rsidP="00C256B1">
            <w:pPr>
              <w:pStyle w:val="AERtabletextleft"/>
              <w:rPr>
                <w:b/>
                <w:color w:val="FFFFFF"/>
              </w:rPr>
            </w:pPr>
            <w:r w:rsidRPr="004701A2">
              <w:rPr>
                <w:b/>
                <w:color w:val="FFFFFF"/>
              </w:rPr>
              <w:t>Date</w:t>
            </w:r>
          </w:p>
        </w:tc>
        <w:tc>
          <w:tcPr>
            <w:tcW w:w="2126" w:type="dxa"/>
            <w:shd w:val="clear" w:color="auto" w:fill="365F91"/>
            <w:vAlign w:val="center"/>
          </w:tcPr>
          <w:p w:rsidR="0068088B" w:rsidRPr="004701A2" w:rsidRDefault="0068088B" w:rsidP="004701A2">
            <w:pPr>
              <w:pStyle w:val="AERtabletextleft"/>
              <w:jc w:val="right"/>
              <w:rPr>
                <w:b/>
                <w:color w:val="FFFFFF"/>
              </w:rPr>
            </w:pPr>
            <w:r w:rsidRPr="004701A2">
              <w:rPr>
                <w:b/>
                <w:color w:val="FFFFFF"/>
              </w:rPr>
              <w:t>Topic</w:t>
            </w:r>
          </w:p>
        </w:tc>
        <w:tc>
          <w:tcPr>
            <w:tcW w:w="5670" w:type="dxa"/>
            <w:shd w:val="clear" w:color="auto" w:fill="365F91"/>
            <w:vAlign w:val="center"/>
          </w:tcPr>
          <w:p w:rsidR="0068088B" w:rsidRPr="004701A2" w:rsidRDefault="0068088B" w:rsidP="005F5A11">
            <w:pPr>
              <w:pStyle w:val="AERtabletextleft"/>
              <w:jc w:val="center"/>
              <w:rPr>
                <w:b/>
                <w:color w:val="FFFFFF"/>
              </w:rPr>
            </w:pPr>
            <w:r w:rsidRPr="004701A2">
              <w:rPr>
                <w:b/>
                <w:color w:val="FFFFFF"/>
              </w:rPr>
              <w:t>Description</w:t>
            </w:r>
          </w:p>
        </w:tc>
      </w:tr>
      <w:tr w:rsidR="0068088B" w:rsidRPr="00E77220" w:rsidTr="002B7A3A">
        <w:tc>
          <w:tcPr>
            <w:tcW w:w="1526" w:type="dxa"/>
            <w:vAlign w:val="center"/>
          </w:tcPr>
          <w:p w:rsidR="0068088B" w:rsidRPr="0068088B" w:rsidRDefault="00FA7FD5" w:rsidP="0051607D">
            <w:pPr>
              <w:pStyle w:val="AERtabletextleft"/>
            </w:pPr>
            <w:r>
              <w:t>1</w:t>
            </w:r>
            <w:r w:rsidR="001E1D69">
              <w:t>8</w:t>
            </w:r>
            <w:r>
              <w:t xml:space="preserve"> March</w:t>
            </w:r>
          </w:p>
        </w:tc>
        <w:tc>
          <w:tcPr>
            <w:tcW w:w="2126" w:type="dxa"/>
            <w:vAlign w:val="center"/>
          </w:tcPr>
          <w:p w:rsidR="0068088B" w:rsidRPr="0068088B" w:rsidRDefault="0068088B" w:rsidP="005F5A11">
            <w:pPr>
              <w:pStyle w:val="AERtabletextleft"/>
            </w:pPr>
            <w:r w:rsidRPr="0068088B">
              <w:t>Issues paper published</w:t>
            </w:r>
          </w:p>
        </w:tc>
        <w:tc>
          <w:tcPr>
            <w:tcW w:w="5670" w:type="dxa"/>
            <w:vAlign w:val="center"/>
          </w:tcPr>
          <w:p w:rsidR="0068088B" w:rsidRPr="0068088B" w:rsidRDefault="0068088B" w:rsidP="005F5A11">
            <w:pPr>
              <w:pStyle w:val="AERtabletextleft"/>
            </w:pPr>
            <w:r w:rsidRPr="0068088B">
              <w:t xml:space="preserve">Explain issues and preliminary thoughts on approach to </w:t>
            </w:r>
            <w:r w:rsidR="002B7A3A">
              <w:t>the distribution and</w:t>
            </w:r>
            <w:r w:rsidR="004D1837">
              <w:t xml:space="preserve"> transmission</w:t>
            </w:r>
            <w:r w:rsidR="002B7A3A">
              <w:t xml:space="preserve"> confidentiality guidelines</w:t>
            </w:r>
            <w:r w:rsidRPr="0068088B">
              <w:t>. Invitation for writ</w:t>
            </w:r>
            <w:r w:rsidR="002B7A3A">
              <w:t>ten submissions</w:t>
            </w:r>
            <w:r w:rsidR="004D1837">
              <w:t>.</w:t>
            </w:r>
          </w:p>
        </w:tc>
      </w:tr>
      <w:tr w:rsidR="0068088B" w:rsidRPr="00E77220" w:rsidTr="002B7A3A">
        <w:tc>
          <w:tcPr>
            <w:tcW w:w="1526" w:type="dxa"/>
            <w:shd w:val="clear" w:color="auto" w:fill="DBE5F1"/>
            <w:vAlign w:val="center"/>
          </w:tcPr>
          <w:p w:rsidR="0068088B" w:rsidRPr="0068088B" w:rsidRDefault="000F3A71" w:rsidP="001E1D69">
            <w:pPr>
              <w:pStyle w:val="AERtabletextleft"/>
            </w:pPr>
            <w:r>
              <w:t>4 April</w:t>
            </w:r>
            <w:r w:rsidR="0051607D">
              <w:t xml:space="preserve"> </w:t>
            </w:r>
          </w:p>
        </w:tc>
        <w:tc>
          <w:tcPr>
            <w:tcW w:w="2126" w:type="dxa"/>
            <w:shd w:val="clear" w:color="auto" w:fill="DBE5F1"/>
            <w:vAlign w:val="center"/>
          </w:tcPr>
          <w:p w:rsidR="0068088B" w:rsidRPr="0068088B" w:rsidRDefault="002B7A3A" w:rsidP="005F5A11">
            <w:pPr>
              <w:pStyle w:val="AERtabletextleft"/>
            </w:pPr>
            <w:r>
              <w:t>Working group meeting</w:t>
            </w:r>
          </w:p>
        </w:tc>
        <w:tc>
          <w:tcPr>
            <w:tcW w:w="5670" w:type="dxa"/>
            <w:shd w:val="clear" w:color="auto" w:fill="DBE5F1"/>
            <w:vAlign w:val="center"/>
          </w:tcPr>
          <w:p w:rsidR="0068088B" w:rsidRPr="0068088B" w:rsidRDefault="006A4D1B" w:rsidP="005F5A11">
            <w:pPr>
              <w:pStyle w:val="AERtabletextleft"/>
            </w:pPr>
            <w:r>
              <w:t>Discussion on aspects of</w:t>
            </w:r>
            <w:r w:rsidR="000F3A71">
              <w:t xml:space="preserve"> the issues paper</w:t>
            </w:r>
            <w:r w:rsidR="0068088B" w:rsidRPr="0068088B">
              <w:t>.</w:t>
            </w:r>
          </w:p>
        </w:tc>
      </w:tr>
      <w:tr w:rsidR="0068088B" w:rsidRPr="00E77220" w:rsidTr="002B7A3A">
        <w:tc>
          <w:tcPr>
            <w:tcW w:w="1526" w:type="dxa"/>
            <w:vAlign w:val="center"/>
          </w:tcPr>
          <w:p w:rsidR="0068088B" w:rsidRPr="0068088B" w:rsidRDefault="00FA7FD5" w:rsidP="0051607D">
            <w:pPr>
              <w:pStyle w:val="AERtabletextleft"/>
            </w:pPr>
            <w:r>
              <w:t>14</w:t>
            </w:r>
            <w:r w:rsidR="002B7A3A">
              <w:t xml:space="preserve"> May </w:t>
            </w:r>
          </w:p>
        </w:tc>
        <w:tc>
          <w:tcPr>
            <w:tcW w:w="2126" w:type="dxa"/>
            <w:vAlign w:val="center"/>
          </w:tcPr>
          <w:p w:rsidR="0068088B" w:rsidRPr="0068088B" w:rsidRDefault="002B7A3A" w:rsidP="005F5A11">
            <w:pPr>
              <w:pStyle w:val="AERtabletextleft"/>
            </w:pPr>
            <w:r>
              <w:t>Submissions on issues paper due</w:t>
            </w:r>
          </w:p>
        </w:tc>
        <w:tc>
          <w:tcPr>
            <w:tcW w:w="5670" w:type="dxa"/>
            <w:vAlign w:val="center"/>
          </w:tcPr>
          <w:p w:rsidR="0068088B" w:rsidRPr="0068088B" w:rsidRDefault="002B7A3A" w:rsidP="005F5A11">
            <w:pPr>
              <w:pStyle w:val="AERtabletextleft"/>
            </w:pPr>
            <w:r>
              <w:t>Formal response to issues paper as well as anything discussed during working meetings close.</w:t>
            </w:r>
          </w:p>
        </w:tc>
      </w:tr>
      <w:tr w:rsidR="0068088B" w:rsidRPr="00E77220" w:rsidTr="002B7A3A">
        <w:tc>
          <w:tcPr>
            <w:tcW w:w="1526" w:type="dxa"/>
            <w:shd w:val="clear" w:color="auto" w:fill="DBE5F1"/>
            <w:vAlign w:val="center"/>
          </w:tcPr>
          <w:p w:rsidR="0068088B" w:rsidRPr="0068088B" w:rsidRDefault="00F824B7" w:rsidP="00C256B1">
            <w:pPr>
              <w:pStyle w:val="AERtabletextleft"/>
            </w:pPr>
            <w:r>
              <w:t>9</w:t>
            </w:r>
            <w:r w:rsidR="002B7A3A">
              <w:t xml:space="preserve"> August </w:t>
            </w:r>
          </w:p>
        </w:tc>
        <w:tc>
          <w:tcPr>
            <w:tcW w:w="2126" w:type="dxa"/>
            <w:shd w:val="clear" w:color="auto" w:fill="DBE5F1"/>
            <w:vAlign w:val="center"/>
          </w:tcPr>
          <w:p w:rsidR="0068088B" w:rsidRPr="0068088B" w:rsidRDefault="005F5A11" w:rsidP="005F5A11">
            <w:pPr>
              <w:pStyle w:val="AERtabletextleft"/>
            </w:pPr>
            <w:r>
              <w:t xml:space="preserve">Draft confidentiality </w:t>
            </w:r>
            <w:r w:rsidR="00381C33">
              <w:t>guidelines</w:t>
            </w:r>
            <w:r w:rsidR="002B7A3A">
              <w:t xml:space="preserve"> published </w:t>
            </w:r>
          </w:p>
        </w:tc>
        <w:tc>
          <w:tcPr>
            <w:tcW w:w="5670" w:type="dxa"/>
            <w:shd w:val="clear" w:color="auto" w:fill="DBE5F1"/>
            <w:vAlign w:val="center"/>
          </w:tcPr>
          <w:p w:rsidR="0068088B" w:rsidRPr="0068088B" w:rsidRDefault="002B7A3A" w:rsidP="005F5A11">
            <w:pPr>
              <w:pStyle w:val="AERtabletextleft"/>
            </w:pPr>
            <w:r w:rsidRPr="0068088B">
              <w:t xml:space="preserve">Set out AER's draft </w:t>
            </w:r>
            <w:r w:rsidR="00937E32">
              <w:t xml:space="preserve">confidentiality </w:t>
            </w:r>
            <w:r w:rsidR="00381C33">
              <w:t>guidelines</w:t>
            </w:r>
            <w:r w:rsidR="00937E32">
              <w:t>.</w:t>
            </w:r>
          </w:p>
        </w:tc>
      </w:tr>
      <w:tr w:rsidR="0068088B" w:rsidRPr="00E77220" w:rsidTr="002B7A3A">
        <w:tc>
          <w:tcPr>
            <w:tcW w:w="1526" w:type="dxa"/>
            <w:vAlign w:val="center"/>
          </w:tcPr>
          <w:p w:rsidR="0068088B" w:rsidRPr="0068088B" w:rsidRDefault="0051607D" w:rsidP="0051607D">
            <w:pPr>
              <w:pStyle w:val="AERtabletextleft"/>
            </w:pPr>
            <w:r>
              <w:t xml:space="preserve">20 September </w:t>
            </w:r>
          </w:p>
        </w:tc>
        <w:tc>
          <w:tcPr>
            <w:tcW w:w="2126" w:type="dxa"/>
            <w:vAlign w:val="center"/>
          </w:tcPr>
          <w:p w:rsidR="0068088B" w:rsidRPr="0068088B" w:rsidRDefault="0051607D" w:rsidP="005F5A11">
            <w:pPr>
              <w:pStyle w:val="AERtabletextleft"/>
            </w:pPr>
            <w:r>
              <w:t xml:space="preserve">Submissions on draft </w:t>
            </w:r>
            <w:r w:rsidR="005F5A11">
              <w:t xml:space="preserve">confidentiality </w:t>
            </w:r>
            <w:r w:rsidR="00381C33">
              <w:t>guidelines</w:t>
            </w:r>
            <w:r w:rsidR="005F5A11">
              <w:t xml:space="preserve"> </w:t>
            </w:r>
            <w:r>
              <w:t>due</w:t>
            </w:r>
          </w:p>
        </w:tc>
        <w:tc>
          <w:tcPr>
            <w:tcW w:w="5670" w:type="dxa"/>
            <w:vAlign w:val="center"/>
          </w:tcPr>
          <w:p w:rsidR="0068088B" w:rsidRPr="0068088B" w:rsidRDefault="0051607D" w:rsidP="005F5A11">
            <w:pPr>
              <w:pStyle w:val="AERtabletextleft"/>
            </w:pPr>
            <w:r>
              <w:t xml:space="preserve">Formal response to draft </w:t>
            </w:r>
            <w:r w:rsidR="005F5A11">
              <w:t xml:space="preserve">confidentiality </w:t>
            </w:r>
            <w:r w:rsidR="00381C33">
              <w:t>guidelines</w:t>
            </w:r>
            <w:r w:rsidR="005F5A11">
              <w:t xml:space="preserve"> </w:t>
            </w:r>
            <w:r>
              <w:t>close.</w:t>
            </w:r>
          </w:p>
        </w:tc>
      </w:tr>
      <w:tr w:rsidR="0068088B" w:rsidRPr="00E77220" w:rsidTr="002B7A3A">
        <w:tc>
          <w:tcPr>
            <w:tcW w:w="1526" w:type="dxa"/>
            <w:shd w:val="clear" w:color="auto" w:fill="DBE5F1"/>
            <w:vAlign w:val="center"/>
          </w:tcPr>
          <w:p w:rsidR="0068088B" w:rsidRPr="0068088B" w:rsidRDefault="009F5578" w:rsidP="009F5578">
            <w:pPr>
              <w:pStyle w:val="AERtabletextleft"/>
            </w:pPr>
            <w:r>
              <w:t>29</w:t>
            </w:r>
            <w:r w:rsidR="0068088B" w:rsidRPr="0068088B">
              <w:t xml:space="preserve"> November</w:t>
            </w:r>
          </w:p>
        </w:tc>
        <w:tc>
          <w:tcPr>
            <w:tcW w:w="2126" w:type="dxa"/>
            <w:shd w:val="clear" w:color="auto" w:fill="DBE5F1"/>
            <w:vAlign w:val="center"/>
          </w:tcPr>
          <w:p w:rsidR="0068088B" w:rsidRPr="0068088B" w:rsidRDefault="0068088B" w:rsidP="005F5A11">
            <w:pPr>
              <w:pStyle w:val="AERtabletextleft"/>
            </w:pPr>
            <w:r w:rsidRPr="0068088B">
              <w:t xml:space="preserve">Publish final </w:t>
            </w:r>
            <w:r w:rsidR="005F5A11">
              <w:t xml:space="preserve">confidentiality </w:t>
            </w:r>
            <w:r w:rsidR="00381C33">
              <w:t>guidelines</w:t>
            </w:r>
          </w:p>
        </w:tc>
        <w:tc>
          <w:tcPr>
            <w:tcW w:w="5670" w:type="dxa"/>
            <w:shd w:val="clear" w:color="auto" w:fill="DBE5F1"/>
            <w:vAlign w:val="center"/>
          </w:tcPr>
          <w:p w:rsidR="0068088B" w:rsidRPr="0068088B" w:rsidRDefault="0051607D" w:rsidP="005F5A11">
            <w:pPr>
              <w:pStyle w:val="AERtabletextleft"/>
            </w:pPr>
            <w:r>
              <w:t xml:space="preserve">Final </w:t>
            </w:r>
            <w:r w:rsidR="005F5A11">
              <w:t xml:space="preserve">confidentiality </w:t>
            </w:r>
            <w:r w:rsidR="00381C33">
              <w:t>guidelines</w:t>
            </w:r>
            <w:r w:rsidR="005F5A11">
              <w:t xml:space="preserve"> </w:t>
            </w:r>
            <w:r>
              <w:t>published along with any supporting material</w:t>
            </w:r>
            <w:r w:rsidR="0068088B" w:rsidRPr="0068088B">
              <w:t>.</w:t>
            </w:r>
          </w:p>
        </w:tc>
      </w:tr>
    </w:tbl>
    <w:p w:rsidR="0068088B" w:rsidRPr="0068088B" w:rsidRDefault="0068088B" w:rsidP="0068088B">
      <w:pPr>
        <w:pStyle w:val="AERtablesource"/>
      </w:pPr>
    </w:p>
    <w:p w:rsidR="007B02F5" w:rsidRDefault="007B02F5" w:rsidP="00C83129">
      <w:pPr>
        <w:pStyle w:val="UnnumberedHeading"/>
        <w:pageBreakBefore w:val="0"/>
        <w:numPr>
          <w:ilvl w:val="0"/>
          <w:numId w:val="0"/>
        </w:numPr>
      </w:pPr>
    </w:p>
    <w:p w:rsidR="0068088B" w:rsidRPr="0068088B" w:rsidRDefault="0068088B" w:rsidP="0068088B"/>
    <w:p w:rsidR="007E1723" w:rsidRDefault="007E1723" w:rsidP="00861EA5">
      <w:pPr>
        <w:pStyle w:val="UnnumberedHeading"/>
        <w:numPr>
          <w:ilvl w:val="0"/>
          <w:numId w:val="0"/>
        </w:numPr>
        <w:sectPr w:rsidR="007E1723" w:rsidSect="00ED3525">
          <w:footerReference w:type="default" r:id="rId15"/>
          <w:pgSz w:w="11906" w:h="16838"/>
          <w:pgMar w:top="1440" w:right="1440" w:bottom="1440" w:left="1440" w:header="708" w:footer="708" w:gutter="0"/>
          <w:cols w:space="708"/>
          <w:docGrid w:linePitch="360"/>
        </w:sectPr>
      </w:pPr>
      <w:bookmarkStart w:id="65" w:name="_Toc341981961"/>
      <w:bookmarkStart w:id="66" w:name="_Toc341982017"/>
      <w:bookmarkStart w:id="67" w:name="_Toc342053791"/>
      <w:bookmarkStart w:id="68" w:name="_Toc342053991"/>
      <w:bookmarkStart w:id="69" w:name="_Toc342053993"/>
      <w:bookmarkStart w:id="70" w:name="_Toc341981965"/>
      <w:bookmarkStart w:id="71" w:name="_Toc341982021"/>
      <w:bookmarkStart w:id="72" w:name="_Toc342053795"/>
      <w:bookmarkStart w:id="73" w:name="_Toc342053998"/>
      <w:bookmarkStart w:id="74" w:name="_Toc341981975"/>
      <w:bookmarkStart w:id="75" w:name="_Toc341982031"/>
      <w:bookmarkStart w:id="76" w:name="_Toc342053805"/>
      <w:bookmarkStart w:id="77" w:name="_Toc342054008"/>
      <w:bookmarkStart w:id="78" w:name="_Toc341981981"/>
      <w:bookmarkStart w:id="79" w:name="_Toc341982037"/>
      <w:bookmarkStart w:id="80" w:name="_Toc342053811"/>
      <w:bookmarkStart w:id="81" w:name="_Toc342054014"/>
      <w:bookmarkStart w:id="82" w:name="_Toc341981982"/>
      <w:bookmarkStart w:id="83" w:name="_Toc341982038"/>
      <w:bookmarkStart w:id="84" w:name="_Toc342053812"/>
      <w:bookmarkStart w:id="85" w:name="_Toc342054015"/>
      <w:bookmarkStart w:id="86" w:name="_Toc342053814"/>
      <w:bookmarkStart w:id="87" w:name="_Toc342054017"/>
      <w:bookmarkEnd w:id="6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CD4233" w:rsidRDefault="00CD4233" w:rsidP="00104830">
      <w:pPr>
        <w:pStyle w:val="Heading7"/>
        <w:numPr>
          <w:ilvl w:val="0"/>
          <w:numId w:val="0"/>
        </w:numPr>
      </w:pPr>
      <w:bookmarkStart w:id="88" w:name="_Toc349834064"/>
      <w:r>
        <w:lastRenderedPageBreak/>
        <w:t>Attachment 1</w:t>
      </w:r>
      <w:bookmarkEnd w:id="88"/>
    </w:p>
    <w:p w:rsidR="00CD4233" w:rsidRPr="00C54A00" w:rsidRDefault="00CD4233" w:rsidP="00CD4233">
      <w:pPr>
        <w:rPr>
          <w:rStyle w:val="AERtextbold"/>
        </w:rPr>
      </w:pPr>
      <w:r w:rsidRPr="00C54A00">
        <w:rPr>
          <w:rStyle w:val="AERtextbold"/>
        </w:rPr>
        <w:t>Template outlining the manner in which stakeholders are to make confidentiality claims</w:t>
      </w:r>
      <w:r w:rsidR="00031132">
        <w:rPr>
          <w:rStyle w:val="AERtextbold"/>
        </w:rPr>
        <w:t xml:space="preserve"> under the confidentiality </w:t>
      </w:r>
      <w:r w:rsidR="00381C33">
        <w:rPr>
          <w:rStyle w:val="AERtextbold"/>
        </w:rPr>
        <w:t>guidelines</w:t>
      </w:r>
    </w:p>
    <w:tbl>
      <w:tblPr>
        <w:tblW w:w="140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835"/>
        <w:gridCol w:w="3316"/>
        <w:gridCol w:w="2807"/>
        <w:gridCol w:w="2807"/>
      </w:tblGrid>
      <w:tr w:rsidR="0027185E" w:rsidRPr="001F1976" w:rsidTr="00831F6B">
        <w:tc>
          <w:tcPr>
            <w:tcW w:w="2269" w:type="dxa"/>
          </w:tcPr>
          <w:p w:rsidR="0027185E" w:rsidRPr="001F1976" w:rsidRDefault="0027185E" w:rsidP="006E054D">
            <w:pPr>
              <w:ind w:right="176"/>
              <w:jc w:val="left"/>
              <w:rPr>
                <w:rFonts w:ascii="Arial" w:hAnsi="Arial" w:cs="Arial"/>
                <w:b/>
                <w:sz w:val="18"/>
                <w:szCs w:val="18"/>
              </w:rPr>
            </w:pPr>
            <w:r>
              <w:rPr>
                <w:rFonts w:ascii="Arial" w:hAnsi="Arial" w:cs="Arial"/>
                <w:b/>
                <w:sz w:val="18"/>
                <w:szCs w:val="18"/>
              </w:rPr>
              <w:t>Document</w:t>
            </w:r>
            <w:r w:rsidRPr="001F1976">
              <w:rPr>
                <w:rFonts w:ascii="Arial" w:hAnsi="Arial" w:cs="Arial"/>
                <w:b/>
                <w:sz w:val="18"/>
                <w:szCs w:val="18"/>
              </w:rPr>
              <w:t xml:space="preserve"> containing confidential information</w:t>
            </w:r>
          </w:p>
        </w:tc>
        <w:tc>
          <w:tcPr>
            <w:tcW w:w="2835" w:type="dxa"/>
          </w:tcPr>
          <w:p w:rsidR="0027185E" w:rsidRPr="001F1976" w:rsidRDefault="0027185E" w:rsidP="006E054D">
            <w:pPr>
              <w:jc w:val="left"/>
              <w:rPr>
                <w:rFonts w:ascii="Arial" w:hAnsi="Arial" w:cs="Arial"/>
                <w:b/>
                <w:sz w:val="18"/>
                <w:szCs w:val="18"/>
              </w:rPr>
            </w:pPr>
            <w:r w:rsidRPr="001F1976">
              <w:rPr>
                <w:rFonts w:ascii="Arial" w:hAnsi="Arial" w:cs="Arial"/>
                <w:b/>
                <w:sz w:val="18"/>
                <w:szCs w:val="18"/>
              </w:rPr>
              <w:t>Page and paragraph number</w:t>
            </w:r>
            <w:r>
              <w:rPr>
                <w:rFonts w:ascii="Arial" w:hAnsi="Arial" w:cs="Arial"/>
                <w:b/>
                <w:sz w:val="18"/>
                <w:szCs w:val="18"/>
              </w:rPr>
              <w:t xml:space="preserve"> of the document</w:t>
            </w:r>
            <w:r w:rsidRPr="001F1976">
              <w:rPr>
                <w:rFonts w:ascii="Arial" w:hAnsi="Arial" w:cs="Arial"/>
                <w:b/>
                <w:sz w:val="18"/>
                <w:szCs w:val="18"/>
              </w:rPr>
              <w:t xml:space="preserve"> which contains </w:t>
            </w:r>
            <w:r>
              <w:rPr>
                <w:rFonts w:ascii="Arial" w:hAnsi="Arial" w:cs="Arial"/>
                <w:b/>
                <w:sz w:val="18"/>
                <w:szCs w:val="18"/>
              </w:rPr>
              <w:t>c</w:t>
            </w:r>
            <w:r w:rsidRPr="001F1976">
              <w:rPr>
                <w:rFonts w:ascii="Arial" w:hAnsi="Arial" w:cs="Arial"/>
                <w:b/>
                <w:sz w:val="18"/>
                <w:szCs w:val="18"/>
              </w:rPr>
              <w:t>onfidential information</w:t>
            </w:r>
          </w:p>
        </w:tc>
        <w:tc>
          <w:tcPr>
            <w:tcW w:w="3316" w:type="dxa"/>
          </w:tcPr>
          <w:p w:rsidR="0027185E" w:rsidRPr="001F1976" w:rsidRDefault="0027185E" w:rsidP="006E054D">
            <w:pPr>
              <w:jc w:val="left"/>
              <w:rPr>
                <w:rFonts w:ascii="Arial" w:hAnsi="Arial" w:cs="Arial"/>
                <w:b/>
                <w:sz w:val="18"/>
                <w:szCs w:val="18"/>
              </w:rPr>
            </w:pPr>
            <w:r w:rsidRPr="001F1976">
              <w:rPr>
                <w:rFonts w:ascii="Arial" w:hAnsi="Arial" w:cs="Arial"/>
                <w:b/>
                <w:sz w:val="18"/>
                <w:szCs w:val="18"/>
              </w:rPr>
              <w:t>Reasons supporting how and why disclosure of the information would cause detriment which is not outweighed by the public benefit in disclosing the information</w:t>
            </w:r>
          </w:p>
        </w:tc>
        <w:tc>
          <w:tcPr>
            <w:tcW w:w="2807" w:type="dxa"/>
          </w:tcPr>
          <w:p w:rsidR="0027185E" w:rsidRPr="001F1976" w:rsidRDefault="0027185E" w:rsidP="006E054D">
            <w:pPr>
              <w:jc w:val="left"/>
              <w:rPr>
                <w:rFonts w:ascii="Arial" w:hAnsi="Arial" w:cs="Arial"/>
                <w:b/>
                <w:sz w:val="18"/>
                <w:szCs w:val="18"/>
              </w:rPr>
            </w:pPr>
            <w:r w:rsidRPr="001F1976">
              <w:rPr>
                <w:rFonts w:ascii="Arial" w:hAnsi="Arial" w:cs="Arial"/>
                <w:b/>
                <w:sz w:val="18"/>
                <w:szCs w:val="18"/>
              </w:rPr>
              <w:t xml:space="preserve">Has the confidential information been </w:t>
            </w:r>
            <w:r>
              <w:rPr>
                <w:rFonts w:ascii="Arial" w:hAnsi="Arial" w:cs="Arial"/>
                <w:b/>
                <w:sz w:val="18"/>
                <w:szCs w:val="18"/>
              </w:rPr>
              <w:t>identified by highlighted yellow shading?</w:t>
            </w:r>
            <w:r w:rsidRPr="001F1976">
              <w:rPr>
                <w:rFonts w:ascii="Arial" w:hAnsi="Arial" w:cs="Arial"/>
                <w:b/>
                <w:sz w:val="18"/>
                <w:szCs w:val="18"/>
              </w:rPr>
              <w:t xml:space="preserve"> If </w:t>
            </w:r>
            <w:r>
              <w:rPr>
                <w:rFonts w:ascii="Arial" w:hAnsi="Arial" w:cs="Arial"/>
                <w:b/>
                <w:sz w:val="18"/>
                <w:szCs w:val="18"/>
              </w:rPr>
              <w:t>not</w:t>
            </w:r>
            <w:r w:rsidRPr="001F1976">
              <w:rPr>
                <w:rFonts w:ascii="Arial" w:hAnsi="Arial" w:cs="Arial"/>
                <w:b/>
                <w:sz w:val="18"/>
                <w:szCs w:val="18"/>
              </w:rPr>
              <w:t>, please provide reasons</w:t>
            </w:r>
          </w:p>
        </w:tc>
        <w:tc>
          <w:tcPr>
            <w:tcW w:w="2807" w:type="dxa"/>
          </w:tcPr>
          <w:p w:rsidR="0027185E" w:rsidRPr="001F1976" w:rsidRDefault="0027185E" w:rsidP="006E054D">
            <w:pPr>
              <w:jc w:val="left"/>
              <w:rPr>
                <w:rFonts w:ascii="Arial" w:hAnsi="Arial" w:cs="Arial"/>
                <w:b/>
                <w:sz w:val="18"/>
                <w:szCs w:val="18"/>
              </w:rPr>
            </w:pPr>
            <w:r w:rsidRPr="001F1976">
              <w:rPr>
                <w:rFonts w:ascii="Arial" w:hAnsi="Arial" w:cs="Arial"/>
                <w:b/>
                <w:sz w:val="18"/>
                <w:szCs w:val="18"/>
              </w:rPr>
              <w:t>Has a public version of thi</w:t>
            </w:r>
            <w:r>
              <w:rPr>
                <w:rFonts w:ascii="Arial" w:hAnsi="Arial" w:cs="Arial"/>
                <w:b/>
                <w:sz w:val="18"/>
                <w:szCs w:val="18"/>
              </w:rPr>
              <w:t>s document been provided? If not</w:t>
            </w:r>
            <w:r w:rsidRPr="001F1976">
              <w:rPr>
                <w:rFonts w:ascii="Arial" w:hAnsi="Arial" w:cs="Arial"/>
                <w:b/>
                <w:sz w:val="18"/>
                <w:szCs w:val="18"/>
              </w:rPr>
              <w:t xml:space="preserve"> please provide reasons</w:t>
            </w: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r w:rsidR="0027185E" w:rsidRPr="009F2FEC" w:rsidTr="00831F6B">
        <w:tc>
          <w:tcPr>
            <w:tcW w:w="2269" w:type="dxa"/>
          </w:tcPr>
          <w:p w:rsidR="0027185E" w:rsidRPr="009F2FEC" w:rsidRDefault="0027185E" w:rsidP="009A3EF8">
            <w:pPr>
              <w:rPr>
                <w:rFonts w:ascii="Arial" w:hAnsi="Arial" w:cs="Arial"/>
              </w:rPr>
            </w:pPr>
          </w:p>
        </w:tc>
        <w:tc>
          <w:tcPr>
            <w:tcW w:w="2835" w:type="dxa"/>
          </w:tcPr>
          <w:p w:rsidR="0027185E" w:rsidRPr="009F2FEC" w:rsidRDefault="0027185E" w:rsidP="009A3EF8">
            <w:pPr>
              <w:rPr>
                <w:rFonts w:ascii="Arial" w:hAnsi="Arial" w:cs="Arial"/>
              </w:rPr>
            </w:pPr>
          </w:p>
        </w:tc>
        <w:tc>
          <w:tcPr>
            <w:tcW w:w="3316"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c>
          <w:tcPr>
            <w:tcW w:w="2807" w:type="dxa"/>
          </w:tcPr>
          <w:p w:rsidR="0027185E" w:rsidRPr="009F2FEC" w:rsidRDefault="0027185E" w:rsidP="009A3EF8">
            <w:pPr>
              <w:rPr>
                <w:rFonts w:ascii="Arial" w:hAnsi="Arial" w:cs="Arial"/>
              </w:rPr>
            </w:pPr>
          </w:p>
        </w:tc>
      </w:tr>
    </w:tbl>
    <w:p w:rsidR="00CD4233" w:rsidRDefault="00CD4233" w:rsidP="00CD4233"/>
    <w:p w:rsidR="00772488" w:rsidRDefault="00B9545A" w:rsidP="00104830">
      <w:pPr>
        <w:pStyle w:val="Heading7"/>
        <w:numPr>
          <w:ilvl w:val="0"/>
          <w:numId w:val="0"/>
        </w:numPr>
      </w:pPr>
      <w:bookmarkStart w:id="89" w:name="_Toc347739071"/>
      <w:bookmarkStart w:id="90" w:name="_Toc349834065"/>
      <w:r w:rsidRPr="002157F5">
        <w:lastRenderedPageBreak/>
        <w:t>Attachment</w:t>
      </w:r>
      <w:r>
        <w:t xml:space="preserve"> 2</w:t>
      </w:r>
      <w:bookmarkEnd w:id="89"/>
      <w:bookmarkEnd w:id="90"/>
    </w:p>
    <w:p w:rsidR="00CD4233" w:rsidRPr="00C54A00" w:rsidRDefault="00CD4233" w:rsidP="00CD4233">
      <w:pPr>
        <w:rPr>
          <w:b/>
        </w:rPr>
      </w:pPr>
      <w:r w:rsidRPr="00C54A00">
        <w:rPr>
          <w:rStyle w:val="AERtextbold"/>
        </w:rPr>
        <w:t>Proportion of material submitted that is subject to any confidentiality claim compared to that which is not subject to any such claim.</w:t>
      </w:r>
    </w:p>
    <w:tbl>
      <w:tblPr>
        <w:tblW w:w="13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148"/>
        <w:gridCol w:w="2419"/>
        <w:gridCol w:w="1942"/>
        <w:gridCol w:w="2373"/>
        <w:gridCol w:w="2373"/>
      </w:tblGrid>
      <w:tr w:rsidR="00CD4233" w:rsidRPr="00013159" w:rsidTr="009A3EF8">
        <w:tc>
          <w:tcPr>
            <w:tcW w:w="1843" w:type="dxa"/>
          </w:tcPr>
          <w:p w:rsidR="00CD4233" w:rsidRPr="00013159" w:rsidRDefault="00CD4233" w:rsidP="009A3EF8">
            <w:pPr>
              <w:ind w:right="176"/>
              <w:jc w:val="left"/>
              <w:rPr>
                <w:rFonts w:ascii="Arial" w:hAnsi="Arial" w:cs="Arial"/>
                <w:b/>
                <w:sz w:val="18"/>
                <w:szCs w:val="18"/>
              </w:rPr>
            </w:pPr>
            <w:r w:rsidRPr="00013159">
              <w:rPr>
                <w:rFonts w:ascii="Arial" w:hAnsi="Arial" w:cs="Arial"/>
                <w:b/>
                <w:sz w:val="18"/>
                <w:szCs w:val="18"/>
              </w:rPr>
              <w:t xml:space="preserve">Submission Title </w:t>
            </w:r>
          </w:p>
        </w:tc>
        <w:tc>
          <w:tcPr>
            <w:tcW w:w="2148" w:type="dxa"/>
          </w:tcPr>
          <w:p w:rsidR="00CD4233" w:rsidRPr="00013159" w:rsidRDefault="00CD4233" w:rsidP="009A3EF8">
            <w:pPr>
              <w:ind w:right="176"/>
              <w:jc w:val="left"/>
              <w:rPr>
                <w:rFonts w:ascii="Arial" w:hAnsi="Arial" w:cs="Arial"/>
                <w:b/>
                <w:sz w:val="18"/>
                <w:szCs w:val="18"/>
              </w:rPr>
            </w:pPr>
            <w:r w:rsidRPr="00013159">
              <w:rPr>
                <w:rFonts w:ascii="Arial" w:hAnsi="Arial" w:cs="Arial"/>
                <w:b/>
                <w:sz w:val="18"/>
                <w:szCs w:val="18"/>
              </w:rPr>
              <w:t xml:space="preserve">Number of pages of submission that </w:t>
            </w:r>
            <w:r>
              <w:rPr>
                <w:rFonts w:ascii="Arial" w:hAnsi="Arial" w:cs="Arial"/>
                <w:b/>
                <w:sz w:val="18"/>
                <w:szCs w:val="18"/>
              </w:rPr>
              <w:t>are subjec</w:t>
            </w:r>
            <w:r w:rsidR="006E054D">
              <w:rPr>
                <w:rFonts w:ascii="Arial" w:hAnsi="Arial" w:cs="Arial"/>
                <w:b/>
                <w:sz w:val="18"/>
                <w:szCs w:val="18"/>
              </w:rPr>
              <w:t>t to a claim of confidentiality</w:t>
            </w:r>
          </w:p>
          <w:p w:rsidR="00CD4233" w:rsidRPr="00013159" w:rsidRDefault="00CD4233" w:rsidP="009A3EF8">
            <w:pPr>
              <w:ind w:right="176"/>
              <w:jc w:val="left"/>
              <w:rPr>
                <w:rFonts w:ascii="Arial" w:hAnsi="Arial" w:cs="Arial"/>
                <w:b/>
                <w:sz w:val="18"/>
                <w:szCs w:val="18"/>
              </w:rPr>
            </w:pPr>
          </w:p>
        </w:tc>
        <w:tc>
          <w:tcPr>
            <w:tcW w:w="2419" w:type="dxa"/>
          </w:tcPr>
          <w:p w:rsidR="00CD4233" w:rsidRPr="00013159" w:rsidRDefault="00CD4233" w:rsidP="009A3EF8">
            <w:pPr>
              <w:jc w:val="left"/>
              <w:rPr>
                <w:rFonts w:ascii="Arial" w:hAnsi="Arial" w:cs="Arial"/>
                <w:b/>
                <w:sz w:val="18"/>
                <w:szCs w:val="18"/>
              </w:rPr>
            </w:pPr>
            <w:r w:rsidRPr="00013159">
              <w:rPr>
                <w:rFonts w:ascii="Arial" w:hAnsi="Arial" w:cs="Arial"/>
                <w:b/>
                <w:sz w:val="18"/>
                <w:szCs w:val="18"/>
              </w:rPr>
              <w:t xml:space="preserve">Number of pages of submission that </w:t>
            </w:r>
            <w:r>
              <w:rPr>
                <w:rFonts w:ascii="Arial" w:hAnsi="Arial" w:cs="Arial"/>
                <w:b/>
                <w:sz w:val="18"/>
                <w:szCs w:val="18"/>
              </w:rPr>
              <w:t>are not subjec</w:t>
            </w:r>
            <w:r w:rsidR="006E054D">
              <w:rPr>
                <w:rFonts w:ascii="Arial" w:hAnsi="Arial" w:cs="Arial"/>
                <w:b/>
                <w:sz w:val="18"/>
                <w:szCs w:val="18"/>
              </w:rPr>
              <w:t>t to a claim of confidentiality</w:t>
            </w:r>
          </w:p>
        </w:tc>
        <w:tc>
          <w:tcPr>
            <w:tcW w:w="1942" w:type="dxa"/>
          </w:tcPr>
          <w:p w:rsidR="00CD4233" w:rsidRPr="00013159" w:rsidRDefault="00CD4233" w:rsidP="009A3EF8">
            <w:pPr>
              <w:jc w:val="left"/>
              <w:rPr>
                <w:rFonts w:ascii="Arial" w:hAnsi="Arial" w:cs="Arial"/>
                <w:b/>
                <w:sz w:val="18"/>
                <w:szCs w:val="18"/>
              </w:rPr>
            </w:pPr>
            <w:r>
              <w:rPr>
                <w:rFonts w:ascii="Arial" w:hAnsi="Arial" w:cs="Arial"/>
                <w:b/>
                <w:sz w:val="18"/>
                <w:szCs w:val="18"/>
              </w:rPr>
              <w:t>Total number of p</w:t>
            </w:r>
            <w:r w:rsidRPr="00013159">
              <w:rPr>
                <w:rFonts w:ascii="Arial" w:hAnsi="Arial" w:cs="Arial"/>
                <w:b/>
                <w:sz w:val="18"/>
                <w:szCs w:val="18"/>
              </w:rPr>
              <w:t>ages</w:t>
            </w:r>
            <w:r w:rsidR="006E054D">
              <w:rPr>
                <w:rFonts w:ascii="Arial" w:hAnsi="Arial" w:cs="Arial"/>
                <w:b/>
                <w:sz w:val="18"/>
                <w:szCs w:val="18"/>
              </w:rPr>
              <w:t xml:space="preserve"> of submission</w:t>
            </w:r>
          </w:p>
        </w:tc>
        <w:tc>
          <w:tcPr>
            <w:tcW w:w="2373" w:type="dxa"/>
          </w:tcPr>
          <w:p w:rsidR="00CD4233" w:rsidRPr="00013159" w:rsidRDefault="00CD4233" w:rsidP="009A3EF8">
            <w:pPr>
              <w:jc w:val="left"/>
              <w:rPr>
                <w:rFonts w:ascii="Arial" w:hAnsi="Arial" w:cs="Arial"/>
                <w:b/>
                <w:sz w:val="18"/>
                <w:szCs w:val="18"/>
              </w:rPr>
            </w:pPr>
            <w:r w:rsidRPr="00013159">
              <w:rPr>
                <w:rFonts w:ascii="Arial" w:hAnsi="Arial" w:cs="Arial"/>
                <w:b/>
                <w:sz w:val="18"/>
                <w:szCs w:val="18"/>
              </w:rPr>
              <w:t xml:space="preserve">Percentage of pages of submission that </w:t>
            </w:r>
            <w:r>
              <w:rPr>
                <w:rFonts w:ascii="Arial" w:hAnsi="Arial" w:cs="Arial"/>
                <w:b/>
                <w:sz w:val="18"/>
                <w:szCs w:val="18"/>
              </w:rPr>
              <w:t>are subject to a claim of confidentiality</w:t>
            </w:r>
          </w:p>
        </w:tc>
        <w:tc>
          <w:tcPr>
            <w:tcW w:w="2373" w:type="dxa"/>
          </w:tcPr>
          <w:p w:rsidR="00CD4233" w:rsidRPr="00013159" w:rsidRDefault="00CD4233" w:rsidP="009A3EF8">
            <w:pPr>
              <w:jc w:val="left"/>
              <w:rPr>
                <w:rFonts w:ascii="Arial" w:hAnsi="Arial" w:cs="Arial"/>
                <w:b/>
                <w:sz w:val="18"/>
                <w:szCs w:val="18"/>
              </w:rPr>
            </w:pPr>
            <w:r w:rsidRPr="00013159">
              <w:rPr>
                <w:rFonts w:ascii="Arial" w:hAnsi="Arial" w:cs="Arial"/>
                <w:b/>
                <w:sz w:val="18"/>
                <w:szCs w:val="18"/>
              </w:rPr>
              <w:t xml:space="preserve">Percentage of pages of submission that </w:t>
            </w:r>
            <w:r>
              <w:rPr>
                <w:rFonts w:ascii="Arial" w:hAnsi="Arial" w:cs="Arial"/>
                <w:b/>
                <w:sz w:val="18"/>
                <w:szCs w:val="18"/>
              </w:rPr>
              <w:t>are not subject to a claim of confidentiality</w:t>
            </w:r>
          </w:p>
        </w:tc>
      </w:tr>
      <w:tr w:rsidR="00CD4233" w:rsidRPr="009F2FEC" w:rsidTr="009A3EF8">
        <w:tc>
          <w:tcPr>
            <w:tcW w:w="1843" w:type="dxa"/>
          </w:tcPr>
          <w:p w:rsidR="00CD4233" w:rsidRPr="009F2FEC" w:rsidRDefault="00CD4233" w:rsidP="009A3EF8">
            <w:pPr>
              <w:rPr>
                <w:rFonts w:ascii="Arial" w:hAnsi="Arial" w:cs="Arial"/>
              </w:rPr>
            </w:pPr>
          </w:p>
        </w:tc>
        <w:tc>
          <w:tcPr>
            <w:tcW w:w="2148" w:type="dxa"/>
          </w:tcPr>
          <w:p w:rsidR="00CD4233" w:rsidRPr="009F2FEC" w:rsidRDefault="00CD4233" w:rsidP="009A3EF8">
            <w:pPr>
              <w:rPr>
                <w:rFonts w:ascii="Arial" w:hAnsi="Arial" w:cs="Arial"/>
              </w:rPr>
            </w:pPr>
          </w:p>
        </w:tc>
        <w:tc>
          <w:tcPr>
            <w:tcW w:w="2419" w:type="dxa"/>
          </w:tcPr>
          <w:p w:rsidR="00CD4233" w:rsidRPr="009F2FEC" w:rsidRDefault="00CD4233" w:rsidP="009A3EF8">
            <w:pPr>
              <w:rPr>
                <w:rFonts w:ascii="Arial" w:hAnsi="Arial" w:cs="Arial"/>
              </w:rPr>
            </w:pPr>
          </w:p>
        </w:tc>
        <w:tc>
          <w:tcPr>
            <w:tcW w:w="1942" w:type="dxa"/>
          </w:tcPr>
          <w:p w:rsidR="00CD4233" w:rsidRPr="009F2FEC" w:rsidRDefault="00CD4233" w:rsidP="009A3EF8">
            <w:pPr>
              <w:rPr>
                <w:rFonts w:ascii="Arial" w:hAnsi="Arial" w:cs="Arial"/>
              </w:rPr>
            </w:pPr>
          </w:p>
        </w:tc>
        <w:tc>
          <w:tcPr>
            <w:tcW w:w="2373" w:type="dxa"/>
          </w:tcPr>
          <w:p w:rsidR="00CD4233" w:rsidRPr="009F2FEC" w:rsidRDefault="00CD4233" w:rsidP="009A3EF8">
            <w:pPr>
              <w:rPr>
                <w:rFonts w:ascii="Arial" w:hAnsi="Arial" w:cs="Arial"/>
              </w:rPr>
            </w:pPr>
          </w:p>
        </w:tc>
        <w:tc>
          <w:tcPr>
            <w:tcW w:w="2373" w:type="dxa"/>
          </w:tcPr>
          <w:p w:rsidR="00CD4233" w:rsidRPr="009F2FEC" w:rsidRDefault="00CD4233" w:rsidP="009A3EF8">
            <w:pPr>
              <w:rPr>
                <w:rFonts w:ascii="Arial" w:hAnsi="Arial" w:cs="Arial"/>
              </w:rPr>
            </w:pPr>
          </w:p>
        </w:tc>
      </w:tr>
      <w:tr w:rsidR="00CD4233" w:rsidRPr="009F2FEC" w:rsidTr="009A3EF8">
        <w:tc>
          <w:tcPr>
            <w:tcW w:w="1843" w:type="dxa"/>
          </w:tcPr>
          <w:p w:rsidR="00CD4233" w:rsidRPr="009F2FEC" w:rsidRDefault="00CD4233" w:rsidP="009A3EF8">
            <w:pPr>
              <w:rPr>
                <w:rFonts w:ascii="Arial" w:hAnsi="Arial" w:cs="Arial"/>
              </w:rPr>
            </w:pPr>
          </w:p>
        </w:tc>
        <w:tc>
          <w:tcPr>
            <w:tcW w:w="2148" w:type="dxa"/>
          </w:tcPr>
          <w:p w:rsidR="00CD4233" w:rsidRPr="009F2FEC" w:rsidRDefault="00CD4233" w:rsidP="009A3EF8">
            <w:pPr>
              <w:rPr>
                <w:rFonts w:ascii="Arial" w:hAnsi="Arial" w:cs="Arial"/>
              </w:rPr>
            </w:pPr>
          </w:p>
        </w:tc>
        <w:tc>
          <w:tcPr>
            <w:tcW w:w="2419" w:type="dxa"/>
          </w:tcPr>
          <w:p w:rsidR="00CD4233" w:rsidRPr="009F2FEC" w:rsidRDefault="00CD4233" w:rsidP="009A3EF8">
            <w:pPr>
              <w:rPr>
                <w:rFonts w:ascii="Arial" w:hAnsi="Arial" w:cs="Arial"/>
              </w:rPr>
            </w:pPr>
          </w:p>
        </w:tc>
        <w:tc>
          <w:tcPr>
            <w:tcW w:w="1942" w:type="dxa"/>
          </w:tcPr>
          <w:p w:rsidR="00CD4233" w:rsidRPr="009F2FEC" w:rsidRDefault="00CD4233" w:rsidP="009A3EF8">
            <w:pPr>
              <w:rPr>
                <w:rFonts w:ascii="Arial" w:hAnsi="Arial" w:cs="Arial"/>
              </w:rPr>
            </w:pPr>
          </w:p>
        </w:tc>
        <w:tc>
          <w:tcPr>
            <w:tcW w:w="2373" w:type="dxa"/>
          </w:tcPr>
          <w:p w:rsidR="00CD4233" w:rsidRPr="009F2FEC" w:rsidRDefault="00CD4233" w:rsidP="009A3EF8">
            <w:pPr>
              <w:rPr>
                <w:rFonts w:ascii="Arial" w:hAnsi="Arial" w:cs="Arial"/>
              </w:rPr>
            </w:pPr>
          </w:p>
        </w:tc>
        <w:tc>
          <w:tcPr>
            <w:tcW w:w="2373" w:type="dxa"/>
          </w:tcPr>
          <w:p w:rsidR="00CD4233" w:rsidRPr="009F2FEC" w:rsidRDefault="00CD4233" w:rsidP="009A3EF8">
            <w:pPr>
              <w:rPr>
                <w:rFonts w:ascii="Arial" w:hAnsi="Arial" w:cs="Arial"/>
              </w:rPr>
            </w:pPr>
          </w:p>
        </w:tc>
      </w:tr>
    </w:tbl>
    <w:p w:rsidR="00772488" w:rsidRPr="0061390B" w:rsidRDefault="00772488" w:rsidP="00CD4233">
      <w:pPr>
        <w:pStyle w:val="AERbodytext"/>
        <w:keepNext/>
        <w:numPr>
          <w:ilvl w:val="0"/>
          <w:numId w:val="0"/>
        </w:numPr>
        <w:tabs>
          <w:tab w:val="left" w:pos="1440"/>
        </w:tabs>
        <w:spacing w:before="120" w:after="120"/>
        <w:ind w:left="1440" w:hanging="1440"/>
      </w:pPr>
    </w:p>
    <w:sectPr w:rsidR="00772488" w:rsidRPr="0061390B" w:rsidSect="007E1723">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FE4" w:rsidRPr="00AB4345" w:rsidRDefault="00537FE4" w:rsidP="00AB4345">
      <w:r>
        <w:separator/>
      </w:r>
    </w:p>
  </w:endnote>
  <w:endnote w:type="continuationSeparator" w:id="0">
    <w:p w:rsidR="00537FE4" w:rsidRPr="00AB4345" w:rsidRDefault="00537FE4"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F" w:rsidRDefault="0079718F" w:rsidP="00886F00">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Aer Determination Heading</w:t>
    </w:r>
  </w:p>
  <w:p w:rsidR="0079718F" w:rsidRDefault="0079718F"/>
  <w:p w:rsidR="0079718F" w:rsidRDefault="007971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F" w:rsidRDefault="0079718F" w:rsidP="00886F00">
    <w:pPr>
      <w:jc w:val="center"/>
    </w:pPr>
    <w:fldSimple w:instr=" PAGE   \* MERGEFORMAT ">
      <w:r w:rsidR="006F6969">
        <w:rPr>
          <w:noProof/>
        </w:rPr>
        <w:t>i</w:t>
      </w:r>
    </w:fldSimple>
  </w:p>
  <w:p w:rsidR="0079718F" w:rsidRDefault="0079718F"/>
  <w:p w:rsidR="0079718F" w:rsidRDefault="007971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F" w:rsidRPr="00210880" w:rsidRDefault="0079718F" w:rsidP="00DD5520">
    <w:pPr>
      <w:pStyle w:val="Footer"/>
      <w:rPr>
        <w:rStyle w:val="AERbody"/>
      </w:rPr>
    </w:pPr>
    <w:r>
      <w:rPr>
        <w:rStyle w:val="AERbody"/>
      </w:rPr>
      <w:t xml:space="preserve">Issues paper - </w:t>
    </w:r>
    <w:r w:rsidRPr="00B85B0A">
      <w:t>Distribution and transmission confidentiality guidelines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6F6969">
      <w:rPr>
        <w:rStyle w:val="AERbody"/>
        <w:noProof/>
      </w:rPr>
      <w:t>24</w:t>
    </w:r>
    <w:r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FE4" w:rsidRPr="00AB4345" w:rsidRDefault="00537FE4" w:rsidP="00AB4345">
      <w:r>
        <w:separator/>
      </w:r>
    </w:p>
  </w:footnote>
  <w:footnote w:type="continuationSeparator" w:id="0">
    <w:p w:rsidR="00537FE4" w:rsidRPr="00AB4345" w:rsidRDefault="00537FE4" w:rsidP="00AB4345">
      <w:r>
        <w:continuationSeparator/>
      </w:r>
    </w:p>
  </w:footnote>
  <w:footnote w:id="1">
    <w:p w:rsidR="0079718F" w:rsidRDefault="0079718F" w:rsidP="00871BD2">
      <w:pPr>
        <w:pStyle w:val="FootnoteText"/>
      </w:pPr>
      <w:r w:rsidRPr="00512EDA">
        <w:rPr>
          <w:rStyle w:val="FootnoteReference"/>
        </w:rPr>
        <w:footnoteRef/>
      </w:r>
      <w:r w:rsidRPr="00512EDA">
        <w:t xml:space="preserve"> </w:t>
      </w:r>
      <w:r w:rsidRPr="00512EDA">
        <w:tab/>
        <w:t xml:space="preserve">Further details on the consultation processes and other </w:t>
      </w:r>
      <w:r>
        <w:t xml:space="preserve">guidelines </w:t>
      </w:r>
      <w:r w:rsidRPr="00512EDA">
        <w:t xml:space="preserve">work streams </w:t>
      </w:r>
      <w:r>
        <w:t>are</w:t>
      </w:r>
      <w:r w:rsidRPr="00512EDA">
        <w:t xml:space="preserve"> available at </w:t>
      </w:r>
      <w:hyperlink r:id="rId1" w:history="1">
        <w:r w:rsidRPr="00512EDA">
          <w:rPr>
            <w:rStyle w:val="Hyperlink"/>
          </w:rPr>
          <w:t>http://www.aer.gov.au/node/18824</w:t>
        </w:r>
      </w:hyperlink>
      <w:r w:rsidRPr="00512EDA">
        <w:t>.</w:t>
      </w:r>
    </w:p>
    <w:p w:rsidR="0079718F" w:rsidRDefault="0079718F" w:rsidP="00871BD2">
      <w:pPr>
        <w:pStyle w:val="FootnoteText"/>
      </w:pPr>
    </w:p>
  </w:footnote>
  <w:footnote w:id="2">
    <w:p w:rsidR="0079718F" w:rsidRDefault="0079718F" w:rsidP="00871BD2">
      <w:pPr>
        <w:pStyle w:val="FootnoteText"/>
      </w:pPr>
      <w:r>
        <w:rPr>
          <w:rStyle w:val="FootnoteReference"/>
        </w:rPr>
        <w:footnoteRef/>
      </w:r>
      <w:r>
        <w:t xml:space="preserve"> </w:t>
      </w:r>
      <w:r>
        <w:tab/>
        <w:t>NER, cl.6.4.5(a) and cl.6A.5.6(a) require that we publish the Guidelines. Transitional NER provisions, cl.11.53.4 and cl.11.54.4 set the date for their publication.</w:t>
      </w:r>
    </w:p>
  </w:footnote>
  <w:footnote w:id="3">
    <w:p w:rsidR="0079718F" w:rsidRDefault="0079718F" w:rsidP="00871BD2">
      <w:pPr>
        <w:pStyle w:val="FootnoteText"/>
      </w:pPr>
      <w:r>
        <w:rPr>
          <w:rStyle w:val="FootnoteReference"/>
        </w:rPr>
        <w:footnoteRef/>
      </w:r>
      <w:r>
        <w:t xml:space="preserve"> </w:t>
      </w:r>
      <w:r>
        <w:tab/>
        <w:t>NER, cl.</w:t>
      </w:r>
      <w:r w:rsidRPr="008C31EB">
        <w:t>6.14A(b)</w:t>
      </w:r>
      <w:r>
        <w:t xml:space="preserve"> &amp; cl.6A.16A(b). </w:t>
      </w:r>
    </w:p>
  </w:footnote>
  <w:footnote w:id="4">
    <w:p w:rsidR="0079718F" w:rsidRDefault="0079718F">
      <w:pPr>
        <w:pStyle w:val="FootnoteText"/>
      </w:pPr>
      <w:r>
        <w:rPr>
          <w:rStyle w:val="FootnoteReference"/>
        </w:rPr>
        <w:footnoteRef/>
      </w:r>
      <w:r>
        <w:t xml:space="preserve"> </w:t>
      </w:r>
      <w:r>
        <w:tab/>
        <w:t>NEL, ss. 28W-28ZB</w:t>
      </w:r>
      <w:r w:rsidR="002F28A2">
        <w:t>.</w:t>
      </w:r>
    </w:p>
  </w:footnote>
  <w:footnote w:id="5">
    <w:p w:rsidR="0079718F" w:rsidRDefault="0079718F" w:rsidP="00871BD2">
      <w:pPr>
        <w:pStyle w:val="FootnoteText"/>
      </w:pPr>
      <w:r>
        <w:rPr>
          <w:rStyle w:val="FootnoteReference"/>
        </w:rPr>
        <w:footnoteRef/>
      </w:r>
      <w:r>
        <w:t xml:space="preserve"> </w:t>
      </w:r>
      <w:r>
        <w:tab/>
        <w:t xml:space="preserve">AER, </w:t>
      </w:r>
      <w:r w:rsidRPr="007528AA">
        <w:rPr>
          <w:rStyle w:val="AERtextitalic"/>
        </w:rPr>
        <w:t xml:space="preserve">Better </w:t>
      </w:r>
      <w:r>
        <w:rPr>
          <w:rStyle w:val="AERtextitalic"/>
        </w:rPr>
        <w:t>r</w:t>
      </w:r>
      <w:r w:rsidRPr="007528AA">
        <w:rPr>
          <w:rStyle w:val="AERtextitalic"/>
        </w:rPr>
        <w:t xml:space="preserve">egulation </w:t>
      </w:r>
      <w:r>
        <w:rPr>
          <w:rStyle w:val="AERtextitalic"/>
        </w:rPr>
        <w:t>i</w:t>
      </w:r>
      <w:r w:rsidRPr="007528AA">
        <w:rPr>
          <w:rStyle w:val="AERtextitalic"/>
        </w:rPr>
        <w:t xml:space="preserve">ssues </w:t>
      </w:r>
      <w:r>
        <w:rPr>
          <w:rStyle w:val="AERtextitalic"/>
        </w:rPr>
        <w:t>p</w:t>
      </w:r>
      <w:r w:rsidRPr="007528AA">
        <w:rPr>
          <w:rStyle w:val="AERtextitalic"/>
        </w:rPr>
        <w:t>aper</w:t>
      </w:r>
      <w:r>
        <w:rPr>
          <w:rStyle w:val="AERtextitalic"/>
        </w:rPr>
        <w:t xml:space="preserve">, </w:t>
      </w:r>
      <w:r w:rsidRPr="00603EA5">
        <w:rPr>
          <w:rStyle w:val="AERtextitalic"/>
          <w:i w:val="0"/>
        </w:rPr>
        <w:t>10 December 2012</w:t>
      </w:r>
      <w:r w:rsidRPr="00F715CB">
        <w:rPr>
          <w:rStyle w:val="AERtextitalic"/>
        </w:rPr>
        <w:t>.</w:t>
      </w:r>
    </w:p>
  </w:footnote>
  <w:footnote w:id="6">
    <w:p w:rsidR="0079718F" w:rsidRDefault="0079718F" w:rsidP="00DB0A6C">
      <w:pPr>
        <w:pStyle w:val="FootnoteText"/>
      </w:pPr>
      <w:r>
        <w:rPr>
          <w:rStyle w:val="FootnoteReference"/>
        </w:rPr>
        <w:footnoteRef/>
      </w:r>
      <w:r>
        <w:t xml:space="preserve"> </w:t>
      </w:r>
      <w:r>
        <w:tab/>
      </w:r>
      <w:r>
        <w:rPr>
          <w:rStyle w:val="AERtextitalic"/>
        </w:rPr>
        <w:t xml:space="preserve">Competition and Consumer </w:t>
      </w:r>
      <w:r w:rsidRPr="00C541D3">
        <w:rPr>
          <w:rStyle w:val="AERtextitalic"/>
        </w:rPr>
        <w:t xml:space="preserve">Act </w:t>
      </w:r>
      <w:r w:rsidRPr="00AF76FE">
        <w:rPr>
          <w:rStyle w:val="AERtextitalic"/>
        </w:rPr>
        <w:t>2010</w:t>
      </w:r>
      <w:r>
        <w:rPr>
          <w:rStyle w:val="AERtextitalic"/>
          <w:i w:val="0"/>
        </w:rPr>
        <w:t xml:space="preserve">, </w:t>
      </w:r>
      <w:r>
        <w:t>s</w:t>
      </w:r>
      <w:r w:rsidRPr="003F638F">
        <w:t>.44AAF(1</w:t>
      </w:r>
      <w:r>
        <w:t>).</w:t>
      </w:r>
    </w:p>
  </w:footnote>
  <w:footnote w:id="7">
    <w:p w:rsidR="0079718F" w:rsidRDefault="0079718F" w:rsidP="00DB0A6C">
      <w:pPr>
        <w:pStyle w:val="FootnoteText"/>
      </w:pPr>
      <w:r>
        <w:rPr>
          <w:rStyle w:val="FootnoteReference"/>
        </w:rPr>
        <w:footnoteRef/>
      </w:r>
      <w:r>
        <w:t xml:space="preserve"> </w:t>
      </w:r>
      <w:r>
        <w:tab/>
      </w:r>
      <w:r>
        <w:rPr>
          <w:rStyle w:val="AERtextitalic"/>
        </w:rPr>
        <w:t xml:space="preserve">Competition and Consumer </w:t>
      </w:r>
      <w:r w:rsidRPr="00C541D3">
        <w:rPr>
          <w:rStyle w:val="AERtextitalic"/>
        </w:rPr>
        <w:t xml:space="preserve">Act </w:t>
      </w:r>
      <w:r w:rsidRPr="00AF76FE">
        <w:rPr>
          <w:rStyle w:val="AERtextitalic"/>
        </w:rPr>
        <w:t>2010</w:t>
      </w:r>
      <w:r>
        <w:rPr>
          <w:rStyle w:val="AERtextitalic"/>
          <w:i w:val="0"/>
        </w:rPr>
        <w:t>,</w:t>
      </w:r>
      <w:r>
        <w:rPr>
          <w:rStyle w:val="AERtextitalic"/>
        </w:rPr>
        <w:t xml:space="preserve"> </w:t>
      </w:r>
      <w:r>
        <w:t>ss.44AAF(2</w:t>
      </w:r>
      <w:r w:rsidRPr="003F638F">
        <w:t>)</w:t>
      </w:r>
      <w:r>
        <w:t>-(3).</w:t>
      </w:r>
    </w:p>
  </w:footnote>
  <w:footnote w:id="8">
    <w:p w:rsidR="0079718F" w:rsidRDefault="0079718F" w:rsidP="00DB0A6C">
      <w:pPr>
        <w:pStyle w:val="FootnoteText"/>
      </w:pPr>
      <w:r>
        <w:rPr>
          <w:rStyle w:val="FootnoteReference"/>
        </w:rPr>
        <w:footnoteRef/>
      </w:r>
      <w:r>
        <w:t xml:space="preserve"> </w:t>
      </w:r>
      <w:r>
        <w:tab/>
      </w:r>
      <w:r w:rsidRPr="00EC1BB0">
        <w:t>NEL</w:t>
      </w:r>
      <w:r>
        <w:t>,</w:t>
      </w:r>
      <w:r w:rsidRPr="00EC1BB0">
        <w:t xml:space="preserve"> s.28Z</w:t>
      </w:r>
      <w:r>
        <w:t>A</w:t>
      </w:r>
      <w:r w:rsidRPr="00EC1BB0">
        <w:t>B</w:t>
      </w:r>
      <w:r>
        <w:t>.</w:t>
      </w:r>
      <w:r w:rsidRPr="00EC1BB0">
        <w:t xml:space="preserve"> </w:t>
      </w:r>
    </w:p>
  </w:footnote>
  <w:footnote w:id="9">
    <w:p w:rsidR="0079718F" w:rsidRDefault="0079718F" w:rsidP="00DB0A6C">
      <w:pPr>
        <w:pStyle w:val="FootnoteText"/>
      </w:pPr>
      <w:r>
        <w:rPr>
          <w:rStyle w:val="FootnoteReference"/>
        </w:rPr>
        <w:footnoteRef/>
      </w:r>
      <w:r>
        <w:t xml:space="preserve"> </w:t>
      </w:r>
      <w:r>
        <w:tab/>
        <w:t xml:space="preserve">NEL, s.28X. </w:t>
      </w:r>
    </w:p>
  </w:footnote>
  <w:footnote w:id="10">
    <w:p w:rsidR="0079718F" w:rsidRDefault="0079718F" w:rsidP="00DB0A6C">
      <w:pPr>
        <w:pStyle w:val="FootnoteText"/>
        <w:tabs>
          <w:tab w:val="left" w:pos="2278"/>
        </w:tabs>
      </w:pPr>
      <w:r>
        <w:rPr>
          <w:rStyle w:val="FootnoteReference"/>
        </w:rPr>
        <w:footnoteRef/>
      </w:r>
      <w:r>
        <w:t xml:space="preserve"> </w:t>
      </w:r>
      <w:r>
        <w:tab/>
      </w:r>
      <w:r w:rsidRPr="00EC1BB0">
        <w:t>NEL</w:t>
      </w:r>
      <w:r>
        <w:t>,</w:t>
      </w:r>
      <w:r w:rsidRPr="00EC1BB0">
        <w:t xml:space="preserve"> s.</w:t>
      </w:r>
      <w:r>
        <w:t>28Y(c).</w:t>
      </w:r>
      <w:r w:rsidRPr="00EC1BB0">
        <w:t xml:space="preserve"> </w:t>
      </w:r>
      <w:r>
        <w:tab/>
      </w:r>
    </w:p>
  </w:footnote>
  <w:footnote w:id="11">
    <w:p w:rsidR="0079718F" w:rsidRDefault="0079718F" w:rsidP="00DB0A6C">
      <w:pPr>
        <w:pStyle w:val="FootnoteText"/>
      </w:pPr>
      <w:r>
        <w:rPr>
          <w:rStyle w:val="FootnoteReference"/>
        </w:rPr>
        <w:footnoteRef/>
      </w:r>
      <w:r>
        <w:t xml:space="preserve"> </w:t>
      </w:r>
      <w:r>
        <w:tab/>
      </w:r>
      <w:r w:rsidRPr="00EC1BB0">
        <w:t>NEL</w:t>
      </w:r>
      <w:r>
        <w:t>, s</w:t>
      </w:r>
      <w:r w:rsidRPr="00EC1BB0">
        <w:t>s.28Y(</w:t>
      </w:r>
      <w:r>
        <w:t>a</w:t>
      </w:r>
      <w:r w:rsidRPr="00EC1BB0">
        <w:t>)</w:t>
      </w:r>
      <w:r>
        <w:t>-(b).</w:t>
      </w:r>
      <w:r w:rsidRPr="00EC1BB0">
        <w:t xml:space="preserve"> </w:t>
      </w:r>
    </w:p>
  </w:footnote>
  <w:footnote w:id="12">
    <w:p w:rsidR="0079718F" w:rsidRDefault="0079718F" w:rsidP="00DB0A6C">
      <w:pPr>
        <w:pStyle w:val="FootnoteText"/>
      </w:pPr>
      <w:r>
        <w:rPr>
          <w:rStyle w:val="FootnoteReference"/>
        </w:rPr>
        <w:footnoteRef/>
      </w:r>
      <w:r>
        <w:t xml:space="preserve"> </w:t>
      </w:r>
      <w:r>
        <w:tab/>
      </w:r>
      <w:r w:rsidRPr="003131E6">
        <w:t>NEL</w:t>
      </w:r>
      <w:r>
        <w:t>,</w:t>
      </w:r>
      <w:r w:rsidRPr="003131E6">
        <w:t xml:space="preserve"> s.28</w:t>
      </w:r>
      <w:r>
        <w:t>ZA.</w:t>
      </w:r>
    </w:p>
  </w:footnote>
  <w:footnote w:id="13">
    <w:p w:rsidR="0079718F" w:rsidRDefault="0079718F" w:rsidP="00DB0A6C">
      <w:pPr>
        <w:pStyle w:val="FootnoteText"/>
      </w:pPr>
      <w:r>
        <w:rPr>
          <w:rStyle w:val="FootnoteReference"/>
        </w:rPr>
        <w:footnoteRef/>
      </w:r>
      <w:r>
        <w:t xml:space="preserve"> </w:t>
      </w:r>
      <w:r>
        <w:tab/>
        <w:t>NEL, s.28ZB.</w:t>
      </w:r>
    </w:p>
  </w:footnote>
  <w:footnote w:id="14">
    <w:p w:rsidR="0079718F" w:rsidRDefault="0079718F" w:rsidP="00DB0A6C">
      <w:pPr>
        <w:pStyle w:val="FootnoteText"/>
      </w:pPr>
      <w:r>
        <w:rPr>
          <w:rStyle w:val="FootnoteReference"/>
        </w:rPr>
        <w:footnoteRef/>
      </w:r>
      <w:r>
        <w:t xml:space="preserve"> </w:t>
      </w:r>
      <w:r>
        <w:tab/>
        <w:t>NER, cl.6.2.8(c) &amp; cl.6A.2.3(a)(2).</w:t>
      </w:r>
    </w:p>
  </w:footnote>
  <w:footnote w:id="15">
    <w:p w:rsidR="0079718F" w:rsidRDefault="0079718F" w:rsidP="00DB0A6C">
      <w:pPr>
        <w:pStyle w:val="FootnoteText"/>
      </w:pPr>
      <w:r>
        <w:rPr>
          <w:rStyle w:val="FootnoteReference"/>
        </w:rPr>
        <w:footnoteRef/>
      </w:r>
      <w:r>
        <w:t xml:space="preserve"> </w:t>
      </w:r>
      <w:r>
        <w:tab/>
        <w:t>NER, cl.</w:t>
      </w:r>
      <w:r w:rsidRPr="008C31EB">
        <w:t>6.14A(b)</w:t>
      </w:r>
      <w:r>
        <w:t xml:space="preserve"> &amp; cl.6A.16A(b). </w:t>
      </w:r>
    </w:p>
  </w:footnote>
  <w:footnote w:id="16">
    <w:p w:rsidR="0079718F" w:rsidRDefault="0079718F" w:rsidP="00DB0A6C">
      <w:pPr>
        <w:pStyle w:val="FootnoteText"/>
      </w:pPr>
      <w:r>
        <w:rPr>
          <w:rStyle w:val="FootnoteReference"/>
        </w:rPr>
        <w:footnoteRef/>
      </w:r>
      <w:r>
        <w:t xml:space="preserve"> </w:t>
      </w:r>
      <w:r>
        <w:tab/>
        <w:t>NER, cl.</w:t>
      </w:r>
      <w:r w:rsidRPr="008C31EB">
        <w:t>6.14A(b)</w:t>
      </w:r>
      <w:r>
        <w:t xml:space="preserve"> &amp; cl.6A.16A(b). </w:t>
      </w:r>
    </w:p>
  </w:footnote>
  <w:footnote w:id="17">
    <w:p w:rsidR="0079718F" w:rsidRDefault="0079718F" w:rsidP="00DB0A6C">
      <w:pPr>
        <w:pStyle w:val="FootnoteText"/>
      </w:pPr>
      <w:r>
        <w:rPr>
          <w:rStyle w:val="FootnoteReference"/>
        </w:rPr>
        <w:footnoteRef/>
      </w:r>
      <w:r>
        <w:t xml:space="preserve"> </w:t>
      </w:r>
      <w:r>
        <w:tab/>
        <w:t>NER, cl.6.14A(c) &amp; cl.6A.16A(c</w:t>
      </w:r>
      <w:r w:rsidRPr="004D6E17">
        <w:t>)</w:t>
      </w:r>
      <w:r>
        <w:t xml:space="preserve">. </w:t>
      </w:r>
    </w:p>
  </w:footnote>
  <w:footnote w:id="18">
    <w:p w:rsidR="0079718F" w:rsidRDefault="0079718F" w:rsidP="00DB0A6C">
      <w:pPr>
        <w:pStyle w:val="FootnoteText"/>
      </w:pPr>
      <w:r>
        <w:rPr>
          <w:rStyle w:val="FootnoteReference"/>
        </w:rPr>
        <w:footnoteRef/>
      </w:r>
      <w:r>
        <w:t xml:space="preserve"> </w:t>
      </w:r>
      <w:r>
        <w:tab/>
        <w:t xml:space="preserve">NER, cl.6.14A(d) </w:t>
      </w:r>
      <w:r w:rsidRPr="004D6E17">
        <w:t xml:space="preserve">&amp; </w:t>
      </w:r>
      <w:r>
        <w:t>cl.6A.16A(d</w:t>
      </w:r>
      <w:r w:rsidRPr="004D6E17">
        <w:t>)</w:t>
      </w:r>
      <w:r>
        <w:t xml:space="preserve">. </w:t>
      </w:r>
    </w:p>
  </w:footnote>
  <w:footnote w:id="19">
    <w:p w:rsidR="0079718F" w:rsidRDefault="0079718F">
      <w:pPr>
        <w:pStyle w:val="FootnoteText"/>
      </w:pPr>
      <w:r>
        <w:rPr>
          <w:rStyle w:val="FootnoteReference"/>
        </w:rPr>
        <w:footnoteRef/>
      </w:r>
      <w:r>
        <w:t xml:space="preserve"> </w:t>
      </w:r>
      <w:r>
        <w:tab/>
        <w:t>NER, cl. 6.9.1(a) &amp; cl. 6A.11.1(a)</w:t>
      </w:r>
    </w:p>
  </w:footnote>
  <w:footnote w:id="20">
    <w:p w:rsidR="0079718F" w:rsidRDefault="0079718F" w:rsidP="00DB0A6C">
      <w:pPr>
        <w:pStyle w:val="FootnoteText"/>
      </w:pPr>
      <w:r>
        <w:rPr>
          <w:rStyle w:val="FootnoteReference"/>
        </w:rPr>
        <w:footnoteRef/>
      </w:r>
      <w:r>
        <w:t xml:space="preserve"> </w:t>
      </w:r>
      <w:r>
        <w:tab/>
        <w:t>NER, cl.6.9.1(a) &amp; cl.6A.11.1(a)(8).</w:t>
      </w:r>
    </w:p>
  </w:footnote>
  <w:footnote w:id="21">
    <w:p w:rsidR="0079718F" w:rsidRDefault="0079718F">
      <w:pPr>
        <w:pStyle w:val="FootnoteText"/>
      </w:pPr>
      <w:r>
        <w:rPr>
          <w:rStyle w:val="FootnoteReference"/>
        </w:rPr>
        <w:footnoteRef/>
      </w:r>
      <w:r>
        <w:t xml:space="preserve"> </w:t>
      </w:r>
      <w:r>
        <w:tab/>
        <w:t>S</w:t>
      </w:r>
      <w:r w:rsidRPr="00CE1659">
        <w:t xml:space="preserve">ee section </w:t>
      </w:r>
      <w:r>
        <w:fldChar w:fldCharType="begin"/>
      </w:r>
      <w:r>
        <w:instrText xml:space="preserve"> REF _Ref349201498 \r \h </w:instrText>
      </w:r>
      <w:r>
        <w:fldChar w:fldCharType="separate"/>
      </w:r>
      <w:r>
        <w:t>4.2</w:t>
      </w:r>
      <w:r>
        <w:fldChar w:fldCharType="end"/>
      </w:r>
      <w:r w:rsidRPr="00CE1659">
        <w:t xml:space="preserve"> below on possible </w:t>
      </w:r>
      <w:r>
        <w:t>categories or lists</w:t>
      </w:r>
      <w:r w:rsidRPr="00CE1659">
        <w:t xml:space="preserve"> of confidential information.</w:t>
      </w:r>
    </w:p>
  </w:footnote>
  <w:footnote w:id="22">
    <w:p w:rsidR="0079718F" w:rsidRDefault="0079718F" w:rsidP="00DB0A6C">
      <w:pPr>
        <w:pStyle w:val="FootnoteText"/>
      </w:pPr>
      <w:r>
        <w:rPr>
          <w:rStyle w:val="FootnoteReference"/>
        </w:rPr>
        <w:footnoteRef/>
      </w:r>
      <w:r>
        <w:t xml:space="preserve"> </w:t>
      </w:r>
      <w:r>
        <w:tab/>
        <w:t>AER Submission, AEMC Directions Paper, Economic regulation of Network Service Providers, April 2012, p.62</w:t>
      </w:r>
      <w:r w:rsidR="00540032">
        <w:t>.</w:t>
      </w:r>
    </w:p>
  </w:footnote>
  <w:footnote w:id="23">
    <w:p w:rsidR="0079718F" w:rsidRDefault="0079718F" w:rsidP="00DB0A6C">
      <w:pPr>
        <w:pStyle w:val="FootnoteText"/>
      </w:pPr>
      <w:r>
        <w:rPr>
          <w:rStyle w:val="FootnoteReference"/>
        </w:rPr>
        <w:footnoteRef/>
      </w:r>
      <w:r>
        <w:t xml:space="preserve"> </w:t>
      </w:r>
      <w:r>
        <w:tab/>
        <w:t xml:space="preserve">Response by Energy Users Coalition of Victoria, Victorian Gas Transmission Revenue Reset, June 2012, p16. </w:t>
      </w:r>
    </w:p>
  </w:footnote>
  <w:footnote w:id="24">
    <w:p w:rsidR="0079718F" w:rsidRDefault="0079718F" w:rsidP="00DB0A6C">
      <w:pPr>
        <w:pStyle w:val="FootnoteText"/>
      </w:pPr>
      <w:r>
        <w:rPr>
          <w:rStyle w:val="FootnoteReference"/>
        </w:rPr>
        <w:footnoteRef/>
      </w:r>
      <w:r>
        <w:t xml:space="preserve"> </w:t>
      </w:r>
      <w:r>
        <w:tab/>
        <w:t>R</w:t>
      </w:r>
      <w:r w:rsidRPr="007B1EFF">
        <w:t>esponse by Energy Users Coalition of Victoria, Victorian Gas Transmission Revenue Res</w:t>
      </w:r>
      <w:r>
        <w:t>e</w:t>
      </w:r>
      <w:r w:rsidRPr="007B1EFF">
        <w:t>t, June 2012</w:t>
      </w:r>
      <w:r>
        <w:t>, p17</w:t>
      </w:r>
      <w:r w:rsidRPr="007B1EFF">
        <w:t xml:space="preserve">. </w:t>
      </w:r>
    </w:p>
  </w:footnote>
  <w:footnote w:id="25">
    <w:p w:rsidR="0079718F" w:rsidRDefault="0079718F" w:rsidP="00DB0A6C">
      <w:pPr>
        <w:pStyle w:val="FootnoteText"/>
      </w:pPr>
      <w:r w:rsidRPr="009B5380">
        <w:rPr>
          <w:rStyle w:val="FootnoteReference"/>
        </w:rPr>
        <w:footnoteRef/>
      </w:r>
      <w:r w:rsidRPr="009B5380">
        <w:t xml:space="preserve"> </w:t>
      </w:r>
      <w:r w:rsidRPr="009B5380">
        <w:tab/>
      </w:r>
      <w:hyperlink r:id="rId2" w:history="1">
        <w:r w:rsidRPr="00671318">
          <w:rPr>
            <w:rStyle w:val="Hyperlink"/>
          </w:rPr>
          <w:t>http://www.aer.gov.au/sites/default/files/AER%20Better%20regulation%20issues%20paper%20-%20December%202012_13.pdf</w:t>
        </w:r>
      </w:hyperlink>
    </w:p>
  </w:footnote>
  <w:footnote w:id="26">
    <w:p w:rsidR="0079718F" w:rsidRDefault="0079718F" w:rsidP="00AB6E3E">
      <w:pPr>
        <w:pStyle w:val="FootnoteText"/>
      </w:pPr>
      <w:r>
        <w:rPr>
          <w:rStyle w:val="FootnoteReference"/>
        </w:rPr>
        <w:footnoteRef/>
      </w:r>
      <w:r>
        <w:t xml:space="preserve"> NEL, s.28ZB(2).</w:t>
      </w:r>
    </w:p>
  </w:footnote>
  <w:footnote w:id="27">
    <w:p w:rsidR="0079718F" w:rsidRDefault="0079718F" w:rsidP="00AB6E3E">
      <w:pPr>
        <w:pStyle w:val="FootnoteText"/>
      </w:pPr>
      <w:r>
        <w:rPr>
          <w:rStyle w:val="FootnoteReference"/>
        </w:rPr>
        <w:footnoteRef/>
      </w:r>
      <w:r>
        <w:t xml:space="preserve"> </w:t>
      </w:r>
      <w:r w:rsidRPr="00F915BE">
        <w:t>NEL</w:t>
      </w:r>
      <w:r>
        <w:t>, s.28ZB(5).</w:t>
      </w:r>
    </w:p>
  </w:footnote>
  <w:footnote w:id="28">
    <w:p w:rsidR="0079718F" w:rsidRDefault="0079718F" w:rsidP="00AB6E3E">
      <w:pPr>
        <w:pStyle w:val="FootnoteText"/>
      </w:pPr>
      <w:r>
        <w:rPr>
          <w:rStyle w:val="FootnoteReference"/>
        </w:rPr>
        <w:footnoteRef/>
      </w:r>
      <w:r>
        <w:t xml:space="preserve"> </w:t>
      </w:r>
      <w:r w:rsidRPr="00F915BE">
        <w:t>NEL</w:t>
      </w:r>
      <w:r>
        <w:t>, s.28ZB(6).</w:t>
      </w:r>
    </w:p>
  </w:footnote>
  <w:footnote w:id="29">
    <w:p w:rsidR="0079718F" w:rsidRDefault="0079718F" w:rsidP="00F824B7">
      <w:pPr>
        <w:pStyle w:val="FootnoteText"/>
      </w:pPr>
      <w:r>
        <w:rPr>
          <w:rStyle w:val="FootnoteReference"/>
        </w:rPr>
        <w:footnoteRef/>
      </w:r>
      <w:r>
        <w:t xml:space="preserve"> NEL, s.71S(4). A NSP has within five business days after the date of the further disclosure notice to seek merits review of our further disclosure notice.</w:t>
      </w:r>
    </w:p>
  </w:footnote>
  <w:footnote w:id="30">
    <w:p w:rsidR="0079718F" w:rsidRDefault="0079718F">
      <w:pPr>
        <w:pStyle w:val="FootnoteText"/>
      </w:pPr>
      <w:r>
        <w:rPr>
          <w:rStyle w:val="FootnoteReference"/>
        </w:rPr>
        <w:footnoteRef/>
      </w:r>
      <w:r>
        <w:t xml:space="preserve"> NEL. s.28ZB(1) and s.28ZB(8).</w:t>
      </w:r>
    </w:p>
  </w:footnote>
  <w:footnote w:id="31">
    <w:p w:rsidR="0079718F" w:rsidRDefault="0079718F" w:rsidP="00986676">
      <w:pPr>
        <w:pStyle w:val="FootnoteText"/>
      </w:pPr>
      <w:r>
        <w:rPr>
          <w:rStyle w:val="FootnoteReference"/>
        </w:rPr>
        <w:footnoteRef/>
      </w:r>
      <w:r>
        <w:t xml:space="preserve"> NER, cl. 6.14A(b), cl. 6A.16A(b)</w:t>
      </w:r>
      <w:r w:rsidR="00CE6EC5">
        <w:t>.</w:t>
      </w:r>
    </w:p>
  </w:footnote>
  <w:footnote w:id="32">
    <w:p w:rsidR="0079718F" w:rsidRDefault="0079718F" w:rsidP="003161E8">
      <w:pPr>
        <w:pStyle w:val="FootnoteText"/>
      </w:pPr>
      <w:r>
        <w:rPr>
          <w:rStyle w:val="FootnoteReference"/>
        </w:rPr>
        <w:footnoteRef/>
      </w:r>
      <w:r>
        <w:t xml:space="preserve"> NER, cl.6.9.2A(b) &amp; cl.6A.11.2A(b). </w:t>
      </w:r>
    </w:p>
  </w:footnote>
  <w:footnote w:id="33">
    <w:p w:rsidR="0079718F" w:rsidRDefault="0079718F" w:rsidP="003161E8">
      <w:pPr>
        <w:pStyle w:val="FootnoteText"/>
      </w:pPr>
      <w:r>
        <w:rPr>
          <w:rStyle w:val="FootnoteReference"/>
        </w:rPr>
        <w:footnoteRef/>
      </w:r>
      <w:r>
        <w:t xml:space="preserve"> NER, cl.6.10.3(c1)(2) &amp; cl.6A.12.3(e1)(2). </w:t>
      </w:r>
    </w:p>
  </w:footnote>
  <w:footnote w:id="34">
    <w:p w:rsidR="0079718F" w:rsidRDefault="0079718F" w:rsidP="004F7B4C">
      <w:pPr>
        <w:pStyle w:val="FootnoteText"/>
      </w:pPr>
      <w:r>
        <w:rPr>
          <w:rStyle w:val="FootnoteReference"/>
        </w:rPr>
        <w:footnoteRef/>
      </w:r>
      <w:r>
        <w:t xml:space="preserve"> NER, cl.6.9.2A(b) &amp; cl.6A.11.2A(b). </w:t>
      </w:r>
    </w:p>
  </w:footnote>
  <w:footnote w:id="35">
    <w:p w:rsidR="0079718F" w:rsidRDefault="0079718F" w:rsidP="004F7B4C">
      <w:pPr>
        <w:pStyle w:val="FootnoteText"/>
      </w:pPr>
      <w:r>
        <w:rPr>
          <w:rStyle w:val="FootnoteReference"/>
        </w:rPr>
        <w:footnoteRef/>
      </w:r>
      <w:r>
        <w:t xml:space="preserve"> NER, cl.6.10.3(c1)(2) &amp; cl.6A.12.3(e1)(2). </w:t>
      </w:r>
    </w:p>
  </w:footnote>
  <w:footnote w:id="36">
    <w:p w:rsidR="0079718F" w:rsidRDefault="0079718F">
      <w:pPr>
        <w:pStyle w:val="FootnoteText"/>
      </w:pPr>
      <w:r>
        <w:rPr>
          <w:rStyle w:val="FootnoteReference"/>
        </w:rPr>
        <w:footnoteRef/>
      </w:r>
      <w:r>
        <w:t xml:space="preserve"> </w:t>
      </w:r>
      <w:r w:rsidRPr="001F20D8">
        <w:t xml:space="preserve">ACCC-AER information policy: the collection, use and disclosure of information, 23 October 2008, available at </w:t>
      </w:r>
      <w:hyperlink r:id="rId3" w:history="1">
        <w:r w:rsidRPr="003E43D0">
          <w:rPr>
            <w:rStyle w:val="Hyperlink"/>
          </w:rPr>
          <w:t>www.aer.gov.au</w:t>
        </w:r>
      </w:hyperlink>
      <w:r>
        <w:t>.</w:t>
      </w:r>
    </w:p>
  </w:footnote>
  <w:footnote w:id="37">
    <w:p w:rsidR="0079718F" w:rsidRDefault="0079718F" w:rsidP="00080100">
      <w:pPr>
        <w:pStyle w:val="FootnoteText"/>
      </w:pPr>
      <w:r>
        <w:rPr>
          <w:rStyle w:val="FootnoteReference"/>
        </w:rPr>
        <w:footnoteRef/>
      </w:r>
      <w:r>
        <w:t xml:space="preserve"> NEL, s.28ZB</w:t>
      </w:r>
      <w:r w:rsidR="0022377E">
        <w:t>.</w:t>
      </w:r>
      <w:r>
        <w:t xml:space="preserve"> </w:t>
      </w:r>
    </w:p>
  </w:footnote>
  <w:footnote w:id="38">
    <w:p w:rsidR="0079718F" w:rsidRDefault="0079718F">
      <w:pPr>
        <w:pStyle w:val="FootnoteText"/>
      </w:pPr>
      <w:r>
        <w:rPr>
          <w:rStyle w:val="FootnoteReference"/>
        </w:rPr>
        <w:footnoteRef/>
      </w:r>
      <w:r>
        <w:t xml:space="preserve"> NER, cl. 6.9.1(a), cl. 6A.11.1(a)</w:t>
      </w:r>
    </w:p>
  </w:footnote>
  <w:footnote w:id="39">
    <w:p w:rsidR="0079718F" w:rsidRDefault="0079718F" w:rsidP="00D761B4">
      <w:pPr>
        <w:pStyle w:val="FootnoteText"/>
        <w:ind w:left="0" w:firstLine="0"/>
      </w:pPr>
      <w:r>
        <w:rPr>
          <w:rStyle w:val="FootnoteReference"/>
        </w:rPr>
        <w:footnoteRef/>
      </w:r>
      <w:r>
        <w:t xml:space="preserve"> There may be alternative bases for disclosing the information (e</w:t>
      </w:r>
      <w:r w:rsidR="00B769DF">
        <w:t>.</w:t>
      </w:r>
      <w:r>
        <w:t>g</w:t>
      </w:r>
      <w:r w:rsidR="00B769DF">
        <w:t>.</w:t>
      </w:r>
      <w:r>
        <w:t xml:space="preserve"> if the information is already in the public domain, we may disclos</w:t>
      </w:r>
      <w:r w:rsidR="00B769DF">
        <w:t xml:space="preserve">e it under s.28ZA of the NEL). </w:t>
      </w:r>
      <w:r>
        <w:t>If we are considering disclosure under the 28ZB test</w:t>
      </w:r>
      <w:r>
        <w:rPr>
          <w:szCs w:val="16"/>
        </w:rPr>
        <w:t xml:space="preserve"> and </w:t>
      </w:r>
      <w:r w:rsidRPr="003738AC">
        <w:rPr>
          <w:szCs w:val="16"/>
        </w:rPr>
        <w:t>the person who gave the information</w:t>
      </w:r>
      <w:r>
        <w:rPr>
          <w:szCs w:val="16"/>
        </w:rPr>
        <w:t xml:space="preserve"> in confidence</w:t>
      </w:r>
      <w:r>
        <w:rPr>
          <w:rStyle w:val="AERbody"/>
          <w:sz w:val="16"/>
          <w:szCs w:val="16"/>
        </w:rPr>
        <w:t xml:space="preserve"> </w:t>
      </w:r>
      <w:r w:rsidRPr="003738AC">
        <w:rPr>
          <w:szCs w:val="16"/>
        </w:rPr>
        <w:t>in turn received the</w:t>
      </w:r>
      <w:r>
        <w:rPr>
          <w:szCs w:val="16"/>
        </w:rPr>
        <w:t xml:space="preserve"> information from another person,</w:t>
      </w:r>
      <w:r w:rsidRPr="003738AC">
        <w:rPr>
          <w:szCs w:val="16"/>
        </w:rPr>
        <w:t xml:space="preserve"> and </w:t>
      </w:r>
      <w:r>
        <w:rPr>
          <w:szCs w:val="16"/>
        </w:rPr>
        <w:t>we are</w:t>
      </w:r>
      <w:r w:rsidRPr="003738AC">
        <w:rPr>
          <w:szCs w:val="16"/>
        </w:rPr>
        <w:t xml:space="preserve"> aware of that other person’s identity</w:t>
      </w:r>
      <w:r>
        <w:rPr>
          <w:szCs w:val="16"/>
        </w:rPr>
        <w:t xml:space="preserve"> and address,</w:t>
      </w:r>
      <w:r w:rsidRPr="003738AC">
        <w:rPr>
          <w:szCs w:val="16"/>
        </w:rPr>
        <w:t xml:space="preserve"> </w:t>
      </w:r>
      <w:r>
        <w:rPr>
          <w:szCs w:val="16"/>
        </w:rPr>
        <w:t>we</w:t>
      </w:r>
      <w:r w:rsidRPr="003738AC">
        <w:rPr>
          <w:szCs w:val="16"/>
        </w:rPr>
        <w:t xml:space="preserve"> must, before disclosing the </w:t>
      </w:r>
      <w:r>
        <w:rPr>
          <w:szCs w:val="16"/>
        </w:rPr>
        <w:t>information give that other person a notice in accordance with s28ZB(3).</w:t>
      </w:r>
      <w:r>
        <w:t xml:space="preserve"> For example, where a DNSP submits its initial revenue proposal which includes a report from its auditor and the auditor has made a blanket confiden</w:t>
      </w:r>
      <w:r w:rsidR="00B769DF">
        <w:t xml:space="preserve">tiality claim over its report, </w:t>
      </w:r>
      <w:r>
        <w:t xml:space="preserve">for us to disclose the auditor’s report, we must initiate the 28ZB test and issue the auditor with an initial disclosure notice. </w:t>
      </w:r>
    </w:p>
  </w:footnote>
  <w:footnote w:id="40">
    <w:p w:rsidR="0079718F" w:rsidRDefault="0079718F" w:rsidP="00B06980">
      <w:pPr>
        <w:pStyle w:val="FootnoteText"/>
      </w:pPr>
      <w:r>
        <w:rPr>
          <w:rStyle w:val="FootnoteReference"/>
        </w:rPr>
        <w:footnoteRef/>
      </w:r>
      <w:r>
        <w:t xml:space="preserve"> </w:t>
      </w:r>
      <w:r>
        <w:tab/>
      </w:r>
      <w:hyperlink r:id="rId4" w:history="1">
        <w:r w:rsidRPr="00012AEB">
          <w:rPr>
            <w:rStyle w:val="Hyperlink"/>
          </w:rPr>
          <w:t>http://www.aer.gov.au/node/18824</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F" w:rsidRDefault="0079718F"/>
  <w:p w:rsidR="0079718F" w:rsidRDefault="0079718F"/>
  <w:p w:rsidR="0079718F" w:rsidRDefault="0079718F"/>
  <w:p w:rsidR="0079718F" w:rsidRDefault="0079718F"/>
  <w:p w:rsidR="0079718F" w:rsidRDefault="0079718F"/>
  <w:p w:rsidR="0079718F" w:rsidRDefault="0079718F"/>
  <w:p w:rsidR="0079718F" w:rsidRDefault="007971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F" w:rsidRDefault="0079718F"/>
  <w:p w:rsidR="0079718F" w:rsidRDefault="007971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851"/>
        </w:tabs>
        <w:ind w:left="851"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start w:val="1"/>
      <w:numFmt w:val="bullet"/>
      <w:pStyle w:val="AERbulletlistthirdstyle"/>
      <w:lvlText w:val=""/>
      <w:lvlJc w:val="left"/>
      <w:pPr>
        <w:ind w:left="1077" w:hanging="360"/>
      </w:pPr>
      <w:rPr>
        <w:rFonts w:ascii="Wingdings" w:hAnsi="Wingdings"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start w:val="1"/>
      <w:numFmt w:val="bullet"/>
      <w:pStyle w:val="AERbulletlistfirststyle"/>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3F74CB"/>
    <w:multiLevelType w:val="hybridMultilevel"/>
    <w:tmpl w:val="5FB40038"/>
    <w:lvl w:ilvl="0" w:tplc="B336B1FC">
      <w:start w:val="1"/>
      <w:numFmt w:val="decimal"/>
      <w:lvlText w:val="%1."/>
      <w:lvlJc w:val="left"/>
      <w:pPr>
        <w:tabs>
          <w:tab w:val="num" w:pos="357"/>
        </w:tabs>
        <w:ind w:left="357" w:hanging="357"/>
      </w:pPr>
      <w:rPr>
        <w:rFonts w:ascii="Gautami" w:hAnsi="Gautami"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6">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3604131"/>
    <w:multiLevelType w:val="multilevel"/>
    <w:tmpl w:val="1492709C"/>
    <w:numStyleLink w:val="AERHeadings"/>
  </w:abstractNum>
  <w:abstractNum w:abstractNumId="8">
    <w:nsid w:val="68986EB3"/>
    <w:multiLevelType w:val="hybridMultilevel"/>
    <w:tmpl w:val="281AF76E"/>
    <w:lvl w:ilvl="0" w:tplc="921A7DDA">
      <w:start w:val="1"/>
      <w:numFmt w:val="bullet"/>
      <w:lvlText w:val=""/>
      <w:lvlJc w:val="left"/>
      <w:pPr>
        <w:ind w:left="720" w:hanging="360"/>
      </w:pPr>
      <w:rPr>
        <w:rFonts w:ascii="Symbol" w:hAnsi="Symbol" w:hint="default"/>
      </w:rPr>
    </w:lvl>
    <w:lvl w:ilvl="1" w:tplc="6A7A61AE"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EA3AE1"/>
    <w:multiLevelType w:val="hybridMultilevel"/>
    <w:tmpl w:val="52969776"/>
    <w:lvl w:ilvl="0" w:tplc="0C090001">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0"/>
  </w:num>
  <w:num w:numId="6">
    <w:abstractNumId w:val="6"/>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lvlOverride w:ilvl="0">
      <w:startOverride w:val="1"/>
    </w:lvlOverride>
  </w:num>
  <w:num w:numId="11">
    <w:abstractNumId w:val="0"/>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664\D13 3409  Better Regulation Confidentiality Guidelines - Issues Paper - FINAL.DOC"/>
  </w:docVars>
  <w:rsids>
    <w:rsidRoot w:val="008C7A5E"/>
    <w:rsid w:val="000022E4"/>
    <w:rsid w:val="000040F4"/>
    <w:rsid w:val="00006D38"/>
    <w:rsid w:val="000077A3"/>
    <w:rsid w:val="0001284B"/>
    <w:rsid w:val="00013608"/>
    <w:rsid w:val="00013BC9"/>
    <w:rsid w:val="00013F72"/>
    <w:rsid w:val="000143B1"/>
    <w:rsid w:val="000214A2"/>
    <w:rsid w:val="00024363"/>
    <w:rsid w:val="000306C3"/>
    <w:rsid w:val="00031132"/>
    <w:rsid w:val="00031791"/>
    <w:rsid w:val="00032679"/>
    <w:rsid w:val="00040599"/>
    <w:rsid w:val="00040749"/>
    <w:rsid w:val="00041809"/>
    <w:rsid w:val="0004411B"/>
    <w:rsid w:val="000442F2"/>
    <w:rsid w:val="000467C2"/>
    <w:rsid w:val="000479DE"/>
    <w:rsid w:val="00050EB2"/>
    <w:rsid w:val="00052391"/>
    <w:rsid w:val="000550C3"/>
    <w:rsid w:val="0005590F"/>
    <w:rsid w:val="00056317"/>
    <w:rsid w:val="000578B9"/>
    <w:rsid w:val="00057CFB"/>
    <w:rsid w:val="0006041C"/>
    <w:rsid w:val="00060DB3"/>
    <w:rsid w:val="00061902"/>
    <w:rsid w:val="00064F9D"/>
    <w:rsid w:val="0006644C"/>
    <w:rsid w:val="000664C9"/>
    <w:rsid w:val="00066BB7"/>
    <w:rsid w:val="0006733A"/>
    <w:rsid w:val="00070882"/>
    <w:rsid w:val="00072D68"/>
    <w:rsid w:val="00075648"/>
    <w:rsid w:val="00076E90"/>
    <w:rsid w:val="000770E2"/>
    <w:rsid w:val="000778E1"/>
    <w:rsid w:val="00077DEC"/>
    <w:rsid w:val="00080100"/>
    <w:rsid w:val="00091AC5"/>
    <w:rsid w:val="00094EA8"/>
    <w:rsid w:val="0009634C"/>
    <w:rsid w:val="00096EAE"/>
    <w:rsid w:val="00097148"/>
    <w:rsid w:val="000A0B87"/>
    <w:rsid w:val="000A1CC2"/>
    <w:rsid w:val="000A5342"/>
    <w:rsid w:val="000A7403"/>
    <w:rsid w:val="000B0A87"/>
    <w:rsid w:val="000B15CA"/>
    <w:rsid w:val="000B2181"/>
    <w:rsid w:val="000B273B"/>
    <w:rsid w:val="000B35CD"/>
    <w:rsid w:val="000B36C2"/>
    <w:rsid w:val="000B376A"/>
    <w:rsid w:val="000B3ADF"/>
    <w:rsid w:val="000B4397"/>
    <w:rsid w:val="000B4C8E"/>
    <w:rsid w:val="000C052F"/>
    <w:rsid w:val="000C3430"/>
    <w:rsid w:val="000D03C2"/>
    <w:rsid w:val="000D04B1"/>
    <w:rsid w:val="000D0F90"/>
    <w:rsid w:val="000D2661"/>
    <w:rsid w:val="000D4DC5"/>
    <w:rsid w:val="000D663A"/>
    <w:rsid w:val="000D7918"/>
    <w:rsid w:val="000E0F32"/>
    <w:rsid w:val="000E1D9F"/>
    <w:rsid w:val="000E38DB"/>
    <w:rsid w:val="000E3A28"/>
    <w:rsid w:val="000E3A3A"/>
    <w:rsid w:val="000E4DF2"/>
    <w:rsid w:val="000E5649"/>
    <w:rsid w:val="000E66F9"/>
    <w:rsid w:val="000E7EEF"/>
    <w:rsid w:val="000F139F"/>
    <w:rsid w:val="000F1ABC"/>
    <w:rsid w:val="000F266E"/>
    <w:rsid w:val="000F337A"/>
    <w:rsid w:val="000F370D"/>
    <w:rsid w:val="000F3A6A"/>
    <w:rsid w:val="000F3A71"/>
    <w:rsid w:val="000F3D08"/>
    <w:rsid w:val="000F4A23"/>
    <w:rsid w:val="000F5150"/>
    <w:rsid w:val="000F53F8"/>
    <w:rsid w:val="000F6880"/>
    <w:rsid w:val="000F7F90"/>
    <w:rsid w:val="0010093B"/>
    <w:rsid w:val="00102CB6"/>
    <w:rsid w:val="001033B3"/>
    <w:rsid w:val="00104830"/>
    <w:rsid w:val="001048EA"/>
    <w:rsid w:val="00105636"/>
    <w:rsid w:val="00110D6F"/>
    <w:rsid w:val="00112F71"/>
    <w:rsid w:val="00115097"/>
    <w:rsid w:val="0012024B"/>
    <w:rsid w:val="00125BA0"/>
    <w:rsid w:val="00126722"/>
    <w:rsid w:val="00130229"/>
    <w:rsid w:val="0013361D"/>
    <w:rsid w:val="00133A12"/>
    <w:rsid w:val="001342BC"/>
    <w:rsid w:val="001379E5"/>
    <w:rsid w:val="00141F90"/>
    <w:rsid w:val="00142109"/>
    <w:rsid w:val="00143F1E"/>
    <w:rsid w:val="001448BC"/>
    <w:rsid w:val="00146499"/>
    <w:rsid w:val="001468B4"/>
    <w:rsid w:val="00150165"/>
    <w:rsid w:val="001528D9"/>
    <w:rsid w:val="001534BB"/>
    <w:rsid w:val="00153D1A"/>
    <w:rsid w:val="001543D2"/>
    <w:rsid w:val="001545CE"/>
    <w:rsid w:val="00156F3D"/>
    <w:rsid w:val="00160D91"/>
    <w:rsid w:val="0016120B"/>
    <w:rsid w:val="00165A0A"/>
    <w:rsid w:val="0016674B"/>
    <w:rsid w:val="00167B61"/>
    <w:rsid w:val="0017023A"/>
    <w:rsid w:val="00172FCA"/>
    <w:rsid w:val="00174026"/>
    <w:rsid w:val="0017533E"/>
    <w:rsid w:val="00177160"/>
    <w:rsid w:val="00181E0B"/>
    <w:rsid w:val="001825B9"/>
    <w:rsid w:val="00182706"/>
    <w:rsid w:val="001833D1"/>
    <w:rsid w:val="001856EE"/>
    <w:rsid w:val="00185FD6"/>
    <w:rsid w:val="0018680C"/>
    <w:rsid w:val="001868D2"/>
    <w:rsid w:val="00187460"/>
    <w:rsid w:val="00190A14"/>
    <w:rsid w:val="00191E62"/>
    <w:rsid w:val="00192901"/>
    <w:rsid w:val="00192970"/>
    <w:rsid w:val="00194C3C"/>
    <w:rsid w:val="00197C0F"/>
    <w:rsid w:val="001A02BC"/>
    <w:rsid w:val="001A1CA2"/>
    <w:rsid w:val="001A228E"/>
    <w:rsid w:val="001A46CE"/>
    <w:rsid w:val="001A47E6"/>
    <w:rsid w:val="001A4D1E"/>
    <w:rsid w:val="001B0B16"/>
    <w:rsid w:val="001B1894"/>
    <w:rsid w:val="001B1E73"/>
    <w:rsid w:val="001B46C6"/>
    <w:rsid w:val="001B71D0"/>
    <w:rsid w:val="001C12E5"/>
    <w:rsid w:val="001C1758"/>
    <w:rsid w:val="001C1909"/>
    <w:rsid w:val="001C1E4A"/>
    <w:rsid w:val="001C5A67"/>
    <w:rsid w:val="001C65A5"/>
    <w:rsid w:val="001C6F63"/>
    <w:rsid w:val="001C7DCC"/>
    <w:rsid w:val="001C7FD9"/>
    <w:rsid w:val="001D41F1"/>
    <w:rsid w:val="001D4AF3"/>
    <w:rsid w:val="001D4E1E"/>
    <w:rsid w:val="001E001D"/>
    <w:rsid w:val="001E0062"/>
    <w:rsid w:val="001E1218"/>
    <w:rsid w:val="001E1D69"/>
    <w:rsid w:val="001E2881"/>
    <w:rsid w:val="001E337C"/>
    <w:rsid w:val="001E35CB"/>
    <w:rsid w:val="001E432E"/>
    <w:rsid w:val="001E571F"/>
    <w:rsid w:val="001E5C66"/>
    <w:rsid w:val="001E6B41"/>
    <w:rsid w:val="001F1010"/>
    <w:rsid w:val="001F11B1"/>
    <w:rsid w:val="001F20D8"/>
    <w:rsid w:val="001F21B1"/>
    <w:rsid w:val="001F34E3"/>
    <w:rsid w:val="001F5AEE"/>
    <w:rsid w:val="00201883"/>
    <w:rsid w:val="0020276B"/>
    <w:rsid w:val="0020436F"/>
    <w:rsid w:val="00205650"/>
    <w:rsid w:val="002063D2"/>
    <w:rsid w:val="0020711E"/>
    <w:rsid w:val="002074CB"/>
    <w:rsid w:val="00210880"/>
    <w:rsid w:val="002133CA"/>
    <w:rsid w:val="00214CC5"/>
    <w:rsid w:val="002157F5"/>
    <w:rsid w:val="00221B41"/>
    <w:rsid w:val="00222085"/>
    <w:rsid w:val="0022377E"/>
    <w:rsid w:val="002257B9"/>
    <w:rsid w:val="00225D4E"/>
    <w:rsid w:val="00225E8C"/>
    <w:rsid w:val="00225FD1"/>
    <w:rsid w:val="00226EEC"/>
    <w:rsid w:val="00227548"/>
    <w:rsid w:val="002301D2"/>
    <w:rsid w:val="00230E96"/>
    <w:rsid w:val="00231162"/>
    <w:rsid w:val="0023137D"/>
    <w:rsid w:val="00231A00"/>
    <w:rsid w:val="0023210E"/>
    <w:rsid w:val="002335B7"/>
    <w:rsid w:val="00234244"/>
    <w:rsid w:val="00234A80"/>
    <w:rsid w:val="00234EFC"/>
    <w:rsid w:val="002355F5"/>
    <w:rsid w:val="00240B5B"/>
    <w:rsid w:val="00245403"/>
    <w:rsid w:val="002464CA"/>
    <w:rsid w:val="00247900"/>
    <w:rsid w:val="00251273"/>
    <w:rsid w:val="0025188B"/>
    <w:rsid w:val="00251B4C"/>
    <w:rsid w:val="00253BB2"/>
    <w:rsid w:val="002541E9"/>
    <w:rsid w:val="002555E8"/>
    <w:rsid w:val="00256422"/>
    <w:rsid w:val="00256BD5"/>
    <w:rsid w:val="00256F03"/>
    <w:rsid w:val="0026096B"/>
    <w:rsid w:val="00262D3B"/>
    <w:rsid w:val="00264581"/>
    <w:rsid w:val="002665E9"/>
    <w:rsid w:val="00266710"/>
    <w:rsid w:val="0027100D"/>
    <w:rsid w:val="0027185E"/>
    <w:rsid w:val="00273129"/>
    <w:rsid w:val="002739D0"/>
    <w:rsid w:val="0027467A"/>
    <w:rsid w:val="00276E97"/>
    <w:rsid w:val="00277559"/>
    <w:rsid w:val="00287D31"/>
    <w:rsid w:val="00290DFB"/>
    <w:rsid w:val="002938CE"/>
    <w:rsid w:val="002974E7"/>
    <w:rsid w:val="002A1BA3"/>
    <w:rsid w:val="002A21D5"/>
    <w:rsid w:val="002A2ECF"/>
    <w:rsid w:val="002A577F"/>
    <w:rsid w:val="002A5B3C"/>
    <w:rsid w:val="002A6CC5"/>
    <w:rsid w:val="002B185C"/>
    <w:rsid w:val="002B27B6"/>
    <w:rsid w:val="002B3BD0"/>
    <w:rsid w:val="002B45C0"/>
    <w:rsid w:val="002B6640"/>
    <w:rsid w:val="002B7A3A"/>
    <w:rsid w:val="002C1415"/>
    <w:rsid w:val="002C1675"/>
    <w:rsid w:val="002C1DBE"/>
    <w:rsid w:val="002C1F80"/>
    <w:rsid w:val="002C2ED4"/>
    <w:rsid w:val="002C6E28"/>
    <w:rsid w:val="002D015E"/>
    <w:rsid w:val="002D135D"/>
    <w:rsid w:val="002D61AC"/>
    <w:rsid w:val="002D6510"/>
    <w:rsid w:val="002D7531"/>
    <w:rsid w:val="002E108F"/>
    <w:rsid w:val="002E12C3"/>
    <w:rsid w:val="002E3625"/>
    <w:rsid w:val="002E3D08"/>
    <w:rsid w:val="002E400B"/>
    <w:rsid w:val="002E40A0"/>
    <w:rsid w:val="002E4CF5"/>
    <w:rsid w:val="002F0EE4"/>
    <w:rsid w:val="002F28A2"/>
    <w:rsid w:val="002F4105"/>
    <w:rsid w:val="002F7E14"/>
    <w:rsid w:val="00300AF4"/>
    <w:rsid w:val="00300FD2"/>
    <w:rsid w:val="0030194D"/>
    <w:rsid w:val="00303452"/>
    <w:rsid w:val="00305096"/>
    <w:rsid w:val="00305A04"/>
    <w:rsid w:val="00305B9E"/>
    <w:rsid w:val="003109E1"/>
    <w:rsid w:val="00311CDE"/>
    <w:rsid w:val="00312D57"/>
    <w:rsid w:val="003131E6"/>
    <w:rsid w:val="003161E8"/>
    <w:rsid w:val="0031664F"/>
    <w:rsid w:val="00322A94"/>
    <w:rsid w:val="00330829"/>
    <w:rsid w:val="003324F7"/>
    <w:rsid w:val="00332569"/>
    <w:rsid w:val="003328E1"/>
    <w:rsid w:val="003340A5"/>
    <w:rsid w:val="003344AF"/>
    <w:rsid w:val="00334578"/>
    <w:rsid w:val="0033471C"/>
    <w:rsid w:val="00334F88"/>
    <w:rsid w:val="00336908"/>
    <w:rsid w:val="00340C69"/>
    <w:rsid w:val="0034136D"/>
    <w:rsid w:val="00341A3F"/>
    <w:rsid w:val="003438C2"/>
    <w:rsid w:val="00343D85"/>
    <w:rsid w:val="003451AA"/>
    <w:rsid w:val="003473C0"/>
    <w:rsid w:val="00347F26"/>
    <w:rsid w:val="003506D9"/>
    <w:rsid w:val="00351AD1"/>
    <w:rsid w:val="00352D53"/>
    <w:rsid w:val="00352FF2"/>
    <w:rsid w:val="00353462"/>
    <w:rsid w:val="00354651"/>
    <w:rsid w:val="00354EFD"/>
    <w:rsid w:val="003550B0"/>
    <w:rsid w:val="0035595D"/>
    <w:rsid w:val="0035603A"/>
    <w:rsid w:val="003573D7"/>
    <w:rsid w:val="003616C2"/>
    <w:rsid w:val="00361EA4"/>
    <w:rsid w:val="00362F91"/>
    <w:rsid w:val="003641A4"/>
    <w:rsid w:val="00364CBC"/>
    <w:rsid w:val="003656C1"/>
    <w:rsid w:val="00367854"/>
    <w:rsid w:val="003707DB"/>
    <w:rsid w:val="00370AD8"/>
    <w:rsid w:val="003738AC"/>
    <w:rsid w:val="00375AEC"/>
    <w:rsid w:val="00376236"/>
    <w:rsid w:val="0037652C"/>
    <w:rsid w:val="003800E4"/>
    <w:rsid w:val="00380FF5"/>
    <w:rsid w:val="00381C33"/>
    <w:rsid w:val="0038204D"/>
    <w:rsid w:val="0038703B"/>
    <w:rsid w:val="00387305"/>
    <w:rsid w:val="003925BF"/>
    <w:rsid w:val="00393841"/>
    <w:rsid w:val="00394909"/>
    <w:rsid w:val="00395E6E"/>
    <w:rsid w:val="003A0ADA"/>
    <w:rsid w:val="003A16F3"/>
    <w:rsid w:val="003A296B"/>
    <w:rsid w:val="003A4599"/>
    <w:rsid w:val="003A6174"/>
    <w:rsid w:val="003A701C"/>
    <w:rsid w:val="003A7548"/>
    <w:rsid w:val="003B2A35"/>
    <w:rsid w:val="003B7539"/>
    <w:rsid w:val="003C629E"/>
    <w:rsid w:val="003C6FBF"/>
    <w:rsid w:val="003D1275"/>
    <w:rsid w:val="003D13BD"/>
    <w:rsid w:val="003D1F90"/>
    <w:rsid w:val="003D38F2"/>
    <w:rsid w:val="003D5E96"/>
    <w:rsid w:val="003D6B07"/>
    <w:rsid w:val="003E0485"/>
    <w:rsid w:val="003E2FFB"/>
    <w:rsid w:val="003E3A5F"/>
    <w:rsid w:val="003E3DDD"/>
    <w:rsid w:val="003E4E85"/>
    <w:rsid w:val="003E7315"/>
    <w:rsid w:val="003F06ED"/>
    <w:rsid w:val="003F0A6E"/>
    <w:rsid w:val="003F5BB1"/>
    <w:rsid w:val="003F638F"/>
    <w:rsid w:val="003F7B83"/>
    <w:rsid w:val="004030AB"/>
    <w:rsid w:val="00403447"/>
    <w:rsid w:val="0040552E"/>
    <w:rsid w:val="004063F4"/>
    <w:rsid w:val="00407B0F"/>
    <w:rsid w:val="00412282"/>
    <w:rsid w:val="00412FD0"/>
    <w:rsid w:val="00414F1E"/>
    <w:rsid w:val="00416776"/>
    <w:rsid w:val="0042060C"/>
    <w:rsid w:val="00420FEA"/>
    <w:rsid w:val="004216B4"/>
    <w:rsid w:val="00423C49"/>
    <w:rsid w:val="00424EA7"/>
    <w:rsid w:val="004256BA"/>
    <w:rsid w:val="004262ED"/>
    <w:rsid w:val="004279D8"/>
    <w:rsid w:val="004315CE"/>
    <w:rsid w:val="00431999"/>
    <w:rsid w:val="00435362"/>
    <w:rsid w:val="00435682"/>
    <w:rsid w:val="00435831"/>
    <w:rsid w:val="00442915"/>
    <w:rsid w:val="0044679D"/>
    <w:rsid w:val="00446C5B"/>
    <w:rsid w:val="00447392"/>
    <w:rsid w:val="00450208"/>
    <w:rsid w:val="00454A51"/>
    <w:rsid w:val="004557FD"/>
    <w:rsid w:val="0045636D"/>
    <w:rsid w:val="00457D70"/>
    <w:rsid w:val="004608A8"/>
    <w:rsid w:val="004621EC"/>
    <w:rsid w:val="00464F5D"/>
    <w:rsid w:val="004662E0"/>
    <w:rsid w:val="00466516"/>
    <w:rsid w:val="00466F8A"/>
    <w:rsid w:val="004701A2"/>
    <w:rsid w:val="0047151D"/>
    <w:rsid w:val="00471F3B"/>
    <w:rsid w:val="00474FBD"/>
    <w:rsid w:val="004753E9"/>
    <w:rsid w:val="0047577D"/>
    <w:rsid w:val="004772AB"/>
    <w:rsid w:val="0048029A"/>
    <w:rsid w:val="0048312F"/>
    <w:rsid w:val="00485337"/>
    <w:rsid w:val="00485512"/>
    <w:rsid w:val="0048688A"/>
    <w:rsid w:val="00491236"/>
    <w:rsid w:val="00491D7D"/>
    <w:rsid w:val="00492A96"/>
    <w:rsid w:val="0049686F"/>
    <w:rsid w:val="0049759E"/>
    <w:rsid w:val="004A030F"/>
    <w:rsid w:val="004A196A"/>
    <w:rsid w:val="004A3D86"/>
    <w:rsid w:val="004A437E"/>
    <w:rsid w:val="004A45D6"/>
    <w:rsid w:val="004A667D"/>
    <w:rsid w:val="004A75B0"/>
    <w:rsid w:val="004B0C5B"/>
    <w:rsid w:val="004B18D4"/>
    <w:rsid w:val="004B21C9"/>
    <w:rsid w:val="004B2D57"/>
    <w:rsid w:val="004C079D"/>
    <w:rsid w:val="004C2E24"/>
    <w:rsid w:val="004C3F45"/>
    <w:rsid w:val="004C479E"/>
    <w:rsid w:val="004C5DC2"/>
    <w:rsid w:val="004C5F2A"/>
    <w:rsid w:val="004D04E7"/>
    <w:rsid w:val="004D0E84"/>
    <w:rsid w:val="004D131A"/>
    <w:rsid w:val="004D159A"/>
    <w:rsid w:val="004D1837"/>
    <w:rsid w:val="004D199E"/>
    <w:rsid w:val="004D5A60"/>
    <w:rsid w:val="004D5F3B"/>
    <w:rsid w:val="004D5FF3"/>
    <w:rsid w:val="004D6888"/>
    <w:rsid w:val="004D6E17"/>
    <w:rsid w:val="004D6E88"/>
    <w:rsid w:val="004D7558"/>
    <w:rsid w:val="004E1962"/>
    <w:rsid w:val="004E28C6"/>
    <w:rsid w:val="004E40EF"/>
    <w:rsid w:val="004E44B4"/>
    <w:rsid w:val="004E5744"/>
    <w:rsid w:val="004E625B"/>
    <w:rsid w:val="004E62AD"/>
    <w:rsid w:val="004E6F21"/>
    <w:rsid w:val="004E719E"/>
    <w:rsid w:val="004F22CF"/>
    <w:rsid w:val="004F54D3"/>
    <w:rsid w:val="004F58F8"/>
    <w:rsid w:val="004F6F68"/>
    <w:rsid w:val="004F76A0"/>
    <w:rsid w:val="004F7B4C"/>
    <w:rsid w:val="004F7F4C"/>
    <w:rsid w:val="00500E7F"/>
    <w:rsid w:val="00502030"/>
    <w:rsid w:val="00502C01"/>
    <w:rsid w:val="0051027F"/>
    <w:rsid w:val="00510667"/>
    <w:rsid w:val="00512E44"/>
    <w:rsid w:val="0051607D"/>
    <w:rsid w:val="00517F58"/>
    <w:rsid w:val="00521317"/>
    <w:rsid w:val="0052179D"/>
    <w:rsid w:val="00523775"/>
    <w:rsid w:val="005249CE"/>
    <w:rsid w:val="00526EAC"/>
    <w:rsid w:val="0053182E"/>
    <w:rsid w:val="00532E04"/>
    <w:rsid w:val="00534BDD"/>
    <w:rsid w:val="00534F74"/>
    <w:rsid w:val="00536150"/>
    <w:rsid w:val="00537FE4"/>
    <w:rsid w:val="00540032"/>
    <w:rsid w:val="00542C91"/>
    <w:rsid w:val="00543DB6"/>
    <w:rsid w:val="0054428D"/>
    <w:rsid w:val="00544578"/>
    <w:rsid w:val="0054537D"/>
    <w:rsid w:val="005456A9"/>
    <w:rsid w:val="00547C2D"/>
    <w:rsid w:val="005540B7"/>
    <w:rsid w:val="00555D52"/>
    <w:rsid w:val="00556622"/>
    <w:rsid w:val="005566D7"/>
    <w:rsid w:val="00557A77"/>
    <w:rsid w:val="00560DA1"/>
    <w:rsid w:val="005619DE"/>
    <w:rsid w:val="00561F7F"/>
    <w:rsid w:val="00562BAE"/>
    <w:rsid w:val="00564575"/>
    <w:rsid w:val="00564620"/>
    <w:rsid w:val="005649CF"/>
    <w:rsid w:val="00564EFD"/>
    <w:rsid w:val="00566B35"/>
    <w:rsid w:val="005672A6"/>
    <w:rsid w:val="00571C8C"/>
    <w:rsid w:val="005732CC"/>
    <w:rsid w:val="00574D04"/>
    <w:rsid w:val="00575422"/>
    <w:rsid w:val="00582219"/>
    <w:rsid w:val="0058331A"/>
    <w:rsid w:val="00584739"/>
    <w:rsid w:val="00584CD8"/>
    <w:rsid w:val="00586DE9"/>
    <w:rsid w:val="00591A24"/>
    <w:rsid w:val="00592263"/>
    <w:rsid w:val="005938C6"/>
    <w:rsid w:val="0059443C"/>
    <w:rsid w:val="0059744D"/>
    <w:rsid w:val="005978D3"/>
    <w:rsid w:val="005A0B3D"/>
    <w:rsid w:val="005A0C04"/>
    <w:rsid w:val="005A1892"/>
    <w:rsid w:val="005A18C5"/>
    <w:rsid w:val="005A1A31"/>
    <w:rsid w:val="005A4012"/>
    <w:rsid w:val="005A6076"/>
    <w:rsid w:val="005A6E0E"/>
    <w:rsid w:val="005A7B66"/>
    <w:rsid w:val="005B0B6C"/>
    <w:rsid w:val="005B0F01"/>
    <w:rsid w:val="005B106F"/>
    <w:rsid w:val="005B3752"/>
    <w:rsid w:val="005B3B4F"/>
    <w:rsid w:val="005B3E13"/>
    <w:rsid w:val="005B446D"/>
    <w:rsid w:val="005B55C7"/>
    <w:rsid w:val="005C04B3"/>
    <w:rsid w:val="005C5D48"/>
    <w:rsid w:val="005C7438"/>
    <w:rsid w:val="005D04B7"/>
    <w:rsid w:val="005D13F5"/>
    <w:rsid w:val="005D26B7"/>
    <w:rsid w:val="005D352C"/>
    <w:rsid w:val="005D417D"/>
    <w:rsid w:val="005D4AA1"/>
    <w:rsid w:val="005D6AA3"/>
    <w:rsid w:val="005D7CD6"/>
    <w:rsid w:val="005E38B6"/>
    <w:rsid w:val="005E5580"/>
    <w:rsid w:val="005E7E97"/>
    <w:rsid w:val="005F1EBB"/>
    <w:rsid w:val="005F29F3"/>
    <w:rsid w:val="005F43CD"/>
    <w:rsid w:val="005F5A11"/>
    <w:rsid w:val="005F73EC"/>
    <w:rsid w:val="005F7697"/>
    <w:rsid w:val="005F7D1B"/>
    <w:rsid w:val="0060146C"/>
    <w:rsid w:val="00602B84"/>
    <w:rsid w:val="006039F2"/>
    <w:rsid w:val="00603E8B"/>
    <w:rsid w:val="006061B0"/>
    <w:rsid w:val="0060732E"/>
    <w:rsid w:val="006076A9"/>
    <w:rsid w:val="006109A3"/>
    <w:rsid w:val="00610D4E"/>
    <w:rsid w:val="006110D0"/>
    <w:rsid w:val="0061390B"/>
    <w:rsid w:val="006173EF"/>
    <w:rsid w:val="0061761A"/>
    <w:rsid w:val="00622A5A"/>
    <w:rsid w:val="00623E4A"/>
    <w:rsid w:val="00624BDC"/>
    <w:rsid w:val="00625659"/>
    <w:rsid w:val="00625A2F"/>
    <w:rsid w:val="00626643"/>
    <w:rsid w:val="00630E5C"/>
    <w:rsid w:val="00631B95"/>
    <w:rsid w:val="00633605"/>
    <w:rsid w:val="0063391E"/>
    <w:rsid w:val="00633BA1"/>
    <w:rsid w:val="006364E1"/>
    <w:rsid w:val="00636C59"/>
    <w:rsid w:val="00640889"/>
    <w:rsid w:val="00643285"/>
    <w:rsid w:val="00645914"/>
    <w:rsid w:val="00646952"/>
    <w:rsid w:val="00652CBC"/>
    <w:rsid w:val="006544EA"/>
    <w:rsid w:val="00655657"/>
    <w:rsid w:val="00655826"/>
    <w:rsid w:val="0065667D"/>
    <w:rsid w:val="006579EF"/>
    <w:rsid w:val="00657D36"/>
    <w:rsid w:val="006608DE"/>
    <w:rsid w:val="00660DE6"/>
    <w:rsid w:val="006612F1"/>
    <w:rsid w:val="006632CC"/>
    <w:rsid w:val="006650FC"/>
    <w:rsid w:val="0066569F"/>
    <w:rsid w:val="00665711"/>
    <w:rsid w:val="00665E38"/>
    <w:rsid w:val="00666FA7"/>
    <w:rsid w:val="00667991"/>
    <w:rsid w:val="006734F6"/>
    <w:rsid w:val="0067390D"/>
    <w:rsid w:val="00677258"/>
    <w:rsid w:val="0068088B"/>
    <w:rsid w:val="00680A54"/>
    <w:rsid w:val="006822AA"/>
    <w:rsid w:val="00683076"/>
    <w:rsid w:val="00684790"/>
    <w:rsid w:val="006868E2"/>
    <w:rsid w:val="00686DFA"/>
    <w:rsid w:val="006877B9"/>
    <w:rsid w:val="0069004B"/>
    <w:rsid w:val="00691F7F"/>
    <w:rsid w:val="006926BF"/>
    <w:rsid w:val="0069750E"/>
    <w:rsid w:val="006A05ED"/>
    <w:rsid w:val="006A1E36"/>
    <w:rsid w:val="006A4D1B"/>
    <w:rsid w:val="006A5CBB"/>
    <w:rsid w:val="006A6724"/>
    <w:rsid w:val="006B08EB"/>
    <w:rsid w:val="006B0DBF"/>
    <w:rsid w:val="006B14F1"/>
    <w:rsid w:val="006B4333"/>
    <w:rsid w:val="006B481F"/>
    <w:rsid w:val="006B4D98"/>
    <w:rsid w:val="006B5E82"/>
    <w:rsid w:val="006B6EAD"/>
    <w:rsid w:val="006C164A"/>
    <w:rsid w:val="006C3E9A"/>
    <w:rsid w:val="006D0BB8"/>
    <w:rsid w:val="006D132B"/>
    <w:rsid w:val="006D25B8"/>
    <w:rsid w:val="006D3906"/>
    <w:rsid w:val="006D5057"/>
    <w:rsid w:val="006D58B3"/>
    <w:rsid w:val="006E00F4"/>
    <w:rsid w:val="006E054D"/>
    <w:rsid w:val="006E1BC4"/>
    <w:rsid w:val="006E56C4"/>
    <w:rsid w:val="006E705C"/>
    <w:rsid w:val="006E71A3"/>
    <w:rsid w:val="006E7E63"/>
    <w:rsid w:val="006F5DB6"/>
    <w:rsid w:val="006F623A"/>
    <w:rsid w:val="006F638E"/>
    <w:rsid w:val="006F65A4"/>
    <w:rsid w:val="006F6969"/>
    <w:rsid w:val="007018E9"/>
    <w:rsid w:val="0070294C"/>
    <w:rsid w:val="00703E42"/>
    <w:rsid w:val="0070415F"/>
    <w:rsid w:val="0070442D"/>
    <w:rsid w:val="00707660"/>
    <w:rsid w:val="00713359"/>
    <w:rsid w:val="007138D3"/>
    <w:rsid w:val="0071431A"/>
    <w:rsid w:val="0071543B"/>
    <w:rsid w:val="00716106"/>
    <w:rsid w:val="00717154"/>
    <w:rsid w:val="00720E5D"/>
    <w:rsid w:val="00721014"/>
    <w:rsid w:val="00725214"/>
    <w:rsid w:val="00725A26"/>
    <w:rsid w:val="00730CE8"/>
    <w:rsid w:val="00732E10"/>
    <w:rsid w:val="00734A95"/>
    <w:rsid w:val="00736507"/>
    <w:rsid w:val="007368AD"/>
    <w:rsid w:val="00737003"/>
    <w:rsid w:val="007415CF"/>
    <w:rsid w:val="0074400E"/>
    <w:rsid w:val="00744345"/>
    <w:rsid w:val="00747A1B"/>
    <w:rsid w:val="00751D2A"/>
    <w:rsid w:val="00752688"/>
    <w:rsid w:val="0075269D"/>
    <w:rsid w:val="00755095"/>
    <w:rsid w:val="0075628E"/>
    <w:rsid w:val="007601E9"/>
    <w:rsid w:val="00763340"/>
    <w:rsid w:val="0076433F"/>
    <w:rsid w:val="007666FA"/>
    <w:rsid w:val="00772488"/>
    <w:rsid w:val="00772A12"/>
    <w:rsid w:val="00774096"/>
    <w:rsid w:val="00774811"/>
    <w:rsid w:val="00777C1A"/>
    <w:rsid w:val="007814D3"/>
    <w:rsid w:val="00791799"/>
    <w:rsid w:val="007920E0"/>
    <w:rsid w:val="00795621"/>
    <w:rsid w:val="00795B86"/>
    <w:rsid w:val="00796A07"/>
    <w:rsid w:val="0079718F"/>
    <w:rsid w:val="007A0FCF"/>
    <w:rsid w:val="007A13D3"/>
    <w:rsid w:val="007A708E"/>
    <w:rsid w:val="007A7F96"/>
    <w:rsid w:val="007B02D4"/>
    <w:rsid w:val="007B02F5"/>
    <w:rsid w:val="007B1EFF"/>
    <w:rsid w:val="007B3FCE"/>
    <w:rsid w:val="007B576D"/>
    <w:rsid w:val="007B6522"/>
    <w:rsid w:val="007C19F5"/>
    <w:rsid w:val="007C79C9"/>
    <w:rsid w:val="007D118B"/>
    <w:rsid w:val="007D12E3"/>
    <w:rsid w:val="007D172E"/>
    <w:rsid w:val="007D528B"/>
    <w:rsid w:val="007E026F"/>
    <w:rsid w:val="007E1259"/>
    <w:rsid w:val="007E1723"/>
    <w:rsid w:val="007E1C51"/>
    <w:rsid w:val="007E23BF"/>
    <w:rsid w:val="007E5077"/>
    <w:rsid w:val="007E600E"/>
    <w:rsid w:val="007F0830"/>
    <w:rsid w:val="007F10E3"/>
    <w:rsid w:val="007F1D5D"/>
    <w:rsid w:val="007F2C0E"/>
    <w:rsid w:val="007F32B7"/>
    <w:rsid w:val="007F3443"/>
    <w:rsid w:val="007F378E"/>
    <w:rsid w:val="007F6755"/>
    <w:rsid w:val="0080065C"/>
    <w:rsid w:val="00800BFC"/>
    <w:rsid w:val="00801122"/>
    <w:rsid w:val="0080211C"/>
    <w:rsid w:val="00803D2D"/>
    <w:rsid w:val="00807A41"/>
    <w:rsid w:val="00807E02"/>
    <w:rsid w:val="00810162"/>
    <w:rsid w:val="00811F41"/>
    <w:rsid w:val="008161C3"/>
    <w:rsid w:val="00821175"/>
    <w:rsid w:val="008222DC"/>
    <w:rsid w:val="00831F6B"/>
    <w:rsid w:val="00831F9F"/>
    <w:rsid w:val="0083273A"/>
    <w:rsid w:val="00832E74"/>
    <w:rsid w:val="00833507"/>
    <w:rsid w:val="008349AF"/>
    <w:rsid w:val="00835BC7"/>
    <w:rsid w:val="008363B3"/>
    <w:rsid w:val="00836D17"/>
    <w:rsid w:val="00840A55"/>
    <w:rsid w:val="00841BB0"/>
    <w:rsid w:val="00841E25"/>
    <w:rsid w:val="00844ECA"/>
    <w:rsid w:val="00846162"/>
    <w:rsid w:val="008464CD"/>
    <w:rsid w:val="008466DF"/>
    <w:rsid w:val="008501E6"/>
    <w:rsid w:val="008515EE"/>
    <w:rsid w:val="008527E7"/>
    <w:rsid w:val="00852FC1"/>
    <w:rsid w:val="00852FFA"/>
    <w:rsid w:val="0085373C"/>
    <w:rsid w:val="008559A6"/>
    <w:rsid w:val="00855BFB"/>
    <w:rsid w:val="00855DB7"/>
    <w:rsid w:val="0085622E"/>
    <w:rsid w:val="008567AA"/>
    <w:rsid w:val="008606A0"/>
    <w:rsid w:val="00860859"/>
    <w:rsid w:val="0086086C"/>
    <w:rsid w:val="00861C4E"/>
    <w:rsid w:val="00861EA5"/>
    <w:rsid w:val="00866C7C"/>
    <w:rsid w:val="00871316"/>
    <w:rsid w:val="00871384"/>
    <w:rsid w:val="00871BD2"/>
    <w:rsid w:val="00873425"/>
    <w:rsid w:val="00874DF9"/>
    <w:rsid w:val="00880460"/>
    <w:rsid w:val="00881BA1"/>
    <w:rsid w:val="00883DDA"/>
    <w:rsid w:val="00884295"/>
    <w:rsid w:val="00885318"/>
    <w:rsid w:val="008859CE"/>
    <w:rsid w:val="0088660E"/>
    <w:rsid w:val="00886F00"/>
    <w:rsid w:val="00891347"/>
    <w:rsid w:val="00891FF9"/>
    <w:rsid w:val="00893367"/>
    <w:rsid w:val="0089644A"/>
    <w:rsid w:val="00896E1B"/>
    <w:rsid w:val="00897E20"/>
    <w:rsid w:val="008A2BE1"/>
    <w:rsid w:val="008A3514"/>
    <w:rsid w:val="008B1B56"/>
    <w:rsid w:val="008B2E1C"/>
    <w:rsid w:val="008B48D1"/>
    <w:rsid w:val="008B6A1C"/>
    <w:rsid w:val="008C021C"/>
    <w:rsid w:val="008C1769"/>
    <w:rsid w:val="008C31EB"/>
    <w:rsid w:val="008C34FC"/>
    <w:rsid w:val="008C38C1"/>
    <w:rsid w:val="008C3B67"/>
    <w:rsid w:val="008C475D"/>
    <w:rsid w:val="008C7A5E"/>
    <w:rsid w:val="008D3756"/>
    <w:rsid w:val="008D49B4"/>
    <w:rsid w:val="008D4EA3"/>
    <w:rsid w:val="008D7498"/>
    <w:rsid w:val="008E21B7"/>
    <w:rsid w:val="008E4E68"/>
    <w:rsid w:val="008E50D7"/>
    <w:rsid w:val="008E5D46"/>
    <w:rsid w:val="008E60FB"/>
    <w:rsid w:val="008E6CF3"/>
    <w:rsid w:val="008E723C"/>
    <w:rsid w:val="008F0FA3"/>
    <w:rsid w:val="008F14A0"/>
    <w:rsid w:val="008F34A9"/>
    <w:rsid w:val="008F40E5"/>
    <w:rsid w:val="008F500C"/>
    <w:rsid w:val="008F743F"/>
    <w:rsid w:val="00910C55"/>
    <w:rsid w:val="0091152A"/>
    <w:rsid w:val="00912379"/>
    <w:rsid w:val="009126E0"/>
    <w:rsid w:val="00912969"/>
    <w:rsid w:val="00912E6D"/>
    <w:rsid w:val="00912F04"/>
    <w:rsid w:val="00913E7B"/>
    <w:rsid w:val="00914911"/>
    <w:rsid w:val="00914F76"/>
    <w:rsid w:val="00921D9E"/>
    <w:rsid w:val="009250B9"/>
    <w:rsid w:val="0092715A"/>
    <w:rsid w:val="00931044"/>
    <w:rsid w:val="009310AF"/>
    <w:rsid w:val="00931654"/>
    <w:rsid w:val="009322D1"/>
    <w:rsid w:val="00932E96"/>
    <w:rsid w:val="009346E3"/>
    <w:rsid w:val="00935100"/>
    <w:rsid w:val="00937E32"/>
    <w:rsid w:val="009400FB"/>
    <w:rsid w:val="0094035B"/>
    <w:rsid w:val="009408D1"/>
    <w:rsid w:val="00940D0B"/>
    <w:rsid w:val="009418E6"/>
    <w:rsid w:val="0094235F"/>
    <w:rsid w:val="00942773"/>
    <w:rsid w:val="0094279F"/>
    <w:rsid w:val="00946B98"/>
    <w:rsid w:val="00950495"/>
    <w:rsid w:val="009504D1"/>
    <w:rsid w:val="00950E1F"/>
    <w:rsid w:val="0095115E"/>
    <w:rsid w:val="00951394"/>
    <w:rsid w:val="00953C2E"/>
    <w:rsid w:val="00956557"/>
    <w:rsid w:val="00960C22"/>
    <w:rsid w:val="0096159C"/>
    <w:rsid w:val="00962982"/>
    <w:rsid w:val="00963AC9"/>
    <w:rsid w:val="009658F0"/>
    <w:rsid w:val="00965BB9"/>
    <w:rsid w:val="00966F47"/>
    <w:rsid w:val="00967D49"/>
    <w:rsid w:val="00967EBA"/>
    <w:rsid w:val="00971C63"/>
    <w:rsid w:val="00972F77"/>
    <w:rsid w:val="009734BC"/>
    <w:rsid w:val="00973DD5"/>
    <w:rsid w:val="00974120"/>
    <w:rsid w:val="00976599"/>
    <w:rsid w:val="00980B16"/>
    <w:rsid w:val="00981B9E"/>
    <w:rsid w:val="00982395"/>
    <w:rsid w:val="00983FE4"/>
    <w:rsid w:val="00986676"/>
    <w:rsid w:val="009868FF"/>
    <w:rsid w:val="00987E49"/>
    <w:rsid w:val="00991A1A"/>
    <w:rsid w:val="009925B3"/>
    <w:rsid w:val="00993250"/>
    <w:rsid w:val="009933D5"/>
    <w:rsid w:val="009947BC"/>
    <w:rsid w:val="00995F0C"/>
    <w:rsid w:val="009A20DE"/>
    <w:rsid w:val="009A29D1"/>
    <w:rsid w:val="009A3EF8"/>
    <w:rsid w:val="009A43E1"/>
    <w:rsid w:val="009A4AE9"/>
    <w:rsid w:val="009A7A30"/>
    <w:rsid w:val="009A7EDD"/>
    <w:rsid w:val="009B1DBA"/>
    <w:rsid w:val="009B2F27"/>
    <w:rsid w:val="009B474D"/>
    <w:rsid w:val="009B49A7"/>
    <w:rsid w:val="009B5380"/>
    <w:rsid w:val="009B6B32"/>
    <w:rsid w:val="009B7286"/>
    <w:rsid w:val="009C057B"/>
    <w:rsid w:val="009C3864"/>
    <w:rsid w:val="009C5E48"/>
    <w:rsid w:val="009C62A8"/>
    <w:rsid w:val="009C62D3"/>
    <w:rsid w:val="009C71D5"/>
    <w:rsid w:val="009D39EE"/>
    <w:rsid w:val="009D3C06"/>
    <w:rsid w:val="009D58B7"/>
    <w:rsid w:val="009D73CE"/>
    <w:rsid w:val="009D7CC4"/>
    <w:rsid w:val="009E27FD"/>
    <w:rsid w:val="009E2857"/>
    <w:rsid w:val="009E2F7F"/>
    <w:rsid w:val="009E5179"/>
    <w:rsid w:val="009E7B22"/>
    <w:rsid w:val="009E7F93"/>
    <w:rsid w:val="009F080C"/>
    <w:rsid w:val="009F0ADA"/>
    <w:rsid w:val="009F1FD5"/>
    <w:rsid w:val="009F2CFD"/>
    <w:rsid w:val="009F5578"/>
    <w:rsid w:val="009F601C"/>
    <w:rsid w:val="009F641B"/>
    <w:rsid w:val="009F6D27"/>
    <w:rsid w:val="009F7CE4"/>
    <w:rsid w:val="00A00AE6"/>
    <w:rsid w:val="00A00BB4"/>
    <w:rsid w:val="00A01011"/>
    <w:rsid w:val="00A01534"/>
    <w:rsid w:val="00A063F7"/>
    <w:rsid w:val="00A06AE6"/>
    <w:rsid w:val="00A100CB"/>
    <w:rsid w:val="00A11162"/>
    <w:rsid w:val="00A144B8"/>
    <w:rsid w:val="00A1723E"/>
    <w:rsid w:val="00A17404"/>
    <w:rsid w:val="00A17EF1"/>
    <w:rsid w:val="00A229E1"/>
    <w:rsid w:val="00A24666"/>
    <w:rsid w:val="00A246CB"/>
    <w:rsid w:val="00A24B6B"/>
    <w:rsid w:val="00A266BD"/>
    <w:rsid w:val="00A3396D"/>
    <w:rsid w:val="00A344AC"/>
    <w:rsid w:val="00A34808"/>
    <w:rsid w:val="00A403DE"/>
    <w:rsid w:val="00A41438"/>
    <w:rsid w:val="00A42DAC"/>
    <w:rsid w:val="00A43227"/>
    <w:rsid w:val="00A44643"/>
    <w:rsid w:val="00A46306"/>
    <w:rsid w:val="00A5017F"/>
    <w:rsid w:val="00A50980"/>
    <w:rsid w:val="00A51D74"/>
    <w:rsid w:val="00A61781"/>
    <w:rsid w:val="00A65133"/>
    <w:rsid w:val="00A652C5"/>
    <w:rsid w:val="00A6607C"/>
    <w:rsid w:val="00A675F4"/>
    <w:rsid w:val="00A7069F"/>
    <w:rsid w:val="00A73B35"/>
    <w:rsid w:val="00A8006E"/>
    <w:rsid w:val="00A80357"/>
    <w:rsid w:val="00A80BC0"/>
    <w:rsid w:val="00A81BE0"/>
    <w:rsid w:val="00A82378"/>
    <w:rsid w:val="00A82EFB"/>
    <w:rsid w:val="00A845F8"/>
    <w:rsid w:val="00A85949"/>
    <w:rsid w:val="00A86AF5"/>
    <w:rsid w:val="00A87AEF"/>
    <w:rsid w:val="00A917FD"/>
    <w:rsid w:val="00A92ABF"/>
    <w:rsid w:val="00A96A08"/>
    <w:rsid w:val="00A97955"/>
    <w:rsid w:val="00AA0161"/>
    <w:rsid w:val="00AA68C0"/>
    <w:rsid w:val="00AB1D08"/>
    <w:rsid w:val="00AB3810"/>
    <w:rsid w:val="00AB409D"/>
    <w:rsid w:val="00AB4345"/>
    <w:rsid w:val="00AB438C"/>
    <w:rsid w:val="00AB465B"/>
    <w:rsid w:val="00AB5BD7"/>
    <w:rsid w:val="00AB622A"/>
    <w:rsid w:val="00AB6761"/>
    <w:rsid w:val="00AB6E3E"/>
    <w:rsid w:val="00AC0135"/>
    <w:rsid w:val="00AC070D"/>
    <w:rsid w:val="00AC486B"/>
    <w:rsid w:val="00AC55FF"/>
    <w:rsid w:val="00AC66B0"/>
    <w:rsid w:val="00AC7EAB"/>
    <w:rsid w:val="00AD0616"/>
    <w:rsid w:val="00AD17A0"/>
    <w:rsid w:val="00AD34FF"/>
    <w:rsid w:val="00AD3C75"/>
    <w:rsid w:val="00AD3DD4"/>
    <w:rsid w:val="00AD5CC9"/>
    <w:rsid w:val="00AD6C3C"/>
    <w:rsid w:val="00AD782C"/>
    <w:rsid w:val="00AE1952"/>
    <w:rsid w:val="00AE3EE9"/>
    <w:rsid w:val="00AE44DA"/>
    <w:rsid w:val="00AE5D6E"/>
    <w:rsid w:val="00AF0CB0"/>
    <w:rsid w:val="00AF3E95"/>
    <w:rsid w:val="00AF5362"/>
    <w:rsid w:val="00AF55BA"/>
    <w:rsid w:val="00AF6335"/>
    <w:rsid w:val="00AF76FE"/>
    <w:rsid w:val="00B01317"/>
    <w:rsid w:val="00B01AD2"/>
    <w:rsid w:val="00B03332"/>
    <w:rsid w:val="00B0458F"/>
    <w:rsid w:val="00B04F4C"/>
    <w:rsid w:val="00B06980"/>
    <w:rsid w:val="00B10CEB"/>
    <w:rsid w:val="00B12595"/>
    <w:rsid w:val="00B12ABC"/>
    <w:rsid w:val="00B1400E"/>
    <w:rsid w:val="00B15046"/>
    <w:rsid w:val="00B157E9"/>
    <w:rsid w:val="00B15B28"/>
    <w:rsid w:val="00B15C59"/>
    <w:rsid w:val="00B15FE9"/>
    <w:rsid w:val="00B17AFF"/>
    <w:rsid w:val="00B2042E"/>
    <w:rsid w:val="00B2157E"/>
    <w:rsid w:val="00B235B7"/>
    <w:rsid w:val="00B23BD4"/>
    <w:rsid w:val="00B24835"/>
    <w:rsid w:val="00B26276"/>
    <w:rsid w:val="00B32C0F"/>
    <w:rsid w:val="00B36209"/>
    <w:rsid w:val="00B3695D"/>
    <w:rsid w:val="00B4288D"/>
    <w:rsid w:val="00B443ED"/>
    <w:rsid w:val="00B469A5"/>
    <w:rsid w:val="00B50B71"/>
    <w:rsid w:val="00B51883"/>
    <w:rsid w:val="00B51B21"/>
    <w:rsid w:val="00B521A6"/>
    <w:rsid w:val="00B53CF3"/>
    <w:rsid w:val="00B53F62"/>
    <w:rsid w:val="00B54BE6"/>
    <w:rsid w:val="00B56DB2"/>
    <w:rsid w:val="00B60631"/>
    <w:rsid w:val="00B62E86"/>
    <w:rsid w:val="00B631FC"/>
    <w:rsid w:val="00B6331F"/>
    <w:rsid w:val="00B637DA"/>
    <w:rsid w:val="00B674DB"/>
    <w:rsid w:val="00B67939"/>
    <w:rsid w:val="00B67AA7"/>
    <w:rsid w:val="00B705DC"/>
    <w:rsid w:val="00B72B6F"/>
    <w:rsid w:val="00B72C35"/>
    <w:rsid w:val="00B7625A"/>
    <w:rsid w:val="00B76314"/>
    <w:rsid w:val="00B769DF"/>
    <w:rsid w:val="00B7738C"/>
    <w:rsid w:val="00B77C43"/>
    <w:rsid w:val="00B82AC7"/>
    <w:rsid w:val="00B82E8D"/>
    <w:rsid w:val="00B859A6"/>
    <w:rsid w:val="00B85B0A"/>
    <w:rsid w:val="00B868B2"/>
    <w:rsid w:val="00B876D6"/>
    <w:rsid w:val="00B87FB2"/>
    <w:rsid w:val="00B91B41"/>
    <w:rsid w:val="00B9264D"/>
    <w:rsid w:val="00B92808"/>
    <w:rsid w:val="00B949A7"/>
    <w:rsid w:val="00B94BA5"/>
    <w:rsid w:val="00B9545A"/>
    <w:rsid w:val="00B95B1B"/>
    <w:rsid w:val="00B96982"/>
    <w:rsid w:val="00B97087"/>
    <w:rsid w:val="00BA14B3"/>
    <w:rsid w:val="00BA2E63"/>
    <w:rsid w:val="00BA3927"/>
    <w:rsid w:val="00BA5EC4"/>
    <w:rsid w:val="00BB0EC3"/>
    <w:rsid w:val="00BB18F5"/>
    <w:rsid w:val="00BB1C03"/>
    <w:rsid w:val="00BB3FA1"/>
    <w:rsid w:val="00BB404B"/>
    <w:rsid w:val="00BB48ED"/>
    <w:rsid w:val="00BB62BB"/>
    <w:rsid w:val="00BB659C"/>
    <w:rsid w:val="00BB6F3E"/>
    <w:rsid w:val="00BC05C5"/>
    <w:rsid w:val="00BC11D6"/>
    <w:rsid w:val="00BC3669"/>
    <w:rsid w:val="00BC370A"/>
    <w:rsid w:val="00BC534F"/>
    <w:rsid w:val="00BC7938"/>
    <w:rsid w:val="00BD10DA"/>
    <w:rsid w:val="00BD16EB"/>
    <w:rsid w:val="00BD18D6"/>
    <w:rsid w:val="00BD285B"/>
    <w:rsid w:val="00BE0DF6"/>
    <w:rsid w:val="00BE3432"/>
    <w:rsid w:val="00BE3D07"/>
    <w:rsid w:val="00BE475D"/>
    <w:rsid w:val="00BE4BAB"/>
    <w:rsid w:val="00BE5848"/>
    <w:rsid w:val="00BE6F28"/>
    <w:rsid w:val="00BE7E52"/>
    <w:rsid w:val="00BF005B"/>
    <w:rsid w:val="00BF044D"/>
    <w:rsid w:val="00BF0633"/>
    <w:rsid w:val="00BF0BA5"/>
    <w:rsid w:val="00BF233F"/>
    <w:rsid w:val="00BF29FA"/>
    <w:rsid w:val="00BF47FD"/>
    <w:rsid w:val="00BF4B8B"/>
    <w:rsid w:val="00BF4BB7"/>
    <w:rsid w:val="00BF5D4E"/>
    <w:rsid w:val="00C0099D"/>
    <w:rsid w:val="00C02065"/>
    <w:rsid w:val="00C03268"/>
    <w:rsid w:val="00C04D2B"/>
    <w:rsid w:val="00C07D85"/>
    <w:rsid w:val="00C139A6"/>
    <w:rsid w:val="00C16D1E"/>
    <w:rsid w:val="00C17692"/>
    <w:rsid w:val="00C246AE"/>
    <w:rsid w:val="00C247BF"/>
    <w:rsid w:val="00C256B1"/>
    <w:rsid w:val="00C300F6"/>
    <w:rsid w:val="00C30999"/>
    <w:rsid w:val="00C3486C"/>
    <w:rsid w:val="00C35DF9"/>
    <w:rsid w:val="00C413C2"/>
    <w:rsid w:val="00C41F4A"/>
    <w:rsid w:val="00C45C72"/>
    <w:rsid w:val="00C478D3"/>
    <w:rsid w:val="00C51C49"/>
    <w:rsid w:val="00C51E69"/>
    <w:rsid w:val="00C5416F"/>
    <w:rsid w:val="00C541D3"/>
    <w:rsid w:val="00C548DD"/>
    <w:rsid w:val="00C56FFB"/>
    <w:rsid w:val="00C624C1"/>
    <w:rsid w:val="00C62545"/>
    <w:rsid w:val="00C63938"/>
    <w:rsid w:val="00C64184"/>
    <w:rsid w:val="00C64760"/>
    <w:rsid w:val="00C71CD3"/>
    <w:rsid w:val="00C71DF3"/>
    <w:rsid w:val="00C773D5"/>
    <w:rsid w:val="00C8102D"/>
    <w:rsid w:val="00C81253"/>
    <w:rsid w:val="00C824B7"/>
    <w:rsid w:val="00C83129"/>
    <w:rsid w:val="00C84F07"/>
    <w:rsid w:val="00C850DC"/>
    <w:rsid w:val="00C85845"/>
    <w:rsid w:val="00C920CA"/>
    <w:rsid w:val="00C927A5"/>
    <w:rsid w:val="00C941C3"/>
    <w:rsid w:val="00C958D8"/>
    <w:rsid w:val="00C97111"/>
    <w:rsid w:val="00C975B0"/>
    <w:rsid w:val="00C97CAC"/>
    <w:rsid w:val="00CA3540"/>
    <w:rsid w:val="00CA6DED"/>
    <w:rsid w:val="00CB00F5"/>
    <w:rsid w:val="00CB61DE"/>
    <w:rsid w:val="00CB67E2"/>
    <w:rsid w:val="00CB7ED7"/>
    <w:rsid w:val="00CC0D9F"/>
    <w:rsid w:val="00CC1DBB"/>
    <w:rsid w:val="00CC2416"/>
    <w:rsid w:val="00CC3477"/>
    <w:rsid w:val="00CD177F"/>
    <w:rsid w:val="00CD226E"/>
    <w:rsid w:val="00CD3654"/>
    <w:rsid w:val="00CD4233"/>
    <w:rsid w:val="00CD5D90"/>
    <w:rsid w:val="00CD61E3"/>
    <w:rsid w:val="00CE1659"/>
    <w:rsid w:val="00CE2C2F"/>
    <w:rsid w:val="00CE2EE9"/>
    <w:rsid w:val="00CE6464"/>
    <w:rsid w:val="00CE6CD2"/>
    <w:rsid w:val="00CE6EC5"/>
    <w:rsid w:val="00CE6F5A"/>
    <w:rsid w:val="00CE6FFA"/>
    <w:rsid w:val="00CE739D"/>
    <w:rsid w:val="00CF2326"/>
    <w:rsid w:val="00CF42CF"/>
    <w:rsid w:val="00CF7766"/>
    <w:rsid w:val="00CF7CC8"/>
    <w:rsid w:val="00CF7DAB"/>
    <w:rsid w:val="00D014FD"/>
    <w:rsid w:val="00D020A6"/>
    <w:rsid w:val="00D03033"/>
    <w:rsid w:val="00D07E78"/>
    <w:rsid w:val="00D100C0"/>
    <w:rsid w:val="00D1025D"/>
    <w:rsid w:val="00D102E9"/>
    <w:rsid w:val="00D12106"/>
    <w:rsid w:val="00D128C4"/>
    <w:rsid w:val="00D1422C"/>
    <w:rsid w:val="00D15A25"/>
    <w:rsid w:val="00D1688F"/>
    <w:rsid w:val="00D175BE"/>
    <w:rsid w:val="00D20E80"/>
    <w:rsid w:val="00D2117F"/>
    <w:rsid w:val="00D242AF"/>
    <w:rsid w:val="00D25317"/>
    <w:rsid w:val="00D2647A"/>
    <w:rsid w:val="00D26605"/>
    <w:rsid w:val="00D30B5A"/>
    <w:rsid w:val="00D319E0"/>
    <w:rsid w:val="00D37D5B"/>
    <w:rsid w:val="00D4493F"/>
    <w:rsid w:val="00D44B04"/>
    <w:rsid w:val="00D45971"/>
    <w:rsid w:val="00D467E5"/>
    <w:rsid w:val="00D50B31"/>
    <w:rsid w:val="00D50B7D"/>
    <w:rsid w:val="00D512A3"/>
    <w:rsid w:val="00D52B7A"/>
    <w:rsid w:val="00D560A2"/>
    <w:rsid w:val="00D56FD4"/>
    <w:rsid w:val="00D571C8"/>
    <w:rsid w:val="00D64773"/>
    <w:rsid w:val="00D65756"/>
    <w:rsid w:val="00D65C5E"/>
    <w:rsid w:val="00D66E8B"/>
    <w:rsid w:val="00D70440"/>
    <w:rsid w:val="00D7153A"/>
    <w:rsid w:val="00D71EBA"/>
    <w:rsid w:val="00D73477"/>
    <w:rsid w:val="00D73E86"/>
    <w:rsid w:val="00D74A7C"/>
    <w:rsid w:val="00D761B4"/>
    <w:rsid w:val="00D855E8"/>
    <w:rsid w:val="00D8600F"/>
    <w:rsid w:val="00D86753"/>
    <w:rsid w:val="00D86C6A"/>
    <w:rsid w:val="00D8706C"/>
    <w:rsid w:val="00D87DA5"/>
    <w:rsid w:val="00D9031D"/>
    <w:rsid w:val="00D90E81"/>
    <w:rsid w:val="00D91E2D"/>
    <w:rsid w:val="00D94E49"/>
    <w:rsid w:val="00DA39E8"/>
    <w:rsid w:val="00DA3D1D"/>
    <w:rsid w:val="00DA4C62"/>
    <w:rsid w:val="00DA4D88"/>
    <w:rsid w:val="00DA65B9"/>
    <w:rsid w:val="00DB0A6C"/>
    <w:rsid w:val="00DB1120"/>
    <w:rsid w:val="00DB271F"/>
    <w:rsid w:val="00DB4B01"/>
    <w:rsid w:val="00DB6A17"/>
    <w:rsid w:val="00DB793A"/>
    <w:rsid w:val="00DC0E79"/>
    <w:rsid w:val="00DC2FB1"/>
    <w:rsid w:val="00DC3606"/>
    <w:rsid w:val="00DC3E18"/>
    <w:rsid w:val="00DC621D"/>
    <w:rsid w:val="00DC6C77"/>
    <w:rsid w:val="00DC6CA2"/>
    <w:rsid w:val="00DD1901"/>
    <w:rsid w:val="00DD2B8B"/>
    <w:rsid w:val="00DD347B"/>
    <w:rsid w:val="00DD4376"/>
    <w:rsid w:val="00DD5520"/>
    <w:rsid w:val="00DD5E76"/>
    <w:rsid w:val="00DD5FCC"/>
    <w:rsid w:val="00DE1B98"/>
    <w:rsid w:val="00DE25B3"/>
    <w:rsid w:val="00E0088C"/>
    <w:rsid w:val="00E00F76"/>
    <w:rsid w:val="00E0178E"/>
    <w:rsid w:val="00E01AFF"/>
    <w:rsid w:val="00E02F82"/>
    <w:rsid w:val="00E05750"/>
    <w:rsid w:val="00E06168"/>
    <w:rsid w:val="00E10EF7"/>
    <w:rsid w:val="00E12F17"/>
    <w:rsid w:val="00E1346C"/>
    <w:rsid w:val="00E15DE2"/>
    <w:rsid w:val="00E16F9F"/>
    <w:rsid w:val="00E21E75"/>
    <w:rsid w:val="00E2488F"/>
    <w:rsid w:val="00E275A7"/>
    <w:rsid w:val="00E3051D"/>
    <w:rsid w:val="00E317F6"/>
    <w:rsid w:val="00E33FAB"/>
    <w:rsid w:val="00E36D7F"/>
    <w:rsid w:val="00E40BD0"/>
    <w:rsid w:val="00E4196D"/>
    <w:rsid w:val="00E41A8F"/>
    <w:rsid w:val="00E42207"/>
    <w:rsid w:val="00E43E75"/>
    <w:rsid w:val="00E451B8"/>
    <w:rsid w:val="00E467C4"/>
    <w:rsid w:val="00E50E83"/>
    <w:rsid w:val="00E558CF"/>
    <w:rsid w:val="00E56CFC"/>
    <w:rsid w:val="00E61959"/>
    <w:rsid w:val="00E61C48"/>
    <w:rsid w:val="00E6235B"/>
    <w:rsid w:val="00E63EDE"/>
    <w:rsid w:val="00E66055"/>
    <w:rsid w:val="00E7155C"/>
    <w:rsid w:val="00E73109"/>
    <w:rsid w:val="00E731AF"/>
    <w:rsid w:val="00E76373"/>
    <w:rsid w:val="00E77A6E"/>
    <w:rsid w:val="00E807DA"/>
    <w:rsid w:val="00E82A68"/>
    <w:rsid w:val="00E84E3A"/>
    <w:rsid w:val="00E86360"/>
    <w:rsid w:val="00E865FE"/>
    <w:rsid w:val="00E87230"/>
    <w:rsid w:val="00E87E79"/>
    <w:rsid w:val="00E900D6"/>
    <w:rsid w:val="00E92249"/>
    <w:rsid w:val="00E93A2E"/>
    <w:rsid w:val="00E93AC8"/>
    <w:rsid w:val="00E9506B"/>
    <w:rsid w:val="00EA0350"/>
    <w:rsid w:val="00EA05AF"/>
    <w:rsid w:val="00EA131E"/>
    <w:rsid w:val="00EA27EF"/>
    <w:rsid w:val="00EA3ACF"/>
    <w:rsid w:val="00EA5108"/>
    <w:rsid w:val="00EA7FE5"/>
    <w:rsid w:val="00EB004C"/>
    <w:rsid w:val="00EB7BC0"/>
    <w:rsid w:val="00EC1BB0"/>
    <w:rsid w:val="00EC1C8E"/>
    <w:rsid w:val="00EC2193"/>
    <w:rsid w:val="00EC43B9"/>
    <w:rsid w:val="00EC5F29"/>
    <w:rsid w:val="00EC6D38"/>
    <w:rsid w:val="00ED095D"/>
    <w:rsid w:val="00ED0DFD"/>
    <w:rsid w:val="00ED1966"/>
    <w:rsid w:val="00ED29C1"/>
    <w:rsid w:val="00ED3525"/>
    <w:rsid w:val="00ED363E"/>
    <w:rsid w:val="00ED4D69"/>
    <w:rsid w:val="00ED538D"/>
    <w:rsid w:val="00ED5AB1"/>
    <w:rsid w:val="00EE11AC"/>
    <w:rsid w:val="00EE1517"/>
    <w:rsid w:val="00EE2FFF"/>
    <w:rsid w:val="00EE304D"/>
    <w:rsid w:val="00EE362F"/>
    <w:rsid w:val="00EE4A49"/>
    <w:rsid w:val="00EE63F9"/>
    <w:rsid w:val="00EE64A2"/>
    <w:rsid w:val="00EE76C7"/>
    <w:rsid w:val="00EF2FD8"/>
    <w:rsid w:val="00EF3C43"/>
    <w:rsid w:val="00EF5478"/>
    <w:rsid w:val="00EF56AE"/>
    <w:rsid w:val="00EF7BC6"/>
    <w:rsid w:val="00F0000F"/>
    <w:rsid w:val="00F01423"/>
    <w:rsid w:val="00F0143D"/>
    <w:rsid w:val="00F049A1"/>
    <w:rsid w:val="00F077BA"/>
    <w:rsid w:val="00F078DA"/>
    <w:rsid w:val="00F10033"/>
    <w:rsid w:val="00F10DCA"/>
    <w:rsid w:val="00F10FED"/>
    <w:rsid w:val="00F114AE"/>
    <w:rsid w:val="00F11FCC"/>
    <w:rsid w:val="00F146BB"/>
    <w:rsid w:val="00F20CB2"/>
    <w:rsid w:val="00F2143A"/>
    <w:rsid w:val="00F22BD6"/>
    <w:rsid w:val="00F2327D"/>
    <w:rsid w:val="00F25D4C"/>
    <w:rsid w:val="00F260F1"/>
    <w:rsid w:val="00F2650E"/>
    <w:rsid w:val="00F27BA1"/>
    <w:rsid w:val="00F30629"/>
    <w:rsid w:val="00F33ADB"/>
    <w:rsid w:val="00F34E07"/>
    <w:rsid w:val="00F353AF"/>
    <w:rsid w:val="00F41E5E"/>
    <w:rsid w:val="00F42CFA"/>
    <w:rsid w:val="00F43CA0"/>
    <w:rsid w:val="00F45E03"/>
    <w:rsid w:val="00F45FF3"/>
    <w:rsid w:val="00F51118"/>
    <w:rsid w:val="00F51FE9"/>
    <w:rsid w:val="00F5275D"/>
    <w:rsid w:val="00F53CE8"/>
    <w:rsid w:val="00F55030"/>
    <w:rsid w:val="00F56EF1"/>
    <w:rsid w:val="00F6167B"/>
    <w:rsid w:val="00F61DBD"/>
    <w:rsid w:val="00F63213"/>
    <w:rsid w:val="00F64043"/>
    <w:rsid w:val="00F64983"/>
    <w:rsid w:val="00F64E4B"/>
    <w:rsid w:val="00F652C3"/>
    <w:rsid w:val="00F65C2E"/>
    <w:rsid w:val="00F65CD0"/>
    <w:rsid w:val="00F70E43"/>
    <w:rsid w:val="00F7497D"/>
    <w:rsid w:val="00F74C5E"/>
    <w:rsid w:val="00F75298"/>
    <w:rsid w:val="00F75BB3"/>
    <w:rsid w:val="00F75FAC"/>
    <w:rsid w:val="00F7696F"/>
    <w:rsid w:val="00F77620"/>
    <w:rsid w:val="00F817FF"/>
    <w:rsid w:val="00F824B7"/>
    <w:rsid w:val="00F848DC"/>
    <w:rsid w:val="00F915BE"/>
    <w:rsid w:val="00F917FB"/>
    <w:rsid w:val="00F93CB6"/>
    <w:rsid w:val="00F94364"/>
    <w:rsid w:val="00F94514"/>
    <w:rsid w:val="00F956A3"/>
    <w:rsid w:val="00FA0576"/>
    <w:rsid w:val="00FA2B61"/>
    <w:rsid w:val="00FA7B0D"/>
    <w:rsid w:val="00FA7FD5"/>
    <w:rsid w:val="00FB26D8"/>
    <w:rsid w:val="00FB50B4"/>
    <w:rsid w:val="00FB529A"/>
    <w:rsid w:val="00FB5CFD"/>
    <w:rsid w:val="00FB6E1A"/>
    <w:rsid w:val="00FB7DE8"/>
    <w:rsid w:val="00FC04EF"/>
    <w:rsid w:val="00FC2ADC"/>
    <w:rsid w:val="00FC3619"/>
    <w:rsid w:val="00FC3B34"/>
    <w:rsid w:val="00FC4D64"/>
    <w:rsid w:val="00FC5AC4"/>
    <w:rsid w:val="00FC600D"/>
    <w:rsid w:val="00FC6627"/>
    <w:rsid w:val="00FC6B0E"/>
    <w:rsid w:val="00FD0938"/>
    <w:rsid w:val="00FD11F1"/>
    <w:rsid w:val="00FD2F1A"/>
    <w:rsid w:val="00FD4B97"/>
    <w:rsid w:val="00FD554B"/>
    <w:rsid w:val="00FE0D5F"/>
    <w:rsid w:val="00FE2FE3"/>
    <w:rsid w:val="00FE3D1B"/>
    <w:rsid w:val="00FE55EB"/>
    <w:rsid w:val="00FF6BF6"/>
    <w:rsid w:val="00FF7021"/>
    <w:rsid w:val="00FF78B5"/>
    <w:rsid w:val="00FF7902"/>
    <w:rsid w:val="00FF7FB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caption" w:locked="0" w:uiPriority="35" w:qFormat="1"/>
    <w:lsdException w:name="footnote reference" w:locked="0" w:uiPriority="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240B5B"/>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9"/>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1"/>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5732CC"/>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1,Footnote Text2 Char1,ALTS FOOTNOTE2 Char1,Footnote Text11 Char1,(NECG) Footnote Text Char1,(NECG) Footnote Text1 Char1,ALTS FOOTNOTE Char1,Footnote text Char1,AR Footnote Text Char1,f Char1,Footnote Text1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5732CC"/>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styleId="DocumentMap">
    <w:name w:val="Document Map"/>
    <w:basedOn w:val="Normal"/>
    <w:link w:val="DocumentMapChar"/>
    <w:uiPriority w:val="99"/>
    <w:semiHidden/>
    <w:unhideWhenUsed/>
    <w:locked/>
    <w:rsid w:val="00532E04"/>
    <w:rPr>
      <w:rFonts w:ascii="Tahoma" w:hAnsi="Tahoma" w:cs="Tahoma"/>
      <w:sz w:val="16"/>
      <w:szCs w:val="16"/>
    </w:rPr>
  </w:style>
  <w:style w:type="character" w:customStyle="1" w:styleId="DocumentMapChar">
    <w:name w:val="Document Map Char"/>
    <w:basedOn w:val="DefaultParagraphFont"/>
    <w:link w:val="DocumentMap"/>
    <w:uiPriority w:val="99"/>
    <w:semiHidden/>
    <w:rsid w:val="00532E04"/>
    <w:rPr>
      <w:rFonts w:ascii="Tahoma" w:hAnsi="Tahoma" w:cs="Tahoma"/>
      <w:sz w:val="16"/>
      <w:szCs w:val="16"/>
      <w:lang w:eastAsia="en-US"/>
    </w:rPr>
  </w:style>
  <w:style w:type="character" w:styleId="PageNumber">
    <w:name w:val="page number"/>
    <w:basedOn w:val="DefaultParagraphFont"/>
    <w:rsid w:val="002F4105"/>
    <w:rPr>
      <w:rFonts w:ascii="Gautami" w:hAnsi="Gautami"/>
      <w:sz w:val="18"/>
    </w:rPr>
  </w:style>
  <w:style w:type="paragraph" w:styleId="EndnoteText">
    <w:name w:val="endnote text"/>
    <w:basedOn w:val="Normal"/>
    <w:link w:val="EndnoteTextChar"/>
    <w:uiPriority w:val="99"/>
    <w:semiHidden/>
    <w:unhideWhenUsed/>
    <w:locked/>
    <w:rsid w:val="002F4105"/>
  </w:style>
  <w:style w:type="character" w:customStyle="1" w:styleId="EndnoteTextChar">
    <w:name w:val="Endnote Text Char"/>
    <w:basedOn w:val="DefaultParagraphFont"/>
    <w:link w:val="EndnoteText"/>
    <w:uiPriority w:val="99"/>
    <w:semiHidden/>
    <w:rsid w:val="002F4105"/>
    <w:rPr>
      <w:lang w:eastAsia="en-US"/>
    </w:rPr>
  </w:style>
  <w:style w:type="character" w:styleId="EndnoteReference">
    <w:name w:val="endnote reference"/>
    <w:basedOn w:val="DefaultParagraphFont"/>
    <w:uiPriority w:val="99"/>
    <w:semiHidden/>
    <w:unhideWhenUsed/>
    <w:locked/>
    <w:rsid w:val="002F4105"/>
    <w:rPr>
      <w:vertAlign w:val="superscript"/>
    </w:rPr>
  </w:style>
  <w:style w:type="paragraph" w:styleId="Revision">
    <w:name w:val="Revision"/>
    <w:hidden/>
    <w:uiPriority w:val="99"/>
    <w:semiHidden/>
    <w:rsid w:val="002F4105"/>
    <w:rPr>
      <w:lang w:eastAsia="en-US"/>
    </w:rPr>
  </w:style>
  <w:style w:type="paragraph" w:styleId="BodyText2">
    <w:name w:val="Body Text 2"/>
    <w:basedOn w:val="Normal"/>
    <w:link w:val="BodyText2Char"/>
    <w:uiPriority w:val="99"/>
    <w:semiHidden/>
    <w:unhideWhenUsed/>
    <w:locked/>
    <w:rsid w:val="002F4105"/>
    <w:pPr>
      <w:spacing w:after="120" w:line="480" w:lineRule="auto"/>
    </w:pPr>
  </w:style>
  <w:style w:type="character" w:customStyle="1" w:styleId="BodyText2Char">
    <w:name w:val="Body Text 2 Char"/>
    <w:basedOn w:val="DefaultParagraphFont"/>
    <w:link w:val="BodyText2"/>
    <w:uiPriority w:val="99"/>
    <w:semiHidden/>
    <w:rsid w:val="002F4105"/>
    <w:rPr>
      <w:lang w:eastAsia="en-US"/>
    </w:rPr>
  </w:style>
  <w:style w:type="paragraph" w:styleId="PlainText">
    <w:name w:val="Plain Text"/>
    <w:basedOn w:val="Normal"/>
    <w:link w:val="PlainTextChar"/>
    <w:uiPriority w:val="99"/>
    <w:semiHidden/>
    <w:unhideWhenUsed/>
    <w:locked/>
    <w:rsid w:val="003D1275"/>
    <w:rPr>
      <w:rFonts w:ascii="Courier New" w:hAnsi="Courier New" w:cs="Courier New"/>
    </w:rPr>
  </w:style>
  <w:style w:type="character" w:customStyle="1" w:styleId="PlainTextChar">
    <w:name w:val="Plain Text Char"/>
    <w:basedOn w:val="DefaultParagraphFont"/>
    <w:link w:val="PlainText"/>
    <w:uiPriority w:val="99"/>
    <w:semiHidden/>
    <w:rsid w:val="003D1275"/>
    <w:rPr>
      <w:rFonts w:ascii="Courier New" w:hAnsi="Courier New" w:cs="Courier New"/>
      <w:lang w:eastAsia="en-US"/>
    </w:rPr>
  </w:style>
  <w:style w:type="character" w:styleId="Emphasis">
    <w:name w:val="Emphasis"/>
    <w:basedOn w:val="DefaultParagraphFont"/>
    <w:uiPriority w:val="20"/>
    <w:semiHidden/>
    <w:unhideWhenUsed/>
    <w:qFormat/>
    <w:locked/>
    <w:rsid w:val="00E63EDE"/>
    <w:rPr>
      <w:i/>
      <w:iCs/>
    </w:rPr>
  </w:style>
  <w:style w:type="character" w:styleId="FollowedHyperlink">
    <w:name w:val="FollowedHyperlink"/>
    <w:basedOn w:val="DefaultParagraphFont"/>
    <w:uiPriority w:val="99"/>
    <w:semiHidden/>
    <w:unhideWhenUsed/>
    <w:locked/>
    <w:rsid w:val="00B32C0F"/>
    <w:rPr>
      <w:color w:val="800080"/>
      <w:u w:val="single"/>
    </w:rPr>
  </w:style>
  <w:style w:type="paragraph" w:customStyle="1" w:styleId="AERnumberedlist2first">
    <w:name w:val="AER numbered list 2 first"/>
    <w:basedOn w:val="AERbodytext"/>
    <w:qFormat/>
    <w:rsid w:val="00AC7EAB"/>
    <w:pPr>
      <w:numPr>
        <w:numId w:val="0"/>
      </w:numPr>
      <w:tabs>
        <w:tab w:val="num" w:pos="357"/>
      </w:tabs>
      <w:ind w:left="357" w:hanging="357"/>
    </w:pPr>
  </w:style>
  <w:style w:type="paragraph" w:customStyle="1" w:styleId="AERnumberedlist2second">
    <w:name w:val="AER numbered list 2 second"/>
    <w:basedOn w:val="AERnumberedlist2first"/>
    <w:qFormat/>
    <w:rsid w:val="00AC7EAB"/>
    <w:pPr>
      <w:tabs>
        <w:tab w:val="clear" w:pos="357"/>
        <w:tab w:val="num" w:pos="720"/>
      </w:tabs>
      <w:ind w:left="720" w:hanging="363"/>
    </w:pPr>
  </w:style>
  <w:style w:type="paragraph" w:customStyle="1" w:styleId="AERnumberedlist2third">
    <w:name w:val="AER numbered list 2 third"/>
    <w:basedOn w:val="AERnumberedlist2second"/>
    <w:qFormat/>
    <w:rsid w:val="00AC7EAB"/>
    <w:pPr>
      <w:tabs>
        <w:tab w:val="clear" w:pos="720"/>
        <w:tab w:val="num" w:pos="1077"/>
      </w:tabs>
      <w:ind w:left="1077" w:hanging="357"/>
    </w:pPr>
  </w:style>
</w:styles>
</file>

<file path=word/webSettings.xml><?xml version="1.0" encoding="utf-8"?>
<w:webSettings xmlns:r="http://schemas.openxmlformats.org/officeDocument/2006/relationships" xmlns:w="http://schemas.openxmlformats.org/wordprocessingml/2006/main">
  <w:divs>
    <w:div w:id="461963336">
      <w:bodyDiv w:val="1"/>
      <w:marLeft w:val="0"/>
      <w:marRight w:val="0"/>
      <w:marTop w:val="0"/>
      <w:marBottom w:val="0"/>
      <w:divBdr>
        <w:top w:val="none" w:sz="0" w:space="0" w:color="auto"/>
        <w:left w:val="none" w:sz="0" w:space="0" w:color="auto"/>
        <w:bottom w:val="none" w:sz="0" w:space="0" w:color="auto"/>
        <w:right w:val="none" w:sz="0" w:space="0" w:color="auto"/>
      </w:divBdr>
      <w:divsChild>
        <w:div w:id="778917748">
          <w:marLeft w:val="0"/>
          <w:marRight w:val="0"/>
          <w:marTop w:val="0"/>
          <w:marBottom w:val="0"/>
          <w:divBdr>
            <w:top w:val="none" w:sz="0" w:space="0" w:color="auto"/>
            <w:left w:val="none" w:sz="0" w:space="0" w:color="auto"/>
            <w:bottom w:val="none" w:sz="0" w:space="0" w:color="auto"/>
            <w:right w:val="none" w:sz="0" w:space="0" w:color="auto"/>
          </w:divBdr>
          <w:divsChild>
            <w:div w:id="131365394">
              <w:marLeft w:val="0"/>
              <w:marRight w:val="0"/>
              <w:marTop w:val="0"/>
              <w:marBottom w:val="0"/>
              <w:divBdr>
                <w:top w:val="none" w:sz="0" w:space="0" w:color="auto"/>
                <w:left w:val="none" w:sz="0" w:space="0" w:color="auto"/>
                <w:bottom w:val="none" w:sz="0" w:space="0" w:color="auto"/>
                <w:right w:val="none" w:sz="0" w:space="0" w:color="auto"/>
              </w:divBdr>
              <w:divsChild>
                <w:div w:id="420418868">
                  <w:marLeft w:val="148"/>
                  <w:marRight w:val="148"/>
                  <w:marTop w:val="0"/>
                  <w:marBottom w:val="0"/>
                  <w:divBdr>
                    <w:top w:val="none" w:sz="0" w:space="0" w:color="auto"/>
                    <w:left w:val="none" w:sz="0" w:space="0" w:color="auto"/>
                    <w:bottom w:val="none" w:sz="0" w:space="0" w:color="auto"/>
                    <w:right w:val="none" w:sz="0" w:space="0" w:color="auto"/>
                  </w:divBdr>
                  <w:divsChild>
                    <w:div w:id="465127019">
                      <w:marLeft w:val="0"/>
                      <w:marRight w:val="0"/>
                      <w:marTop w:val="0"/>
                      <w:marBottom w:val="0"/>
                      <w:divBdr>
                        <w:top w:val="none" w:sz="0" w:space="0" w:color="auto"/>
                        <w:left w:val="none" w:sz="0" w:space="0" w:color="auto"/>
                        <w:bottom w:val="none" w:sz="0" w:space="0" w:color="auto"/>
                        <w:right w:val="none" w:sz="0" w:space="0" w:color="auto"/>
                      </w:divBdr>
                      <w:divsChild>
                        <w:div w:id="1810783422">
                          <w:marLeft w:val="0"/>
                          <w:marRight w:val="0"/>
                          <w:marTop w:val="0"/>
                          <w:marBottom w:val="0"/>
                          <w:divBdr>
                            <w:top w:val="none" w:sz="0" w:space="0" w:color="auto"/>
                            <w:left w:val="none" w:sz="0" w:space="0" w:color="auto"/>
                            <w:bottom w:val="none" w:sz="0" w:space="0" w:color="auto"/>
                            <w:right w:val="none" w:sz="0" w:space="0" w:color="auto"/>
                          </w:divBdr>
                          <w:divsChild>
                            <w:div w:id="1163736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56825">
      <w:bodyDiv w:val="1"/>
      <w:marLeft w:val="0"/>
      <w:marRight w:val="0"/>
      <w:marTop w:val="0"/>
      <w:marBottom w:val="0"/>
      <w:divBdr>
        <w:top w:val="none" w:sz="0" w:space="0" w:color="auto"/>
        <w:left w:val="none" w:sz="0" w:space="0" w:color="auto"/>
        <w:bottom w:val="none" w:sz="0" w:space="0" w:color="auto"/>
        <w:right w:val="none" w:sz="0" w:space="0" w:color="auto"/>
      </w:divBdr>
    </w:div>
    <w:div w:id="805396035">
      <w:bodyDiv w:val="1"/>
      <w:marLeft w:val="0"/>
      <w:marRight w:val="0"/>
      <w:marTop w:val="0"/>
      <w:marBottom w:val="0"/>
      <w:divBdr>
        <w:top w:val="none" w:sz="0" w:space="0" w:color="auto"/>
        <w:left w:val="none" w:sz="0" w:space="0" w:color="auto"/>
        <w:bottom w:val="none" w:sz="0" w:space="0" w:color="auto"/>
        <w:right w:val="none" w:sz="0" w:space="0" w:color="auto"/>
      </w:divBdr>
    </w:div>
    <w:div w:id="92113814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24944071">
      <w:bodyDiv w:val="1"/>
      <w:marLeft w:val="0"/>
      <w:marRight w:val="0"/>
      <w:marTop w:val="0"/>
      <w:marBottom w:val="0"/>
      <w:divBdr>
        <w:top w:val="none" w:sz="0" w:space="0" w:color="auto"/>
        <w:left w:val="none" w:sz="0" w:space="0" w:color="auto"/>
        <w:bottom w:val="none" w:sz="0" w:space="0" w:color="auto"/>
        <w:right w:val="none" w:sz="0" w:space="0" w:color="auto"/>
      </w:divBdr>
      <w:divsChild>
        <w:div w:id="673412556">
          <w:marLeft w:val="0"/>
          <w:marRight w:val="0"/>
          <w:marTop w:val="0"/>
          <w:marBottom w:val="0"/>
          <w:divBdr>
            <w:top w:val="none" w:sz="0" w:space="0" w:color="auto"/>
            <w:left w:val="none" w:sz="0" w:space="0" w:color="auto"/>
            <w:bottom w:val="none" w:sz="0" w:space="0" w:color="auto"/>
            <w:right w:val="none" w:sz="0" w:space="0" w:color="auto"/>
          </w:divBdr>
          <w:divsChild>
            <w:div w:id="857424668">
              <w:marLeft w:val="0"/>
              <w:marRight w:val="0"/>
              <w:marTop w:val="0"/>
              <w:marBottom w:val="0"/>
              <w:divBdr>
                <w:top w:val="none" w:sz="0" w:space="0" w:color="auto"/>
                <w:left w:val="none" w:sz="0" w:space="0" w:color="auto"/>
                <w:bottom w:val="none" w:sz="0" w:space="0" w:color="auto"/>
                <w:right w:val="none" w:sz="0" w:space="0" w:color="auto"/>
              </w:divBdr>
              <w:divsChild>
                <w:div w:id="1131903663">
                  <w:marLeft w:val="148"/>
                  <w:marRight w:val="148"/>
                  <w:marTop w:val="0"/>
                  <w:marBottom w:val="0"/>
                  <w:divBdr>
                    <w:top w:val="none" w:sz="0" w:space="0" w:color="auto"/>
                    <w:left w:val="none" w:sz="0" w:space="0" w:color="auto"/>
                    <w:bottom w:val="none" w:sz="0" w:space="0" w:color="auto"/>
                    <w:right w:val="none" w:sz="0" w:space="0" w:color="auto"/>
                  </w:divBdr>
                  <w:divsChild>
                    <w:div w:id="1457066043">
                      <w:marLeft w:val="0"/>
                      <w:marRight w:val="0"/>
                      <w:marTop w:val="0"/>
                      <w:marBottom w:val="0"/>
                      <w:divBdr>
                        <w:top w:val="none" w:sz="0" w:space="0" w:color="auto"/>
                        <w:left w:val="none" w:sz="0" w:space="0" w:color="auto"/>
                        <w:bottom w:val="none" w:sz="0" w:space="0" w:color="auto"/>
                        <w:right w:val="none" w:sz="0" w:space="0" w:color="auto"/>
                      </w:divBdr>
                      <w:divsChild>
                        <w:div w:id="1302928545">
                          <w:marLeft w:val="0"/>
                          <w:marRight w:val="0"/>
                          <w:marTop w:val="0"/>
                          <w:marBottom w:val="0"/>
                          <w:divBdr>
                            <w:top w:val="none" w:sz="0" w:space="0" w:color="auto"/>
                            <w:left w:val="none" w:sz="0" w:space="0" w:color="auto"/>
                            <w:bottom w:val="none" w:sz="0" w:space="0" w:color="auto"/>
                            <w:right w:val="none" w:sz="0" w:space="0" w:color="auto"/>
                          </w:divBdr>
                          <w:divsChild>
                            <w:div w:id="29074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fidentiality@ae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 TargetMode="External"/><Relationship Id="rId2" Type="http://schemas.openxmlformats.org/officeDocument/2006/relationships/hyperlink" Target="http://www.aer.gov.au/sites/default/files/AER%20Better%20regulation%20issues%20paper%20-%20December%202012_13.pdf" TargetMode="External"/><Relationship Id="rId1" Type="http://schemas.openxmlformats.org/officeDocument/2006/relationships/hyperlink" Target="http://www.aer.gov.au/node/18824" TargetMode="External"/><Relationship Id="rId4" Type="http://schemas.openxmlformats.org/officeDocument/2006/relationships/hyperlink" Target="http://www.aer.gov.au/node/188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rvpwxfs01\home$\anley\AER%20Report%20Template%202007%20-%20All%20published%20draft%20and%20final%20repo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C278E-3FB7-437F-9BE0-FE8C8469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2007 - All published draft and final reports.dotx</Template>
  <TotalTime>2</TotalTime>
  <Pages>24</Pages>
  <Words>6004</Words>
  <Characters>34228</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40152</CharactersWithSpaces>
  <SharedDoc>false</SharedDoc>
  <HLinks>
    <vt:vector size="156" baseType="variant">
      <vt:variant>
        <vt:i4>1638457</vt:i4>
      </vt:variant>
      <vt:variant>
        <vt:i4>122</vt:i4>
      </vt:variant>
      <vt:variant>
        <vt:i4>0</vt:i4>
      </vt:variant>
      <vt:variant>
        <vt:i4>5</vt:i4>
      </vt:variant>
      <vt:variant>
        <vt:lpwstr/>
      </vt:variant>
      <vt:variant>
        <vt:lpwstr>_Toc349834065</vt:lpwstr>
      </vt:variant>
      <vt:variant>
        <vt:i4>1638457</vt:i4>
      </vt:variant>
      <vt:variant>
        <vt:i4>116</vt:i4>
      </vt:variant>
      <vt:variant>
        <vt:i4>0</vt:i4>
      </vt:variant>
      <vt:variant>
        <vt:i4>5</vt:i4>
      </vt:variant>
      <vt:variant>
        <vt:lpwstr/>
      </vt:variant>
      <vt:variant>
        <vt:lpwstr>_Toc349834064</vt:lpwstr>
      </vt:variant>
      <vt:variant>
        <vt:i4>1638457</vt:i4>
      </vt:variant>
      <vt:variant>
        <vt:i4>110</vt:i4>
      </vt:variant>
      <vt:variant>
        <vt:i4>0</vt:i4>
      </vt:variant>
      <vt:variant>
        <vt:i4>5</vt:i4>
      </vt:variant>
      <vt:variant>
        <vt:lpwstr/>
      </vt:variant>
      <vt:variant>
        <vt:lpwstr>_Toc349834063</vt:lpwstr>
      </vt:variant>
      <vt:variant>
        <vt:i4>1638457</vt:i4>
      </vt:variant>
      <vt:variant>
        <vt:i4>104</vt:i4>
      </vt:variant>
      <vt:variant>
        <vt:i4>0</vt:i4>
      </vt:variant>
      <vt:variant>
        <vt:i4>5</vt:i4>
      </vt:variant>
      <vt:variant>
        <vt:lpwstr/>
      </vt:variant>
      <vt:variant>
        <vt:lpwstr>_Toc349834062</vt:lpwstr>
      </vt:variant>
      <vt:variant>
        <vt:i4>1638457</vt:i4>
      </vt:variant>
      <vt:variant>
        <vt:i4>98</vt:i4>
      </vt:variant>
      <vt:variant>
        <vt:i4>0</vt:i4>
      </vt:variant>
      <vt:variant>
        <vt:i4>5</vt:i4>
      </vt:variant>
      <vt:variant>
        <vt:lpwstr/>
      </vt:variant>
      <vt:variant>
        <vt:lpwstr>_Toc349834061</vt:lpwstr>
      </vt:variant>
      <vt:variant>
        <vt:i4>1638457</vt:i4>
      </vt:variant>
      <vt:variant>
        <vt:i4>92</vt:i4>
      </vt:variant>
      <vt:variant>
        <vt:i4>0</vt:i4>
      </vt:variant>
      <vt:variant>
        <vt:i4>5</vt:i4>
      </vt:variant>
      <vt:variant>
        <vt:lpwstr/>
      </vt:variant>
      <vt:variant>
        <vt:lpwstr>_Toc349834060</vt:lpwstr>
      </vt:variant>
      <vt:variant>
        <vt:i4>1703993</vt:i4>
      </vt:variant>
      <vt:variant>
        <vt:i4>86</vt:i4>
      </vt:variant>
      <vt:variant>
        <vt:i4>0</vt:i4>
      </vt:variant>
      <vt:variant>
        <vt:i4>5</vt:i4>
      </vt:variant>
      <vt:variant>
        <vt:lpwstr/>
      </vt:variant>
      <vt:variant>
        <vt:lpwstr>_Toc349834059</vt:lpwstr>
      </vt:variant>
      <vt:variant>
        <vt:i4>1703993</vt:i4>
      </vt:variant>
      <vt:variant>
        <vt:i4>80</vt:i4>
      </vt:variant>
      <vt:variant>
        <vt:i4>0</vt:i4>
      </vt:variant>
      <vt:variant>
        <vt:i4>5</vt:i4>
      </vt:variant>
      <vt:variant>
        <vt:lpwstr/>
      </vt:variant>
      <vt:variant>
        <vt:lpwstr>_Toc349834058</vt:lpwstr>
      </vt:variant>
      <vt:variant>
        <vt:i4>1703993</vt:i4>
      </vt:variant>
      <vt:variant>
        <vt:i4>74</vt:i4>
      </vt:variant>
      <vt:variant>
        <vt:i4>0</vt:i4>
      </vt:variant>
      <vt:variant>
        <vt:i4>5</vt:i4>
      </vt:variant>
      <vt:variant>
        <vt:lpwstr/>
      </vt:variant>
      <vt:variant>
        <vt:lpwstr>_Toc349834057</vt:lpwstr>
      </vt:variant>
      <vt:variant>
        <vt:i4>1703993</vt:i4>
      </vt:variant>
      <vt:variant>
        <vt:i4>68</vt:i4>
      </vt:variant>
      <vt:variant>
        <vt:i4>0</vt:i4>
      </vt:variant>
      <vt:variant>
        <vt:i4>5</vt:i4>
      </vt:variant>
      <vt:variant>
        <vt:lpwstr/>
      </vt:variant>
      <vt:variant>
        <vt:lpwstr>_Toc349834056</vt:lpwstr>
      </vt:variant>
      <vt:variant>
        <vt:i4>1703993</vt:i4>
      </vt:variant>
      <vt:variant>
        <vt:i4>62</vt:i4>
      </vt:variant>
      <vt:variant>
        <vt:i4>0</vt:i4>
      </vt:variant>
      <vt:variant>
        <vt:i4>5</vt:i4>
      </vt:variant>
      <vt:variant>
        <vt:lpwstr/>
      </vt:variant>
      <vt:variant>
        <vt:lpwstr>_Toc349834055</vt:lpwstr>
      </vt:variant>
      <vt:variant>
        <vt:i4>1703993</vt:i4>
      </vt:variant>
      <vt:variant>
        <vt:i4>56</vt:i4>
      </vt:variant>
      <vt:variant>
        <vt:i4>0</vt:i4>
      </vt:variant>
      <vt:variant>
        <vt:i4>5</vt:i4>
      </vt:variant>
      <vt:variant>
        <vt:lpwstr/>
      </vt:variant>
      <vt:variant>
        <vt:lpwstr>_Toc349834054</vt:lpwstr>
      </vt:variant>
      <vt:variant>
        <vt:i4>1703993</vt:i4>
      </vt:variant>
      <vt:variant>
        <vt:i4>50</vt:i4>
      </vt:variant>
      <vt:variant>
        <vt:i4>0</vt:i4>
      </vt:variant>
      <vt:variant>
        <vt:i4>5</vt:i4>
      </vt:variant>
      <vt:variant>
        <vt:lpwstr/>
      </vt:variant>
      <vt:variant>
        <vt:lpwstr>_Toc349834053</vt:lpwstr>
      </vt:variant>
      <vt:variant>
        <vt:i4>1703993</vt:i4>
      </vt:variant>
      <vt:variant>
        <vt:i4>44</vt:i4>
      </vt:variant>
      <vt:variant>
        <vt:i4>0</vt:i4>
      </vt:variant>
      <vt:variant>
        <vt:i4>5</vt:i4>
      </vt:variant>
      <vt:variant>
        <vt:lpwstr/>
      </vt:variant>
      <vt:variant>
        <vt:lpwstr>_Toc349834052</vt:lpwstr>
      </vt:variant>
      <vt:variant>
        <vt:i4>1703993</vt:i4>
      </vt:variant>
      <vt:variant>
        <vt:i4>38</vt:i4>
      </vt:variant>
      <vt:variant>
        <vt:i4>0</vt:i4>
      </vt:variant>
      <vt:variant>
        <vt:i4>5</vt:i4>
      </vt:variant>
      <vt:variant>
        <vt:lpwstr/>
      </vt:variant>
      <vt:variant>
        <vt:lpwstr>_Toc349834051</vt:lpwstr>
      </vt:variant>
      <vt:variant>
        <vt:i4>1703993</vt:i4>
      </vt:variant>
      <vt:variant>
        <vt:i4>32</vt:i4>
      </vt:variant>
      <vt:variant>
        <vt:i4>0</vt:i4>
      </vt:variant>
      <vt:variant>
        <vt:i4>5</vt:i4>
      </vt:variant>
      <vt:variant>
        <vt:lpwstr/>
      </vt:variant>
      <vt:variant>
        <vt:lpwstr>_Toc349834050</vt:lpwstr>
      </vt:variant>
      <vt:variant>
        <vt:i4>1769529</vt:i4>
      </vt:variant>
      <vt:variant>
        <vt:i4>26</vt:i4>
      </vt:variant>
      <vt:variant>
        <vt:i4>0</vt:i4>
      </vt:variant>
      <vt:variant>
        <vt:i4>5</vt:i4>
      </vt:variant>
      <vt:variant>
        <vt:lpwstr/>
      </vt:variant>
      <vt:variant>
        <vt:lpwstr>_Toc349834049</vt:lpwstr>
      </vt:variant>
      <vt:variant>
        <vt:i4>1769529</vt:i4>
      </vt:variant>
      <vt:variant>
        <vt:i4>20</vt:i4>
      </vt:variant>
      <vt:variant>
        <vt:i4>0</vt:i4>
      </vt:variant>
      <vt:variant>
        <vt:i4>5</vt:i4>
      </vt:variant>
      <vt:variant>
        <vt:lpwstr/>
      </vt:variant>
      <vt:variant>
        <vt:lpwstr>_Toc349834048</vt:lpwstr>
      </vt:variant>
      <vt:variant>
        <vt:i4>1769529</vt:i4>
      </vt:variant>
      <vt:variant>
        <vt:i4>14</vt:i4>
      </vt:variant>
      <vt:variant>
        <vt:i4>0</vt:i4>
      </vt:variant>
      <vt:variant>
        <vt:i4>5</vt:i4>
      </vt:variant>
      <vt:variant>
        <vt:lpwstr/>
      </vt:variant>
      <vt:variant>
        <vt:lpwstr>_Toc349834047</vt:lpwstr>
      </vt:variant>
      <vt:variant>
        <vt:i4>1769529</vt:i4>
      </vt:variant>
      <vt:variant>
        <vt:i4>8</vt:i4>
      </vt:variant>
      <vt:variant>
        <vt:i4>0</vt:i4>
      </vt:variant>
      <vt:variant>
        <vt:i4>5</vt:i4>
      </vt:variant>
      <vt:variant>
        <vt:lpwstr/>
      </vt:variant>
      <vt:variant>
        <vt:lpwstr>_Toc349834046</vt:lpwstr>
      </vt:variant>
      <vt:variant>
        <vt:i4>6750255</vt:i4>
      </vt:variant>
      <vt:variant>
        <vt:i4>3</vt:i4>
      </vt:variant>
      <vt:variant>
        <vt:i4>0</vt:i4>
      </vt:variant>
      <vt:variant>
        <vt:i4>5</vt:i4>
      </vt:variant>
      <vt:variant>
        <vt:lpwstr>http://www.aer.gov.au/</vt:lpwstr>
      </vt:variant>
      <vt:variant>
        <vt:lpwstr/>
      </vt:variant>
      <vt:variant>
        <vt:i4>327794</vt:i4>
      </vt:variant>
      <vt:variant>
        <vt:i4>0</vt:i4>
      </vt:variant>
      <vt:variant>
        <vt:i4>0</vt:i4>
      </vt:variant>
      <vt:variant>
        <vt:i4>5</vt:i4>
      </vt:variant>
      <vt:variant>
        <vt:lpwstr>mailto:confidentiality@aer.gov.au</vt:lpwstr>
      </vt:variant>
      <vt:variant>
        <vt:lpwstr/>
      </vt:variant>
      <vt:variant>
        <vt:i4>5242880</vt:i4>
      </vt:variant>
      <vt:variant>
        <vt:i4>12</vt:i4>
      </vt:variant>
      <vt:variant>
        <vt:i4>0</vt:i4>
      </vt:variant>
      <vt:variant>
        <vt:i4>5</vt:i4>
      </vt:variant>
      <vt:variant>
        <vt:lpwstr>http://www.aer.gov.au/node/18824</vt:lpwstr>
      </vt:variant>
      <vt:variant>
        <vt:lpwstr/>
      </vt:variant>
      <vt:variant>
        <vt:i4>6750255</vt:i4>
      </vt:variant>
      <vt:variant>
        <vt:i4>9</vt:i4>
      </vt:variant>
      <vt:variant>
        <vt:i4>0</vt:i4>
      </vt:variant>
      <vt:variant>
        <vt:i4>5</vt:i4>
      </vt:variant>
      <vt:variant>
        <vt:lpwstr>http://www.aer.gov.au/</vt:lpwstr>
      </vt:variant>
      <vt:variant>
        <vt:lpwstr/>
      </vt:variant>
      <vt:variant>
        <vt:i4>3670083</vt:i4>
      </vt:variant>
      <vt:variant>
        <vt:i4>6</vt:i4>
      </vt:variant>
      <vt:variant>
        <vt:i4>0</vt:i4>
      </vt:variant>
      <vt:variant>
        <vt:i4>5</vt:i4>
      </vt:variant>
      <vt:variant>
        <vt:lpwstr>http://www.aer.gov.au/sites/default/files/AER Better regulation issues paper - December 2012_13.pdf</vt:lpwstr>
      </vt:variant>
      <vt:variant>
        <vt:lpwstr/>
      </vt:variant>
      <vt:variant>
        <vt:i4>5242880</vt:i4>
      </vt:variant>
      <vt:variant>
        <vt:i4>0</vt:i4>
      </vt:variant>
      <vt:variant>
        <vt:i4>0</vt:i4>
      </vt:variant>
      <vt:variant>
        <vt:i4>5</vt:i4>
      </vt:variant>
      <vt:variant>
        <vt:lpwstr>http://www.aer.gov.au/node/18824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kpras</dc:creator>
  <cp:keywords/>
  <cp:lastModifiedBy>spras</cp:lastModifiedBy>
  <cp:revision>2</cp:revision>
  <cp:lastPrinted>2013-02-04T00:28:00Z</cp:lastPrinted>
  <dcterms:created xsi:type="dcterms:W3CDTF">2013-03-18T01:02:00Z</dcterms:created>
  <dcterms:modified xsi:type="dcterms:W3CDTF">2013-03-18T01:02:00Z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H:\TRIMDATA\TRIM\TEMP\CONTEXT.664\D13 3409  Better Regulation Confidentiality Guidelines - Issues Paper - FINAL.DOC</vt:lpwstr>
  </property>
</Properties>
</file>