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B66" w:rsidRPr="00C67F8C" w:rsidRDefault="00D47C96" w:rsidP="00341B66">
      <w:pPr>
        <w:pStyle w:val="Heading1"/>
      </w:pPr>
      <w:r>
        <w:pict>
          <v:shapetype id="_x0000_t202" coordsize="21600,21600" o:spt="202" path="m,l,21600r21600,l21600,xe">
            <v:stroke joinstyle="miter"/>
            <v:path gradientshapeok="t" o:connecttype="rect"/>
          </v:shapetype>
          <v:shape id="_x0000_s1026" type="#_x0000_t202" style="position:absolute;margin-left:0;margin-top:14.25pt;width:240pt;height:91.1pt;z-index:251657728" filled="f" stroked="f">
            <v:textbox style="mso-next-textbox:#_x0000_s1026">
              <w:txbxContent>
                <w:p w:rsidR="004131CC" w:rsidRDefault="004131CC" w:rsidP="00341B66">
                  <w:pPr>
                    <w:rPr>
                      <w:rFonts w:ascii="Arial" w:hAnsi="Arial" w:cs="Arial"/>
                      <w:b/>
                      <w:i/>
                      <w:sz w:val="28"/>
                      <w:szCs w:val="28"/>
                      <w:lang w:eastAsia="en-US"/>
                    </w:rPr>
                  </w:pPr>
                  <w:r>
                    <w:rPr>
                      <w:rFonts w:ascii="Arial" w:hAnsi="Arial" w:cs="Arial"/>
                      <w:b/>
                      <w:i/>
                      <w:sz w:val="28"/>
                      <w:szCs w:val="28"/>
                      <w:lang w:eastAsia="en-US"/>
                    </w:rPr>
                    <w:t xml:space="preserve">July 2012 </w:t>
                  </w:r>
                </w:p>
                <w:p w:rsidR="004131CC" w:rsidRDefault="004131CC" w:rsidP="00341B66">
                  <w:pPr>
                    <w:rPr>
                      <w:rFonts w:ascii="Arial" w:hAnsi="Arial" w:cs="Arial"/>
                      <w:b/>
                      <w:i/>
                      <w:sz w:val="28"/>
                      <w:szCs w:val="28"/>
                      <w:lang w:eastAsia="en-US"/>
                    </w:rPr>
                  </w:pPr>
                  <w:r>
                    <w:rPr>
                      <w:rFonts w:ascii="Arial" w:hAnsi="Arial" w:cs="Arial"/>
                      <w:b/>
                      <w:i/>
                      <w:sz w:val="28"/>
                      <w:szCs w:val="28"/>
                      <w:lang w:eastAsia="en-US"/>
                    </w:rPr>
                    <w:t>Gas Market Events</w:t>
                  </w:r>
                </w:p>
                <w:p w:rsidR="004131CC" w:rsidRPr="00BA3545" w:rsidRDefault="004131CC" w:rsidP="00341B66">
                  <w:pPr>
                    <w:rPr>
                      <w:rFonts w:ascii="Arial" w:hAnsi="Arial" w:cs="Arial"/>
                      <w:b/>
                      <w:i/>
                      <w:sz w:val="28"/>
                      <w:szCs w:val="28"/>
                      <w:lang w:eastAsia="en-US"/>
                    </w:rPr>
                  </w:pPr>
                  <w:r>
                    <w:rPr>
                      <w:rFonts w:ascii="Arial" w:hAnsi="Arial" w:cs="Arial"/>
                      <w:b/>
                      <w:i/>
                      <w:sz w:val="28"/>
                      <w:szCs w:val="28"/>
                      <w:lang w:eastAsia="en-US"/>
                    </w:rPr>
                    <w:t>REPORT</w:t>
                  </w:r>
                </w:p>
                <w:p w:rsidR="004131CC" w:rsidRPr="000E177D" w:rsidRDefault="004131CC" w:rsidP="00341B66">
                  <w:pPr>
                    <w:rPr>
                      <w:lang w:eastAsia="en-US"/>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AER_Head1a" style="width:449.3pt;height:96.75pt;visibility:visible">
            <v:imagedata r:id="rId8" o:title="AER_Head1a" cropbottom="5513f"/>
          </v:shape>
        </w:pict>
      </w:r>
    </w:p>
    <w:p w:rsidR="00341B66" w:rsidRPr="00341B66" w:rsidRDefault="00341B66" w:rsidP="00341B66">
      <w:pPr>
        <w:pStyle w:val="Heading3"/>
      </w:pPr>
      <w:r w:rsidRPr="00341B66">
        <w:t>Introduction</w:t>
      </w:r>
    </w:p>
    <w:p w:rsidR="00814C7C" w:rsidRDefault="00607B65">
      <w:pPr>
        <w:pStyle w:val="Default"/>
        <w:spacing w:before="120" w:after="120"/>
        <w:jc w:val="both"/>
      </w:pPr>
      <w:r w:rsidRPr="00607B65">
        <w:t>Under the National Gas Rules (Gas Rules), the AER is required to identify and publish reports on significant price variations (SPV) in the Victorian Declared Wholesale Gas Market (VGM) and in the Short Term Trading Market (STTM).</w:t>
      </w:r>
      <w:r w:rsidRPr="00607B65">
        <w:rPr>
          <w:rStyle w:val="FootnoteReference"/>
        </w:rPr>
        <w:footnoteReference w:id="1"/>
      </w:r>
      <w:r w:rsidRPr="00607B65">
        <w:t xml:space="preserve"> For the VGM, the AER has already published significant price variation reporting triggers.</w:t>
      </w:r>
      <w:r w:rsidRPr="00607B65">
        <w:rPr>
          <w:rStyle w:val="FootnoteReference"/>
        </w:rPr>
        <w:footnoteReference w:id="2"/>
      </w:r>
      <w:r w:rsidRPr="00607B65">
        <w:t xml:space="preserve"> For the STTM hubs, the AER </w:t>
      </w:r>
      <w:r w:rsidR="00E86618">
        <w:t xml:space="preserve">is in the process of developing </w:t>
      </w:r>
      <w:r w:rsidRPr="00607B65">
        <w:t xml:space="preserve">triggers. </w:t>
      </w:r>
    </w:p>
    <w:p w:rsidR="00814C7C" w:rsidRDefault="00DC4CC2">
      <w:pPr>
        <w:pStyle w:val="Default"/>
        <w:spacing w:before="120" w:after="120"/>
        <w:jc w:val="both"/>
      </w:pPr>
      <w:r>
        <w:t>T</w:t>
      </w:r>
      <w:r w:rsidR="00607B65" w:rsidRPr="00607B65">
        <w:t xml:space="preserve">his report </w:t>
      </w:r>
      <w:r>
        <w:t xml:space="preserve">is </w:t>
      </w:r>
      <w:r w:rsidR="00607B65" w:rsidRPr="00607B65">
        <w:t xml:space="preserve">not published under </w:t>
      </w:r>
      <w:r>
        <w:t xml:space="preserve">the formal SPV requirements. Instead, the report </w:t>
      </w:r>
      <w:r w:rsidR="00607B65" w:rsidRPr="00607B65">
        <w:t xml:space="preserve">is published as part of the AER’s overall monitoring function to provide details on high </w:t>
      </w:r>
      <w:r w:rsidR="009245B7">
        <w:t>July</w:t>
      </w:r>
      <w:r w:rsidR="00607B65" w:rsidRPr="00607B65">
        <w:t xml:space="preserve"> 2012 prices in the VGM and in the Adelaide, Brisbane and Sydney STTM hubs. This report contains a summary of key price drivers and </w:t>
      </w:r>
      <w:r w:rsidR="009B7908">
        <w:t xml:space="preserve">augments </w:t>
      </w:r>
      <w:r w:rsidR="00607B65" w:rsidRPr="00607B65">
        <w:t>the analysis already provided in the AER gas weekly reports.</w:t>
      </w:r>
      <w:r w:rsidR="00607B65" w:rsidRPr="00607B65">
        <w:rPr>
          <w:rStyle w:val="FootnoteReference"/>
        </w:rPr>
        <w:footnoteReference w:id="3"/>
      </w:r>
      <w:r w:rsidR="00E86618">
        <w:t xml:space="preserve"> </w:t>
      </w:r>
    </w:p>
    <w:p w:rsidR="00165543" w:rsidRDefault="00AD7BC7">
      <w:pPr>
        <w:pStyle w:val="Default"/>
        <w:spacing w:before="120" w:after="120"/>
        <w:jc w:val="both"/>
      </w:pPr>
      <w:r w:rsidRPr="00AD7BC7">
        <w:t>As a result of the analysis undertaken in this report, the AER will be making further enquiries into participant demand forecasts, offers and bids. Any compliance issues will be reported in the AER’s Quarterly Compliance Report.</w:t>
      </w:r>
      <w:r w:rsidRPr="00AD7BC7">
        <w:rPr>
          <w:rStyle w:val="FootnoteReference"/>
        </w:rPr>
        <w:footnoteReference w:id="4"/>
      </w:r>
      <w:r w:rsidR="00607B65" w:rsidRPr="00607B65">
        <w:t xml:space="preserve"> </w:t>
      </w:r>
    </w:p>
    <w:p w:rsidR="00814C7C" w:rsidRDefault="0039766A">
      <w:pPr>
        <w:pStyle w:val="Heading3"/>
      </w:pPr>
      <w:r>
        <w:t>Structure of this report</w:t>
      </w:r>
    </w:p>
    <w:p w:rsidR="00814C7C" w:rsidRDefault="00607B65">
      <w:pPr>
        <w:jc w:val="both"/>
      </w:pPr>
      <w:r w:rsidRPr="00607B65">
        <w:t>Part 1 of this report focuses on outcomes for July 2012 at the Adelaide, Sydney and Brisbane hubs of the STTM and the Victorian market. Part 2 focuses on individual days in July in those markets.</w:t>
      </w:r>
    </w:p>
    <w:p w:rsidR="00341B66" w:rsidRDefault="00341B66" w:rsidP="00341B66">
      <w:pPr>
        <w:pStyle w:val="Heading3"/>
      </w:pPr>
      <w:r>
        <w:t>Summary</w:t>
      </w:r>
      <w:r w:rsidR="0039766A">
        <w:t>/assessment</w:t>
      </w:r>
    </w:p>
    <w:p w:rsidR="00165543" w:rsidRDefault="00D630DE">
      <w:pPr>
        <w:pStyle w:val="Default"/>
        <w:spacing w:before="120" w:after="120"/>
        <w:jc w:val="both"/>
      </w:pPr>
      <w:r>
        <w:t>H</w:t>
      </w:r>
      <w:r w:rsidR="00D612C8" w:rsidRPr="00AE28F5">
        <w:t xml:space="preserve">igh prices in July </w:t>
      </w:r>
      <w:r>
        <w:t xml:space="preserve">saw </w:t>
      </w:r>
      <w:r w:rsidR="00D612C8">
        <w:t xml:space="preserve">rolling 30 day average daily prices in all regions </w:t>
      </w:r>
      <w:r>
        <w:t xml:space="preserve">rise </w:t>
      </w:r>
      <w:r w:rsidR="00DC4CC2">
        <w:t xml:space="preserve">significantly. </w:t>
      </w:r>
      <w:r w:rsidR="005A5EAD">
        <w:t>Most</w:t>
      </w:r>
      <w:r w:rsidR="00165543">
        <w:t xml:space="preserve"> notably</w:t>
      </w:r>
      <w:r w:rsidR="00775F6C">
        <w:t xml:space="preserve">, </w:t>
      </w:r>
      <w:r w:rsidR="00165543">
        <w:t xml:space="preserve">the price increased by about $1.70/GJ </w:t>
      </w:r>
      <w:r w:rsidR="005A5EAD">
        <w:t xml:space="preserve">in Adelaide </w:t>
      </w:r>
      <w:r w:rsidR="00165543">
        <w:t xml:space="preserve">over the month as a result of consecutive high price </w:t>
      </w:r>
      <w:r w:rsidR="005A5EAD">
        <w:t xml:space="preserve">days </w:t>
      </w:r>
      <w:r w:rsidR="00165543">
        <w:t xml:space="preserve">from 2 July to 6 July. </w:t>
      </w:r>
      <w:r w:rsidR="00446EAF">
        <w:t xml:space="preserve">It is noted that these increases occurred soon after the introduction of the carbon </w:t>
      </w:r>
      <w:r w:rsidR="00DC4CC2">
        <w:t>price</w:t>
      </w:r>
      <w:r w:rsidR="00446EAF">
        <w:t>, but by</w:t>
      </w:r>
      <w:r w:rsidR="0015010A">
        <w:t xml:space="preserve"> around</w:t>
      </w:r>
      <w:r w:rsidR="00446EAF">
        <w:t xml:space="preserve"> 10 July 2012</w:t>
      </w:r>
      <w:r w:rsidR="0015010A">
        <w:t xml:space="preserve"> prices re-aligned with pre 1 July prices</w:t>
      </w:r>
      <w:r w:rsidR="00DC4CC2">
        <w:t xml:space="preserve"> and the AER does not consider that the introduction of the carbon price explains the increases.</w:t>
      </w:r>
    </w:p>
    <w:p w:rsidR="00184A3D" w:rsidRDefault="00D630DE" w:rsidP="00184A3D">
      <w:pPr>
        <w:pStyle w:val="Default"/>
        <w:spacing w:before="120" w:after="120"/>
        <w:jc w:val="both"/>
      </w:pPr>
      <w:r>
        <w:t xml:space="preserve">Adelaide recorded its highest ex ante price since market start, reaching $14.89/GJ on 4 July. </w:t>
      </w:r>
      <w:r w:rsidR="00C512E6">
        <w:t>T</w:t>
      </w:r>
      <w:r w:rsidR="00184A3D">
        <w:t xml:space="preserve">he ex ante price did not fall below $5/GJ </w:t>
      </w:r>
      <w:r w:rsidR="00C512E6">
        <w:t xml:space="preserve">for the month, </w:t>
      </w:r>
      <w:r w:rsidR="00184A3D">
        <w:t xml:space="preserve">and </w:t>
      </w:r>
      <w:r w:rsidR="00C512E6">
        <w:t xml:space="preserve">was </w:t>
      </w:r>
      <w:r w:rsidR="00184A3D">
        <w:t xml:space="preserve">above $7/GJ on 9 occasions, leading to an average </w:t>
      </w:r>
      <w:r w:rsidR="00C512E6">
        <w:t xml:space="preserve">monthly </w:t>
      </w:r>
      <w:r w:rsidR="00184A3D">
        <w:t xml:space="preserve">price of $6.31/GJ. </w:t>
      </w:r>
    </w:p>
    <w:p w:rsidR="005A5EAD" w:rsidRDefault="005A5EAD">
      <w:pPr>
        <w:pStyle w:val="Default"/>
        <w:spacing w:before="120" w:after="120"/>
        <w:jc w:val="both"/>
      </w:pPr>
      <w:r>
        <w:t xml:space="preserve">The highest ex ante price in Sydney in July 2012 was $9/GJ (below the highest </w:t>
      </w:r>
      <w:r w:rsidR="00DC4CC2">
        <w:t xml:space="preserve">ever price of $17.30/GJ which occurred in </w:t>
      </w:r>
      <w:r>
        <w:t>June 2012</w:t>
      </w:r>
      <w:r w:rsidR="00775F6C">
        <w:rPr>
          <w:rStyle w:val="FootnoteReference"/>
        </w:rPr>
        <w:footnoteReference w:id="5"/>
      </w:r>
      <w:r>
        <w:t>). The average ex ante price for the month of July was $6.75/GJ, with the price exceeding $7/GJ on 14 occasions.</w:t>
      </w:r>
    </w:p>
    <w:p w:rsidR="005A5EAD" w:rsidRDefault="00775F6C">
      <w:pPr>
        <w:pStyle w:val="Default"/>
        <w:spacing w:before="120" w:after="120"/>
        <w:jc w:val="both"/>
      </w:pPr>
      <w:r>
        <w:lastRenderedPageBreak/>
        <w:t>While t</w:t>
      </w:r>
      <w:r w:rsidR="00184A3D">
        <w:t xml:space="preserve">he majority of prices in Brisbane were below $5/GJ for the month, </w:t>
      </w:r>
      <w:r w:rsidR="005A5EAD">
        <w:t>price</w:t>
      </w:r>
      <w:r>
        <w:t xml:space="preserve">s were ‘jumpy’ and </w:t>
      </w:r>
      <w:r w:rsidR="00184A3D">
        <w:t xml:space="preserve"> exceeded $7/GJ on 10 occasions leading to an average price of $5.23/GJ.</w:t>
      </w:r>
      <w:r>
        <w:t xml:space="preserve"> </w:t>
      </w:r>
    </w:p>
    <w:p w:rsidR="00816842" w:rsidRDefault="00816842">
      <w:pPr>
        <w:pStyle w:val="Default"/>
        <w:spacing w:before="120" w:after="120"/>
        <w:jc w:val="both"/>
      </w:pPr>
      <w:r>
        <w:t>A</w:t>
      </w:r>
      <w:r w:rsidR="002D5CD3">
        <w:t xml:space="preserve"> number of the higher ex ante price days in the STTM </w:t>
      </w:r>
      <w:r>
        <w:t xml:space="preserve">involved </w:t>
      </w:r>
      <w:r w:rsidR="00A12552">
        <w:t>significant r</w:t>
      </w:r>
      <w:r w:rsidR="00A12552" w:rsidRPr="00DE3817">
        <w:t xml:space="preserve">ebidding </w:t>
      </w:r>
      <w:r w:rsidR="00A12552">
        <w:t>of offer</w:t>
      </w:r>
      <w:r w:rsidR="00DC4CC2">
        <w:t>s</w:t>
      </w:r>
      <w:r w:rsidR="00A12552">
        <w:t xml:space="preserve"> between the D-2 schedule and final ex ante schedule</w:t>
      </w:r>
      <w:r>
        <w:t xml:space="preserve"> into higher price bands</w:t>
      </w:r>
      <w:r w:rsidR="00A12552">
        <w:t>.</w:t>
      </w:r>
      <w:r w:rsidR="00C51A42">
        <w:rPr>
          <w:rStyle w:val="FootnoteReference"/>
        </w:rPr>
        <w:footnoteReference w:id="6"/>
      </w:r>
      <w:r w:rsidR="00A12552">
        <w:t xml:space="preserve"> </w:t>
      </w:r>
      <w:r w:rsidR="00591839">
        <w:t>I</w:t>
      </w:r>
      <w:r w:rsidR="00A12552">
        <w:t>n Sydney</w:t>
      </w:r>
      <w:r w:rsidR="002B70FB">
        <w:t>,</w:t>
      </w:r>
      <w:r w:rsidR="006F54F5">
        <w:t xml:space="preserve"> </w:t>
      </w:r>
      <w:r w:rsidR="00A12552">
        <w:t xml:space="preserve">AGL </w:t>
      </w:r>
      <w:r w:rsidR="00DC4CC2">
        <w:t>(</w:t>
      </w:r>
      <w:r w:rsidR="002D5CD3">
        <w:t xml:space="preserve">and to </w:t>
      </w:r>
      <w:r w:rsidR="00A12552">
        <w:t>a lesser degree Origin and TRUenergy</w:t>
      </w:r>
      <w:r w:rsidR="00DC4CC2">
        <w:t xml:space="preserve">) </w:t>
      </w:r>
      <w:r w:rsidR="00A12552">
        <w:t>re</w:t>
      </w:r>
      <w:r w:rsidR="00477DC5">
        <w:noBreakHyphen/>
      </w:r>
      <w:r w:rsidR="00A12552">
        <w:t>priced volumes into higher price bands</w:t>
      </w:r>
      <w:r w:rsidR="002D5CD3">
        <w:t xml:space="preserve"> on </w:t>
      </w:r>
      <w:r w:rsidR="00775F6C">
        <w:t xml:space="preserve">many </w:t>
      </w:r>
      <w:r w:rsidR="006362BC">
        <w:t>high price</w:t>
      </w:r>
      <w:r w:rsidR="00775F6C">
        <w:t xml:space="preserve"> days</w:t>
      </w:r>
      <w:r w:rsidR="00A12552">
        <w:t xml:space="preserve">. In </w:t>
      </w:r>
      <w:r w:rsidR="002D5CD3">
        <w:t>Adelaide, there was also significant re</w:t>
      </w:r>
      <w:r w:rsidR="00477DC5">
        <w:noBreakHyphen/>
      </w:r>
      <w:r w:rsidR="002D5CD3">
        <w:t xml:space="preserve">pricing of </w:t>
      </w:r>
      <w:r w:rsidR="00DC4CC2">
        <w:t xml:space="preserve">offers </w:t>
      </w:r>
      <w:r w:rsidR="002D5CD3">
        <w:t xml:space="preserve">into higher price bands </w:t>
      </w:r>
      <w:r w:rsidR="006362BC">
        <w:t xml:space="preserve">including </w:t>
      </w:r>
      <w:r w:rsidR="002D5CD3">
        <w:t xml:space="preserve">for the record 4 July price day. </w:t>
      </w:r>
      <w:r w:rsidR="006362BC">
        <w:t xml:space="preserve">In </w:t>
      </w:r>
      <w:r w:rsidR="002D5CD3">
        <w:t>Brisbane</w:t>
      </w:r>
      <w:r w:rsidR="00477DC5">
        <w:t>,</w:t>
      </w:r>
      <w:r w:rsidR="002D5CD3">
        <w:t xml:space="preserve"> smaller volumes of gas were re</w:t>
      </w:r>
      <w:r w:rsidR="00477DC5">
        <w:noBreakHyphen/>
      </w:r>
      <w:r w:rsidR="002D5CD3">
        <w:t>priced</w:t>
      </w:r>
      <w:r w:rsidR="006362BC">
        <w:t xml:space="preserve">; </w:t>
      </w:r>
      <w:r w:rsidR="002D5CD3">
        <w:t xml:space="preserve">but ex ante prices often jumped up </w:t>
      </w:r>
      <w:r w:rsidR="00DC4CC2">
        <w:t xml:space="preserve">based on even </w:t>
      </w:r>
      <w:r w:rsidR="002D5CD3">
        <w:t xml:space="preserve">small demand </w:t>
      </w:r>
      <w:r w:rsidR="006362BC">
        <w:t xml:space="preserve">increases for the ex ante schedule. </w:t>
      </w:r>
      <w:r w:rsidR="00DC4CC2">
        <w:t>For example, p</w:t>
      </w:r>
      <w:r w:rsidR="006362BC">
        <w:t xml:space="preserve">rices </w:t>
      </w:r>
      <w:r w:rsidR="00DC4CC2">
        <w:t xml:space="preserve">would </w:t>
      </w:r>
      <w:r w:rsidR="006362BC">
        <w:t xml:space="preserve">jump by more than $2/GJ because there were no gas </w:t>
      </w:r>
      <w:r w:rsidR="002D5CD3">
        <w:t>offer</w:t>
      </w:r>
      <w:r w:rsidR="006362BC">
        <w:t xml:space="preserve">s made </w:t>
      </w:r>
      <w:r w:rsidR="002D5CD3">
        <w:t>at prices between $6 and $8/GJ.</w:t>
      </w:r>
      <w:r>
        <w:t xml:space="preserve"> </w:t>
      </w:r>
    </w:p>
    <w:p w:rsidR="002D5CD3" w:rsidRDefault="00816842">
      <w:pPr>
        <w:pStyle w:val="Default"/>
        <w:spacing w:before="120" w:after="120"/>
        <w:jc w:val="both"/>
      </w:pPr>
      <w:r>
        <w:t xml:space="preserve">In Sydney there were some </w:t>
      </w:r>
      <w:r w:rsidR="00DC4CC2">
        <w:t xml:space="preserve">very significant </w:t>
      </w:r>
      <w:r>
        <w:t>differences between ex ante and ex post prices. The 27 July</w:t>
      </w:r>
      <w:r w:rsidR="00477DC5">
        <w:t xml:space="preserve"> gas day</w:t>
      </w:r>
      <w:r>
        <w:t xml:space="preserve"> ($17.41/GJ ex post price and $8.41/GJ ex ante price) involved the largest difference ever between the two prices in any STTM hub</w:t>
      </w:r>
      <w:r w:rsidR="004A4782">
        <w:rPr>
          <w:rStyle w:val="FootnoteReference"/>
        </w:rPr>
        <w:footnoteReference w:id="7"/>
      </w:r>
      <w:r w:rsidR="006362BC">
        <w:t>. This was</w:t>
      </w:r>
      <w:r>
        <w:t xml:space="preserve"> largely as a result of a steep Sydney offer curve </w:t>
      </w:r>
      <w:r w:rsidR="006362BC">
        <w:t>with only small</w:t>
      </w:r>
      <w:r w:rsidR="00B33666">
        <w:t xml:space="preserve"> quantities of gas offers between $8/GJ and $45/GJ.</w:t>
      </w:r>
      <w:r w:rsidR="006362BC">
        <w:t xml:space="preserve"> </w:t>
      </w:r>
    </w:p>
    <w:p w:rsidR="00814C7C" w:rsidRDefault="00DC4CC2">
      <w:pPr>
        <w:pStyle w:val="Default"/>
        <w:spacing w:before="120" w:after="120"/>
        <w:jc w:val="both"/>
      </w:pPr>
      <w:r>
        <w:t>In Victoria, t</w:t>
      </w:r>
      <w:r w:rsidR="00B937DB">
        <w:t xml:space="preserve">he </w:t>
      </w:r>
      <w:r w:rsidR="00184A3D">
        <w:t xml:space="preserve">maximum </w:t>
      </w:r>
      <w:r w:rsidR="005A5EAD">
        <w:t>daily weighted</w:t>
      </w:r>
      <w:r w:rsidR="00363225">
        <w:t xml:space="preserve"> </w:t>
      </w:r>
      <w:r w:rsidR="00184A3D">
        <w:t xml:space="preserve">price for July was $15.57/GJ on 7 July, the highest </w:t>
      </w:r>
      <w:r w:rsidR="005A5EAD">
        <w:t xml:space="preserve">daily </w:t>
      </w:r>
      <w:r w:rsidR="00184A3D">
        <w:t>price in the market since November 2008. The price in Victoria reached levels just below $8/GJ on four days, with an average of $5.86/GJ for July.</w:t>
      </w:r>
    </w:p>
    <w:p w:rsidR="00814C7C" w:rsidRDefault="00E8707B">
      <w:pPr>
        <w:pStyle w:val="Default"/>
        <w:spacing w:before="120" w:after="120"/>
        <w:jc w:val="both"/>
      </w:pPr>
      <w:r>
        <w:t>Average p</w:t>
      </w:r>
      <w:r w:rsidR="00073343">
        <w:t xml:space="preserve">rices for July 2012 were </w:t>
      </w:r>
      <w:r>
        <w:t xml:space="preserve">significantly </w:t>
      </w:r>
      <w:r w:rsidR="005A5EAD">
        <w:t xml:space="preserve">higher </w:t>
      </w:r>
      <w:r w:rsidR="00073343">
        <w:t xml:space="preserve">than for July 2011 in all markets (the Brisbane hub only commenced in December 2011). Compared to July 2011, the average </w:t>
      </w:r>
      <w:r w:rsidR="00477DC5">
        <w:t>ex </w:t>
      </w:r>
      <w:r w:rsidR="00073343">
        <w:t>ante price in July 2012 was:</w:t>
      </w:r>
    </w:p>
    <w:p w:rsidR="00073343" w:rsidRDefault="00073343" w:rsidP="00073343">
      <w:pPr>
        <w:numPr>
          <w:ilvl w:val="0"/>
          <w:numId w:val="3"/>
        </w:numPr>
        <w:spacing w:after="120"/>
        <w:jc w:val="both"/>
      </w:pPr>
      <w:r>
        <w:t>85 per cent higher in the Sydney STTM.</w:t>
      </w:r>
    </w:p>
    <w:p w:rsidR="00073343" w:rsidRDefault="00073343" w:rsidP="00073343">
      <w:pPr>
        <w:numPr>
          <w:ilvl w:val="0"/>
          <w:numId w:val="3"/>
        </w:numPr>
        <w:spacing w:after="120"/>
        <w:jc w:val="both"/>
      </w:pPr>
      <w:r>
        <w:t>69 per cent higher in the Adelaide STTM.</w:t>
      </w:r>
    </w:p>
    <w:p w:rsidR="00073343" w:rsidRDefault="00073343" w:rsidP="00073343">
      <w:pPr>
        <w:numPr>
          <w:ilvl w:val="0"/>
          <w:numId w:val="3"/>
        </w:numPr>
        <w:spacing w:after="120"/>
        <w:jc w:val="both"/>
      </w:pPr>
      <w:r>
        <w:t>62 per cent higher in the VGM.</w:t>
      </w:r>
    </w:p>
    <w:p w:rsidR="00921C64" w:rsidRPr="00AD4ECF" w:rsidRDefault="00921C64" w:rsidP="00921C64">
      <w:pPr>
        <w:spacing w:after="120"/>
        <w:jc w:val="both"/>
      </w:pPr>
      <w:r w:rsidRPr="00AD4ECF">
        <w:t>Compared to Ju</w:t>
      </w:r>
      <w:r w:rsidR="00AD4ECF" w:rsidRPr="00AD4ECF">
        <w:t>ly</w:t>
      </w:r>
      <w:r w:rsidRPr="00AD4ECF">
        <w:t xml:space="preserve"> 2011, there was a reduction in the volume of gas offered in key price setting bands:</w:t>
      </w:r>
    </w:p>
    <w:p w:rsidR="00814C7C" w:rsidRDefault="00921C64">
      <w:pPr>
        <w:numPr>
          <w:ilvl w:val="0"/>
          <w:numId w:val="3"/>
        </w:numPr>
        <w:spacing w:after="120"/>
        <w:jc w:val="both"/>
      </w:pPr>
      <w:r w:rsidRPr="00AD4ECF">
        <w:t xml:space="preserve">in Sydney, the average volume of gas offered below $6/GJ was </w:t>
      </w:r>
      <w:r w:rsidR="00AD4ECF" w:rsidRPr="00AD4ECF">
        <w:t>13</w:t>
      </w:r>
      <w:r w:rsidRPr="00AD4ECF">
        <w:t> per cent lower.</w:t>
      </w:r>
    </w:p>
    <w:p w:rsidR="00814C7C" w:rsidRDefault="00921C64">
      <w:pPr>
        <w:numPr>
          <w:ilvl w:val="0"/>
          <w:numId w:val="3"/>
        </w:numPr>
        <w:spacing w:after="120"/>
        <w:jc w:val="both"/>
      </w:pPr>
      <w:r w:rsidRPr="00AD4ECF">
        <w:t>in Adelaide the average volume of gas offered below $</w:t>
      </w:r>
      <w:r w:rsidR="00AD4ECF" w:rsidRPr="00AD4ECF">
        <w:t>6</w:t>
      </w:r>
      <w:r w:rsidRPr="00AD4ECF">
        <w:t xml:space="preserve">/GJ was </w:t>
      </w:r>
      <w:r w:rsidR="00AD4ECF" w:rsidRPr="00AD4ECF">
        <w:t>20</w:t>
      </w:r>
      <w:r w:rsidRPr="00AD4ECF">
        <w:t> per cent lower.</w:t>
      </w:r>
    </w:p>
    <w:p w:rsidR="00814C7C" w:rsidRDefault="00921C64">
      <w:pPr>
        <w:numPr>
          <w:ilvl w:val="0"/>
          <w:numId w:val="3"/>
        </w:numPr>
        <w:spacing w:after="120"/>
        <w:jc w:val="both"/>
      </w:pPr>
      <w:r w:rsidRPr="00AD4ECF">
        <w:t xml:space="preserve">in the VGM, the average volume of gas offered below $6/GJ was </w:t>
      </w:r>
      <w:r w:rsidR="00AD4ECF">
        <w:t>2</w:t>
      </w:r>
      <w:r w:rsidR="004A4782">
        <w:t>1</w:t>
      </w:r>
      <w:r w:rsidRPr="00AD4ECF">
        <w:t xml:space="preserve"> per cent lower. </w:t>
      </w:r>
    </w:p>
    <w:p w:rsidR="00814C7C" w:rsidRDefault="00AD4ECF">
      <w:pPr>
        <w:pStyle w:val="Default"/>
        <w:spacing w:before="120" w:after="120"/>
        <w:jc w:val="both"/>
      </w:pPr>
      <w:r w:rsidRPr="00AD4ECF">
        <w:t xml:space="preserve">In Victoria, the long-term outage at Bass Gas continued to contribute to lower volumes of low priced injection bids (typically </w:t>
      </w:r>
      <w:r w:rsidR="004A4782">
        <w:t xml:space="preserve">market participants at </w:t>
      </w:r>
      <w:r w:rsidR="005A5EAD">
        <w:t xml:space="preserve">Bass Gas offer in </w:t>
      </w:r>
      <w:r w:rsidRPr="00AD4ECF">
        <w:t xml:space="preserve">around </w:t>
      </w:r>
      <w:r w:rsidR="000702C7">
        <w:t>5</w:t>
      </w:r>
      <w:r w:rsidRPr="00AD4ECF">
        <w:t>0 </w:t>
      </w:r>
      <w:r w:rsidR="000702C7">
        <w:t xml:space="preserve">to </w:t>
      </w:r>
      <w:r w:rsidR="002B70FB">
        <w:t>60 </w:t>
      </w:r>
      <w:r w:rsidR="000702C7">
        <w:t>TJ</w:t>
      </w:r>
      <w:r w:rsidRPr="00AD4ECF">
        <w:t xml:space="preserve"> </w:t>
      </w:r>
      <w:r w:rsidR="005A5EAD">
        <w:t xml:space="preserve">of gas </w:t>
      </w:r>
      <w:r w:rsidRPr="00AD4ECF">
        <w:t>priced at zero</w:t>
      </w:r>
      <w:r w:rsidR="005A5EAD">
        <w:t xml:space="preserve"> dollars</w:t>
      </w:r>
      <w:r w:rsidR="00DC4CC2">
        <w:t xml:space="preserve"> when it is operating</w:t>
      </w:r>
      <w:r w:rsidRPr="00AD4ECF">
        <w:t>).</w:t>
      </w:r>
    </w:p>
    <w:p w:rsidR="002933B9" w:rsidRDefault="002933B9">
      <w:pPr>
        <w:pStyle w:val="Default"/>
        <w:spacing w:before="120" w:after="120"/>
        <w:jc w:val="both"/>
      </w:pPr>
    </w:p>
    <w:p w:rsidR="0039766A" w:rsidRDefault="0039766A" w:rsidP="00C26AD1">
      <w:pPr>
        <w:spacing w:after="120"/>
        <w:jc w:val="both"/>
        <w:rPr>
          <w:highlight w:val="yellow"/>
        </w:rPr>
      </w:pPr>
    </w:p>
    <w:p w:rsidR="00076334" w:rsidRDefault="00076334" w:rsidP="00C26AD1">
      <w:pPr>
        <w:pStyle w:val="Default"/>
        <w:jc w:val="both"/>
        <w:rPr>
          <w:highlight w:val="yellow"/>
        </w:rPr>
      </w:pPr>
    </w:p>
    <w:p w:rsidR="005655FD" w:rsidRPr="00E40FD5" w:rsidRDefault="00076334" w:rsidP="00C26AD1">
      <w:pPr>
        <w:pStyle w:val="Default"/>
        <w:jc w:val="both"/>
        <w:rPr>
          <w:rFonts w:ascii="Arial" w:hAnsi="Arial" w:cs="Arial"/>
          <w:b/>
          <w:sz w:val="32"/>
          <w:szCs w:val="32"/>
        </w:rPr>
      </w:pPr>
      <w:r>
        <w:rPr>
          <w:highlight w:val="yellow"/>
        </w:rPr>
        <w:br w:type="page"/>
      </w:r>
      <w:r w:rsidR="00341B66" w:rsidRPr="00E40FD5">
        <w:rPr>
          <w:rFonts w:ascii="Arial" w:hAnsi="Arial" w:cs="Arial"/>
          <w:b/>
          <w:sz w:val="32"/>
          <w:szCs w:val="32"/>
        </w:rPr>
        <w:lastRenderedPageBreak/>
        <w:t>Part 1</w:t>
      </w:r>
      <w:r w:rsidR="00341B66" w:rsidRPr="00E40FD5">
        <w:rPr>
          <w:rFonts w:ascii="Arial" w:hAnsi="Arial" w:cs="Arial"/>
          <w:b/>
          <w:sz w:val="32"/>
          <w:szCs w:val="32"/>
        </w:rPr>
        <w:tab/>
      </w:r>
      <w:r w:rsidR="002837C6" w:rsidRPr="00E40FD5">
        <w:rPr>
          <w:rFonts w:ascii="Arial" w:hAnsi="Arial" w:cs="Arial"/>
          <w:b/>
          <w:sz w:val="32"/>
          <w:szCs w:val="32"/>
        </w:rPr>
        <w:t>O</w:t>
      </w:r>
      <w:r w:rsidR="00341B66" w:rsidRPr="00E40FD5">
        <w:rPr>
          <w:rFonts w:ascii="Arial" w:hAnsi="Arial" w:cs="Arial"/>
          <w:b/>
          <w:sz w:val="32"/>
          <w:szCs w:val="32"/>
        </w:rPr>
        <w:t xml:space="preserve">utcomes </w:t>
      </w:r>
      <w:r w:rsidR="002837C6" w:rsidRPr="00E40FD5">
        <w:rPr>
          <w:rFonts w:ascii="Arial" w:hAnsi="Arial" w:cs="Arial"/>
          <w:b/>
          <w:sz w:val="32"/>
          <w:szCs w:val="32"/>
        </w:rPr>
        <w:t>for the month of July</w:t>
      </w:r>
    </w:p>
    <w:p w:rsidR="002837C6" w:rsidRPr="002837C6" w:rsidRDefault="002837C6" w:rsidP="002837C6">
      <w:pPr>
        <w:pStyle w:val="Heading3"/>
      </w:pPr>
      <w:r w:rsidRPr="002837C6">
        <w:t xml:space="preserve">Sydney hub prices </w:t>
      </w:r>
    </w:p>
    <w:p w:rsidR="00DF71B2" w:rsidRDefault="002837C6">
      <w:pPr>
        <w:pStyle w:val="AERbodytext"/>
        <w:jc w:val="both"/>
      </w:pPr>
      <w:r>
        <w:t xml:space="preserve">Figure </w:t>
      </w:r>
      <w:r w:rsidR="00117E2F">
        <w:t>1</w:t>
      </w:r>
      <w:r w:rsidR="00DF71B2">
        <w:t xml:space="preserve"> </w:t>
      </w:r>
      <w:r w:rsidRPr="002837C6">
        <w:t>shows daily ex</w:t>
      </w:r>
      <w:r>
        <w:t xml:space="preserve"> ante prices and demand for </w:t>
      </w:r>
      <w:r w:rsidR="005461D6">
        <w:t xml:space="preserve">June and </w:t>
      </w:r>
      <w:r>
        <w:t>July</w:t>
      </w:r>
      <w:r w:rsidRPr="002837C6">
        <w:t xml:space="preserve"> 2012 along with the rolling 30 day average price. </w:t>
      </w:r>
    </w:p>
    <w:p w:rsidR="002837C6" w:rsidRPr="00094DB8" w:rsidRDefault="00094DB8" w:rsidP="002837C6">
      <w:pPr>
        <w:pStyle w:val="Heading3"/>
        <w:rPr>
          <w:bCs w:val="0"/>
          <w:sz w:val="24"/>
          <w:szCs w:val="24"/>
        </w:rPr>
      </w:pPr>
      <w:r w:rsidRPr="00094DB8">
        <w:rPr>
          <w:sz w:val="20"/>
          <w:szCs w:val="20"/>
          <w:lang w:eastAsia="en-US"/>
        </w:rPr>
        <w:t xml:space="preserve">Figure </w:t>
      </w:r>
      <w:r w:rsidR="00CD7339">
        <w:rPr>
          <w:sz w:val="20"/>
          <w:szCs w:val="20"/>
          <w:lang w:eastAsia="en-US"/>
        </w:rPr>
        <w:t>1</w:t>
      </w:r>
      <w:r w:rsidRPr="00094DB8">
        <w:rPr>
          <w:sz w:val="20"/>
          <w:szCs w:val="20"/>
          <w:lang w:eastAsia="en-US"/>
        </w:rPr>
        <w:t xml:space="preserve">: </w:t>
      </w:r>
      <w:r w:rsidR="00093FFA" w:rsidRPr="00094DB8">
        <w:rPr>
          <w:sz w:val="20"/>
          <w:szCs w:val="20"/>
          <w:lang w:eastAsia="en-US"/>
        </w:rPr>
        <w:t xml:space="preserve">Sydney </w:t>
      </w:r>
      <w:r w:rsidR="00093FFA">
        <w:rPr>
          <w:sz w:val="20"/>
          <w:szCs w:val="20"/>
          <w:lang w:eastAsia="en-US"/>
        </w:rPr>
        <w:t xml:space="preserve">ex ante </w:t>
      </w:r>
      <w:r w:rsidRPr="00094DB8">
        <w:rPr>
          <w:sz w:val="20"/>
          <w:szCs w:val="20"/>
          <w:lang w:eastAsia="en-US"/>
        </w:rPr>
        <w:t xml:space="preserve">prices and </w:t>
      </w:r>
      <w:r w:rsidR="00093FFA">
        <w:rPr>
          <w:sz w:val="20"/>
          <w:szCs w:val="20"/>
          <w:lang w:eastAsia="en-US"/>
        </w:rPr>
        <w:t>demand, June and July 2012</w:t>
      </w:r>
    </w:p>
    <w:p w:rsidR="00117E2F" w:rsidRDefault="00DB2A1A" w:rsidP="00117E2F">
      <w:pPr>
        <w:pStyle w:val="Default"/>
        <w:spacing w:before="120" w:after="120"/>
        <w:jc w:val="both"/>
      </w:pPr>
      <w:r>
        <w:pict>
          <v:shape id="_x0000_i1026" type="#_x0000_t75" style="width:450.45pt;height:185.45pt">
            <v:imagedata r:id="rId9" o:title=""/>
          </v:shape>
        </w:pict>
      </w:r>
      <w:r w:rsidR="00607B65" w:rsidRPr="00607B65">
        <w:t xml:space="preserve">The rolling average ex ante price started July at around $6.30/GJ and settled </w:t>
      </w:r>
      <w:r w:rsidR="00F16B37">
        <w:t xml:space="preserve">slightly higher </w:t>
      </w:r>
      <w:r w:rsidR="00134D16" w:rsidRPr="007D1AD6">
        <w:t>by the</w:t>
      </w:r>
      <w:r w:rsidR="002837C6" w:rsidRPr="007D1AD6">
        <w:t xml:space="preserve"> end of the month</w:t>
      </w:r>
      <w:r w:rsidR="00270BB5" w:rsidRPr="007D1AD6">
        <w:t xml:space="preserve"> </w:t>
      </w:r>
      <w:r w:rsidR="00F16B37">
        <w:t xml:space="preserve">at </w:t>
      </w:r>
      <w:r w:rsidR="00270BB5" w:rsidRPr="007D1AD6">
        <w:t>$6.69</w:t>
      </w:r>
      <w:r w:rsidR="00607B65" w:rsidRPr="00607B65">
        <w:t>/GJ.</w:t>
      </w:r>
    </w:p>
    <w:p w:rsidR="002933B9" w:rsidRDefault="002933B9" w:rsidP="002933B9">
      <w:pPr>
        <w:keepNext/>
        <w:spacing w:before="240"/>
        <w:jc w:val="both"/>
        <w:rPr>
          <w:rFonts w:ascii="Arial" w:hAnsi="Arial" w:cs="Arial"/>
          <w:b/>
          <w:sz w:val="20"/>
          <w:szCs w:val="20"/>
          <w:lang w:eastAsia="en-US"/>
        </w:rPr>
      </w:pPr>
      <w:r>
        <w:rPr>
          <w:sz w:val="23"/>
          <w:szCs w:val="23"/>
        </w:rPr>
        <w:t>Figures 2 and 3 compare key prices and quantities in the</w:t>
      </w:r>
      <w:r w:rsidR="00BC6526">
        <w:rPr>
          <w:sz w:val="23"/>
          <w:szCs w:val="23"/>
        </w:rPr>
        <w:t xml:space="preserve"> Sydney</w:t>
      </w:r>
      <w:r>
        <w:rPr>
          <w:sz w:val="23"/>
          <w:szCs w:val="23"/>
        </w:rPr>
        <w:t xml:space="preserve"> hub for July 2012 to July 2011. As shown in Figure 6 (and graphically in figure 7), the volume of offers at or below $6/GJ</w:t>
      </w:r>
      <w:r>
        <w:rPr>
          <w:rStyle w:val="FootnoteReference"/>
          <w:sz w:val="23"/>
          <w:szCs w:val="23"/>
        </w:rPr>
        <w:footnoteReference w:id="8"/>
      </w:r>
      <w:r>
        <w:rPr>
          <w:sz w:val="16"/>
          <w:szCs w:val="16"/>
        </w:rPr>
        <w:t xml:space="preserve">  </w:t>
      </w:r>
      <w:r>
        <w:rPr>
          <w:sz w:val="23"/>
          <w:szCs w:val="23"/>
        </w:rPr>
        <w:t xml:space="preserve">fell by </w:t>
      </w:r>
      <w:r w:rsidR="00BC6526">
        <w:rPr>
          <w:sz w:val="23"/>
          <w:szCs w:val="23"/>
        </w:rPr>
        <w:t>45 TJ (or 13 per</w:t>
      </w:r>
      <w:r w:rsidR="002B70FB">
        <w:rPr>
          <w:sz w:val="23"/>
          <w:szCs w:val="23"/>
        </w:rPr>
        <w:t> </w:t>
      </w:r>
      <w:r w:rsidR="00BC6526">
        <w:rPr>
          <w:sz w:val="23"/>
          <w:szCs w:val="23"/>
        </w:rPr>
        <w:t xml:space="preserve">cent) from July </w:t>
      </w:r>
      <w:r>
        <w:rPr>
          <w:sz w:val="23"/>
          <w:szCs w:val="23"/>
        </w:rPr>
        <w:t xml:space="preserve">2011 to </w:t>
      </w:r>
      <w:r w:rsidR="00BC6526">
        <w:rPr>
          <w:sz w:val="23"/>
          <w:szCs w:val="23"/>
        </w:rPr>
        <w:t xml:space="preserve">July </w:t>
      </w:r>
      <w:r>
        <w:rPr>
          <w:sz w:val="23"/>
          <w:szCs w:val="23"/>
        </w:rPr>
        <w:t>2012.</w:t>
      </w:r>
    </w:p>
    <w:p w:rsidR="002933B9" w:rsidRDefault="002933B9" w:rsidP="00117E2F">
      <w:pPr>
        <w:keepNext/>
        <w:spacing w:before="240"/>
        <w:jc w:val="both"/>
        <w:rPr>
          <w:rFonts w:ascii="Arial" w:hAnsi="Arial" w:cs="Arial"/>
          <w:b/>
          <w:sz w:val="20"/>
          <w:szCs w:val="20"/>
          <w:lang w:eastAsia="en-US"/>
        </w:rPr>
      </w:pPr>
    </w:p>
    <w:p w:rsidR="00117E2F" w:rsidRDefault="00117E2F" w:rsidP="00117E2F">
      <w:pPr>
        <w:keepNext/>
        <w:spacing w:before="240"/>
        <w:jc w:val="both"/>
        <w:rPr>
          <w:rFonts w:ascii="Arial" w:hAnsi="Arial" w:cs="Arial"/>
          <w:b/>
          <w:sz w:val="20"/>
          <w:szCs w:val="20"/>
          <w:lang w:eastAsia="en-US"/>
        </w:rPr>
      </w:pPr>
      <w:r w:rsidRPr="00486CB1">
        <w:rPr>
          <w:rFonts w:ascii="Arial" w:hAnsi="Arial" w:cs="Arial"/>
          <w:b/>
          <w:sz w:val="20"/>
          <w:szCs w:val="20"/>
          <w:lang w:eastAsia="en-US"/>
        </w:rPr>
        <w:t xml:space="preserve">Figure </w:t>
      </w:r>
      <w:r>
        <w:rPr>
          <w:rFonts w:ascii="Arial" w:hAnsi="Arial" w:cs="Arial"/>
          <w:b/>
          <w:sz w:val="20"/>
          <w:szCs w:val="20"/>
          <w:lang w:eastAsia="en-US"/>
        </w:rPr>
        <w:t>2: Sydney a</w:t>
      </w:r>
      <w:r w:rsidRPr="00486CB1">
        <w:rPr>
          <w:rFonts w:ascii="Arial" w:hAnsi="Arial" w:cs="Arial"/>
          <w:b/>
          <w:sz w:val="20"/>
          <w:szCs w:val="20"/>
          <w:lang w:eastAsia="en-US"/>
        </w:rPr>
        <w:t xml:space="preserve">verage </w:t>
      </w:r>
      <w:r>
        <w:rPr>
          <w:rFonts w:ascii="Arial" w:hAnsi="Arial" w:cs="Arial"/>
          <w:b/>
          <w:sz w:val="20"/>
          <w:szCs w:val="20"/>
          <w:lang w:eastAsia="en-US"/>
        </w:rPr>
        <w:t xml:space="preserve">daily </w:t>
      </w:r>
      <w:r w:rsidRPr="00486CB1">
        <w:rPr>
          <w:rFonts w:ascii="Arial" w:hAnsi="Arial" w:cs="Arial"/>
          <w:b/>
          <w:sz w:val="20"/>
          <w:szCs w:val="20"/>
          <w:lang w:eastAsia="en-US"/>
        </w:rPr>
        <w:t>key prices and inputs</w:t>
      </w:r>
      <w:r>
        <w:rPr>
          <w:rFonts w:ascii="Arial" w:hAnsi="Arial" w:cs="Arial"/>
          <w:b/>
          <w:sz w:val="20"/>
          <w:szCs w:val="20"/>
          <w:lang w:eastAsia="en-US"/>
        </w:rPr>
        <w:t>: July 2011 vs. July 2012</w:t>
      </w:r>
    </w:p>
    <w:tbl>
      <w:tblPr>
        <w:tblW w:w="9335" w:type="dxa"/>
        <w:tblBorders>
          <w:top w:val="single" w:sz="12" w:space="0" w:color="000000"/>
          <w:bottom w:val="single" w:sz="12" w:space="0" w:color="000000"/>
          <w:insideH w:val="single" w:sz="6" w:space="0" w:color="000000"/>
        </w:tblBorders>
        <w:tblLayout w:type="fixed"/>
        <w:tblLook w:val="04A0"/>
      </w:tblPr>
      <w:tblGrid>
        <w:gridCol w:w="1242"/>
        <w:gridCol w:w="1618"/>
        <w:gridCol w:w="1618"/>
        <w:gridCol w:w="1619"/>
        <w:gridCol w:w="1619"/>
        <w:gridCol w:w="1619"/>
      </w:tblGrid>
      <w:tr w:rsidR="00117E2F" w:rsidRPr="00802371" w:rsidTr="00117E2F">
        <w:trPr>
          <w:trHeight w:val="300"/>
        </w:trPr>
        <w:tc>
          <w:tcPr>
            <w:tcW w:w="1242" w:type="dxa"/>
            <w:shd w:val="clear" w:color="auto" w:fill="auto"/>
            <w:noWrap/>
            <w:hideMark/>
          </w:tcPr>
          <w:p w:rsidR="00117E2F" w:rsidRPr="00802371" w:rsidRDefault="00117E2F" w:rsidP="00117E2F">
            <w:pPr>
              <w:jc w:val="center"/>
              <w:rPr>
                <w:rFonts w:ascii="Calibri" w:hAnsi="Calibri" w:cs="Arial"/>
                <w:b/>
                <w:bCs/>
                <w:color w:val="000000"/>
                <w:sz w:val="20"/>
                <w:szCs w:val="20"/>
              </w:rPr>
            </w:pPr>
          </w:p>
        </w:tc>
        <w:tc>
          <w:tcPr>
            <w:tcW w:w="1618" w:type="dxa"/>
          </w:tcPr>
          <w:p w:rsidR="00D47C96" w:rsidRDefault="00117E2F">
            <w:pPr>
              <w:jc w:val="center"/>
              <w:rPr>
                <w:rFonts w:ascii="Arial" w:hAnsi="Arial" w:cs="Arial"/>
                <w:b/>
                <w:color w:val="000000"/>
                <w:sz w:val="20"/>
                <w:szCs w:val="20"/>
              </w:rPr>
            </w:pPr>
            <w:r w:rsidRPr="00996539">
              <w:rPr>
                <w:rFonts w:ascii="Arial" w:hAnsi="Arial" w:cs="Arial"/>
                <w:b/>
                <w:color w:val="000000"/>
                <w:sz w:val="20"/>
                <w:szCs w:val="20"/>
              </w:rPr>
              <w:t>Offers</w:t>
            </w:r>
            <w:r>
              <w:rPr>
                <w:rFonts w:ascii="Arial" w:hAnsi="Arial" w:cs="Arial"/>
                <w:b/>
                <w:color w:val="000000"/>
                <w:sz w:val="20"/>
                <w:szCs w:val="20"/>
              </w:rPr>
              <w:t xml:space="preserve"> at or below</w:t>
            </w:r>
            <w:r w:rsidRPr="00996539">
              <w:rPr>
                <w:rFonts w:ascii="Arial" w:hAnsi="Arial" w:cs="Arial"/>
                <w:b/>
                <w:color w:val="000000"/>
                <w:sz w:val="20"/>
                <w:szCs w:val="20"/>
              </w:rPr>
              <w:t xml:space="preserve"> $6/GJ</w:t>
            </w:r>
          </w:p>
          <w:p w:rsidR="00D47C96" w:rsidRDefault="00117E2F">
            <w:pPr>
              <w:jc w:val="center"/>
              <w:rPr>
                <w:rFonts w:ascii="Arial" w:hAnsi="Arial" w:cs="Arial"/>
                <w:b/>
                <w:color w:val="000000"/>
                <w:sz w:val="20"/>
                <w:szCs w:val="20"/>
              </w:rPr>
            </w:pPr>
            <w:r w:rsidRPr="00996539">
              <w:rPr>
                <w:rFonts w:ascii="Arial" w:hAnsi="Arial" w:cs="Arial"/>
                <w:b/>
                <w:color w:val="000000"/>
                <w:sz w:val="20"/>
                <w:szCs w:val="20"/>
              </w:rPr>
              <w:t>(TJ)</w:t>
            </w:r>
          </w:p>
        </w:tc>
        <w:tc>
          <w:tcPr>
            <w:tcW w:w="1618" w:type="dxa"/>
            <w:shd w:val="clear" w:color="auto" w:fill="auto"/>
            <w:noWrap/>
            <w:hideMark/>
          </w:tcPr>
          <w:p w:rsidR="00D47C96" w:rsidRDefault="00117E2F">
            <w:pPr>
              <w:jc w:val="center"/>
              <w:rPr>
                <w:rFonts w:ascii="Arial" w:hAnsi="Arial" w:cs="Arial"/>
                <w:b/>
                <w:color w:val="000000"/>
                <w:sz w:val="20"/>
                <w:szCs w:val="20"/>
              </w:rPr>
            </w:pPr>
            <w:r w:rsidRPr="00607B65">
              <w:rPr>
                <w:rFonts w:ascii="Arial" w:hAnsi="Arial" w:cs="Arial"/>
                <w:b/>
                <w:color w:val="000000"/>
                <w:sz w:val="20"/>
                <w:szCs w:val="20"/>
              </w:rPr>
              <w:t xml:space="preserve">Ex ante </w:t>
            </w:r>
          </w:p>
          <w:p w:rsidR="00D47C96" w:rsidRDefault="00117E2F">
            <w:pPr>
              <w:jc w:val="center"/>
              <w:rPr>
                <w:rFonts w:ascii="Arial" w:hAnsi="Arial" w:cs="Arial"/>
                <w:b/>
                <w:color w:val="000000"/>
                <w:sz w:val="20"/>
                <w:szCs w:val="20"/>
              </w:rPr>
            </w:pPr>
            <w:r>
              <w:rPr>
                <w:rFonts w:ascii="Arial" w:hAnsi="Arial" w:cs="Arial"/>
                <w:b/>
                <w:color w:val="000000"/>
                <w:sz w:val="20"/>
                <w:szCs w:val="20"/>
              </w:rPr>
              <w:t>Volume</w:t>
            </w:r>
          </w:p>
          <w:p w:rsidR="00D47C96" w:rsidRDefault="00117E2F">
            <w:pPr>
              <w:jc w:val="center"/>
              <w:rPr>
                <w:rFonts w:ascii="Arial" w:hAnsi="Arial" w:cs="Arial"/>
                <w:b/>
                <w:color w:val="000000"/>
                <w:sz w:val="20"/>
                <w:szCs w:val="20"/>
              </w:rPr>
            </w:pPr>
            <w:r w:rsidRPr="00607B65">
              <w:rPr>
                <w:rFonts w:ascii="Arial" w:hAnsi="Arial" w:cs="Arial"/>
                <w:b/>
                <w:color w:val="000000"/>
                <w:sz w:val="20"/>
                <w:szCs w:val="20"/>
              </w:rPr>
              <w:t>(TJ)</w:t>
            </w:r>
          </w:p>
        </w:tc>
        <w:tc>
          <w:tcPr>
            <w:tcW w:w="1619" w:type="dxa"/>
            <w:shd w:val="clear" w:color="auto" w:fill="auto"/>
            <w:noWrap/>
            <w:hideMark/>
          </w:tcPr>
          <w:p w:rsidR="00117E2F" w:rsidRDefault="00117E2F" w:rsidP="00117E2F">
            <w:pPr>
              <w:jc w:val="center"/>
              <w:rPr>
                <w:rFonts w:ascii="Arial" w:hAnsi="Arial" w:cs="Arial"/>
                <w:b/>
                <w:color w:val="000000"/>
                <w:sz w:val="20"/>
                <w:szCs w:val="20"/>
              </w:rPr>
            </w:pPr>
            <w:r w:rsidRPr="00607B65">
              <w:rPr>
                <w:rFonts w:ascii="Arial" w:hAnsi="Arial" w:cs="Arial"/>
                <w:b/>
                <w:color w:val="000000"/>
                <w:sz w:val="20"/>
                <w:szCs w:val="20"/>
              </w:rPr>
              <w:t>Ex ante</w:t>
            </w:r>
          </w:p>
          <w:p w:rsidR="00117E2F" w:rsidRDefault="00117E2F" w:rsidP="00117E2F">
            <w:pPr>
              <w:jc w:val="center"/>
              <w:rPr>
                <w:rFonts w:ascii="Arial" w:hAnsi="Arial" w:cs="Arial"/>
                <w:b/>
                <w:color w:val="000000"/>
                <w:sz w:val="20"/>
                <w:szCs w:val="20"/>
              </w:rPr>
            </w:pPr>
            <w:r w:rsidRPr="00607B65">
              <w:rPr>
                <w:rFonts w:ascii="Arial" w:hAnsi="Arial" w:cs="Arial"/>
                <w:b/>
                <w:color w:val="000000"/>
                <w:sz w:val="20"/>
                <w:szCs w:val="20"/>
              </w:rPr>
              <w:t>price</w:t>
            </w:r>
          </w:p>
          <w:p w:rsidR="00117E2F" w:rsidRDefault="00117E2F" w:rsidP="00117E2F">
            <w:pPr>
              <w:jc w:val="center"/>
              <w:rPr>
                <w:rFonts w:ascii="Arial" w:hAnsi="Arial" w:cs="Arial"/>
                <w:b/>
                <w:color w:val="000000"/>
                <w:sz w:val="20"/>
                <w:szCs w:val="20"/>
              </w:rPr>
            </w:pPr>
            <w:r w:rsidRPr="00607B65">
              <w:rPr>
                <w:rFonts w:ascii="Arial" w:hAnsi="Arial" w:cs="Arial"/>
                <w:b/>
                <w:color w:val="000000"/>
                <w:sz w:val="20"/>
                <w:szCs w:val="20"/>
              </w:rPr>
              <w:t>($</w:t>
            </w:r>
            <w:r>
              <w:rPr>
                <w:rFonts w:ascii="Arial" w:hAnsi="Arial" w:cs="Arial"/>
                <w:b/>
                <w:color w:val="000000"/>
                <w:sz w:val="20"/>
                <w:szCs w:val="20"/>
              </w:rPr>
              <w:t>/GJ</w:t>
            </w:r>
            <w:r w:rsidRPr="00607B65">
              <w:rPr>
                <w:rFonts w:ascii="Arial" w:hAnsi="Arial" w:cs="Arial"/>
                <w:b/>
                <w:color w:val="000000"/>
                <w:sz w:val="20"/>
                <w:szCs w:val="20"/>
              </w:rPr>
              <w:t>)</w:t>
            </w:r>
          </w:p>
        </w:tc>
        <w:tc>
          <w:tcPr>
            <w:tcW w:w="1619" w:type="dxa"/>
            <w:shd w:val="clear" w:color="auto" w:fill="auto"/>
            <w:noWrap/>
            <w:hideMark/>
          </w:tcPr>
          <w:p w:rsidR="00117E2F" w:rsidRDefault="00117E2F" w:rsidP="00117E2F">
            <w:pPr>
              <w:jc w:val="center"/>
              <w:rPr>
                <w:rFonts w:ascii="Arial" w:hAnsi="Arial" w:cs="Arial"/>
                <w:b/>
                <w:color w:val="000000"/>
                <w:sz w:val="20"/>
                <w:szCs w:val="20"/>
              </w:rPr>
            </w:pPr>
            <w:r>
              <w:rPr>
                <w:rFonts w:ascii="Arial" w:hAnsi="Arial" w:cs="Arial"/>
                <w:b/>
                <w:color w:val="000000"/>
                <w:sz w:val="20"/>
                <w:szCs w:val="20"/>
              </w:rPr>
              <w:t>A</w:t>
            </w:r>
            <w:r w:rsidRPr="00996539">
              <w:rPr>
                <w:rFonts w:ascii="Arial" w:hAnsi="Arial" w:cs="Arial"/>
                <w:b/>
                <w:color w:val="000000"/>
                <w:sz w:val="20"/>
                <w:szCs w:val="20"/>
              </w:rPr>
              <w:t xml:space="preserve">bsolute </w:t>
            </w:r>
            <w:r>
              <w:rPr>
                <w:rFonts w:ascii="Arial" w:hAnsi="Arial" w:cs="Arial"/>
                <w:b/>
                <w:color w:val="000000"/>
                <w:sz w:val="20"/>
                <w:szCs w:val="20"/>
              </w:rPr>
              <w:t>i</w:t>
            </w:r>
            <w:r w:rsidRPr="00607B65">
              <w:rPr>
                <w:rFonts w:ascii="Arial" w:hAnsi="Arial" w:cs="Arial"/>
                <w:b/>
                <w:color w:val="000000"/>
                <w:sz w:val="20"/>
                <w:szCs w:val="20"/>
              </w:rPr>
              <w:t xml:space="preserve">mbalance </w:t>
            </w:r>
            <w:r>
              <w:rPr>
                <w:rFonts w:ascii="Arial" w:hAnsi="Arial" w:cs="Arial"/>
                <w:b/>
                <w:color w:val="000000"/>
                <w:sz w:val="20"/>
                <w:szCs w:val="20"/>
              </w:rPr>
              <w:t>volume</w:t>
            </w:r>
          </w:p>
          <w:p w:rsidR="00117E2F" w:rsidRDefault="00117E2F" w:rsidP="00117E2F">
            <w:pPr>
              <w:jc w:val="center"/>
              <w:rPr>
                <w:rFonts w:ascii="Arial" w:hAnsi="Arial" w:cs="Arial"/>
                <w:b/>
                <w:color w:val="000000"/>
                <w:sz w:val="20"/>
                <w:szCs w:val="20"/>
              </w:rPr>
            </w:pPr>
            <w:r w:rsidRPr="00607B65">
              <w:rPr>
                <w:rFonts w:ascii="Arial" w:hAnsi="Arial" w:cs="Arial"/>
                <w:b/>
                <w:color w:val="000000"/>
                <w:sz w:val="20"/>
                <w:szCs w:val="20"/>
              </w:rPr>
              <w:t>(TJ)</w:t>
            </w:r>
          </w:p>
        </w:tc>
        <w:tc>
          <w:tcPr>
            <w:tcW w:w="1619" w:type="dxa"/>
            <w:shd w:val="clear" w:color="auto" w:fill="auto"/>
          </w:tcPr>
          <w:p w:rsidR="00117E2F" w:rsidRDefault="00117E2F" w:rsidP="00117E2F">
            <w:pPr>
              <w:jc w:val="center"/>
              <w:rPr>
                <w:rFonts w:ascii="Arial" w:hAnsi="Arial" w:cs="Arial"/>
                <w:b/>
                <w:color w:val="000000"/>
                <w:sz w:val="20"/>
                <w:szCs w:val="20"/>
              </w:rPr>
            </w:pPr>
            <w:r w:rsidRPr="00607B65">
              <w:rPr>
                <w:rFonts w:ascii="Arial" w:hAnsi="Arial" w:cs="Arial"/>
                <w:b/>
                <w:color w:val="000000"/>
                <w:sz w:val="20"/>
                <w:szCs w:val="20"/>
              </w:rPr>
              <w:t>Ex post price</w:t>
            </w:r>
          </w:p>
          <w:p w:rsidR="00117E2F" w:rsidRDefault="00117E2F" w:rsidP="00117E2F">
            <w:pPr>
              <w:jc w:val="center"/>
              <w:rPr>
                <w:rFonts w:ascii="Arial" w:hAnsi="Arial" w:cs="Arial"/>
                <w:b/>
                <w:i/>
                <w:color w:val="000000"/>
                <w:sz w:val="20"/>
                <w:szCs w:val="20"/>
              </w:rPr>
            </w:pPr>
            <w:r w:rsidRPr="00607B65">
              <w:rPr>
                <w:rFonts w:ascii="Arial" w:hAnsi="Arial" w:cs="Arial"/>
                <w:b/>
                <w:color w:val="000000"/>
                <w:sz w:val="20"/>
                <w:szCs w:val="20"/>
              </w:rPr>
              <w:t>($/GJ)</w:t>
            </w:r>
            <w:r w:rsidR="003F69ED">
              <w:rPr>
                <w:rStyle w:val="FootnoteReference"/>
                <w:rFonts w:ascii="Arial" w:hAnsi="Arial" w:cs="Arial"/>
                <w:b/>
                <w:color w:val="000000"/>
                <w:sz w:val="20"/>
                <w:szCs w:val="20"/>
              </w:rPr>
              <w:footnoteReference w:id="9"/>
            </w:r>
          </w:p>
        </w:tc>
      </w:tr>
      <w:tr w:rsidR="00117E2F" w:rsidRPr="00802371" w:rsidTr="00117E2F">
        <w:trPr>
          <w:trHeight w:val="300"/>
        </w:trPr>
        <w:tc>
          <w:tcPr>
            <w:tcW w:w="1242" w:type="dxa"/>
            <w:shd w:val="clear" w:color="auto" w:fill="auto"/>
            <w:noWrap/>
            <w:hideMark/>
          </w:tcPr>
          <w:p w:rsidR="00117E2F" w:rsidRPr="00996539" w:rsidRDefault="00117E2F" w:rsidP="00117E2F">
            <w:pPr>
              <w:rPr>
                <w:rFonts w:ascii="Arial" w:hAnsi="Arial" w:cs="Arial"/>
                <w:b/>
                <w:color w:val="000000"/>
                <w:sz w:val="20"/>
                <w:szCs w:val="20"/>
              </w:rPr>
            </w:pPr>
            <w:r w:rsidRPr="00607B65">
              <w:rPr>
                <w:rFonts w:ascii="Arial" w:hAnsi="Arial" w:cs="Arial"/>
                <w:b/>
                <w:color w:val="000000"/>
                <w:sz w:val="20"/>
                <w:szCs w:val="20"/>
              </w:rPr>
              <w:t>July 2011</w:t>
            </w:r>
          </w:p>
        </w:tc>
        <w:tc>
          <w:tcPr>
            <w:tcW w:w="1618" w:type="dxa"/>
          </w:tcPr>
          <w:p w:rsidR="00117E2F" w:rsidRPr="00996539" w:rsidRDefault="00117E2F" w:rsidP="00117E2F">
            <w:pPr>
              <w:jc w:val="center"/>
              <w:rPr>
                <w:rFonts w:ascii="Arial" w:hAnsi="Arial" w:cs="Arial"/>
                <w:color w:val="000000"/>
                <w:sz w:val="20"/>
                <w:szCs w:val="20"/>
              </w:rPr>
            </w:pPr>
            <w:r w:rsidRPr="00996539">
              <w:rPr>
                <w:rFonts w:ascii="Arial" w:hAnsi="Arial" w:cs="Arial"/>
                <w:color w:val="000000"/>
                <w:sz w:val="20"/>
                <w:szCs w:val="20"/>
              </w:rPr>
              <w:t>351</w:t>
            </w:r>
          </w:p>
        </w:tc>
        <w:tc>
          <w:tcPr>
            <w:tcW w:w="1618" w:type="dxa"/>
            <w:shd w:val="clear" w:color="auto" w:fill="auto"/>
            <w:noWrap/>
            <w:hideMark/>
          </w:tcPr>
          <w:p w:rsidR="00117E2F" w:rsidRPr="00996539" w:rsidRDefault="00117E2F" w:rsidP="00117E2F">
            <w:pPr>
              <w:jc w:val="center"/>
              <w:rPr>
                <w:rFonts w:ascii="Arial" w:hAnsi="Arial" w:cs="Arial"/>
                <w:color w:val="000000"/>
                <w:sz w:val="20"/>
                <w:szCs w:val="20"/>
              </w:rPr>
            </w:pPr>
            <w:r w:rsidRPr="00607B65">
              <w:rPr>
                <w:rFonts w:ascii="Arial" w:hAnsi="Arial" w:cs="Arial"/>
                <w:color w:val="000000"/>
                <w:sz w:val="20"/>
                <w:szCs w:val="20"/>
              </w:rPr>
              <w:t>301</w:t>
            </w:r>
          </w:p>
        </w:tc>
        <w:tc>
          <w:tcPr>
            <w:tcW w:w="1619" w:type="dxa"/>
            <w:shd w:val="clear" w:color="auto" w:fill="auto"/>
            <w:noWrap/>
            <w:hideMark/>
          </w:tcPr>
          <w:p w:rsidR="00117E2F" w:rsidRPr="00996539" w:rsidRDefault="00117E2F" w:rsidP="00117E2F">
            <w:pPr>
              <w:jc w:val="center"/>
              <w:rPr>
                <w:rFonts w:ascii="Arial" w:hAnsi="Arial" w:cs="Arial"/>
                <w:color w:val="000000"/>
                <w:sz w:val="20"/>
                <w:szCs w:val="20"/>
              </w:rPr>
            </w:pPr>
            <w:r w:rsidRPr="00607B65">
              <w:rPr>
                <w:rFonts w:ascii="Arial" w:hAnsi="Arial" w:cs="Arial"/>
                <w:color w:val="000000"/>
                <w:sz w:val="20"/>
                <w:szCs w:val="20"/>
              </w:rPr>
              <w:t>3.66</w:t>
            </w:r>
          </w:p>
        </w:tc>
        <w:tc>
          <w:tcPr>
            <w:tcW w:w="1619" w:type="dxa"/>
            <w:shd w:val="clear" w:color="auto" w:fill="auto"/>
            <w:noWrap/>
            <w:hideMark/>
          </w:tcPr>
          <w:p w:rsidR="00117E2F" w:rsidRPr="00996539" w:rsidRDefault="00117E2F" w:rsidP="00117E2F">
            <w:pPr>
              <w:jc w:val="center"/>
              <w:rPr>
                <w:rFonts w:ascii="Arial" w:hAnsi="Arial" w:cs="Arial"/>
                <w:color w:val="000000"/>
                <w:sz w:val="20"/>
                <w:szCs w:val="20"/>
              </w:rPr>
            </w:pPr>
            <w:r w:rsidRPr="00607B65">
              <w:rPr>
                <w:rFonts w:ascii="Arial" w:hAnsi="Arial" w:cs="Arial"/>
                <w:color w:val="000000"/>
                <w:sz w:val="20"/>
                <w:szCs w:val="20"/>
              </w:rPr>
              <w:t>11.6</w:t>
            </w:r>
          </w:p>
        </w:tc>
        <w:tc>
          <w:tcPr>
            <w:tcW w:w="1619" w:type="dxa"/>
            <w:shd w:val="clear" w:color="auto" w:fill="auto"/>
          </w:tcPr>
          <w:p w:rsidR="00117E2F" w:rsidRPr="00996539" w:rsidRDefault="00117E2F" w:rsidP="00117E2F">
            <w:pPr>
              <w:jc w:val="center"/>
              <w:rPr>
                <w:rFonts w:ascii="Arial" w:hAnsi="Arial" w:cs="Arial"/>
                <w:color w:val="000000"/>
                <w:sz w:val="20"/>
                <w:szCs w:val="20"/>
              </w:rPr>
            </w:pPr>
            <w:r w:rsidRPr="00607B65">
              <w:rPr>
                <w:rFonts w:ascii="Arial" w:hAnsi="Arial" w:cs="Arial"/>
                <w:color w:val="000000"/>
                <w:sz w:val="20"/>
                <w:szCs w:val="20"/>
              </w:rPr>
              <w:t>3.25</w:t>
            </w:r>
          </w:p>
        </w:tc>
      </w:tr>
      <w:tr w:rsidR="00117E2F" w:rsidRPr="00802371" w:rsidTr="00117E2F">
        <w:trPr>
          <w:trHeight w:val="300"/>
        </w:trPr>
        <w:tc>
          <w:tcPr>
            <w:tcW w:w="1242" w:type="dxa"/>
            <w:shd w:val="clear" w:color="auto" w:fill="auto"/>
            <w:noWrap/>
            <w:hideMark/>
          </w:tcPr>
          <w:p w:rsidR="00117E2F" w:rsidRPr="00996539" w:rsidRDefault="00117E2F" w:rsidP="00117E2F">
            <w:pPr>
              <w:rPr>
                <w:rFonts w:ascii="Arial" w:hAnsi="Arial" w:cs="Arial"/>
                <w:b/>
                <w:color w:val="000000"/>
                <w:sz w:val="20"/>
                <w:szCs w:val="20"/>
              </w:rPr>
            </w:pPr>
            <w:r w:rsidRPr="00607B65">
              <w:rPr>
                <w:rFonts w:ascii="Arial" w:hAnsi="Arial" w:cs="Arial"/>
                <w:b/>
                <w:color w:val="000000"/>
                <w:sz w:val="20"/>
                <w:szCs w:val="20"/>
              </w:rPr>
              <w:t>July 2012</w:t>
            </w:r>
          </w:p>
        </w:tc>
        <w:tc>
          <w:tcPr>
            <w:tcW w:w="1618" w:type="dxa"/>
          </w:tcPr>
          <w:p w:rsidR="00117E2F" w:rsidRPr="00996539" w:rsidRDefault="00117E2F" w:rsidP="00117E2F">
            <w:pPr>
              <w:jc w:val="center"/>
              <w:rPr>
                <w:rFonts w:ascii="Arial" w:hAnsi="Arial" w:cs="Arial"/>
                <w:color w:val="000000"/>
                <w:sz w:val="20"/>
                <w:szCs w:val="20"/>
              </w:rPr>
            </w:pPr>
            <w:r w:rsidRPr="00996539">
              <w:rPr>
                <w:rFonts w:ascii="Arial" w:hAnsi="Arial" w:cs="Arial"/>
                <w:color w:val="000000"/>
                <w:sz w:val="20"/>
                <w:szCs w:val="20"/>
              </w:rPr>
              <w:t>306</w:t>
            </w:r>
          </w:p>
        </w:tc>
        <w:tc>
          <w:tcPr>
            <w:tcW w:w="1618" w:type="dxa"/>
            <w:shd w:val="clear" w:color="auto" w:fill="auto"/>
            <w:noWrap/>
            <w:hideMark/>
          </w:tcPr>
          <w:p w:rsidR="00117E2F" w:rsidRPr="00996539" w:rsidRDefault="00117E2F" w:rsidP="00117E2F">
            <w:pPr>
              <w:jc w:val="center"/>
              <w:rPr>
                <w:rFonts w:ascii="Arial" w:hAnsi="Arial" w:cs="Arial"/>
                <w:color w:val="000000"/>
                <w:sz w:val="20"/>
                <w:szCs w:val="20"/>
              </w:rPr>
            </w:pPr>
            <w:r w:rsidRPr="00607B65">
              <w:rPr>
                <w:rFonts w:ascii="Arial" w:hAnsi="Arial" w:cs="Arial"/>
                <w:color w:val="000000"/>
                <w:sz w:val="20"/>
                <w:szCs w:val="20"/>
              </w:rPr>
              <w:t>303</w:t>
            </w:r>
          </w:p>
        </w:tc>
        <w:tc>
          <w:tcPr>
            <w:tcW w:w="1619" w:type="dxa"/>
            <w:shd w:val="clear" w:color="auto" w:fill="auto"/>
            <w:noWrap/>
            <w:hideMark/>
          </w:tcPr>
          <w:p w:rsidR="00117E2F" w:rsidRPr="00996539" w:rsidRDefault="00117E2F" w:rsidP="00117E2F">
            <w:pPr>
              <w:jc w:val="center"/>
              <w:rPr>
                <w:rFonts w:ascii="Arial" w:hAnsi="Arial" w:cs="Arial"/>
                <w:color w:val="000000"/>
                <w:sz w:val="20"/>
                <w:szCs w:val="20"/>
              </w:rPr>
            </w:pPr>
            <w:r w:rsidRPr="00607B65">
              <w:rPr>
                <w:rFonts w:ascii="Arial" w:hAnsi="Arial" w:cs="Arial"/>
                <w:color w:val="000000"/>
                <w:sz w:val="20"/>
                <w:szCs w:val="20"/>
              </w:rPr>
              <w:t>6.75</w:t>
            </w:r>
          </w:p>
        </w:tc>
        <w:tc>
          <w:tcPr>
            <w:tcW w:w="1619" w:type="dxa"/>
            <w:shd w:val="clear" w:color="auto" w:fill="auto"/>
            <w:noWrap/>
            <w:hideMark/>
          </w:tcPr>
          <w:p w:rsidR="00117E2F" w:rsidRPr="00996539" w:rsidRDefault="00117E2F" w:rsidP="00117E2F">
            <w:pPr>
              <w:jc w:val="center"/>
              <w:rPr>
                <w:rFonts w:ascii="Arial" w:hAnsi="Arial" w:cs="Arial"/>
                <w:color w:val="000000"/>
                <w:sz w:val="20"/>
                <w:szCs w:val="20"/>
              </w:rPr>
            </w:pPr>
            <w:r w:rsidRPr="00607B65">
              <w:rPr>
                <w:rFonts w:ascii="Arial" w:hAnsi="Arial" w:cs="Arial"/>
                <w:color w:val="000000"/>
                <w:sz w:val="20"/>
                <w:szCs w:val="20"/>
              </w:rPr>
              <w:t>8.2</w:t>
            </w:r>
          </w:p>
        </w:tc>
        <w:tc>
          <w:tcPr>
            <w:tcW w:w="1619" w:type="dxa"/>
            <w:shd w:val="clear" w:color="auto" w:fill="auto"/>
          </w:tcPr>
          <w:p w:rsidR="00117E2F" w:rsidRPr="00996539" w:rsidRDefault="00117E2F" w:rsidP="00117E2F">
            <w:pPr>
              <w:jc w:val="center"/>
              <w:rPr>
                <w:rFonts w:ascii="Arial" w:hAnsi="Arial" w:cs="Arial"/>
                <w:color w:val="000000"/>
                <w:sz w:val="20"/>
                <w:szCs w:val="20"/>
              </w:rPr>
            </w:pPr>
            <w:r w:rsidRPr="00607B65">
              <w:rPr>
                <w:rFonts w:ascii="Arial" w:hAnsi="Arial" w:cs="Arial"/>
                <w:color w:val="000000"/>
                <w:sz w:val="20"/>
                <w:szCs w:val="20"/>
              </w:rPr>
              <w:t>7.36</w:t>
            </w:r>
          </w:p>
        </w:tc>
      </w:tr>
    </w:tbl>
    <w:p w:rsidR="00117E2F" w:rsidRDefault="00117E2F" w:rsidP="00117E2F">
      <w:pPr>
        <w:keepNext/>
        <w:spacing w:before="240"/>
        <w:jc w:val="both"/>
        <w:rPr>
          <w:rFonts w:ascii="Arial" w:hAnsi="Arial" w:cs="Arial"/>
          <w:b/>
          <w:sz w:val="20"/>
          <w:szCs w:val="20"/>
          <w:lang w:eastAsia="en-US"/>
        </w:rPr>
      </w:pPr>
      <w:r w:rsidRPr="00486CB1">
        <w:rPr>
          <w:rFonts w:ascii="Arial" w:hAnsi="Arial" w:cs="Arial"/>
          <w:b/>
          <w:sz w:val="20"/>
          <w:szCs w:val="20"/>
          <w:lang w:eastAsia="en-US"/>
        </w:rPr>
        <w:lastRenderedPageBreak/>
        <w:t xml:space="preserve">Figure </w:t>
      </w:r>
      <w:r>
        <w:rPr>
          <w:rFonts w:ascii="Arial" w:hAnsi="Arial" w:cs="Arial"/>
          <w:b/>
          <w:sz w:val="20"/>
          <w:szCs w:val="20"/>
          <w:lang w:eastAsia="en-US"/>
        </w:rPr>
        <w:t>3: Sydney ex ante offers ($/GJ) and scheduled quantities (TJ): July 2011 vs. July 2012</w:t>
      </w:r>
    </w:p>
    <w:p w:rsidR="00117E2F" w:rsidRPr="00802371" w:rsidRDefault="00DB2A1A" w:rsidP="00117E2F">
      <w:pPr>
        <w:rPr>
          <w:rFonts w:ascii="Calibri" w:hAnsi="Calibri"/>
          <w:sz w:val="20"/>
          <w:szCs w:val="20"/>
        </w:rPr>
      </w:pPr>
      <w:r w:rsidRPr="00D47C96">
        <w:rPr>
          <w:szCs w:val="20"/>
        </w:rPr>
        <w:pict>
          <v:shape id="_x0000_i1027" type="#_x0000_t75" style="width:451pt;height:181.45pt">
            <v:imagedata r:id="rId10" o:title=""/>
          </v:shape>
        </w:pict>
      </w:r>
    </w:p>
    <w:p w:rsidR="00117E2F" w:rsidRDefault="00117E2F" w:rsidP="00117E2F">
      <w:pPr>
        <w:pStyle w:val="Default"/>
        <w:spacing w:before="120" w:after="120"/>
        <w:jc w:val="both"/>
      </w:pPr>
      <w:r w:rsidRPr="00607B65">
        <w:t>Although the average daily ex ante volume of gas scheduled in July 2012 was only 2</w:t>
      </w:r>
      <w:r>
        <w:t> </w:t>
      </w:r>
      <w:r w:rsidRPr="00607B65">
        <w:t>TJ higher than in July 2011, at $6.75/GJ, the average ex ante price was over $3/GJ higher (</w:t>
      </w:r>
      <w:r>
        <w:t>or</w:t>
      </w:r>
      <w:r w:rsidRPr="00607B65">
        <w:t xml:space="preserve"> 85 per cent). This is reflective of the significant reduction in offers below $6/GJ. </w:t>
      </w:r>
    </w:p>
    <w:p w:rsidR="00814C7C" w:rsidRDefault="00A407D7" w:rsidP="00117E2F">
      <w:pPr>
        <w:pStyle w:val="Default"/>
        <w:spacing w:before="120" w:after="120"/>
        <w:jc w:val="both"/>
      </w:pPr>
      <w:r w:rsidRPr="00470C5A">
        <w:t xml:space="preserve">As shown in figure </w:t>
      </w:r>
      <w:r w:rsidR="00470C5A">
        <w:t>2</w:t>
      </w:r>
      <w:r w:rsidRPr="00470C5A">
        <w:t>, the average imbalance quantity (in absolute terms) in July 2012 was 8.2 TJ (down from 10 TJ in June). The ex post price was on average 61 cents higher for the month than the ex ante price; although days of under and over forecast demand were almost even.  Further analysis indicates that steep offer curves for gas days such as 27 July 2012 (see later in the report) caused significantly higher ex post prices for positive imbalances (under-forecasts of demand).</w:t>
      </w:r>
    </w:p>
    <w:p w:rsidR="009750D5" w:rsidRPr="00117E2F" w:rsidRDefault="009750D5" w:rsidP="009750D5">
      <w:pPr>
        <w:pStyle w:val="Default"/>
        <w:spacing w:before="120" w:after="120"/>
        <w:jc w:val="both"/>
      </w:pPr>
      <w:r w:rsidRPr="00117E2F">
        <w:t xml:space="preserve">Figure </w:t>
      </w:r>
      <w:r>
        <w:t>4</w:t>
      </w:r>
      <w:r w:rsidRPr="00117E2F">
        <w:t xml:space="preserve"> compares the ex ante price to the final provisional (D-2) price for June and Jul</w:t>
      </w:r>
      <w:r>
        <w:t>y in Sydney. In July, Sydney ex ante prices on a number of days were significantly higher than provisional prices—pricing outcomes for the 26 July and 27 July gas days are discussed in detail in the next section of the report.</w:t>
      </w:r>
    </w:p>
    <w:p w:rsidR="009750D5" w:rsidRPr="00117E2F" w:rsidRDefault="009750D5" w:rsidP="009750D5">
      <w:pPr>
        <w:keepNext/>
        <w:rPr>
          <w:rFonts w:ascii="Arial" w:hAnsi="Arial" w:cs="Arial"/>
          <w:b/>
          <w:sz w:val="20"/>
          <w:szCs w:val="20"/>
          <w:lang w:eastAsia="en-US"/>
        </w:rPr>
      </w:pPr>
      <w:r w:rsidRPr="00117E2F">
        <w:rPr>
          <w:rFonts w:ascii="Arial" w:hAnsi="Arial" w:cs="Arial"/>
          <w:b/>
          <w:sz w:val="20"/>
          <w:szCs w:val="20"/>
          <w:lang w:eastAsia="en-US"/>
        </w:rPr>
        <w:t>Figure </w:t>
      </w:r>
      <w:r>
        <w:rPr>
          <w:rFonts w:ascii="Arial" w:hAnsi="Arial" w:cs="Arial"/>
          <w:b/>
          <w:sz w:val="20"/>
          <w:szCs w:val="20"/>
          <w:lang w:eastAsia="en-US"/>
        </w:rPr>
        <w:t>4</w:t>
      </w:r>
      <w:r w:rsidRPr="00117E2F">
        <w:rPr>
          <w:rFonts w:ascii="Arial" w:hAnsi="Arial" w:cs="Arial"/>
          <w:b/>
          <w:sz w:val="20"/>
          <w:szCs w:val="20"/>
          <w:lang w:eastAsia="en-US"/>
        </w:rPr>
        <w:t>: Sydney D-2 and ex ante price comparison for June and July 2012</w:t>
      </w:r>
    </w:p>
    <w:p w:rsidR="009750D5" w:rsidRPr="00117E2F" w:rsidRDefault="00DB2A1A" w:rsidP="009750D5">
      <w:pPr>
        <w:pStyle w:val="Heading3"/>
      </w:pPr>
      <w:r>
        <w:pict>
          <v:shape id="_x0000_i1028" type="#_x0000_t75" style="width:449.85pt;height:159pt">
            <v:imagedata r:id="rId11" o:title=""/>
          </v:shape>
        </w:pict>
      </w:r>
      <w:r w:rsidR="009750D5" w:rsidRPr="00117E2F" w:rsidDel="00F009E5">
        <w:t xml:space="preserve"> </w:t>
      </w:r>
    </w:p>
    <w:p w:rsidR="009750D5" w:rsidRDefault="009750D5" w:rsidP="009750D5">
      <w:pPr>
        <w:pStyle w:val="Default"/>
        <w:spacing w:before="120" w:after="120"/>
        <w:jc w:val="both"/>
      </w:pPr>
      <w:r w:rsidRPr="00117E2F">
        <w:t>In July, the ex ante price was 93 cents—or 18.5 per cent—higher than the D-2 price.</w:t>
      </w:r>
    </w:p>
    <w:p w:rsidR="00165543" w:rsidRDefault="002837C6">
      <w:pPr>
        <w:pStyle w:val="Heading3"/>
        <w:spacing w:after="240"/>
      </w:pPr>
      <w:r w:rsidRPr="00BB22AB">
        <w:t xml:space="preserve">Adelaide hub prices </w:t>
      </w:r>
    </w:p>
    <w:p w:rsidR="00DF71B2" w:rsidRDefault="002837C6">
      <w:pPr>
        <w:pStyle w:val="AERbodytext"/>
        <w:jc w:val="both"/>
      </w:pPr>
      <w:r w:rsidRPr="00BB22AB">
        <w:t xml:space="preserve">Figure </w:t>
      </w:r>
      <w:r w:rsidR="00CD7339">
        <w:t>5</w:t>
      </w:r>
      <w:r w:rsidR="00CD7339" w:rsidRPr="00BB22AB">
        <w:t xml:space="preserve"> </w:t>
      </w:r>
      <w:r w:rsidRPr="00BB22AB">
        <w:t xml:space="preserve">shows daily ex ante prices and demand for July 2012 along with the rolling 30 day average price. </w:t>
      </w:r>
    </w:p>
    <w:p w:rsidR="006362BC" w:rsidRDefault="002837C6">
      <w:r>
        <w:rPr>
          <w:rFonts w:ascii="Arial" w:hAnsi="Arial" w:cs="Arial"/>
          <w:b/>
          <w:sz w:val="20"/>
          <w:szCs w:val="20"/>
          <w:lang w:eastAsia="en-US"/>
        </w:rPr>
        <w:lastRenderedPageBreak/>
        <w:t xml:space="preserve">Figure </w:t>
      </w:r>
      <w:r w:rsidR="00CD7339">
        <w:rPr>
          <w:rFonts w:ascii="Arial" w:hAnsi="Arial" w:cs="Arial"/>
          <w:b/>
          <w:sz w:val="20"/>
          <w:szCs w:val="20"/>
          <w:lang w:eastAsia="en-US"/>
        </w:rPr>
        <w:t>5</w:t>
      </w:r>
      <w:r w:rsidR="0060145C">
        <w:rPr>
          <w:rFonts w:ascii="Arial" w:hAnsi="Arial" w:cs="Arial"/>
          <w:b/>
          <w:sz w:val="20"/>
          <w:szCs w:val="20"/>
          <w:lang w:eastAsia="en-US"/>
        </w:rPr>
        <w:t>:</w:t>
      </w:r>
      <w:r>
        <w:rPr>
          <w:rFonts w:ascii="Arial" w:hAnsi="Arial" w:cs="Arial"/>
          <w:b/>
          <w:sz w:val="20"/>
          <w:szCs w:val="20"/>
          <w:lang w:eastAsia="en-US"/>
        </w:rPr>
        <w:t xml:space="preserve"> </w:t>
      </w:r>
      <w:r w:rsidR="00094DB8">
        <w:rPr>
          <w:rFonts w:ascii="Arial" w:hAnsi="Arial" w:cs="Arial"/>
          <w:b/>
          <w:sz w:val="20"/>
          <w:szCs w:val="20"/>
          <w:lang w:eastAsia="en-US"/>
        </w:rPr>
        <w:t>Adelaide</w:t>
      </w:r>
      <w:r w:rsidR="00094DB8" w:rsidRPr="00D620E4">
        <w:rPr>
          <w:rFonts w:ascii="Arial" w:hAnsi="Arial" w:cs="Arial"/>
          <w:b/>
          <w:sz w:val="20"/>
          <w:szCs w:val="20"/>
          <w:lang w:eastAsia="en-US"/>
        </w:rPr>
        <w:t xml:space="preserve"> </w:t>
      </w:r>
      <w:r w:rsidR="0099356F">
        <w:rPr>
          <w:rFonts w:ascii="Arial" w:hAnsi="Arial" w:cs="Arial"/>
          <w:b/>
          <w:sz w:val="20"/>
          <w:szCs w:val="20"/>
          <w:lang w:eastAsia="en-US"/>
        </w:rPr>
        <w:t xml:space="preserve">ex ante prices and demand, June and July 2012 </w:t>
      </w:r>
      <w:r w:rsidR="00DB2A1A">
        <w:pict>
          <v:shape id="_x0000_i1029" type="#_x0000_t75" style="width:449.85pt;height:184.3pt">
            <v:imagedata r:id="rId12" o:title=""/>
          </v:shape>
        </w:pict>
      </w:r>
    </w:p>
    <w:p w:rsidR="006362BC" w:rsidRDefault="00936E6A">
      <w:pPr>
        <w:pStyle w:val="Default"/>
        <w:spacing w:before="120" w:after="120"/>
        <w:jc w:val="both"/>
      </w:pPr>
      <w:r w:rsidRPr="002837C6">
        <w:t xml:space="preserve">The rolling average </w:t>
      </w:r>
      <w:r>
        <w:t xml:space="preserve">ex ante </w:t>
      </w:r>
      <w:r w:rsidRPr="002837C6">
        <w:t xml:space="preserve">price started </w:t>
      </w:r>
      <w:r>
        <w:t xml:space="preserve">July at around $5/GJ and settled </w:t>
      </w:r>
      <w:r w:rsidR="00B61DD9">
        <w:t xml:space="preserve">at </w:t>
      </w:r>
      <w:r w:rsidR="00815F43">
        <w:t xml:space="preserve">just below $6.70/GJ </w:t>
      </w:r>
      <w:r>
        <w:t>by the</w:t>
      </w:r>
      <w:r w:rsidRPr="002837C6">
        <w:t xml:space="preserve"> end of the month.</w:t>
      </w:r>
    </w:p>
    <w:p w:rsidR="002933B9" w:rsidRDefault="002933B9">
      <w:pPr>
        <w:keepNext/>
        <w:spacing w:before="240"/>
        <w:jc w:val="both"/>
        <w:rPr>
          <w:rFonts w:ascii="Arial" w:hAnsi="Arial" w:cs="Arial"/>
          <w:b/>
          <w:sz w:val="20"/>
          <w:szCs w:val="20"/>
          <w:lang w:eastAsia="en-US"/>
        </w:rPr>
      </w:pPr>
      <w:r>
        <w:rPr>
          <w:sz w:val="23"/>
          <w:szCs w:val="23"/>
        </w:rPr>
        <w:t>Figures 6 and 7 compare key prices and quantities in the Adelaide hub for Ju</w:t>
      </w:r>
      <w:r w:rsidR="004D50F5">
        <w:rPr>
          <w:sz w:val="23"/>
          <w:szCs w:val="23"/>
        </w:rPr>
        <w:t>l</w:t>
      </w:r>
      <w:r w:rsidR="00470C5A">
        <w:rPr>
          <w:sz w:val="23"/>
          <w:szCs w:val="23"/>
        </w:rPr>
        <w:t>y</w:t>
      </w:r>
      <w:r>
        <w:rPr>
          <w:sz w:val="23"/>
          <w:szCs w:val="23"/>
        </w:rPr>
        <w:t xml:space="preserve"> 2012 to Ju</w:t>
      </w:r>
      <w:r w:rsidR="004D50F5">
        <w:rPr>
          <w:sz w:val="23"/>
          <w:szCs w:val="23"/>
        </w:rPr>
        <w:t>ly</w:t>
      </w:r>
      <w:r>
        <w:rPr>
          <w:sz w:val="23"/>
          <w:szCs w:val="23"/>
        </w:rPr>
        <w:t xml:space="preserve"> 2011. As shown in Figure 6 (and graphically in figure 7), the volume of offers at or below $6/GJ</w:t>
      </w:r>
      <w:r>
        <w:rPr>
          <w:rStyle w:val="FootnoteReference"/>
          <w:sz w:val="23"/>
          <w:szCs w:val="23"/>
        </w:rPr>
        <w:footnoteReference w:id="10"/>
      </w:r>
      <w:r>
        <w:rPr>
          <w:sz w:val="16"/>
          <w:szCs w:val="16"/>
        </w:rPr>
        <w:t xml:space="preserve">  </w:t>
      </w:r>
      <w:r>
        <w:rPr>
          <w:sz w:val="23"/>
          <w:szCs w:val="23"/>
        </w:rPr>
        <w:t xml:space="preserve">fell by </w:t>
      </w:r>
      <w:r w:rsidR="00BC6526">
        <w:rPr>
          <w:sz w:val="23"/>
          <w:szCs w:val="23"/>
        </w:rPr>
        <w:t>26 TJ or 2</w:t>
      </w:r>
      <w:r>
        <w:rPr>
          <w:sz w:val="23"/>
          <w:szCs w:val="23"/>
        </w:rPr>
        <w:t>0 per cent from Ju</w:t>
      </w:r>
      <w:r w:rsidR="00BC6526">
        <w:rPr>
          <w:sz w:val="23"/>
          <w:szCs w:val="23"/>
        </w:rPr>
        <w:t>ly</w:t>
      </w:r>
      <w:r>
        <w:rPr>
          <w:sz w:val="23"/>
          <w:szCs w:val="23"/>
        </w:rPr>
        <w:t xml:space="preserve"> 2011 to Ju</w:t>
      </w:r>
      <w:r w:rsidR="00BC6526">
        <w:rPr>
          <w:sz w:val="23"/>
          <w:szCs w:val="23"/>
        </w:rPr>
        <w:t>ly</w:t>
      </w:r>
      <w:r>
        <w:rPr>
          <w:sz w:val="23"/>
          <w:szCs w:val="23"/>
        </w:rPr>
        <w:t xml:space="preserve"> 2012.</w:t>
      </w:r>
    </w:p>
    <w:p w:rsidR="00814C7C" w:rsidRDefault="00BE55B3">
      <w:pPr>
        <w:keepNext/>
        <w:spacing w:before="240"/>
        <w:jc w:val="both"/>
        <w:rPr>
          <w:rFonts w:ascii="Arial" w:hAnsi="Arial" w:cs="Arial"/>
          <w:b/>
          <w:sz w:val="20"/>
          <w:szCs w:val="20"/>
          <w:lang w:eastAsia="en-US"/>
        </w:rPr>
      </w:pPr>
      <w:r w:rsidRPr="00486CB1">
        <w:rPr>
          <w:rFonts w:ascii="Arial" w:hAnsi="Arial" w:cs="Arial"/>
          <w:b/>
          <w:sz w:val="20"/>
          <w:szCs w:val="20"/>
          <w:lang w:eastAsia="en-US"/>
        </w:rPr>
        <w:t xml:space="preserve">Figure </w:t>
      </w:r>
      <w:r w:rsidR="002933B9">
        <w:rPr>
          <w:rFonts w:ascii="Arial" w:hAnsi="Arial" w:cs="Arial"/>
          <w:b/>
          <w:sz w:val="20"/>
          <w:szCs w:val="20"/>
          <w:lang w:eastAsia="en-US"/>
        </w:rPr>
        <w:t>6</w:t>
      </w:r>
      <w:r w:rsidR="00996539">
        <w:rPr>
          <w:rFonts w:ascii="Arial" w:hAnsi="Arial" w:cs="Arial"/>
          <w:b/>
          <w:sz w:val="20"/>
          <w:szCs w:val="20"/>
          <w:lang w:eastAsia="en-US"/>
        </w:rPr>
        <w:t>: Adelaide a</w:t>
      </w:r>
      <w:r w:rsidR="00996539" w:rsidRPr="00486CB1">
        <w:rPr>
          <w:rFonts w:ascii="Arial" w:hAnsi="Arial" w:cs="Arial"/>
          <w:b/>
          <w:sz w:val="20"/>
          <w:szCs w:val="20"/>
          <w:lang w:eastAsia="en-US"/>
        </w:rPr>
        <w:t xml:space="preserve">verage </w:t>
      </w:r>
      <w:r w:rsidR="00996539">
        <w:rPr>
          <w:rFonts w:ascii="Arial" w:hAnsi="Arial" w:cs="Arial"/>
          <w:b/>
          <w:sz w:val="20"/>
          <w:szCs w:val="20"/>
          <w:lang w:eastAsia="en-US"/>
        </w:rPr>
        <w:t xml:space="preserve">daily </w:t>
      </w:r>
      <w:r w:rsidR="00996539" w:rsidRPr="00486CB1">
        <w:rPr>
          <w:rFonts w:ascii="Arial" w:hAnsi="Arial" w:cs="Arial"/>
          <w:b/>
          <w:sz w:val="20"/>
          <w:szCs w:val="20"/>
          <w:lang w:eastAsia="en-US"/>
        </w:rPr>
        <w:t>key prices and inputs</w:t>
      </w:r>
      <w:r w:rsidR="00996539">
        <w:rPr>
          <w:rFonts w:ascii="Arial" w:hAnsi="Arial" w:cs="Arial"/>
          <w:b/>
          <w:sz w:val="20"/>
          <w:szCs w:val="20"/>
          <w:lang w:eastAsia="en-US"/>
        </w:rPr>
        <w:t>: July 2011 vs. July 2012</w:t>
      </w:r>
    </w:p>
    <w:tbl>
      <w:tblPr>
        <w:tblW w:w="9336" w:type="dxa"/>
        <w:tblBorders>
          <w:top w:val="single" w:sz="12" w:space="0" w:color="000000"/>
          <w:bottom w:val="single" w:sz="12" w:space="0" w:color="000000"/>
          <w:insideH w:val="single" w:sz="6" w:space="0" w:color="000000"/>
        </w:tblBorders>
        <w:tblLayout w:type="fixed"/>
        <w:tblLook w:val="04A0"/>
      </w:tblPr>
      <w:tblGrid>
        <w:gridCol w:w="1242"/>
        <w:gridCol w:w="1618"/>
        <w:gridCol w:w="1619"/>
        <w:gridCol w:w="1619"/>
        <w:gridCol w:w="1619"/>
        <w:gridCol w:w="1619"/>
      </w:tblGrid>
      <w:tr w:rsidR="00996539" w:rsidRPr="00802371" w:rsidTr="00996539">
        <w:trPr>
          <w:trHeight w:val="300"/>
        </w:trPr>
        <w:tc>
          <w:tcPr>
            <w:tcW w:w="1242" w:type="dxa"/>
            <w:shd w:val="clear" w:color="auto" w:fill="auto"/>
            <w:noWrap/>
            <w:hideMark/>
          </w:tcPr>
          <w:p w:rsidR="00996539" w:rsidRPr="00996539" w:rsidRDefault="00996539" w:rsidP="00BE55B3">
            <w:pPr>
              <w:spacing w:after="240"/>
              <w:jc w:val="center"/>
              <w:rPr>
                <w:rFonts w:ascii="Arial" w:hAnsi="Arial" w:cs="Arial"/>
                <w:b/>
                <w:bCs/>
                <w:color w:val="000000"/>
                <w:sz w:val="20"/>
                <w:szCs w:val="20"/>
              </w:rPr>
            </w:pPr>
          </w:p>
        </w:tc>
        <w:tc>
          <w:tcPr>
            <w:tcW w:w="1618" w:type="dxa"/>
            <w:shd w:val="clear" w:color="auto" w:fill="auto"/>
            <w:noWrap/>
            <w:hideMark/>
          </w:tcPr>
          <w:p w:rsidR="00D47C96" w:rsidRDefault="00996539">
            <w:pPr>
              <w:jc w:val="center"/>
              <w:rPr>
                <w:rFonts w:ascii="Arial" w:hAnsi="Arial" w:cs="Arial"/>
                <w:b/>
                <w:color w:val="000000"/>
                <w:sz w:val="20"/>
                <w:szCs w:val="20"/>
              </w:rPr>
            </w:pPr>
            <w:r w:rsidRPr="00996539">
              <w:rPr>
                <w:rFonts w:ascii="Arial" w:hAnsi="Arial" w:cs="Arial"/>
                <w:b/>
                <w:color w:val="000000"/>
                <w:sz w:val="20"/>
                <w:szCs w:val="20"/>
              </w:rPr>
              <w:t>Offers</w:t>
            </w:r>
            <w:r>
              <w:rPr>
                <w:rFonts w:ascii="Arial" w:hAnsi="Arial" w:cs="Arial"/>
                <w:b/>
                <w:color w:val="000000"/>
                <w:sz w:val="20"/>
                <w:szCs w:val="20"/>
              </w:rPr>
              <w:t xml:space="preserve"> at or below</w:t>
            </w:r>
            <w:r w:rsidRPr="00996539">
              <w:rPr>
                <w:rFonts w:ascii="Arial" w:hAnsi="Arial" w:cs="Arial"/>
                <w:b/>
                <w:color w:val="000000"/>
                <w:sz w:val="20"/>
                <w:szCs w:val="20"/>
              </w:rPr>
              <w:t xml:space="preserve"> $6/GJ</w:t>
            </w:r>
          </w:p>
          <w:p w:rsidR="00D47C96" w:rsidRDefault="00996539">
            <w:pPr>
              <w:jc w:val="center"/>
              <w:rPr>
                <w:rFonts w:ascii="Arial" w:hAnsi="Arial" w:cs="Arial"/>
                <w:b/>
                <w:color w:val="000000"/>
                <w:sz w:val="20"/>
                <w:szCs w:val="20"/>
              </w:rPr>
            </w:pPr>
            <w:r w:rsidRPr="00996539">
              <w:rPr>
                <w:rFonts w:ascii="Arial" w:hAnsi="Arial" w:cs="Arial"/>
                <w:b/>
                <w:color w:val="000000"/>
                <w:sz w:val="20"/>
                <w:szCs w:val="20"/>
              </w:rPr>
              <w:t>(TJ)</w:t>
            </w:r>
          </w:p>
        </w:tc>
        <w:tc>
          <w:tcPr>
            <w:tcW w:w="1619" w:type="dxa"/>
            <w:shd w:val="clear" w:color="auto" w:fill="auto"/>
          </w:tcPr>
          <w:p w:rsidR="00D47C96" w:rsidRDefault="00996539">
            <w:pPr>
              <w:jc w:val="center"/>
              <w:rPr>
                <w:rFonts w:ascii="Arial" w:hAnsi="Arial" w:cs="Arial"/>
                <w:b/>
                <w:color w:val="000000"/>
                <w:sz w:val="20"/>
                <w:szCs w:val="20"/>
              </w:rPr>
            </w:pPr>
            <w:r w:rsidRPr="00996539">
              <w:rPr>
                <w:rFonts w:ascii="Arial" w:hAnsi="Arial" w:cs="Arial"/>
                <w:b/>
                <w:color w:val="000000"/>
                <w:sz w:val="20"/>
                <w:szCs w:val="20"/>
              </w:rPr>
              <w:t>Ex ante</w:t>
            </w:r>
          </w:p>
          <w:p w:rsidR="00D47C96" w:rsidRDefault="00996539">
            <w:pPr>
              <w:jc w:val="center"/>
              <w:rPr>
                <w:rFonts w:ascii="Arial" w:hAnsi="Arial" w:cs="Arial"/>
                <w:b/>
                <w:color w:val="000000"/>
                <w:sz w:val="20"/>
                <w:szCs w:val="20"/>
              </w:rPr>
            </w:pPr>
            <w:r>
              <w:rPr>
                <w:rFonts w:ascii="Arial" w:hAnsi="Arial" w:cs="Arial"/>
                <w:b/>
                <w:color w:val="000000"/>
                <w:sz w:val="20"/>
                <w:szCs w:val="20"/>
              </w:rPr>
              <w:t>Volume</w:t>
            </w:r>
          </w:p>
          <w:p w:rsidR="00814C7C" w:rsidRDefault="00996539" w:rsidP="00642205">
            <w:pPr>
              <w:jc w:val="center"/>
              <w:rPr>
                <w:rFonts w:ascii="Arial" w:hAnsi="Arial" w:cs="Arial"/>
                <w:b/>
                <w:color w:val="000000"/>
                <w:sz w:val="20"/>
                <w:szCs w:val="20"/>
              </w:rPr>
            </w:pPr>
            <w:r w:rsidRPr="00996539">
              <w:rPr>
                <w:rFonts w:ascii="Arial" w:hAnsi="Arial" w:cs="Arial"/>
                <w:b/>
                <w:color w:val="000000"/>
                <w:sz w:val="20"/>
                <w:szCs w:val="20"/>
              </w:rPr>
              <w:t>(TJ)</w:t>
            </w:r>
          </w:p>
        </w:tc>
        <w:tc>
          <w:tcPr>
            <w:tcW w:w="1619" w:type="dxa"/>
            <w:shd w:val="clear" w:color="auto" w:fill="auto"/>
            <w:noWrap/>
            <w:hideMark/>
          </w:tcPr>
          <w:p w:rsidR="006064C1" w:rsidRDefault="00996539">
            <w:pPr>
              <w:jc w:val="center"/>
              <w:rPr>
                <w:rFonts w:ascii="Arial" w:hAnsi="Arial" w:cs="Arial"/>
                <w:b/>
                <w:color w:val="000000"/>
                <w:sz w:val="20"/>
                <w:szCs w:val="20"/>
              </w:rPr>
            </w:pPr>
            <w:r w:rsidRPr="00996539">
              <w:rPr>
                <w:rFonts w:ascii="Arial" w:hAnsi="Arial" w:cs="Arial"/>
                <w:b/>
                <w:color w:val="000000"/>
                <w:sz w:val="20"/>
                <w:szCs w:val="20"/>
              </w:rPr>
              <w:t>Ex ante</w:t>
            </w:r>
          </w:p>
          <w:p w:rsidR="006064C1" w:rsidRDefault="00996539">
            <w:pPr>
              <w:jc w:val="center"/>
              <w:rPr>
                <w:rFonts w:ascii="Arial" w:hAnsi="Arial" w:cs="Arial"/>
                <w:b/>
                <w:color w:val="000000"/>
                <w:sz w:val="20"/>
                <w:szCs w:val="20"/>
              </w:rPr>
            </w:pPr>
            <w:r w:rsidRPr="00996539">
              <w:rPr>
                <w:rFonts w:ascii="Arial" w:hAnsi="Arial" w:cs="Arial"/>
                <w:b/>
                <w:color w:val="000000"/>
                <w:sz w:val="20"/>
                <w:szCs w:val="20"/>
              </w:rPr>
              <w:t>price</w:t>
            </w:r>
          </w:p>
          <w:p w:rsidR="00814C7C" w:rsidRDefault="00996539">
            <w:pPr>
              <w:jc w:val="center"/>
              <w:rPr>
                <w:rFonts w:ascii="Arial" w:hAnsi="Arial" w:cs="Arial"/>
                <w:b/>
                <w:color w:val="000000"/>
                <w:sz w:val="20"/>
                <w:szCs w:val="20"/>
              </w:rPr>
            </w:pPr>
            <w:r w:rsidRPr="00996539">
              <w:rPr>
                <w:rFonts w:ascii="Arial" w:hAnsi="Arial" w:cs="Arial"/>
                <w:b/>
                <w:color w:val="000000"/>
                <w:sz w:val="20"/>
                <w:szCs w:val="20"/>
              </w:rPr>
              <w:t>($</w:t>
            </w:r>
            <w:r>
              <w:rPr>
                <w:rFonts w:ascii="Arial" w:hAnsi="Arial" w:cs="Arial"/>
                <w:b/>
                <w:color w:val="000000"/>
                <w:sz w:val="20"/>
                <w:szCs w:val="20"/>
              </w:rPr>
              <w:t>/GJ</w:t>
            </w:r>
            <w:r w:rsidRPr="00996539">
              <w:rPr>
                <w:rFonts w:ascii="Arial" w:hAnsi="Arial" w:cs="Arial"/>
                <w:b/>
                <w:color w:val="000000"/>
                <w:sz w:val="20"/>
                <w:szCs w:val="20"/>
              </w:rPr>
              <w:t>)</w:t>
            </w:r>
          </w:p>
        </w:tc>
        <w:tc>
          <w:tcPr>
            <w:tcW w:w="1619" w:type="dxa"/>
            <w:shd w:val="clear" w:color="auto" w:fill="auto"/>
            <w:noWrap/>
            <w:hideMark/>
          </w:tcPr>
          <w:p w:rsidR="006064C1" w:rsidRDefault="00996539">
            <w:pPr>
              <w:jc w:val="center"/>
              <w:rPr>
                <w:rFonts w:ascii="Arial" w:hAnsi="Arial" w:cs="Arial"/>
                <w:b/>
                <w:color w:val="000000"/>
                <w:sz w:val="20"/>
                <w:szCs w:val="20"/>
              </w:rPr>
            </w:pPr>
            <w:r>
              <w:rPr>
                <w:rFonts w:ascii="Arial" w:hAnsi="Arial" w:cs="Arial"/>
                <w:b/>
                <w:color w:val="000000"/>
                <w:sz w:val="20"/>
                <w:szCs w:val="20"/>
              </w:rPr>
              <w:t>A</w:t>
            </w:r>
            <w:r w:rsidRPr="00996539">
              <w:rPr>
                <w:rFonts w:ascii="Arial" w:hAnsi="Arial" w:cs="Arial"/>
                <w:b/>
                <w:color w:val="000000"/>
                <w:sz w:val="20"/>
                <w:szCs w:val="20"/>
              </w:rPr>
              <w:t xml:space="preserve">bsolute </w:t>
            </w:r>
            <w:r>
              <w:rPr>
                <w:rFonts w:ascii="Arial" w:hAnsi="Arial" w:cs="Arial"/>
                <w:b/>
                <w:color w:val="000000"/>
                <w:sz w:val="20"/>
                <w:szCs w:val="20"/>
              </w:rPr>
              <w:t>i</w:t>
            </w:r>
            <w:r w:rsidRPr="00996539">
              <w:rPr>
                <w:rFonts w:ascii="Arial" w:hAnsi="Arial" w:cs="Arial"/>
                <w:b/>
                <w:color w:val="000000"/>
                <w:sz w:val="20"/>
                <w:szCs w:val="20"/>
              </w:rPr>
              <w:t xml:space="preserve">mbalance </w:t>
            </w:r>
            <w:r>
              <w:rPr>
                <w:rFonts w:ascii="Arial" w:hAnsi="Arial" w:cs="Arial"/>
                <w:b/>
                <w:color w:val="000000"/>
                <w:sz w:val="20"/>
                <w:szCs w:val="20"/>
              </w:rPr>
              <w:t>volume</w:t>
            </w:r>
          </w:p>
          <w:p w:rsidR="00814C7C" w:rsidRDefault="00996539">
            <w:pPr>
              <w:jc w:val="center"/>
              <w:rPr>
                <w:rFonts w:ascii="Arial" w:hAnsi="Arial" w:cs="Arial"/>
                <w:b/>
                <w:color w:val="000000"/>
                <w:sz w:val="20"/>
                <w:szCs w:val="20"/>
              </w:rPr>
            </w:pPr>
            <w:r w:rsidRPr="00996539">
              <w:rPr>
                <w:rFonts w:ascii="Arial" w:hAnsi="Arial" w:cs="Arial"/>
                <w:b/>
                <w:color w:val="000000"/>
                <w:sz w:val="20"/>
                <w:szCs w:val="20"/>
              </w:rPr>
              <w:t>(TJ)</w:t>
            </w:r>
          </w:p>
        </w:tc>
        <w:tc>
          <w:tcPr>
            <w:tcW w:w="1619" w:type="dxa"/>
            <w:shd w:val="clear" w:color="auto" w:fill="auto"/>
          </w:tcPr>
          <w:p w:rsidR="006064C1" w:rsidRDefault="00996539">
            <w:pPr>
              <w:jc w:val="center"/>
              <w:rPr>
                <w:rFonts w:ascii="Arial" w:hAnsi="Arial" w:cs="Arial"/>
                <w:b/>
                <w:color w:val="000000"/>
                <w:sz w:val="20"/>
                <w:szCs w:val="20"/>
              </w:rPr>
            </w:pPr>
            <w:r w:rsidRPr="00996539">
              <w:rPr>
                <w:rFonts w:ascii="Arial" w:hAnsi="Arial" w:cs="Arial"/>
                <w:b/>
                <w:color w:val="000000"/>
                <w:sz w:val="20"/>
                <w:szCs w:val="20"/>
              </w:rPr>
              <w:t>Ex post price</w:t>
            </w:r>
          </w:p>
          <w:p w:rsidR="00814C7C" w:rsidRDefault="00996539">
            <w:pPr>
              <w:jc w:val="center"/>
              <w:rPr>
                <w:rFonts w:ascii="Arial" w:hAnsi="Arial" w:cs="Arial"/>
                <w:b/>
                <w:i/>
                <w:color w:val="000000"/>
                <w:sz w:val="20"/>
                <w:szCs w:val="20"/>
              </w:rPr>
            </w:pPr>
            <w:r w:rsidRPr="00996539">
              <w:rPr>
                <w:rFonts w:ascii="Arial" w:hAnsi="Arial" w:cs="Arial"/>
                <w:b/>
                <w:color w:val="000000"/>
                <w:sz w:val="20"/>
                <w:szCs w:val="20"/>
              </w:rPr>
              <w:t>($/GJ)</w:t>
            </w:r>
          </w:p>
        </w:tc>
      </w:tr>
      <w:tr w:rsidR="00815F43" w:rsidRPr="00802371" w:rsidTr="00045171">
        <w:trPr>
          <w:trHeight w:val="300"/>
        </w:trPr>
        <w:tc>
          <w:tcPr>
            <w:tcW w:w="1242" w:type="dxa"/>
            <w:shd w:val="clear" w:color="auto" w:fill="auto"/>
            <w:noWrap/>
            <w:hideMark/>
          </w:tcPr>
          <w:p w:rsidR="00815F43" w:rsidRPr="00996539" w:rsidRDefault="00607B65" w:rsidP="00BE55B3">
            <w:pPr>
              <w:rPr>
                <w:rFonts w:ascii="Arial" w:hAnsi="Arial" w:cs="Arial"/>
                <w:b/>
                <w:color w:val="000000"/>
                <w:sz w:val="20"/>
                <w:szCs w:val="20"/>
              </w:rPr>
            </w:pPr>
            <w:r w:rsidRPr="00607B65">
              <w:rPr>
                <w:rFonts w:ascii="Arial" w:hAnsi="Arial" w:cs="Arial"/>
                <w:b/>
                <w:color w:val="000000"/>
                <w:sz w:val="20"/>
                <w:szCs w:val="20"/>
              </w:rPr>
              <w:t>July 2011</w:t>
            </w:r>
          </w:p>
        </w:tc>
        <w:tc>
          <w:tcPr>
            <w:tcW w:w="1618" w:type="dxa"/>
            <w:shd w:val="clear" w:color="auto" w:fill="auto"/>
            <w:noWrap/>
            <w:hideMark/>
          </w:tcPr>
          <w:p w:rsidR="00815F43" w:rsidRPr="00996539" w:rsidRDefault="00F0041E">
            <w:pPr>
              <w:jc w:val="center"/>
              <w:rPr>
                <w:rFonts w:ascii="Arial" w:hAnsi="Arial" w:cs="Arial"/>
                <w:color w:val="000000"/>
                <w:sz w:val="20"/>
                <w:szCs w:val="20"/>
              </w:rPr>
            </w:pPr>
            <w:r>
              <w:rPr>
                <w:rFonts w:ascii="Arial" w:hAnsi="Arial" w:cs="Arial"/>
                <w:color w:val="000000"/>
                <w:sz w:val="20"/>
                <w:szCs w:val="20"/>
              </w:rPr>
              <w:t>130</w:t>
            </w:r>
          </w:p>
        </w:tc>
        <w:tc>
          <w:tcPr>
            <w:tcW w:w="1619" w:type="dxa"/>
            <w:shd w:val="clear" w:color="auto" w:fill="auto"/>
          </w:tcPr>
          <w:p w:rsidR="00815F43" w:rsidRPr="00996539" w:rsidRDefault="00F0041E">
            <w:pPr>
              <w:jc w:val="center"/>
              <w:rPr>
                <w:rFonts w:ascii="Arial" w:hAnsi="Arial" w:cs="Arial"/>
                <w:color w:val="000000"/>
                <w:sz w:val="20"/>
                <w:szCs w:val="20"/>
              </w:rPr>
            </w:pPr>
            <w:r>
              <w:rPr>
                <w:rFonts w:ascii="Arial" w:hAnsi="Arial" w:cs="Arial"/>
                <w:color w:val="000000"/>
                <w:sz w:val="20"/>
                <w:szCs w:val="20"/>
              </w:rPr>
              <w:t>91</w:t>
            </w:r>
          </w:p>
        </w:tc>
        <w:tc>
          <w:tcPr>
            <w:tcW w:w="1619" w:type="dxa"/>
            <w:shd w:val="clear" w:color="auto" w:fill="auto"/>
            <w:noWrap/>
            <w:hideMark/>
          </w:tcPr>
          <w:p w:rsidR="00815F43" w:rsidRPr="00996539" w:rsidRDefault="00607B65">
            <w:pPr>
              <w:jc w:val="center"/>
              <w:rPr>
                <w:rFonts w:ascii="Arial" w:hAnsi="Arial" w:cs="Arial"/>
                <w:color w:val="000000"/>
                <w:sz w:val="20"/>
                <w:szCs w:val="20"/>
              </w:rPr>
            </w:pPr>
            <w:r w:rsidRPr="00607B65">
              <w:rPr>
                <w:rFonts w:ascii="Arial" w:hAnsi="Arial" w:cs="Arial"/>
                <w:color w:val="000000"/>
                <w:sz w:val="20"/>
                <w:szCs w:val="20"/>
              </w:rPr>
              <w:t>3.94</w:t>
            </w:r>
          </w:p>
        </w:tc>
        <w:tc>
          <w:tcPr>
            <w:tcW w:w="1619" w:type="dxa"/>
            <w:shd w:val="clear" w:color="auto" w:fill="auto"/>
            <w:noWrap/>
            <w:hideMark/>
          </w:tcPr>
          <w:p w:rsidR="00815F43" w:rsidRPr="00996539" w:rsidRDefault="00607B65">
            <w:pPr>
              <w:jc w:val="center"/>
              <w:rPr>
                <w:rFonts w:ascii="Arial" w:hAnsi="Arial" w:cs="Arial"/>
                <w:color w:val="000000"/>
                <w:sz w:val="20"/>
                <w:szCs w:val="20"/>
              </w:rPr>
            </w:pPr>
            <w:r w:rsidRPr="00607B65">
              <w:rPr>
                <w:rFonts w:ascii="Arial" w:hAnsi="Arial" w:cs="Arial"/>
                <w:color w:val="000000"/>
                <w:sz w:val="20"/>
                <w:szCs w:val="20"/>
              </w:rPr>
              <w:t>3.9</w:t>
            </w:r>
          </w:p>
        </w:tc>
        <w:tc>
          <w:tcPr>
            <w:tcW w:w="1619" w:type="dxa"/>
            <w:shd w:val="clear" w:color="auto" w:fill="auto"/>
          </w:tcPr>
          <w:p w:rsidR="00815F43" w:rsidRPr="00996539" w:rsidRDefault="00607B65">
            <w:pPr>
              <w:jc w:val="center"/>
              <w:rPr>
                <w:rFonts w:ascii="Arial" w:hAnsi="Arial" w:cs="Arial"/>
                <w:color w:val="000000"/>
                <w:sz w:val="20"/>
                <w:szCs w:val="20"/>
              </w:rPr>
            </w:pPr>
            <w:r w:rsidRPr="00607B65">
              <w:rPr>
                <w:rFonts w:ascii="Arial" w:hAnsi="Arial" w:cs="Arial"/>
                <w:color w:val="000000"/>
                <w:sz w:val="20"/>
                <w:szCs w:val="20"/>
              </w:rPr>
              <w:t>4.03</w:t>
            </w:r>
          </w:p>
        </w:tc>
      </w:tr>
      <w:tr w:rsidR="00815F43" w:rsidRPr="00802371" w:rsidTr="00045171">
        <w:trPr>
          <w:trHeight w:val="300"/>
        </w:trPr>
        <w:tc>
          <w:tcPr>
            <w:tcW w:w="1242" w:type="dxa"/>
            <w:shd w:val="clear" w:color="auto" w:fill="auto"/>
            <w:noWrap/>
            <w:hideMark/>
          </w:tcPr>
          <w:p w:rsidR="00815F43" w:rsidRPr="00996539" w:rsidRDefault="00607B65" w:rsidP="00BE55B3">
            <w:pPr>
              <w:rPr>
                <w:rFonts w:ascii="Arial" w:hAnsi="Arial" w:cs="Arial"/>
                <w:b/>
                <w:color w:val="000000"/>
                <w:sz w:val="20"/>
                <w:szCs w:val="20"/>
              </w:rPr>
            </w:pPr>
            <w:r w:rsidRPr="00607B65">
              <w:rPr>
                <w:rFonts w:ascii="Arial" w:hAnsi="Arial" w:cs="Arial"/>
                <w:b/>
                <w:color w:val="000000"/>
                <w:sz w:val="20"/>
                <w:szCs w:val="20"/>
              </w:rPr>
              <w:t>July 2012</w:t>
            </w:r>
          </w:p>
        </w:tc>
        <w:tc>
          <w:tcPr>
            <w:tcW w:w="1618" w:type="dxa"/>
            <w:shd w:val="clear" w:color="auto" w:fill="auto"/>
            <w:noWrap/>
            <w:hideMark/>
          </w:tcPr>
          <w:p w:rsidR="00815F43" w:rsidRPr="00996539" w:rsidRDefault="00F0041E">
            <w:pPr>
              <w:jc w:val="center"/>
              <w:rPr>
                <w:rFonts w:ascii="Arial" w:hAnsi="Arial" w:cs="Arial"/>
                <w:color w:val="000000"/>
                <w:sz w:val="20"/>
                <w:szCs w:val="20"/>
              </w:rPr>
            </w:pPr>
            <w:r>
              <w:rPr>
                <w:rFonts w:ascii="Arial" w:hAnsi="Arial" w:cs="Arial"/>
                <w:color w:val="000000"/>
                <w:sz w:val="20"/>
                <w:szCs w:val="20"/>
              </w:rPr>
              <w:t>104</w:t>
            </w:r>
          </w:p>
        </w:tc>
        <w:tc>
          <w:tcPr>
            <w:tcW w:w="1619" w:type="dxa"/>
            <w:shd w:val="clear" w:color="auto" w:fill="auto"/>
          </w:tcPr>
          <w:p w:rsidR="00815F43" w:rsidRPr="00996539" w:rsidRDefault="00F0041E">
            <w:pPr>
              <w:jc w:val="center"/>
              <w:rPr>
                <w:rFonts w:ascii="Arial" w:hAnsi="Arial" w:cs="Arial"/>
                <w:color w:val="000000"/>
                <w:sz w:val="20"/>
                <w:szCs w:val="20"/>
              </w:rPr>
            </w:pPr>
            <w:r>
              <w:rPr>
                <w:rFonts w:ascii="Arial" w:hAnsi="Arial" w:cs="Arial"/>
                <w:color w:val="000000"/>
                <w:sz w:val="20"/>
                <w:szCs w:val="20"/>
              </w:rPr>
              <w:t>95</w:t>
            </w:r>
          </w:p>
        </w:tc>
        <w:tc>
          <w:tcPr>
            <w:tcW w:w="1619" w:type="dxa"/>
            <w:shd w:val="clear" w:color="auto" w:fill="auto"/>
            <w:noWrap/>
            <w:hideMark/>
          </w:tcPr>
          <w:p w:rsidR="00815F43" w:rsidRPr="00996539" w:rsidRDefault="00607B65">
            <w:pPr>
              <w:jc w:val="center"/>
              <w:rPr>
                <w:rFonts w:ascii="Arial" w:hAnsi="Arial" w:cs="Arial"/>
                <w:color w:val="000000"/>
                <w:sz w:val="20"/>
                <w:szCs w:val="20"/>
              </w:rPr>
            </w:pPr>
            <w:r w:rsidRPr="00607B65">
              <w:rPr>
                <w:rFonts w:ascii="Arial" w:hAnsi="Arial" w:cs="Arial"/>
                <w:color w:val="000000"/>
                <w:sz w:val="20"/>
                <w:szCs w:val="20"/>
              </w:rPr>
              <w:t>6.67</w:t>
            </w:r>
          </w:p>
        </w:tc>
        <w:tc>
          <w:tcPr>
            <w:tcW w:w="1619" w:type="dxa"/>
            <w:shd w:val="clear" w:color="auto" w:fill="auto"/>
            <w:noWrap/>
            <w:hideMark/>
          </w:tcPr>
          <w:p w:rsidR="00815F43" w:rsidRPr="00996539" w:rsidRDefault="00607B65">
            <w:pPr>
              <w:jc w:val="center"/>
              <w:rPr>
                <w:rFonts w:ascii="Arial" w:hAnsi="Arial" w:cs="Arial"/>
                <w:color w:val="000000"/>
                <w:sz w:val="20"/>
                <w:szCs w:val="20"/>
              </w:rPr>
            </w:pPr>
            <w:r w:rsidRPr="00607B65">
              <w:rPr>
                <w:rFonts w:ascii="Arial" w:hAnsi="Arial" w:cs="Arial"/>
                <w:color w:val="000000"/>
                <w:sz w:val="20"/>
                <w:szCs w:val="20"/>
              </w:rPr>
              <w:t>3.3</w:t>
            </w:r>
          </w:p>
        </w:tc>
        <w:tc>
          <w:tcPr>
            <w:tcW w:w="1619" w:type="dxa"/>
            <w:shd w:val="clear" w:color="auto" w:fill="auto"/>
          </w:tcPr>
          <w:p w:rsidR="00815F43" w:rsidRPr="00996539" w:rsidRDefault="00607B65">
            <w:pPr>
              <w:jc w:val="center"/>
              <w:rPr>
                <w:rFonts w:ascii="Arial" w:hAnsi="Arial" w:cs="Arial"/>
                <w:color w:val="000000"/>
                <w:sz w:val="20"/>
                <w:szCs w:val="20"/>
              </w:rPr>
            </w:pPr>
            <w:r w:rsidRPr="00607B65">
              <w:rPr>
                <w:rFonts w:ascii="Arial" w:hAnsi="Arial" w:cs="Arial"/>
                <w:color w:val="000000"/>
                <w:sz w:val="20"/>
                <w:szCs w:val="20"/>
              </w:rPr>
              <w:t>6.87</w:t>
            </w:r>
          </w:p>
        </w:tc>
      </w:tr>
    </w:tbl>
    <w:p w:rsidR="00814C7C" w:rsidRDefault="00815F43">
      <w:pPr>
        <w:keepNext/>
        <w:spacing w:before="240"/>
        <w:jc w:val="both"/>
        <w:rPr>
          <w:rFonts w:ascii="Arial" w:hAnsi="Arial" w:cs="Arial"/>
          <w:b/>
          <w:sz w:val="20"/>
          <w:szCs w:val="20"/>
          <w:lang w:eastAsia="en-US"/>
        </w:rPr>
      </w:pPr>
      <w:r w:rsidRPr="00486CB1">
        <w:rPr>
          <w:rFonts w:ascii="Arial" w:hAnsi="Arial" w:cs="Arial"/>
          <w:b/>
          <w:sz w:val="20"/>
          <w:szCs w:val="20"/>
          <w:lang w:eastAsia="en-US"/>
        </w:rPr>
        <w:t xml:space="preserve">Figure </w:t>
      </w:r>
      <w:r w:rsidR="002933B9">
        <w:rPr>
          <w:rFonts w:ascii="Arial" w:hAnsi="Arial" w:cs="Arial"/>
          <w:b/>
          <w:sz w:val="20"/>
          <w:szCs w:val="20"/>
          <w:lang w:eastAsia="en-US"/>
        </w:rPr>
        <w:t>7</w:t>
      </w:r>
      <w:r w:rsidR="00996539">
        <w:rPr>
          <w:rFonts w:ascii="Arial" w:hAnsi="Arial" w:cs="Arial"/>
          <w:b/>
          <w:sz w:val="20"/>
          <w:szCs w:val="20"/>
          <w:lang w:eastAsia="en-US"/>
        </w:rPr>
        <w:t xml:space="preserve">: </w:t>
      </w:r>
      <w:r w:rsidR="00690106">
        <w:rPr>
          <w:rFonts w:ascii="Arial" w:hAnsi="Arial" w:cs="Arial"/>
          <w:b/>
          <w:sz w:val="20"/>
          <w:szCs w:val="20"/>
          <w:lang w:eastAsia="en-US"/>
        </w:rPr>
        <w:t>Adelaide ex ante offers ($/GJ) and scheduled quantities (TJ): July 2011 vs. July 2012</w:t>
      </w:r>
    </w:p>
    <w:p w:rsidR="009D669F" w:rsidRDefault="00DB2A1A" w:rsidP="0053717C">
      <w:r>
        <w:pict>
          <v:shape id="_x0000_i1030" type="#_x0000_t75" style="width:449.85pt;height:183.75pt">
            <v:imagedata r:id="rId13" o:title=""/>
          </v:shape>
        </w:pict>
      </w:r>
    </w:p>
    <w:p w:rsidR="00814C7C" w:rsidRDefault="00607B65">
      <w:pPr>
        <w:pStyle w:val="Default"/>
        <w:spacing w:before="240" w:after="120"/>
        <w:jc w:val="both"/>
      </w:pPr>
      <w:r w:rsidRPr="00607B65">
        <w:t xml:space="preserve">Although the average daily ex ante volume of gas scheduled in July 2012 was </w:t>
      </w:r>
      <w:r w:rsidR="00F0041E">
        <w:t>4</w:t>
      </w:r>
      <w:r w:rsidRPr="00607B65">
        <w:t xml:space="preserve"> TJ </w:t>
      </w:r>
      <w:r w:rsidR="00F0041E">
        <w:t xml:space="preserve">higher </w:t>
      </w:r>
      <w:r w:rsidRPr="00607B65">
        <w:t>than in July 2011, at $6.67/GJ, the average ex ante price was $2.73/GJ higher (up 69 per cent). This is reflective of the significant reduction in offers below $6/GJ.</w:t>
      </w:r>
    </w:p>
    <w:p w:rsidR="00814C7C" w:rsidRDefault="00607B65">
      <w:pPr>
        <w:pStyle w:val="Default"/>
        <w:spacing w:before="120" w:after="120"/>
        <w:jc w:val="both"/>
      </w:pPr>
      <w:r w:rsidRPr="00607B65">
        <w:t xml:space="preserve">As shown in figure </w:t>
      </w:r>
      <w:r w:rsidR="004A4782">
        <w:t>6</w:t>
      </w:r>
      <w:r w:rsidRPr="00607B65">
        <w:t>, the average imbalance quantity (in absolute terms) in July 2012 was 3.</w:t>
      </w:r>
      <w:r w:rsidR="005B2A6D">
        <w:t>3</w:t>
      </w:r>
      <w:r w:rsidRPr="00607B65">
        <w:t xml:space="preserve"> TJ, </w:t>
      </w:r>
      <w:r w:rsidR="001F3AD0">
        <w:t xml:space="preserve">close to </w:t>
      </w:r>
      <w:r w:rsidR="005B2A6D">
        <w:t xml:space="preserve">the </w:t>
      </w:r>
      <w:r w:rsidR="001F3AD0">
        <w:t>3.</w:t>
      </w:r>
      <w:r w:rsidR="005B2A6D">
        <w:t>9</w:t>
      </w:r>
      <w:r w:rsidR="001F3AD0">
        <w:t> TJ for</w:t>
      </w:r>
      <w:r w:rsidRPr="00607B65">
        <w:t xml:space="preserve"> the previous year. Despite demand being over-forecast on 25 of </w:t>
      </w:r>
      <w:r w:rsidRPr="00607B65">
        <w:lastRenderedPageBreak/>
        <w:t>the 31 days in July, the average ex post price was higher</w:t>
      </w:r>
      <w:r w:rsidR="001F3AD0">
        <w:t xml:space="preserve"> </w:t>
      </w:r>
      <w:r w:rsidRPr="00607B65">
        <w:t xml:space="preserve">than </w:t>
      </w:r>
      <w:r w:rsidR="005B2A6D">
        <w:t>the ex ante price</w:t>
      </w:r>
      <w:r w:rsidRPr="00607B65">
        <w:t xml:space="preserve">. As for Sydney, this </w:t>
      </w:r>
      <w:r w:rsidR="005B2A6D">
        <w:t>is reflective of a steep ex post supply curve</w:t>
      </w:r>
      <w:r w:rsidR="006F54F5">
        <w:t xml:space="preserve"> at higher prices</w:t>
      </w:r>
      <w:r w:rsidR="005B2A6D">
        <w:t>.</w:t>
      </w:r>
    </w:p>
    <w:p w:rsidR="009750D5" w:rsidRPr="00BC6526" w:rsidRDefault="009750D5" w:rsidP="009750D5">
      <w:pPr>
        <w:pStyle w:val="Default"/>
        <w:spacing w:before="120" w:after="120"/>
        <w:jc w:val="both"/>
      </w:pPr>
      <w:r w:rsidRPr="00BF5B3B">
        <w:t>Figure 8 compares the ex ante price to the final provisional (D-2) price for June and July.</w:t>
      </w:r>
      <w:r>
        <w:t xml:space="preserve"> In July, Adelaide ex ante prices on some days were significantly different from provisional prices —pricing outcomes for the 3</w:t>
      </w:r>
      <w:r w:rsidR="00085A86">
        <w:t xml:space="preserve"> and </w:t>
      </w:r>
      <w:r>
        <w:t>4 July gas days (higher ex ante prices)</w:t>
      </w:r>
      <w:r w:rsidR="00085A86">
        <w:t>,</w:t>
      </w:r>
      <w:r>
        <w:t xml:space="preserve"> and 5 July (lower ex ante price) are discussed in detail in the next section of the report. </w:t>
      </w:r>
    </w:p>
    <w:p w:rsidR="009750D5" w:rsidRPr="00BC6526" w:rsidRDefault="009750D5" w:rsidP="009750D5">
      <w:pPr>
        <w:pStyle w:val="AERbodytext"/>
        <w:spacing w:before="240"/>
        <w:rPr>
          <w:rFonts w:ascii="Arial" w:hAnsi="Arial" w:cs="Arial"/>
          <w:b/>
          <w:sz w:val="20"/>
          <w:szCs w:val="20"/>
        </w:rPr>
      </w:pPr>
      <w:r>
        <w:rPr>
          <w:rFonts w:ascii="Arial" w:hAnsi="Arial" w:cs="Arial"/>
          <w:b/>
          <w:sz w:val="20"/>
          <w:szCs w:val="20"/>
        </w:rPr>
        <w:t>Figure 8</w:t>
      </w:r>
      <w:r w:rsidRPr="00BF5B3B">
        <w:rPr>
          <w:rFonts w:ascii="Arial" w:hAnsi="Arial" w:cs="Arial"/>
          <w:b/>
          <w:sz w:val="20"/>
          <w:szCs w:val="20"/>
        </w:rPr>
        <w:t>: Adelaide D-2 and ex ante price comparison for June and July 2012</w:t>
      </w:r>
    </w:p>
    <w:p w:rsidR="009750D5" w:rsidRPr="00BC6526" w:rsidRDefault="00DB2A1A" w:rsidP="009750D5">
      <w:r>
        <w:pict>
          <v:shape id="_x0000_i1031" type="#_x0000_t75" style="width:451pt;height:155.5pt">
            <v:imagedata r:id="rId14" o:title=""/>
          </v:shape>
        </w:pict>
      </w:r>
    </w:p>
    <w:p w:rsidR="009750D5" w:rsidRDefault="009750D5" w:rsidP="009750D5">
      <w:pPr>
        <w:pStyle w:val="Default"/>
        <w:spacing w:before="120" w:after="120"/>
        <w:jc w:val="both"/>
      </w:pPr>
      <w:r>
        <w:t>O</w:t>
      </w:r>
      <w:r w:rsidRPr="00BF5B3B">
        <w:t>n average, the ex ante price was</w:t>
      </w:r>
      <w:r>
        <w:t xml:space="preserve"> </w:t>
      </w:r>
      <w:r w:rsidRPr="00BF5B3B">
        <w:t>2 cents lower than the D-2 price</w:t>
      </w:r>
      <w:r>
        <w:t xml:space="preserve"> in July.</w:t>
      </w:r>
    </w:p>
    <w:p w:rsidR="00DF71B2" w:rsidRDefault="009F5CF2">
      <w:pPr>
        <w:pStyle w:val="Heading3"/>
        <w:jc w:val="both"/>
      </w:pPr>
      <w:r>
        <w:t>Brisbane hub</w:t>
      </w:r>
    </w:p>
    <w:p w:rsidR="00DF71B2" w:rsidRDefault="009F5CF2">
      <w:pPr>
        <w:pStyle w:val="AERbodytext"/>
        <w:jc w:val="both"/>
      </w:pPr>
      <w:r>
        <w:t xml:space="preserve">Figure </w:t>
      </w:r>
      <w:r w:rsidR="00CD7339">
        <w:t>9</w:t>
      </w:r>
      <w:r w:rsidR="00CD7339" w:rsidRPr="002837C6">
        <w:t xml:space="preserve"> </w:t>
      </w:r>
      <w:r w:rsidRPr="002837C6">
        <w:t>shows daily ex</w:t>
      </w:r>
      <w:r>
        <w:t xml:space="preserve"> ante prices and demand for July</w:t>
      </w:r>
      <w:r w:rsidRPr="002837C6">
        <w:t xml:space="preserve"> 2012 along with the rolling 30 day average price. </w:t>
      </w:r>
    </w:p>
    <w:p w:rsidR="00C443F1" w:rsidRDefault="009F5CF2" w:rsidP="009F5CF2">
      <w:r>
        <w:rPr>
          <w:rFonts w:ascii="Arial" w:hAnsi="Arial" w:cs="Arial"/>
          <w:b/>
          <w:sz w:val="20"/>
          <w:szCs w:val="20"/>
          <w:lang w:eastAsia="en-US"/>
        </w:rPr>
        <w:t xml:space="preserve">Figure </w:t>
      </w:r>
      <w:r w:rsidR="00CD7339">
        <w:rPr>
          <w:rFonts w:ascii="Arial" w:hAnsi="Arial" w:cs="Arial"/>
          <w:b/>
          <w:sz w:val="20"/>
          <w:szCs w:val="20"/>
          <w:lang w:eastAsia="en-US"/>
        </w:rPr>
        <w:t>9</w:t>
      </w:r>
      <w:r w:rsidR="00690106">
        <w:rPr>
          <w:rFonts w:ascii="Arial" w:hAnsi="Arial" w:cs="Arial"/>
          <w:b/>
          <w:sz w:val="20"/>
          <w:szCs w:val="20"/>
          <w:lang w:eastAsia="en-US"/>
        </w:rPr>
        <w:t>: Brisbane</w:t>
      </w:r>
      <w:r w:rsidR="00690106" w:rsidRPr="00D620E4">
        <w:rPr>
          <w:rFonts w:ascii="Arial" w:hAnsi="Arial" w:cs="Arial"/>
          <w:b/>
          <w:sz w:val="20"/>
          <w:szCs w:val="20"/>
          <w:lang w:eastAsia="en-US"/>
        </w:rPr>
        <w:t xml:space="preserve"> </w:t>
      </w:r>
      <w:r w:rsidR="00690106">
        <w:rPr>
          <w:rFonts w:ascii="Arial" w:hAnsi="Arial" w:cs="Arial"/>
          <w:b/>
          <w:sz w:val="20"/>
          <w:szCs w:val="20"/>
          <w:lang w:eastAsia="en-US"/>
        </w:rPr>
        <w:t xml:space="preserve">ex ante prices and demand for, June and July 2012 </w:t>
      </w:r>
      <w:r w:rsidR="00DB2A1A">
        <w:pict>
          <v:shape id="_x0000_i1032" type="#_x0000_t75" style="width:451pt;height:184.3pt">
            <v:imagedata r:id="rId15" o:title=""/>
          </v:shape>
        </w:pict>
      </w:r>
    </w:p>
    <w:p w:rsidR="00814C7C" w:rsidRDefault="00894E78">
      <w:pPr>
        <w:pStyle w:val="Default"/>
        <w:spacing w:before="120" w:after="120"/>
        <w:jc w:val="both"/>
      </w:pPr>
      <w:r w:rsidRPr="002837C6">
        <w:t xml:space="preserve">The rolling average </w:t>
      </w:r>
      <w:r>
        <w:t xml:space="preserve">ex ante </w:t>
      </w:r>
      <w:r w:rsidRPr="002837C6">
        <w:t xml:space="preserve">price started </w:t>
      </w:r>
      <w:r>
        <w:t xml:space="preserve">July </w:t>
      </w:r>
      <w:r w:rsidR="00C275A7">
        <w:t xml:space="preserve">around </w:t>
      </w:r>
      <w:r>
        <w:t xml:space="preserve">$4.50/GJ and settled </w:t>
      </w:r>
      <w:r w:rsidR="00C275A7">
        <w:t xml:space="preserve">at </w:t>
      </w:r>
      <w:r>
        <w:t>around $5.70/GJ by the</w:t>
      </w:r>
      <w:r w:rsidRPr="002837C6">
        <w:t xml:space="preserve"> end of the month</w:t>
      </w:r>
      <w:r w:rsidR="00C81763">
        <w:t>.</w:t>
      </w:r>
    </w:p>
    <w:p w:rsidR="009750D5" w:rsidRPr="00A12552" w:rsidRDefault="009750D5" w:rsidP="009750D5">
      <w:pPr>
        <w:pStyle w:val="Default"/>
        <w:spacing w:before="120" w:after="120"/>
        <w:jc w:val="both"/>
      </w:pPr>
      <w:r w:rsidRPr="00BF5B3B">
        <w:t>Figure 10 below compares the ex ante price to the final provisional (D-2) price for June and July. In July, Brisbane ex ante prices on some days</w:t>
      </w:r>
      <w:r w:rsidR="006F54F5">
        <w:t xml:space="preserve"> </w:t>
      </w:r>
      <w:r w:rsidRPr="00BF5B3B">
        <w:t>were significantly higher than ex post prices</w:t>
      </w:r>
      <w:r>
        <w:t>. P</w:t>
      </w:r>
      <w:r w:rsidRPr="00BF5B3B">
        <w:t xml:space="preserve">ricing outcomes </w:t>
      </w:r>
      <w:r>
        <w:t xml:space="preserve">for the </w:t>
      </w:r>
      <w:r w:rsidRPr="00BF5B3B">
        <w:t xml:space="preserve">5 July and 6 July </w:t>
      </w:r>
      <w:r>
        <w:t xml:space="preserve">gas </w:t>
      </w:r>
      <w:r w:rsidR="00085A86">
        <w:t xml:space="preserve">days </w:t>
      </w:r>
      <w:r w:rsidRPr="00BF5B3B">
        <w:t xml:space="preserve">are </w:t>
      </w:r>
      <w:r>
        <w:t xml:space="preserve">discussed in detail in the next section of this report. </w:t>
      </w:r>
    </w:p>
    <w:p w:rsidR="00EA43C3" w:rsidRPr="00A12552" w:rsidRDefault="00BF5B3B" w:rsidP="00EA43C3">
      <w:pPr>
        <w:keepNext/>
        <w:rPr>
          <w:rFonts w:ascii="Arial" w:hAnsi="Arial" w:cs="Arial"/>
          <w:b/>
          <w:sz w:val="20"/>
          <w:szCs w:val="20"/>
          <w:lang w:eastAsia="en-US"/>
        </w:rPr>
      </w:pPr>
      <w:r w:rsidRPr="00BF5B3B">
        <w:rPr>
          <w:rFonts w:ascii="Arial" w:hAnsi="Arial" w:cs="Arial"/>
          <w:b/>
          <w:sz w:val="20"/>
          <w:szCs w:val="20"/>
          <w:lang w:eastAsia="en-US"/>
        </w:rPr>
        <w:lastRenderedPageBreak/>
        <w:t>Figure 10: Brisbane D-2 and ex ante price comparison for June and July 2012</w:t>
      </w:r>
    </w:p>
    <w:p w:rsidR="00EA43C3" w:rsidRPr="00A12552" w:rsidRDefault="00DB2A1A" w:rsidP="00EA43C3">
      <w:pPr>
        <w:pStyle w:val="AERbodytext"/>
      </w:pPr>
      <w:r>
        <w:pict>
          <v:shape id="_x0000_i1033" type="#_x0000_t75" style="width:449.85pt;height:148.05pt">
            <v:imagedata r:id="rId16" o:title=""/>
          </v:shape>
        </w:pict>
      </w:r>
    </w:p>
    <w:p w:rsidR="00EA43C3" w:rsidRDefault="009750D5">
      <w:pPr>
        <w:pStyle w:val="Default"/>
        <w:spacing w:before="120" w:after="120"/>
        <w:jc w:val="both"/>
      </w:pPr>
      <w:r>
        <w:t>I</w:t>
      </w:r>
      <w:r w:rsidRPr="00BF5B3B">
        <w:t>n July, the average ex ante price was 41 cents higher than the D-2 price (because of a number of days when the ex ante price jumped up from the D-2 forecast price).</w:t>
      </w:r>
    </w:p>
    <w:p w:rsidR="002837C6" w:rsidRPr="002837C6" w:rsidRDefault="00597913" w:rsidP="00597913">
      <w:pPr>
        <w:pStyle w:val="Heading3"/>
      </w:pPr>
      <w:r>
        <w:t>Victorian market prices</w:t>
      </w:r>
    </w:p>
    <w:p w:rsidR="00DF71B2" w:rsidRDefault="00D25E17">
      <w:pPr>
        <w:pStyle w:val="AERbodytext"/>
        <w:jc w:val="both"/>
      </w:pPr>
      <w:r w:rsidRPr="00811ACE">
        <w:t xml:space="preserve">Figure </w:t>
      </w:r>
      <w:r w:rsidR="00CD7339">
        <w:t>11</w:t>
      </w:r>
      <w:r w:rsidR="00CD7339" w:rsidRPr="00811ACE">
        <w:t xml:space="preserve"> </w:t>
      </w:r>
      <w:r w:rsidRPr="00811ACE">
        <w:t>shows minimum and maximum daily schedule prices</w:t>
      </w:r>
      <w:r w:rsidR="009750D5">
        <w:t xml:space="preserve">, the </w:t>
      </w:r>
      <w:r w:rsidR="009750D5" w:rsidRPr="00811ACE">
        <w:t xml:space="preserve">weighted </w:t>
      </w:r>
      <w:r w:rsidR="009750D5">
        <w:t xml:space="preserve">daily </w:t>
      </w:r>
      <w:r w:rsidR="009750D5" w:rsidRPr="00811ACE">
        <w:t>price</w:t>
      </w:r>
      <w:r w:rsidR="009750D5">
        <w:t xml:space="preserve"> (the ex ante imbalance price)</w:t>
      </w:r>
      <w:r w:rsidR="009750D5" w:rsidRPr="00811ACE">
        <w:t xml:space="preserve">, </w:t>
      </w:r>
      <w:r w:rsidR="009750D5">
        <w:t xml:space="preserve">the </w:t>
      </w:r>
      <w:r w:rsidR="009750D5" w:rsidRPr="00811ACE">
        <w:t xml:space="preserve">rolling average daily price, </w:t>
      </w:r>
      <w:r w:rsidRPr="00811ACE">
        <w:t xml:space="preserve">and demand. </w:t>
      </w:r>
      <w:r w:rsidR="00E82B91">
        <w:t xml:space="preserve">Unlike the Sydney, Adelaide and Brisbane markets, the </w:t>
      </w:r>
      <w:r w:rsidR="0082609D">
        <w:t>Victorian Gas Market (VGM)</w:t>
      </w:r>
      <w:r w:rsidR="00E82B91">
        <w:t xml:space="preserve"> has 5 schedul</w:t>
      </w:r>
      <w:r w:rsidR="00F77BA8">
        <w:t>es and 5</w:t>
      </w:r>
      <w:r w:rsidR="00E82B91">
        <w:t xml:space="preserve"> prices a day at 6 am, 10 am, 2 pm, 6 pm and 10 pm respectively.</w:t>
      </w:r>
    </w:p>
    <w:p w:rsidR="00D25E17" w:rsidRPr="0060145C" w:rsidRDefault="00D25E17" w:rsidP="00D25E17">
      <w:pPr>
        <w:rPr>
          <w:rFonts w:ascii="Arial" w:hAnsi="Arial" w:cs="Arial"/>
          <w:sz w:val="20"/>
          <w:szCs w:val="20"/>
        </w:rPr>
      </w:pPr>
      <w:r w:rsidRPr="0060145C">
        <w:rPr>
          <w:rFonts w:ascii="Arial" w:hAnsi="Arial" w:cs="Arial"/>
          <w:b/>
          <w:sz w:val="20"/>
          <w:szCs w:val="20"/>
        </w:rPr>
        <w:t xml:space="preserve">Figure </w:t>
      </w:r>
      <w:r w:rsidR="00CD7339">
        <w:rPr>
          <w:rFonts w:ascii="Arial" w:hAnsi="Arial" w:cs="Arial"/>
          <w:b/>
          <w:sz w:val="20"/>
          <w:szCs w:val="20"/>
        </w:rPr>
        <w:t>11</w:t>
      </w:r>
      <w:r w:rsidRPr="0060145C">
        <w:rPr>
          <w:rFonts w:ascii="Arial" w:hAnsi="Arial" w:cs="Arial"/>
          <w:b/>
          <w:sz w:val="20"/>
          <w:szCs w:val="20"/>
        </w:rPr>
        <w:t>: Prices and demand in the Victorian market</w:t>
      </w:r>
      <w:r w:rsidR="00690106">
        <w:rPr>
          <w:rFonts w:ascii="Arial" w:hAnsi="Arial" w:cs="Arial"/>
          <w:b/>
          <w:sz w:val="20"/>
          <w:szCs w:val="20"/>
        </w:rPr>
        <w:t>,</w:t>
      </w:r>
      <w:r w:rsidRPr="0060145C">
        <w:rPr>
          <w:rFonts w:ascii="Arial" w:hAnsi="Arial" w:cs="Arial"/>
          <w:b/>
          <w:sz w:val="20"/>
          <w:szCs w:val="20"/>
        </w:rPr>
        <w:t xml:space="preserve"> July 2012</w:t>
      </w:r>
    </w:p>
    <w:p w:rsidR="00D25E17" w:rsidRPr="00811ACE" w:rsidRDefault="00DB2A1A" w:rsidP="00D25E17">
      <w:pPr>
        <w:jc w:val="both"/>
      </w:pPr>
      <w:r>
        <w:pict>
          <v:shape id="_x0000_i1034" type="#_x0000_t75" style="width:452.15pt;height:191.8pt">
            <v:imagedata r:id="rId17" o:title=""/>
          </v:shape>
        </w:pict>
      </w:r>
    </w:p>
    <w:p w:rsidR="00814C7C" w:rsidRDefault="00F44BC2" w:rsidP="00F44BC2">
      <w:pPr>
        <w:pStyle w:val="Default"/>
        <w:spacing w:before="120" w:after="120"/>
        <w:jc w:val="both"/>
      </w:pPr>
      <w:r>
        <w:t>The past 30 day rolling average of weighted prices in Victoria (the red line in figure 11) increased by around 80 cents by the end of July</w:t>
      </w:r>
      <w:r w:rsidR="009750D5">
        <w:t xml:space="preserve"> from $5.10/GJ to $5.90/GJ</w:t>
      </w:r>
      <w:r w:rsidR="002B470D">
        <w:t>.</w:t>
      </w:r>
      <w:r>
        <w:t xml:space="preserve"> </w:t>
      </w:r>
    </w:p>
    <w:p w:rsidR="00814C7C" w:rsidRDefault="00607B65">
      <w:pPr>
        <w:pStyle w:val="Default"/>
        <w:spacing w:before="120" w:after="120"/>
        <w:jc w:val="both"/>
      </w:pPr>
      <w:r w:rsidRPr="00607B65">
        <w:t>On Saturday 7 July, the weighted average imbalance price reached $15.57/GJ, the highest price since 22 November 2008</w:t>
      </w:r>
      <w:r w:rsidR="00C9399A" w:rsidRPr="00A65B81">
        <w:rPr>
          <w:rStyle w:val="FootnoteReference"/>
        </w:rPr>
        <w:footnoteReference w:id="11"/>
      </w:r>
      <w:r w:rsidRPr="00607B65">
        <w:t>.</w:t>
      </w:r>
      <w:r w:rsidR="009F466D">
        <w:t xml:space="preserve"> </w:t>
      </w:r>
    </w:p>
    <w:p w:rsidR="001C1F31" w:rsidRDefault="00D25E17">
      <w:pPr>
        <w:pStyle w:val="AERbodytext"/>
        <w:jc w:val="both"/>
      </w:pPr>
      <w:r w:rsidRPr="0062300C">
        <w:t xml:space="preserve">Figures </w:t>
      </w:r>
      <w:r w:rsidR="00CD7339">
        <w:t>12</w:t>
      </w:r>
      <w:r w:rsidR="00CD7339" w:rsidRPr="0062300C">
        <w:t xml:space="preserve"> </w:t>
      </w:r>
      <w:r w:rsidRPr="0062300C">
        <w:t xml:space="preserve">and </w:t>
      </w:r>
      <w:r w:rsidR="00CD7339">
        <w:t>13</w:t>
      </w:r>
      <w:r w:rsidR="00CD7339" w:rsidRPr="0062300C">
        <w:t xml:space="preserve"> </w:t>
      </w:r>
      <w:r w:rsidRPr="0062300C">
        <w:t xml:space="preserve">compare key prices and quantities in the VGM for </w:t>
      </w:r>
      <w:r w:rsidR="00004CA0" w:rsidRPr="0062300C">
        <w:t>July</w:t>
      </w:r>
      <w:r w:rsidR="00004CA0">
        <w:t> </w:t>
      </w:r>
      <w:r w:rsidRPr="0062300C">
        <w:t xml:space="preserve">2012 to </w:t>
      </w:r>
      <w:r w:rsidR="00004CA0" w:rsidRPr="0062300C">
        <w:t>July</w:t>
      </w:r>
      <w:r w:rsidR="00004CA0">
        <w:t> </w:t>
      </w:r>
      <w:r w:rsidRPr="0062300C">
        <w:t xml:space="preserve">2011. As shown in figure </w:t>
      </w:r>
      <w:r w:rsidR="00CD7339">
        <w:t>12</w:t>
      </w:r>
      <w:r w:rsidR="00CD7339" w:rsidRPr="0062300C">
        <w:t xml:space="preserve"> </w:t>
      </w:r>
      <w:r w:rsidRPr="0062300C">
        <w:t xml:space="preserve">(and graphically in figure </w:t>
      </w:r>
      <w:r w:rsidR="00CD7339">
        <w:t>13</w:t>
      </w:r>
      <w:r w:rsidRPr="0062300C">
        <w:t>), the volume of offers at or below $6/GJ at 6</w:t>
      </w:r>
      <w:r w:rsidR="00004CA0">
        <w:t> </w:t>
      </w:r>
      <w:r w:rsidRPr="0062300C">
        <w:t>am fell by 20</w:t>
      </w:r>
      <w:r w:rsidR="00004CA0">
        <w:t> </w:t>
      </w:r>
      <w:r w:rsidRPr="0062300C">
        <w:t>per</w:t>
      </w:r>
      <w:r w:rsidR="00004CA0">
        <w:t> </w:t>
      </w:r>
      <w:r w:rsidRPr="0062300C">
        <w:t xml:space="preserve">cent from </w:t>
      </w:r>
      <w:r w:rsidR="002978DD">
        <w:t>July</w:t>
      </w:r>
      <w:r w:rsidR="00004CA0">
        <w:t> </w:t>
      </w:r>
      <w:r w:rsidRPr="0062300C">
        <w:t xml:space="preserve">2011 to </w:t>
      </w:r>
      <w:r w:rsidR="002978DD">
        <w:t>July</w:t>
      </w:r>
      <w:r w:rsidR="00004CA0">
        <w:t> </w:t>
      </w:r>
      <w:r w:rsidRPr="0062300C">
        <w:t>2012.</w:t>
      </w:r>
      <w:r w:rsidR="00607B65" w:rsidRPr="00607B65">
        <w:rPr>
          <w:rStyle w:val="FootnoteReference"/>
          <w:sz w:val="23"/>
          <w:szCs w:val="23"/>
        </w:rPr>
        <w:footnoteReference w:id="12"/>
      </w:r>
    </w:p>
    <w:p w:rsidR="00DF71B2" w:rsidRDefault="001C1F31">
      <w:pPr>
        <w:pStyle w:val="AERbodytext"/>
        <w:jc w:val="both"/>
      </w:pPr>
      <w:r>
        <w:br w:type="page"/>
      </w:r>
    </w:p>
    <w:p w:rsidR="00D25E17" w:rsidRPr="00A774AC" w:rsidRDefault="00D25E17" w:rsidP="00D25E17">
      <w:pPr>
        <w:widowControl w:val="0"/>
        <w:spacing w:before="240"/>
        <w:jc w:val="both"/>
        <w:rPr>
          <w:rFonts w:ascii="Arial" w:hAnsi="Arial" w:cs="Arial"/>
          <w:b/>
          <w:sz w:val="20"/>
          <w:szCs w:val="20"/>
        </w:rPr>
      </w:pPr>
      <w:r w:rsidRPr="00F146B3">
        <w:rPr>
          <w:rFonts w:ascii="Arial" w:hAnsi="Arial" w:cs="Arial"/>
          <w:b/>
          <w:sz w:val="20"/>
          <w:szCs w:val="20"/>
        </w:rPr>
        <w:t>Figu</w:t>
      </w:r>
      <w:r w:rsidRPr="00A774AC">
        <w:rPr>
          <w:rFonts w:ascii="Arial" w:hAnsi="Arial" w:cs="Arial"/>
          <w:b/>
          <w:sz w:val="20"/>
          <w:szCs w:val="20"/>
        </w:rPr>
        <w:t xml:space="preserve">re </w:t>
      </w:r>
      <w:r w:rsidR="00CD7339">
        <w:rPr>
          <w:rFonts w:ascii="Arial" w:hAnsi="Arial" w:cs="Arial"/>
          <w:b/>
          <w:sz w:val="20"/>
          <w:szCs w:val="20"/>
        </w:rPr>
        <w:t>12</w:t>
      </w:r>
      <w:r w:rsidRPr="00A774AC">
        <w:rPr>
          <w:rFonts w:ascii="Arial" w:hAnsi="Arial" w:cs="Arial"/>
          <w:b/>
          <w:sz w:val="20"/>
          <w:szCs w:val="20"/>
        </w:rPr>
        <w:t>: Average daily key prices and inputs</w:t>
      </w:r>
    </w:p>
    <w:tbl>
      <w:tblPr>
        <w:tblW w:w="4813" w:type="pct"/>
        <w:tblBorders>
          <w:top w:val="single" w:sz="12" w:space="0" w:color="000000"/>
          <w:bottom w:val="single" w:sz="12" w:space="0" w:color="000000"/>
          <w:insideH w:val="single" w:sz="6" w:space="0" w:color="000000"/>
        </w:tblBorders>
        <w:tblLayout w:type="fixed"/>
        <w:tblLook w:val="04A0"/>
      </w:tblPr>
      <w:tblGrid>
        <w:gridCol w:w="1234"/>
        <w:gridCol w:w="1849"/>
        <w:gridCol w:w="1701"/>
        <w:gridCol w:w="1418"/>
        <w:gridCol w:w="2694"/>
      </w:tblGrid>
      <w:tr w:rsidR="00754EDA" w:rsidRPr="00A774AC" w:rsidTr="00754EDA">
        <w:trPr>
          <w:trHeight w:val="300"/>
        </w:trPr>
        <w:tc>
          <w:tcPr>
            <w:tcW w:w="693" w:type="pct"/>
            <w:shd w:val="clear" w:color="auto" w:fill="auto"/>
            <w:noWrap/>
            <w:hideMark/>
          </w:tcPr>
          <w:p w:rsidR="00D25E17" w:rsidRPr="00A774AC" w:rsidRDefault="00D25E17" w:rsidP="001E1CB5">
            <w:pPr>
              <w:widowControl w:val="0"/>
              <w:rPr>
                <w:rFonts w:ascii="Arial" w:hAnsi="Arial" w:cs="Arial"/>
                <w:b/>
                <w:bCs/>
                <w:color w:val="000000"/>
                <w:sz w:val="20"/>
                <w:szCs w:val="20"/>
              </w:rPr>
            </w:pPr>
          </w:p>
        </w:tc>
        <w:tc>
          <w:tcPr>
            <w:tcW w:w="1039" w:type="pct"/>
          </w:tcPr>
          <w:p w:rsidR="00D25E17" w:rsidRPr="00A774AC" w:rsidRDefault="00D25E17" w:rsidP="001E1CB5">
            <w:pPr>
              <w:widowControl w:val="0"/>
              <w:jc w:val="center"/>
              <w:rPr>
                <w:rFonts w:ascii="Arial" w:hAnsi="Arial" w:cs="Arial"/>
                <w:b/>
                <w:bCs/>
                <w:color w:val="000000"/>
                <w:sz w:val="20"/>
                <w:szCs w:val="20"/>
              </w:rPr>
            </w:pPr>
            <w:r w:rsidRPr="00A774AC">
              <w:rPr>
                <w:rFonts w:ascii="Arial" w:hAnsi="Arial" w:cs="Arial"/>
                <w:b/>
                <w:bCs/>
                <w:color w:val="000000"/>
                <w:sz w:val="20"/>
                <w:szCs w:val="20"/>
              </w:rPr>
              <w:t>6 am Injection bids at or below $6/GJ</w:t>
            </w:r>
          </w:p>
          <w:p w:rsidR="00D25E17" w:rsidRPr="00A774AC" w:rsidRDefault="00D25E17" w:rsidP="001E1CB5">
            <w:pPr>
              <w:widowControl w:val="0"/>
              <w:jc w:val="center"/>
              <w:rPr>
                <w:rFonts w:ascii="Arial" w:hAnsi="Arial" w:cs="Arial"/>
                <w:b/>
                <w:bCs/>
                <w:color w:val="000000"/>
                <w:sz w:val="20"/>
                <w:szCs w:val="20"/>
              </w:rPr>
            </w:pPr>
            <w:r w:rsidRPr="00A774AC">
              <w:rPr>
                <w:rFonts w:ascii="Arial" w:hAnsi="Arial" w:cs="Arial"/>
                <w:b/>
                <w:bCs/>
                <w:color w:val="000000"/>
                <w:sz w:val="20"/>
                <w:szCs w:val="20"/>
              </w:rPr>
              <w:t>(TJ)</w:t>
            </w:r>
          </w:p>
        </w:tc>
        <w:tc>
          <w:tcPr>
            <w:tcW w:w="956" w:type="pct"/>
            <w:shd w:val="clear" w:color="auto" w:fill="auto"/>
            <w:noWrap/>
            <w:hideMark/>
          </w:tcPr>
          <w:p w:rsidR="00D25E17" w:rsidRPr="00A774AC" w:rsidRDefault="00D25E17" w:rsidP="001E1CB5">
            <w:pPr>
              <w:widowControl w:val="0"/>
              <w:jc w:val="center"/>
              <w:rPr>
                <w:rFonts w:ascii="Arial" w:hAnsi="Arial" w:cs="Arial"/>
                <w:b/>
                <w:bCs/>
                <w:color w:val="000000"/>
                <w:sz w:val="20"/>
                <w:szCs w:val="20"/>
              </w:rPr>
            </w:pPr>
            <w:r w:rsidRPr="00A774AC">
              <w:rPr>
                <w:rFonts w:ascii="Arial" w:hAnsi="Arial" w:cs="Arial"/>
                <w:b/>
                <w:bCs/>
                <w:color w:val="000000"/>
                <w:sz w:val="20"/>
                <w:szCs w:val="20"/>
              </w:rPr>
              <w:t>6 am demand</w:t>
            </w:r>
          </w:p>
          <w:p w:rsidR="00D25E17" w:rsidRPr="00A774AC" w:rsidRDefault="00D25E17" w:rsidP="001E1CB5">
            <w:pPr>
              <w:widowControl w:val="0"/>
              <w:jc w:val="center"/>
              <w:rPr>
                <w:rFonts w:ascii="Arial" w:hAnsi="Arial" w:cs="Arial"/>
                <w:b/>
                <w:bCs/>
                <w:color w:val="000000"/>
                <w:sz w:val="20"/>
                <w:szCs w:val="20"/>
              </w:rPr>
            </w:pPr>
            <w:r w:rsidRPr="00A774AC">
              <w:rPr>
                <w:rFonts w:ascii="Arial" w:hAnsi="Arial" w:cs="Arial"/>
                <w:b/>
                <w:bCs/>
                <w:color w:val="000000"/>
                <w:sz w:val="20"/>
                <w:szCs w:val="20"/>
              </w:rPr>
              <w:t>(TJ)</w:t>
            </w:r>
          </w:p>
        </w:tc>
        <w:tc>
          <w:tcPr>
            <w:tcW w:w="797" w:type="pct"/>
            <w:shd w:val="clear" w:color="auto" w:fill="auto"/>
            <w:noWrap/>
            <w:hideMark/>
          </w:tcPr>
          <w:p w:rsidR="00D25E17" w:rsidRPr="00A774AC" w:rsidRDefault="00D25E17" w:rsidP="001E1CB5">
            <w:pPr>
              <w:widowControl w:val="0"/>
              <w:jc w:val="center"/>
              <w:rPr>
                <w:rFonts w:ascii="Arial" w:hAnsi="Arial" w:cs="Arial"/>
                <w:b/>
                <w:bCs/>
                <w:color w:val="000000"/>
                <w:sz w:val="20"/>
                <w:szCs w:val="20"/>
              </w:rPr>
            </w:pPr>
            <w:r w:rsidRPr="00A774AC">
              <w:rPr>
                <w:rFonts w:ascii="Arial" w:hAnsi="Arial" w:cs="Arial"/>
                <w:b/>
                <w:bCs/>
                <w:color w:val="000000"/>
                <w:sz w:val="20"/>
                <w:szCs w:val="20"/>
              </w:rPr>
              <w:t>Weighted daily Price</w:t>
            </w:r>
          </w:p>
          <w:p w:rsidR="00D25E17" w:rsidRPr="00A774AC" w:rsidRDefault="00D25E17" w:rsidP="001E1CB5">
            <w:pPr>
              <w:widowControl w:val="0"/>
              <w:jc w:val="center"/>
              <w:rPr>
                <w:rFonts w:ascii="Arial" w:hAnsi="Arial" w:cs="Arial"/>
                <w:b/>
                <w:bCs/>
                <w:color w:val="000000"/>
                <w:sz w:val="20"/>
                <w:szCs w:val="20"/>
              </w:rPr>
            </w:pPr>
            <w:r w:rsidRPr="00A774AC">
              <w:rPr>
                <w:rFonts w:ascii="Arial" w:hAnsi="Arial" w:cs="Arial"/>
                <w:b/>
                <w:bCs/>
                <w:color w:val="000000"/>
                <w:sz w:val="20"/>
                <w:szCs w:val="20"/>
              </w:rPr>
              <w:t>($/GJ)</w:t>
            </w:r>
          </w:p>
        </w:tc>
        <w:tc>
          <w:tcPr>
            <w:tcW w:w="1514" w:type="pct"/>
            <w:shd w:val="clear" w:color="auto" w:fill="auto"/>
            <w:noWrap/>
            <w:hideMark/>
          </w:tcPr>
          <w:p w:rsidR="00D25E17" w:rsidRPr="00A774AC" w:rsidRDefault="00D25E17" w:rsidP="001E1CB5">
            <w:pPr>
              <w:widowControl w:val="0"/>
              <w:jc w:val="center"/>
              <w:rPr>
                <w:rFonts w:ascii="Arial" w:hAnsi="Arial" w:cs="Arial"/>
                <w:b/>
                <w:bCs/>
                <w:color w:val="000000"/>
                <w:sz w:val="20"/>
                <w:szCs w:val="20"/>
              </w:rPr>
            </w:pPr>
            <w:r w:rsidRPr="00A774AC">
              <w:rPr>
                <w:rFonts w:ascii="Arial" w:hAnsi="Arial" w:cs="Arial"/>
                <w:b/>
                <w:bCs/>
                <w:color w:val="000000"/>
                <w:sz w:val="20"/>
                <w:szCs w:val="20"/>
              </w:rPr>
              <w:t>Average difference of min and max schedule price on day</w:t>
            </w:r>
          </w:p>
          <w:p w:rsidR="00D25E17" w:rsidRPr="00A774AC" w:rsidRDefault="00D25E17" w:rsidP="001E1CB5">
            <w:pPr>
              <w:widowControl w:val="0"/>
              <w:jc w:val="center"/>
              <w:rPr>
                <w:rFonts w:ascii="Arial" w:hAnsi="Arial" w:cs="Arial"/>
                <w:b/>
                <w:bCs/>
                <w:color w:val="000000"/>
                <w:sz w:val="20"/>
                <w:szCs w:val="20"/>
              </w:rPr>
            </w:pPr>
            <w:r w:rsidRPr="00A774AC">
              <w:rPr>
                <w:rFonts w:ascii="Arial" w:hAnsi="Arial" w:cs="Arial"/>
                <w:b/>
                <w:bCs/>
                <w:color w:val="000000"/>
                <w:sz w:val="20"/>
                <w:szCs w:val="20"/>
              </w:rPr>
              <w:t>($/GJ)</w:t>
            </w:r>
          </w:p>
        </w:tc>
      </w:tr>
      <w:tr w:rsidR="00754EDA" w:rsidRPr="00A774AC" w:rsidTr="00754EDA">
        <w:trPr>
          <w:trHeight w:val="300"/>
        </w:trPr>
        <w:tc>
          <w:tcPr>
            <w:tcW w:w="693" w:type="pct"/>
            <w:shd w:val="clear" w:color="auto" w:fill="auto"/>
            <w:noWrap/>
            <w:hideMark/>
          </w:tcPr>
          <w:p w:rsidR="00D25E17" w:rsidRPr="00A774AC" w:rsidRDefault="00D25E17" w:rsidP="001E1CB5">
            <w:pPr>
              <w:widowControl w:val="0"/>
              <w:rPr>
                <w:rFonts w:ascii="Arial" w:hAnsi="Arial" w:cs="Arial"/>
                <w:b/>
                <w:color w:val="000000"/>
                <w:sz w:val="20"/>
                <w:szCs w:val="20"/>
              </w:rPr>
            </w:pPr>
            <w:r>
              <w:rPr>
                <w:rFonts w:ascii="Arial" w:hAnsi="Arial" w:cs="Arial"/>
                <w:b/>
                <w:color w:val="000000"/>
                <w:sz w:val="20"/>
                <w:szCs w:val="20"/>
              </w:rPr>
              <w:t>July</w:t>
            </w:r>
            <w:r w:rsidRPr="00A774AC">
              <w:rPr>
                <w:rFonts w:ascii="Arial" w:hAnsi="Arial" w:cs="Arial"/>
                <w:b/>
                <w:color w:val="000000"/>
                <w:sz w:val="20"/>
                <w:szCs w:val="20"/>
              </w:rPr>
              <w:t xml:space="preserve"> 2011</w:t>
            </w:r>
          </w:p>
        </w:tc>
        <w:tc>
          <w:tcPr>
            <w:tcW w:w="1039" w:type="pct"/>
          </w:tcPr>
          <w:p w:rsidR="00D25E17" w:rsidRPr="00A774AC" w:rsidRDefault="00D25E17" w:rsidP="001E1CB5">
            <w:pPr>
              <w:widowControl w:val="0"/>
              <w:jc w:val="center"/>
              <w:rPr>
                <w:rFonts w:ascii="Arial" w:hAnsi="Arial" w:cs="Arial"/>
                <w:sz w:val="20"/>
                <w:szCs w:val="20"/>
              </w:rPr>
            </w:pPr>
            <w:r>
              <w:rPr>
                <w:rFonts w:ascii="Arial" w:hAnsi="Arial" w:cs="Arial"/>
                <w:sz w:val="20"/>
                <w:szCs w:val="20"/>
              </w:rPr>
              <w:t>1272</w:t>
            </w:r>
          </w:p>
        </w:tc>
        <w:tc>
          <w:tcPr>
            <w:tcW w:w="956" w:type="pct"/>
            <w:shd w:val="clear" w:color="auto" w:fill="auto"/>
            <w:noWrap/>
            <w:hideMark/>
          </w:tcPr>
          <w:p w:rsidR="00D25E17" w:rsidRPr="00A774AC" w:rsidRDefault="00D25E17" w:rsidP="001E1CB5">
            <w:pPr>
              <w:widowControl w:val="0"/>
              <w:jc w:val="center"/>
              <w:rPr>
                <w:rFonts w:ascii="Arial" w:hAnsi="Arial" w:cs="Arial"/>
                <w:sz w:val="20"/>
                <w:szCs w:val="20"/>
              </w:rPr>
            </w:pPr>
            <w:r>
              <w:rPr>
                <w:rFonts w:ascii="Arial" w:hAnsi="Arial" w:cs="Arial"/>
                <w:sz w:val="20"/>
                <w:szCs w:val="20"/>
              </w:rPr>
              <w:t>967</w:t>
            </w:r>
          </w:p>
        </w:tc>
        <w:tc>
          <w:tcPr>
            <w:tcW w:w="797" w:type="pct"/>
            <w:shd w:val="clear" w:color="auto" w:fill="auto"/>
            <w:noWrap/>
            <w:hideMark/>
          </w:tcPr>
          <w:p w:rsidR="00D25E17" w:rsidRPr="00A774AC" w:rsidRDefault="00D25E17" w:rsidP="001E1CB5">
            <w:pPr>
              <w:widowControl w:val="0"/>
              <w:jc w:val="center"/>
              <w:rPr>
                <w:rFonts w:ascii="Arial" w:hAnsi="Arial" w:cs="Arial"/>
                <w:sz w:val="20"/>
                <w:szCs w:val="20"/>
              </w:rPr>
            </w:pPr>
            <w:r w:rsidRPr="00A774AC">
              <w:rPr>
                <w:rFonts w:ascii="Arial" w:hAnsi="Arial" w:cs="Arial"/>
                <w:sz w:val="20"/>
                <w:szCs w:val="20"/>
              </w:rPr>
              <w:t>3.</w:t>
            </w:r>
            <w:r>
              <w:rPr>
                <w:rFonts w:ascii="Arial" w:hAnsi="Arial" w:cs="Arial"/>
                <w:sz w:val="20"/>
                <w:szCs w:val="20"/>
              </w:rPr>
              <w:t>62</w:t>
            </w:r>
          </w:p>
        </w:tc>
        <w:tc>
          <w:tcPr>
            <w:tcW w:w="1514" w:type="pct"/>
            <w:shd w:val="clear" w:color="auto" w:fill="auto"/>
            <w:noWrap/>
            <w:hideMark/>
          </w:tcPr>
          <w:p w:rsidR="00D25E17" w:rsidRPr="00004CA0" w:rsidRDefault="00D25E17" w:rsidP="001E1CB5">
            <w:pPr>
              <w:widowControl w:val="0"/>
              <w:jc w:val="center"/>
              <w:rPr>
                <w:rFonts w:ascii="Arial" w:hAnsi="Arial" w:cs="Arial"/>
                <w:sz w:val="20"/>
                <w:szCs w:val="20"/>
              </w:rPr>
            </w:pPr>
            <w:r w:rsidRPr="00004CA0">
              <w:rPr>
                <w:rFonts w:ascii="Arial" w:hAnsi="Arial" w:cs="Arial"/>
                <w:sz w:val="20"/>
                <w:szCs w:val="20"/>
              </w:rPr>
              <w:t>0.81</w:t>
            </w:r>
          </w:p>
        </w:tc>
      </w:tr>
      <w:tr w:rsidR="00754EDA" w:rsidRPr="007D3FEE" w:rsidTr="00754EDA">
        <w:trPr>
          <w:trHeight w:val="300"/>
        </w:trPr>
        <w:tc>
          <w:tcPr>
            <w:tcW w:w="693" w:type="pct"/>
            <w:shd w:val="clear" w:color="auto" w:fill="auto"/>
            <w:noWrap/>
            <w:hideMark/>
          </w:tcPr>
          <w:p w:rsidR="00D25E17" w:rsidRPr="00A774AC" w:rsidRDefault="00D25E17" w:rsidP="001E1CB5">
            <w:pPr>
              <w:widowControl w:val="0"/>
              <w:rPr>
                <w:rFonts w:ascii="Arial" w:hAnsi="Arial" w:cs="Arial"/>
                <w:b/>
                <w:color w:val="000000"/>
                <w:sz w:val="20"/>
                <w:szCs w:val="20"/>
              </w:rPr>
            </w:pPr>
            <w:r w:rsidRPr="00A774AC">
              <w:rPr>
                <w:rFonts w:ascii="Arial" w:hAnsi="Arial" w:cs="Arial"/>
                <w:b/>
                <w:color w:val="000000"/>
                <w:sz w:val="20"/>
                <w:szCs w:val="20"/>
              </w:rPr>
              <w:t>Ju</w:t>
            </w:r>
            <w:r>
              <w:rPr>
                <w:rFonts w:ascii="Arial" w:hAnsi="Arial" w:cs="Arial"/>
                <w:b/>
                <w:color w:val="000000"/>
                <w:sz w:val="20"/>
                <w:szCs w:val="20"/>
              </w:rPr>
              <w:t>ly</w:t>
            </w:r>
            <w:r w:rsidRPr="00A774AC">
              <w:rPr>
                <w:rFonts w:ascii="Arial" w:hAnsi="Arial" w:cs="Arial"/>
                <w:b/>
                <w:color w:val="000000"/>
                <w:sz w:val="20"/>
                <w:szCs w:val="20"/>
              </w:rPr>
              <w:t xml:space="preserve"> 2012</w:t>
            </w:r>
          </w:p>
        </w:tc>
        <w:tc>
          <w:tcPr>
            <w:tcW w:w="1039" w:type="pct"/>
          </w:tcPr>
          <w:p w:rsidR="00D25E17" w:rsidRPr="00A774AC" w:rsidRDefault="00D25E17" w:rsidP="001E1CB5">
            <w:pPr>
              <w:widowControl w:val="0"/>
              <w:jc w:val="center"/>
              <w:rPr>
                <w:rFonts w:ascii="Arial" w:hAnsi="Arial" w:cs="Arial"/>
                <w:sz w:val="20"/>
                <w:szCs w:val="20"/>
              </w:rPr>
            </w:pPr>
            <w:r>
              <w:rPr>
                <w:rFonts w:ascii="Arial" w:hAnsi="Arial" w:cs="Arial"/>
                <w:sz w:val="20"/>
                <w:szCs w:val="20"/>
              </w:rPr>
              <w:t>1018</w:t>
            </w:r>
          </w:p>
        </w:tc>
        <w:tc>
          <w:tcPr>
            <w:tcW w:w="956" w:type="pct"/>
            <w:shd w:val="clear" w:color="auto" w:fill="auto"/>
            <w:noWrap/>
            <w:hideMark/>
          </w:tcPr>
          <w:p w:rsidR="00D25E17" w:rsidRPr="00A774AC" w:rsidRDefault="00D25E17" w:rsidP="001E1CB5">
            <w:pPr>
              <w:widowControl w:val="0"/>
              <w:jc w:val="center"/>
              <w:rPr>
                <w:rFonts w:ascii="Arial" w:hAnsi="Arial" w:cs="Arial"/>
                <w:sz w:val="20"/>
                <w:szCs w:val="20"/>
              </w:rPr>
            </w:pPr>
            <w:r>
              <w:rPr>
                <w:rFonts w:ascii="Arial" w:hAnsi="Arial" w:cs="Arial"/>
                <w:sz w:val="20"/>
                <w:szCs w:val="20"/>
              </w:rPr>
              <w:t>959</w:t>
            </w:r>
          </w:p>
        </w:tc>
        <w:tc>
          <w:tcPr>
            <w:tcW w:w="797" w:type="pct"/>
            <w:shd w:val="clear" w:color="auto" w:fill="auto"/>
            <w:noWrap/>
            <w:hideMark/>
          </w:tcPr>
          <w:p w:rsidR="00D25E17" w:rsidRPr="00A774AC" w:rsidRDefault="00D25E17" w:rsidP="001E1CB5">
            <w:pPr>
              <w:widowControl w:val="0"/>
              <w:jc w:val="center"/>
              <w:rPr>
                <w:rFonts w:ascii="Arial" w:hAnsi="Arial" w:cs="Arial"/>
                <w:sz w:val="20"/>
                <w:szCs w:val="20"/>
              </w:rPr>
            </w:pPr>
            <w:r w:rsidRPr="00A774AC">
              <w:rPr>
                <w:rFonts w:ascii="Arial" w:hAnsi="Arial" w:cs="Arial"/>
                <w:sz w:val="20"/>
                <w:szCs w:val="20"/>
              </w:rPr>
              <w:t>5.</w:t>
            </w:r>
            <w:r>
              <w:rPr>
                <w:rFonts w:ascii="Arial" w:hAnsi="Arial" w:cs="Arial"/>
                <w:sz w:val="20"/>
                <w:szCs w:val="20"/>
              </w:rPr>
              <w:t>85</w:t>
            </w:r>
          </w:p>
        </w:tc>
        <w:tc>
          <w:tcPr>
            <w:tcW w:w="1514" w:type="pct"/>
            <w:shd w:val="clear" w:color="auto" w:fill="auto"/>
            <w:noWrap/>
            <w:hideMark/>
          </w:tcPr>
          <w:p w:rsidR="00D25E17" w:rsidRPr="00004CA0" w:rsidRDefault="00D25E17" w:rsidP="00004CA0">
            <w:pPr>
              <w:widowControl w:val="0"/>
              <w:jc w:val="center"/>
              <w:rPr>
                <w:rFonts w:ascii="Arial" w:hAnsi="Arial" w:cs="Arial"/>
                <w:sz w:val="20"/>
                <w:szCs w:val="20"/>
              </w:rPr>
            </w:pPr>
            <w:r w:rsidRPr="00004CA0">
              <w:rPr>
                <w:rFonts w:ascii="Arial" w:hAnsi="Arial" w:cs="Arial"/>
                <w:sz w:val="20"/>
                <w:szCs w:val="20"/>
              </w:rPr>
              <w:t>2.</w:t>
            </w:r>
            <w:r w:rsidR="00BF5B3B" w:rsidRPr="00BF5B3B">
              <w:rPr>
                <w:rFonts w:ascii="Arial" w:hAnsi="Arial" w:cs="Arial"/>
                <w:sz w:val="20"/>
                <w:szCs w:val="20"/>
              </w:rPr>
              <w:t>28</w:t>
            </w:r>
          </w:p>
        </w:tc>
      </w:tr>
    </w:tbl>
    <w:p w:rsidR="00814C7C" w:rsidRDefault="00D25E17">
      <w:pPr>
        <w:keepNext/>
        <w:widowControl w:val="0"/>
        <w:spacing w:before="240"/>
        <w:jc w:val="both"/>
        <w:rPr>
          <w:rFonts w:ascii="Arial" w:hAnsi="Arial" w:cs="Arial"/>
          <w:b/>
          <w:sz w:val="20"/>
          <w:szCs w:val="20"/>
        </w:rPr>
      </w:pPr>
      <w:r w:rsidRPr="00343E05">
        <w:rPr>
          <w:rFonts w:ascii="Arial" w:hAnsi="Arial" w:cs="Arial"/>
          <w:b/>
          <w:sz w:val="20"/>
          <w:szCs w:val="20"/>
        </w:rPr>
        <w:t xml:space="preserve">Figure </w:t>
      </w:r>
      <w:r w:rsidR="00CD7339">
        <w:rPr>
          <w:rFonts w:ascii="Arial" w:hAnsi="Arial" w:cs="Arial"/>
          <w:b/>
          <w:sz w:val="20"/>
          <w:szCs w:val="20"/>
        </w:rPr>
        <w:t>13</w:t>
      </w:r>
      <w:r w:rsidRPr="00343E05">
        <w:rPr>
          <w:rFonts w:ascii="Arial" w:hAnsi="Arial" w:cs="Arial"/>
          <w:b/>
          <w:sz w:val="20"/>
          <w:szCs w:val="20"/>
        </w:rPr>
        <w:t>:</w:t>
      </w:r>
      <w:r>
        <w:rPr>
          <w:rFonts w:ascii="Arial" w:hAnsi="Arial" w:cs="Arial"/>
          <w:b/>
          <w:sz w:val="20"/>
          <w:szCs w:val="20"/>
        </w:rPr>
        <w:t xml:space="preserve"> 6 am i</w:t>
      </w:r>
      <w:r w:rsidRPr="00343E05">
        <w:rPr>
          <w:rFonts w:ascii="Arial" w:hAnsi="Arial" w:cs="Arial"/>
          <w:b/>
          <w:sz w:val="20"/>
          <w:szCs w:val="20"/>
        </w:rPr>
        <w:t xml:space="preserve">njection bids </w:t>
      </w:r>
      <w:r>
        <w:rPr>
          <w:rFonts w:ascii="Arial" w:hAnsi="Arial" w:cs="Arial"/>
          <w:b/>
          <w:sz w:val="20"/>
          <w:szCs w:val="20"/>
        </w:rPr>
        <w:t>($/GJ) and</w:t>
      </w:r>
      <w:r w:rsidRPr="00343E05">
        <w:rPr>
          <w:rFonts w:ascii="Arial" w:hAnsi="Arial" w:cs="Arial"/>
          <w:b/>
          <w:sz w:val="20"/>
          <w:szCs w:val="20"/>
        </w:rPr>
        <w:t xml:space="preserve"> minimum, maximum, and average scheduled quantities</w:t>
      </w:r>
      <w:r>
        <w:rPr>
          <w:rFonts w:ascii="Arial" w:hAnsi="Arial" w:cs="Arial"/>
          <w:b/>
          <w:sz w:val="20"/>
          <w:szCs w:val="20"/>
        </w:rPr>
        <w:t xml:space="preserve"> (TJ)</w:t>
      </w:r>
    </w:p>
    <w:p w:rsidR="00D25E17" w:rsidRPr="00811ACE" w:rsidRDefault="00DB2A1A" w:rsidP="0062300C">
      <w:pPr>
        <w:pStyle w:val="AERbodytext"/>
      </w:pPr>
      <w:r>
        <w:pict>
          <v:shape id="_x0000_i1035" type="#_x0000_t75" style="width:449.3pt;height:222.35pt">
            <v:imagedata r:id="rId18" o:title=""/>
          </v:shape>
        </w:pict>
      </w:r>
    </w:p>
    <w:p w:rsidR="00DF71B2" w:rsidRDefault="009B7908">
      <w:pPr>
        <w:pStyle w:val="AERbodytext"/>
        <w:jc w:val="both"/>
      </w:pPr>
      <w:r>
        <w:t>T</w:t>
      </w:r>
      <w:r w:rsidR="00D25E17" w:rsidRPr="0062300C">
        <w:t>he most significant factor in July 2012 prices being higher than July 2011 prices appears to be the reduction in offers below $6/GJ</w:t>
      </w:r>
      <w:r w:rsidR="00250456">
        <w:t>.</w:t>
      </w:r>
      <w:r w:rsidR="00D25E17" w:rsidRPr="0062300C">
        <w:t xml:space="preserve"> </w:t>
      </w:r>
    </w:p>
    <w:p w:rsidR="00341B66" w:rsidRPr="009B7908" w:rsidRDefault="00F77BA8" w:rsidP="00341B66">
      <w:pPr>
        <w:pStyle w:val="Heading3"/>
        <w:rPr>
          <w:sz w:val="32"/>
          <w:szCs w:val="32"/>
        </w:rPr>
      </w:pPr>
      <w:r>
        <w:rPr>
          <w:sz w:val="32"/>
          <w:szCs w:val="32"/>
        </w:rPr>
        <w:br w:type="page"/>
      </w:r>
      <w:r w:rsidR="00607B65" w:rsidRPr="00607B65">
        <w:rPr>
          <w:sz w:val="32"/>
          <w:szCs w:val="32"/>
        </w:rPr>
        <w:lastRenderedPageBreak/>
        <w:t>Part 2</w:t>
      </w:r>
      <w:r w:rsidR="00607B65" w:rsidRPr="00607B65">
        <w:rPr>
          <w:sz w:val="32"/>
          <w:szCs w:val="32"/>
        </w:rPr>
        <w:tab/>
        <w:t>Daily outcomes</w:t>
      </w:r>
    </w:p>
    <w:p w:rsidR="00814C7C" w:rsidRDefault="00AD268E">
      <w:pPr>
        <w:pStyle w:val="AERbodytext"/>
        <w:spacing w:before="240"/>
        <w:jc w:val="both"/>
      </w:pPr>
      <w:r>
        <w:t xml:space="preserve">This section of the report contains </w:t>
      </w:r>
      <w:r w:rsidR="0082609D">
        <w:t xml:space="preserve">detailed </w:t>
      </w:r>
      <w:r>
        <w:t>analysis on key high price days in July.</w:t>
      </w:r>
    </w:p>
    <w:p w:rsidR="00C35839" w:rsidRDefault="00341B66" w:rsidP="0062300C">
      <w:pPr>
        <w:pStyle w:val="Heading3"/>
      </w:pPr>
      <w:r>
        <w:t>Sydney hub</w:t>
      </w:r>
    </w:p>
    <w:p w:rsidR="00814C7C" w:rsidRDefault="00607B65">
      <w:pPr>
        <w:pStyle w:val="AERbodytext"/>
        <w:spacing w:before="240"/>
        <w:jc w:val="both"/>
      </w:pPr>
      <w:r w:rsidRPr="00607B65">
        <w:t>The following contains analysis on certain high price days throughout July. The days have been chosen on the basis that the ex ante prices were close to or above $8/GJ</w:t>
      </w:r>
      <w:r w:rsidR="00085A86">
        <w:t>,</w:t>
      </w:r>
      <w:r w:rsidRPr="00607B65">
        <w:t xml:space="preserve"> and the ex post prices were close to or above $9/GJ.</w:t>
      </w:r>
      <w:r w:rsidR="00AD268E">
        <w:t xml:space="preserve"> </w:t>
      </w:r>
    </w:p>
    <w:p w:rsidR="00341B66" w:rsidRDefault="00341B66" w:rsidP="00341B66">
      <w:pPr>
        <w:pStyle w:val="Heading4"/>
      </w:pPr>
      <w:r w:rsidRPr="00341B66">
        <w:t>5 J</w:t>
      </w:r>
      <w:r w:rsidR="002B6B7B">
        <w:t>uly</w:t>
      </w:r>
    </w:p>
    <w:p w:rsidR="00814C7C" w:rsidRDefault="00E626C7">
      <w:pPr>
        <w:pStyle w:val="AERbodytext"/>
        <w:spacing w:before="240"/>
        <w:jc w:val="both"/>
      </w:pPr>
      <w:r w:rsidRPr="0062300C">
        <w:t xml:space="preserve">Figure </w:t>
      </w:r>
      <w:r w:rsidR="00CD7339">
        <w:t>S1</w:t>
      </w:r>
      <w:r w:rsidR="00CD7339" w:rsidRPr="0062300C">
        <w:t xml:space="preserve"> </w:t>
      </w:r>
      <w:r w:rsidR="002B6B7B" w:rsidRPr="0062300C">
        <w:t xml:space="preserve">shows the ex ante </w:t>
      </w:r>
      <w:r w:rsidR="004E64A4" w:rsidRPr="0062300C">
        <w:t xml:space="preserve">and ex post </w:t>
      </w:r>
      <w:r w:rsidR="002B6B7B" w:rsidRPr="0062300C">
        <w:t>price</w:t>
      </w:r>
      <w:r w:rsidR="00387321">
        <w:t>s</w:t>
      </w:r>
      <w:r w:rsidR="002B6B7B" w:rsidRPr="0062300C">
        <w:t xml:space="preserve"> on 5 July</w:t>
      </w:r>
      <w:r w:rsidRPr="0062300C">
        <w:t xml:space="preserve"> </w:t>
      </w:r>
      <w:r w:rsidR="00387321">
        <w:t>were</w:t>
      </w:r>
      <w:r w:rsidR="00387321" w:rsidRPr="0062300C">
        <w:t xml:space="preserve"> </w:t>
      </w:r>
      <w:r w:rsidRPr="0062300C">
        <w:t xml:space="preserve">higher than </w:t>
      </w:r>
      <w:r w:rsidR="00235B82" w:rsidRPr="0062300C">
        <w:t xml:space="preserve">the </w:t>
      </w:r>
      <w:r w:rsidR="00387321">
        <w:t xml:space="preserve">D-3 and D-2 </w:t>
      </w:r>
      <w:r w:rsidR="00235B82" w:rsidRPr="0062300C">
        <w:t>provisional schedule</w:t>
      </w:r>
      <w:r w:rsidR="00387321">
        <w:t xml:space="preserve"> prices</w:t>
      </w:r>
      <w:r w:rsidR="00235B82" w:rsidRPr="0062300C">
        <w:t>.</w:t>
      </w:r>
      <w:r w:rsidR="002B6B7B" w:rsidRPr="0062300C">
        <w:t xml:space="preserve"> </w:t>
      </w:r>
      <w:r w:rsidR="00091BF0">
        <w:t xml:space="preserve">The demand forecasts were </w:t>
      </w:r>
      <w:r w:rsidR="00DF71B2">
        <w:t xml:space="preserve">relatively </w:t>
      </w:r>
      <w:r w:rsidR="004E64A4" w:rsidRPr="0062300C">
        <w:t>accurate</w:t>
      </w:r>
      <w:r w:rsidR="00DF71B2">
        <w:t xml:space="preserve">, </w:t>
      </w:r>
      <w:r w:rsidR="00387321">
        <w:t>as indicated by an imbalance of</w:t>
      </w:r>
      <w:r w:rsidR="00DF71B2">
        <w:t xml:space="preserve"> only 2.</w:t>
      </w:r>
      <w:r w:rsidR="004131CC">
        <w:t>75 </w:t>
      </w:r>
      <w:r w:rsidR="00DF71B2">
        <w:t>TJ</w:t>
      </w:r>
      <w:r w:rsidR="002B6B7B" w:rsidRPr="0062300C">
        <w:t>.</w:t>
      </w:r>
    </w:p>
    <w:p w:rsidR="00E626C7" w:rsidRPr="00D620E4" w:rsidRDefault="00E626C7" w:rsidP="002405A6">
      <w:pPr>
        <w:jc w:val="both"/>
        <w:rPr>
          <w:rFonts w:ascii="Arial" w:hAnsi="Arial" w:cs="Arial"/>
          <w:b/>
          <w:sz w:val="20"/>
          <w:szCs w:val="20"/>
          <w:lang w:eastAsia="en-US"/>
        </w:rPr>
      </w:pPr>
      <w:r>
        <w:rPr>
          <w:rFonts w:ascii="Arial" w:hAnsi="Arial" w:cs="Arial"/>
          <w:b/>
          <w:sz w:val="20"/>
          <w:szCs w:val="20"/>
          <w:lang w:eastAsia="en-US"/>
        </w:rPr>
        <w:t xml:space="preserve">Figure </w:t>
      </w:r>
      <w:r w:rsidR="00CD7339">
        <w:rPr>
          <w:rFonts w:ascii="Arial" w:hAnsi="Arial" w:cs="Arial"/>
          <w:b/>
          <w:sz w:val="20"/>
          <w:szCs w:val="20"/>
          <w:lang w:eastAsia="en-US"/>
        </w:rPr>
        <w:t>S1</w:t>
      </w:r>
      <w:r w:rsidR="0060145C">
        <w:rPr>
          <w:rFonts w:ascii="Arial" w:hAnsi="Arial" w:cs="Arial"/>
          <w:b/>
          <w:sz w:val="20"/>
          <w:szCs w:val="20"/>
          <w:lang w:eastAsia="en-US"/>
        </w:rPr>
        <w:t>:</w:t>
      </w:r>
      <w:r>
        <w:rPr>
          <w:rFonts w:ascii="Arial" w:hAnsi="Arial" w:cs="Arial"/>
          <w:b/>
          <w:sz w:val="20"/>
          <w:szCs w:val="20"/>
          <w:lang w:eastAsia="en-US"/>
        </w:rPr>
        <w:t xml:space="preserve"> </w:t>
      </w:r>
      <w:r w:rsidR="00754EDA">
        <w:rPr>
          <w:rFonts w:ascii="Arial" w:hAnsi="Arial" w:cs="Arial"/>
          <w:b/>
          <w:sz w:val="20"/>
          <w:szCs w:val="20"/>
          <w:lang w:eastAsia="en-US"/>
        </w:rPr>
        <w:t>P</w:t>
      </w:r>
      <w:r w:rsidRPr="00D620E4">
        <w:rPr>
          <w:rFonts w:ascii="Arial" w:hAnsi="Arial" w:cs="Arial"/>
          <w:b/>
          <w:sz w:val="20"/>
          <w:szCs w:val="20"/>
          <w:lang w:eastAsia="en-US"/>
        </w:rPr>
        <w:t>rovisional, ex ante and ex post prices and quantities</w:t>
      </w:r>
      <w:r w:rsidR="00754EDA">
        <w:rPr>
          <w:rFonts w:ascii="Arial" w:hAnsi="Arial" w:cs="Arial"/>
          <w:b/>
          <w:sz w:val="20"/>
          <w:szCs w:val="20"/>
          <w:lang w:eastAsia="en-US"/>
        </w:rPr>
        <w:t>, 5 July</w:t>
      </w:r>
    </w:p>
    <w:tbl>
      <w:tblPr>
        <w:tblW w:w="5000" w:type="pct"/>
        <w:tblBorders>
          <w:top w:val="single" w:sz="12" w:space="0" w:color="000000"/>
          <w:bottom w:val="single" w:sz="12" w:space="0" w:color="000000"/>
          <w:insideH w:val="single" w:sz="6" w:space="0" w:color="000000"/>
        </w:tblBorders>
        <w:tblLook w:val="04A0"/>
      </w:tblPr>
      <w:tblGrid>
        <w:gridCol w:w="1760"/>
        <w:gridCol w:w="1871"/>
        <w:gridCol w:w="1871"/>
        <w:gridCol w:w="1871"/>
        <w:gridCol w:w="1869"/>
      </w:tblGrid>
      <w:tr w:rsidR="00E626C7" w:rsidRPr="00E626C7" w:rsidTr="00E626C7">
        <w:trPr>
          <w:trHeight w:val="300"/>
        </w:trPr>
        <w:tc>
          <w:tcPr>
            <w:tcW w:w="952" w:type="pct"/>
            <w:shd w:val="clear" w:color="auto" w:fill="auto"/>
            <w:noWrap/>
            <w:hideMark/>
          </w:tcPr>
          <w:p w:rsidR="00E626C7" w:rsidRPr="00754EDA" w:rsidRDefault="00E626C7" w:rsidP="00E626C7">
            <w:pPr>
              <w:rPr>
                <w:rFonts w:ascii="Arial" w:hAnsi="Arial" w:cs="Arial"/>
                <w:sz w:val="20"/>
                <w:szCs w:val="20"/>
              </w:rPr>
            </w:pPr>
          </w:p>
        </w:tc>
        <w:tc>
          <w:tcPr>
            <w:tcW w:w="1012" w:type="pct"/>
            <w:shd w:val="clear" w:color="auto" w:fill="auto"/>
            <w:noWrap/>
            <w:vAlign w:val="center"/>
            <w:hideMark/>
          </w:tcPr>
          <w:p w:rsidR="00E626C7" w:rsidRPr="00754EDA" w:rsidRDefault="00607B65" w:rsidP="00E626C7">
            <w:pPr>
              <w:rPr>
                <w:rFonts w:ascii="Arial" w:hAnsi="Arial" w:cs="Arial"/>
                <w:b/>
                <w:sz w:val="20"/>
                <w:szCs w:val="20"/>
              </w:rPr>
            </w:pPr>
            <w:r w:rsidRPr="00607B65">
              <w:rPr>
                <w:rFonts w:ascii="Arial" w:hAnsi="Arial" w:cs="Arial"/>
                <w:b/>
                <w:sz w:val="20"/>
                <w:szCs w:val="20"/>
              </w:rPr>
              <w:t>D-3</w:t>
            </w:r>
          </w:p>
        </w:tc>
        <w:tc>
          <w:tcPr>
            <w:tcW w:w="1012" w:type="pct"/>
            <w:shd w:val="clear" w:color="auto" w:fill="auto"/>
            <w:noWrap/>
            <w:vAlign w:val="center"/>
            <w:hideMark/>
          </w:tcPr>
          <w:p w:rsidR="00E626C7" w:rsidRPr="00754EDA" w:rsidRDefault="00607B65" w:rsidP="00E626C7">
            <w:pPr>
              <w:rPr>
                <w:rFonts w:ascii="Arial" w:hAnsi="Arial" w:cs="Arial"/>
                <w:b/>
                <w:sz w:val="20"/>
                <w:szCs w:val="20"/>
              </w:rPr>
            </w:pPr>
            <w:r w:rsidRPr="00607B65">
              <w:rPr>
                <w:rFonts w:ascii="Arial" w:hAnsi="Arial" w:cs="Arial"/>
                <w:b/>
                <w:sz w:val="20"/>
                <w:szCs w:val="20"/>
              </w:rPr>
              <w:t>D-2</w:t>
            </w:r>
          </w:p>
        </w:tc>
        <w:tc>
          <w:tcPr>
            <w:tcW w:w="1012" w:type="pct"/>
            <w:shd w:val="clear" w:color="auto" w:fill="auto"/>
            <w:noWrap/>
            <w:vAlign w:val="center"/>
            <w:hideMark/>
          </w:tcPr>
          <w:p w:rsidR="00E626C7" w:rsidRPr="00754EDA" w:rsidRDefault="00607B65" w:rsidP="00E626C7">
            <w:pPr>
              <w:rPr>
                <w:rFonts w:ascii="Arial" w:hAnsi="Arial" w:cs="Arial"/>
                <w:b/>
                <w:sz w:val="20"/>
                <w:szCs w:val="20"/>
              </w:rPr>
            </w:pPr>
            <w:r w:rsidRPr="00607B65">
              <w:rPr>
                <w:rFonts w:ascii="Arial" w:hAnsi="Arial" w:cs="Arial"/>
                <w:b/>
                <w:sz w:val="20"/>
                <w:szCs w:val="20"/>
              </w:rPr>
              <w:t>Ex ante</w:t>
            </w:r>
            <w:r w:rsidR="00387321">
              <w:rPr>
                <w:rFonts w:ascii="Arial" w:hAnsi="Arial" w:cs="Arial"/>
                <w:b/>
                <w:sz w:val="20"/>
                <w:szCs w:val="20"/>
              </w:rPr>
              <w:t xml:space="preserve"> </w:t>
            </w:r>
            <w:r w:rsidRPr="00607B65">
              <w:rPr>
                <w:rFonts w:ascii="Arial" w:hAnsi="Arial" w:cs="Arial"/>
                <w:b/>
                <w:sz w:val="20"/>
                <w:szCs w:val="20"/>
              </w:rPr>
              <w:t>(D-1)</w:t>
            </w:r>
          </w:p>
        </w:tc>
        <w:tc>
          <w:tcPr>
            <w:tcW w:w="1011" w:type="pct"/>
            <w:shd w:val="clear" w:color="auto" w:fill="auto"/>
            <w:noWrap/>
            <w:vAlign w:val="center"/>
            <w:hideMark/>
          </w:tcPr>
          <w:p w:rsidR="00E626C7" w:rsidRPr="00754EDA" w:rsidRDefault="00607B65" w:rsidP="00E626C7">
            <w:pPr>
              <w:rPr>
                <w:rFonts w:ascii="Arial" w:hAnsi="Arial" w:cs="Arial"/>
                <w:b/>
                <w:sz w:val="20"/>
                <w:szCs w:val="20"/>
              </w:rPr>
            </w:pPr>
            <w:r w:rsidRPr="00607B65">
              <w:rPr>
                <w:rFonts w:ascii="Arial" w:hAnsi="Arial" w:cs="Arial"/>
                <w:b/>
                <w:sz w:val="20"/>
                <w:szCs w:val="20"/>
              </w:rPr>
              <w:t>Ex post</w:t>
            </w:r>
          </w:p>
        </w:tc>
      </w:tr>
      <w:tr w:rsidR="00E626C7" w:rsidRPr="00E626C7" w:rsidTr="00E626C7">
        <w:trPr>
          <w:trHeight w:val="50"/>
        </w:trPr>
        <w:tc>
          <w:tcPr>
            <w:tcW w:w="952" w:type="pct"/>
            <w:shd w:val="clear" w:color="auto" w:fill="auto"/>
            <w:noWrap/>
            <w:hideMark/>
          </w:tcPr>
          <w:p w:rsidR="00E626C7" w:rsidRPr="00754EDA" w:rsidRDefault="00607B65" w:rsidP="00E626C7">
            <w:pPr>
              <w:rPr>
                <w:rFonts w:ascii="Arial" w:hAnsi="Arial" w:cs="Arial"/>
                <w:b/>
                <w:sz w:val="20"/>
                <w:szCs w:val="20"/>
              </w:rPr>
            </w:pPr>
            <w:r w:rsidRPr="00607B65">
              <w:rPr>
                <w:rFonts w:ascii="Arial" w:hAnsi="Arial" w:cs="Arial"/>
                <w:b/>
                <w:sz w:val="20"/>
                <w:szCs w:val="20"/>
              </w:rPr>
              <w:t>Price ($/GJ)</w:t>
            </w:r>
          </w:p>
        </w:tc>
        <w:tc>
          <w:tcPr>
            <w:tcW w:w="1012" w:type="pct"/>
            <w:shd w:val="clear" w:color="auto" w:fill="auto"/>
            <w:noWrap/>
            <w:hideMark/>
          </w:tcPr>
          <w:p w:rsidR="00E626C7" w:rsidRPr="00754EDA" w:rsidRDefault="00607B65" w:rsidP="00E626C7">
            <w:pPr>
              <w:rPr>
                <w:rFonts w:ascii="Arial" w:hAnsi="Arial" w:cs="Arial"/>
                <w:sz w:val="20"/>
                <w:szCs w:val="20"/>
              </w:rPr>
            </w:pPr>
            <w:r w:rsidRPr="00607B65">
              <w:rPr>
                <w:rFonts w:ascii="Arial" w:hAnsi="Arial" w:cs="Arial"/>
                <w:sz w:val="20"/>
                <w:szCs w:val="20"/>
              </w:rPr>
              <w:t>5.89</w:t>
            </w:r>
          </w:p>
        </w:tc>
        <w:tc>
          <w:tcPr>
            <w:tcW w:w="1012" w:type="pct"/>
            <w:shd w:val="clear" w:color="auto" w:fill="auto"/>
            <w:noWrap/>
            <w:hideMark/>
          </w:tcPr>
          <w:p w:rsidR="00E626C7" w:rsidRPr="00754EDA" w:rsidRDefault="00B20E62" w:rsidP="00E626C7">
            <w:pPr>
              <w:rPr>
                <w:rFonts w:ascii="Arial" w:hAnsi="Arial" w:cs="Arial"/>
                <w:sz w:val="20"/>
                <w:szCs w:val="20"/>
              </w:rPr>
            </w:pPr>
            <w:r>
              <w:rPr>
                <w:rFonts w:ascii="Arial" w:hAnsi="Arial" w:cs="Arial"/>
                <w:sz w:val="20"/>
                <w:szCs w:val="20"/>
              </w:rPr>
              <w:t>8.00</w:t>
            </w:r>
          </w:p>
        </w:tc>
        <w:tc>
          <w:tcPr>
            <w:tcW w:w="1012" w:type="pct"/>
            <w:shd w:val="clear" w:color="auto" w:fill="auto"/>
            <w:noWrap/>
            <w:hideMark/>
          </w:tcPr>
          <w:p w:rsidR="00E626C7" w:rsidRPr="00754EDA" w:rsidRDefault="00607B65" w:rsidP="004131CC">
            <w:pPr>
              <w:rPr>
                <w:rFonts w:ascii="Arial" w:hAnsi="Arial" w:cs="Arial"/>
                <w:sz w:val="20"/>
                <w:szCs w:val="20"/>
              </w:rPr>
            </w:pPr>
            <w:r w:rsidRPr="00607B65">
              <w:rPr>
                <w:rFonts w:ascii="Arial" w:hAnsi="Arial" w:cs="Arial"/>
                <w:sz w:val="20"/>
                <w:szCs w:val="20"/>
              </w:rPr>
              <w:t>9.</w:t>
            </w:r>
            <w:r w:rsidR="004131CC">
              <w:rPr>
                <w:rFonts w:ascii="Arial" w:hAnsi="Arial" w:cs="Arial"/>
                <w:sz w:val="20"/>
                <w:szCs w:val="20"/>
              </w:rPr>
              <w:t>10</w:t>
            </w:r>
          </w:p>
        </w:tc>
        <w:tc>
          <w:tcPr>
            <w:tcW w:w="1011" w:type="pct"/>
            <w:shd w:val="clear" w:color="auto" w:fill="auto"/>
            <w:noWrap/>
            <w:hideMark/>
          </w:tcPr>
          <w:p w:rsidR="00E626C7" w:rsidRPr="00754EDA" w:rsidRDefault="00607B65" w:rsidP="00E626C7">
            <w:pPr>
              <w:rPr>
                <w:rFonts w:ascii="Arial" w:hAnsi="Arial" w:cs="Arial"/>
                <w:sz w:val="20"/>
                <w:szCs w:val="20"/>
              </w:rPr>
            </w:pPr>
            <w:r w:rsidRPr="00607B65">
              <w:rPr>
                <w:rFonts w:ascii="Arial" w:hAnsi="Arial" w:cs="Arial"/>
                <w:sz w:val="20"/>
                <w:szCs w:val="20"/>
              </w:rPr>
              <w:t>8.98</w:t>
            </w:r>
          </w:p>
        </w:tc>
      </w:tr>
      <w:tr w:rsidR="00E626C7" w:rsidRPr="00E626C7" w:rsidTr="00E626C7">
        <w:trPr>
          <w:trHeight w:val="300"/>
        </w:trPr>
        <w:tc>
          <w:tcPr>
            <w:tcW w:w="952" w:type="pct"/>
            <w:shd w:val="clear" w:color="auto" w:fill="auto"/>
            <w:noWrap/>
            <w:hideMark/>
          </w:tcPr>
          <w:p w:rsidR="00E626C7" w:rsidRPr="00754EDA" w:rsidRDefault="00607B65" w:rsidP="00E626C7">
            <w:pPr>
              <w:rPr>
                <w:rFonts w:ascii="Arial" w:hAnsi="Arial" w:cs="Arial"/>
                <w:b/>
                <w:sz w:val="20"/>
                <w:szCs w:val="20"/>
              </w:rPr>
            </w:pPr>
            <w:r w:rsidRPr="00607B65">
              <w:rPr>
                <w:rFonts w:ascii="Arial" w:hAnsi="Arial" w:cs="Arial"/>
                <w:b/>
                <w:sz w:val="20"/>
                <w:szCs w:val="20"/>
              </w:rPr>
              <w:t>Quantity (TJ)</w:t>
            </w:r>
          </w:p>
        </w:tc>
        <w:tc>
          <w:tcPr>
            <w:tcW w:w="1012" w:type="pct"/>
            <w:shd w:val="clear" w:color="auto" w:fill="auto"/>
            <w:noWrap/>
            <w:hideMark/>
          </w:tcPr>
          <w:p w:rsidR="00E626C7" w:rsidRPr="00754EDA" w:rsidRDefault="00607B65" w:rsidP="00E626C7">
            <w:pPr>
              <w:rPr>
                <w:rFonts w:ascii="Arial" w:hAnsi="Arial" w:cs="Arial"/>
                <w:sz w:val="20"/>
                <w:szCs w:val="20"/>
              </w:rPr>
            </w:pPr>
            <w:r w:rsidRPr="00607B65">
              <w:rPr>
                <w:rFonts w:ascii="Arial" w:hAnsi="Arial" w:cs="Arial"/>
                <w:sz w:val="20"/>
                <w:szCs w:val="20"/>
              </w:rPr>
              <w:t>325.3</w:t>
            </w:r>
          </w:p>
        </w:tc>
        <w:tc>
          <w:tcPr>
            <w:tcW w:w="1012" w:type="pct"/>
            <w:shd w:val="clear" w:color="auto" w:fill="auto"/>
            <w:noWrap/>
            <w:hideMark/>
          </w:tcPr>
          <w:p w:rsidR="00E626C7" w:rsidRPr="00754EDA" w:rsidRDefault="00607B65" w:rsidP="00E626C7">
            <w:pPr>
              <w:rPr>
                <w:rFonts w:ascii="Arial" w:hAnsi="Arial" w:cs="Arial"/>
                <w:sz w:val="20"/>
                <w:szCs w:val="20"/>
              </w:rPr>
            </w:pPr>
            <w:r w:rsidRPr="00607B65">
              <w:rPr>
                <w:rFonts w:ascii="Arial" w:hAnsi="Arial" w:cs="Arial"/>
                <w:sz w:val="20"/>
                <w:szCs w:val="20"/>
              </w:rPr>
              <w:t>333.5</w:t>
            </w:r>
          </w:p>
        </w:tc>
        <w:tc>
          <w:tcPr>
            <w:tcW w:w="1012" w:type="pct"/>
            <w:shd w:val="clear" w:color="auto" w:fill="auto"/>
            <w:noWrap/>
            <w:hideMark/>
          </w:tcPr>
          <w:p w:rsidR="00E626C7" w:rsidRPr="00754EDA" w:rsidRDefault="00607B65" w:rsidP="00E626C7">
            <w:pPr>
              <w:rPr>
                <w:rFonts w:ascii="Arial" w:hAnsi="Arial" w:cs="Arial"/>
                <w:sz w:val="20"/>
                <w:szCs w:val="20"/>
              </w:rPr>
            </w:pPr>
            <w:r w:rsidRPr="00607B65">
              <w:rPr>
                <w:rFonts w:ascii="Arial" w:hAnsi="Arial" w:cs="Arial"/>
                <w:sz w:val="20"/>
                <w:szCs w:val="20"/>
              </w:rPr>
              <w:t>333</w:t>
            </w:r>
          </w:p>
        </w:tc>
        <w:tc>
          <w:tcPr>
            <w:tcW w:w="1011" w:type="pct"/>
            <w:shd w:val="clear" w:color="auto" w:fill="auto"/>
            <w:noWrap/>
            <w:hideMark/>
          </w:tcPr>
          <w:p w:rsidR="00E626C7" w:rsidRPr="00754EDA" w:rsidRDefault="00607B65" w:rsidP="004131CC">
            <w:pPr>
              <w:rPr>
                <w:rFonts w:ascii="Arial" w:hAnsi="Arial" w:cs="Arial"/>
                <w:sz w:val="20"/>
                <w:szCs w:val="20"/>
              </w:rPr>
            </w:pPr>
            <w:r w:rsidRPr="00607B65">
              <w:rPr>
                <w:rFonts w:ascii="Arial" w:hAnsi="Arial" w:cs="Arial"/>
                <w:sz w:val="20"/>
                <w:szCs w:val="20"/>
              </w:rPr>
              <w:t>-2.</w:t>
            </w:r>
            <w:r w:rsidR="004131CC" w:rsidRPr="00607B65">
              <w:rPr>
                <w:rFonts w:ascii="Arial" w:hAnsi="Arial" w:cs="Arial"/>
                <w:sz w:val="20"/>
                <w:szCs w:val="20"/>
              </w:rPr>
              <w:t>7</w:t>
            </w:r>
            <w:r w:rsidR="004131CC">
              <w:rPr>
                <w:rFonts w:ascii="Arial" w:hAnsi="Arial" w:cs="Arial"/>
                <w:sz w:val="20"/>
                <w:szCs w:val="20"/>
              </w:rPr>
              <w:t>5</w:t>
            </w:r>
            <w:r w:rsidR="004131CC" w:rsidRPr="00607B65">
              <w:rPr>
                <w:rFonts w:ascii="Arial" w:hAnsi="Arial" w:cs="Arial"/>
                <w:sz w:val="20"/>
                <w:szCs w:val="20"/>
              </w:rPr>
              <w:t xml:space="preserve"> </w:t>
            </w:r>
            <w:r w:rsidRPr="00607B65">
              <w:rPr>
                <w:rFonts w:ascii="Arial" w:hAnsi="Arial" w:cs="Arial"/>
                <w:sz w:val="20"/>
                <w:szCs w:val="20"/>
              </w:rPr>
              <w:t>(L</w:t>
            </w:r>
            <w:r w:rsidR="00754EDA">
              <w:rPr>
                <w:rFonts w:ascii="Arial" w:hAnsi="Arial" w:cs="Arial"/>
                <w:sz w:val="20"/>
                <w:szCs w:val="20"/>
              </w:rPr>
              <w:t>ong</w:t>
            </w:r>
            <w:r w:rsidRPr="00607B65">
              <w:rPr>
                <w:rFonts w:ascii="Arial" w:hAnsi="Arial" w:cs="Arial"/>
                <w:sz w:val="20"/>
                <w:szCs w:val="20"/>
              </w:rPr>
              <w:t>)</w:t>
            </w:r>
          </w:p>
        </w:tc>
      </w:tr>
    </w:tbl>
    <w:p w:rsidR="00814C7C" w:rsidRDefault="00F62E24">
      <w:pPr>
        <w:pStyle w:val="AERbodytext"/>
        <w:spacing w:before="240"/>
        <w:jc w:val="both"/>
      </w:pPr>
      <w:r>
        <w:t>T</w:t>
      </w:r>
      <w:r w:rsidR="00965B15" w:rsidRPr="0062300C">
        <w:t>he accuracy of individual participants’</w:t>
      </w:r>
      <w:r w:rsidR="00F22041" w:rsidRPr="0062300C">
        <w:t xml:space="preserve"> demand forecasts</w:t>
      </w:r>
      <w:r w:rsidR="00965B15" w:rsidRPr="0062300C">
        <w:t xml:space="preserve"> </w:t>
      </w:r>
      <w:r>
        <w:t>can be</w:t>
      </w:r>
      <w:r w:rsidRPr="0062300C">
        <w:t xml:space="preserve"> </w:t>
      </w:r>
      <w:r w:rsidR="00965B15" w:rsidRPr="0062300C">
        <w:t>measured by comparing the quantities of their</w:t>
      </w:r>
      <w:r w:rsidR="00302136" w:rsidRPr="0062300C">
        <w:t xml:space="preserve"> </w:t>
      </w:r>
      <w:r w:rsidR="00477E0D">
        <w:t>price</w:t>
      </w:r>
      <w:r w:rsidR="001A72B7">
        <w:t xml:space="preserve"> </w:t>
      </w:r>
      <w:r w:rsidR="00477E0D">
        <w:t>taker</w:t>
      </w:r>
      <w:r w:rsidR="00965B15" w:rsidRPr="0062300C">
        <w:t xml:space="preserve"> bids to their share of actual hub demand.</w:t>
      </w:r>
      <w:r w:rsidR="00235B82" w:rsidRPr="0062300C">
        <w:t xml:space="preserve"> On </w:t>
      </w:r>
      <w:r>
        <w:t>5 July</w:t>
      </w:r>
      <w:r w:rsidR="00997DA5" w:rsidRPr="0062300C">
        <w:t>,</w:t>
      </w:r>
      <w:r w:rsidR="00052080" w:rsidRPr="0062300C">
        <w:t xml:space="preserve"> two of</w:t>
      </w:r>
      <w:r w:rsidR="00997DA5" w:rsidRPr="0062300C">
        <w:t xml:space="preserve"> the </w:t>
      </w:r>
      <w:r w:rsidR="00052080" w:rsidRPr="0062300C">
        <w:t>three</w:t>
      </w:r>
      <w:r w:rsidR="00997DA5" w:rsidRPr="0062300C">
        <w:t xml:space="preserve"> </w:t>
      </w:r>
      <w:r w:rsidR="0050431E" w:rsidRPr="0062300C">
        <w:t>major</w:t>
      </w:r>
      <w:r w:rsidR="00997DA5" w:rsidRPr="0062300C">
        <w:t xml:space="preserve"> participants</w:t>
      </w:r>
      <w:r w:rsidR="00B10C2E">
        <w:rPr>
          <w:rStyle w:val="FootnoteReference"/>
        </w:rPr>
        <w:footnoteReference w:id="13"/>
      </w:r>
      <w:r w:rsidR="00997DA5" w:rsidRPr="0062300C">
        <w:t xml:space="preserve"> </w:t>
      </w:r>
      <w:r>
        <w:t xml:space="preserve">in the Sydney hub </w:t>
      </w:r>
      <w:r w:rsidR="00997DA5" w:rsidRPr="0062300C">
        <w:t xml:space="preserve">forecast </w:t>
      </w:r>
      <w:r w:rsidR="00052080" w:rsidRPr="0062300C">
        <w:t xml:space="preserve">their demand </w:t>
      </w:r>
      <w:r w:rsidR="008D0FA9">
        <w:t xml:space="preserve">relatively </w:t>
      </w:r>
      <w:r w:rsidR="00052080" w:rsidRPr="0062300C">
        <w:t xml:space="preserve">accurately, with the other under forecasting </w:t>
      </w:r>
      <w:r w:rsidR="001A72B7">
        <w:t xml:space="preserve">its demand </w:t>
      </w:r>
      <w:r w:rsidR="00052080" w:rsidRPr="0062300C">
        <w:t xml:space="preserve">by </w:t>
      </w:r>
      <w:r w:rsidR="00B10C2E">
        <w:t xml:space="preserve">about </w:t>
      </w:r>
      <w:r w:rsidR="008D0FA9">
        <w:t>15</w:t>
      </w:r>
      <w:r>
        <w:t> </w:t>
      </w:r>
      <w:r w:rsidR="00052080" w:rsidRPr="0062300C">
        <w:t>per</w:t>
      </w:r>
      <w:r>
        <w:t> </w:t>
      </w:r>
      <w:r w:rsidR="00052080" w:rsidRPr="0062300C">
        <w:t>cent.</w:t>
      </w:r>
    </w:p>
    <w:p w:rsidR="00091BF0" w:rsidRDefault="00263AC9">
      <w:pPr>
        <w:pStyle w:val="AERbodytext"/>
        <w:spacing w:before="240"/>
        <w:jc w:val="both"/>
      </w:pPr>
      <w:r>
        <w:t>Figure S2 shows the offers for the provisional schedules (D-3 and D-2) and the ex ante schedu</w:t>
      </w:r>
      <w:r w:rsidR="000702C7">
        <w:t>l</w:t>
      </w:r>
      <w:r>
        <w:t>e (D-1). It also shows the amount of gas scheduled (the red line) and the amount of price taker bids (the black dotted line).</w:t>
      </w:r>
      <w:r w:rsidR="00A95AF4">
        <w:rPr>
          <w:rStyle w:val="FootnoteReference"/>
        </w:rPr>
        <w:footnoteReference w:id="14"/>
      </w:r>
      <w:r>
        <w:t xml:space="preserve"> </w:t>
      </w:r>
    </w:p>
    <w:p w:rsidR="001A72B7" w:rsidRDefault="00607B65" w:rsidP="001A72B7">
      <w:r w:rsidRPr="00607B65">
        <w:rPr>
          <w:rFonts w:ascii="Arial" w:hAnsi="Arial" w:cs="Arial"/>
          <w:b/>
          <w:sz w:val="20"/>
          <w:szCs w:val="20"/>
          <w:lang w:eastAsia="en-US"/>
        </w:rPr>
        <w:t>Figure S2: Provisional, ex ante</w:t>
      </w:r>
      <w:r w:rsidR="002B470D">
        <w:rPr>
          <w:rFonts w:ascii="Arial" w:hAnsi="Arial" w:cs="Arial"/>
          <w:b/>
          <w:sz w:val="20"/>
          <w:szCs w:val="20"/>
          <w:lang w:eastAsia="en-US"/>
        </w:rPr>
        <w:t xml:space="preserve"> </w:t>
      </w:r>
      <w:r w:rsidR="00446EAF">
        <w:rPr>
          <w:rFonts w:ascii="Arial" w:hAnsi="Arial" w:cs="Arial"/>
          <w:b/>
          <w:sz w:val="20"/>
          <w:szCs w:val="20"/>
          <w:lang w:eastAsia="en-US"/>
        </w:rPr>
        <w:t>(D-1)</w:t>
      </w:r>
      <w:r w:rsidRPr="00607B65">
        <w:rPr>
          <w:rFonts w:ascii="Arial" w:hAnsi="Arial" w:cs="Arial"/>
          <w:b/>
          <w:sz w:val="20"/>
          <w:szCs w:val="20"/>
          <w:lang w:eastAsia="en-US"/>
        </w:rPr>
        <w:t xml:space="preserve"> and ex post prices and quantities</w:t>
      </w:r>
      <w:r w:rsidR="00446EAF">
        <w:rPr>
          <w:rFonts w:ascii="Arial" w:hAnsi="Arial" w:cs="Arial"/>
          <w:b/>
          <w:sz w:val="20"/>
          <w:szCs w:val="20"/>
          <w:lang w:eastAsia="en-US"/>
        </w:rPr>
        <w:t>,</w:t>
      </w:r>
      <w:r w:rsidRPr="00607B65">
        <w:t xml:space="preserve"> </w:t>
      </w:r>
      <w:r w:rsidRPr="00607B65">
        <w:rPr>
          <w:rFonts w:ascii="Arial" w:hAnsi="Arial" w:cs="Arial"/>
          <w:b/>
          <w:sz w:val="20"/>
          <w:szCs w:val="20"/>
          <w:lang w:eastAsia="en-US"/>
        </w:rPr>
        <w:t>5 July</w:t>
      </w:r>
      <w:r w:rsidR="006C5270">
        <w:rPr>
          <w:rFonts w:ascii="Arial" w:hAnsi="Arial" w:cs="Arial"/>
          <w:b/>
          <w:sz w:val="20"/>
          <w:szCs w:val="20"/>
          <w:lang w:eastAsia="en-US"/>
        </w:rPr>
        <w:t xml:space="preserve"> </w:t>
      </w:r>
      <w:r w:rsidR="00DB2A1A">
        <w:pict>
          <v:shape id="_x0000_i1036" type="#_x0000_t75" style="width:451pt;height:165.9pt">
            <v:imagedata r:id="rId19" o:title=""/>
          </v:shape>
        </w:pict>
      </w:r>
    </w:p>
    <w:p w:rsidR="00814C7C" w:rsidRDefault="001A65B2">
      <w:pPr>
        <w:pStyle w:val="AERbodytext"/>
        <w:spacing w:before="240"/>
        <w:jc w:val="both"/>
      </w:pPr>
      <w:r>
        <w:t>Figure S2 shows a</w:t>
      </w:r>
      <w:r w:rsidR="001A72B7">
        <w:t xml:space="preserve"> </w:t>
      </w:r>
      <w:r w:rsidR="001A72B7" w:rsidRPr="0062300C">
        <w:t>reduction in $0/GJ offers was the main driver behind the ex ante price reaching $9.</w:t>
      </w:r>
      <w:r w:rsidR="004131CC">
        <w:t>10</w:t>
      </w:r>
      <w:r w:rsidR="001A72B7" w:rsidRPr="0062300C">
        <w:t xml:space="preserve">/GJ. </w:t>
      </w:r>
      <w:r w:rsidR="001A72B7">
        <w:t>In</w:t>
      </w:r>
      <w:r w:rsidR="00F22041" w:rsidRPr="0062300C">
        <w:t xml:space="preserve"> the provisional schedules, around </w:t>
      </w:r>
      <w:r w:rsidR="00911813" w:rsidRPr="0062300C">
        <w:t>250</w:t>
      </w:r>
      <w:r w:rsidR="00911813">
        <w:t> </w:t>
      </w:r>
      <w:r w:rsidR="00F22041" w:rsidRPr="0062300C">
        <w:t>TJ was offered</w:t>
      </w:r>
      <w:r w:rsidR="001A72B7">
        <w:t xml:space="preserve"> at $0/GJ</w:t>
      </w:r>
      <w:r w:rsidR="00F22041" w:rsidRPr="0062300C">
        <w:t xml:space="preserve">, </w:t>
      </w:r>
      <w:r w:rsidR="00F22041" w:rsidRPr="0062300C">
        <w:lastRenderedPageBreak/>
        <w:t>however</w:t>
      </w:r>
      <w:r w:rsidR="0082609D">
        <w:t>,</w:t>
      </w:r>
      <w:r w:rsidR="00F22041" w:rsidRPr="0062300C">
        <w:t xml:space="preserve"> on the gas day the </w:t>
      </w:r>
      <w:r w:rsidR="00052080" w:rsidRPr="0062300C">
        <w:t>quantity</w:t>
      </w:r>
      <w:r w:rsidR="00F22041" w:rsidRPr="0062300C">
        <w:t xml:space="preserve"> dropped</w:t>
      </w:r>
      <w:r w:rsidR="00235B82" w:rsidRPr="0062300C">
        <w:t xml:space="preserve"> by 34</w:t>
      </w:r>
      <w:r w:rsidR="009C5602">
        <w:t> </w:t>
      </w:r>
      <w:r w:rsidR="00235B82" w:rsidRPr="0062300C">
        <w:t>TJ</w:t>
      </w:r>
      <w:r w:rsidR="00F22041" w:rsidRPr="0062300C">
        <w:t xml:space="preserve"> to just over </w:t>
      </w:r>
      <w:r w:rsidR="00911813" w:rsidRPr="0062300C">
        <w:t>216</w:t>
      </w:r>
      <w:r w:rsidR="00911813">
        <w:t> </w:t>
      </w:r>
      <w:r w:rsidR="00F22041" w:rsidRPr="0062300C">
        <w:t xml:space="preserve">TJ. </w:t>
      </w:r>
      <w:r w:rsidR="009C5602">
        <w:t>AGL was the main contributor, r</w:t>
      </w:r>
      <w:r w:rsidR="004E64A4" w:rsidRPr="0062300C">
        <w:t>educing</w:t>
      </w:r>
      <w:r w:rsidR="00F22041" w:rsidRPr="0062300C">
        <w:t xml:space="preserve"> its </w:t>
      </w:r>
      <w:r w:rsidR="00C638B4" w:rsidRPr="0062300C">
        <w:t xml:space="preserve">$0/GJ </w:t>
      </w:r>
      <w:r w:rsidR="00F22041" w:rsidRPr="0062300C">
        <w:t xml:space="preserve">offer </w:t>
      </w:r>
      <w:r w:rsidR="00235B82" w:rsidRPr="0062300C">
        <w:t xml:space="preserve">for the ex ante schedule </w:t>
      </w:r>
      <w:r w:rsidR="00F22041" w:rsidRPr="0062300C">
        <w:t xml:space="preserve">by </w:t>
      </w:r>
      <w:r w:rsidR="00911813" w:rsidRPr="0062300C">
        <w:t>30</w:t>
      </w:r>
      <w:r w:rsidR="00911813">
        <w:t> </w:t>
      </w:r>
      <w:r w:rsidR="00F22041" w:rsidRPr="0062300C">
        <w:t>TJ.</w:t>
      </w:r>
      <w:r w:rsidR="00C638B4" w:rsidRPr="0062300C">
        <w:t xml:space="preserve"> </w:t>
      </w:r>
    </w:p>
    <w:p w:rsidR="00B634C2" w:rsidRDefault="00B634C2" w:rsidP="00C638B4">
      <w:pPr>
        <w:pStyle w:val="Heading4"/>
      </w:pPr>
    </w:p>
    <w:p w:rsidR="00D37EAC" w:rsidRDefault="00C638B4" w:rsidP="00C638B4">
      <w:pPr>
        <w:pStyle w:val="Heading4"/>
      </w:pPr>
      <w:r>
        <w:t>26</w:t>
      </w:r>
      <w:r w:rsidR="0051599E">
        <w:t>–</w:t>
      </w:r>
      <w:r w:rsidR="00D37EAC">
        <w:t>27 July</w:t>
      </w:r>
    </w:p>
    <w:p w:rsidR="00814C7C" w:rsidRDefault="00D37EAC">
      <w:pPr>
        <w:pStyle w:val="AERbodytext"/>
        <w:spacing w:before="240"/>
        <w:jc w:val="both"/>
      </w:pPr>
      <w:r w:rsidRPr="0062300C">
        <w:t xml:space="preserve">Figure </w:t>
      </w:r>
      <w:r w:rsidR="00E53656">
        <w:t>S3</w:t>
      </w:r>
      <w:r w:rsidR="00E53656" w:rsidRPr="0062300C">
        <w:t xml:space="preserve"> </w:t>
      </w:r>
      <w:r w:rsidRPr="0062300C">
        <w:t xml:space="preserve">shows offers and bids by price bands for </w:t>
      </w:r>
      <w:r w:rsidR="009C5602" w:rsidRPr="0062300C">
        <w:t>26</w:t>
      </w:r>
      <w:r w:rsidR="009C5602">
        <w:t> </w:t>
      </w:r>
      <w:r w:rsidRPr="0062300C">
        <w:t xml:space="preserve">July </w:t>
      </w:r>
      <w:r w:rsidR="001A72B7">
        <w:t xml:space="preserve">and </w:t>
      </w:r>
      <w:r w:rsidRPr="0062300C">
        <w:t>27</w:t>
      </w:r>
      <w:r w:rsidR="009C5602">
        <w:t> </w:t>
      </w:r>
      <w:r w:rsidRPr="0062300C">
        <w:t xml:space="preserve">July. It also shows scheduled demand (the black line). </w:t>
      </w:r>
    </w:p>
    <w:p w:rsidR="0060145C" w:rsidRPr="00D620E4" w:rsidRDefault="0060145C" w:rsidP="0060145C">
      <w:pPr>
        <w:keepNext/>
        <w:rPr>
          <w:rFonts w:ascii="Arial" w:hAnsi="Arial" w:cs="Arial"/>
          <w:b/>
          <w:sz w:val="20"/>
          <w:szCs w:val="20"/>
          <w:lang w:eastAsia="en-US"/>
        </w:rPr>
      </w:pPr>
      <w:r>
        <w:rPr>
          <w:rFonts w:ascii="Arial" w:hAnsi="Arial" w:cs="Arial"/>
          <w:b/>
          <w:sz w:val="20"/>
          <w:szCs w:val="20"/>
          <w:lang w:eastAsia="en-US"/>
        </w:rPr>
        <w:t xml:space="preserve">Figure </w:t>
      </w:r>
      <w:r w:rsidR="00E53656">
        <w:rPr>
          <w:rFonts w:ascii="Arial" w:hAnsi="Arial" w:cs="Arial"/>
          <w:b/>
          <w:sz w:val="20"/>
          <w:szCs w:val="20"/>
          <w:lang w:eastAsia="en-US"/>
        </w:rPr>
        <w:t>S3</w:t>
      </w:r>
      <w:r>
        <w:rPr>
          <w:rFonts w:ascii="Arial" w:hAnsi="Arial" w:cs="Arial"/>
          <w:b/>
          <w:sz w:val="20"/>
          <w:szCs w:val="20"/>
          <w:lang w:eastAsia="en-US"/>
        </w:rPr>
        <w:t>: Daily Sydney hub offers and bids in price bands 26</w:t>
      </w:r>
      <w:r w:rsidR="0051599E">
        <w:rPr>
          <w:rFonts w:ascii="Arial" w:hAnsi="Arial" w:cs="Arial"/>
          <w:b/>
          <w:sz w:val="20"/>
          <w:szCs w:val="20"/>
          <w:lang w:eastAsia="en-US"/>
        </w:rPr>
        <w:t>–</w:t>
      </w:r>
      <w:r>
        <w:rPr>
          <w:rFonts w:ascii="Arial" w:hAnsi="Arial" w:cs="Arial"/>
          <w:b/>
          <w:sz w:val="20"/>
          <w:szCs w:val="20"/>
          <w:lang w:eastAsia="en-US"/>
        </w:rPr>
        <w:t>27 July ($/GJ)</w:t>
      </w:r>
    </w:p>
    <w:p w:rsidR="00D37EAC" w:rsidRDefault="00DB2A1A" w:rsidP="00C638B4">
      <w:pPr>
        <w:pStyle w:val="Heading4"/>
      </w:pPr>
      <w:r>
        <w:pict>
          <v:shape id="_x0000_i1037" type="#_x0000_t75" style="width:451pt;height:172.2pt">
            <v:imagedata r:id="rId20" o:title=""/>
          </v:shape>
        </w:pict>
      </w:r>
    </w:p>
    <w:p w:rsidR="00814C7C" w:rsidRDefault="00D37EAC">
      <w:pPr>
        <w:pStyle w:val="Heading4"/>
        <w:spacing w:before="240"/>
      </w:pPr>
      <w:r>
        <w:t xml:space="preserve">26 </w:t>
      </w:r>
      <w:r w:rsidR="00C638B4" w:rsidRPr="00341B66">
        <w:t>J</w:t>
      </w:r>
      <w:r w:rsidR="00C638B4">
        <w:t>uly</w:t>
      </w:r>
    </w:p>
    <w:p w:rsidR="006C4E6B" w:rsidRDefault="004E64A4" w:rsidP="006C4E6B">
      <w:pPr>
        <w:pStyle w:val="AERbodytext"/>
        <w:spacing w:before="240"/>
        <w:jc w:val="both"/>
      </w:pPr>
      <w:r w:rsidRPr="0062300C">
        <w:t xml:space="preserve">Figure </w:t>
      </w:r>
      <w:r w:rsidR="00E53656">
        <w:t>S4</w:t>
      </w:r>
      <w:r w:rsidR="00E53656" w:rsidRPr="0062300C">
        <w:t xml:space="preserve"> </w:t>
      </w:r>
      <w:r w:rsidRPr="0062300C">
        <w:t xml:space="preserve">shows </w:t>
      </w:r>
      <w:r w:rsidR="009C5602">
        <w:t xml:space="preserve">how </w:t>
      </w:r>
      <w:r w:rsidRPr="0062300C">
        <w:t xml:space="preserve">price fluctuated </w:t>
      </w:r>
      <w:r w:rsidR="00235B82" w:rsidRPr="0062300C">
        <w:t>throughout</w:t>
      </w:r>
      <w:r w:rsidRPr="0062300C">
        <w:t xml:space="preserve"> the schedules. The </w:t>
      </w:r>
      <w:r w:rsidR="00AF36A2">
        <w:t xml:space="preserve">scheduled </w:t>
      </w:r>
      <w:r w:rsidRPr="0062300C">
        <w:t xml:space="preserve">quantity </w:t>
      </w:r>
      <w:r w:rsidR="000D24D2" w:rsidRPr="0062300C">
        <w:t xml:space="preserve">increased by over </w:t>
      </w:r>
      <w:r w:rsidR="009C5602" w:rsidRPr="0062300C">
        <w:t>12</w:t>
      </w:r>
      <w:r w:rsidR="009C5602">
        <w:t> </w:t>
      </w:r>
      <w:r w:rsidR="000D24D2" w:rsidRPr="0062300C">
        <w:t xml:space="preserve">TJ </w:t>
      </w:r>
      <w:r w:rsidR="006C4E6B">
        <w:t xml:space="preserve">from the D-2 schedule to </w:t>
      </w:r>
      <w:r w:rsidR="000D24D2" w:rsidRPr="0062300C">
        <w:t>the ex ante schedule. Despite this</w:t>
      </w:r>
      <w:r w:rsidR="00052080" w:rsidRPr="0062300C">
        <w:t xml:space="preserve"> increase</w:t>
      </w:r>
      <w:r w:rsidR="000D24D2" w:rsidRPr="0062300C">
        <w:t>, the</w:t>
      </w:r>
      <w:r w:rsidR="001A72B7">
        <w:t xml:space="preserve"> hub</w:t>
      </w:r>
      <w:r w:rsidR="000D24D2" w:rsidRPr="0062300C">
        <w:t xml:space="preserve"> was still short on the day, with a 12.</w:t>
      </w:r>
      <w:r w:rsidR="009C5602" w:rsidRPr="0062300C">
        <w:t>84</w:t>
      </w:r>
      <w:r w:rsidR="009C5602">
        <w:t> </w:t>
      </w:r>
      <w:r w:rsidR="000D24D2" w:rsidRPr="0062300C">
        <w:t>TJ imbalance.</w:t>
      </w:r>
      <w:r w:rsidR="006C4E6B" w:rsidRPr="006C4E6B">
        <w:t xml:space="preserve"> </w:t>
      </w:r>
      <w:r w:rsidR="006C4E6B" w:rsidRPr="0062300C">
        <w:t>The three major participants under forecast demand by around 4–6</w:t>
      </w:r>
      <w:r w:rsidR="006C4E6B">
        <w:t> </w:t>
      </w:r>
      <w:r w:rsidR="006C4E6B" w:rsidRPr="0062300C">
        <w:t>per</w:t>
      </w:r>
      <w:r w:rsidR="006C4E6B">
        <w:t> </w:t>
      </w:r>
      <w:r w:rsidR="006C4E6B" w:rsidRPr="0062300C">
        <w:t>cent</w:t>
      </w:r>
      <w:r w:rsidR="006C4E6B">
        <w:t xml:space="preserve">, resulting in </w:t>
      </w:r>
      <w:r w:rsidR="006C4E6B" w:rsidRPr="0062300C">
        <w:t>the +12.84</w:t>
      </w:r>
      <w:r w:rsidR="006C4E6B">
        <w:t> </w:t>
      </w:r>
      <w:r w:rsidR="006C4E6B" w:rsidRPr="0062300C">
        <w:t>TJ imbalance</w:t>
      </w:r>
      <w:r w:rsidR="006C4E6B">
        <w:t xml:space="preserve"> and the higher ex post price</w:t>
      </w:r>
      <w:r w:rsidR="006C4E6B" w:rsidRPr="0062300C">
        <w:t xml:space="preserve">. </w:t>
      </w:r>
    </w:p>
    <w:p w:rsidR="00814C7C" w:rsidRDefault="00EB121E">
      <w:pPr>
        <w:pStyle w:val="AERbodytext"/>
        <w:spacing w:before="240" w:after="0"/>
        <w:jc w:val="both"/>
      </w:pPr>
      <w:r>
        <w:rPr>
          <w:rFonts w:ascii="Arial" w:hAnsi="Arial" w:cs="Arial"/>
          <w:b/>
          <w:sz w:val="20"/>
          <w:szCs w:val="20"/>
        </w:rPr>
        <w:t xml:space="preserve">Figure </w:t>
      </w:r>
      <w:r w:rsidR="00E53656">
        <w:rPr>
          <w:rFonts w:ascii="Arial" w:hAnsi="Arial" w:cs="Arial"/>
          <w:b/>
          <w:sz w:val="20"/>
          <w:szCs w:val="20"/>
        </w:rPr>
        <w:t>S4</w:t>
      </w:r>
      <w:r w:rsidR="0060145C">
        <w:rPr>
          <w:rFonts w:ascii="Arial" w:hAnsi="Arial" w:cs="Arial"/>
          <w:b/>
          <w:sz w:val="20"/>
          <w:szCs w:val="20"/>
        </w:rPr>
        <w:t>:</w:t>
      </w:r>
      <w:r>
        <w:rPr>
          <w:rFonts w:ascii="Arial" w:hAnsi="Arial" w:cs="Arial"/>
          <w:b/>
          <w:sz w:val="20"/>
          <w:szCs w:val="20"/>
        </w:rPr>
        <w:t xml:space="preserve"> </w:t>
      </w:r>
      <w:r w:rsidR="004F1866">
        <w:rPr>
          <w:rFonts w:ascii="Arial" w:hAnsi="Arial" w:cs="Arial"/>
          <w:b/>
          <w:sz w:val="20"/>
          <w:szCs w:val="20"/>
        </w:rPr>
        <w:t>P</w:t>
      </w:r>
      <w:r w:rsidR="004F1866" w:rsidRPr="00D620E4">
        <w:rPr>
          <w:rFonts w:ascii="Arial" w:hAnsi="Arial" w:cs="Arial"/>
          <w:b/>
          <w:sz w:val="20"/>
          <w:szCs w:val="20"/>
        </w:rPr>
        <w:t>rovisional</w:t>
      </w:r>
      <w:r w:rsidRPr="00D620E4">
        <w:rPr>
          <w:rFonts w:ascii="Arial" w:hAnsi="Arial" w:cs="Arial"/>
          <w:b/>
          <w:sz w:val="20"/>
          <w:szCs w:val="20"/>
        </w:rPr>
        <w:t>, ex ante and ex post prices and quantities</w:t>
      </w:r>
      <w:r w:rsidR="004F1866">
        <w:rPr>
          <w:rFonts w:ascii="Arial" w:hAnsi="Arial" w:cs="Arial"/>
          <w:b/>
          <w:sz w:val="20"/>
          <w:szCs w:val="20"/>
        </w:rPr>
        <w:t>, 26 July</w:t>
      </w:r>
    </w:p>
    <w:tbl>
      <w:tblPr>
        <w:tblW w:w="5000" w:type="pct"/>
        <w:tblBorders>
          <w:top w:val="single" w:sz="12" w:space="0" w:color="000000"/>
          <w:bottom w:val="single" w:sz="12" w:space="0" w:color="000000"/>
          <w:insideH w:val="single" w:sz="6" w:space="0" w:color="000000"/>
        </w:tblBorders>
        <w:tblLook w:val="04A0"/>
      </w:tblPr>
      <w:tblGrid>
        <w:gridCol w:w="1760"/>
        <w:gridCol w:w="1871"/>
        <w:gridCol w:w="1871"/>
        <w:gridCol w:w="1871"/>
        <w:gridCol w:w="1869"/>
      </w:tblGrid>
      <w:tr w:rsidR="00EB121E" w:rsidRPr="00E626C7" w:rsidTr="00EB121E">
        <w:trPr>
          <w:trHeight w:val="300"/>
        </w:trPr>
        <w:tc>
          <w:tcPr>
            <w:tcW w:w="952" w:type="pct"/>
            <w:shd w:val="clear" w:color="auto" w:fill="auto"/>
            <w:noWrap/>
            <w:hideMark/>
          </w:tcPr>
          <w:p w:rsidR="00EB121E" w:rsidRPr="004F1866" w:rsidRDefault="00EB121E" w:rsidP="00EB121E">
            <w:pPr>
              <w:spacing w:after="240"/>
              <w:rPr>
                <w:rFonts w:ascii="Arial" w:hAnsi="Arial" w:cs="Arial"/>
                <w:sz w:val="20"/>
                <w:szCs w:val="20"/>
              </w:rPr>
            </w:pPr>
          </w:p>
        </w:tc>
        <w:tc>
          <w:tcPr>
            <w:tcW w:w="1012" w:type="pct"/>
            <w:shd w:val="clear" w:color="auto" w:fill="auto"/>
            <w:noWrap/>
            <w:vAlign w:val="center"/>
            <w:hideMark/>
          </w:tcPr>
          <w:p w:rsidR="00EB121E" w:rsidRPr="004F1866" w:rsidRDefault="00607B65" w:rsidP="00EB121E">
            <w:pPr>
              <w:rPr>
                <w:rFonts w:ascii="Arial" w:hAnsi="Arial" w:cs="Arial"/>
                <w:b/>
                <w:sz w:val="20"/>
                <w:szCs w:val="20"/>
              </w:rPr>
            </w:pPr>
            <w:r w:rsidRPr="00607B65">
              <w:rPr>
                <w:rFonts w:ascii="Arial" w:hAnsi="Arial" w:cs="Arial"/>
                <w:b/>
                <w:sz w:val="20"/>
                <w:szCs w:val="20"/>
              </w:rPr>
              <w:t>D-3</w:t>
            </w:r>
          </w:p>
        </w:tc>
        <w:tc>
          <w:tcPr>
            <w:tcW w:w="1012" w:type="pct"/>
            <w:shd w:val="clear" w:color="auto" w:fill="auto"/>
            <w:noWrap/>
            <w:vAlign w:val="center"/>
            <w:hideMark/>
          </w:tcPr>
          <w:p w:rsidR="00EB121E" w:rsidRPr="004F1866" w:rsidRDefault="00607B65" w:rsidP="00EB121E">
            <w:pPr>
              <w:rPr>
                <w:rFonts w:ascii="Arial" w:hAnsi="Arial" w:cs="Arial"/>
                <w:b/>
                <w:sz w:val="20"/>
                <w:szCs w:val="20"/>
              </w:rPr>
            </w:pPr>
            <w:r w:rsidRPr="00607B65">
              <w:rPr>
                <w:rFonts w:ascii="Arial" w:hAnsi="Arial" w:cs="Arial"/>
                <w:b/>
                <w:sz w:val="20"/>
                <w:szCs w:val="20"/>
              </w:rPr>
              <w:t>D-2</w:t>
            </w:r>
          </w:p>
        </w:tc>
        <w:tc>
          <w:tcPr>
            <w:tcW w:w="1012" w:type="pct"/>
            <w:shd w:val="clear" w:color="auto" w:fill="auto"/>
            <w:noWrap/>
            <w:vAlign w:val="center"/>
            <w:hideMark/>
          </w:tcPr>
          <w:p w:rsidR="00EB121E" w:rsidRPr="004F1866" w:rsidRDefault="00607B65" w:rsidP="00EB121E">
            <w:pPr>
              <w:rPr>
                <w:rFonts w:ascii="Arial" w:hAnsi="Arial" w:cs="Arial"/>
                <w:b/>
                <w:sz w:val="20"/>
                <w:szCs w:val="20"/>
              </w:rPr>
            </w:pPr>
            <w:r w:rsidRPr="00607B65">
              <w:rPr>
                <w:rFonts w:ascii="Arial" w:hAnsi="Arial" w:cs="Arial"/>
                <w:b/>
                <w:sz w:val="20"/>
                <w:szCs w:val="20"/>
              </w:rPr>
              <w:t>Ex ante(D-1)</w:t>
            </w:r>
          </w:p>
        </w:tc>
        <w:tc>
          <w:tcPr>
            <w:tcW w:w="1011" w:type="pct"/>
            <w:shd w:val="clear" w:color="auto" w:fill="auto"/>
            <w:noWrap/>
            <w:vAlign w:val="center"/>
            <w:hideMark/>
          </w:tcPr>
          <w:p w:rsidR="00EB121E" w:rsidRPr="004F1866" w:rsidRDefault="00607B65" w:rsidP="00EB121E">
            <w:pPr>
              <w:rPr>
                <w:rFonts w:ascii="Arial" w:hAnsi="Arial" w:cs="Arial"/>
                <w:b/>
                <w:sz w:val="20"/>
                <w:szCs w:val="20"/>
              </w:rPr>
            </w:pPr>
            <w:r w:rsidRPr="00607B65">
              <w:rPr>
                <w:rFonts w:ascii="Arial" w:hAnsi="Arial" w:cs="Arial"/>
                <w:b/>
                <w:sz w:val="20"/>
                <w:szCs w:val="20"/>
              </w:rPr>
              <w:t>Ex post</w:t>
            </w:r>
          </w:p>
        </w:tc>
      </w:tr>
      <w:tr w:rsidR="00EB121E" w:rsidRPr="00E626C7" w:rsidTr="00EB121E">
        <w:trPr>
          <w:trHeight w:val="50"/>
        </w:trPr>
        <w:tc>
          <w:tcPr>
            <w:tcW w:w="952" w:type="pct"/>
            <w:shd w:val="clear" w:color="auto" w:fill="auto"/>
            <w:noWrap/>
            <w:hideMark/>
          </w:tcPr>
          <w:p w:rsidR="00EB121E" w:rsidRPr="004F1866" w:rsidRDefault="00607B65" w:rsidP="00EB121E">
            <w:pPr>
              <w:rPr>
                <w:rFonts w:ascii="Arial" w:hAnsi="Arial" w:cs="Arial"/>
                <w:b/>
                <w:sz w:val="20"/>
                <w:szCs w:val="20"/>
              </w:rPr>
            </w:pPr>
            <w:r w:rsidRPr="00607B65">
              <w:rPr>
                <w:rFonts w:ascii="Arial" w:hAnsi="Arial" w:cs="Arial"/>
                <w:b/>
                <w:sz w:val="20"/>
                <w:szCs w:val="20"/>
              </w:rPr>
              <w:t>Price ($/GJ)</w:t>
            </w:r>
          </w:p>
        </w:tc>
        <w:tc>
          <w:tcPr>
            <w:tcW w:w="1012" w:type="pct"/>
            <w:shd w:val="clear" w:color="auto" w:fill="auto"/>
            <w:noWrap/>
            <w:hideMark/>
          </w:tcPr>
          <w:p w:rsidR="00EB121E" w:rsidRPr="004F1866" w:rsidRDefault="00607B65" w:rsidP="00EB121E">
            <w:pPr>
              <w:rPr>
                <w:rFonts w:ascii="Arial" w:hAnsi="Arial" w:cs="Arial"/>
                <w:sz w:val="20"/>
                <w:szCs w:val="20"/>
              </w:rPr>
            </w:pPr>
            <w:r w:rsidRPr="00607B65">
              <w:rPr>
                <w:rFonts w:ascii="Arial" w:hAnsi="Arial" w:cs="Arial"/>
                <w:sz w:val="20"/>
                <w:szCs w:val="20"/>
              </w:rPr>
              <w:t>5.20</w:t>
            </w:r>
          </w:p>
        </w:tc>
        <w:tc>
          <w:tcPr>
            <w:tcW w:w="1012" w:type="pct"/>
            <w:shd w:val="clear" w:color="auto" w:fill="auto"/>
            <w:noWrap/>
            <w:hideMark/>
          </w:tcPr>
          <w:p w:rsidR="00EB121E" w:rsidRPr="004F1866" w:rsidRDefault="00607B65" w:rsidP="00EB121E">
            <w:pPr>
              <w:rPr>
                <w:rFonts w:ascii="Arial" w:hAnsi="Arial" w:cs="Arial"/>
                <w:sz w:val="20"/>
                <w:szCs w:val="20"/>
              </w:rPr>
            </w:pPr>
            <w:r w:rsidRPr="00607B65">
              <w:rPr>
                <w:rFonts w:ascii="Arial" w:hAnsi="Arial" w:cs="Arial"/>
                <w:sz w:val="20"/>
                <w:szCs w:val="20"/>
              </w:rPr>
              <w:t>4.03</w:t>
            </w:r>
          </w:p>
        </w:tc>
        <w:tc>
          <w:tcPr>
            <w:tcW w:w="1012" w:type="pct"/>
            <w:shd w:val="clear" w:color="auto" w:fill="auto"/>
            <w:noWrap/>
            <w:hideMark/>
          </w:tcPr>
          <w:p w:rsidR="00EB121E" w:rsidRPr="004F1866" w:rsidRDefault="00607B65" w:rsidP="00EB121E">
            <w:pPr>
              <w:rPr>
                <w:rFonts w:ascii="Arial" w:hAnsi="Arial" w:cs="Arial"/>
                <w:sz w:val="20"/>
                <w:szCs w:val="20"/>
              </w:rPr>
            </w:pPr>
            <w:r w:rsidRPr="00607B65">
              <w:rPr>
                <w:rFonts w:ascii="Arial" w:hAnsi="Arial" w:cs="Arial"/>
                <w:sz w:val="20"/>
                <w:szCs w:val="20"/>
              </w:rPr>
              <w:t>7.99</w:t>
            </w:r>
          </w:p>
        </w:tc>
        <w:tc>
          <w:tcPr>
            <w:tcW w:w="1011" w:type="pct"/>
            <w:shd w:val="clear" w:color="auto" w:fill="auto"/>
            <w:noWrap/>
            <w:hideMark/>
          </w:tcPr>
          <w:p w:rsidR="00EB121E" w:rsidRPr="004F1866" w:rsidRDefault="00607B65" w:rsidP="00EB121E">
            <w:pPr>
              <w:rPr>
                <w:rFonts w:ascii="Arial" w:hAnsi="Arial" w:cs="Arial"/>
                <w:sz w:val="20"/>
                <w:szCs w:val="20"/>
              </w:rPr>
            </w:pPr>
            <w:r w:rsidRPr="00607B65">
              <w:rPr>
                <w:rFonts w:ascii="Arial" w:hAnsi="Arial" w:cs="Arial"/>
                <w:sz w:val="20"/>
                <w:szCs w:val="20"/>
              </w:rPr>
              <w:t>9.99</w:t>
            </w:r>
          </w:p>
        </w:tc>
      </w:tr>
      <w:tr w:rsidR="00EB121E" w:rsidRPr="00E626C7" w:rsidTr="00EB121E">
        <w:trPr>
          <w:trHeight w:val="300"/>
        </w:trPr>
        <w:tc>
          <w:tcPr>
            <w:tcW w:w="952" w:type="pct"/>
            <w:shd w:val="clear" w:color="auto" w:fill="auto"/>
            <w:noWrap/>
            <w:hideMark/>
          </w:tcPr>
          <w:p w:rsidR="00EB121E" w:rsidRPr="004F1866" w:rsidRDefault="00607B65" w:rsidP="00EB121E">
            <w:pPr>
              <w:rPr>
                <w:rFonts w:ascii="Arial" w:hAnsi="Arial" w:cs="Arial"/>
                <w:b/>
                <w:sz w:val="20"/>
                <w:szCs w:val="20"/>
              </w:rPr>
            </w:pPr>
            <w:r w:rsidRPr="00607B65">
              <w:rPr>
                <w:rFonts w:ascii="Arial" w:hAnsi="Arial" w:cs="Arial"/>
                <w:b/>
                <w:sz w:val="20"/>
                <w:szCs w:val="20"/>
              </w:rPr>
              <w:t>Quantity (TJ)</w:t>
            </w:r>
          </w:p>
        </w:tc>
        <w:tc>
          <w:tcPr>
            <w:tcW w:w="1012" w:type="pct"/>
            <w:shd w:val="clear" w:color="auto" w:fill="auto"/>
            <w:noWrap/>
            <w:hideMark/>
          </w:tcPr>
          <w:p w:rsidR="00EB121E" w:rsidRPr="004F1866" w:rsidRDefault="00607B65" w:rsidP="00EB121E">
            <w:pPr>
              <w:rPr>
                <w:rFonts w:ascii="Arial" w:hAnsi="Arial" w:cs="Arial"/>
                <w:sz w:val="20"/>
                <w:szCs w:val="20"/>
              </w:rPr>
            </w:pPr>
            <w:r w:rsidRPr="00607B65">
              <w:rPr>
                <w:rFonts w:ascii="Arial" w:hAnsi="Arial" w:cs="Arial"/>
                <w:sz w:val="20"/>
                <w:szCs w:val="20"/>
              </w:rPr>
              <w:t>287.8</w:t>
            </w:r>
          </w:p>
        </w:tc>
        <w:tc>
          <w:tcPr>
            <w:tcW w:w="1012" w:type="pct"/>
            <w:shd w:val="clear" w:color="auto" w:fill="auto"/>
            <w:noWrap/>
            <w:hideMark/>
          </w:tcPr>
          <w:p w:rsidR="00EB121E" w:rsidRPr="004F1866" w:rsidRDefault="00607B65" w:rsidP="00EB121E">
            <w:pPr>
              <w:rPr>
                <w:rFonts w:ascii="Arial" w:hAnsi="Arial" w:cs="Arial"/>
                <w:sz w:val="20"/>
                <w:szCs w:val="20"/>
              </w:rPr>
            </w:pPr>
            <w:r w:rsidRPr="00607B65">
              <w:rPr>
                <w:rFonts w:ascii="Arial" w:hAnsi="Arial" w:cs="Arial"/>
                <w:sz w:val="20"/>
                <w:szCs w:val="20"/>
              </w:rPr>
              <w:t>286.2</w:t>
            </w:r>
          </w:p>
        </w:tc>
        <w:tc>
          <w:tcPr>
            <w:tcW w:w="1012" w:type="pct"/>
            <w:shd w:val="clear" w:color="auto" w:fill="auto"/>
            <w:noWrap/>
            <w:hideMark/>
          </w:tcPr>
          <w:p w:rsidR="00EB121E" w:rsidRPr="004F1866" w:rsidRDefault="00607B65" w:rsidP="00EB121E">
            <w:pPr>
              <w:rPr>
                <w:rFonts w:ascii="Arial" w:hAnsi="Arial" w:cs="Arial"/>
                <w:sz w:val="20"/>
                <w:szCs w:val="20"/>
              </w:rPr>
            </w:pPr>
            <w:r w:rsidRPr="00607B65">
              <w:rPr>
                <w:rFonts w:ascii="Arial" w:hAnsi="Arial" w:cs="Arial"/>
                <w:sz w:val="20"/>
                <w:szCs w:val="20"/>
              </w:rPr>
              <w:t>298.7</w:t>
            </w:r>
          </w:p>
        </w:tc>
        <w:tc>
          <w:tcPr>
            <w:tcW w:w="1011" w:type="pct"/>
            <w:shd w:val="clear" w:color="auto" w:fill="auto"/>
            <w:noWrap/>
            <w:hideMark/>
          </w:tcPr>
          <w:p w:rsidR="00EB121E" w:rsidRPr="004F1866" w:rsidRDefault="00607B65" w:rsidP="00EB121E">
            <w:pPr>
              <w:rPr>
                <w:rFonts w:ascii="Arial" w:hAnsi="Arial" w:cs="Arial"/>
                <w:sz w:val="20"/>
                <w:szCs w:val="20"/>
              </w:rPr>
            </w:pPr>
            <w:r w:rsidRPr="00607B65">
              <w:rPr>
                <w:rFonts w:ascii="Arial" w:hAnsi="Arial" w:cs="Arial"/>
                <w:sz w:val="20"/>
                <w:szCs w:val="20"/>
              </w:rPr>
              <w:t>+12.84 (S)</w:t>
            </w:r>
          </w:p>
        </w:tc>
      </w:tr>
    </w:tbl>
    <w:p w:rsidR="00814C7C" w:rsidRDefault="00784AB2">
      <w:pPr>
        <w:pStyle w:val="AERbodytext"/>
        <w:spacing w:before="240"/>
        <w:jc w:val="both"/>
      </w:pPr>
      <w:r>
        <w:t xml:space="preserve">Figure </w:t>
      </w:r>
      <w:r w:rsidR="00E53656">
        <w:t xml:space="preserve">S5 </w:t>
      </w:r>
      <w:r w:rsidR="0064775E" w:rsidRPr="0064775E">
        <w:t xml:space="preserve">shows offers, price taker bids and scheduled gas </w:t>
      </w:r>
      <w:r w:rsidR="0064775E">
        <w:t xml:space="preserve">for </w:t>
      </w:r>
      <w:r>
        <w:t>26 July 2012</w:t>
      </w:r>
      <w:r w:rsidR="0064775E">
        <w:t>.</w:t>
      </w:r>
    </w:p>
    <w:p w:rsidR="00784AB2" w:rsidRPr="00CB48D3" w:rsidRDefault="00607B65" w:rsidP="00784AB2">
      <w:pPr>
        <w:pStyle w:val="AERbodytext"/>
        <w:rPr>
          <w:rFonts w:ascii="Arial" w:hAnsi="Arial" w:cs="Arial"/>
          <w:b/>
          <w:sz w:val="20"/>
          <w:szCs w:val="20"/>
        </w:rPr>
      </w:pPr>
      <w:r w:rsidRPr="00607B65">
        <w:rPr>
          <w:rFonts w:ascii="Arial" w:hAnsi="Arial" w:cs="Arial"/>
          <w:b/>
          <w:sz w:val="20"/>
          <w:szCs w:val="20"/>
        </w:rPr>
        <w:t>Figure S5: Provisional, ex ante and ex post prices and quantities, 26 July</w:t>
      </w:r>
    </w:p>
    <w:p w:rsidR="00784AB2" w:rsidRDefault="00DB2A1A" w:rsidP="00784AB2">
      <w:r>
        <w:pict>
          <v:shape id="_x0000_i1038" type="#_x0000_t75" style="width:450.45pt;height:166.45pt">
            <v:imagedata r:id="rId21" o:title=""/>
          </v:shape>
        </w:pict>
      </w:r>
    </w:p>
    <w:p w:rsidR="00814C7C" w:rsidRDefault="00965875">
      <w:pPr>
        <w:pStyle w:val="AERbodytext"/>
        <w:spacing w:before="240"/>
        <w:jc w:val="both"/>
      </w:pPr>
      <w:r>
        <w:lastRenderedPageBreak/>
        <w:t xml:space="preserve">Figure S5 shows there were more </w:t>
      </w:r>
      <w:r w:rsidRPr="0062300C">
        <w:t>$0/GJ offers</w:t>
      </w:r>
      <w:r>
        <w:t xml:space="preserve"> (</w:t>
      </w:r>
      <w:r w:rsidRPr="0062300C">
        <w:t>212</w:t>
      </w:r>
      <w:r>
        <w:t> </w:t>
      </w:r>
      <w:r w:rsidRPr="0062300C">
        <w:t>TJ</w:t>
      </w:r>
      <w:r>
        <w:t xml:space="preserve">) in the D-1 schedule than in the </w:t>
      </w:r>
      <w:r w:rsidRPr="0062300C">
        <w:t>provisional schedules</w:t>
      </w:r>
      <w:r>
        <w:t xml:space="preserve"> (</w:t>
      </w:r>
      <w:r w:rsidRPr="0062300C">
        <w:t>1</w:t>
      </w:r>
      <w:r>
        <w:t>70 </w:t>
      </w:r>
      <w:r w:rsidRPr="0062300C">
        <w:t>TJ</w:t>
      </w:r>
      <w:r>
        <w:t>). The major reason for this was that AGL rebid 45 TJ from prices between $1</w:t>
      </w:r>
      <w:r>
        <w:noBreakHyphen/>
        <w:t xml:space="preserve">$4/GJ to </w:t>
      </w:r>
      <w:r w:rsidRPr="0062300C">
        <w:t>$0/GJ</w:t>
      </w:r>
      <w:r>
        <w:t xml:space="preserve">. </w:t>
      </w:r>
      <w:r w:rsidR="001A72B7">
        <w:t>However, this rebidding did not influence</w:t>
      </w:r>
      <w:r w:rsidR="00DA5B5D">
        <w:t xml:space="preserve"> the ex ante price</w:t>
      </w:r>
      <w:r w:rsidR="00C4061B">
        <w:t xml:space="preserve"> as</w:t>
      </w:r>
      <w:r w:rsidR="001A72B7">
        <w:t xml:space="preserve"> gas </w:t>
      </w:r>
      <w:r w:rsidR="00DA5B5D">
        <w:t xml:space="preserve">offers </w:t>
      </w:r>
      <w:r w:rsidR="001A72B7">
        <w:t>priced above $4/GJ</w:t>
      </w:r>
      <w:r w:rsidR="00DA5B5D">
        <w:t xml:space="preserve"> were required to meet demand across all schedules. </w:t>
      </w:r>
    </w:p>
    <w:p w:rsidR="00814C7C" w:rsidRDefault="00C4061B">
      <w:pPr>
        <w:pStyle w:val="AERbodytext"/>
        <w:spacing w:before="240"/>
        <w:jc w:val="both"/>
      </w:pPr>
      <w:r>
        <w:t xml:space="preserve">With </w:t>
      </w:r>
      <w:r w:rsidR="00DA5B5D">
        <w:t xml:space="preserve">forecast </w:t>
      </w:r>
      <w:r w:rsidR="00B51EDF" w:rsidRPr="0062300C">
        <w:t xml:space="preserve">demand </w:t>
      </w:r>
      <w:r w:rsidR="00DA5B5D">
        <w:t xml:space="preserve">for the ex ante schedule </w:t>
      </w:r>
      <w:r w:rsidR="00B51EDF" w:rsidRPr="0062300C">
        <w:t xml:space="preserve">higher than </w:t>
      </w:r>
      <w:r w:rsidR="00A41B4F">
        <w:t xml:space="preserve">that </w:t>
      </w:r>
      <w:r w:rsidR="00B51EDF" w:rsidRPr="0062300C">
        <w:t>forecast</w:t>
      </w:r>
      <w:r w:rsidR="00DA5B5D">
        <w:t xml:space="preserve"> in provisional schedules</w:t>
      </w:r>
      <w:r w:rsidR="00A41B4F">
        <w:t>,</w:t>
      </w:r>
      <w:r>
        <w:t xml:space="preserve"> and a limited volume of gas offered at prices </w:t>
      </w:r>
      <w:r w:rsidRPr="003F69ED">
        <w:t xml:space="preserve">in the </w:t>
      </w:r>
      <w:r w:rsidR="00E03ECD" w:rsidRPr="003F69ED">
        <w:t>$4 to $8/GJ</w:t>
      </w:r>
      <w:r w:rsidRPr="003F69ED">
        <w:t xml:space="preserve"> price range, </w:t>
      </w:r>
      <w:r w:rsidR="00DA5B5D" w:rsidRPr="003F69ED">
        <w:t xml:space="preserve">the </w:t>
      </w:r>
      <w:r w:rsidR="00A41B4F" w:rsidRPr="003F69ED">
        <w:t>ex </w:t>
      </w:r>
      <w:r w:rsidR="00DA5B5D" w:rsidRPr="003F69ED">
        <w:t>ante price increased to $7.99/ GJ from the D-2 forecast.</w:t>
      </w:r>
      <w:r w:rsidR="00DA5B5D">
        <w:t xml:space="preserve"> </w:t>
      </w:r>
    </w:p>
    <w:p w:rsidR="006C6B9A" w:rsidRDefault="00845ABD" w:rsidP="0062300C">
      <w:pPr>
        <w:pStyle w:val="Heading4"/>
      </w:pPr>
      <w:r>
        <w:t>27</w:t>
      </w:r>
      <w:r w:rsidRPr="00341B66">
        <w:t xml:space="preserve"> J</w:t>
      </w:r>
      <w:r>
        <w:t>uly</w:t>
      </w:r>
    </w:p>
    <w:p w:rsidR="00814C7C" w:rsidRDefault="00560B99">
      <w:pPr>
        <w:pStyle w:val="AERbodytext"/>
        <w:spacing w:before="240"/>
        <w:jc w:val="both"/>
      </w:pPr>
      <w:r>
        <w:t xml:space="preserve">Figure </w:t>
      </w:r>
      <w:r w:rsidR="00E53656">
        <w:t xml:space="preserve">S6 </w:t>
      </w:r>
      <w:r w:rsidR="00F54BBF">
        <w:t>shows</w:t>
      </w:r>
      <w:r>
        <w:t xml:space="preserve"> </w:t>
      </w:r>
      <w:r w:rsidR="00F54BBF">
        <w:t xml:space="preserve">prices were relatively low and closely aligned in the provisional schedules, but increased for the ex ante schedule. </w:t>
      </w:r>
      <w:r w:rsidR="00E919CE">
        <w:t>Forecast d</w:t>
      </w:r>
      <w:r w:rsidR="00652072">
        <w:t>emand also fluctuated significantly</w:t>
      </w:r>
      <w:r w:rsidR="00F2620D">
        <w:t>.</w:t>
      </w:r>
      <w:r w:rsidR="006B2A6B">
        <w:t xml:space="preserve"> </w:t>
      </w:r>
    </w:p>
    <w:p w:rsidR="00560B99" w:rsidRPr="00D620E4" w:rsidRDefault="00560B99" w:rsidP="00560B99">
      <w:pPr>
        <w:keepNext/>
        <w:rPr>
          <w:rFonts w:ascii="Arial" w:hAnsi="Arial" w:cs="Arial"/>
          <w:b/>
          <w:sz w:val="20"/>
          <w:szCs w:val="20"/>
          <w:lang w:eastAsia="en-US"/>
        </w:rPr>
      </w:pPr>
      <w:r>
        <w:rPr>
          <w:rFonts w:ascii="Arial" w:hAnsi="Arial" w:cs="Arial"/>
          <w:b/>
          <w:sz w:val="20"/>
          <w:szCs w:val="20"/>
          <w:lang w:eastAsia="en-US"/>
        </w:rPr>
        <w:t xml:space="preserve">Figure </w:t>
      </w:r>
      <w:r w:rsidR="00E53656">
        <w:rPr>
          <w:rFonts w:ascii="Arial" w:hAnsi="Arial" w:cs="Arial"/>
          <w:b/>
          <w:sz w:val="20"/>
          <w:szCs w:val="20"/>
          <w:lang w:eastAsia="en-US"/>
        </w:rPr>
        <w:t>S6</w:t>
      </w:r>
      <w:r w:rsidR="0060145C">
        <w:rPr>
          <w:rFonts w:ascii="Arial" w:hAnsi="Arial" w:cs="Arial"/>
          <w:b/>
          <w:sz w:val="20"/>
          <w:szCs w:val="20"/>
          <w:lang w:eastAsia="en-US"/>
        </w:rPr>
        <w:t>:</w:t>
      </w:r>
      <w:r>
        <w:rPr>
          <w:rFonts w:ascii="Arial" w:hAnsi="Arial" w:cs="Arial"/>
          <w:b/>
          <w:sz w:val="20"/>
          <w:szCs w:val="20"/>
          <w:lang w:eastAsia="en-US"/>
        </w:rPr>
        <w:t xml:space="preserve"> </w:t>
      </w:r>
      <w:r w:rsidR="004F1866">
        <w:rPr>
          <w:rFonts w:ascii="Arial" w:hAnsi="Arial" w:cs="Arial"/>
          <w:b/>
          <w:sz w:val="20"/>
          <w:szCs w:val="20"/>
          <w:lang w:eastAsia="en-US"/>
        </w:rPr>
        <w:t>P</w:t>
      </w:r>
      <w:r w:rsidR="004F1866" w:rsidRPr="00D620E4">
        <w:rPr>
          <w:rFonts w:ascii="Arial" w:hAnsi="Arial" w:cs="Arial"/>
          <w:b/>
          <w:sz w:val="20"/>
          <w:szCs w:val="20"/>
          <w:lang w:eastAsia="en-US"/>
        </w:rPr>
        <w:t>rovisional</w:t>
      </w:r>
      <w:r w:rsidRPr="00D620E4">
        <w:rPr>
          <w:rFonts w:ascii="Arial" w:hAnsi="Arial" w:cs="Arial"/>
          <w:b/>
          <w:sz w:val="20"/>
          <w:szCs w:val="20"/>
          <w:lang w:eastAsia="en-US"/>
        </w:rPr>
        <w:t>, ex ante and ex post prices and quantities</w:t>
      </w:r>
      <w:r w:rsidR="004F1866">
        <w:rPr>
          <w:rFonts w:ascii="Arial" w:hAnsi="Arial" w:cs="Arial"/>
          <w:b/>
          <w:sz w:val="20"/>
          <w:szCs w:val="20"/>
          <w:lang w:eastAsia="en-US"/>
        </w:rPr>
        <w:t>, 27 July</w:t>
      </w:r>
    </w:p>
    <w:tbl>
      <w:tblPr>
        <w:tblW w:w="5000" w:type="pct"/>
        <w:tblBorders>
          <w:top w:val="single" w:sz="12" w:space="0" w:color="000000"/>
          <w:bottom w:val="single" w:sz="12" w:space="0" w:color="000000"/>
          <w:insideH w:val="single" w:sz="6" w:space="0" w:color="000000"/>
        </w:tblBorders>
        <w:tblLook w:val="04A0"/>
      </w:tblPr>
      <w:tblGrid>
        <w:gridCol w:w="1760"/>
        <w:gridCol w:w="1871"/>
        <w:gridCol w:w="1871"/>
        <w:gridCol w:w="1871"/>
        <w:gridCol w:w="1869"/>
      </w:tblGrid>
      <w:tr w:rsidR="00560B99" w:rsidRPr="00E626C7" w:rsidTr="00560B99">
        <w:trPr>
          <w:trHeight w:val="300"/>
        </w:trPr>
        <w:tc>
          <w:tcPr>
            <w:tcW w:w="952" w:type="pct"/>
            <w:shd w:val="clear" w:color="auto" w:fill="auto"/>
            <w:noWrap/>
            <w:hideMark/>
          </w:tcPr>
          <w:p w:rsidR="00560B99" w:rsidRPr="00C31ADB" w:rsidRDefault="00560B99" w:rsidP="00560B99">
            <w:pPr>
              <w:rPr>
                <w:rFonts w:ascii="Arial" w:hAnsi="Arial" w:cs="Arial"/>
                <w:sz w:val="20"/>
                <w:szCs w:val="20"/>
              </w:rPr>
            </w:pPr>
          </w:p>
        </w:tc>
        <w:tc>
          <w:tcPr>
            <w:tcW w:w="1012" w:type="pct"/>
            <w:shd w:val="clear" w:color="auto" w:fill="auto"/>
            <w:noWrap/>
            <w:vAlign w:val="center"/>
            <w:hideMark/>
          </w:tcPr>
          <w:p w:rsidR="00560B99" w:rsidRPr="00C31ADB" w:rsidRDefault="00607B65" w:rsidP="00560B99">
            <w:pPr>
              <w:rPr>
                <w:rFonts w:ascii="Arial" w:hAnsi="Arial" w:cs="Arial"/>
                <w:b/>
                <w:sz w:val="20"/>
                <w:szCs w:val="20"/>
              </w:rPr>
            </w:pPr>
            <w:r w:rsidRPr="00607B65">
              <w:rPr>
                <w:rFonts w:ascii="Arial" w:hAnsi="Arial" w:cs="Arial"/>
                <w:b/>
                <w:sz w:val="20"/>
                <w:szCs w:val="20"/>
              </w:rPr>
              <w:t>D-3</w:t>
            </w:r>
          </w:p>
        </w:tc>
        <w:tc>
          <w:tcPr>
            <w:tcW w:w="1012" w:type="pct"/>
            <w:shd w:val="clear" w:color="auto" w:fill="auto"/>
            <w:noWrap/>
            <w:vAlign w:val="center"/>
            <w:hideMark/>
          </w:tcPr>
          <w:p w:rsidR="00560B99" w:rsidRPr="00C31ADB" w:rsidRDefault="00607B65" w:rsidP="00560B99">
            <w:pPr>
              <w:rPr>
                <w:rFonts w:ascii="Arial" w:hAnsi="Arial" w:cs="Arial"/>
                <w:b/>
                <w:sz w:val="20"/>
                <w:szCs w:val="20"/>
              </w:rPr>
            </w:pPr>
            <w:r w:rsidRPr="00607B65">
              <w:rPr>
                <w:rFonts w:ascii="Arial" w:hAnsi="Arial" w:cs="Arial"/>
                <w:b/>
                <w:sz w:val="20"/>
                <w:szCs w:val="20"/>
              </w:rPr>
              <w:t>D-2</w:t>
            </w:r>
          </w:p>
        </w:tc>
        <w:tc>
          <w:tcPr>
            <w:tcW w:w="1012" w:type="pct"/>
            <w:shd w:val="clear" w:color="auto" w:fill="auto"/>
            <w:noWrap/>
            <w:vAlign w:val="center"/>
            <w:hideMark/>
          </w:tcPr>
          <w:p w:rsidR="00560B99" w:rsidRPr="00C31ADB" w:rsidRDefault="00607B65" w:rsidP="00560B99">
            <w:pPr>
              <w:rPr>
                <w:rFonts w:ascii="Arial" w:hAnsi="Arial" w:cs="Arial"/>
                <w:b/>
                <w:sz w:val="20"/>
                <w:szCs w:val="20"/>
              </w:rPr>
            </w:pPr>
            <w:r w:rsidRPr="00607B65">
              <w:rPr>
                <w:rFonts w:ascii="Arial" w:hAnsi="Arial" w:cs="Arial"/>
                <w:b/>
                <w:sz w:val="20"/>
                <w:szCs w:val="20"/>
              </w:rPr>
              <w:t>Ex ante</w:t>
            </w:r>
            <w:r w:rsidR="00F62E24">
              <w:rPr>
                <w:rFonts w:ascii="Arial" w:hAnsi="Arial" w:cs="Arial"/>
                <w:b/>
                <w:sz w:val="20"/>
                <w:szCs w:val="20"/>
              </w:rPr>
              <w:t xml:space="preserve"> </w:t>
            </w:r>
            <w:r w:rsidRPr="00607B65">
              <w:rPr>
                <w:rFonts w:ascii="Arial" w:hAnsi="Arial" w:cs="Arial"/>
                <w:b/>
                <w:sz w:val="20"/>
                <w:szCs w:val="20"/>
              </w:rPr>
              <w:t>(D-1)</w:t>
            </w:r>
          </w:p>
        </w:tc>
        <w:tc>
          <w:tcPr>
            <w:tcW w:w="1011" w:type="pct"/>
            <w:shd w:val="clear" w:color="auto" w:fill="auto"/>
            <w:noWrap/>
            <w:vAlign w:val="center"/>
            <w:hideMark/>
          </w:tcPr>
          <w:p w:rsidR="00560B99" w:rsidRPr="00C31ADB" w:rsidRDefault="00607B65" w:rsidP="00560B99">
            <w:pPr>
              <w:rPr>
                <w:rFonts w:ascii="Arial" w:hAnsi="Arial" w:cs="Arial"/>
                <w:b/>
                <w:sz w:val="20"/>
                <w:szCs w:val="20"/>
              </w:rPr>
            </w:pPr>
            <w:r w:rsidRPr="00607B65">
              <w:rPr>
                <w:rFonts w:ascii="Arial" w:hAnsi="Arial" w:cs="Arial"/>
                <w:b/>
                <w:sz w:val="20"/>
                <w:szCs w:val="20"/>
              </w:rPr>
              <w:t>Ex post</w:t>
            </w:r>
          </w:p>
        </w:tc>
      </w:tr>
      <w:tr w:rsidR="00560B99" w:rsidRPr="00E626C7" w:rsidTr="00560B99">
        <w:trPr>
          <w:trHeight w:val="50"/>
        </w:trPr>
        <w:tc>
          <w:tcPr>
            <w:tcW w:w="952" w:type="pct"/>
            <w:shd w:val="clear" w:color="auto" w:fill="auto"/>
            <w:noWrap/>
            <w:hideMark/>
          </w:tcPr>
          <w:p w:rsidR="00560B99" w:rsidRPr="00C31ADB" w:rsidRDefault="00607B65" w:rsidP="00560B99">
            <w:pPr>
              <w:rPr>
                <w:rFonts w:ascii="Arial" w:hAnsi="Arial" w:cs="Arial"/>
                <w:b/>
                <w:sz w:val="20"/>
                <w:szCs w:val="20"/>
              </w:rPr>
            </w:pPr>
            <w:r w:rsidRPr="00607B65">
              <w:rPr>
                <w:rFonts w:ascii="Arial" w:hAnsi="Arial" w:cs="Arial"/>
                <w:b/>
                <w:sz w:val="20"/>
                <w:szCs w:val="20"/>
              </w:rPr>
              <w:t>Price ($/GJ)</w:t>
            </w:r>
          </w:p>
        </w:tc>
        <w:tc>
          <w:tcPr>
            <w:tcW w:w="1012" w:type="pct"/>
            <w:shd w:val="clear" w:color="auto" w:fill="auto"/>
            <w:noWrap/>
            <w:hideMark/>
          </w:tcPr>
          <w:p w:rsidR="00560B99" w:rsidRPr="00C31ADB" w:rsidRDefault="00607B65" w:rsidP="004131CC">
            <w:pPr>
              <w:rPr>
                <w:rFonts w:ascii="Arial" w:hAnsi="Arial" w:cs="Arial"/>
                <w:sz w:val="20"/>
                <w:szCs w:val="20"/>
              </w:rPr>
            </w:pPr>
            <w:r w:rsidRPr="00607B65">
              <w:rPr>
                <w:rFonts w:ascii="Arial" w:hAnsi="Arial" w:cs="Arial"/>
                <w:sz w:val="20"/>
                <w:szCs w:val="20"/>
              </w:rPr>
              <w:t>5.</w:t>
            </w:r>
            <w:r w:rsidR="004131CC" w:rsidRPr="00607B65">
              <w:rPr>
                <w:rFonts w:ascii="Arial" w:hAnsi="Arial" w:cs="Arial"/>
                <w:sz w:val="20"/>
                <w:szCs w:val="20"/>
              </w:rPr>
              <w:t>0</w:t>
            </w:r>
            <w:r w:rsidR="004131CC">
              <w:rPr>
                <w:rFonts w:ascii="Arial" w:hAnsi="Arial" w:cs="Arial"/>
                <w:sz w:val="20"/>
                <w:szCs w:val="20"/>
              </w:rPr>
              <w:t>2</w:t>
            </w:r>
          </w:p>
        </w:tc>
        <w:tc>
          <w:tcPr>
            <w:tcW w:w="1012" w:type="pct"/>
            <w:shd w:val="clear" w:color="auto" w:fill="auto"/>
            <w:noWrap/>
            <w:hideMark/>
          </w:tcPr>
          <w:p w:rsidR="00560B99" w:rsidRPr="00C31ADB" w:rsidRDefault="00607B65" w:rsidP="00560B99">
            <w:pPr>
              <w:rPr>
                <w:rFonts w:ascii="Arial" w:hAnsi="Arial" w:cs="Arial"/>
                <w:sz w:val="20"/>
                <w:szCs w:val="20"/>
              </w:rPr>
            </w:pPr>
            <w:r w:rsidRPr="00607B65">
              <w:rPr>
                <w:rFonts w:ascii="Arial" w:hAnsi="Arial" w:cs="Arial"/>
                <w:sz w:val="20"/>
                <w:szCs w:val="20"/>
              </w:rPr>
              <w:t>5.10</w:t>
            </w:r>
          </w:p>
        </w:tc>
        <w:tc>
          <w:tcPr>
            <w:tcW w:w="1012" w:type="pct"/>
            <w:shd w:val="clear" w:color="auto" w:fill="auto"/>
            <w:noWrap/>
            <w:hideMark/>
          </w:tcPr>
          <w:p w:rsidR="00560B99" w:rsidRPr="00C31ADB" w:rsidRDefault="00607B65" w:rsidP="00560B99">
            <w:pPr>
              <w:rPr>
                <w:rFonts w:ascii="Arial" w:hAnsi="Arial" w:cs="Arial"/>
                <w:sz w:val="20"/>
                <w:szCs w:val="20"/>
              </w:rPr>
            </w:pPr>
            <w:r w:rsidRPr="00607B65">
              <w:rPr>
                <w:rFonts w:ascii="Arial" w:hAnsi="Arial" w:cs="Arial"/>
                <w:sz w:val="20"/>
                <w:szCs w:val="20"/>
              </w:rPr>
              <w:t>8.41</w:t>
            </w:r>
          </w:p>
        </w:tc>
        <w:tc>
          <w:tcPr>
            <w:tcW w:w="1011" w:type="pct"/>
            <w:shd w:val="clear" w:color="auto" w:fill="auto"/>
            <w:noWrap/>
            <w:hideMark/>
          </w:tcPr>
          <w:p w:rsidR="00560B99" w:rsidRPr="00C31ADB" w:rsidRDefault="00607B65" w:rsidP="00560B99">
            <w:pPr>
              <w:rPr>
                <w:rFonts w:ascii="Arial" w:hAnsi="Arial" w:cs="Arial"/>
                <w:sz w:val="20"/>
                <w:szCs w:val="20"/>
              </w:rPr>
            </w:pPr>
            <w:r w:rsidRPr="00607B65">
              <w:rPr>
                <w:rFonts w:ascii="Arial" w:hAnsi="Arial" w:cs="Arial"/>
                <w:sz w:val="20"/>
                <w:szCs w:val="20"/>
              </w:rPr>
              <w:t>17.99</w:t>
            </w:r>
          </w:p>
        </w:tc>
      </w:tr>
      <w:tr w:rsidR="00560B99" w:rsidRPr="00E626C7" w:rsidTr="00560B99">
        <w:trPr>
          <w:trHeight w:val="300"/>
        </w:trPr>
        <w:tc>
          <w:tcPr>
            <w:tcW w:w="952" w:type="pct"/>
            <w:shd w:val="clear" w:color="auto" w:fill="auto"/>
            <w:noWrap/>
            <w:hideMark/>
          </w:tcPr>
          <w:p w:rsidR="00560B99" w:rsidRPr="00C31ADB" w:rsidRDefault="00607B65" w:rsidP="00560B99">
            <w:pPr>
              <w:rPr>
                <w:rFonts w:ascii="Arial" w:hAnsi="Arial" w:cs="Arial"/>
                <w:b/>
                <w:sz w:val="20"/>
                <w:szCs w:val="20"/>
              </w:rPr>
            </w:pPr>
            <w:r w:rsidRPr="00607B65">
              <w:rPr>
                <w:rFonts w:ascii="Arial" w:hAnsi="Arial" w:cs="Arial"/>
                <w:b/>
                <w:sz w:val="20"/>
                <w:szCs w:val="20"/>
              </w:rPr>
              <w:t>Quantity (TJ)</w:t>
            </w:r>
          </w:p>
        </w:tc>
        <w:tc>
          <w:tcPr>
            <w:tcW w:w="1012" w:type="pct"/>
            <w:shd w:val="clear" w:color="auto" w:fill="auto"/>
            <w:noWrap/>
            <w:hideMark/>
          </w:tcPr>
          <w:p w:rsidR="00560B99" w:rsidRPr="00C31ADB" w:rsidRDefault="00607B65" w:rsidP="00560B99">
            <w:pPr>
              <w:rPr>
                <w:rFonts w:ascii="Arial" w:hAnsi="Arial" w:cs="Arial"/>
                <w:sz w:val="20"/>
                <w:szCs w:val="20"/>
              </w:rPr>
            </w:pPr>
            <w:r w:rsidRPr="00607B65">
              <w:rPr>
                <w:rFonts w:ascii="Arial" w:hAnsi="Arial" w:cs="Arial"/>
                <w:sz w:val="20"/>
                <w:szCs w:val="20"/>
              </w:rPr>
              <w:t>284.9</w:t>
            </w:r>
          </w:p>
        </w:tc>
        <w:tc>
          <w:tcPr>
            <w:tcW w:w="1012" w:type="pct"/>
            <w:shd w:val="clear" w:color="auto" w:fill="auto"/>
            <w:noWrap/>
            <w:hideMark/>
          </w:tcPr>
          <w:p w:rsidR="00560B99" w:rsidRPr="00C31ADB" w:rsidRDefault="00607B65" w:rsidP="00560B99">
            <w:pPr>
              <w:rPr>
                <w:rFonts w:ascii="Arial" w:hAnsi="Arial" w:cs="Arial"/>
                <w:sz w:val="20"/>
                <w:szCs w:val="20"/>
              </w:rPr>
            </w:pPr>
            <w:r w:rsidRPr="00607B65">
              <w:rPr>
                <w:rFonts w:ascii="Arial" w:hAnsi="Arial" w:cs="Arial"/>
                <w:sz w:val="20"/>
                <w:szCs w:val="20"/>
              </w:rPr>
              <w:t>310.9</w:t>
            </w:r>
          </w:p>
        </w:tc>
        <w:tc>
          <w:tcPr>
            <w:tcW w:w="1012" w:type="pct"/>
            <w:shd w:val="clear" w:color="auto" w:fill="auto"/>
            <w:noWrap/>
            <w:hideMark/>
          </w:tcPr>
          <w:p w:rsidR="00560B99" w:rsidRPr="00C31ADB" w:rsidRDefault="00607B65" w:rsidP="00560B99">
            <w:pPr>
              <w:rPr>
                <w:rFonts w:ascii="Arial" w:hAnsi="Arial" w:cs="Arial"/>
                <w:sz w:val="20"/>
                <w:szCs w:val="20"/>
              </w:rPr>
            </w:pPr>
            <w:r w:rsidRPr="00607B65">
              <w:rPr>
                <w:rFonts w:ascii="Arial" w:hAnsi="Arial" w:cs="Arial"/>
                <w:sz w:val="20"/>
                <w:szCs w:val="20"/>
              </w:rPr>
              <w:t>289.5</w:t>
            </w:r>
          </w:p>
        </w:tc>
        <w:tc>
          <w:tcPr>
            <w:tcW w:w="1011" w:type="pct"/>
            <w:shd w:val="clear" w:color="auto" w:fill="auto"/>
            <w:noWrap/>
            <w:hideMark/>
          </w:tcPr>
          <w:p w:rsidR="00560B99" w:rsidRPr="00C31ADB" w:rsidRDefault="00607B65" w:rsidP="00560B99">
            <w:pPr>
              <w:rPr>
                <w:rFonts w:ascii="Arial" w:hAnsi="Arial" w:cs="Arial"/>
                <w:sz w:val="20"/>
                <w:szCs w:val="20"/>
              </w:rPr>
            </w:pPr>
            <w:r w:rsidRPr="00607B65">
              <w:rPr>
                <w:rFonts w:ascii="Arial" w:hAnsi="Arial" w:cs="Arial"/>
                <w:sz w:val="20"/>
                <w:szCs w:val="20"/>
              </w:rPr>
              <w:t>+6.72 (S)</w:t>
            </w:r>
          </w:p>
        </w:tc>
      </w:tr>
    </w:tbl>
    <w:p w:rsidR="00814C7C" w:rsidRDefault="002927B1">
      <w:pPr>
        <w:pStyle w:val="AERbodytext"/>
        <w:spacing w:before="240"/>
        <w:jc w:val="both"/>
      </w:pPr>
      <w:r w:rsidRPr="0062300C">
        <w:t xml:space="preserve">The three </w:t>
      </w:r>
      <w:r w:rsidR="0050431E" w:rsidRPr="0062300C">
        <w:t>major</w:t>
      </w:r>
      <w:r w:rsidRPr="0062300C">
        <w:t xml:space="preserve"> participants submitted </w:t>
      </w:r>
      <w:r w:rsidR="00DA5B5D">
        <w:t xml:space="preserve">reasonably </w:t>
      </w:r>
      <w:r w:rsidR="00DE69A2" w:rsidRPr="0062300C">
        <w:t>accurate demand forecasts</w:t>
      </w:r>
      <w:r w:rsidR="00F2620D">
        <w:t xml:space="preserve"> for the ex ante schedule</w:t>
      </w:r>
      <w:r w:rsidR="007853AA">
        <w:t>,</w:t>
      </w:r>
      <w:r w:rsidR="00F2620D">
        <w:t xml:space="preserve"> </w:t>
      </w:r>
      <w:r w:rsidR="006B2A6B">
        <w:t xml:space="preserve">as reflected by the </w:t>
      </w:r>
      <w:r w:rsidR="00F2620D">
        <w:t>6.</w:t>
      </w:r>
      <w:r w:rsidR="00346A5E">
        <w:t>72 </w:t>
      </w:r>
      <w:r w:rsidR="00F2620D">
        <w:t xml:space="preserve">TJ </w:t>
      </w:r>
      <w:r w:rsidR="005C71E8">
        <w:t xml:space="preserve">market short </w:t>
      </w:r>
      <w:r w:rsidR="00F2620D">
        <w:t>imbalance</w:t>
      </w:r>
      <w:r w:rsidR="006B2A6B">
        <w:t xml:space="preserve">. Despite this small imbalance, the ex post price was $9.58/GJ higher than the ex ante price. </w:t>
      </w:r>
    </w:p>
    <w:p w:rsidR="00DF71B2" w:rsidRDefault="00E3618B">
      <w:pPr>
        <w:pStyle w:val="AERbodytext"/>
        <w:jc w:val="both"/>
      </w:pPr>
      <w:r>
        <w:t xml:space="preserve">Figure </w:t>
      </w:r>
      <w:r w:rsidR="00E53656">
        <w:t>S7</w:t>
      </w:r>
      <w:r>
        <w:t xml:space="preserve"> </w:t>
      </w:r>
      <w:r w:rsidR="0064775E" w:rsidRPr="0064775E">
        <w:t xml:space="preserve">shows offers, price taker bids and scheduled gas </w:t>
      </w:r>
      <w:r w:rsidR="0064775E">
        <w:t xml:space="preserve">for the </w:t>
      </w:r>
      <w:r>
        <w:t>2</w:t>
      </w:r>
      <w:r w:rsidR="00E53656">
        <w:t>7</w:t>
      </w:r>
      <w:r>
        <w:t xml:space="preserve"> July gas day</w:t>
      </w:r>
      <w:r w:rsidR="0064775E">
        <w:t>.</w:t>
      </w:r>
    </w:p>
    <w:p w:rsidR="00F2620D" w:rsidRDefault="00607B65" w:rsidP="00F2620D">
      <w:pPr>
        <w:pStyle w:val="AERbodytext"/>
      </w:pPr>
      <w:r w:rsidRPr="00607B65">
        <w:rPr>
          <w:rFonts w:ascii="Arial" w:hAnsi="Arial" w:cs="Arial"/>
          <w:b/>
          <w:sz w:val="20"/>
          <w:szCs w:val="20"/>
        </w:rPr>
        <w:t xml:space="preserve">Figure S7: Provisional, ex ante and ex post prices and quantities, 27 July </w:t>
      </w:r>
    </w:p>
    <w:p w:rsidR="001F3AA5" w:rsidRDefault="00DB2A1A">
      <w:pPr>
        <w:pStyle w:val="AERbodytext"/>
        <w:spacing w:before="480"/>
        <w:jc w:val="both"/>
      </w:pPr>
      <w:r>
        <w:pict>
          <v:shape id="_x0000_i1039" type="#_x0000_t75" style="width:450.45pt;height:168.75pt">
            <v:imagedata r:id="rId22" o:title=""/>
          </v:shape>
        </w:pict>
      </w:r>
      <w:r w:rsidR="00607B65" w:rsidRPr="00607B65">
        <w:t>The D</w:t>
      </w:r>
      <w:r w:rsidR="00607B65" w:rsidRPr="00607B65">
        <w:noBreakHyphen/>
        <w:t xml:space="preserve">2 schedule saw a 12 TJ hub withdrawal bid cleared. This did not carry over to the </w:t>
      </w:r>
      <w:r w:rsidR="00A41B4F" w:rsidRPr="00607B65">
        <w:t>ex</w:t>
      </w:r>
      <w:r w:rsidR="00A41B4F">
        <w:t> </w:t>
      </w:r>
      <w:r w:rsidR="00607B65" w:rsidRPr="00607B65">
        <w:t xml:space="preserve">ante schedule. </w:t>
      </w:r>
      <w:r w:rsidR="001F3AA5">
        <w:t>Compared to the D-2 schedule, for the ex ante schedule:</w:t>
      </w:r>
    </w:p>
    <w:p w:rsidR="00074FD5" w:rsidRDefault="001F3AA5">
      <w:pPr>
        <w:numPr>
          <w:ilvl w:val="0"/>
          <w:numId w:val="3"/>
        </w:numPr>
        <w:spacing w:after="120"/>
        <w:jc w:val="both"/>
      </w:pPr>
      <w:r>
        <w:t xml:space="preserve">rebidding by TRUenergy and AGL saw a 24 TJ reduction in offers at $0/GJ </w:t>
      </w:r>
    </w:p>
    <w:p w:rsidR="00074FD5" w:rsidRDefault="001F3AA5">
      <w:pPr>
        <w:numPr>
          <w:ilvl w:val="0"/>
          <w:numId w:val="3"/>
        </w:numPr>
        <w:spacing w:after="120"/>
        <w:jc w:val="both"/>
      </w:pPr>
      <w:r>
        <w:t>t</w:t>
      </w:r>
      <w:r w:rsidR="006A7805" w:rsidRPr="0062300C">
        <w:t xml:space="preserve">here </w:t>
      </w:r>
      <w:r w:rsidR="005F7FE5">
        <w:t>was a lower volume of gas priced below $6/GJ</w:t>
      </w:r>
    </w:p>
    <w:p w:rsidR="00074FD5" w:rsidRDefault="001F3AA5">
      <w:pPr>
        <w:numPr>
          <w:ilvl w:val="0"/>
          <w:numId w:val="3"/>
        </w:numPr>
        <w:spacing w:after="120"/>
        <w:jc w:val="both"/>
      </w:pPr>
      <w:r>
        <w:t>n</w:t>
      </w:r>
      <w:r w:rsidR="005F7FE5" w:rsidRPr="0062300C">
        <w:t>early 17</w:t>
      </w:r>
      <w:r w:rsidR="00BF79D8">
        <w:t> </w:t>
      </w:r>
      <w:r w:rsidR="005F7FE5" w:rsidRPr="0062300C">
        <w:t xml:space="preserve">TJ </w:t>
      </w:r>
      <w:r w:rsidR="005F7FE5">
        <w:t>more gas was o</w:t>
      </w:r>
      <w:r w:rsidR="0019032C" w:rsidRPr="0062300C">
        <w:t>ffer</w:t>
      </w:r>
      <w:r w:rsidR="005F7FE5">
        <w:t xml:space="preserve">ed at </w:t>
      </w:r>
      <w:r w:rsidR="0019032C" w:rsidRPr="0062300C">
        <w:t xml:space="preserve">between $6–$8/GJ </w:t>
      </w:r>
      <w:r w:rsidR="00B10C2E">
        <w:t>and</w:t>
      </w:r>
    </w:p>
    <w:p w:rsidR="00074FD5" w:rsidRDefault="005F7FE5">
      <w:pPr>
        <w:numPr>
          <w:ilvl w:val="0"/>
          <w:numId w:val="3"/>
        </w:numPr>
        <w:spacing w:after="120"/>
        <w:jc w:val="both"/>
      </w:pPr>
      <w:r>
        <w:t>almost</w:t>
      </w:r>
      <w:r w:rsidRPr="0062300C">
        <w:t xml:space="preserve"> 8</w:t>
      </w:r>
      <w:r>
        <w:t> </w:t>
      </w:r>
      <w:r w:rsidRPr="0062300C">
        <w:t>TJ</w:t>
      </w:r>
      <w:r>
        <w:t xml:space="preserve"> more </w:t>
      </w:r>
      <w:r w:rsidR="00044A97">
        <w:t xml:space="preserve">was offered </w:t>
      </w:r>
      <w:r w:rsidRPr="0062300C">
        <w:t>between $10–$40/GJ</w:t>
      </w:r>
      <w:r w:rsidR="001F3AA5">
        <w:t>.</w:t>
      </w:r>
      <w:r>
        <w:t xml:space="preserve"> </w:t>
      </w:r>
    </w:p>
    <w:p w:rsidR="00492F83" w:rsidRDefault="001F3AA5" w:rsidP="001F3AA5">
      <w:pPr>
        <w:pStyle w:val="AERbodytext"/>
        <w:spacing w:before="480"/>
        <w:jc w:val="both"/>
      </w:pPr>
      <w:r>
        <w:t xml:space="preserve">Overall </w:t>
      </w:r>
      <w:r w:rsidR="0005643F" w:rsidRPr="0062300C">
        <w:t>AGL, Origin, and TRU</w:t>
      </w:r>
      <w:r w:rsidR="0048407F">
        <w:t>energy</w:t>
      </w:r>
      <w:r w:rsidR="00B26E5F">
        <w:t xml:space="preserve"> </w:t>
      </w:r>
      <w:r w:rsidR="0038699B">
        <w:t xml:space="preserve">removed </w:t>
      </w:r>
      <w:r w:rsidR="00044A97">
        <w:t xml:space="preserve">a total of </w:t>
      </w:r>
      <w:r w:rsidR="00B26E5F">
        <w:t>30 TJ</w:t>
      </w:r>
      <w:r w:rsidR="00652383">
        <w:t xml:space="preserve"> </w:t>
      </w:r>
      <w:r w:rsidR="0038699B">
        <w:t>of offers from prices between $2</w:t>
      </w:r>
      <w:r w:rsidR="004131CC" w:rsidRPr="0062300C">
        <w:t>–</w:t>
      </w:r>
      <w:r w:rsidR="00044A97">
        <w:t xml:space="preserve">$6/GJ, moving </w:t>
      </w:r>
      <w:r w:rsidR="00652383">
        <w:t>26 </w:t>
      </w:r>
      <w:r w:rsidR="0038699B">
        <w:t>TJ into prices</w:t>
      </w:r>
      <w:r w:rsidR="00652383">
        <w:t xml:space="preserve"> </w:t>
      </w:r>
      <w:r w:rsidR="0038699B">
        <w:t xml:space="preserve">above </w:t>
      </w:r>
      <w:r w:rsidR="00652383">
        <w:t>$6</w:t>
      </w:r>
      <w:r w:rsidR="0038699B">
        <w:t>/</w:t>
      </w:r>
      <w:r w:rsidR="00652383">
        <w:t>GJ.</w:t>
      </w:r>
      <w:r w:rsidR="0038699B">
        <w:t xml:space="preserve"> </w:t>
      </w:r>
      <w:r>
        <w:t xml:space="preserve"> </w:t>
      </w:r>
      <w:r w:rsidR="007A1A62">
        <w:t xml:space="preserve">Although less gas was scheduled for the </w:t>
      </w:r>
      <w:r w:rsidR="00A41B4F">
        <w:lastRenderedPageBreak/>
        <w:t>ex </w:t>
      </w:r>
      <w:r w:rsidR="007A1A62">
        <w:t>ante schedule than the D-2 schedule, the ex ante price was higher as a result of c</w:t>
      </w:r>
      <w:r w:rsidR="00492F83">
        <w:t>hanges to offer volumes and prices</w:t>
      </w:r>
      <w:r w:rsidR="007A1A62">
        <w:t>.</w:t>
      </w:r>
      <w:r w:rsidR="00492F83">
        <w:t xml:space="preserve"> </w:t>
      </w:r>
    </w:p>
    <w:p w:rsidR="00DF761F" w:rsidRDefault="0038699B" w:rsidP="00DF761F">
      <w:pPr>
        <w:pStyle w:val="AERbodytext"/>
        <w:spacing w:before="240"/>
        <w:jc w:val="both"/>
      </w:pPr>
      <w:r>
        <w:t>T</w:t>
      </w:r>
      <w:r w:rsidR="002E7D44" w:rsidRPr="0062300C">
        <w:t>he ex</w:t>
      </w:r>
      <w:r w:rsidR="00652383">
        <w:t> </w:t>
      </w:r>
      <w:r w:rsidR="002E7D44" w:rsidRPr="0062300C">
        <w:t>post price</w:t>
      </w:r>
      <w:r w:rsidR="00492F83">
        <w:t xml:space="preserve"> (</w:t>
      </w:r>
      <w:r>
        <w:t>$17.99</w:t>
      </w:r>
      <w:r w:rsidR="00492F83">
        <w:t>/GJ)</w:t>
      </w:r>
      <w:r>
        <w:t xml:space="preserve"> was $9.58/GJ higher </w:t>
      </w:r>
      <w:r w:rsidR="00BF79D8">
        <w:t xml:space="preserve">than the ex ante price </w:t>
      </w:r>
      <w:r>
        <w:t>despite only a small</w:t>
      </w:r>
      <w:r w:rsidR="00E3618B">
        <w:t xml:space="preserve"> </w:t>
      </w:r>
      <w:r w:rsidR="00BF79D8">
        <w:t>(</w:t>
      </w:r>
      <w:r w:rsidR="002E7D44" w:rsidRPr="0062300C">
        <w:t>6.</w:t>
      </w:r>
      <w:r w:rsidR="00BF79D8" w:rsidRPr="0062300C">
        <w:t>72</w:t>
      </w:r>
      <w:r w:rsidR="00BF79D8">
        <w:t> </w:t>
      </w:r>
      <w:r w:rsidR="002E7D44" w:rsidRPr="0062300C">
        <w:t>TJ</w:t>
      </w:r>
      <w:r w:rsidR="00BF79D8">
        <w:t>)</w:t>
      </w:r>
      <w:r w:rsidR="002E7D44" w:rsidRPr="0062300C">
        <w:t xml:space="preserve"> imbalance</w:t>
      </w:r>
      <w:r w:rsidR="00AF36A2">
        <w:t xml:space="preserve"> on the gas day</w:t>
      </w:r>
      <w:r w:rsidR="002E7D44" w:rsidRPr="0062300C">
        <w:t xml:space="preserve">. </w:t>
      </w:r>
      <w:r w:rsidR="0047661A">
        <w:t xml:space="preserve">Figure S8 shows the supply curve for the Sydney hub on 27 July.  It can be seen how </w:t>
      </w:r>
      <w:r w:rsidR="00816842">
        <w:t>the existence of only</w:t>
      </w:r>
      <w:r w:rsidR="00F02555">
        <w:t xml:space="preserve"> </w:t>
      </w:r>
      <w:r w:rsidR="00492F83">
        <w:t>small</w:t>
      </w:r>
      <w:r w:rsidR="00F02555">
        <w:t xml:space="preserve"> volume</w:t>
      </w:r>
      <w:r w:rsidR="00492F83">
        <w:t>s</w:t>
      </w:r>
      <w:r w:rsidR="00F02555">
        <w:t xml:space="preserve"> </w:t>
      </w:r>
      <w:r w:rsidR="00492F83">
        <w:t xml:space="preserve">of gas offers in </w:t>
      </w:r>
      <w:r w:rsidR="00F02555">
        <w:t>price</w:t>
      </w:r>
      <w:r w:rsidR="00492F83">
        <w:t>s</w:t>
      </w:r>
      <w:r w:rsidR="00F02555">
        <w:t xml:space="preserve"> </w:t>
      </w:r>
      <w:r w:rsidR="00492F83">
        <w:t xml:space="preserve">above </w:t>
      </w:r>
      <w:r w:rsidR="00F02555">
        <w:t>$</w:t>
      </w:r>
      <w:r w:rsidR="00492F83">
        <w:t>8</w:t>
      </w:r>
      <w:r w:rsidR="00F02555">
        <w:t>/GJ</w:t>
      </w:r>
      <w:r w:rsidR="00044A97">
        <w:t xml:space="preserve"> </w:t>
      </w:r>
      <w:r w:rsidR="00816842">
        <w:t xml:space="preserve">up to about $45/GJ </w:t>
      </w:r>
      <w:r w:rsidR="00044A97">
        <w:t>caused the large difference between the ex ante and ex post price</w:t>
      </w:r>
      <w:r w:rsidR="00492F83">
        <w:t xml:space="preserve">. </w:t>
      </w:r>
      <w:r w:rsidR="0047661A">
        <w:t xml:space="preserve"> The inelasticity of the curve at around 280-310 TJ made the price very sensitive to changes in scheduled (ex ante price based on 289.5</w:t>
      </w:r>
      <w:r w:rsidR="008E3B39">
        <w:t> </w:t>
      </w:r>
      <w:r w:rsidR="0047661A">
        <w:t>TJ) or allocated gas (ex post price based on 289.5</w:t>
      </w:r>
      <w:r w:rsidR="008E3B39">
        <w:t> </w:t>
      </w:r>
      <w:r w:rsidR="0047661A">
        <w:t>TJ</w:t>
      </w:r>
      <w:r w:rsidR="008E3B39">
        <w:t xml:space="preserve"> </w:t>
      </w:r>
      <w:r w:rsidR="0047661A">
        <w:t>+ 6.72</w:t>
      </w:r>
      <w:r w:rsidR="008E3B39">
        <w:t> </w:t>
      </w:r>
      <w:r w:rsidR="0047661A">
        <w:t>TJ imbalance). The ex post price would have been much higher than $17.99/GJ</w:t>
      </w:r>
      <w:r w:rsidR="0047661A" w:rsidRPr="004838AC">
        <w:t xml:space="preserve"> </w:t>
      </w:r>
      <w:r w:rsidR="0047661A">
        <w:t>had allocated gas been only a few TJ higher.</w:t>
      </w:r>
    </w:p>
    <w:p w:rsidR="006362BC" w:rsidRDefault="00816842">
      <w:pPr>
        <w:pStyle w:val="AERbodytext"/>
        <w:rPr>
          <w:rFonts w:ascii="Arial" w:hAnsi="Arial" w:cs="Arial"/>
          <w:sz w:val="20"/>
          <w:szCs w:val="20"/>
        </w:rPr>
      </w:pPr>
      <w:r>
        <w:rPr>
          <w:rFonts w:ascii="Arial" w:hAnsi="Arial" w:cs="Arial"/>
          <w:b/>
          <w:sz w:val="20"/>
          <w:szCs w:val="20"/>
        </w:rPr>
        <w:t xml:space="preserve">Figure S8: </w:t>
      </w:r>
      <w:r w:rsidR="00716764">
        <w:rPr>
          <w:rFonts w:ascii="Arial" w:hAnsi="Arial" w:cs="Arial"/>
          <w:b/>
          <w:sz w:val="20"/>
          <w:szCs w:val="20"/>
        </w:rPr>
        <w:t>O</w:t>
      </w:r>
      <w:r w:rsidR="00B13E65">
        <w:rPr>
          <w:rFonts w:ascii="Arial" w:hAnsi="Arial" w:cs="Arial"/>
          <w:b/>
          <w:sz w:val="20"/>
          <w:szCs w:val="20"/>
        </w:rPr>
        <w:t>ffer curve for the Sydney hub from ex ante market schedule</w:t>
      </w:r>
      <w:r>
        <w:rPr>
          <w:rFonts w:ascii="Arial" w:hAnsi="Arial" w:cs="Arial"/>
          <w:b/>
          <w:sz w:val="20"/>
          <w:szCs w:val="20"/>
        </w:rPr>
        <w:t xml:space="preserve">, </w:t>
      </w:r>
      <w:r w:rsidRPr="00816842">
        <w:rPr>
          <w:rFonts w:ascii="Arial" w:hAnsi="Arial" w:cs="Arial"/>
          <w:b/>
          <w:sz w:val="20"/>
          <w:szCs w:val="20"/>
        </w:rPr>
        <w:t>27 July</w:t>
      </w:r>
    </w:p>
    <w:p w:rsidR="00816842" w:rsidRDefault="00DB2A1A" w:rsidP="00816842">
      <w:pPr>
        <w:pStyle w:val="Caption"/>
        <w:keepNext/>
        <w:spacing w:before="240" w:after="120"/>
        <w:outlineLvl w:val="0"/>
      </w:pPr>
      <w:r>
        <w:pict>
          <v:shape id="_x0000_i1040" type="#_x0000_t75" style="width:397.45pt;height:217.75pt">
            <v:imagedata r:id="rId23" o:title=""/>
          </v:shape>
        </w:pict>
      </w:r>
    </w:p>
    <w:p w:rsidR="00465C6D" w:rsidRDefault="00465C6D" w:rsidP="00465C6D">
      <w:pPr>
        <w:pStyle w:val="Heading4"/>
      </w:pPr>
      <w:r>
        <w:t>31</w:t>
      </w:r>
      <w:r w:rsidRPr="00341B66">
        <w:t xml:space="preserve"> J</w:t>
      </w:r>
      <w:r>
        <w:t>uly</w:t>
      </w:r>
    </w:p>
    <w:p w:rsidR="00465C6D" w:rsidRDefault="00465C6D" w:rsidP="00DB1605">
      <w:pPr>
        <w:pStyle w:val="AERbodytext"/>
        <w:spacing w:before="240"/>
        <w:jc w:val="both"/>
      </w:pPr>
      <w:r>
        <w:t xml:space="preserve">Figure S9 shows </w:t>
      </w:r>
      <w:r w:rsidR="0047661A">
        <w:t xml:space="preserve">how </w:t>
      </w:r>
      <w:r w:rsidR="000C727D">
        <w:t>forecast demand increased at each schedule</w:t>
      </w:r>
      <w:r w:rsidR="0047661A">
        <w:t xml:space="preserve"> for the 31 July gas day</w:t>
      </w:r>
      <w:r w:rsidR="000C727D">
        <w:t xml:space="preserve">, leading to increased prices. </w:t>
      </w:r>
      <w:r w:rsidR="00DB1605">
        <w:t>Higher scheduled volumes in the D</w:t>
      </w:r>
      <w:r w:rsidR="00DB1605">
        <w:noBreakHyphen/>
        <w:t xml:space="preserve">2 and ex ante schedule resulted from additional volumes of withdrawal bids priced at $9.99/GJ or higher in each schedule. Forecast demand in the hub remained stable in the provisional schedules, before reducing by over 5 TJ in the ex ante schedule. This saw actual demand </w:t>
      </w:r>
      <w:r w:rsidR="000C727D">
        <w:t>requirements</w:t>
      </w:r>
      <w:r w:rsidR="00DB1605">
        <w:t xml:space="preserve"> in the hub reach higher than forecast levels, leading to the</w:t>
      </w:r>
      <w:r w:rsidR="000C727D">
        <w:t xml:space="preserve"> further increase in the ex post price</w:t>
      </w:r>
      <w:r w:rsidR="00DB1605">
        <w:t xml:space="preserve"> due to the large imbalance</w:t>
      </w:r>
      <w:r>
        <w:t xml:space="preserve">. </w:t>
      </w:r>
    </w:p>
    <w:p w:rsidR="00465C6D" w:rsidRPr="00D620E4" w:rsidRDefault="00465C6D" w:rsidP="00465C6D">
      <w:pPr>
        <w:keepNext/>
        <w:rPr>
          <w:rFonts w:ascii="Arial" w:hAnsi="Arial" w:cs="Arial"/>
          <w:b/>
          <w:sz w:val="20"/>
          <w:szCs w:val="20"/>
          <w:lang w:eastAsia="en-US"/>
        </w:rPr>
      </w:pPr>
      <w:r>
        <w:rPr>
          <w:rFonts w:ascii="Arial" w:hAnsi="Arial" w:cs="Arial"/>
          <w:b/>
          <w:sz w:val="20"/>
          <w:szCs w:val="20"/>
          <w:lang w:eastAsia="en-US"/>
        </w:rPr>
        <w:t>Figure S9: P</w:t>
      </w:r>
      <w:r w:rsidRPr="00D620E4">
        <w:rPr>
          <w:rFonts w:ascii="Arial" w:hAnsi="Arial" w:cs="Arial"/>
          <w:b/>
          <w:sz w:val="20"/>
          <w:szCs w:val="20"/>
          <w:lang w:eastAsia="en-US"/>
        </w:rPr>
        <w:t>rovisional, ex ante and ex post prices and quantities</w:t>
      </w:r>
      <w:r>
        <w:rPr>
          <w:rFonts w:ascii="Arial" w:hAnsi="Arial" w:cs="Arial"/>
          <w:b/>
          <w:sz w:val="20"/>
          <w:szCs w:val="20"/>
          <w:lang w:eastAsia="en-US"/>
        </w:rPr>
        <w:t>, 31 July</w:t>
      </w:r>
    </w:p>
    <w:tbl>
      <w:tblPr>
        <w:tblW w:w="5000" w:type="pct"/>
        <w:tblBorders>
          <w:top w:val="single" w:sz="12" w:space="0" w:color="000000"/>
          <w:bottom w:val="single" w:sz="12" w:space="0" w:color="000000"/>
          <w:insideH w:val="single" w:sz="6" w:space="0" w:color="000000"/>
        </w:tblBorders>
        <w:tblLook w:val="04A0"/>
      </w:tblPr>
      <w:tblGrid>
        <w:gridCol w:w="1760"/>
        <w:gridCol w:w="1871"/>
        <w:gridCol w:w="1871"/>
        <w:gridCol w:w="1871"/>
        <w:gridCol w:w="1869"/>
      </w:tblGrid>
      <w:tr w:rsidR="00465C6D" w:rsidRPr="00E626C7" w:rsidTr="00465C6D">
        <w:trPr>
          <w:trHeight w:val="300"/>
        </w:trPr>
        <w:tc>
          <w:tcPr>
            <w:tcW w:w="952" w:type="pct"/>
            <w:shd w:val="clear" w:color="auto" w:fill="auto"/>
            <w:noWrap/>
            <w:hideMark/>
          </w:tcPr>
          <w:p w:rsidR="00465C6D" w:rsidRPr="00C31ADB" w:rsidRDefault="00465C6D" w:rsidP="00465C6D">
            <w:pPr>
              <w:rPr>
                <w:rFonts w:ascii="Arial" w:hAnsi="Arial" w:cs="Arial"/>
                <w:sz w:val="20"/>
                <w:szCs w:val="20"/>
              </w:rPr>
            </w:pPr>
          </w:p>
        </w:tc>
        <w:tc>
          <w:tcPr>
            <w:tcW w:w="1012" w:type="pct"/>
            <w:shd w:val="clear" w:color="auto" w:fill="auto"/>
            <w:noWrap/>
            <w:vAlign w:val="center"/>
            <w:hideMark/>
          </w:tcPr>
          <w:p w:rsidR="00465C6D" w:rsidRPr="00C31ADB" w:rsidRDefault="00465C6D" w:rsidP="00465C6D">
            <w:pPr>
              <w:rPr>
                <w:rFonts w:ascii="Arial" w:hAnsi="Arial" w:cs="Arial"/>
                <w:b/>
                <w:sz w:val="20"/>
                <w:szCs w:val="20"/>
              </w:rPr>
            </w:pPr>
            <w:r w:rsidRPr="00607B65">
              <w:rPr>
                <w:rFonts w:ascii="Arial" w:hAnsi="Arial" w:cs="Arial"/>
                <w:b/>
                <w:sz w:val="20"/>
                <w:szCs w:val="20"/>
              </w:rPr>
              <w:t>D-3</w:t>
            </w:r>
          </w:p>
        </w:tc>
        <w:tc>
          <w:tcPr>
            <w:tcW w:w="1012" w:type="pct"/>
            <w:shd w:val="clear" w:color="auto" w:fill="auto"/>
            <w:noWrap/>
            <w:vAlign w:val="center"/>
            <w:hideMark/>
          </w:tcPr>
          <w:p w:rsidR="00465C6D" w:rsidRPr="00C31ADB" w:rsidRDefault="00465C6D" w:rsidP="00465C6D">
            <w:pPr>
              <w:rPr>
                <w:rFonts w:ascii="Arial" w:hAnsi="Arial" w:cs="Arial"/>
                <w:b/>
                <w:sz w:val="20"/>
                <w:szCs w:val="20"/>
              </w:rPr>
            </w:pPr>
            <w:r w:rsidRPr="00607B65">
              <w:rPr>
                <w:rFonts w:ascii="Arial" w:hAnsi="Arial" w:cs="Arial"/>
                <w:b/>
                <w:sz w:val="20"/>
                <w:szCs w:val="20"/>
              </w:rPr>
              <w:t>D-2</w:t>
            </w:r>
          </w:p>
        </w:tc>
        <w:tc>
          <w:tcPr>
            <w:tcW w:w="1012" w:type="pct"/>
            <w:shd w:val="clear" w:color="auto" w:fill="auto"/>
            <w:noWrap/>
            <w:vAlign w:val="center"/>
            <w:hideMark/>
          </w:tcPr>
          <w:p w:rsidR="00465C6D" w:rsidRPr="00C31ADB" w:rsidRDefault="00465C6D" w:rsidP="00465C6D">
            <w:pPr>
              <w:rPr>
                <w:rFonts w:ascii="Arial" w:hAnsi="Arial" w:cs="Arial"/>
                <w:b/>
                <w:sz w:val="20"/>
                <w:szCs w:val="20"/>
              </w:rPr>
            </w:pPr>
            <w:r w:rsidRPr="00607B65">
              <w:rPr>
                <w:rFonts w:ascii="Arial" w:hAnsi="Arial" w:cs="Arial"/>
                <w:b/>
                <w:sz w:val="20"/>
                <w:szCs w:val="20"/>
              </w:rPr>
              <w:t>Ex ante</w:t>
            </w:r>
            <w:r>
              <w:rPr>
                <w:rFonts w:ascii="Arial" w:hAnsi="Arial" w:cs="Arial"/>
                <w:b/>
                <w:sz w:val="20"/>
                <w:szCs w:val="20"/>
              </w:rPr>
              <w:t xml:space="preserve"> </w:t>
            </w:r>
            <w:r w:rsidRPr="00607B65">
              <w:rPr>
                <w:rFonts w:ascii="Arial" w:hAnsi="Arial" w:cs="Arial"/>
                <w:b/>
                <w:sz w:val="20"/>
                <w:szCs w:val="20"/>
              </w:rPr>
              <w:t>(D-1)</w:t>
            </w:r>
          </w:p>
        </w:tc>
        <w:tc>
          <w:tcPr>
            <w:tcW w:w="1011" w:type="pct"/>
            <w:shd w:val="clear" w:color="auto" w:fill="auto"/>
            <w:noWrap/>
            <w:vAlign w:val="center"/>
            <w:hideMark/>
          </w:tcPr>
          <w:p w:rsidR="00465C6D" w:rsidRPr="00C31ADB" w:rsidRDefault="00465C6D" w:rsidP="00465C6D">
            <w:pPr>
              <w:rPr>
                <w:rFonts w:ascii="Arial" w:hAnsi="Arial" w:cs="Arial"/>
                <w:b/>
                <w:sz w:val="20"/>
                <w:szCs w:val="20"/>
              </w:rPr>
            </w:pPr>
            <w:r w:rsidRPr="00607B65">
              <w:rPr>
                <w:rFonts w:ascii="Arial" w:hAnsi="Arial" w:cs="Arial"/>
                <w:b/>
                <w:sz w:val="20"/>
                <w:szCs w:val="20"/>
              </w:rPr>
              <w:t>Ex post</w:t>
            </w:r>
          </w:p>
        </w:tc>
      </w:tr>
      <w:tr w:rsidR="00465C6D" w:rsidRPr="00E626C7" w:rsidTr="00465C6D">
        <w:trPr>
          <w:trHeight w:val="50"/>
        </w:trPr>
        <w:tc>
          <w:tcPr>
            <w:tcW w:w="952" w:type="pct"/>
            <w:shd w:val="clear" w:color="auto" w:fill="auto"/>
            <w:noWrap/>
            <w:hideMark/>
          </w:tcPr>
          <w:p w:rsidR="00465C6D" w:rsidRPr="00C31ADB" w:rsidRDefault="00465C6D" w:rsidP="00465C6D">
            <w:pPr>
              <w:rPr>
                <w:rFonts w:ascii="Arial" w:hAnsi="Arial" w:cs="Arial"/>
                <w:b/>
                <w:sz w:val="20"/>
                <w:szCs w:val="20"/>
              </w:rPr>
            </w:pPr>
            <w:r w:rsidRPr="00607B65">
              <w:rPr>
                <w:rFonts w:ascii="Arial" w:hAnsi="Arial" w:cs="Arial"/>
                <w:b/>
                <w:sz w:val="20"/>
                <w:szCs w:val="20"/>
              </w:rPr>
              <w:t>Price ($/GJ)</w:t>
            </w:r>
          </w:p>
        </w:tc>
        <w:tc>
          <w:tcPr>
            <w:tcW w:w="1012" w:type="pct"/>
            <w:shd w:val="clear" w:color="auto" w:fill="auto"/>
            <w:noWrap/>
            <w:hideMark/>
          </w:tcPr>
          <w:p w:rsidR="00465C6D" w:rsidRPr="00465C6D" w:rsidRDefault="00465C6D" w:rsidP="00465C6D">
            <w:pPr>
              <w:rPr>
                <w:rFonts w:ascii="Arial" w:hAnsi="Arial" w:cs="Arial"/>
                <w:sz w:val="20"/>
                <w:szCs w:val="20"/>
              </w:rPr>
            </w:pPr>
            <w:r w:rsidRPr="00465C6D">
              <w:rPr>
                <w:rFonts w:ascii="Arial" w:hAnsi="Arial" w:cs="Arial"/>
                <w:color w:val="000000"/>
                <w:sz w:val="20"/>
                <w:szCs w:val="20"/>
              </w:rPr>
              <w:t>6.50</w:t>
            </w:r>
          </w:p>
        </w:tc>
        <w:tc>
          <w:tcPr>
            <w:tcW w:w="1012" w:type="pct"/>
            <w:shd w:val="clear" w:color="auto" w:fill="auto"/>
            <w:noWrap/>
            <w:hideMark/>
          </w:tcPr>
          <w:p w:rsidR="00465C6D" w:rsidRPr="00465C6D" w:rsidRDefault="00465C6D" w:rsidP="00465C6D">
            <w:pPr>
              <w:rPr>
                <w:rFonts w:ascii="Arial" w:hAnsi="Arial" w:cs="Arial"/>
                <w:sz w:val="20"/>
                <w:szCs w:val="20"/>
              </w:rPr>
            </w:pPr>
            <w:r w:rsidRPr="00465C6D">
              <w:rPr>
                <w:rFonts w:ascii="Arial" w:hAnsi="Arial" w:cs="Arial"/>
                <w:color w:val="000000"/>
                <w:sz w:val="20"/>
                <w:szCs w:val="20"/>
              </w:rPr>
              <w:t>8.00</w:t>
            </w:r>
          </w:p>
        </w:tc>
        <w:tc>
          <w:tcPr>
            <w:tcW w:w="1012" w:type="pct"/>
            <w:shd w:val="clear" w:color="auto" w:fill="auto"/>
            <w:noWrap/>
            <w:hideMark/>
          </w:tcPr>
          <w:p w:rsidR="00465C6D" w:rsidRPr="00465C6D" w:rsidRDefault="00465C6D" w:rsidP="00465C6D">
            <w:pPr>
              <w:rPr>
                <w:rFonts w:ascii="Arial" w:hAnsi="Arial" w:cs="Arial"/>
                <w:sz w:val="20"/>
                <w:szCs w:val="20"/>
              </w:rPr>
            </w:pPr>
            <w:r w:rsidRPr="00465C6D">
              <w:rPr>
                <w:rFonts w:ascii="Arial" w:hAnsi="Arial" w:cs="Arial"/>
                <w:color w:val="000000"/>
                <w:sz w:val="20"/>
                <w:szCs w:val="20"/>
              </w:rPr>
              <w:t>8.40</w:t>
            </w:r>
          </w:p>
        </w:tc>
        <w:tc>
          <w:tcPr>
            <w:tcW w:w="1011" w:type="pct"/>
            <w:shd w:val="clear" w:color="auto" w:fill="auto"/>
            <w:noWrap/>
            <w:hideMark/>
          </w:tcPr>
          <w:p w:rsidR="00465C6D" w:rsidRPr="00465C6D" w:rsidRDefault="00465C6D" w:rsidP="00465C6D">
            <w:pPr>
              <w:rPr>
                <w:rFonts w:ascii="Arial" w:hAnsi="Arial" w:cs="Arial"/>
                <w:sz w:val="20"/>
                <w:szCs w:val="20"/>
              </w:rPr>
            </w:pPr>
            <w:r w:rsidRPr="00465C6D">
              <w:rPr>
                <w:rFonts w:ascii="Arial" w:hAnsi="Arial" w:cs="Arial"/>
                <w:color w:val="000000"/>
                <w:sz w:val="20"/>
                <w:szCs w:val="20"/>
              </w:rPr>
              <w:t>9.99</w:t>
            </w:r>
          </w:p>
        </w:tc>
      </w:tr>
      <w:tr w:rsidR="00465C6D" w:rsidRPr="00E626C7" w:rsidTr="00465C6D">
        <w:trPr>
          <w:trHeight w:val="300"/>
        </w:trPr>
        <w:tc>
          <w:tcPr>
            <w:tcW w:w="952" w:type="pct"/>
            <w:shd w:val="clear" w:color="auto" w:fill="auto"/>
            <w:noWrap/>
            <w:hideMark/>
          </w:tcPr>
          <w:p w:rsidR="00465C6D" w:rsidRPr="00C31ADB" w:rsidRDefault="00465C6D" w:rsidP="00465C6D">
            <w:pPr>
              <w:rPr>
                <w:rFonts w:ascii="Arial" w:hAnsi="Arial" w:cs="Arial"/>
                <w:b/>
                <w:sz w:val="20"/>
                <w:szCs w:val="20"/>
              </w:rPr>
            </w:pPr>
            <w:r w:rsidRPr="00607B65">
              <w:rPr>
                <w:rFonts w:ascii="Arial" w:hAnsi="Arial" w:cs="Arial"/>
                <w:b/>
                <w:sz w:val="20"/>
                <w:szCs w:val="20"/>
              </w:rPr>
              <w:t>Quantity (TJ)</w:t>
            </w:r>
          </w:p>
        </w:tc>
        <w:tc>
          <w:tcPr>
            <w:tcW w:w="1012" w:type="pct"/>
            <w:shd w:val="clear" w:color="auto" w:fill="auto"/>
            <w:noWrap/>
            <w:hideMark/>
          </w:tcPr>
          <w:p w:rsidR="00465C6D" w:rsidRPr="00465C6D" w:rsidRDefault="00465C6D" w:rsidP="00465C6D">
            <w:pPr>
              <w:rPr>
                <w:rFonts w:ascii="Arial" w:hAnsi="Arial" w:cs="Arial"/>
                <w:sz w:val="20"/>
                <w:szCs w:val="20"/>
              </w:rPr>
            </w:pPr>
            <w:r w:rsidRPr="00465C6D">
              <w:rPr>
                <w:rFonts w:ascii="Arial" w:hAnsi="Arial" w:cs="Arial"/>
                <w:color w:val="000000"/>
                <w:sz w:val="20"/>
                <w:szCs w:val="20"/>
              </w:rPr>
              <w:t>324.6</w:t>
            </w:r>
          </w:p>
        </w:tc>
        <w:tc>
          <w:tcPr>
            <w:tcW w:w="1012" w:type="pct"/>
            <w:shd w:val="clear" w:color="auto" w:fill="auto"/>
            <w:noWrap/>
            <w:hideMark/>
          </w:tcPr>
          <w:p w:rsidR="00465C6D" w:rsidRPr="00465C6D" w:rsidRDefault="00465C6D" w:rsidP="00465C6D">
            <w:pPr>
              <w:rPr>
                <w:rFonts w:ascii="Arial" w:hAnsi="Arial" w:cs="Arial"/>
                <w:sz w:val="20"/>
                <w:szCs w:val="20"/>
              </w:rPr>
            </w:pPr>
            <w:r w:rsidRPr="00465C6D">
              <w:rPr>
                <w:rFonts w:ascii="Arial" w:hAnsi="Arial" w:cs="Arial"/>
                <w:color w:val="000000"/>
                <w:sz w:val="20"/>
                <w:szCs w:val="20"/>
              </w:rPr>
              <w:t>329.6</w:t>
            </w:r>
          </w:p>
        </w:tc>
        <w:tc>
          <w:tcPr>
            <w:tcW w:w="1012" w:type="pct"/>
            <w:shd w:val="clear" w:color="auto" w:fill="auto"/>
            <w:noWrap/>
            <w:hideMark/>
          </w:tcPr>
          <w:p w:rsidR="00465C6D" w:rsidRPr="00465C6D" w:rsidRDefault="00465C6D" w:rsidP="00465C6D">
            <w:pPr>
              <w:rPr>
                <w:rFonts w:ascii="Arial" w:hAnsi="Arial" w:cs="Arial"/>
                <w:sz w:val="20"/>
                <w:szCs w:val="20"/>
              </w:rPr>
            </w:pPr>
            <w:r w:rsidRPr="00465C6D">
              <w:rPr>
                <w:rFonts w:ascii="Arial" w:hAnsi="Arial" w:cs="Arial"/>
                <w:color w:val="000000"/>
                <w:sz w:val="20"/>
                <w:szCs w:val="20"/>
              </w:rPr>
              <w:t>334.0</w:t>
            </w:r>
          </w:p>
        </w:tc>
        <w:tc>
          <w:tcPr>
            <w:tcW w:w="1011" w:type="pct"/>
            <w:shd w:val="clear" w:color="auto" w:fill="auto"/>
            <w:noWrap/>
            <w:hideMark/>
          </w:tcPr>
          <w:p w:rsidR="00465C6D" w:rsidRPr="00465C6D" w:rsidRDefault="00BF5B3B" w:rsidP="00465C6D">
            <w:pPr>
              <w:rPr>
                <w:rFonts w:ascii="Arial" w:hAnsi="Arial" w:cs="Arial"/>
                <w:sz w:val="20"/>
                <w:szCs w:val="20"/>
              </w:rPr>
            </w:pPr>
            <w:r>
              <w:rPr>
                <w:rFonts w:ascii="Arial" w:hAnsi="Arial" w:cs="Arial"/>
                <w:sz w:val="20"/>
                <w:szCs w:val="20"/>
              </w:rPr>
              <w:t>+13.99 (S)</w:t>
            </w:r>
          </w:p>
        </w:tc>
      </w:tr>
    </w:tbl>
    <w:p w:rsidR="00465C6D" w:rsidRDefault="009C5387" w:rsidP="00465C6D">
      <w:pPr>
        <w:pStyle w:val="AERbodytext"/>
        <w:spacing w:before="240"/>
        <w:jc w:val="both"/>
      </w:pPr>
      <w:r w:rsidRPr="0062300C">
        <w:t xml:space="preserve">On </w:t>
      </w:r>
      <w:r>
        <w:t>31 July</w:t>
      </w:r>
      <w:r w:rsidRPr="0062300C">
        <w:t xml:space="preserve">, </w:t>
      </w:r>
      <w:r>
        <w:t xml:space="preserve">the </w:t>
      </w:r>
      <w:r w:rsidRPr="0062300C">
        <w:t xml:space="preserve">major participants </w:t>
      </w:r>
      <w:r>
        <w:t xml:space="preserve">in the Sydney hub under </w:t>
      </w:r>
      <w:r w:rsidRPr="0062300C">
        <w:t xml:space="preserve">forecast their </w:t>
      </w:r>
      <w:r w:rsidR="00E27A56">
        <w:t xml:space="preserve">hub </w:t>
      </w:r>
      <w:r w:rsidRPr="0062300C">
        <w:t xml:space="preserve">demand, </w:t>
      </w:r>
      <w:r>
        <w:t>one by over 10 </w:t>
      </w:r>
      <w:r w:rsidRPr="0062300C">
        <w:t>per</w:t>
      </w:r>
      <w:r>
        <w:t> </w:t>
      </w:r>
      <w:r w:rsidRPr="0062300C">
        <w:t>cent.</w:t>
      </w:r>
      <w:r>
        <w:t xml:space="preserve"> This significantly influenced the 14 TJ imbalance quantity and led to a higher ex post price.</w:t>
      </w:r>
    </w:p>
    <w:p w:rsidR="00465C6D" w:rsidRDefault="00465C6D" w:rsidP="00465C6D">
      <w:pPr>
        <w:pStyle w:val="AERbodytext"/>
        <w:jc w:val="both"/>
      </w:pPr>
      <w:r>
        <w:t>Figure S</w:t>
      </w:r>
      <w:r w:rsidR="009C5387">
        <w:t>10</w:t>
      </w:r>
      <w:r>
        <w:t xml:space="preserve"> </w:t>
      </w:r>
      <w:r w:rsidRPr="0064775E">
        <w:t xml:space="preserve">shows offers, price taker bids and scheduled gas </w:t>
      </w:r>
      <w:r>
        <w:t xml:space="preserve">for the </w:t>
      </w:r>
      <w:r w:rsidR="009C5387">
        <w:t>31</w:t>
      </w:r>
      <w:r>
        <w:t xml:space="preserve"> July gas day.</w:t>
      </w:r>
    </w:p>
    <w:p w:rsidR="00465C6D" w:rsidRDefault="00465C6D" w:rsidP="009C5387">
      <w:pPr>
        <w:pStyle w:val="AERbodytext"/>
        <w:keepNext/>
      </w:pPr>
      <w:r w:rsidRPr="00607B65">
        <w:rPr>
          <w:rFonts w:ascii="Arial" w:hAnsi="Arial" w:cs="Arial"/>
          <w:b/>
          <w:sz w:val="20"/>
          <w:szCs w:val="20"/>
        </w:rPr>
        <w:lastRenderedPageBreak/>
        <w:t>Figure S</w:t>
      </w:r>
      <w:r w:rsidR="009C5387">
        <w:rPr>
          <w:rFonts w:ascii="Arial" w:hAnsi="Arial" w:cs="Arial"/>
          <w:b/>
          <w:sz w:val="20"/>
          <w:szCs w:val="20"/>
        </w:rPr>
        <w:t>10</w:t>
      </w:r>
      <w:r w:rsidRPr="00607B65">
        <w:rPr>
          <w:rFonts w:ascii="Arial" w:hAnsi="Arial" w:cs="Arial"/>
          <w:b/>
          <w:sz w:val="20"/>
          <w:szCs w:val="20"/>
        </w:rPr>
        <w:t xml:space="preserve">: Provisional, ex ante and ex post prices and quantities, </w:t>
      </w:r>
      <w:r w:rsidR="009C5387">
        <w:rPr>
          <w:rFonts w:ascii="Arial" w:hAnsi="Arial" w:cs="Arial"/>
          <w:b/>
          <w:sz w:val="20"/>
          <w:szCs w:val="20"/>
        </w:rPr>
        <w:t>31</w:t>
      </w:r>
      <w:r w:rsidR="009C5387" w:rsidRPr="00607B65">
        <w:rPr>
          <w:rFonts w:ascii="Arial" w:hAnsi="Arial" w:cs="Arial"/>
          <w:b/>
          <w:sz w:val="20"/>
          <w:szCs w:val="20"/>
        </w:rPr>
        <w:t xml:space="preserve"> </w:t>
      </w:r>
      <w:r w:rsidRPr="00607B65">
        <w:rPr>
          <w:rFonts w:ascii="Arial" w:hAnsi="Arial" w:cs="Arial"/>
          <w:b/>
          <w:sz w:val="20"/>
          <w:szCs w:val="20"/>
        </w:rPr>
        <w:t xml:space="preserve">July </w:t>
      </w:r>
    </w:p>
    <w:p w:rsidR="009C5387" w:rsidRDefault="00DB2A1A" w:rsidP="00465C6D">
      <w:pPr>
        <w:pStyle w:val="AERbodytext"/>
        <w:spacing w:before="480"/>
        <w:jc w:val="both"/>
      </w:pPr>
      <w:r>
        <w:pict>
          <v:shape id="_x0000_i1041" type="#_x0000_t75" style="width:451pt;height:167.05pt">
            <v:imagedata r:id="rId24" o:title=""/>
          </v:shape>
        </w:pict>
      </w:r>
    </w:p>
    <w:p w:rsidR="00E27A56" w:rsidRDefault="00E27A56" w:rsidP="00465C6D">
      <w:pPr>
        <w:pStyle w:val="AERbodytext"/>
        <w:spacing w:before="480"/>
        <w:jc w:val="both"/>
      </w:pPr>
      <w:r>
        <w:t>Despite gas offers below $8/GJ increasing in the D</w:t>
      </w:r>
      <w:r>
        <w:noBreakHyphen/>
        <w:t>2 and ex ante schedules, forecast demand increased beyond the additional volume, driving up the price.</w:t>
      </w:r>
      <w:r w:rsidR="00712E1C">
        <w:t xml:space="preserve"> Rebidding had minimal effect on increased prices.</w:t>
      </w:r>
    </w:p>
    <w:p w:rsidR="00814C7C" w:rsidRDefault="00551EE9">
      <w:pPr>
        <w:pStyle w:val="AERbodytext"/>
        <w:spacing w:before="240"/>
        <w:rPr>
          <w:rStyle w:val="Heading3Char"/>
        </w:rPr>
      </w:pPr>
      <w:r w:rsidRPr="0062300C">
        <w:rPr>
          <w:rStyle w:val="Heading3Char"/>
        </w:rPr>
        <w:t>Adelaide hub</w:t>
      </w:r>
    </w:p>
    <w:p w:rsidR="003B2964" w:rsidRPr="00F23DA5" w:rsidRDefault="003B2964" w:rsidP="003B2964">
      <w:pPr>
        <w:pStyle w:val="AERbodytext"/>
        <w:spacing w:before="240"/>
        <w:jc w:val="both"/>
      </w:pPr>
      <w:r>
        <w:t>The following contains analysis on certain high price days throughout July</w:t>
      </w:r>
      <w:r w:rsidR="0047661A">
        <w:t xml:space="preserve"> for the Adelaide STTM hub</w:t>
      </w:r>
      <w:r>
        <w:t xml:space="preserve">. The days have been chosen on the basis that the ex ante prices were above $6/GJ and the ex post prices were above $9/GJ. </w:t>
      </w:r>
    </w:p>
    <w:p w:rsidR="006C6B9A" w:rsidRDefault="00D37EAC" w:rsidP="006C6B9A">
      <w:pPr>
        <w:pStyle w:val="Heading4"/>
      </w:pPr>
      <w:r>
        <w:t>2</w:t>
      </w:r>
      <w:r w:rsidR="0051599E">
        <w:t>–</w:t>
      </w:r>
      <w:r>
        <w:t xml:space="preserve">6 July </w:t>
      </w:r>
    </w:p>
    <w:p w:rsidR="00814C7C" w:rsidRDefault="00D37EAC">
      <w:pPr>
        <w:pStyle w:val="AERbodytext"/>
        <w:spacing w:before="240"/>
        <w:jc w:val="both"/>
      </w:pPr>
      <w:r w:rsidRPr="006C6B9A">
        <w:t xml:space="preserve">Figure </w:t>
      </w:r>
      <w:r w:rsidR="00E53656">
        <w:t>A1</w:t>
      </w:r>
      <w:r w:rsidRPr="006C6B9A">
        <w:t xml:space="preserve"> shows offers and bids by price bands for 2 July to 6 July. It also shows scheduled demand (the black line).</w:t>
      </w:r>
      <w:r w:rsidR="00712E1C" w:rsidRPr="006C6B9A" w:rsidDel="00712E1C">
        <w:t xml:space="preserve"> </w:t>
      </w:r>
    </w:p>
    <w:p w:rsidR="006362BC" w:rsidRDefault="0060145C">
      <w:pPr>
        <w:pStyle w:val="AERbodytext"/>
        <w:spacing w:before="240"/>
        <w:jc w:val="both"/>
        <w:rPr>
          <w:rFonts w:ascii="Arial" w:hAnsi="Arial" w:cs="Arial"/>
          <w:b/>
          <w:sz w:val="20"/>
          <w:szCs w:val="20"/>
        </w:rPr>
      </w:pPr>
      <w:r>
        <w:rPr>
          <w:rFonts w:ascii="Arial" w:hAnsi="Arial" w:cs="Arial"/>
          <w:b/>
          <w:sz w:val="20"/>
          <w:szCs w:val="20"/>
        </w:rPr>
        <w:t xml:space="preserve">Figure </w:t>
      </w:r>
      <w:r w:rsidR="00E53656">
        <w:rPr>
          <w:rFonts w:ascii="Arial" w:hAnsi="Arial" w:cs="Arial"/>
          <w:b/>
          <w:sz w:val="20"/>
          <w:szCs w:val="20"/>
        </w:rPr>
        <w:t>A1</w:t>
      </w:r>
      <w:r>
        <w:rPr>
          <w:rFonts w:ascii="Arial" w:hAnsi="Arial" w:cs="Arial"/>
          <w:b/>
          <w:sz w:val="20"/>
          <w:szCs w:val="20"/>
        </w:rPr>
        <w:t>: Daily Adelaide hub offers and bids in price bands 2</w:t>
      </w:r>
      <w:r w:rsidR="0051599E">
        <w:rPr>
          <w:rFonts w:ascii="Arial" w:hAnsi="Arial" w:cs="Arial"/>
          <w:b/>
          <w:sz w:val="20"/>
          <w:szCs w:val="20"/>
        </w:rPr>
        <w:t>–</w:t>
      </w:r>
      <w:r>
        <w:rPr>
          <w:rFonts w:ascii="Arial" w:hAnsi="Arial" w:cs="Arial"/>
          <w:b/>
          <w:sz w:val="20"/>
          <w:szCs w:val="20"/>
        </w:rPr>
        <w:t>6 July ($/GJ)</w:t>
      </w:r>
    </w:p>
    <w:p w:rsidR="006C6B9A" w:rsidRDefault="00DB2A1A" w:rsidP="00D37EAC">
      <w:r>
        <w:pict>
          <v:shape id="_x0000_i1042" type="#_x0000_t75" style="width:451pt;height:173.4pt">
            <v:imagedata r:id="rId25" o:title=""/>
          </v:shape>
        </w:pict>
      </w:r>
    </w:p>
    <w:p w:rsidR="00814C7C" w:rsidRDefault="00E72864">
      <w:pPr>
        <w:pStyle w:val="Heading4"/>
        <w:spacing w:before="240" w:after="240"/>
      </w:pPr>
      <w:r>
        <w:t>2</w:t>
      </w:r>
      <w:r w:rsidRPr="00341B66">
        <w:t xml:space="preserve"> J</w:t>
      </w:r>
      <w:r>
        <w:t>uly</w:t>
      </w:r>
    </w:p>
    <w:p w:rsidR="00DF71B2" w:rsidRDefault="00E72864">
      <w:pPr>
        <w:pStyle w:val="AERbodytext"/>
        <w:jc w:val="both"/>
      </w:pPr>
      <w:r>
        <w:t xml:space="preserve">Figure </w:t>
      </w:r>
      <w:r w:rsidR="00E53656">
        <w:t xml:space="preserve">A2 </w:t>
      </w:r>
      <w:r w:rsidR="00097145">
        <w:t>shows</w:t>
      </w:r>
      <w:r w:rsidR="006F3841">
        <w:t xml:space="preserve"> </w:t>
      </w:r>
      <w:r w:rsidR="00525CEE">
        <w:t xml:space="preserve">demand forecasts and prices showed only small variations across </w:t>
      </w:r>
      <w:r w:rsidR="006F3841">
        <w:t xml:space="preserve">the provisional schedules and the ex ante schedule. On the gas day, higher demand than forecast </w:t>
      </w:r>
      <w:r w:rsidR="00A00B85">
        <w:t>resulted in a +14.</w:t>
      </w:r>
      <w:r w:rsidR="00BF79D8">
        <w:t>15 </w:t>
      </w:r>
      <w:r w:rsidR="00A00B85">
        <w:t>TJ imbalance</w:t>
      </w:r>
      <w:r w:rsidR="00525CEE">
        <w:t>, pushing up the ex post price</w:t>
      </w:r>
      <w:r w:rsidR="006F3841">
        <w:t>.</w:t>
      </w:r>
    </w:p>
    <w:p w:rsidR="00E72864" w:rsidRPr="00D620E4" w:rsidRDefault="00E72864" w:rsidP="00E72864">
      <w:pPr>
        <w:keepNext/>
        <w:rPr>
          <w:rFonts w:ascii="Arial" w:hAnsi="Arial" w:cs="Arial"/>
          <w:b/>
          <w:sz w:val="20"/>
          <w:szCs w:val="20"/>
          <w:lang w:eastAsia="en-US"/>
        </w:rPr>
      </w:pPr>
      <w:r>
        <w:rPr>
          <w:rFonts w:ascii="Arial" w:hAnsi="Arial" w:cs="Arial"/>
          <w:b/>
          <w:sz w:val="20"/>
          <w:szCs w:val="20"/>
          <w:lang w:eastAsia="en-US"/>
        </w:rPr>
        <w:lastRenderedPageBreak/>
        <w:t xml:space="preserve">Figure </w:t>
      </w:r>
      <w:r w:rsidR="00E53656">
        <w:rPr>
          <w:rFonts w:ascii="Arial" w:hAnsi="Arial" w:cs="Arial"/>
          <w:b/>
          <w:sz w:val="20"/>
          <w:szCs w:val="20"/>
          <w:lang w:eastAsia="en-US"/>
        </w:rPr>
        <w:t>A2</w:t>
      </w:r>
      <w:r w:rsidR="0060145C">
        <w:rPr>
          <w:rFonts w:ascii="Arial" w:hAnsi="Arial" w:cs="Arial"/>
          <w:b/>
          <w:sz w:val="20"/>
          <w:szCs w:val="20"/>
          <w:lang w:eastAsia="en-US"/>
        </w:rPr>
        <w:t>:</w:t>
      </w:r>
      <w:r>
        <w:rPr>
          <w:rFonts w:ascii="Arial" w:hAnsi="Arial" w:cs="Arial"/>
          <w:b/>
          <w:sz w:val="20"/>
          <w:szCs w:val="20"/>
          <w:lang w:eastAsia="en-US"/>
        </w:rPr>
        <w:t xml:space="preserve"> </w:t>
      </w:r>
      <w:r w:rsidR="004F1866">
        <w:rPr>
          <w:rFonts w:ascii="Arial" w:hAnsi="Arial" w:cs="Arial"/>
          <w:b/>
          <w:sz w:val="20"/>
          <w:szCs w:val="20"/>
          <w:lang w:eastAsia="en-US"/>
        </w:rPr>
        <w:t>P</w:t>
      </w:r>
      <w:r w:rsidR="004F1866" w:rsidRPr="00D620E4">
        <w:rPr>
          <w:rFonts w:ascii="Arial" w:hAnsi="Arial" w:cs="Arial"/>
          <w:b/>
          <w:sz w:val="20"/>
          <w:szCs w:val="20"/>
          <w:lang w:eastAsia="en-US"/>
        </w:rPr>
        <w:t>rovisional</w:t>
      </w:r>
      <w:r w:rsidRPr="00D620E4">
        <w:rPr>
          <w:rFonts w:ascii="Arial" w:hAnsi="Arial" w:cs="Arial"/>
          <w:b/>
          <w:sz w:val="20"/>
          <w:szCs w:val="20"/>
          <w:lang w:eastAsia="en-US"/>
        </w:rPr>
        <w:t>, ex ante and ex post prices and quantities</w:t>
      </w:r>
      <w:r w:rsidR="004F1866">
        <w:rPr>
          <w:rFonts w:ascii="Arial" w:hAnsi="Arial" w:cs="Arial"/>
          <w:b/>
          <w:sz w:val="20"/>
          <w:szCs w:val="20"/>
          <w:lang w:eastAsia="en-US"/>
        </w:rPr>
        <w:t>, 2 July</w:t>
      </w:r>
    </w:p>
    <w:tbl>
      <w:tblPr>
        <w:tblW w:w="5000" w:type="pct"/>
        <w:tblBorders>
          <w:top w:val="single" w:sz="12" w:space="0" w:color="000000"/>
          <w:bottom w:val="single" w:sz="12" w:space="0" w:color="000000"/>
          <w:insideH w:val="single" w:sz="6" w:space="0" w:color="000000"/>
        </w:tblBorders>
        <w:tblLook w:val="04A0"/>
      </w:tblPr>
      <w:tblGrid>
        <w:gridCol w:w="1760"/>
        <w:gridCol w:w="1871"/>
        <w:gridCol w:w="1871"/>
        <w:gridCol w:w="1871"/>
        <w:gridCol w:w="1869"/>
      </w:tblGrid>
      <w:tr w:rsidR="00E72864" w:rsidRPr="00E626C7" w:rsidTr="00E72864">
        <w:trPr>
          <w:trHeight w:val="300"/>
        </w:trPr>
        <w:tc>
          <w:tcPr>
            <w:tcW w:w="952" w:type="pct"/>
            <w:shd w:val="clear" w:color="auto" w:fill="auto"/>
            <w:noWrap/>
            <w:hideMark/>
          </w:tcPr>
          <w:p w:rsidR="00E72864" w:rsidRPr="004F1866" w:rsidRDefault="00E72864" w:rsidP="00E72864">
            <w:pPr>
              <w:rPr>
                <w:rFonts w:ascii="Arial" w:hAnsi="Arial" w:cs="Arial"/>
                <w:sz w:val="20"/>
                <w:szCs w:val="20"/>
              </w:rPr>
            </w:pPr>
          </w:p>
        </w:tc>
        <w:tc>
          <w:tcPr>
            <w:tcW w:w="1012" w:type="pct"/>
            <w:shd w:val="clear" w:color="auto" w:fill="auto"/>
            <w:noWrap/>
            <w:vAlign w:val="center"/>
            <w:hideMark/>
          </w:tcPr>
          <w:p w:rsidR="00E72864" w:rsidRPr="004F1866" w:rsidRDefault="00607B65" w:rsidP="00E72864">
            <w:pPr>
              <w:rPr>
                <w:rFonts w:ascii="Arial" w:hAnsi="Arial" w:cs="Arial"/>
                <w:b/>
                <w:sz w:val="20"/>
                <w:szCs w:val="20"/>
              </w:rPr>
            </w:pPr>
            <w:r w:rsidRPr="00607B65">
              <w:rPr>
                <w:rFonts w:ascii="Arial" w:hAnsi="Arial" w:cs="Arial"/>
                <w:b/>
                <w:sz w:val="20"/>
                <w:szCs w:val="20"/>
              </w:rPr>
              <w:t>D-3</w:t>
            </w:r>
          </w:p>
        </w:tc>
        <w:tc>
          <w:tcPr>
            <w:tcW w:w="1012" w:type="pct"/>
            <w:shd w:val="clear" w:color="auto" w:fill="auto"/>
            <w:noWrap/>
            <w:vAlign w:val="center"/>
            <w:hideMark/>
          </w:tcPr>
          <w:p w:rsidR="00E72864" w:rsidRPr="004F1866" w:rsidRDefault="00607B65" w:rsidP="00E72864">
            <w:pPr>
              <w:rPr>
                <w:rFonts w:ascii="Arial" w:hAnsi="Arial" w:cs="Arial"/>
                <w:b/>
                <w:sz w:val="20"/>
                <w:szCs w:val="20"/>
              </w:rPr>
            </w:pPr>
            <w:r w:rsidRPr="00607B65">
              <w:rPr>
                <w:rFonts w:ascii="Arial" w:hAnsi="Arial" w:cs="Arial"/>
                <w:b/>
                <w:sz w:val="20"/>
                <w:szCs w:val="20"/>
              </w:rPr>
              <w:t>D-2</w:t>
            </w:r>
          </w:p>
        </w:tc>
        <w:tc>
          <w:tcPr>
            <w:tcW w:w="1012" w:type="pct"/>
            <w:shd w:val="clear" w:color="auto" w:fill="auto"/>
            <w:noWrap/>
            <w:vAlign w:val="center"/>
            <w:hideMark/>
          </w:tcPr>
          <w:p w:rsidR="00E72864" w:rsidRPr="004F1866" w:rsidRDefault="00607B65" w:rsidP="00E72864">
            <w:pPr>
              <w:rPr>
                <w:rFonts w:ascii="Arial" w:hAnsi="Arial" w:cs="Arial"/>
                <w:b/>
                <w:sz w:val="20"/>
                <w:szCs w:val="20"/>
              </w:rPr>
            </w:pPr>
            <w:r w:rsidRPr="00607B65">
              <w:rPr>
                <w:rFonts w:ascii="Arial" w:hAnsi="Arial" w:cs="Arial"/>
                <w:b/>
                <w:sz w:val="20"/>
                <w:szCs w:val="20"/>
              </w:rPr>
              <w:t>Ex ante</w:t>
            </w:r>
          </w:p>
        </w:tc>
        <w:tc>
          <w:tcPr>
            <w:tcW w:w="1011" w:type="pct"/>
            <w:shd w:val="clear" w:color="auto" w:fill="auto"/>
            <w:noWrap/>
            <w:vAlign w:val="center"/>
            <w:hideMark/>
          </w:tcPr>
          <w:p w:rsidR="00E72864" w:rsidRPr="004F1866" w:rsidRDefault="00607B65" w:rsidP="00E72864">
            <w:pPr>
              <w:rPr>
                <w:rFonts w:ascii="Arial" w:hAnsi="Arial" w:cs="Arial"/>
                <w:b/>
                <w:sz w:val="20"/>
                <w:szCs w:val="20"/>
              </w:rPr>
            </w:pPr>
            <w:r w:rsidRPr="00607B65">
              <w:rPr>
                <w:rFonts w:ascii="Arial" w:hAnsi="Arial" w:cs="Arial"/>
                <w:b/>
                <w:sz w:val="20"/>
                <w:szCs w:val="20"/>
              </w:rPr>
              <w:t>Ex post</w:t>
            </w:r>
          </w:p>
        </w:tc>
      </w:tr>
      <w:tr w:rsidR="00E72864" w:rsidRPr="00E626C7" w:rsidTr="00E72864">
        <w:trPr>
          <w:trHeight w:val="50"/>
        </w:trPr>
        <w:tc>
          <w:tcPr>
            <w:tcW w:w="952" w:type="pct"/>
            <w:shd w:val="clear" w:color="auto" w:fill="auto"/>
            <w:noWrap/>
            <w:hideMark/>
          </w:tcPr>
          <w:p w:rsidR="00E72864" w:rsidRPr="004F1866" w:rsidRDefault="00607B65" w:rsidP="00E72864">
            <w:pPr>
              <w:rPr>
                <w:rFonts w:ascii="Arial" w:hAnsi="Arial" w:cs="Arial"/>
                <w:b/>
                <w:sz w:val="20"/>
                <w:szCs w:val="20"/>
              </w:rPr>
            </w:pPr>
            <w:r w:rsidRPr="00607B65">
              <w:rPr>
                <w:rFonts w:ascii="Arial" w:hAnsi="Arial" w:cs="Arial"/>
                <w:b/>
                <w:sz w:val="20"/>
                <w:szCs w:val="20"/>
              </w:rPr>
              <w:t>Price ($/GJ)</w:t>
            </w:r>
          </w:p>
        </w:tc>
        <w:tc>
          <w:tcPr>
            <w:tcW w:w="1012" w:type="pct"/>
            <w:shd w:val="clear" w:color="auto" w:fill="auto"/>
            <w:noWrap/>
            <w:hideMark/>
          </w:tcPr>
          <w:p w:rsidR="00E72864" w:rsidRPr="004F1866" w:rsidRDefault="00607B65" w:rsidP="00E72864">
            <w:pPr>
              <w:rPr>
                <w:rFonts w:ascii="Arial" w:hAnsi="Arial" w:cs="Arial"/>
                <w:sz w:val="20"/>
                <w:szCs w:val="20"/>
              </w:rPr>
            </w:pPr>
            <w:r w:rsidRPr="00607B65">
              <w:rPr>
                <w:rFonts w:ascii="Arial" w:hAnsi="Arial" w:cs="Arial"/>
                <w:sz w:val="20"/>
                <w:szCs w:val="20"/>
              </w:rPr>
              <w:t>5.46</w:t>
            </w:r>
          </w:p>
        </w:tc>
        <w:tc>
          <w:tcPr>
            <w:tcW w:w="1012" w:type="pct"/>
            <w:shd w:val="clear" w:color="auto" w:fill="auto"/>
            <w:noWrap/>
            <w:hideMark/>
          </w:tcPr>
          <w:p w:rsidR="00E72864" w:rsidRPr="004F1866" w:rsidRDefault="00607B65" w:rsidP="00E72864">
            <w:pPr>
              <w:rPr>
                <w:rFonts w:ascii="Arial" w:hAnsi="Arial" w:cs="Arial"/>
                <w:sz w:val="20"/>
                <w:szCs w:val="20"/>
              </w:rPr>
            </w:pPr>
            <w:r w:rsidRPr="00607B65">
              <w:rPr>
                <w:rFonts w:ascii="Arial" w:hAnsi="Arial" w:cs="Arial"/>
                <w:sz w:val="20"/>
                <w:szCs w:val="20"/>
              </w:rPr>
              <w:t>5.46</w:t>
            </w:r>
          </w:p>
        </w:tc>
        <w:tc>
          <w:tcPr>
            <w:tcW w:w="1012" w:type="pct"/>
            <w:shd w:val="clear" w:color="auto" w:fill="auto"/>
            <w:noWrap/>
            <w:hideMark/>
          </w:tcPr>
          <w:p w:rsidR="00E72864" w:rsidRPr="004F1866" w:rsidRDefault="00607B65" w:rsidP="00E72864">
            <w:pPr>
              <w:rPr>
                <w:rFonts w:ascii="Arial" w:hAnsi="Arial" w:cs="Arial"/>
                <w:sz w:val="20"/>
                <w:szCs w:val="20"/>
              </w:rPr>
            </w:pPr>
            <w:r w:rsidRPr="00607B65">
              <w:rPr>
                <w:rFonts w:ascii="Arial" w:hAnsi="Arial" w:cs="Arial"/>
                <w:sz w:val="20"/>
                <w:szCs w:val="20"/>
              </w:rPr>
              <w:t>6.22</w:t>
            </w:r>
          </w:p>
        </w:tc>
        <w:tc>
          <w:tcPr>
            <w:tcW w:w="1011" w:type="pct"/>
            <w:shd w:val="clear" w:color="auto" w:fill="auto"/>
            <w:noWrap/>
            <w:hideMark/>
          </w:tcPr>
          <w:p w:rsidR="00E72864" w:rsidRPr="004F1866" w:rsidRDefault="00607B65" w:rsidP="00E72864">
            <w:pPr>
              <w:rPr>
                <w:rFonts w:ascii="Arial" w:hAnsi="Arial" w:cs="Arial"/>
                <w:sz w:val="20"/>
                <w:szCs w:val="20"/>
              </w:rPr>
            </w:pPr>
            <w:r w:rsidRPr="00607B65">
              <w:rPr>
                <w:rFonts w:ascii="Arial" w:hAnsi="Arial" w:cs="Arial"/>
                <w:sz w:val="20"/>
                <w:szCs w:val="20"/>
              </w:rPr>
              <w:t>9.60</w:t>
            </w:r>
          </w:p>
        </w:tc>
      </w:tr>
      <w:tr w:rsidR="00E72864" w:rsidRPr="00E626C7" w:rsidTr="00E72864">
        <w:trPr>
          <w:trHeight w:val="300"/>
        </w:trPr>
        <w:tc>
          <w:tcPr>
            <w:tcW w:w="952" w:type="pct"/>
            <w:shd w:val="clear" w:color="auto" w:fill="auto"/>
            <w:noWrap/>
            <w:hideMark/>
          </w:tcPr>
          <w:p w:rsidR="00E72864" w:rsidRPr="004F1866" w:rsidRDefault="00607B65" w:rsidP="00E72864">
            <w:pPr>
              <w:rPr>
                <w:rFonts w:ascii="Arial" w:hAnsi="Arial" w:cs="Arial"/>
                <w:b/>
                <w:sz w:val="20"/>
                <w:szCs w:val="20"/>
              </w:rPr>
            </w:pPr>
            <w:r w:rsidRPr="00607B65">
              <w:rPr>
                <w:rFonts w:ascii="Arial" w:hAnsi="Arial" w:cs="Arial"/>
                <w:b/>
                <w:sz w:val="20"/>
                <w:szCs w:val="20"/>
              </w:rPr>
              <w:t>Quantity (TJ)</w:t>
            </w:r>
          </w:p>
        </w:tc>
        <w:tc>
          <w:tcPr>
            <w:tcW w:w="1012" w:type="pct"/>
            <w:shd w:val="clear" w:color="auto" w:fill="auto"/>
            <w:noWrap/>
            <w:hideMark/>
          </w:tcPr>
          <w:p w:rsidR="00E72864" w:rsidRPr="004F1866" w:rsidRDefault="00607B65" w:rsidP="00E72864">
            <w:pPr>
              <w:rPr>
                <w:rFonts w:ascii="Arial" w:hAnsi="Arial" w:cs="Arial"/>
                <w:sz w:val="20"/>
                <w:szCs w:val="20"/>
              </w:rPr>
            </w:pPr>
            <w:r w:rsidRPr="00607B65">
              <w:rPr>
                <w:rFonts w:ascii="Arial" w:hAnsi="Arial" w:cs="Arial"/>
                <w:sz w:val="20"/>
                <w:szCs w:val="20"/>
              </w:rPr>
              <w:t>107.5</w:t>
            </w:r>
          </w:p>
        </w:tc>
        <w:tc>
          <w:tcPr>
            <w:tcW w:w="1012" w:type="pct"/>
            <w:shd w:val="clear" w:color="auto" w:fill="auto"/>
            <w:noWrap/>
            <w:hideMark/>
          </w:tcPr>
          <w:p w:rsidR="00E72864" w:rsidRPr="004F1866" w:rsidRDefault="00607B65" w:rsidP="00E72864">
            <w:pPr>
              <w:rPr>
                <w:rFonts w:ascii="Arial" w:hAnsi="Arial" w:cs="Arial"/>
                <w:sz w:val="20"/>
                <w:szCs w:val="20"/>
              </w:rPr>
            </w:pPr>
            <w:r w:rsidRPr="00607B65">
              <w:rPr>
                <w:rFonts w:ascii="Arial" w:hAnsi="Arial" w:cs="Arial"/>
                <w:sz w:val="20"/>
                <w:szCs w:val="20"/>
              </w:rPr>
              <w:t>107.6</w:t>
            </w:r>
          </w:p>
        </w:tc>
        <w:tc>
          <w:tcPr>
            <w:tcW w:w="1012" w:type="pct"/>
            <w:shd w:val="clear" w:color="auto" w:fill="auto"/>
            <w:noWrap/>
            <w:hideMark/>
          </w:tcPr>
          <w:p w:rsidR="00E72864" w:rsidRPr="004F1866" w:rsidRDefault="00607B65" w:rsidP="00E72864">
            <w:pPr>
              <w:rPr>
                <w:rFonts w:ascii="Arial" w:hAnsi="Arial" w:cs="Arial"/>
                <w:sz w:val="20"/>
                <w:szCs w:val="20"/>
              </w:rPr>
            </w:pPr>
            <w:r w:rsidRPr="00607B65">
              <w:rPr>
                <w:rFonts w:ascii="Arial" w:hAnsi="Arial" w:cs="Arial"/>
                <w:sz w:val="20"/>
                <w:szCs w:val="20"/>
              </w:rPr>
              <w:t>108.2</w:t>
            </w:r>
          </w:p>
        </w:tc>
        <w:tc>
          <w:tcPr>
            <w:tcW w:w="1011" w:type="pct"/>
            <w:shd w:val="clear" w:color="auto" w:fill="auto"/>
            <w:noWrap/>
            <w:hideMark/>
          </w:tcPr>
          <w:p w:rsidR="00E72864" w:rsidRPr="004F1866" w:rsidRDefault="00607B65" w:rsidP="00E72864">
            <w:pPr>
              <w:rPr>
                <w:rFonts w:ascii="Arial" w:hAnsi="Arial" w:cs="Arial"/>
                <w:sz w:val="20"/>
                <w:szCs w:val="20"/>
              </w:rPr>
            </w:pPr>
            <w:r w:rsidRPr="00607B65">
              <w:rPr>
                <w:rFonts w:ascii="Arial" w:hAnsi="Arial" w:cs="Arial"/>
                <w:sz w:val="20"/>
                <w:szCs w:val="20"/>
              </w:rPr>
              <w:t>+14.15 (S)</w:t>
            </w:r>
          </w:p>
        </w:tc>
      </w:tr>
    </w:tbl>
    <w:p w:rsidR="00814C7C" w:rsidRDefault="00A63D7B">
      <w:pPr>
        <w:pStyle w:val="AERbodytext"/>
        <w:spacing w:before="240"/>
        <w:jc w:val="both"/>
      </w:pPr>
      <w:r>
        <w:t>Three of t</w:t>
      </w:r>
      <w:r w:rsidR="00702AA9">
        <w:t>he four</w:t>
      </w:r>
      <w:r w:rsidR="00E72864">
        <w:t xml:space="preserve"> </w:t>
      </w:r>
      <w:r w:rsidR="0050431E">
        <w:t>major</w:t>
      </w:r>
      <w:r w:rsidR="00E72864">
        <w:t xml:space="preserve"> participants </w:t>
      </w:r>
      <w:r>
        <w:t xml:space="preserve">in the Adelaide </w:t>
      </w:r>
      <w:r w:rsidR="00525CEE">
        <w:t>hub had accurate demand forecasts.</w:t>
      </w:r>
      <w:r w:rsidR="00B10C2E">
        <w:rPr>
          <w:rStyle w:val="FootnoteReference"/>
        </w:rPr>
        <w:footnoteReference w:id="15"/>
      </w:r>
      <w:r w:rsidR="00525CEE">
        <w:t xml:space="preserve"> T</w:t>
      </w:r>
      <w:r w:rsidR="00302136">
        <w:t xml:space="preserve">he </w:t>
      </w:r>
      <w:r w:rsidR="00525CEE">
        <w:t xml:space="preserve">other major participant </w:t>
      </w:r>
      <w:r w:rsidR="00867BD9">
        <w:t xml:space="preserve">under forecast its demand by around </w:t>
      </w:r>
      <w:r w:rsidR="00435925">
        <w:t>21</w:t>
      </w:r>
      <w:r w:rsidR="00525CEE">
        <w:t> </w:t>
      </w:r>
      <w:r w:rsidR="00E56EAA">
        <w:t>per </w:t>
      </w:r>
      <w:r w:rsidR="00867BD9">
        <w:t>cent</w:t>
      </w:r>
      <w:r w:rsidR="00E56EAA">
        <w:t>,</w:t>
      </w:r>
      <w:r w:rsidR="006F192E">
        <w:t xml:space="preserve"> </w:t>
      </w:r>
      <w:r w:rsidR="00873CF1">
        <w:t xml:space="preserve">significantly </w:t>
      </w:r>
      <w:r w:rsidR="00E56EAA">
        <w:t xml:space="preserve">impacting on </w:t>
      </w:r>
      <w:r w:rsidR="006F192E">
        <w:t>the imbalance quantity on the gas day</w:t>
      </w:r>
      <w:r w:rsidR="00662F9B">
        <w:t xml:space="preserve"> and the </w:t>
      </w:r>
      <w:r w:rsidR="00E56EAA">
        <w:t xml:space="preserve">higher ex post price. </w:t>
      </w:r>
    </w:p>
    <w:p w:rsidR="002A2307" w:rsidRDefault="002A2307" w:rsidP="002A2307">
      <w:pPr>
        <w:pStyle w:val="AERbodytext"/>
        <w:spacing w:before="240"/>
        <w:jc w:val="both"/>
      </w:pPr>
      <w:r>
        <w:t xml:space="preserve">Figure A3 </w:t>
      </w:r>
      <w:r w:rsidR="00886976">
        <w:t>shows the offers for the provisional schedules (D-3 and D-2) and the ex ante schedule (D-1). It also shows the amount of gas scheduled (the red line) and the amount of price taker bids (the black dotted line).</w:t>
      </w:r>
    </w:p>
    <w:p w:rsidR="00DF71B2" w:rsidRDefault="00607B65">
      <w:r w:rsidRPr="00607B65">
        <w:rPr>
          <w:rFonts w:ascii="Arial" w:hAnsi="Arial" w:cs="Arial"/>
          <w:b/>
          <w:sz w:val="20"/>
          <w:szCs w:val="20"/>
          <w:lang w:eastAsia="en-US"/>
        </w:rPr>
        <w:t>Figure A3: Provisional, ex ante and ex post prices and quantities, 2 July</w:t>
      </w:r>
    </w:p>
    <w:p w:rsidR="00814C7C" w:rsidRDefault="00DB2A1A">
      <w:pPr>
        <w:pStyle w:val="AERbodytext"/>
      </w:pPr>
      <w:r>
        <w:pict>
          <v:shape id="_x0000_i1043" type="#_x0000_t75" style="width:450.45pt;height:168.75pt">
            <v:imagedata r:id="rId26" o:title=""/>
          </v:shape>
        </w:pict>
      </w:r>
    </w:p>
    <w:p w:rsidR="00DF71B2" w:rsidRDefault="00AC32B1">
      <w:pPr>
        <w:pStyle w:val="AERbodytext"/>
        <w:jc w:val="both"/>
      </w:pPr>
      <w:r>
        <w:t>The only notable variation</w:t>
      </w:r>
      <w:r w:rsidR="00435925">
        <w:t xml:space="preserve"> to offers</w:t>
      </w:r>
      <w:r>
        <w:t xml:space="preserve"> was a </w:t>
      </w:r>
      <w:r w:rsidR="009C1F5E">
        <w:t xml:space="preserve">14 TJ </w:t>
      </w:r>
      <w:r>
        <w:t>shift in gas offers from the $</w:t>
      </w:r>
      <w:r w:rsidR="00435925">
        <w:t>3</w:t>
      </w:r>
      <w:r w:rsidR="0051599E">
        <w:t>–</w:t>
      </w:r>
      <w:r w:rsidR="001A119B">
        <w:t>$</w:t>
      </w:r>
      <w:r>
        <w:t>8/GJ price range</w:t>
      </w:r>
      <w:r w:rsidR="009C1F5E">
        <w:t>, with 8 TJ rebid to above $40/GJ</w:t>
      </w:r>
      <w:r w:rsidR="00A00B85">
        <w:t xml:space="preserve"> </w:t>
      </w:r>
      <w:r w:rsidR="00E1697C">
        <w:t xml:space="preserve">for </w:t>
      </w:r>
      <w:r w:rsidR="00A00B85">
        <w:t>the ex ante schedule</w:t>
      </w:r>
      <w:r w:rsidR="009C1F5E">
        <w:t xml:space="preserve"> by</w:t>
      </w:r>
      <w:r>
        <w:t xml:space="preserve"> TRU</w:t>
      </w:r>
      <w:r w:rsidR="00B10C2E">
        <w:t>e</w:t>
      </w:r>
      <w:r>
        <w:t xml:space="preserve">nergy. </w:t>
      </w:r>
    </w:p>
    <w:p w:rsidR="00DF71B2" w:rsidRDefault="00873CF1">
      <w:pPr>
        <w:pStyle w:val="AERbodytext"/>
        <w:jc w:val="both"/>
      </w:pPr>
      <w:r>
        <w:t>With limited volumes of gas priced between $6 and $10/GJ the addition of the market short imbalance of 14.5 TJ for ex post price calculation resulted in a $3.38/GJ higher ex post price of $9.60/GJ.</w:t>
      </w:r>
    </w:p>
    <w:p w:rsidR="001A43BA" w:rsidRDefault="001A43BA" w:rsidP="001A43BA">
      <w:pPr>
        <w:pStyle w:val="Heading4"/>
      </w:pPr>
      <w:r>
        <w:t>3</w:t>
      </w:r>
      <w:r w:rsidRPr="00341B66">
        <w:t xml:space="preserve"> J</w:t>
      </w:r>
      <w:r>
        <w:t>uly</w:t>
      </w:r>
    </w:p>
    <w:p w:rsidR="00814C7C" w:rsidRDefault="00B54205">
      <w:pPr>
        <w:pStyle w:val="AERbodytext"/>
        <w:spacing w:before="240"/>
        <w:jc w:val="both"/>
      </w:pPr>
      <w:r>
        <w:t xml:space="preserve">Figure </w:t>
      </w:r>
      <w:r w:rsidR="00E53656">
        <w:t xml:space="preserve">A4 </w:t>
      </w:r>
      <w:r w:rsidR="0095245F">
        <w:t>shows the ex ante price was significantly higher than the provisional prices and the ex post price was significantly higher than the ex</w:t>
      </w:r>
      <w:r w:rsidR="0051202D">
        <w:t xml:space="preserve"> ante</w:t>
      </w:r>
      <w:r w:rsidR="0095245F">
        <w:t xml:space="preserve"> price. </w:t>
      </w:r>
    </w:p>
    <w:p w:rsidR="001A43BA" w:rsidRPr="00B54205" w:rsidRDefault="001A43BA" w:rsidP="00312A7C">
      <w:pPr>
        <w:jc w:val="both"/>
      </w:pPr>
      <w:r>
        <w:rPr>
          <w:rFonts w:ascii="Arial" w:hAnsi="Arial" w:cs="Arial"/>
          <w:b/>
          <w:sz w:val="20"/>
          <w:szCs w:val="20"/>
          <w:lang w:eastAsia="en-US"/>
        </w:rPr>
        <w:t xml:space="preserve">Figure </w:t>
      </w:r>
      <w:r w:rsidR="00E53656">
        <w:rPr>
          <w:rFonts w:ascii="Arial" w:hAnsi="Arial" w:cs="Arial"/>
          <w:b/>
          <w:sz w:val="20"/>
          <w:szCs w:val="20"/>
          <w:lang w:eastAsia="en-US"/>
        </w:rPr>
        <w:t>A4</w:t>
      </w:r>
      <w:r w:rsidR="0060145C">
        <w:rPr>
          <w:rFonts w:ascii="Arial" w:hAnsi="Arial" w:cs="Arial"/>
          <w:b/>
          <w:sz w:val="20"/>
          <w:szCs w:val="20"/>
          <w:lang w:eastAsia="en-US"/>
        </w:rPr>
        <w:t>:</w:t>
      </w:r>
      <w:r>
        <w:rPr>
          <w:rFonts w:ascii="Arial" w:hAnsi="Arial" w:cs="Arial"/>
          <w:b/>
          <w:sz w:val="20"/>
          <w:szCs w:val="20"/>
          <w:lang w:eastAsia="en-US"/>
        </w:rPr>
        <w:t xml:space="preserve"> </w:t>
      </w:r>
      <w:r w:rsidR="004F1866">
        <w:rPr>
          <w:rFonts w:ascii="Arial" w:hAnsi="Arial" w:cs="Arial"/>
          <w:b/>
          <w:sz w:val="20"/>
          <w:szCs w:val="20"/>
          <w:lang w:eastAsia="en-US"/>
        </w:rPr>
        <w:t>P</w:t>
      </w:r>
      <w:r w:rsidR="004F1866" w:rsidRPr="00D620E4">
        <w:rPr>
          <w:rFonts w:ascii="Arial" w:hAnsi="Arial" w:cs="Arial"/>
          <w:b/>
          <w:sz w:val="20"/>
          <w:szCs w:val="20"/>
          <w:lang w:eastAsia="en-US"/>
        </w:rPr>
        <w:t>rovisional</w:t>
      </w:r>
      <w:r w:rsidRPr="00D620E4">
        <w:rPr>
          <w:rFonts w:ascii="Arial" w:hAnsi="Arial" w:cs="Arial"/>
          <w:b/>
          <w:sz w:val="20"/>
          <w:szCs w:val="20"/>
          <w:lang w:eastAsia="en-US"/>
        </w:rPr>
        <w:t>, ex ante and ex post prices and quantities</w:t>
      </w:r>
      <w:r w:rsidR="004F1866">
        <w:rPr>
          <w:rFonts w:ascii="Arial" w:hAnsi="Arial" w:cs="Arial"/>
          <w:b/>
          <w:sz w:val="20"/>
          <w:szCs w:val="20"/>
          <w:lang w:eastAsia="en-US"/>
        </w:rPr>
        <w:t>, 3 July</w:t>
      </w:r>
    </w:p>
    <w:tbl>
      <w:tblPr>
        <w:tblW w:w="5000" w:type="pct"/>
        <w:tblBorders>
          <w:top w:val="single" w:sz="12" w:space="0" w:color="000000"/>
          <w:bottom w:val="single" w:sz="12" w:space="0" w:color="000000"/>
          <w:insideH w:val="single" w:sz="6" w:space="0" w:color="000000"/>
        </w:tblBorders>
        <w:tblLook w:val="04A0"/>
      </w:tblPr>
      <w:tblGrid>
        <w:gridCol w:w="1760"/>
        <w:gridCol w:w="1871"/>
        <w:gridCol w:w="1871"/>
        <w:gridCol w:w="1871"/>
        <w:gridCol w:w="1869"/>
      </w:tblGrid>
      <w:tr w:rsidR="001A43BA" w:rsidRPr="00E626C7" w:rsidTr="002307DA">
        <w:trPr>
          <w:trHeight w:val="300"/>
        </w:trPr>
        <w:tc>
          <w:tcPr>
            <w:tcW w:w="952" w:type="pct"/>
            <w:shd w:val="clear" w:color="auto" w:fill="auto"/>
            <w:noWrap/>
            <w:hideMark/>
          </w:tcPr>
          <w:p w:rsidR="001A43BA" w:rsidRPr="004F1866" w:rsidRDefault="001A43BA" w:rsidP="002307DA">
            <w:pPr>
              <w:rPr>
                <w:rFonts w:ascii="Arial" w:hAnsi="Arial" w:cs="Arial"/>
                <w:sz w:val="20"/>
                <w:szCs w:val="20"/>
              </w:rPr>
            </w:pPr>
          </w:p>
        </w:tc>
        <w:tc>
          <w:tcPr>
            <w:tcW w:w="1012" w:type="pct"/>
            <w:shd w:val="clear" w:color="auto" w:fill="auto"/>
            <w:noWrap/>
            <w:vAlign w:val="center"/>
            <w:hideMark/>
          </w:tcPr>
          <w:p w:rsidR="001A43BA" w:rsidRPr="004F1866" w:rsidRDefault="00607B65" w:rsidP="002307DA">
            <w:pPr>
              <w:rPr>
                <w:rFonts w:ascii="Arial" w:hAnsi="Arial" w:cs="Arial"/>
                <w:b/>
                <w:sz w:val="20"/>
                <w:szCs w:val="20"/>
              </w:rPr>
            </w:pPr>
            <w:r w:rsidRPr="00607B65">
              <w:rPr>
                <w:rFonts w:ascii="Arial" w:hAnsi="Arial" w:cs="Arial"/>
                <w:b/>
                <w:sz w:val="20"/>
                <w:szCs w:val="20"/>
              </w:rPr>
              <w:t>D-3</w:t>
            </w:r>
          </w:p>
        </w:tc>
        <w:tc>
          <w:tcPr>
            <w:tcW w:w="1012" w:type="pct"/>
            <w:shd w:val="clear" w:color="auto" w:fill="auto"/>
            <w:noWrap/>
            <w:vAlign w:val="center"/>
            <w:hideMark/>
          </w:tcPr>
          <w:p w:rsidR="001A43BA" w:rsidRPr="004F1866" w:rsidRDefault="00607B65" w:rsidP="002307DA">
            <w:pPr>
              <w:rPr>
                <w:rFonts w:ascii="Arial" w:hAnsi="Arial" w:cs="Arial"/>
                <w:b/>
                <w:sz w:val="20"/>
                <w:szCs w:val="20"/>
              </w:rPr>
            </w:pPr>
            <w:r w:rsidRPr="00607B65">
              <w:rPr>
                <w:rFonts w:ascii="Arial" w:hAnsi="Arial" w:cs="Arial"/>
                <w:b/>
                <w:sz w:val="20"/>
                <w:szCs w:val="20"/>
              </w:rPr>
              <w:t>D-2</w:t>
            </w:r>
          </w:p>
        </w:tc>
        <w:tc>
          <w:tcPr>
            <w:tcW w:w="1012" w:type="pct"/>
            <w:shd w:val="clear" w:color="auto" w:fill="auto"/>
            <w:noWrap/>
            <w:vAlign w:val="center"/>
            <w:hideMark/>
          </w:tcPr>
          <w:p w:rsidR="001A43BA" w:rsidRPr="004F1866" w:rsidRDefault="00607B65" w:rsidP="002307DA">
            <w:pPr>
              <w:rPr>
                <w:rFonts w:ascii="Arial" w:hAnsi="Arial" w:cs="Arial"/>
                <w:b/>
                <w:sz w:val="20"/>
                <w:szCs w:val="20"/>
              </w:rPr>
            </w:pPr>
            <w:r w:rsidRPr="00607B65">
              <w:rPr>
                <w:rFonts w:ascii="Arial" w:hAnsi="Arial" w:cs="Arial"/>
                <w:b/>
                <w:sz w:val="20"/>
                <w:szCs w:val="20"/>
              </w:rPr>
              <w:t>Ex ante</w:t>
            </w:r>
          </w:p>
        </w:tc>
        <w:tc>
          <w:tcPr>
            <w:tcW w:w="1011" w:type="pct"/>
            <w:shd w:val="clear" w:color="auto" w:fill="auto"/>
            <w:noWrap/>
            <w:vAlign w:val="center"/>
            <w:hideMark/>
          </w:tcPr>
          <w:p w:rsidR="001A43BA" w:rsidRPr="004F1866" w:rsidRDefault="00607B65" w:rsidP="002307DA">
            <w:pPr>
              <w:rPr>
                <w:rFonts w:ascii="Arial" w:hAnsi="Arial" w:cs="Arial"/>
                <w:b/>
                <w:sz w:val="20"/>
                <w:szCs w:val="20"/>
              </w:rPr>
            </w:pPr>
            <w:r w:rsidRPr="00607B65">
              <w:rPr>
                <w:rFonts w:ascii="Arial" w:hAnsi="Arial" w:cs="Arial"/>
                <w:b/>
                <w:sz w:val="20"/>
                <w:szCs w:val="20"/>
              </w:rPr>
              <w:t>Ex post</w:t>
            </w:r>
          </w:p>
        </w:tc>
      </w:tr>
      <w:tr w:rsidR="001A43BA" w:rsidRPr="00E626C7" w:rsidTr="002307DA">
        <w:trPr>
          <w:trHeight w:val="50"/>
        </w:trPr>
        <w:tc>
          <w:tcPr>
            <w:tcW w:w="952" w:type="pct"/>
            <w:shd w:val="clear" w:color="auto" w:fill="auto"/>
            <w:noWrap/>
            <w:hideMark/>
          </w:tcPr>
          <w:p w:rsidR="001A43BA" w:rsidRPr="004F1866" w:rsidRDefault="00607B65" w:rsidP="002307DA">
            <w:pPr>
              <w:rPr>
                <w:rFonts w:ascii="Arial" w:hAnsi="Arial" w:cs="Arial"/>
                <w:b/>
                <w:sz w:val="20"/>
                <w:szCs w:val="20"/>
              </w:rPr>
            </w:pPr>
            <w:r w:rsidRPr="00607B65">
              <w:rPr>
                <w:rFonts w:ascii="Arial" w:hAnsi="Arial" w:cs="Arial"/>
                <w:b/>
                <w:sz w:val="20"/>
                <w:szCs w:val="20"/>
              </w:rPr>
              <w:t>Price ($/GJ)</w:t>
            </w:r>
          </w:p>
        </w:tc>
        <w:tc>
          <w:tcPr>
            <w:tcW w:w="1012" w:type="pct"/>
            <w:shd w:val="clear" w:color="auto" w:fill="auto"/>
            <w:noWrap/>
            <w:hideMark/>
          </w:tcPr>
          <w:p w:rsidR="001A43BA" w:rsidRPr="004F1866" w:rsidRDefault="00607B65" w:rsidP="002307DA">
            <w:pPr>
              <w:rPr>
                <w:rFonts w:ascii="Arial" w:hAnsi="Arial" w:cs="Arial"/>
                <w:sz w:val="20"/>
                <w:szCs w:val="20"/>
              </w:rPr>
            </w:pPr>
            <w:r w:rsidRPr="00607B65">
              <w:rPr>
                <w:rFonts w:ascii="Arial" w:hAnsi="Arial" w:cs="Arial"/>
                <w:sz w:val="20"/>
                <w:szCs w:val="20"/>
              </w:rPr>
              <w:t>5.46</w:t>
            </w:r>
          </w:p>
        </w:tc>
        <w:tc>
          <w:tcPr>
            <w:tcW w:w="1012" w:type="pct"/>
            <w:shd w:val="clear" w:color="auto" w:fill="auto"/>
            <w:noWrap/>
            <w:hideMark/>
          </w:tcPr>
          <w:p w:rsidR="001A43BA" w:rsidRPr="004F1866" w:rsidRDefault="00607B65" w:rsidP="002307DA">
            <w:pPr>
              <w:rPr>
                <w:rFonts w:ascii="Arial" w:hAnsi="Arial" w:cs="Arial"/>
                <w:sz w:val="20"/>
                <w:szCs w:val="20"/>
              </w:rPr>
            </w:pPr>
            <w:r w:rsidRPr="00607B65">
              <w:rPr>
                <w:rFonts w:ascii="Arial" w:hAnsi="Arial" w:cs="Arial"/>
                <w:sz w:val="20"/>
                <w:szCs w:val="20"/>
              </w:rPr>
              <w:t>6.24</w:t>
            </w:r>
          </w:p>
        </w:tc>
        <w:tc>
          <w:tcPr>
            <w:tcW w:w="1012" w:type="pct"/>
            <w:shd w:val="clear" w:color="auto" w:fill="auto"/>
            <w:noWrap/>
            <w:hideMark/>
          </w:tcPr>
          <w:p w:rsidR="001A43BA" w:rsidRPr="004F1866" w:rsidRDefault="00607B65" w:rsidP="002307DA">
            <w:pPr>
              <w:rPr>
                <w:rFonts w:ascii="Arial" w:hAnsi="Arial" w:cs="Arial"/>
                <w:sz w:val="20"/>
                <w:szCs w:val="20"/>
              </w:rPr>
            </w:pPr>
            <w:r w:rsidRPr="00607B65">
              <w:rPr>
                <w:rFonts w:ascii="Arial" w:hAnsi="Arial" w:cs="Arial"/>
                <w:sz w:val="20"/>
                <w:szCs w:val="20"/>
              </w:rPr>
              <w:t>10.00</w:t>
            </w:r>
          </w:p>
        </w:tc>
        <w:tc>
          <w:tcPr>
            <w:tcW w:w="1011" w:type="pct"/>
            <w:shd w:val="clear" w:color="auto" w:fill="auto"/>
            <w:noWrap/>
            <w:hideMark/>
          </w:tcPr>
          <w:p w:rsidR="001A43BA" w:rsidRPr="004F1866" w:rsidRDefault="00607B65" w:rsidP="002307DA">
            <w:pPr>
              <w:rPr>
                <w:rFonts w:ascii="Arial" w:hAnsi="Arial" w:cs="Arial"/>
                <w:sz w:val="20"/>
                <w:szCs w:val="20"/>
              </w:rPr>
            </w:pPr>
            <w:r w:rsidRPr="00607B65">
              <w:rPr>
                <w:rFonts w:ascii="Arial" w:hAnsi="Arial" w:cs="Arial"/>
                <w:sz w:val="20"/>
                <w:szCs w:val="20"/>
              </w:rPr>
              <w:t>14.8</w:t>
            </w:r>
            <w:r w:rsidR="004131CC">
              <w:rPr>
                <w:rFonts w:ascii="Arial" w:hAnsi="Arial" w:cs="Arial"/>
                <w:sz w:val="20"/>
                <w:szCs w:val="20"/>
              </w:rPr>
              <w:t>9</w:t>
            </w:r>
          </w:p>
        </w:tc>
      </w:tr>
      <w:tr w:rsidR="001A43BA" w:rsidRPr="00E626C7" w:rsidTr="002307DA">
        <w:trPr>
          <w:trHeight w:val="300"/>
        </w:trPr>
        <w:tc>
          <w:tcPr>
            <w:tcW w:w="952" w:type="pct"/>
            <w:shd w:val="clear" w:color="auto" w:fill="auto"/>
            <w:noWrap/>
            <w:hideMark/>
          </w:tcPr>
          <w:p w:rsidR="001A43BA" w:rsidRPr="004F1866" w:rsidRDefault="00607B65" w:rsidP="002307DA">
            <w:pPr>
              <w:rPr>
                <w:rFonts w:ascii="Arial" w:hAnsi="Arial" w:cs="Arial"/>
                <w:b/>
                <w:sz w:val="20"/>
                <w:szCs w:val="20"/>
              </w:rPr>
            </w:pPr>
            <w:r w:rsidRPr="00607B65">
              <w:rPr>
                <w:rFonts w:ascii="Arial" w:hAnsi="Arial" w:cs="Arial"/>
                <w:b/>
                <w:sz w:val="20"/>
                <w:szCs w:val="20"/>
              </w:rPr>
              <w:t>Quantity (TJ)</w:t>
            </w:r>
          </w:p>
        </w:tc>
        <w:tc>
          <w:tcPr>
            <w:tcW w:w="1012" w:type="pct"/>
            <w:shd w:val="clear" w:color="auto" w:fill="auto"/>
            <w:noWrap/>
            <w:hideMark/>
          </w:tcPr>
          <w:p w:rsidR="001A43BA" w:rsidRPr="004F1866" w:rsidRDefault="00607B65" w:rsidP="002307DA">
            <w:pPr>
              <w:rPr>
                <w:rFonts w:ascii="Arial" w:hAnsi="Arial" w:cs="Arial"/>
                <w:sz w:val="20"/>
                <w:szCs w:val="20"/>
              </w:rPr>
            </w:pPr>
            <w:r w:rsidRPr="00607B65">
              <w:rPr>
                <w:rFonts w:ascii="Arial" w:hAnsi="Arial" w:cs="Arial"/>
                <w:sz w:val="20"/>
                <w:szCs w:val="20"/>
              </w:rPr>
              <w:t>108.8</w:t>
            </w:r>
          </w:p>
        </w:tc>
        <w:tc>
          <w:tcPr>
            <w:tcW w:w="1012" w:type="pct"/>
            <w:shd w:val="clear" w:color="auto" w:fill="auto"/>
            <w:noWrap/>
            <w:hideMark/>
          </w:tcPr>
          <w:p w:rsidR="001A43BA" w:rsidRPr="004F1866" w:rsidRDefault="00607B65" w:rsidP="002307DA">
            <w:pPr>
              <w:rPr>
                <w:rFonts w:ascii="Arial" w:hAnsi="Arial" w:cs="Arial"/>
                <w:sz w:val="20"/>
                <w:szCs w:val="20"/>
              </w:rPr>
            </w:pPr>
            <w:r w:rsidRPr="00607B65">
              <w:rPr>
                <w:rFonts w:ascii="Arial" w:hAnsi="Arial" w:cs="Arial"/>
                <w:sz w:val="20"/>
                <w:szCs w:val="20"/>
              </w:rPr>
              <w:t>108.4</w:t>
            </w:r>
          </w:p>
        </w:tc>
        <w:tc>
          <w:tcPr>
            <w:tcW w:w="1012" w:type="pct"/>
            <w:shd w:val="clear" w:color="auto" w:fill="auto"/>
            <w:noWrap/>
            <w:hideMark/>
          </w:tcPr>
          <w:p w:rsidR="001A43BA" w:rsidRPr="004F1866" w:rsidRDefault="00607B65" w:rsidP="002307DA">
            <w:pPr>
              <w:rPr>
                <w:rFonts w:ascii="Arial" w:hAnsi="Arial" w:cs="Arial"/>
                <w:sz w:val="20"/>
                <w:szCs w:val="20"/>
              </w:rPr>
            </w:pPr>
            <w:r w:rsidRPr="00607B65">
              <w:rPr>
                <w:rFonts w:ascii="Arial" w:hAnsi="Arial" w:cs="Arial"/>
                <w:sz w:val="20"/>
                <w:szCs w:val="20"/>
              </w:rPr>
              <w:t>111.4</w:t>
            </w:r>
          </w:p>
        </w:tc>
        <w:tc>
          <w:tcPr>
            <w:tcW w:w="1011" w:type="pct"/>
            <w:shd w:val="clear" w:color="auto" w:fill="auto"/>
            <w:noWrap/>
            <w:hideMark/>
          </w:tcPr>
          <w:p w:rsidR="001A43BA" w:rsidRPr="004F1866" w:rsidRDefault="00607B65" w:rsidP="002307DA">
            <w:pPr>
              <w:rPr>
                <w:rFonts w:ascii="Arial" w:hAnsi="Arial" w:cs="Arial"/>
                <w:sz w:val="20"/>
                <w:szCs w:val="20"/>
              </w:rPr>
            </w:pPr>
            <w:r w:rsidRPr="00607B65">
              <w:rPr>
                <w:rFonts w:ascii="Arial" w:hAnsi="Arial" w:cs="Arial"/>
                <w:sz w:val="20"/>
                <w:szCs w:val="20"/>
              </w:rPr>
              <w:t>+4.8</w:t>
            </w:r>
            <w:r w:rsidR="004131CC">
              <w:rPr>
                <w:rFonts w:ascii="Arial" w:hAnsi="Arial" w:cs="Arial"/>
                <w:sz w:val="20"/>
                <w:szCs w:val="20"/>
              </w:rPr>
              <w:t>2</w:t>
            </w:r>
            <w:r w:rsidRPr="00607B65">
              <w:rPr>
                <w:rFonts w:ascii="Arial" w:hAnsi="Arial" w:cs="Arial"/>
                <w:sz w:val="20"/>
                <w:szCs w:val="20"/>
              </w:rPr>
              <w:t xml:space="preserve"> (S)</w:t>
            </w:r>
          </w:p>
        </w:tc>
      </w:tr>
    </w:tbl>
    <w:p w:rsidR="00814C7C" w:rsidRDefault="005C3347">
      <w:pPr>
        <w:pStyle w:val="AERbodytext"/>
        <w:spacing w:before="240"/>
        <w:jc w:val="both"/>
      </w:pPr>
      <w:r>
        <w:t xml:space="preserve">Similar to the 2 July gas day in the Adelaide hub, </w:t>
      </w:r>
      <w:r w:rsidR="00873CF1">
        <w:t xml:space="preserve">three of the four major participants forecast their demand </w:t>
      </w:r>
      <w:r w:rsidR="00772CF2">
        <w:t>with high accuracy,</w:t>
      </w:r>
      <w:r w:rsidR="00873CF1">
        <w:t xml:space="preserve"> </w:t>
      </w:r>
      <w:r>
        <w:t xml:space="preserve">whereas </w:t>
      </w:r>
      <w:r w:rsidR="00873CF1">
        <w:t>the remaining participant under forecast its demand</w:t>
      </w:r>
      <w:r w:rsidR="00662F9B">
        <w:t xml:space="preserve"> </w:t>
      </w:r>
      <w:r w:rsidR="00873CF1">
        <w:t xml:space="preserve">by around </w:t>
      </w:r>
      <w:r w:rsidR="00E53656">
        <w:t>13</w:t>
      </w:r>
      <w:r>
        <w:t> </w:t>
      </w:r>
      <w:r w:rsidR="00873CF1">
        <w:t>per</w:t>
      </w:r>
      <w:r>
        <w:t> </w:t>
      </w:r>
      <w:r w:rsidR="00873CF1">
        <w:t>cent</w:t>
      </w:r>
      <w:r>
        <w:t xml:space="preserve">, </w:t>
      </w:r>
      <w:r w:rsidR="0051202D">
        <w:t xml:space="preserve">influencing </w:t>
      </w:r>
      <w:r>
        <w:t>the high</w:t>
      </w:r>
      <w:r w:rsidR="0051202D">
        <w:t>er</w:t>
      </w:r>
      <w:r>
        <w:t xml:space="preserve"> ex post price. </w:t>
      </w:r>
    </w:p>
    <w:p w:rsidR="0064775E" w:rsidRDefault="00873CF1" w:rsidP="0064775E">
      <w:pPr>
        <w:pStyle w:val="AERbodytext"/>
        <w:jc w:val="both"/>
      </w:pPr>
      <w:r>
        <w:t xml:space="preserve">Figure </w:t>
      </w:r>
      <w:r w:rsidR="00E53656">
        <w:t>A5</w:t>
      </w:r>
      <w:r w:rsidR="0064775E" w:rsidRPr="0064775E">
        <w:t xml:space="preserve"> shows offers, price taker bids and scheduled gas </w:t>
      </w:r>
      <w:r w:rsidR="0064775E">
        <w:t xml:space="preserve">for the </w:t>
      </w:r>
      <w:r w:rsidR="005C3347">
        <w:t>3</w:t>
      </w:r>
      <w:r w:rsidR="0064775E" w:rsidRPr="0064775E">
        <w:t xml:space="preserve"> July gas day</w:t>
      </w:r>
      <w:r w:rsidR="0064775E">
        <w:t>.</w:t>
      </w:r>
    </w:p>
    <w:p w:rsidR="00814C7C" w:rsidRDefault="00607B65">
      <w:pPr>
        <w:keepNext/>
      </w:pPr>
      <w:r w:rsidRPr="00607B65">
        <w:rPr>
          <w:rFonts w:ascii="Arial" w:hAnsi="Arial" w:cs="Arial"/>
          <w:b/>
          <w:sz w:val="20"/>
          <w:szCs w:val="20"/>
          <w:lang w:eastAsia="en-US"/>
        </w:rPr>
        <w:lastRenderedPageBreak/>
        <w:t>Figure A5: Provisional, ex ante and ex post prices and quantities,</w:t>
      </w:r>
      <w:r w:rsidRPr="00607B65">
        <w:t xml:space="preserve"> </w:t>
      </w:r>
      <w:r w:rsidRPr="00607B65">
        <w:rPr>
          <w:rFonts w:ascii="Arial" w:hAnsi="Arial" w:cs="Arial"/>
          <w:b/>
          <w:sz w:val="20"/>
          <w:szCs w:val="20"/>
          <w:lang w:eastAsia="en-US"/>
        </w:rPr>
        <w:t xml:space="preserve">3 July </w:t>
      </w:r>
    </w:p>
    <w:p w:rsidR="00814C7C" w:rsidRDefault="00DB2A1A">
      <w:pPr>
        <w:pStyle w:val="AERbodytext"/>
      </w:pPr>
      <w:r>
        <w:pict>
          <v:shape id="_x0000_i1044" type="#_x0000_t75" style="width:450.45pt;height:168.75pt">
            <v:imagedata r:id="rId27" o:title=""/>
          </v:shape>
        </w:pict>
      </w:r>
    </w:p>
    <w:p w:rsidR="00D86437" w:rsidRDefault="005C3347">
      <w:pPr>
        <w:pStyle w:val="AERbodytext"/>
        <w:jc w:val="both"/>
      </w:pPr>
      <w:r>
        <w:t xml:space="preserve">Figure A5 </w:t>
      </w:r>
      <w:r w:rsidR="00563AFA">
        <w:t xml:space="preserve">illustrates </w:t>
      </w:r>
      <w:r w:rsidR="003F23A4">
        <w:t xml:space="preserve">rebidding </w:t>
      </w:r>
      <w:r w:rsidR="002A2307">
        <w:t xml:space="preserve">resulted in </w:t>
      </w:r>
      <w:r w:rsidR="003F23A4">
        <w:t xml:space="preserve">20 TJ of gas priced below $10/GJ </w:t>
      </w:r>
      <w:r w:rsidR="008E3B39">
        <w:t xml:space="preserve">being </w:t>
      </w:r>
      <w:r w:rsidR="003F23A4">
        <w:t>shift</w:t>
      </w:r>
      <w:r w:rsidR="008E3B39">
        <w:t>ed</w:t>
      </w:r>
      <w:r w:rsidR="003F23A4">
        <w:t xml:space="preserve"> into higher priced bands</w:t>
      </w:r>
      <w:r w:rsidR="002307DA">
        <w:t xml:space="preserve">, which </w:t>
      </w:r>
      <w:r w:rsidR="00563AFA">
        <w:t>drove</w:t>
      </w:r>
      <w:r w:rsidR="00FD0D54">
        <w:t xml:space="preserve"> significant increases </w:t>
      </w:r>
      <w:r w:rsidR="008E3B39">
        <w:t xml:space="preserve">in </w:t>
      </w:r>
      <w:r w:rsidR="002307DA">
        <w:t>the ex ante and</w:t>
      </w:r>
      <w:r w:rsidR="004D41C8">
        <w:t xml:space="preserve"> </w:t>
      </w:r>
      <w:r w:rsidR="002307DA">
        <w:t>ex post price</w:t>
      </w:r>
      <w:r w:rsidR="00E1697C">
        <w:t xml:space="preserve">. </w:t>
      </w:r>
      <w:r w:rsidR="008E3B39">
        <w:t>A</w:t>
      </w:r>
      <w:r w:rsidR="00F36F7F">
        <w:t xml:space="preserve"> number of different participants </w:t>
      </w:r>
      <w:r w:rsidR="006F54F5">
        <w:t xml:space="preserve">were </w:t>
      </w:r>
      <w:r w:rsidR="00F36F7F">
        <w:t>responsible for rebidding</w:t>
      </w:r>
      <w:r w:rsidR="006F54F5">
        <w:t xml:space="preserve"> into higher prices</w:t>
      </w:r>
      <w:r w:rsidR="00F36F7F">
        <w:t>.</w:t>
      </w:r>
    </w:p>
    <w:p w:rsidR="006C6B9A" w:rsidRPr="006C6B9A" w:rsidRDefault="00E450E9" w:rsidP="0062300C">
      <w:pPr>
        <w:pStyle w:val="Heading4"/>
      </w:pPr>
      <w:r>
        <w:t>4</w:t>
      </w:r>
      <w:r w:rsidRPr="00341B66">
        <w:t xml:space="preserve"> J</w:t>
      </w:r>
      <w:r>
        <w:t>uly</w:t>
      </w:r>
    </w:p>
    <w:p w:rsidR="00814C7C" w:rsidRDefault="005557B7">
      <w:pPr>
        <w:pStyle w:val="AERbodytext"/>
        <w:spacing w:before="240"/>
        <w:jc w:val="both"/>
      </w:pPr>
      <w:r>
        <w:t xml:space="preserve">Figure </w:t>
      </w:r>
      <w:r w:rsidR="00E93458">
        <w:t xml:space="preserve">A6 </w:t>
      </w:r>
      <w:r>
        <w:t xml:space="preserve">provides an overview of the price and quantity levels for the 4 July gas day. </w:t>
      </w:r>
      <w:r w:rsidR="006D32D8">
        <w:t xml:space="preserve">The ex ante and ex post price on the day were the highest ever recorded in the Adelaide hub. </w:t>
      </w:r>
      <w:r w:rsidR="00084618">
        <w:t xml:space="preserve">Despite a reduction in forecast demand for the ex ante schedule compared to the D-2 provisional schedule, the ex ante price was significantly higher. </w:t>
      </w:r>
    </w:p>
    <w:p w:rsidR="005557B7" w:rsidRPr="00B54205" w:rsidRDefault="005557B7" w:rsidP="00312A7C">
      <w:pPr>
        <w:jc w:val="both"/>
      </w:pPr>
      <w:r>
        <w:rPr>
          <w:rFonts w:ascii="Arial" w:hAnsi="Arial" w:cs="Arial"/>
          <w:b/>
          <w:sz w:val="20"/>
          <w:szCs w:val="20"/>
          <w:lang w:eastAsia="en-US"/>
        </w:rPr>
        <w:t xml:space="preserve">Figure </w:t>
      </w:r>
      <w:r w:rsidR="00E93458">
        <w:rPr>
          <w:rFonts w:ascii="Arial" w:hAnsi="Arial" w:cs="Arial"/>
          <w:b/>
          <w:sz w:val="20"/>
          <w:szCs w:val="20"/>
          <w:lang w:eastAsia="en-US"/>
        </w:rPr>
        <w:t>A6</w:t>
      </w:r>
      <w:r w:rsidR="0060145C">
        <w:rPr>
          <w:rFonts w:ascii="Arial" w:hAnsi="Arial" w:cs="Arial"/>
          <w:b/>
          <w:sz w:val="20"/>
          <w:szCs w:val="20"/>
          <w:lang w:eastAsia="en-US"/>
        </w:rPr>
        <w:t>:</w:t>
      </w:r>
      <w:r>
        <w:rPr>
          <w:rFonts w:ascii="Arial" w:hAnsi="Arial" w:cs="Arial"/>
          <w:b/>
          <w:sz w:val="20"/>
          <w:szCs w:val="20"/>
          <w:lang w:eastAsia="en-US"/>
        </w:rPr>
        <w:t xml:space="preserve"> </w:t>
      </w:r>
      <w:r w:rsidR="0085710B">
        <w:rPr>
          <w:rFonts w:ascii="Arial" w:hAnsi="Arial" w:cs="Arial"/>
          <w:b/>
          <w:sz w:val="20"/>
          <w:szCs w:val="20"/>
          <w:lang w:eastAsia="en-US"/>
        </w:rPr>
        <w:t>P</w:t>
      </w:r>
      <w:r w:rsidR="0085710B" w:rsidRPr="00D620E4">
        <w:rPr>
          <w:rFonts w:ascii="Arial" w:hAnsi="Arial" w:cs="Arial"/>
          <w:b/>
          <w:sz w:val="20"/>
          <w:szCs w:val="20"/>
          <w:lang w:eastAsia="en-US"/>
        </w:rPr>
        <w:t>rovisional</w:t>
      </w:r>
      <w:r w:rsidRPr="00D620E4">
        <w:rPr>
          <w:rFonts w:ascii="Arial" w:hAnsi="Arial" w:cs="Arial"/>
          <w:b/>
          <w:sz w:val="20"/>
          <w:szCs w:val="20"/>
          <w:lang w:eastAsia="en-US"/>
        </w:rPr>
        <w:t>, ex ante and ex post prices and quantities</w:t>
      </w:r>
      <w:r w:rsidR="0085710B">
        <w:rPr>
          <w:rFonts w:ascii="Arial" w:hAnsi="Arial" w:cs="Arial"/>
          <w:b/>
          <w:sz w:val="20"/>
          <w:szCs w:val="20"/>
          <w:lang w:eastAsia="en-US"/>
        </w:rPr>
        <w:t>, 4 July</w:t>
      </w:r>
    </w:p>
    <w:tbl>
      <w:tblPr>
        <w:tblW w:w="5000" w:type="pct"/>
        <w:tblBorders>
          <w:top w:val="single" w:sz="12" w:space="0" w:color="000000"/>
          <w:bottom w:val="single" w:sz="12" w:space="0" w:color="000000"/>
          <w:insideH w:val="single" w:sz="6" w:space="0" w:color="000000"/>
        </w:tblBorders>
        <w:tblLook w:val="04A0"/>
      </w:tblPr>
      <w:tblGrid>
        <w:gridCol w:w="1760"/>
        <w:gridCol w:w="1871"/>
        <w:gridCol w:w="1871"/>
        <w:gridCol w:w="1871"/>
        <w:gridCol w:w="1869"/>
      </w:tblGrid>
      <w:tr w:rsidR="005557B7" w:rsidRPr="00E626C7" w:rsidTr="005557B7">
        <w:trPr>
          <w:trHeight w:val="300"/>
        </w:trPr>
        <w:tc>
          <w:tcPr>
            <w:tcW w:w="952" w:type="pct"/>
            <w:shd w:val="clear" w:color="auto" w:fill="auto"/>
            <w:noWrap/>
            <w:hideMark/>
          </w:tcPr>
          <w:p w:rsidR="005557B7" w:rsidRPr="0085710B" w:rsidRDefault="005557B7" w:rsidP="005557B7">
            <w:pPr>
              <w:spacing w:after="240"/>
              <w:rPr>
                <w:rFonts w:ascii="Arial" w:hAnsi="Arial" w:cs="Arial"/>
                <w:sz w:val="20"/>
                <w:szCs w:val="20"/>
              </w:rPr>
            </w:pPr>
          </w:p>
        </w:tc>
        <w:tc>
          <w:tcPr>
            <w:tcW w:w="1012" w:type="pct"/>
            <w:shd w:val="clear" w:color="auto" w:fill="auto"/>
            <w:noWrap/>
            <w:vAlign w:val="center"/>
            <w:hideMark/>
          </w:tcPr>
          <w:p w:rsidR="005557B7" w:rsidRPr="0085710B" w:rsidRDefault="00607B65" w:rsidP="005557B7">
            <w:pPr>
              <w:rPr>
                <w:rFonts w:ascii="Arial" w:hAnsi="Arial" w:cs="Arial"/>
                <w:b/>
                <w:sz w:val="20"/>
                <w:szCs w:val="20"/>
              </w:rPr>
            </w:pPr>
            <w:r w:rsidRPr="00607B65">
              <w:rPr>
                <w:rFonts w:ascii="Arial" w:hAnsi="Arial" w:cs="Arial"/>
                <w:b/>
                <w:sz w:val="20"/>
                <w:szCs w:val="20"/>
              </w:rPr>
              <w:t>D-3</w:t>
            </w:r>
          </w:p>
        </w:tc>
        <w:tc>
          <w:tcPr>
            <w:tcW w:w="1012" w:type="pct"/>
            <w:shd w:val="clear" w:color="auto" w:fill="auto"/>
            <w:noWrap/>
            <w:vAlign w:val="center"/>
            <w:hideMark/>
          </w:tcPr>
          <w:p w:rsidR="005557B7" w:rsidRPr="0085710B" w:rsidRDefault="00607B65" w:rsidP="005557B7">
            <w:pPr>
              <w:rPr>
                <w:rFonts w:ascii="Arial" w:hAnsi="Arial" w:cs="Arial"/>
                <w:b/>
                <w:sz w:val="20"/>
                <w:szCs w:val="20"/>
              </w:rPr>
            </w:pPr>
            <w:r w:rsidRPr="00607B65">
              <w:rPr>
                <w:rFonts w:ascii="Arial" w:hAnsi="Arial" w:cs="Arial"/>
                <w:b/>
                <w:sz w:val="20"/>
                <w:szCs w:val="20"/>
              </w:rPr>
              <w:t>D-2</w:t>
            </w:r>
          </w:p>
        </w:tc>
        <w:tc>
          <w:tcPr>
            <w:tcW w:w="1012" w:type="pct"/>
            <w:shd w:val="clear" w:color="auto" w:fill="auto"/>
            <w:noWrap/>
            <w:vAlign w:val="center"/>
            <w:hideMark/>
          </w:tcPr>
          <w:p w:rsidR="005557B7" w:rsidRPr="0085710B" w:rsidRDefault="00607B65" w:rsidP="005557B7">
            <w:pPr>
              <w:rPr>
                <w:rFonts w:ascii="Arial" w:hAnsi="Arial" w:cs="Arial"/>
                <w:b/>
                <w:sz w:val="20"/>
                <w:szCs w:val="20"/>
              </w:rPr>
            </w:pPr>
            <w:r w:rsidRPr="00607B65">
              <w:rPr>
                <w:rFonts w:ascii="Arial" w:hAnsi="Arial" w:cs="Arial"/>
                <w:b/>
                <w:sz w:val="20"/>
                <w:szCs w:val="20"/>
              </w:rPr>
              <w:t>Ex ante</w:t>
            </w:r>
          </w:p>
        </w:tc>
        <w:tc>
          <w:tcPr>
            <w:tcW w:w="1011" w:type="pct"/>
            <w:shd w:val="clear" w:color="auto" w:fill="auto"/>
            <w:noWrap/>
            <w:vAlign w:val="center"/>
            <w:hideMark/>
          </w:tcPr>
          <w:p w:rsidR="005557B7" w:rsidRPr="0085710B" w:rsidRDefault="00607B65" w:rsidP="005557B7">
            <w:pPr>
              <w:rPr>
                <w:rFonts w:ascii="Arial" w:hAnsi="Arial" w:cs="Arial"/>
                <w:b/>
                <w:sz w:val="20"/>
                <w:szCs w:val="20"/>
              </w:rPr>
            </w:pPr>
            <w:r w:rsidRPr="00607B65">
              <w:rPr>
                <w:rFonts w:ascii="Arial" w:hAnsi="Arial" w:cs="Arial"/>
                <w:b/>
                <w:sz w:val="20"/>
                <w:szCs w:val="20"/>
              </w:rPr>
              <w:t>Ex post</w:t>
            </w:r>
          </w:p>
        </w:tc>
      </w:tr>
      <w:tr w:rsidR="005557B7" w:rsidRPr="00E626C7" w:rsidTr="005557B7">
        <w:trPr>
          <w:trHeight w:val="50"/>
        </w:trPr>
        <w:tc>
          <w:tcPr>
            <w:tcW w:w="952" w:type="pct"/>
            <w:shd w:val="clear" w:color="auto" w:fill="auto"/>
            <w:noWrap/>
            <w:hideMark/>
          </w:tcPr>
          <w:p w:rsidR="005557B7" w:rsidRPr="0085710B" w:rsidRDefault="00607B65" w:rsidP="005557B7">
            <w:pPr>
              <w:rPr>
                <w:rFonts w:ascii="Arial" w:hAnsi="Arial" w:cs="Arial"/>
                <w:b/>
                <w:sz w:val="20"/>
                <w:szCs w:val="20"/>
              </w:rPr>
            </w:pPr>
            <w:r w:rsidRPr="00607B65">
              <w:rPr>
                <w:rFonts w:ascii="Arial" w:hAnsi="Arial" w:cs="Arial"/>
                <w:b/>
                <w:sz w:val="20"/>
                <w:szCs w:val="20"/>
              </w:rPr>
              <w:t>Price ($/GJ)</w:t>
            </w:r>
          </w:p>
        </w:tc>
        <w:tc>
          <w:tcPr>
            <w:tcW w:w="1012" w:type="pct"/>
            <w:shd w:val="clear" w:color="auto" w:fill="auto"/>
            <w:noWrap/>
            <w:hideMark/>
          </w:tcPr>
          <w:p w:rsidR="005557B7" w:rsidRPr="0085710B" w:rsidRDefault="00607B65" w:rsidP="005557B7">
            <w:pPr>
              <w:rPr>
                <w:rFonts w:ascii="Arial" w:hAnsi="Arial" w:cs="Arial"/>
                <w:sz w:val="20"/>
                <w:szCs w:val="20"/>
              </w:rPr>
            </w:pPr>
            <w:r w:rsidRPr="00607B65">
              <w:rPr>
                <w:rFonts w:ascii="Arial" w:hAnsi="Arial" w:cs="Arial"/>
                <w:sz w:val="20"/>
                <w:szCs w:val="20"/>
              </w:rPr>
              <w:t>6.59</w:t>
            </w:r>
          </w:p>
        </w:tc>
        <w:tc>
          <w:tcPr>
            <w:tcW w:w="1012" w:type="pct"/>
            <w:shd w:val="clear" w:color="auto" w:fill="auto"/>
            <w:noWrap/>
            <w:hideMark/>
          </w:tcPr>
          <w:p w:rsidR="005557B7" w:rsidRPr="0085710B" w:rsidRDefault="00607B65" w:rsidP="005557B7">
            <w:pPr>
              <w:rPr>
                <w:rFonts w:ascii="Arial" w:hAnsi="Arial" w:cs="Arial"/>
                <w:sz w:val="20"/>
                <w:szCs w:val="20"/>
              </w:rPr>
            </w:pPr>
            <w:r w:rsidRPr="00607B65">
              <w:rPr>
                <w:rFonts w:ascii="Arial" w:hAnsi="Arial" w:cs="Arial"/>
                <w:sz w:val="20"/>
                <w:szCs w:val="20"/>
              </w:rPr>
              <w:t>7.99</w:t>
            </w:r>
          </w:p>
        </w:tc>
        <w:tc>
          <w:tcPr>
            <w:tcW w:w="1012" w:type="pct"/>
            <w:shd w:val="clear" w:color="auto" w:fill="auto"/>
            <w:noWrap/>
            <w:hideMark/>
          </w:tcPr>
          <w:p w:rsidR="005557B7" w:rsidRPr="0085710B" w:rsidRDefault="00607B65" w:rsidP="005557B7">
            <w:pPr>
              <w:rPr>
                <w:rFonts w:ascii="Arial" w:hAnsi="Arial" w:cs="Arial"/>
                <w:sz w:val="20"/>
                <w:szCs w:val="20"/>
              </w:rPr>
            </w:pPr>
            <w:r w:rsidRPr="00607B65">
              <w:rPr>
                <w:rFonts w:ascii="Arial" w:hAnsi="Arial" w:cs="Arial"/>
                <w:sz w:val="20"/>
                <w:szCs w:val="20"/>
              </w:rPr>
              <w:t>14.8</w:t>
            </w:r>
            <w:r w:rsidR="004131CC">
              <w:rPr>
                <w:rFonts w:ascii="Arial" w:hAnsi="Arial" w:cs="Arial"/>
                <w:sz w:val="20"/>
                <w:szCs w:val="20"/>
              </w:rPr>
              <w:t>9</w:t>
            </w:r>
          </w:p>
        </w:tc>
        <w:tc>
          <w:tcPr>
            <w:tcW w:w="1011" w:type="pct"/>
            <w:shd w:val="clear" w:color="auto" w:fill="auto"/>
            <w:noWrap/>
            <w:hideMark/>
          </w:tcPr>
          <w:p w:rsidR="005557B7" w:rsidRPr="0085710B" w:rsidRDefault="004131CC" w:rsidP="005557B7">
            <w:pPr>
              <w:rPr>
                <w:rFonts w:ascii="Arial" w:hAnsi="Arial" w:cs="Arial"/>
                <w:sz w:val="20"/>
                <w:szCs w:val="20"/>
              </w:rPr>
            </w:pPr>
            <w:r>
              <w:rPr>
                <w:rFonts w:ascii="Arial" w:hAnsi="Arial" w:cs="Arial"/>
                <w:sz w:val="20"/>
                <w:szCs w:val="20"/>
              </w:rPr>
              <w:t>16.00</w:t>
            </w:r>
          </w:p>
        </w:tc>
      </w:tr>
      <w:tr w:rsidR="005557B7" w:rsidRPr="00E626C7" w:rsidTr="005557B7">
        <w:trPr>
          <w:trHeight w:val="300"/>
        </w:trPr>
        <w:tc>
          <w:tcPr>
            <w:tcW w:w="952" w:type="pct"/>
            <w:shd w:val="clear" w:color="auto" w:fill="auto"/>
            <w:noWrap/>
            <w:hideMark/>
          </w:tcPr>
          <w:p w:rsidR="005557B7" w:rsidRPr="0085710B" w:rsidRDefault="00607B65" w:rsidP="005557B7">
            <w:pPr>
              <w:rPr>
                <w:rFonts w:ascii="Arial" w:hAnsi="Arial" w:cs="Arial"/>
                <w:b/>
                <w:sz w:val="20"/>
                <w:szCs w:val="20"/>
              </w:rPr>
            </w:pPr>
            <w:r w:rsidRPr="00607B65">
              <w:rPr>
                <w:rFonts w:ascii="Arial" w:hAnsi="Arial" w:cs="Arial"/>
                <w:b/>
                <w:sz w:val="20"/>
                <w:szCs w:val="20"/>
              </w:rPr>
              <w:t>Quantity (TJ)</w:t>
            </w:r>
          </w:p>
        </w:tc>
        <w:tc>
          <w:tcPr>
            <w:tcW w:w="1012" w:type="pct"/>
            <w:shd w:val="clear" w:color="auto" w:fill="auto"/>
            <w:noWrap/>
            <w:hideMark/>
          </w:tcPr>
          <w:p w:rsidR="005557B7" w:rsidRPr="0085710B" w:rsidRDefault="00607B65" w:rsidP="005557B7">
            <w:pPr>
              <w:rPr>
                <w:rFonts w:ascii="Arial" w:hAnsi="Arial" w:cs="Arial"/>
                <w:sz w:val="20"/>
                <w:szCs w:val="20"/>
              </w:rPr>
            </w:pPr>
            <w:r w:rsidRPr="00607B65">
              <w:rPr>
                <w:rFonts w:ascii="Arial" w:hAnsi="Arial" w:cs="Arial"/>
                <w:sz w:val="20"/>
                <w:szCs w:val="20"/>
              </w:rPr>
              <w:t>109.7</w:t>
            </w:r>
          </w:p>
        </w:tc>
        <w:tc>
          <w:tcPr>
            <w:tcW w:w="1012" w:type="pct"/>
            <w:shd w:val="clear" w:color="auto" w:fill="auto"/>
            <w:noWrap/>
            <w:hideMark/>
          </w:tcPr>
          <w:p w:rsidR="005557B7" w:rsidRPr="0085710B" w:rsidRDefault="00607B65" w:rsidP="005557B7">
            <w:pPr>
              <w:rPr>
                <w:rFonts w:ascii="Arial" w:hAnsi="Arial" w:cs="Arial"/>
                <w:sz w:val="20"/>
                <w:szCs w:val="20"/>
              </w:rPr>
            </w:pPr>
            <w:r w:rsidRPr="00607B65">
              <w:rPr>
                <w:rFonts w:ascii="Arial" w:hAnsi="Arial" w:cs="Arial"/>
                <w:sz w:val="20"/>
                <w:szCs w:val="20"/>
              </w:rPr>
              <w:t>114.2</w:t>
            </w:r>
          </w:p>
        </w:tc>
        <w:tc>
          <w:tcPr>
            <w:tcW w:w="1012" w:type="pct"/>
            <w:shd w:val="clear" w:color="auto" w:fill="auto"/>
            <w:noWrap/>
            <w:hideMark/>
          </w:tcPr>
          <w:p w:rsidR="005557B7" w:rsidRPr="0085710B" w:rsidRDefault="00607B65" w:rsidP="005557B7">
            <w:pPr>
              <w:rPr>
                <w:rFonts w:ascii="Arial" w:hAnsi="Arial" w:cs="Arial"/>
                <w:sz w:val="20"/>
                <w:szCs w:val="20"/>
              </w:rPr>
            </w:pPr>
            <w:r w:rsidRPr="00607B65">
              <w:rPr>
                <w:rFonts w:ascii="Arial" w:hAnsi="Arial" w:cs="Arial"/>
                <w:sz w:val="20"/>
                <w:szCs w:val="20"/>
              </w:rPr>
              <w:t>103.9</w:t>
            </w:r>
          </w:p>
        </w:tc>
        <w:tc>
          <w:tcPr>
            <w:tcW w:w="1011" w:type="pct"/>
            <w:shd w:val="clear" w:color="auto" w:fill="auto"/>
            <w:noWrap/>
            <w:hideMark/>
          </w:tcPr>
          <w:p w:rsidR="005557B7" w:rsidRPr="0085710B" w:rsidRDefault="00607B65" w:rsidP="005557B7">
            <w:pPr>
              <w:rPr>
                <w:rFonts w:ascii="Arial" w:hAnsi="Arial" w:cs="Arial"/>
                <w:sz w:val="20"/>
                <w:szCs w:val="20"/>
              </w:rPr>
            </w:pPr>
            <w:r w:rsidRPr="00607B65">
              <w:rPr>
                <w:rFonts w:ascii="Arial" w:hAnsi="Arial" w:cs="Arial"/>
                <w:sz w:val="20"/>
                <w:szCs w:val="20"/>
              </w:rPr>
              <w:t>+2.65 (S)</w:t>
            </w:r>
          </w:p>
        </w:tc>
      </w:tr>
    </w:tbl>
    <w:p w:rsidR="006427C4" w:rsidRDefault="000F72E4">
      <w:pPr>
        <w:spacing w:before="240"/>
        <w:jc w:val="both"/>
      </w:pPr>
      <w:r>
        <w:t xml:space="preserve">For the </w:t>
      </w:r>
      <w:r w:rsidR="006703BC">
        <w:t>4 </w:t>
      </w:r>
      <w:r>
        <w:t xml:space="preserve">July gas day, all participants’ </w:t>
      </w:r>
      <w:r w:rsidR="00477E0D">
        <w:t>price</w:t>
      </w:r>
      <w:r w:rsidR="00E1697C">
        <w:t xml:space="preserve"> </w:t>
      </w:r>
      <w:r w:rsidR="00477E0D">
        <w:t>taker</w:t>
      </w:r>
      <w:r>
        <w:t xml:space="preserve"> bids were </w:t>
      </w:r>
      <w:r w:rsidR="00772CF2">
        <w:t xml:space="preserve">highly </w:t>
      </w:r>
      <w:r>
        <w:t xml:space="preserve">accurate </w:t>
      </w:r>
      <w:r w:rsidR="00607B65" w:rsidRPr="00607B65">
        <w:t xml:space="preserve">and </w:t>
      </w:r>
      <w:r w:rsidR="00772CF2">
        <w:t>consistent across schedules</w:t>
      </w:r>
      <w:r w:rsidR="00A322ED">
        <w:t xml:space="preserve">. </w:t>
      </w:r>
      <w:r w:rsidR="006427C4">
        <w:t>The reason why the quantity dropped for the ex ante schedule is because 12</w:t>
      </w:r>
      <w:r w:rsidR="008E3B39">
        <w:t> </w:t>
      </w:r>
      <w:r w:rsidR="006427C4">
        <w:t>TJ of backhaul that was previously scheduled in the D-2 schedule was not scheduled</w:t>
      </w:r>
      <w:r w:rsidR="006F54F5">
        <w:t xml:space="preserve"> ex</w:t>
      </w:r>
      <w:r w:rsidR="001D4225">
        <w:t> </w:t>
      </w:r>
      <w:r w:rsidR="006F54F5">
        <w:t>ante</w:t>
      </w:r>
      <w:r w:rsidR="006427C4">
        <w:t>. This happened because as the gas price rose, the backhaul bid was not priced high enough to be scheduled.</w:t>
      </w:r>
    </w:p>
    <w:p w:rsidR="00814C7C" w:rsidRDefault="000F72E4">
      <w:pPr>
        <w:pStyle w:val="AERbodytext"/>
        <w:spacing w:before="240"/>
        <w:jc w:val="both"/>
      </w:pPr>
      <w:r>
        <w:t xml:space="preserve">Figure </w:t>
      </w:r>
      <w:r w:rsidR="002E276F">
        <w:t>A7</w:t>
      </w:r>
      <w:r w:rsidR="00E1697C">
        <w:t xml:space="preserve"> </w:t>
      </w:r>
      <w:r w:rsidR="0064775E" w:rsidRPr="0064775E">
        <w:t xml:space="preserve">shows offers, price taker bids and scheduled gas </w:t>
      </w:r>
      <w:r w:rsidR="0064775E">
        <w:t xml:space="preserve">for the </w:t>
      </w:r>
      <w:r w:rsidR="00E1697C">
        <w:t>4 July gas day</w:t>
      </w:r>
    </w:p>
    <w:p w:rsidR="000F72E4" w:rsidRDefault="00BF5B3B" w:rsidP="00477DC5">
      <w:pPr>
        <w:keepNext/>
      </w:pPr>
      <w:r w:rsidRPr="00BF5B3B">
        <w:rPr>
          <w:rFonts w:ascii="Arial" w:hAnsi="Arial" w:cs="Arial"/>
          <w:b/>
          <w:sz w:val="20"/>
          <w:szCs w:val="20"/>
          <w:lang w:eastAsia="en-US"/>
        </w:rPr>
        <w:t>Figure A7: Provisional, ex ante and ex post prices and quantities, 4 July</w:t>
      </w:r>
    </w:p>
    <w:p w:rsidR="00DF71B2" w:rsidRDefault="00DB2A1A">
      <w:pPr>
        <w:pStyle w:val="AERbodytext"/>
      </w:pPr>
      <w:r>
        <w:pict>
          <v:shape id="_x0000_i1045" type="#_x0000_t75" style="width:451.6pt;height:166.45pt">
            <v:imagedata r:id="rId28" o:title=""/>
          </v:shape>
        </w:pict>
      </w:r>
      <w:r w:rsidR="001B6D11">
        <w:t xml:space="preserve"> </w:t>
      </w:r>
    </w:p>
    <w:p w:rsidR="0051202D" w:rsidRDefault="00BF5B3B" w:rsidP="00E82EB3">
      <w:pPr>
        <w:pStyle w:val="AERbodytext"/>
        <w:jc w:val="both"/>
      </w:pPr>
      <w:r w:rsidRPr="00BF5B3B">
        <w:lastRenderedPageBreak/>
        <w:t xml:space="preserve">Figure A7 shows that, from the D-2 schedule to </w:t>
      </w:r>
      <w:r w:rsidR="00253662">
        <w:t xml:space="preserve">the ex ante schedule, there was a reduction </w:t>
      </w:r>
      <w:r w:rsidR="00F53918">
        <w:t xml:space="preserve">of 5 TJ </w:t>
      </w:r>
      <w:r w:rsidR="00253662">
        <w:t>in offers priced at $0/GJ</w:t>
      </w:r>
      <w:r w:rsidR="006D32D8">
        <w:t>,</w:t>
      </w:r>
      <w:r w:rsidR="005B400F">
        <w:t xml:space="preserve"> </w:t>
      </w:r>
      <w:r w:rsidR="00253662">
        <w:t xml:space="preserve">and </w:t>
      </w:r>
      <w:r w:rsidR="00F53918">
        <w:t xml:space="preserve">27 TJ </w:t>
      </w:r>
      <w:r w:rsidR="00253662">
        <w:t>between $4</w:t>
      </w:r>
      <w:r w:rsidR="0051599E">
        <w:t>–</w:t>
      </w:r>
      <w:r w:rsidR="001A119B">
        <w:t>$</w:t>
      </w:r>
      <w:r w:rsidR="00253662">
        <w:t xml:space="preserve">6/GJ. </w:t>
      </w:r>
      <w:r w:rsidR="0080275B">
        <w:t>Origin reduced its offer</w:t>
      </w:r>
      <w:r w:rsidR="00F53918">
        <w:t>s</w:t>
      </w:r>
      <w:r w:rsidR="0080275B">
        <w:t xml:space="preserve"> </w:t>
      </w:r>
      <w:r w:rsidR="006D32D8">
        <w:t xml:space="preserve">by 21 TJ </w:t>
      </w:r>
      <w:r w:rsidR="0080275B">
        <w:t xml:space="preserve">in the $4–$6/GJ price range </w:t>
      </w:r>
      <w:r w:rsidR="00A322ED">
        <w:t>for</w:t>
      </w:r>
      <w:r w:rsidR="0080275B">
        <w:t xml:space="preserve"> the ex ante schedule</w:t>
      </w:r>
      <w:r w:rsidR="00F53918">
        <w:t>, reoffering this gas in the $6–$8/GJ range</w:t>
      </w:r>
      <w:r w:rsidR="0080275B">
        <w:t xml:space="preserve">. </w:t>
      </w:r>
      <w:r w:rsidR="00E82EB3">
        <w:t>This shifting of gas into higher price bands drove the price up to $14.88/GJ.</w:t>
      </w:r>
    </w:p>
    <w:p w:rsidR="00DB1201" w:rsidRDefault="00DB1201" w:rsidP="00DB1201">
      <w:pPr>
        <w:pStyle w:val="Heading4"/>
      </w:pPr>
      <w:r>
        <w:t>5 July</w:t>
      </w:r>
    </w:p>
    <w:p w:rsidR="00814C7C" w:rsidRDefault="00722BB9">
      <w:pPr>
        <w:pStyle w:val="AERbodytext"/>
        <w:spacing w:before="240"/>
        <w:jc w:val="both"/>
      </w:pPr>
      <w:r>
        <w:t xml:space="preserve">Figure </w:t>
      </w:r>
      <w:r w:rsidR="006418C8">
        <w:t xml:space="preserve">A8 </w:t>
      </w:r>
      <w:r>
        <w:t>provides an overview of the pri</w:t>
      </w:r>
      <w:r w:rsidR="00DB25E8">
        <w:t>ce and quantit</w:t>
      </w:r>
      <w:r w:rsidR="00F53918">
        <w:t>ies</w:t>
      </w:r>
      <w:r w:rsidR="006D32D8">
        <w:t xml:space="preserve"> </w:t>
      </w:r>
      <w:r w:rsidR="00DB25E8">
        <w:t xml:space="preserve">for the </w:t>
      </w:r>
      <w:r w:rsidR="00F53918">
        <w:t>5 </w:t>
      </w:r>
      <w:r>
        <w:t xml:space="preserve">July gas day. The quantity decreases at each schedule, finishing with a </w:t>
      </w:r>
      <w:r w:rsidR="00F53918">
        <w:noBreakHyphen/>
      </w:r>
      <w:r>
        <w:t>3.</w:t>
      </w:r>
      <w:r w:rsidR="00F53918">
        <w:t>71 </w:t>
      </w:r>
      <w:r>
        <w:t>TJ ex post imbalance.</w:t>
      </w:r>
      <w:r w:rsidR="0080275B">
        <w:t xml:space="preserve"> </w:t>
      </w:r>
      <w:r w:rsidR="00B240BF">
        <w:t>The provisional schedules show the market was expecting a high ex ante price.</w:t>
      </w:r>
    </w:p>
    <w:p w:rsidR="00722BB9" w:rsidRPr="00B54205" w:rsidRDefault="00722BB9" w:rsidP="00312A7C">
      <w:pPr>
        <w:jc w:val="both"/>
      </w:pPr>
      <w:r>
        <w:rPr>
          <w:rFonts w:ascii="Arial" w:hAnsi="Arial" w:cs="Arial"/>
          <w:b/>
          <w:sz w:val="20"/>
          <w:szCs w:val="20"/>
          <w:lang w:eastAsia="en-US"/>
        </w:rPr>
        <w:t xml:space="preserve">Figure </w:t>
      </w:r>
      <w:r w:rsidR="006418C8">
        <w:rPr>
          <w:rFonts w:ascii="Arial" w:hAnsi="Arial" w:cs="Arial"/>
          <w:b/>
          <w:sz w:val="20"/>
          <w:szCs w:val="20"/>
          <w:lang w:eastAsia="en-US"/>
        </w:rPr>
        <w:t>A8</w:t>
      </w:r>
      <w:r w:rsidR="0060145C">
        <w:rPr>
          <w:rFonts w:ascii="Arial" w:hAnsi="Arial" w:cs="Arial"/>
          <w:b/>
          <w:sz w:val="20"/>
          <w:szCs w:val="20"/>
          <w:lang w:eastAsia="en-US"/>
        </w:rPr>
        <w:t>:</w:t>
      </w:r>
      <w:r>
        <w:rPr>
          <w:rFonts w:ascii="Arial" w:hAnsi="Arial" w:cs="Arial"/>
          <w:b/>
          <w:sz w:val="20"/>
          <w:szCs w:val="20"/>
          <w:lang w:eastAsia="en-US"/>
        </w:rPr>
        <w:t xml:space="preserve"> </w:t>
      </w:r>
      <w:r w:rsidR="0085710B">
        <w:rPr>
          <w:rFonts w:ascii="Arial" w:hAnsi="Arial" w:cs="Arial"/>
          <w:b/>
          <w:sz w:val="20"/>
          <w:szCs w:val="20"/>
          <w:lang w:eastAsia="en-US"/>
        </w:rPr>
        <w:t>P</w:t>
      </w:r>
      <w:r w:rsidR="0085710B" w:rsidRPr="00D620E4">
        <w:rPr>
          <w:rFonts w:ascii="Arial" w:hAnsi="Arial" w:cs="Arial"/>
          <w:b/>
          <w:sz w:val="20"/>
          <w:szCs w:val="20"/>
          <w:lang w:eastAsia="en-US"/>
        </w:rPr>
        <w:t>rovisional</w:t>
      </w:r>
      <w:r w:rsidRPr="00D620E4">
        <w:rPr>
          <w:rFonts w:ascii="Arial" w:hAnsi="Arial" w:cs="Arial"/>
          <w:b/>
          <w:sz w:val="20"/>
          <w:szCs w:val="20"/>
          <w:lang w:eastAsia="en-US"/>
        </w:rPr>
        <w:t>, ex ante and ex post prices and quantities</w:t>
      </w:r>
      <w:r w:rsidR="0085710B">
        <w:rPr>
          <w:rFonts w:ascii="Arial" w:hAnsi="Arial" w:cs="Arial"/>
          <w:b/>
          <w:sz w:val="20"/>
          <w:szCs w:val="20"/>
          <w:lang w:eastAsia="en-US"/>
        </w:rPr>
        <w:t>, 5 July</w:t>
      </w:r>
    </w:p>
    <w:tbl>
      <w:tblPr>
        <w:tblW w:w="5000" w:type="pct"/>
        <w:tblBorders>
          <w:top w:val="single" w:sz="12" w:space="0" w:color="000000"/>
          <w:bottom w:val="single" w:sz="12" w:space="0" w:color="000000"/>
          <w:insideH w:val="single" w:sz="6" w:space="0" w:color="000000"/>
        </w:tblBorders>
        <w:tblLook w:val="04A0"/>
      </w:tblPr>
      <w:tblGrid>
        <w:gridCol w:w="1760"/>
        <w:gridCol w:w="1871"/>
        <w:gridCol w:w="1871"/>
        <w:gridCol w:w="1871"/>
        <w:gridCol w:w="1869"/>
      </w:tblGrid>
      <w:tr w:rsidR="00722BB9" w:rsidRPr="00E626C7" w:rsidTr="00C37895">
        <w:trPr>
          <w:trHeight w:val="300"/>
        </w:trPr>
        <w:tc>
          <w:tcPr>
            <w:tcW w:w="952" w:type="pct"/>
            <w:shd w:val="clear" w:color="auto" w:fill="auto"/>
            <w:noWrap/>
            <w:hideMark/>
          </w:tcPr>
          <w:p w:rsidR="00722BB9" w:rsidRPr="0085710B" w:rsidRDefault="00722BB9" w:rsidP="00C37895">
            <w:pPr>
              <w:rPr>
                <w:rFonts w:ascii="Arial" w:hAnsi="Arial" w:cs="Arial"/>
                <w:sz w:val="20"/>
                <w:szCs w:val="20"/>
              </w:rPr>
            </w:pPr>
          </w:p>
        </w:tc>
        <w:tc>
          <w:tcPr>
            <w:tcW w:w="1012" w:type="pct"/>
            <w:shd w:val="clear" w:color="auto" w:fill="auto"/>
            <w:noWrap/>
            <w:vAlign w:val="center"/>
            <w:hideMark/>
          </w:tcPr>
          <w:p w:rsidR="00722BB9" w:rsidRPr="0085710B" w:rsidRDefault="00607B65" w:rsidP="00C37895">
            <w:pPr>
              <w:rPr>
                <w:rFonts w:ascii="Arial" w:hAnsi="Arial" w:cs="Arial"/>
                <w:b/>
                <w:sz w:val="20"/>
                <w:szCs w:val="20"/>
              </w:rPr>
            </w:pPr>
            <w:r w:rsidRPr="00607B65">
              <w:rPr>
                <w:rFonts w:ascii="Arial" w:hAnsi="Arial" w:cs="Arial"/>
                <w:b/>
                <w:sz w:val="20"/>
                <w:szCs w:val="20"/>
              </w:rPr>
              <w:t>D-3</w:t>
            </w:r>
          </w:p>
        </w:tc>
        <w:tc>
          <w:tcPr>
            <w:tcW w:w="1012" w:type="pct"/>
            <w:shd w:val="clear" w:color="auto" w:fill="auto"/>
            <w:noWrap/>
            <w:vAlign w:val="center"/>
            <w:hideMark/>
          </w:tcPr>
          <w:p w:rsidR="00722BB9" w:rsidRPr="0085710B" w:rsidRDefault="00607B65" w:rsidP="00C37895">
            <w:pPr>
              <w:rPr>
                <w:rFonts w:ascii="Arial" w:hAnsi="Arial" w:cs="Arial"/>
                <w:b/>
                <w:sz w:val="20"/>
                <w:szCs w:val="20"/>
              </w:rPr>
            </w:pPr>
            <w:r w:rsidRPr="00607B65">
              <w:rPr>
                <w:rFonts w:ascii="Arial" w:hAnsi="Arial" w:cs="Arial"/>
                <w:b/>
                <w:sz w:val="20"/>
                <w:szCs w:val="20"/>
              </w:rPr>
              <w:t>D-2</w:t>
            </w:r>
          </w:p>
        </w:tc>
        <w:tc>
          <w:tcPr>
            <w:tcW w:w="1012" w:type="pct"/>
            <w:shd w:val="clear" w:color="auto" w:fill="auto"/>
            <w:noWrap/>
            <w:vAlign w:val="center"/>
            <w:hideMark/>
          </w:tcPr>
          <w:p w:rsidR="00722BB9" w:rsidRPr="0085710B" w:rsidRDefault="00607B65" w:rsidP="00C37895">
            <w:pPr>
              <w:rPr>
                <w:rFonts w:ascii="Arial" w:hAnsi="Arial" w:cs="Arial"/>
                <w:b/>
                <w:sz w:val="20"/>
                <w:szCs w:val="20"/>
              </w:rPr>
            </w:pPr>
            <w:r w:rsidRPr="00607B65">
              <w:rPr>
                <w:rFonts w:ascii="Arial" w:hAnsi="Arial" w:cs="Arial"/>
                <w:b/>
                <w:sz w:val="20"/>
                <w:szCs w:val="20"/>
              </w:rPr>
              <w:t>Ex ante (D-1)</w:t>
            </w:r>
          </w:p>
        </w:tc>
        <w:tc>
          <w:tcPr>
            <w:tcW w:w="1011" w:type="pct"/>
            <w:shd w:val="clear" w:color="auto" w:fill="auto"/>
            <w:noWrap/>
            <w:vAlign w:val="center"/>
            <w:hideMark/>
          </w:tcPr>
          <w:p w:rsidR="00722BB9" w:rsidRPr="0085710B" w:rsidRDefault="00607B65" w:rsidP="00C37895">
            <w:pPr>
              <w:rPr>
                <w:rFonts w:ascii="Arial" w:hAnsi="Arial" w:cs="Arial"/>
                <w:b/>
                <w:sz w:val="20"/>
                <w:szCs w:val="20"/>
              </w:rPr>
            </w:pPr>
            <w:r w:rsidRPr="00607B65">
              <w:rPr>
                <w:rFonts w:ascii="Arial" w:hAnsi="Arial" w:cs="Arial"/>
                <w:b/>
                <w:sz w:val="20"/>
                <w:szCs w:val="20"/>
              </w:rPr>
              <w:t>Ex post</w:t>
            </w:r>
          </w:p>
        </w:tc>
      </w:tr>
      <w:tr w:rsidR="00722BB9" w:rsidRPr="00E626C7" w:rsidTr="00C37895">
        <w:trPr>
          <w:trHeight w:val="50"/>
        </w:trPr>
        <w:tc>
          <w:tcPr>
            <w:tcW w:w="952" w:type="pct"/>
            <w:shd w:val="clear" w:color="auto" w:fill="auto"/>
            <w:noWrap/>
            <w:hideMark/>
          </w:tcPr>
          <w:p w:rsidR="00722BB9" w:rsidRPr="0085710B" w:rsidRDefault="00607B65" w:rsidP="00C37895">
            <w:pPr>
              <w:rPr>
                <w:rFonts w:ascii="Arial" w:hAnsi="Arial" w:cs="Arial"/>
                <w:b/>
                <w:sz w:val="20"/>
                <w:szCs w:val="20"/>
              </w:rPr>
            </w:pPr>
            <w:r w:rsidRPr="00607B65">
              <w:rPr>
                <w:rFonts w:ascii="Arial" w:hAnsi="Arial" w:cs="Arial"/>
                <w:b/>
                <w:sz w:val="20"/>
                <w:szCs w:val="20"/>
              </w:rPr>
              <w:t>Price ($/GJ)</w:t>
            </w:r>
          </w:p>
        </w:tc>
        <w:tc>
          <w:tcPr>
            <w:tcW w:w="1012" w:type="pct"/>
            <w:shd w:val="clear" w:color="auto" w:fill="auto"/>
            <w:noWrap/>
            <w:hideMark/>
          </w:tcPr>
          <w:p w:rsidR="00722BB9" w:rsidRPr="0085710B" w:rsidRDefault="00607B65" w:rsidP="00C37895">
            <w:pPr>
              <w:rPr>
                <w:rFonts w:ascii="Arial" w:hAnsi="Arial" w:cs="Arial"/>
                <w:sz w:val="20"/>
                <w:szCs w:val="20"/>
              </w:rPr>
            </w:pPr>
            <w:r w:rsidRPr="00607B65">
              <w:rPr>
                <w:rFonts w:ascii="Arial" w:hAnsi="Arial" w:cs="Arial"/>
                <w:sz w:val="20"/>
                <w:szCs w:val="20"/>
              </w:rPr>
              <w:t>7.99</w:t>
            </w:r>
          </w:p>
        </w:tc>
        <w:tc>
          <w:tcPr>
            <w:tcW w:w="1012" w:type="pct"/>
            <w:shd w:val="clear" w:color="auto" w:fill="auto"/>
            <w:noWrap/>
            <w:hideMark/>
          </w:tcPr>
          <w:p w:rsidR="00722BB9" w:rsidRPr="0085710B" w:rsidRDefault="00607B65" w:rsidP="00C37895">
            <w:pPr>
              <w:rPr>
                <w:rFonts w:ascii="Arial" w:hAnsi="Arial" w:cs="Arial"/>
                <w:sz w:val="20"/>
                <w:szCs w:val="20"/>
              </w:rPr>
            </w:pPr>
            <w:r w:rsidRPr="00607B65">
              <w:rPr>
                <w:rFonts w:ascii="Arial" w:hAnsi="Arial" w:cs="Arial"/>
                <w:sz w:val="20"/>
                <w:szCs w:val="20"/>
              </w:rPr>
              <w:t>14.8</w:t>
            </w:r>
            <w:r w:rsidR="004131CC">
              <w:rPr>
                <w:rFonts w:ascii="Arial" w:hAnsi="Arial" w:cs="Arial"/>
                <w:sz w:val="20"/>
                <w:szCs w:val="20"/>
              </w:rPr>
              <w:t>9</w:t>
            </w:r>
          </w:p>
        </w:tc>
        <w:tc>
          <w:tcPr>
            <w:tcW w:w="1012" w:type="pct"/>
            <w:shd w:val="clear" w:color="auto" w:fill="auto"/>
            <w:noWrap/>
            <w:hideMark/>
          </w:tcPr>
          <w:p w:rsidR="00722BB9" w:rsidRPr="0085710B" w:rsidRDefault="00607B65" w:rsidP="00C37895">
            <w:pPr>
              <w:rPr>
                <w:rFonts w:ascii="Arial" w:hAnsi="Arial" w:cs="Arial"/>
                <w:sz w:val="20"/>
                <w:szCs w:val="20"/>
              </w:rPr>
            </w:pPr>
            <w:r w:rsidRPr="00607B65">
              <w:rPr>
                <w:rFonts w:ascii="Arial" w:hAnsi="Arial" w:cs="Arial"/>
                <w:sz w:val="20"/>
                <w:szCs w:val="20"/>
              </w:rPr>
              <w:t>10.5</w:t>
            </w:r>
            <w:r w:rsidR="004131CC">
              <w:rPr>
                <w:rFonts w:ascii="Arial" w:hAnsi="Arial" w:cs="Arial"/>
                <w:sz w:val="20"/>
                <w:szCs w:val="20"/>
              </w:rPr>
              <w:t>0</w:t>
            </w:r>
          </w:p>
        </w:tc>
        <w:tc>
          <w:tcPr>
            <w:tcW w:w="1011" w:type="pct"/>
            <w:shd w:val="clear" w:color="auto" w:fill="auto"/>
            <w:noWrap/>
            <w:hideMark/>
          </w:tcPr>
          <w:p w:rsidR="00722BB9" w:rsidRPr="0085710B" w:rsidRDefault="00607B65" w:rsidP="00C37895">
            <w:pPr>
              <w:rPr>
                <w:rFonts w:ascii="Arial" w:hAnsi="Arial" w:cs="Arial"/>
                <w:sz w:val="20"/>
                <w:szCs w:val="20"/>
              </w:rPr>
            </w:pPr>
            <w:r w:rsidRPr="00607B65">
              <w:rPr>
                <w:rFonts w:ascii="Arial" w:hAnsi="Arial" w:cs="Arial"/>
                <w:sz w:val="20"/>
                <w:szCs w:val="20"/>
              </w:rPr>
              <w:t>9.6</w:t>
            </w:r>
            <w:r w:rsidR="004131CC">
              <w:rPr>
                <w:rFonts w:ascii="Arial" w:hAnsi="Arial" w:cs="Arial"/>
                <w:sz w:val="20"/>
                <w:szCs w:val="20"/>
              </w:rPr>
              <w:t>0</w:t>
            </w:r>
          </w:p>
        </w:tc>
      </w:tr>
      <w:tr w:rsidR="00722BB9" w:rsidRPr="00E626C7" w:rsidTr="00C37895">
        <w:trPr>
          <w:trHeight w:val="300"/>
        </w:trPr>
        <w:tc>
          <w:tcPr>
            <w:tcW w:w="952" w:type="pct"/>
            <w:shd w:val="clear" w:color="auto" w:fill="auto"/>
            <w:noWrap/>
            <w:hideMark/>
          </w:tcPr>
          <w:p w:rsidR="00722BB9" w:rsidRPr="0085710B" w:rsidRDefault="00607B65" w:rsidP="00C37895">
            <w:pPr>
              <w:rPr>
                <w:rFonts w:ascii="Arial" w:hAnsi="Arial" w:cs="Arial"/>
                <w:b/>
                <w:sz w:val="20"/>
                <w:szCs w:val="20"/>
              </w:rPr>
            </w:pPr>
            <w:r w:rsidRPr="00607B65">
              <w:rPr>
                <w:rFonts w:ascii="Arial" w:hAnsi="Arial" w:cs="Arial"/>
                <w:b/>
                <w:sz w:val="20"/>
                <w:szCs w:val="20"/>
              </w:rPr>
              <w:t>Quantity (TJ)</w:t>
            </w:r>
          </w:p>
        </w:tc>
        <w:tc>
          <w:tcPr>
            <w:tcW w:w="1012" w:type="pct"/>
            <w:shd w:val="clear" w:color="auto" w:fill="auto"/>
            <w:noWrap/>
            <w:hideMark/>
          </w:tcPr>
          <w:p w:rsidR="00722BB9" w:rsidRPr="0085710B" w:rsidRDefault="00607B65" w:rsidP="00C37895">
            <w:pPr>
              <w:rPr>
                <w:rFonts w:ascii="Arial" w:hAnsi="Arial" w:cs="Arial"/>
                <w:sz w:val="20"/>
                <w:szCs w:val="20"/>
              </w:rPr>
            </w:pPr>
            <w:r w:rsidRPr="00607B65">
              <w:rPr>
                <w:rFonts w:ascii="Arial" w:hAnsi="Arial" w:cs="Arial"/>
                <w:sz w:val="20"/>
                <w:szCs w:val="20"/>
              </w:rPr>
              <w:t>115.7</w:t>
            </w:r>
          </w:p>
        </w:tc>
        <w:tc>
          <w:tcPr>
            <w:tcW w:w="1012" w:type="pct"/>
            <w:shd w:val="clear" w:color="auto" w:fill="auto"/>
            <w:noWrap/>
            <w:hideMark/>
          </w:tcPr>
          <w:p w:rsidR="00722BB9" w:rsidRPr="0085710B" w:rsidRDefault="00607B65" w:rsidP="00C37895">
            <w:pPr>
              <w:rPr>
                <w:rFonts w:ascii="Arial" w:hAnsi="Arial" w:cs="Arial"/>
                <w:sz w:val="20"/>
                <w:szCs w:val="20"/>
              </w:rPr>
            </w:pPr>
            <w:r w:rsidRPr="00607B65">
              <w:rPr>
                <w:rFonts w:ascii="Arial" w:hAnsi="Arial" w:cs="Arial"/>
                <w:sz w:val="20"/>
                <w:szCs w:val="20"/>
              </w:rPr>
              <w:t>112.2</w:t>
            </w:r>
          </w:p>
        </w:tc>
        <w:tc>
          <w:tcPr>
            <w:tcW w:w="1012" w:type="pct"/>
            <w:shd w:val="clear" w:color="auto" w:fill="auto"/>
            <w:noWrap/>
            <w:hideMark/>
          </w:tcPr>
          <w:p w:rsidR="00722BB9" w:rsidRPr="0085710B" w:rsidRDefault="00607B65" w:rsidP="00C37895">
            <w:pPr>
              <w:rPr>
                <w:rFonts w:ascii="Arial" w:hAnsi="Arial" w:cs="Arial"/>
                <w:sz w:val="20"/>
                <w:szCs w:val="20"/>
              </w:rPr>
            </w:pPr>
            <w:r w:rsidRPr="00607B65">
              <w:rPr>
                <w:rFonts w:ascii="Arial" w:hAnsi="Arial" w:cs="Arial"/>
                <w:sz w:val="20"/>
                <w:szCs w:val="20"/>
              </w:rPr>
              <w:t>103.6</w:t>
            </w:r>
          </w:p>
        </w:tc>
        <w:tc>
          <w:tcPr>
            <w:tcW w:w="1011" w:type="pct"/>
            <w:shd w:val="clear" w:color="auto" w:fill="auto"/>
            <w:noWrap/>
            <w:hideMark/>
          </w:tcPr>
          <w:p w:rsidR="00722BB9" w:rsidRPr="0085710B" w:rsidRDefault="00607B65" w:rsidP="00C37895">
            <w:pPr>
              <w:rPr>
                <w:rFonts w:ascii="Arial" w:hAnsi="Arial" w:cs="Arial"/>
                <w:sz w:val="20"/>
                <w:szCs w:val="20"/>
              </w:rPr>
            </w:pPr>
            <w:r w:rsidRPr="00607B65">
              <w:rPr>
                <w:rFonts w:ascii="Arial" w:hAnsi="Arial" w:cs="Arial"/>
                <w:sz w:val="20"/>
                <w:szCs w:val="20"/>
              </w:rPr>
              <w:t>-3.71 (L)</w:t>
            </w:r>
          </w:p>
        </w:tc>
      </w:tr>
    </w:tbl>
    <w:p w:rsidR="00814C7C" w:rsidRDefault="000F72E4">
      <w:pPr>
        <w:pStyle w:val="AERbodytext"/>
        <w:spacing w:before="240"/>
        <w:jc w:val="both"/>
      </w:pPr>
      <w:r>
        <w:t xml:space="preserve">Three of the four major participants forecast their demand accurately, however the remaining participant under forecast its demand by </w:t>
      </w:r>
      <w:r w:rsidR="00E3293F">
        <w:t xml:space="preserve">more than </w:t>
      </w:r>
      <w:r w:rsidR="00B240BF">
        <w:t>12 </w:t>
      </w:r>
      <w:r>
        <w:t>per</w:t>
      </w:r>
      <w:r w:rsidR="00B240BF">
        <w:t> </w:t>
      </w:r>
      <w:r>
        <w:t xml:space="preserve">cent. </w:t>
      </w:r>
    </w:p>
    <w:p w:rsidR="000F72E4" w:rsidRDefault="00A322ED" w:rsidP="000F72E4">
      <w:pPr>
        <w:pStyle w:val="AERbodytext"/>
      </w:pPr>
      <w:r>
        <w:t xml:space="preserve">Figure A9 </w:t>
      </w:r>
      <w:r w:rsidR="0064775E" w:rsidRPr="0064775E">
        <w:t xml:space="preserve">shows offers, price taker bids and scheduled gas </w:t>
      </w:r>
      <w:r w:rsidR="0064775E">
        <w:t>for the</w:t>
      </w:r>
      <w:r>
        <w:t xml:space="preserve"> 5 July gas day</w:t>
      </w:r>
      <w:r w:rsidR="007D1AD6">
        <w:t>.</w:t>
      </w:r>
    </w:p>
    <w:p w:rsidR="00814C7C" w:rsidRDefault="00607B65">
      <w:pPr>
        <w:keepNext/>
      </w:pPr>
      <w:r w:rsidRPr="00607B65">
        <w:rPr>
          <w:rFonts w:ascii="Arial" w:hAnsi="Arial" w:cs="Arial"/>
          <w:b/>
          <w:sz w:val="20"/>
          <w:szCs w:val="20"/>
          <w:lang w:eastAsia="en-US"/>
        </w:rPr>
        <w:t>Figure A9: Provisional, ex ante and ex post prices and quantities, 5 July</w:t>
      </w:r>
    </w:p>
    <w:p w:rsidR="000F72E4" w:rsidRDefault="00DB2A1A" w:rsidP="000F72E4">
      <w:r>
        <w:pict>
          <v:shape id="_x0000_i1046" type="#_x0000_t75" style="width:450.45pt;height:168.75pt">
            <v:imagedata r:id="rId29" o:title=""/>
          </v:shape>
        </w:pict>
      </w:r>
    </w:p>
    <w:p w:rsidR="0080417A" w:rsidRDefault="0080417A">
      <w:pPr>
        <w:pStyle w:val="AERbodytext"/>
        <w:jc w:val="both"/>
      </w:pPr>
    </w:p>
    <w:p w:rsidR="00074FD5" w:rsidRDefault="002D5CD3">
      <w:pPr>
        <w:pStyle w:val="AERbodytext"/>
        <w:spacing w:before="240"/>
        <w:jc w:val="both"/>
      </w:pPr>
      <w:r>
        <w:t xml:space="preserve">The ex ante price was lower than the D-2 price. This was a result of lower </w:t>
      </w:r>
      <w:r w:rsidRPr="007B6BED">
        <w:t>scheduled demand</w:t>
      </w:r>
      <w:r>
        <w:t xml:space="preserve"> for the ex ante schedule, and more gas offered at lower prices</w:t>
      </w:r>
      <w:r w:rsidRPr="00232506">
        <w:t xml:space="preserve"> </w:t>
      </w:r>
      <w:r>
        <w:t>(higher priced gas was rebid into lower bands, with 7 TJ shifted into bands priced below $6/GJ). The reduction in ex</w:t>
      </w:r>
      <w:r w:rsidR="001D4225">
        <w:t> </w:t>
      </w:r>
      <w:r>
        <w:t xml:space="preserve">ante quantity shown in figure </w:t>
      </w:r>
      <w:r w:rsidRPr="00F13830">
        <w:t>A9</w:t>
      </w:r>
      <w:r w:rsidRPr="007B6BED">
        <w:t xml:space="preserve"> was a</w:t>
      </w:r>
      <w:r>
        <w:t xml:space="preserve">lso influenced by a lower scheduled volume of withdrawal bids being cleared, as participants either removed bids or rebid into lower price bands. </w:t>
      </w:r>
    </w:p>
    <w:p w:rsidR="00DB25E8" w:rsidRDefault="00DB25E8" w:rsidP="00DB25E8">
      <w:pPr>
        <w:pStyle w:val="Heading4"/>
      </w:pPr>
      <w:r>
        <w:t>6 July</w:t>
      </w:r>
    </w:p>
    <w:p w:rsidR="001C1F31" w:rsidRDefault="00DB25E8">
      <w:pPr>
        <w:pStyle w:val="AERbodytext"/>
        <w:spacing w:before="240"/>
        <w:jc w:val="both"/>
      </w:pPr>
      <w:r>
        <w:t xml:space="preserve">Figure </w:t>
      </w:r>
      <w:r w:rsidR="007B6BED">
        <w:t xml:space="preserve">A10 </w:t>
      </w:r>
      <w:r>
        <w:t>provides an overview of price</w:t>
      </w:r>
      <w:r w:rsidR="00232506">
        <w:t>s</w:t>
      </w:r>
      <w:r>
        <w:t xml:space="preserve"> and quantit</w:t>
      </w:r>
      <w:r w:rsidR="00232506">
        <w:t>ies</w:t>
      </w:r>
      <w:r>
        <w:t xml:space="preserve"> for the </w:t>
      </w:r>
      <w:r w:rsidR="00232506">
        <w:t>6 </w:t>
      </w:r>
      <w:r>
        <w:t xml:space="preserve">July gas day. The quantity </w:t>
      </w:r>
      <w:r w:rsidR="00232506">
        <w:t xml:space="preserve">decreased </w:t>
      </w:r>
      <w:r>
        <w:t>at e</w:t>
      </w:r>
      <w:r w:rsidR="00C8693A">
        <w:t>ach schedule, finishing with a +1.</w:t>
      </w:r>
      <w:r w:rsidR="00232506">
        <w:t>99 </w:t>
      </w:r>
      <w:r>
        <w:t>TJ ex post imbalance</w:t>
      </w:r>
      <w:r w:rsidR="0031011D">
        <w:t xml:space="preserve"> as the market was short 2 TJ on the gas day</w:t>
      </w:r>
      <w:r>
        <w:t xml:space="preserve">. </w:t>
      </w:r>
    </w:p>
    <w:p w:rsidR="00EA43C3" w:rsidRDefault="001C1F31">
      <w:pPr>
        <w:pStyle w:val="AERbodytext"/>
        <w:spacing w:before="240"/>
        <w:jc w:val="both"/>
      </w:pPr>
      <w:r>
        <w:br w:type="page"/>
      </w:r>
      <w:r w:rsidR="00EA43C3">
        <w:rPr>
          <w:rFonts w:ascii="Arial" w:hAnsi="Arial" w:cs="Arial"/>
          <w:b/>
          <w:sz w:val="20"/>
          <w:szCs w:val="20"/>
        </w:rPr>
        <w:lastRenderedPageBreak/>
        <w:t>Figure A10: P</w:t>
      </w:r>
      <w:r w:rsidR="00EA43C3" w:rsidRPr="00D620E4">
        <w:rPr>
          <w:rFonts w:ascii="Arial" w:hAnsi="Arial" w:cs="Arial"/>
          <w:b/>
          <w:sz w:val="20"/>
          <w:szCs w:val="20"/>
        </w:rPr>
        <w:t>rovisional, ex ante and ex post prices and quantities</w:t>
      </w:r>
      <w:r w:rsidR="00EA43C3">
        <w:rPr>
          <w:rFonts w:ascii="Arial" w:hAnsi="Arial" w:cs="Arial"/>
          <w:b/>
          <w:sz w:val="20"/>
          <w:szCs w:val="20"/>
        </w:rPr>
        <w:t>, 6 July</w:t>
      </w:r>
    </w:p>
    <w:tbl>
      <w:tblPr>
        <w:tblW w:w="5000" w:type="pct"/>
        <w:tblBorders>
          <w:top w:val="single" w:sz="12" w:space="0" w:color="000000"/>
          <w:bottom w:val="single" w:sz="12" w:space="0" w:color="000000"/>
          <w:insideH w:val="single" w:sz="6" w:space="0" w:color="000000"/>
        </w:tblBorders>
        <w:tblLook w:val="04A0"/>
      </w:tblPr>
      <w:tblGrid>
        <w:gridCol w:w="1760"/>
        <w:gridCol w:w="1871"/>
        <w:gridCol w:w="1871"/>
        <w:gridCol w:w="1871"/>
        <w:gridCol w:w="1869"/>
      </w:tblGrid>
      <w:tr w:rsidR="00DB25E8" w:rsidRPr="00E626C7" w:rsidTr="00DB25E8">
        <w:trPr>
          <w:trHeight w:val="300"/>
        </w:trPr>
        <w:tc>
          <w:tcPr>
            <w:tcW w:w="952" w:type="pct"/>
            <w:shd w:val="clear" w:color="auto" w:fill="auto"/>
            <w:noWrap/>
            <w:hideMark/>
          </w:tcPr>
          <w:p w:rsidR="00DB25E8" w:rsidRPr="00EA43C3" w:rsidRDefault="00DB25E8" w:rsidP="00EA43C3">
            <w:pPr>
              <w:jc w:val="both"/>
              <w:rPr>
                <w:rFonts w:ascii="Arial" w:hAnsi="Arial" w:cs="Arial"/>
                <w:b/>
                <w:sz w:val="20"/>
                <w:szCs w:val="20"/>
                <w:lang w:eastAsia="en-US"/>
              </w:rPr>
            </w:pPr>
          </w:p>
        </w:tc>
        <w:tc>
          <w:tcPr>
            <w:tcW w:w="1012" w:type="pct"/>
            <w:shd w:val="clear" w:color="auto" w:fill="auto"/>
            <w:noWrap/>
            <w:vAlign w:val="center"/>
            <w:hideMark/>
          </w:tcPr>
          <w:p w:rsidR="00DB25E8" w:rsidRPr="0085710B" w:rsidRDefault="00607B65" w:rsidP="00EA43C3">
            <w:pPr>
              <w:jc w:val="both"/>
              <w:rPr>
                <w:rFonts w:ascii="Arial" w:hAnsi="Arial" w:cs="Arial"/>
                <w:b/>
                <w:sz w:val="20"/>
                <w:szCs w:val="20"/>
                <w:lang w:eastAsia="en-US"/>
              </w:rPr>
            </w:pPr>
            <w:r w:rsidRPr="00607B65">
              <w:rPr>
                <w:rFonts w:ascii="Arial" w:hAnsi="Arial" w:cs="Arial"/>
                <w:b/>
                <w:sz w:val="20"/>
                <w:szCs w:val="20"/>
                <w:lang w:eastAsia="en-US"/>
              </w:rPr>
              <w:t>D-3</w:t>
            </w:r>
          </w:p>
        </w:tc>
        <w:tc>
          <w:tcPr>
            <w:tcW w:w="1012" w:type="pct"/>
            <w:shd w:val="clear" w:color="auto" w:fill="auto"/>
            <w:noWrap/>
            <w:vAlign w:val="center"/>
            <w:hideMark/>
          </w:tcPr>
          <w:p w:rsidR="00DB25E8" w:rsidRPr="0085710B" w:rsidRDefault="00607B65" w:rsidP="00EA43C3">
            <w:pPr>
              <w:jc w:val="both"/>
              <w:rPr>
                <w:rFonts w:ascii="Arial" w:hAnsi="Arial" w:cs="Arial"/>
                <w:b/>
                <w:sz w:val="20"/>
                <w:szCs w:val="20"/>
                <w:lang w:eastAsia="en-US"/>
              </w:rPr>
            </w:pPr>
            <w:r w:rsidRPr="00607B65">
              <w:rPr>
                <w:rFonts w:ascii="Arial" w:hAnsi="Arial" w:cs="Arial"/>
                <w:b/>
                <w:sz w:val="20"/>
                <w:szCs w:val="20"/>
                <w:lang w:eastAsia="en-US"/>
              </w:rPr>
              <w:t>D-2</w:t>
            </w:r>
          </w:p>
        </w:tc>
        <w:tc>
          <w:tcPr>
            <w:tcW w:w="1012" w:type="pct"/>
            <w:shd w:val="clear" w:color="auto" w:fill="auto"/>
            <w:noWrap/>
            <w:vAlign w:val="center"/>
            <w:hideMark/>
          </w:tcPr>
          <w:p w:rsidR="00DB25E8" w:rsidRPr="0085710B" w:rsidRDefault="00607B65" w:rsidP="00EA43C3">
            <w:pPr>
              <w:jc w:val="both"/>
              <w:rPr>
                <w:rFonts w:ascii="Arial" w:hAnsi="Arial" w:cs="Arial"/>
                <w:b/>
                <w:sz w:val="20"/>
                <w:szCs w:val="20"/>
                <w:lang w:eastAsia="en-US"/>
              </w:rPr>
            </w:pPr>
            <w:r w:rsidRPr="00607B65">
              <w:rPr>
                <w:rFonts w:ascii="Arial" w:hAnsi="Arial" w:cs="Arial"/>
                <w:b/>
                <w:sz w:val="20"/>
                <w:szCs w:val="20"/>
                <w:lang w:eastAsia="en-US"/>
              </w:rPr>
              <w:t>Ex ante</w:t>
            </w:r>
            <w:r w:rsidR="00B72AC1">
              <w:rPr>
                <w:rFonts w:ascii="Arial" w:hAnsi="Arial" w:cs="Arial"/>
                <w:b/>
                <w:sz w:val="20"/>
                <w:szCs w:val="20"/>
                <w:lang w:eastAsia="en-US"/>
              </w:rPr>
              <w:t xml:space="preserve"> </w:t>
            </w:r>
            <w:r w:rsidRPr="00607B65">
              <w:rPr>
                <w:rFonts w:ascii="Arial" w:hAnsi="Arial" w:cs="Arial"/>
                <w:b/>
                <w:sz w:val="20"/>
                <w:szCs w:val="20"/>
                <w:lang w:eastAsia="en-US"/>
              </w:rPr>
              <w:t>(D-1)</w:t>
            </w:r>
          </w:p>
        </w:tc>
        <w:tc>
          <w:tcPr>
            <w:tcW w:w="1011" w:type="pct"/>
            <w:shd w:val="clear" w:color="auto" w:fill="auto"/>
            <w:noWrap/>
            <w:vAlign w:val="center"/>
            <w:hideMark/>
          </w:tcPr>
          <w:p w:rsidR="00DB25E8" w:rsidRPr="0085710B" w:rsidRDefault="00607B65" w:rsidP="00EA43C3">
            <w:pPr>
              <w:jc w:val="both"/>
              <w:rPr>
                <w:rFonts w:ascii="Arial" w:hAnsi="Arial" w:cs="Arial"/>
                <w:b/>
                <w:sz w:val="20"/>
                <w:szCs w:val="20"/>
                <w:lang w:eastAsia="en-US"/>
              </w:rPr>
            </w:pPr>
            <w:r w:rsidRPr="00607B65">
              <w:rPr>
                <w:rFonts w:ascii="Arial" w:hAnsi="Arial" w:cs="Arial"/>
                <w:b/>
                <w:sz w:val="20"/>
                <w:szCs w:val="20"/>
                <w:lang w:eastAsia="en-US"/>
              </w:rPr>
              <w:t>Ex post</w:t>
            </w:r>
          </w:p>
        </w:tc>
      </w:tr>
      <w:tr w:rsidR="00DB25E8" w:rsidRPr="00E626C7" w:rsidTr="00DB25E8">
        <w:trPr>
          <w:trHeight w:val="50"/>
        </w:trPr>
        <w:tc>
          <w:tcPr>
            <w:tcW w:w="952" w:type="pct"/>
            <w:shd w:val="clear" w:color="auto" w:fill="auto"/>
            <w:noWrap/>
            <w:hideMark/>
          </w:tcPr>
          <w:p w:rsidR="00DB25E8" w:rsidRPr="0085710B" w:rsidRDefault="00607B65" w:rsidP="00EA43C3">
            <w:pPr>
              <w:jc w:val="both"/>
              <w:rPr>
                <w:rFonts w:ascii="Arial" w:hAnsi="Arial" w:cs="Arial"/>
                <w:b/>
                <w:sz w:val="20"/>
                <w:szCs w:val="20"/>
                <w:lang w:eastAsia="en-US"/>
              </w:rPr>
            </w:pPr>
            <w:r w:rsidRPr="00607B65">
              <w:rPr>
                <w:rFonts w:ascii="Arial" w:hAnsi="Arial" w:cs="Arial"/>
                <w:b/>
                <w:sz w:val="20"/>
                <w:szCs w:val="20"/>
                <w:lang w:eastAsia="en-US"/>
              </w:rPr>
              <w:t>Price ($/GJ)</w:t>
            </w:r>
          </w:p>
        </w:tc>
        <w:tc>
          <w:tcPr>
            <w:tcW w:w="1012" w:type="pct"/>
            <w:shd w:val="clear" w:color="auto" w:fill="auto"/>
            <w:noWrap/>
            <w:hideMark/>
          </w:tcPr>
          <w:p w:rsidR="00DB25E8" w:rsidRPr="00EA43C3" w:rsidRDefault="00B13E65" w:rsidP="00EA43C3">
            <w:pPr>
              <w:jc w:val="both"/>
              <w:rPr>
                <w:rFonts w:ascii="Arial" w:hAnsi="Arial" w:cs="Arial"/>
                <w:sz w:val="20"/>
                <w:szCs w:val="20"/>
                <w:lang w:eastAsia="en-US"/>
              </w:rPr>
            </w:pPr>
            <w:r w:rsidRPr="00B13E65">
              <w:rPr>
                <w:rFonts w:ascii="Arial" w:hAnsi="Arial" w:cs="Arial"/>
                <w:sz w:val="20"/>
                <w:szCs w:val="20"/>
                <w:lang w:eastAsia="en-US"/>
              </w:rPr>
              <w:t>14.25</w:t>
            </w:r>
          </w:p>
        </w:tc>
        <w:tc>
          <w:tcPr>
            <w:tcW w:w="1012" w:type="pct"/>
            <w:shd w:val="clear" w:color="auto" w:fill="auto"/>
            <w:noWrap/>
            <w:hideMark/>
          </w:tcPr>
          <w:p w:rsidR="00DB25E8" w:rsidRPr="00EA43C3" w:rsidRDefault="00B13E65" w:rsidP="00EA43C3">
            <w:pPr>
              <w:jc w:val="both"/>
              <w:rPr>
                <w:rFonts w:ascii="Arial" w:hAnsi="Arial" w:cs="Arial"/>
                <w:sz w:val="20"/>
                <w:szCs w:val="20"/>
                <w:lang w:eastAsia="en-US"/>
              </w:rPr>
            </w:pPr>
            <w:r w:rsidRPr="00B13E65">
              <w:rPr>
                <w:rFonts w:ascii="Arial" w:hAnsi="Arial" w:cs="Arial"/>
                <w:sz w:val="20"/>
                <w:szCs w:val="20"/>
                <w:lang w:eastAsia="en-US"/>
              </w:rPr>
              <w:t>10.00</w:t>
            </w:r>
          </w:p>
        </w:tc>
        <w:tc>
          <w:tcPr>
            <w:tcW w:w="1012" w:type="pct"/>
            <w:shd w:val="clear" w:color="auto" w:fill="auto"/>
            <w:noWrap/>
            <w:hideMark/>
          </w:tcPr>
          <w:p w:rsidR="00DB25E8" w:rsidRPr="00EA43C3" w:rsidRDefault="00B13E65" w:rsidP="00EA43C3">
            <w:pPr>
              <w:jc w:val="both"/>
              <w:rPr>
                <w:rFonts w:ascii="Arial" w:hAnsi="Arial" w:cs="Arial"/>
                <w:sz w:val="20"/>
                <w:szCs w:val="20"/>
                <w:lang w:eastAsia="en-US"/>
              </w:rPr>
            </w:pPr>
            <w:r w:rsidRPr="00B13E65">
              <w:rPr>
                <w:rFonts w:ascii="Arial" w:hAnsi="Arial" w:cs="Arial"/>
                <w:sz w:val="20"/>
                <w:szCs w:val="20"/>
                <w:lang w:eastAsia="en-US"/>
              </w:rPr>
              <w:t>8.60</w:t>
            </w:r>
          </w:p>
        </w:tc>
        <w:tc>
          <w:tcPr>
            <w:tcW w:w="1011" w:type="pct"/>
            <w:shd w:val="clear" w:color="auto" w:fill="auto"/>
            <w:noWrap/>
            <w:hideMark/>
          </w:tcPr>
          <w:p w:rsidR="00DB25E8" w:rsidRPr="00EA43C3" w:rsidRDefault="00B13E65" w:rsidP="00EA43C3">
            <w:pPr>
              <w:jc w:val="both"/>
              <w:rPr>
                <w:rFonts w:ascii="Arial" w:hAnsi="Arial" w:cs="Arial"/>
                <w:sz w:val="20"/>
                <w:szCs w:val="20"/>
                <w:lang w:eastAsia="en-US"/>
              </w:rPr>
            </w:pPr>
            <w:r w:rsidRPr="00B13E65">
              <w:rPr>
                <w:rFonts w:ascii="Arial" w:hAnsi="Arial" w:cs="Arial"/>
                <w:sz w:val="20"/>
                <w:szCs w:val="20"/>
                <w:lang w:eastAsia="en-US"/>
              </w:rPr>
              <w:t>9.10</w:t>
            </w:r>
          </w:p>
        </w:tc>
      </w:tr>
      <w:tr w:rsidR="00DB25E8" w:rsidRPr="00E626C7" w:rsidTr="00DB25E8">
        <w:trPr>
          <w:trHeight w:val="300"/>
        </w:trPr>
        <w:tc>
          <w:tcPr>
            <w:tcW w:w="952" w:type="pct"/>
            <w:shd w:val="clear" w:color="auto" w:fill="auto"/>
            <w:noWrap/>
            <w:hideMark/>
          </w:tcPr>
          <w:p w:rsidR="00DB25E8" w:rsidRPr="0085710B" w:rsidRDefault="00607B65" w:rsidP="00EA43C3">
            <w:pPr>
              <w:jc w:val="both"/>
              <w:rPr>
                <w:rFonts w:ascii="Arial" w:hAnsi="Arial" w:cs="Arial"/>
                <w:b/>
                <w:sz w:val="20"/>
                <w:szCs w:val="20"/>
                <w:lang w:eastAsia="en-US"/>
              </w:rPr>
            </w:pPr>
            <w:r w:rsidRPr="00607B65">
              <w:rPr>
                <w:rFonts w:ascii="Arial" w:hAnsi="Arial" w:cs="Arial"/>
                <w:b/>
                <w:sz w:val="20"/>
                <w:szCs w:val="20"/>
                <w:lang w:eastAsia="en-US"/>
              </w:rPr>
              <w:t>Quantity (TJ)</w:t>
            </w:r>
          </w:p>
        </w:tc>
        <w:tc>
          <w:tcPr>
            <w:tcW w:w="1012" w:type="pct"/>
            <w:shd w:val="clear" w:color="auto" w:fill="auto"/>
            <w:noWrap/>
            <w:hideMark/>
          </w:tcPr>
          <w:p w:rsidR="00DB25E8" w:rsidRPr="00EA43C3" w:rsidRDefault="00B13E65" w:rsidP="00EA43C3">
            <w:pPr>
              <w:jc w:val="both"/>
              <w:rPr>
                <w:rFonts w:ascii="Arial" w:hAnsi="Arial" w:cs="Arial"/>
                <w:sz w:val="20"/>
                <w:szCs w:val="20"/>
                <w:lang w:eastAsia="en-US"/>
              </w:rPr>
            </w:pPr>
            <w:r w:rsidRPr="00B13E65">
              <w:rPr>
                <w:rFonts w:ascii="Arial" w:hAnsi="Arial" w:cs="Arial"/>
                <w:sz w:val="20"/>
                <w:szCs w:val="20"/>
                <w:lang w:eastAsia="en-US"/>
              </w:rPr>
              <w:t>111.0</w:t>
            </w:r>
          </w:p>
        </w:tc>
        <w:tc>
          <w:tcPr>
            <w:tcW w:w="1012" w:type="pct"/>
            <w:shd w:val="clear" w:color="auto" w:fill="auto"/>
            <w:noWrap/>
            <w:hideMark/>
          </w:tcPr>
          <w:p w:rsidR="00DB25E8" w:rsidRPr="00EA43C3" w:rsidRDefault="00B13E65" w:rsidP="00EA43C3">
            <w:pPr>
              <w:jc w:val="both"/>
              <w:rPr>
                <w:rFonts w:ascii="Arial" w:hAnsi="Arial" w:cs="Arial"/>
                <w:sz w:val="20"/>
                <w:szCs w:val="20"/>
                <w:lang w:eastAsia="en-US"/>
              </w:rPr>
            </w:pPr>
            <w:r w:rsidRPr="00B13E65">
              <w:rPr>
                <w:rFonts w:ascii="Arial" w:hAnsi="Arial" w:cs="Arial"/>
                <w:sz w:val="20"/>
                <w:szCs w:val="20"/>
                <w:lang w:eastAsia="en-US"/>
              </w:rPr>
              <w:t>102.7</w:t>
            </w:r>
          </w:p>
        </w:tc>
        <w:tc>
          <w:tcPr>
            <w:tcW w:w="1012" w:type="pct"/>
            <w:shd w:val="clear" w:color="auto" w:fill="auto"/>
            <w:noWrap/>
            <w:hideMark/>
          </w:tcPr>
          <w:p w:rsidR="00DB25E8" w:rsidRPr="00EA43C3" w:rsidRDefault="00B13E65" w:rsidP="00EA43C3">
            <w:pPr>
              <w:jc w:val="both"/>
              <w:rPr>
                <w:rFonts w:ascii="Arial" w:hAnsi="Arial" w:cs="Arial"/>
                <w:sz w:val="20"/>
                <w:szCs w:val="20"/>
                <w:lang w:eastAsia="en-US"/>
              </w:rPr>
            </w:pPr>
            <w:r w:rsidRPr="00B13E65">
              <w:rPr>
                <w:rFonts w:ascii="Arial" w:hAnsi="Arial" w:cs="Arial"/>
                <w:sz w:val="20"/>
                <w:szCs w:val="20"/>
                <w:lang w:eastAsia="en-US"/>
              </w:rPr>
              <w:t>102.3</w:t>
            </w:r>
          </w:p>
        </w:tc>
        <w:tc>
          <w:tcPr>
            <w:tcW w:w="1011" w:type="pct"/>
            <w:shd w:val="clear" w:color="auto" w:fill="auto"/>
            <w:noWrap/>
            <w:hideMark/>
          </w:tcPr>
          <w:p w:rsidR="00DB25E8" w:rsidRPr="00EA43C3" w:rsidRDefault="00B13E65" w:rsidP="00EA43C3">
            <w:pPr>
              <w:jc w:val="both"/>
              <w:rPr>
                <w:rFonts w:ascii="Arial" w:hAnsi="Arial" w:cs="Arial"/>
                <w:sz w:val="20"/>
                <w:szCs w:val="20"/>
                <w:lang w:eastAsia="en-US"/>
              </w:rPr>
            </w:pPr>
            <w:r w:rsidRPr="00B13E65">
              <w:rPr>
                <w:rFonts w:ascii="Arial" w:hAnsi="Arial" w:cs="Arial"/>
                <w:sz w:val="20"/>
                <w:szCs w:val="20"/>
                <w:lang w:eastAsia="en-US"/>
              </w:rPr>
              <w:t>+1.99 (S)</w:t>
            </w:r>
          </w:p>
        </w:tc>
      </w:tr>
    </w:tbl>
    <w:p w:rsidR="00814C7C" w:rsidRDefault="00232506">
      <w:pPr>
        <w:pStyle w:val="AERbodytext"/>
        <w:spacing w:before="240"/>
        <w:jc w:val="both"/>
      </w:pPr>
      <w:r>
        <w:t xml:space="preserve">Similar to the previous gas day, </w:t>
      </w:r>
      <w:r w:rsidR="00662F9B">
        <w:t xml:space="preserve">three of the four major participants forecast their demand </w:t>
      </w:r>
      <w:r w:rsidR="00772CF2">
        <w:t xml:space="preserve">highly </w:t>
      </w:r>
      <w:r w:rsidR="00662F9B">
        <w:t xml:space="preserve">accurately, </w:t>
      </w:r>
      <w:r w:rsidR="00A95AE4">
        <w:t xml:space="preserve">while one participant </w:t>
      </w:r>
      <w:r w:rsidR="00662F9B">
        <w:t xml:space="preserve">over forecast its demand by over </w:t>
      </w:r>
      <w:r w:rsidR="00911813">
        <w:t>9 </w:t>
      </w:r>
      <w:r w:rsidR="00662F9B">
        <w:t>per</w:t>
      </w:r>
      <w:r w:rsidR="00911813">
        <w:t> </w:t>
      </w:r>
      <w:r w:rsidR="00662F9B">
        <w:t xml:space="preserve">cent. </w:t>
      </w:r>
      <w:r>
        <w:t>As shown in figure A11, p</w:t>
      </w:r>
      <w:r w:rsidR="00477E0D">
        <w:t>rice</w:t>
      </w:r>
      <w:r w:rsidR="00A322ED">
        <w:t xml:space="preserve"> </w:t>
      </w:r>
      <w:r w:rsidR="00477E0D">
        <w:t>taker</w:t>
      </w:r>
      <w:r w:rsidR="00662F9B">
        <w:t xml:space="preserve"> bids remained </w:t>
      </w:r>
      <w:r w:rsidR="006D32D8">
        <w:t xml:space="preserve">relatively </w:t>
      </w:r>
      <w:r w:rsidR="00662F9B">
        <w:t>cons</w:t>
      </w:r>
      <w:r>
        <w:t>tant</w:t>
      </w:r>
      <w:r w:rsidR="00662F9B">
        <w:t xml:space="preserve"> throughout the provisional schedules and the ex ante and ex post schedules. </w:t>
      </w:r>
    </w:p>
    <w:p w:rsidR="00B72AC1" w:rsidRDefault="00662F9B" w:rsidP="00B72AC1">
      <w:pPr>
        <w:pStyle w:val="AERbodytext"/>
        <w:spacing w:before="240"/>
        <w:jc w:val="both"/>
      </w:pPr>
      <w:r w:rsidRPr="0064775E">
        <w:t>Figure</w:t>
      </w:r>
      <w:r w:rsidR="00477E0D" w:rsidRPr="0064775E">
        <w:t> A</w:t>
      </w:r>
      <w:r w:rsidR="006E42E2" w:rsidRPr="0064775E">
        <w:t>11</w:t>
      </w:r>
      <w:r w:rsidRPr="0064775E">
        <w:t xml:space="preserve"> </w:t>
      </w:r>
      <w:r w:rsidR="0064775E" w:rsidRPr="0064775E">
        <w:t xml:space="preserve">shows offers, price taker bids and scheduled gas </w:t>
      </w:r>
      <w:r w:rsidR="0064775E">
        <w:t xml:space="preserve">for the </w:t>
      </w:r>
      <w:r w:rsidR="00A322ED" w:rsidRPr="0064775E">
        <w:t>6 July gas day</w:t>
      </w:r>
      <w:r w:rsidR="0064775E">
        <w:t>.</w:t>
      </w:r>
      <w:r w:rsidR="00B72AC1" w:rsidRPr="00B72AC1">
        <w:t xml:space="preserve"> </w:t>
      </w:r>
      <w:r w:rsidR="00B72AC1">
        <w:t xml:space="preserve">The figure shows that scheduled quantity and price fell across the schedules. </w:t>
      </w:r>
    </w:p>
    <w:p w:rsidR="00814C7C" w:rsidRDefault="00607B65">
      <w:pPr>
        <w:keepNext/>
      </w:pPr>
      <w:r w:rsidRPr="00607B65">
        <w:rPr>
          <w:rFonts w:ascii="Arial" w:hAnsi="Arial" w:cs="Arial"/>
          <w:b/>
          <w:sz w:val="20"/>
          <w:szCs w:val="20"/>
          <w:lang w:eastAsia="en-US"/>
        </w:rPr>
        <w:t>Figure A11: Provisional, ex ante and ex post prices and quantities, 6 July</w:t>
      </w:r>
    </w:p>
    <w:p w:rsidR="00662F9B" w:rsidRDefault="00DB2A1A" w:rsidP="00662F9B">
      <w:r>
        <w:pict>
          <v:shape id="_x0000_i1047" type="#_x0000_t75" style="width:451.6pt;height:167.05pt">
            <v:imagedata r:id="rId30" o:title=""/>
          </v:shape>
        </w:pict>
      </w:r>
    </w:p>
    <w:p w:rsidR="00A72390" w:rsidRDefault="00236EB7" w:rsidP="00E01C82">
      <w:pPr>
        <w:pStyle w:val="Heading3"/>
      </w:pPr>
      <w:r>
        <w:t>Brisbane hub</w:t>
      </w:r>
    </w:p>
    <w:p w:rsidR="00582814" w:rsidRPr="00F23DA5" w:rsidRDefault="00582814" w:rsidP="00582814">
      <w:pPr>
        <w:pStyle w:val="AERbodytext"/>
        <w:spacing w:before="240"/>
        <w:jc w:val="both"/>
      </w:pPr>
      <w:r>
        <w:t>The following contains analysis on certain high price days throughout July</w:t>
      </w:r>
      <w:r w:rsidR="004E7A8A">
        <w:t xml:space="preserve"> for the Brisbane hub</w:t>
      </w:r>
      <w:r>
        <w:t>. The days have been chosen on the basis that the ex</w:t>
      </w:r>
      <w:r w:rsidR="00712E1C">
        <w:t> </w:t>
      </w:r>
      <w:r>
        <w:t>ante</w:t>
      </w:r>
      <w:r w:rsidR="0077673B">
        <w:t xml:space="preserve"> and ex post </w:t>
      </w:r>
      <w:r>
        <w:t>prices were above $</w:t>
      </w:r>
      <w:r w:rsidR="0077673B">
        <w:t>8</w:t>
      </w:r>
      <w:r>
        <w:t>/GJ</w:t>
      </w:r>
      <w:r w:rsidR="0077673B">
        <w:t>.</w:t>
      </w:r>
      <w:r>
        <w:t xml:space="preserve"> </w:t>
      </w:r>
    </w:p>
    <w:p w:rsidR="006C6B9A" w:rsidRDefault="00654F62" w:rsidP="006C6B9A">
      <w:pPr>
        <w:pStyle w:val="Heading4"/>
      </w:pPr>
      <w:r w:rsidRPr="00341B66">
        <w:t>5 J</w:t>
      </w:r>
      <w:r>
        <w:t>uly</w:t>
      </w:r>
    </w:p>
    <w:p w:rsidR="00814C7C" w:rsidRDefault="00654F62">
      <w:pPr>
        <w:pStyle w:val="AERbodytext"/>
        <w:spacing w:before="240"/>
        <w:jc w:val="both"/>
      </w:pPr>
      <w:r>
        <w:t xml:space="preserve">Figure </w:t>
      </w:r>
      <w:r w:rsidR="006E42E2">
        <w:t xml:space="preserve">B1 </w:t>
      </w:r>
      <w:r>
        <w:t>shows th</w:t>
      </w:r>
      <w:r w:rsidR="006179DC">
        <w:t>at even though the quantities gradually reduced over the schedules</w:t>
      </w:r>
      <w:r w:rsidR="004E7A8A">
        <w:t xml:space="preserve"> for the 5</w:t>
      </w:r>
      <w:r w:rsidR="008E3B39">
        <w:t> </w:t>
      </w:r>
      <w:r w:rsidR="004E7A8A">
        <w:t>July gas day</w:t>
      </w:r>
      <w:r w:rsidR="006179DC">
        <w:t>, the</w:t>
      </w:r>
      <w:r>
        <w:t xml:space="preserve"> ex ante and ex post price</w:t>
      </w:r>
      <w:r w:rsidR="006179DC">
        <w:t>s</w:t>
      </w:r>
      <w:r>
        <w:t xml:space="preserve"> </w:t>
      </w:r>
      <w:r w:rsidR="006179DC">
        <w:t>were</w:t>
      </w:r>
      <w:r>
        <w:t xml:space="preserve"> higher than forecast in the provisional schedules</w:t>
      </w:r>
      <w:r w:rsidR="009565CB">
        <w:t>.</w:t>
      </w:r>
    </w:p>
    <w:p w:rsidR="00654F62" w:rsidRPr="00D620E4" w:rsidRDefault="00654F62" w:rsidP="00654F62">
      <w:pPr>
        <w:keepNext/>
        <w:rPr>
          <w:rFonts w:ascii="Arial" w:hAnsi="Arial" w:cs="Arial"/>
          <w:b/>
          <w:sz w:val="20"/>
          <w:szCs w:val="20"/>
          <w:lang w:eastAsia="en-US"/>
        </w:rPr>
      </w:pPr>
      <w:r>
        <w:rPr>
          <w:rFonts w:ascii="Arial" w:hAnsi="Arial" w:cs="Arial"/>
          <w:b/>
          <w:sz w:val="20"/>
          <w:szCs w:val="20"/>
          <w:lang w:eastAsia="en-US"/>
        </w:rPr>
        <w:t xml:space="preserve">Figure </w:t>
      </w:r>
      <w:r w:rsidR="00477E0D">
        <w:rPr>
          <w:rFonts w:ascii="Arial" w:hAnsi="Arial" w:cs="Arial"/>
          <w:b/>
          <w:sz w:val="20"/>
          <w:szCs w:val="20"/>
          <w:lang w:eastAsia="en-US"/>
        </w:rPr>
        <w:t>B1</w:t>
      </w:r>
      <w:r w:rsidR="0060145C">
        <w:rPr>
          <w:rFonts w:ascii="Arial" w:hAnsi="Arial" w:cs="Arial"/>
          <w:b/>
          <w:sz w:val="20"/>
          <w:szCs w:val="20"/>
          <w:lang w:eastAsia="en-US"/>
        </w:rPr>
        <w:t>:</w:t>
      </w:r>
      <w:r>
        <w:rPr>
          <w:rFonts w:ascii="Arial" w:hAnsi="Arial" w:cs="Arial"/>
          <w:b/>
          <w:sz w:val="20"/>
          <w:szCs w:val="20"/>
          <w:lang w:eastAsia="en-US"/>
        </w:rPr>
        <w:t xml:space="preserve"> </w:t>
      </w:r>
      <w:r w:rsidR="0085710B">
        <w:rPr>
          <w:rFonts w:ascii="Arial" w:hAnsi="Arial" w:cs="Arial"/>
          <w:b/>
          <w:sz w:val="20"/>
          <w:szCs w:val="20"/>
          <w:lang w:eastAsia="en-US"/>
        </w:rPr>
        <w:t>P</w:t>
      </w:r>
      <w:r w:rsidR="0085710B" w:rsidRPr="00D620E4">
        <w:rPr>
          <w:rFonts w:ascii="Arial" w:hAnsi="Arial" w:cs="Arial"/>
          <w:b/>
          <w:sz w:val="20"/>
          <w:szCs w:val="20"/>
          <w:lang w:eastAsia="en-US"/>
        </w:rPr>
        <w:t>rovisional</w:t>
      </w:r>
      <w:r w:rsidRPr="00D620E4">
        <w:rPr>
          <w:rFonts w:ascii="Arial" w:hAnsi="Arial" w:cs="Arial"/>
          <w:b/>
          <w:sz w:val="20"/>
          <w:szCs w:val="20"/>
          <w:lang w:eastAsia="en-US"/>
        </w:rPr>
        <w:t>, ex ante and ex post prices and quantities</w:t>
      </w:r>
      <w:r w:rsidR="0085710B">
        <w:rPr>
          <w:rFonts w:ascii="Arial" w:hAnsi="Arial" w:cs="Arial"/>
          <w:b/>
          <w:sz w:val="20"/>
          <w:szCs w:val="20"/>
          <w:lang w:eastAsia="en-US"/>
        </w:rPr>
        <w:t>, 5 July</w:t>
      </w:r>
    </w:p>
    <w:tbl>
      <w:tblPr>
        <w:tblW w:w="5000" w:type="pct"/>
        <w:tblBorders>
          <w:top w:val="single" w:sz="12" w:space="0" w:color="000000"/>
          <w:bottom w:val="single" w:sz="12" w:space="0" w:color="000000"/>
          <w:insideH w:val="single" w:sz="6" w:space="0" w:color="000000"/>
        </w:tblBorders>
        <w:tblLook w:val="04A0"/>
      </w:tblPr>
      <w:tblGrid>
        <w:gridCol w:w="1760"/>
        <w:gridCol w:w="1871"/>
        <w:gridCol w:w="1871"/>
        <w:gridCol w:w="1871"/>
        <w:gridCol w:w="1869"/>
      </w:tblGrid>
      <w:tr w:rsidR="00654F62" w:rsidRPr="00E626C7" w:rsidTr="00C4251A">
        <w:trPr>
          <w:trHeight w:val="300"/>
        </w:trPr>
        <w:tc>
          <w:tcPr>
            <w:tcW w:w="952" w:type="pct"/>
            <w:shd w:val="clear" w:color="auto" w:fill="auto"/>
            <w:noWrap/>
            <w:hideMark/>
          </w:tcPr>
          <w:p w:rsidR="00654F62" w:rsidRPr="0085710B" w:rsidRDefault="00654F62" w:rsidP="00C4251A">
            <w:pPr>
              <w:rPr>
                <w:rFonts w:ascii="Arial" w:hAnsi="Arial" w:cs="Arial"/>
                <w:sz w:val="20"/>
                <w:szCs w:val="20"/>
              </w:rPr>
            </w:pPr>
          </w:p>
        </w:tc>
        <w:tc>
          <w:tcPr>
            <w:tcW w:w="1012" w:type="pct"/>
            <w:shd w:val="clear" w:color="auto" w:fill="auto"/>
            <w:noWrap/>
            <w:vAlign w:val="center"/>
            <w:hideMark/>
          </w:tcPr>
          <w:p w:rsidR="00654F62" w:rsidRPr="0085710B" w:rsidRDefault="00607B65" w:rsidP="00C4251A">
            <w:pPr>
              <w:rPr>
                <w:rFonts w:ascii="Arial" w:hAnsi="Arial" w:cs="Arial"/>
                <w:b/>
                <w:sz w:val="20"/>
                <w:szCs w:val="20"/>
              </w:rPr>
            </w:pPr>
            <w:r w:rsidRPr="00607B65">
              <w:rPr>
                <w:rFonts w:ascii="Arial" w:hAnsi="Arial" w:cs="Arial"/>
                <w:b/>
                <w:sz w:val="20"/>
                <w:szCs w:val="20"/>
              </w:rPr>
              <w:t>D-3</w:t>
            </w:r>
          </w:p>
        </w:tc>
        <w:tc>
          <w:tcPr>
            <w:tcW w:w="1012" w:type="pct"/>
            <w:shd w:val="clear" w:color="auto" w:fill="auto"/>
            <w:noWrap/>
            <w:vAlign w:val="center"/>
            <w:hideMark/>
          </w:tcPr>
          <w:p w:rsidR="00654F62" w:rsidRPr="0085710B" w:rsidRDefault="00607B65" w:rsidP="00C4251A">
            <w:pPr>
              <w:rPr>
                <w:rFonts w:ascii="Arial" w:hAnsi="Arial" w:cs="Arial"/>
                <w:b/>
                <w:sz w:val="20"/>
                <w:szCs w:val="20"/>
              </w:rPr>
            </w:pPr>
            <w:r w:rsidRPr="00607B65">
              <w:rPr>
                <w:rFonts w:ascii="Arial" w:hAnsi="Arial" w:cs="Arial"/>
                <w:b/>
                <w:sz w:val="20"/>
                <w:szCs w:val="20"/>
              </w:rPr>
              <w:t>D-2</w:t>
            </w:r>
          </w:p>
        </w:tc>
        <w:tc>
          <w:tcPr>
            <w:tcW w:w="1012" w:type="pct"/>
            <w:shd w:val="clear" w:color="auto" w:fill="auto"/>
            <w:noWrap/>
            <w:vAlign w:val="center"/>
            <w:hideMark/>
          </w:tcPr>
          <w:p w:rsidR="00654F62" w:rsidRPr="0085710B" w:rsidRDefault="00607B65" w:rsidP="00C4251A">
            <w:pPr>
              <w:rPr>
                <w:rFonts w:ascii="Arial" w:hAnsi="Arial" w:cs="Arial"/>
                <w:b/>
                <w:sz w:val="20"/>
                <w:szCs w:val="20"/>
              </w:rPr>
            </w:pPr>
            <w:r w:rsidRPr="00607B65">
              <w:rPr>
                <w:rFonts w:ascii="Arial" w:hAnsi="Arial" w:cs="Arial"/>
                <w:b/>
                <w:sz w:val="20"/>
                <w:szCs w:val="20"/>
              </w:rPr>
              <w:t>Ex ante</w:t>
            </w:r>
            <w:r w:rsidR="00B72AC1">
              <w:rPr>
                <w:rFonts w:ascii="Arial" w:hAnsi="Arial" w:cs="Arial"/>
                <w:b/>
                <w:sz w:val="20"/>
                <w:szCs w:val="20"/>
              </w:rPr>
              <w:t xml:space="preserve"> </w:t>
            </w:r>
            <w:r w:rsidRPr="00607B65">
              <w:rPr>
                <w:rFonts w:ascii="Arial" w:hAnsi="Arial" w:cs="Arial"/>
                <w:b/>
                <w:sz w:val="20"/>
                <w:szCs w:val="20"/>
              </w:rPr>
              <w:t>(D-1)</w:t>
            </w:r>
          </w:p>
        </w:tc>
        <w:tc>
          <w:tcPr>
            <w:tcW w:w="1011" w:type="pct"/>
            <w:shd w:val="clear" w:color="auto" w:fill="auto"/>
            <w:noWrap/>
            <w:vAlign w:val="center"/>
            <w:hideMark/>
          </w:tcPr>
          <w:p w:rsidR="00654F62" w:rsidRPr="0085710B" w:rsidRDefault="00607B65" w:rsidP="00C4251A">
            <w:pPr>
              <w:rPr>
                <w:rFonts w:ascii="Arial" w:hAnsi="Arial" w:cs="Arial"/>
                <w:b/>
                <w:sz w:val="20"/>
                <w:szCs w:val="20"/>
              </w:rPr>
            </w:pPr>
            <w:r w:rsidRPr="00607B65">
              <w:rPr>
                <w:rFonts w:ascii="Arial" w:hAnsi="Arial" w:cs="Arial"/>
                <w:b/>
                <w:sz w:val="20"/>
                <w:szCs w:val="20"/>
              </w:rPr>
              <w:t>Ex post</w:t>
            </w:r>
          </w:p>
        </w:tc>
      </w:tr>
      <w:tr w:rsidR="00654F62" w:rsidRPr="00E626C7" w:rsidTr="00C4251A">
        <w:trPr>
          <w:trHeight w:val="50"/>
        </w:trPr>
        <w:tc>
          <w:tcPr>
            <w:tcW w:w="952" w:type="pct"/>
            <w:shd w:val="clear" w:color="auto" w:fill="auto"/>
            <w:noWrap/>
            <w:hideMark/>
          </w:tcPr>
          <w:p w:rsidR="00654F62" w:rsidRPr="0085710B" w:rsidRDefault="00607B65" w:rsidP="00C4251A">
            <w:pPr>
              <w:rPr>
                <w:rFonts w:ascii="Arial" w:hAnsi="Arial" w:cs="Arial"/>
                <w:b/>
                <w:sz w:val="20"/>
                <w:szCs w:val="20"/>
              </w:rPr>
            </w:pPr>
            <w:r w:rsidRPr="00607B65">
              <w:rPr>
                <w:rFonts w:ascii="Arial" w:hAnsi="Arial" w:cs="Arial"/>
                <w:b/>
                <w:sz w:val="20"/>
                <w:szCs w:val="20"/>
              </w:rPr>
              <w:t>Price ($/GJ)</w:t>
            </w:r>
          </w:p>
        </w:tc>
        <w:tc>
          <w:tcPr>
            <w:tcW w:w="1012" w:type="pct"/>
            <w:shd w:val="clear" w:color="auto" w:fill="auto"/>
            <w:noWrap/>
            <w:hideMark/>
          </w:tcPr>
          <w:p w:rsidR="00654F62" w:rsidRPr="0085710B" w:rsidRDefault="00607B65" w:rsidP="00C4251A">
            <w:pPr>
              <w:rPr>
                <w:rFonts w:ascii="Arial" w:hAnsi="Arial" w:cs="Arial"/>
                <w:sz w:val="20"/>
                <w:szCs w:val="20"/>
              </w:rPr>
            </w:pPr>
            <w:r w:rsidRPr="00607B65">
              <w:rPr>
                <w:rFonts w:ascii="Arial" w:hAnsi="Arial" w:cs="Arial"/>
                <w:sz w:val="20"/>
                <w:szCs w:val="20"/>
              </w:rPr>
              <w:t>4.45</w:t>
            </w:r>
          </w:p>
        </w:tc>
        <w:tc>
          <w:tcPr>
            <w:tcW w:w="1012" w:type="pct"/>
            <w:shd w:val="clear" w:color="auto" w:fill="auto"/>
            <w:noWrap/>
            <w:hideMark/>
          </w:tcPr>
          <w:p w:rsidR="00654F62" w:rsidRPr="0085710B" w:rsidRDefault="00607B65" w:rsidP="00C4251A">
            <w:pPr>
              <w:rPr>
                <w:rFonts w:ascii="Arial" w:hAnsi="Arial" w:cs="Arial"/>
                <w:sz w:val="20"/>
                <w:szCs w:val="20"/>
              </w:rPr>
            </w:pPr>
            <w:r w:rsidRPr="00607B65">
              <w:rPr>
                <w:rFonts w:ascii="Arial" w:hAnsi="Arial" w:cs="Arial"/>
                <w:sz w:val="20"/>
                <w:szCs w:val="20"/>
              </w:rPr>
              <w:t>4.45</w:t>
            </w:r>
          </w:p>
        </w:tc>
        <w:tc>
          <w:tcPr>
            <w:tcW w:w="1012" w:type="pct"/>
            <w:shd w:val="clear" w:color="auto" w:fill="auto"/>
            <w:noWrap/>
            <w:hideMark/>
          </w:tcPr>
          <w:p w:rsidR="00654F62" w:rsidRPr="0085710B" w:rsidRDefault="00607B65" w:rsidP="00C4251A">
            <w:pPr>
              <w:rPr>
                <w:rFonts w:ascii="Arial" w:hAnsi="Arial" w:cs="Arial"/>
                <w:sz w:val="20"/>
                <w:szCs w:val="20"/>
              </w:rPr>
            </w:pPr>
            <w:r w:rsidRPr="00607B65">
              <w:rPr>
                <w:rFonts w:ascii="Arial" w:hAnsi="Arial" w:cs="Arial"/>
                <w:sz w:val="20"/>
                <w:szCs w:val="20"/>
              </w:rPr>
              <w:t>8.22</w:t>
            </w:r>
          </w:p>
        </w:tc>
        <w:tc>
          <w:tcPr>
            <w:tcW w:w="1011" w:type="pct"/>
            <w:shd w:val="clear" w:color="auto" w:fill="auto"/>
            <w:noWrap/>
            <w:hideMark/>
          </w:tcPr>
          <w:p w:rsidR="00654F62" w:rsidRPr="0085710B" w:rsidRDefault="00607B65" w:rsidP="00C4251A">
            <w:pPr>
              <w:rPr>
                <w:rFonts w:ascii="Arial" w:hAnsi="Arial" w:cs="Arial"/>
                <w:sz w:val="20"/>
                <w:szCs w:val="20"/>
              </w:rPr>
            </w:pPr>
            <w:r w:rsidRPr="00607B65">
              <w:rPr>
                <w:rFonts w:ascii="Arial" w:hAnsi="Arial" w:cs="Arial"/>
                <w:sz w:val="20"/>
                <w:szCs w:val="20"/>
              </w:rPr>
              <w:t>8.21</w:t>
            </w:r>
          </w:p>
        </w:tc>
      </w:tr>
      <w:tr w:rsidR="00654F62" w:rsidRPr="00E626C7" w:rsidTr="00C4251A">
        <w:trPr>
          <w:trHeight w:val="300"/>
        </w:trPr>
        <w:tc>
          <w:tcPr>
            <w:tcW w:w="952" w:type="pct"/>
            <w:shd w:val="clear" w:color="auto" w:fill="auto"/>
            <w:noWrap/>
            <w:hideMark/>
          </w:tcPr>
          <w:p w:rsidR="00654F62" w:rsidRPr="0085710B" w:rsidRDefault="00607B65" w:rsidP="00C4251A">
            <w:pPr>
              <w:rPr>
                <w:rFonts w:ascii="Arial" w:hAnsi="Arial" w:cs="Arial"/>
                <w:b/>
                <w:sz w:val="20"/>
                <w:szCs w:val="20"/>
              </w:rPr>
            </w:pPr>
            <w:r w:rsidRPr="00607B65">
              <w:rPr>
                <w:rFonts w:ascii="Arial" w:hAnsi="Arial" w:cs="Arial"/>
                <w:b/>
                <w:sz w:val="20"/>
                <w:szCs w:val="20"/>
              </w:rPr>
              <w:t>Quantity (TJ)</w:t>
            </w:r>
          </w:p>
        </w:tc>
        <w:tc>
          <w:tcPr>
            <w:tcW w:w="1012" w:type="pct"/>
            <w:shd w:val="clear" w:color="auto" w:fill="auto"/>
            <w:noWrap/>
            <w:hideMark/>
          </w:tcPr>
          <w:p w:rsidR="009565CB" w:rsidRPr="0085710B" w:rsidRDefault="00607B65" w:rsidP="00C4251A">
            <w:pPr>
              <w:rPr>
                <w:rFonts w:ascii="Arial" w:hAnsi="Arial" w:cs="Arial"/>
                <w:sz w:val="20"/>
                <w:szCs w:val="20"/>
              </w:rPr>
            </w:pPr>
            <w:r w:rsidRPr="00607B65">
              <w:rPr>
                <w:rFonts w:ascii="Arial" w:hAnsi="Arial" w:cs="Arial"/>
                <w:sz w:val="20"/>
                <w:szCs w:val="20"/>
              </w:rPr>
              <w:t>178.3</w:t>
            </w:r>
          </w:p>
        </w:tc>
        <w:tc>
          <w:tcPr>
            <w:tcW w:w="1012" w:type="pct"/>
            <w:shd w:val="clear" w:color="auto" w:fill="auto"/>
            <w:noWrap/>
            <w:hideMark/>
          </w:tcPr>
          <w:p w:rsidR="00654F62" w:rsidRPr="0085710B" w:rsidRDefault="00607B65" w:rsidP="00C4251A">
            <w:pPr>
              <w:rPr>
                <w:rFonts w:ascii="Arial" w:hAnsi="Arial" w:cs="Arial"/>
                <w:sz w:val="20"/>
                <w:szCs w:val="20"/>
              </w:rPr>
            </w:pPr>
            <w:r w:rsidRPr="00607B65">
              <w:rPr>
                <w:rFonts w:ascii="Arial" w:hAnsi="Arial" w:cs="Arial"/>
                <w:sz w:val="20"/>
                <w:szCs w:val="20"/>
              </w:rPr>
              <w:t>174.1</w:t>
            </w:r>
          </w:p>
        </w:tc>
        <w:tc>
          <w:tcPr>
            <w:tcW w:w="1012" w:type="pct"/>
            <w:shd w:val="clear" w:color="auto" w:fill="auto"/>
            <w:noWrap/>
            <w:hideMark/>
          </w:tcPr>
          <w:p w:rsidR="00654F62" w:rsidRPr="0085710B" w:rsidRDefault="00607B65" w:rsidP="00C4251A">
            <w:pPr>
              <w:rPr>
                <w:rFonts w:ascii="Arial" w:hAnsi="Arial" w:cs="Arial"/>
                <w:sz w:val="20"/>
                <w:szCs w:val="20"/>
              </w:rPr>
            </w:pPr>
            <w:r w:rsidRPr="00607B65">
              <w:rPr>
                <w:rFonts w:ascii="Arial" w:hAnsi="Arial" w:cs="Arial"/>
                <w:sz w:val="20"/>
                <w:szCs w:val="20"/>
              </w:rPr>
              <w:t>173.8</w:t>
            </w:r>
          </w:p>
        </w:tc>
        <w:tc>
          <w:tcPr>
            <w:tcW w:w="1011" w:type="pct"/>
            <w:shd w:val="clear" w:color="auto" w:fill="auto"/>
            <w:noWrap/>
            <w:hideMark/>
          </w:tcPr>
          <w:p w:rsidR="00654F62" w:rsidRPr="0085710B" w:rsidRDefault="00607B65" w:rsidP="00C4251A">
            <w:pPr>
              <w:rPr>
                <w:rFonts w:ascii="Arial" w:hAnsi="Arial" w:cs="Arial"/>
                <w:sz w:val="20"/>
                <w:szCs w:val="20"/>
              </w:rPr>
            </w:pPr>
            <w:r w:rsidRPr="00607B65">
              <w:rPr>
                <w:rFonts w:ascii="Arial" w:hAnsi="Arial" w:cs="Arial"/>
                <w:sz w:val="20"/>
                <w:szCs w:val="20"/>
              </w:rPr>
              <w:t>-2.6</w:t>
            </w:r>
            <w:r w:rsidR="004131CC">
              <w:rPr>
                <w:rFonts w:ascii="Arial" w:hAnsi="Arial" w:cs="Arial"/>
                <w:sz w:val="20"/>
                <w:szCs w:val="20"/>
              </w:rPr>
              <w:t>1</w:t>
            </w:r>
            <w:r w:rsidRPr="00607B65">
              <w:rPr>
                <w:rFonts w:ascii="Arial" w:hAnsi="Arial" w:cs="Arial"/>
                <w:sz w:val="20"/>
                <w:szCs w:val="20"/>
              </w:rPr>
              <w:t xml:space="preserve"> (L)</w:t>
            </w:r>
          </w:p>
        </w:tc>
      </w:tr>
    </w:tbl>
    <w:p w:rsidR="00814C7C" w:rsidRDefault="00D04579">
      <w:pPr>
        <w:pStyle w:val="AERbodytext"/>
        <w:spacing w:before="240"/>
      </w:pPr>
      <w:r>
        <w:t>All</w:t>
      </w:r>
      <w:r w:rsidR="0050431E">
        <w:t xml:space="preserve"> five </w:t>
      </w:r>
      <w:r w:rsidR="0080417A">
        <w:t xml:space="preserve">major </w:t>
      </w:r>
      <w:r w:rsidR="0050431E">
        <w:t>participants</w:t>
      </w:r>
      <w:r w:rsidR="008E3B39">
        <w:t>’</w:t>
      </w:r>
      <w:r w:rsidR="0080417A">
        <w:rPr>
          <w:rStyle w:val="FootnoteReference"/>
        </w:rPr>
        <w:footnoteReference w:id="16"/>
      </w:r>
      <w:r w:rsidR="0050431E">
        <w:t xml:space="preserve"> demand</w:t>
      </w:r>
      <w:r w:rsidR="00382CFE">
        <w:t xml:space="preserve"> forecasts were highly accurate.</w:t>
      </w:r>
    </w:p>
    <w:p w:rsidR="0064775E" w:rsidRDefault="0064775E" w:rsidP="0064775E">
      <w:pPr>
        <w:pStyle w:val="AERbodytext"/>
        <w:jc w:val="both"/>
      </w:pPr>
      <w:r>
        <w:t xml:space="preserve">Figure B2 </w:t>
      </w:r>
      <w:r w:rsidRPr="0064775E">
        <w:t xml:space="preserve">shows </w:t>
      </w:r>
      <w:r w:rsidR="00886976">
        <w:t>the offers for the provisional schedules (D-3 and D-2) and the ex ante schedule (D-1). It also shows the amount of gas scheduled (the red line) and the amount of price taker bids (the black dotted line).</w:t>
      </w:r>
    </w:p>
    <w:p w:rsidR="00DF71B2" w:rsidRDefault="00607B65">
      <w:pPr>
        <w:keepNext/>
      </w:pPr>
      <w:r w:rsidRPr="00607B65">
        <w:rPr>
          <w:rFonts w:ascii="Arial" w:hAnsi="Arial" w:cs="Arial"/>
          <w:b/>
          <w:sz w:val="20"/>
          <w:szCs w:val="20"/>
          <w:lang w:eastAsia="en-US"/>
        </w:rPr>
        <w:lastRenderedPageBreak/>
        <w:t>Figure B2: Provisional, ex ante and ex post prices and quantities, 5 July</w:t>
      </w:r>
    </w:p>
    <w:p w:rsidR="0004624D" w:rsidRDefault="00DB2A1A" w:rsidP="007D1AD6">
      <w:pPr>
        <w:pStyle w:val="AERbodytext"/>
        <w:jc w:val="both"/>
      </w:pPr>
      <w:r>
        <w:pict>
          <v:shape id="_x0000_i1048" type="#_x0000_t75" style="width:450.45pt;height:152.05pt">
            <v:imagedata r:id="rId31" o:title=""/>
          </v:shape>
        </w:pict>
      </w:r>
    </w:p>
    <w:p w:rsidR="00DF71B2" w:rsidRDefault="0080417A">
      <w:pPr>
        <w:pStyle w:val="AERbodytext"/>
        <w:jc w:val="both"/>
      </w:pPr>
      <w:r>
        <w:t xml:space="preserve">Figure B2 shows that even though the quantities gradually reduced over the schedules, the </w:t>
      </w:r>
      <w:r w:rsidR="001D4225">
        <w:t>ex </w:t>
      </w:r>
      <w:r>
        <w:t xml:space="preserve">ante and ex post prices were higher than forecast in the provisional schedules. </w:t>
      </w:r>
      <w:r w:rsidR="00F93A8B">
        <w:t xml:space="preserve">The </w:t>
      </w:r>
      <w:r w:rsidR="00FB1D1E">
        <w:t xml:space="preserve">high </w:t>
      </w:r>
      <w:r w:rsidR="001D4225">
        <w:t>ex </w:t>
      </w:r>
      <w:r w:rsidR="00FB1D1E">
        <w:t xml:space="preserve">ante </w:t>
      </w:r>
      <w:r w:rsidR="00F93A8B">
        <w:t xml:space="preserve">price was largely caused by </w:t>
      </w:r>
      <w:r w:rsidR="0067647A">
        <w:t xml:space="preserve">a </w:t>
      </w:r>
      <w:r w:rsidR="00FB1D1E">
        <w:t xml:space="preserve">reduction </w:t>
      </w:r>
      <w:r w:rsidR="0067647A">
        <w:t xml:space="preserve">in </w:t>
      </w:r>
      <w:r w:rsidR="00442CB4">
        <w:t xml:space="preserve">offers around </w:t>
      </w:r>
      <w:r w:rsidR="0067647A">
        <w:t xml:space="preserve">$0/GJ </w:t>
      </w:r>
      <w:r w:rsidR="00D04579">
        <w:t>and $2–$3/GJ.</w:t>
      </w:r>
      <w:r w:rsidR="0067647A">
        <w:t xml:space="preserve"> </w:t>
      </w:r>
      <w:r w:rsidR="00FB1D1E">
        <w:t xml:space="preserve">The largest rebid was by </w:t>
      </w:r>
      <w:r w:rsidR="004C4854">
        <w:t>AGL</w:t>
      </w:r>
      <w:r w:rsidR="00FB1D1E">
        <w:t xml:space="preserve">, reducing </w:t>
      </w:r>
      <w:r w:rsidR="004C4854">
        <w:t>its $0/GJ offer</w:t>
      </w:r>
      <w:r w:rsidR="00FB1D1E">
        <w:t xml:space="preserve">s </w:t>
      </w:r>
      <w:r w:rsidR="004C4854">
        <w:t>from 31</w:t>
      </w:r>
      <w:r w:rsidR="00477E0D">
        <w:t> </w:t>
      </w:r>
      <w:r w:rsidR="004C4854">
        <w:t xml:space="preserve">TJ to </w:t>
      </w:r>
      <w:r w:rsidR="00FB1D1E">
        <w:t>26 </w:t>
      </w:r>
      <w:r w:rsidR="004C4854">
        <w:t>TJ</w:t>
      </w:r>
      <w:r w:rsidR="00FB1D1E">
        <w:t>.</w:t>
      </w:r>
      <w:r w:rsidR="004C4854">
        <w:t xml:space="preserve"> </w:t>
      </w:r>
      <w:r w:rsidR="00382CFE">
        <w:t xml:space="preserve">It is </w:t>
      </w:r>
      <w:r w:rsidR="008B35FA">
        <w:t>interesting to note that</w:t>
      </w:r>
      <w:r w:rsidR="004C4854">
        <w:t xml:space="preserve"> there were no offers priced between $6/GJ and $8/GJ</w:t>
      </w:r>
      <w:r w:rsidR="00382CFE">
        <w:t xml:space="preserve"> at any schedule</w:t>
      </w:r>
      <w:r w:rsidR="0007418D">
        <w:t>.</w:t>
      </w:r>
      <w:r w:rsidR="00150EAF">
        <w:t xml:space="preserve"> </w:t>
      </w:r>
    </w:p>
    <w:p w:rsidR="0067647A" w:rsidRDefault="0067647A" w:rsidP="0067647A">
      <w:pPr>
        <w:pStyle w:val="Heading4"/>
      </w:pPr>
      <w:r>
        <w:t>6</w:t>
      </w:r>
      <w:r w:rsidRPr="00341B66">
        <w:t xml:space="preserve"> J</w:t>
      </w:r>
      <w:r>
        <w:t>uly</w:t>
      </w:r>
    </w:p>
    <w:p w:rsidR="00814C7C" w:rsidRDefault="0067647A">
      <w:pPr>
        <w:pStyle w:val="AERbodytext"/>
        <w:spacing w:before="240"/>
        <w:jc w:val="both"/>
      </w:pPr>
      <w:r>
        <w:t xml:space="preserve">Figure </w:t>
      </w:r>
      <w:r w:rsidR="00150EAF">
        <w:t xml:space="preserve">B3 </w:t>
      </w:r>
      <w:r>
        <w:t xml:space="preserve">shows </w:t>
      </w:r>
      <w:r w:rsidR="008B35FA">
        <w:t xml:space="preserve">that even though the quantities gradually reduced over the schedules, the </w:t>
      </w:r>
      <w:r w:rsidR="001D4225">
        <w:t>ex </w:t>
      </w:r>
      <w:r w:rsidR="008B35FA">
        <w:t>ante and ex post prices were higher than forecast in the provisional schedules</w:t>
      </w:r>
      <w:r w:rsidR="004E7A8A">
        <w:t xml:space="preserve"> for the </w:t>
      </w:r>
      <w:r w:rsidR="001D4225">
        <w:t>6 </w:t>
      </w:r>
      <w:r w:rsidR="004E7A8A">
        <w:t>July gas day</w:t>
      </w:r>
      <w:r w:rsidR="008B35FA">
        <w:t>.</w:t>
      </w:r>
      <w:r w:rsidR="003E25EF">
        <w:t xml:space="preserve"> </w:t>
      </w:r>
    </w:p>
    <w:p w:rsidR="0067647A" w:rsidRPr="00D620E4" w:rsidRDefault="0067647A" w:rsidP="0067647A">
      <w:pPr>
        <w:keepNext/>
        <w:rPr>
          <w:rFonts w:ascii="Arial" w:hAnsi="Arial" w:cs="Arial"/>
          <w:b/>
          <w:sz w:val="20"/>
          <w:szCs w:val="20"/>
          <w:lang w:eastAsia="en-US"/>
        </w:rPr>
      </w:pPr>
      <w:r>
        <w:rPr>
          <w:rFonts w:ascii="Arial" w:hAnsi="Arial" w:cs="Arial"/>
          <w:b/>
          <w:sz w:val="20"/>
          <w:szCs w:val="20"/>
          <w:lang w:eastAsia="en-US"/>
        </w:rPr>
        <w:t xml:space="preserve">Figure </w:t>
      </w:r>
      <w:r w:rsidR="00150EAF">
        <w:rPr>
          <w:rFonts w:ascii="Arial" w:hAnsi="Arial" w:cs="Arial"/>
          <w:b/>
          <w:sz w:val="20"/>
          <w:szCs w:val="20"/>
          <w:lang w:eastAsia="en-US"/>
        </w:rPr>
        <w:t>B3</w:t>
      </w:r>
      <w:r w:rsidR="0060145C">
        <w:rPr>
          <w:rFonts w:ascii="Arial" w:hAnsi="Arial" w:cs="Arial"/>
          <w:b/>
          <w:sz w:val="20"/>
          <w:szCs w:val="20"/>
          <w:lang w:eastAsia="en-US"/>
        </w:rPr>
        <w:t>:</w:t>
      </w:r>
      <w:r>
        <w:rPr>
          <w:rFonts w:ascii="Arial" w:hAnsi="Arial" w:cs="Arial"/>
          <w:b/>
          <w:sz w:val="20"/>
          <w:szCs w:val="20"/>
          <w:lang w:eastAsia="en-US"/>
        </w:rPr>
        <w:t xml:space="preserve"> </w:t>
      </w:r>
      <w:r w:rsidR="0085710B">
        <w:rPr>
          <w:rFonts w:ascii="Arial" w:hAnsi="Arial" w:cs="Arial"/>
          <w:b/>
          <w:sz w:val="20"/>
          <w:szCs w:val="20"/>
          <w:lang w:eastAsia="en-US"/>
        </w:rPr>
        <w:t>P</w:t>
      </w:r>
      <w:r w:rsidR="0085710B" w:rsidRPr="00D620E4">
        <w:rPr>
          <w:rFonts w:ascii="Arial" w:hAnsi="Arial" w:cs="Arial"/>
          <w:b/>
          <w:sz w:val="20"/>
          <w:szCs w:val="20"/>
          <w:lang w:eastAsia="en-US"/>
        </w:rPr>
        <w:t>rovisional</w:t>
      </w:r>
      <w:r w:rsidRPr="00D620E4">
        <w:rPr>
          <w:rFonts w:ascii="Arial" w:hAnsi="Arial" w:cs="Arial"/>
          <w:b/>
          <w:sz w:val="20"/>
          <w:szCs w:val="20"/>
          <w:lang w:eastAsia="en-US"/>
        </w:rPr>
        <w:t>, ex ante and ex post prices and quantities</w:t>
      </w:r>
      <w:r w:rsidR="0085710B">
        <w:rPr>
          <w:rFonts w:ascii="Arial" w:hAnsi="Arial" w:cs="Arial"/>
          <w:b/>
          <w:sz w:val="20"/>
          <w:szCs w:val="20"/>
          <w:lang w:eastAsia="en-US"/>
        </w:rPr>
        <w:t>, 6 July</w:t>
      </w:r>
    </w:p>
    <w:tbl>
      <w:tblPr>
        <w:tblW w:w="5000" w:type="pct"/>
        <w:tblBorders>
          <w:top w:val="single" w:sz="12" w:space="0" w:color="000000"/>
          <w:bottom w:val="single" w:sz="12" w:space="0" w:color="000000"/>
          <w:insideH w:val="single" w:sz="6" w:space="0" w:color="000000"/>
        </w:tblBorders>
        <w:tblLook w:val="04A0"/>
      </w:tblPr>
      <w:tblGrid>
        <w:gridCol w:w="1760"/>
        <w:gridCol w:w="1871"/>
        <w:gridCol w:w="1871"/>
        <w:gridCol w:w="1871"/>
        <w:gridCol w:w="1869"/>
      </w:tblGrid>
      <w:tr w:rsidR="0067647A" w:rsidRPr="00E626C7" w:rsidTr="0067647A">
        <w:trPr>
          <w:trHeight w:val="300"/>
        </w:trPr>
        <w:tc>
          <w:tcPr>
            <w:tcW w:w="952" w:type="pct"/>
            <w:shd w:val="clear" w:color="auto" w:fill="auto"/>
            <w:noWrap/>
            <w:hideMark/>
          </w:tcPr>
          <w:p w:rsidR="0067647A" w:rsidRPr="0085710B" w:rsidRDefault="0067647A" w:rsidP="0067647A">
            <w:pPr>
              <w:rPr>
                <w:rFonts w:ascii="Arial" w:hAnsi="Arial" w:cs="Arial"/>
                <w:sz w:val="20"/>
                <w:szCs w:val="20"/>
              </w:rPr>
            </w:pPr>
          </w:p>
        </w:tc>
        <w:tc>
          <w:tcPr>
            <w:tcW w:w="1012" w:type="pct"/>
            <w:shd w:val="clear" w:color="auto" w:fill="auto"/>
            <w:noWrap/>
            <w:vAlign w:val="center"/>
            <w:hideMark/>
          </w:tcPr>
          <w:p w:rsidR="0067647A" w:rsidRPr="0085710B" w:rsidRDefault="00607B65" w:rsidP="0067647A">
            <w:pPr>
              <w:rPr>
                <w:rFonts w:ascii="Arial" w:hAnsi="Arial" w:cs="Arial"/>
                <w:b/>
                <w:sz w:val="20"/>
                <w:szCs w:val="20"/>
              </w:rPr>
            </w:pPr>
            <w:r w:rsidRPr="00607B65">
              <w:rPr>
                <w:rFonts w:ascii="Arial" w:hAnsi="Arial" w:cs="Arial"/>
                <w:b/>
                <w:sz w:val="20"/>
                <w:szCs w:val="20"/>
              </w:rPr>
              <w:t>D-3</w:t>
            </w:r>
          </w:p>
        </w:tc>
        <w:tc>
          <w:tcPr>
            <w:tcW w:w="1012" w:type="pct"/>
            <w:shd w:val="clear" w:color="auto" w:fill="auto"/>
            <w:noWrap/>
            <w:vAlign w:val="center"/>
            <w:hideMark/>
          </w:tcPr>
          <w:p w:rsidR="0067647A" w:rsidRPr="0085710B" w:rsidRDefault="00607B65" w:rsidP="0067647A">
            <w:pPr>
              <w:rPr>
                <w:rFonts w:ascii="Arial" w:hAnsi="Arial" w:cs="Arial"/>
                <w:b/>
                <w:sz w:val="20"/>
                <w:szCs w:val="20"/>
              </w:rPr>
            </w:pPr>
            <w:r w:rsidRPr="00607B65">
              <w:rPr>
                <w:rFonts w:ascii="Arial" w:hAnsi="Arial" w:cs="Arial"/>
                <w:b/>
                <w:sz w:val="20"/>
                <w:szCs w:val="20"/>
              </w:rPr>
              <w:t>D-2</w:t>
            </w:r>
          </w:p>
        </w:tc>
        <w:tc>
          <w:tcPr>
            <w:tcW w:w="1012" w:type="pct"/>
            <w:shd w:val="clear" w:color="auto" w:fill="auto"/>
            <w:noWrap/>
            <w:vAlign w:val="center"/>
            <w:hideMark/>
          </w:tcPr>
          <w:p w:rsidR="0067647A" w:rsidRPr="0085710B" w:rsidRDefault="00607B65" w:rsidP="0067647A">
            <w:pPr>
              <w:rPr>
                <w:rFonts w:ascii="Arial" w:hAnsi="Arial" w:cs="Arial"/>
                <w:b/>
                <w:sz w:val="20"/>
                <w:szCs w:val="20"/>
              </w:rPr>
            </w:pPr>
            <w:r w:rsidRPr="00607B65">
              <w:rPr>
                <w:rFonts w:ascii="Arial" w:hAnsi="Arial" w:cs="Arial"/>
                <w:b/>
                <w:sz w:val="20"/>
                <w:szCs w:val="20"/>
              </w:rPr>
              <w:t>Ex ante</w:t>
            </w:r>
            <w:r w:rsidR="00356CFE">
              <w:rPr>
                <w:rFonts w:ascii="Arial" w:hAnsi="Arial" w:cs="Arial"/>
                <w:b/>
                <w:sz w:val="20"/>
                <w:szCs w:val="20"/>
              </w:rPr>
              <w:t xml:space="preserve"> </w:t>
            </w:r>
            <w:r w:rsidRPr="00607B65">
              <w:rPr>
                <w:rFonts w:ascii="Arial" w:hAnsi="Arial" w:cs="Arial"/>
                <w:b/>
                <w:sz w:val="20"/>
                <w:szCs w:val="20"/>
              </w:rPr>
              <w:t>(D-1)</w:t>
            </w:r>
          </w:p>
        </w:tc>
        <w:tc>
          <w:tcPr>
            <w:tcW w:w="1011" w:type="pct"/>
            <w:shd w:val="clear" w:color="auto" w:fill="auto"/>
            <w:noWrap/>
            <w:vAlign w:val="center"/>
            <w:hideMark/>
          </w:tcPr>
          <w:p w:rsidR="0067647A" w:rsidRPr="0085710B" w:rsidRDefault="00607B65" w:rsidP="0067647A">
            <w:pPr>
              <w:rPr>
                <w:rFonts w:ascii="Arial" w:hAnsi="Arial" w:cs="Arial"/>
                <w:b/>
                <w:sz w:val="20"/>
                <w:szCs w:val="20"/>
              </w:rPr>
            </w:pPr>
            <w:r w:rsidRPr="00607B65">
              <w:rPr>
                <w:rFonts w:ascii="Arial" w:hAnsi="Arial" w:cs="Arial"/>
                <w:b/>
                <w:sz w:val="20"/>
                <w:szCs w:val="20"/>
              </w:rPr>
              <w:t>Ex post</w:t>
            </w:r>
          </w:p>
        </w:tc>
      </w:tr>
      <w:tr w:rsidR="0067647A" w:rsidRPr="00E626C7" w:rsidTr="0067647A">
        <w:trPr>
          <w:trHeight w:val="50"/>
        </w:trPr>
        <w:tc>
          <w:tcPr>
            <w:tcW w:w="952" w:type="pct"/>
            <w:shd w:val="clear" w:color="auto" w:fill="auto"/>
            <w:noWrap/>
            <w:hideMark/>
          </w:tcPr>
          <w:p w:rsidR="0067647A" w:rsidRPr="0085710B" w:rsidRDefault="00607B65" w:rsidP="0067647A">
            <w:pPr>
              <w:rPr>
                <w:rFonts w:ascii="Arial" w:hAnsi="Arial" w:cs="Arial"/>
                <w:b/>
                <w:sz w:val="20"/>
                <w:szCs w:val="20"/>
              </w:rPr>
            </w:pPr>
            <w:r w:rsidRPr="00607B65">
              <w:rPr>
                <w:rFonts w:ascii="Arial" w:hAnsi="Arial" w:cs="Arial"/>
                <w:b/>
                <w:sz w:val="20"/>
                <w:szCs w:val="20"/>
              </w:rPr>
              <w:t>Price ($/GJ)</w:t>
            </w:r>
          </w:p>
        </w:tc>
        <w:tc>
          <w:tcPr>
            <w:tcW w:w="1012" w:type="pct"/>
            <w:shd w:val="clear" w:color="auto" w:fill="auto"/>
            <w:noWrap/>
            <w:hideMark/>
          </w:tcPr>
          <w:p w:rsidR="0067647A" w:rsidRPr="0085710B" w:rsidRDefault="00607B65" w:rsidP="0067647A">
            <w:pPr>
              <w:rPr>
                <w:rFonts w:ascii="Arial" w:hAnsi="Arial" w:cs="Arial"/>
                <w:sz w:val="20"/>
                <w:szCs w:val="20"/>
              </w:rPr>
            </w:pPr>
            <w:r w:rsidRPr="00607B65">
              <w:rPr>
                <w:rFonts w:ascii="Arial" w:hAnsi="Arial" w:cs="Arial"/>
                <w:sz w:val="20"/>
                <w:szCs w:val="20"/>
              </w:rPr>
              <w:t>5.51</w:t>
            </w:r>
          </w:p>
        </w:tc>
        <w:tc>
          <w:tcPr>
            <w:tcW w:w="1012" w:type="pct"/>
            <w:shd w:val="clear" w:color="auto" w:fill="auto"/>
            <w:noWrap/>
            <w:hideMark/>
          </w:tcPr>
          <w:p w:rsidR="0067647A" w:rsidRPr="0085710B" w:rsidRDefault="00607B65" w:rsidP="0067647A">
            <w:pPr>
              <w:rPr>
                <w:rFonts w:ascii="Arial" w:hAnsi="Arial" w:cs="Arial"/>
                <w:sz w:val="20"/>
                <w:szCs w:val="20"/>
              </w:rPr>
            </w:pPr>
            <w:r w:rsidRPr="00607B65">
              <w:rPr>
                <w:rFonts w:ascii="Arial" w:hAnsi="Arial" w:cs="Arial"/>
                <w:sz w:val="20"/>
                <w:szCs w:val="20"/>
              </w:rPr>
              <w:t>4.51</w:t>
            </w:r>
          </w:p>
        </w:tc>
        <w:tc>
          <w:tcPr>
            <w:tcW w:w="1012" w:type="pct"/>
            <w:shd w:val="clear" w:color="auto" w:fill="auto"/>
            <w:noWrap/>
            <w:hideMark/>
          </w:tcPr>
          <w:p w:rsidR="0067647A" w:rsidRPr="0085710B" w:rsidRDefault="00607B65" w:rsidP="0067647A">
            <w:pPr>
              <w:rPr>
                <w:rFonts w:ascii="Arial" w:hAnsi="Arial" w:cs="Arial"/>
                <w:sz w:val="20"/>
                <w:szCs w:val="20"/>
              </w:rPr>
            </w:pPr>
            <w:r w:rsidRPr="00607B65">
              <w:rPr>
                <w:rFonts w:ascii="Arial" w:hAnsi="Arial" w:cs="Arial"/>
                <w:sz w:val="20"/>
                <w:szCs w:val="20"/>
              </w:rPr>
              <w:t>8.04</w:t>
            </w:r>
          </w:p>
        </w:tc>
        <w:tc>
          <w:tcPr>
            <w:tcW w:w="1011" w:type="pct"/>
            <w:shd w:val="clear" w:color="auto" w:fill="auto"/>
            <w:noWrap/>
            <w:hideMark/>
          </w:tcPr>
          <w:p w:rsidR="0067647A" w:rsidRPr="0085710B" w:rsidRDefault="00607B65" w:rsidP="0067647A">
            <w:pPr>
              <w:rPr>
                <w:rFonts w:ascii="Arial" w:hAnsi="Arial" w:cs="Arial"/>
                <w:sz w:val="20"/>
                <w:szCs w:val="20"/>
              </w:rPr>
            </w:pPr>
            <w:r w:rsidRPr="00607B65">
              <w:rPr>
                <w:rFonts w:ascii="Arial" w:hAnsi="Arial" w:cs="Arial"/>
                <w:sz w:val="20"/>
                <w:szCs w:val="20"/>
              </w:rPr>
              <w:t>8.03</w:t>
            </w:r>
          </w:p>
        </w:tc>
      </w:tr>
      <w:tr w:rsidR="0067647A" w:rsidRPr="00E626C7" w:rsidTr="0067647A">
        <w:trPr>
          <w:trHeight w:val="300"/>
        </w:trPr>
        <w:tc>
          <w:tcPr>
            <w:tcW w:w="952" w:type="pct"/>
            <w:shd w:val="clear" w:color="auto" w:fill="auto"/>
            <w:noWrap/>
            <w:hideMark/>
          </w:tcPr>
          <w:p w:rsidR="0067647A" w:rsidRPr="0085710B" w:rsidRDefault="00607B65" w:rsidP="0067647A">
            <w:pPr>
              <w:rPr>
                <w:rFonts w:ascii="Arial" w:hAnsi="Arial" w:cs="Arial"/>
                <w:b/>
                <w:sz w:val="20"/>
                <w:szCs w:val="20"/>
              </w:rPr>
            </w:pPr>
            <w:r w:rsidRPr="00607B65">
              <w:rPr>
                <w:rFonts w:ascii="Arial" w:hAnsi="Arial" w:cs="Arial"/>
                <w:b/>
                <w:sz w:val="20"/>
                <w:szCs w:val="20"/>
              </w:rPr>
              <w:t>Quantity (TJ)</w:t>
            </w:r>
          </w:p>
        </w:tc>
        <w:tc>
          <w:tcPr>
            <w:tcW w:w="1012" w:type="pct"/>
            <w:shd w:val="clear" w:color="auto" w:fill="auto"/>
            <w:noWrap/>
            <w:hideMark/>
          </w:tcPr>
          <w:p w:rsidR="0067647A" w:rsidRPr="0085710B" w:rsidRDefault="00607B65" w:rsidP="0067647A">
            <w:pPr>
              <w:rPr>
                <w:rFonts w:ascii="Arial" w:hAnsi="Arial" w:cs="Arial"/>
                <w:sz w:val="20"/>
                <w:szCs w:val="20"/>
              </w:rPr>
            </w:pPr>
            <w:r w:rsidRPr="00607B65">
              <w:rPr>
                <w:rFonts w:ascii="Arial" w:hAnsi="Arial" w:cs="Arial"/>
                <w:sz w:val="20"/>
                <w:szCs w:val="20"/>
              </w:rPr>
              <w:t>167.1</w:t>
            </w:r>
          </w:p>
        </w:tc>
        <w:tc>
          <w:tcPr>
            <w:tcW w:w="1012" w:type="pct"/>
            <w:shd w:val="clear" w:color="auto" w:fill="auto"/>
            <w:noWrap/>
            <w:hideMark/>
          </w:tcPr>
          <w:p w:rsidR="0067647A" w:rsidRPr="0085710B" w:rsidRDefault="00607B65" w:rsidP="0067647A">
            <w:pPr>
              <w:rPr>
                <w:rFonts w:ascii="Arial" w:hAnsi="Arial" w:cs="Arial"/>
                <w:sz w:val="20"/>
                <w:szCs w:val="20"/>
              </w:rPr>
            </w:pPr>
            <w:r w:rsidRPr="00607B65">
              <w:rPr>
                <w:rFonts w:ascii="Arial" w:hAnsi="Arial" w:cs="Arial"/>
                <w:sz w:val="20"/>
                <w:szCs w:val="20"/>
              </w:rPr>
              <w:t>166.8</w:t>
            </w:r>
          </w:p>
        </w:tc>
        <w:tc>
          <w:tcPr>
            <w:tcW w:w="1012" w:type="pct"/>
            <w:shd w:val="clear" w:color="auto" w:fill="auto"/>
            <w:noWrap/>
            <w:hideMark/>
          </w:tcPr>
          <w:p w:rsidR="0067647A" w:rsidRPr="0085710B" w:rsidRDefault="00607B65" w:rsidP="0067647A">
            <w:pPr>
              <w:rPr>
                <w:rFonts w:ascii="Arial" w:hAnsi="Arial" w:cs="Arial"/>
                <w:sz w:val="20"/>
                <w:szCs w:val="20"/>
              </w:rPr>
            </w:pPr>
            <w:r w:rsidRPr="00607B65">
              <w:rPr>
                <w:rFonts w:ascii="Arial" w:hAnsi="Arial" w:cs="Arial"/>
                <w:sz w:val="20"/>
                <w:szCs w:val="20"/>
              </w:rPr>
              <w:t>165.8</w:t>
            </w:r>
          </w:p>
        </w:tc>
        <w:tc>
          <w:tcPr>
            <w:tcW w:w="1011" w:type="pct"/>
            <w:shd w:val="clear" w:color="auto" w:fill="auto"/>
            <w:noWrap/>
            <w:hideMark/>
          </w:tcPr>
          <w:p w:rsidR="0067647A" w:rsidRPr="0085710B" w:rsidRDefault="00607B65" w:rsidP="0067647A">
            <w:pPr>
              <w:rPr>
                <w:rFonts w:ascii="Arial" w:hAnsi="Arial" w:cs="Arial"/>
                <w:sz w:val="20"/>
                <w:szCs w:val="20"/>
              </w:rPr>
            </w:pPr>
            <w:r w:rsidRPr="00607B65">
              <w:rPr>
                <w:rFonts w:ascii="Arial" w:hAnsi="Arial" w:cs="Arial"/>
                <w:sz w:val="20"/>
                <w:szCs w:val="20"/>
              </w:rPr>
              <w:t>-1.89 (L)</w:t>
            </w:r>
          </w:p>
        </w:tc>
      </w:tr>
    </w:tbl>
    <w:p w:rsidR="00814C7C" w:rsidRDefault="006E0512">
      <w:pPr>
        <w:pStyle w:val="AERbodytext"/>
        <w:spacing w:before="240"/>
        <w:jc w:val="both"/>
      </w:pPr>
      <w:r>
        <w:t xml:space="preserve">As for </w:t>
      </w:r>
      <w:r w:rsidR="003E25EF">
        <w:t>the 5 July gas day</w:t>
      </w:r>
      <w:r>
        <w:t xml:space="preserve">, </w:t>
      </w:r>
      <w:r w:rsidR="003E25EF">
        <w:t xml:space="preserve">the five </w:t>
      </w:r>
      <w:r>
        <w:t xml:space="preserve">major </w:t>
      </w:r>
      <w:r w:rsidR="003E25EF">
        <w:t>participants</w:t>
      </w:r>
      <w:r w:rsidR="008B35FA">
        <w:t>’</w:t>
      </w:r>
      <w:r w:rsidR="003E25EF">
        <w:t xml:space="preserve"> demand</w:t>
      </w:r>
      <w:r>
        <w:t xml:space="preserve"> forecasts were highly accurate</w:t>
      </w:r>
      <w:r w:rsidR="003E25EF">
        <w:t xml:space="preserve">. </w:t>
      </w:r>
    </w:p>
    <w:p w:rsidR="0064775E" w:rsidRDefault="0064775E" w:rsidP="0064775E">
      <w:pPr>
        <w:pStyle w:val="AERbodytext"/>
        <w:jc w:val="both"/>
      </w:pPr>
      <w:r>
        <w:t xml:space="preserve">Figure B4 </w:t>
      </w:r>
      <w:r w:rsidRPr="0064775E">
        <w:t xml:space="preserve">shows offers, price taker bids and scheduled gas </w:t>
      </w:r>
      <w:r>
        <w:t xml:space="preserve">for the 6 July gas day. </w:t>
      </w:r>
    </w:p>
    <w:p w:rsidR="004F5F09" w:rsidRDefault="00607B65" w:rsidP="00887D65">
      <w:pPr>
        <w:keepNext/>
      </w:pPr>
      <w:r w:rsidRPr="00607B65">
        <w:rPr>
          <w:rFonts w:ascii="Arial" w:hAnsi="Arial" w:cs="Arial"/>
          <w:b/>
          <w:sz w:val="20"/>
          <w:szCs w:val="20"/>
          <w:lang w:eastAsia="en-US"/>
        </w:rPr>
        <w:t>Figure B4: Provisional, ex ante and ex post prices and quantities, 6 July</w:t>
      </w:r>
    </w:p>
    <w:p w:rsidR="00382CFE" w:rsidRDefault="00DB2A1A" w:rsidP="00382CFE">
      <w:r>
        <w:pict>
          <v:shape id="_x0000_i1049" type="#_x0000_t75" style="width:449.85pt;height:168.75pt">
            <v:imagedata r:id="rId32" o:title=""/>
          </v:shape>
        </w:pict>
      </w:r>
    </w:p>
    <w:p w:rsidR="00814C7C" w:rsidRDefault="00382CFE">
      <w:pPr>
        <w:pStyle w:val="AERbodytext"/>
        <w:spacing w:before="240"/>
        <w:jc w:val="both"/>
      </w:pPr>
      <w:r>
        <w:t>Similar to 5 July</w:t>
      </w:r>
      <w:r w:rsidR="00552AAF">
        <w:t>, a reduction in lower priced gas offers resulted in higher priced gas offers being scheduled in order to meet demand.</w:t>
      </w:r>
      <w:r w:rsidR="008B35FA">
        <w:t xml:space="preserve"> </w:t>
      </w:r>
      <w:r w:rsidR="007619D9">
        <w:t xml:space="preserve">The biggest driver was a decrease in $0/GJ gas offers. Again, </w:t>
      </w:r>
      <w:r w:rsidR="00356CFE">
        <w:t>the largest rebid was by AGL, reducing its $0/GJ offers from 31 TJ to 26 TJ. It is interesting to note that again there were no offers priced between $6/GJ and $8/GJ at any schedule.</w:t>
      </w:r>
    </w:p>
    <w:p w:rsidR="00552AAF" w:rsidRPr="00382CFE" w:rsidRDefault="00552AAF" w:rsidP="00382CFE">
      <w:pPr>
        <w:pStyle w:val="Heading4"/>
      </w:pPr>
      <w:r w:rsidRPr="00382CFE">
        <w:lastRenderedPageBreak/>
        <w:t>7 July</w:t>
      </w:r>
    </w:p>
    <w:p w:rsidR="00814C7C" w:rsidRDefault="004E7A8A">
      <w:pPr>
        <w:pStyle w:val="AERbodytext"/>
        <w:spacing w:before="240"/>
        <w:jc w:val="both"/>
      </w:pPr>
      <w:r>
        <w:t xml:space="preserve">For </w:t>
      </w:r>
      <w:r w:rsidR="008E3B39">
        <w:t>7 </w:t>
      </w:r>
      <w:r>
        <w:t>July</w:t>
      </w:r>
      <w:r w:rsidR="008E3B39">
        <w:t>,</w:t>
      </w:r>
      <w:r>
        <w:t xml:space="preserve"> f</w:t>
      </w:r>
      <w:r w:rsidR="00356CFE">
        <w:t>igure B5 shows</w:t>
      </w:r>
      <w:r>
        <w:t>,</w:t>
      </w:r>
      <w:r w:rsidR="00356CFE">
        <w:t xml:space="preserve"> again</w:t>
      </w:r>
      <w:r>
        <w:t>,</w:t>
      </w:r>
      <w:r w:rsidR="00356CFE">
        <w:t xml:space="preserve"> that even though the quantities gradually reduced over the schedules, the ex ante and ex post prices were higher than forecast in the provisional schedules.</w:t>
      </w:r>
    </w:p>
    <w:p w:rsidR="00552AAF" w:rsidRPr="00D620E4" w:rsidRDefault="00552AAF" w:rsidP="00552AAF">
      <w:pPr>
        <w:keepNext/>
        <w:rPr>
          <w:rFonts w:ascii="Arial" w:hAnsi="Arial" w:cs="Arial"/>
          <w:b/>
          <w:sz w:val="20"/>
          <w:szCs w:val="20"/>
          <w:lang w:eastAsia="en-US"/>
        </w:rPr>
      </w:pPr>
      <w:r>
        <w:rPr>
          <w:rFonts w:ascii="Arial" w:hAnsi="Arial" w:cs="Arial"/>
          <w:b/>
          <w:sz w:val="20"/>
          <w:szCs w:val="20"/>
          <w:lang w:eastAsia="en-US"/>
        </w:rPr>
        <w:t xml:space="preserve">Figure </w:t>
      </w:r>
      <w:r w:rsidR="00F67FF6">
        <w:rPr>
          <w:rFonts w:ascii="Arial" w:hAnsi="Arial" w:cs="Arial"/>
          <w:b/>
          <w:sz w:val="20"/>
          <w:szCs w:val="20"/>
          <w:lang w:eastAsia="en-US"/>
        </w:rPr>
        <w:t>B5</w:t>
      </w:r>
      <w:r w:rsidR="0060145C">
        <w:rPr>
          <w:rFonts w:ascii="Arial" w:hAnsi="Arial" w:cs="Arial"/>
          <w:b/>
          <w:sz w:val="20"/>
          <w:szCs w:val="20"/>
          <w:lang w:eastAsia="en-US"/>
        </w:rPr>
        <w:t>:</w:t>
      </w:r>
      <w:r>
        <w:rPr>
          <w:rFonts w:ascii="Arial" w:hAnsi="Arial" w:cs="Arial"/>
          <w:b/>
          <w:sz w:val="20"/>
          <w:szCs w:val="20"/>
          <w:lang w:eastAsia="en-US"/>
        </w:rPr>
        <w:t xml:space="preserve"> </w:t>
      </w:r>
      <w:r w:rsidR="0085710B">
        <w:rPr>
          <w:rFonts w:ascii="Arial" w:hAnsi="Arial" w:cs="Arial"/>
          <w:b/>
          <w:sz w:val="20"/>
          <w:szCs w:val="20"/>
          <w:lang w:eastAsia="en-US"/>
        </w:rPr>
        <w:t>P</w:t>
      </w:r>
      <w:r w:rsidR="0085710B" w:rsidRPr="00D620E4">
        <w:rPr>
          <w:rFonts w:ascii="Arial" w:hAnsi="Arial" w:cs="Arial"/>
          <w:b/>
          <w:sz w:val="20"/>
          <w:szCs w:val="20"/>
          <w:lang w:eastAsia="en-US"/>
        </w:rPr>
        <w:t>rovisional</w:t>
      </w:r>
      <w:r w:rsidRPr="00D620E4">
        <w:rPr>
          <w:rFonts w:ascii="Arial" w:hAnsi="Arial" w:cs="Arial"/>
          <w:b/>
          <w:sz w:val="20"/>
          <w:szCs w:val="20"/>
          <w:lang w:eastAsia="en-US"/>
        </w:rPr>
        <w:t>, ex ante and ex post prices and quantities</w:t>
      </w:r>
      <w:r w:rsidR="0085710B">
        <w:rPr>
          <w:rFonts w:ascii="Arial" w:hAnsi="Arial" w:cs="Arial"/>
          <w:b/>
          <w:sz w:val="20"/>
          <w:szCs w:val="20"/>
          <w:lang w:eastAsia="en-US"/>
        </w:rPr>
        <w:t>, 7 July</w:t>
      </w:r>
    </w:p>
    <w:tbl>
      <w:tblPr>
        <w:tblW w:w="5000" w:type="pct"/>
        <w:tblBorders>
          <w:top w:val="single" w:sz="12" w:space="0" w:color="000000"/>
          <w:bottom w:val="single" w:sz="12" w:space="0" w:color="000000"/>
          <w:insideH w:val="single" w:sz="6" w:space="0" w:color="000000"/>
        </w:tblBorders>
        <w:tblLook w:val="04A0"/>
      </w:tblPr>
      <w:tblGrid>
        <w:gridCol w:w="1760"/>
        <w:gridCol w:w="1871"/>
        <w:gridCol w:w="1871"/>
        <w:gridCol w:w="1871"/>
        <w:gridCol w:w="1869"/>
      </w:tblGrid>
      <w:tr w:rsidR="00552AAF" w:rsidRPr="00E626C7" w:rsidTr="00552AAF">
        <w:trPr>
          <w:trHeight w:val="300"/>
        </w:trPr>
        <w:tc>
          <w:tcPr>
            <w:tcW w:w="952" w:type="pct"/>
            <w:shd w:val="clear" w:color="auto" w:fill="auto"/>
            <w:noWrap/>
            <w:hideMark/>
          </w:tcPr>
          <w:p w:rsidR="00552AAF" w:rsidRPr="0085710B" w:rsidRDefault="00552AAF" w:rsidP="00552AAF">
            <w:pPr>
              <w:spacing w:after="240"/>
              <w:rPr>
                <w:rFonts w:ascii="Arial" w:hAnsi="Arial" w:cs="Arial"/>
                <w:sz w:val="20"/>
                <w:szCs w:val="20"/>
              </w:rPr>
            </w:pPr>
          </w:p>
        </w:tc>
        <w:tc>
          <w:tcPr>
            <w:tcW w:w="1012" w:type="pct"/>
            <w:shd w:val="clear" w:color="auto" w:fill="auto"/>
            <w:noWrap/>
            <w:vAlign w:val="center"/>
            <w:hideMark/>
          </w:tcPr>
          <w:p w:rsidR="00552AAF" w:rsidRPr="0085710B" w:rsidRDefault="00607B65" w:rsidP="00552AAF">
            <w:pPr>
              <w:rPr>
                <w:rFonts w:ascii="Arial" w:hAnsi="Arial" w:cs="Arial"/>
                <w:b/>
                <w:sz w:val="20"/>
                <w:szCs w:val="20"/>
              </w:rPr>
            </w:pPr>
            <w:r w:rsidRPr="00607B65">
              <w:rPr>
                <w:rFonts w:ascii="Arial" w:hAnsi="Arial" w:cs="Arial"/>
                <w:b/>
                <w:sz w:val="20"/>
                <w:szCs w:val="20"/>
              </w:rPr>
              <w:t>D-3</w:t>
            </w:r>
          </w:p>
        </w:tc>
        <w:tc>
          <w:tcPr>
            <w:tcW w:w="1012" w:type="pct"/>
            <w:shd w:val="clear" w:color="auto" w:fill="auto"/>
            <w:noWrap/>
            <w:vAlign w:val="center"/>
            <w:hideMark/>
          </w:tcPr>
          <w:p w:rsidR="00552AAF" w:rsidRPr="0085710B" w:rsidRDefault="00607B65" w:rsidP="00552AAF">
            <w:pPr>
              <w:rPr>
                <w:rFonts w:ascii="Arial" w:hAnsi="Arial" w:cs="Arial"/>
                <w:b/>
                <w:sz w:val="20"/>
                <w:szCs w:val="20"/>
              </w:rPr>
            </w:pPr>
            <w:r w:rsidRPr="00607B65">
              <w:rPr>
                <w:rFonts w:ascii="Arial" w:hAnsi="Arial" w:cs="Arial"/>
                <w:b/>
                <w:sz w:val="20"/>
                <w:szCs w:val="20"/>
              </w:rPr>
              <w:t>D-2</w:t>
            </w:r>
          </w:p>
        </w:tc>
        <w:tc>
          <w:tcPr>
            <w:tcW w:w="1012" w:type="pct"/>
            <w:shd w:val="clear" w:color="auto" w:fill="auto"/>
            <w:noWrap/>
            <w:vAlign w:val="center"/>
            <w:hideMark/>
          </w:tcPr>
          <w:p w:rsidR="00552AAF" w:rsidRPr="0085710B" w:rsidRDefault="00607B65" w:rsidP="00552AAF">
            <w:pPr>
              <w:rPr>
                <w:rFonts w:ascii="Arial" w:hAnsi="Arial" w:cs="Arial"/>
                <w:b/>
                <w:sz w:val="20"/>
                <w:szCs w:val="20"/>
              </w:rPr>
            </w:pPr>
            <w:r w:rsidRPr="00607B65">
              <w:rPr>
                <w:rFonts w:ascii="Arial" w:hAnsi="Arial" w:cs="Arial"/>
                <w:b/>
                <w:sz w:val="20"/>
                <w:szCs w:val="20"/>
              </w:rPr>
              <w:t>Ex ante</w:t>
            </w:r>
            <w:r w:rsidR="00356CFE">
              <w:rPr>
                <w:rFonts w:ascii="Arial" w:hAnsi="Arial" w:cs="Arial"/>
                <w:b/>
                <w:sz w:val="20"/>
                <w:szCs w:val="20"/>
              </w:rPr>
              <w:t xml:space="preserve"> (D-1)</w:t>
            </w:r>
          </w:p>
        </w:tc>
        <w:tc>
          <w:tcPr>
            <w:tcW w:w="1011" w:type="pct"/>
            <w:shd w:val="clear" w:color="auto" w:fill="auto"/>
            <w:noWrap/>
            <w:vAlign w:val="center"/>
            <w:hideMark/>
          </w:tcPr>
          <w:p w:rsidR="00552AAF" w:rsidRPr="0085710B" w:rsidRDefault="00607B65" w:rsidP="00552AAF">
            <w:pPr>
              <w:rPr>
                <w:rFonts w:ascii="Arial" w:hAnsi="Arial" w:cs="Arial"/>
                <w:b/>
                <w:sz w:val="20"/>
                <w:szCs w:val="20"/>
              </w:rPr>
            </w:pPr>
            <w:r w:rsidRPr="00607B65">
              <w:rPr>
                <w:rFonts w:ascii="Arial" w:hAnsi="Arial" w:cs="Arial"/>
                <w:b/>
                <w:sz w:val="20"/>
                <w:szCs w:val="20"/>
              </w:rPr>
              <w:t>Ex post</w:t>
            </w:r>
          </w:p>
        </w:tc>
      </w:tr>
      <w:tr w:rsidR="00552AAF" w:rsidRPr="00E626C7" w:rsidTr="00552AAF">
        <w:trPr>
          <w:trHeight w:val="50"/>
        </w:trPr>
        <w:tc>
          <w:tcPr>
            <w:tcW w:w="952" w:type="pct"/>
            <w:shd w:val="clear" w:color="auto" w:fill="auto"/>
            <w:noWrap/>
            <w:hideMark/>
          </w:tcPr>
          <w:p w:rsidR="00552AAF" w:rsidRPr="0085710B" w:rsidRDefault="00607B65" w:rsidP="00552AAF">
            <w:pPr>
              <w:rPr>
                <w:rFonts w:ascii="Arial" w:hAnsi="Arial" w:cs="Arial"/>
                <w:b/>
                <w:sz w:val="20"/>
                <w:szCs w:val="20"/>
              </w:rPr>
            </w:pPr>
            <w:r w:rsidRPr="00607B65">
              <w:rPr>
                <w:rFonts w:ascii="Arial" w:hAnsi="Arial" w:cs="Arial"/>
                <w:b/>
                <w:sz w:val="20"/>
                <w:szCs w:val="20"/>
              </w:rPr>
              <w:t>Price ($/GJ)</w:t>
            </w:r>
          </w:p>
        </w:tc>
        <w:tc>
          <w:tcPr>
            <w:tcW w:w="1012" w:type="pct"/>
            <w:shd w:val="clear" w:color="auto" w:fill="auto"/>
            <w:noWrap/>
            <w:hideMark/>
          </w:tcPr>
          <w:p w:rsidR="00552AAF" w:rsidRPr="0085710B" w:rsidRDefault="00607B65" w:rsidP="00552AAF">
            <w:pPr>
              <w:rPr>
                <w:rFonts w:ascii="Arial" w:hAnsi="Arial" w:cs="Arial"/>
                <w:sz w:val="20"/>
                <w:szCs w:val="20"/>
              </w:rPr>
            </w:pPr>
            <w:r w:rsidRPr="00607B65">
              <w:rPr>
                <w:rFonts w:ascii="Arial" w:hAnsi="Arial" w:cs="Arial"/>
                <w:sz w:val="20"/>
                <w:szCs w:val="20"/>
              </w:rPr>
              <w:t>4.51</w:t>
            </w:r>
          </w:p>
        </w:tc>
        <w:tc>
          <w:tcPr>
            <w:tcW w:w="1012" w:type="pct"/>
            <w:shd w:val="clear" w:color="auto" w:fill="auto"/>
            <w:noWrap/>
            <w:hideMark/>
          </w:tcPr>
          <w:p w:rsidR="00552AAF" w:rsidRPr="0085710B" w:rsidRDefault="00607B65" w:rsidP="00552AAF">
            <w:pPr>
              <w:rPr>
                <w:rFonts w:ascii="Arial" w:hAnsi="Arial" w:cs="Arial"/>
                <w:sz w:val="20"/>
                <w:szCs w:val="20"/>
              </w:rPr>
            </w:pPr>
            <w:r w:rsidRPr="00607B65">
              <w:rPr>
                <w:rFonts w:ascii="Arial" w:hAnsi="Arial" w:cs="Arial"/>
                <w:sz w:val="20"/>
                <w:szCs w:val="20"/>
              </w:rPr>
              <w:t>8.03</w:t>
            </w:r>
          </w:p>
        </w:tc>
        <w:tc>
          <w:tcPr>
            <w:tcW w:w="1012" w:type="pct"/>
            <w:shd w:val="clear" w:color="auto" w:fill="auto"/>
            <w:noWrap/>
            <w:hideMark/>
          </w:tcPr>
          <w:p w:rsidR="00552AAF" w:rsidRPr="0085710B" w:rsidRDefault="00607B65" w:rsidP="00AB16E0">
            <w:pPr>
              <w:rPr>
                <w:rFonts w:ascii="Arial" w:hAnsi="Arial" w:cs="Arial"/>
                <w:sz w:val="20"/>
                <w:szCs w:val="20"/>
              </w:rPr>
            </w:pPr>
            <w:r w:rsidRPr="00607B65">
              <w:rPr>
                <w:rFonts w:ascii="Arial" w:hAnsi="Arial" w:cs="Arial"/>
                <w:sz w:val="20"/>
                <w:szCs w:val="20"/>
              </w:rPr>
              <w:t>7.</w:t>
            </w:r>
            <w:r w:rsidR="00AB16E0">
              <w:rPr>
                <w:rFonts w:ascii="Arial" w:hAnsi="Arial" w:cs="Arial"/>
                <w:sz w:val="20"/>
                <w:szCs w:val="20"/>
              </w:rPr>
              <w:t>90</w:t>
            </w:r>
          </w:p>
        </w:tc>
        <w:tc>
          <w:tcPr>
            <w:tcW w:w="1011" w:type="pct"/>
            <w:shd w:val="clear" w:color="auto" w:fill="auto"/>
            <w:noWrap/>
            <w:hideMark/>
          </w:tcPr>
          <w:p w:rsidR="00552AAF" w:rsidRPr="0085710B" w:rsidRDefault="00607B65" w:rsidP="00552AAF">
            <w:pPr>
              <w:rPr>
                <w:rFonts w:ascii="Arial" w:hAnsi="Arial" w:cs="Arial"/>
                <w:sz w:val="20"/>
                <w:szCs w:val="20"/>
              </w:rPr>
            </w:pPr>
            <w:r w:rsidRPr="00607B65">
              <w:rPr>
                <w:rFonts w:ascii="Arial" w:hAnsi="Arial" w:cs="Arial"/>
                <w:sz w:val="20"/>
                <w:szCs w:val="20"/>
              </w:rPr>
              <w:t>8.21</w:t>
            </w:r>
          </w:p>
        </w:tc>
      </w:tr>
      <w:tr w:rsidR="00552AAF" w:rsidRPr="00E626C7" w:rsidTr="00552AAF">
        <w:trPr>
          <w:trHeight w:val="300"/>
        </w:trPr>
        <w:tc>
          <w:tcPr>
            <w:tcW w:w="952" w:type="pct"/>
            <w:shd w:val="clear" w:color="auto" w:fill="auto"/>
            <w:noWrap/>
            <w:hideMark/>
          </w:tcPr>
          <w:p w:rsidR="00552AAF" w:rsidRPr="0085710B" w:rsidRDefault="00607B65" w:rsidP="00552AAF">
            <w:pPr>
              <w:rPr>
                <w:rFonts w:ascii="Arial" w:hAnsi="Arial" w:cs="Arial"/>
                <w:b/>
                <w:sz w:val="20"/>
                <w:szCs w:val="20"/>
              </w:rPr>
            </w:pPr>
            <w:r w:rsidRPr="00607B65">
              <w:rPr>
                <w:rFonts w:ascii="Arial" w:hAnsi="Arial" w:cs="Arial"/>
                <w:b/>
                <w:sz w:val="20"/>
                <w:szCs w:val="20"/>
              </w:rPr>
              <w:t>Quantity (TJ)</w:t>
            </w:r>
          </w:p>
        </w:tc>
        <w:tc>
          <w:tcPr>
            <w:tcW w:w="1012" w:type="pct"/>
            <w:shd w:val="clear" w:color="auto" w:fill="auto"/>
            <w:noWrap/>
            <w:hideMark/>
          </w:tcPr>
          <w:p w:rsidR="00552AAF" w:rsidRPr="0085710B" w:rsidRDefault="00607B65" w:rsidP="00552AAF">
            <w:pPr>
              <w:rPr>
                <w:rFonts w:ascii="Arial" w:hAnsi="Arial" w:cs="Arial"/>
                <w:sz w:val="20"/>
                <w:szCs w:val="20"/>
              </w:rPr>
            </w:pPr>
            <w:r w:rsidRPr="00607B65">
              <w:rPr>
                <w:rFonts w:ascii="Arial" w:hAnsi="Arial" w:cs="Arial"/>
                <w:sz w:val="20"/>
                <w:szCs w:val="20"/>
              </w:rPr>
              <w:t>145.8</w:t>
            </w:r>
          </w:p>
        </w:tc>
        <w:tc>
          <w:tcPr>
            <w:tcW w:w="1012" w:type="pct"/>
            <w:shd w:val="clear" w:color="auto" w:fill="auto"/>
            <w:noWrap/>
            <w:hideMark/>
          </w:tcPr>
          <w:p w:rsidR="00552AAF" w:rsidRPr="0085710B" w:rsidRDefault="00607B65" w:rsidP="00552AAF">
            <w:pPr>
              <w:rPr>
                <w:rFonts w:ascii="Arial" w:hAnsi="Arial" w:cs="Arial"/>
                <w:sz w:val="20"/>
                <w:szCs w:val="20"/>
              </w:rPr>
            </w:pPr>
            <w:r w:rsidRPr="00607B65">
              <w:rPr>
                <w:rFonts w:ascii="Arial" w:hAnsi="Arial" w:cs="Arial"/>
                <w:sz w:val="20"/>
                <w:szCs w:val="20"/>
              </w:rPr>
              <w:t>144.5</w:t>
            </w:r>
          </w:p>
        </w:tc>
        <w:tc>
          <w:tcPr>
            <w:tcW w:w="1012" w:type="pct"/>
            <w:shd w:val="clear" w:color="auto" w:fill="auto"/>
            <w:noWrap/>
            <w:hideMark/>
          </w:tcPr>
          <w:p w:rsidR="00552AAF" w:rsidRPr="0085710B" w:rsidRDefault="00607B65" w:rsidP="00552AAF">
            <w:pPr>
              <w:rPr>
                <w:rFonts w:ascii="Arial" w:hAnsi="Arial" w:cs="Arial"/>
                <w:sz w:val="20"/>
                <w:szCs w:val="20"/>
              </w:rPr>
            </w:pPr>
            <w:r w:rsidRPr="00607B65">
              <w:rPr>
                <w:rFonts w:ascii="Arial" w:hAnsi="Arial" w:cs="Arial"/>
                <w:sz w:val="20"/>
                <w:szCs w:val="20"/>
              </w:rPr>
              <w:t>142.6</w:t>
            </w:r>
          </w:p>
        </w:tc>
        <w:tc>
          <w:tcPr>
            <w:tcW w:w="1011" w:type="pct"/>
            <w:shd w:val="clear" w:color="auto" w:fill="auto"/>
            <w:noWrap/>
            <w:hideMark/>
          </w:tcPr>
          <w:p w:rsidR="00552AAF" w:rsidRPr="0085710B" w:rsidRDefault="00607B65" w:rsidP="00AB16E0">
            <w:pPr>
              <w:rPr>
                <w:rFonts w:ascii="Arial" w:hAnsi="Arial" w:cs="Arial"/>
                <w:sz w:val="20"/>
                <w:szCs w:val="20"/>
              </w:rPr>
            </w:pPr>
            <w:r w:rsidRPr="00607B65">
              <w:rPr>
                <w:rFonts w:ascii="Arial" w:hAnsi="Arial" w:cs="Arial"/>
                <w:sz w:val="20"/>
                <w:szCs w:val="20"/>
              </w:rPr>
              <w:t>+2.</w:t>
            </w:r>
            <w:r w:rsidR="00AB16E0">
              <w:rPr>
                <w:rFonts w:ascii="Arial" w:hAnsi="Arial" w:cs="Arial"/>
                <w:sz w:val="20"/>
                <w:szCs w:val="20"/>
              </w:rPr>
              <w:t>30</w:t>
            </w:r>
            <w:r w:rsidR="00AB16E0" w:rsidRPr="00607B65">
              <w:rPr>
                <w:rFonts w:ascii="Arial" w:hAnsi="Arial" w:cs="Arial"/>
                <w:sz w:val="20"/>
                <w:szCs w:val="20"/>
              </w:rPr>
              <w:t xml:space="preserve"> </w:t>
            </w:r>
            <w:r w:rsidRPr="00607B65">
              <w:rPr>
                <w:rFonts w:ascii="Arial" w:hAnsi="Arial" w:cs="Arial"/>
                <w:sz w:val="20"/>
                <w:szCs w:val="20"/>
              </w:rPr>
              <w:t>(S)</w:t>
            </w:r>
          </w:p>
        </w:tc>
      </w:tr>
    </w:tbl>
    <w:p w:rsidR="00446EAF" w:rsidRDefault="00446EAF" w:rsidP="001C1F31">
      <w:pPr>
        <w:pStyle w:val="AERbodytext"/>
        <w:spacing w:before="240"/>
        <w:jc w:val="both"/>
      </w:pPr>
      <w:r>
        <w:t>Demand forecasts were generally accurate, with a couple of participants</w:t>
      </w:r>
      <w:r w:rsidR="004E7A8A">
        <w:t>’</w:t>
      </w:r>
      <w:r>
        <w:t xml:space="preserve"> demand forecasts out by around </w:t>
      </w:r>
      <w:r w:rsidR="008E3B39">
        <w:t>2 </w:t>
      </w:r>
      <w:r>
        <w:t>TJ.</w:t>
      </w:r>
    </w:p>
    <w:p w:rsidR="00382CFE" w:rsidRDefault="0064775E" w:rsidP="008D6764">
      <w:pPr>
        <w:pStyle w:val="AERbodytext"/>
        <w:jc w:val="both"/>
        <w:rPr>
          <w:rFonts w:ascii="Arial" w:hAnsi="Arial" w:cs="Arial"/>
          <w:b/>
          <w:sz w:val="20"/>
          <w:szCs w:val="20"/>
        </w:rPr>
      </w:pPr>
      <w:r>
        <w:t xml:space="preserve">Figure B6 </w:t>
      </w:r>
      <w:r w:rsidRPr="0064775E">
        <w:t xml:space="preserve">shows offers, price taker bids and scheduled gas </w:t>
      </w:r>
      <w:r>
        <w:t xml:space="preserve">for the 7 July gas day. </w:t>
      </w:r>
    </w:p>
    <w:p w:rsidR="00382CFE" w:rsidRDefault="00607B65" w:rsidP="00382CFE">
      <w:r w:rsidRPr="00607B65">
        <w:rPr>
          <w:rFonts w:ascii="Arial" w:hAnsi="Arial" w:cs="Arial"/>
          <w:b/>
          <w:sz w:val="20"/>
          <w:szCs w:val="20"/>
          <w:lang w:eastAsia="en-US"/>
        </w:rPr>
        <w:t>Figure B6: Provisional, ex ante and ex post prices and quantities, 7 July</w:t>
      </w:r>
    </w:p>
    <w:p w:rsidR="00382CFE" w:rsidRDefault="00DB2A1A" w:rsidP="00382CFE">
      <w:pPr>
        <w:pStyle w:val="AERbodytext"/>
      </w:pPr>
      <w:r>
        <w:pict>
          <v:shape id="_x0000_i1050" type="#_x0000_t75" style="width:449.85pt;height:182pt">
            <v:imagedata r:id="rId33" o:title=""/>
          </v:shape>
        </w:pict>
      </w:r>
    </w:p>
    <w:p w:rsidR="006362BC" w:rsidRDefault="00117E2F">
      <w:pPr>
        <w:pStyle w:val="AERbodytext"/>
        <w:jc w:val="both"/>
      </w:pPr>
      <w:r>
        <w:t>Unlike the two previous days, higher prices were forecast in the provisional schedules (D-2).</w:t>
      </w:r>
    </w:p>
    <w:p w:rsidR="00D25E17" w:rsidRDefault="001D4225" w:rsidP="00D25E17">
      <w:pPr>
        <w:pStyle w:val="Heading3"/>
      </w:pPr>
      <w:r>
        <w:br w:type="page"/>
      </w:r>
      <w:r w:rsidR="00D25E17" w:rsidRPr="00D25E17">
        <w:lastRenderedPageBreak/>
        <w:t xml:space="preserve">Victorian </w:t>
      </w:r>
      <w:r w:rsidR="004E7A8A">
        <w:t xml:space="preserve">gas </w:t>
      </w:r>
      <w:r w:rsidR="00D25E17" w:rsidRPr="00D25E17">
        <w:t>market</w:t>
      </w:r>
      <w:r w:rsidR="004E7A8A">
        <w:t xml:space="preserve"> (VGM)</w:t>
      </w:r>
    </w:p>
    <w:p w:rsidR="0077673B" w:rsidRPr="00F23DA5" w:rsidRDefault="0077673B" w:rsidP="0077673B">
      <w:pPr>
        <w:pStyle w:val="AERbodytext"/>
        <w:spacing w:before="240"/>
        <w:jc w:val="both"/>
      </w:pPr>
      <w:r>
        <w:t>Th</w:t>
      </w:r>
      <w:r w:rsidR="004E7A8A">
        <w:t xml:space="preserve">is section </w:t>
      </w:r>
      <w:r>
        <w:t>contains analysis on certain high price days throughout July</w:t>
      </w:r>
      <w:r w:rsidR="004E7A8A">
        <w:t xml:space="preserve"> in the VGM</w:t>
      </w:r>
      <w:r>
        <w:t xml:space="preserve">. The days have been chosen on the basis that the price for at least one of the schedules was close to or above $10/GJ. </w:t>
      </w:r>
    </w:p>
    <w:p w:rsidR="00D25E17" w:rsidRDefault="00D25E17" w:rsidP="00D25E17">
      <w:pPr>
        <w:pStyle w:val="Heading4"/>
      </w:pPr>
      <w:r>
        <w:t>1</w:t>
      </w:r>
      <w:r w:rsidRPr="00341B66">
        <w:t xml:space="preserve"> J</w:t>
      </w:r>
      <w:r>
        <w:t>uly</w:t>
      </w:r>
    </w:p>
    <w:p w:rsidR="00814C7C" w:rsidRDefault="00937C3F">
      <w:pPr>
        <w:pStyle w:val="AERbodytext"/>
        <w:spacing w:before="240"/>
        <w:jc w:val="both"/>
      </w:pPr>
      <w:r>
        <w:t xml:space="preserve">As shown in figure V1, </w:t>
      </w:r>
      <w:r w:rsidR="004E7A8A">
        <w:t xml:space="preserve">on 1 July </w:t>
      </w:r>
      <w:r>
        <w:t>forecast demand increased throughout the day until the final schedule</w:t>
      </w:r>
      <w:r w:rsidR="00023D73">
        <w:t xml:space="preserve">. A </w:t>
      </w:r>
      <w:r>
        <w:t>12 TJ override by AEMO</w:t>
      </w:r>
      <w:r w:rsidR="000757FA">
        <w:t>, the market operator</w:t>
      </w:r>
      <w:r>
        <w:t xml:space="preserve"> saw forecast demand reduced at 10 pm. </w:t>
      </w:r>
    </w:p>
    <w:p w:rsidR="00DF71B2" w:rsidRDefault="00937C3F">
      <w:pPr>
        <w:keepNext/>
        <w:jc w:val="both"/>
        <w:rPr>
          <w:rFonts w:ascii="Arial" w:hAnsi="Arial" w:cs="Arial"/>
          <w:b/>
          <w:sz w:val="20"/>
          <w:szCs w:val="20"/>
          <w:lang w:eastAsia="en-US"/>
        </w:rPr>
      </w:pPr>
      <w:r w:rsidRPr="00486CB1">
        <w:rPr>
          <w:rFonts w:ascii="Arial" w:hAnsi="Arial" w:cs="Arial"/>
          <w:b/>
          <w:sz w:val="20"/>
          <w:szCs w:val="20"/>
          <w:lang w:eastAsia="en-US"/>
        </w:rPr>
        <w:t xml:space="preserve">Figure </w:t>
      </w:r>
      <w:r w:rsidRPr="00906A1D">
        <w:rPr>
          <w:rFonts w:ascii="Arial" w:hAnsi="Arial" w:cs="Arial"/>
          <w:b/>
          <w:sz w:val="20"/>
          <w:szCs w:val="20"/>
          <w:lang w:eastAsia="en-US"/>
        </w:rPr>
        <w:t>V</w:t>
      </w:r>
      <w:r>
        <w:rPr>
          <w:rFonts w:ascii="Arial" w:hAnsi="Arial" w:cs="Arial"/>
          <w:b/>
          <w:sz w:val="20"/>
          <w:szCs w:val="20"/>
          <w:lang w:eastAsia="en-US"/>
        </w:rPr>
        <w:t>1: 1 July gas day information</w:t>
      </w:r>
    </w:p>
    <w:tbl>
      <w:tblPr>
        <w:tblW w:w="4966" w:type="pct"/>
        <w:tblBorders>
          <w:top w:val="single" w:sz="12" w:space="0" w:color="000000"/>
          <w:bottom w:val="single" w:sz="12" w:space="0" w:color="000000"/>
          <w:insideH w:val="single" w:sz="6" w:space="0" w:color="000000"/>
        </w:tblBorders>
        <w:tblLook w:val="04A0"/>
      </w:tblPr>
      <w:tblGrid>
        <w:gridCol w:w="2239"/>
        <w:gridCol w:w="938"/>
        <w:gridCol w:w="1208"/>
        <w:gridCol w:w="1070"/>
        <w:gridCol w:w="1213"/>
        <w:gridCol w:w="1270"/>
        <w:gridCol w:w="1241"/>
      </w:tblGrid>
      <w:tr w:rsidR="00937C3F" w:rsidRPr="002D52B0" w:rsidTr="00442683">
        <w:tc>
          <w:tcPr>
            <w:tcW w:w="1219" w:type="pct"/>
            <w:shd w:val="clear" w:color="auto" w:fill="auto"/>
            <w:vAlign w:val="center"/>
          </w:tcPr>
          <w:p w:rsidR="00937C3F" w:rsidRPr="00486064" w:rsidRDefault="00607B65" w:rsidP="00937C3F">
            <w:pPr>
              <w:rPr>
                <w:rFonts w:ascii="Arial" w:hAnsi="Arial" w:cs="Arial"/>
                <w:b/>
                <w:bCs/>
                <w:color w:val="000000"/>
                <w:sz w:val="18"/>
                <w:szCs w:val="18"/>
              </w:rPr>
            </w:pPr>
            <w:r w:rsidRPr="00607B65">
              <w:rPr>
                <w:rFonts w:ascii="Arial" w:hAnsi="Arial" w:cs="Arial"/>
                <w:b/>
                <w:bCs/>
                <w:color w:val="000000"/>
                <w:sz w:val="18"/>
                <w:szCs w:val="18"/>
              </w:rPr>
              <w:t>Schedule</w:t>
            </w:r>
          </w:p>
        </w:tc>
        <w:tc>
          <w:tcPr>
            <w:tcW w:w="511" w:type="pct"/>
            <w:shd w:val="clear" w:color="auto" w:fill="auto"/>
            <w:vAlign w:val="center"/>
          </w:tcPr>
          <w:p w:rsidR="00937C3F" w:rsidRPr="00486064" w:rsidRDefault="00607B65" w:rsidP="00937C3F">
            <w:pPr>
              <w:rPr>
                <w:rFonts w:ascii="Arial" w:hAnsi="Arial" w:cs="Arial"/>
                <w:b/>
                <w:bCs/>
                <w:color w:val="000000"/>
                <w:sz w:val="18"/>
                <w:szCs w:val="18"/>
              </w:rPr>
            </w:pPr>
            <w:r w:rsidRPr="00607B65">
              <w:rPr>
                <w:rFonts w:ascii="Arial" w:hAnsi="Arial" w:cs="Arial"/>
                <w:b/>
                <w:bCs/>
                <w:color w:val="000000"/>
                <w:sz w:val="18"/>
                <w:szCs w:val="18"/>
              </w:rPr>
              <w:t>6 am</w:t>
            </w:r>
          </w:p>
        </w:tc>
        <w:tc>
          <w:tcPr>
            <w:tcW w:w="658" w:type="pct"/>
            <w:shd w:val="clear" w:color="auto" w:fill="auto"/>
            <w:vAlign w:val="center"/>
          </w:tcPr>
          <w:p w:rsidR="00937C3F" w:rsidRPr="00486064" w:rsidRDefault="00607B65" w:rsidP="00937C3F">
            <w:pPr>
              <w:rPr>
                <w:rFonts w:ascii="Arial" w:hAnsi="Arial" w:cs="Arial"/>
                <w:b/>
                <w:bCs/>
                <w:color w:val="000000"/>
                <w:sz w:val="18"/>
                <w:szCs w:val="18"/>
              </w:rPr>
            </w:pPr>
            <w:r w:rsidRPr="00607B65">
              <w:rPr>
                <w:rFonts w:ascii="Arial" w:hAnsi="Arial" w:cs="Arial"/>
                <w:b/>
                <w:bCs/>
                <w:color w:val="000000"/>
                <w:sz w:val="18"/>
                <w:szCs w:val="18"/>
              </w:rPr>
              <w:t>10 am</w:t>
            </w:r>
          </w:p>
        </w:tc>
        <w:tc>
          <w:tcPr>
            <w:tcW w:w="583" w:type="pct"/>
            <w:shd w:val="clear" w:color="auto" w:fill="auto"/>
            <w:vAlign w:val="center"/>
          </w:tcPr>
          <w:p w:rsidR="00937C3F" w:rsidRPr="00486064" w:rsidRDefault="00607B65" w:rsidP="00937C3F">
            <w:pPr>
              <w:rPr>
                <w:rFonts w:ascii="Arial" w:hAnsi="Arial" w:cs="Arial"/>
                <w:b/>
                <w:bCs/>
                <w:color w:val="000000"/>
                <w:sz w:val="18"/>
                <w:szCs w:val="18"/>
              </w:rPr>
            </w:pPr>
            <w:r w:rsidRPr="00607B65">
              <w:rPr>
                <w:rFonts w:ascii="Arial" w:hAnsi="Arial" w:cs="Arial"/>
                <w:b/>
                <w:bCs/>
                <w:color w:val="000000"/>
                <w:sz w:val="18"/>
                <w:szCs w:val="18"/>
              </w:rPr>
              <w:t>2 pm</w:t>
            </w:r>
          </w:p>
        </w:tc>
        <w:tc>
          <w:tcPr>
            <w:tcW w:w="661" w:type="pct"/>
            <w:shd w:val="clear" w:color="auto" w:fill="auto"/>
            <w:vAlign w:val="center"/>
          </w:tcPr>
          <w:p w:rsidR="00937C3F" w:rsidRPr="00486064" w:rsidRDefault="00607B65" w:rsidP="00937C3F">
            <w:pPr>
              <w:rPr>
                <w:rFonts w:ascii="Arial" w:hAnsi="Arial" w:cs="Arial"/>
                <w:b/>
                <w:bCs/>
                <w:color w:val="000000"/>
                <w:sz w:val="18"/>
                <w:szCs w:val="18"/>
              </w:rPr>
            </w:pPr>
            <w:r w:rsidRPr="00607B65">
              <w:rPr>
                <w:rFonts w:ascii="Arial" w:hAnsi="Arial" w:cs="Arial"/>
                <w:b/>
                <w:bCs/>
                <w:color w:val="000000"/>
                <w:sz w:val="18"/>
                <w:szCs w:val="18"/>
              </w:rPr>
              <w:t>6 pm</w:t>
            </w:r>
          </w:p>
        </w:tc>
        <w:tc>
          <w:tcPr>
            <w:tcW w:w="692" w:type="pct"/>
            <w:shd w:val="clear" w:color="auto" w:fill="auto"/>
            <w:vAlign w:val="center"/>
          </w:tcPr>
          <w:p w:rsidR="00937C3F" w:rsidRPr="00486064" w:rsidRDefault="00607B65" w:rsidP="00937C3F">
            <w:pPr>
              <w:rPr>
                <w:rFonts w:ascii="Arial" w:hAnsi="Arial" w:cs="Arial"/>
                <w:b/>
                <w:bCs/>
                <w:color w:val="000000"/>
                <w:sz w:val="18"/>
                <w:szCs w:val="18"/>
              </w:rPr>
            </w:pPr>
            <w:r w:rsidRPr="00607B65">
              <w:rPr>
                <w:rFonts w:ascii="Arial" w:hAnsi="Arial" w:cs="Arial"/>
                <w:b/>
                <w:bCs/>
                <w:color w:val="000000"/>
                <w:sz w:val="18"/>
                <w:szCs w:val="18"/>
              </w:rPr>
              <w:t>10 pm</w:t>
            </w:r>
          </w:p>
        </w:tc>
        <w:tc>
          <w:tcPr>
            <w:tcW w:w="677" w:type="pct"/>
          </w:tcPr>
          <w:p w:rsidR="00937C3F" w:rsidRPr="00486064" w:rsidRDefault="00607B65" w:rsidP="00937C3F">
            <w:pPr>
              <w:rPr>
                <w:rFonts w:ascii="Arial" w:hAnsi="Arial" w:cs="Arial"/>
                <w:b/>
                <w:bCs/>
                <w:color w:val="000000"/>
                <w:sz w:val="18"/>
                <w:szCs w:val="18"/>
              </w:rPr>
            </w:pPr>
            <w:r w:rsidRPr="00607B65">
              <w:rPr>
                <w:rFonts w:ascii="Arial" w:hAnsi="Arial" w:cs="Arial"/>
                <w:b/>
                <w:bCs/>
                <w:color w:val="000000"/>
                <w:sz w:val="18"/>
                <w:szCs w:val="18"/>
              </w:rPr>
              <w:t>Daily weighted price</w:t>
            </w:r>
          </w:p>
        </w:tc>
      </w:tr>
      <w:tr w:rsidR="00937C3F" w:rsidRPr="002D52B0" w:rsidTr="00442683">
        <w:tc>
          <w:tcPr>
            <w:tcW w:w="1219" w:type="pct"/>
            <w:shd w:val="clear" w:color="auto" w:fill="auto"/>
          </w:tcPr>
          <w:p w:rsidR="00937C3F" w:rsidRPr="00486064" w:rsidRDefault="00607B65" w:rsidP="00937C3F">
            <w:pPr>
              <w:rPr>
                <w:rFonts w:ascii="Arial" w:hAnsi="Arial" w:cs="Arial"/>
                <w:b/>
                <w:sz w:val="18"/>
                <w:szCs w:val="18"/>
              </w:rPr>
            </w:pPr>
            <w:r w:rsidRPr="00607B65">
              <w:rPr>
                <w:rFonts w:ascii="Arial" w:hAnsi="Arial" w:cs="Arial"/>
                <w:b/>
                <w:sz w:val="18"/>
                <w:szCs w:val="18"/>
              </w:rPr>
              <w:t>Price ($/GJ)</w:t>
            </w:r>
          </w:p>
        </w:tc>
        <w:tc>
          <w:tcPr>
            <w:tcW w:w="511" w:type="pct"/>
            <w:shd w:val="clear" w:color="auto" w:fill="auto"/>
          </w:tcPr>
          <w:p w:rsidR="00937C3F" w:rsidRPr="00486064" w:rsidRDefault="00607B65" w:rsidP="00937C3F">
            <w:pPr>
              <w:rPr>
                <w:rFonts w:ascii="Arial" w:hAnsi="Arial" w:cs="Arial"/>
                <w:sz w:val="18"/>
                <w:szCs w:val="18"/>
              </w:rPr>
            </w:pPr>
            <w:r w:rsidRPr="00607B65">
              <w:rPr>
                <w:rFonts w:ascii="Arial" w:hAnsi="Arial" w:cs="Arial"/>
                <w:sz w:val="18"/>
                <w:szCs w:val="18"/>
              </w:rPr>
              <w:t>5.22</w:t>
            </w:r>
          </w:p>
        </w:tc>
        <w:tc>
          <w:tcPr>
            <w:tcW w:w="658" w:type="pct"/>
            <w:shd w:val="clear" w:color="auto" w:fill="auto"/>
          </w:tcPr>
          <w:p w:rsidR="00937C3F" w:rsidRPr="00486064" w:rsidRDefault="00607B65" w:rsidP="00937C3F">
            <w:pPr>
              <w:rPr>
                <w:rFonts w:ascii="Arial" w:hAnsi="Arial" w:cs="Arial"/>
                <w:sz w:val="18"/>
                <w:szCs w:val="18"/>
              </w:rPr>
            </w:pPr>
            <w:r w:rsidRPr="00607B65">
              <w:rPr>
                <w:rFonts w:ascii="Arial" w:hAnsi="Arial" w:cs="Arial"/>
                <w:sz w:val="18"/>
                <w:szCs w:val="18"/>
              </w:rPr>
              <w:t>4.99</w:t>
            </w:r>
          </w:p>
        </w:tc>
        <w:tc>
          <w:tcPr>
            <w:tcW w:w="583" w:type="pct"/>
            <w:shd w:val="clear" w:color="auto" w:fill="auto"/>
          </w:tcPr>
          <w:p w:rsidR="00937C3F" w:rsidRPr="00486064" w:rsidRDefault="00607B65" w:rsidP="00937C3F">
            <w:pPr>
              <w:rPr>
                <w:rFonts w:ascii="Arial" w:hAnsi="Arial" w:cs="Arial"/>
                <w:sz w:val="18"/>
                <w:szCs w:val="18"/>
              </w:rPr>
            </w:pPr>
            <w:r w:rsidRPr="00607B65">
              <w:rPr>
                <w:rFonts w:ascii="Arial" w:hAnsi="Arial" w:cs="Arial"/>
                <w:sz w:val="18"/>
                <w:szCs w:val="18"/>
              </w:rPr>
              <w:t>5.96</w:t>
            </w:r>
          </w:p>
        </w:tc>
        <w:tc>
          <w:tcPr>
            <w:tcW w:w="661" w:type="pct"/>
            <w:shd w:val="clear" w:color="auto" w:fill="auto"/>
          </w:tcPr>
          <w:p w:rsidR="00937C3F" w:rsidRPr="00486064" w:rsidRDefault="00607B65" w:rsidP="00937C3F">
            <w:pPr>
              <w:rPr>
                <w:rFonts w:ascii="Arial" w:hAnsi="Arial" w:cs="Arial"/>
                <w:sz w:val="18"/>
                <w:szCs w:val="18"/>
              </w:rPr>
            </w:pPr>
            <w:r w:rsidRPr="00607B65">
              <w:rPr>
                <w:rFonts w:ascii="Arial" w:hAnsi="Arial" w:cs="Arial"/>
                <w:sz w:val="18"/>
                <w:szCs w:val="18"/>
              </w:rPr>
              <w:t>9.90</w:t>
            </w:r>
          </w:p>
        </w:tc>
        <w:tc>
          <w:tcPr>
            <w:tcW w:w="692" w:type="pct"/>
            <w:shd w:val="clear" w:color="auto" w:fill="auto"/>
          </w:tcPr>
          <w:p w:rsidR="00937C3F" w:rsidRPr="00486064" w:rsidRDefault="00607B65" w:rsidP="00937C3F">
            <w:pPr>
              <w:rPr>
                <w:rFonts w:ascii="Arial" w:hAnsi="Arial" w:cs="Arial"/>
                <w:sz w:val="18"/>
                <w:szCs w:val="18"/>
              </w:rPr>
            </w:pPr>
            <w:r w:rsidRPr="00607B65">
              <w:rPr>
                <w:rFonts w:ascii="Arial" w:hAnsi="Arial" w:cs="Arial"/>
                <w:sz w:val="18"/>
                <w:szCs w:val="18"/>
              </w:rPr>
              <w:t>5.00</w:t>
            </w:r>
          </w:p>
        </w:tc>
        <w:tc>
          <w:tcPr>
            <w:tcW w:w="677" w:type="pct"/>
          </w:tcPr>
          <w:p w:rsidR="00937C3F" w:rsidRPr="00486064" w:rsidRDefault="00607B65" w:rsidP="00937C3F">
            <w:pPr>
              <w:rPr>
                <w:rFonts w:ascii="Arial" w:hAnsi="Arial" w:cs="Arial"/>
                <w:sz w:val="18"/>
                <w:szCs w:val="18"/>
              </w:rPr>
            </w:pPr>
            <w:r w:rsidRPr="00607B65">
              <w:rPr>
                <w:rFonts w:ascii="Arial" w:hAnsi="Arial" w:cs="Arial"/>
                <w:sz w:val="18"/>
                <w:szCs w:val="18"/>
              </w:rPr>
              <w:t>5.34</w:t>
            </w:r>
          </w:p>
        </w:tc>
      </w:tr>
      <w:tr w:rsidR="00937C3F" w:rsidRPr="002D52B0" w:rsidTr="00442683">
        <w:tc>
          <w:tcPr>
            <w:tcW w:w="1219" w:type="pct"/>
            <w:shd w:val="clear" w:color="auto" w:fill="auto"/>
          </w:tcPr>
          <w:p w:rsidR="00937C3F" w:rsidRPr="00486064" w:rsidRDefault="00607B65" w:rsidP="00937C3F">
            <w:pPr>
              <w:rPr>
                <w:rFonts w:ascii="Arial" w:hAnsi="Arial" w:cs="Arial"/>
                <w:b/>
                <w:sz w:val="18"/>
                <w:szCs w:val="18"/>
              </w:rPr>
            </w:pPr>
            <w:r w:rsidRPr="00607B65">
              <w:rPr>
                <w:rFonts w:ascii="Arial" w:hAnsi="Arial" w:cs="Arial"/>
                <w:b/>
                <w:sz w:val="18"/>
                <w:szCs w:val="18"/>
              </w:rPr>
              <w:t>Demand forecast (TJ)</w:t>
            </w:r>
          </w:p>
        </w:tc>
        <w:tc>
          <w:tcPr>
            <w:tcW w:w="511" w:type="pct"/>
            <w:shd w:val="clear" w:color="auto" w:fill="auto"/>
          </w:tcPr>
          <w:p w:rsidR="00937C3F" w:rsidRPr="00486064" w:rsidRDefault="00607B65" w:rsidP="00937C3F">
            <w:pPr>
              <w:rPr>
                <w:rFonts w:ascii="Arial" w:hAnsi="Arial" w:cs="Arial"/>
                <w:sz w:val="18"/>
                <w:szCs w:val="18"/>
              </w:rPr>
            </w:pPr>
            <w:r w:rsidRPr="00607B65">
              <w:rPr>
                <w:rFonts w:ascii="Arial" w:hAnsi="Arial" w:cs="Arial"/>
                <w:sz w:val="18"/>
                <w:szCs w:val="18"/>
              </w:rPr>
              <w:t>1024</w:t>
            </w:r>
          </w:p>
        </w:tc>
        <w:tc>
          <w:tcPr>
            <w:tcW w:w="658" w:type="pct"/>
            <w:shd w:val="clear" w:color="auto" w:fill="auto"/>
          </w:tcPr>
          <w:p w:rsidR="00486064" w:rsidRDefault="00607B65" w:rsidP="00486064">
            <w:pPr>
              <w:rPr>
                <w:rFonts w:ascii="Arial" w:hAnsi="Arial" w:cs="Arial"/>
                <w:sz w:val="18"/>
                <w:szCs w:val="18"/>
              </w:rPr>
            </w:pPr>
            <w:r w:rsidRPr="00607B65">
              <w:rPr>
                <w:rFonts w:ascii="Arial" w:hAnsi="Arial" w:cs="Arial"/>
                <w:sz w:val="18"/>
                <w:szCs w:val="18"/>
              </w:rPr>
              <w:t>1035</w:t>
            </w:r>
          </w:p>
          <w:p w:rsidR="00937C3F" w:rsidRPr="00486064" w:rsidRDefault="00607B65" w:rsidP="00486064">
            <w:pPr>
              <w:rPr>
                <w:rFonts w:ascii="Arial" w:hAnsi="Arial" w:cs="Arial"/>
                <w:sz w:val="18"/>
                <w:szCs w:val="18"/>
              </w:rPr>
            </w:pPr>
            <w:r w:rsidRPr="00607B65">
              <w:rPr>
                <w:rFonts w:ascii="Arial" w:hAnsi="Arial" w:cs="Arial"/>
                <w:sz w:val="18"/>
                <w:szCs w:val="18"/>
              </w:rPr>
              <w:t>(+10)</w:t>
            </w:r>
          </w:p>
        </w:tc>
        <w:tc>
          <w:tcPr>
            <w:tcW w:w="583" w:type="pct"/>
            <w:shd w:val="clear" w:color="auto" w:fill="auto"/>
          </w:tcPr>
          <w:p w:rsidR="00937C3F" w:rsidRPr="00486064" w:rsidRDefault="00607B65" w:rsidP="00937C3F">
            <w:pPr>
              <w:rPr>
                <w:rFonts w:ascii="Arial" w:hAnsi="Arial" w:cs="Arial"/>
                <w:sz w:val="18"/>
                <w:szCs w:val="18"/>
              </w:rPr>
            </w:pPr>
            <w:r w:rsidRPr="00607B65">
              <w:rPr>
                <w:rFonts w:ascii="Arial" w:hAnsi="Arial" w:cs="Arial"/>
                <w:sz w:val="18"/>
                <w:szCs w:val="18"/>
              </w:rPr>
              <w:t>1054 (+20)</w:t>
            </w:r>
          </w:p>
        </w:tc>
        <w:tc>
          <w:tcPr>
            <w:tcW w:w="661" w:type="pct"/>
            <w:shd w:val="clear" w:color="auto" w:fill="auto"/>
          </w:tcPr>
          <w:p w:rsidR="00486064" w:rsidRDefault="00607B65" w:rsidP="00486064">
            <w:pPr>
              <w:rPr>
                <w:rFonts w:ascii="Arial" w:hAnsi="Arial" w:cs="Arial"/>
                <w:sz w:val="18"/>
                <w:szCs w:val="18"/>
              </w:rPr>
            </w:pPr>
            <w:r w:rsidRPr="00607B65">
              <w:rPr>
                <w:rFonts w:ascii="Arial" w:hAnsi="Arial" w:cs="Arial"/>
                <w:sz w:val="18"/>
                <w:szCs w:val="18"/>
              </w:rPr>
              <w:t>1064</w:t>
            </w:r>
          </w:p>
          <w:p w:rsidR="00937C3F" w:rsidRPr="00486064" w:rsidRDefault="00607B65" w:rsidP="00486064">
            <w:pPr>
              <w:rPr>
                <w:rFonts w:ascii="Arial" w:hAnsi="Arial" w:cs="Arial"/>
                <w:sz w:val="18"/>
                <w:szCs w:val="18"/>
              </w:rPr>
            </w:pPr>
            <w:r w:rsidRPr="00607B65">
              <w:rPr>
                <w:rFonts w:ascii="Arial" w:hAnsi="Arial" w:cs="Arial"/>
                <w:sz w:val="18"/>
                <w:szCs w:val="18"/>
              </w:rPr>
              <w:t>(+10)</w:t>
            </w:r>
          </w:p>
        </w:tc>
        <w:tc>
          <w:tcPr>
            <w:tcW w:w="692" w:type="pct"/>
            <w:shd w:val="clear" w:color="auto" w:fill="auto"/>
          </w:tcPr>
          <w:p w:rsidR="00486064" w:rsidRDefault="00607B65" w:rsidP="00486064">
            <w:pPr>
              <w:rPr>
                <w:rFonts w:ascii="Arial" w:hAnsi="Arial" w:cs="Arial"/>
                <w:sz w:val="18"/>
                <w:szCs w:val="18"/>
              </w:rPr>
            </w:pPr>
            <w:r w:rsidRPr="00607B65">
              <w:rPr>
                <w:rFonts w:ascii="Arial" w:hAnsi="Arial" w:cs="Arial"/>
                <w:sz w:val="18"/>
                <w:szCs w:val="18"/>
              </w:rPr>
              <w:t>1051</w:t>
            </w:r>
          </w:p>
          <w:p w:rsidR="00937C3F" w:rsidRPr="00486064" w:rsidRDefault="00607B65" w:rsidP="00486064">
            <w:pPr>
              <w:rPr>
                <w:rFonts w:ascii="Arial" w:hAnsi="Arial" w:cs="Arial"/>
                <w:sz w:val="18"/>
                <w:szCs w:val="18"/>
              </w:rPr>
            </w:pPr>
            <w:r w:rsidRPr="00607B65">
              <w:rPr>
                <w:rFonts w:ascii="Arial" w:hAnsi="Arial" w:cs="Arial"/>
                <w:sz w:val="18"/>
                <w:szCs w:val="18"/>
              </w:rPr>
              <w:t>(-13)</w:t>
            </w:r>
          </w:p>
        </w:tc>
        <w:tc>
          <w:tcPr>
            <w:tcW w:w="677" w:type="pct"/>
          </w:tcPr>
          <w:p w:rsidR="00937C3F" w:rsidRPr="00486064" w:rsidRDefault="00937C3F" w:rsidP="00937C3F">
            <w:pPr>
              <w:rPr>
                <w:rFonts w:ascii="Arial" w:hAnsi="Arial" w:cs="Arial"/>
                <w:sz w:val="18"/>
                <w:szCs w:val="18"/>
              </w:rPr>
            </w:pPr>
          </w:p>
        </w:tc>
      </w:tr>
      <w:tr w:rsidR="00937C3F" w:rsidRPr="00942E40" w:rsidTr="00442683">
        <w:tc>
          <w:tcPr>
            <w:tcW w:w="1219" w:type="pct"/>
            <w:shd w:val="clear" w:color="auto" w:fill="auto"/>
          </w:tcPr>
          <w:p w:rsidR="00937C3F" w:rsidRPr="00486064" w:rsidRDefault="00607B65" w:rsidP="00937C3F">
            <w:pPr>
              <w:rPr>
                <w:rFonts w:ascii="Arial" w:hAnsi="Arial" w:cs="Arial"/>
                <w:b/>
                <w:sz w:val="18"/>
                <w:szCs w:val="18"/>
              </w:rPr>
            </w:pPr>
            <w:r w:rsidRPr="00607B65">
              <w:rPr>
                <w:rFonts w:ascii="Arial" w:hAnsi="Arial" w:cs="Arial"/>
                <w:b/>
                <w:sz w:val="18"/>
                <w:szCs w:val="18"/>
              </w:rPr>
              <w:t>AEMO override (TJ)*</w:t>
            </w:r>
          </w:p>
        </w:tc>
        <w:tc>
          <w:tcPr>
            <w:tcW w:w="511" w:type="pct"/>
            <w:shd w:val="clear" w:color="auto" w:fill="auto"/>
          </w:tcPr>
          <w:p w:rsidR="00937C3F" w:rsidRPr="00486064" w:rsidRDefault="00607B65" w:rsidP="00937C3F">
            <w:pPr>
              <w:rPr>
                <w:rFonts w:ascii="Arial" w:hAnsi="Arial" w:cs="Arial"/>
                <w:sz w:val="18"/>
                <w:szCs w:val="18"/>
              </w:rPr>
            </w:pPr>
            <w:r w:rsidRPr="00607B65">
              <w:rPr>
                <w:rFonts w:ascii="Arial" w:hAnsi="Arial" w:cs="Arial"/>
                <w:sz w:val="18"/>
                <w:szCs w:val="18"/>
              </w:rPr>
              <w:t>0</w:t>
            </w:r>
          </w:p>
        </w:tc>
        <w:tc>
          <w:tcPr>
            <w:tcW w:w="658" w:type="pct"/>
            <w:shd w:val="clear" w:color="auto" w:fill="auto"/>
          </w:tcPr>
          <w:p w:rsidR="00937C3F" w:rsidRPr="00486064" w:rsidRDefault="00607B65" w:rsidP="00937C3F">
            <w:pPr>
              <w:jc w:val="both"/>
              <w:rPr>
                <w:rFonts w:ascii="Arial" w:hAnsi="Arial" w:cs="Arial"/>
                <w:sz w:val="18"/>
                <w:szCs w:val="18"/>
              </w:rPr>
            </w:pPr>
            <w:r w:rsidRPr="00607B65">
              <w:rPr>
                <w:rFonts w:ascii="Arial" w:hAnsi="Arial" w:cs="Arial"/>
                <w:sz w:val="18"/>
                <w:szCs w:val="18"/>
              </w:rPr>
              <w:t>0</w:t>
            </w:r>
          </w:p>
        </w:tc>
        <w:tc>
          <w:tcPr>
            <w:tcW w:w="583" w:type="pct"/>
            <w:shd w:val="clear" w:color="auto" w:fill="auto"/>
          </w:tcPr>
          <w:p w:rsidR="00937C3F" w:rsidRPr="00486064" w:rsidRDefault="00607B65" w:rsidP="00937C3F">
            <w:pPr>
              <w:jc w:val="both"/>
              <w:rPr>
                <w:rFonts w:ascii="Arial" w:hAnsi="Arial" w:cs="Arial"/>
                <w:sz w:val="18"/>
                <w:szCs w:val="18"/>
              </w:rPr>
            </w:pPr>
            <w:r w:rsidRPr="00607B65">
              <w:rPr>
                <w:rFonts w:ascii="Arial" w:hAnsi="Arial" w:cs="Arial"/>
                <w:sz w:val="18"/>
                <w:szCs w:val="18"/>
              </w:rPr>
              <w:t>0</w:t>
            </w:r>
          </w:p>
        </w:tc>
        <w:tc>
          <w:tcPr>
            <w:tcW w:w="661" w:type="pct"/>
            <w:shd w:val="clear" w:color="auto" w:fill="auto"/>
          </w:tcPr>
          <w:p w:rsidR="00937C3F" w:rsidRPr="00486064" w:rsidRDefault="00607B65" w:rsidP="00937C3F">
            <w:pPr>
              <w:jc w:val="both"/>
              <w:rPr>
                <w:rFonts w:ascii="Arial" w:hAnsi="Arial" w:cs="Arial"/>
                <w:sz w:val="18"/>
                <w:szCs w:val="18"/>
              </w:rPr>
            </w:pPr>
            <w:r w:rsidRPr="00607B65">
              <w:rPr>
                <w:rFonts w:ascii="Arial" w:hAnsi="Arial" w:cs="Arial"/>
                <w:sz w:val="18"/>
                <w:szCs w:val="18"/>
              </w:rPr>
              <w:t>0</w:t>
            </w:r>
          </w:p>
        </w:tc>
        <w:tc>
          <w:tcPr>
            <w:tcW w:w="692" w:type="pct"/>
            <w:shd w:val="clear" w:color="auto" w:fill="auto"/>
          </w:tcPr>
          <w:p w:rsidR="00937C3F" w:rsidRPr="00486064" w:rsidRDefault="00607B65" w:rsidP="00937C3F">
            <w:pPr>
              <w:jc w:val="both"/>
              <w:rPr>
                <w:rFonts w:ascii="Arial" w:hAnsi="Arial" w:cs="Arial"/>
                <w:sz w:val="18"/>
                <w:szCs w:val="18"/>
              </w:rPr>
            </w:pPr>
            <w:r w:rsidRPr="00607B65">
              <w:rPr>
                <w:rFonts w:ascii="Arial" w:hAnsi="Arial" w:cs="Arial"/>
                <w:sz w:val="18"/>
                <w:szCs w:val="18"/>
              </w:rPr>
              <w:t>-12</w:t>
            </w:r>
          </w:p>
        </w:tc>
        <w:tc>
          <w:tcPr>
            <w:tcW w:w="677" w:type="pct"/>
          </w:tcPr>
          <w:p w:rsidR="00937C3F" w:rsidRPr="00486064" w:rsidRDefault="00937C3F" w:rsidP="00937C3F">
            <w:pPr>
              <w:rPr>
                <w:rFonts w:ascii="Arial" w:hAnsi="Arial" w:cs="Arial"/>
                <w:sz w:val="18"/>
                <w:szCs w:val="18"/>
              </w:rPr>
            </w:pPr>
          </w:p>
        </w:tc>
      </w:tr>
      <w:tr w:rsidR="00442683" w:rsidRPr="00942E40" w:rsidTr="00442683">
        <w:tc>
          <w:tcPr>
            <w:tcW w:w="1219" w:type="pct"/>
            <w:shd w:val="clear" w:color="auto" w:fill="auto"/>
          </w:tcPr>
          <w:p w:rsidR="00442683" w:rsidRPr="00486064" w:rsidRDefault="00607B65" w:rsidP="00F95DBA">
            <w:pPr>
              <w:rPr>
                <w:rFonts w:ascii="Arial" w:hAnsi="Arial" w:cs="Arial"/>
                <w:b/>
                <w:sz w:val="18"/>
                <w:szCs w:val="18"/>
              </w:rPr>
            </w:pPr>
            <w:r w:rsidRPr="00607B65">
              <w:rPr>
                <w:rFonts w:ascii="Arial" w:hAnsi="Arial" w:cs="Arial"/>
                <w:b/>
                <w:sz w:val="18"/>
                <w:szCs w:val="18"/>
              </w:rPr>
              <w:t>Change in Injection bids &lt;=$6/GJ (TJ)</w:t>
            </w:r>
          </w:p>
        </w:tc>
        <w:tc>
          <w:tcPr>
            <w:tcW w:w="511" w:type="pct"/>
            <w:shd w:val="clear" w:color="auto" w:fill="auto"/>
          </w:tcPr>
          <w:p w:rsidR="00442683" w:rsidRPr="00486064" w:rsidRDefault="00607B65" w:rsidP="00937C3F">
            <w:pPr>
              <w:rPr>
                <w:rFonts w:ascii="Arial" w:hAnsi="Arial" w:cs="Arial"/>
                <w:sz w:val="18"/>
                <w:szCs w:val="18"/>
              </w:rPr>
            </w:pPr>
            <w:r w:rsidRPr="00607B65">
              <w:rPr>
                <w:rFonts w:ascii="Arial" w:hAnsi="Arial" w:cs="Arial"/>
                <w:sz w:val="18"/>
                <w:szCs w:val="18"/>
              </w:rPr>
              <w:t>N/A</w:t>
            </w:r>
          </w:p>
        </w:tc>
        <w:tc>
          <w:tcPr>
            <w:tcW w:w="658" w:type="pct"/>
            <w:shd w:val="clear" w:color="auto" w:fill="auto"/>
          </w:tcPr>
          <w:p w:rsidR="00442683" w:rsidRPr="00486064" w:rsidRDefault="00607B65" w:rsidP="00442683">
            <w:pPr>
              <w:rPr>
                <w:rFonts w:ascii="Arial" w:hAnsi="Arial" w:cs="Arial"/>
                <w:sz w:val="18"/>
                <w:szCs w:val="18"/>
              </w:rPr>
            </w:pPr>
            <w:r w:rsidRPr="00607B65">
              <w:rPr>
                <w:rFonts w:ascii="Arial" w:hAnsi="Arial" w:cs="Arial"/>
                <w:sz w:val="18"/>
                <w:szCs w:val="18"/>
              </w:rPr>
              <w:t>5.3</w:t>
            </w:r>
          </w:p>
        </w:tc>
        <w:tc>
          <w:tcPr>
            <w:tcW w:w="583" w:type="pct"/>
            <w:shd w:val="clear" w:color="auto" w:fill="auto"/>
          </w:tcPr>
          <w:p w:rsidR="00442683" w:rsidRPr="00486064" w:rsidRDefault="00607B65" w:rsidP="00442683">
            <w:pPr>
              <w:rPr>
                <w:rFonts w:ascii="Arial" w:hAnsi="Arial" w:cs="Arial"/>
                <w:sz w:val="18"/>
                <w:szCs w:val="18"/>
              </w:rPr>
            </w:pPr>
            <w:r w:rsidRPr="00607B65">
              <w:rPr>
                <w:rFonts w:ascii="Arial" w:hAnsi="Arial" w:cs="Arial"/>
                <w:sz w:val="18"/>
                <w:szCs w:val="18"/>
              </w:rPr>
              <w:t>13.1</w:t>
            </w:r>
          </w:p>
        </w:tc>
        <w:tc>
          <w:tcPr>
            <w:tcW w:w="661" w:type="pct"/>
            <w:shd w:val="clear" w:color="auto" w:fill="auto"/>
          </w:tcPr>
          <w:p w:rsidR="00442683" w:rsidRPr="00486064" w:rsidRDefault="00607B65" w:rsidP="00442683">
            <w:pPr>
              <w:rPr>
                <w:rFonts w:ascii="Arial" w:hAnsi="Arial" w:cs="Arial"/>
                <w:sz w:val="18"/>
                <w:szCs w:val="18"/>
              </w:rPr>
            </w:pPr>
            <w:r w:rsidRPr="00607B65">
              <w:rPr>
                <w:rFonts w:ascii="Arial" w:hAnsi="Arial" w:cs="Arial"/>
                <w:sz w:val="18"/>
                <w:szCs w:val="18"/>
              </w:rPr>
              <w:t>8.3</w:t>
            </w:r>
          </w:p>
        </w:tc>
        <w:tc>
          <w:tcPr>
            <w:tcW w:w="692" w:type="pct"/>
            <w:shd w:val="clear" w:color="auto" w:fill="auto"/>
          </w:tcPr>
          <w:p w:rsidR="00442683" w:rsidRPr="00486064" w:rsidRDefault="00607B65" w:rsidP="00442683">
            <w:pPr>
              <w:rPr>
                <w:rFonts w:ascii="Arial" w:hAnsi="Arial" w:cs="Arial"/>
                <w:sz w:val="18"/>
                <w:szCs w:val="18"/>
              </w:rPr>
            </w:pPr>
            <w:r w:rsidRPr="00607B65">
              <w:rPr>
                <w:rFonts w:ascii="Arial" w:hAnsi="Arial" w:cs="Arial"/>
                <w:sz w:val="18"/>
                <w:szCs w:val="18"/>
              </w:rPr>
              <w:t>16.3</w:t>
            </w:r>
          </w:p>
        </w:tc>
        <w:tc>
          <w:tcPr>
            <w:tcW w:w="677" w:type="pct"/>
          </w:tcPr>
          <w:p w:rsidR="00442683" w:rsidRPr="00486064" w:rsidRDefault="00442683" w:rsidP="00937C3F">
            <w:pPr>
              <w:rPr>
                <w:rFonts w:ascii="Arial" w:hAnsi="Arial" w:cs="Arial"/>
                <w:sz w:val="18"/>
                <w:szCs w:val="18"/>
              </w:rPr>
            </w:pPr>
          </w:p>
        </w:tc>
      </w:tr>
      <w:tr w:rsidR="00937C3F" w:rsidRPr="00942E40" w:rsidTr="00442683">
        <w:tc>
          <w:tcPr>
            <w:tcW w:w="1219" w:type="pct"/>
            <w:shd w:val="clear" w:color="auto" w:fill="auto"/>
          </w:tcPr>
          <w:p w:rsidR="00937C3F" w:rsidRPr="00486064" w:rsidRDefault="00607B65" w:rsidP="00F95DBA">
            <w:pPr>
              <w:rPr>
                <w:rFonts w:ascii="Arial" w:hAnsi="Arial" w:cs="Arial"/>
                <w:b/>
                <w:sz w:val="18"/>
                <w:szCs w:val="18"/>
              </w:rPr>
            </w:pPr>
            <w:r w:rsidRPr="00607B65">
              <w:rPr>
                <w:rFonts w:ascii="Arial" w:hAnsi="Arial" w:cs="Arial"/>
                <w:b/>
                <w:sz w:val="18"/>
                <w:szCs w:val="18"/>
              </w:rPr>
              <w:t>Change in withdrawal bids</w:t>
            </w:r>
            <w:r w:rsidR="00F95DBA">
              <w:rPr>
                <w:rFonts w:ascii="Arial" w:hAnsi="Arial" w:cs="Arial"/>
                <w:b/>
                <w:sz w:val="18"/>
                <w:szCs w:val="18"/>
              </w:rPr>
              <w:t>**</w:t>
            </w:r>
            <w:r w:rsidRPr="00607B65">
              <w:rPr>
                <w:rFonts w:ascii="Arial" w:hAnsi="Arial" w:cs="Arial"/>
                <w:b/>
                <w:sz w:val="18"/>
                <w:szCs w:val="18"/>
              </w:rPr>
              <w:t xml:space="preserve"> &gt;$6/GJ (TJ)</w:t>
            </w:r>
          </w:p>
        </w:tc>
        <w:tc>
          <w:tcPr>
            <w:tcW w:w="511" w:type="pct"/>
            <w:shd w:val="clear" w:color="auto" w:fill="auto"/>
          </w:tcPr>
          <w:p w:rsidR="00937C3F" w:rsidRPr="00486064" w:rsidRDefault="00607B65" w:rsidP="00937C3F">
            <w:pPr>
              <w:rPr>
                <w:rFonts w:ascii="Arial" w:hAnsi="Arial" w:cs="Arial"/>
                <w:sz w:val="18"/>
                <w:szCs w:val="18"/>
              </w:rPr>
            </w:pPr>
            <w:r w:rsidRPr="00607B65">
              <w:rPr>
                <w:rFonts w:ascii="Arial" w:hAnsi="Arial" w:cs="Arial"/>
                <w:sz w:val="18"/>
                <w:szCs w:val="18"/>
              </w:rPr>
              <w:t>N/A</w:t>
            </w:r>
          </w:p>
        </w:tc>
        <w:tc>
          <w:tcPr>
            <w:tcW w:w="658" w:type="pct"/>
            <w:shd w:val="clear" w:color="auto" w:fill="auto"/>
          </w:tcPr>
          <w:p w:rsidR="00937C3F" w:rsidRPr="00486064" w:rsidRDefault="00607B65" w:rsidP="00937C3F">
            <w:pPr>
              <w:rPr>
                <w:rFonts w:ascii="Arial" w:hAnsi="Arial" w:cs="Arial"/>
                <w:sz w:val="18"/>
                <w:szCs w:val="18"/>
              </w:rPr>
            </w:pPr>
            <w:r w:rsidRPr="00607B65">
              <w:rPr>
                <w:rFonts w:ascii="Arial" w:hAnsi="Arial" w:cs="Arial"/>
                <w:sz w:val="18"/>
                <w:szCs w:val="18"/>
              </w:rPr>
              <w:t>9.0</w:t>
            </w:r>
          </w:p>
        </w:tc>
        <w:tc>
          <w:tcPr>
            <w:tcW w:w="583" w:type="pct"/>
            <w:shd w:val="clear" w:color="auto" w:fill="auto"/>
          </w:tcPr>
          <w:p w:rsidR="00937C3F" w:rsidRPr="00486064" w:rsidRDefault="00607B65" w:rsidP="00D17780">
            <w:pPr>
              <w:rPr>
                <w:rFonts w:ascii="Arial" w:hAnsi="Arial" w:cs="Arial"/>
                <w:sz w:val="18"/>
                <w:szCs w:val="18"/>
              </w:rPr>
            </w:pPr>
            <w:r w:rsidRPr="00607B65">
              <w:rPr>
                <w:rFonts w:ascii="Arial" w:hAnsi="Arial" w:cs="Arial"/>
                <w:sz w:val="18"/>
                <w:szCs w:val="18"/>
              </w:rPr>
              <w:t>10.5</w:t>
            </w:r>
          </w:p>
        </w:tc>
        <w:tc>
          <w:tcPr>
            <w:tcW w:w="661" w:type="pct"/>
            <w:shd w:val="clear" w:color="auto" w:fill="auto"/>
          </w:tcPr>
          <w:p w:rsidR="00937C3F" w:rsidRPr="00486064" w:rsidRDefault="00607B65" w:rsidP="007A3616">
            <w:pPr>
              <w:rPr>
                <w:rFonts w:ascii="Arial" w:hAnsi="Arial" w:cs="Arial"/>
                <w:sz w:val="18"/>
                <w:szCs w:val="18"/>
              </w:rPr>
            </w:pPr>
            <w:r w:rsidRPr="00607B65">
              <w:rPr>
                <w:rFonts w:ascii="Arial" w:hAnsi="Arial" w:cs="Arial"/>
                <w:sz w:val="18"/>
                <w:szCs w:val="18"/>
              </w:rPr>
              <w:t>2.5</w:t>
            </w:r>
          </w:p>
        </w:tc>
        <w:tc>
          <w:tcPr>
            <w:tcW w:w="692" w:type="pct"/>
            <w:shd w:val="clear" w:color="auto" w:fill="auto"/>
          </w:tcPr>
          <w:p w:rsidR="00937C3F" w:rsidRPr="00486064" w:rsidRDefault="00607B65" w:rsidP="00937C3F">
            <w:pPr>
              <w:rPr>
                <w:rFonts w:ascii="Arial" w:hAnsi="Arial" w:cs="Arial"/>
                <w:sz w:val="18"/>
                <w:szCs w:val="18"/>
              </w:rPr>
            </w:pPr>
            <w:r w:rsidRPr="00607B65">
              <w:rPr>
                <w:rFonts w:ascii="Arial" w:hAnsi="Arial" w:cs="Arial"/>
                <w:sz w:val="18"/>
                <w:szCs w:val="18"/>
              </w:rPr>
              <w:t>0.0</w:t>
            </w:r>
          </w:p>
        </w:tc>
        <w:tc>
          <w:tcPr>
            <w:tcW w:w="677" w:type="pct"/>
          </w:tcPr>
          <w:p w:rsidR="00937C3F" w:rsidRPr="00486064" w:rsidRDefault="00937C3F" w:rsidP="00937C3F">
            <w:pPr>
              <w:rPr>
                <w:rFonts w:ascii="Arial" w:hAnsi="Arial" w:cs="Arial"/>
                <w:sz w:val="18"/>
                <w:szCs w:val="18"/>
              </w:rPr>
            </w:pPr>
          </w:p>
        </w:tc>
      </w:tr>
    </w:tbl>
    <w:p w:rsidR="00937C3F" w:rsidRPr="00642205" w:rsidRDefault="00E03ECD" w:rsidP="00937C3F">
      <w:pPr>
        <w:jc w:val="both"/>
        <w:rPr>
          <w:sz w:val="16"/>
          <w:szCs w:val="16"/>
        </w:rPr>
      </w:pPr>
      <w:r w:rsidRPr="00E03ECD">
        <w:rPr>
          <w:sz w:val="16"/>
          <w:szCs w:val="16"/>
        </w:rPr>
        <w:t>*AEMO override is applied to participant’s demand forecasts when in accordance with a defined AEMO procedure, the aggregated participant forecasts are considered to be outside a threshold level of accuracy (override is applied based on system security reasons).</w:t>
      </w:r>
    </w:p>
    <w:p w:rsidR="00937C3F" w:rsidRPr="00642205" w:rsidRDefault="00E03ECD" w:rsidP="00937C3F">
      <w:pPr>
        <w:jc w:val="both"/>
        <w:rPr>
          <w:sz w:val="16"/>
          <w:szCs w:val="16"/>
        </w:rPr>
      </w:pPr>
      <w:r w:rsidRPr="00E03ECD">
        <w:rPr>
          <w:sz w:val="16"/>
          <w:szCs w:val="16"/>
        </w:rPr>
        <w:t>** The $6/GJ threshold has been chosen for both injection bids and withdrawal bids as $8/GJ is one of the critical pricing points for determining the schedule price—more injection bids below $6/GJ will put downward pressure on the price; more withdrawal bids above $6/GJ will put upwards pressure on the price.</w:t>
      </w:r>
    </w:p>
    <w:p w:rsidR="00DF71B2" w:rsidRDefault="00937C3F">
      <w:pPr>
        <w:spacing w:before="120" w:after="240"/>
        <w:jc w:val="both"/>
      </w:pPr>
      <w:r w:rsidRPr="001B0AC8">
        <w:t xml:space="preserve">Actual demand for the day was </w:t>
      </w:r>
      <w:r>
        <w:rPr>
          <w:b/>
        </w:rPr>
        <w:t>1 </w:t>
      </w:r>
      <w:r w:rsidRPr="006E3328">
        <w:rPr>
          <w:b/>
        </w:rPr>
        <w:t>0</w:t>
      </w:r>
      <w:r>
        <w:rPr>
          <w:b/>
        </w:rPr>
        <w:t>25 </w:t>
      </w:r>
      <w:r w:rsidRPr="006E3328">
        <w:rPr>
          <w:b/>
        </w:rPr>
        <w:t>TJ</w:t>
      </w:r>
      <w:r w:rsidRPr="00942E40">
        <w:rPr>
          <w:rStyle w:val="FootnoteReference"/>
        </w:rPr>
        <w:footnoteReference w:id="17"/>
      </w:r>
      <w:r w:rsidRPr="00942E40">
        <w:t>.</w:t>
      </w:r>
      <w:r w:rsidRPr="001B0AC8">
        <w:t xml:space="preserve"> </w:t>
      </w:r>
    </w:p>
    <w:p w:rsidR="00D25E17" w:rsidRPr="00811ACE" w:rsidRDefault="00D25E17" w:rsidP="00D25E17">
      <w:pPr>
        <w:pStyle w:val="AERbodytext"/>
        <w:jc w:val="both"/>
        <w:rPr>
          <w:rFonts w:eastAsia="MS Mincho"/>
          <w:i/>
        </w:rPr>
      </w:pPr>
      <w:r w:rsidRPr="00811ACE">
        <w:rPr>
          <w:rFonts w:eastAsia="MS Mincho"/>
          <w:i/>
        </w:rPr>
        <w:t>Demand forecasting</w:t>
      </w:r>
    </w:p>
    <w:p w:rsidR="00C65BA4" w:rsidRDefault="00BF5B3B" w:rsidP="00C65BA4">
      <w:pPr>
        <w:pStyle w:val="AERbodytext"/>
        <w:jc w:val="both"/>
        <w:rPr>
          <w:rFonts w:eastAsia="MS Mincho"/>
        </w:rPr>
      </w:pPr>
      <w:r w:rsidRPr="00BF5B3B">
        <w:rPr>
          <w:rFonts w:eastAsia="MS Mincho"/>
        </w:rPr>
        <w:t>Actual demand on the day was close to the beginning of day (BOD) forecast</w:t>
      </w:r>
      <w:r w:rsidR="009F6D0B">
        <w:rPr>
          <w:rFonts w:eastAsia="MS Mincho"/>
        </w:rPr>
        <w:t xml:space="preserve"> (1</w:t>
      </w:r>
      <w:r w:rsidR="008E3B39">
        <w:rPr>
          <w:rFonts w:eastAsia="MS Mincho"/>
        </w:rPr>
        <w:t> </w:t>
      </w:r>
      <w:r w:rsidR="009F6D0B">
        <w:rPr>
          <w:rFonts w:eastAsia="MS Mincho"/>
        </w:rPr>
        <w:t>025</w:t>
      </w:r>
      <w:r w:rsidR="008E3B39">
        <w:rPr>
          <w:rFonts w:eastAsia="MS Mincho"/>
        </w:rPr>
        <w:t> </w:t>
      </w:r>
      <w:r w:rsidR="009F6D0B">
        <w:rPr>
          <w:rFonts w:eastAsia="MS Mincho"/>
        </w:rPr>
        <w:t>TJ vs 1</w:t>
      </w:r>
      <w:r w:rsidR="008E3B39">
        <w:rPr>
          <w:rFonts w:eastAsia="MS Mincho"/>
        </w:rPr>
        <w:t> </w:t>
      </w:r>
      <w:r w:rsidR="009F6D0B">
        <w:rPr>
          <w:rFonts w:eastAsia="MS Mincho"/>
        </w:rPr>
        <w:t>024</w:t>
      </w:r>
      <w:r w:rsidR="008E3B39">
        <w:rPr>
          <w:rFonts w:eastAsia="MS Mincho"/>
        </w:rPr>
        <w:t> </w:t>
      </w:r>
      <w:r w:rsidR="009F6D0B">
        <w:rPr>
          <w:rFonts w:eastAsia="MS Mincho"/>
        </w:rPr>
        <w:t>TJ).</w:t>
      </w:r>
      <w:r w:rsidRPr="00BF5B3B">
        <w:rPr>
          <w:rFonts w:eastAsia="MS Mincho"/>
        </w:rPr>
        <w:t xml:space="preserve"> </w:t>
      </w:r>
      <w:r w:rsidR="009F6D0B">
        <w:rPr>
          <w:rFonts w:eastAsia="MS Mincho"/>
        </w:rPr>
        <w:t xml:space="preserve"> </w:t>
      </w:r>
      <w:r w:rsidRPr="00BF5B3B">
        <w:rPr>
          <w:rFonts w:eastAsia="MS Mincho"/>
        </w:rPr>
        <w:t xml:space="preserve"> </w:t>
      </w:r>
      <w:r w:rsidR="00BD2F34">
        <w:rPr>
          <w:rFonts w:eastAsia="MS Mincho"/>
        </w:rPr>
        <w:t>However, d</w:t>
      </w:r>
      <w:r w:rsidR="007D5249">
        <w:rPr>
          <w:rFonts w:eastAsia="MS Mincho"/>
        </w:rPr>
        <w:t>emand forecasts were revised</w:t>
      </w:r>
      <w:r w:rsidR="009F6D0B">
        <w:rPr>
          <w:rFonts w:eastAsia="MS Mincho"/>
        </w:rPr>
        <w:t xml:space="preserve"> up by major participants at the 10</w:t>
      </w:r>
      <w:r w:rsidR="006703BC">
        <w:rPr>
          <w:rFonts w:eastAsia="MS Mincho"/>
        </w:rPr>
        <w:t> </w:t>
      </w:r>
      <w:r w:rsidR="009F6D0B">
        <w:rPr>
          <w:rFonts w:eastAsia="MS Mincho"/>
        </w:rPr>
        <w:t>am</w:t>
      </w:r>
      <w:r w:rsidRPr="00BF5B3B">
        <w:rPr>
          <w:rFonts w:eastAsia="MS Mincho"/>
        </w:rPr>
        <w:t>,</w:t>
      </w:r>
      <w:r w:rsidR="009F6D0B">
        <w:rPr>
          <w:rFonts w:eastAsia="MS Mincho"/>
        </w:rPr>
        <w:t xml:space="preserve"> 2</w:t>
      </w:r>
      <w:r w:rsidR="006703BC">
        <w:rPr>
          <w:rFonts w:eastAsia="MS Mincho"/>
        </w:rPr>
        <w:t> </w:t>
      </w:r>
      <w:r w:rsidR="009F6D0B">
        <w:rPr>
          <w:rFonts w:eastAsia="MS Mincho"/>
        </w:rPr>
        <w:t>pm and 6</w:t>
      </w:r>
      <w:r w:rsidR="006703BC">
        <w:rPr>
          <w:rFonts w:eastAsia="MS Mincho"/>
        </w:rPr>
        <w:t> </w:t>
      </w:r>
      <w:r w:rsidR="009F6D0B">
        <w:rPr>
          <w:rFonts w:eastAsia="MS Mincho"/>
        </w:rPr>
        <w:t>pm schedules. B</w:t>
      </w:r>
      <w:r w:rsidR="006703BC">
        <w:rPr>
          <w:rFonts w:eastAsia="MS Mincho"/>
        </w:rPr>
        <w:t>y</w:t>
      </w:r>
      <w:r w:rsidR="009F6D0B">
        <w:rPr>
          <w:rFonts w:eastAsia="MS Mincho"/>
        </w:rPr>
        <w:t xml:space="preserve"> 6</w:t>
      </w:r>
      <w:r w:rsidR="006703BC">
        <w:rPr>
          <w:rFonts w:eastAsia="MS Mincho"/>
        </w:rPr>
        <w:t> </w:t>
      </w:r>
      <w:r w:rsidR="009F6D0B">
        <w:rPr>
          <w:rFonts w:eastAsia="MS Mincho"/>
        </w:rPr>
        <w:t>pm</w:t>
      </w:r>
      <w:r w:rsidRPr="00BF5B3B">
        <w:rPr>
          <w:rFonts w:eastAsia="MS Mincho"/>
        </w:rPr>
        <w:t xml:space="preserve"> the price </w:t>
      </w:r>
      <w:r w:rsidR="009F6D0B">
        <w:rPr>
          <w:rFonts w:eastAsia="MS Mincho"/>
        </w:rPr>
        <w:t xml:space="preserve">had </w:t>
      </w:r>
      <w:r w:rsidRPr="00BF5B3B">
        <w:rPr>
          <w:rFonts w:eastAsia="MS Mincho"/>
        </w:rPr>
        <w:t xml:space="preserve">increased to $9.90/GJ </w:t>
      </w:r>
      <w:r w:rsidR="009F6D0B">
        <w:rPr>
          <w:rFonts w:eastAsia="MS Mincho"/>
        </w:rPr>
        <w:t>based on a forecast of 1064</w:t>
      </w:r>
      <w:r w:rsidR="006703BC">
        <w:rPr>
          <w:rFonts w:eastAsia="MS Mincho"/>
        </w:rPr>
        <w:t> </w:t>
      </w:r>
      <w:r w:rsidR="009F6D0B">
        <w:rPr>
          <w:rFonts w:eastAsia="MS Mincho"/>
        </w:rPr>
        <w:t>TJ of demand</w:t>
      </w:r>
      <w:r w:rsidR="00BD2F34">
        <w:rPr>
          <w:rFonts w:eastAsia="MS Mincho"/>
        </w:rPr>
        <w:t xml:space="preserve">, which turned out on the gas day </w:t>
      </w:r>
      <w:r w:rsidR="007D5249">
        <w:rPr>
          <w:rFonts w:eastAsia="MS Mincho"/>
        </w:rPr>
        <w:t xml:space="preserve">to be </w:t>
      </w:r>
      <w:r w:rsidR="00BD2F34">
        <w:rPr>
          <w:rFonts w:eastAsia="MS Mincho"/>
        </w:rPr>
        <w:t>40</w:t>
      </w:r>
      <w:r w:rsidR="006703BC">
        <w:rPr>
          <w:rFonts w:eastAsia="MS Mincho"/>
        </w:rPr>
        <w:t> </w:t>
      </w:r>
      <w:r w:rsidR="00BD2F34">
        <w:rPr>
          <w:rFonts w:eastAsia="MS Mincho"/>
        </w:rPr>
        <w:t>TJ higher than actual demand</w:t>
      </w:r>
      <w:r w:rsidRPr="00BF5B3B">
        <w:rPr>
          <w:rFonts w:eastAsia="MS Mincho"/>
        </w:rPr>
        <w:t>.</w:t>
      </w:r>
      <w:r w:rsidR="009F6D0B" w:rsidRPr="00BF5B3B">
        <w:rPr>
          <w:rFonts w:eastAsia="MS Mincho"/>
        </w:rPr>
        <w:t xml:space="preserve"> </w:t>
      </w:r>
      <w:r w:rsidR="003F69ED">
        <w:rPr>
          <w:rFonts w:eastAsia="MS Mincho"/>
        </w:rPr>
        <w:t>The market operator</w:t>
      </w:r>
      <w:r w:rsidR="000757FA">
        <w:rPr>
          <w:rFonts w:eastAsia="MS Mincho"/>
        </w:rPr>
        <w:t xml:space="preserve"> also over-forecast demand on this day, indicating a degree of difficulty in forecasting demand, reflected in inaccurate market participant forecasts.</w:t>
      </w:r>
    </w:p>
    <w:p w:rsidR="00D25E17" w:rsidRPr="006A5932" w:rsidRDefault="00D25E17" w:rsidP="00D25E17">
      <w:pPr>
        <w:pStyle w:val="AERbodytext"/>
        <w:jc w:val="both"/>
        <w:rPr>
          <w:rFonts w:eastAsia="MS Mincho"/>
          <w:i/>
        </w:rPr>
      </w:pPr>
      <w:r w:rsidRPr="006A5932">
        <w:rPr>
          <w:rFonts w:eastAsia="MS Mincho"/>
          <w:i/>
        </w:rPr>
        <w:t>Bids and rebids</w:t>
      </w:r>
    </w:p>
    <w:p w:rsidR="00D25E17" w:rsidRPr="00811ACE" w:rsidRDefault="00D25E17" w:rsidP="00D25E17">
      <w:pPr>
        <w:pStyle w:val="AERbodytext"/>
        <w:jc w:val="both"/>
        <w:rPr>
          <w:rFonts w:eastAsia="MS Mincho"/>
        </w:rPr>
      </w:pPr>
      <w:r w:rsidRPr="006A5932">
        <w:rPr>
          <w:rFonts w:eastAsia="MS Mincho"/>
        </w:rPr>
        <w:t xml:space="preserve">Increases to participant demand forecasts throughout the day exceeded increases in injection bid volumes below $6/GJ for each </w:t>
      </w:r>
      <w:r w:rsidR="00A12D33">
        <w:rPr>
          <w:rFonts w:eastAsia="MS Mincho"/>
        </w:rPr>
        <w:t xml:space="preserve">of </w:t>
      </w:r>
      <w:r w:rsidRPr="006A5932">
        <w:rPr>
          <w:rFonts w:eastAsia="MS Mincho"/>
        </w:rPr>
        <w:t>the associated scheduling intervals, contributing to price increases over the day.</w:t>
      </w:r>
      <w:r w:rsidR="00C65BA4">
        <w:rPr>
          <w:rFonts w:eastAsia="MS Mincho"/>
        </w:rPr>
        <w:t xml:space="preserve"> For example, </w:t>
      </w:r>
      <w:r w:rsidR="00480B3B">
        <w:rPr>
          <w:rFonts w:eastAsia="MS Mincho"/>
        </w:rPr>
        <w:t xml:space="preserve">injection </w:t>
      </w:r>
      <w:r w:rsidR="006A5932" w:rsidRPr="006A5932">
        <w:rPr>
          <w:rFonts w:eastAsia="MS Mincho"/>
        </w:rPr>
        <w:t xml:space="preserve">bids available below $6/GJ increased by 8 TJ at 6 pm, compared to an increase in scheduled demand of 10 TJ. </w:t>
      </w:r>
      <w:r w:rsidR="00AE2F50">
        <w:rPr>
          <w:rFonts w:eastAsia="MS Mincho"/>
        </w:rPr>
        <w:t>No significant volume of LNG was scheduled for th</w:t>
      </w:r>
      <w:r w:rsidR="007A3616">
        <w:rPr>
          <w:rFonts w:eastAsia="MS Mincho"/>
        </w:rPr>
        <w:t>is</w:t>
      </w:r>
      <w:r w:rsidR="00AE2F50">
        <w:rPr>
          <w:rFonts w:eastAsia="MS Mincho"/>
        </w:rPr>
        <w:t xml:space="preserve"> gas day.</w:t>
      </w:r>
    </w:p>
    <w:p w:rsidR="00D25E17" w:rsidRDefault="001D4225" w:rsidP="00D25E17">
      <w:pPr>
        <w:pStyle w:val="Heading4"/>
      </w:pPr>
      <w:r>
        <w:br w:type="page"/>
      </w:r>
      <w:r w:rsidR="00D25E17">
        <w:lastRenderedPageBreak/>
        <w:t>2</w:t>
      </w:r>
      <w:r w:rsidR="00D25E17" w:rsidRPr="00341B66">
        <w:t xml:space="preserve"> J</w:t>
      </w:r>
      <w:r w:rsidR="00D25E17">
        <w:t>uly</w:t>
      </w:r>
    </w:p>
    <w:p w:rsidR="001C1F31" w:rsidRDefault="004E7A8A">
      <w:pPr>
        <w:spacing w:before="240" w:after="120"/>
        <w:jc w:val="both"/>
      </w:pPr>
      <w:r>
        <w:t xml:space="preserve">For 2 July, </w:t>
      </w:r>
      <w:r w:rsidR="00DA20E1">
        <w:t xml:space="preserve">Figure V2 shows that demand forecasts and overrides increased the scheduled demand level significantly at </w:t>
      </w:r>
      <w:r w:rsidR="00F95DBA">
        <w:t xml:space="preserve">the </w:t>
      </w:r>
      <w:r w:rsidR="00DA20E1">
        <w:t>10 am schedule, increasing the price close to $7/GJ.</w:t>
      </w:r>
      <w:r w:rsidR="005F3F5E">
        <w:t xml:space="preserve"> As forecast demand increased over the day prices continued to rise, before falling below $7/GJ again during the last schedule as AEMO used negative overrides to decrease scheduled volumes from 6 pm.</w:t>
      </w:r>
      <w:r w:rsidR="00E919C1">
        <w:t xml:space="preserve"> </w:t>
      </w:r>
    </w:p>
    <w:p w:rsidR="00814C7C" w:rsidRDefault="00E919C1" w:rsidP="001C1F31">
      <w:pPr>
        <w:spacing w:before="240" w:after="120"/>
        <w:jc w:val="both"/>
        <w:rPr>
          <w:rFonts w:ascii="Arial" w:hAnsi="Arial" w:cs="Arial"/>
          <w:b/>
          <w:sz w:val="20"/>
          <w:szCs w:val="20"/>
          <w:lang w:eastAsia="en-US"/>
        </w:rPr>
      </w:pPr>
      <w:r w:rsidRPr="00486CB1">
        <w:rPr>
          <w:rFonts w:ascii="Arial" w:hAnsi="Arial" w:cs="Arial"/>
          <w:b/>
          <w:sz w:val="20"/>
          <w:szCs w:val="20"/>
          <w:lang w:eastAsia="en-US"/>
        </w:rPr>
        <w:t xml:space="preserve">Figure </w:t>
      </w:r>
      <w:r w:rsidRPr="00906A1D">
        <w:rPr>
          <w:rFonts w:ascii="Arial" w:hAnsi="Arial" w:cs="Arial"/>
          <w:b/>
          <w:sz w:val="20"/>
          <w:szCs w:val="20"/>
          <w:lang w:eastAsia="en-US"/>
        </w:rPr>
        <w:t>V</w:t>
      </w:r>
      <w:r>
        <w:rPr>
          <w:rFonts w:ascii="Arial" w:hAnsi="Arial" w:cs="Arial"/>
          <w:b/>
          <w:sz w:val="20"/>
          <w:szCs w:val="20"/>
          <w:lang w:eastAsia="en-US"/>
        </w:rPr>
        <w:t>2: 2 July gas day information</w:t>
      </w:r>
    </w:p>
    <w:tbl>
      <w:tblPr>
        <w:tblW w:w="4966" w:type="pct"/>
        <w:tblBorders>
          <w:top w:val="single" w:sz="12" w:space="0" w:color="000000"/>
          <w:bottom w:val="single" w:sz="12" w:space="0" w:color="000000"/>
          <w:insideH w:val="single" w:sz="6" w:space="0" w:color="000000"/>
        </w:tblBorders>
        <w:tblLook w:val="04A0"/>
      </w:tblPr>
      <w:tblGrid>
        <w:gridCol w:w="2241"/>
        <w:gridCol w:w="938"/>
        <w:gridCol w:w="1208"/>
        <w:gridCol w:w="1070"/>
        <w:gridCol w:w="1213"/>
        <w:gridCol w:w="1270"/>
        <w:gridCol w:w="1239"/>
      </w:tblGrid>
      <w:tr w:rsidR="00E919C1" w:rsidRPr="002D52B0" w:rsidTr="0008777F">
        <w:tc>
          <w:tcPr>
            <w:tcW w:w="1220" w:type="pct"/>
            <w:shd w:val="clear" w:color="auto" w:fill="auto"/>
            <w:vAlign w:val="center"/>
          </w:tcPr>
          <w:p w:rsidR="00E919C1" w:rsidRPr="0085710B" w:rsidRDefault="00607B65" w:rsidP="00E919C1">
            <w:pPr>
              <w:rPr>
                <w:rFonts w:ascii="Arial" w:hAnsi="Arial" w:cs="Arial"/>
                <w:b/>
                <w:bCs/>
                <w:color w:val="000000"/>
                <w:sz w:val="18"/>
                <w:szCs w:val="18"/>
              </w:rPr>
            </w:pPr>
            <w:r w:rsidRPr="00607B65">
              <w:rPr>
                <w:rFonts w:ascii="Arial" w:hAnsi="Arial" w:cs="Arial"/>
                <w:b/>
                <w:bCs/>
                <w:color w:val="000000"/>
                <w:sz w:val="18"/>
                <w:szCs w:val="18"/>
              </w:rPr>
              <w:t>Schedule</w:t>
            </w:r>
          </w:p>
        </w:tc>
        <w:tc>
          <w:tcPr>
            <w:tcW w:w="511" w:type="pct"/>
            <w:shd w:val="clear" w:color="auto" w:fill="auto"/>
            <w:vAlign w:val="center"/>
          </w:tcPr>
          <w:p w:rsidR="00E919C1" w:rsidRPr="0085710B" w:rsidRDefault="00607B65" w:rsidP="00E919C1">
            <w:pPr>
              <w:rPr>
                <w:rFonts w:ascii="Arial" w:hAnsi="Arial" w:cs="Arial"/>
                <w:b/>
                <w:bCs/>
                <w:color w:val="000000"/>
                <w:sz w:val="18"/>
                <w:szCs w:val="18"/>
              </w:rPr>
            </w:pPr>
            <w:r w:rsidRPr="00607B65">
              <w:rPr>
                <w:rFonts w:ascii="Arial" w:hAnsi="Arial" w:cs="Arial"/>
                <w:b/>
                <w:bCs/>
                <w:color w:val="000000"/>
                <w:sz w:val="18"/>
                <w:szCs w:val="18"/>
              </w:rPr>
              <w:t>6 am</w:t>
            </w:r>
          </w:p>
        </w:tc>
        <w:tc>
          <w:tcPr>
            <w:tcW w:w="658" w:type="pct"/>
            <w:shd w:val="clear" w:color="auto" w:fill="auto"/>
            <w:vAlign w:val="center"/>
          </w:tcPr>
          <w:p w:rsidR="00E919C1" w:rsidRPr="0085710B" w:rsidRDefault="00607B65" w:rsidP="00E919C1">
            <w:pPr>
              <w:rPr>
                <w:rFonts w:ascii="Arial" w:hAnsi="Arial" w:cs="Arial"/>
                <w:b/>
                <w:bCs/>
                <w:color w:val="000000"/>
                <w:sz w:val="18"/>
                <w:szCs w:val="18"/>
              </w:rPr>
            </w:pPr>
            <w:r w:rsidRPr="00607B65">
              <w:rPr>
                <w:rFonts w:ascii="Arial" w:hAnsi="Arial" w:cs="Arial"/>
                <w:b/>
                <w:bCs/>
                <w:color w:val="000000"/>
                <w:sz w:val="18"/>
                <w:szCs w:val="18"/>
              </w:rPr>
              <w:t>10 am</w:t>
            </w:r>
          </w:p>
        </w:tc>
        <w:tc>
          <w:tcPr>
            <w:tcW w:w="583" w:type="pct"/>
            <w:shd w:val="clear" w:color="auto" w:fill="auto"/>
            <w:vAlign w:val="center"/>
          </w:tcPr>
          <w:p w:rsidR="00E919C1" w:rsidRPr="0085710B" w:rsidRDefault="00607B65" w:rsidP="00E919C1">
            <w:pPr>
              <w:rPr>
                <w:rFonts w:ascii="Arial" w:hAnsi="Arial" w:cs="Arial"/>
                <w:b/>
                <w:bCs/>
                <w:color w:val="000000"/>
                <w:sz w:val="18"/>
                <w:szCs w:val="18"/>
              </w:rPr>
            </w:pPr>
            <w:r w:rsidRPr="00607B65">
              <w:rPr>
                <w:rFonts w:ascii="Arial" w:hAnsi="Arial" w:cs="Arial"/>
                <w:b/>
                <w:bCs/>
                <w:color w:val="000000"/>
                <w:sz w:val="18"/>
                <w:szCs w:val="18"/>
              </w:rPr>
              <w:t>2 pm</w:t>
            </w:r>
          </w:p>
        </w:tc>
        <w:tc>
          <w:tcPr>
            <w:tcW w:w="661" w:type="pct"/>
            <w:shd w:val="clear" w:color="auto" w:fill="auto"/>
            <w:vAlign w:val="center"/>
          </w:tcPr>
          <w:p w:rsidR="00E919C1" w:rsidRPr="0085710B" w:rsidRDefault="00607B65" w:rsidP="00E919C1">
            <w:pPr>
              <w:rPr>
                <w:rFonts w:ascii="Arial" w:hAnsi="Arial" w:cs="Arial"/>
                <w:b/>
                <w:bCs/>
                <w:color w:val="000000"/>
                <w:sz w:val="18"/>
                <w:szCs w:val="18"/>
              </w:rPr>
            </w:pPr>
            <w:r w:rsidRPr="00607B65">
              <w:rPr>
                <w:rFonts w:ascii="Arial" w:hAnsi="Arial" w:cs="Arial"/>
                <w:b/>
                <w:bCs/>
                <w:color w:val="000000"/>
                <w:sz w:val="18"/>
                <w:szCs w:val="18"/>
              </w:rPr>
              <w:t>6 pm</w:t>
            </w:r>
          </w:p>
        </w:tc>
        <w:tc>
          <w:tcPr>
            <w:tcW w:w="692" w:type="pct"/>
            <w:shd w:val="clear" w:color="auto" w:fill="auto"/>
            <w:vAlign w:val="center"/>
          </w:tcPr>
          <w:p w:rsidR="00E919C1" w:rsidRPr="0085710B" w:rsidRDefault="00607B65" w:rsidP="00E919C1">
            <w:pPr>
              <w:rPr>
                <w:rFonts w:ascii="Arial" w:hAnsi="Arial" w:cs="Arial"/>
                <w:b/>
                <w:bCs/>
                <w:color w:val="000000"/>
                <w:sz w:val="18"/>
                <w:szCs w:val="18"/>
              </w:rPr>
            </w:pPr>
            <w:r w:rsidRPr="00607B65">
              <w:rPr>
                <w:rFonts w:ascii="Arial" w:hAnsi="Arial" w:cs="Arial"/>
                <w:b/>
                <w:bCs/>
                <w:color w:val="000000"/>
                <w:sz w:val="18"/>
                <w:szCs w:val="18"/>
              </w:rPr>
              <w:t>10 pm</w:t>
            </w:r>
          </w:p>
        </w:tc>
        <w:tc>
          <w:tcPr>
            <w:tcW w:w="676" w:type="pct"/>
          </w:tcPr>
          <w:p w:rsidR="00E919C1" w:rsidRPr="0085710B" w:rsidRDefault="00607B65" w:rsidP="00E919C1">
            <w:pPr>
              <w:rPr>
                <w:rFonts w:ascii="Arial" w:hAnsi="Arial" w:cs="Arial"/>
                <w:b/>
                <w:bCs/>
                <w:color w:val="000000"/>
                <w:sz w:val="18"/>
                <w:szCs w:val="18"/>
              </w:rPr>
            </w:pPr>
            <w:r w:rsidRPr="00607B65">
              <w:rPr>
                <w:rFonts w:ascii="Arial" w:hAnsi="Arial" w:cs="Arial"/>
                <w:b/>
                <w:bCs/>
                <w:color w:val="000000"/>
                <w:sz w:val="18"/>
                <w:szCs w:val="18"/>
              </w:rPr>
              <w:t>Daily weighted price</w:t>
            </w:r>
          </w:p>
        </w:tc>
      </w:tr>
      <w:tr w:rsidR="00E919C1" w:rsidRPr="002D52B0" w:rsidTr="0008777F">
        <w:tc>
          <w:tcPr>
            <w:tcW w:w="1220" w:type="pct"/>
            <w:shd w:val="clear" w:color="auto" w:fill="auto"/>
          </w:tcPr>
          <w:p w:rsidR="00E919C1" w:rsidRPr="0085710B" w:rsidRDefault="00607B65" w:rsidP="00E919C1">
            <w:pPr>
              <w:rPr>
                <w:rFonts w:ascii="Arial" w:hAnsi="Arial" w:cs="Arial"/>
                <w:b/>
                <w:sz w:val="18"/>
                <w:szCs w:val="18"/>
              </w:rPr>
            </w:pPr>
            <w:r w:rsidRPr="00607B65">
              <w:rPr>
                <w:rFonts w:ascii="Arial" w:hAnsi="Arial" w:cs="Arial"/>
                <w:b/>
                <w:sz w:val="18"/>
                <w:szCs w:val="18"/>
              </w:rPr>
              <w:t>Price ($/GJ)</w:t>
            </w:r>
          </w:p>
        </w:tc>
        <w:tc>
          <w:tcPr>
            <w:tcW w:w="511" w:type="pct"/>
            <w:shd w:val="clear" w:color="auto" w:fill="auto"/>
          </w:tcPr>
          <w:p w:rsidR="00E919C1" w:rsidRPr="0085710B" w:rsidRDefault="00607B65" w:rsidP="00E919C1">
            <w:pPr>
              <w:rPr>
                <w:rFonts w:ascii="Arial" w:hAnsi="Arial" w:cs="Arial"/>
                <w:sz w:val="18"/>
                <w:szCs w:val="18"/>
              </w:rPr>
            </w:pPr>
            <w:r w:rsidRPr="00607B65">
              <w:rPr>
                <w:rFonts w:ascii="Arial" w:hAnsi="Arial" w:cs="Arial"/>
                <w:sz w:val="18"/>
                <w:szCs w:val="18"/>
              </w:rPr>
              <w:t>5.19</w:t>
            </w:r>
          </w:p>
        </w:tc>
        <w:tc>
          <w:tcPr>
            <w:tcW w:w="658" w:type="pct"/>
            <w:shd w:val="clear" w:color="auto" w:fill="auto"/>
          </w:tcPr>
          <w:p w:rsidR="00E919C1" w:rsidRPr="0085710B" w:rsidRDefault="00607B65" w:rsidP="00E919C1">
            <w:pPr>
              <w:rPr>
                <w:rFonts w:ascii="Arial" w:hAnsi="Arial" w:cs="Arial"/>
                <w:sz w:val="18"/>
                <w:szCs w:val="18"/>
              </w:rPr>
            </w:pPr>
            <w:r w:rsidRPr="00607B65">
              <w:rPr>
                <w:rFonts w:ascii="Arial" w:hAnsi="Arial" w:cs="Arial"/>
                <w:sz w:val="18"/>
                <w:szCs w:val="18"/>
              </w:rPr>
              <w:t>6.53</w:t>
            </w:r>
          </w:p>
        </w:tc>
        <w:tc>
          <w:tcPr>
            <w:tcW w:w="583" w:type="pct"/>
            <w:shd w:val="clear" w:color="auto" w:fill="auto"/>
          </w:tcPr>
          <w:p w:rsidR="00E919C1" w:rsidRPr="0085710B" w:rsidRDefault="00607B65" w:rsidP="00E919C1">
            <w:pPr>
              <w:rPr>
                <w:rFonts w:ascii="Arial" w:hAnsi="Arial" w:cs="Arial"/>
                <w:sz w:val="18"/>
                <w:szCs w:val="18"/>
              </w:rPr>
            </w:pPr>
            <w:r w:rsidRPr="00607B65">
              <w:rPr>
                <w:rFonts w:ascii="Arial" w:hAnsi="Arial" w:cs="Arial"/>
                <w:sz w:val="18"/>
                <w:szCs w:val="18"/>
              </w:rPr>
              <w:t>8.00</w:t>
            </w:r>
          </w:p>
        </w:tc>
        <w:tc>
          <w:tcPr>
            <w:tcW w:w="661" w:type="pct"/>
            <w:shd w:val="clear" w:color="auto" w:fill="auto"/>
          </w:tcPr>
          <w:p w:rsidR="00E919C1" w:rsidRPr="0085710B" w:rsidRDefault="00607B65" w:rsidP="00E919C1">
            <w:pPr>
              <w:rPr>
                <w:rFonts w:ascii="Arial" w:hAnsi="Arial" w:cs="Arial"/>
                <w:sz w:val="18"/>
                <w:szCs w:val="18"/>
              </w:rPr>
            </w:pPr>
            <w:r w:rsidRPr="00607B65">
              <w:rPr>
                <w:rFonts w:ascii="Arial" w:hAnsi="Arial" w:cs="Arial"/>
                <w:sz w:val="18"/>
                <w:szCs w:val="18"/>
              </w:rPr>
              <w:t>9.89</w:t>
            </w:r>
          </w:p>
        </w:tc>
        <w:tc>
          <w:tcPr>
            <w:tcW w:w="692" w:type="pct"/>
            <w:shd w:val="clear" w:color="auto" w:fill="auto"/>
          </w:tcPr>
          <w:p w:rsidR="00E919C1" w:rsidRPr="0085710B" w:rsidRDefault="00607B65" w:rsidP="00E919C1">
            <w:pPr>
              <w:rPr>
                <w:rFonts w:ascii="Arial" w:hAnsi="Arial" w:cs="Arial"/>
                <w:sz w:val="18"/>
                <w:szCs w:val="18"/>
              </w:rPr>
            </w:pPr>
            <w:r w:rsidRPr="00607B65">
              <w:rPr>
                <w:rFonts w:ascii="Arial" w:hAnsi="Arial" w:cs="Arial"/>
                <w:sz w:val="18"/>
                <w:szCs w:val="18"/>
              </w:rPr>
              <w:t>6.53</w:t>
            </w:r>
          </w:p>
        </w:tc>
        <w:tc>
          <w:tcPr>
            <w:tcW w:w="676" w:type="pct"/>
          </w:tcPr>
          <w:p w:rsidR="00E919C1" w:rsidRPr="0085710B" w:rsidRDefault="00607B65" w:rsidP="00E919C1">
            <w:pPr>
              <w:rPr>
                <w:rFonts w:ascii="Arial" w:hAnsi="Arial" w:cs="Arial"/>
                <w:sz w:val="18"/>
                <w:szCs w:val="18"/>
              </w:rPr>
            </w:pPr>
            <w:r w:rsidRPr="00607B65">
              <w:rPr>
                <w:rFonts w:ascii="Arial" w:hAnsi="Arial" w:cs="Arial"/>
                <w:sz w:val="18"/>
                <w:szCs w:val="18"/>
              </w:rPr>
              <w:t>5.38</w:t>
            </w:r>
          </w:p>
        </w:tc>
      </w:tr>
      <w:tr w:rsidR="00E919C1" w:rsidRPr="002D52B0" w:rsidTr="0008777F">
        <w:tc>
          <w:tcPr>
            <w:tcW w:w="1220" w:type="pct"/>
            <w:shd w:val="clear" w:color="auto" w:fill="auto"/>
          </w:tcPr>
          <w:p w:rsidR="00E919C1" w:rsidRPr="0085710B" w:rsidRDefault="00607B65" w:rsidP="00E919C1">
            <w:pPr>
              <w:rPr>
                <w:rFonts w:ascii="Arial" w:hAnsi="Arial" w:cs="Arial"/>
                <w:b/>
                <w:sz w:val="18"/>
                <w:szCs w:val="18"/>
              </w:rPr>
            </w:pPr>
            <w:r w:rsidRPr="00607B65">
              <w:rPr>
                <w:rFonts w:ascii="Arial" w:hAnsi="Arial" w:cs="Arial"/>
                <w:b/>
                <w:sz w:val="18"/>
                <w:szCs w:val="18"/>
              </w:rPr>
              <w:t>Demand forecast (TJ)</w:t>
            </w:r>
          </w:p>
        </w:tc>
        <w:tc>
          <w:tcPr>
            <w:tcW w:w="511" w:type="pct"/>
            <w:shd w:val="clear" w:color="auto" w:fill="auto"/>
          </w:tcPr>
          <w:p w:rsidR="00E919C1" w:rsidRPr="0085710B" w:rsidRDefault="00607B65" w:rsidP="00E919C1">
            <w:pPr>
              <w:rPr>
                <w:rFonts w:ascii="Arial" w:hAnsi="Arial" w:cs="Arial"/>
                <w:sz w:val="18"/>
                <w:szCs w:val="18"/>
              </w:rPr>
            </w:pPr>
            <w:r w:rsidRPr="00607B65">
              <w:rPr>
                <w:rFonts w:ascii="Arial" w:hAnsi="Arial" w:cs="Arial"/>
                <w:sz w:val="18"/>
                <w:szCs w:val="18"/>
              </w:rPr>
              <w:t>1056</w:t>
            </w:r>
          </w:p>
        </w:tc>
        <w:tc>
          <w:tcPr>
            <w:tcW w:w="658" w:type="pct"/>
            <w:shd w:val="clear" w:color="auto" w:fill="auto"/>
          </w:tcPr>
          <w:p w:rsidR="0008777F" w:rsidRDefault="00607B65" w:rsidP="0008777F">
            <w:pPr>
              <w:rPr>
                <w:rFonts w:ascii="Arial" w:hAnsi="Arial" w:cs="Arial"/>
                <w:sz w:val="18"/>
                <w:szCs w:val="18"/>
              </w:rPr>
            </w:pPr>
            <w:r w:rsidRPr="00607B65">
              <w:rPr>
                <w:rFonts w:ascii="Arial" w:hAnsi="Arial" w:cs="Arial"/>
                <w:sz w:val="18"/>
                <w:szCs w:val="18"/>
              </w:rPr>
              <w:t>1101</w:t>
            </w:r>
          </w:p>
          <w:p w:rsidR="00E919C1" w:rsidRPr="0085710B" w:rsidRDefault="00607B65" w:rsidP="0008777F">
            <w:pPr>
              <w:rPr>
                <w:rFonts w:ascii="Arial" w:hAnsi="Arial" w:cs="Arial"/>
                <w:sz w:val="18"/>
                <w:szCs w:val="18"/>
              </w:rPr>
            </w:pPr>
            <w:r w:rsidRPr="00607B65">
              <w:rPr>
                <w:rFonts w:ascii="Arial" w:hAnsi="Arial" w:cs="Arial"/>
                <w:sz w:val="18"/>
                <w:szCs w:val="18"/>
              </w:rPr>
              <w:t>(+45)</w:t>
            </w:r>
          </w:p>
        </w:tc>
        <w:tc>
          <w:tcPr>
            <w:tcW w:w="583" w:type="pct"/>
            <w:shd w:val="clear" w:color="auto" w:fill="auto"/>
          </w:tcPr>
          <w:p w:rsidR="009245B7" w:rsidRDefault="00607B65">
            <w:pPr>
              <w:rPr>
                <w:rFonts w:ascii="Arial" w:hAnsi="Arial" w:cs="Arial"/>
                <w:sz w:val="18"/>
                <w:szCs w:val="18"/>
              </w:rPr>
            </w:pPr>
            <w:r w:rsidRPr="00607B65">
              <w:rPr>
                <w:rFonts w:ascii="Arial" w:hAnsi="Arial" w:cs="Arial"/>
                <w:sz w:val="18"/>
                <w:szCs w:val="18"/>
              </w:rPr>
              <w:t>1106</w:t>
            </w:r>
          </w:p>
          <w:p w:rsidR="009245B7" w:rsidRDefault="00607B65">
            <w:pPr>
              <w:rPr>
                <w:rFonts w:ascii="Arial" w:hAnsi="Arial" w:cs="Arial"/>
                <w:sz w:val="18"/>
                <w:szCs w:val="18"/>
              </w:rPr>
            </w:pPr>
            <w:r w:rsidRPr="00607B65">
              <w:rPr>
                <w:rFonts w:ascii="Arial" w:hAnsi="Arial" w:cs="Arial"/>
                <w:sz w:val="18"/>
                <w:szCs w:val="18"/>
              </w:rPr>
              <w:t>(+6)</w:t>
            </w:r>
          </w:p>
        </w:tc>
        <w:tc>
          <w:tcPr>
            <w:tcW w:w="661" w:type="pct"/>
            <w:shd w:val="clear" w:color="auto" w:fill="auto"/>
          </w:tcPr>
          <w:p w:rsidR="009245B7" w:rsidRDefault="00607B65">
            <w:pPr>
              <w:rPr>
                <w:rFonts w:ascii="Arial" w:hAnsi="Arial" w:cs="Arial"/>
                <w:sz w:val="18"/>
                <w:szCs w:val="18"/>
              </w:rPr>
            </w:pPr>
            <w:r w:rsidRPr="00607B65">
              <w:rPr>
                <w:rFonts w:ascii="Arial" w:hAnsi="Arial" w:cs="Arial"/>
                <w:sz w:val="18"/>
                <w:szCs w:val="18"/>
              </w:rPr>
              <w:t>1104</w:t>
            </w:r>
          </w:p>
          <w:p w:rsidR="009245B7" w:rsidRDefault="00607B65">
            <w:pPr>
              <w:rPr>
                <w:rFonts w:ascii="Arial" w:hAnsi="Arial" w:cs="Arial"/>
                <w:sz w:val="18"/>
                <w:szCs w:val="18"/>
              </w:rPr>
            </w:pPr>
            <w:r w:rsidRPr="00607B65">
              <w:rPr>
                <w:rFonts w:ascii="Arial" w:hAnsi="Arial" w:cs="Arial"/>
                <w:sz w:val="18"/>
                <w:szCs w:val="18"/>
              </w:rPr>
              <w:t>(-2)</w:t>
            </w:r>
          </w:p>
        </w:tc>
        <w:tc>
          <w:tcPr>
            <w:tcW w:w="692" w:type="pct"/>
            <w:shd w:val="clear" w:color="auto" w:fill="auto"/>
          </w:tcPr>
          <w:p w:rsidR="009245B7" w:rsidRDefault="00607B65">
            <w:pPr>
              <w:rPr>
                <w:rFonts w:ascii="Arial" w:hAnsi="Arial" w:cs="Arial"/>
                <w:sz w:val="18"/>
                <w:szCs w:val="18"/>
              </w:rPr>
            </w:pPr>
            <w:r w:rsidRPr="00607B65">
              <w:rPr>
                <w:rFonts w:ascii="Arial" w:hAnsi="Arial" w:cs="Arial"/>
                <w:sz w:val="18"/>
                <w:szCs w:val="18"/>
              </w:rPr>
              <w:t>1112</w:t>
            </w:r>
          </w:p>
          <w:p w:rsidR="009245B7" w:rsidRDefault="00607B65">
            <w:pPr>
              <w:rPr>
                <w:rFonts w:ascii="Arial" w:hAnsi="Arial" w:cs="Arial"/>
                <w:sz w:val="18"/>
                <w:szCs w:val="18"/>
              </w:rPr>
            </w:pPr>
            <w:r w:rsidRPr="00607B65">
              <w:rPr>
                <w:rFonts w:ascii="Arial" w:hAnsi="Arial" w:cs="Arial"/>
                <w:sz w:val="18"/>
                <w:szCs w:val="18"/>
              </w:rPr>
              <w:t>(+8)</w:t>
            </w:r>
          </w:p>
        </w:tc>
        <w:tc>
          <w:tcPr>
            <w:tcW w:w="676" w:type="pct"/>
          </w:tcPr>
          <w:p w:rsidR="00E919C1" w:rsidRPr="0085710B" w:rsidRDefault="00E919C1" w:rsidP="00E919C1">
            <w:pPr>
              <w:rPr>
                <w:rFonts w:ascii="Arial" w:hAnsi="Arial" w:cs="Arial"/>
                <w:sz w:val="18"/>
                <w:szCs w:val="18"/>
              </w:rPr>
            </w:pPr>
          </w:p>
        </w:tc>
      </w:tr>
      <w:tr w:rsidR="00E919C1" w:rsidRPr="00942E40" w:rsidTr="0008777F">
        <w:tc>
          <w:tcPr>
            <w:tcW w:w="1220" w:type="pct"/>
            <w:shd w:val="clear" w:color="auto" w:fill="auto"/>
          </w:tcPr>
          <w:p w:rsidR="00E919C1" w:rsidRPr="0085710B" w:rsidRDefault="00607B65" w:rsidP="00E919C1">
            <w:pPr>
              <w:rPr>
                <w:rFonts w:ascii="Arial" w:hAnsi="Arial" w:cs="Arial"/>
                <w:b/>
                <w:sz w:val="18"/>
                <w:szCs w:val="18"/>
              </w:rPr>
            </w:pPr>
            <w:r w:rsidRPr="00607B65">
              <w:rPr>
                <w:rFonts w:ascii="Arial" w:hAnsi="Arial" w:cs="Arial"/>
                <w:b/>
                <w:sz w:val="18"/>
                <w:szCs w:val="18"/>
              </w:rPr>
              <w:t>AEMO override (TJ)*</w:t>
            </w:r>
          </w:p>
        </w:tc>
        <w:tc>
          <w:tcPr>
            <w:tcW w:w="511" w:type="pct"/>
            <w:shd w:val="clear" w:color="auto" w:fill="auto"/>
          </w:tcPr>
          <w:p w:rsidR="00E919C1" w:rsidRPr="0085710B" w:rsidRDefault="00607B65" w:rsidP="00E919C1">
            <w:pPr>
              <w:rPr>
                <w:rFonts w:ascii="Arial" w:hAnsi="Arial" w:cs="Arial"/>
                <w:sz w:val="18"/>
                <w:szCs w:val="18"/>
              </w:rPr>
            </w:pPr>
            <w:r w:rsidRPr="00607B65">
              <w:rPr>
                <w:rFonts w:ascii="Arial" w:hAnsi="Arial" w:cs="Arial"/>
                <w:sz w:val="18"/>
                <w:szCs w:val="18"/>
              </w:rPr>
              <w:t>0</w:t>
            </w:r>
          </w:p>
        </w:tc>
        <w:tc>
          <w:tcPr>
            <w:tcW w:w="658" w:type="pct"/>
            <w:shd w:val="clear" w:color="auto" w:fill="auto"/>
          </w:tcPr>
          <w:p w:rsidR="00E919C1" w:rsidRPr="0085710B" w:rsidRDefault="00607B65" w:rsidP="00E919C1">
            <w:pPr>
              <w:jc w:val="both"/>
              <w:rPr>
                <w:rFonts w:ascii="Arial" w:hAnsi="Arial" w:cs="Arial"/>
                <w:sz w:val="18"/>
                <w:szCs w:val="18"/>
              </w:rPr>
            </w:pPr>
            <w:r w:rsidRPr="00607B65">
              <w:rPr>
                <w:rFonts w:ascii="Arial" w:hAnsi="Arial" w:cs="Arial"/>
                <w:sz w:val="18"/>
                <w:szCs w:val="18"/>
              </w:rPr>
              <w:t>22</w:t>
            </w:r>
          </w:p>
        </w:tc>
        <w:tc>
          <w:tcPr>
            <w:tcW w:w="583" w:type="pct"/>
            <w:shd w:val="clear" w:color="auto" w:fill="auto"/>
          </w:tcPr>
          <w:p w:rsidR="00E919C1" w:rsidRPr="0085710B" w:rsidRDefault="00607B65" w:rsidP="00E919C1">
            <w:pPr>
              <w:jc w:val="both"/>
              <w:rPr>
                <w:rFonts w:ascii="Arial" w:hAnsi="Arial" w:cs="Arial"/>
                <w:sz w:val="18"/>
                <w:szCs w:val="18"/>
              </w:rPr>
            </w:pPr>
            <w:r w:rsidRPr="00607B65">
              <w:rPr>
                <w:rFonts w:ascii="Arial" w:hAnsi="Arial" w:cs="Arial"/>
                <w:sz w:val="18"/>
                <w:szCs w:val="18"/>
              </w:rPr>
              <w:t>4.4</w:t>
            </w:r>
          </w:p>
        </w:tc>
        <w:tc>
          <w:tcPr>
            <w:tcW w:w="661" w:type="pct"/>
            <w:shd w:val="clear" w:color="auto" w:fill="auto"/>
          </w:tcPr>
          <w:p w:rsidR="00E919C1" w:rsidRPr="0085710B" w:rsidRDefault="00607B65" w:rsidP="00E919C1">
            <w:pPr>
              <w:jc w:val="both"/>
              <w:rPr>
                <w:rFonts w:ascii="Arial" w:hAnsi="Arial" w:cs="Arial"/>
                <w:sz w:val="18"/>
                <w:szCs w:val="18"/>
              </w:rPr>
            </w:pPr>
            <w:r w:rsidRPr="00607B65">
              <w:rPr>
                <w:rFonts w:ascii="Arial" w:hAnsi="Arial" w:cs="Arial"/>
                <w:sz w:val="18"/>
                <w:szCs w:val="18"/>
              </w:rPr>
              <w:t>-9.6</w:t>
            </w:r>
          </w:p>
        </w:tc>
        <w:tc>
          <w:tcPr>
            <w:tcW w:w="692" w:type="pct"/>
            <w:shd w:val="clear" w:color="auto" w:fill="auto"/>
          </w:tcPr>
          <w:p w:rsidR="00E919C1" w:rsidRPr="0085710B" w:rsidRDefault="00607B65" w:rsidP="00E919C1">
            <w:pPr>
              <w:jc w:val="both"/>
              <w:rPr>
                <w:rFonts w:ascii="Arial" w:hAnsi="Arial" w:cs="Arial"/>
                <w:sz w:val="18"/>
                <w:szCs w:val="18"/>
              </w:rPr>
            </w:pPr>
            <w:r w:rsidRPr="00607B65">
              <w:rPr>
                <w:rFonts w:ascii="Arial" w:hAnsi="Arial" w:cs="Arial"/>
                <w:sz w:val="18"/>
                <w:szCs w:val="18"/>
              </w:rPr>
              <w:t>-3.3</w:t>
            </w:r>
          </w:p>
        </w:tc>
        <w:tc>
          <w:tcPr>
            <w:tcW w:w="676" w:type="pct"/>
          </w:tcPr>
          <w:p w:rsidR="00E919C1" w:rsidRPr="0085710B" w:rsidRDefault="00E919C1" w:rsidP="00E919C1">
            <w:pPr>
              <w:rPr>
                <w:rFonts w:ascii="Arial" w:hAnsi="Arial" w:cs="Arial"/>
                <w:sz w:val="18"/>
                <w:szCs w:val="18"/>
              </w:rPr>
            </w:pPr>
          </w:p>
        </w:tc>
      </w:tr>
      <w:tr w:rsidR="00E919C1" w:rsidRPr="00942E40" w:rsidTr="0008777F">
        <w:tc>
          <w:tcPr>
            <w:tcW w:w="1220" w:type="pct"/>
            <w:shd w:val="clear" w:color="auto" w:fill="auto"/>
          </w:tcPr>
          <w:p w:rsidR="00E919C1" w:rsidRPr="0085710B" w:rsidRDefault="00607B65" w:rsidP="00E919C1">
            <w:pPr>
              <w:rPr>
                <w:rFonts w:ascii="Arial" w:hAnsi="Arial" w:cs="Arial"/>
                <w:b/>
                <w:sz w:val="18"/>
                <w:szCs w:val="18"/>
              </w:rPr>
            </w:pPr>
            <w:r w:rsidRPr="00607B65">
              <w:rPr>
                <w:rFonts w:ascii="Arial" w:hAnsi="Arial" w:cs="Arial"/>
                <w:b/>
                <w:sz w:val="18"/>
                <w:szCs w:val="18"/>
              </w:rPr>
              <w:t>Change in Injection bids &lt;=$8/GJ (TJ)</w:t>
            </w:r>
          </w:p>
        </w:tc>
        <w:tc>
          <w:tcPr>
            <w:tcW w:w="511" w:type="pct"/>
            <w:shd w:val="clear" w:color="auto" w:fill="auto"/>
          </w:tcPr>
          <w:p w:rsidR="00E919C1" w:rsidRPr="0085710B" w:rsidRDefault="00607B65" w:rsidP="00E919C1">
            <w:pPr>
              <w:rPr>
                <w:rFonts w:ascii="Arial" w:hAnsi="Arial" w:cs="Arial"/>
                <w:sz w:val="18"/>
                <w:szCs w:val="18"/>
              </w:rPr>
            </w:pPr>
            <w:r w:rsidRPr="00607B65">
              <w:rPr>
                <w:rFonts w:ascii="Arial" w:hAnsi="Arial" w:cs="Arial"/>
                <w:sz w:val="18"/>
                <w:szCs w:val="18"/>
              </w:rPr>
              <w:t>N/A</w:t>
            </w:r>
          </w:p>
        </w:tc>
        <w:tc>
          <w:tcPr>
            <w:tcW w:w="658" w:type="pct"/>
            <w:shd w:val="clear" w:color="auto" w:fill="auto"/>
          </w:tcPr>
          <w:p w:rsidR="00E919C1" w:rsidRPr="0085710B" w:rsidRDefault="00607B65" w:rsidP="00E919C1">
            <w:pPr>
              <w:rPr>
                <w:rFonts w:ascii="Arial" w:hAnsi="Arial" w:cs="Arial"/>
                <w:sz w:val="18"/>
                <w:szCs w:val="18"/>
              </w:rPr>
            </w:pPr>
            <w:r w:rsidRPr="00607B65">
              <w:rPr>
                <w:rFonts w:ascii="Arial" w:hAnsi="Arial" w:cs="Arial"/>
                <w:sz w:val="18"/>
                <w:szCs w:val="18"/>
              </w:rPr>
              <w:t>-0.3</w:t>
            </w:r>
          </w:p>
        </w:tc>
        <w:tc>
          <w:tcPr>
            <w:tcW w:w="583" w:type="pct"/>
            <w:shd w:val="clear" w:color="auto" w:fill="auto"/>
          </w:tcPr>
          <w:p w:rsidR="00E919C1" w:rsidRPr="00480B3B" w:rsidRDefault="005757F1" w:rsidP="00E919C1">
            <w:pPr>
              <w:rPr>
                <w:rFonts w:ascii="Arial" w:hAnsi="Arial" w:cs="Arial"/>
                <w:sz w:val="18"/>
                <w:szCs w:val="18"/>
              </w:rPr>
            </w:pPr>
            <w:r w:rsidRPr="00480B3B">
              <w:rPr>
                <w:rFonts w:ascii="Arial" w:hAnsi="Arial" w:cs="Arial"/>
                <w:sz w:val="18"/>
                <w:szCs w:val="18"/>
              </w:rPr>
              <w:t>1.7</w:t>
            </w:r>
          </w:p>
        </w:tc>
        <w:tc>
          <w:tcPr>
            <w:tcW w:w="661" w:type="pct"/>
            <w:shd w:val="clear" w:color="auto" w:fill="auto"/>
          </w:tcPr>
          <w:p w:rsidR="00E919C1" w:rsidRPr="0085710B" w:rsidRDefault="00607B65" w:rsidP="00E919C1">
            <w:pPr>
              <w:rPr>
                <w:rFonts w:ascii="Arial" w:hAnsi="Arial" w:cs="Arial"/>
                <w:sz w:val="18"/>
                <w:szCs w:val="18"/>
              </w:rPr>
            </w:pPr>
            <w:r w:rsidRPr="00607B65">
              <w:rPr>
                <w:rFonts w:ascii="Arial" w:hAnsi="Arial" w:cs="Arial"/>
                <w:sz w:val="18"/>
                <w:szCs w:val="18"/>
              </w:rPr>
              <w:t>12.3</w:t>
            </w:r>
          </w:p>
        </w:tc>
        <w:tc>
          <w:tcPr>
            <w:tcW w:w="692" w:type="pct"/>
            <w:shd w:val="clear" w:color="auto" w:fill="auto"/>
          </w:tcPr>
          <w:p w:rsidR="00E919C1" w:rsidRPr="0085710B" w:rsidRDefault="00607B65" w:rsidP="00E919C1">
            <w:pPr>
              <w:rPr>
                <w:rFonts w:ascii="Arial" w:hAnsi="Arial" w:cs="Arial"/>
                <w:sz w:val="18"/>
                <w:szCs w:val="18"/>
              </w:rPr>
            </w:pPr>
            <w:r w:rsidRPr="00607B65">
              <w:rPr>
                <w:rFonts w:ascii="Arial" w:hAnsi="Arial" w:cs="Arial"/>
                <w:sz w:val="18"/>
                <w:szCs w:val="18"/>
              </w:rPr>
              <w:t>16.5</w:t>
            </w:r>
          </w:p>
        </w:tc>
        <w:tc>
          <w:tcPr>
            <w:tcW w:w="676" w:type="pct"/>
          </w:tcPr>
          <w:p w:rsidR="00E919C1" w:rsidRPr="0085710B" w:rsidRDefault="00E919C1" w:rsidP="00E919C1">
            <w:pPr>
              <w:rPr>
                <w:rFonts w:ascii="Arial" w:hAnsi="Arial" w:cs="Arial"/>
                <w:sz w:val="18"/>
                <w:szCs w:val="18"/>
              </w:rPr>
            </w:pPr>
          </w:p>
        </w:tc>
      </w:tr>
      <w:tr w:rsidR="00E919C1" w:rsidRPr="00942E40" w:rsidTr="0008777F">
        <w:tc>
          <w:tcPr>
            <w:tcW w:w="1220" w:type="pct"/>
            <w:shd w:val="clear" w:color="auto" w:fill="auto"/>
          </w:tcPr>
          <w:p w:rsidR="00E919C1" w:rsidRPr="0085710B" w:rsidRDefault="00607B65" w:rsidP="00E919C1">
            <w:pPr>
              <w:rPr>
                <w:rFonts w:ascii="Arial" w:hAnsi="Arial" w:cs="Arial"/>
                <w:b/>
                <w:sz w:val="18"/>
                <w:szCs w:val="18"/>
              </w:rPr>
            </w:pPr>
            <w:r w:rsidRPr="00607B65">
              <w:rPr>
                <w:rFonts w:ascii="Arial" w:hAnsi="Arial" w:cs="Arial"/>
                <w:b/>
                <w:sz w:val="18"/>
                <w:szCs w:val="18"/>
              </w:rPr>
              <w:t>Change in withdrawal bids</w:t>
            </w:r>
            <w:r w:rsidR="0008777F">
              <w:rPr>
                <w:rFonts w:ascii="Arial" w:hAnsi="Arial" w:cs="Arial"/>
                <w:b/>
                <w:sz w:val="18"/>
                <w:szCs w:val="18"/>
              </w:rPr>
              <w:t>**</w:t>
            </w:r>
            <w:r w:rsidRPr="00607B65">
              <w:rPr>
                <w:rFonts w:ascii="Arial" w:hAnsi="Arial" w:cs="Arial"/>
                <w:b/>
                <w:sz w:val="18"/>
                <w:szCs w:val="18"/>
              </w:rPr>
              <w:t xml:space="preserve"> &gt;$8/GJ (TJ)</w:t>
            </w:r>
          </w:p>
        </w:tc>
        <w:tc>
          <w:tcPr>
            <w:tcW w:w="511" w:type="pct"/>
            <w:shd w:val="clear" w:color="auto" w:fill="auto"/>
          </w:tcPr>
          <w:p w:rsidR="00E919C1" w:rsidRPr="0085710B" w:rsidRDefault="00607B65" w:rsidP="00E919C1">
            <w:pPr>
              <w:rPr>
                <w:rFonts w:ascii="Arial" w:hAnsi="Arial" w:cs="Arial"/>
                <w:sz w:val="18"/>
                <w:szCs w:val="18"/>
              </w:rPr>
            </w:pPr>
            <w:r w:rsidRPr="00607B65">
              <w:rPr>
                <w:rFonts w:ascii="Arial" w:hAnsi="Arial" w:cs="Arial"/>
                <w:sz w:val="18"/>
                <w:szCs w:val="18"/>
              </w:rPr>
              <w:t>N/A</w:t>
            </w:r>
          </w:p>
        </w:tc>
        <w:tc>
          <w:tcPr>
            <w:tcW w:w="658" w:type="pct"/>
            <w:shd w:val="clear" w:color="auto" w:fill="auto"/>
          </w:tcPr>
          <w:p w:rsidR="00E919C1" w:rsidRPr="0085710B" w:rsidRDefault="00607B65" w:rsidP="00E919C1">
            <w:pPr>
              <w:rPr>
                <w:rFonts w:ascii="Arial" w:hAnsi="Arial" w:cs="Arial"/>
                <w:sz w:val="18"/>
                <w:szCs w:val="18"/>
              </w:rPr>
            </w:pPr>
            <w:r w:rsidRPr="00607B65">
              <w:rPr>
                <w:rFonts w:ascii="Arial" w:hAnsi="Arial" w:cs="Arial"/>
                <w:sz w:val="18"/>
                <w:szCs w:val="18"/>
              </w:rPr>
              <w:t>21.2</w:t>
            </w:r>
          </w:p>
        </w:tc>
        <w:tc>
          <w:tcPr>
            <w:tcW w:w="583" w:type="pct"/>
            <w:shd w:val="clear" w:color="auto" w:fill="auto"/>
          </w:tcPr>
          <w:p w:rsidR="00E919C1" w:rsidRPr="0085710B" w:rsidRDefault="00607B65" w:rsidP="00E919C1">
            <w:pPr>
              <w:rPr>
                <w:rFonts w:ascii="Arial" w:hAnsi="Arial" w:cs="Arial"/>
                <w:sz w:val="18"/>
                <w:szCs w:val="18"/>
              </w:rPr>
            </w:pPr>
            <w:r w:rsidRPr="00607B65">
              <w:rPr>
                <w:rFonts w:ascii="Arial" w:hAnsi="Arial" w:cs="Arial"/>
                <w:sz w:val="18"/>
                <w:szCs w:val="18"/>
              </w:rPr>
              <w:t>14.0</w:t>
            </w:r>
          </w:p>
        </w:tc>
        <w:tc>
          <w:tcPr>
            <w:tcW w:w="661" w:type="pct"/>
            <w:shd w:val="clear" w:color="auto" w:fill="auto"/>
          </w:tcPr>
          <w:p w:rsidR="00E919C1" w:rsidRPr="0085710B" w:rsidRDefault="00607B65" w:rsidP="00E919C1">
            <w:pPr>
              <w:rPr>
                <w:rFonts w:ascii="Arial" w:hAnsi="Arial" w:cs="Arial"/>
                <w:sz w:val="18"/>
                <w:szCs w:val="18"/>
              </w:rPr>
            </w:pPr>
            <w:r w:rsidRPr="00607B65">
              <w:rPr>
                <w:rFonts w:ascii="Arial" w:hAnsi="Arial" w:cs="Arial"/>
                <w:sz w:val="18"/>
                <w:szCs w:val="18"/>
              </w:rPr>
              <w:t>0.0</w:t>
            </w:r>
          </w:p>
        </w:tc>
        <w:tc>
          <w:tcPr>
            <w:tcW w:w="692" w:type="pct"/>
            <w:shd w:val="clear" w:color="auto" w:fill="auto"/>
          </w:tcPr>
          <w:p w:rsidR="00E919C1" w:rsidRPr="0085710B" w:rsidRDefault="00607B65" w:rsidP="00E919C1">
            <w:pPr>
              <w:rPr>
                <w:rFonts w:ascii="Arial" w:hAnsi="Arial" w:cs="Arial"/>
                <w:sz w:val="18"/>
                <w:szCs w:val="18"/>
              </w:rPr>
            </w:pPr>
            <w:r w:rsidRPr="00607B65">
              <w:rPr>
                <w:rFonts w:ascii="Arial" w:hAnsi="Arial" w:cs="Arial"/>
                <w:sz w:val="18"/>
                <w:szCs w:val="18"/>
              </w:rPr>
              <w:t>0.0</w:t>
            </w:r>
          </w:p>
        </w:tc>
        <w:tc>
          <w:tcPr>
            <w:tcW w:w="676" w:type="pct"/>
          </w:tcPr>
          <w:p w:rsidR="00E919C1" w:rsidRPr="0085710B" w:rsidRDefault="00E919C1" w:rsidP="00E919C1">
            <w:pPr>
              <w:rPr>
                <w:rFonts w:ascii="Arial" w:hAnsi="Arial" w:cs="Arial"/>
                <w:sz w:val="18"/>
                <w:szCs w:val="18"/>
              </w:rPr>
            </w:pPr>
          </w:p>
        </w:tc>
      </w:tr>
    </w:tbl>
    <w:p w:rsidR="00814C7C" w:rsidRDefault="00607B65">
      <w:pPr>
        <w:spacing w:before="120" w:after="120"/>
        <w:jc w:val="both"/>
        <w:rPr>
          <w:sz w:val="16"/>
          <w:szCs w:val="16"/>
        </w:rPr>
      </w:pPr>
      <w:r w:rsidRPr="00607B65">
        <w:rPr>
          <w:sz w:val="16"/>
          <w:szCs w:val="16"/>
        </w:rPr>
        <w:t>*AEMO override is applied to participant’s demand forecasts when in accordance with a defined AEMO procedure, the aggregated participant forecasts are considered to be outside a threshold level of accuracy (override is applied based on system security reasons).</w:t>
      </w:r>
    </w:p>
    <w:p w:rsidR="0008777F" w:rsidRPr="0008777F" w:rsidRDefault="00607B65" w:rsidP="0008777F">
      <w:pPr>
        <w:spacing w:before="120" w:after="240"/>
        <w:jc w:val="both"/>
        <w:rPr>
          <w:sz w:val="16"/>
          <w:szCs w:val="16"/>
        </w:rPr>
      </w:pPr>
      <w:r w:rsidRPr="00607B65">
        <w:rPr>
          <w:sz w:val="16"/>
          <w:szCs w:val="16"/>
        </w:rPr>
        <w:t>**The $8/GJ threshold has been chosen for both injection bids and withdrawal bids as $8/GJ is one of the critical pricing points for determining the schedule price—more injection bids below $8/GJ will put downward pressure on the price; more withdrawal bids above $8/GJ will put upwards pressure on the price.</w:t>
      </w:r>
    </w:p>
    <w:p w:rsidR="00E919C1" w:rsidRPr="00FE0A9C" w:rsidRDefault="00E919C1" w:rsidP="006A5932">
      <w:pPr>
        <w:spacing w:before="120" w:after="240"/>
        <w:jc w:val="both"/>
      </w:pPr>
      <w:r w:rsidRPr="001B0AC8">
        <w:t xml:space="preserve">Actual demand for the day was </w:t>
      </w:r>
      <w:r w:rsidR="00DA20E1">
        <w:rPr>
          <w:b/>
        </w:rPr>
        <w:t>1 083</w:t>
      </w:r>
      <w:r>
        <w:rPr>
          <w:b/>
        </w:rPr>
        <w:t> </w:t>
      </w:r>
      <w:r w:rsidRPr="006E3328">
        <w:rPr>
          <w:b/>
        </w:rPr>
        <w:t>TJ</w:t>
      </w:r>
      <w:r w:rsidRPr="00942E40">
        <w:t>.</w:t>
      </w:r>
      <w:r w:rsidRPr="001B0AC8">
        <w:t xml:space="preserve"> </w:t>
      </w:r>
    </w:p>
    <w:p w:rsidR="00C65BA4" w:rsidRDefault="00D25E17" w:rsidP="00C65BA4">
      <w:pPr>
        <w:pStyle w:val="AERbodytext"/>
        <w:jc w:val="both"/>
        <w:rPr>
          <w:rFonts w:eastAsia="MS Mincho"/>
        </w:rPr>
      </w:pPr>
      <w:r w:rsidRPr="00811ACE">
        <w:rPr>
          <w:rFonts w:eastAsia="MS Mincho"/>
          <w:i/>
        </w:rPr>
        <w:t>Demand forecasting</w:t>
      </w:r>
    </w:p>
    <w:p w:rsidR="00C65BA4" w:rsidRDefault="00D25E17" w:rsidP="00D25E17">
      <w:pPr>
        <w:pStyle w:val="AERbodytext"/>
        <w:jc w:val="both"/>
        <w:rPr>
          <w:rFonts w:eastAsia="MS Mincho"/>
        </w:rPr>
      </w:pPr>
      <w:r w:rsidRPr="00811ACE">
        <w:rPr>
          <w:rFonts w:eastAsia="MS Mincho"/>
        </w:rPr>
        <w:t xml:space="preserve">Actual demand on the day was around 30 TJ higher than the beginning of day (BOD) forecast. An override by AEMO at 10 am </w:t>
      </w:r>
      <w:r w:rsidR="001F59CF">
        <w:rPr>
          <w:rFonts w:eastAsia="MS Mincho"/>
        </w:rPr>
        <w:t xml:space="preserve">increased demand by an additional </w:t>
      </w:r>
      <w:r w:rsidR="001F59CF" w:rsidRPr="00811ACE">
        <w:rPr>
          <w:rFonts w:eastAsia="MS Mincho"/>
        </w:rPr>
        <w:t xml:space="preserve">22 TJ </w:t>
      </w:r>
      <w:r w:rsidRPr="00811ACE">
        <w:rPr>
          <w:rFonts w:eastAsia="MS Mincho"/>
        </w:rPr>
        <w:t xml:space="preserve">on top of increases in aggregate participant forecast volumes. This put upward pressure on price, </w:t>
      </w:r>
      <w:r w:rsidR="00B4225B">
        <w:rPr>
          <w:rFonts w:eastAsia="MS Mincho"/>
        </w:rPr>
        <w:t xml:space="preserve">with the price </w:t>
      </w:r>
      <w:r w:rsidRPr="00811ACE">
        <w:rPr>
          <w:rFonts w:eastAsia="MS Mincho"/>
        </w:rPr>
        <w:t>increas</w:t>
      </w:r>
      <w:r w:rsidR="001F59CF">
        <w:rPr>
          <w:rFonts w:eastAsia="MS Mincho"/>
        </w:rPr>
        <w:t>ing</w:t>
      </w:r>
      <w:r w:rsidRPr="00811ACE">
        <w:rPr>
          <w:rFonts w:eastAsia="MS Mincho"/>
        </w:rPr>
        <w:t xml:space="preserve"> to $8/GJ </w:t>
      </w:r>
      <w:r w:rsidR="001F59CF">
        <w:rPr>
          <w:rFonts w:eastAsia="MS Mincho"/>
        </w:rPr>
        <w:t>for</w:t>
      </w:r>
      <w:r w:rsidR="001F59CF" w:rsidRPr="00811ACE">
        <w:rPr>
          <w:rFonts w:eastAsia="MS Mincho"/>
        </w:rPr>
        <w:t xml:space="preserve"> </w:t>
      </w:r>
      <w:r w:rsidRPr="00811ACE">
        <w:rPr>
          <w:rFonts w:eastAsia="MS Mincho"/>
        </w:rPr>
        <w:t>the 2 pm schedule</w:t>
      </w:r>
      <w:r w:rsidR="00C65BA4">
        <w:rPr>
          <w:rFonts w:eastAsia="MS Mincho"/>
        </w:rPr>
        <w:t xml:space="preserve"> and</w:t>
      </w:r>
      <w:r w:rsidRPr="00811ACE">
        <w:rPr>
          <w:rFonts w:eastAsia="MS Mincho"/>
        </w:rPr>
        <w:t xml:space="preserve"> $9.89/GJ</w:t>
      </w:r>
      <w:r w:rsidR="00C65BA4">
        <w:rPr>
          <w:rFonts w:eastAsia="MS Mincho"/>
        </w:rPr>
        <w:t xml:space="preserve"> for the </w:t>
      </w:r>
      <w:r w:rsidR="001F59CF">
        <w:rPr>
          <w:rFonts w:eastAsia="MS Mincho"/>
        </w:rPr>
        <w:t>6 </w:t>
      </w:r>
      <w:r w:rsidR="00C65BA4">
        <w:rPr>
          <w:rFonts w:eastAsia="MS Mincho"/>
        </w:rPr>
        <w:t>pm schedule</w:t>
      </w:r>
      <w:r w:rsidR="007A3616">
        <w:rPr>
          <w:rFonts w:eastAsia="MS Mincho"/>
        </w:rPr>
        <w:t>.</w:t>
      </w:r>
      <w:r w:rsidR="00C65BA4" w:rsidRPr="00811ACE" w:rsidDel="00C65BA4">
        <w:rPr>
          <w:rFonts w:eastAsia="MS Mincho"/>
        </w:rPr>
        <w:t xml:space="preserve"> </w:t>
      </w:r>
    </w:p>
    <w:p w:rsidR="00D25E17" w:rsidRPr="00091B60" w:rsidRDefault="00EB0A92" w:rsidP="00D25E17">
      <w:pPr>
        <w:pStyle w:val="AERbodytext"/>
        <w:jc w:val="both"/>
        <w:rPr>
          <w:rFonts w:eastAsia="MS Mincho"/>
          <w:i/>
        </w:rPr>
      </w:pPr>
      <w:r w:rsidRPr="00091B60">
        <w:rPr>
          <w:rFonts w:eastAsia="MS Mincho"/>
          <w:i/>
        </w:rPr>
        <w:t>Bids and rebids</w:t>
      </w:r>
    </w:p>
    <w:p w:rsidR="00D25E17" w:rsidRDefault="00C728D5" w:rsidP="007A3616">
      <w:pPr>
        <w:pStyle w:val="AERbodytext"/>
        <w:jc w:val="both"/>
      </w:pPr>
      <w:r w:rsidRPr="00C728D5">
        <w:rPr>
          <w:rFonts w:eastAsia="MS Mincho"/>
        </w:rPr>
        <w:t xml:space="preserve">The </w:t>
      </w:r>
      <w:r>
        <w:rPr>
          <w:rFonts w:eastAsia="MS Mincho"/>
        </w:rPr>
        <w:t xml:space="preserve">significant </w:t>
      </w:r>
      <w:r w:rsidRPr="00C728D5">
        <w:rPr>
          <w:rFonts w:eastAsia="MS Mincho"/>
        </w:rPr>
        <w:t xml:space="preserve">increase in demand </w:t>
      </w:r>
      <w:r w:rsidR="00B4225B">
        <w:rPr>
          <w:rFonts w:eastAsia="MS Mincho"/>
        </w:rPr>
        <w:t xml:space="preserve">for </w:t>
      </w:r>
      <w:r w:rsidRPr="00C728D5">
        <w:rPr>
          <w:rFonts w:eastAsia="MS Mincho"/>
        </w:rPr>
        <w:t xml:space="preserve">the </w:t>
      </w:r>
      <w:r>
        <w:rPr>
          <w:rFonts w:eastAsia="MS Mincho"/>
        </w:rPr>
        <w:t>10 am schedule saw some large participants increase their $0/GJ offers (by up to 64 TJ for one participant)</w:t>
      </w:r>
      <w:r w:rsidR="00480B3B">
        <w:rPr>
          <w:rFonts w:eastAsia="MS Mincho"/>
        </w:rPr>
        <w:t>.</w:t>
      </w:r>
      <w:r w:rsidR="00480B3B" w:rsidRPr="00480B3B">
        <w:rPr>
          <w:rFonts w:eastAsia="MS Mincho"/>
        </w:rPr>
        <w:t xml:space="preserve"> </w:t>
      </w:r>
      <w:r w:rsidR="00480B3B">
        <w:rPr>
          <w:rFonts w:eastAsia="MS Mincho"/>
        </w:rPr>
        <w:t>T</w:t>
      </w:r>
      <w:r w:rsidR="00480B3B" w:rsidRPr="00480B3B">
        <w:rPr>
          <w:rFonts w:eastAsia="MS Mincho"/>
        </w:rPr>
        <w:t xml:space="preserve">his had minimal impact on prices, with little change to aggregate volumes </w:t>
      </w:r>
      <w:r w:rsidR="00480B3B">
        <w:rPr>
          <w:rFonts w:eastAsia="MS Mincho"/>
        </w:rPr>
        <w:t>in bands below $10/GJ</w:t>
      </w:r>
      <w:r w:rsidR="00AE2F50">
        <w:rPr>
          <w:rFonts w:eastAsia="MS Mincho"/>
        </w:rPr>
        <w:t>.</w:t>
      </w:r>
    </w:p>
    <w:p w:rsidR="00D25E17" w:rsidRDefault="009960F1" w:rsidP="00D25E17">
      <w:pPr>
        <w:pStyle w:val="Heading4"/>
      </w:pPr>
      <w:r>
        <w:br w:type="page"/>
      </w:r>
      <w:r w:rsidR="00D25E17">
        <w:lastRenderedPageBreak/>
        <w:t>7</w:t>
      </w:r>
      <w:r w:rsidR="00D25E17" w:rsidRPr="00341B66">
        <w:t xml:space="preserve"> J</w:t>
      </w:r>
      <w:r w:rsidR="00D25E17">
        <w:t>uly</w:t>
      </w:r>
    </w:p>
    <w:p w:rsidR="00616AF2" w:rsidRDefault="00616AF2" w:rsidP="00616AF2">
      <w:pPr>
        <w:spacing w:before="240" w:after="120"/>
        <w:jc w:val="both"/>
      </w:pPr>
      <w:r w:rsidRPr="00A65B81">
        <w:t>On Saturday 7 July, the weighted average imbalance price reached $15.57/GJ</w:t>
      </w:r>
      <w:r w:rsidR="00CE7E53">
        <w:t xml:space="preserve"> (driven by the 6 am price of $16.30/GJ)</w:t>
      </w:r>
      <w:r w:rsidRPr="00A65B81">
        <w:t>, the highest price since 22 November 2008</w:t>
      </w:r>
      <w:r w:rsidRPr="00A65B81">
        <w:rPr>
          <w:rStyle w:val="FootnoteReference"/>
        </w:rPr>
        <w:footnoteReference w:id="18"/>
      </w:r>
      <w:r w:rsidRPr="00A65B81">
        <w:t>.</w:t>
      </w:r>
      <w:r w:rsidR="00CE7E53">
        <w:t xml:space="preserve"> </w:t>
      </w:r>
    </w:p>
    <w:p w:rsidR="00814C7C" w:rsidRDefault="0027284D">
      <w:pPr>
        <w:spacing w:before="240" w:after="120"/>
        <w:jc w:val="both"/>
      </w:pPr>
      <w:r w:rsidRPr="0027284D">
        <w:t>Figure V3 shows that prices decreased from the beginning of day schedule, despite increased levels of demand. Prices continued to fall, until stabilising during the last two schedules as linepack levels increased and demand was reduced</w:t>
      </w:r>
      <w:r w:rsidR="00E94569">
        <w:t xml:space="preserve"> (explained </w:t>
      </w:r>
      <w:r w:rsidR="004E7A8A">
        <w:t xml:space="preserve">below </w:t>
      </w:r>
      <w:r w:rsidR="00E94569">
        <w:t xml:space="preserve">under </w:t>
      </w:r>
      <w:r w:rsidR="00607B65" w:rsidRPr="00607B65">
        <w:rPr>
          <w:i/>
        </w:rPr>
        <w:t>LNG</w:t>
      </w:r>
      <w:r w:rsidR="00E94569">
        <w:t>)</w:t>
      </w:r>
      <w:r w:rsidRPr="0027284D">
        <w:t>.</w:t>
      </w:r>
    </w:p>
    <w:p w:rsidR="005F3F5E" w:rsidRPr="004A1A1C" w:rsidRDefault="005F3F5E" w:rsidP="00DB3567">
      <w:pPr>
        <w:keepNext/>
        <w:jc w:val="both"/>
        <w:rPr>
          <w:rFonts w:ascii="Arial" w:hAnsi="Arial" w:cs="Arial"/>
          <w:b/>
          <w:sz w:val="20"/>
          <w:szCs w:val="20"/>
          <w:lang w:eastAsia="en-US"/>
        </w:rPr>
      </w:pPr>
      <w:r w:rsidRPr="00486CB1">
        <w:rPr>
          <w:rFonts w:ascii="Arial" w:hAnsi="Arial" w:cs="Arial"/>
          <w:b/>
          <w:sz w:val="20"/>
          <w:szCs w:val="20"/>
          <w:lang w:eastAsia="en-US"/>
        </w:rPr>
        <w:t xml:space="preserve">Figure </w:t>
      </w:r>
      <w:r w:rsidR="00AE2F50" w:rsidRPr="00906A1D">
        <w:rPr>
          <w:rFonts w:ascii="Arial" w:hAnsi="Arial" w:cs="Arial"/>
          <w:b/>
          <w:sz w:val="20"/>
          <w:szCs w:val="20"/>
          <w:lang w:eastAsia="en-US"/>
        </w:rPr>
        <w:t>V</w:t>
      </w:r>
      <w:r w:rsidR="00AE2F50">
        <w:rPr>
          <w:rFonts w:ascii="Arial" w:hAnsi="Arial" w:cs="Arial"/>
          <w:b/>
          <w:sz w:val="20"/>
          <w:szCs w:val="20"/>
          <w:lang w:eastAsia="en-US"/>
        </w:rPr>
        <w:t>3</w:t>
      </w:r>
      <w:r>
        <w:rPr>
          <w:rFonts w:ascii="Arial" w:hAnsi="Arial" w:cs="Arial"/>
          <w:b/>
          <w:sz w:val="20"/>
          <w:szCs w:val="20"/>
          <w:lang w:eastAsia="en-US"/>
        </w:rPr>
        <w:t xml:space="preserve">: </w:t>
      </w:r>
      <w:r w:rsidR="00AE2F50">
        <w:rPr>
          <w:rFonts w:ascii="Arial" w:hAnsi="Arial" w:cs="Arial"/>
          <w:b/>
          <w:sz w:val="20"/>
          <w:szCs w:val="20"/>
          <w:lang w:eastAsia="en-US"/>
        </w:rPr>
        <w:t xml:space="preserve">7 </w:t>
      </w:r>
      <w:r>
        <w:rPr>
          <w:rFonts w:ascii="Arial" w:hAnsi="Arial" w:cs="Arial"/>
          <w:b/>
          <w:sz w:val="20"/>
          <w:szCs w:val="20"/>
          <w:lang w:eastAsia="en-US"/>
        </w:rPr>
        <w:t>July gas day information</w:t>
      </w:r>
    </w:p>
    <w:tbl>
      <w:tblPr>
        <w:tblW w:w="4966" w:type="pct"/>
        <w:tblBorders>
          <w:top w:val="single" w:sz="12" w:space="0" w:color="000000"/>
          <w:bottom w:val="single" w:sz="12" w:space="0" w:color="000000"/>
          <w:insideH w:val="single" w:sz="6" w:space="0" w:color="000000"/>
        </w:tblBorders>
        <w:tblLook w:val="04A0"/>
      </w:tblPr>
      <w:tblGrid>
        <w:gridCol w:w="2243"/>
        <w:gridCol w:w="938"/>
        <w:gridCol w:w="1208"/>
        <w:gridCol w:w="1070"/>
        <w:gridCol w:w="1213"/>
        <w:gridCol w:w="1270"/>
        <w:gridCol w:w="1237"/>
      </w:tblGrid>
      <w:tr w:rsidR="005F3F5E" w:rsidRPr="0062300C" w:rsidTr="00486064">
        <w:tc>
          <w:tcPr>
            <w:tcW w:w="1221" w:type="pct"/>
            <w:shd w:val="clear" w:color="auto" w:fill="auto"/>
            <w:vAlign w:val="center"/>
          </w:tcPr>
          <w:p w:rsidR="005F3F5E" w:rsidRPr="00486064" w:rsidRDefault="00607B65" w:rsidP="005F3F5E">
            <w:pPr>
              <w:rPr>
                <w:rFonts w:ascii="Arial" w:hAnsi="Arial" w:cs="Arial"/>
                <w:b/>
                <w:bCs/>
                <w:color w:val="000000"/>
                <w:sz w:val="18"/>
                <w:szCs w:val="18"/>
              </w:rPr>
            </w:pPr>
            <w:r w:rsidRPr="00607B65">
              <w:rPr>
                <w:rFonts w:ascii="Arial" w:hAnsi="Arial" w:cs="Arial"/>
                <w:b/>
                <w:bCs/>
                <w:color w:val="000000"/>
                <w:sz w:val="18"/>
                <w:szCs w:val="18"/>
              </w:rPr>
              <w:t>Schedule</w:t>
            </w:r>
          </w:p>
        </w:tc>
        <w:tc>
          <w:tcPr>
            <w:tcW w:w="511" w:type="pct"/>
            <w:shd w:val="clear" w:color="auto" w:fill="auto"/>
            <w:vAlign w:val="center"/>
          </w:tcPr>
          <w:p w:rsidR="005F3F5E" w:rsidRPr="00486064" w:rsidRDefault="00607B65" w:rsidP="005F3F5E">
            <w:pPr>
              <w:rPr>
                <w:rFonts w:ascii="Arial" w:hAnsi="Arial" w:cs="Arial"/>
                <w:b/>
                <w:bCs/>
                <w:color w:val="000000"/>
                <w:sz w:val="18"/>
                <w:szCs w:val="18"/>
              </w:rPr>
            </w:pPr>
            <w:r w:rsidRPr="00607B65">
              <w:rPr>
                <w:rFonts w:ascii="Arial" w:hAnsi="Arial" w:cs="Arial"/>
                <w:b/>
                <w:bCs/>
                <w:color w:val="000000"/>
                <w:sz w:val="18"/>
                <w:szCs w:val="18"/>
              </w:rPr>
              <w:t>6 am</w:t>
            </w:r>
          </w:p>
        </w:tc>
        <w:tc>
          <w:tcPr>
            <w:tcW w:w="658" w:type="pct"/>
            <w:shd w:val="clear" w:color="auto" w:fill="auto"/>
            <w:vAlign w:val="center"/>
          </w:tcPr>
          <w:p w:rsidR="005F3F5E" w:rsidRPr="00486064" w:rsidRDefault="00607B65" w:rsidP="005F3F5E">
            <w:pPr>
              <w:rPr>
                <w:rFonts w:ascii="Arial" w:hAnsi="Arial" w:cs="Arial"/>
                <w:b/>
                <w:bCs/>
                <w:color w:val="000000"/>
                <w:sz w:val="18"/>
                <w:szCs w:val="18"/>
              </w:rPr>
            </w:pPr>
            <w:r w:rsidRPr="00607B65">
              <w:rPr>
                <w:rFonts w:ascii="Arial" w:hAnsi="Arial" w:cs="Arial"/>
                <w:b/>
                <w:bCs/>
                <w:color w:val="000000"/>
                <w:sz w:val="18"/>
                <w:szCs w:val="18"/>
              </w:rPr>
              <w:t>10 am</w:t>
            </w:r>
          </w:p>
        </w:tc>
        <w:tc>
          <w:tcPr>
            <w:tcW w:w="583" w:type="pct"/>
            <w:shd w:val="clear" w:color="auto" w:fill="auto"/>
            <w:vAlign w:val="center"/>
          </w:tcPr>
          <w:p w:rsidR="005F3F5E" w:rsidRPr="00486064" w:rsidRDefault="00607B65" w:rsidP="005F3F5E">
            <w:pPr>
              <w:rPr>
                <w:rFonts w:ascii="Arial" w:hAnsi="Arial" w:cs="Arial"/>
                <w:b/>
                <w:bCs/>
                <w:color w:val="000000"/>
                <w:sz w:val="18"/>
                <w:szCs w:val="18"/>
              </w:rPr>
            </w:pPr>
            <w:r w:rsidRPr="00607B65">
              <w:rPr>
                <w:rFonts w:ascii="Arial" w:hAnsi="Arial" w:cs="Arial"/>
                <w:b/>
                <w:bCs/>
                <w:color w:val="000000"/>
                <w:sz w:val="18"/>
                <w:szCs w:val="18"/>
              </w:rPr>
              <w:t>2 pm</w:t>
            </w:r>
          </w:p>
        </w:tc>
        <w:tc>
          <w:tcPr>
            <w:tcW w:w="661" w:type="pct"/>
            <w:shd w:val="clear" w:color="auto" w:fill="auto"/>
            <w:vAlign w:val="center"/>
          </w:tcPr>
          <w:p w:rsidR="005F3F5E" w:rsidRPr="00486064" w:rsidRDefault="00607B65" w:rsidP="005F3F5E">
            <w:pPr>
              <w:rPr>
                <w:rFonts w:ascii="Arial" w:hAnsi="Arial" w:cs="Arial"/>
                <w:b/>
                <w:bCs/>
                <w:color w:val="000000"/>
                <w:sz w:val="18"/>
                <w:szCs w:val="18"/>
              </w:rPr>
            </w:pPr>
            <w:r w:rsidRPr="00607B65">
              <w:rPr>
                <w:rFonts w:ascii="Arial" w:hAnsi="Arial" w:cs="Arial"/>
                <w:b/>
                <w:bCs/>
                <w:color w:val="000000"/>
                <w:sz w:val="18"/>
                <w:szCs w:val="18"/>
              </w:rPr>
              <w:t>6 pm</w:t>
            </w:r>
          </w:p>
        </w:tc>
        <w:tc>
          <w:tcPr>
            <w:tcW w:w="692" w:type="pct"/>
            <w:shd w:val="clear" w:color="auto" w:fill="auto"/>
            <w:vAlign w:val="center"/>
          </w:tcPr>
          <w:p w:rsidR="005F3F5E" w:rsidRPr="00486064" w:rsidRDefault="00607B65" w:rsidP="005F3F5E">
            <w:pPr>
              <w:rPr>
                <w:rFonts w:ascii="Arial" w:hAnsi="Arial" w:cs="Arial"/>
                <w:b/>
                <w:bCs/>
                <w:color w:val="000000"/>
                <w:sz w:val="18"/>
                <w:szCs w:val="18"/>
              </w:rPr>
            </w:pPr>
            <w:r w:rsidRPr="00607B65">
              <w:rPr>
                <w:rFonts w:ascii="Arial" w:hAnsi="Arial" w:cs="Arial"/>
                <w:b/>
                <w:bCs/>
                <w:color w:val="000000"/>
                <w:sz w:val="18"/>
                <w:szCs w:val="18"/>
              </w:rPr>
              <w:t>10 pm</w:t>
            </w:r>
          </w:p>
        </w:tc>
        <w:tc>
          <w:tcPr>
            <w:tcW w:w="675" w:type="pct"/>
          </w:tcPr>
          <w:p w:rsidR="005F3F5E" w:rsidRPr="00486064" w:rsidRDefault="00607B65" w:rsidP="005F3F5E">
            <w:pPr>
              <w:rPr>
                <w:rFonts w:ascii="Arial" w:hAnsi="Arial" w:cs="Arial"/>
                <w:b/>
                <w:bCs/>
                <w:color w:val="000000"/>
                <w:sz w:val="18"/>
                <w:szCs w:val="18"/>
              </w:rPr>
            </w:pPr>
            <w:r w:rsidRPr="00607B65">
              <w:rPr>
                <w:rFonts w:ascii="Arial" w:hAnsi="Arial" w:cs="Arial"/>
                <w:b/>
                <w:bCs/>
                <w:color w:val="000000"/>
                <w:sz w:val="18"/>
                <w:szCs w:val="18"/>
              </w:rPr>
              <w:t>Daily weighted price</w:t>
            </w:r>
          </w:p>
        </w:tc>
      </w:tr>
      <w:tr w:rsidR="005F3F5E" w:rsidRPr="0062300C" w:rsidTr="00486064">
        <w:tc>
          <w:tcPr>
            <w:tcW w:w="1221" w:type="pct"/>
            <w:shd w:val="clear" w:color="auto" w:fill="auto"/>
          </w:tcPr>
          <w:p w:rsidR="005F3F5E" w:rsidRPr="00486064" w:rsidRDefault="00607B65" w:rsidP="005F3F5E">
            <w:pPr>
              <w:rPr>
                <w:rFonts w:ascii="Arial" w:hAnsi="Arial" w:cs="Arial"/>
                <w:b/>
                <w:sz w:val="18"/>
                <w:szCs w:val="18"/>
              </w:rPr>
            </w:pPr>
            <w:r w:rsidRPr="00607B65">
              <w:rPr>
                <w:rFonts w:ascii="Arial" w:hAnsi="Arial" w:cs="Arial"/>
                <w:b/>
                <w:sz w:val="18"/>
                <w:szCs w:val="18"/>
              </w:rPr>
              <w:t>Price ($/GJ)</w:t>
            </w:r>
          </w:p>
        </w:tc>
        <w:tc>
          <w:tcPr>
            <w:tcW w:w="511" w:type="pct"/>
            <w:shd w:val="clear" w:color="auto" w:fill="auto"/>
          </w:tcPr>
          <w:p w:rsidR="005F3F5E" w:rsidRPr="00486064" w:rsidRDefault="00607B65" w:rsidP="005F3F5E">
            <w:pPr>
              <w:rPr>
                <w:rFonts w:ascii="Arial" w:hAnsi="Arial" w:cs="Arial"/>
                <w:sz w:val="18"/>
                <w:szCs w:val="18"/>
              </w:rPr>
            </w:pPr>
            <w:r w:rsidRPr="00607B65">
              <w:rPr>
                <w:rFonts w:ascii="Arial" w:hAnsi="Arial" w:cs="Arial"/>
                <w:sz w:val="18"/>
                <w:szCs w:val="18"/>
              </w:rPr>
              <w:t>16.30</w:t>
            </w:r>
          </w:p>
        </w:tc>
        <w:tc>
          <w:tcPr>
            <w:tcW w:w="658" w:type="pct"/>
            <w:shd w:val="clear" w:color="auto" w:fill="auto"/>
          </w:tcPr>
          <w:p w:rsidR="005F3F5E" w:rsidRPr="00486064" w:rsidRDefault="00607B65" w:rsidP="005F3F5E">
            <w:pPr>
              <w:rPr>
                <w:rFonts w:ascii="Arial" w:hAnsi="Arial" w:cs="Arial"/>
                <w:sz w:val="18"/>
                <w:szCs w:val="18"/>
              </w:rPr>
            </w:pPr>
            <w:r w:rsidRPr="00607B65">
              <w:rPr>
                <w:rFonts w:ascii="Arial" w:hAnsi="Arial" w:cs="Arial"/>
                <w:sz w:val="18"/>
                <w:szCs w:val="18"/>
              </w:rPr>
              <w:t>8.51</w:t>
            </w:r>
          </w:p>
        </w:tc>
        <w:tc>
          <w:tcPr>
            <w:tcW w:w="583" w:type="pct"/>
            <w:shd w:val="clear" w:color="auto" w:fill="auto"/>
          </w:tcPr>
          <w:p w:rsidR="005F3F5E" w:rsidRPr="00486064" w:rsidRDefault="00607B65" w:rsidP="005F3F5E">
            <w:pPr>
              <w:rPr>
                <w:rFonts w:ascii="Arial" w:hAnsi="Arial" w:cs="Arial"/>
                <w:sz w:val="18"/>
                <w:szCs w:val="18"/>
              </w:rPr>
            </w:pPr>
            <w:r w:rsidRPr="00607B65">
              <w:rPr>
                <w:rFonts w:ascii="Arial" w:hAnsi="Arial" w:cs="Arial"/>
                <w:sz w:val="18"/>
                <w:szCs w:val="18"/>
              </w:rPr>
              <w:t>7.10</w:t>
            </w:r>
          </w:p>
        </w:tc>
        <w:tc>
          <w:tcPr>
            <w:tcW w:w="661" w:type="pct"/>
            <w:shd w:val="clear" w:color="auto" w:fill="auto"/>
          </w:tcPr>
          <w:p w:rsidR="005F3F5E" w:rsidRPr="00486064" w:rsidRDefault="00607B65" w:rsidP="005F3F5E">
            <w:pPr>
              <w:rPr>
                <w:rFonts w:ascii="Arial" w:hAnsi="Arial" w:cs="Arial"/>
                <w:sz w:val="18"/>
                <w:szCs w:val="18"/>
              </w:rPr>
            </w:pPr>
            <w:r w:rsidRPr="00607B65">
              <w:rPr>
                <w:rFonts w:ascii="Arial" w:hAnsi="Arial" w:cs="Arial"/>
                <w:sz w:val="18"/>
                <w:szCs w:val="18"/>
              </w:rPr>
              <w:t>4.25</w:t>
            </w:r>
          </w:p>
        </w:tc>
        <w:tc>
          <w:tcPr>
            <w:tcW w:w="692" w:type="pct"/>
            <w:shd w:val="clear" w:color="auto" w:fill="auto"/>
          </w:tcPr>
          <w:p w:rsidR="005F3F5E" w:rsidRPr="00486064" w:rsidRDefault="00607B65" w:rsidP="005F3F5E">
            <w:pPr>
              <w:rPr>
                <w:rFonts w:ascii="Arial" w:hAnsi="Arial" w:cs="Arial"/>
                <w:sz w:val="18"/>
                <w:szCs w:val="18"/>
              </w:rPr>
            </w:pPr>
            <w:r w:rsidRPr="00607B65">
              <w:rPr>
                <w:rFonts w:ascii="Arial" w:hAnsi="Arial" w:cs="Arial"/>
                <w:sz w:val="18"/>
                <w:szCs w:val="18"/>
              </w:rPr>
              <w:t>4.25</w:t>
            </w:r>
          </w:p>
        </w:tc>
        <w:tc>
          <w:tcPr>
            <w:tcW w:w="675" w:type="pct"/>
          </w:tcPr>
          <w:p w:rsidR="005F3F5E" w:rsidRPr="00486064" w:rsidRDefault="00607B65" w:rsidP="005F3F5E">
            <w:pPr>
              <w:rPr>
                <w:rFonts w:ascii="Arial" w:hAnsi="Arial" w:cs="Arial"/>
                <w:sz w:val="18"/>
                <w:szCs w:val="18"/>
              </w:rPr>
            </w:pPr>
            <w:r w:rsidRPr="00607B65">
              <w:rPr>
                <w:rFonts w:ascii="Arial" w:hAnsi="Arial" w:cs="Arial"/>
                <w:sz w:val="18"/>
                <w:szCs w:val="18"/>
              </w:rPr>
              <w:t>15.57</w:t>
            </w:r>
          </w:p>
          <w:p w:rsidR="005F3F5E" w:rsidRPr="00486064" w:rsidRDefault="005F3F5E" w:rsidP="005F3F5E">
            <w:pPr>
              <w:rPr>
                <w:rFonts w:ascii="Arial" w:hAnsi="Arial" w:cs="Arial"/>
                <w:sz w:val="18"/>
                <w:szCs w:val="18"/>
              </w:rPr>
            </w:pPr>
          </w:p>
        </w:tc>
      </w:tr>
      <w:tr w:rsidR="005F3F5E" w:rsidRPr="0062300C" w:rsidTr="00486064">
        <w:tc>
          <w:tcPr>
            <w:tcW w:w="1221" w:type="pct"/>
            <w:shd w:val="clear" w:color="auto" w:fill="auto"/>
          </w:tcPr>
          <w:p w:rsidR="005F3F5E" w:rsidRPr="00486064" w:rsidRDefault="00607B65" w:rsidP="005F3F5E">
            <w:pPr>
              <w:rPr>
                <w:rFonts w:ascii="Arial" w:hAnsi="Arial" w:cs="Arial"/>
                <w:b/>
                <w:sz w:val="18"/>
                <w:szCs w:val="18"/>
              </w:rPr>
            </w:pPr>
            <w:r w:rsidRPr="00607B65">
              <w:rPr>
                <w:rFonts w:ascii="Arial" w:hAnsi="Arial" w:cs="Arial"/>
                <w:b/>
                <w:sz w:val="18"/>
                <w:szCs w:val="18"/>
              </w:rPr>
              <w:t>Demand forecast (TJ)</w:t>
            </w:r>
          </w:p>
        </w:tc>
        <w:tc>
          <w:tcPr>
            <w:tcW w:w="511" w:type="pct"/>
            <w:shd w:val="clear" w:color="auto" w:fill="auto"/>
          </w:tcPr>
          <w:p w:rsidR="005F3F5E" w:rsidRPr="00486064" w:rsidRDefault="00607B65" w:rsidP="005F3F5E">
            <w:pPr>
              <w:rPr>
                <w:rFonts w:ascii="Arial" w:hAnsi="Arial" w:cs="Arial"/>
                <w:sz w:val="18"/>
                <w:szCs w:val="18"/>
              </w:rPr>
            </w:pPr>
            <w:r w:rsidRPr="00607B65">
              <w:rPr>
                <w:rFonts w:ascii="Arial" w:hAnsi="Arial" w:cs="Arial"/>
                <w:sz w:val="18"/>
                <w:szCs w:val="18"/>
              </w:rPr>
              <w:t>1012</w:t>
            </w:r>
          </w:p>
        </w:tc>
        <w:tc>
          <w:tcPr>
            <w:tcW w:w="658" w:type="pct"/>
            <w:shd w:val="clear" w:color="auto" w:fill="auto"/>
          </w:tcPr>
          <w:p w:rsidR="00486064" w:rsidRDefault="00607B65" w:rsidP="00486064">
            <w:pPr>
              <w:rPr>
                <w:rFonts w:ascii="Arial" w:hAnsi="Arial" w:cs="Arial"/>
                <w:sz w:val="18"/>
                <w:szCs w:val="18"/>
              </w:rPr>
            </w:pPr>
            <w:r w:rsidRPr="00607B65">
              <w:rPr>
                <w:rFonts w:ascii="Arial" w:hAnsi="Arial" w:cs="Arial"/>
                <w:sz w:val="18"/>
                <w:szCs w:val="18"/>
              </w:rPr>
              <w:t>1022</w:t>
            </w:r>
          </w:p>
          <w:p w:rsidR="005F3F5E" w:rsidRPr="00486064" w:rsidRDefault="00607B65" w:rsidP="00486064">
            <w:pPr>
              <w:rPr>
                <w:rFonts w:ascii="Arial" w:hAnsi="Arial" w:cs="Arial"/>
                <w:sz w:val="18"/>
                <w:szCs w:val="18"/>
              </w:rPr>
            </w:pPr>
            <w:r w:rsidRPr="00607B65">
              <w:rPr>
                <w:rFonts w:ascii="Arial" w:hAnsi="Arial" w:cs="Arial"/>
                <w:sz w:val="18"/>
                <w:szCs w:val="18"/>
              </w:rPr>
              <w:t>(+10)</w:t>
            </w:r>
          </w:p>
        </w:tc>
        <w:tc>
          <w:tcPr>
            <w:tcW w:w="583" w:type="pct"/>
            <w:shd w:val="clear" w:color="auto" w:fill="auto"/>
          </w:tcPr>
          <w:p w:rsidR="00486064" w:rsidRDefault="00607B65" w:rsidP="00486064">
            <w:pPr>
              <w:rPr>
                <w:rFonts w:ascii="Arial" w:hAnsi="Arial" w:cs="Arial"/>
                <w:sz w:val="18"/>
                <w:szCs w:val="18"/>
              </w:rPr>
            </w:pPr>
            <w:r w:rsidRPr="00607B65">
              <w:rPr>
                <w:rFonts w:ascii="Arial" w:hAnsi="Arial" w:cs="Arial"/>
                <w:sz w:val="18"/>
                <w:szCs w:val="18"/>
              </w:rPr>
              <w:t>1026</w:t>
            </w:r>
          </w:p>
          <w:p w:rsidR="005F3F5E" w:rsidRPr="00486064" w:rsidRDefault="00607B65" w:rsidP="00486064">
            <w:pPr>
              <w:rPr>
                <w:rFonts w:ascii="Arial" w:hAnsi="Arial" w:cs="Arial"/>
                <w:sz w:val="18"/>
                <w:szCs w:val="18"/>
              </w:rPr>
            </w:pPr>
            <w:r w:rsidRPr="00607B65">
              <w:rPr>
                <w:rFonts w:ascii="Arial" w:hAnsi="Arial" w:cs="Arial"/>
                <w:sz w:val="18"/>
                <w:szCs w:val="18"/>
              </w:rPr>
              <w:t>(+4)</w:t>
            </w:r>
          </w:p>
        </w:tc>
        <w:tc>
          <w:tcPr>
            <w:tcW w:w="661" w:type="pct"/>
            <w:shd w:val="clear" w:color="auto" w:fill="auto"/>
          </w:tcPr>
          <w:p w:rsidR="00486064" w:rsidRDefault="00607B65" w:rsidP="00486064">
            <w:pPr>
              <w:rPr>
                <w:rFonts w:ascii="Arial" w:hAnsi="Arial" w:cs="Arial"/>
                <w:sz w:val="18"/>
                <w:szCs w:val="18"/>
              </w:rPr>
            </w:pPr>
            <w:r w:rsidRPr="00607B65">
              <w:rPr>
                <w:rFonts w:ascii="Arial" w:hAnsi="Arial" w:cs="Arial"/>
                <w:sz w:val="18"/>
                <w:szCs w:val="18"/>
              </w:rPr>
              <w:t>1022</w:t>
            </w:r>
          </w:p>
          <w:p w:rsidR="000A5F41" w:rsidRDefault="00607B65">
            <w:pPr>
              <w:rPr>
                <w:rFonts w:ascii="Arial" w:hAnsi="Arial" w:cs="Arial"/>
                <w:sz w:val="18"/>
                <w:szCs w:val="18"/>
              </w:rPr>
            </w:pPr>
            <w:r w:rsidRPr="00607B65">
              <w:rPr>
                <w:rFonts w:ascii="Arial" w:hAnsi="Arial" w:cs="Arial"/>
                <w:sz w:val="18"/>
                <w:szCs w:val="18"/>
              </w:rPr>
              <w:t>(-5)</w:t>
            </w:r>
          </w:p>
        </w:tc>
        <w:tc>
          <w:tcPr>
            <w:tcW w:w="692" w:type="pct"/>
            <w:shd w:val="clear" w:color="auto" w:fill="auto"/>
          </w:tcPr>
          <w:p w:rsidR="000A5F41" w:rsidRDefault="00607B65">
            <w:pPr>
              <w:rPr>
                <w:rFonts w:ascii="Arial" w:hAnsi="Arial" w:cs="Arial"/>
                <w:sz w:val="18"/>
                <w:szCs w:val="18"/>
              </w:rPr>
            </w:pPr>
            <w:r w:rsidRPr="00607B65">
              <w:rPr>
                <w:rFonts w:ascii="Arial" w:hAnsi="Arial" w:cs="Arial"/>
                <w:sz w:val="18"/>
                <w:szCs w:val="18"/>
              </w:rPr>
              <w:t>1022</w:t>
            </w:r>
          </w:p>
          <w:p w:rsidR="000A5F41" w:rsidRDefault="00607B65">
            <w:pPr>
              <w:rPr>
                <w:rFonts w:ascii="Arial" w:hAnsi="Arial" w:cs="Arial"/>
                <w:sz w:val="18"/>
                <w:szCs w:val="18"/>
              </w:rPr>
            </w:pPr>
            <w:r w:rsidRPr="00607B65">
              <w:rPr>
                <w:rFonts w:ascii="Arial" w:hAnsi="Arial" w:cs="Arial"/>
                <w:sz w:val="18"/>
                <w:szCs w:val="18"/>
              </w:rPr>
              <w:t>(+0)</w:t>
            </w:r>
          </w:p>
        </w:tc>
        <w:tc>
          <w:tcPr>
            <w:tcW w:w="675" w:type="pct"/>
          </w:tcPr>
          <w:p w:rsidR="005F3F5E" w:rsidRPr="00486064" w:rsidRDefault="005F3F5E" w:rsidP="005F3F5E">
            <w:pPr>
              <w:rPr>
                <w:rFonts w:ascii="Arial" w:hAnsi="Arial" w:cs="Arial"/>
                <w:sz w:val="18"/>
                <w:szCs w:val="18"/>
              </w:rPr>
            </w:pPr>
          </w:p>
        </w:tc>
      </w:tr>
      <w:tr w:rsidR="005F3F5E" w:rsidRPr="0062300C" w:rsidTr="00486064">
        <w:tc>
          <w:tcPr>
            <w:tcW w:w="1221" w:type="pct"/>
            <w:shd w:val="clear" w:color="auto" w:fill="auto"/>
          </w:tcPr>
          <w:p w:rsidR="005F3F5E" w:rsidRPr="00486064" w:rsidRDefault="00607B65" w:rsidP="005F3F5E">
            <w:pPr>
              <w:rPr>
                <w:rFonts w:ascii="Arial" w:hAnsi="Arial" w:cs="Arial"/>
                <w:b/>
                <w:sz w:val="18"/>
                <w:szCs w:val="18"/>
              </w:rPr>
            </w:pPr>
            <w:r w:rsidRPr="00607B65">
              <w:rPr>
                <w:rFonts w:ascii="Arial" w:hAnsi="Arial" w:cs="Arial"/>
                <w:b/>
                <w:sz w:val="18"/>
                <w:szCs w:val="18"/>
              </w:rPr>
              <w:t>AEMO override (TJ)*</w:t>
            </w:r>
          </w:p>
        </w:tc>
        <w:tc>
          <w:tcPr>
            <w:tcW w:w="511" w:type="pct"/>
            <w:shd w:val="clear" w:color="auto" w:fill="auto"/>
          </w:tcPr>
          <w:p w:rsidR="005F3F5E" w:rsidRPr="00486064" w:rsidRDefault="00607B65" w:rsidP="005F3F5E">
            <w:pPr>
              <w:rPr>
                <w:rFonts w:ascii="Arial" w:hAnsi="Arial" w:cs="Arial"/>
                <w:sz w:val="18"/>
                <w:szCs w:val="18"/>
              </w:rPr>
            </w:pPr>
            <w:r w:rsidRPr="00607B65">
              <w:rPr>
                <w:rFonts w:ascii="Arial" w:hAnsi="Arial" w:cs="Arial"/>
                <w:sz w:val="18"/>
                <w:szCs w:val="18"/>
              </w:rPr>
              <w:t>0</w:t>
            </w:r>
          </w:p>
        </w:tc>
        <w:tc>
          <w:tcPr>
            <w:tcW w:w="658" w:type="pct"/>
            <w:shd w:val="clear" w:color="auto" w:fill="auto"/>
          </w:tcPr>
          <w:p w:rsidR="005F3F5E" w:rsidRPr="00486064" w:rsidRDefault="00607B65" w:rsidP="005F3F5E">
            <w:pPr>
              <w:jc w:val="both"/>
              <w:rPr>
                <w:rFonts w:ascii="Arial" w:hAnsi="Arial" w:cs="Arial"/>
                <w:sz w:val="18"/>
                <w:szCs w:val="18"/>
              </w:rPr>
            </w:pPr>
            <w:r w:rsidRPr="00607B65">
              <w:rPr>
                <w:rFonts w:ascii="Arial" w:hAnsi="Arial" w:cs="Arial"/>
                <w:sz w:val="18"/>
                <w:szCs w:val="18"/>
              </w:rPr>
              <w:t>0</w:t>
            </w:r>
          </w:p>
        </w:tc>
        <w:tc>
          <w:tcPr>
            <w:tcW w:w="583" w:type="pct"/>
            <w:shd w:val="clear" w:color="auto" w:fill="auto"/>
          </w:tcPr>
          <w:p w:rsidR="005F3F5E" w:rsidRPr="00486064" w:rsidRDefault="00607B65" w:rsidP="005F3F5E">
            <w:pPr>
              <w:jc w:val="both"/>
              <w:rPr>
                <w:rFonts w:ascii="Arial" w:hAnsi="Arial" w:cs="Arial"/>
                <w:sz w:val="18"/>
                <w:szCs w:val="18"/>
              </w:rPr>
            </w:pPr>
            <w:r w:rsidRPr="00607B65">
              <w:rPr>
                <w:rFonts w:ascii="Arial" w:hAnsi="Arial" w:cs="Arial"/>
                <w:sz w:val="18"/>
                <w:szCs w:val="18"/>
              </w:rPr>
              <w:t>0</w:t>
            </w:r>
          </w:p>
        </w:tc>
        <w:tc>
          <w:tcPr>
            <w:tcW w:w="661" w:type="pct"/>
            <w:shd w:val="clear" w:color="auto" w:fill="auto"/>
          </w:tcPr>
          <w:p w:rsidR="005F3F5E" w:rsidRPr="00486064" w:rsidRDefault="00607B65" w:rsidP="005F3F5E">
            <w:pPr>
              <w:jc w:val="both"/>
              <w:rPr>
                <w:rFonts w:ascii="Arial" w:hAnsi="Arial" w:cs="Arial"/>
                <w:sz w:val="18"/>
                <w:szCs w:val="18"/>
              </w:rPr>
            </w:pPr>
            <w:r w:rsidRPr="00607B65">
              <w:rPr>
                <w:rFonts w:ascii="Arial" w:hAnsi="Arial" w:cs="Arial"/>
                <w:sz w:val="18"/>
                <w:szCs w:val="18"/>
              </w:rPr>
              <w:t>0</w:t>
            </w:r>
          </w:p>
        </w:tc>
        <w:tc>
          <w:tcPr>
            <w:tcW w:w="692" w:type="pct"/>
            <w:shd w:val="clear" w:color="auto" w:fill="auto"/>
          </w:tcPr>
          <w:p w:rsidR="005F3F5E" w:rsidRPr="00486064" w:rsidRDefault="00607B65" w:rsidP="005F3F5E">
            <w:pPr>
              <w:jc w:val="both"/>
              <w:rPr>
                <w:rFonts w:ascii="Arial" w:hAnsi="Arial" w:cs="Arial"/>
                <w:sz w:val="18"/>
                <w:szCs w:val="18"/>
              </w:rPr>
            </w:pPr>
            <w:r w:rsidRPr="00607B65">
              <w:rPr>
                <w:rFonts w:ascii="Arial" w:hAnsi="Arial" w:cs="Arial"/>
                <w:sz w:val="18"/>
                <w:szCs w:val="18"/>
              </w:rPr>
              <w:t>0</w:t>
            </w:r>
          </w:p>
        </w:tc>
        <w:tc>
          <w:tcPr>
            <w:tcW w:w="675" w:type="pct"/>
          </w:tcPr>
          <w:p w:rsidR="005F3F5E" w:rsidRPr="00486064" w:rsidRDefault="005F3F5E" w:rsidP="005F3F5E">
            <w:pPr>
              <w:rPr>
                <w:rFonts w:ascii="Arial" w:hAnsi="Arial" w:cs="Arial"/>
                <w:sz w:val="18"/>
                <w:szCs w:val="18"/>
              </w:rPr>
            </w:pPr>
          </w:p>
        </w:tc>
      </w:tr>
      <w:tr w:rsidR="005F3F5E" w:rsidRPr="0062300C" w:rsidTr="00486064">
        <w:tc>
          <w:tcPr>
            <w:tcW w:w="1221" w:type="pct"/>
            <w:shd w:val="clear" w:color="auto" w:fill="auto"/>
          </w:tcPr>
          <w:p w:rsidR="005F3F5E" w:rsidRPr="00486064" w:rsidRDefault="00607B65" w:rsidP="005F3F5E">
            <w:pPr>
              <w:rPr>
                <w:rFonts w:ascii="Arial" w:hAnsi="Arial" w:cs="Arial"/>
                <w:b/>
                <w:sz w:val="18"/>
                <w:szCs w:val="18"/>
              </w:rPr>
            </w:pPr>
            <w:r w:rsidRPr="00607B65">
              <w:rPr>
                <w:rFonts w:ascii="Arial" w:hAnsi="Arial" w:cs="Arial"/>
                <w:b/>
                <w:sz w:val="18"/>
                <w:szCs w:val="18"/>
              </w:rPr>
              <w:t>Change in Injection bids</w:t>
            </w:r>
            <w:r w:rsidR="00F95DBA">
              <w:rPr>
                <w:rFonts w:ascii="Arial" w:hAnsi="Arial" w:cs="Arial"/>
                <w:b/>
                <w:sz w:val="18"/>
                <w:szCs w:val="18"/>
              </w:rPr>
              <w:t>**</w:t>
            </w:r>
            <w:r w:rsidRPr="00607B65">
              <w:rPr>
                <w:rFonts w:ascii="Arial" w:hAnsi="Arial" w:cs="Arial"/>
                <w:b/>
                <w:sz w:val="18"/>
                <w:szCs w:val="18"/>
              </w:rPr>
              <w:t xml:space="preserve"> &lt;=$8/GJ (TJ)</w:t>
            </w:r>
          </w:p>
        </w:tc>
        <w:tc>
          <w:tcPr>
            <w:tcW w:w="511" w:type="pct"/>
            <w:shd w:val="clear" w:color="auto" w:fill="auto"/>
          </w:tcPr>
          <w:p w:rsidR="005F3F5E" w:rsidRPr="00486064" w:rsidRDefault="00607B65" w:rsidP="005F3F5E">
            <w:pPr>
              <w:rPr>
                <w:rFonts w:ascii="Arial" w:hAnsi="Arial" w:cs="Arial"/>
                <w:sz w:val="18"/>
                <w:szCs w:val="18"/>
              </w:rPr>
            </w:pPr>
            <w:r w:rsidRPr="00607B65">
              <w:rPr>
                <w:rFonts w:ascii="Arial" w:hAnsi="Arial" w:cs="Arial"/>
                <w:sz w:val="18"/>
                <w:szCs w:val="18"/>
              </w:rPr>
              <w:t>N/A</w:t>
            </w:r>
          </w:p>
        </w:tc>
        <w:tc>
          <w:tcPr>
            <w:tcW w:w="658" w:type="pct"/>
            <w:shd w:val="clear" w:color="auto" w:fill="auto"/>
          </w:tcPr>
          <w:p w:rsidR="005F3F5E" w:rsidRPr="00486064" w:rsidRDefault="00607B65" w:rsidP="005F3F5E">
            <w:pPr>
              <w:rPr>
                <w:rFonts w:ascii="Arial" w:hAnsi="Arial" w:cs="Arial"/>
                <w:sz w:val="18"/>
                <w:szCs w:val="18"/>
              </w:rPr>
            </w:pPr>
            <w:r w:rsidRPr="00607B65">
              <w:rPr>
                <w:rFonts w:ascii="Arial" w:hAnsi="Arial" w:cs="Arial"/>
                <w:sz w:val="18"/>
                <w:szCs w:val="18"/>
              </w:rPr>
              <w:t>73.9</w:t>
            </w:r>
          </w:p>
        </w:tc>
        <w:tc>
          <w:tcPr>
            <w:tcW w:w="583" w:type="pct"/>
            <w:shd w:val="clear" w:color="auto" w:fill="auto"/>
          </w:tcPr>
          <w:p w:rsidR="005F3F5E" w:rsidRPr="00486064" w:rsidRDefault="00607B65" w:rsidP="005F3F5E">
            <w:pPr>
              <w:rPr>
                <w:rFonts w:ascii="Arial" w:hAnsi="Arial" w:cs="Arial"/>
                <w:sz w:val="18"/>
                <w:szCs w:val="18"/>
              </w:rPr>
            </w:pPr>
            <w:r w:rsidRPr="00607B65">
              <w:rPr>
                <w:rFonts w:ascii="Arial" w:hAnsi="Arial" w:cs="Arial"/>
                <w:sz w:val="18"/>
                <w:szCs w:val="18"/>
              </w:rPr>
              <w:t>-3.9</w:t>
            </w:r>
          </w:p>
        </w:tc>
        <w:tc>
          <w:tcPr>
            <w:tcW w:w="661" w:type="pct"/>
            <w:shd w:val="clear" w:color="auto" w:fill="auto"/>
          </w:tcPr>
          <w:p w:rsidR="005F3F5E" w:rsidRPr="00486064" w:rsidRDefault="00607B65" w:rsidP="005F3F5E">
            <w:pPr>
              <w:rPr>
                <w:rFonts w:ascii="Arial" w:hAnsi="Arial" w:cs="Arial"/>
                <w:sz w:val="18"/>
                <w:szCs w:val="18"/>
              </w:rPr>
            </w:pPr>
            <w:r w:rsidRPr="00607B65">
              <w:rPr>
                <w:rFonts w:ascii="Arial" w:hAnsi="Arial" w:cs="Arial"/>
                <w:sz w:val="18"/>
                <w:szCs w:val="18"/>
              </w:rPr>
              <w:t>-8.9</w:t>
            </w:r>
          </w:p>
        </w:tc>
        <w:tc>
          <w:tcPr>
            <w:tcW w:w="692" w:type="pct"/>
            <w:shd w:val="clear" w:color="auto" w:fill="auto"/>
          </w:tcPr>
          <w:p w:rsidR="005F3F5E" w:rsidRPr="00486064" w:rsidRDefault="00607B65" w:rsidP="005F3F5E">
            <w:pPr>
              <w:rPr>
                <w:rFonts w:ascii="Arial" w:hAnsi="Arial" w:cs="Arial"/>
                <w:sz w:val="18"/>
                <w:szCs w:val="18"/>
              </w:rPr>
            </w:pPr>
            <w:r w:rsidRPr="00607B65">
              <w:rPr>
                <w:rFonts w:ascii="Arial" w:hAnsi="Arial" w:cs="Arial"/>
                <w:sz w:val="18"/>
                <w:szCs w:val="18"/>
              </w:rPr>
              <w:t>-1.5</w:t>
            </w:r>
          </w:p>
        </w:tc>
        <w:tc>
          <w:tcPr>
            <w:tcW w:w="675" w:type="pct"/>
          </w:tcPr>
          <w:p w:rsidR="005F3F5E" w:rsidRPr="00486064" w:rsidRDefault="005F3F5E" w:rsidP="005F3F5E">
            <w:pPr>
              <w:rPr>
                <w:rFonts w:ascii="Arial" w:hAnsi="Arial" w:cs="Arial"/>
                <w:sz w:val="18"/>
                <w:szCs w:val="18"/>
              </w:rPr>
            </w:pPr>
          </w:p>
        </w:tc>
      </w:tr>
      <w:tr w:rsidR="005F3F5E" w:rsidRPr="0062300C" w:rsidTr="00486064">
        <w:tc>
          <w:tcPr>
            <w:tcW w:w="1221" w:type="pct"/>
            <w:shd w:val="clear" w:color="auto" w:fill="auto"/>
          </w:tcPr>
          <w:p w:rsidR="005F3F5E" w:rsidRPr="00486064" w:rsidRDefault="00607B65" w:rsidP="005F3F5E">
            <w:pPr>
              <w:rPr>
                <w:rFonts w:ascii="Arial" w:hAnsi="Arial" w:cs="Arial"/>
                <w:b/>
                <w:sz w:val="18"/>
                <w:szCs w:val="18"/>
              </w:rPr>
            </w:pPr>
            <w:r w:rsidRPr="00607B65">
              <w:rPr>
                <w:rFonts w:ascii="Arial" w:hAnsi="Arial" w:cs="Arial"/>
                <w:b/>
                <w:sz w:val="18"/>
                <w:szCs w:val="18"/>
              </w:rPr>
              <w:t>Change in withdrawal</w:t>
            </w:r>
            <w:r w:rsidR="00486064">
              <w:rPr>
                <w:rFonts w:ascii="Arial" w:hAnsi="Arial" w:cs="Arial"/>
                <w:b/>
                <w:sz w:val="18"/>
                <w:szCs w:val="18"/>
              </w:rPr>
              <w:t>**</w:t>
            </w:r>
            <w:r w:rsidRPr="00607B65">
              <w:rPr>
                <w:rFonts w:ascii="Arial" w:hAnsi="Arial" w:cs="Arial"/>
                <w:b/>
                <w:sz w:val="18"/>
                <w:szCs w:val="18"/>
              </w:rPr>
              <w:t xml:space="preserve"> bids &gt;$8/GJ (TJ)</w:t>
            </w:r>
          </w:p>
        </w:tc>
        <w:tc>
          <w:tcPr>
            <w:tcW w:w="511" w:type="pct"/>
            <w:shd w:val="clear" w:color="auto" w:fill="auto"/>
          </w:tcPr>
          <w:p w:rsidR="005F3F5E" w:rsidRPr="00486064" w:rsidRDefault="00607B65" w:rsidP="005F3F5E">
            <w:pPr>
              <w:keepNext/>
              <w:widowControl w:val="0"/>
              <w:spacing w:before="240" w:after="120"/>
              <w:outlineLvl w:val="2"/>
              <w:rPr>
                <w:rFonts w:ascii="Arial" w:hAnsi="Arial" w:cs="Arial"/>
                <w:sz w:val="18"/>
                <w:szCs w:val="18"/>
              </w:rPr>
            </w:pPr>
            <w:r w:rsidRPr="00607B65">
              <w:rPr>
                <w:rFonts w:ascii="Arial" w:hAnsi="Arial" w:cs="Arial"/>
                <w:sz w:val="18"/>
                <w:szCs w:val="18"/>
              </w:rPr>
              <w:t>N/A</w:t>
            </w:r>
          </w:p>
        </w:tc>
        <w:tc>
          <w:tcPr>
            <w:tcW w:w="658" w:type="pct"/>
            <w:shd w:val="clear" w:color="auto" w:fill="auto"/>
          </w:tcPr>
          <w:p w:rsidR="005F3F5E" w:rsidRPr="00486064" w:rsidRDefault="00607B65" w:rsidP="005F3F5E">
            <w:pPr>
              <w:keepNext/>
              <w:widowControl w:val="0"/>
              <w:spacing w:before="240" w:after="120"/>
              <w:outlineLvl w:val="2"/>
              <w:rPr>
                <w:rFonts w:ascii="Arial" w:hAnsi="Arial" w:cs="Arial"/>
                <w:sz w:val="18"/>
                <w:szCs w:val="18"/>
              </w:rPr>
            </w:pPr>
            <w:r w:rsidRPr="00607B65">
              <w:rPr>
                <w:rFonts w:ascii="Arial" w:hAnsi="Arial" w:cs="Arial"/>
                <w:sz w:val="18"/>
                <w:szCs w:val="18"/>
              </w:rPr>
              <w:t>0.0</w:t>
            </w:r>
          </w:p>
        </w:tc>
        <w:tc>
          <w:tcPr>
            <w:tcW w:w="583" w:type="pct"/>
            <w:shd w:val="clear" w:color="auto" w:fill="auto"/>
          </w:tcPr>
          <w:p w:rsidR="005F3F5E" w:rsidRPr="00486064" w:rsidRDefault="00607B65" w:rsidP="005F3F5E">
            <w:pPr>
              <w:keepNext/>
              <w:widowControl w:val="0"/>
              <w:spacing w:before="240" w:after="120"/>
              <w:outlineLvl w:val="2"/>
              <w:rPr>
                <w:rFonts w:ascii="Arial" w:hAnsi="Arial" w:cs="Arial"/>
                <w:sz w:val="18"/>
                <w:szCs w:val="18"/>
              </w:rPr>
            </w:pPr>
            <w:r w:rsidRPr="00607B65">
              <w:rPr>
                <w:rFonts w:ascii="Arial" w:hAnsi="Arial" w:cs="Arial"/>
                <w:sz w:val="18"/>
                <w:szCs w:val="18"/>
              </w:rPr>
              <w:t>-0.5</w:t>
            </w:r>
          </w:p>
        </w:tc>
        <w:tc>
          <w:tcPr>
            <w:tcW w:w="661" w:type="pct"/>
            <w:shd w:val="clear" w:color="auto" w:fill="auto"/>
          </w:tcPr>
          <w:p w:rsidR="005F3F5E" w:rsidRPr="00486064" w:rsidRDefault="00607B65" w:rsidP="005F3F5E">
            <w:pPr>
              <w:keepNext/>
              <w:widowControl w:val="0"/>
              <w:spacing w:before="240" w:after="120"/>
              <w:outlineLvl w:val="2"/>
              <w:rPr>
                <w:rFonts w:ascii="Arial" w:hAnsi="Arial" w:cs="Arial"/>
                <w:sz w:val="18"/>
                <w:szCs w:val="18"/>
              </w:rPr>
            </w:pPr>
            <w:r w:rsidRPr="00607B65">
              <w:rPr>
                <w:rFonts w:ascii="Arial" w:hAnsi="Arial" w:cs="Arial"/>
                <w:sz w:val="18"/>
                <w:szCs w:val="18"/>
              </w:rPr>
              <w:t>-2.5</w:t>
            </w:r>
          </w:p>
        </w:tc>
        <w:tc>
          <w:tcPr>
            <w:tcW w:w="692" w:type="pct"/>
            <w:shd w:val="clear" w:color="auto" w:fill="auto"/>
          </w:tcPr>
          <w:p w:rsidR="005F3F5E" w:rsidRPr="00486064" w:rsidRDefault="00607B65" w:rsidP="005F3F5E">
            <w:pPr>
              <w:keepNext/>
              <w:widowControl w:val="0"/>
              <w:spacing w:before="240" w:after="120"/>
              <w:outlineLvl w:val="2"/>
              <w:rPr>
                <w:rFonts w:ascii="Arial" w:hAnsi="Arial" w:cs="Arial"/>
                <w:sz w:val="18"/>
                <w:szCs w:val="18"/>
              </w:rPr>
            </w:pPr>
            <w:r w:rsidRPr="00607B65">
              <w:rPr>
                <w:rFonts w:ascii="Arial" w:hAnsi="Arial" w:cs="Arial"/>
                <w:sz w:val="18"/>
                <w:szCs w:val="18"/>
              </w:rPr>
              <w:t>17.2</w:t>
            </w:r>
          </w:p>
        </w:tc>
        <w:tc>
          <w:tcPr>
            <w:tcW w:w="675" w:type="pct"/>
          </w:tcPr>
          <w:p w:rsidR="005F3F5E" w:rsidRPr="00486064" w:rsidRDefault="005F3F5E" w:rsidP="005F3F5E">
            <w:pPr>
              <w:rPr>
                <w:rFonts w:ascii="Arial" w:hAnsi="Arial" w:cs="Arial"/>
                <w:sz w:val="18"/>
                <w:szCs w:val="18"/>
              </w:rPr>
            </w:pPr>
          </w:p>
        </w:tc>
      </w:tr>
    </w:tbl>
    <w:p w:rsidR="00486064" w:rsidRPr="0008777F" w:rsidRDefault="00486064" w:rsidP="00486064">
      <w:pPr>
        <w:spacing w:before="120" w:after="120"/>
        <w:jc w:val="both"/>
        <w:rPr>
          <w:sz w:val="16"/>
          <w:szCs w:val="16"/>
        </w:rPr>
      </w:pPr>
      <w:r w:rsidRPr="0008777F">
        <w:rPr>
          <w:sz w:val="16"/>
          <w:szCs w:val="16"/>
        </w:rPr>
        <w:t>*AEMO override is applied to participant’s demand forecasts when in accordance with a defined AEMO procedure, the aggregated participant forecasts are considered to be outside a threshold level of accuracy (override is applied based on system security reasons).</w:t>
      </w:r>
    </w:p>
    <w:p w:rsidR="00486064" w:rsidRPr="0008777F" w:rsidRDefault="00486064" w:rsidP="00486064">
      <w:pPr>
        <w:spacing w:before="120" w:after="240"/>
        <w:jc w:val="both"/>
        <w:rPr>
          <w:sz w:val="16"/>
          <w:szCs w:val="16"/>
        </w:rPr>
      </w:pPr>
      <w:r w:rsidRPr="0008777F">
        <w:rPr>
          <w:sz w:val="16"/>
          <w:szCs w:val="16"/>
        </w:rPr>
        <w:t>**The $8/GJ threshold has been chosen for both injection bids and withdrawal bids as $8/GJ is one of the critical pricing points for determining the schedule price—more injection bids below $8/GJ will put downward pressure on the price; more withdrawal bids above $8/GJ will put upwards pressure on the price.</w:t>
      </w:r>
    </w:p>
    <w:p w:rsidR="005F3F5E" w:rsidRPr="00FE0A9C" w:rsidRDefault="005F3F5E" w:rsidP="006A5932">
      <w:pPr>
        <w:spacing w:before="120" w:after="240"/>
        <w:jc w:val="both"/>
      </w:pPr>
      <w:r w:rsidRPr="001B0AC8">
        <w:t xml:space="preserve">Actual demand for the day was </w:t>
      </w:r>
      <w:r>
        <w:rPr>
          <w:b/>
        </w:rPr>
        <w:t>1 002 </w:t>
      </w:r>
      <w:r w:rsidRPr="006E3328">
        <w:rPr>
          <w:b/>
        </w:rPr>
        <w:t>TJ</w:t>
      </w:r>
      <w:r w:rsidRPr="00942E40">
        <w:t>.</w:t>
      </w:r>
      <w:r w:rsidRPr="001B0AC8">
        <w:t xml:space="preserve"> </w:t>
      </w:r>
    </w:p>
    <w:p w:rsidR="007A3616" w:rsidRPr="007A3616" w:rsidRDefault="007A3616" w:rsidP="00D25E17">
      <w:pPr>
        <w:pStyle w:val="AERbodytext"/>
        <w:jc w:val="both"/>
        <w:rPr>
          <w:rFonts w:eastAsia="MS Mincho"/>
        </w:rPr>
      </w:pPr>
      <w:r>
        <w:rPr>
          <w:rFonts w:eastAsia="MS Mincho"/>
        </w:rPr>
        <w:t xml:space="preserve">The high </w:t>
      </w:r>
      <w:r w:rsidR="00CE7E53">
        <w:rPr>
          <w:rFonts w:eastAsia="MS Mincho"/>
        </w:rPr>
        <w:t>6 </w:t>
      </w:r>
      <w:r>
        <w:rPr>
          <w:rFonts w:eastAsia="MS Mincho"/>
        </w:rPr>
        <w:t xml:space="preserve">am price </w:t>
      </w:r>
      <w:r w:rsidR="00CE7E53">
        <w:rPr>
          <w:rFonts w:eastAsia="MS Mincho"/>
        </w:rPr>
        <w:t xml:space="preserve">($16.30 GJ) </w:t>
      </w:r>
      <w:r>
        <w:rPr>
          <w:rFonts w:eastAsia="MS Mincho"/>
        </w:rPr>
        <w:t xml:space="preserve">on this gas day was a direct result of </w:t>
      </w:r>
      <w:r w:rsidR="00F95DBA">
        <w:rPr>
          <w:rFonts w:eastAsia="MS Mincho"/>
        </w:rPr>
        <w:t xml:space="preserve">a </w:t>
      </w:r>
      <w:r>
        <w:rPr>
          <w:rFonts w:eastAsia="MS Mincho"/>
        </w:rPr>
        <w:t xml:space="preserve">supply constraint at Iona </w:t>
      </w:r>
      <w:r w:rsidR="00F95DBA">
        <w:rPr>
          <w:rFonts w:eastAsia="MS Mincho"/>
        </w:rPr>
        <w:t xml:space="preserve">which prevented </w:t>
      </w:r>
      <w:r>
        <w:rPr>
          <w:rFonts w:eastAsia="MS Mincho"/>
        </w:rPr>
        <w:t>the scheduling of cheaper priced Iona offers</w:t>
      </w:r>
      <w:r w:rsidR="0027284D">
        <w:rPr>
          <w:rFonts w:eastAsia="MS Mincho"/>
        </w:rPr>
        <w:t xml:space="preserve"> (explained </w:t>
      </w:r>
      <w:r w:rsidR="004E7A8A">
        <w:rPr>
          <w:rFonts w:eastAsia="MS Mincho"/>
        </w:rPr>
        <w:t xml:space="preserve">below </w:t>
      </w:r>
      <w:r w:rsidR="0027284D">
        <w:rPr>
          <w:rFonts w:eastAsia="MS Mincho"/>
        </w:rPr>
        <w:t xml:space="preserve">under </w:t>
      </w:r>
      <w:r w:rsidR="00607B65" w:rsidRPr="00607B65">
        <w:rPr>
          <w:rFonts w:eastAsia="MS Mincho"/>
          <w:i/>
        </w:rPr>
        <w:t>LNG</w:t>
      </w:r>
      <w:r w:rsidR="0027284D">
        <w:rPr>
          <w:rFonts w:eastAsia="MS Mincho"/>
        </w:rPr>
        <w:t>)</w:t>
      </w:r>
      <w:r w:rsidR="00F95DBA">
        <w:rPr>
          <w:rFonts w:eastAsia="MS Mincho"/>
        </w:rPr>
        <w:t xml:space="preserve">. </w:t>
      </w:r>
    </w:p>
    <w:p w:rsidR="00D25E17" w:rsidRPr="00091B60" w:rsidRDefault="00F13830" w:rsidP="00D25E17">
      <w:pPr>
        <w:pStyle w:val="AERbodytext"/>
        <w:jc w:val="both"/>
        <w:rPr>
          <w:rFonts w:eastAsia="MS Mincho"/>
          <w:i/>
        </w:rPr>
      </w:pPr>
      <w:r w:rsidRPr="00F13830">
        <w:rPr>
          <w:rFonts w:eastAsia="MS Mincho"/>
          <w:i/>
        </w:rPr>
        <w:t>Demand forecasting</w:t>
      </w:r>
    </w:p>
    <w:p w:rsidR="00D25E17" w:rsidRPr="00811ACE" w:rsidRDefault="00091B60" w:rsidP="00F73700">
      <w:pPr>
        <w:spacing w:after="240"/>
        <w:jc w:val="both"/>
      </w:pPr>
      <w:r>
        <w:t xml:space="preserve">BOD demand forecasting by larger participants was generally accurate. </w:t>
      </w:r>
    </w:p>
    <w:p w:rsidR="00D25E17" w:rsidRPr="001F03A2" w:rsidRDefault="00F13830" w:rsidP="00D25E17">
      <w:pPr>
        <w:pStyle w:val="AERbodytext"/>
        <w:jc w:val="both"/>
        <w:rPr>
          <w:rFonts w:eastAsia="MS Mincho"/>
          <w:i/>
        </w:rPr>
      </w:pPr>
      <w:r w:rsidRPr="00F13830">
        <w:rPr>
          <w:rFonts w:eastAsia="MS Mincho"/>
          <w:i/>
        </w:rPr>
        <w:t>Bids and rebids</w:t>
      </w:r>
    </w:p>
    <w:p w:rsidR="00814C7C" w:rsidRDefault="005757F1">
      <w:pPr>
        <w:spacing w:before="120" w:after="120"/>
        <w:jc w:val="both"/>
      </w:pPr>
      <w:r w:rsidRPr="005757F1">
        <w:t>In response to the high BOD price of $16.30/GJ, for the 10 am schedule, participants rebid capacity into lower prices as shown by the increase of 73.9 TJ in gas bids priced under $8</w:t>
      </w:r>
      <w:r w:rsidRPr="00310716">
        <w:t>/GJ</w:t>
      </w:r>
      <w:r w:rsidR="00B4225B" w:rsidRPr="00310716">
        <w:t>.</w:t>
      </w:r>
      <w:r w:rsidR="00310716">
        <w:t xml:space="preserve"> This was largely the result of rebidding by one participant, who shifted 40 </w:t>
      </w:r>
      <w:r w:rsidR="006427C4">
        <w:t>TJ</w:t>
      </w:r>
      <w:r w:rsidR="00310716">
        <w:t xml:space="preserve"> from above $8/GJ</w:t>
      </w:r>
      <w:r w:rsidR="008C6D62">
        <w:t xml:space="preserve"> to the floor and added a further 20 TJ priced at zero</w:t>
      </w:r>
      <w:r w:rsidR="00480B3B">
        <w:t>.</w:t>
      </w:r>
    </w:p>
    <w:p w:rsidR="00814C7C" w:rsidRDefault="00AE2F50">
      <w:pPr>
        <w:spacing w:before="240" w:after="120"/>
        <w:rPr>
          <w:i/>
        </w:rPr>
      </w:pPr>
      <w:r w:rsidRPr="00727A01">
        <w:rPr>
          <w:i/>
        </w:rPr>
        <w:t>LNG</w:t>
      </w:r>
      <w:r w:rsidR="00BD2F34">
        <w:rPr>
          <w:i/>
        </w:rPr>
        <w:t xml:space="preserve"> and Iona </w:t>
      </w:r>
    </w:p>
    <w:p w:rsidR="00814C7C" w:rsidRDefault="00BD2F34">
      <w:pPr>
        <w:spacing w:before="120" w:after="120"/>
        <w:jc w:val="both"/>
      </w:pPr>
      <w:r>
        <w:t xml:space="preserve">A supply point constraint at the Iona facility limited flows to 0 TJ/h through the Iona system injection point until 9 am. </w:t>
      </w:r>
      <w:r w:rsidR="00AC5BC7">
        <w:t xml:space="preserve">As a result of the Iona outage, levels of linepack were being replenished at a </w:t>
      </w:r>
      <w:r w:rsidR="0027284D">
        <w:t xml:space="preserve">lower </w:t>
      </w:r>
      <w:r w:rsidR="00AC5BC7">
        <w:t xml:space="preserve">rate </w:t>
      </w:r>
      <w:r w:rsidR="0027284D">
        <w:t>t</w:t>
      </w:r>
      <w:r w:rsidR="00AC5BC7">
        <w:t xml:space="preserve">han expected. </w:t>
      </w:r>
      <w:r w:rsidR="0027284D">
        <w:t xml:space="preserve">As a result, (high-priced) LNG was scheduled (in merit order), leading to </w:t>
      </w:r>
      <w:r w:rsidR="00AC5BC7">
        <w:t>a high BOD price</w:t>
      </w:r>
      <w:r w:rsidR="00F95DBA">
        <w:t xml:space="preserve">. Prices for </w:t>
      </w:r>
      <w:r w:rsidR="00AC5BC7">
        <w:t>subsequent schedule</w:t>
      </w:r>
      <w:r w:rsidR="00F95DBA">
        <w:t>s</w:t>
      </w:r>
      <w:r w:rsidR="00AC5BC7">
        <w:t xml:space="preserve"> </w:t>
      </w:r>
      <w:r w:rsidR="00F95DBA">
        <w:t>fell</w:t>
      </w:r>
      <w:r w:rsidR="00AC5BC7">
        <w:t xml:space="preserve"> as the linepack was brought back to satisfactory levels.</w:t>
      </w:r>
    </w:p>
    <w:p w:rsidR="00D25E17" w:rsidRPr="00D25E17" w:rsidRDefault="00D25E17" w:rsidP="007D1AD6">
      <w:pPr>
        <w:rPr>
          <w:sz w:val="26"/>
        </w:rPr>
      </w:pPr>
    </w:p>
    <w:sectPr w:rsidR="00D25E17" w:rsidRPr="00D25E17" w:rsidSect="00341B66">
      <w:footerReference w:type="default" r:id="rId34"/>
      <w:pgSz w:w="11906" w:h="16838"/>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1CC" w:rsidRDefault="004131CC" w:rsidP="002B6B7B">
      <w:r>
        <w:separator/>
      </w:r>
    </w:p>
  </w:endnote>
  <w:endnote w:type="continuationSeparator" w:id="0">
    <w:p w:rsidR="004131CC" w:rsidRDefault="004131CC" w:rsidP="002B6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1CC" w:rsidRDefault="00D47C96">
    <w:pPr>
      <w:pStyle w:val="Footer"/>
      <w:jc w:val="center"/>
    </w:pPr>
    <w:fldSimple w:instr=" PAGE   \* MERGEFORMAT ">
      <w:r w:rsidR="00DB2A1A">
        <w:rPr>
          <w:noProof/>
        </w:rPr>
        <w:t>1</w:t>
      </w:r>
    </w:fldSimple>
  </w:p>
  <w:p w:rsidR="004131CC" w:rsidRDefault="004131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1CC" w:rsidRDefault="004131CC" w:rsidP="002B6B7B">
      <w:r>
        <w:separator/>
      </w:r>
    </w:p>
  </w:footnote>
  <w:footnote w:type="continuationSeparator" w:id="0">
    <w:p w:rsidR="004131CC" w:rsidRDefault="004131CC" w:rsidP="002B6B7B">
      <w:r>
        <w:continuationSeparator/>
      </w:r>
    </w:p>
  </w:footnote>
  <w:footnote w:id="1">
    <w:p w:rsidR="004131CC" w:rsidRDefault="004131CC" w:rsidP="006E6AA7">
      <w:pPr>
        <w:pStyle w:val="FootnoteText"/>
      </w:pPr>
      <w:r>
        <w:rPr>
          <w:rStyle w:val="FootnoteReference"/>
        </w:rPr>
        <w:footnoteRef/>
      </w:r>
      <w:r>
        <w:t xml:space="preserve"> </w:t>
      </w:r>
      <w:r w:rsidRPr="006E6AA7">
        <w:t xml:space="preserve"> In accordance with rule 355 and rule 498 of the National Gas Rules.  </w:t>
      </w:r>
    </w:p>
  </w:footnote>
  <w:footnote w:id="2">
    <w:p w:rsidR="004131CC" w:rsidRDefault="004131CC" w:rsidP="006E6AA7">
      <w:pPr>
        <w:pStyle w:val="Default"/>
      </w:pPr>
      <w:r>
        <w:rPr>
          <w:rStyle w:val="FootnoteReference"/>
        </w:rPr>
        <w:footnoteRef/>
      </w:r>
      <w:r>
        <w:t xml:space="preserve"> </w:t>
      </w:r>
      <w:r>
        <w:rPr>
          <w:sz w:val="20"/>
          <w:szCs w:val="20"/>
        </w:rPr>
        <w:t xml:space="preserve">The VGM price variation reporting triggers are—(i) if the </w:t>
      </w:r>
      <w:r>
        <w:rPr>
          <w:i/>
          <w:iCs/>
          <w:sz w:val="20"/>
          <w:szCs w:val="20"/>
        </w:rPr>
        <w:t xml:space="preserve">Trade Weighted Market Price </w:t>
      </w:r>
      <w:r>
        <w:rPr>
          <w:sz w:val="20"/>
          <w:szCs w:val="20"/>
        </w:rPr>
        <w:t xml:space="preserve">published by </w:t>
      </w:r>
      <w:r>
        <w:rPr>
          <w:i/>
          <w:iCs/>
          <w:sz w:val="20"/>
          <w:szCs w:val="20"/>
        </w:rPr>
        <w:t xml:space="preserve">AEMO </w:t>
      </w:r>
      <w:r>
        <w:rPr>
          <w:sz w:val="20"/>
          <w:szCs w:val="20"/>
        </w:rPr>
        <w:t xml:space="preserve">on a gas day is more than three times the average price for the previous 30 days and the </w:t>
      </w:r>
      <w:r>
        <w:rPr>
          <w:i/>
          <w:iCs/>
          <w:sz w:val="20"/>
          <w:szCs w:val="20"/>
        </w:rPr>
        <w:t xml:space="preserve">Trade Weighted Market Price </w:t>
      </w:r>
      <w:r>
        <w:rPr>
          <w:sz w:val="20"/>
          <w:szCs w:val="20"/>
        </w:rPr>
        <w:t xml:space="preserve">is equal to or greater than $15/GJ; (ii) if the </w:t>
      </w:r>
      <w:r>
        <w:rPr>
          <w:i/>
          <w:iCs/>
          <w:sz w:val="20"/>
          <w:szCs w:val="20"/>
        </w:rPr>
        <w:t xml:space="preserve">Ancillary Payment Amount </w:t>
      </w:r>
      <w:r>
        <w:rPr>
          <w:sz w:val="20"/>
          <w:szCs w:val="20"/>
        </w:rPr>
        <w:t xml:space="preserve">published by </w:t>
      </w:r>
      <w:r>
        <w:rPr>
          <w:i/>
          <w:iCs/>
          <w:sz w:val="20"/>
          <w:szCs w:val="20"/>
        </w:rPr>
        <w:t xml:space="preserve">AEMO </w:t>
      </w:r>
      <w:r>
        <w:rPr>
          <w:sz w:val="20"/>
          <w:szCs w:val="20"/>
        </w:rPr>
        <w:t xml:space="preserve">on a gas day is an amount payable or receivable which exceeds $250 000. See www.aer.gov.au/node/453. </w:t>
      </w:r>
      <w:r>
        <w:t xml:space="preserve"> </w:t>
      </w:r>
    </w:p>
  </w:footnote>
  <w:footnote w:id="3">
    <w:p w:rsidR="004131CC" w:rsidRDefault="004131CC" w:rsidP="006E6AA7">
      <w:pPr>
        <w:pStyle w:val="Default"/>
      </w:pPr>
      <w:r>
        <w:rPr>
          <w:rStyle w:val="FootnoteReference"/>
        </w:rPr>
        <w:footnoteRef/>
      </w:r>
      <w:r>
        <w:t xml:space="preserve"> </w:t>
      </w:r>
      <w:hyperlink r:id="rId1" w:history="1">
        <w:r w:rsidRPr="00525B69">
          <w:rPr>
            <w:rStyle w:val="Hyperlink"/>
            <w:sz w:val="20"/>
            <w:szCs w:val="20"/>
          </w:rPr>
          <w:t>www.aer.gov.au/node/451</w:t>
        </w:r>
      </w:hyperlink>
      <w:r>
        <w:rPr>
          <w:sz w:val="20"/>
          <w:szCs w:val="20"/>
        </w:rPr>
        <w:t xml:space="preserve"> </w:t>
      </w:r>
    </w:p>
  </w:footnote>
  <w:footnote w:id="4">
    <w:p w:rsidR="004131CC" w:rsidRDefault="004131CC" w:rsidP="006E6AA7">
      <w:pPr>
        <w:pStyle w:val="Default"/>
      </w:pPr>
      <w:r>
        <w:rPr>
          <w:rStyle w:val="FootnoteReference"/>
        </w:rPr>
        <w:footnoteRef/>
      </w:r>
      <w:r>
        <w:t xml:space="preserve"> </w:t>
      </w:r>
      <w:hyperlink r:id="rId2" w:history="1">
        <w:r w:rsidRPr="00525B69">
          <w:rPr>
            <w:rStyle w:val="Hyperlink"/>
            <w:sz w:val="20"/>
            <w:szCs w:val="20"/>
          </w:rPr>
          <w:t>www.aer.gov.au/node/454</w:t>
        </w:r>
      </w:hyperlink>
      <w:r>
        <w:rPr>
          <w:sz w:val="20"/>
          <w:szCs w:val="20"/>
        </w:rPr>
        <w:t xml:space="preserve"> </w:t>
      </w:r>
    </w:p>
  </w:footnote>
  <w:footnote w:id="5">
    <w:p w:rsidR="004131CC" w:rsidRDefault="004131CC">
      <w:pPr>
        <w:pStyle w:val="FootnoteText"/>
      </w:pPr>
      <w:r>
        <w:rPr>
          <w:rStyle w:val="FootnoteReference"/>
        </w:rPr>
        <w:footnoteRef/>
      </w:r>
      <w:r>
        <w:t xml:space="preserve"> Excluding one high price day caused by the submission of anomalous pipeline data in 2010.</w:t>
      </w:r>
    </w:p>
  </w:footnote>
  <w:footnote w:id="6">
    <w:p w:rsidR="004131CC" w:rsidRDefault="004131CC" w:rsidP="008E3B39">
      <w:pPr>
        <w:pStyle w:val="FootnoteText"/>
        <w:jc w:val="both"/>
      </w:pPr>
      <w:r>
        <w:rPr>
          <w:rStyle w:val="FootnoteReference"/>
        </w:rPr>
        <w:footnoteRef/>
      </w:r>
      <w:r>
        <w:t xml:space="preserve"> For each gas day, there are two provisional schedules (D-3 and D-2). The D-3 and D-2 schedules occur 3 and 2 days before the gas day, respectively. The ex ante schedule, also referred to as the D-1 schedule, occurs on the day before the gas day. </w:t>
      </w:r>
    </w:p>
  </w:footnote>
  <w:footnote w:id="7">
    <w:p w:rsidR="004131CC" w:rsidRDefault="004131CC">
      <w:pPr>
        <w:pStyle w:val="FootnoteText"/>
      </w:pPr>
      <w:r>
        <w:rPr>
          <w:rStyle w:val="FootnoteReference"/>
        </w:rPr>
        <w:footnoteRef/>
      </w:r>
      <w:r>
        <w:t xml:space="preserve"> Aside from two days of large price differences caused by anomalous pipeline data for the Sydney hub in 2010</w:t>
      </w:r>
    </w:p>
  </w:footnote>
  <w:footnote w:id="8">
    <w:p w:rsidR="004131CC" w:rsidRDefault="004131CC" w:rsidP="002933B9">
      <w:pPr>
        <w:pStyle w:val="FootnoteText"/>
      </w:pPr>
      <w:r>
        <w:rPr>
          <w:rStyle w:val="FootnoteReference"/>
        </w:rPr>
        <w:footnoteRef/>
      </w:r>
      <w:r>
        <w:t xml:space="preserve"> This offer price band was chosen as it is the closest to the July average ex ante price of $6.75/GJ.  </w:t>
      </w:r>
    </w:p>
  </w:footnote>
  <w:footnote w:id="9">
    <w:p w:rsidR="003F69ED" w:rsidRDefault="003F69ED">
      <w:pPr>
        <w:pStyle w:val="FootnoteText"/>
      </w:pPr>
      <w:r>
        <w:rPr>
          <w:rStyle w:val="FootnoteReference"/>
        </w:rPr>
        <w:footnoteRef/>
      </w:r>
      <w:r>
        <w:t xml:space="preserve"> The ex post price is calculated after the gas day by using the same ex ante offers (and bids) but applying an imbalance amount to reflect what the price would have been had actual demand (determined after the day) been used. For example, if demand was under forecast, an ex post bid will be added to the ex ante market schedule to determine an ex post price that is equal to or higher than the ex ante price. If demand was over forecast, an ex post offer will be added to determine an ex post price that is equal to or less than the ex ante price.  </w:t>
      </w:r>
    </w:p>
  </w:footnote>
  <w:footnote w:id="10">
    <w:p w:rsidR="004131CC" w:rsidRDefault="004131CC">
      <w:pPr>
        <w:pStyle w:val="FootnoteText"/>
      </w:pPr>
      <w:r>
        <w:rPr>
          <w:rStyle w:val="FootnoteReference"/>
        </w:rPr>
        <w:footnoteRef/>
      </w:r>
      <w:r>
        <w:t xml:space="preserve"> This offer price band was chosen as it is the closest to the July average ex ante price of $6.67/GJ.  </w:t>
      </w:r>
    </w:p>
  </w:footnote>
  <w:footnote w:id="11">
    <w:p w:rsidR="004131CC" w:rsidRDefault="004131CC" w:rsidP="008E3B39">
      <w:pPr>
        <w:pStyle w:val="FootnoteText"/>
        <w:jc w:val="both"/>
      </w:pPr>
      <w:r>
        <w:rPr>
          <w:rStyle w:val="FootnoteReference"/>
        </w:rPr>
        <w:footnoteRef/>
      </w:r>
      <w:r>
        <w:t xml:space="preserve"> On this day the </w:t>
      </w:r>
      <w:r w:rsidRPr="00004CA0">
        <w:t xml:space="preserve">imbalance price </w:t>
      </w:r>
      <w:r>
        <w:t xml:space="preserve">reached </w:t>
      </w:r>
      <w:r w:rsidRPr="00004CA0">
        <w:t>$54.88</w:t>
      </w:r>
      <w:r>
        <w:t>/GJ</w:t>
      </w:r>
      <w:r w:rsidRPr="00004CA0">
        <w:t xml:space="preserve"> (</w:t>
      </w:r>
      <w:r>
        <w:t xml:space="preserve">there was a </w:t>
      </w:r>
      <w:r w:rsidRPr="00004CA0">
        <w:t xml:space="preserve">VOLL price </w:t>
      </w:r>
      <w:r>
        <w:t>(</w:t>
      </w:r>
      <w:r w:rsidRPr="00004CA0">
        <w:t>$800</w:t>
      </w:r>
      <w:r>
        <w:t>/GJ)</w:t>
      </w:r>
      <w:r w:rsidRPr="00004CA0">
        <w:t xml:space="preserve"> at 10pm</w:t>
      </w:r>
      <w:r>
        <w:t>.</w:t>
      </w:r>
      <w:r w:rsidRPr="00004CA0">
        <w:t>)</w:t>
      </w:r>
      <w:r>
        <w:t>.</w:t>
      </w:r>
    </w:p>
  </w:footnote>
  <w:footnote w:id="12">
    <w:p w:rsidR="004131CC" w:rsidRDefault="004131CC" w:rsidP="008E3B39">
      <w:pPr>
        <w:pStyle w:val="FootnoteText"/>
        <w:jc w:val="both"/>
      </w:pPr>
      <w:r>
        <w:rPr>
          <w:rStyle w:val="FootnoteReference"/>
        </w:rPr>
        <w:footnoteRef/>
      </w:r>
      <w:r>
        <w:t xml:space="preserve"> This offer price band was chosen as it is the closest to the July average ex ante price of $5.85/GJ.</w:t>
      </w:r>
    </w:p>
  </w:footnote>
  <w:footnote w:id="13">
    <w:p w:rsidR="004131CC" w:rsidRDefault="004131CC" w:rsidP="008E3B39">
      <w:pPr>
        <w:pStyle w:val="FootnoteText"/>
        <w:jc w:val="both"/>
      </w:pPr>
      <w:r>
        <w:rPr>
          <w:rStyle w:val="FootnoteReference"/>
        </w:rPr>
        <w:footnoteRef/>
      </w:r>
      <w:r>
        <w:t xml:space="preserve"> Major STTM user ‘participants’ for the Sydney hub are Origin, AGL and TRUenergy whose demand forecasts typically comprise at least 10 per cent each of total hub demand.</w:t>
      </w:r>
    </w:p>
  </w:footnote>
  <w:footnote w:id="14">
    <w:p w:rsidR="004131CC" w:rsidRPr="00A95AF4" w:rsidRDefault="004131CC" w:rsidP="008E3B39">
      <w:pPr>
        <w:pStyle w:val="FootnoteText"/>
        <w:jc w:val="both"/>
      </w:pPr>
      <w:r>
        <w:rPr>
          <w:rStyle w:val="FootnoteReference"/>
        </w:rPr>
        <w:footnoteRef/>
      </w:r>
      <w:r>
        <w:t xml:space="preserve"> </w:t>
      </w:r>
      <w:r w:rsidRPr="00A95AF4">
        <w:t xml:space="preserve">In the STTM, gas supply offers are scheduled to meet all price taker bids or demand forecasts </w:t>
      </w:r>
      <w:r w:rsidRPr="00A95AF4">
        <w:rPr>
          <w:i/>
        </w:rPr>
        <w:t xml:space="preserve">plus </w:t>
      </w:r>
      <w:r w:rsidRPr="00A95AF4">
        <w:t xml:space="preserve">any price dependant bids </w:t>
      </w:r>
      <w:r>
        <w:t>(</w:t>
      </w:r>
      <w:r w:rsidRPr="00A95AF4">
        <w:t>or ex ante bids</w:t>
      </w:r>
      <w:r>
        <w:t>)</w:t>
      </w:r>
      <w:r w:rsidRPr="00A95AF4">
        <w:t xml:space="preserve"> i.e. for ba</w:t>
      </w:r>
      <w:r>
        <w:t>ckhaul</w:t>
      </w:r>
      <w:r w:rsidRPr="00A95AF4">
        <w:t xml:space="preserve">. </w:t>
      </w:r>
      <w:r>
        <w:t xml:space="preserve">Compared to consistent high price taker bid volumes, volumes of </w:t>
      </w:r>
      <w:r w:rsidRPr="00A95AF4">
        <w:t xml:space="preserve">ex ante bids priced to be scheduled are </w:t>
      </w:r>
      <w:r>
        <w:t xml:space="preserve">often </w:t>
      </w:r>
      <w:r w:rsidRPr="00A95AF4">
        <w:t xml:space="preserve">low </w:t>
      </w:r>
      <w:r>
        <w:t>or zero. Therefore, the volume of price taker bids and volume of scheduled gas are often aligned</w:t>
      </w:r>
      <w:r w:rsidRPr="00A95AF4">
        <w:t>.</w:t>
      </w:r>
    </w:p>
    <w:p w:rsidR="004131CC" w:rsidRDefault="004131CC">
      <w:pPr>
        <w:pStyle w:val="FootnoteText"/>
      </w:pPr>
    </w:p>
  </w:footnote>
  <w:footnote w:id="15">
    <w:p w:rsidR="004131CC" w:rsidRDefault="004131CC" w:rsidP="00B10C2E">
      <w:pPr>
        <w:pStyle w:val="FootnoteText"/>
      </w:pPr>
      <w:r>
        <w:rPr>
          <w:rStyle w:val="FootnoteReference"/>
        </w:rPr>
        <w:footnoteRef/>
      </w:r>
      <w:r>
        <w:t xml:space="preserve"> Major STTM user ‘participants’ for the Adelaide hub are Origin, AGL, TRUenergy and Adelaide Brighton Cement whose demand forecasts typically comprise at least 10 per cent each of total hub demand.</w:t>
      </w:r>
    </w:p>
    <w:p w:rsidR="004131CC" w:rsidRDefault="004131CC">
      <w:pPr>
        <w:pStyle w:val="FootnoteText"/>
      </w:pPr>
    </w:p>
  </w:footnote>
  <w:footnote w:id="16">
    <w:p w:rsidR="004131CC" w:rsidRDefault="004131CC">
      <w:pPr>
        <w:pStyle w:val="FootnoteText"/>
      </w:pPr>
      <w:r>
        <w:rPr>
          <w:rStyle w:val="FootnoteReference"/>
        </w:rPr>
        <w:footnoteRef/>
      </w:r>
      <w:r>
        <w:t xml:space="preserve"> Major participants in the Brisbane hub whose price taker bids exceed 10 per cent of demand are AGL, Origin, BP, Incitec Pivot and Stanwell.</w:t>
      </w:r>
    </w:p>
  </w:footnote>
  <w:footnote w:id="17">
    <w:p w:rsidR="004131CC" w:rsidRDefault="004131CC" w:rsidP="00937C3F">
      <w:pPr>
        <w:pStyle w:val="FootnoteText"/>
      </w:pPr>
      <w:r>
        <w:rPr>
          <w:rStyle w:val="FootnoteReference"/>
        </w:rPr>
        <w:footnoteRef/>
      </w:r>
      <w:r>
        <w:t xml:space="preserve"> Actual demand refers to the </w:t>
      </w:r>
      <w:r w:rsidR="003F69ED">
        <w:t xml:space="preserve">actual daily </w:t>
      </w:r>
      <w:r>
        <w:t xml:space="preserve">demand </w:t>
      </w:r>
      <w:r w:rsidR="003F69ED">
        <w:t xml:space="preserve">(6 am to 6 am) </w:t>
      </w:r>
      <w:r>
        <w:t>for comparison with market participants demand forecasts</w:t>
      </w:r>
      <w:r w:rsidR="003F69ED">
        <w:t xml:space="preserve"> which are submitted at each schedule for a daily period (6am to 6 am). </w:t>
      </w:r>
    </w:p>
  </w:footnote>
  <w:footnote w:id="18">
    <w:p w:rsidR="004131CC" w:rsidRDefault="004131CC" w:rsidP="00616AF2">
      <w:pPr>
        <w:pStyle w:val="FootnoteText"/>
      </w:pPr>
      <w:r>
        <w:rPr>
          <w:rStyle w:val="FootnoteReference"/>
        </w:rPr>
        <w:footnoteRef/>
      </w:r>
      <w:r>
        <w:t xml:space="preserve"> On this day the </w:t>
      </w:r>
      <w:r w:rsidRPr="00004CA0">
        <w:t xml:space="preserve">imbalance price </w:t>
      </w:r>
      <w:r>
        <w:t xml:space="preserve">reached </w:t>
      </w:r>
      <w:r w:rsidRPr="00004CA0">
        <w:t>$54.88</w:t>
      </w:r>
      <w:r>
        <w:t>/GJ</w:t>
      </w:r>
      <w:r w:rsidRPr="00004CA0">
        <w:t xml:space="preserve"> (</w:t>
      </w:r>
      <w:r>
        <w:t xml:space="preserve">there was a </w:t>
      </w:r>
      <w:r w:rsidRPr="00004CA0">
        <w:t xml:space="preserve">VOLL price </w:t>
      </w:r>
      <w:r>
        <w:t>(</w:t>
      </w:r>
      <w:r w:rsidRPr="00004CA0">
        <w:t>$800</w:t>
      </w:r>
      <w:r>
        <w:t>/GJ)</w:t>
      </w:r>
      <w:r w:rsidRPr="00004CA0">
        <w:t xml:space="preserve"> at 10pm</w:t>
      </w:r>
      <w:r>
        <w:t>.</w:t>
      </w:r>
      <w:r w:rsidRPr="00004CA0">
        <w:t>)</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C7BC0"/>
    <w:multiLevelType w:val="hybridMultilevel"/>
    <w:tmpl w:val="75886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DCC5E15"/>
    <w:multiLevelType w:val="hybridMultilevel"/>
    <w:tmpl w:val="0EC04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0895FE3"/>
    <w:multiLevelType w:val="multilevel"/>
    <w:tmpl w:val="2604DF76"/>
    <w:lvl w:ilvl="0">
      <w:start w:val="1"/>
      <w:numFmt w:val="decimal"/>
      <w:pStyle w:val="AERheading1"/>
      <w:lvlText w:val="%1"/>
      <w:lvlJc w:val="left"/>
      <w:pPr>
        <w:tabs>
          <w:tab w:val="num" w:pos="851"/>
        </w:tabs>
        <w:ind w:left="851" w:hanging="851"/>
      </w:pPr>
      <w:rPr>
        <w:rFonts w:hint="default"/>
      </w:rPr>
    </w:lvl>
    <w:lvl w:ilvl="1">
      <w:start w:val="1"/>
      <w:numFmt w:val="decimal"/>
      <w:pStyle w:val="AERheading2"/>
      <w:lvlText w:val="%1.%2"/>
      <w:lvlJc w:val="left"/>
      <w:pPr>
        <w:tabs>
          <w:tab w:val="num" w:pos="851"/>
        </w:tabs>
        <w:ind w:left="851" w:hanging="851"/>
      </w:pPr>
      <w:rPr>
        <w:rFonts w:hint="default"/>
      </w:rPr>
    </w:lvl>
    <w:lvl w:ilvl="2">
      <w:start w:val="1"/>
      <w:numFmt w:val="decimal"/>
      <w:pStyle w:val="AERheading3"/>
      <w:lvlText w:val="%1.%2.%3"/>
      <w:lvlJc w:val="left"/>
      <w:pPr>
        <w:tabs>
          <w:tab w:val="num" w:pos="851"/>
        </w:tabs>
        <w:ind w:left="851" w:hanging="851"/>
      </w:pPr>
      <w:rPr>
        <w:rFonts w:hint="default"/>
      </w:rPr>
    </w:lvl>
    <w:lvl w:ilvl="3">
      <w:start w:val="1"/>
      <w:numFmt w:val="decimal"/>
      <w:pStyle w:val="AERheading4"/>
      <w:lvlText w:val="%1.%2.%3.%4"/>
      <w:lvlJc w:val="left"/>
      <w:pPr>
        <w:tabs>
          <w:tab w:val="num" w:pos="851"/>
        </w:tabs>
        <w:ind w:left="851" w:hanging="851"/>
      </w:pPr>
      <w:rPr>
        <w:rFonts w:hint="default"/>
      </w:rPr>
    </w:lvl>
    <w:lvl w:ilvl="4">
      <w:start w:val="1"/>
      <w:numFmt w:val="decimal"/>
      <w:lvlRestart w:val="1"/>
      <w:pStyle w:val="AERtableheading"/>
      <w:lvlText w:val="Table %1.%5"/>
      <w:lvlJc w:val="left"/>
      <w:pPr>
        <w:tabs>
          <w:tab w:val="num" w:pos="1361"/>
        </w:tabs>
        <w:ind w:left="1361" w:hanging="1361"/>
      </w:pPr>
      <w:rPr>
        <w:rFonts w:hint="default"/>
      </w:rPr>
    </w:lvl>
    <w:lvl w:ilvl="5">
      <w:start w:val="1"/>
      <w:numFmt w:val="decimal"/>
      <w:lvlRestart w:val="1"/>
      <w:pStyle w:val="AERfigureheading"/>
      <w:lvlText w:val="Figure %1.%6:"/>
      <w:lvlJc w:val="left"/>
      <w:pPr>
        <w:tabs>
          <w:tab w:val="num" w:pos="1361"/>
        </w:tabs>
        <w:ind w:left="1134" w:hanging="1134"/>
      </w:pPr>
      <w:rPr>
        <w:rFonts w:ascii="Arial" w:hAnsi="Arial" w:cs="Arial" w:hint="default"/>
        <w:b/>
        <w:i w:val="0"/>
        <w:caps w:val="0"/>
        <w:strike w:val="0"/>
        <w:dstrike w:val="0"/>
        <w:shadow w:val="0"/>
        <w:emboss w:val="0"/>
        <w:imprint w:val="0"/>
        <w:vanish w:val="0"/>
        <w:sz w:val="20"/>
        <w:vertAlign w:val="baseline"/>
      </w:rPr>
    </w:lvl>
    <w:lvl w:ilvl="6">
      <w:start w:val="1"/>
      <w:numFmt w:val="lowerLetter"/>
      <w:lvlRestart w:val="0"/>
      <w:pStyle w:val="AERtableheading-unnumbered"/>
      <w:lvlText w:val="Figure 2.2 (%7)"/>
      <w:lvlJc w:val="left"/>
      <w:pPr>
        <w:tabs>
          <w:tab w:val="num" w:pos="1361"/>
        </w:tabs>
        <w:ind w:left="1361" w:hanging="1361"/>
      </w:pPr>
      <w:rPr>
        <w:rFonts w:hint="default"/>
      </w:rPr>
    </w:lvl>
    <w:lvl w:ilvl="7">
      <w:start w:val="1"/>
      <w:numFmt w:val="decimal"/>
      <w:lvlRestart w:val="0"/>
      <w:pStyle w:val="AERfigureheading-unnumbered"/>
      <w:lvlText w:val="Figure %8:"/>
      <w:lvlJc w:val="left"/>
      <w:pPr>
        <w:tabs>
          <w:tab w:val="num" w:pos="1134"/>
        </w:tabs>
        <w:ind w:left="1361" w:hanging="1361"/>
      </w:pPr>
      <w:rPr>
        <w:rFonts w:ascii="Arial Bold" w:hAnsi="Arial Bold" w:hint="default"/>
        <w:b/>
        <w:i w:val="0"/>
        <w:caps w:val="0"/>
        <w:strike w:val="0"/>
        <w:dstrike w:val="0"/>
        <w:outline w:val="0"/>
        <w:shadow w:val="0"/>
        <w:emboss w:val="0"/>
        <w:imprint w:val="0"/>
        <w:vanish w:val="0"/>
        <w:sz w:val="20"/>
        <w:vertAlign w:val="baseline"/>
      </w:rPr>
    </w:lvl>
    <w:lvl w:ilvl="8">
      <w:start w:val="1"/>
      <w:numFmt w:val="none"/>
      <w:lvlText w:val=""/>
      <w:lvlJc w:val="right"/>
      <w:pPr>
        <w:tabs>
          <w:tab w:val="num" w:pos="1584"/>
        </w:tabs>
        <w:ind w:left="1584" w:hanging="144"/>
      </w:pPr>
      <w:rPr>
        <w:rFonts w:hint="default"/>
      </w:rPr>
    </w:lvl>
  </w:abstractNum>
  <w:abstractNum w:abstractNumId="3">
    <w:nsid w:val="57A52A2D"/>
    <w:multiLevelType w:val="hybridMultilevel"/>
    <w:tmpl w:val="744AACC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nsid w:val="63DC41E8"/>
    <w:multiLevelType w:val="hybridMultilevel"/>
    <w:tmpl w:val="C9B234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C:\Documents and Settings\tpits\Local Settings\Temporary Internet Files\Content.Outlook\QWI8FOMM\120915 July Gas Market report v3.doc"/>
  </w:docVars>
  <w:rsids>
    <w:rsidRoot w:val="00341B66"/>
    <w:rsid w:val="00004CA0"/>
    <w:rsid w:val="0000656D"/>
    <w:rsid w:val="00007C3C"/>
    <w:rsid w:val="00010699"/>
    <w:rsid w:val="000143F7"/>
    <w:rsid w:val="00014DDC"/>
    <w:rsid w:val="0001543E"/>
    <w:rsid w:val="00016A09"/>
    <w:rsid w:val="00020EFC"/>
    <w:rsid w:val="00021377"/>
    <w:rsid w:val="00022B54"/>
    <w:rsid w:val="00023D73"/>
    <w:rsid w:val="00026B8F"/>
    <w:rsid w:val="00026DE9"/>
    <w:rsid w:val="0002746A"/>
    <w:rsid w:val="00027586"/>
    <w:rsid w:val="00030CBC"/>
    <w:rsid w:val="00031CDB"/>
    <w:rsid w:val="000334D3"/>
    <w:rsid w:val="00040070"/>
    <w:rsid w:val="00040627"/>
    <w:rsid w:val="000432D9"/>
    <w:rsid w:val="000446D6"/>
    <w:rsid w:val="00044A97"/>
    <w:rsid w:val="00044E0A"/>
    <w:rsid w:val="00045171"/>
    <w:rsid w:val="00045FBA"/>
    <w:rsid w:val="0004624D"/>
    <w:rsid w:val="00052080"/>
    <w:rsid w:val="00053668"/>
    <w:rsid w:val="000536BD"/>
    <w:rsid w:val="00053FDC"/>
    <w:rsid w:val="00054958"/>
    <w:rsid w:val="0005643F"/>
    <w:rsid w:val="00057E64"/>
    <w:rsid w:val="00060B2A"/>
    <w:rsid w:val="00061C7D"/>
    <w:rsid w:val="00065AC9"/>
    <w:rsid w:val="00065D4E"/>
    <w:rsid w:val="000668D1"/>
    <w:rsid w:val="000673D4"/>
    <w:rsid w:val="00067679"/>
    <w:rsid w:val="000702C7"/>
    <w:rsid w:val="00073343"/>
    <w:rsid w:val="0007418D"/>
    <w:rsid w:val="00074FD5"/>
    <w:rsid w:val="000757FA"/>
    <w:rsid w:val="00076334"/>
    <w:rsid w:val="00076ADC"/>
    <w:rsid w:val="00080800"/>
    <w:rsid w:val="0008218C"/>
    <w:rsid w:val="000822D6"/>
    <w:rsid w:val="00084618"/>
    <w:rsid w:val="00085A86"/>
    <w:rsid w:val="0008777F"/>
    <w:rsid w:val="00091B60"/>
    <w:rsid w:val="00091BF0"/>
    <w:rsid w:val="0009392B"/>
    <w:rsid w:val="00093FFA"/>
    <w:rsid w:val="000948F2"/>
    <w:rsid w:val="00094DB8"/>
    <w:rsid w:val="00095EB1"/>
    <w:rsid w:val="00096B57"/>
    <w:rsid w:val="00097145"/>
    <w:rsid w:val="000A5F41"/>
    <w:rsid w:val="000B5968"/>
    <w:rsid w:val="000C1A50"/>
    <w:rsid w:val="000C6A1D"/>
    <w:rsid w:val="000C727D"/>
    <w:rsid w:val="000D24D2"/>
    <w:rsid w:val="000D5326"/>
    <w:rsid w:val="000D5EE3"/>
    <w:rsid w:val="000E1652"/>
    <w:rsid w:val="000E183D"/>
    <w:rsid w:val="000E602E"/>
    <w:rsid w:val="000E6BB2"/>
    <w:rsid w:val="000E73FB"/>
    <w:rsid w:val="000E7437"/>
    <w:rsid w:val="000F0A31"/>
    <w:rsid w:val="000F72E4"/>
    <w:rsid w:val="000F7D41"/>
    <w:rsid w:val="0010007C"/>
    <w:rsid w:val="00106C85"/>
    <w:rsid w:val="001079FC"/>
    <w:rsid w:val="001117E1"/>
    <w:rsid w:val="001124AD"/>
    <w:rsid w:val="00113684"/>
    <w:rsid w:val="00114A58"/>
    <w:rsid w:val="00114A5C"/>
    <w:rsid w:val="00115132"/>
    <w:rsid w:val="0011664D"/>
    <w:rsid w:val="00117E2F"/>
    <w:rsid w:val="00127275"/>
    <w:rsid w:val="00127CA7"/>
    <w:rsid w:val="00130990"/>
    <w:rsid w:val="00132F58"/>
    <w:rsid w:val="00134D16"/>
    <w:rsid w:val="00136DA8"/>
    <w:rsid w:val="00140072"/>
    <w:rsid w:val="001463BF"/>
    <w:rsid w:val="0015010A"/>
    <w:rsid w:val="00150EAF"/>
    <w:rsid w:val="00152E2D"/>
    <w:rsid w:val="001648BC"/>
    <w:rsid w:val="00165543"/>
    <w:rsid w:val="001655BC"/>
    <w:rsid w:val="00174B3F"/>
    <w:rsid w:val="00174BF7"/>
    <w:rsid w:val="001769F7"/>
    <w:rsid w:val="00177D45"/>
    <w:rsid w:val="00182410"/>
    <w:rsid w:val="00182674"/>
    <w:rsid w:val="00184A3D"/>
    <w:rsid w:val="0018740B"/>
    <w:rsid w:val="0019032C"/>
    <w:rsid w:val="00191F5A"/>
    <w:rsid w:val="00193ED9"/>
    <w:rsid w:val="0019418C"/>
    <w:rsid w:val="001A053A"/>
    <w:rsid w:val="001A119B"/>
    <w:rsid w:val="001A22E3"/>
    <w:rsid w:val="001A25FA"/>
    <w:rsid w:val="001A43BA"/>
    <w:rsid w:val="001A4434"/>
    <w:rsid w:val="001A5414"/>
    <w:rsid w:val="001A56B8"/>
    <w:rsid w:val="001A65B2"/>
    <w:rsid w:val="001A72B7"/>
    <w:rsid w:val="001B14B0"/>
    <w:rsid w:val="001B24C9"/>
    <w:rsid w:val="001B4037"/>
    <w:rsid w:val="001B6089"/>
    <w:rsid w:val="001B6D11"/>
    <w:rsid w:val="001C1F31"/>
    <w:rsid w:val="001C39BE"/>
    <w:rsid w:val="001C427C"/>
    <w:rsid w:val="001C4FC4"/>
    <w:rsid w:val="001D20F0"/>
    <w:rsid w:val="001D2B2B"/>
    <w:rsid w:val="001D4146"/>
    <w:rsid w:val="001D4225"/>
    <w:rsid w:val="001D5184"/>
    <w:rsid w:val="001D6558"/>
    <w:rsid w:val="001E0624"/>
    <w:rsid w:val="001E0D77"/>
    <w:rsid w:val="001E1CB5"/>
    <w:rsid w:val="001E7ACD"/>
    <w:rsid w:val="001F02B1"/>
    <w:rsid w:val="001F03A2"/>
    <w:rsid w:val="001F23FA"/>
    <w:rsid w:val="001F3AA5"/>
    <w:rsid w:val="001F3AD0"/>
    <w:rsid w:val="001F59CF"/>
    <w:rsid w:val="00200EF9"/>
    <w:rsid w:val="00203193"/>
    <w:rsid w:val="00203512"/>
    <w:rsid w:val="00204105"/>
    <w:rsid w:val="0020768C"/>
    <w:rsid w:val="00221D30"/>
    <w:rsid w:val="00223D9B"/>
    <w:rsid w:val="00224FD8"/>
    <w:rsid w:val="002307DA"/>
    <w:rsid w:val="00230CAC"/>
    <w:rsid w:val="00232506"/>
    <w:rsid w:val="00235B82"/>
    <w:rsid w:val="00235E56"/>
    <w:rsid w:val="00236EB7"/>
    <w:rsid w:val="002405A6"/>
    <w:rsid w:val="00242F15"/>
    <w:rsid w:val="00250456"/>
    <w:rsid w:val="00253662"/>
    <w:rsid w:val="002543A1"/>
    <w:rsid w:val="00256A38"/>
    <w:rsid w:val="00263AC9"/>
    <w:rsid w:val="00270BB5"/>
    <w:rsid w:val="0027284D"/>
    <w:rsid w:val="00273053"/>
    <w:rsid w:val="0027560E"/>
    <w:rsid w:val="0027602B"/>
    <w:rsid w:val="002837C6"/>
    <w:rsid w:val="00286B46"/>
    <w:rsid w:val="0029272E"/>
    <w:rsid w:val="002927B1"/>
    <w:rsid w:val="002933B9"/>
    <w:rsid w:val="0029542E"/>
    <w:rsid w:val="002978DD"/>
    <w:rsid w:val="002A0C44"/>
    <w:rsid w:val="002A2307"/>
    <w:rsid w:val="002A3348"/>
    <w:rsid w:val="002A3591"/>
    <w:rsid w:val="002A4546"/>
    <w:rsid w:val="002A5955"/>
    <w:rsid w:val="002B0F3A"/>
    <w:rsid w:val="002B21A8"/>
    <w:rsid w:val="002B2BF0"/>
    <w:rsid w:val="002B470D"/>
    <w:rsid w:val="002B6B7B"/>
    <w:rsid w:val="002B70FB"/>
    <w:rsid w:val="002B79B0"/>
    <w:rsid w:val="002B7E8F"/>
    <w:rsid w:val="002C1A12"/>
    <w:rsid w:val="002C2A86"/>
    <w:rsid w:val="002C320C"/>
    <w:rsid w:val="002C49F9"/>
    <w:rsid w:val="002C754C"/>
    <w:rsid w:val="002D159C"/>
    <w:rsid w:val="002D2210"/>
    <w:rsid w:val="002D33F5"/>
    <w:rsid w:val="002D5449"/>
    <w:rsid w:val="002D5CD3"/>
    <w:rsid w:val="002D5E10"/>
    <w:rsid w:val="002D628F"/>
    <w:rsid w:val="002E0365"/>
    <w:rsid w:val="002E0EFE"/>
    <w:rsid w:val="002E276F"/>
    <w:rsid w:val="002E2B12"/>
    <w:rsid w:val="002E3F4B"/>
    <w:rsid w:val="002E4056"/>
    <w:rsid w:val="002E4557"/>
    <w:rsid w:val="002E5001"/>
    <w:rsid w:val="002E6519"/>
    <w:rsid w:val="002E6FBA"/>
    <w:rsid w:val="002E7D44"/>
    <w:rsid w:val="002F3798"/>
    <w:rsid w:val="002F778E"/>
    <w:rsid w:val="003016A1"/>
    <w:rsid w:val="00302136"/>
    <w:rsid w:val="00302DE8"/>
    <w:rsid w:val="00307312"/>
    <w:rsid w:val="0031011D"/>
    <w:rsid w:val="00310228"/>
    <w:rsid w:val="00310716"/>
    <w:rsid w:val="00311F8D"/>
    <w:rsid w:val="00312A7C"/>
    <w:rsid w:val="00313091"/>
    <w:rsid w:val="003132D0"/>
    <w:rsid w:val="00316311"/>
    <w:rsid w:val="00317238"/>
    <w:rsid w:val="0031783C"/>
    <w:rsid w:val="00317864"/>
    <w:rsid w:val="00320BDB"/>
    <w:rsid w:val="00325311"/>
    <w:rsid w:val="00326300"/>
    <w:rsid w:val="0033303B"/>
    <w:rsid w:val="003330B6"/>
    <w:rsid w:val="0033348B"/>
    <w:rsid w:val="003336C4"/>
    <w:rsid w:val="00334488"/>
    <w:rsid w:val="00334DC6"/>
    <w:rsid w:val="00335A34"/>
    <w:rsid w:val="00341433"/>
    <w:rsid w:val="003414FD"/>
    <w:rsid w:val="00341B66"/>
    <w:rsid w:val="00343750"/>
    <w:rsid w:val="00344571"/>
    <w:rsid w:val="0034529F"/>
    <w:rsid w:val="00346466"/>
    <w:rsid w:val="00346A5E"/>
    <w:rsid w:val="00350D65"/>
    <w:rsid w:val="00351E8C"/>
    <w:rsid w:val="00354ED8"/>
    <w:rsid w:val="00354F77"/>
    <w:rsid w:val="00356CFE"/>
    <w:rsid w:val="00360534"/>
    <w:rsid w:val="00361722"/>
    <w:rsid w:val="0036309A"/>
    <w:rsid w:val="00363225"/>
    <w:rsid w:val="00363770"/>
    <w:rsid w:val="0036697E"/>
    <w:rsid w:val="00367933"/>
    <w:rsid w:val="0037078F"/>
    <w:rsid w:val="0037265D"/>
    <w:rsid w:val="003738F1"/>
    <w:rsid w:val="003802D3"/>
    <w:rsid w:val="00381033"/>
    <w:rsid w:val="00382CFE"/>
    <w:rsid w:val="0038699B"/>
    <w:rsid w:val="00387321"/>
    <w:rsid w:val="00390D51"/>
    <w:rsid w:val="003925BF"/>
    <w:rsid w:val="00393E7C"/>
    <w:rsid w:val="0039766A"/>
    <w:rsid w:val="003A009F"/>
    <w:rsid w:val="003A0FD2"/>
    <w:rsid w:val="003A10B7"/>
    <w:rsid w:val="003A57AA"/>
    <w:rsid w:val="003A6BD2"/>
    <w:rsid w:val="003A7EDF"/>
    <w:rsid w:val="003B2964"/>
    <w:rsid w:val="003B4D6E"/>
    <w:rsid w:val="003B66F0"/>
    <w:rsid w:val="003C7DF4"/>
    <w:rsid w:val="003D2B7A"/>
    <w:rsid w:val="003D6850"/>
    <w:rsid w:val="003E1882"/>
    <w:rsid w:val="003E25EF"/>
    <w:rsid w:val="003E2B4F"/>
    <w:rsid w:val="003E33AC"/>
    <w:rsid w:val="003E4A04"/>
    <w:rsid w:val="003E5DC8"/>
    <w:rsid w:val="003E76C2"/>
    <w:rsid w:val="003E798A"/>
    <w:rsid w:val="003F20C9"/>
    <w:rsid w:val="003F23A4"/>
    <w:rsid w:val="003F2AB1"/>
    <w:rsid w:val="003F367A"/>
    <w:rsid w:val="003F69ED"/>
    <w:rsid w:val="0040763F"/>
    <w:rsid w:val="00412458"/>
    <w:rsid w:val="00412E7A"/>
    <w:rsid w:val="004131CC"/>
    <w:rsid w:val="00413DEF"/>
    <w:rsid w:val="0042682B"/>
    <w:rsid w:val="00431F92"/>
    <w:rsid w:val="004325FB"/>
    <w:rsid w:val="00433637"/>
    <w:rsid w:val="00435925"/>
    <w:rsid w:val="00440D0F"/>
    <w:rsid w:val="00442683"/>
    <w:rsid w:val="00442CB4"/>
    <w:rsid w:val="00442FD0"/>
    <w:rsid w:val="004432D0"/>
    <w:rsid w:val="00444404"/>
    <w:rsid w:val="00446EAF"/>
    <w:rsid w:val="00452570"/>
    <w:rsid w:val="0046116D"/>
    <w:rsid w:val="004611ED"/>
    <w:rsid w:val="00463023"/>
    <w:rsid w:val="00463184"/>
    <w:rsid w:val="00463344"/>
    <w:rsid w:val="00464840"/>
    <w:rsid w:val="00465C6D"/>
    <w:rsid w:val="00467571"/>
    <w:rsid w:val="00470C5A"/>
    <w:rsid w:val="004726CE"/>
    <w:rsid w:val="00474929"/>
    <w:rsid w:val="0047661A"/>
    <w:rsid w:val="00477DC5"/>
    <w:rsid w:val="00477E0D"/>
    <w:rsid w:val="00480B3B"/>
    <w:rsid w:val="004810B6"/>
    <w:rsid w:val="00481390"/>
    <w:rsid w:val="004821EC"/>
    <w:rsid w:val="00482C58"/>
    <w:rsid w:val="0048407F"/>
    <w:rsid w:val="00486064"/>
    <w:rsid w:val="00490AC1"/>
    <w:rsid w:val="00492F83"/>
    <w:rsid w:val="0049522A"/>
    <w:rsid w:val="004A3DE7"/>
    <w:rsid w:val="004A4782"/>
    <w:rsid w:val="004A6960"/>
    <w:rsid w:val="004B1123"/>
    <w:rsid w:val="004B2029"/>
    <w:rsid w:val="004B5A57"/>
    <w:rsid w:val="004C0D2A"/>
    <w:rsid w:val="004C4854"/>
    <w:rsid w:val="004D41C8"/>
    <w:rsid w:val="004D50F5"/>
    <w:rsid w:val="004E3DF3"/>
    <w:rsid w:val="004E5859"/>
    <w:rsid w:val="004E64A4"/>
    <w:rsid w:val="004E6C90"/>
    <w:rsid w:val="004E6D2A"/>
    <w:rsid w:val="004E7A8A"/>
    <w:rsid w:val="004F0B8A"/>
    <w:rsid w:val="004F1866"/>
    <w:rsid w:val="004F3021"/>
    <w:rsid w:val="004F31A2"/>
    <w:rsid w:val="004F57F7"/>
    <w:rsid w:val="004F594F"/>
    <w:rsid w:val="004F5F09"/>
    <w:rsid w:val="004F7C4E"/>
    <w:rsid w:val="005004BA"/>
    <w:rsid w:val="0050431E"/>
    <w:rsid w:val="00507E17"/>
    <w:rsid w:val="0051202D"/>
    <w:rsid w:val="00512DEA"/>
    <w:rsid w:val="0051599E"/>
    <w:rsid w:val="00516867"/>
    <w:rsid w:val="005243BA"/>
    <w:rsid w:val="00524486"/>
    <w:rsid w:val="00525CEE"/>
    <w:rsid w:val="00527D07"/>
    <w:rsid w:val="00527DF9"/>
    <w:rsid w:val="00530B17"/>
    <w:rsid w:val="00533561"/>
    <w:rsid w:val="00533B6D"/>
    <w:rsid w:val="00533C7C"/>
    <w:rsid w:val="00536503"/>
    <w:rsid w:val="00536B32"/>
    <w:rsid w:val="0053717C"/>
    <w:rsid w:val="005377DF"/>
    <w:rsid w:val="005418D9"/>
    <w:rsid w:val="005461D6"/>
    <w:rsid w:val="00546A61"/>
    <w:rsid w:val="005470C1"/>
    <w:rsid w:val="00547374"/>
    <w:rsid w:val="00551EE9"/>
    <w:rsid w:val="00552AAF"/>
    <w:rsid w:val="00553678"/>
    <w:rsid w:val="0055416C"/>
    <w:rsid w:val="005557B7"/>
    <w:rsid w:val="0055782F"/>
    <w:rsid w:val="00560B99"/>
    <w:rsid w:val="00563AFA"/>
    <w:rsid w:val="005648BD"/>
    <w:rsid w:val="005655FD"/>
    <w:rsid w:val="005723EE"/>
    <w:rsid w:val="00574B5A"/>
    <w:rsid w:val="00575093"/>
    <w:rsid w:val="005757F1"/>
    <w:rsid w:val="00576D33"/>
    <w:rsid w:val="005771D8"/>
    <w:rsid w:val="00582814"/>
    <w:rsid w:val="00585B9E"/>
    <w:rsid w:val="00586E6C"/>
    <w:rsid w:val="00587F65"/>
    <w:rsid w:val="00590221"/>
    <w:rsid w:val="005906EC"/>
    <w:rsid w:val="00591839"/>
    <w:rsid w:val="005922B8"/>
    <w:rsid w:val="005941FC"/>
    <w:rsid w:val="00595ECC"/>
    <w:rsid w:val="00597913"/>
    <w:rsid w:val="005A09AD"/>
    <w:rsid w:val="005A51DF"/>
    <w:rsid w:val="005A53FF"/>
    <w:rsid w:val="005A5EAD"/>
    <w:rsid w:val="005B039E"/>
    <w:rsid w:val="005B1092"/>
    <w:rsid w:val="005B2A6D"/>
    <w:rsid w:val="005B2FC9"/>
    <w:rsid w:val="005B37F3"/>
    <w:rsid w:val="005B400F"/>
    <w:rsid w:val="005B42E5"/>
    <w:rsid w:val="005B48DA"/>
    <w:rsid w:val="005C3347"/>
    <w:rsid w:val="005C34B4"/>
    <w:rsid w:val="005C4288"/>
    <w:rsid w:val="005C5006"/>
    <w:rsid w:val="005C6453"/>
    <w:rsid w:val="005C71E8"/>
    <w:rsid w:val="005D0971"/>
    <w:rsid w:val="005D16DF"/>
    <w:rsid w:val="005D1F28"/>
    <w:rsid w:val="005D2CF8"/>
    <w:rsid w:val="005D3B89"/>
    <w:rsid w:val="005E3802"/>
    <w:rsid w:val="005E699A"/>
    <w:rsid w:val="005E6B57"/>
    <w:rsid w:val="005F3F5E"/>
    <w:rsid w:val="005F55FC"/>
    <w:rsid w:val="005F6618"/>
    <w:rsid w:val="005F7FE5"/>
    <w:rsid w:val="0060145C"/>
    <w:rsid w:val="00603789"/>
    <w:rsid w:val="0060441A"/>
    <w:rsid w:val="006048AE"/>
    <w:rsid w:val="006064C1"/>
    <w:rsid w:val="00606B4D"/>
    <w:rsid w:val="0060775F"/>
    <w:rsid w:val="00607B65"/>
    <w:rsid w:val="006155F6"/>
    <w:rsid w:val="00615B35"/>
    <w:rsid w:val="00616AF2"/>
    <w:rsid w:val="006179DC"/>
    <w:rsid w:val="00621800"/>
    <w:rsid w:val="00622E23"/>
    <w:rsid w:val="0062300C"/>
    <w:rsid w:val="006237C7"/>
    <w:rsid w:val="00624B26"/>
    <w:rsid w:val="00627907"/>
    <w:rsid w:val="0063258F"/>
    <w:rsid w:val="00633526"/>
    <w:rsid w:val="006354D5"/>
    <w:rsid w:val="006362BC"/>
    <w:rsid w:val="006418C8"/>
    <w:rsid w:val="00641DC6"/>
    <w:rsid w:val="00642205"/>
    <w:rsid w:val="006427C4"/>
    <w:rsid w:val="006428C9"/>
    <w:rsid w:val="006455C6"/>
    <w:rsid w:val="00646E99"/>
    <w:rsid w:val="0064775E"/>
    <w:rsid w:val="00650808"/>
    <w:rsid w:val="00652072"/>
    <w:rsid w:val="00652383"/>
    <w:rsid w:val="00653D68"/>
    <w:rsid w:val="00654F62"/>
    <w:rsid w:val="00656DBB"/>
    <w:rsid w:val="00662F9B"/>
    <w:rsid w:val="00664533"/>
    <w:rsid w:val="00666859"/>
    <w:rsid w:val="006703BC"/>
    <w:rsid w:val="00670EF4"/>
    <w:rsid w:val="0067647A"/>
    <w:rsid w:val="0068060B"/>
    <w:rsid w:val="0068168B"/>
    <w:rsid w:val="0068273F"/>
    <w:rsid w:val="00690106"/>
    <w:rsid w:val="006902B6"/>
    <w:rsid w:val="00691618"/>
    <w:rsid w:val="00694168"/>
    <w:rsid w:val="00695974"/>
    <w:rsid w:val="00696620"/>
    <w:rsid w:val="006A0E1D"/>
    <w:rsid w:val="006A5932"/>
    <w:rsid w:val="006A711A"/>
    <w:rsid w:val="006A7805"/>
    <w:rsid w:val="006B2A6B"/>
    <w:rsid w:val="006B78D2"/>
    <w:rsid w:val="006C1B11"/>
    <w:rsid w:val="006C1B56"/>
    <w:rsid w:val="006C1B9B"/>
    <w:rsid w:val="006C26F2"/>
    <w:rsid w:val="006C420C"/>
    <w:rsid w:val="006C4E6B"/>
    <w:rsid w:val="006C5270"/>
    <w:rsid w:val="006C5BB2"/>
    <w:rsid w:val="006C6181"/>
    <w:rsid w:val="006C67AA"/>
    <w:rsid w:val="006C6B9A"/>
    <w:rsid w:val="006C77FE"/>
    <w:rsid w:val="006D0A81"/>
    <w:rsid w:val="006D0B63"/>
    <w:rsid w:val="006D0DAD"/>
    <w:rsid w:val="006D32D8"/>
    <w:rsid w:val="006D3B2E"/>
    <w:rsid w:val="006D425E"/>
    <w:rsid w:val="006D6C06"/>
    <w:rsid w:val="006E0512"/>
    <w:rsid w:val="006E0F43"/>
    <w:rsid w:val="006E42E2"/>
    <w:rsid w:val="006E6AA7"/>
    <w:rsid w:val="006F0F3B"/>
    <w:rsid w:val="006F192E"/>
    <w:rsid w:val="006F1CF9"/>
    <w:rsid w:val="006F2349"/>
    <w:rsid w:val="006F3841"/>
    <w:rsid w:val="006F3B9F"/>
    <w:rsid w:val="006F3F9E"/>
    <w:rsid w:val="006F54F5"/>
    <w:rsid w:val="007027AC"/>
    <w:rsid w:val="00702AA9"/>
    <w:rsid w:val="00702F1B"/>
    <w:rsid w:val="007114D2"/>
    <w:rsid w:val="007129C6"/>
    <w:rsid w:val="00712E1C"/>
    <w:rsid w:val="00713B3B"/>
    <w:rsid w:val="00716764"/>
    <w:rsid w:val="00720028"/>
    <w:rsid w:val="00722B6B"/>
    <w:rsid w:val="00722BB9"/>
    <w:rsid w:val="00725584"/>
    <w:rsid w:val="007318A6"/>
    <w:rsid w:val="00746274"/>
    <w:rsid w:val="00746C48"/>
    <w:rsid w:val="00747AE6"/>
    <w:rsid w:val="00747B79"/>
    <w:rsid w:val="00751677"/>
    <w:rsid w:val="00751A98"/>
    <w:rsid w:val="00751B6E"/>
    <w:rsid w:val="00753303"/>
    <w:rsid w:val="0075491E"/>
    <w:rsid w:val="00754EDA"/>
    <w:rsid w:val="00754F45"/>
    <w:rsid w:val="007615C9"/>
    <w:rsid w:val="007619D9"/>
    <w:rsid w:val="00762B68"/>
    <w:rsid w:val="0076535A"/>
    <w:rsid w:val="0076784F"/>
    <w:rsid w:val="007700A5"/>
    <w:rsid w:val="00772CF2"/>
    <w:rsid w:val="00774DFD"/>
    <w:rsid w:val="00775A7B"/>
    <w:rsid w:val="00775F6C"/>
    <w:rsid w:val="0077673B"/>
    <w:rsid w:val="00777CE1"/>
    <w:rsid w:val="0078074F"/>
    <w:rsid w:val="00782A1C"/>
    <w:rsid w:val="00783DC9"/>
    <w:rsid w:val="00784AB2"/>
    <w:rsid w:val="007853AA"/>
    <w:rsid w:val="007964FD"/>
    <w:rsid w:val="00797D68"/>
    <w:rsid w:val="007A1A62"/>
    <w:rsid w:val="007A3616"/>
    <w:rsid w:val="007A36E6"/>
    <w:rsid w:val="007A4EFB"/>
    <w:rsid w:val="007A6DEA"/>
    <w:rsid w:val="007A79D5"/>
    <w:rsid w:val="007B1842"/>
    <w:rsid w:val="007B2D7A"/>
    <w:rsid w:val="007B44E0"/>
    <w:rsid w:val="007B4515"/>
    <w:rsid w:val="007B6BED"/>
    <w:rsid w:val="007B78D6"/>
    <w:rsid w:val="007C19F0"/>
    <w:rsid w:val="007C31BC"/>
    <w:rsid w:val="007C5D1E"/>
    <w:rsid w:val="007C5EC6"/>
    <w:rsid w:val="007C7794"/>
    <w:rsid w:val="007D16C8"/>
    <w:rsid w:val="007D1AD6"/>
    <w:rsid w:val="007D1F3A"/>
    <w:rsid w:val="007D3C85"/>
    <w:rsid w:val="007D49C7"/>
    <w:rsid w:val="007D4A3F"/>
    <w:rsid w:val="007D517C"/>
    <w:rsid w:val="007D5249"/>
    <w:rsid w:val="007D6E5F"/>
    <w:rsid w:val="007E29EE"/>
    <w:rsid w:val="007E3A10"/>
    <w:rsid w:val="007F04DB"/>
    <w:rsid w:val="007F4107"/>
    <w:rsid w:val="007F4B42"/>
    <w:rsid w:val="007F75B2"/>
    <w:rsid w:val="007F7F59"/>
    <w:rsid w:val="00800F28"/>
    <w:rsid w:val="00802371"/>
    <w:rsid w:val="0080275B"/>
    <w:rsid w:val="0080417A"/>
    <w:rsid w:val="00810A50"/>
    <w:rsid w:val="0081169F"/>
    <w:rsid w:val="00813E65"/>
    <w:rsid w:val="00814C7C"/>
    <w:rsid w:val="00815F43"/>
    <w:rsid w:val="00816842"/>
    <w:rsid w:val="0082415A"/>
    <w:rsid w:val="0082609D"/>
    <w:rsid w:val="008304FB"/>
    <w:rsid w:val="00831520"/>
    <w:rsid w:val="00831F9E"/>
    <w:rsid w:val="00836777"/>
    <w:rsid w:val="00841609"/>
    <w:rsid w:val="0084188A"/>
    <w:rsid w:val="00845ABD"/>
    <w:rsid w:val="008537A2"/>
    <w:rsid w:val="008565DB"/>
    <w:rsid w:val="0085710B"/>
    <w:rsid w:val="00857F2A"/>
    <w:rsid w:val="00860835"/>
    <w:rsid w:val="008627D8"/>
    <w:rsid w:val="0086509C"/>
    <w:rsid w:val="0086712F"/>
    <w:rsid w:val="00867BD9"/>
    <w:rsid w:val="00873CF1"/>
    <w:rsid w:val="00873D8C"/>
    <w:rsid w:val="00882562"/>
    <w:rsid w:val="00883CA4"/>
    <w:rsid w:val="00883E84"/>
    <w:rsid w:val="00885687"/>
    <w:rsid w:val="00886976"/>
    <w:rsid w:val="00887D65"/>
    <w:rsid w:val="008917A2"/>
    <w:rsid w:val="008949A5"/>
    <w:rsid w:val="00894E78"/>
    <w:rsid w:val="0089576E"/>
    <w:rsid w:val="008969D7"/>
    <w:rsid w:val="008A18CE"/>
    <w:rsid w:val="008A3573"/>
    <w:rsid w:val="008A78F6"/>
    <w:rsid w:val="008B34AE"/>
    <w:rsid w:val="008B35FA"/>
    <w:rsid w:val="008B4435"/>
    <w:rsid w:val="008B5211"/>
    <w:rsid w:val="008B608C"/>
    <w:rsid w:val="008B6321"/>
    <w:rsid w:val="008C0EEE"/>
    <w:rsid w:val="008C4124"/>
    <w:rsid w:val="008C6D62"/>
    <w:rsid w:val="008C7FE5"/>
    <w:rsid w:val="008D0FA9"/>
    <w:rsid w:val="008D4E7F"/>
    <w:rsid w:val="008D6764"/>
    <w:rsid w:val="008E0602"/>
    <w:rsid w:val="008E235B"/>
    <w:rsid w:val="008E3B39"/>
    <w:rsid w:val="008F4635"/>
    <w:rsid w:val="0090501E"/>
    <w:rsid w:val="009050FB"/>
    <w:rsid w:val="00905251"/>
    <w:rsid w:val="00907210"/>
    <w:rsid w:val="00907AA2"/>
    <w:rsid w:val="00911813"/>
    <w:rsid w:val="00913CD6"/>
    <w:rsid w:val="009147E4"/>
    <w:rsid w:val="00920F3A"/>
    <w:rsid w:val="00921C64"/>
    <w:rsid w:val="009245B7"/>
    <w:rsid w:val="0092604B"/>
    <w:rsid w:val="00927BFA"/>
    <w:rsid w:val="009300CC"/>
    <w:rsid w:val="00931357"/>
    <w:rsid w:val="00932B1A"/>
    <w:rsid w:val="00933022"/>
    <w:rsid w:val="00936B65"/>
    <w:rsid w:val="00936E6A"/>
    <w:rsid w:val="00937C3F"/>
    <w:rsid w:val="009401A7"/>
    <w:rsid w:val="009403FA"/>
    <w:rsid w:val="0094297E"/>
    <w:rsid w:val="00943B53"/>
    <w:rsid w:val="00943BB3"/>
    <w:rsid w:val="00950429"/>
    <w:rsid w:val="00950560"/>
    <w:rsid w:val="00950984"/>
    <w:rsid w:val="0095245F"/>
    <w:rsid w:val="009546DB"/>
    <w:rsid w:val="009565CB"/>
    <w:rsid w:val="00965875"/>
    <w:rsid w:val="00965B15"/>
    <w:rsid w:val="00970B25"/>
    <w:rsid w:val="00972384"/>
    <w:rsid w:val="009750D5"/>
    <w:rsid w:val="009772B9"/>
    <w:rsid w:val="00977392"/>
    <w:rsid w:val="00982221"/>
    <w:rsid w:val="0098371B"/>
    <w:rsid w:val="00991B34"/>
    <w:rsid w:val="0099356F"/>
    <w:rsid w:val="009960F1"/>
    <w:rsid w:val="00996539"/>
    <w:rsid w:val="00997255"/>
    <w:rsid w:val="00997DA5"/>
    <w:rsid w:val="009A1B3D"/>
    <w:rsid w:val="009A2A2B"/>
    <w:rsid w:val="009A4456"/>
    <w:rsid w:val="009B10E9"/>
    <w:rsid w:val="009B36D0"/>
    <w:rsid w:val="009B7908"/>
    <w:rsid w:val="009C1BF4"/>
    <w:rsid w:val="009C1F5E"/>
    <w:rsid w:val="009C2F86"/>
    <w:rsid w:val="009C5387"/>
    <w:rsid w:val="009C5602"/>
    <w:rsid w:val="009C66A5"/>
    <w:rsid w:val="009C79EA"/>
    <w:rsid w:val="009D0DA6"/>
    <w:rsid w:val="009D39DD"/>
    <w:rsid w:val="009D46B1"/>
    <w:rsid w:val="009D4F54"/>
    <w:rsid w:val="009D669F"/>
    <w:rsid w:val="009D7ACD"/>
    <w:rsid w:val="009E1592"/>
    <w:rsid w:val="009E3419"/>
    <w:rsid w:val="009E5E5F"/>
    <w:rsid w:val="009E5EF3"/>
    <w:rsid w:val="009F1BD5"/>
    <w:rsid w:val="009F466D"/>
    <w:rsid w:val="009F5CF2"/>
    <w:rsid w:val="009F6D0B"/>
    <w:rsid w:val="009F798F"/>
    <w:rsid w:val="00A00B85"/>
    <w:rsid w:val="00A05E3D"/>
    <w:rsid w:val="00A117A7"/>
    <w:rsid w:val="00A12552"/>
    <w:rsid w:val="00A12D33"/>
    <w:rsid w:val="00A236AF"/>
    <w:rsid w:val="00A23F9F"/>
    <w:rsid w:val="00A2693F"/>
    <w:rsid w:val="00A311F4"/>
    <w:rsid w:val="00A322ED"/>
    <w:rsid w:val="00A336FA"/>
    <w:rsid w:val="00A3375A"/>
    <w:rsid w:val="00A365DD"/>
    <w:rsid w:val="00A407D7"/>
    <w:rsid w:val="00A41B4F"/>
    <w:rsid w:val="00A41EEA"/>
    <w:rsid w:val="00A431DD"/>
    <w:rsid w:val="00A43BB4"/>
    <w:rsid w:val="00A43F5D"/>
    <w:rsid w:val="00A46861"/>
    <w:rsid w:val="00A47C6A"/>
    <w:rsid w:val="00A57B56"/>
    <w:rsid w:val="00A605DE"/>
    <w:rsid w:val="00A606FF"/>
    <w:rsid w:val="00A610FE"/>
    <w:rsid w:val="00A624AC"/>
    <w:rsid w:val="00A63D7B"/>
    <w:rsid w:val="00A65B81"/>
    <w:rsid w:val="00A6702D"/>
    <w:rsid w:val="00A71E0B"/>
    <w:rsid w:val="00A72390"/>
    <w:rsid w:val="00A728C9"/>
    <w:rsid w:val="00A75533"/>
    <w:rsid w:val="00A81426"/>
    <w:rsid w:val="00A843B2"/>
    <w:rsid w:val="00A85198"/>
    <w:rsid w:val="00A85BDF"/>
    <w:rsid w:val="00A9086B"/>
    <w:rsid w:val="00A9199C"/>
    <w:rsid w:val="00A9341F"/>
    <w:rsid w:val="00A94E97"/>
    <w:rsid w:val="00A95AE4"/>
    <w:rsid w:val="00A95AF4"/>
    <w:rsid w:val="00A96939"/>
    <w:rsid w:val="00AA03A5"/>
    <w:rsid w:val="00AA08A3"/>
    <w:rsid w:val="00AA1F9C"/>
    <w:rsid w:val="00AA478C"/>
    <w:rsid w:val="00AB01BD"/>
    <w:rsid w:val="00AB16E0"/>
    <w:rsid w:val="00AB34A0"/>
    <w:rsid w:val="00AB5498"/>
    <w:rsid w:val="00AB66CF"/>
    <w:rsid w:val="00AB74A7"/>
    <w:rsid w:val="00AB7967"/>
    <w:rsid w:val="00AC0D2B"/>
    <w:rsid w:val="00AC20E7"/>
    <w:rsid w:val="00AC32B1"/>
    <w:rsid w:val="00AC43C1"/>
    <w:rsid w:val="00AC4BCD"/>
    <w:rsid w:val="00AC5673"/>
    <w:rsid w:val="00AC5BC7"/>
    <w:rsid w:val="00AD268E"/>
    <w:rsid w:val="00AD2FF2"/>
    <w:rsid w:val="00AD4ECF"/>
    <w:rsid w:val="00AD7872"/>
    <w:rsid w:val="00AD7BC7"/>
    <w:rsid w:val="00AE28F5"/>
    <w:rsid w:val="00AE2F50"/>
    <w:rsid w:val="00AE5FAB"/>
    <w:rsid w:val="00AE6220"/>
    <w:rsid w:val="00AF1B8D"/>
    <w:rsid w:val="00AF36A2"/>
    <w:rsid w:val="00AF7D01"/>
    <w:rsid w:val="00B016A3"/>
    <w:rsid w:val="00B10C2E"/>
    <w:rsid w:val="00B13E65"/>
    <w:rsid w:val="00B14F9A"/>
    <w:rsid w:val="00B15EAA"/>
    <w:rsid w:val="00B16FE1"/>
    <w:rsid w:val="00B20E62"/>
    <w:rsid w:val="00B2128E"/>
    <w:rsid w:val="00B2194F"/>
    <w:rsid w:val="00B21D96"/>
    <w:rsid w:val="00B22440"/>
    <w:rsid w:val="00B240BF"/>
    <w:rsid w:val="00B245C0"/>
    <w:rsid w:val="00B24B5C"/>
    <w:rsid w:val="00B25AEB"/>
    <w:rsid w:val="00B26E5F"/>
    <w:rsid w:val="00B32680"/>
    <w:rsid w:val="00B33666"/>
    <w:rsid w:val="00B34CC5"/>
    <w:rsid w:val="00B40524"/>
    <w:rsid w:val="00B40E1D"/>
    <w:rsid w:val="00B4162D"/>
    <w:rsid w:val="00B4225B"/>
    <w:rsid w:val="00B4248D"/>
    <w:rsid w:val="00B42D42"/>
    <w:rsid w:val="00B46354"/>
    <w:rsid w:val="00B47069"/>
    <w:rsid w:val="00B47D84"/>
    <w:rsid w:val="00B5196D"/>
    <w:rsid w:val="00B51C96"/>
    <w:rsid w:val="00B51EDF"/>
    <w:rsid w:val="00B54205"/>
    <w:rsid w:val="00B551C6"/>
    <w:rsid w:val="00B557DD"/>
    <w:rsid w:val="00B57CC8"/>
    <w:rsid w:val="00B60128"/>
    <w:rsid w:val="00B61DD9"/>
    <w:rsid w:val="00B620E8"/>
    <w:rsid w:val="00B634C2"/>
    <w:rsid w:val="00B669D9"/>
    <w:rsid w:val="00B70BF4"/>
    <w:rsid w:val="00B72700"/>
    <w:rsid w:val="00B72AC1"/>
    <w:rsid w:val="00B739A7"/>
    <w:rsid w:val="00B83432"/>
    <w:rsid w:val="00B84BF0"/>
    <w:rsid w:val="00B84DEC"/>
    <w:rsid w:val="00B855BC"/>
    <w:rsid w:val="00B937DB"/>
    <w:rsid w:val="00B97C8B"/>
    <w:rsid w:val="00BA30C8"/>
    <w:rsid w:val="00BA5555"/>
    <w:rsid w:val="00BA6039"/>
    <w:rsid w:val="00BA62EA"/>
    <w:rsid w:val="00BA632D"/>
    <w:rsid w:val="00BA7899"/>
    <w:rsid w:val="00BA7CAE"/>
    <w:rsid w:val="00BB1256"/>
    <w:rsid w:val="00BB22AB"/>
    <w:rsid w:val="00BB6DA2"/>
    <w:rsid w:val="00BC34A8"/>
    <w:rsid w:val="00BC6526"/>
    <w:rsid w:val="00BC6726"/>
    <w:rsid w:val="00BC7028"/>
    <w:rsid w:val="00BD2F34"/>
    <w:rsid w:val="00BD31F8"/>
    <w:rsid w:val="00BD7505"/>
    <w:rsid w:val="00BE1658"/>
    <w:rsid w:val="00BE46EE"/>
    <w:rsid w:val="00BE4F42"/>
    <w:rsid w:val="00BE55B3"/>
    <w:rsid w:val="00BE59F7"/>
    <w:rsid w:val="00BF03D1"/>
    <w:rsid w:val="00BF2623"/>
    <w:rsid w:val="00BF3518"/>
    <w:rsid w:val="00BF5B3B"/>
    <w:rsid w:val="00BF79D8"/>
    <w:rsid w:val="00C00E12"/>
    <w:rsid w:val="00C01165"/>
    <w:rsid w:val="00C030CB"/>
    <w:rsid w:val="00C110AB"/>
    <w:rsid w:val="00C11D18"/>
    <w:rsid w:val="00C1274B"/>
    <w:rsid w:val="00C132AE"/>
    <w:rsid w:val="00C23D6C"/>
    <w:rsid w:val="00C25F8C"/>
    <w:rsid w:val="00C26AD1"/>
    <w:rsid w:val="00C27231"/>
    <w:rsid w:val="00C275A7"/>
    <w:rsid w:val="00C30123"/>
    <w:rsid w:val="00C30DFE"/>
    <w:rsid w:val="00C31ADB"/>
    <w:rsid w:val="00C31F2C"/>
    <w:rsid w:val="00C320A5"/>
    <w:rsid w:val="00C3408D"/>
    <w:rsid w:val="00C35839"/>
    <w:rsid w:val="00C37895"/>
    <w:rsid w:val="00C37F7C"/>
    <w:rsid w:val="00C4061B"/>
    <w:rsid w:val="00C4251A"/>
    <w:rsid w:val="00C443F1"/>
    <w:rsid w:val="00C46AC8"/>
    <w:rsid w:val="00C46B5F"/>
    <w:rsid w:val="00C46BD5"/>
    <w:rsid w:val="00C512E6"/>
    <w:rsid w:val="00C51A42"/>
    <w:rsid w:val="00C55CD7"/>
    <w:rsid w:val="00C574D1"/>
    <w:rsid w:val="00C6211C"/>
    <w:rsid w:val="00C62A19"/>
    <w:rsid w:val="00C62D93"/>
    <w:rsid w:val="00C63347"/>
    <w:rsid w:val="00C638B4"/>
    <w:rsid w:val="00C65BA4"/>
    <w:rsid w:val="00C66B9C"/>
    <w:rsid w:val="00C67333"/>
    <w:rsid w:val="00C673BB"/>
    <w:rsid w:val="00C728D5"/>
    <w:rsid w:val="00C729B2"/>
    <w:rsid w:val="00C74DF9"/>
    <w:rsid w:val="00C7661D"/>
    <w:rsid w:val="00C76B64"/>
    <w:rsid w:val="00C8098D"/>
    <w:rsid w:val="00C81763"/>
    <w:rsid w:val="00C81F5A"/>
    <w:rsid w:val="00C84E69"/>
    <w:rsid w:val="00C858C5"/>
    <w:rsid w:val="00C8693A"/>
    <w:rsid w:val="00C91686"/>
    <w:rsid w:val="00C935B7"/>
    <w:rsid w:val="00C9399A"/>
    <w:rsid w:val="00C9700F"/>
    <w:rsid w:val="00CA01BD"/>
    <w:rsid w:val="00CA2F18"/>
    <w:rsid w:val="00CA43C3"/>
    <w:rsid w:val="00CA74BB"/>
    <w:rsid w:val="00CA7756"/>
    <w:rsid w:val="00CB2489"/>
    <w:rsid w:val="00CB34CA"/>
    <w:rsid w:val="00CB48D3"/>
    <w:rsid w:val="00CB557E"/>
    <w:rsid w:val="00CB6EE0"/>
    <w:rsid w:val="00CB7A44"/>
    <w:rsid w:val="00CC3C25"/>
    <w:rsid w:val="00CC4898"/>
    <w:rsid w:val="00CC61AB"/>
    <w:rsid w:val="00CC6FBF"/>
    <w:rsid w:val="00CD01B7"/>
    <w:rsid w:val="00CD09D4"/>
    <w:rsid w:val="00CD0ADB"/>
    <w:rsid w:val="00CD7339"/>
    <w:rsid w:val="00CE3934"/>
    <w:rsid w:val="00CE47AE"/>
    <w:rsid w:val="00CE7C88"/>
    <w:rsid w:val="00CE7CD3"/>
    <w:rsid w:val="00CE7E53"/>
    <w:rsid w:val="00CF0169"/>
    <w:rsid w:val="00CF26FB"/>
    <w:rsid w:val="00CF2939"/>
    <w:rsid w:val="00CF458C"/>
    <w:rsid w:val="00CF65C0"/>
    <w:rsid w:val="00D02EC8"/>
    <w:rsid w:val="00D03631"/>
    <w:rsid w:val="00D03CBE"/>
    <w:rsid w:val="00D04579"/>
    <w:rsid w:val="00D07ADF"/>
    <w:rsid w:val="00D17780"/>
    <w:rsid w:val="00D2072E"/>
    <w:rsid w:val="00D22BBD"/>
    <w:rsid w:val="00D25E17"/>
    <w:rsid w:val="00D27A84"/>
    <w:rsid w:val="00D30EB1"/>
    <w:rsid w:val="00D33D32"/>
    <w:rsid w:val="00D36A57"/>
    <w:rsid w:val="00D37EAC"/>
    <w:rsid w:val="00D42B29"/>
    <w:rsid w:val="00D45B95"/>
    <w:rsid w:val="00D47C96"/>
    <w:rsid w:val="00D612C8"/>
    <w:rsid w:val="00D61421"/>
    <w:rsid w:val="00D630DE"/>
    <w:rsid w:val="00D649E8"/>
    <w:rsid w:val="00D652B6"/>
    <w:rsid w:val="00D66AE4"/>
    <w:rsid w:val="00D72A24"/>
    <w:rsid w:val="00D763D3"/>
    <w:rsid w:val="00D7683F"/>
    <w:rsid w:val="00D770D8"/>
    <w:rsid w:val="00D80747"/>
    <w:rsid w:val="00D817DB"/>
    <w:rsid w:val="00D86437"/>
    <w:rsid w:val="00D86FAE"/>
    <w:rsid w:val="00D872B7"/>
    <w:rsid w:val="00D913F9"/>
    <w:rsid w:val="00D92324"/>
    <w:rsid w:val="00D97ACB"/>
    <w:rsid w:val="00D97BC5"/>
    <w:rsid w:val="00DA20E1"/>
    <w:rsid w:val="00DA50A3"/>
    <w:rsid w:val="00DA5B5D"/>
    <w:rsid w:val="00DA70F7"/>
    <w:rsid w:val="00DB0A56"/>
    <w:rsid w:val="00DB1201"/>
    <w:rsid w:val="00DB1605"/>
    <w:rsid w:val="00DB1D0A"/>
    <w:rsid w:val="00DB2093"/>
    <w:rsid w:val="00DB25E8"/>
    <w:rsid w:val="00DB2A1A"/>
    <w:rsid w:val="00DB3567"/>
    <w:rsid w:val="00DB3D19"/>
    <w:rsid w:val="00DB7A87"/>
    <w:rsid w:val="00DC02F5"/>
    <w:rsid w:val="00DC138D"/>
    <w:rsid w:val="00DC268E"/>
    <w:rsid w:val="00DC38B9"/>
    <w:rsid w:val="00DC4CC2"/>
    <w:rsid w:val="00DD3535"/>
    <w:rsid w:val="00DD6A98"/>
    <w:rsid w:val="00DD6F1C"/>
    <w:rsid w:val="00DE0853"/>
    <w:rsid w:val="00DE0FB2"/>
    <w:rsid w:val="00DE3817"/>
    <w:rsid w:val="00DE5448"/>
    <w:rsid w:val="00DE69A2"/>
    <w:rsid w:val="00DF1827"/>
    <w:rsid w:val="00DF3053"/>
    <w:rsid w:val="00DF71B2"/>
    <w:rsid w:val="00DF761F"/>
    <w:rsid w:val="00E005F6"/>
    <w:rsid w:val="00E01144"/>
    <w:rsid w:val="00E01C82"/>
    <w:rsid w:val="00E021E0"/>
    <w:rsid w:val="00E03ECD"/>
    <w:rsid w:val="00E05D24"/>
    <w:rsid w:val="00E107E3"/>
    <w:rsid w:val="00E1120F"/>
    <w:rsid w:val="00E1697C"/>
    <w:rsid w:val="00E212C7"/>
    <w:rsid w:val="00E21FE3"/>
    <w:rsid w:val="00E239D8"/>
    <w:rsid w:val="00E24390"/>
    <w:rsid w:val="00E24F51"/>
    <w:rsid w:val="00E257F5"/>
    <w:rsid w:val="00E2724C"/>
    <w:rsid w:val="00E27A56"/>
    <w:rsid w:val="00E27BDA"/>
    <w:rsid w:val="00E31D45"/>
    <w:rsid w:val="00E3293F"/>
    <w:rsid w:val="00E33027"/>
    <w:rsid w:val="00E3618B"/>
    <w:rsid w:val="00E3629D"/>
    <w:rsid w:val="00E37FD6"/>
    <w:rsid w:val="00E40BE8"/>
    <w:rsid w:val="00E40FD5"/>
    <w:rsid w:val="00E41354"/>
    <w:rsid w:val="00E41FF5"/>
    <w:rsid w:val="00E42A55"/>
    <w:rsid w:val="00E450E9"/>
    <w:rsid w:val="00E4561F"/>
    <w:rsid w:val="00E513BD"/>
    <w:rsid w:val="00E51536"/>
    <w:rsid w:val="00E53656"/>
    <w:rsid w:val="00E56EAA"/>
    <w:rsid w:val="00E57192"/>
    <w:rsid w:val="00E57500"/>
    <w:rsid w:val="00E620A7"/>
    <w:rsid w:val="00E626C7"/>
    <w:rsid w:val="00E66E65"/>
    <w:rsid w:val="00E71E24"/>
    <w:rsid w:val="00E72864"/>
    <w:rsid w:val="00E805F6"/>
    <w:rsid w:val="00E80ACD"/>
    <w:rsid w:val="00E80DF8"/>
    <w:rsid w:val="00E814CA"/>
    <w:rsid w:val="00E82B91"/>
    <w:rsid w:val="00E82EB3"/>
    <w:rsid w:val="00E83355"/>
    <w:rsid w:val="00E84127"/>
    <w:rsid w:val="00E843CB"/>
    <w:rsid w:val="00E86618"/>
    <w:rsid w:val="00E8707B"/>
    <w:rsid w:val="00E9041B"/>
    <w:rsid w:val="00E91789"/>
    <w:rsid w:val="00E919C1"/>
    <w:rsid w:val="00E919CE"/>
    <w:rsid w:val="00E92725"/>
    <w:rsid w:val="00E93458"/>
    <w:rsid w:val="00E941FE"/>
    <w:rsid w:val="00E94569"/>
    <w:rsid w:val="00EA0A31"/>
    <w:rsid w:val="00EA20ED"/>
    <w:rsid w:val="00EA2E38"/>
    <w:rsid w:val="00EA3213"/>
    <w:rsid w:val="00EA39D3"/>
    <w:rsid w:val="00EA43C3"/>
    <w:rsid w:val="00EA60DA"/>
    <w:rsid w:val="00EB0A92"/>
    <w:rsid w:val="00EB121E"/>
    <w:rsid w:val="00EB1224"/>
    <w:rsid w:val="00EB5EBF"/>
    <w:rsid w:val="00EB6329"/>
    <w:rsid w:val="00EC62F6"/>
    <w:rsid w:val="00ED06B8"/>
    <w:rsid w:val="00ED09B0"/>
    <w:rsid w:val="00ED3F23"/>
    <w:rsid w:val="00ED5223"/>
    <w:rsid w:val="00EE3592"/>
    <w:rsid w:val="00EE6D53"/>
    <w:rsid w:val="00EF1724"/>
    <w:rsid w:val="00EF38F3"/>
    <w:rsid w:val="00EF7E28"/>
    <w:rsid w:val="00EF7FAD"/>
    <w:rsid w:val="00F0041E"/>
    <w:rsid w:val="00F009E5"/>
    <w:rsid w:val="00F02448"/>
    <w:rsid w:val="00F02555"/>
    <w:rsid w:val="00F04105"/>
    <w:rsid w:val="00F05C92"/>
    <w:rsid w:val="00F05EAC"/>
    <w:rsid w:val="00F065DF"/>
    <w:rsid w:val="00F10C1A"/>
    <w:rsid w:val="00F113D1"/>
    <w:rsid w:val="00F13830"/>
    <w:rsid w:val="00F16B37"/>
    <w:rsid w:val="00F16C68"/>
    <w:rsid w:val="00F17E76"/>
    <w:rsid w:val="00F17EB2"/>
    <w:rsid w:val="00F215B6"/>
    <w:rsid w:val="00F22041"/>
    <w:rsid w:val="00F23D30"/>
    <w:rsid w:val="00F23DA5"/>
    <w:rsid w:val="00F25AB8"/>
    <w:rsid w:val="00F2620D"/>
    <w:rsid w:val="00F27ABC"/>
    <w:rsid w:val="00F27C7F"/>
    <w:rsid w:val="00F27D1C"/>
    <w:rsid w:val="00F303F6"/>
    <w:rsid w:val="00F3262B"/>
    <w:rsid w:val="00F34DC2"/>
    <w:rsid w:val="00F36AC6"/>
    <w:rsid w:val="00F36F7F"/>
    <w:rsid w:val="00F37005"/>
    <w:rsid w:val="00F37AF1"/>
    <w:rsid w:val="00F404C6"/>
    <w:rsid w:val="00F4200F"/>
    <w:rsid w:val="00F42199"/>
    <w:rsid w:val="00F422DA"/>
    <w:rsid w:val="00F43758"/>
    <w:rsid w:val="00F44BC2"/>
    <w:rsid w:val="00F45C8D"/>
    <w:rsid w:val="00F467ED"/>
    <w:rsid w:val="00F47772"/>
    <w:rsid w:val="00F533A9"/>
    <w:rsid w:val="00F53918"/>
    <w:rsid w:val="00F53BBF"/>
    <w:rsid w:val="00F54BBF"/>
    <w:rsid w:val="00F54FB2"/>
    <w:rsid w:val="00F57A2A"/>
    <w:rsid w:val="00F57B25"/>
    <w:rsid w:val="00F6173B"/>
    <w:rsid w:val="00F6177D"/>
    <w:rsid w:val="00F61B13"/>
    <w:rsid w:val="00F61CAD"/>
    <w:rsid w:val="00F6235E"/>
    <w:rsid w:val="00F62E24"/>
    <w:rsid w:val="00F63665"/>
    <w:rsid w:val="00F639AF"/>
    <w:rsid w:val="00F66608"/>
    <w:rsid w:val="00F67FF6"/>
    <w:rsid w:val="00F70079"/>
    <w:rsid w:val="00F73379"/>
    <w:rsid w:val="00F73700"/>
    <w:rsid w:val="00F7617C"/>
    <w:rsid w:val="00F776E2"/>
    <w:rsid w:val="00F77BA8"/>
    <w:rsid w:val="00F80BB1"/>
    <w:rsid w:val="00F83DBB"/>
    <w:rsid w:val="00F8695F"/>
    <w:rsid w:val="00F87DB9"/>
    <w:rsid w:val="00F91B28"/>
    <w:rsid w:val="00F93A8B"/>
    <w:rsid w:val="00F95DBA"/>
    <w:rsid w:val="00FA376B"/>
    <w:rsid w:val="00FA7FB5"/>
    <w:rsid w:val="00FB0500"/>
    <w:rsid w:val="00FB1D1E"/>
    <w:rsid w:val="00FB2E48"/>
    <w:rsid w:val="00FB30A4"/>
    <w:rsid w:val="00FB60CD"/>
    <w:rsid w:val="00FC151E"/>
    <w:rsid w:val="00FC1FF0"/>
    <w:rsid w:val="00FC3E30"/>
    <w:rsid w:val="00FC4411"/>
    <w:rsid w:val="00FD0D54"/>
    <w:rsid w:val="00FD2791"/>
    <w:rsid w:val="00FD3FA5"/>
    <w:rsid w:val="00FD5FCA"/>
    <w:rsid w:val="00FE009B"/>
    <w:rsid w:val="00FE2814"/>
    <w:rsid w:val="00FE2CF1"/>
    <w:rsid w:val="00FE3104"/>
    <w:rsid w:val="00FE3921"/>
    <w:rsid w:val="00FE3A36"/>
    <w:rsid w:val="00FE603F"/>
    <w:rsid w:val="00FE64C3"/>
    <w:rsid w:val="00FE64D5"/>
    <w:rsid w:val="00FF1271"/>
    <w:rsid w:val="00FF24AB"/>
    <w:rsid w:val="00FF2889"/>
    <w:rsid w:val="00FF2B8B"/>
    <w:rsid w:val="00FF6BE2"/>
    <w:rsid w:val="00FF74D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3F5E"/>
    <w:rPr>
      <w:rFonts w:ascii="Times New Roman" w:eastAsia="Times New Roman" w:hAnsi="Times New Roman"/>
      <w:sz w:val="24"/>
      <w:szCs w:val="24"/>
    </w:rPr>
  </w:style>
  <w:style w:type="paragraph" w:styleId="Heading1">
    <w:name w:val="heading 1"/>
    <w:basedOn w:val="Normal"/>
    <w:next w:val="Normal"/>
    <w:link w:val="Heading1Char"/>
    <w:qFormat/>
    <w:rsid w:val="00341B66"/>
    <w:pPr>
      <w:keepNext/>
      <w:spacing w:before="240" w:after="120"/>
      <w:outlineLvl w:val="0"/>
    </w:pPr>
    <w:rPr>
      <w:rFonts w:ascii="Arial" w:hAnsi="Arial" w:cs="Arial"/>
      <w:b/>
      <w:bCs/>
      <w:i/>
      <w:kern w:val="32"/>
      <w:sz w:val="28"/>
      <w:szCs w:val="32"/>
    </w:rPr>
  </w:style>
  <w:style w:type="paragraph" w:styleId="Heading2">
    <w:name w:val="heading 2"/>
    <w:basedOn w:val="Normal"/>
    <w:next w:val="Normal"/>
    <w:link w:val="Heading2Char"/>
    <w:uiPriority w:val="9"/>
    <w:semiHidden/>
    <w:unhideWhenUsed/>
    <w:qFormat/>
    <w:rsid w:val="0081684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341B66"/>
    <w:pPr>
      <w:keepNext/>
      <w:widowControl w:val="0"/>
      <w:spacing w:before="240" w:after="12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341B66"/>
    <w:pPr>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B66"/>
    <w:rPr>
      <w:rFonts w:ascii="Arial" w:eastAsia="Times New Roman" w:hAnsi="Arial" w:cs="Arial"/>
      <w:b/>
      <w:bCs/>
      <w:i/>
      <w:kern w:val="32"/>
      <w:sz w:val="28"/>
      <w:szCs w:val="32"/>
      <w:lang w:eastAsia="en-AU"/>
    </w:rPr>
  </w:style>
  <w:style w:type="character" w:customStyle="1" w:styleId="Heading3Char">
    <w:name w:val="Heading 3 Char"/>
    <w:basedOn w:val="DefaultParagraphFont"/>
    <w:link w:val="Heading3"/>
    <w:rsid w:val="00341B66"/>
    <w:rPr>
      <w:rFonts w:ascii="Arial" w:eastAsia="Times New Roman" w:hAnsi="Arial" w:cs="Arial"/>
      <w:b/>
      <w:bCs/>
      <w:sz w:val="26"/>
      <w:szCs w:val="26"/>
      <w:lang w:eastAsia="en-AU"/>
    </w:rPr>
  </w:style>
  <w:style w:type="paragraph" w:styleId="BalloonText">
    <w:name w:val="Balloon Text"/>
    <w:basedOn w:val="Normal"/>
    <w:link w:val="BalloonTextChar"/>
    <w:uiPriority w:val="99"/>
    <w:semiHidden/>
    <w:unhideWhenUsed/>
    <w:rsid w:val="00341B66"/>
    <w:rPr>
      <w:rFonts w:ascii="Tahoma" w:hAnsi="Tahoma" w:cs="Tahoma"/>
      <w:sz w:val="16"/>
      <w:szCs w:val="16"/>
    </w:rPr>
  </w:style>
  <w:style w:type="character" w:customStyle="1" w:styleId="BalloonTextChar">
    <w:name w:val="Balloon Text Char"/>
    <w:basedOn w:val="DefaultParagraphFont"/>
    <w:link w:val="BalloonText"/>
    <w:uiPriority w:val="99"/>
    <w:semiHidden/>
    <w:rsid w:val="00341B66"/>
    <w:rPr>
      <w:rFonts w:ascii="Tahoma" w:eastAsia="Times New Roman" w:hAnsi="Tahoma" w:cs="Tahoma"/>
      <w:sz w:val="16"/>
      <w:szCs w:val="16"/>
      <w:lang w:eastAsia="en-AU"/>
    </w:rPr>
  </w:style>
  <w:style w:type="character" w:customStyle="1" w:styleId="Heading4Char">
    <w:name w:val="Heading 4 Char"/>
    <w:basedOn w:val="DefaultParagraphFont"/>
    <w:link w:val="Heading4"/>
    <w:uiPriority w:val="9"/>
    <w:rsid w:val="00341B66"/>
    <w:rPr>
      <w:rFonts w:ascii="Arial" w:eastAsia="Times New Roman" w:hAnsi="Arial" w:cs="Arial"/>
      <w:b/>
      <w:sz w:val="24"/>
      <w:szCs w:val="24"/>
      <w:lang w:eastAsia="en-AU"/>
    </w:rPr>
  </w:style>
  <w:style w:type="table" w:styleId="TableList3">
    <w:name w:val="Table List 3"/>
    <w:basedOn w:val="TableNormal"/>
    <w:rsid w:val="00E626C7"/>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Header">
    <w:name w:val="header"/>
    <w:basedOn w:val="Normal"/>
    <w:link w:val="HeaderChar"/>
    <w:uiPriority w:val="99"/>
    <w:semiHidden/>
    <w:unhideWhenUsed/>
    <w:rsid w:val="002B6B7B"/>
    <w:pPr>
      <w:tabs>
        <w:tab w:val="center" w:pos="4513"/>
        <w:tab w:val="right" w:pos="9026"/>
      </w:tabs>
    </w:pPr>
  </w:style>
  <w:style w:type="character" w:customStyle="1" w:styleId="HeaderChar">
    <w:name w:val="Header Char"/>
    <w:basedOn w:val="DefaultParagraphFont"/>
    <w:link w:val="Header"/>
    <w:uiPriority w:val="99"/>
    <w:semiHidden/>
    <w:rsid w:val="002B6B7B"/>
    <w:rPr>
      <w:rFonts w:ascii="Times New Roman" w:eastAsia="Times New Roman" w:hAnsi="Times New Roman"/>
      <w:sz w:val="24"/>
      <w:szCs w:val="24"/>
    </w:rPr>
  </w:style>
  <w:style w:type="paragraph" w:styleId="Footer">
    <w:name w:val="footer"/>
    <w:basedOn w:val="Normal"/>
    <w:link w:val="FooterChar"/>
    <w:uiPriority w:val="99"/>
    <w:unhideWhenUsed/>
    <w:rsid w:val="002B6B7B"/>
    <w:pPr>
      <w:tabs>
        <w:tab w:val="center" w:pos="4513"/>
        <w:tab w:val="right" w:pos="9026"/>
      </w:tabs>
    </w:pPr>
  </w:style>
  <w:style w:type="character" w:customStyle="1" w:styleId="FooterChar">
    <w:name w:val="Footer Char"/>
    <w:basedOn w:val="DefaultParagraphFont"/>
    <w:link w:val="Footer"/>
    <w:uiPriority w:val="99"/>
    <w:rsid w:val="002B6B7B"/>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97DA5"/>
    <w:rPr>
      <w:sz w:val="16"/>
      <w:szCs w:val="16"/>
    </w:rPr>
  </w:style>
  <w:style w:type="paragraph" w:styleId="CommentText">
    <w:name w:val="annotation text"/>
    <w:basedOn w:val="Normal"/>
    <w:link w:val="CommentTextChar"/>
    <w:uiPriority w:val="99"/>
    <w:semiHidden/>
    <w:unhideWhenUsed/>
    <w:rsid w:val="00997DA5"/>
    <w:rPr>
      <w:sz w:val="20"/>
      <w:szCs w:val="20"/>
    </w:rPr>
  </w:style>
  <w:style w:type="character" w:customStyle="1" w:styleId="CommentTextChar">
    <w:name w:val="Comment Text Char"/>
    <w:basedOn w:val="DefaultParagraphFont"/>
    <w:link w:val="CommentText"/>
    <w:uiPriority w:val="99"/>
    <w:semiHidden/>
    <w:rsid w:val="00997DA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97DA5"/>
    <w:rPr>
      <w:b/>
      <w:bCs/>
    </w:rPr>
  </w:style>
  <w:style w:type="character" w:customStyle="1" w:styleId="CommentSubjectChar">
    <w:name w:val="Comment Subject Char"/>
    <w:basedOn w:val="CommentTextChar"/>
    <w:link w:val="CommentSubject"/>
    <w:uiPriority w:val="99"/>
    <w:semiHidden/>
    <w:rsid w:val="00997DA5"/>
    <w:rPr>
      <w:b/>
      <w:bCs/>
    </w:rPr>
  </w:style>
  <w:style w:type="paragraph" w:styleId="FootnoteText">
    <w:name w:val="footnote text"/>
    <w:basedOn w:val="Normal"/>
    <w:link w:val="FootnoteTextChar"/>
    <w:semiHidden/>
    <w:rsid w:val="00D25E17"/>
    <w:rPr>
      <w:sz w:val="20"/>
      <w:szCs w:val="20"/>
    </w:rPr>
  </w:style>
  <w:style w:type="character" w:customStyle="1" w:styleId="FootnoteTextChar">
    <w:name w:val="Footnote Text Char"/>
    <w:basedOn w:val="DefaultParagraphFont"/>
    <w:link w:val="FootnoteText"/>
    <w:semiHidden/>
    <w:rsid w:val="00D25E17"/>
    <w:rPr>
      <w:rFonts w:ascii="Times New Roman" w:eastAsia="Times New Roman" w:hAnsi="Times New Roman"/>
    </w:rPr>
  </w:style>
  <w:style w:type="character" w:styleId="FootnoteReference">
    <w:name w:val="footnote reference"/>
    <w:basedOn w:val="DefaultParagraphFont"/>
    <w:semiHidden/>
    <w:rsid w:val="00D25E17"/>
    <w:rPr>
      <w:vertAlign w:val="superscript"/>
    </w:rPr>
  </w:style>
  <w:style w:type="paragraph" w:customStyle="1" w:styleId="AERbodytext">
    <w:name w:val="AER body text"/>
    <w:rsid w:val="00D25E17"/>
    <w:pPr>
      <w:spacing w:after="240"/>
    </w:pPr>
    <w:rPr>
      <w:rFonts w:ascii="Times New Roman" w:eastAsia="Times New Roman" w:hAnsi="Times New Roman"/>
      <w:sz w:val="24"/>
      <w:szCs w:val="24"/>
      <w:lang w:eastAsia="en-US"/>
    </w:rPr>
  </w:style>
  <w:style w:type="paragraph" w:styleId="NoSpacing">
    <w:name w:val="No Spacing"/>
    <w:uiPriority w:val="1"/>
    <w:qFormat/>
    <w:rsid w:val="00C81F5A"/>
    <w:rPr>
      <w:rFonts w:ascii="Times New Roman" w:eastAsia="Times New Roman" w:hAnsi="Times New Roman"/>
      <w:sz w:val="24"/>
      <w:szCs w:val="24"/>
    </w:rPr>
  </w:style>
  <w:style w:type="paragraph" w:styleId="Revision">
    <w:name w:val="Revision"/>
    <w:hidden/>
    <w:uiPriority w:val="99"/>
    <w:semiHidden/>
    <w:rsid w:val="00802371"/>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D7683F"/>
    <w:rPr>
      <w:rFonts w:ascii="Tahoma" w:hAnsi="Tahoma" w:cs="Tahoma"/>
      <w:sz w:val="16"/>
      <w:szCs w:val="16"/>
    </w:rPr>
  </w:style>
  <w:style w:type="character" w:customStyle="1" w:styleId="DocumentMapChar">
    <w:name w:val="Document Map Char"/>
    <w:basedOn w:val="DefaultParagraphFont"/>
    <w:link w:val="DocumentMap"/>
    <w:uiPriority w:val="99"/>
    <w:semiHidden/>
    <w:rsid w:val="00D7683F"/>
    <w:rPr>
      <w:rFonts w:ascii="Tahoma" w:eastAsia="Times New Roman" w:hAnsi="Tahoma" w:cs="Tahoma"/>
      <w:sz w:val="16"/>
      <w:szCs w:val="16"/>
    </w:rPr>
  </w:style>
  <w:style w:type="paragraph" w:customStyle="1" w:styleId="Default">
    <w:name w:val="Default"/>
    <w:rsid w:val="00A728C9"/>
    <w:pPr>
      <w:autoSpaceDE w:val="0"/>
      <w:autoSpaceDN w:val="0"/>
      <w:adjustRightInd w:val="0"/>
    </w:pPr>
    <w:rPr>
      <w:rFonts w:ascii="Times New Roman" w:hAnsi="Times New Roman"/>
      <w:color w:val="000000"/>
      <w:sz w:val="24"/>
      <w:szCs w:val="24"/>
    </w:rPr>
  </w:style>
  <w:style w:type="table" w:styleId="TableGrid">
    <w:name w:val="Table Grid"/>
    <w:basedOn w:val="TableNormal"/>
    <w:rsid w:val="00C26AD1"/>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3DA5"/>
    <w:rPr>
      <w:color w:val="0000FF" w:themeColor="hyperlink"/>
      <w:u w:val="single"/>
    </w:rPr>
  </w:style>
  <w:style w:type="paragraph" w:styleId="Caption">
    <w:name w:val="caption"/>
    <w:basedOn w:val="Normal"/>
    <w:next w:val="Normal"/>
    <w:qFormat/>
    <w:rsid w:val="00816842"/>
    <w:rPr>
      <w:b/>
      <w:bCs/>
      <w:sz w:val="20"/>
    </w:rPr>
  </w:style>
  <w:style w:type="paragraph" w:customStyle="1" w:styleId="AERheading2">
    <w:name w:val="AER heading 2"/>
    <w:basedOn w:val="Heading2"/>
    <w:next w:val="DocumentMap"/>
    <w:rsid w:val="00816842"/>
    <w:pPr>
      <w:numPr>
        <w:ilvl w:val="1"/>
        <w:numId w:val="5"/>
      </w:numPr>
      <w:spacing w:after="120"/>
    </w:pPr>
    <w:rPr>
      <w:rFonts w:ascii="Arial" w:eastAsia="Times New Roman" w:hAnsi="Arial" w:cs="Arial"/>
      <w:i w:val="0"/>
      <w:sz w:val="30"/>
      <w:lang w:eastAsia="en-US"/>
    </w:rPr>
  </w:style>
  <w:style w:type="paragraph" w:customStyle="1" w:styleId="AERheading3">
    <w:name w:val="AER heading 3"/>
    <w:basedOn w:val="Heading3"/>
    <w:next w:val="AERbodytext"/>
    <w:rsid w:val="00816842"/>
    <w:pPr>
      <w:widowControl/>
      <w:numPr>
        <w:ilvl w:val="2"/>
        <w:numId w:val="5"/>
      </w:numPr>
    </w:pPr>
    <w:rPr>
      <w:rFonts w:ascii="Arial Bold" w:hAnsi="Arial Bold"/>
      <w:sz w:val="24"/>
      <w:szCs w:val="24"/>
      <w:lang w:eastAsia="en-US"/>
    </w:rPr>
  </w:style>
  <w:style w:type="paragraph" w:customStyle="1" w:styleId="AERheading4">
    <w:name w:val="AER heading 4"/>
    <w:basedOn w:val="Heading4"/>
    <w:next w:val="AERbodytext"/>
    <w:rsid w:val="00816842"/>
    <w:pPr>
      <w:keepNext/>
      <w:numPr>
        <w:ilvl w:val="3"/>
        <w:numId w:val="5"/>
      </w:numPr>
      <w:spacing w:before="240" w:after="120"/>
    </w:pPr>
    <w:rPr>
      <w:rFonts w:ascii="Times New Roman" w:hAnsi="Times New Roman" w:cs="Times New Roman"/>
      <w:bCs/>
      <w:sz w:val="22"/>
      <w:szCs w:val="28"/>
      <w:lang w:eastAsia="en-US"/>
    </w:rPr>
  </w:style>
  <w:style w:type="paragraph" w:customStyle="1" w:styleId="AERtableheading">
    <w:name w:val="AER table heading"/>
    <w:basedOn w:val="Normal"/>
    <w:next w:val="Normal"/>
    <w:rsid w:val="00816842"/>
    <w:pPr>
      <w:keepNext/>
      <w:numPr>
        <w:ilvl w:val="4"/>
        <w:numId w:val="5"/>
      </w:numPr>
      <w:spacing w:before="240" w:after="120"/>
      <w:outlineLvl w:val="3"/>
    </w:pPr>
    <w:rPr>
      <w:b/>
      <w:sz w:val="22"/>
      <w:lang w:eastAsia="en-US"/>
    </w:rPr>
  </w:style>
  <w:style w:type="paragraph" w:customStyle="1" w:styleId="AERfigureheading">
    <w:name w:val="AER figure heading"/>
    <w:basedOn w:val="Normal"/>
    <w:next w:val="AERbodytext"/>
    <w:rsid w:val="00816842"/>
    <w:pPr>
      <w:keepNext/>
      <w:numPr>
        <w:ilvl w:val="5"/>
        <w:numId w:val="5"/>
      </w:numPr>
      <w:spacing w:before="240" w:after="120"/>
      <w:outlineLvl w:val="3"/>
    </w:pPr>
    <w:rPr>
      <w:b/>
      <w:sz w:val="22"/>
      <w:lang w:eastAsia="en-US"/>
    </w:rPr>
  </w:style>
  <w:style w:type="paragraph" w:customStyle="1" w:styleId="AERtableheading-unnumbered">
    <w:name w:val="AER table heading - unnumbered"/>
    <w:basedOn w:val="AERtableheading"/>
    <w:rsid w:val="00816842"/>
    <w:pPr>
      <w:numPr>
        <w:ilvl w:val="6"/>
      </w:numPr>
    </w:pPr>
  </w:style>
  <w:style w:type="paragraph" w:customStyle="1" w:styleId="AERfigureheading-unnumbered">
    <w:name w:val="AER figure heading - unnumbered"/>
    <w:basedOn w:val="AERfigureheading"/>
    <w:rsid w:val="00816842"/>
    <w:pPr>
      <w:numPr>
        <w:ilvl w:val="7"/>
      </w:numPr>
    </w:pPr>
  </w:style>
  <w:style w:type="paragraph" w:customStyle="1" w:styleId="AERheading1">
    <w:name w:val="AER heading 1"/>
    <w:basedOn w:val="Heading1"/>
    <w:next w:val="AERbodytext"/>
    <w:rsid w:val="00816842"/>
    <w:pPr>
      <w:pageBreakBefore/>
      <w:numPr>
        <w:numId w:val="5"/>
      </w:numPr>
    </w:pPr>
    <w:rPr>
      <w:i w:val="0"/>
      <w:sz w:val="36"/>
      <w:lang w:eastAsia="en-US"/>
    </w:rPr>
  </w:style>
  <w:style w:type="character" w:customStyle="1" w:styleId="Heading2Char">
    <w:name w:val="Heading 2 Char"/>
    <w:basedOn w:val="DefaultParagraphFont"/>
    <w:link w:val="Heading2"/>
    <w:uiPriority w:val="9"/>
    <w:semiHidden/>
    <w:rsid w:val="00816842"/>
    <w:rPr>
      <w:rFonts w:asciiTheme="majorHAnsi" w:eastAsiaTheme="majorEastAsia" w:hAnsiTheme="majorHAnsi" w:cstheme="majorBidi"/>
      <w:b/>
      <w:bCs/>
      <w:i/>
      <w:iCs/>
      <w:sz w:val="28"/>
      <w:szCs w:val="28"/>
    </w:rPr>
  </w:style>
</w:styles>
</file>

<file path=word/webSettings.xml><?xml version="1.0" encoding="utf-8"?>
<w:webSettings xmlns:r="http://schemas.openxmlformats.org/officeDocument/2006/relationships" xmlns:w="http://schemas.openxmlformats.org/wordprocessingml/2006/main">
  <w:divs>
    <w:div w:id="244457892">
      <w:bodyDiv w:val="1"/>
      <w:marLeft w:val="0"/>
      <w:marRight w:val="0"/>
      <w:marTop w:val="0"/>
      <w:marBottom w:val="0"/>
      <w:divBdr>
        <w:top w:val="none" w:sz="0" w:space="0" w:color="auto"/>
        <w:left w:val="none" w:sz="0" w:space="0" w:color="auto"/>
        <w:bottom w:val="none" w:sz="0" w:space="0" w:color="auto"/>
        <w:right w:val="none" w:sz="0" w:space="0" w:color="auto"/>
      </w:divBdr>
    </w:div>
    <w:div w:id="529606757">
      <w:bodyDiv w:val="1"/>
      <w:marLeft w:val="0"/>
      <w:marRight w:val="0"/>
      <w:marTop w:val="0"/>
      <w:marBottom w:val="0"/>
      <w:divBdr>
        <w:top w:val="none" w:sz="0" w:space="0" w:color="auto"/>
        <w:left w:val="none" w:sz="0" w:space="0" w:color="auto"/>
        <w:bottom w:val="none" w:sz="0" w:space="0" w:color="auto"/>
        <w:right w:val="none" w:sz="0" w:space="0" w:color="auto"/>
      </w:divBdr>
    </w:div>
    <w:div w:id="864711036">
      <w:bodyDiv w:val="1"/>
      <w:marLeft w:val="0"/>
      <w:marRight w:val="0"/>
      <w:marTop w:val="0"/>
      <w:marBottom w:val="0"/>
      <w:divBdr>
        <w:top w:val="none" w:sz="0" w:space="0" w:color="auto"/>
        <w:left w:val="none" w:sz="0" w:space="0" w:color="auto"/>
        <w:bottom w:val="none" w:sz="0" w:space="0" w:color="auto"/>
        <w:right w:val="none" w:sz="0" w:space="0" w:color="auto"/>
      </w:divBdr>
    </w:div>
    <w:div w:id="951517901">
      <w:bodyDiv w:val="1"/>
      <w:marLeft w:val="0"/>
      <w:marRight w:val="0"/>
      <w:marTop w:val="0"/>
      <w:marBottom w:val="0"/>
      <w:divBdr>
        <w:top w:val="none" w:sz="0" w:space="0" w:color="auto"/>
        <w:left w:val="none" w:sz="0" w:space="0" w:color="auto"/>
        <w:bottom w:val="none" w:sz="0" w:space="0" w:color="auto"/>
        <w:right w:val="none" w:sz="0" w:space="0" w:color="auto"/>
      </w:divBdr>
    </w:div>
    <w:div w:id="193528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node/454" TargetMode="External"/><Relationship Id="rId1" Type="http://schemas.openxmlformats.org/officeDocument/2006/relationships/hyperlink" Target="http://www.aer.gov.au/node/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044B8-4AF4-40B7-AD3B-5FEA8DC6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5153</Words>
  <Characters>29376</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market significant price report - July 2012</dc:title>
  <dc:subject/>
  <dc:creator>AER</dc:creator>
  <cp:keywords/>
  <dc:description/>
  <cp:lastModifiedBy>tpits</cp:lastModifiedBy>
  <cp:revision>2</cp:revision>
  <cp:lastPrinted>2012-10-11T06:39:00Z</cp:lastPrinted>
  <dcterms:created xsi:type="dcterms:W3CDTF">2012-10-19T02:14:00Z</dcterms:created>
  <dcterms:modified xsi:type="dcterms:W3CDTF">2012-10-19T02:14:00Z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C:\Documents and Settings\tpits\Local Settings\Temporary Internet Files\Content.Outlook\QWI8FOMM\120915 July Gas Market report v3.doc</vt:lpwstr>
  </property>
</Properties>
</file>