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9B176A" w:rsidRDefault="00AC0236" w:rsidP="00F27ABE">
      <w:pPr>
        <w:pStyle w:val="AERfactsheetsubtitle"/>
        <w:widowControl w:val="0"/>
      </w:pPr>
      <w:r w:rsidRPr="00B0183D">
        <w:rPr>
          <w:noProof/>
          <w:sz w:val="18"/>
          <w:lang w:eastAsia="en-AU"/>
        </w:rPr>
        <mc:AlternateContent>
          <mc:Choice Requires="wpg">
            <w:drawing>
              <wp:anchor distT="0" distB="0" distL="114300" distR="114300" simplePos="0" relativeHeight="251657216" behindDoc="0" locked="0" layoutInCell="1" allowOverlap="1" wp14:anchorId="7BDB85D9" wp14:editId="2FAADA15">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9B0AC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9B0AC4"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A24D5C">
        <w:t>O</w:t>
      </w:r>
      <w:r w:rsidR="00697FF1" w:rsidRPr="00753DF7">
        <w:t xml:space="preserve">ur </w:t>
      </w:r>
      <w:r w:rsidR="009B0AC4" w:rsidRPr="009B0AC4">
        <w:t xml:space="preserve">allowed rate of return is commensurate with the efficient financing cost of a benchmark efficient entity providing </w:t>
      </w:r>
      <w:r w:rsidR="009B0AC4">
        <w:t>regulated network</w:t>
      </w:r>
      <w:r w:rsidR="009B0AC4" w:rsidRPr="009B0AC4">
        <w:t xml:space="preserve"> services</w:t>
      </w:r>
      <w:r w:rsidR="009B0AC4">
        <w:t>.</w:t>
      </w:r>
      <w:r w:rsidR="00FA71F1">
        <w:t xml:space="preserve"> </w:t>
      </w:r>
      <w:r w:rsidR="005F2D40" w:rsidRPr="005F2D40">
        <w:t>This is estimated as a weighted average of the return on debt and equity. These are estimated relative to market data so that investors are compensated for the risks of providing capit</w:t>
      </w:r>
      <w:r w:rsidR="005F2D40">
        <w:t>al to regulated network service providers</w:t>
      </w:r>
      <w:r w:rsidR="005F2D40" w:rsidRPr="005F2D40">
        <w:t>.</w:t>
      </w:r>
      <w:r w:rsidR="00FA71F1" w:rsidRPr="00FA71F1">
        <w:t xml:space="preserve"> </w:t>
      </w:r>
    </w:p>
    <w:p w:rsidR="00CF35B3" w:rsidRPr="00CF35B3" w:rsidRDefault="00CF35B3" w:rsidP="00CF35B3"/>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6A5A15" w:rsidP="00F27ABE">
      <w:pPr>
        <w:pStyle w:val="AERFactsheetHeading1"/>
        <w:keepNext w:val="0"/>
        <w:widowControl w:val="0"/>
      </w:pPr>
      <w:r>
        <w:lastRenderedPageBreak/>
        <w:t>T</w:t>
      </w:r>
      <w:r w:rsidR="00AA7208">
        <w:t xml:space="preserve">he </w:t>
      </w:r>
      <w:r>
        <w:t xml:space="preserve">allowed </w:t>
      </w:r>
      <w:r w:rsidR="00AA7208">
        <w:t xml:space="preserve">rate of return </w:t>
      </w:r>
    </w:p>
    <w:p w:rsidR="001D4048" w:rsidRDefault="008C32AF" w:rsidP="001D4048">
      <w:pPr>
        <w:pStyle w:val="AERfactsheetbodytext"/>
        <w:widowControl w:val="0"/>
      </w:pPr>
      <w:r w:rsidRPr="008C32AF">
        <w:t xml:space="preserve">The allowed rate of return is </w:t>
      </w:r>
      <w:r w:rsidR="00DD5448">
        <w:t xml:space="preserve">the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 xml:space="preserve">in the network. </w:t>
      </w:r>
    </w:p>
    <w:p w:rsidR="009B176A" w:rsidRDefault="001D4048" w:rsidP="009B176A">
      <w:pPr>
        <w:pStyle w:val="AERfactsheetbodytext"/>
        <w:widowControl w:val="0"/>
      </w:pPr>
      <w:r>
        <w:t xml:space="preserve">We set the rate of return based on a benchmark, rather than the actual costs of individual businesses. Hence, network businesses have incentives to finance their business as efficiently as possible. </w:t>
      </w:r>
      <w:r w:rsidR="009B176A">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F27ABE" w:rsidRDefault="009B176A" w:rsidP="00F27ABE">
      <w:pPr>
        <w:pStyle w:val="AERfactsheetbodytext"/>
        <w:widowControl w:val="0"/>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C76528" w:rsidRDefault="00C76528" w:rsidP="00F27ABE">
      <w:pPr>
        <w:pStyle w:val="AERfactsheetbodytext"/>
        <w:widowControl w:val="0"/>
      </w:pPr>
      <w:r>
        <w:t xml:space="preserve">The </w:t>
      </w:r>
      <w:r w:rsidR="001152E2">
        <w:t>return on</w:t>
      </w:r>
      <w:r>
        <w:t xml:space="preserve"> debt is the interest rate the network business pays when it borrows money to invest.</w:t>
      </w:r>
      <w:r w:rsidR="00F27ABE">
        <w:t xml:space="preserve"> </w:t>
      </w:r>
      <w:r>
        <w:t xml:space="preserve">We </w:t>
      </w:r>
      <w:r w:rsidR="00C039EB">
        <w:t>consider that</w:t>
      </w:r>
      <w:r>
        <w:t xml:space="preserve"> efficient network business</w:t>
      </w:r>
      <w:r w:rsidR="00C039EB">
        <w:t>es</w:t>
      </w:r>
      <w:r>
        <w:t xml:space="preserve"> would fund </w:t>
      </w:r>
      <w:r w:rsidR="00C039EB">
        <w:t xml:space="preserve">their </w:t>
      </w:r>
      <w:r>
        <w:t xml:space="preserve">investments by borrowing 60 per cent of the required funds, while raising the remaining 40 per cent from equity. </w:t>
      </w:r>
    </w:p>
    <w:p w:rsidR="00F27ABE" w:rsidRDefault="00F27ABE" w:rsidP="00F27ABE">
      <w:pPr>
        <w:pStyle w:val="AERfactsheetbodytext"/>
        <w:widowControl w:val="0"/>
      </w:pPr>
      <w:r w:rsidRPr="00697FF1">
        <w:rPr>
          <w:noProof/>
          <w:lang w:eastAsia="en-AU"/>
        </w:rPr>
        <w:drawing>
          <wp:anchor distT="0" distB="0" distL="114300" distR="114300" simplePos="0" relativeHeight="251671552" behindDoc="0" locked="0" layoutInCell="1" allowOverlap="1" wp14:anchorId="777FA71D" wp14:editId="773AE8E9">
            <wp:simplePos x="0" y="0"/>
            <wp:positionH relativeFrom="column">
              <wp:posOffset>-746760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8C32AF"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A14E17" w:rsidRDefault="00A14E17" w:rsidP="00F27ABE">
      <w:pPr>
        <w:pStyle w:val="AERfactsheetbodytext"/>
        <w:widowControl w:val="0"/>
      </w:pPr>
    </w:p>
    <w:p w:rsidR="00F27ABE" w:rsidRDefault="00F27ABE" w:rsidP="00F27ABE">
      <w:r>
        <w:rPr>
          <w:noProof/>
          <w:lang w:eastAsia="en-AU"/>
        </w:rPr>
        <mc:AlternateContent>
          <mc:Choice Requires="wps">
            <w:drawing>
              <wp:inline distT="0" distB="0" distL="0" distR="0" wp14:anchorId="193FA7BF" wp14:editId="3A130BF3">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aNQIAAFkEAAAOAAAAZHJzL2Uyb0RvYy54bWysVNtu2zAMfR+wfxD0vjgXp22MOEWaNMOA&#10;7gK0+wBZlm1hsqhJSuzs60vJaZp12MswPwiiSB0eHlJe3vatIgdhnQSd08loTInQHEqp65x+f9p9&#10;uKHEeaZLpkCLnB6Fo7er9++WncnEFBpQpbAEQbTLOpPTxnuTJYnjjWiZG4ERGp0V2JZ5NG2dlJZ1&#10;iN6qZDoeXyUd2NJY4MI5PN0OTrqK+FUluP9aVU54onKK3HxcbVyLsCarJctqy0wj+YkG+wcWLZMa&#10;k56htswzsrfyD6hWcgsOKj/i0CZQVZKLWANWMxm/qeaxYUbEWlAcZ84yuf8Hy78cvlkiS+wdyqNZ&#10;iz16Er0nd9ATPEJ9OuMyDHs0GOh7PMfYWKszD8B/OKJh0zBdi7W10DWClchvEm4mF1cHHBdAiu4z&#10;lJiH7T1EoL6ybRAP5SCIjkSO594ELhwPZ9NJOrtGF0ff/GoxS9OYgmUvt411/qOAloRNTi32PqKz&#10;w4PzgQ3LXkJCMgdKljupVDRsXWyUJQeGc7K9u5/vhgLehClNupwu5tP5IMBfIXAy14vFieBvmVrp&#10;ceCVbHN6Mw5fCGJZkO1el3HvmVTDHikrfdIxSDeI6PuiH1oW7gaNCyiPKKyFYb7xPeKmAfuLkg5n&#10;O6fu555ZQYn6pLE5i0mahscQjXR+PUXDXnqKSw/THKFy6ikZths/PKC9sbJuMNMwDhrW2NBKRq1f&#10;WZ3o4/zGFpzeWnggl3aMev0jrJ4BAAD//wMAUEsDBBQABgAIAAAAIQD42UuZ2QAAAAQBAAAPAAAA&#10;ZHJzL2Rvd25yZXYueG1sTI/NTsMwEITvSLyDtUhcKuqkEiWEbCrEz7VSCg+wiZc4Il5HsduGt8dw&#10;gctKoxnNfFvtFjeqE89h8IKQrzNQLJ03g/QI72+vNwWoEEkMjV4Y4YsD7OrLi4pK48/S8OkQe5VK&#10;JJSEYGOcSq1DZ9lRWPuJJXkffnYUk5x7bWY6p3I36k2WbbWjQdKCpYmfLHefh6NDeCnyJo/ts3VF&#10;14je96tpv2LE66vl8QFU5CX+heEHP6FDnZhafxQT1IiQHom/N3m32XYDqkUo7u9A15X+D19/AwAA&#10;//8DAFBLAQItABQABgAIAAAAIQC2gziS/gAAAOEBAAATAAAAAAAAAAAAAAAAAAAAAABbQ29udGVu&#10;dF9UeXBlc10ueG1sUEsBAi0AFAAGAAgAAAAhADj9If/WAAAAlAEAAAsAAAAAAAAAAAAAAAAALwEA&#10;AF9yZWxzLy5yZWxzUEsBAi0AFAAGAAgAAAAhAMUTZdo1AgAAWQQAAA4AAAAAAAAAAAAAAAAALgIA&#10;AGRycy9lMm9Eb2MueG1sUEsBAi0AFAAGAAgAAAAhAPjZS5nZAAAABAEAAA8AAAAAAAAAAAAAAAAA&#10;jwQAAGRycy9kb3ducmV2LnhtbFBLBQYAAAAABAAEAPMAAACVBQAAAAA=&#10;" fillcolor="#dbe5f1" strokecolor="#006a99">
                <v:textbox>
                  <w:txbxContent>
                    <w:p w:rsidR="00C949E3" w:rsidRPr="00916002" w:rsidRDefault="00C949E3" w:rsidP="00F27ABE">
                      <w:pPr>
                        <w:pStyle w:val="AERfactsheetbodytext"/>
                      </w:pPr>
                      <w:r>
                        <w:t xml:space="preserve">Our aim is to set a rate of return that </w:t>
                      </w:r>
                      <w:r w:rsidR="00C90A07">
                        <w:t>d</w:t>
                      </w:r>
                      <w:r w:rsidR="009B0AC4">
                        <w:t>elivers</w:t>
                      </w:r>
                      <w:r>
                        <w:t xml:space="preserve"> sufficient but not excessive returns to support investment in safe and reliable energy networks. </w:t>
                      </w:r>
                    </w:p>
                  </w:txbxContent>
                </v:textbox>
                <w10:anchorlock/>
              </v:shape>
            </w:pict>
          </mc:Fallback>
        </mc:AlternateContent>
      </w:r>
    </w:p>
    <w:p w:rsidR="007101C1" w:rsidRDefault="00C90A07" w:rsidP="00C5335F">
      <w:pPr>
        <w:pStyle w:val="AERFactsheetHeading1"/>
        <w:keepNext w:val="0"/>
        <w:widowControl w:val="0"/>
      </w:pPr>
      <w:r>
        <w:lastRenderedPageBreak/>
        <w:t xml:space="preserve">Our approach </w:t>
      </w:r>
    </w:p>
    <w:p w:rsidR="009B176A" w:rsidRDefault="001D4048" w:rsidP="00F27ABE">
      <w:pPr>
        <w:pStyle w:val="AERfactsheetbodytext"/>
        <w:widowControl w:val="0"/>
      </w:pPr>
      <w:r>
        <w:t xml:space="preserve">Our approach includes a process that captures a broad range of material from all stakeholders. We set out this approach in our rate of return guideline (the Guideline) published in December 2103. The Guideline was developed through extensive consultation and included effective and inclusive consumer engagement </w:t>
      </w:r>
      <w:r w:rsidR="009B176A">
        <w:t xml:space="preserve">throughout 2013. </w:t>
      </w:r>
    </w:p>
    <w:p w:rsidR="00A14E17" w:rsidRDefault="009B176A" w:rsidP="00F27ABE">
      <w:pPr>
        <w:pStyle w:val="AERfactsheetbodytext"/>
        <w:widowControl w:val="0"/>
      </w:pPr>
      <w:r>
        <w:t xml:space="preserve">In making these </w:t>
      </w:r>
      <w:r w:rsidR="009C6DC3">
        <w:t xml:space="preserve">draft </w:t>
      </w:r>
      <w:r>
        <w:t>decisions we have reviewed a vast amount of material put before us</w:t>
      </w:r>
      <w:r w:rsidR="00D9277B">
        <w:t>. This includes</w:t>
      </w:r>
      <w:r>
        <w:t xml:space="preserve"> </w:t>
      </w:r>
      <w:r w:rsidR="00D9277B">
        <w:t>reports from e</w:t>
      </w:r>
      <w:r>
        <w:t>xpert</w:t>
      </w:r>
      <w:r w:rsidR="00D9277B">
        <w:t xml:space="preserve">s engaged by the NSPs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2"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633CA667" wp14:editId="28C8AB0A">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6zNQIAAFcEAAAOAAAAZHJzL2Uyb0RvYy54bWysVNtu2zAMfR+wfxD0vjhOczXiFGnSDAO6&#10;C9DuAxRZtoXJoiYpsbOvLyWnadZhL8P8IJAidUgekl7edo0iR2GdBJ3TdDCkRGgOhdRVTr8/7T7M&#10;KXGe6YIp0CKnJ+Ho7er9u2VrMjGCGlQhLEEQ7bLW5LT23mRJ4ngtGuYGYIRGYwm2YR5VWyWFZS2i&#10;NyoZDYfTpAVbGAtcOIe3295IVxG/LAX3X8vSCU9UTjE3H08bz304k9WSZZVlppb8nAb7hywaJjUG&#10;vUBtmWfkYOUfUI3kFhyUfsChSaAsJRexBqwmHb6p5rFmRsRakBxnLjS5/wfLvxy/WSKLnE4p0azB&#10;Fj2JzpM76Mg0sNMal6HTo0E33+E1djlW6swD8B+OaNjUTFdibS20tWAFZpeGl8nV0x7HBZB9+xkK&#10;DMMOHiJQV9omUIdkEETHLp0unQmpcLy8GaXjmxmaONoms3E6mccQLHt5bazzHwU0JAg5tdj5iM6O&#10;D86HbFj24hKCOVCy2EmlomKr/UZZcmQ4Jdu7+8muL+CNm9KkzeliMpr0BPwVAudyvVicE/wtUiM9&#10;jruSTU7nw/AFJ5YF2u51EWXPpOplTFnpM4+Bup5E3+272LBReBs43kNxQmIt9NON24hCDfYXJS1O&#10;dk7dzwOzghL1SWNzFul4HFYhKuPJbISKvbbsry1Mc4TKqaekFze+X5+DsbKqMVI/DhrW2NBSRq5f&#10;szqnj9MbW3DetLAe13r0ev0frJ4BAAD//wMAUEsDBBQABgAIAAAAIQA7MXtd2QAAAAQBAAAPAAAA&#10;ZHJzL2Rvd25yZXYueG1sTI/NasMwEITvhb6D2EAvoZEc2uC6XofSn2vAaR9AtraWibUylpK4b1+1&#10;l+SyMMww8225nd0gTjSF3jNCtlIgiFtveu4Qvj4/7nMQIWo2evBMCD8UYFvd3pS6MP7MNZ32sROp&#10;hEOhEWyMYyFlaC05HVZ+JE7et5+cjklOnTSTPqdyN8i1UhvpdM9pweqRXi21h/3RIbznWZ3F5s26&#10;vK1Z7rrluFsS4t1ifnkGEWmOlzD84Sd0qBJT449sghgQ0iPx/ybvUW3WIBqEJ/UAsirlNXz1CwAA&#10;//8DAFBLAQItABQABgAIAAAAIQC2gziS/gAAAOEBAAATAAAAAAAAAAAAAAAAAAAAAABbQ29udGVu&#10;dF9UeXBlc10ueG1sUEsBAi0AFAAGAAgAAAAhADj9If/WAAAAlAEAAAsAAAAAAAAAAAAAAAAALwEA&#10;AF9yZWxzLy5yZWxzUEsBAi0AFAAGAAgAAAAhACNl3rM1AgAAVwQAAA4AAAAAAAAAAAAAAAAALgIA&#10;AGRycy9lMm9Eb2MueG1sUEsBAi0AFAAGAAgAAAAhADsxe13ZAAAABAEAAA8AAAAAAAAAAAAAAAAA&#10;jwQAAGRycy9kb3ducmV2LnhtbFBLBQYAAAAABAAEAPMAAACVBQAAAAA=&#10;" fillcolor="#dbe5f1" strokecolor="#006a99">
                <v:textbox>
                  <w:txbxContent>
                    <w:p w:rsidR="00AA44D4" w:rsidRDefault="00AA44D4" w:rsidP="00AA44D4">
                      <w:pPr>
                        <w:pStyle w:val="AERfactsheetbodytext"/>
                        <w:keepNext/>
                        <w:widowControl w:val="0"/>
                      </w:pPr>
                      <w:r>
                        <w:t xml:space="preserve">Our </w:t>
                      </w:r>
                      <w:r w:rsidRPr="00346F63">
                        <w:t>approach allow</w:t>
                      </w:r>
                      <w:r>
                        <w:t>s</w:t>
                      </w:r>
                      <w:r w:rsidRPr="00346F63">
                        <w:t xml:space="preserve"> us to </w:t>
                      </w:r>
                      <w:r>
                        <w:t xml:space="preserve">determine </w:t>
                      </w:r>
                      <w:r w:rsidR="005F2D40">
                        <w:t xml:space="preserve">a </w:t>
                      </w:r>
                      <w:r>
                        <w:t xml:space="preserve">rate of return that </w:t>
                      </w:r>
                      <w:r w:rsidR="005F2D40">
                        <w:t>is</w:t>
                      </w:r>
                      <w:r>
                        <w:t xml:space="preserve"> commensurate with efficient costs, reflect</w:t>
                      </w:r>
                      <w:r w:rsidR="005F2D40">
                        <w:t>s</w:t>
                      </w:r>
                      <w:r>
                        <w:t xml:space="preserve"> </w:t>
                      </w:r>
                      <w:r w:rsidRPr="00346F63">
                        <w:t>market conditions</w:t>
                      </w:r>
                      <w:r>
                        <w:t xml:space="preserve"> and </w:t>
                      </w:r>
                      <w:r w:rsidR="005F2D40">
                        <w:t>is</w:t>
                      </w:r>
                      <w:r>
                        <w:t xml:space="preserve">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F27ABE">
      <w:pPr>
        <w:pStyle w:val="AERFactsheetHeading1"/>
        <w:keepNext w:val="0"/>
        <w:widowControl w:val="0"/>
      </w:pPr>
      <w:r>
        <w:t>R</w:t>
      </w:r>
      <w:r w:rsidR="00117167">
        <w:t>eturn on equity</w:t>
      </w:r>
    </w:p>
    <w:p w:rsidR="008B297F" w:rsidRDefault="00AA44D4" w:rsidP="00F27ABE">
      <w:pPr>
        <w:pStyle w:val="AERfactsheetbodytext"/>
        <w:widowControl w:val="0"/>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B325BB" w:rsidRDefault="008B297F" w:rsidP="00F27ABE">
      <w:pPr>
        <w:pStyle w:val="AERfactsheetbodytext"/>
        <w:widowControl w:val="0"/>
      </w:pPr>
      <w:r>
        <w:t xml:space="preserve">Based on our review of the various equity models, the Sharpe Lintner </w:t>
      </w:r>
      <w:r w:rsidRPr="00916002">
        <w:t>Capital Asset Pricing model</w:t>
      </w:r>
      <w:r>
        <w:t xml:space="preserve"> (SLCAPM) stands out as the superior model for our purpose. We therefore, adopt it as our foundation model. We use some of the other models to inform the input parameter point estimates of the SLCAPM.</w:t>
      </w:r>
      <w:r w:rsidR="00B325BB">
        <w:t xml:space="preserve"> </w:t>
      </w:r>
    </w:p>
    <w:p w:rsidR="00616F0E" w:rsidRDefault="00B325BB" w:rsidP="00F27ABE">
      <w:pPr>
        <w:pStyle w:val="AERfactsheetbodytext"/>
        <w:widowControl w:val="0"/>
      </w:pPr>
      <w:r>
        <w:t>Our point estimates for the MRP and equity beta are derived after considering a range of evidence. We adopted</w:t>
      </w:r>
      <w:r w:rsidR="009C6DC3">
        <w:t xml:space="preserve"> a MRP of 6.5 per cent and equity beta of 0.7 resulting in an equity risk premium </w:t>
      </w:r>
      <w:r w:rsidR="00616F0E">
        <w:t>(</w:t>
      </w:r>
      <w:r w:rsidR="00422429">
        <w:t>the risk premium over the risk free rate</w:t>
      </w:r>
      <w:r w:rsidR="00616F0E">
        <w:t xml:space="preserve">) </w:t>
      </w:r>
      <w:r w:rsidR="009C6DC3">
        <w:t xml:space="preserve">of 4.55 </w:t>
      </w:r>
      <w:r w:rsidR="009C6DC3">
        <w:lastRenderedPageBreak/>
        <w:t xml:space="preserve">per cent. </w:t>
      </w:r>
      <w:r w:rsidR="00A0490B">
        <w:t xml:space="preserve">We compared this </w:t>
      </w:r>
      <w:r w:rsidR="00422429">
        <w:t xml:space="preserve">equity risk premium </w:t>
      </w:r>
      <w:r w:rsidR="00A0490B">
        <w:t xml:space="preserve">with a range of other information. </w:t>
      </w:r>
      <w:r w:rsidR="005F2D40">
        <w:t>The f</w:t>
      </w:r>
      <w:r w:rsidR="00A0490B">
        <w:t xml:space="preserve">igure </w:t>
      </w:r>
      <w:r w:rsidR="005F2D40">
        <w:t xml:space="preserve">below </w:t>
      </w:r>
      <w:r w:rsidR="00A0490B">
        <w:t>shows t</w:t>
      </w:r>
      <w:r w:rsidR="00616F0E">
        <w:t>hat our estimate sits within the range of other information available to estimate the return on equity.</w:t>
      </w:r>
    </w:p>
    <w:p w:rsidR="00A0490B" w:rsidRDefault="00616F0E" w:rsidP="00290C21">
      <w:pPr>
        <w:pStyle w:val="Caption"/>
      </w:pPr>
      <w:r>
        <w:t>Other information and the AER allowed ERP</w:t>
      </w:r>
    </w:p>
    <w:p w:rsidR="00787B39" w:rsidRDefault="009B4E9F" w:rsidP="00F27ABE">
      <w:pPr>
        <w:pStyle w:val="AERfactsheetbodytext"/>
        <w:widowControl w:val="0"/>
      </w:pPr>
      <w:r w:rsidRPr="009B4E9F">
        <w:rPr>
          <w:noProof/>
          <w:lang w:eastAsia="en-AU"/>
        </w:rPr>
        <w:drawing>
          <wp:inline distT="0" distB="0" distL="0" distR="0" wp14:anchorId="0D17D0B7" wp14:editId="65AEBC78">
            <wp:extent cx="3215005" cy="1853464"/>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1853464"/>
                    </a:xfrm>
                    <a:prstGeom prst="rect">
                      <a:avLst/>
                    </a:prstGeom>
                    <a:noFill/>
                    <a:ln>
                      <a:noFill/>
                    </a:ln>
                  </pic:spPr>
                </pic:pic>
              </a:graphicData>
            </a:graphic>
          </wp:inline>
        </w:drawing>
      </w:r>
    </w:p>
    <w:p w:rsidR="009C6DC3" w:rsidRDefault="009C6DC3" w:rsidP="00F27ABE">
      <w:pPr>
        <w:pStyle w:val="AERfactsheetbodytext"/>
        <w:widowControl w:val="0"/>
      </w:pPr>
      <w:r>
        <w:t xml:space="preserve">The risk free rate we use is based on the 10 year government bond rate (an average of the </w:t>
      </w:r>
      <w:r w:rsidR="006A5A15">
        <w:t xml:space="preserve">observed </w:t>
      </w:r>
      <w:r>
        <w:t>rate over a 20 day period) close to the next regulatory period. For this draft decision we adopt 3.55 per cent</w:t>
      </w:r>
      <w:r w:rsidR="00422429">
        <w:t xml:space="preserve"> (to be updated prior to our final decision)</w:t>
      </w:r>
      <w:r>
        <w:t xml:space="preserve">. Our SLCAPM point estimate for this draft decision is 8.1 per cent. </w:t>
      </w:r>
    </w:p>
    <w:p w:rsidR="008B297F" w:rsidRDefault="00FA71F1" w:rsidP="00F27ABE">
      <w:pPr>
        <w:pStyle w:val="AERfactsheetbodytext"/>
        <w:widowControl w:val="0"/>
      </w:pPr>
      <w:r>
        <w:t xml:space="preserve">Having evaluated our </w:t>
      </w:r>
      <w:r w:rsidR="00B325BB">
        <w:t xml:space="preserve">SLCAPM point estimate against a range of other information, </w:t>
      </w:r>
      <w:r>
        <w:t xml:space="preserve">we are satisfied that an 8.1 per cent return </w:t>
      </w:r>
      <w:r w:rsidR="007C2122">
        <w:t xml:space="preserve">on </w:t>
      </w:r>
      <w:r>
        <w:t xml:space="preserve">equity estimate </w:t>
      </w:r>
      <w:r w:rsidR="00422429">
        <w:t>is a reasonable estimate of efficient equity financing costs</w:t>
      </w:r>
      <w:r w:rsidR="005F2D40">
        <w:t>.</w:t>
      </w:r>
    </w:p>
    <w:p w:rsidR="00E674FC" w:rsidRDefault="009C6DC3" w:rsidP="00F27ABE">
      <w:pPr>
        <w:pStyle w:val="AERfactsheetbodytext"/>
        <w:widowControl w:val="0"/>
      </w:pPr>
      <w:r w:rsidRPr="00E0500A">
        <w:rPr>
          <w:rFonts w:ascii="Tunga" w:hAnsi="Tunga" w:cs="Tunga"/>
          <w:b/>
          <w:iCs/>
          <w:noProof/>
          <w:color w:val="006A99"/>
          <w:spacing w:val="0"/>
          <w:kern w:val="24"/>
          <w:sz w:val="24"/>
          <w:lang w:eastAsia="en-AU"/>
        </w:rPr>
        <mc:AlternateContent>
          <mc:Choice Requires="wpg">
            <w:drawing>
              <wp:anchor distT="0" distB="0" distL="114300" distR="114300" simplePos="0" relativeHeight="251661312" behindDoc="0" locked="0" layoutInCell="1" allowOverlap="1" wp14:anchorId="48B53A68" wp14:editId="6B8E8331">
                <wp:simplePos x="0" y="0"/>
                <wp:positionH relativeFrom="column">
                  <wp:posOffset>-508635</wp:posOffset>
                </wp:positionH>
                <wp:positionV relativeFrom="page">
                  <wp:posOffset>100965</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38"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6B1EE6" w:rsidRDefault="00C949E3"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 xml:space="preserve">RATE OF RETURN </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2" style="position:absolute;margin-left:-40.05pt;margin-top:7.95pt;width:601.75pt;height:25.5pt;z-index:251661312;mso-position-horizontal-relative:text;mso-position-vertical-relative:page;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0xpQMAABAJAAAOAAAAZHJzL2Uyb0RvYy54bWy0Vttu2zgQfV9g/4Hgu6KLKdkSohSJL8EC&#10;6W6BZD+AlqgLViK1JB0pW/Tfd0hJtuOm3W2L2oAsXmY4c+acoa/fDW2DnplUteAp9q88jBjPRF7z&#10;MsV/Pu2cFUZKU57TRnCW4hem8LubX3+57ruEBaISTc4kAidcJX2X4krrLnFdlVWspepKdIzDYiFk&#10;SzUMZenmkvbgvW3cwPMitxcy76TImFIwuxkX8Y31XxQs038UhWIaNSmG2LR9Svvcm6d7c02TUtKu&#10;qrMpDPodUbS05nDo0dWGaooOsv7MVVtnUihR6KtMtK4oijpjNgfIxvcusrmX4tDZXMqkL7sjTADt&#10;BU7f7Tb7/fmDRHUOtVtgxGkLNbLHIhgDOH1XJrDnXnaP3Qc5TZTjyOQ7FLI1v5AJGiysL0dY2aBR&#10;BpPLiARBEGKUwdoiWKzCCfesguIYM8cPF6GP0ck2q7Yn68gj0aW1O5/tmhCPEfUd8EidoFI/BtVj&#10;RTtmK6AMDDNUEOoI1ZPJ8U4MKBjBsrsMUkgPMA2oWlao7kFkfynExbqivGS3Uoq+YjSH8HxjCUkc&#10;TQ3oKlHGyb5/L3KoCD1oYR1dwP05bifMFyEgPaEG+C3Gc2bUaNJJpe+ZaJF5SbEEqdgj6POD0iak&#10;0xZTYCWaOt/VTWMHstyvG4meqZGVF93Gsc3iYlvDzWYujNnocZyBIOEMs2bCtTL5GPsB8e6C2NlF&#10;q6VDdiR04qW3cjw/vouBADHZ7D6ZAH2SVHWeM/5QczZL1if/r85T8xjFZkWL+hTHIbDT5vWVJD34&#10;vJVkW2voYE3dpnhl9kzcNtXd8hzSpommdTO+u6/DtygDBvOvRcVywZR/JIIe9oMV6KRHlexF/gLk&#10;kALKBj0Nui+8VEL+g1EPnSzF6u8DlQyj5jcOBIt9QkzrswMSLgMYyPOV/fkK5Rm4SnGmJUbjYK3H&#10;hnnoZF1WcNZIai5ugZZFbcliKDvGNZEZRDjG//PVGMxqfNSSmgjRWnAOfBYSRWe6XHODKU2ygT9e&#10;CNLq/OmlA6290uNo8g16JN4S4L3ocydRErKMpkY4k2mW9IUeG2C35eQX9HhUFU0abkgcLULgHqJN&#10;CRexqd7XCR0H5vsWoeHSmXj7JQ7Dicb5mzL24u1quyIOCaKtQ7zNxrndrYkT7fxluFls1uuN/1rG&#10;pjn8uIxNPEdIzlQ2dizoZf+hspG7cye25LUXC1y7VpzTXwRzr5+PLdlPf2Ru/gUAAP//AwBQSwME&#10;FAAGAAgAAAAhABt4DaTgAAAACgEAAA8AAABkcnMvZG93bnJldi54bWxMj0FrwkAQhe+F/odlCr3p&#10;JlqDptmISNuTFKqF0tuYHZNgdjZk1yT++66nehzex3vfZOvRNKKnztWWFcTTCARxYXXNpYLvw/tk&#10;CcJ5ZI2NZVJwJQfr/PEhw1Tbgb+o3/tShBJ2KSqovG9TKV1RkUE3tS1xyE62M+jD2ZVSdziEctPI&#10;WRQl0mDNYaHClrYVFef9xSj4GHDYzOO3fnc+ba+/h8Xnzy4mpZ6fxs0rCE+j/4fhph/UIQ9OR3th&#10;7USjYLKM4oCGYLECcQPi2fwFxFFBkqxA5pm8fyH/AwAA//8DAFBLAQItABQABgAIAAAAIQC2gziS&#10;/gAAAOEBAAATAAAAAAAAAAAAAAAAAAAAAABbQ29udGVudF9UeXBlc10ueG1sUEsBAi0AFAAGAAgA&#10;AAAhADj9If/WAAAAlAEAAAsAAAAAAAAAAAAAAAAALwEAAF9yZWxzLy5yZWxzUEsBAi0AFAAGAAgA&#10;AAAhADgpXTGlAwAAEAkAAA4AAAAAAAAAAAAAAAAALgIAAGRycy9lMm9Eb2MueG1sUEsBAi0AFAAG&#10;AAgAAAAhABt4DaTgAAAACgEAAA8AAAAAAAAAAAAAAAAA/wUAAGRycy9kb3ducmV2LnhtbFBLBQYA&#10;AAAABAAEAPMAAAAMBwAAAAA=&#10;">
                <v:shape id="Text Box 2" o:spid="_x0000_s1033"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C949E3" w:rsidRPr="006B1EE6" w:rsidRDefault="00C949E3"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 xml:space="preserve">RATE OF RETURN </w:t>
                        </w:r>
                      </w:p>
                    </w:txbxContent>
                  </v:textbox>
                </v:shape>
                <v:line id="Straight Connector 6" o:spid="_x0000_s1034"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r w:rsidR="00DB14DA">
        <w:t xml:space="preserve">Whilst TasNetworks and Directlink applied the Guideline to estimate its proposed return on equity, all other </w:t>
      </w:r>
      <w:r w:rsidR="006A5A15">
        <w:t xml:space="preserve">service providers </w:t>
      </w:r>
      <w:r w:rsidR="00DB14DA">
        <w:t xml:space="preserve">to whom this draft decision applies proposed to depart from the Guideline.  </w:t>
      </w:r>
    </w:p>
    <w:p w:rsidR="00E674FC" w:rsidRDefault="00F27ABE" w:rsidP="00F27ABE">
      <w:pPr>
        <w:pStyle w:val="AERfactsheetbodytext"/>
        <w:widowControl w:val="0"/>
      </w:pPr>
      <w:r>
        <w:rPr>
          <w:noProof/>
          <w:lang w:eastAsia="en-AU"/>
        </w:rPr>
        <mc:AlternateContent>
          <mc:Choice Requires="wps">
            <w:drawing>
              <wp:inline distT="0" distB="0" distL="0" distR="0" wp14:anchorId="0970A5A2" wp14:editId="418EF84A">
                <wp:extent cx="3214370" cy="388189"/>
                <wp:effectExtent l="0" t="0" r="2413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 xml:space="preserve">Our return on equity </w:t>
                            </w:r>
                            <w:r w:rsidR="00FA71F1">
                              <w:t xml:space="preserve">estimate </w:t>
                            </w:r>
                            <w:r w:rsidR="006A5A15">
                              <w:t xml:space="preserve">for this draft decision </w:t>
                            </w:r>
                            <w:r w:rsidR="00FA71F1">
                              <w:t xml:space="preserve">is 8.1 per cent.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 id="Text Box 8" o:spid="_x0000_s1035"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D/NAIAAFcEAAAOAAAAZHJzL2Uyb0RvYy54bWysVNtu2zAMfR+wfxD0vjjOZU2MOEWaNMOA&#10;7gK0+wBZlm1hsqhJSuzu60vJSZZ12MswPwiiKB2S55Be3fatIkdhnQSd03Q0pkRoDqXUdU6/Pe3f&#10;LShxnumSKdAip8/C0dv12zerzmRiAg2oUliCINplnclp473JksTxRrTMjcAIjc4KbMs8mrZOSss6&#10;RG9VMhmP3ycd2NJY4MI5PN0NTrqO+FUluP9SVU54onKKufm42rgWYU3WK5bVlplG8lMa7B+yaJnU&#10;GPQCtWOekYOVf0C1kltwUPkRhzaBqpJcxBqwmnT8qprHhhkRa0FynLnQ5P4fLP98/GqJLHOKQmnW&#10;okRPovfkDnqyCOx0xmV46dHgNd/jMaocK3XmAfh3RzRsG6ZrsbEWukawErNLw8vk6umA4wJI0X2C&#10;EsOwg4cI1Fe2DdQhGQTRUaXnizIhFY6H00k6m96gi6Nvuliki2UMwbLza2Od/yCgJWGTU4vKR3R2&#10;fHA+ZMOy85UQzIGS5V4qFQ1bF1tlyZFhl+zu7uf7oYBX15QmXU6X88l8IOCvENiXm+U5wd8itdJj&#10;uyvZIt/j8A0NGGi712VsRs+kGvaYstInHgN1A4m+L/oo2PQsTwHlMxJrYehunEbcNGB/UtJhZ+fU&#10;/TgwKyhRHzWKs0xnszAK0ZjNbyZo2GtPce1hmiNUTj0lw3brh/E5GCvrBiMN7aBhg4JWMnIdlB+y&#10;OqWP3RslOE1aGI9rO9769T9YvwA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ClrOD/NAIAAFcEAAAOAAAAAAAAAAAAAAAAAC4CAABk&#10;cnMvZTJvRG9jLnhtbFBLAQItABQABgAIAAAAIQDpCINK2AAAAAQBAAAPAAAAAAAAAAAAAAAAAI4E&#10;AABkcnMvZG93bnJldi54bWxQSwUGAAAAAAQABADzAAAAkwUAAAAA&#10;" fillcolor="#dbe5f1" strokecolor="#006a99">
                <v:textbox>
                  <w:txbxContent>
                    <w:p w:rsidR="00C949E3" w:rsidRDefault="00C949E3" w:rsidP="00F27ABE">
                      <w:pPr>
                        <w:pStyle w:val="AERfactsheetbodytext"/>
                      </w:pPr>
                      <w:r>
                        <w:t xml:space="preserve">Our return on equity </w:t>
                      </w:r>
                      <w:r w:rsidR="00FA71F1">
                        <w:t xml:space="preserve">estimate </w:t>
                      </w:r>
                      <w:r w:rsidR="006A5A15">
                        <w:t xml:space="preserve">for this draft decision </w:t>
                      </w:r>
                      <w:r w:rsidR="00FA71F1">
                        <w:t xml:space="preserve">is 8.1 per cent. </w:t>
                      </w:r>
                    </w:p>
                    <w:p w:rsidR="00C949E3" w:rsidRDefault="00C949E3"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F27ABE">
      <w:pPr>
        <w:pStyle w:val="AERfactsheetbodytext"/>
        <w:widowControl w:val="0"/>
      </w:pPr>
      <w:r>
        <w:t xml:space="preserve">Our </w:t>
      </w:r>
      <w:r w:rsidR="00A70454">
        <w:t xml:space="preserve">return on debt estimate is based on </w:t>
      </w:r>
      <w:r w:rsidR="00860B4E">
        <w:t xml:space="preserve">a transition to </w:t>
      </w:r>
      <w:r w:rsidR="00A70454">
        <w:t xml:space="preserve">the trailing average portfolio approach. </w:t>
      </w:r>
      <w:r w:rsidR="00860B4E">
        <w:t xml:space="preserve">The trailing average approach reflects </w:t>
      </w:r>
      <w:r>
        <w:t xml:space="preserve">the return on debt </w:t>
      </w:r>
      <w:r w:rsidR="00A70454">
        <w:t xml:space="preserve">that a network business would face if it raised debt annually in equal parcels. Previously, we applied a different approach which was referred to as the on-the-day approach. </w:t>
      </w:r>
      <w:r w:rsidR="00860B4E">
        <w:t>Our return on debt approach incorporates a transition to the new approach.</w:t>
      </w:r>
    </w:p>
    <w:p w:rsidR="003F6819" w:rsidRDefault="00860B4E" w:rsidP="00F27ABE">
      <w:pPr>
        <w:pStyle w:val="AERfactsheetbodytext"/>
        <w:widowControl w:val="0"/>
      </w:pPr>
      <w:r>
        <w:t xml:space="preserve">Our draft decision is also to update the </w:t>
      </w:r>
      <w:r w:rsidR="003F6819">
        <w:t xml:space="preserve">return on debt annually. Therefore, our estimate in this decision is for the first year of the regulatory period. Due to this, our rate of return </w:t>
      </w:r>
      <w:r w:rsidR="008E3256">
        <w:t xml:space="preserve">will </w:t>
      </w:r>
      <w:r w:rsidR="003F6819">
        <w:t xml:space="preserve">also </w:t>
      </w:r>
      <w:r w:rsidR="008E3256">
        <w:t xml:space="preserve">be </w:t>
      </w:r>
      <w:r w:rsidR="003F6819">
        <w:t>updated annually.</w:t>
      </w:r>
    </w:p>
    <w:p w:rsidR="00DB14DA" w:rsidRDefault="00DB14DA" w:rsidP="00F27ABE">
      <w:pPr>
        <w:pStyle w:val="AERfactsheetbodytext"/>
        <w:widowControl w:val="0"/>
      </w:pPr>
      <w:r>
        <w:t>We commence t</w:t>
      </w:r>
      <w:r w:rsidR="003F6819">
        <w:t>he</w:t>
      </w:r>
      <w:r>
        <w:t xml:space="preserve"> trailing average </w:t>
      </w:r>
      <w:r w:rsidR="00F415A3">
        <w:t xml:space="preserve">with an initial estimation of the return on debt that is then progressively updated over the regulatory period. In practice, this means that for new debt that is issued (10 per cent each year) we apply the trailing average 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E951DF" w:rsidP="00F27ABE">
      <w:pPr>
        <w:pStyle w:val="AERfactsheetbodytext"/>
        <w:widowControl w:val="0"/>
      </w:pPr>
      <w:r w:rsidRPr="00697FF1">
        <w:rPr>
          <w:noProof/>
          <w:lang w:eastAsia="en-AU"/>
        </w:rPr>
        <w:drawing>
          <wp:anchor distT="0" distB="0" distL="114300" distR="114300" simplePos="0" relativeHeight="251673600" behindDoc="0" locked="0" layoutInCell="1" allowOverlap="1" wp14:anchorId="244D6D20" wp14:editId="49601C99">
            <wp:simplePos x="0" y="0"/>
            <wp:positionH relativeFrom="column">
              <wp:posOffset>-815772</wp:posOffset>
            </wp:positionH>
            <wp:positionV relativeFrom="page">
              <wp:posOffset>10229850</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9E4276">
        <w:t xml:space="preserve">Our return on debt estimate is developed on the basis that a benchmark </w:t>
      </w:r>
      <w:r w:rsidR="007C2122">
        <w:t xml:space="preserve">efficient </w:t>
      </w:r>
      <w:r w:rsidR="009E4276">
        <w:t xml:space="preserve">entity issues debt with a 10 year term </w:t>
      </w:r>
      <w:r w:rsidR="009E4276">
        <w:lastRenderedPageBreak/>
        <w:t xml:space="preserve">and has a BBB+ credit rating. To estimate the yield </w:t>
      </w:r>
      <w:r w:rsidR="007C2122">
        <w:t>on this debt</w:t>
      </w:r>
      <w:r w:rsidR="009E4276">
        <w:t xml:space="preserve">, we use an independent third party data service provider. We reviewed the data </w:t>
      </w:r>
      <w:r w:rsidR="00055816">
        <w:t xml:space="preserve">series </w:t>
      </w:r>
      <w:r w:rsidR="009E4276">
        <w:t>provided by the Reserve Bank of Australia and Bloomberg and</w:t>
      </w:r>
      <w:r w:rsidR="007C2122">
        <w:t xml:space="preserve">, as neither data series is clearly superior to the other, we </w:t>
      </w:r>
      <w:r w:rsidR="009E4276">
        <w:t xml:space="preserve">decided </w:t>
      </w:r>
      <w:r w:rsidR="007C2122">
        <w:t xml:space="preserve">to adopt </w:t>
      </w:r>
      <w:r w:rsidR="006A5A15">
        <w:t>an average of the two data series</w:t>
      </w:r>
      <w:r w:rsidR="009E4276">
        <w:t>.</w:t>
      </w:r>
    </w:p>
    <w:p w:rsidR="0075714F" w:rsidRDefault="009E4276" w:rsidP="00F27ABE">
      <w:pPr>
        <w:pStyle w:val="AERfactsheetbodytext"/>
        <w:widowControl w:val="0"/>
      </w:pPr>
      <w:r>
        <w:t xml:space="preserve">Our estimation procedure </w:t>
      </w:r>
      <w:r w:rsidR="00787B39">
        <w:t xml:space="preserve">allows </w:t>
      </w:r>
      <w:r w:rsidR="006A5A15">
        <w:t>the service provider</w:t>
      </w:r>
      <w:r>
        <w:t xml:space="preserve"> </w:t>
      </w:r>
      <w:r w:rsidR="00117472">
        <w:t xml:space="preserve">to propose a period between 10 days and 12 months 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each </w:t>
      </w:r>
      <w:r w:rsidR="006A5A15">
        <w:t xml:space="preserve">service provider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363D63" w:rsidRDefault="00B600D2" w:rsidP="00BF24CD">
      <w:pPr>
        <w:pStyle w:val="AERfactsheetbodytext"/>
      </w:pPr>
      <w:r>
        <w:t>Our approach and estimation procedures are consistent with the Guideline. The d</w:t>
      </w:r>
      <w:r w:rsidR="00055816">
        <w:t>epartures</w:t>
      </w:r>
      <w:r>
        <w:t xml:space="preserve"> from the Guideline approach proposed by </w:t>
      </w:r>
      <w:r w:rsidR="008E3256">
        <w:t xml:space="preserve">the network businesses </w:t>
      </w:r>
      <w:r w:rsidRPr="00B600D2">
        <w:t>to whom this draft decision applies</w:t>
      </w:r>
      <w:r>
        <w:t xml:space="preserve"> is mainly centred on how we commence the trailing average and the credit rating of a benchmark efficient entity. TasNetworks and JGN agree with the approach we use to commence the trailing average</w:t>
      </w:r>
      <w:r w:rsidR="00616F0E">
        <w:t xml:space="preserve">. </w:t>
      </w:r>
      <w:r w:rsidR="00616F0E" w:rsidRPr="00616F0E">
        <w:t>Ausgrid, Endeavour Energy, Essential Energy, ActewAGL</w:t>
      </w:r>
      <w:r w:rsidR="00055816">
        <w:t>, TransGrid and Directlink proposed an immediate adoption of the trailing average approach with no transitional arrangements</w:t>
      </w:r>
      <w:r w:rsidR="00E90E01">
        <w:t>.</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2EFAF981" wp14:editId="6D428547">
                <wp:extent cx="3214370" cy="2075632"/>
                <wp:effectExtent l="0" t="0" r="2413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2075632"/>
                        </a:xfrm>
                        <a:prstGeom prst="rect">
                          <a:avLst/>
                        </a:prstGeom>
                        <a:solidFill>
                          <a:srgbClr val="DBE5F1"/>
                        </a:solidFill>
                        <a:ln w="9525">
                          <a:solidFill>
                            <a:srgbClr val="006A99"/>
                          </a:solidFill>
                          <a:miter lim="800000"/>
                          <a:headEnd/>
                          <a:tailEnd/>
                        </a:ln>
                      </wps:spPr>
                      <wps:txbx>
                        <w:txbxContent>
                          <w:p w:rsidR="00C949E3" w:rsidRDefault="00055816" w:rsidP="00E0500A">
                            <w:pPr>
                              <w:pStyle w:val="AERfactsheetbodytext"/>
                            </w:pPr>
                            <w:r>
                              <w:t xml:space="preserve">Our return on debt estimate for </w:t>
                            </w:r>
                            <w:r w:rsidR="004F4392">
                              <w:t xml:space="preserve">the first year of each service provider’s regulatory period in </w:t>
                            </w:r>
                            <w:r>
                              <w:t>this draft decision is: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6.51 per cent for Aus</w:t>
                            </w:r>
                            <w:r w:rsidR="00A14E17">
                              <w:t>g</w:t>
                            </w:r>
                            <w:r>
                              <w:t>rid, Endeavour Energy and Essential Energy</w:t>
                            </w:r>
                          </w:p>
                          <w:p w:rsidR="00055816" w:rsidRDefault="00055816" w:rsidP="00A14E17">
                            <w:pPr>
                              <w:pStyle w:val="AERfactsheetbodytext"/>
                              <w:numPr>
                                <w:ilvl w:val="0"/>
                                <w:numId w:val="9"/>
                              </w:numPr>
                            </w:pPr>
                            <w:r>
                              <w:t>6.07 per cent for ActewAGL and TasNetworks, and</w:t>
                            </w:r>
                          </w:p>
                          <w:p w:rsidR="00055816" w:rsidRDefault="00CA53B1" w:rsidP="00A14E17">
                            <w:pPr>
                              <w:pStyle w:val="AERfactsheetbodytext"/>
                              <w:numPr>
                                <w:ilvl w:val="0"/>
                                <w:numId w:val="9"/>
                              </w:numPr>
                            </w:pPr>
                            <w:r>
                              <w:t>5.93 per cent</w:t>
                            </w:r>
                            <w:r w:rsidR="004F4392">
                              <w:t xml:space="preserve"> </w:t>
                            </w:r>
                            <w:r w:rsidR="00055816">
                              <w:t xml:space="preserve">for JGN </w:t>
                            </w:r>
                            <w:r w:rsidR="004F4392">
                              <w:t>and Directlink</w:t>
                            </w:r>
                          </w:p>
                          <w:p w:rsidR="00C949E3" w:rsidRDefault="004F4392" w:rsidP="00E0500A">
                            <w:r>
                              <w:t>These return</w:t>
                            </w:r>
                            <w:r w:rsidR="00A14E17">
                              <w:t>s</w:t>
                            </w:r>
                            <w:r>
                              <w:t xml:space="preserve"> on debt numbers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6" type="#_x0000_t202" style="width:253.1pt;height:1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hWNwIAAFgEAAAOAAAAZHJzL2Uyb0RvYy54bWysVNuO2jAQfa/Uf7D8XgIBlgURViwsVaXt&#10;RdrtBxjHIVYdj2sbEvr1HdtA0/atah4sj2d8fObMTJYPXaPISVgnQRd0NBhSIjSHUupDQb++7t7d&#10;U+I80yVToEVBz8LRh9XbN8vWLEQONahSWIIg2i1aU9Dae7PIMsdr0TA3ACM0OiuwDfNo2kNWWtYi&#10;eqOyfDi8y1qwpbHAhXN4uk1Ouor4VSW4/1xVTniiCorcfFxtXPdhzVZLtjhYZmrJLzTYP7BomNT4&#10;6A1qyzwjRyv/gmokt+Cg8gMOTQZVJbmIOWA2o+Ef2bzUzIiYC4rjzE0m9/9g+afTF0tkibWjRLMG&#10;S/QqOk8eoSOjoE5r3AKDXgyG+Q6PQ2TI1Jln4N8c0bCpmT6ItbXQ1oKVyC7ezHpXE44LIPv2I5T4&#10;DDt6iEBdZZsAiGIQRMcqnW+VCVQ4Ho7z0WQ8QxdHXz6cTe/GeWCXscX1urHOvxfQkLApqMXSR3h2&#10;enY+hV5DIn1QstxJpaJhD/uNsuTEsE22j0/TXcoAs+yHKU3ags6n+TQp0Pe5PgQ25no+vxD8DaKR&#10;Hvtdyaag98PwpQ4Muj3pMnajZ1KlPWanNCYZhAzaJRV9t+9ixabX+uyhPKOyFlJ74zjipgb7g5IW&#10;W7ug7vuRWUGJ+qCxOvPRZBJmIRqT6SxHw/Y9+76HaY5QBfWUpO3Gp/k5GisPNb6U+kHDGitayah1&#10;YJxYXehj+8ZqXUYtzEffjlG/fgirnwAAAP//AwBQSwMEFAAGAAgAAAAhADtlU87aAAAABQEAAA8A&#10;AABkcnMvZG93bnJldi54bWxMj81qwzAQhO+FvoPYQC6hke1S47qWQ+nPNeC0DyBbW8vEWhlrkzhv&#10;X7WX9rIwzDDzbbVb3CjOOIfBk4J0m4BA6rwZqFfw+fF+V4AIrMno0RMquGKAXX17U+nS+As1eD5w&#10;L2IJhVIrsMxTKWXoLDodtn5Cit6Xn53mKOdemllfYrkbZZYkuXR6oLhg9YQvFrvj4eQUvBVpk3L7&#10;al3RNST3/Wbab1Cp9Wp5fgLBuPBfGH7wIzrUkan1JzJBjAriI/x7o/eQ5BmIVsF9lj+CrCv5n77+&#10;BgAA//8DAFBLAQItABQABgAIAAAAIQC2gziS/gAAAOEBAAATAAAAAAAAAAAAAAAAAAAAAABbQ29u&#10;dGVudF9UeXBlc10ueG1sUEsBAi0AFAAGAAgAAAAhADj9If/WAAAAlAEAAAsAAAAAAAAAAAAAAAAA&#10;LwEAAF9yZWxzLy5yZWxzUEsBAi0AFAAGAAgAAAAhAJ+R6FY3AgAAWAQAAA4AAAAAAAAAAAAAAAAA&#10;LgIAAGRycy9lMm9Eb2MueG1sUEsBAi0AFAAGAAgAAAAhADtlU87aAAAABQEAAA8AAAAAAAAAAAAA&#10;AAAAkQQAAGRycy9kb3ducmV2LnhtbFBLBQYAAAAABAAEAPMAAACYBQAAAAA=&#10;" fillcolor="#dbe5f1" strokecolor="#006a99">
                <v:textbox>
                  <w:txbxContent>
                    <w:p w:rsidR="00C949E3" w:rsidRDefault="00055816" w:rsidP="00E0500A">
                      <w:pPr>
                        <w:pStyle w:val="AERfactsheetbodytext"/>
                      </w:pPr>
                      <w:r>
                        <w:t xml:space="preserve">Our return on debt estimate for </w:t>
                      </w:r>
                      <w:r w:rsidR="004F4392">
                        <w:t xml:space="preserve">the first year of each service provider’s regulatory period in </w:t>
                      </w:r>
                      <w:r>
                        <w:t>this draft decision is:</w:t>
                      </w:r>
                    </w:p>
                    <w:p w:rsidR="00055816" w:rsidRDefault="00055816" w:rsidP="00A14E17">
                      <w:pPr>
                        <w:pStyle w:val="AERfactsheetbodytext"/>
                        <w:numPr>
                          <w:ilvl w:val="0"/>
                          <w:numId w:val="9"/>
                        </w:numPr>
                      </w:pPr>
                      <w:r>
                        <w:t>6.67 per cent for TransGrid</w:t>
                      </w:r>
                    </w:p>
                    <w:p w:rsidR="00055816" w:rsidRDefault="00055816" w:rsidP="00A14E17">
                      <w:pPr>
                        <w:pStyle w:val="AERfactsheetbodytext"/>
                        <w:numPr>
                          <w:ilvl w:val="0"/>
                          <w:numId w:val="9"/>
                        </w:numPr>
                      </w:pPr>
                      <w:r>
                        <w:t>6.51 per cent for Aus</w:t>
                      </w:r>
                      <w:r w:rsidR="00A14E17">
                        <w:t>g</w:t>
                      </w:r>
                      <w:r>
                        <w:t>rid, Endeavour Energy and Essential Energy</w:t>
                      </w:r>
                    </w:p>
                    <w:p w:rsidR="00055816" w:rsidRDefault="00055816" w:rsidP="00A14E17">
                      <w:pPr>
                        <w:pStyle w:val="AERfactsheetbodytext"/>
                        <w:numPr>
                          <w:ilvl w:val="0"/>
                          <w:numId w:val="9"/>
                        </w:numPr>
                      </w:pPr>
                      <w:r>
                        <w:t>6.07 per cent for ActewAGL and TasNetworks, and</w:t>
                      </w:r>
                    </w:p>
                    <w:p w:rsidR="00055816" w:rsidRDefault="00CA53B1" w:rsidP="00A14E17">
                      <w:pPr>
                        <w:pStyle w:val="AERfactsheetbodytext"/>
                        <w:numPr>
                          <w:ilvl w:val="0"/>
                          <w:numId w:val="9"/>
                        </w:numPr>
                      </w:pPr>
                      <w:r>
                        <w:t>5.93 per cent</w:t>
                      </w:r>
                      <w:r w:rsidR="004F4392">
                        <w:t xml:space="preserve"> </w:t>
                      </w:r>
                      <w:r w:rsidR="00055816">
                        <w:t xml:space="preserve">for JGN </w:t>
                      </w:r>
                      <w:r w:rsidR="004F4392">
                        <w:t>and Directlink</w:t>
                      </w:r>
                    </w:p>
                    <w:p w:rsidR="00C949E3" w:rsidRDefault="004F4392" w:rsidP="00E0500A">
                      <w:r>
                        <w:t>These return</w:t>
                      </w:r>
                      <w:r w:rsidR="00A14E17">
                        <w:t>s</w:t>
                      </w:r>
                      <w:r>
                        <w:t xml:space="preserve"> on debt numbers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In this draft decision, although we have broadly maintained the approach in the guideline, we have re-examined the relevant evidence and estimates. This re-examination, and new evidence and advice considered since the guideline,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Pr="009C0978" w:rsidRDefault="00CA53B1" w:rsidP="00392D55">
      <w:pPr>
        <w:pStyle w:val="AERfactsheetbodytext"/>
        <w:widowControl w:val="0"/>
      </w:pPr>
      <w:r>
        <w:rPr>
          <w:noProof/>
          <w:lang w:eastAsia="en-AU"/>
        </w:rPr>
        <mc:AlternateContent>
          <mc:Choice Requires="wps">
            <w:drawing>
              <wp:inline distT="0" distB="0" distL="0" distR="0" wp14:anchorId="5F3B7BBA" wp14:editId="080682CA">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CA53B1" w:rsidRDefault="00CA53B1" w:rsidP="00CA53B1">
                            <w:pPr>
                              <w:pStyle w:val="AERfactsheetbodytext"/>
                            </w:pPr>
                            <w:r>
                              <w:t>Our value of imputation credits for this draft decision is 0.4 (40 per cent).</w:t>
                            </w:r>
                          </w:p>
                          <w:p w:rsidR="00CA53B1" w:rsidRDefault="00CA53B1" w:rsidP="00CA53B1"/>
                        </w:txbxContent>
                      </wps:txbx>
                      <wps:bodyPr rot="0" vert="horz" wrap="square" lIns="91440" tIns="45720" rIns="91440" bIns="45720" anchor="t" anchorCtr="0" upright="1">
                        <a:noAutofit/>
                      </wps:bodyPr>
                    </wps:wsp>
                  </a:graphicData>
                </a:graphic>
              </wp:inline>
            </w:drawing>
          </mc:Choice>
          <mc:Fallback>
            <w:pict>
              <v:shape id="Text Box 7" o:spid="_x0000_s1037"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CA53B1" w:rsidRDefault="00CA53B1" w:rsidP="00CA53B1">
                      <w:pPr>
                        <w:pStyle w:val="AERfactsheetbodytext"/>
                      </w:pPr>
                      <w:r>
                        <w:t>Our value of imputation credits for this draft decision is 0.4 (40 per cent).</w:t>
                      </w:r>
                    </w:p>
                    <w:p w:rsidR="00CA53B1" w:rsidRDefault="00CA53B1" w:rsidP="00CA53B1"/>
                  </w:txbxContent>
                </v:textbox>
                <w10:anchorlock/>
              </v:shape>
            </w:pict>
          </mc:Fallback>
        </mc:AlternateContent>
      </w:r>
    </w:p>
    <w:sectPr w:rsidR="004F4392"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CA5C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1"/>
  </w:num>
  <w:num w:numId="5">
    <w:abstractNumId w:val="6"/>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www.aer.gov.au/sites/default/files/AER Better Regulation factsheet - rate of return guideline - December 2013.docx"/>
  </w:docVars>
  <w:rsids>
    <w:rsidRoot w:val="00021F03"/>
    <w:rsid w:val="00012AC9"/>
    <w:rsid w:val="000173D5"/>
    <w:rsid w:val="000175A4"/>
    <w:rsid w:val="00021F03"/>
    <w:rsid w:val="00022077"/>
    <w:rsid w:val="00027076"/>
    <w:rsid w:val="00035993"/>
    <w:rsid w:val="000437AC"/>
    <w:rsid w:val="000454A0"/>
    <w:rsid w:val="00055816"/>
    <w:rsid w:val="000742B2"/>
    <w:rsid w:val="0007657B"/>
    <w:rsid w:val="00084C36"/>
    <w:rsid w:val="000864DB"/>
    <w:rsid w:val="00097937"/>
    <w:rsid w:val="000B05F7"/>
    <w:rsid w:val="000B3EAD"/>
    <w:rsid w:val="000C025A"/>
    <w:rsid w:val="000C07AD"/>
    <w:rsid w:val="000C712D"/>
    <w:rsid w:val="000D4877"/>
    <w:rsid w:val="000E2D55"/>
    <w:rsid w:val="0010059A"/>
    <w:rsid w:val="00113361"/>
    <w:rsid w:val="001152E2"/>
    <w:rsid w:val="00117167"/>
    <w:rsid w:val="00117472"/>
    <w:rsid w:val="00131C78"/>
    <w:rsid w:val="00134644"/>
    <w:rsid w:val="001364E9"/>
    <w:rsid w:val="00140E1A"/>
    <w:rsid w:val="00152151"/>
    <w:rsid w:val="0016071A"/>
    <w:rsid w:val="00161050"/>
    <w:rsid w:val="00161423"/>
    <w:rsid w:val="00163E50"/>
    <w:rsid w:val="00193867"/>
    <w:rsid w:val="00194A45"/>
    <w:rsid w:val="001A231A"/>
    <w:rsid w:val="001A23C5"/>
    <w:rsid w:val="001A3711"/>
    <w:rsid w:val="001A3931"/>
    <w:rsid w:val="001A5BC1"/>
    <w:rsid w:val="001B10C7"/>
    <w:rsid w:val="001D3D87"/>
    <w:rsid w:val="001D4048"/>
    <w:rsid w:val="001D49FD"/>
    <w:rsid w:val="001E42DA"/>
    <w:rsid w:val="001F15F8"/>
    <w:rsid w:val="001F2550"/>
    <w:rsid w:val="002106B5"/>
    <w:rsid w:val="00211FD6"/>
    <w:rsid w:val="00216967"/>
    <w:rsid w:val="00223084"/>
    <w:rsid w:val="00225391"/>
    <w:rsid w:val="00225620"/>
    <w:rsid w:val="0022594B"/>
    <w:rsid w:val="00235775"/>
    <w:rsid w:val="00235852"/>
    <w:rsid w:val="00236E3C"/>
    <w:rsid w:val="002425E7"/>
    <w:rsid w:val="00244D7A"/>
    <w:rsid w:val="00257B6D"/>
    <w:rsid w:val="00260768"/>
    <w:rsid w:val="00263811"/>
    <w:rsid w:val="00266275"/>
    <w:rsid w:val="00285C21"/>
    <w:rsid w:val="00290C21"/>
    <w:rsid w:val="002952EB"/>
    <w:rsid w:val="002A4196"/>
    <w:rsid w:val="002A473F"/>
    <w:rsid w:val="002B7BBC"/>
    <w:rsid w:val="002D56B2"/>
    <w:rsid w:val="002E3F5B"/>
    <w:rsid w:val="002E57B4"/>
    <w:rsid w:val="002E7F4D"/>
    <w:rsid w:val="002F5CD2"/>
    <w:rsid w:val="00305687"/>
    <w:rsid w:val="003118DF"/>
    <w:rsid w:val="0031269F"/>
    <w:rsid w:val="003224AC"/>
    <w:rsid w:val="00327E8A"/>
    <w:rsid w:val="00342DB1"/>
    <w:rsid w:val="00346F63"/>
    <w:rsid w:val="00354991"/>
    <w:rsid w:val="00356833"/>
    <w:rsid w:val="00360C93"/>
    <w:rsid w:val="00363D63"/>
    <w:rsid w:val="003851C0"/>
    <w:rsid w:val="00385BB9"/>
    <w:rsid w:val="003870D8"/>
    <w:rsid w:val="003876E1"/>
    <w:rsid w:val="003906E2"/>
    <w:rsid w:val="00391B7D"/>
    <w:rsid w:val="00392D55"/>
    <w:rsid w:val="003A683A"/>
    <w:rsid w:val="003B46EA"/>
    <w:rsid w:val="003F527A"/>
    <w:rsid w:val="003F6819"/>
    <w:rsid w:val="00404570"/>
    <w:rsid w:val="0040796A"/>
    <w:rsid w:val="00422429"/>
    <w:rsid w:val="0042329B"/>
    <w:rsid w:val="004310E5"/>
    <w:rsid w:val="00446186"/>
    <w:rsid w:val="0045172C"/>
    <w:rsid w:val="004548EF"/>
    <w:rsid w:val="004579EB"/>
    <w:rsid w:val="00457E3A"/>
    <w:rsid w:val="00474754"/>
    <w:rsid w:val="004842F6"/>
    <w:rsid w:val="004971B8"/>
    <w:rsid w:val="004B0368"/>
    <w:rsid w:val="004B40E2"/>
    <w:rsid w:val="004C1027"/>
    <w:rsid w:val="004C19B8"/>
    <w:rsid w:val="004C5F9A"/>
    <w:rsid w:val="004D1DC0"/>
    <w:rsid w:val="004D47EF"/>
    <w:rsid w:val="004D52BB"/>
    <w:rsid w:val="004E0FF6"/>
    <w:rsid w:val="004E1208"/>
    <w:rsid w:val="004E4F29"/>
    <w:rsid w:val="004F4392"/>
    <w:rsid w:val="0050430D"/>
    <w:rsid w:val="005064D7"/>
    <w:rsid w:val="00511B82"/>
    <w:rsid w:val="00513FFD"/>
    <w:rsid w:val="00526C37"/>
    <w:rsid w:val="005324C6"/>
    <w:rsid w:val="005432E0"/>
    <w:rsid w:val="00544345"/>
    <w:rsid w:val="00547E18"/>
    <w:rsid w:val="005524C5"/>
    <w:rsid w:val="00554E14"/>
    <w:rsid w:val="0055584F"/>
    <w:rsid w:val="00560C48"/>
    <w:rsid w:val="005746F0"/>
    <w:rsid w:val="005A1CBA"/>
    <w:rsid w:val="005A468C"/>
    <w:rsid w:val="005C144C"/>
    <w:rsid w:val="005D2EBB"/>
    <w:rsid w:val="005E0762"/>
    <w:rsid w:val="005E1E92"/>
    <w:rsid w:val="005E4018"/>
    <w:rsid w:val="005F2D40"/>
    <w:rsid w:val="005F2DC5"/>
    <w:rsid w:val="005F4DFA"/>
    <w:rsid w:val="006030C0"/>
    <w:rsid w:val="00603298"/>
    <w:rsid w:val="0061155D"/>
    <w:rsid w:val="00616F0E"/>
    <w:rsid w:val="00621752"/>
    <w:rsid w:val="006246A9"/>
    <w:rsid w:val="0064571A"/>
    <w:rsid w:val="00652BED"/>
    <w:rsid w:val="00661A9B"/>
    <w:rsid w:val="00662BB4"/>
    <w:rsid w:val="00664010"/>
    <w:rsid w:val="0066415A"/>
    <w:rsid w:val="006658A5"/>
    <w:rsid w:val="006721DC"/>
    <w:rsid w:val="00697FF1"/>
    <w:rsid w:val="006A07F6"/>
    <w:rsid w:val="006A5A15"/>
    <w:rsid w:val="006B1A2B"/>
    <w:rsid w:val="006B322A"/>
    <w:rsid w:val="006B39DB"/>
    <w:rsid w:val="006B6050"/>
    <w:rsid w:val="006B73DD"/>
    <w:rsid w:val="006C4CC5"/>
    <w:rsid w:val="006D0E7F"/>
    <w:rsid w:val="006D137A"/>
    <w:rsid w:val="006D5C4C"/>
    <w:rsid w:val="006F2E4F"/>
    <w:rsid w:val="006F47BA"/>
    <w:rsid w:val="00701628"/>
    <w:rsid w:val="00702500"/>
    <w:rsid w:val="00704EDA"/>
    <w:rsid w:val="007101C1"/>
    <w:rsid w:val="00726CCA"/>
    <w:rsid w:val="00732564"/>
    <w:rsid w:val="007325CC"/>
    <w:rsid w:val="00742DF1"/>
    <w:rsid w:val="00753DF7"/>
    <w:rsid w:val="00754FD0"/>
    <w:rsid w:val="00755D16"/>
    <w:rsid w:val="0075714F"/>
    <w:rsid w:val="00776ACC"/>
    <w:rsid w:val="007853FF"/>
    <w:rsid w:val="00785986"/>
    <w:rsid w:val="00787B39"/>
    <w:rsid w:val="00792075"/>
    <w:rsid w:val="007952B3"/>
    <w:rsid w:val="007A0EEB"/>
    <w:rsid w:val="007B591B"/>
    <w:rsid w:val="007B6947"/>
    <w:rsid w:val="007C2122"/>
    <w:rsid w:val="007C2B2C"/>
    <w:rsid w:val="007C3C57"/>
    <w:rsid w:val="007C5329"/>
    <w:rsid w:val="007C54FB"/>
    <w:rsid w:val="007F437A"/>
    <w:rsid w:val="00807259"/>
    <w:rsid w:val="008472A8"/>
    <w:rsid w:val="008535C7"/>
    <w:rsid w:val="00856D44"/>
    <w:rsid w:val="00860B4E"/>
    <w:rsid w:val="008665CD"/>
    <w:rsid w:val="00871903"/>
    <w:rsid w:val="00877259"/>
    <w:rsid w:val="00877A69"/>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32EB"/>
    <w:rsid w:val="00916002"/>
    <w:rsid w:val="0092057B"/>
    <w:rsid w:val="00930D72"/>
    <w:rsid w:val="00935936"/>
    <w:rsid w:val="00935CAA"/>
    <w:rsid w:val="009462FA"/>
    <w:rsid w:val="00947D6F"/>
    <w:rsid w:val="00960E54"/>
    <w:rsid w:val="009612A1"/>
    <w:rsid w:val="00963F5A"/>
    <w:rsid w:val="00974FE1"/>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4D2E"/>
    <w:rsid w:val="00A24D5C"/>
    <w:rsid w:val="00A2725A"/>
    <w:rsid w:val="00A30414"/>
    <w:rsid w:val="00A32825"/>
    <w:rsid w:val="00A427A5"/>
    <w:rsid w:val="00A43B3F"/>
    <w:rsid w:val="00A43FE2"/>
    <w:rsid w:val="00A45346"/>
    <w:rsid w:val="00A5063D"/>
    <w:rsid w:val="00A50ACB"/>
    <w:rsid w:val="00A70454"/>
    <w:rsid w:val="00A95A1E"/>
    <w:rsid w:val="00A95AD6"/>
    <w:rsid w:val="00A964D1"/>
    <w:rsid w:val="00AA408F"/>
    <w:rsid w:val="00AA44D4"/>
    <w:rsid w:val="00AA4694"/>
    <w:rsid w:val="00AA7208"/>
    <w:rsid w:val="00AB2954"/>
    <w:rsid w:val="00AB7321"/>
    <w:rsid w:val="00AC0236"/>
    <w:rsid w:val="00AC5FBF"/>
    <w:rsid w:val="00AD2EBC"/>
    <w:rsid w:val="00AD53EF"/>
    <w:rsid w:val="00B0183D"/>
    <w:rsid w:val="00B2084F"/>
    <w:rsid w:val="00B221EC"/>
    <w:rsid w:val="00B325BB"/>
    <w:rsid w:val="00B3667B"/>
    <w:rsid w:val="00B4272E"/>
    <w:rsid w:val="00B54743"/>
    <w:rsid w:val="00B54816"/>
    <w:rsid w:val="00B600D2"/>
    <w:rsid w:val="00B608C6"/>
    <w:rsid w:val="00B64AAB"/>
    <w:rsid w:val="00B73353"/>
    <w:rsid w:val="00B74064"/>
    <w:rsid w:val="00B74543"/>
    <w:rsid w:val="00B74C3C"/>
    <w:rsid w:val="00B80182"/>
    <w:rsid w:val="00B87130"/>
    <w:rsid w:val="00BA42E7"/>
    <w:rsid w:val="00BA4FD9"/>
    <w:rsid w:val="00BB5A5D"/>
    <w:rsid w:val="00BB6ACB"/>
    <w:rsid w:val="00BB7E86"/>
    <w:rsid w:val="00BB7E90"/>
    <w:rsid w:val="00BC5637"/>
    <w:rsid w:val="00BE5A7F"/>
    <w:rsid w:val="00BF24CD"/>
    <w:rsid w:val="00BF5D39"/>
    <w:rsid w:val="00C034EE"/>
    <w:rsid w:val="00C039EB"/>
    <w:rsid w:val="00C10B94"/>
    <w:rsid w:val="00C11E06"/>
    <w:rsid w:val="00C12C1F"/>
    <w:rsid w:val="00C13A11"/>
    <w:rsid w:val="00C162C3"/>
    <w:rsid w:val="00C258B0"/>
    <w:rsid w:val="00C410E6"/>
    <w:rsid w:val="00C5335F"/>
    <w:rsid w:val="00C70125"/>
    <w:rsid w:val="00C71947"/>
    <w:rsid w:val="00C73523"/>
    <w:rsid w:val="00C76528"/>
    <w:rsid w:val="00C866CD"/>
    <w:rsid w:val="00C87AC3"/>
    <w:rsid w:val="00C90A07"/>
    <w:rsid w:val="00C919E6"/>
    <w:rsid w:val="00C92E99"/>
    <w:rsid w:val="00C93D3E"/>
    <w:rsid w:val="00C949E3"/>
    <w:rsid w:val="00C95BF3"/>
    <w:rsid w:val="00C97E4C"/>
    <w:rsid w:val="00CA0863"/>
    <w:rsid w:val="00CA171E"/>
    <w:rsid w:val="00CA4673"/>
    <w:rsid w:val="00CA53B1"/>
    <w:rsid w:val="00CB3718"/>
    <w:rsid w:val="00CD4560"/>
    <w:rsid w:val="00CE16B5"/>
    <w:rsid w:val="00CF228C"/>
    <w:rsid w:val="00CF35B3"/>
    <w:rsid w:val="00D015A2"/>
    <w:rsid w:val="00D0705E"/>
    <w:rsid w:val="00D113E9"/>
    <w:rsid w:val="00D202AC"/>
    <w:rsid w:val="00D23092"/>
    <w:rsid w:val="00D30B52"/>
    <w:rsid w:val="00D403E1"/>
    <w:rsid w:val="00D53ED7"/>
    <w:rsid w:val="00D5558F"/>
    <w:rsid w:val="00D61CE8"/>
    <w:rsid w:val="00D67257"/>
    <w:rsid w:val="00D7429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3302"/>
    <w:rsid w:val="00E54B7A"/>
    <w:rsid w:val="00E55E88"/>
    <w:rsid w:val="00E56580"/>
    <w:rsid w:val="00E61AE2"/>
    <w:rsid w:val="00E67143"/>
    <w:rsid w:val="00E674FC"/>
    <w:rsid w:val="00E86ED3"/>
    <w:rsid w:val="00E8783E"/>
    <w:rsid w:val="00E90E01"/>
    <w:rsid w:val="00E91EBB"/>
    <w:rsid w:val="00E951DF"/>
    <w:rsid w:val="00EA61F6"/>
    <w:rsid w:val="00ED0443"/>
    <w:rsid w:val="00ED6886"/>
    <w:rsid w:val="00EF1802"/>
    <w:rsid w:val="00EF2D77"/>
    <w:rsid w:val="00F02DAD"/>
    <w:rsid w:val="00F06A11"/>
    <w:rsid w:val="00F0776A"/>
    <w:rsid w:val="00F12886"/>
    <w:rsid w:val="00F12DB4"/>
    <w:rsid w:val="00F13827"/>
    <w:rsid w:val="00F209E0"/>
    <w:rsid w:val="00F2534B"/>
    <w:rsid w:val="00F27ABE"/>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node/18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772D6A51.dotm</Template>
  <TotalTime>0</TotalTime>
  <Pages>2</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2014-11-26T06:38:00Z</dcterms:created>
  <dcterms:modified xsi:type="dcterms:W3CDTF">2014-11-26T06:38:00Z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8288952</vt:lpwstr>
  </property>
</Properties>
</file>