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82" w:rsidRPr="0020711E" w:rsidRDefault="00E93282" w:rsidP="00E93282">
      <w:pPr>
        <w:pStyle w:val="AERtitle1"/>
        <w:rPr>
          <w:rStyle w:val="AERtextsize8"/>
        </w:rPr>
      </w:pPr>
      <w:r w:rsidRPr="00E93282">
        <w:rPr>
          <w:noProof/>
        </w:rPr>
        <w:drawing>
          <wp:anchor distT="0" distB="0" distL="114300" distR="114300" simplePos="0" relativeHeight="251660288" behindDoc="1" locked="0" layoutInCell="1" allowOverlap="1" wp14:anchorId="4C9917FF" wp14:editId="283A82AB">
            <wp:simplePos x="0" y="0"/>
            <wp:positionH relativeFrom="column">
              <wp:posOffset>-914744</wp:posOffset>
            </wp:positionH>
            <wp:positionV relativeFrom="paragraph">
              <wp:posOffset>-920441</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E93282" w:rsidRDefault="00E93282" w:rsidP="00E93282">
      <w:pPr>
        <w:pStyle w:val="AERtitle1"/>
      </w:pPr>
    </w:p>
    <w:p w:rsidR="00E93282" w:rsidRDefault="00E93282" w:rsidP="00E93282">
      <w:pPr>
        <w:pStyle w:val="AERtitle1"/>
      </w:pPr>
    </w:p>
    <w:p w:rsidR="00E93282" w:rsidRDefault="00E93282" w:rsidP="00E93282">
      <w:pPr>
        <w:pStyle w:val="AERtitle1"/>
      </w:pPr>
    </w:p>
    <w:p w:rsidR="00E93282" w:rsidRDefault="00E93282" w:rsidP="00E93282">
      <w:pPr>
        <w:pStyle w:val="AERtitle1"/>
      </w:pPr>
    </w:p>
    <w:p w:rsidR="00E93282" w:rsidRDefault="00E93282" w:rsidP="00E93282">
      <w:pPr>
        <w:pStyle w:val="AERtitle1"/>
      </w:pPr>
    </w:p>
    <w:p w:rsidR="00E93282" w:rsidRDefault="00E93282" w:rsidP="00E93282">
      <w:pPr>
        <w:pStyle w:val="AERtitle1"/>
      </w:pPr>
      <w:r w:rsidRPr="00E93282">
        <w:rPr>
          <w:noProof/>
        </w:rPr>
        <w:drawing>
          <wp:anchor distT="0" distB="0" distL="114300" distR="114300" simplePos="0" relativeHeight="251659264" behindDoc="1" locked="0" layoutInCell="1" allowOverlap="1" wp14:anchorId="67B3A100" wp14:editId="713476C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t>Better Regulation</w:t>
      </w:r>
    </w:p>
    <w:p w:rsidR="00E93282" w:rsidRDefault="00E93282" w:rsidP="00E93282">
      <w:pPr>
        <w:pStyle w:val="AERtitle1"/>
      </w:pPr>
    </w:p>
    <w:p w:rsidR="00E93282" w:rsidRDefault="00CF0387" w:rsidP="00E93282">
      <w:pPr>
        <w:pStyle w:val="AERtitle1"/>
      </w:pPr>
      <w:r>
        <w:t>Rate of Return G</w:t>
      </w:r>
      <w:r w:rsidR="00E93282">
        <w:t>uideline</w:t>
      </w:r>
    </w:p>
    <w:p w:rsidR="00E93282" w:rsidRDefault="00E93282" w:rsidP="00E93282">
      <w:pPr>
        <w:pStyle w:val="AERtitle2"/>
      </w:pPr>
    </w:p>
    <w:p w:rsidR="00E93282" w:rsidRDefault="00E93282" w:rsidP="00E93282">
      <w:pPr>
        <w:pStyle w:val="AERtitle2"/>
      </w:pPr>
    </w:p>
    <w:p w:rsidR="00E93282" w:rsidRDefault="00E93282" w:rsidP="00E93282">
      <w:pPr>
        <w:pStyle w:val="AERtitle2"/>
      </w:pPr>
      <w:r>
        <w:t>December 2013</w:t>
      </w:r>
    </w:p>
    <w:p w:rsidR="00E93282" w:rsidRPr="007B5AB7" w:rsidRDefault="00E93282" w:rsidP="00E93282">
      <w:pPr>
        <w:pStyle w:val="AERbodytext"/>
        <w:numPr>
          <w:ilvl w:val="0"/>
          <w:numId w:val="6"/>
        </w:numPr>
        <w:rPr>
          <w:rStyle w:val="AERtextbold"/>
        </w:rPr>
      </w:pPr>
      <w:r>
        <w:br w:type="page"/>
      </w:r>
      <w:r w:rsidRPr="007B5AB7">
        <w:rPr>
          <w:rStyle w:val="AERtextbold"/>
        </w:rPr>
        <w:lastRenderedPageBreak/>
        <w:t xml:space="preserve">© Commonwealth of Australia 2013 </w:t>
      </w:r>
    </w:p>
    <w:p w:rsidR="00E93282" w:rsidRPr="00020884" w:rsidRDefault="00E93282" w:rsidP="00E93282">
      <w:pPr>
        <w:pStyle w:val="AERbodytext"/>
        <w:numPr>
          <w:ilvl w:val="0"/>
          <w:numId w:val="6"/>
        </w:numPr>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w:t>
      </w:r>
      <w:bookmarkStart w:id="0" w:name="_GoBack"/>
      <w:bookmarkEnd w:id="0"/>
      <w:r w:rsidRPr="00020884">
        <w:t>r Commission, GPO Box 3131, Canberra ACT 2601.</w:t>
      </w:r>
    </w:p>
    <w:p w:rsidR="00E93282" w:rsidRPr="00020884" w:rsidRDefault="00E93282" w:rsidP="00E93282">
      <w:pPr>
        <w:pStyle w:val="AERbodytext"/>
        <w:numPr>
          <w:ilvl w:val="0"/>
          <w:numId w:val="6"/>
        </w:numPr>
      </w:pPr>
      <w:r w:rsidRPr="00020884">
        <w:t>Inquiries about this document should be addressed to:</w:t>
      </w:r>
    </w:p>
    <w:p w:rsidR="00E93282" w:rsidRDefault="00E93282" w:rsidP="00E93282">
      <w:pPr>
        <w:pStyle w:val="AERbodytextnospace"/>
        <w:numPr>
          <w:ilvl w:val="0"/>
          <w:numId w:val="6"/>
        </w:numPr>
      </w:pPr>
      <w:r>
        <w:t>Australian Energy Regulator</w:t>
      </w:r>
    </w:p>
    <w:p w:rsidR="00E93282" w:rsidRDefault="00E93282" w:rsidP="00E93282">
      <w:pPr>
        <w:pStyle w:val="AERbodytextnospace"/>
        <w:numPr>
          <w:ilvl w:val="0"/>
          <w:numId w:val="6"/>
        </w:numPr>
      </w:pPr>
      <w:r>
        <w:t>GPO Box 520</w:t>
      </w:r>
    </w:p>
    <w:p w:rsidR="00E93282" w:rsidRDefault="00E93282" w:rsidP="00E93282">
      <w:pPr>
        <w:pStyle w:val="AERbodytextnospace"/>
        <w:numPr>
          <w:ilvl w:val="0"/>
          <w:numId w:val="6"/>
        </w:numPr>
      </w:pPr>
      <w:r>
        <w:t>Melbourne  Vic  3001</w:t>
      </w:r>
    </w:p>
    <w:p w:rsidR="00E93282" w:rsidRDefault="00E93282" w:rsidP="00E93282">
      <w:pPr>
        <w:pStyle w:val="AERbodytextnospace"/>
        <w:numPr>
          <w:ilvl w:val="0"/>
          <w:numId w:val="6"/>
        </w:numPr>
      </w:pPr>
      <w:r>
        <w:t>Tel: (03) 9290 1444</w:t>
      </w:r>
    </w:p>
    <w:p w:rsidR="00E93282" w:rsidRDefault="00E93282" w:rsidP="00E93282">
      <w:pPr>
        <w:pStyle w:val="AERbodytextnospace"/>
        <w:numPr>
          <w:ilvl w:val="0"/>
          <w:numId w:val="6"/>
        </w:numPr>
      </w:pPr>
      <w:r>
        <w:t>Fax: (03) 9290 1457</w:t>
      </w:r>
    </w:p>
    <w:p w:rsidR="00E93282" w:rsidRDefault="00E93282" w:rsidP="00E93282">
      <w:pPr>
        <w:pStyle w:val="AERbodytextnospace"/>
        <w:numPr>
          <w:ilvl w:val="0"/>
          <w:numId w:val="6"/>
        </w:numPr>
      </w:pPr>
      <w:r>
        <w:t xml:space="preserve">Email: </w:t>
      </w:r>
      <w:hyperlink r:id="rId10" w:history="1">
        <w:r w:rsidRPr="003E184A">
          <w:rPr>
            <w:rStyle w:val="Hyperlink"/>
          </w:rPr>
          <w:t>AERInquiry@aer.gov.au</w:t>
        </w:r>
      </w:hyperlink>
    </w:p>
    <w:p w:rsidR="00E93282" w:rsidRDefault="00E93282" w:rsidP="00E93282">
      <w:pPr>
        <w:pStyle w:val="AERbodytext"/>
        <w:numPr>
          <w:ilvl w:val="0"/>
          <w:numId w:val="6"/>
        </w:numPr>
      </w:pPr>
    </w:p>
    <w:p w:rsidR="00E93282" w:rsidRPr="006643A1" w:rsidRDefault="00E93282" w:rsidP="00E93282">
      <w:r w:rsidRPr="00020884">
        <w:t xml:space="preserve">AER reference:   </w:t>
      </w:r>
      <w:r>
        <w:t>49866</w:t>
      </w:r>
    </w:p>
    <w:p w:rsidR="00E93282" w:rsidRPr="008F1A4A" w:rsidRDefault="00E93282" w:rsidP="00E93282">
      <w:pPr>
        <w:pStyle w:val="AERbodytextnospace"/>
        <w:numPr>
          <w:ilvl w:val="0"/>
          <w:numId w:val="6"/>
        </w:num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E93282" w:rsidTr="00CC043E">
        <w:trPr>
          <w:cnfStyle w:val="100000000000" w:firstRow="1" w:lastRow="0" w:firstColumn="0" w:lastColumn="0" w:oddVBand="0" w:evenVBand="0" w:oddHBand="0" w:evenHBand="0" w:firstRowFirstColumn="0" w:firstRowLastColumn="0" w:lastRowFirstColumn="0" w:lastRowLastColumn="0"/>
        </w:trPr>
        <w:tc>
          <w:tcPr>
            <w:tcW w:w="1666" w:type="pct"/>
          </w:tcPr>
          <w:p w:rsidR="00E93282" w:rsidRPr="00E93282" w:rsidRDefault="00E93282" w:rsidP="00E93282">
            <w:pPr>
              <w:pStyle w:val="AERtabletextleft"/>
            </w:pPr>
            <w:r w:rsidRPr="008F1A4A">
              <w:t>Version</w:t>
            </w:r>
          </w:p>
        </w:tc>
        <w:tc>
          <w:tcPr>
            <w:tcW w:w="1667" w:type="pct"/>
          </w:tcPr>
          <w:p w:rsidR="00E93282" w:rsidRPr="00E93282" w:rsidRDefault="00E93282" w:rsidP="00E93282">
            <w:pPr>
              <w:pStyle w:val="AERtabletextleft"/>
            </w:pPr>
            <w:r w:rsidRPr="008F1A4A">
              <w:t>Date</w:t>
            </w:r>
          </w:p>
        </w:tc>
        <w:tc>
          <w:tcPr>
            <w:tcW w:w="1667" w:type="pct"/>
          </w:tcPr>
          <w:p w:rsidR="00E93282" w:rsidRPr="00E93282" w:rsidRDefault="00E93282" w:rsidP="00E93282">
            <w:pPr>
              <w:pStyle w:val="AERtabletextleft"/>
            </w:pPr>
            <w:r w:rsidRPr="008F1A4A">
              <w:t>Pages</w:t>
            </w:r>
          </w:p>
        </w:tc>
      </w:tr>
      <w:tr w:rsidR="00E93282" w:rsidTr="00CC043E">
        <w:tc>
          <w:tcPr>
            <w:tcW w:w="1666" w:type="pct"/>
          </w:tcPr>
          <w:p w:rsidR="00E93282" w:rsidRPr="00E93282" w:rsidRDefault="00E93282" w:rsidP="00E93282">
            <w:pPr>
              <w:pStyle w:val="AERtabletextleft"/>
            </w:pPr>
            <w:r w:rsidRPr="00C66A76">
              <w:t>01</w:t>
            </w:r>
          </w:p>
        </w:tc>
        <w:tc>
          <w:tcPr>
            <w:tcW w:w="1667" w:type="pct"/>
          </w:tcPr>
          <w:p w:rsidR="00E93282" w:rsidRPr="00E93282" w:rsidRDefault="00E93282" w:rsidP="00E93282">
            <w:pPr>
              <w:pStyle w:val="AERtabletextleft"/>
            </w:pPr>
            <w:r w:rsidRPr="00E93282">
              <w:t>December 2013</w:t>
            </w:r>
          </w:p>
        </w:tc>
        <w:tc>
          <w:tcPr>
            <w:tcW w:w="1667" w:type="pct"/>
          </w:tcPr>
          <w:p w:rsidR="00E93282" w:rsidRPr="001954D1" w:rsidRDefault="001954D1" w:rsidP="001954D1">
            <w:pPr>
              <w:pStyle w:val="AERtabletextleft"/>
            </w:pPr>
            <w:r w:rsidRPr="001954D1">
              <w:t>28</w:t>
            </w:r>
          </w:p>
        </w:tc>
      </w:tr>
    </w:tbl>
    <w:p w:rsidR="00E93282" w:rsidRDefault="00E93282" w:rsidP="00E93282">
      <w:pPr>
        <w:pStyle w:val="AERbodytext"/>
      </w:pPr>
    </w:p>
    <w:p w:rsidR="00E93282" w:rsidRPr="00E93282" w:rsidRDefault="00E93282" w:rsidP="00E93282">
      <w:r>
        <w:br w:type="page"/>
      </w:r>
    </w:p>
    <w:p w:rsidR="00E93282" w:rsidRDefault="00E93282" w:rsidP="00E93282">
      <w:pPr>
        <w:pStyle w:val="UnnumberedHeading"/>
        <w:numPr>
          <w:ilvl w:val="0"/>
          <w:numId w:val="1"/>
        </w:numPr>
      </w:pPr>
      <w:bookmarkStart w:id="1" w:name="_Toc374971868"/>
      <w:r>
        <w:lastRenderedPageBreak/>
        <w:t>Contents</w:t>
      </w:r>
      <w:bookmarkEnd w:id="1"/>
    </w:p>
    <w:p w:rsidR="007B5AB7" w:rsidRDefault="00E93282">
      <w:pPr>
        <w:pStyle w:val="TOC1"/>
        <w:tabs>
          <w:tab w:val="right" w:leader="dot" w:pos="9016"/>
        </w:tabs>
        <w:rPr>
          <w:rFonts w:asciiTheme="minorHAnsi" w:eastAsiaTheme="minorEastAsia" w:hAnsiTheme="minorHAnsi" w:cstheme="minorBidi"/>
          <w:b w:val="0"/>
          <w:bCs w:val="0"/>
          <w:noProof/>
          <w:sz w:val="22"/>
          <w:szCs w:val="22"/>
          <w:lang w:eastAsia="en-AU"/>
        </w:rPr>
      </w:pPr>
      <w:r w:rsidRPr="00892501">
        <w:fldChar w:fldCharType="begin"/>
      </w:r>
      <w:r w:rsidRPr="00E93282">
        <w:instrText xml:space="preserve"> TOC \o "1-2" \h \z \u \t "Heading 7,1,Heading 8,2" </w:instrText>
      </w:r>
      <w:r w:rsidRPr="00892501">
        <w:fldChar w:fldCharType="separate"/>
      </w:r>
      <w:hyperlink w:anchor="_Toc374971868" w:history="1">
        <w:r w:rsidR="007B5AB7" w:rsidRPr="00BF2EA6">
          <w:rPr>
            <w:rStyle w:val="Hyperlink"/>
            <w:noProof/>
          </w:rPr>
          <w:t>Contents</w:t>
        </w:r>
        <w:r w:rsidR="007B5AB7">
          <w:rPr>
            <w:noProof/>
            <w:webHidden/>
          </w:rPr>
          <w:tab/>
        </w:r>
        <w:r w:rsidR="007B5AB7">
          <w:rPr>
            <w:noProof/>
            <w:webHidden/>
          </w:rPr>
          <w:fldChar w:fldCharType="begin"/>
        </w:r>
        <w:r w:rsidR="007B5AB7">
          <w:rPr>
            <w:noProof/>
            <w:webHidden/>
          </w:rPr>
          <w:instrText xml:space="preserve"> PAGEREF _Toc374971868 \h </w:instrText>
        </w:r>
        <w:r w:rsidR="007B5AB7">
          <w:rPr>
            <w:noProof/>
            <w:webHidden/>
          </w:rPr>
        </w:r>
        <w:r w:rsidR="007B5AB7">
          <w:rPr>
            <w:noProof/>
            <w:webHidden/>
          </w:rPr>
          <w:fldChar w:fldCharType="separate"/>
        </w:r>
        <w:r w:rsidR="0044481E">
          <w:rPr>
            <w:noProof/>
            <w:webHidden/>
          </w:rPr>
          <w:t>3</w:t>
        </w:r>
        <w:r w:rsidR="007B5AB7">
          <w:rPr>
            <w:noProof/>
            <w:webHidden/>
          </w:rPr>
          <w:fldChar w:fldCharType="end"/>
        </w:r>
      </w:hyperlink>
    </w:p>
    <w:p w:rsidR="007B5AB7" w:rsidRDefault="007B5AB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1869" w:history="1">
        <w:r w:rsidRPr="00BF2EA6">
          <w:rPr>
            <w:rStyle w:val="Hyperlink"/>
            <w:noProof/>
          </w:rPr>
          <w:t>1</w:t>
        </w:r>
        <w:r>
          <w:rPr>
            <w:rFonts w:asciiTheme="minorHAnsi" w:eastAsiaTheme="minorEastAsia" w:hAnsiTheme="minorHAnsi" w:cstheme="minorBidi"/>
            <w:b w:val="0"/>
            <w:bCs w:val="0"/>
            <w:noProof/>
            <w:sz w:val="22"/>
            <w:szCs w:val="22"/>
            <w:lang w:eastAsia="en-AU"/>
          </w:rPr>
          <w:tab/>
        </w:r>
        <w:r w:rsidRPr="00BF2EA6">
          <w:rPr>
            <w:rStyle w:val="Hyperlink"/>
            <w:noProof/>
          </w:rPr>
          <w:t>Overview</w:t>
        </w:r>
        <w:r>
          <w:rPr>
            <w:noProof/>
            <w:webHidden/>
          </w:rPr>
          <w:tab/>
        </w:r>
        <w:r>
          <w:rPr>
            <w:noProof/>
            <w:webHidden/>
          </w:rPr>
          <w:fldChar w:fldCharType="begin"/>
        </w:r>
        <w:r>
          <w:rPr>
            <w:noProof/>
            <w:webHidden/>
          </w:rPr>
          <w:instrText xml:space="preserve"> PAGEREF _Toc374971869 \h </w:instrText>
        </w:r>
        <w:r>
          <w:rPr>
            <w:noProof/>
            <w:webHidden/>
          </w:rPr>
        </w:r>
        <w:r>
          <w:rPr>
            <w:noProof/>
            <w:webHidden/>
          </w:rPr>
          <w:fldChar w:fldCharType="separate"/>
        </w:r>
        <w:r w:rsidR="0044481E">
          <w:rPr>
            <w:noProof/>
            <w:webHidden/>
          </w:rPr>
          <w:t>4</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70" w:history="1">
        <w:r w:rsidRPr="00BF2EA6">
          <w:rPr>
            <w:rStyle w:val="Hyperlink"/>
            <w:noProof/>
          </w:rPr>
          <w:t>1.1</w:t>
        </w:r>
        <w:r>
          <w:rPr>
            <w:rFonts w:asciiTheme="minorHAnsi" w:eastAsiaTheme="minorEastAsia" w:hAnsiTheme="minorHAnsi" w:cstheme="minorBidi"/>
            <w:iCs w:val="0"/>
            <w:noProof/>
            <w:sz w:val="22"/>
            <w:szCs w:val="22"/>
            <w:lang w:eastAsia="en-AU"/>
          </w:rPr>
          <w:tab/>
        </w:r>
        <w:r w:rsidRPr="00BF2EA6">
          <w:rPr>
            <w:rStyle w:val="Hyperlink"/>
            <w:noProof/>
          </w:rPr>
          <w:t>Structure of the guideline</w:t>
        </w:r>
        <w:r>
          <w:rPr>
            <w:noProof/>
            <w:webHidden/>
          </w:rPr>
          <w:tab/>
        </w:r>
        <w:r>
          <w:rPr>
            <w:noProof/>
            <w:webHidden/>
          </w:rPr>
          <w:fldChar w:fldCharType="begin"/>
        </w:r>
        <w:r>
          <w:rPr>
            <w:noProof/>
            <w:webHidden/>
          </w:rPr>
          <w:instrText xml:space="preserve"> PAGEREF _Toc374971870 \h </w:instrText>
        </w:r>
        <w:r>
          <w:rPr>
            <w:noProof/>
            <w:webHidden/>
          </w:rPr>
        </w:r>
        <w:r>
          <w:rPr>
            <w:noProof/>
            <w:webHidden/>
          </w:rPr>
          <w:fldChar w:fldCharType="separate"/>
        </w:r>
        <w:r w:rsidR="0044481E">
          <w:rPr>
            <w:noProof/>
            <w:webHidden/>
          </w:rPr>
          <w:t>4</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71" w:history="1">
        <w:r w:rsidRPr="00BF2EA6">
          <w:rPr>
            <w:rStyle w:val="Hyperlink"/>
            <w:noProof/>
          </w:rPr>
          <w:t>1.2</w:t>
        </w:r>
        <w:r>
          <w:rPr>
            <w:rFonts w:asciiTheme="minorHAnsi" w:eastAsiaTheme="minorEastAsia" w:hAnsiTheme="minorHAnsi" w:cstheme="minorBidi"/>
            <w:iCs w:val="0"/>
            <w:noProof/>
            <w:sz w:val="22"/>
            <w:szCs w:val="22"/>
            <w:lang w:eastAsia="en-AU"/>
          </w:rPr>
          <w:tab/>
        </w:r>
        <w:r w:rsidRPr="00BF2EA6">
          <w:rPr>
            <w:rStyle w:val="Hyperlink"/>
            <w:noProof/>
          </w:rPr>
          <w:t>Process for revision</w:t>
        </w:r>
        <w:r>
          <w:rPr>
            <w:noProof/>
            <w:webHidden/>
          </w:rPr>
          <w:tab/>
        </w:r>
        <w:r>
          <w:rPr>
            <w:noProof/>
            <w:webHidden/>
          </w:rPr>
          <w:fldChar w:fldCharType="begin"/>
        </w:r>
        <w:r>
          <w:rPr>
            <w:noProof/>
            <w:webHidden/>
          </w:rPr>
          <w:instrText xml:space="preserve"> PAGEREF _Toc374971871 \h </w:instrText>
        </w:r>
        <w:r>
          <w:rPr>
            <w:noProof/>
            <w:webHidden/>
          </w:rPr>
        </w:r>
        <w:r>
          <w:rPr>
            <w:noProof/>
            <w:webHidden/>
          </w:rPr>
          <w:fldChar w:fldCharType="separate"/>
        </w:r>
        <w:r w:rsidR="0044481E">
          <w:rPr>
            <w:noProof/>
            <w:webHidden/>
          </w:rPr>
          <w:t>5</w:t>
        </w:r>
        <w:r>
          <w:rPr>
            <w:noProof/>
            <w:webHidden/>
          </w:rPr>
          <w:fldChar w:fldCharType="end"/>
        </w:r>
      </w:hyperlink>
    </w:p>
    <w:p w:rsidR="007B5AB7" w:rsidRDefault="007B5AB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1872" w:history="1">
        <w:r w:rsidRPr="00BF2EA6">
          <w:rPr>
            <w:rStyle w:val="Hyperlink"/>
            <w:noProof/>
          </w:rPr>
          <w:t>2</w:t>
        </w:r>
        <w:r>
          <w:rPr>
            <w:rFonts w:asciiTheme="minorHAnsi" w:eastAsiaTheme="minorEastAsia" w:hAnsiTheme="minorHAnsi" w:cstheme="minorBidi"/>
            <w:b w:val="0"/>
            <w:bCs w:val="0"/>
            <w:noProof/>
            <w:sz w:val="22"/>
            <w:szCs w:val="22"/>
            <w:lang w:eastAsia="en-AU"/>
          </w:rPr>
          <w:tab/>
        </w:r>
        <w:r w:rsidRPr="00BF2EA6">
          <w:rPr>
            <w:rStyle w:val="Hyperlink"/>
            <w:noProof/>
          </w:rPr>
          <w:t>Application of criteria</w:t>
        </w:r>
        <w:r>
          <w:rPr>
            <w:noProof/>
            <w:webHidden/>
          </w:rPr>
          <w:tab/>
        </w:r>
        <w:r>
          <w:rPr>
            <w:noProof/>
            <w:webHidden/>
          </w:rPr>
          <w:fldChar w:fldCharType="begin"/>
        </w:r>
        <w:r>
          <w:rPr>
            <w:noProof/>
            <w:webHidden/>
          </w:rPr>
          <w:instrText xml:space="preserve"> PAGEREF _Toc374971872 \h </w:instrText>
        </w:r>
        <w:r>
          <w:rPr>
            <w:noProof/>
            <w:webHidden/>
          </w:rPr>
        </w:r>
        <w:r>
          <w:rPr>
            <w:noProof/>
            <w:webHidden/>
          </w:rPr>
          <w:fldChar w:fldCharType="separate"/>
        </w:r>
        <w:r w:rsidR="0044481E">
          <w:rPr>
            <w:noProof/>
            <w:webHidden/>
          </w:rPr>
          <w:t>6</w:t>
        </w:r>
        <w:r>
          <w:rPr>
            <w:noProof/>
            <w:webHidden/>
          </w:rPr>
          <w:fldChar w:fldCharType="end"/>
        </w:r>
      </w:hyperlink>
    </w:p>
    <w:p w:rsidR="007B5AB7" w:rsidRDefault="007B5AB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1873" w:history="1">
        <w:r w:rsidRPr="00BF2EA6">
          <w:rPr>
            <w:rStyle w:val="Hyperlink"/>
            <w:noProof/>
          </w:rPr>
          <w:t>3</w:t>
        </w:r>
        <w:r>
          <w:rPr>
            <w:rFonts w:asciiTheme="minorHAnsi" w:eastAsiaTheme="minorEastAsia" w:hAnsiTheme="minorHAnsi" w:cstheme="minorBidi"/>
            <w:b w:val="0"/>
            <w:bCs w:val="0"/>
            <w:noProof/>
            <w:sz w:val="22"/>
            <w:szCs w:val="22"/>
            <w:lang w:eastAsia="en-AU"/>
          </w:rPr>
          <w:tab/>
        </w:r>
        <w:r w:rsidRPr="00BF2EA6">
          <w:rPr>
            <w:rStyle w:val="Hyperlink"/>
            <w:noProof/>
          </w:rPr>
          <w:t>Benchmark efficient entity and compensation for risk</w:t>
        </w:r>
        <w:r>
          <w:rPr>
            <w:noProof/>
            <w:webHidden/>
          </w:rPr>
          <w:tab/>
        </w:r>
        <w:r>
          <w:rPr>
            <w:noProof/>
            <w:webHidden/>
          </w:rPr>
          <w:fldChar w:fldCharType="begin"/>
        </w:r>
        <w:r>
          <w:rPr>
            <w:noProof/>
            <w:webHidden/>
          </w:rPr>
          <w:instrText xml:space="preserve"> PAGEREF _Toc374971873 \h </w:instrText>
        </w:r>
        <w:r>
          <w:rPr>
            <w:noProof/>
            <w:webHidden/>
          </w:rPr>
        </w:r>
        <w:r>
          <w:rPr>
            <w:noProof/>
            <w:webHidden/>
          </w:rPr>
          <w:fldChar w:fldCharType="separate"/>
        </w:r>
        <w:r w:rsidR="0044481E">
          <w:rPr>
            <w:noProof/>
            <w:webHidden/>
          </w:rPr>
          <w:t>7</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74" w:history="1">
        <w:r w:rsidRPr="00BF2EA6">
          <w:rPr>
            <w:rStyle w:val="Hyperlink"/>
            <w:noProof/>
          </w:rPr>
          <w:t>3.1</w:t>
        </w:r>
        <w:r>
          <w:rPr>
            <w:rFonts w:asciiTheme="minorHAnsi" w:eastAsiaTheme="minorEastAsia" w:hAnsiTheme="minorHAnsi" w:cstheme="minorBidi"/>
            <w:iCs w:val="0"/>
            <w:noProof/>
            <w:sz w:val="22"/>
            <w:szCs w:val="22"/>
            <w:lang w:eastAsia="en-AU"/>
          </w:rPr>
          <w:tab/>
        </w:r>
        <w:r w:rsidRPr="00BF2EA6">
          <w:rPr>
            <w:rStyle w:val="Hyperlink"/>
            <w:noProof/>
          </w:rPr>
          <w:t>Objective</w:t>
        </w:r>
        <w:r>
          <w:rPr>
            <w:noProof/>
            <w:webHidden/>
          </w:rPr>
          <w:tab/>
        </w:r>
        <w:r>
          <w:rPr>
            <w:noProof/>
            <w:webHidden/>
          </w:rPr>
          <w:fldChar w:fldCharType="begin"/>
        </w:r>
        <w:r>
          <w:rPr>
            <w:noProof/>
            <w:webHidden/>
          </w:rPr>
          <w:instrText xml:space="preserve"> PAGEREF _Toc374971874 \h </w:instrText>
        </w:r>
        <w:r>
          <w:rPr>
            <w:noProof/>
            <w:webHidden/>
          </w:rPr>
        </w:r>
        <w:r>
          <w:rPr>
            <w:noProof/>
            <w:webHidden/>
          </w:rPr>
          <w:fldChar w:fldCharType="separate"/>
        </w:r>
        <w:r w:rsidR="0044481E">
          <w:rPr>
            <w:noProof/>
            <w:webHidden/>
          </w:rPr>
          <w:t>7</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75" w:history="1">
        <w:r w:rsidRPr="00BF2EA6">
          <w:rPr>
            <w:rStyle w:val="Hyperlink"/>
            <w:noProof/>
          </w:rPr>
          <w:t>3.2</w:t>
        </w:r>
        <w:r>
          <w:rPr>
            <w:rFonts w:asciiTheme="minorHAnsi" w:eastAsiaTheme="minorEastAsia" w:hAnsiTheme="minorHAnsi" w:cstheme="minorBidi"/>
            <w:iCs w:val="0"/>
            <w:noProof/>
            <w:sz w:val="22"/>
            <w:szCs w:val="22"/>
            <w:lang w:eastAsia="en-AU"/>
          </w:rPr>
          <w:tab/>
        </w:r>
        <w:r w:rsidRPr="00BF2EA6">
          <w:rPr>
            <w:rStyle w:val="Hyperlink"/>
            <w:noProof/>
          </w:rPr>
          <w:t>Rule requirements</w:t>
        </w:r>
        <w:r>
          <w:rPr>
            <w:noProof/>
            <w:webHidden/>
          </w:rPr>
          <w:tab/>
        </w:r>
        <w:r>
          <w:rPr>
            <w:noProof/>
            <w:webHidden/>
          </w:rPr>
          <w:fldChar w:fldCharType="begin"/>
        </w:r>
        <w:r>
          <w:rPr>
            <w:noProof/>
            <w:webHidden/>
          </w:rPr>
          <w:instrText xml:space="preserve"> PAGEREF _Toc374971875 \h </w:instrText>
        </w:r>
        <w:r>
          <w:rPr>
            <w:noProof/>
            <w:webHidden/>
          </w:rPr>
        </w:r>
        <w:r>
          <w:rPr>
            <w:noProof/>
            <w:webHidden/>
          </w:rPr>
          <w:fldChar w:fldCharType="separate"/>
        </w:r>
        <w:r w:rsidR="0044481E">
          <w:rPr>
            <w:noProof/>
            <w:webHidden/>
          </w:rPr>
          <w:t>7</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76" w:history="1">
        <w:r w:rsidRPr="00BF2EA6">
          <w:rPr>
            <w:rStyle w:val="Hyperlink"/>
            <w:noProof/>
          </w:rPr>
          <w:t>3.3</w:t>
        </w:r>
        <w:r>
          <w:rPr>
            <w:rFonts w:asciiTheme="minorHAnsi" w:eastAsiaTheme="minorEastAsia" w:hAnsiTheme="minorHAnsi" w:cstheme="minorBidi"/>
            <w:iCs w:val="0"/>
            <w:noProof/>
            <w:sz w:val="22"/>
            <w:szCs w:val="22"/>
            <w:lang w:eastAsia="en-AU"/>
          </w:rPr>
          <w:tab/>
        </w:r>
        <w:r w:rsidRPr="00BF2EA6">
          <w:rPr>
            <w:rStyle w:val="Hyperlink"/>
            <w:noProof/>
          </w:rPr>
          <w:t>Application</w:t>
        </w:r>
        <w:r>
          <w:rPr>
            <w:noProof/>
            <w:webHidden/>
          </w:rPr>
          <w:tab/>
        </w:r>
        <w:r>
          <w:rPr>
            <w:noProof/>
            <w:webHidden/>
          </w:rPr>
          <w:fldChar w:fldCharType="begin"/>
        </w:r>
        <w:r>
          <w:rPr>
            <w:noProof/>
            <w:webHidden/>
          </w:rPr>
          <w:instrText xml:space="preserve"> PAGEREF _Toc374971876 \h </w:instrText>
        </w:r>
        <w:r>
          <w:rPr>
            <w:noProof/>
            <w:webHidden/>
          </w:rPr>
        </w:r>
        <w:r>
          <w:rPr>
            <w:noProof/>
            <w:webHidden/>
          </w:rPr>
          <w:fldChar w:fldCharType="separate"/>
        </w:r>
        <w:r w:rsidR="0044481E">
          <w:rPr>
            <w:noProof/>
            <w:webHidden/>
          </w:rPr>
          <w:t>7</w:t>
        </w:r>
        <w:r>
          <w:rPr>
            <w:noProof/>
            <w:webHidden/>
          </w:rPr>
          <w:fldChar w:fldCharType="end"/>
        </w:r>
      </w:hyperlink>
    </w:p>
    <w:p w:rsidR="007B5AB7" w:rsidRDefault="007B5AB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1877" w:history="1">
        <w:r w:rsidRPr="00BF2EA6">
          <w:rPr>
            <w:rStyle w:val="Hyperlink"/>
            <w:noProof/>
          </w:rPr>
          <w:t>4</w:t>
        </w:r>
        <w:r>
          <w:rPr>
            <w:rFonts w:asciiTheme="minorHAnsi" w:eastAsiaTheme="minorEastAsia" w:hAnsiTheme="minorHAnsi" w:cstheme="minorBidi"/>
            <w:b w:val="0"/>
            <w:bCs w:val="0"/>
            <w:noProof/>
            <w:sz w:val="22"/>
            <w:szCs w:val="22"/>
            <w:lang w:eastAsia="en-AU"/>
          </w:rPr>
          <w:tab/>
        </w:r>
        <w:r w:rsidRPr="00BF2EA6">
          <w:rPr>
            <w:rStyle w:val="Hyperlink"/>
            <w:noProof/>
          </w:rPr>
          <w:t>Overall rate of return</w:t>
        </w:r>
        <w:r>
          <w:rPr>
            <w:noProof/>
            <w:webHidden/>
          </w:rPr>
          <w:tab/>
        </w:r>
        <w:r>
          <w:rPr>
            <w:noProof/>
            <w:webHidden/>
          </w:rPr>
          <w:fldChar w:fldCharType="begin"/>
        </w:r>
        <w:r>
          <w:rPr>
            <w:noProof/>
            <w:webHidden/>
          </w:rPr>
          <w:instrText xml:space="preserve"> PAGEREF _Toc374971877 \h </w:instrText>
        </w:r>
        <w:r>
          <w:rPr>
            <w:noProof/>
            <w:webHidden/>
          </w:rPr>
        </w:r>
        <w:r>
          <w:rPr>
            <w:noProof/>
            <w:webHidden/>
          </w:rPr>
          <w:fldChar w:fldCharType="separate"/>
        </w:r>
        <w:r w:rsidR="0044481E">
          <w:rPr>
            <w:noProof/>
            <w:webHidden/>
          </w:rPr>
          <w:t>8</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78" w:history="1">
        <w:r w:rsidRPr="00BF2EA6">
          <w:rPr>
            <w:rStyle w:val="Hyperlink"/>
            <w:noProof/>
          </w:rPr>
          <w:t>4.1</w:t>
        </w:r>
        <w:r>
          <w:rPr>
            <w:rFonts w:asciiTheme="minorHAnsi" w:eastAsiaTheme="minorEastAsia" w:hAnsiTheme="minorHAnsi" w:cstheme="minorBidi"/>
            <w:iCs w:val="0"/>
            <w:noProof/>
            <w:sz w:val="22"/>
            <w:szCs w:val="22"/>
            <w:lang w:eastAsia="en-AU"/>
          </w:rPr>
          <w:tab/>
        </w:r>
        <w:r w:rsidRPr="00BF2EA6">
          <w:rPr>
            <w:rStyle w:val="Hyperlink"/>
            <w:noProof/>
          </w:rPr>
          <w:t>Objective</w:t>
        </w:r>
        <w:r>
          <w:rPr>
            <w:noProof/>
            <w:webHidden/>
          </w:rPr>
          <w:tab/>
        </w:r>
        <w:r>
          <w:rPr>
            <w:noProof/>
            <w:webHidden/>
          </w:rPr>
          <w:fldChar w:fldCharType="begin"/>
        </w:r>
        <w:r>
          <w:rPr>
            <w:noProof/>
            <w:webHidden/>
          </w:rPr>
          <w:instrText xml:space="preserve"> PAGEREF _Toc374971878 \h </w:instrText>
        </w:r>
        <w:r>
          <w:rPr>
            <w:noProof/>
            <w:webHidden/>
          </w:rPr>
        </w:r>
        <w:r>
          <w:rPr>
            <w:noProof/>
            <w:webHidden/>
          </w:rPr>
          <w:fldChar w:fldCharType="separate"/>
        </w:r>
        <w:r w:rsidR="0044481E">
          <w:rPr>
            <w:noProof/>
            <w:webHidden/>
          </w:rPr>
          <w:t>8</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79" w:history="1">
        <w:r w:rsidRPr="00BF2EA6">
          <w:rPr>
            <w:rStyle w:val="Hyperlink"/>
            <w:noProof/>
          </w:rPr>
          <w:t>4.2</w:t>
        </w:r>
        <w:r>
          <w:rPr>
            <w:rFonts w:asciiTheme="minorHAnsi" w:eastAsiaTheme="minorEastAsia" w:hAnsiTheme="minorHAnsi" w:cstheme="minorBidi"/>
            <w:iCs w:val="0"/>
            <w:noProof/>
            <w:sz w:val="22"/>
            <w:szCs w:val="22"/>
            <w:lang w:eastAsia="en-AU"/>
          </w:rPr>
          <w:tab/>
        </w:r>
        <w:r w:rsidRPr="00BF2EA6">
          <w:rPr>
            <w:rStyle w:val="Hyperlink"/>
            <w:noProof/>
          </w:rPr>
          <w:t>Rule requirements</w:t>
        </w:r>
        <w:r>
          <w:rPr>
            <w:noProof/>
            <w:webHidden/>
          </w:rPr>
          <w:tab/>
        </w:r>
        <w:r>
          <w:rPr>
            <w:noProof/>
            <w:webHidden/>
          </w:rPr>
          <w:fldChar w:fldCharType="begin"/>
        </w:r>
        <w:r>
          <w:rPr>
            <w:noProof/>
            <w:webHidden/>
          </w:rPr>
          <w:instrText xml:space="preserve"> PAGEREF _Toc374971879 \h </w:instrText>
        </w:r>
        <w:r>
          <w:rPr>
            <w:noProof/>
            <w:webHidden/>
          </w:rPr>
        </w:r>
        <w:r>
          <w:rPr>
            <w:noProof/>
            <w:webHidden/>
          </w:rPr>
          <w:fldChar w:fldCharType="separate"/>
        </w:r>
        <w:r w:rsidR="0044481E">
          <w:rPr>
            <w:noProof/>
            <w:webHidden/>
          </w:rPr>
          <w:t>8</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80" w:history="1">
        <w:r w:rsidRPr="00BF2EA6">
          <w:rPr>
            <w:rStyle w:val="Hyperlink"/>
            <w:noProof/>
          </w:rPr>
          <w:t>4.3</w:t>
        </w:r>
        <w:r>
          <w:rPr>
            <w:rFonts w:asciiTheme="minorHAnsi" w:eastAsiaTheme="minorEastAsia" w:hAnsiTheme="minorHAnsi" w:cstheme="minorBidi"/>
            <w:iCs w:val="0"/>
            <w:noProof/>
            <w:sz w:val="22"/>
            <w:szCs w:val="22"/>
            <w:lang w:eastAsia="en-AU"/>
          </w:rPr>
          <w:tab/>
        </w:r>
        <w:r w:rsidRPr="00BF2EA6">
          <w:rPr>
            <w:rStyle w:val="Hyperlink"/>
            <w:noProof/>
          </w:rPr>
          <w:t>Application</w:t>
        </w:r>
        <w:r>
          <w:rPr>
            <w:noProof/>
            <w:webHidden/>
          </w:rPr>
          <w:tab/>
        </w:r>
        <w:r>
          <w:rPr>
            <w:noProof/>
            <w:webHidden/>
          </w:rPr>
          <w:fldChar w:fldCharType="begin"/>
        </w:r>
        <w:r>
          <w:rPr>
            <w:noProof/>
            <w:webHidden/>
          </w:rPr>
          <w:instrText xml:space="preserve"> PAGEREF _Toc374971880 \h </w:instrText>
        </w:r>
        <w:r>
          <w:rPr>
            <w:noProof/>
            <w:webHidden/>
          </w:rPr>
        </w:r>
        <w:r>
          <w:rPr>
            <w:noProof/>
            <w:webHidden/>
          </w:rPr>
          <w:fldChar w:fldCharType="separate"/>
        </w:r>
        <w:r w:rsidR="0044481E">
          <w:rPr>
            <w:noProof/>
            <w:webHidden/>
          </w:rPr>
          <w:t>9</w:t>
        </w:r>
        <w:r>
          <w:rPr>
            <w:noProof/>
            <w:webHidden/>
          </w:rPr>
          <w:fldChar w:fldCharType="end"/>
        </w:r>
      </w:hyperlink>
    </w:p>
    <w:p w:rsidR="007B5AB7" w:rsidRDefault="007B5AB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1881" w:history="1">
        <w:r w:rsidRPr="00BF2EA6">
          <w:rPr>
            <w:rStyle w:val="Hyperlink"/>
            <w:noProof/>
          </w:rPr>
          <w:t>5</w:t>
        </w:r>
        <w:r>
          <w:rPr>
            <w:rFonts w:asciiTheme="minorHAnsi" w:eastAsiaTheme="minorEastAsia" w:hAnsiTheme="minorHAnsi" w:cstheme="minorBidi"/>
            <w:b w:val="0"/>
            <w:bCs w:val="0"/>
            <w:noProof/>
            <w:sz w:val="22"/>
            <w:szCs w:val="22"/>
            <w:lang w:eastAsia="en-AU"/>
          </w:rPr>
          <w:tab/>
        </w:r>
        <w:r w:rsidRPr="00BF2EA6">
          <w:rPr>
            <w:rStyle w:val="Hyperlink"/>
            <w:noProof/>
          </w:rPr>
          <w:t>Return on equity</w:t>
        </w:r>
        <w:r>
          <w:rPr>
            <w:noProof/>
            <w:webHidden/>
          </w:rPr>
          <w:tab/>
        </w:r>
        <w:r>
          <w:rPr>
            <w:noProof/>
            <w:webHidden/>
          </w:rPr>
          <w:fldChar w:fldCharType="begin"/>
        </w:r>
        <w:r>
          <w:rPr>
            <w:noProof/>
            <w:webHidden/>
          </w:rPr>
          <w:instrText xml:space="preserve"> PAGEREF _Toc374971881 \h </w:instrText>
        </w:r>
        <w:r>
          <w:rPr>
            <w:noProof/>
            <w:webHidden/>
          </w:rPr>
        </w:r>
        <w:r>
          <w:rPr>
            <w:noProof/>
            <w:webHidden/>
          </w:rPr>
          <w:fldChar w:fldCharType="separate"/>
        </w:r>
        <w:r w:rsidR="0044481E">
          <w:rPr>
            <w:noProof/>
            <w:webHidden/>
          </w:rPr>
          <w:t>11</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82" w:history="1">
        <w:r w:rsidRPr="00BF2EA6">
          <w:rPr>
            <w:rStyle w:val="Hyperlink"/>
            <w:noProof/>
          </w:rPr>
          <w:t>5.1</w:t>
        </w:r>
        <w:r>
          <w:rPr>
            <w:rFonts w:asciiTheme="minorHAnsi" w:eastAsiaTheme="minorEastAsia" w:hAnsiTheme="minorHAnsi" w:cstheme="minorBidi"/>
            <w:iCs w:val="0"/>
            <w:noProof/>
            <w:sz w:val="22"/>
            <w:szCs w:val="22"/>
            <w:lang w:eastAsia="en-AU"/>
          </w:rPr>
          <w:tab/>
        </w:r>
        <w:r w:rsidRPr="00BF2EA6">
          <w:rPr>
            <w:rStyle w:val="Hyperlink"/>
            <w:noProof/>
          </w:rPr>
          <w:t>Objective</w:t>
        </w:r>
        <w:r>
          <w:rPr>
            <w:noProof/>
            <w:webHidden/>
          </w:rPr>
          <w:tab/>
        </w:r>
        <w:r>
          <w:rPr>
            <w:noProof/>
            <w:webHidden/>
          </w:rPr>
          <w:fldChar w:fldCharType="begin"/>
        </w:r>
        <w:r>
          <w:rPr>
            <w:noProof/>
            <w:webHidden/>
          </w:rPr>
          <w:instrText xml:space="preserve"> PAGEREF _Toc374971882 \h </w:instrText>
        </w:r>
        <w:r>
          <w:rPr>
            <w:noProof/>
            <w:webHidden/>
          </w:rPr>
        </w:r>
        <w:r>
          <w:rPr>
            <w:noProof/>
            <w:webHidden/>
          </w:rPr>
          <w:fldChar w:fldCharType="separate"/>
        </w:r>
        <w:r w:rsidR="0044481E">
          <w:rPr>
            <w:noProof/>
            <w:webHidden/>
          </w:rPr>
          <w:t>11</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83" w:history="1">
        <w:r w:rsidRPr="00BF2EA6">
          <w:rPr>
            <w:rStyle w:val="Hyperlink"/>
            <w:noProof/>
          </w:rPr>
          <w:t>5.2</w:t>
        </w:r>
        <w:r>
          <w:rPr>
            <w:rFonts w:asciiTheme="minorHAnsi" w:eastAsiaTheme="minorEastAsia" w:hAnsiTheme="minorHAnsi" w:cstheme="minorBidi"/>
            <w:iCs w:val="0"/>
            <w:noProof/>
            <w:sz w:val="22"/>
            <w:szCs w:val="22"/>
            <w:lang w:eastAsia="en-AU"/>
          </w:rPr>
          <w:tab/>
        </w:r>
        <w:r w:rsidRPr="00BF2EA6">
          <w:rPr>
            <w:rStyle w:val="Hyperlink"/>
            <w:noProof/>
          </w:rPr>
          <w:t>Rule requirements</w:t>
        </w:r>
        <w:r>
          <w:rPr>
            <w:noProof/>
            <w:webHidden/>
          </w:rPr>
          <w:tab/>
        </w:r>
        <w:r>
          <w:rPr>
            <w:noProof/>
            <w:webHidden/>
          </w:rPr>
          <w:fldChar w:fldCharType="begin"/>
        </w:r>
        <w:r>
          <w:rPr>
            <w:noProof/>
            <w:webHidden/>
          </w:rPr>
          <w:instrText xml:space="preserve"> PAGEREF _Toc374971883 \h </w:instrText>
        </w:r>
        <w:r>
          <w:rPr>
            <w:noProof/>
            <w:webHidden/>
          </w:rPr>
        </w:r>
        <w:r>
          <w:rPr>
            <w:noProof/>
            <w:webHidden/>
          </w:rPr>
          <w:fldChar w:fldCharType="separate"/>
        </w:r>
        <w:r w:rsidR="0044481E">
          <w:rPr>
            <w:noProof/>
            <w:webHidden/>
          </w:rPr>
          <w:t>11</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84" w:history="1">
        <w:r w:rsidRPr="00BF2EA6">
          <w:rPr>
            <w:rStyle w:val="Hyperlink"/>
            <w:noProof/>
          </w:rPr>
          <w:t>5.3</w:t>
        </w:r>
        <w:r>
          <w:rPr>
            <w:rFonts w:asciiTheme="minorHAnsi" w:eastAsiaTheme="minorEastAsia" w:hAnsiTheme="minorHAnsi" w:cstheme="minorBidi"/>
            <w:iCs w:val="0"/>
            <w:noProof/>
            <w:sz w:val="22"/>
            <w:szCs w:val="22"/>
            <w:lang w:eastAsia="en-AU"/>
          </w:rPr>
          <w:tab/>
        </w:r>
        <w:r w:rsidRPr="00BF2EA6">
          <w:rPr>
            <w:rStyle w:val="Hyperlink"/>
            <w:noProof/>
          </w:rPr>
          <w:t>Application</w:t>
        </w:r>
        <w:r>
          <w:rPr>
            <w:noProof/>
            <w:webHidden/>
          </w:rPr>
          <w:tab/>
        </w:r>
        <w:r>
          <w:rPr>
            <w:noProof/>
            <w:webHidden/>
          </w:rPr>
          <w:fldChar w:fldCharType="begin"/>
        </w:r>
        <w:r>
          <w:rPr>
            <w:noProof/>
            <w:webHidden/>
          </w:rPr>
          <w:instrText xml:space="preserve"> PAGEREF _Toc374971884 \h </w:instrText>
        </w:r>
        <w:r>
          <w:rPr>
            <w:noProof/>
            <w:webHidden/>
          </w:rPr>
        </w:r>
        <w:r>
          <w:rPr>
            <w:noProof/>
            <w:webHidden/>
          </w:rPr>
          <w:fldChar w:fldCharType="separate"/>
        </w:r>
        <w:r w:rsidR="0044481E">
          <w:rPr>
            <w:noProof/>
            <w:webHidden/>
          </w:rPr>
          <w:t>11</w:t>
        </w:r>
        <w:r>
          <w:rPr>
            <w:noProof/>
            <w:webHidden/>
          </w:rPr>
          <w:fldChar w:fldCharType="end"/>
        </w:r>
      </w:hyperlink>
    </w:p>
    <w:p w:rsidR="007B5AB7" w:rsidRDefault="007B5AB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1885" w:history="1">
        <w:r w:rsidRPr="00BF2EA6">
          <w:rPr>
            <w:rStyle w:val="Hyperlink"/>
            <w:noProof/>
          </w:rPr>
          <w:t>6</w:t>
        </w:r>
        <w:r>
          <w:rPr>
            <w:rFonts w:asciiTheme="minorHAnsi" w:eastAsiaTheme="minorEastAsia" w:hAnsiTheme="minorHAnsi" w:cstheme="minorBidi"/>
            <w:b w:val="0"/>
            <w:bCs w:val="0"/>
            <w:noProof/>
            <w:sz w:val="22"/>
            <w:szCs w:val="22"/>
            <w:lang w:eastAsia="en-AU"/>
          </w:rPr>
          <w:tab/>
        </w:r>
        <w:r w:rsidRPr="00BF2EA6">
          <w:rPr>
            <w:rStyle w:val="Hyperlink"/>
            <w:noProof/>
          </w:rPr>
          <w:t>Return on debt</w:t>
        </w:r>
        <w:r>
          <w:rPr>
            <w:noProof/>
            <w:webHidden/>
          </w:rPr>
          <w:tab/>
        </w:r>
        <w:r>
          <w:rPr>
            <w:noProof/>
            <w:webHidden/>
          </w:rPr>
          <w:fldChar w:fldCharType="begin"/>
        </w:r>
        <w:r>
          <w:rPr>
            <w:noProof/>
            <w:webHidden/>
          </w:rPr>
          <w:instrText xml:space="preserve"> PAGEREF _Toc374971885 \h </w:instrText>
        </w:r>
        <w:r>
          <w:rPr>
            <w:noProof/>
            <w:webHidden/>
          </w:rPr>
        </w:r>
        <w:r>
          <w:rPr>
            <w:noProof/>
            <w:webHidden/>
          </w:rPr>
          <w:fldChar w:fldCharType="separate"/>
        </w:r>
        <w:r w:rsidR="0044481E">
          <w:rPr>
            <w:noProof/>
            <w:webHidden/>
          </w:rPr>
          <w:t>18</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86" w:history="1">
        <w:r w:rsidRPr="00BF2EA6">
          <w:rPr>
            <w:rStyle w:val="Hyperlink"/>
            <w:noProof/>
          </w:rPr>
          <w:t>6.1</w:t>
        </w:r>
        <w:r>
          <w:rPr>
            <w:rFonts w:asciiTheme="minorHAnsi" w:eastAsiaTheme="minorEastAsia" w:hAnsiTheme="minorHAnsi" w:cstheme="minorBidi"/>
            <w:iCs w:val="0"/>
            <w:noProof/>
            <w:sz w:val="22"/>
            <w:szCs w:val="22"/>
            <w:lang w:eastAsia="en-AU"/>
          </w:rPr>
          <w:tab/>
        </w:r>
        <w:r w:rsidRPr="00BF2EA6">
          <w:rPr>
            <w:rStyle w:val="Hyperlink"/>
            <w:noProof/>
          </w:rPr>
          <w:t>Objective</w:t>
        </w:r>
        <w:r>
          <w:rPr>
            <w:noProof/>
            <w:webHidden/>
          </w:rPr>
          <w:tab/>
        </w:r>
        <w:r>
          <w:rPr>
            <w:noProof/>
            <w:webHidden/>
          </w:rPr>
          <w:fldChar w:fldCharType="begin"/>
        </w:r>
        <w:r>
          <w:rPr>
            <w:noProof/>
            <w:webHidden/>
          </w:rPr>
          <w:instrText xml:space="preserve"> PAGEREF _Toc374971886 \h </w:instrText>
        </w:r>
        <w:r>
          <w:rPr>
            <w:noProof/>
            <w:webHidden/>
          </w:rPr>
        </w:r>
        <w:r>
          <w:rPr>
            <w:noProof/>
            <w:webHidden/>
          </w:rPr>
          <w:fldChar w:fldCharType="separate"/>
        </w:r>
        <w:r w:rsidR="0044481E">
          <w:rPr>
            <w:noProof/>
            <w:webHidden/>
          </w:rPr>
          <w:t>18</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87" w:history="1">
        <w:r w:rsidRPr="00BF2EA6">
          <w:rPr>
            <w:rStyle w:val="Hyperlink"/>
            <w:noProof/>
          </w:rPr>
          <w:t>6.2</w:t>
        </w:r>
        <w:r>
          <w:rPr>
            <w:rFonts w:asciiTheme="minorHAnsi" w:eastAsiaTheme="minorEastAsia" w:hAnsiTheme="minorHAnsi" w:cstheme="minorBidi"/>
            <w:iCs w:val="0"/>
            <w:noProof/>
            <w:sz w:val="22"/>
            <w:szCs w:val="22"/>
            <w:lang w:eastAsia="en-AU"/>
          </w:rPr>
          <w:tab/>
        </w:r>
        <w:r w:rsidRPr="00BF2EA6">
          <w:rPr>
            <w:rStyle w:val="Hyperlink"/>
            <w:noProof/>
          </w:rPr>
          <w:t>Rule requirements</w:t>
        </w:r>
        <w:r>
          <w:rPr>
            <w:noProof/>
            <w:webHidden/>
          </w:rPr>
          <w:tab/>
        </w:r>
        <w:r>
          <w:rPr>
            <w:noProof/>
            <w:webHidden/>
          </w:rPr>
          <w:fldChar w:fldCharType="begin"/>
        </w:r>
        <w:r>
          <w:rPr>
            <w:noProof/>
            <w:webHidden/>
          </w:rPr>
          <w:instrText xml:space="preserve"> PAGEREF _Toc374971887 \h </w:instrText>
        </w:r>
        <w:r>
          <w:rPr>
            <w:noProof/>
            <w:webHidden/>
          </w:rPr>
        </w:r>
        <w:r>
          <w:rPr>
            <w:noProof/>
            <w:webHidden/>
          </w:rPr>
          <w:fldChar w:fldCharType="separate"/>
        </w:r>
        <w:r w:rsidR="0044481E">
          <w:rPr>
            <w:noProof/>
            <w:webHidden/>
          </w:rPr>
          <w:t>18</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88" w:history="1">
        <w:r w:rsidRPr="00BF2EA6">
          <w:rPr>
            <w:rStyle w:val="Hyperlink"/>
            <w:noProof/>
          </w:rPr>
          <w:t>6.3</w:t>
        </w:r>
        <w:r>
          <w:rPr>
            <w:rFonts w:asciiTheme="minorHAnsi" w:eastAsiaTheme="minorEastAsia" w:hAnsiTheme="minorHAnsi" w:cstheme="minorBidi"/>
            <w:iCs w:val="0"/>
            <w:noProof/>
            <w:sz w:val="22"/>
            <w:szCs w:val="22"/>
            <w:lang w:eastAsia="en-AU"/>
          </w:rPr>
          <w:tab/>
        </w:r>
        <w:r w:rsidRPr="00BF2EA6">
          <w:rPr>
            <w:rStyle w:val="Hyperlink"/>
            <w:noProof/>
          </w:rPr>
          <w:t>Application</w:t>
        </w:r>
        <w:r>
          <w:rPr>
            <w:noProof/>
            <w:webHidden/>
          </w:rPr>
          <w:tab/>
        </w:r>
        <w:r>
          <w:rPr>
            <w:noProof/>
            <w:webHidden/>
          </w:rPr>
          <w:fldChar w:fldCharType="begin"/>
        </w:r>
        <w:r>
          <w:rPr>
            <w:noProof/>
            <w:webHidden/>
          </w:rPr>
          <w:instrText xml:space="preserve"> PAGEREF _Toc374971888 \h </w:instrText>
        </w:r>
        <w:r>
          <w:rPr>
            <w:noProof/>
            <w:webHidden/>
          </w:rPr>
        </w:r>
        <w:r>
          <w:rPr>
            <w:noProof/>
            <w:webHidden/>
          </w:rPr>
          <w:fldChar w:fldCharType="separate"/>
        </w:r>
        <w:r w:rsidR="0044481E">
          <w:rPr>
            <w:noProof/>
            <w:webHidden/>
          </w:rPr>
          <w:t>18</w:t>
        </w:r>
        <w:r>
          <w:rPr>
            <w:noProof/>
            <w:webHidden/>
          </w:rPr>
          <w:fldChar w:fldCharType="end"/>
        </w:r>
      </w:hyperlink>
    </w:p>
    <w:p w:rsidR="007B5AB7" w:rsidRDefault="007B5AB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1889" w:history="1">
        <w:r w:rsidRPr="00BF2EA6">
          <w:rPr>
            <w:rStyle w:val="Hyperlink"/>
            <w:noProof/>
          </w:rPr>
          <w:t>7</w:t>
        </w:r>
        <w:r>
          <w:rPr>
            <w:rFonts w:asciiTheme="minorHAnsi" w:eastAsiaTheme="minorEastAsia" w:hAnsiTheme="minorHAnsi" w:cstheme="minorBidi"/>
            <w:b w:val="0"/>
            <w:bCs w:val="0"/>
            <w:noProof/>
            <w:sz w:val="22"/>
            <w:szCs w:val="22"/>
            <w:lang w:eastAsia="en-AU"/>
          </w:rPr>
          <w:tab/>
        </w:r>
        <w:r w:rsidRPr="00BF2EA6">
          <w:rPr>
            <w:rStyle w:val="Hyperlink"/>
            <w:noProof/>
          </w:rPr>
          <w:t>Imputation credits</w:t>
        </w:r>
        <w:r>
          <w:rPr>
            <w:noProof/>
            <w:webHidden/>
          </w:rPr>
          <w:tab/>
        </w:r>
        <w:r>
          <w:rPr>
            <w:noProof/>
            <w:webHidden/>
          </w:rPr>
          <w:fldChar w:fldCharType="begin"/>
        </w:r>
        <w:r>
          <w:rPr>
            <w:noProof/>
            <w:webHidden/>
          </w:rPr>
          <w:instrText xml:space="preserve"> PAGEREF _Toc374971889 \h </w:instrText>
        </w:r>
        <w:r>
          <w:rPr>
            <w:noProof/>
            <w:webHidden/>
          </w:rPr>
        </w:r>
        <w:r>
          <w:rPr>
            <w:noProof/>
            <w:webHidden/>
          </w:rPr>
          <w:fldChar w:fldCharType="separate"/>
        </w:r>
        <w:r w:rsidR="0044481E">
          <w:rPr>
            <w:noProof/>
            <w:webHidden/>
          </w:rPr>
          <w:t>23</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90" w:history="1">
        <w:r w:rsidRPr="00BF2EA6">
          <w:rPr>
            <w:rStyle w:val="Hyperlink"/>
            <w:noProof/>
          </w:rPr>
          <w:t>7.1</w:t>
        </w:r>
        <w:r>
          <w:rPr>
            <w:rFonts w:asciiTheme="minorHAnsi" w:eastAsiaTheme="minorEastAsia" w:hAnsiTheme="minorHAnsi" w:cstheme="minorBidi"/>
            <w:iCs w:val="0"/>
            <w:noProof/>
            <w:sz w:val="22"/>
            <w:szCs w:val="22"/>
            <w:lang w:eastAsia="en-AU"/>
          </w:rPr>
          <w:tab/>
        </w:r>
        <w:r w:rsidRPr="00BF2EA6">
          <w:rPr>
            <w:rStyle w:val="Hyperlink"/>
            <w:noProof/>
          </w:rPr>
          <w:t>Objective</w:t>
        </w:r>
        <w:r>
          <w:rPr>
            <w:noProof/>
            <w:webHidden/>
          </w:rPr>
          <w:tab/>
        </w:r>
        <w:r>
          <w:rPr>
            <w:noProof/>
            <w:webHidden/>
          </w:rPr>
          <w:fldChar w:fldCharType="begin"/>
        </w:r>
        <w:r>
          <w:rPr>
            <w:noProof/>
            <w:webHidden/>
          </w:rPr>
          <w:instrText xml:space="preserve"> PAGEREF _Toc374971890 \h </w:instrText>
        </w:r>
        <w:r>
          <w:rPr>
            <w:noProof/>
            <w:webHidden/>
          </w:rPr>
        </w:r>
        <w:r>
          <w:rPr>
            <w:noProof/>
            <w:webHidden/>
          </w:rPr>
          <w:fldChar w:fldCharType="separate"/>
        </w:r>
        <w:r w:rsidR="0044481E">
          <w:rPr>
            <w:noProof/>
            <w:webHidden/>
          </w:rPr>
          <w:t>23</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91" w:history="1">
        <w:r w:rsidRPr="00BF2EA6">
          <w:rPr>
            <w:rStyle w:val="Hyperlink"/>
            <w:noProof/>
          </w:rPr>
          <w:t>7.2</w:t>
        </w:r>
        <w:r>
          <w:rPr>
            <w:rFonts w:asciiTheme="minorHAnsi" w:eastAsiaTheme="minorEastAsia" w:hAnsiTheme="minorHAnsi" w:cstheme="minorBidi"/>
            <w:iCs w:val="0"/>
            <w:noProof/>
            <w:sz w:val="22"/>
            <w:szCs w:val="22"/>
            <w:lang w:eastAsia="en-AU"/>
          </w:rPr>
          <w:tab/>
        </w:r>
        <w:r w:rsidRPr="00BF2EA6">
          <w:rPr>
            <w:rStyle w:val="Hyperlink"/>
            <w:noProof/>
          </w:rPr>
          <w:t>Rule requirements</w:t>
        </w:r>
        <w:r>
          <w:rPr>
            <w:noProof/>
            <w:webHidden/>
          </w:rPr>
          <w:tab/>
        </w:r>
        <w:r>
          <w:rPr>
            <w:noProof/>
            <w:webHidden/>
          </w:rPr>
          <w:fldChar w:fldCharType="begin"/>
        </w:r>
        <w:r>
          <w:rPr>
            <w:noProof/>
            <w:webHidden/>
          </w:rPr>
          <w:instrText xml:space="preserve"> PAGEREF _Toc374971891 \h </w:instrText>
        </w:r>
        <w:r>
          <w:rPr>
            <w:noProof/>
            <w:webHidden/>
          </w:rPr>
        </w:r>
        <w:r>
          <w:rPr>
            <w:noProof/>
            <w:webHidden/>
          </w:rPr>
          <w:fldChar w:fldCharType="separate"/>
        </w:r>
        <w:r w:rsidR="0044481E">
          <w:rPr>
            <w:noProof/>
            <w:webHidden/>
          </w:rPr>
          <w:t>23</w:t>
        </w:r>
        <w:r>
          <w:rPr>
            <w:noProof/>
            <w:webHidden/>
          </w:rPr>
          <w:fldChar w:fldCharType="end"/>
        </w:r>
      </w:hyperlink>
    </w:p>
    <w:p w:rsidR="007B5AB7" w:rsidRDefault="007B5AB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971892" w:history="1">
        <w:r w:rsidRPr="00BF2EA6">
          <w:rPr>
            <w:rStyle w:val="Hyperlink"/>
            <w:noProof/>
          </w:rPr>
          <w:t>7.3</w:t>
        </w:r>
        <w:r>
          <w:rPr>
            <w:rFonts w:asciiTheme="minorHAnsi" w:eastAsiaTheme="minorEastAsia" w:hAnsiTheme="minorHAnsi" w:cstheme="minorBidi"/>
            <w:iCs w:val="0"/>
            <w:noProof/>
            <w:sz w:val="22"/>
            <w:szCs w:val="22"/>
            <w:lang w:eastAsia="en-AU"/>
          </w:rPr>
          <w:tab/>
        </w:r>
        <w:r w:rsidRPr="00BF2EA6">
          <w:rPr>
            <w:rStyle w:val="Hyperlink"/>
            <w:noProof/>
          </w:rPr>
          <w:t>Application</w:t>
        </w:r>
        <w:r>
          <w:rPr>
            <w:noProof/>
            <w:webHidden/>
          </w:rPr>
          <w:tab/>
        </w:r>
        <w:r>
          <w:rPr>
            <w:noProof/>
            <w:webHidden/>
          </w:rPr>
          <w:fldChar w:fldCharType="begin"/>
        </w:r>
        <w:r>
          <w:rPr>
            <w:noProof/>
            <w:webHidden/>
          </w:rPr>
          <w:instrText xml:space="preserve"> PAGEREF _Toc374971892 \h </w:instrText>
        </w:r>
        <w:r>
          <w:rPr>
            <w:noProof/>
            <w:webHidden/>
          </w:rPr>
        </w:r>
        <w:r>
          <w:rPr>
            <w:noProof/>
            <w:webHidden/>
          </w:rPr>
          <w:fldChar w:fldCharType="separate"/>
        </w:r>
        <w:r w:rsidR="0044481E">
          <w:rPr>
            <w:noProof/>
            <w:webHidden/>
          </w:rPr>
          <w:t>23</w:t>
        </w:r>
        <w:r>
          <w:rPr>
            <w:noProof/>
            <w:webHidden/>
          </w:rPr>
          <w:fldChar w:fldCharType="end"/>
        </w:r>
      </w:hyperlink>
    </w:p>
    <w:p w:rsidR="007B5AB7" w:rsidRDefault="007B5AB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1893" w:history="1">
        <w:r w:rsidRPr="00BF2EA6">
          <w:rPr>
            <w:rStyle w:val="Hyperlink"/>
            <w:noProof/>
          </w:rPr>
          <w:t>A</w:t>
        </w:r>
        <w:r>
          <w:rPr>
            <w:rFonts w:asciiTheme="minorHAnsi" w:eastAsiaTheme="minorEastAsia" w:hAnsiTheme="minorHAnsi" w:cstheme="minorBidi"/>
            <w:b w:val="0"/>
            <w:bCs w:val="0"/>
            <w:noProof/>
            <w:sz w:val="22"/>
            <w:szCs w:val="22"/>
            <w:lang w:eastAsia="en-AU"/>
          </w:rPr>
          <w:tab/>
        </w:r>
        <w:r w:rsidRPr="00BF2EA6">
          <w:rPr>
            <w:rStyle w:val="Hyperlink"/>
            <w:noProof/>
          </w:rPr>
          <w:t>Glossary</w:t>
        </w:r>
        <w:r>
          <w:rPr>
            <w:noProof/>
            <w:webHidden/>
          </w:rPr>
          <w:tab/>
        </w:r>
        <w:r>
          <w:rPr>
            <w:noProof/>
            <w:webHidden/>
          </w:rPr>
          <w:fldChar w:fldCharType="begin"/>
        </w:r>
        <w:r>
          <w:rPr>
            <w:noProof/>
            <w:webHidden/>
          </w:rPr>
          <w:instrText xml:space="preserve"> PAGEREF _Toc374971893 \h </w:instrText>
        </w:r>
        <w:r>
          <w:rPr>
            <w:noProof/>
            <w:webHidden/>
          </w:rPr>
        </w:r>
        <w:r>
          <w:rPr>
            <w:noProof/>
            <w:webHidden/>
          </w:rPr>
          <w:fldChar w:fldCharType="separate"/>
        </w:r>
        <w:r w:rsidR="0044481E">
          <w:rPr>
            <w:noProof/>
            <w:webHidden/>
          </w:rPr>
          <w:t>25</w:t>
        </w:r>
        <w:r>
          <w:rPr>
            <w:noProof/>
            <w:webHidden/>
          </w:rPr>
          <w:fldChar w:fldCharType="end"/>
        </w:r>
      </w:hyperlink>
    </w:p>
    <w:p w:rsidR="007B5AB7" w:rsidRDefault="007B5AB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971894" w:history="1">
        <w:r w:rsidRPr="00BF2EA6">
          <w:rPr>
            <w:rStyle w:val="Hyperlink"/>
            <w:noProof/>
          </w:rPr>
          <w:t>B</w:t>
        </w:r>
        <w:r>
          <w:rPr>
            <w:rFonts w:asciiTheme="minorHAnsi" w:eastAsiaTheme="minorEastAsia" w:hAnsiTheme="minorHAnsi" w:cstheme="minorBidi"/>
            <w:b w:val="0"/>
            <w:bCs w:val="0"/>
            <w:noProof/>
            <w:sz w:val="22"/>
            <w:szCs w:val="22"/>
            <w:lang w:eastAsia="en-AU"/>
          </w:rPr>
          <w:tab/>
        </w:r>
        <w:r w:rsidRPr="00BF2EA6">
          <w:rPr>
            <w:rStyle w:val="Hyperlink"/>
            <w:noProof/>
          </w:rPr>
          <w:t>Estimation of the return on debt: an example</w:t>
        </w:r>
        <w:r>
          <w:rPr>
            <w:noProof/>
            <w:webHidden/>
          </w:rPr>
          <w:tab/>
        </w:r>
        <w:r>
          <w:rPr>
            <w:noProof/>
            <w:webHidden/>
          </w:rPr>
          <w:fldChar w:fldCharType="begin"/>
        </w:r>
        <w:r>
          <w:rPr>
            <w:noProof/>
            <w:webHidden/>
          </w:rPr>
          <w:instrText xml:space="preserve"> PAGEREF _Toc374971894 \h </w:instrText>
        </w:r>
        <w:r>
          <w:rPr>
            <w:noProof/>
            <w:webHidden/>
          </w:rPr>
        </w:r>
        <w:r>
          <w:rPr>
            <w:noProof/>
            <w:webHidden/>
          </w:rPr>
          <w:fldChar w:fldCharType="separate"/>
        </w:r>
        <w:r w:rsidR="0044481E">
          <w:rPr>
            <w:noProof/>
            <w:webHidden/>
          </w:rPr>
          <w:t>26</w:t>
        </w:r>
        <w:r>
          <w:rPr>
            <w:noProof/>
            <w:webHidden/>
          </w:rPr>
          <w:fldChar w:fldCharType="end"/>
        </w:r>
      </w:hyperlink>
    </w:p>
    <w:p w:rsidR="00E93282" w:rsidRDefault="00E93282" w:rsidP="00E93282">
      <w:pPr>
        <w:pStyle w:val="AERbodytext"/>
        <w:numPr>
          <w:ilvl w:val="0"/>
          <w:numId w:val="6"/>
        </w:numPr>
      </w:pPr>
      <w:r w:rsidRPr="00892501">
        <w:fldChar w:fldCharType="end"/>
      </w:r>
    </w:p>
    <w:p w:rsidR="00E93282" w:rsidRPr="00E93282" w:rsidRDefault="00E93282" w:rsidP="00E93282">
      <w:pPr>
        <w:pStyle w:val="Heading1"/>
      </w:pPr>
      <w:bookmarkStart w:id="2" w:name="_Toc374971869"/>
      <w:r w:rsidRPr="00E93282">
        <w:lastRenderedPageBreak/>
        <w:t>Overview</w:t>
      </w:r>
      <w:bookmarkEnd w:id="2"/>
      <w:r w:rsidRPr="00E93282">
        <w:t xml:space="preserve"> </w:t>
      </w:r>
    </w:p>
    <w:p w:rsidR="00E93282" w:rsidRDefault="004360D2" w:rsidP="00E93282">
      <w:pPr>
        <w:numPr>
          <w:ilvl w:val="0"/>
          <w:numId w:val="6"/>
        </w:numPr>
      </w:pPr>
      <w:r>
        <w:t>The AER's</w:t>
      </w:r>
      <w:r w:rsidRPr="00550143">
        <w:t xml:space="preserve"> </w:t>
      </w:r>
      <w:r w:rsidR="00E93282" w:rsidRPr="00550143">
        <w:t xml:space="preserve">Better Regulation program involves the publication of several </w:t>
      </w:r>
      <w:r w:rsidR="00E93282">
        <w:t>guidelines</w:t>
      </w:r>
      <w:r w:rsidR="00830DEB">
        <w:t>. Under the new rules, the rate of return guideline (t</w:t>
      </w:r>
      <w:r w:rsidR="00E93282" w:rsidRPr="00550143">
        <w:t xml:space="preserve">he </w:t>
      </w:r>
      <w:r w:rsidR="00E93282">
        <w:t>guideline</w:t>
      </w:r>
      <w:r w:rsidR="00830DEB">
        <w:t>)</w:t>
      </w:r>
      <w:r w:rsidR="00E93282" w:rsidRPr="00550143">
        <w:t xml:space="preserve"> set</w:t>
      </w:r>
      <w:r w:rsidR="00830DEB">
        <w:t>s</w:t>
      </w:r>
      <w:r w:rsidR="00E93282" w:rsidRPr="00550143">
        <w:t xml:space="preserve"> out the </w:t>
      </w:r>
      <w:r w:rsidR="00830DEB">
        <w:t xml:space="preserve">AER's </w:t>
      </w:r>
      <w:r w:rsidR="00E93282" w:rsidRPr="00550143">
        <w:t>approach to determining the allowed rate of return in accordance with the N</w:t>
      </w:r>
      <w:r w:rsidR="00E93282">
        <w:t>EL and</w:t>
      </w:r>
      <w:r w:rsidR="00E93282" w:rsidRPr="00550143">
        <w:t xml:space="preserve"> the N</w:t>
      </w:r>
      <w:r w:rsidR="00E93282">
        <w:t>GL</w:t>
      </w:r>
      <w:r w:rsidR="00E93282" w:rsidRPr="00550143">
        <w:t xml:space="preserve"> (collectively, the law and rules).</w:t>
      </w:r>
    </w:p>
    <w:p w:rsidR="00E93282" w:rsidRPr="00A80813" w:rsidRDefault="00E93282" w:rsidP="00E93282">
      <w:pPr>
        <w:numPr>
          <w:ilvl w:val="0"/>
          <w:numId w:val="6"/>
        </w:numPr>
      </w:pPr>
      <w:r w:rsidRPr="00A80813">
        <w:t xml:space="preserve">The new rules require </w:t>
      </w:r>
      <w:r w:rsidR="004360D2">
        <w:t>the AER</w:t>
      </w:r>
      <w:r w:rsidR="004360D2" w:rsidRPr="00A80813">
        <w:t xml:space="preserve"> </w:t>
      </w:r>
      <w:r w:rsidRPr="00A80813">
        <w:t xml:space="preserve">to set out in the </w:t>
      </w:r>
      <w:r>
        <w:t>guideline</w:t>
      </w:r>
      <w:r w:rsidRPr="00A80813">
        <w:t>:</w:t>
      </w:r>
      <w:r>
        <w:rPr>
          <w:rStyle w:val="FootnoteReference"/>
        </w:rPr>
        <w:footnoteReference w:id="1"/>
      </w:r>
    </w:p>
    <w:p w:rsidR="00E93282" w:rsidRPr="00A80813" w:rsidRDefault="00E93282" w:rsidP="00E93282">
      <w:pPr>
        <w:pStyle w:val="AERbulletlistfirststyle"/>
      </w:pPr>
      <w:r w:rsidRPr="00A80813">
        <w:t xml:space="preserve">the methodologies </w:t>
      </w:r>
      <w:r w:rsidR="004360D2">
        <w:t>the AER</w:t>
      </w:r>
      <w:r w:rsidR="004360D2" w:rsidRPr="00A80813">
        <w:t xml:space="preserve"> </w:t>
      </w:r>
      <w:r>
        <w:t>propose</w:t>
      </w:r>
      <w:r w:rsidR="004360D2">
        <w:t>s</w:t>
      </w:r>
      <w:r w:rsidRPr="00A80813">
        <w:t xml:space="preserve"> to use</w:t>
      </w:r>
    </w:p>
    <w:p w:rsidR="00E93282" w:rsidRPr="00A80813" w:rsidRDefault="00E93282" w:rsidP="00E93282">
      <w:pPr>
        <w:pStyle w:val="AERbulletlistfirststyle"/>
      </w:pPr>
      <w:proofErr w:type="gramStart"/>
      <w:r w:rsidRPr="00A80813">
        <w:t>the</w:t>
      </w:r>
      <w:proofErr w:type="gramEnd"/>
      <w:r w:rsidRPr="00A80813">
        <w:t xml:space="preserve"> estimation methods, financial models, market data and other evidence </w:t>
      </w:r>
      <w:r w:rsidR="004360D2">
        <w:t>the AER</w:t>
      </w:r>
      <w:r w:rsidR="004360D2" w:rsidRPr="00A80813">
        <w:t xml:space="preserve"> </w:t>
      </w:r>
      <w:r w:rsidRPr="00A80813">
        <w:t>propose</w:t>
      </w:r>
      <w:r w:rsidR="004360D2">
        <w:t>s</w:t>
      </w:r>
      <w:r w:rsidRPr="00A80813">
        <w:t xml:space="preserve"> to take into account.</w:t>
      </w:r>
    </w:p>
    <w:p w:rsidR="00E93282" w:rsidRDefault="00DC636E" w:rsidP="00E93282">
      <w:r>
        <w:t>T</w:t>
      </w:r>
      <w:r w:rsidR="00E93282">
        <w:t xml:space="preserve">he major </w:t>
      </w:r>
      <w:r>
        <w:t xml:space="preserve">elements </w:t>
      </w:r>
      <w:r w:rsidR="004360D2">
        <w:t xml:space="preserve">the AER </w:t>
      </w:r>
      <w:r w:rsidR="00E93282">
        <w:t>ha</w:t>
      </w:r>
      <w:r w:rsidR="004360D2">
        <w:t>s</w:t>
      </w:r>
      <w:r w:rsidR="00E93282">
        <w:t xml:space="preserve"> proposed in this guideline include:</w:t>
      </w:r>
    </w:p>
    <w:p w:rsidR="00E93282" w:rsidRDefault="00E93282" w:rsidP="00E93282">
      <w:pPr>
        <w:pStyle w:val="AERbulletlistfirststyle"/>
      </w:pPr>
      <w:r>
        <w:t>Considering a broad</w:t>
      </w:r>
      <w:r w:rsidR="004360D2">
        <w:t>er</w:t>
      </w:r>
      <w:r>
        <w:t xml:space="preserve"> range of material in arriving at a point estimate for the expected return on equity. </w:t>
      </w:r>
      <w:r w:rsidR="004360D2">
        <w:t xml:space="preserve">The AER </w:t>
      </w:r>
      <w:r>
        <w:t>propose</w:t>
      </w:r>
      <w:r w:rsidR="004360D2">
        <w:t>s</w:t>
      </w:r>
      <w:r>
        <w:t xml:space="preserve"> to continue to use the Sharpe–</w:t>
      </w:r>
      <w:proofErr w:type="spellStart"/>
      <w:r>
        <w:t>Lintner</w:t>
      </w:r>
      <w:proofErr w:type="spellEnd"/>
      <w:r>
        <w:t xml:space="preserve"> CAPM for estimating a starting point and a range for the expected return on equity. However, </w:t>
      </w:r>
      <w:r w:rsidR="004360D2">
        <w:t>the AER</w:t>
      </w:r>
      <w:r>
        <w:t xml:space="preserve"> propose</w:t>
      </w:r>
      <w:r w:rsidR="004360D2">
        <w:t>s</w:t>
      </w:r>
      <w:r>
        <w:t xml:space="preserve"> to use the theory of the Black CAPM and dividend growth model outputs to inform the input parameters </w:t>
      </w:r>
      <w:r w:rsidR="004360D2">
        <w:t>the AER</w:t>
      </w:r>
      <w:r>
        <w:t xml:space="preserve"> use</w:t>
      </w:r>
      <w:r w:rsidR="004360D2">
        <w:t>s</w:t>
      </w:r>
      <w:r>
        <w:t xml:space="preserve"> to estimate the expected return on equity using the Sharpe–</w:t>
      </w:r>
      <w:proofErr w:type="spellStart"/>
      <w:r>
        <w:t>Lintner</w:t>
      </w:r>
      <w:proofErr w:type="spellEnd"/>
      <w:r>
        <w:t xml:space="preserve"> CAPM. </w:t>
      </w:r>
      <w:r w:rsidR="004360D2">
        <w:t>The AER</w:t>
      </w:r>
      <w:r>
        <w:t xml:space="preserve"> also propose</w:t>
      </w:r>
      <w:r w:rsidR="004360D2">
        <w:t>s</w:t>
      </w:r>
      <w:r>
        <w:t xml:space="preserve"> to have regard to other information, including the estimated return on equity from the Wright approach, valuation and broker reports, and other regulators. Where appropriate, this information may lead </w:t>
      </w:r>
      <w:r w:rsidR="004360D2">
        <w:t xml:space="preserve">the AER </w:t>
      </w:r>
      <w:r>
        <w:t>to select an estimate of the expected return on equity that differs from the output of the Sharpe–</w:t>
      </w:r>
      <w:proofErr w:type="spellStart"/>
      <w:r>
        <w:t>Lintner</w:t>
      </w:r>
      <w:proofErr w:type="spellEnd"/>
      <w:r>
        <w:t xml:space="preserve"> CAPM.</w:t>
      </w:r>
    </w:p>
    <w:p w:rsidR="00E93282" w:rsidRDefault="00E93282" w:rsidP="00E93282">
      <w:pPr>
        <w:pStyle w:val="AERbulletlistfirststyle"/>
      </w:pPr>
      <w:r>
        <w:t xml:space="preserve">Changing from the current 'on the day' approach to a trailing average portfolio approach for estimating the return on debt. The trailing average will be calculated using a simple </w:t>
      </w:r>
      <w:r w:rsidR="00ED0D2C" w:rsidRPr="00C47A49">
        <w:rPr>
          <w:rStyle w:val="AERbody"/>
        </w:rPr>
        <w:t>10</w:t>
      </w:r>
      <w:r>
        <w:t xml:space="preserve"> year average and will be updated annually.</w:t>
      </w:r>
      <w:r w:rsidRPr="00452423">
        <w:t xml:space="preserve"> The yearly average will be calculated over a </w:t>
      </w:r>
      <w:r>
        <w:t xml:space="preserve">period of </w:t>
      </w:r>
      <w:r w:rsidRPr="00452423">
        <w:t>10 or more consecutive business day</w:t>
      </w:r>
      <w:r>
        <w:t xml:space="preserve">s using yield estimates from an independent third party service provider for a </w:t>
      </w:r>
      <w:r w:rsidR="00ED0D2C" w:rsidRPr="00C47A49">
        <w:rPr>
          <w:rStyle w:val="AERbody"/>
        </w:rPr>
        <w:t>10</w:t>
      </w:r>
      <w:r w:rsidR="00ED0D2C">
        <w:t xml:space="preserve"> </w:t>
      </w:r>
      <w:r>
        <w:t xml:space="preserve">year debt term and the closest proximate for a BBB+ credit rating. There will be </w:t>
      </w:r>
      <w:r w:rsidRPr="00B6785F">
        <w:rPr>
          <w:rStyle w:val="AERbody"/>
        </w:rPr>
        <w:t xml:space="preserve">a </w:t>
      </w:r>
      <w:r w:rsidR="00B6785F" w:rsidRPr="00B6785F">
        <w:rPr>
          <w:rStyle w:val="AERbody"/>
        </w:rPr>
        <w:t xml:space="preserve">10 </w:t>
      </w:r>
      <w:r w:rsidRPr="00B6785F">
        <w:rPr>
          <w:rStyle w:val="AERbody"/>
        </w:rPr>
        <w:t>year transition</w:t>
      </w:r>
      <w:r>
        <w:t xml:space="preserve"> period from the current 'on the day' approach to the trailing average portfolio approach.</w:t>
      </w:r>
    </w:p>
    <w:p w:rsidR="00E93282" w:rsidRDefault="00E93282" w:rsidP="00E93282">
      <w:pPr>
        <w:pStyle w:val="AERbulletlistfirststyle"/>
      </w:pPr>
      <w:r>
        <w:t xml:space="preserve">Considering a </w:t>
      </w:r>
      <w:r w:rsidR="004360D2">
        <w:t xml:space="preserve">broader </w:t>
      </w:r>
      <w:r>
        <w:t>range of material to inform the estimation of the value of imputation credits.</w:t>
      </w:r>
    </w:p>
    <w:p w:rsidR="00E93282" w:rsidRPr="00E93282" w:rsidRDefault="00E93282" w:rsidP="00E93282">
      <w:pPr>
        <w:pStyle w:val="Heading2"/>
      </w:pPr>
      <w:bookmarkStart w:id="3" w:name="_Toc374971870"/>
      <w:r w:rsidRPr="00E93282">
        <w:t>Structure of the guideline</w:t>
      </w:r>
      <w:bookmarkEnd w:id="3"/>
    </w:p>
    <w:p w:rsidR="00E93282" w:rsidRDefault="00E93282" w:rsidP="00E93282">
      <w:pPr>
        <w:pStyle w:val="AERbodytext"/>
        <w:numPr>
          <w:ilvl w:val="0"/>
          <w:numId w:val="6"/>
        </w:numPr>
      </w:pPr>
      <w:r>
        <w:t>There are</w:t>
      </w:r>
      <w:r w:rsidR="003602E9">
        <w:t xml:space="preserve"> seven</w:t>
      </w:r>
      <w:r w:rsidRPr="00BD346F">
        <w:t xml:space="preserve"> main parts to this guideline:</w:t>
      </w:r>
    </w:p>
    <w:p w:rsidR="00E93282" w:rsidRDefault="003602E9" w:rsidP="001954D1">
      <w:pPr>
        <w:pStyle w:val="AERbulletlistfirststyle"/>
      </w:pPr>
      <w:r>
        <w:t>Chapter two</w:t>
      </w:r>
      <w:r w:rsidR="00B6785F">
        <w:t xml:space="preserve"> outlines the AER's application of criteria </w:t>
      </w:r>
      <w:r w:rsidR="00B6785F" w:rsidRPr="0044015B">
        <w:t xml:space="preserve">that </w:t>
      </w:r>
      <w:r w:rsidR="00B6785F">
        <w:t>the</w:t>
      </w:r>
      <w:r w:rsidR="00B6785F" w:rsidRPr="0044015B">
        <w:t xml:space="preserve"> </w:t>
      </w:r>
      <w:r w:rsidR="00B6785F">
        <w:t xml:space="preserve">AER </w:t>
      </w:r>
      <w:r w:rsidR="00B6785F" w:rsidRPr="0044015B">
        <w:t>propose</w:t>
      </w:r>
      <w:r w:rsidR="00B6785F">
        <w:t>s</w:t>
      </w:r>
      <w:r w:rsidR="00B6785F" w:rsidRPr="0044015B">
        <w:t xml:space="preserve"> to use to assess the merits of the various sources of </w:t>
      </w:r>
      <w:r w:rsidR="00B6785F">
        <w:t>information</w:t>
      </w:r>
      <w:r w:rsidR="00B6785F" w:rsidRPr="0044015B">
        <w:t xml:space="preserve"> in setting the allowed rate of return</w:t>
      </w:r>
      <w:r w:rsidR="00F32065">
        <w:t>.</w:t>
      </w:r>
    </w:p>
    <w:p w:rsidR="003602E9" w:rsidRDefault="003602E9" w:rsidP="00E93282">
      <w:pPr>
        <w:pStyle w:val="AERbulletlistfirststyle"/>
      </w:pPr>
      <w:r>
        <w:t>Chapter three outlines the AER's definition of the benchmark efficient entity and compensation for risk</w:t>
      </w:r>
      <w:r w:rsidR="00F32065">
        <w:t>.</w:t>
      </w:r>
    </w:p>
    <w:p w:rsidR="00E93282" w:rsidRDefault="00B6785F" w:rsidP="00E93282">
      <w:pPr>
        <w:pStyle w:val="AERbulletlistfirststyle"/>
      </w:pPr>
      <w:r>
        <w:t>C</w:t>
      </w:r>
      <w:r w:rsidR="003602E9">
        <w:t>hapter four</w:t>
      </w:r>
      <w:r w:rsidR="00E93282">
        <w:t xml:space="preserve"> outlines the AER's approach to estimating the overall </w:t>
      </w:r>
      <w:r w:rsidR="00A4268C">
        <w:t xml:space="preserve">rate </w:t>
      </w:r>
      <w:r w:rsidR="00E93282">
        <w:t>of return</w:t>
      </w:r>
      <w:r w:rsidR="00F32065">
        <w:t>.</w:t>
      </w:r>
    </w:p>
    <w:p w:rsidR="00E93282" w:rsidRDefault="00E93282" w:rsidP="00E93282">
      <w:pPr>
        <w:pStyle w:val="AERbulletlistfirststyle"/>
      </w:pPr>
      <w:r>
        <w:t xml:space="preserve">Chapter </w:t>
      </w:r>
      <w:r w:rsidR="003602E9">
        <w:t>five</w:t>
      </w:r>
      <w:r>
        <w:t xml:space="preserve"> </w:t>
      </w:r>
      <w:r w:rsidRPr="00EE3083">
        <w:t xml:space="preserve">outlines the </w:t>
      </w:r>
      <w:r>
        <w:t>AER's approach to estimating the expected return on equity. This includes using the Sharpe–</w:t>
      </w:r>
      <w:proofErr w:type="spellStart"/>
      <w:r>
        <w:t>Lintner</w:t>
      </w:r>
      <w:proofErr w:type="spellEnd"/>
      <w:r>
        <w:t xml:space="preserve"> CAPM as the foundation model, and then having regard to other relevant material to arrive at a final point estimate of the</w:t>
      </w:r>
      <w:r w:rsidDel="004C0AC0">
        <w:t xml:space="preserve"> </w:t>
      </w:r>
      <w:r>
        <w:t>expected return on equity.</w:t>
      </w:r>
    </w:p>
    <w:p w:rsidR="00E93282" w:rsidRDefault="00E93282" w:rsidP="00E93282">
      <w:pPr>
        <w:pStyle w:val="AERbulletlistfirststyle"/>
      </w:pPr>
      <w:r>
        <w:lastRenderedPageBreak/>
        <w:t xml:space="preserve">Chapter </w:t>
      </w:r>
      <w:r w:rsidR="003602E9">
        <w:t>six</w:t>
      </w:r>
      <w:r>
        <w:t xml:space="preserve"> outlines </w:t>
      </w:r>
      <w:r w:rsidRPr="00EE3083">
        <w:t>the</w:t>
      </w:r>
      <w:r w:rsidRPr="009C42B9">
        <w:t xml:space="preserve"> </w:t>
      </w:r>
      <w:r>
        <w:t>AER's</w:t>
      </w:r>
      <w:r w:rsidRPr="00EE3083">
        <w:t xml:space="preserve"> </w:t>
      </w:r>
      <w:r>
        <w:t xml:space="preserve">approach to estimating the return on debt. This includes using </w:t>
      </w:r>
      <w:r w:rsidRPr="00B6785F">
        <w:rPr>
          <w:rStyle w:val="AERbody"/>
        </w:rPr>
        <w:t xml:space="preserve">a </w:t>
      </w:r>
      <w:r w:rsidR="00B6785F">
        <w:rPr>
          <w:rStyle w:val="AERbody"/>
        </w:rPr>
        <w:t>10 y</w:t>
      </w:r>
      <w:r>
        <w:t>ear trailing average for estimating the return on debt, with annual updates. The transitional arrangements from the on the day approach to the trailing average approach are also outlined.</w:t>
      </w:r>
    </w:p>
    <w:p w:rsidR="00E93282" w:rsidRDefault="00E93282" w:rsidP="00E93282">
      <w:pPr>
        <w:pStyle w:val="AERbulletlistfirststyle"/>
      </w:pPr>
      <w:r>
        <w:t xml:space="preserve">Chapter </w:t>
      </w:r>
      <w:r w:rsidR="003602E9">
        <w:t>seven</w:t>
      </w:r>
      <w:r w:rsidRPr="00EE3083">
        <w:t xml:space="preserve"> outlines the </w:t>
      </w:r>
      <w:r>
        <w:t>AER's</w:t>
      </w:r>
      <w:r w:rsidRPr="00EE3083">
        <w:t xml:space="preserve"> approach to estimating </w:t>
      </w:r>
      <w:r>
        <w:t>imputation credits.</w:t>
      </w:r>
    </w:p>
    <w:p w:rsidR="002F2B68" w:rsidRPr="002F2B68" w:rsidRDefault="002F2B68" w:rsidP="002F2B68">
      <w:pPr>
        <w:pStyle w:val="Heading2"/>
      </w:pPr>
      <w:bookmarkStart w:id="4" w:name="_Toc356398576"/>
      <w:bookmarkStart w:id="5" w:name="_Toc374971871"/>
      <w:r w:rsidRPr="002F2B68">
        <w:t>Process for revision</w:t>
      </w:r>
      <w:bookmarkEnd w:id="4"/>
      <w:bookmarkEnd w:id="5"/>
    </w:p>
    <w:p w:rsidR="002F2B68" w:rsidRPr="002F2B68" w:rsidRDefault="002F2B68" w:rsidP="002F2B68">
      <w:pPr>
        <w:numPr>
          <w:ilvl w:val="0"/>
          <w:numId w:val="6"/>
        </w:numPr>
      </w:pPr>
      <w:r w:rsidRPr="002F2B68">
        <w:t>The AER may amend or replace these guidelines from time to time in accordance with the consultation procedures under clauses 6.16 and 6A.20 of the NER and rule 9B of the NGR.</w:t>
      </w:r>
      <w:r w:rsidRPr="001954D1">
        <w:rPr>
          <w:rStyle w:val="AERsuperscript"/>
        </w:rPr>
        <w:footnoteReference w:id="2"/>
      </w:r>
      <w:r w:rsidRPr="002F2B68">
        <w:t xml:space="preserve"> </w:t>
      </w:r>
    </w:p>
    <w:p w:rsidR="00E93282" w:rsidRPr="00E93282" w:rsidRDefault="00E93282" w:rsidP="00E93282">
      <w:r>
        <w:br w:type="page"/>
      </w:r>
    </w:p>
    <w:p w:rsidR="00E93282" w:rsidRPr="00E93282" w:rsidRDefault="00E93282" w:rsidP="00E93282">
      <w:pPr>
        <w:pStyle w:val="Heading1"/>
      </w:pPr>
      <w:bookmarkStart w:id="6" w:name="_Toc374971872"/>
      <w:r w:rsidRPr="00E93282">
        <w:lastRenderedPageBreak/>
        <w:t>Application of criteria</w:t>
      </w:r>
      <w:bookmarkEnd w:id="6"/>
    </w:p>
    <w:p w:rsidR="00E93282" w:rsidRDefault="00E93282" w:rsidP="00E93282">
      <w:r>
        <w:t>This chapter sets out the</w:t>
      </w:r>
      <w:r w:rsidRPr="0044015B">
        <w:t xml:space="preserve"> criteria that</w:t>
      </w:r>
      <w:r w:rsidR="00A4268C">
        <w:t xml:space="preserve"> the AER</w:t>
      </w:r>
      <w:r w:rsidRPr="0044015B">
        <w:t xml:space="preserve"> propose</w:t>
      </w:r>
      <w:r w:rsidR="00A4268C">
        <w:t>s</w:t>
      </w:r>
      <w:r w:rsidRPr="0044015B">
        <w:t xml:space="preserve"> to use to assess the merits of the various sources of </w:t>
      </w:r>
      <w:r>
        <w:t>information</w:t>
      </w:r>
      <w:r w:rsidRPr="0044015B">
        <w:t xml:space="preserve"> in setting the allowed rate of return. </w:t>
      </w:r>
    </w:p>
    <w:p w:rsidR="00E93282" w:rsidRPr="00C85E73" w:rsidRDefault="00A4268C" w:rsidP="00E93282">
      <w:pPr>
        <w:numPr>
          <w:ilvl w:val="0"/>
          <w:numId w:val="6"/>
        </w:numPr>
      </w:pPr>
      <w:r>
        <w:t>The AER</w:t>
      </w:r>
      <w:r w:rsidRPr="00C85E73">
        <w:t xml:space="preserve"> </w:t>
      </w:r>
      <w:r w:rsidR="00E93282" w:rsidRPr="00C85E73">
        <w:t>consider</w:t>
      </w:r>
      <w:r>
        <w:t>s</w:t>
      </w:r>
      <w:r w:rsidR="00E93282" w:rsidRPr="00C85E73">
        <w:t xml:space="preserve"> decisions on the rate of return are more likely to be consistent with the allowed rate of return objective if they use estimation methods, financial models, market data and other evidence that are:</w:t>
      </w:r>
    </w:p>
    <w:p w:rsidR="00E93282" w:rsidRPr="00C85E73" w:rsidRDefault="00E93282" w:rsidP="00E93282">
      <w:pPr>
        <w:numPr>
          <w:ilvl w:val="4"/>
          <w:numId w:val="6"/>
        </w:numPr>
      </w:pPr>
      <w:r w:rsidRPr="00C85E73">
        <w:t>where applicable, reflective of economic and finance principles and market information</w:t>
      </w:r>
    </w:p>
    <w:p w:rsidR="00E93282" w:rsidRPr="00C85E73" w:rsidRDefault="00E93282" w:rsidP="00E93282">
      <w:pPr>
        <w:numPr>
          <w:ilvl w:val="5"/>
          <w:numId w:val="6"/>
        </w:numPr>
      </w:pPr>
      <w:r w:rsidRPr="00C85E73">
        <w:t>estimation methods and financial models are consistent with well accepted economic and finance principles and informed by sound empirical analysis and robust data</w:t>
      </w:r>
    </w:p>
    <w:p w:rsidR="00E93282" w:rsidRPr="00C85E73" w:rsidRDefault="00E93282" w:rsidP="00E93282">
      <w:pPr>
        <w:numPr>
          <w:ilvl w:val="4"/>
          <w:numId w:val="6"/>
        </w:numPr>
      </w:pPr>
      <w:r w:rsidRPr="00C85E73">
        <w:t>fit for purpose</w:t>
      </w:r>
    </w:p>
    <w:p w:rsidR="00E93282" w:rsidRPr="00C85E73" w:rsidRDefault="00E93282" w:rsidP="00E93282">
      <w:pPr>
        <w:numPr>
          <w:ilvl w:val="5"/>
          <w:numId w:val="6"/>
        </w:numPr>
      </w:pPr>
      <w:r w:rsidRPr="00C85E73">
        <w:t xml:space="preserve">use of estimation methods, financial models, market data and other evidence should be consistent with the original purpose for which it was compiled and have regard to the limitations of that purpose </w:t>
      </w:r>
    </w:p>
    <w:p w:rsidR="00E93282" w:rsidRPr="00C85E73" w:rsidRDefault="00E93282" w:rsidP="00E93282">
      <w:pPr>
        <w:numPr>
          <w:ilvl w:val="5"/>
          <w:numId w:val="6"/>
        </w:numPr>
      </w:pPr>
      <w:r w:rsidRPr="00C85E73">
        <w:t xml:space="preserve">promote simple over complex approaches where appropriate </w:t>
      </w:r>
    </w:p>
    <w:p w:rsidR="00E93282" w:rsidRPr="00C85E73" w:rsidRDefault="00E93282" w:rsidP="00E93282">
      <w:pPr>
        <w:numPr>
          <w:ilvl w:val="4"/>
          <w:numId w:val="6"/>
        </w:numPr>
      </w:pPr>
      <w:r w:rsidRPr="00C85E73">
        <w:t>implemented in accordance with good practice</w:t>
      </w:r>
    </w:p>
    <w:p w:rsidR="00E93282" w:rsidRPr="00C85E73" w:rsidRDefault="00E93282" w:rsidP="00E93282">
      <w:pPr>
        <w:numPr>
          <w:ilvl w:val="5"/>
          <w:numId w:val="6"/>
        </w:numPr>
      </w:pPr>
      <w:r w:rsidRPr="00C85E73">
        <w:t>supported by robust, transparent and replicable analysis that is derived from available credible datasets</w:t>
      </w:r>
    </w:p>
    <w:p w:rsidR="00E93282" w:rsidRPr="00C85E73" w:rsidRDefault="00E93282" w:rsidP="00E93282">
      <w:pPr>
        <w:numPr>
          <w:ilvl w:val="4"/>
          <w:numId w:val="6"/>
        </w:numPr>
      </w:pPr>
      <w:r w:rsidRPr="00C85E73">
        <w:t>where models of the return on equity and debt are used these are</w:t>
      </w:r>
    </w:p>
    <w:p w:rsidR="00E93282" w:rsidRPr="00C85E73" w:rsidRDefault="00E93282" w:rsidP="00E93282">
      <w:pPr>
        <w:numPr>
          <w:ilvl w:val="5"/>
          <w:numId w:val="6"/>
        </w:numPr>
      </w:pPr>
      <w:r w:rsidRPr="00C85E73">
        <w:t>based on quantitative modelling that is sufficiently robust as to not be unduly sensitive to errors in inputs estimation</w:t>
      </w:r>
    </w:p>
    <w:p w:rsidR="00E93282" w:rsidRPr="00CA6AD8" w:rsidRDefault="00E93282" w:rsidP="00E93282">
      <w:pPr>
        <w:numPr>
          <w:ilvl w:val="5"/>
          <w:numId w:val="6"/>
        </w:numPr>
      </w:pPr>
      <w:r w:rsidRPr="00CA6AD8">
        <w:t>based on quantitative modelling which avoids arbitrary filtering or adjustment of data, which does not have a sound rationale</w:t>
      </w:r>
    </w:p>
    <w:p w:rsidR="00E93282" w:rsidRPr="00C85E73" w:rsidRDefault="00E93282" w:rsidP="00E93282">
      <w:pPr>
        <w:numPr>
          <w:ilvl w:val="4"/>
          <w:numId w:val="6"/>
        </w:numPr>
      </w:pPr>
      <w:r w:rsidRPr="00C85E73">
        <w:t>where market data and other information is used, this information is</w:t>
      </w:r>
    </w:p>
    <w:p w:rsidR="00E93282" w:rsidRPr="00C85E73" w:rsidRDefault="00E93282" w:rsidP="00E93282">
      <w:pPr>
        <w:numPr>
          <w:ilvl w:val="5"/>
          <w:numId w:val="6"/>
        </w:numPr>
      </w:pPr>
      <w:r w:rsidRPr="00C85E73">
        <w:t>credible and verifiable</w:t>
      </w:r>
    </w:p>
    <w:p w:rsidR="00E93282" w:rsidRPr="00CA6AD8" w:rsidRDefault="00E93282" w:rsidP="00E93282">
      <w:pPr>
        <w:numPr>
          <w:ilvl w:val="5"/>
          <w:numId w:val="6"/>
        </w:numPr>
      </w:pPr>
      <w:r w:rsidRPr="00CA6AD8">
        <w:t>comparable and timely</w:t>
      </w:r>
    </w:p>
    <w:p w:rsidR="00E93282" w:rsidRPr="00CA6AD8" w:rsidRDefault="00E93282" w:rsidP="00E93282">
      <w:pPr>
        <w:numPr>
          <w:ilvl w:val="5"/>
          <w:numId w:val="6"/>
        </w:numPr>
      </w:pPr>
      <w:r w:rsidRPr="00CA6AD8">
        <w:t>clearly sourced</w:t>
      </w:r>
    </w:p>
    <w:p w:rsidR="00E93282" w:rsidRPr="00C85E73" w:rsidRDefault="00E93282" w:rsidP="00E93282">
      <w:pPr>
        <w:numPr>
          <w:ilvl w:val="4"/>
          <w:numId w:val="6"/>
        </w:numPr>
      </w:pPr>
      <w:proofErr w:type="gramStart"/>
      <w:r w:rsidRPr="00C85E73">
        <w:t>sufficiently</w:t>
      </w:r>
      <w:proofErr w:type="gramEnd"/>
      <w:r w:rsidRPr="00C85E73">
        <w:t xml:space="preserve"> flexible as to allow changing market conditions and new information to be reflected in regulatory outcomes, as appropriate.</w:t>
      </w:r>
    </w:p>
    <w:p w:rsidR="00E93282" w:rsidRPr="00550143" w:rsidRDefault="00E93282" w:rsidP="00E93282"/>
    <w:p w:rsidR="00E93282" w:rsidRPr="00E93282" w:rsidRDefault="00E93282" w:rsidP="00E93282">
      <w:pPr>
        <w:pStyle w:val="Heading1"/>
      </w:pPr>
      <w:bookmarkStart w:id="7" w:name="_Toc374971873"/>
      <w:r w:rsidRPr="00E93282">
        <w:lastRenderedPageBreak/>
        <w:t>Benchmark efficient entity and compensation for risk</w:t>
      </w:r>
      <w:bookmarkEnd w:id="7"/>
    </w:p>
    <w:p w:rsidR="00E93282" w:rsidRPr="00E93282" w:rsidRDefault="00E93282" w:rsidP="00E93282">
      <w:pPr>
        <w:pStyle w:val="AERbodytext"/>
      </w:pPr>
      <w:r>
        <w:t xml:space="preserve">This chapter sets out the </w:t>
      </w:r>
      <w:r w:rsidRPr="00E93282">
        <w:t>AER’s definition of the benchmark efficient entity. The definition of the benchmark efficient entity has implications for the estimated return on debt and equity (including the choice of data and models used to estimate the return on equity and debt).</w:t>
      </w:r>
    </w:p>
    <w:p w:rsidR="00E93282" w:rsidRPr="00E93282" w:rsidRDefault="00E93282" w:rsidP="00E93282">
      <w:pPr>
        <w:pStyle w:val="Heading2"/>
      </w:pPr>
      <w:bookmarkStart w:id="8" w:name="_Toc374971874"/>
      <w:r w:rsidRPr="00E93282">
        <w:t>Objective</w:t>
      </w:r>
      <w:bookmarkEnd w:id="8"/>
    </w:p>
    <w:p w:rsidR="00E93282" w:rsidRPr="00E93282" w:rsidRDefault="00E93282" w:rsidP="00E93282">
      <w:pPr>
        <w:pStyle w:val="AERbodytext"/>
      </w:pPr>
      <w:r>
        <w:t xml:space="preserve">The </w:t>
      </w:r>
      <w:r w:rsidRPr="00E93282">
        <w:t>benchmark efficient entity is defined so that the allowed rate of return estimated for that benchmark efficient entity provides service providers with a reasonable opportunity to recover at least their efficient financing costs, consistent with the national electricity objective (NEO), national gas objective (NGO) and revenue pricing principles (RPP).</w:t>
      </w:r>
      <w:r w:rsidRPr="00E93282">
        <w:rPr>
          <w:rStyle w:val="FootnoteReference"/>
        </w:rPr>
        <w:footnoteReference w:id="3"/>
      </w:r>
      <w:r w:rsidRPr="00E93282">
        <w:t xml:space="preserve"> </w:t>
      </w:r>
    </w:p>
    <w:p w:rsidR="00E93282" w:rsidRPr="00E93282" w:rsidRDefault="00E93282" w:rsidP="00E93282">
      <w:pPr>
        <w:pStyle w:val="Heading2"/>
      </w:pPr>
      <w:bookmarkStart w:id="9" w:name="_Toc374971875"/>
      <w:r w:rsidRPr="00E93282">
        <w:t>Rule requirements</w:t>
      </w:r>
      <w:bookmarkEnd w:id="9"/>
    </w:p>
    <w:p w:rsidR="00E93282" w:rsidRPr="00F51AAA" w:rsidRDefault="00E93282" w:rsidP="00E93282">
      <w:pPr>
        <w:pStyle w:val="AERbodytext"/>
        <w:numPr>
          <w:ilvl w:val="0"/>
          <w:numId w:val="6"/>
        </w:numPr>
      </w:pPr>
      <w:r>
        <w:t>Clauses 6.5.2(c) and 6A.6.2(c) of the NER and rule 87(2</w:t>
      </w:r>
      <w:proofErr w:type="gramStart"/>
      <w:r>
        <w:t>)(</w:t>
      </w:r>
      <w:proofErr w:type="gramEnd"/>
      <w:r>
        <w:t>3) of the NGR set out t</w:t>
      </w:r>
      <w:r w:rsidRPr="004A5E3A">
        <w:t>he allowed rate of return objective</w:t>
      </w:r>
      <w:r>
        <w:t>. The allowed rate of return objective</w:t>
      </w:r>
      <w:r w:rsidRPr="004A5E3A">
        <w:t xml:space="preserve"> requires the AER </w:t>
      </w:r>
      <w:r>
        <w:t xml:space="preserve">to </w:t>
      </w:r>
      <w:r w:rsidRPr="004A5E3A">
        <w:t xml:space="preserve">set the rate of return for a </w:t>
      </w:r>
      <w:r>
        <w:t>distribution or transmission service provider,</w:t>
      </w:r>
      <w:r w:rsidRPr="004A5E3A">
        <w:t xml:space="preserve"> which is commensurate with the efficient financing costs of a benchmark efficient entity with a similar degree of risk as that which applies to the </w:t>
      </w:r>
      <w:r w:rsidRPr="007679DB">
        <w:t>distribution or transmission service provider</w:t>
      </w:r>
      <w:r w:rsidRPr="004A5E3A">
        <w:t xml:space="preserve"> in respect of the provision of </w:t>
      </w:r>
      <w:r>
        <w:t>regulated</w:t>
      </w:r>
      <w:r w:rsidRPr="004A5E3A">
        <w:t xml:space="preserve"> services.</w:t>
      </w:r>
    </w:p>
    <w:p w:rsidR="00E93282" w:rsidRPr="00E93282" w:rsidRDefault="00E93282" w:rsidP="00E93282">
      <w:pPr>
        <w:pStyle w:val="Heading2"/>
      </w:pPr>
      <w:bookmarkStart w:id="10" w:name="_Toc374971876"/>
      <w:r w:rsidRPr="00E93282">
        <w:t>Application</w:t>
      </w:r>
      <w:bookmarkEnd w:id="10"/>
    </w:p>
    <w:p w:rsidR="00E93282" w:rsidRDefault="00E93282" w:rsidP="00E93282">
      <w:pPr>
        <w:pStyle w:val="AERbodytext"/>
        <w:numPr>
          <w:ilvl w:val="0"/>
          <w:numId w:val="6"/>
        </w:numPr>
      </w:pPr>
      <w:r>
        <w:t xml:space="preserve">The AER's proposed conceptual definition of the benchmark efficient entity is a pure play, </w:t>
      </w:r>
      <w:r w:rsidRPr="003E172C">
        <w:t xml:space="preserve">regulated energy </w:t>
      </w:r>
      <w:r>
        <w:t xml:space="preserve">network </w:t>
      </w:r>
      <w:r w:rsidRPr="003E172C">
        <w:t>business operating within Australia</w:t>
      </w:r>
      <w:r>
        <w:t>.</w:t>
      </w:r>
    </w:p>
    <w:p w:rsidR="00E93282" w:rsidRDefault="00E93282" w:rsidP="00E93282">
      <w:pPr>
        <w:pStyle w:val="AERbodytext"/>
        <w:numPr>
          <w:ilvl w:val="0"/>
          <w:numId w:val="6"/>
        </w:numPr>
      </w:pPr>
      <w:r>
        <w:t xml:space="preserve">In estimating the return on equity, the benchmark is applied to comparable entities which are then used to estimate the equity beta (see section </w:t>
      </w:r>
      <w:r>
        <w:fldChar w:fldCharType="begin"/>
      </w:r>
      <w:r>
        <w:instrText xml:space="preserve"> REF _Ref363731938 \r \h </w:instrText>
      </w:r>
      <w:r>
        <w:fldChar w:fldCharType="separate"/>
      </w:r>
      <w:r w:rsidR="0044481E">
        <w:t>5.3.3</w:t>
      </w:r>
      <w:r>
        <w:fldChar w:fldCharType="end"/>
      </w:r>
      <w:r>
        <w:t>). The equity beta, in turn enters the Sharpe–</w:t>
      </w:r>
      <w:proofErr w:type="spellStart"/>
      <w:r>
        <w:t>Lintner</w:t>
      </w:r>
      <w:proofErr w:type="spellEnd"/>
      <w:r>
        <w:t xml:space="preserve"> CAPM model, which is used as the foundation model for estimating the return on equity (see section </w:t>
      </w:r>
      <w:r>
        <w:fldChar w:fldCharType="begin"/>
      </w:r>
      <w:r>
        <w:instrText xml:space="preserve"> REF _Ref363731938 \r \h </w:instrText>
      </w:r>
      <w:r>
        <w:fldChar w:fldCharType="separate"/>
      </w:r>
      <w:r w:rsidR="0044481E">
        <w:t>5.3.3</w:t>
      </w:r>
      <w:r>
        <w:fldChar w:fldCharType="end"/>
      </w:r>
      <w:r>
        <w:t>).</w:t>
      </w:r>
    </w:p>
    <w:p w:rsidR="00E93282" w:rsidRDefault="00E93282" w:rsidP="00E93282">
      <w:pPr>
        <w:pStyle w:val="AERbodytext"/>
        <w:numPr>
          <w:ilvl w:val="0"/>
          <w:numId w:val="6"/>
        </w:numPr>
      </w:pPr>
      <w:r>
        <w:t xml:space="preserve">In estimating the allowed return on debt, the definition of the benchmark efficient entity is applied to inform the choice of comparable entities which are used to estimate: </w:t>
      </w:r>
    </w:p>
    <w:p w:rsidR="00E93282" w:rsidRDefault="00E93282" w:rsidP="00E93282">
      <w:pPr>
        <w:pStyle w:val="AERbulletlistfirststyle"/>
      </w:pPr>
      <w:r>
        <w:t>the benchm</w:t>
      </w:r>
      <w:r w:rsidR="00894A7D">
        <w:t>ark gearing ratio (see section 4</w:t>
      </w:r>
      <w:r>
        <w:t>.3.2)</w:t>
      </w:r>
    </w:p>
    <w:p w:rsidR="00E93282" w:rsidRDefault="00E93282" w:rsidP="00E93282">
      <w:pPr>
        <w:pStyle w:val="AERbulletlistfirststyle"/>
      </w:pPr>
      <w:r>
        <w:t xml:space="preserve">the benchmark credit rating (see section </w:t>
      </w:r>
      <w:r>
        <w:fldChar w:fldCharType="begin"/>
      </w:r>
      <w:r>
        <w:instrText xml:space="preserve"> REF _Ref365363929 \r \h </w:instrText>
      </w:r>
      <w:r>
        <w:fldChar w:fldCharType="separate"/>
      </w:r>
      <w:r w:rsidR="0044481E">
        <w:t>6.3.3</w:t>
      </w:r>
      <w:r>
        <w:fldChar w:fldCharType="end"/>
      </w:r>
      <w:r>
        <w:t>)</w:t>
      </w:r>
    </w:p>
    <w:p w:rsidR="00E93282" w:rsidRDefault="00E93282" w:rsidP="00E93282">
      <w:pPr>
        <w:pStyle w:val="AERbulletlistfirststyle"/>
      </w:pPr>
      <w:proofErr w:type="gramStart"/>
      <w:r>
        <w:t>the</w:t>
      </w:r>
      <w:proofErr w:type="gramEnd"/>
      <w:r>
        <w:t xml:space="preserve"> benchmark </w:t>
      </w:r>
      <w:r w:rsidR="00C47A49">
        <w:t xml:space="preserve">debt </w:t>
      </w:r>
      <w:r w:rsidR="00F774A8">
        <w:t>term (see section 6</w:t>
      </w:r>
      <w:r>
        <w:t>.3.3).</w:t>
      </w:r>
    </w:p>
    <w:p w:rsidR="00E93282" w:rsidRPr="00F51AAA" w:rsidRDefault="00E93282" w:rsidP="00E93282">
      <w:pPr>
        <w:pStyle w:val="AERbodytext"/>
      </w:pPr>
    </w:p>
    <w:p w:rsidR="00E93282" w:rsidRPr="00E93282" w:rsidRDefault="00E93282" w:rsidP="00E93282">
      <w:pPr>
        <w:pStyle w:val="Heading1"/>
      </w:pPr>
      <w:bookmarkStart w:id="11" w:name="_Toc374971877"/>
      <w:r w:rsidRPr="00E93282">
        <w:lastRenderedPageBreak/>
        <w:t>Overall rate of return</w:t>
      </w:r>
      <w:bookmarkEnd w:id="11"/>
    </w:p>
    <w:p w:rsidR="00E93282" w:rsidRPr="00F80A6B" w:rsidRDefault="00E93282" w:rsidP="00E93282">
      <w:pPr>
        <w:pStyle w:val="AERbodytext"/>
        <w:numPr>
          <w:ilvl w:val="0"/>
          <w:numId w:val="6"/>
        </w:numPr>
      </w:pPr>
      <w:r>
        <w:t>This chapter</w:t>
      </w:r>
      <w:r w:rsidRPr="006C0677">
        <w:t xml:space="preserve"> set</w:t>
      </w:r>
      <w:r>
        <w:t>s</w:t>
      </w:r>
      <w:r w:rsidRPr="006C0677">
        <w:t xml:space="preserve"> out the AER's </w:t>
      </w:r>
      <w:r>
        <w:t xml:space="preserve">proposed </w:t>
      </w:r>
      <w:r w:rsidRPr="006C0677">
        <w:t xml:space="preserve">approach to estimating the </w:t>
      </w:r>
      <w:r>
        <w:t xml:space="preserve">overall rate of </w:t>
      </w:r>
      <w:r w:rsidRPr="006C0677">
        <w:t>return for service providers.</w:t>
      </w:r>
    </w:p>
    <w:p w:rsidR="00E93282" w:rsidRPr="00E93282" w:rsidRDefault="00E93282" w:rsidP="00E93282">
      <w:pPr>
        <w:pStyle w:val="Heading2"/>
      </w:pPr>
      <w:bookmarkStart w:id="12" w:name="_Toc374971878"/>
      <w:r w:rsidRPr="00E93282">
        <w:t>Objective</w:t>
      </w:r>
      <w:bookmarkEnd w:id="12"/>
    </w:p>
    <w:p w:rsidR="00E93282" w:rsidRDefault="00E93282" w:rsidP="00E93282">
      <w:pPr>
        <w:pStyle w:val="AERbodytext"/>
        <w:numPr>
          <w:ilvl w:val="0"/>
          <w:numId w:val="6"/>
        </w:numPr>
      </w:pPr>
      <w:r w:rsidRPr="00155F81">
        <w:t>The</w:t>
      </w:r>
      <w:r>
        <w:t xml:space="preserve"> overall rate of return is to be set such that it achieves the</w:t>
      </w:r>
      <w:r w:rsidRPr="00155F81">
        <w:t xml:space="preserve"> allowed rate of return objective</w:t>
      </w:r>
      <w:r>
        <w:t>. This requires that the AER set a</w:t>
      </w:r>
      <w:r w:rsidRPr="00155F81">
        <w:t xml:space="preserve"> rate of return </w:t>
      </w:r>
      <w:r>
        <w:t xml:space="preserve">which reflects the efficient financing costs of a benchmark efficient entity. The benchmark efficient entity is to be subject to a similar degree of risk in providing regulated services as the service provider which is subject to the determination. </w:t>
      </w:r>
    </w:p>
    <w:p w:rsidR="00E93282" w:rsidRDefault="00E93282" w:rsidP="00E93282">
      <w:pPr>
        <w:pStyle w:val="AERbodytext"/>
        <w:numPr>
          <w:ilvl w:val="0"/>
          <w:numId w:val="6"/>
        </w:numPr>
      </w:pPr>
      <w:r w:rsidRPr="00B80F54">
        <w:t>T</w:t>
      </w:r>
      <w:r>
        <w:t xml:space="preserve">ogether with the other building block components, the estimate of the overall rate of return is to be set such that: </w:t>
      </w:r>
    </w:p>
    <w:p w:rsidR="00E93282" w:rsidRDefault="00E93282" w:rsidP="00E93282">
      <w:pPr>
        <w:pStyle w:val="AERbulletlistfirststyle"/>
      </w:pPr>
      <w:r>
        <w:t xml:space="preserve">it </w:t>
      </w:r>
      <w:r w:rsidRPr="00B80F54">
        <w:t>promote</w:t>
      </w:r>
      <w:r>
        <w:t>s</w:t>
      </w:r>
      <w:r w:rsidRPr="00B80F54">
        <w:t xml:space="preserve"> efficient investment in, and efficient operation</w:t>
      </w:r>
      <w:r>
        <w:t xml:space="preserve"> </w:t>
      </w:r>
      <w:r w:rsidRPr="00B80F54">
        <w:t xml:space="preserve">and use of, electricity </w:t>
      </w:r>
      <w:r>
        <w:t xml:space="preserve">and natural gas </w:t>
      </w:r>
      <w:r w:rsidRPr="00B80F54">
        <w:t>services for the long term interests of consumers</w:t>
      </w:r>
      <w:r>
        <w:rPr>
          <w:rStyle w:val="FootnoteReference"/>
        </w:rPr>
        <w:footnoteReference w:id="4"/>
      </w:r>
    </w:p>
    <w:p w:rsidR="00E93282" w:rsidRPr="00B80F54" w:rsidRDefault="00E93282" w:rsidP="00E93282">
      <w:pPr>
        <w:pStyle w:val="AERbulletlistfirststyle"/>
      </w:pPr>
      <w:r>
        <w:t xml:space="preserve">a </w:t>
      </w:r>
      <w:r w:rsidRPr="00B80F54">
        <w:t>regulated network service provider should be provided with a reasonable</w:t>
      </w:r>
      <w:r>
        <w:t xml:space="preserve"> </w:t>
      </w:r>
      <w:r w:rsidRPr="00B80F54">
        <w:t>opportunity to recover at least the efficient costs the operator incurs in</w:t>
      </w:r>
      <w:r>
        <w:t xml:space="preserve"> </w:t>
      </w:r>
      <w:r w:rsidRPr="00B80F54">
        <w:t xml:space="preserve">providing </w:t>
      </w:r>
      <w:r>
        <w:t>regulated</w:t>
      </w:r>
      <w:r w:rsidRPr="00B80F54">
        <w:t xml:space="preserve"> services and</w:t>
      </w:r>
      <w:r>
        <w:t xml:space="preserve"> </w:t>
      </w:r>
      <w:r w:rsidRPr="00B80F54">
        <w:t xml:space="preserve">complying with </w:t>
      </w:r>
      <w:r>
        <w:t>its</w:t>
      </w:r>
      <w:r w:rsidRPr="00B80F54">
        <w:t xml:space="preserve"> regulatory obligation</w:t>
      </w:r>
      <w:r>
        <w:t>s.</w:t>
      </w:r>
      <w:r>
        <w:rPr>
          <w:rStyle w:val="FootnoteReference"/>
        </w:rPr>
        <w:footnoteReference w:id="5"/>
      </w:r>
    </w:p>
    <w:p w:rsidR="00E93282" w:rsidRPr="00E93282" w:rsidRDefault="00E93282" w:rsidP="00E93282">
      <w:pPr>
        <w:pStyle w:val="Heading2"/>
      </w:pPr>
      <w:bookmarkStart w:id="13" w:name="_Toc374971879"/>
      <w:r w:rsidRPr="00E93282">
        <w:t>Rule requirements</w:t>
      </w:r>
      <w:bookmarkEnd w:id="13"/>
    </w:p>
    <w:p w:rsidR="00E93282" w:rsidRDefault="00E93282" w:rsidP="00E93282">
      <w:pPr>
        <w:pStyle w:val="AERbodytext"/>
        <w:numPr>
          <w:ilvl w:val="0"/>
          <w:numId w:val="6"/>
        </w:numPr>
      </w:pPr>
      <w:r>
        <w:t xml:space="preserve">Clauses 6.5.2(d) and </w:t>
      </w:r>
      <w:proofErr w:type="gramStart"/>
      <w:r>
        <w:t>6A.6.2(</w:t>
      </w:r>
      <w:proofErr w:type="gramEnd"/>
      <w:r>
        <w:t>d) of the NER and rule 87(4) of the NGR specify two elements which the AER is to apply in estimating the allowed rate of return.</w:t>
      </w:r>
    </w:p>
    <w:p w:rsidR="00E93282" w:rsidRDefault="00E93282" w:rsidP="00E93282">
      <w:pPr>
        <w:pStyle w:val="AERbodytext"/>
        <w:numPr>
          <w:ilvl w:val="0"/>
          <w:numId w:val="6"/>
        </w:numPr>
      </w:pPr>
      <w:r>
        <w:t xml:space="preserve">The first element, provided by clauses 6.5.2(d)(1), and 6A.6.2(d)(1) of the NER and rule 87(4)(a) of the NGR, requires that the AER apply </w:t>
      </w:r>
      <w:r w:rsidRPr="00B455B3">
        <w:t>a weighted average of</w:t>
      </w:r>
      <w:r>
        <w:t>:</w:t>
      </w:r>
    </w:p>
    <w:p w:rsidR="00E93282" w:rsidRDefault="00E93282" w:rsidP="00E93282">
      <w:pPr>
        <w:pStyle w:val="AERbulletlistfirststyle"/>
      </w:pPr>
      <w:r w:rsidRPr="00B455B3">
        <w:t>the return on equity for the regulatory control period in which that regulatory year occurs</w:t>
      </w:r>
    </w:p>
    <w:p w:rsidR="00E93282" w:rsidRDefault="00E93282" w:rsidP="00E93282">
      <w:pPr>
        <w:pStyle w:val="AERbulletlistfirststyle"/>
      </w:pPr>
      <w:proofErr w:type="gramStart"/>
      <w:r w:rsidRPr="00B455B3">
        <w:t>the</w:t>
      </w:r>
      <w:proofErr w:type="gramEnd"/>
      <w:r w:rsidRPr="00B455B3">
        <w:t xml:space="preserve"> return on debt for that regulatory year</w:t>
      </w:r>
      <w:r>
        <w:t>.</w:t>
      </w:r>
    </w:p>
    <w:p w:rsidR="00E93282" w:rsidRDefault="00E93282" w:rsidP="00E93282">
      <w:pPr>
        <w:pStyle w:val="AERbodytext"/>
        <w:numPr>
          <w:ilvl w:val="0"/>
          <w:numId w:val="6"/>
        </w:numPr>
      </w:pPr>
      <w:r>
        <w:t>The second element provides</w:t>
      </w:r>
      <w:r w:rsidRPr="001E35D7">
        <w:t xml:space="preserve"> that </w:t>
      </w:r>
      <w:r>
        <w:t>the AER</w:t>
      </w:r>
      <w:r w:rsidRPr="001E35D7">
        <w:t xml:space="preserve"> </w:t>
      </w:r>
      <w:r>
        <w:t>must</w:t>
      </w:r>
      <w:r w:rsidRPr="001E35D7">
        <w:t xml:space="preserve"> use a nominal </w:t>
      </w:r>
      <w:r w:rsidR="00C13106">
        <w:t xml:space="preserve">vanilla basis </w:t>
      </w:r>
      <w:r>
        <w:t>to</w:t>
      </w:r>
      <w:r w:rsidRPr="001E35D7">
        <w:t xml:space="preserve"> </w:t>
      </w:r>
      <w:r>
        <w:t>calculate the allowed rate of return</w:t>
      </w:r>
      <w:r w:rsidR="00C13106">
        <w:t>, and that this is consistent with the estimate of value of imputation credits</w:t>
      </w:r>
      <w:r>
        <w:t>.</w:t>
      </w:r>
      <w:r>
        <w:rPr>
          <w:rStyle w:val="FootnoteReference"/>
        </w:rPr>
        <w:footnoteReference w:id="6"/>
      </w:r>
      <w:r>
        <w:t xml:space="preserve"> In arriving at the allowed rate of return, the rules require that the AER has regard to:</w:t>
      </w:r>
      <w:r>
        <w:rPr>
          <w:rStyle w:val="FootnoteReference"/>
        </w:rPr>
        <w:footnoteReference w:id="7"/>
      </w:r>
    </w:p>
    <w:p w:rsidR="00E93282" w:rsidRDefault="00E93282" w:rsidP="00E93282">
      <w:pPr>
        <w:pStyle w:val="AERbulletlistfirststyle"/>
      </w:pPr>
      <w:r w:rsidRPr="008B5673">
        <w:t>relevant estimation methods, financial models, market data and other evidence</w:t>
      </w:r>
      <w:r>
        <w:t>;</w:t>
      </w:r>
    </w:p>
    <w:p w:rsidR="00E93282" w:rsidRDefault="00E93282" w:rsidP="00E93282">
      <w:pPr>
        <w:pStyle w:val="AERbulletlistfirststyle"/>
      </w:pPr>
      <w:r w:rsidRPr="008B5673">
        <w:t>the desirability of using an approach that leads to the consistent application of any estimates of financial parameters that are relevant to the estimates of, and that are common to, the return on equity and the return on debt</w:t>
      </w:r>
      <w:r>
        <w:t>; and</w:t>
      </w:r>
    </w:p>
    <w:p w:rsidR="00E93282" w:rsidRPr="006C0677" w:rsidRDefault="00E93282" w:rsidP="00E93282">
      <w:pPr>
        <w:pStyle w:val="AERbulletlistfirststyle"/>
      </w:pPr>
      <w:proofErr w:type="gramStart"/>
      <w:r w:rsidRPr="008B5673">
        <w:t>any</w:t>
      </w:r>
      <w:proofErr w:type="gramEnd"/>
      <w:r w:rsidRPr="008B5673">
        <w:t xml:space="preserve"> interrelationships between estimates of financial parameters that are relevant to the estimates of the return on equity and the return on debt</w:t>
      </w:r>
      <w:r>
        <w:t>.</w:t>
      </w:r>
    </w:p>
    <w:p w:rsidR="00E93282" w:rsidRPr="00E93282" w:rsidRDefault="00E93282" w:rsidP="00E93282">
      <w:pPr>
        <w:pStyle w:val="Heading2"/>
      </w:pPr>
      <w:bookmarkStart w:id="14" w:name="_Toc374971880"/>
      <w:r w:rsidRPr="00E93282">
        <w:lastRenderedPageBreak/>
        <w:t>Application</w:t>
      </w:r>
      <w:bookmarkEnd w:id="14"/>
    </w:p>
    <w:p w:rsidR="00E93282" w:rsidRDefault="00E93282" w:rsidP="00E93282">
      <w:pPr>
        <w:pStyle w:val="AERbodytext"/>
        <w:numPr>
          <w:ilvl w:val="0"/>
          <w:numId w:val="6"/>
        </w:numPr>
      </w:pPr>
      <w:r w:rsidRPr="00D62AE7">
        <w:t xml:space="preserve">This section describes how the </w:t>
      </w:r>
      <w:r>
        <w:t>overall rate of return</w:t>
      </w:r>
      <w:r w:rsidRPr="00D62AE7">
        <w:t xml:space="preserve"> </w:t>
      </w:r>
      <w:r>
        <w:t>is proposed to be estimated</w:t>
      </w:r>
      <w:r w:rsidRPr="00D62AE7">
        <w:t>.</w:t>
      </w:r>
      <w:r>
        <w:t xml:space="preserve"> This involves the following:</w:t>
      </w:r>
    </w:p>
    <w:p w:rsidR="00E93282" w:rsidRDefault="00E93282" w:rsidP="00E93282">
      <w:pPr>
        <w:pStyle w:val="AERbulletlistfirststyle"/>
      </w:pPr>
      <w:r>
        <w:t>applying a nominal post–tax model</w:t>
      </w:r>
    </w:p>
    <w:p w:rsidR="00E93282" w:rsidRDefault="00E93282" w:rsidP="00E93282">
      <w:pPr>
        <w:pStyle w:val="AERbulletlistfirststyle"/>
      </w:pPr>
      <w:r>
        <w:t>calculating the weighted average cost of capital (WACC) using a vanilla WACC formula</w:t>
      </w:r>
    </w:p>
    <w:p w:rsidR="00E93282" w:rsidRDefault="00E93282" w:rsidP="00E93282">
      <w:pPr>
        <w:pStyle w:val="AERbulletlistfirststyle"/>
      </w:pPr>
      <w:r>
        <w:t>applying intra–period adjustments of the WACC</w:t>
      </w:r>
    </w:p>
    <w:p w:rsidR="00E93282" w:rsidRPr="00163CB9" w:rsidRDefault="00E93282" w:rsidP="00163CB9">
      <w:pPr>
        <w:pStyle w:val="Heading3"/>
      </w:pPr>
      <w:r w:rsidRPr="00163CB9">
        <w:t>Applying a nominal post–tax model</w:t>
      </w:r>
    </w:p>
    <w:p w:rsidR="00E93282" w:rsidRDefault="00E93282" w:rsidP="00E93282">
      <w:pPr>
        <w:pStyle w:val="AERbodytext"/>
        <w:numPr>
          <w:ilvl w:val="0"/>
          <w:numId w:val="6"/>
        </w:numPr>
      </w:pPr>
      <w:r>
        <w:t xml:space="preserve">The AER proposes to continue to apply </w:t>
      </w:r>
      <w:r w:rsidR="00C54DE9">
        <w:t>a</w:t>
      </w:r>
      <w:r w:rsidR="001954D1">
        <w:t xml:space="preserve"> </w:t>
      </w:r>
      <w:r>
        <w:t>post</w:t>
      </w:r>
      <w:r w:rsidR="00737265">
        <w:t>–</w:t>
      </w:r>
      <w:r>
        <w:t>tax revenue model (PTRM) to fulfil the rule requirements to apply a nominal post–tax framework.</w:t>
      </w:r>
      <w:r>
        <w:rPr>
          <w:rStyle w:val="FootnoteReference"/>
        </w:rPr>
        <w:footnoteReference w:id="8"/>
      </w:r>
    </w:p>
    <w:p w:rsidR="00E93282" w:rsidRPr="00362ACC" w:rsidRDefault="00E93282" w:rsidP="00363DAA">
      <w:pPr>
        <w:pStyle w:val="AERbodytext"/>
        <w:numPr>
          <w:ilvl w:val="0"/>
          <w:numId w:val="6"/>
        </w:numPr>
      </w:pPr>
      <w:r>
        <w:t>The PTRM accommodates the use of a nominal vanilla WACC for calculating the rate of return.</w:t>
      </w:r>
      <w:r w:rsidR="0080117F">
        <w:rPr>
          <w:rStyle w:val="FootnoteReference"/>
        </w:rPr>
        <w:footnoteReference w:id="9"/>
      </w:r>
      <w:r>
        <w:t xml:space="preserve"> The treatment of tax enters the PTRM via the cash flows. It is therefore consistent with the use of a nominal vanilla WACC for calculating the rate of return</w:t>
      </w:r>
      <w:r w:rsidR="0080117F">
        <w:t xml:space="preserve"> and consistently incorporates the estimate of the value of imputation credits</w:t>
      </w:r>
      <w:r>
        <w:t>.</w:t>
      </w:r>
    </w:p>
    <w:p w:rsidR="00E93282" w:rsidRPr="00163CB9" w:rsidRDefault="00E93282" w:rsidP="00163CB9">
      <w:pPr>
        <w:pStyle w:val="Heading3"/>
      </w:pPr>
      <w:r w:rsidRPr="00163CB9">
        <w:t>Calculating the weighted average cost of capital using a vanilla WACC formula</w:t>
      </w:r>
    </w:p>
    <w:p w:rsidR="00E93282" w:rsidRDefault="00E93282" w:rsidP="00E93282">
      <w:pPr>
        <w:pStyle w:val="AERbodytext"/>
        <w:numPr>
          <w:ilvl w:val="0"/>
          <w:numId w:val="6"/>
        </w:numPr>
      </w:pPr>
      <w:r>
        <w:t>The AER proposes to calculate the WACC by applying the following vanilla WACC formula:</w:t>
      </w:r>
    </w:p>
    <w:p w:rsidR="00E93282" w:rsidRPr="00BF2C29" w:rsidRDefault="00E93282" w:rsidP="00E93282">
      <m:oMathPara>
        <m:oMath>
          <m:r>
            <m:rPr>
              <m:sty m:val="p"/>
            </m:rPr>
            <w:rPr>
              <w:rFonts w:ascii="Cambria Math" w:hAnsi="Cambria Math"/>
            </w:rPr>
            <w:br/>
          </m:r>
        </m:oMath>
        <m:oMath>
          <m:sSub>
            <m:sSubPr>
              <m:ctrlPr>
                <w:rPr>
                  <w:rFonts w:ascii="Cambria Math" w:hAnsi="Cambria Math"/>
                </w:rPr>
              </m:ctrlPr>
            </m:sSubPr>
            <m:e>
              <m:r>
                <w:rPr>
                  <w:rFonts w:ascii="Cambria Math" w:hAnsi="Cambria Math"/>
                </w:rPr>
                <m:t>WACC</m:t>
              </m:r>
            </m:e>
            <m:sub>
              <m:r>
                <w:rPr>
                  <w:rFonts w:ascii="Cambria Math" w:hAnsi="Cambria Math"/>
                </w:rPr>
                <m:t>vanilla</m:t>
              </m:r>
            </m:sub>
          </m:sSub>
          <m:r>
            <w:rPr>
              <w:rFonts w:ascii="Cambria Math" w:hAnsi="Cambria Math"/>
            </w:rPr>
            <m:t>=E</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e</m:t>
                  </m:r>
                </m:sub>
              </m:sSub>
            </m:e>
          </m:d>
          <m:f>
            <m:fPr>
              <m:ctrlPr>
                <w:rPr>
                  <w:rFonts w:ascii="Cambria Math" w:hAnsi="Cambria Math"/>
                </w:rPr>
              </m:ctrlPr>
            </m:fPr>
            <m:num>
              <m:r>
                <w:rPr>
                  <w:rFonts w:ascii="Cambria Math" w:hAnsi="Cambria Math"/>
                </w:rPr>
                <m:t>E</m:t>
              </m:r>
            </m:num>
            <m:den>
              <m:r>
                <w:rPr>
                  <w:rFonts w:ascii="Cambria Math" w:hAnsi="Cambria Math"/>
                </w:rPr>
                <m:t>V</m:t>
              </m:r>
            </m:den>
          </m:f>
          <m:r>
            <w:rPr>
              <w:rFonts w:ascii="Cambria Math" w:hAnsi="Cambria Math"/>
            </w:rPr>
            <m:t>+E</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d</m:t>
                  </m:r>
                </m:sub>
              </m:sSub>
            </m:e>
          </m:d>
          <m:f>
            <m:fPr>
              <m:ctrlPr>
                <w:rPr>
                  <w:rFonts w:ascii="Cambria Math" w:hAnsi="Cambria Math"/>
                </w:rPr>
              </m:ctrlPr>
            </m:fPr>
            <m:num>
              <m:r>
                <w:rPr>
                  <w:rFonts w:ascii="Cambria Math" w:hAnsi="Cambria Math"/>
                </w:rPr>
                <m:t>D</m:t>
              </m:r>
            </m:num>
            <m:den>
              <m:r>
                <w:rPr>
                  <w:rFonts w:ascii="Cambria Math" w:hAnsi="Cambria Math"/>
                </w:rPr>
                <m:t>V</m:t>
              </m:r>
            </m:den>
          </m:f>
        </m:oMath>
      </m:oMathPara>
    </w:p>
    <w:p w:rsidR="00E93282" w:rsidRDefault="00E93282" w:rsidP="00E93282">
      <w:proofErr w:type="gramStart"/>
      <w:r>
        <w:t>where</w:t>
      </w:r>
      <w:proofErr w:type="gramEnd"/>
      <w:r>
        <w:t>:</w:t>
      </w:r>
    </w:p>
    <w:p w:rsidR="00E93282" w:rsidRDefault="00E93282" w:rsidP="00E93282">
      <w:pPr>
        <w:pStyle w:val="AERbulletlistfirststyle"/>
      </w:pPr>
      <w:r w:rsidRPr="005278DF">
        <w:rPr>
          <w:rStyle w:val="AERtextitalic"/>
        </w:rPr>
        <w:t>E(</w:t>
      </w:r>
      <w:proofErr w:type="spellStart"/>
      <w:r w:rsidRPr="005278DF">
        <w:rPr>
          <w:rStyle w:val="AERtextitalic"/>
        </w:rPr>
        <w:t>k</w:t>
      </w:r>
      <w:r w:rsidRPr="005278DF">
        <w:rPr>
          <w:rStyle w:val="AERsubscript"/>
        </w:rPr>
        <w:t>e</w:t>
      </w:r>
      <w:proofErr w:type="spellEnd"/>
      <w:r w:rsidRPr="005278DF">
        <w:rPr>
          <w:rStyle w:val="AERtextitalic"/>
        </w:rPr>
        <w:t>)</w:t>
      </w:r>
      <w:r>
        <w:rPr>
          <w:rStyle w:val="AERbody"/>
        </w:rPr>
        <w:t xml:space="preserve"> </w:t>
      </w:r>
      <w:r w:rsidRPr="00BD07B7">
        <w:t xml:space="preserve">is the expected </w:t>
      </w:r>
      <w:r w:rsidR="001E2BC8">
        <w:t xml:space="preserve">required </w:t>
      </w:r>
      <w:r w:rsidRPr="00BD07B7">
        <w:t>return on equity</w:t>
      </w:r>
    </w:p>
    <w:p w:rsidR="00E93282" w:rsidRDefault="00E93282" w:rsidP="00E93282">
      <w:pPr>
        <w:pStyle w:val="AERbulletlistfirststyle"/>
      </w:pPr>
      <w:r w:rsidRPr="005278DF">
        <w:rPr>
          <w:rStyle w:val="AERtextitalic"/>
        </w:rPr>
        <w:t>E(</w:t>
      </w:r>
      <w:proofErr w:type="spellStart"/>
      <w:r w:rsidRPr="005278DF">
        <w:rPr>
          <w:rStyle w:val="AERtextitalic"/>
        </w:rPr>
        <w:t>k</w:t>
      </w:r>
      <w:r>
        <w:rPr>
          <w:rStyle w:val="AERsubscript"/>
        </w:rPr>
        <w:t>d</w:t>
      </w:r>
      <w:proofErr w:type="spellEnd"/>
      <w:r w:rsidRPr="005278DF">
        <w:rPr>
          <w:rStyle w:val="AERtextitalic"/>
        </w:rPr>
        <w:t>)</w:t>
      </w:r>
      <w:r>
        <w:rPr>
          <w:rStyle w:val="AERbody"/>
        </w:rPr>
        <w:t xml:space="preserve"> </w:t>
      </w:r>
      <w:r w:rsidRPr="00BD07B7">
        <w:t xml:space="preserve">is the expected </w:t>
      </w:r>
      <w:r w:rsidR="001E2BC8">
        <w:t xml:space="preserve">required </w:t>
      </w:r>
      <w:r w:rsidRPr="00BD07B7">
        <w:t>return on debt</w:t>
      </w:r>
    </w:p>
    <w:p w:rsidR="00E93282" w:rsidRDefault="0044481E" w:rsidP="00E93282">
      <w:pPr>
        <w:pStyle w:val="AERbulletlistfirststyle"/>
      </w:pPr>
      <m:oMath>
        <m:f>
          <m:fPr>
            <m:ctrlPr>
              <w:rPr>
                <w:rFonts w:ascii="Cambria Math" w:hAnsi="Cambria Math"/>
              </w:rPr>
            </m:ctrlPr>
          </m:fPr>
          <m:num>
            <m:r>
              <w:rPr>
                <w:rFonts w:ascii="Cambria Math" w:hAnsi="Cambria Math"/>
              </w:rPr>
              <m:t>E</m:t>
            </m:r>
          </m:num>
          <m:den>
            <m:r>
              <w:rPr>
                <w:rFonts w:ascii="Cambria Math" w:hAnsi="Cambria Math"/>
              </w:rPr>
              <m:t>V</m:t>
            </m:r>
          </m:den>
        </m:f>
      </m:oMath>
      <w:r w:rsidR="00E93282">
        <w:t xml:space="preserve"> </w:t>
      </w:r>
      <w:proofErr w:type="gramStart"/>
      <w:r w:rsidR="00E93282" w:rsidRPr="00BD07B7">
        <w:t>is</w:t>
      </w:r>
      <w:proofErr w:type="gramEnd"/>
      <w:r w:rsidR="00E93282" w:rsidRPr="00BD07B7">
        <w:t xml:space="preserve"> the proportion of equity in total financing (comprising equity and debt</w:t>
      </w:r>
      <w:r w:rsidR="00E93282">
        <w:t>).</w:t>
      </w:r>
    </w:p>
    <w:p w:rsidR="00E93282" w:rsidRPr="00BD07B7" w:rsidRDefault="0044481E" w:rsidP="00E93282">
      <w:pPr>
        <w:pStyle w:val="AERbulletlistfirststyle"/>
      </w:pPr>
      <m:oMath>
        <m:f>
          <m:fPr>
            <m:ctrlPr>
              <w:rPr>
                <w:rFonts w:ascii="Cambria Math" w:hAnsi="Cambria Math"/>
              </w:rPr>
            </m:ctrlPr>
          </m:fPr>
          <m:num>
            <m:r>
              <w:rPr>
                <w:rFonts w:ascii="Cambria Math" w:hAnsi="Cambria Math"/>
              </w:rPr>
              <m:t>D</m:t>
            </m:r>
          </m:num>
          <m:den>
            <m:r>
              <w:rPr>
                <w:rFonts w:ascii="Cambria Math" w:hAnsi="Cambria Math"/>
              </w:rPr>
              <m:t>V</m:t>
            </m:r>
          </m:den>
        </m:f>
      </m:oMath>
      <w:r w:rsidR="00E93282">
        <w:t xml:space="preserve"> </w:t>
      </w:r>
      <w:proofErr w:type="gramStart"/>
      <w:r w:rsidR="00E93282" w:rsidRPr="00BD07B7">
        <w:t>is</w:t>
      </w:r>
      <w:proofErr w:type="gramEnd"/>
      <w:r w:rsidR="00E93282" w:rsidRPr="00BD07B7">
        <w:t xml:space="preserve"> the proportion of debt in total financing</w:t>
      </w:r>
      <w:r w:rsidR="00E93282">
        <w:t xml:space="preserve">, and is equal to </w:t>
      </w:r>
      <w:r w:rsidR="00A4268C">
        <w:t>the AER's</w:t>
      </w:r>
      <w:r w:rsidR="00E93282">
        <w:t xml:space="preserve"> proposed benchmark efficient entity gearing ratio of 0.6.</w:t>
      </w:r>
    </w:p>
    <w:p w:rsidR="00E93282" w:rsidRPr="00163CB9" w:rsidRDefault="00E93282" w:rsidP="00163CB9">
      <w:pPr>
        <w:pStyle w:val="Heading3"/>
      </w:pPr>
      <w:r w:rsidRPr="00163CB9">
        <w:t>Intra–period adjustment of the WACC</w:t>
      </w:r>
    </w:p>
    <w:p w:rsidR="00E93282" w:rsidRDefault="00E93282" w:rsidP="00E93282">
      <w:pPr>
        <w:pStyle w:val="AERbodytext"/>
        <w:numPr>
          <w:ilvl w:val="0"/>
          <w:numId w:val="6"/>
        </w:numPr>
      </w:pPr>
      <w:r>
        <w:t>The AER proposes to update the overall rate of return annually. This is a result of the allowed return on debt being updated annually.</w:t>
      </w:r>
    </w:p>
    <w:p w:rsidR="00E93282" w:rsidRDefault="00E93282" w:rsidP="00E93282">
      <w:pPr>
        <w:pStyle w:val="AERbodytext"/>
        <w:numPr>
          <w:ilvl w:val="0"/>
          <w:numId w:val="6"/>
        </w:numPr>
      </w:pPr>
      <w:r>
        <w:t>The AER proposes to set the expected return on equity for the duration of the regulatory control period.</w:t>
      </w:r>
    </w:p>
    <w:p w:rsidR="00E93282" w:rsidRPr="00163CB9" w:rsidRDefault="00E93282" w:rsidP="00163CB9">
      <w:pPr>
        <w:pStyle w:val="Heading3"/>
      </w:pPr>
      <w:r w:rsidRPr="00163CB9">
        <w:lastRenderedPageBreak/>
        <w:t>Arriving at point estimates or ranges</w:t>
      </w:r>
    </w:p>
    <w:p w:rsidR="00E93282" w:rsidRPr="00986868" w:rsidRDefault="00E93282" w:rsidP="00E93282">
      <w:pPr>
        <w:pStyle w:val="AERbodytext"/>
        <w:numPr>
          <w:ilvl w:val="0"/>
          <w:numId w:val="6"/>
        </w:numPr>
      </w:pPr>
      <w:r>
        <w:t xml:space="preserve">The overall rate of return is a point estimate, reflecting the use of a point estimate for the </w:t>
      </w:r>
      <w:r w:rsidR="00E243CB">
        <w:t xml:space="preserve">allowed </w:t>
      </w:r>
      <w:r>
        <w:t>return on debt and the expected return on equity.</w:t>
      </w:r>
    </w:p>
    <w:p w:rsidR="00E93282" w:rsidRPr="00E93282" w:rsidRDefault="00E93282" w:rsidP="00E93282">
      <w:pPr>
        <w:pStyle w:val="Heading1"/>
      </w:pPr>
      <w:bookmarkStart w:id="15" w:name="_Toc374543936"/>
      <w:bookmarkStart w:id="16" w:name="_Toc374543965"/>
      <w:bookmarkStart w:id="17" w:name="_Toc374543937"/>
      <w:bookmarkStart w:id="18" w:name="_Toc374543966"/>
      <w:bookmarkStart w:id="19" w:name="_Toc374971881"/>
      <w:bookmarkEnd w:id="15"/>
      <w:bookmarkEnd w:id="16"/>
      <w:bookmarkEnd w:id="17"/>
      <w:bookmarkEnd w:id="18"/>
      <w:r w:rsidRPr="00E93282">
        <w:lastRenderedPageBreak/>
        <w:t>Return on equity</w:t>
      </w:r>
      <w:bookmarkEnd w:id="19"/>
    </w:p>
    <w:p w:rsidR="00E93282" w:rsidRDefault="00E93282" w:rsidP="00E93282">
      <w:pPr>
        <w:rPr>
          <w:rStyle w:val="AERbody"/>
        </w:rPr>
      </w:pPr>
      <w:r>
        <w:t xml:space="preserve">This chapter sets out the </w:t>
      </w:r>
      <w:r w:rsidRPr="00B667CF">
        <w:t xml:space="preserve">AER’s </w:t>
      </w:r>
      <w:r>
        <w:t>proposed approach to estimating the expected return on equity. The AER proposes a</w:t>
      </w:r>
      <w:r w:rsidRPr="003C3E75">
        <w:t xml:space="preserve"> </w:t>
      </w:r>
      <w:r>
        <w:t xml:space="preserve">six step approach to </w:t>
      </w:r>
      <w:r w:rsidRPr="003C3E75">
        <w:t xml:space="preserve">determine an estimate of the </w:t>
      </w:r>
      <w:r>
        <w:t xml:space="preserve">expected </w:t>
      </w:r>
      <w:r w:rsidRPr="003C3E75">
        <w:t xml:space="preserve">return on equity that </w:t>
      </w:r>
      <w:r>
        <w:t>contributes to an overall rate of return that achieves</w:t>
      </w:r>
      <w:r w:rsidRPr="003C3E75">
        <w:t xml:space="preserve"> the allowed rate of return objective</w:t>
      </w:r>
      <w:r>
        <w:t>.</w:t>
      </w:r>
      <w:r w:rsidRPr="003C3E75">
        <w:t xml:space="preserve"> These steps are explained below</w:t>
      </w:r>
      <w:r>
        <w:t>, and are</w:t>
      </w:r>
      <w:r>
        <w:rPr>
          <w:rStyle w:val="AERbody"/>
        </w:rPr>
        <w:t xml:space="preserve"> summarised in </w:t>
      </w:r>
      <w:r>
        <w:rPr>
          <w:rStyle w:val="AERbody"/>
        </w:rPr>
        <w:fldChar w:fldCharType="begin"/>
      </w:r>
      <w:r>
        <w:rPr>
          <w:rStyle w:val="AERbody"/>
        </w:rPr>
        <w:instrText xml:space="preserve"> REF  _Ref362959174 \* Lower \h  \* MERGEFORMAT </w:instrText>
      </w:r>
      <w:r>
        <w:rPr>
          <w:rStyle w:val="AERbody"/>
        </w:rPr>
      </w:r>
      <w:r>
        <w:rPr>
          <w:rStyle w:val="AERbody"/>
        </w:rPr>
        <w:fldChar w:fldCharType="separate"/>
      </w:r>
      <w:r w:rsidR="0044481E">
        <w:t>figure 5.1</w:t>
      </w:r>
      <w:r>
        <w:rPr>
          <w:rStyle w:val="AERbody"/>
        </w:rPr>
        <w:fldChar w:fldCharType="end"/>
      </w:r>
      <w:r w:rsidRPr="00B02FBF">
        <w:rPr>
          <w:rStyle w:val="AERbody"/>
        </w:rPr>
        <w:t>.</w:t>
      </w:r>
    </w:p>
    <w:p w:rsidR="00E93282" w:rsidRPr="00E93282" w:rsidRDefault="00E93282" w:rsidP="00E93282">
      <w:pPr>
        <w:pStyle w:val="Heading2"/>
      </w:pPr>
      <w:bookmarkStart w:id="20" w:name="_Toc374971882"/>
      <w:r w:rsidRPr="00E93282">
        <w:t>Objective</w:t>
      </w:r>
      <w:bookmarkEnd w:id="20"/>
    </w:p>
    <w:p w:rsidR="00E93282" w:rsidRPr="00225FBA" w:rsidRDefault="00E93282" w:rsidP="00E93282">
      <w:pPr>
        <w:pStyle w:val="AERbodytext"/>
        <w:numPr>
          <w:ilvl w:val="0"/>
          <w:numId w:val="6"/>
        </w:numPr>
      </w:pPr>
      <w:r>
        <w:t xml:space="preserve">The expected return on equity must be </w:t>
      </w:r>
      <w:r w:rsidRPr="00225FBA">
        <w:t>estimated such that it contributes to the achievement of the allowed rate of return objective</w:t>
      </w:r>
      <w:r>
        <w:t>.</w:t>
      </w:r>
      <w:r w:rsidR="00E243CB">
        <w:t xml:space="preserve"> It should therefore provide compensation to a service provider for the equity financing cost which is commensurate with the efficient financing costs of a benchmark efficient entity with a similar degree of risk. </w:t>
      </w:r>
    </w:p>
    <w:p w:rsidR="00E93282" w:rsidRPr="00E93282" w:rsidRDefault="00E93282" w:rsidP="00E93282">
      <w:pPr>
        <w:pStyle w:val="Heading2"/>
      </w:pPr>
      <w:bookmarkStart w:id="21" w:name="_Toc374971883"/>
      <w:r w:rsidRPr="00E93282">
        <w:t>Rule requirements</w:t>
      </w:r>
      <w:bookmarkEnd w:id="21"/>
    </w:p>
    <w:p w:rsidR="00E93282" w:rsidRDefault="00E93282" w:rsidP="00E93282">
      <w:pPr>
        <w:pStyle w:val="AERbodytext"/>
        <w:numPr>
          <w:ilvl w:val="0"/>
          <w:numId w:val="6"/>
        </w:numPr>
      </w:pPr>
      <w:r>
        <w:t>Clauses 6.5.2(f)</w:t>
      </w:r>
      <w:r w:rsidR="001E2BC8">
        <w:t>, 6.5.2</w:t>
      </w:r>
      <w:r>
        <w:t>(g)</w:t>
      </w:r>
      <w:r w:rsidR="00CB63F5">
        <w:t xml:space="preserve">, 6A.6.2(f) and </w:t>
      </w:r>
      <w:r w:rsidR="001E2BC8">
        <w:t>6A.6.2</w:t>
      </w:r>
      <w:r w:rsidR="00CB63F5">
        <w:t>(g)</w:t>
      </w:r>
      <w:r>
        <w:t xml:space="preserve"> of the </w:t>
      </w:r>
      <w:r w:rsidRPr="00F2470F">
        <w:t>NER</w:t>
      </w:r>
      <w:r w:rsidR="00F32065">
        <w:t>,</w:t>
      </w:r>
      <w:r w:rsidRPr="00F2470F">
        <w:t xml:space="preserve"> and </w:t>
      </w:r>
      <w:r w:rsidR="00F32065">
        <w:t xml:space="preserve">rules </w:t>
      </w:r>
      <w:r w:rsidRPr="00F2470F">
        <w:t xml:space="preserve">87(6) and </w:t>
      </w:r>
      <w:r w:rsidR="001E2BC8">
        <w:t>87</w:t>
      </w:r>
      <w:r w:rsidRPr="00F2470F">
        <w:t>(7) of</w:t>
      </w:r>
      <w:r>
        <w:t xml:space="preserve"> the NG</w:t>
      </w:r>
      <w:r w:rsidR="00CB63F5">
        <w:t>R</w:t>
      </w:r>
      <w:r>
        <w:t xml:space="preserve"> specify that:</w:t>
      </w:r>
    </w:p>
    <w:p w:rsidR="00E93282" w:rsidRPr="008971BE" w:rsidRDefault="00E93282" w:rsidP="00E93282">
      <w:pPr>
        <w:pStyle w:val="AERbulletlistfirststyle"/>
      </w:pPr>
      <w:r>
        <w:t>t</w:t>
      </w:r>
      <w:r w:rsidRPr="008971BE">
        <w:t>he return on equity for a regulatory control period must be estimated such that it contributes to the achievement of the al</w:t>
      </w:r>
      <w:r>
        <w:t>lowed rate of return objective</w:t>
      </w:r>
    </w:p>
    <w:p w:rsidR="00E93282" w:rsidRDefault="00E93282" w:rsidP="00E93282">
      <w:pPr>
        <w:pStyle w:val="AERbulletlistfirststyle"/>
      </w:pPr>
      <w:proofErr w:type="gramStart"/>
      <w:r>
        <w:t>i</w:t>
      </w:r>
      <w:r w:rsidRPr="008971BE">
        <w:t>n</w:t>
      </w:r>
      <w:proofErr w:type="gramEnd"/>
      <w:r w:rsidRPr="008971BE">
        <w:t xml:space="preserve"> estimating the return on equity, regard must be had to the prevailing conditions in the market for equity funds.</w:t>
      </w:r>
    </w:p>
    <w:p w:rsidR="00E93282" w:rsidRDefault="00E93282" w:rsidP="00E93282">
      <w:r>
        <w:t>The allowed rate of return objective is that:</w:t>
      </w:r>
      <w:r>
        <w:rPr>
          <w:rStyle w:val="FootnoteReference"/>
        </w:rPr>
        <w:footnoteReference w:id="10"/>
      </w:r>
    </w:p>
    <w:p w:rsidR="00E93282" w:rsidRDefault="00E93282" w:rsidP="00E93282">
      <w:pPr>
        <w:pStyle w:val="AERbulletlistfirststyle"/>
      </w:pPr>
      <w:proofErr w:type="gramStart"/>
      <w:r>
        <w:t>t</w:t>
      </w:r>
      <w:r w:rsidRPr="008971BE">
        <w:t>he</w:t>
      </w:r>
      <w:proofErr w:type="gramEnd"/>
      <w:r w:rsidRPr="008971BE">
        <w:t xml:space="preserve"> rate of return for a </w:t>
      </w:r>
      <w:r>
        <w:t>s</w:t>
      </w:r>
      <w:r w:rsidRPr="008971BE">
        <w:t xml:space="preserve">ervice </w:t>
      </w:r>
      <w:r>
        <w:t>p</w:t>
      </w:r>
      <w:r w:rsidRPr="008971BE">
        <w:t xml:space="preserve">rovider is to be commensurate with the efficient financing costs of a benchmark efficient entity with a similar degree of risk as that which applies to the </w:t>
      </w:r>
      <w:r>
        <w:t>service provider.</w:t>
      </w:r>
      <w:r w:rsidRPr="008971BE">
        <w:t xml:space="preserve"> </w:t>
      </w:r>
    </w:p>
    <w:p w:rsidR="00E93282" w:rsidRDefault="00E93282" w:rsidP="00E93282">
      <w:pPr>
        <w:rPr>
          <w:rStyle w:val="AERbody"/>
        </w:rPr>
      </w:pPr>
      <w:r>
        <w:rPr>
          <w:rStyle w:val="AERbody"/>
        </w:rPr>
        <w:t>I</w:t>
      </w:r>
      <w:r w:rsidRPr="00F977E2">
        <w:rPr>
          <w:rStyle w:val="AERbody"/>
        </w:rPr>
        <w:t xml:space="preserve">n </w:t>
      </w:r>
      <w:r>
        <w:rPr>
          <w:rStyle w:val="AERbody"/>
        </w:rPr>
        <w:t xml:space="preserve">developing a guideline that estimates the expected return on equity in accordance with the allowed rate of return objective, the AER has had regard to, among other things, </w:t>
      </w:r>
      <w:r w:rsidRPr="00225FBA">
        <w:t>relevant estimation methods, financial models, market data and other evidence</w:t>
      </w:r>
      <w:r>
        <w:rPr>
          <w:rStyle w:val="AERbody"/>
        </w:rPr>
        <w:t>.</w:t>
      </w:r>
      <w:r>
        <w:rPr>
          <w:rStyle w:val="FootnoteReference"/>
        </w:rPr>
        <w:footnoteReference w:id="11"/>
      </w:r>
    </w:p>
    <w:p w:rsidR="00E93282" w:rsidRPr="001C6D6A" w:rsidRDefault="00E93282" w:rsidP="001C6D6A">
      <w:pPr>
        <w:pStyle w:val="Heading2"/>
        <w:rPr>
          <w:rStyle w:val="AERbody"/>
          <w:color w:val="E36C0A"/>
          <w:sz w:val="28"/>
        </w:rPr>
      </w:pPr>
      <w:bookmarkStart w:id="22" w:name="_Toc374971884"/>
      <w:r w:rsidRPr="001C6D6A">
        <w:rPr>
          <w:rStyle w:val="AERbody"/>
          <w:color w:val="E36C0A"/>
          <w:sz w:val="28"/>
        </w:rPr>
        <w:t>Application</w:t>
      </w:r>
      <w:bookmarkEnd w:id="22"/>
    </w:p>
    <w:p w:rsidR="00163CB9" w:rsidRPr="00163CB9" w:rsidRDefault="00163CB9" w:rsidP="00163CB9">
      <w:pPr>
        <w:pStyle w:val="AERbodytext"/>
      </w:pPr>
      <w:r>
        <w:t xml:space="preserve">The AER proposes to estimate the expected return on equity using the approach summarised in </w:t>
      </w:r>
      <w:r>
        <w:fldChar w:fldCharType="begin"/>
      </w:r>
      <w:r>
        <w:instrText xml:space="preserve"> REF  _Ref362959174 \* Lower \h  \* MERGEFORMAT </w:instrText>
      </w:r>
      <w:r>
        <w:fldChar w:fldCharType="separate"/>
      </w:r>
      <w:r w:rsidR="0044481E">
        <w:t xml:space="preserve">figure </w:t>
      </w:r>
      <w:r w:rsidR="0044481E">
        <w:rPr>
          <w:noProof/>
        </w:rPr>
        <w:t>5.1</w:t>
      </w:r>
      <w:r>
        <w:fldChar w:fldCharType="end"/>
      </w:r>
      <w:r>
        <w:t>.</w:t>
      </w:r>
    </w:p>
    <w:p w:rsidR="00E93282" w:rsidRDefault="00E93282" w:rsidP="00E93282">
      <w:pPr>
        <w:pStyle w:val="Caption"/>
      </w:pPr>
      <w:bookmarkStart w:id="23" w:name="_Ref362959174"/>
      <w:bookmarkStart w:id="24" w:name="_Ref364339244"/>
      <w:proofErr w:type="gramStart"/>
      <w:r>
        <w:lastRenderedPageBreak/>
        <w:t xml:space="preserve">Figure </w:t>
      </w:r>
      <w:proofErr w:type="gramEnd"/>
      <w:r w:rsidR="00A07404">
        <w:fldChar w:fldCharType="begin"/>
      </w:r>
      <w:r w:rsidR="00A07404">
        <w:instrText xml:space="preserve"> STYLEREF 1 \s </w:instrText>
      </w:r>
      <w:r w:rsidR="00A07404">
        <w:fldChar w:fldCharType="separate"/>
      </w:r>
      <w:r w:rsidR="0044481E">
        <w:rPr>
          <w:noProof/>
        </w:rPr>
        <w:t>5</w:t>
      </w:r>
      <w:r w:rsidR="00A07404">
        <w:rPr>
          <w:noProof/>
        </w:rPr>
        <w:fldChar w:fldCharType="end"/>
      </w:r>
      <w:proofErr w:type="gramStart"/>
      <w:r>
        <w:t>.</w:t>
      </w:r>
      <w:proofErr w:type="gramEnd"/>
      <w:r w:rsidR="00F32065">
        <w:fldChar w:fldCharType="begin"/>
      </w:r>
      <w:r w:rsidR="00F32065">
        <w:instrText xml:space="preserve"> SEQ Figure \* ARABIC \s 1 </w:instrText>
      </w:r>
      <w:r w:rsidR="00F32065">
        <w:fldChar w:fldCharType="separate"/>
      </w:r>
      <w:r w:rsidR="0044481E">
        <w:rPr>
          <w:noProof/>
        </w:rPr>
        <w:t>1</w:t>
      </w:r>
      <w:r w:rsidR="00F32065">
        <w:rPr>
          <w:noProof/>
        </w:rPr>
        <w:fldChar w:fldCharType="end"/>
      </w:r>
      <w:bookmarkEnd w:id="23"/>
      <w:r>
        <w:tab/>
        <w:t>Flowchart of the AER’s proposed approach</w:t>
      </w:r>
      <w:bookmarkEnd w:id="24"/>
      <w:r w:rsidR="00355534">
        <w:t xml:space="preserve"> to estimating the expected return on equity</w:t>
      </w:r>
    </w:p>
    <w:p w:rsidR="00E93282" w:rsidRDefault="00E93282" w:rsidP="00163CB9">
      <w:pPr>
        <w:pStyle w:val="AERtablesource"/>
        <w:rPr>
          <w:rStyle w:val="AERbody"/>
        </w:rPr>
      </w:pPr>
      <w:r w:rsidRPr="00E93282">
        <w:rPr>
          <w:noProof/>
          <w:lang w:eastAsia="en-AU"/>
        </w:rPr>
        <w:drawing>
          <wp:inline distT="0" distB="0" distL="0" distR="0" wp14:anchorId="387F6533" wp14:editId="0A5A2EC5">
            <wp:extent cx="5794744" cy="825741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3.bmp"/>
                    <pic:cNvPicPr/>
                  </pic:nvPicPr>
                  <pic:blipFill>
                    <a:blip r:embed="rId11">
                      <a:extLst>
                        <a:ext uri="{28A0092B-C50C-407E-A947-70E740481C1C}">
                          <a14:useLocalDpi xmlns:a14="http://schemas.microsoft.com/office/drawing/2010/main" val="0"/>
                        </a:ext>
                      </a:extLst>
                    </a:blip>
                    <a:stretch>
                      <a:fillRect/>
                    </a:stretch>
                  </pic:blipFill>
                  <pic:spPr>
                    <a:xfrm>
                      <a:off x="0" y="0"/>
                      <a:ext cx="5797862" cy="8261860"/>
                    </a:xfrm>
                    <a:prstGeom prst="rect">
                      <a:avLst/>
                    </a:prstGeom>
                  </pic:spPr>
                </pic:pic>
              </a:graphicData>
            </a:graphic>
          </wp:inline>
        </w:drawing>
      </w:r>
    </w:p>
    <w:p w:rsidR="00163CB9" w:rsidRPr="00163CB9" w:rsidRDefault="00163CB9" w:rsidP="00163CB9">
      <w:pPr>
        <w:pStyle w:val="AERtablesource"/>
        <w:rPr>
          <w:rStyle w:val="AERbody"/>
          <w:sz w:val="16"/>
        </w:rPr>
      </w:pPr>
      <w:r w:rsidRPr="00163CB9">
        <w:rPr>
          <w:rStyle w:val="AERbody"/>
          <w:sz w:val="16"/>
        </w:rPr>
        <w:t>Source:</w:t>
      </w:r>
      <w:r w:rsidRPr="00163CB9">
        <w:rPr>
          <w:rStyle w:val="AERbody"/>
          <w:sz w:val="16"/>
        </w:rPr>
        <w:tab/>
        <w:t>AER analysis.</w:t>
      </w:r>
    </w:p>
    <w:p w:rsidR="00E93282" w:rsidRPr="00163CB9" w:rsidRDefault="00E93282" w:rsidP="00163CB9">
      <w:pPr>
        <w:pStyle w:val="Heading3"/>
      </w:pPr>
      <w:r w:rsidRPr="00163CB9">
        <w:br w:type="page"/>
      </w:r>
      <w:r w:rsidRPr="00163CB9">
        <w:lastRenderedPageBreak/>
        <w:t>Step one: identify relevant material</w:t>
      </w:r>
    </w:p>
    <w:p w:rsidR="00E93282" w:rsidRDefault="00E93282" w:rsidP="00E93282">
      <w:r>
        <w:t xml:space="preserve">The AER's first step proposes to identify the relevant material that may inform the estimate of the expected return on equity. The material identified by the AER as relevant is outlined in the explanatory statement to this guideline, and in </w:t>
      </w:r>
      <w:r>
        <w:fldChar w:fldCharType="begin"/>
      </w:r>
      <w:r>
        <w:instrText xml:space="preserve"> REF  _Ref362608756 \* Lower \h  \* MERGEFORMAT </w:instrText>
      </w:r>
      <w:r>
        <w:fldChar w:fldCharType="separate"/>
      </w:r>
      <w:r w:rsidR="0044481E">
        <w:t>table 5.1</w:t>
      </w:r>
      <w:r>
        <w:fldChar w:fldCharType="end"/>
      </w:r>
      <w:r>
        <w:t xml:space="preserve"> and </w:t>
      </w:r>
      <w:r>
        <w:fldChar w:fldCharType="begin"/>
      </w:r>
      <w:r>
        <w:instrText xml:space="preserve"> REF  _Ref373836303 \* Lower \h  \* MERGEFORMAT </w:instrText>
      </w:r>
      <w:r>
        <w:fldChar w:fldCharType="separate"/>
      </w:r>
      <w:r w:rsidR="0044481E">
        <w:t>table 5.2</w:t>
      </w:r>
      <w:r>
        <w:fldChar w:fldCharType="end"/>
      </w:r>
      <w:r>
        <w:t xml:space="preserve"> of this guideline.</w:t>
      </w:r>
    </w:p>
    <w:p w:rsidR="00E93282" w:rsidRPr="00163CB9" w:rsidRDefault="00E93282" w:rsidP="00163CB9">
      <w:pPr>
        <w:pStyle w:val="Heading3"/>
      </w:pPr>
      <w:bookmarkStart w:id="25" w:name="_Ref362608730"/>
      <w:r w:rsidRPr="00163CB9">
        <w:t>Step two: determine role</w:t>
      </w:r>
      <w:bookmarkEnd w:id="25"/>
    </w:p>
    <w:p w:rsidR="00E93282" w:rsidRDefault="00E93282" w:rsidP="00E93282">
      <w:r>
        <w:t xml:space="preserve">The AER's second step proposes to assess the relevant material identified in step one against the AER's assessment criteria. The purpose of this assessment is to identify what role </w:t>
      </w:r>
      <w:r w:rsidR="000F0039">
        <w:t>the AER proposes</w:t>
      </w:r>
      <w:r>
        <w:t xml:space="preserve"> relevant material </w:t>
      </w:r>
      <w:r w:rsidR="000F0039">
        <w:t>to</w:t>
      </w:r>
      <w:r>
        <w:t xml:space="preserve"> play in estimating the expected return on equity. </w:t>
      </w:r>
      <w:r w:rsidR="000F0039">
        <w:t>The AER proposes to use e</w:t>
      </w:r>
      <w:r>
        <w:t xml:space="preserve">ach piece of relevant material </w:t>
      </w:r>
      <w:r w:rsidRPr="00D4639B">
        <w:t>only once (to the extent practicable</w:t>
      </w:r>
      <w:r>
        <w:t>),</w:t>
      </w:r>
      <w:r w:rsidRPr="00D4639B">
        <w:t xml:space="preserve"> </w:t>
      </w:r>
      <w:r>
        <w:t>in one of four ways:</w:t>
      </w:r>
    </w:p>
    <w:p w:rsidR="00E93282" w:rsidRPr="00FB7D06" w:rsidRDefault="00E93282" w:rsidP="00E93282">
      <w:pPr>
        <w:pStyle w:val="AERnumberedlist2first"/>
        <w:numPr>
          <w:ilvl w:val="4"/>
          <w:numId w:val="6"/>
        </w:numPr>
      </w:pPr>
      <w:r>
        <w:t>As t</w:t>
      </w:r>
      <w:r w:rsidRPr="00FB7D06">
        <w:t xml:space="preserve">he </w:t>
      </w:r>
      <w:r>
        <w:t>foundation model.</w:t>
      </w:r>
    </w:p>
    <w:p w:rsidR="00E93282" w:rsidRPr="00FB7D06" w:rsidRDefault="00E93282" w:rsidP="00E93282">
      <w:pPr>
        <w:pStyle w:val="AERnumberedlist2first"/>
        <w:numPr>
          <w:ilvl w:val="4"/>
          <w:numId w:val="6"/>
        </w:numPr>
      </w:pPr>
      <w:r>
        <w:t xml:space="preserve">To inform the estimation of parameters within </w:t>
      </w:r>
      <w:r w:rsidRPr="00FB7D06">
        <w:t xml:space="preserve">the </w:t>
      </w:r>
      <w:r>
        <w:t>foundation</w:t>
      </w:r>
      <w:r w:rsidRPr="00FB7D06">
        <w:t xml:space="preserve"> model.</w:t>
      </w:r>
    </w:p>
    <w:p w:rsidR="00E93282" w:rsidRPr="00FB7D06" w:rsidRDefault="00E93282" w:rsidP="00E93282">
      <w:pPr>
        <w:pStyle w:val="AERnumberedlist2first"/>
        <w:numPr>
          <w:ilvl w:val="4"/>
          <w:numId w:val="6"/>
        </w:numPr>
      </w:pPr>
      <w:r>
        <w:t>To i</w:t>
      </w:r>
      <w:r w:rsidRPr="00FB7D06">
        <w:t xml:space="preserve">nform </w:t>
      </w:r>
      <w:r>
        <w:t xml:space="preserve">where within the </w:t>
      </w:r>
      <w:r w:rsidRPr="00FB7D06">
        <w:t>return on equity</w:t>
      </w:r>
      <w:r>
        <w:t xml:space="preserve"> range (set by the foundation model) the final </w:t>
      </w:r>
      <w:r w:rsidR="00355534">
        <w:t xml:space="preserve">point </w:t>
      </w:r>
      <w:r>
        <w:t>estimate of the expected return on equity should fall</w:t>
      </w:r>
      <w:r w:rsidRPr="00FB7D06">
        <w:t>.</w:t>
      </w:r>
    </w:p>
    <w:p w:rsidR="00E93282" w:rsidRDefault="00E93282" w:rsidP="00E93282">
      <w:pPr>
        <w:pStyle w:val="AERnumberedlist2first"/>
        <w:numPr>
          <w:ilvl w:val="4"/>
          <w:numId w:val="6"/>
        </w:numPr>
      </w:pPr>
      <w:r w:rsidRPr="00FB7D06">
        <w:t xml:space="preserve">Not used to estimate the </w:t>
      </w:r>
      <w:r>
        <w:t xml:space="preserve">expected </w:t>
      </w:r>
      <w:r w:rsidRPr="00FB7D06">
        <w:t>return on equity.</w:t>
      </w:r>
    </w:p>
    <w:p w:rsidR="00E93282" w:rsidRDefault="00E93282" w:rsidP="00E93282">
      <w:pPr>
        <w:pStyle w:val="AERbodytext"/>
        <w:numPr>
          <w:ilvl w:val="0"/>
          <w:numId w:val="6"/>
        </w:numPr>
      </w:pPr>
      <w:r>
        <w:t>The AER undertook an assessment of the relevant material identified in step one against the assessment criteria. The AER assessed models and other relevant material. The detailed assessment is outlined in the explanatory statement to this guideline.</w:t>
      </w:r>
    </w:p>
    <w:p w:rsidR="00E93282" w:rsidRPr="00F11654" w:rsidRDefault="00E93282" w:rsidP="00E93282">
      <w:pPr>
        <w:pStyle w:val="AERbodytext"/>
        <w:numPr>
          <w:ilvl w:val="0"/>
          <w:numId w:val="6"/>
        </w:numPr>
      </w:pPr>
      <w:r>
        <w:t xml:space="preserve">The outcome of the AER's model assessment is outlined in </w:t>
      </w:r>
      <w:r>
        <w:fldChar w:fldCharType="begin"/>
      </w:r>
      <w:r>
        <w:instrText xml:space="preserve"> REF  _Ref362608756 \* Lower \h  \* MERGEFORMAT </w:instrText>
      </w:r>
      <w:r>
        <w:fldChar w:fldCharType="separate"/>
      </w:r>
      <w:r w:rsidR="0044481E">
        <w:t>table 5.1</w:t>
      </w:r>
      <w:r>
        <w:fldChar w:fldCharType="end"/>
      </w:r>
      <w:r>
        <w:t>.</w:t>
      </w:r>
    </w:p>
    <w:p w:rsidR="00E93282" w:rsidRDefault="00E93282" w:rsidP="00E93282">
      <w:pPr>
        <w:pStyle w:val="Caption"/>
      </w:pPr>
      <w:bookmarkStart w:id="26" w:name="_Ref362608756"/>
      <w:bookmarkStart w:id="27" w:name="_Ref363730643"/>
      <w:proofErr w:type="gramStart"/>
      <w:r>
        <w:t xml:space="preserve">Table </w:t>
      </w:r>
      <w:proofErr w:type="gramEnd"/>
      <w:r w:rsidR="00A07404">
        <w:fldChar w:fldCharType="begin"/>
      </w:r>
      <w:r w:rsidR="00A07404">
        <w:instrText xml:space="preserve"> STYLEREF 1 \s </w:instrText>
      </w:r>
      <w:r w:rsidR="00A07404">
        <w:fldChar w:fldCharType="separate"/>
      </w:r>
      <w:r w:rsidR="0044481E">
        <w:rPr>
          <w:noProof/>
        </w:rPr>
        <w:t>5</w:t>
      </w:r>
      <w:r w:rsidR="00A07404">
        <w:rPr>
          <w:noProof/>
        </w:rPr>
        <w:fldChar w:fldCharType="end"/>
      </w:r>
      <w:proofErr w:type="gramStart"/>
      <w:r>
        <w:t>.</w:t>
      </w:r>
      <w:proofErr w:type="gramEnd"/>
      <w:r w:rsidR="00F32065">
        <w:fldChar w:fldCharType="begin"/>
      </w:r>
      <w:r w:rsidR="00F32065">
        <w:instrText xml:space="preserve"> SEQ Table \* ARABIC \s 1 </w:instrText>
      </w:r>
      <w:r w:rsidR="00F32065">
        <w:fldChar w:fldCharType="separate"/>
      </w:r>
      <w:r w:rsidR="0044481E">
        <w:rPr>
          <w:noProof/>
        </w:rPr>
        <w:t>1</w:t>
      </w:r>
      <w:r w:rsidR="00F32065">
        <w:rPr>
          <w:noProof/>
        </w:rPr>
        <w:fldChar w:fldCharType="end"/>
      </w:r>
      <w:bookmarkEnd w:id="26"/>
      <w:r>
        <w:tab/>
      </w:r>
      <w:bookmarkStart w:id="28" w:name="_Ref363730639"/>
      <w:r>
        <w:t>Role of relevant models</w:t>
      </w:r>
      <w:bookmarkEnd w:id="27"/>
      <w:bookmarkEnd w:id="28"/>
    </w:p>
    <w:tbl>
      <w:tblPr>
        <w:tblStyle w:val="AERtable-text"/>
        <w:tblW w:w="5000" w:type="pct"/>
        <w:tblLook w:val="04A0" w:firstRow="1" w:lastRow="0" w:firstColumn="1" w:lastColumn="0" w:noHBand="0" w:noVBand="1"/>
      </w:tblPr>
      <w:tblGrid>
        <w:gridCol w:w="3647"/>
        <w:gridCol w:w="5595"/>
      </w:tblGrid>
      <w:tr w:rsidR="00E93282" w:rsidRPr="00A77A6A" w:rsidTr="00CC043E">
        <w:trPr>
          <w:cnfStyle w:val="100000000000" w:firstRow="1" w:lastRow="0" w:firstColumn="0" w:lastColumn="0" w:oddVBand="0" w:evenVBand="0" w:oddHBand="0" w:evenHBand="0" w:firstRowFirstColumn="0" w:firstRowLastColumn="0" w:lastRowFirstColumn="0" w:lastRowLastColumn="0"/>
        </w:trPr>
        <w:tc>
          <w:tcPr>
            <w:tcW w:w="1973" w:type="pct"/>
          </w:tcPr>
          <w:p w:rsidR="00E93282" w:rsidRPr="0055177B" w:rsidRDefault="00E93282" w:rsidP="00E93282">
            <w:pPr>
              <w:pStyle w:val="AERbodytext"/>
              <w:numPr>
                <w:ilvl w:val="0"/>
                <w:numId w:val="6"/>
              </w:numPr>
            </w:pPr>
            <w:r w:rsidRPr="0055177B">
              <w:t>Material</w:t>
            </w:r>
            <w:r>
              <w:t xml:space="preserve"> (step one)</w:t>
            </w:r>
          </w:p>
        </w:tc>
        <w:tc>
          <w:tcPr>
            <w:tcW w:w="3027" w:type="pct"/>
          </w:tcPr>
          <w:p w:rsidR="00E93282" w:rsidRPr="0055177B" w:rsidRDefault="00E93282" w:rsidP="00E93282">
            <w:pPr>
              <w:pStyle w:val="AERbodytext"/>
              <w:numPr>
                <w:ilvl w:val="0"/>
                <w:numId w:val="6"/>
              </w:numPr>
            </w:pPr>
            <w:r w:rsidRPr="0055177B">
              <w:t>Role</w:t>
            </w:r>
            <w:r>
              <w:t xml:space="preserve"> (step two)</w:t>
            </w:r>
          </w:p>
        </w:tc>
      </w:tr>
      <w:tr w:rsidR="00E93282" w:rsidRPr="00A77A6A" w:rsidTr="00CC043E">
        <w:tc>
          <w:tcPr>
            <w:tcW w:w="1973" w:type="pct"/>
          </w:tcPr>
          <w:p w:rsidR="00E93282" w:rsidRPr="0055177B" w:rsidRDefault="00E93282" w:rsidP="00E93282">
            <w:pPr>
              <w:pStyle w:val="AERbodytext"/>
              <w:numPr>
                <w:ilvl w:val="0"/>
                <w:numId w:val="6"/>
              </w:numPr>
            </w:pPr>
            <w:r w:rsidRPr="0055177B">
              <w:t>Sharpe–</w:t>
            </w:r>
            <w:proofErr w:type="spellStart"/>
            <w:r w:rsidRPr="0055177B">
              <w:t>Lintner</w:t>
            </w:r>
            <w:proofErr w:type="spellEnd"/>
            <w:r w:rsidRPr="0055177B">
              <w:t xml:space="preserve"> CAPM</w:t>
            </w:r>
          </w:p>
        </w:tc>
        <w:tc>
          <w:tcPr>
            <w:tcW w:w="3027" w:type="pct"/>
          </w:tcPr>
          <w:p w:rsidR="00E93282" w:rsidRPr="0055177B" w:rsidRDefault="00E93282" w:rsidP="00E93282">
            <w:pPr>
              <w:pStyle w:val="AERbodytext"/>
              <w:numPr>
                <w:ilvl w:val="0"/>
                <w:numId w:val="6"/>
              </w:numPr>
            </w:pPr>
            <w:r w:rsidRPr="0055177B">
              <w:t>Foundation model</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55177B" w:rsidRDefault="00E93282" w:rsidP="00E93282">
            <w:pPr>
              <w:pStyle w:val="AERbodytext"/>
              <w:numPr>
                <w:ilvl w:val="0"/>
                <w:numId w:val="6"/>
              </w:numPr>
            </w:pPr>
            <w:r w:rsidRPr="0055177B">
              <w:t>Black CAPM</w:t>
            </w:r>
          </w:p>
        </w:tc>
        <w:tc>
          <w:tcPr>
            <w:tcW w:w="3027" w:type="pct"/>
          </w:tcPr>
          <w:p w:rsidR="00E93282" w:rsidRPr="0055177B" w:rsidRDefault="00E93282" w:rsidP="00E93282">
            <w:pPr>
              <w:pStyle w:val="AERbodytext"/>
              <w:numPr>
                <w:ilvl w:val="0"/>
                <w:numId w:val="6"/>
              </w:numPr>
            </w:pPr>
            <w:r w:rsidRPr="0055177B">
              <w:t>Inform foundation model parameter estimate</w:t>
            </w:r>
            <w:r>
              <w:t>s</w:t>
            </w:r>
            <w:r w:rsidRPr="0055177B">
              <w:t xml:space="preserve"> (equity beta)</w:t>
            </w:r>
          </w:p>
        </w:tc>
      </w:tr>
      <w:tr w:rsidR="00E93282" w:rsidRPr="00A77A6A" w:rsidTr="00CC043E">
        <w:tc>
          <w:tcPr>
            <w:tcW w:w="1973" w:type="pct"/>
          </w:tcPr>
          <w:p w:rsidR="00E93282" w:rsidRPr="0055177B" w:rsidRDefault="00E93282" w:rsidP="00E93282">
            <w:pPr>
              <w:pStyle w:val="AERbodytext"/>
              <w:numPr>
                <w:ilvl w:val="0"/>
                <w:numId w:val="6"/>
              </w:numPr>
            </w:pPr>
            <w:r>
              <w:t>Dividend growth models</w:t>
            </w:r>
          </w:p>
        </w:tc>
        <w:tc>
          <w:tcPr>
            <w:tcW w:w="3027" w:type="pct"/>
          </w:tcPr>
          <w:p w:rsidR="00E93282" w:rsidRPr="0055177B" w:rsidRDefault="00E93282" w:rsidP="00E93282">
            <w:pPr>
              <w:pStyle w:val="AERbodytext"/>
              <w:numPr>
                <w:ilvl w:val="0"/>
                <w:numId w:val="6"/>
              </w:numPr>
            </w:pPr>
            <w:r w:rsidRPr="0055177B">
              <w:t>Inform foundation model parameter estimate</w:t>
            </w:r>
            <w:r>
              <w:t>s</w:t>
            </w:r>
            <w:r w:rsidRPr="0055177B">
              <w:t xml:space="preserve"> (</w:t>
            </w:r>
            <w:r>
              <w:t>market risk premium</w:t>
            </w:r>
            <w:r w:rsidRPr="0055177B">
              <w:t>)</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55177B" w:rsidRDefault="00E93282" w:rsidP="00E93282">
            <w:pPr>
              <w:pStyle w:val="AERbodytext"/>
              <w:numPr>
                <w:ilvl w:val="0"/>
                <w:numId w:val="6"/>
              </w:numPr>
            </w:pPr>
            <w:proofErr w:type="spellStart"/>
            <w:r w:rsidRPr="0055177B">
              <w:t>Fama</w:t>
            </w:r>
            <w:proofErr w:type="spellEnd"/>
            <w:r w:rsidRPr="0055177B">
              <w:t>–French</w:t>
            </w:r>
            <w:r>
              <w:t xml:space="preserve"> three factor</w:t>
            </w:r>
            <w:r w:rsidRPr="0055177B">
              <w:t xml:space="preserve"> model</w:t>
            </w:r>
          </w:p>
        </w:tc>
        <w:tc>
          <w:tcPr>
            <w:tcW w:w="3027" w:type="pct"/>
          </w:tcPr>
          <w:p w:rsidR="00E93282" w:rsidRPr="0055177B" w:rsidRDefault="00E93282" w:rsidP="00E93282">
            <w:pPr>
              <w:pStyle w:val="AERbodytext"/>
              <w:numPr>
                <w:ilvl w:val="0"/>
                <w:numId w:val="6"/>
              </w:numPr>
            </w:pPr>
            <w:r w:rsidRPr="0055177B">
              <w:t>No role</w:t>
            </w:r>
          </w:p>
        </w:tc>
      </w:tr>
    </w:tbl>
    <w:p w:rsidR="00E93282" w:rsidRDefault="00E93282" w:rsidP="00E93282">
      <w:pPr>
        <w:pStyle w:val="AERtablesource"/>
      </w:pPr>
      <w:r>
        <w:t>Source:</w:t>
      </w:r>
      <w:r>
        <w:tab/>
        <w:t>AER analysis.</w:t>
      </w:r>
    </w:p>
    <w:p w:rsidR="00E93282" w:rsidRPr="00E93282" w:rsidRDefault="00E93282" w:rsidP="00E93282">
      <w:r>
        <w:t>The outcome of the AER's assessment of other relevant information is outlined in</w:t>
      </w:r>
      <w:r w:rsidRPr="00E93282">
        <w:t xml:space="preserve"> </w:t>
      </w:r>
      <w:r w:rsidRPr="00E93282">
        <w:fldChar w:fldCharType="begin"/>
      </w:r>
      <w:r w:rsidRPr="00E93282">
        <w:instrText xml:space="preserve"> REF  _Ref373836303 \* Lower \h  \* MERGEFORMAT </w:instrText>
      </w:r>
      <w:r w:rsidRPr="00E93282">
        <w:fldChar w:fldCharType="separate"/>
      </w:r>
      <w:r w:rsidR="0044481E">
        <w:t>table 5.2</w:t>
      </w:r>
      <w:r w:rsidRPr="00E93282">
        <w:fldChar w:fldCharType="end"/>
      </w:r>
      <w:r w:rsidRPr="00E93282">
        <w:t>.</w:t>
      </w:r>
    </w:p>
    <w:p w:rsidR="00E93282" w:rsidRPr="00E93282" w:rsidRDefault="00E93282" w:rsidP="00E93282">
      <w:bookmarkStart w:id="29" w:name="_Ref363732038"/>
      <w:r>
        <w:br w:type="page"/>
      </w:r>
    </w:p>
    <w:p w:rsidR="00E93282" w:rsidRDefault="00E93282" w:rsidP="00E93282">
      <w:pPr>
        <w:pStyle w:val="Caption"/>
      </w:pPr>
      <w:bookmarkStart w:id="30" w:name="_Ref373836303"/>
      <w:proofErr w:type="gramStart"/>
      <w:r>
        <w:lastRenderedPageBreak/>
        <w:t xml:space="preserve">Table </w:t>
      </w:r>
      <w:proofErr w:type="gramEnd"/>
      <w:r w:rsidR="00A07404">
        <w:fldChar w:fldCharType="begin"/>
      </w:r>
      <w:r w:rsidR="00A07404">
        <w:instrText xml:space="preserve"> STYLEREF 1 \s </w:instrText>
      </w:r>
      <w:r w:rsidR="00A07404">
        <w:fldChar w:fldCharType="separate"/>
      </w:r>
      <w:r w:rsidR="0044481E">
        <w:rPr>
          <w:noProof/>
        </w:rPr>
        <w:t>5</w:t>
      </w:r>
      <w:r w:rsidR="00A07404">
        <w:rPr>
          <w:noProof/>
        </w:rPr>
        <w:fldChar w:fldCharType="end"/>
      </w:r>
      <w:proofErr w:type="gramStart"/>
      <w:r>
        <w:t>.</w:t>
      </w:r>
      <w:proofErr w:type="gramEnd"/>
      <w:r w:rsidR="00F32065">
        <w:fldChar w:fldCharType="begin"/>
      </w:r>
      <w:r w:rsidR="00F32065">
        <w:instrText xml:space="preserve"> SEQ Table \* ARABIC \s 1 </w:instrText>
      </w:r>
      <w:r w:rsidR="00F32065">
        <w:fldChar w:fldCharType="separate"/>
      </w:r>
      <w:r w:rsidR="0044481E">
        <w:rPr>
          <w:noProof/>
        </w:rPr>
        <w:t>2</w:t>
      </w:r>
      <w:r w:rsidR="00F32065">
        <w:rPr>
          <w:noProof/>
        </w:rPr>
        <w:fldChar w:fldCharType="end"/>
      </w:r>
      <w:bookmarkEnd w:id="29"/>
      <w:bookmarkEnd w:id="30"/>
      <w:r>
        <w:tab/>
        <w:t>Role of other information</w:t>
      </w:r>
    </w:p>
    <w:tbl>
      <w:tblPr>
        <w:tblStyle w:val="AERtable-text"/>
        <w:tblW w:w="5000" w:type="pct"/>
        <w:tblLook w:val="04A0" w:firstRow="1" w:lastRow="0" w:firstColumn="1" w:lastColumn="0" w:noHBand="0" w:noVBand="1"/>
      </w:tblPr>
      <w:tblGrid>
        <w:gridCol w:w="3647"/>
        <w:gridCol w:w="5595"/>
      </w:tblGrid>
      <w:tr w:rsidR="00E93282" w:rsidRPr="00A77A6A" w:rsidTr="00CC043E">
        <w:trPr>
          <w:cnfStyle w:val="100000000000" w:firstRow="1" w:lastRow="0" w:firstColumn="0" w:lastColumn="0" w:oddVBand="0" w:evenVBand="0" w:oddHBand="0" w:evenHBand="0" w:firstRowFirstColumn="0" w:firstRowLastColumn="0" w:lastRowFirstColumn="0" w:lastRowLastColumn="0"/>
        </w:trPr>
        <w:tc>
          <w:tcPr>
            <w:tcW w:w="1973" w:type="pct"/>
          </w:tcPr>
          <w:p w:rsidR="00E93282" w:rsidRPr="0055177B" w:rsidRDefault="00E93282" w:rsidP="00E93282">
            <w:pPr>
              <w:pStyle w:val="AERbodytext"/>
              <w:numPr>
                <w:ilvl w:val="0"/>
                <w:numId w:val="6"/>
              </w:numPr>
            </w:pPr>
            <w:r w:rsidRPr="0055177B">
              <w:t>Material</w:t>
            </w:r>
            <w:r>
              <w:t xml:space="preserve"> (step one)</w:t>
            </w:r>
          </w:p>
        </w:tc>
        <w:tc>
          <w:tcPr>
            <w:tcW w:w="3027" w:type="pct"/>
          </w:tcPr>
          <w:p w:rsidR="00E93282" w:rsidRPr="0055177B" w:rsidRDefault="00E93282" w:rsidP="00E93282">
            <w:pPr>
              <w:pStyle w:val="AERbodytext"/>
              <w:numPr>
                <w:ilvl w:val="0"/>
                <w:numId w:val="6"/>
              </w:numPr>
            </w:pPr>
            <w:r w:rsidRPr="0055177B">
              <w:t>Role</w:t>
            </w:r>
            <w:r>
              <w:t xml:space="preserve"> (step two)</w:t>
            </w:r>
          </w:p>
        </w:tc>
      </w:tr>
      <w:tr w:rsidR="00E93282" w:rsidRPr="00A77A6A" w:rsidTr="00CC043E">
        <w:tc>
          <w:tcPr>
            <w:tcW w:w="1973" w:type="pct"/>
          </w:tcPr>
          <w:p w:rsidR="00E93282" w:rsidRPr="0055177B" w:rsidRDefault="00E93282" w:rsidP="00E93282">
            <w:pPr>
              <w:pStyle w:val="AERbodytext"/>
              <w:numPr>
                <w:ilvl w:val="0"/>
                <w:numId w:val="6"/>
              </w:numPr>
            </w:pPr>
            <w:r>
              <w:t>Commonwealth government securities</w:t>
            </w:r>
          </w:p>
        </w:tc>
        <w:tc>
          <w:tcPr>
            <w:tcW w:w="3027" w:type="pct"/>
          </w:tcPr>
          <w:p w:rsidR="00E93282" w:rsidRPr="0055177B" w:rsidRDefault="00E93282" w:rsidP="00E93282">
            <w:pPr>
              <w:pStyle w:val="AERbodytext"/>
              <w:numPr>
                <w:ilvl w:val="0"/>
                <w:numId w:val="6"/>
              </w:numPr>
            </w:pPr>
            <w:r w:rsidRPr="0019474F">
              <w:t>Inform foundation model parameter estimates (</w:t>
            </w:r>
            <w:r>
              <w:t>risk free rate</w:t>
            </w:r>
            <w:r w:rsidRPr="0019474F">
              <w:t>)</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55177B" w:rsidRDefault="00E93282" w:rsidP="00E93282">
            <w:pPr>
              <w:pStyle w:val="AERbodytext"/>
              <w:numPr>
                <w:ilvl w:val="0"/>
                <w:numId w:val="6"/>
              </w:numPr>
            </w:pPr>
            <w:r>
              <w:t>Observed equity beta estimates</w:t>
            </w:r>
          </w:p>
        </w:tc>
        <w:tc>
          <w:tcPr>
            <w:tcW w:w="3027" w:type="pct"/>
          </w:tcPr>
          <w:p w:rsidR="00E93282" w:rsidRPr="0055177B" w:rsidRDefault="00E93282" w:rsidP="00E93282">
            <w:pPr>
              <w:pStyle w:val="AERbodytext"/>
              <w:numPr>
                <w:ilvl w:val="0"/>
                <w:numId w:val="6"/>
              </w:numPr>
            </w:pPr>
            <w:r w:rsidRPr="0019474F">
              <w:t>Inform foundation model parameter estimates (</w:t>
            </w:r>
            <w:r>
              <w:t>equity beta</w:t>
            </w:r>
            <w:r w:rsidRPr="0019474F">
              <w:t>)</w:t>
            </w:r>
          </w:p>
        </w:tc>
      </w:tr>
      <w:tr w:rsidR="00E93282" w:rsidRPr="00A77A6A" w:rsidTr="00CC043E">
        <w:tc>
          <w:tcPr>
            <w:tcW w:w="1973" w:type="pct"/>
          </w:tcPr>
          <w:p w:rsidR="00E93282" w:rsidRPr="0055177B" w:rsidRDefault="00E93282" w:rsidP="00E93282">
            <w:pPr>
              <w:pStyle w:val="AERbodytext"/>
              <w:numPr>
                <w:ilvl w:val="0"/>
                <w:numId w:val="6"/>
              </w:numPr>
            </w:pPr>
            <w:r>
              <w:t>Historical excess returns</w:t>
            </w:r>
          </w:p>
        </w:tc>
        <w:tc>
          <w:tcPr>
            <w:tcW w:w="3027" w:type="pct"/>
            <w:vAlign w:val="top"/>
          </w:tcPr>
          <w:p w:rsidR="00E93282" w:rsidRPr="0055177B" w:rsidRDefault="00E93282" w:rsidP="00E93282">
            <w:pPr>
              <w:pStyle w:val="AERbodytext"/>
              <w:numPr>
                <w:ilvl w:val="0"/>
                <w:numId w:val="6"/>
              </w:numPr>
            </w:pPr>
            <w:r w:rsidRPr="0019474F">
              <w:t>Inform foundation model parameter estimates (MRP)</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55177B" w:rsidRDefault="00E93282" w:rsidP="00E93282">
            <w:pPr>
              <w:pStyle w:val="AERbodytext"/>
              <w:numPr>
                <w:ilvl w:val="0"/>
                <w:numId w:val="6"/>
              </w:numPr>
            </w:pPr>
            <w:r>
              <w:t>Survey evidence of the MRP</w:t>
            </w:r>
          </w:p>
        </w:tc>
        <w:tc>
          <w:tcPr>
            <w:tcW w:w="3027" w:type="pct"/>
            <w:vAlign w:val="top"/>
          </w:tcPr>
          <w:p w:rsidR="00E93282" w:rsidRPr="0055177B" w:rsidRDefault="00E93282" w:rsidP="00E93282">
            <w:pPr>
              <w:pStyle w:val="AERbodytext"/>
              <w:numPr>
                <w:ilvl w:val="0"/>
                <w:numId w:val="6"/>
              </w:numPr>
            </w:pPr>
            <w:r w:rsidRPr="0019474F">
              <w:t>Inform foundation model parameter estimates (MRP)</w:t>
            </w:r>
          </w:p>
        </w:tc>
      </w:tr>
      <w:tr w:rsidR="00E93282" w:rsidRPr="00A77A6A" w:rsidTr="00CC043E">
        <w:tc>
          <w:tcPr>
            <w:tcW w:w="1973" w:type="pct"/>
          </w:tcPr>
          <w:p w:rsidR="00E93282" w:rsidRPr="0055177B" w:rsidRDefault="00E93282" w:rsidP="00E93282">
            <w:pPr>
              <w:pStyle w:val="AERbodytext"/>
              <w:numPr>
                <w:ilvl w:val="0"/>
                <w:numId w:val="6"/>
              </w:numPr>
            </w:pPr>
            <w:r>
              <w:t>Implied volatility</w:t>
            </w:r>
          </w:p>
        </w:tc>
        <w:tc>
          <w:tcPr>
            <w:tcW w:w="3027" w:type="pct"/>
            <w:vAlign w:val="top"/>
          </w:tcPr>
          <w:p w:rsidR="00E93282" w:rsidRPr="0055177B" w:rsidRDefault="00E93282" w:rsidP="00E93282">
            <w:pPr>
              <w:pStyle w:val="AERbodytext"/>
              <w:numPr>
                <w:ilvl w:val="0"/>
                <w:numId w:val="6"/>
              </w:numPr>
            </w:pPr>
            <w:r w:rsidRPr="0019474F">
              <w:t>Inform foundation model parameter estimates (MRP)</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55177B" w:rsidRDefault="00E93282" w:rsidP="00E93282">
            <w:pPr>
              <w:pStyle w:val="AERbodytext"/>
              <w:numPr>
                <w:ilvl w:val="0"/>
                <w:numId w:val="6"/>
              </w:numPr>
            </w:pPr>
            <w:r w:rsidRPr="0055177B">
              <w:t xml:space="preserve">Other regulators’ </w:t>
            </w:r>
            <w:r>
              <w:t>MRP</w:t>
            </w:r>
            <w:r w:rsidRPr="0055177B">
              <w:t xml:space="preserve"> estimates</w:t>
            </w:r>
          </w:p>
        </w:tc>
        <w:tc>
          <w:tcPr>
            <w:tcW w:w="3027" w:type="pct"/>
            <w:vAlign w:val="top"/>
          </w:tcPr>
          <w:p w:rsidR="00E93282" w:rsidRPr="0055177B" w:rsidRDefault="00E93282" w:rsidP="00E93282">
            <w:pPr>
              <w:pStyle w:val="AERbodytext"/>
              <w:numPr>
                <w:ilvl w:val="0"/>
                <w:numId w:val="6"/>
              </w:numPr>
            </w:pPr>
            <w:r w:rsidRPr="0019474F">
              <w:t>Inform foundation model parameter estimates (MRP)</w:t>
            </w:r>
          </w:p>
        </w:tc>
      </w:tr>
      <w:tr w:rsidR="00E93282" w:rsidRPr="00A77A6A" w:rsidTr="00CC043E">
        <w:tc>
          <w:tcPr>
            <w:tcW w:w="1973" w:type="pct"/>
          </w:tcPr>
          <w:p w:rsidR="00E93282" w:rsidRDefault="00E93282" w:rsidP="00E93282">
            <w:pPr>
              <w:pStyle w:val="AERbodytext"/>
              <w:numPr>
                <w:ilvl w:val="0"/>
                <w:numId w:val="6"/>
              </w:numPr>
            </w:pPr>
            <w:r w:rsidRPr="0055177B">
              <w:t>Debt spreads</w:t>
            </w:r>
          </w:p>
        </w:tc>
        <w:tc>
          <w:tcPr>
            <w:tcW w:w="3027" w:type="pct"/>
            <w:vAlign w:val="top"/>
          </w:tcPr>
          <w:p w:rsidR="00E93282" w:rsidRPr="0019474F" w:rsidRDefault="00E93282" w:rsidP="00E93282">
            <w:pPr>
              <w:pStyle w:val="AERbodytext"/>
              <w:numPr>
                <w:ilvl w:val="0"/>
                <w:numId w:val="6"/>
              </w:numPr>
            </w:pPr>
            <w:r w:rsidRPr="001B46C5">
              <w:t>Inform foundation model parameter estimates (MRP)</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Default="00E93282" w:rsidP="00E93282">
            <w:pPr>
              <w:pStyle w:val="AERbodytext"/>
              <w:numPr>
                <w:ilvl w:val="0"/>
                <w:numId w:val="6"/>
              </w:numPr>
            </w:pPr>
            <w:r w:rsidRPr="0055177B">
              <w:t>Dividend yield</w:t>
            </w:r>
            <w:r>
              <w:t>s</w:t>
            </w:r>
          </w:p>
        </w:tc>
        <w:tc>
          <w:tcPr>
            <w:tcW w:w="3027" w:type="pct"/>
            <w:vAlign w:val="top"/>
          </w:tcPr>
          <w:p w:rsidR="00E93282" w:rsidRPr="0019474F" w:rsidRDefault="00E93282" w:rsidP="00E93282">
            <w:pPr>
              <w:pStyle w:val="AERbodytext"/>
              <w:numPr>
                <w:ilvl w:val="0"/>
                <w:numId w:val="6"/>
              </w:numPr>
            </w:pPr>
            <w:r w:rsidRPr="001B46C5">
              <w:t>Inform foundation model parameter estimates (MRP)</w:t>
            </w:r>
          </w:p>
        </w:tc>
      </w:tr>
      <w:tr w:rsidR="00E93282" w:rsidRPr="00A77A6A" w:rsidTr="00CC043E">
        <w:tc>
          <w:tcPr>
            <w:tcW w:w="1973" w:type="pct"/>
          </w:tcPr>
          <w:p w:rsidR="00E93282" w:rsidRPr="0055177B" w:rsidRDefault="00E93282" w:rsidP="00E93282">
            <w:pPr>
              <w:pStyle w:val="AERbodytext"/>
              <w:numPr>
                <w:ilvl w:val="0"/>
                <w:numId w:val="6"/>
              </w:numPr>
            </w:pPr>
            <w:r w:rsidRPr="0055177B">
              <w:t xml:space="preserve">Wright approach </w:t>
            </w:r>
          </w:p>
        </w:tc>
        <w:tc>
          <w:tcPr>
            <w:tcW w:w="3027" w:type="pct"/>
          </w:tcPr>
          <w:p w:rsidR="00E93282" w:rsidRPr="0055177B" w:rsidRDefault="00E93282" w:rsidP="00E93282">
            <w:pPr>
              <w:pStyle w:val="AERbodytext"/>
              <w:numPr>
                <w:ilvl w:val="0"/>
                <w:numId w:val="6"/>
              </w:numPr>
            </w:pPr>
            <w:r w:rsidRPr="0055177B">
              <w:t>Inform the overall return on equity</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55177B" w:rsidRDefault="00E93282" w:rsidP="00163CB9">
            <w:pPr>
              <w:pStyle w:val="AERbodytext"/>
              <w:numPr>
                <w:ilvl w:val="0"/>
                <w:numId w:val="6"/>
              </w:numPr>
            </w:pPr>
            <w:r w:rsidRPr="0055177B">
              <w:t>Takeover</w:t>
            </w:r>
            <w:r w:rsidR="00163CB9">
              <w:t xml:space="preserve"> and </w:t>
            </w:r>
            <w:r w:rsidRPr="0055177B">
              <w:t>valuation reports</w:t>
            </w:r>
          </w:p>
        </w:tc>
        <w:tc>
          <w:tcPr>
            <w:tcW w:w="3027" w:type="pct"/>
          </w:tcPr>
          <w:p w:rsidR="00E93282" w:rsidRPr="0055177B" w:rsidRDefault="00E93282" w:rsidP="00E93282">
            <w:pPr>
              <w:pStyle w:val="AERbodytext"/>
              <w:numPr>
                <w:ilvl w:val="0"/>
                <w:numId w:val="6"/>
              </w:numPr>
            </w:pPr>
            <w:r w:rsidRPr="0055177B">
              <w:t>Inform the overall return on equity</w:t>
            </w:r>
          </w:p>
        </w:tc>
      </w:tr>
      <w:tr w:rsidR="00E93282" w:rsidRPr="00A77A6A" w:rsidTr="00CC043E">
        <w:tc>
          <w:tcPr>
            <w:tcW w:w="1973" w:type="pct"/>
          </w:tcPr>
          <w:p w:rsidR="00E93282" w:rsidRPr="0055177B" w:rsidRDefault="00E93282" w:rsidP="00E93282">
            <w:pPr>
              <w:pStyle w:val="AERbodytext"/>
              <w:numPr>
                <w:ilvl w:val="0"/>
                <w:numId w:val="6"/>
              </w:numPr>
            </w:pPr>
            <w:r w:rsidRPr="0055177B">
              <w:t>Broker</w:t>
            </w:r>
            <w:r>
              <w:t>s’</w:t>
            </w:r>
            <w:r w:rsidRPr="0055177B">
              <w:t xml:space="preserve"> </w:t>
            </w:r>
            <w:r>
              <w:t>return on equity</w:t>
            </w:r>
            <w:r w:rsidRPr="0055177B">
              <w:t xml:space="preserve"> estimates</w:t>
            </w:r>
          </w:p>
        </w:tc>
        <w:tc>
          <w:tcPr>
            <w:tcW w:w="3027" w:type="pct"/>
          </w:tcPr>
          <w:p w:rsidR="00E93282" w:rsidRPr="0055177B" w:rsidRDefault="00E93282" w:rsidP="00E93282">
            <w:pPr>
              <w:pStyle w:val="AERbodytext"/>
              <w:numPr>
                <w:ilvl w:val="0"/>
                <w:numId w:val="6"/>
              </w:numPr>
            </w:pPr>
            <w:r w:rsidRPr="0055177B">
              <w:t>Inform the overall return on equity</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55177B" w:rsidRDefault="00E93282" w:rsidP="00E93282">
            <w:pPr>
              <w:pStyle w:val="AERbodytext"/>
              <w:numPr>
                <w:ilvl w:val="0"/>
                <w:numId w:val="6"/>
              </w:numPr>
            </w:pPr>
            <w:r w:rsidRPr="0055177B">
              <w:t xml:space="preserve">Other regulators’ </w:t>
            </w:r>
            <w:r>
              <w:t>return on equity</w:t>
            </w:r>
            <w:r w:rsidRPr="0055177B">
              <w:t xml:space="preserve"> estimates</w:t>
            </w:r>
          </w:p>
        </w:tc>
        <w:tc>
          <w:tcPr>
            <w:tcW w:w="3027" w:type="pct"/>
          </w:tcPr>
          <w:p w:rsidR="00E93282" w:rsidRPr="0055177B" w:rsidRDefault="00E93282" w:rsidP="00E93282">
            <w:pPr>
              <w:pStyle w:val="AERbodytext"/>
              <w:numPr>
                <w:ilvl w:val="0"/>
                <w:numId w:val="6"/>
              </w:numPr>
            </w:pPr>
            <w:r w:rsidRPr="0055177B">
              <w:t xml:space="preserve">Inform the overall return on equity </w:t>
            </w:r>
          </w:p>
        </w:tc>
      </w:tr>
      <w:tr w:rsidR="00E93282" w:rsidRPr="00A77A6A" w:rsidTr="00CC043E">
        <w:tc>
          <w:tcPr>
            <w:tcW w:w="1973" w:type="pct"/>
          </w:tcPr>
          <w:p w:rsidR="00E93282" w:rsidRPr="0055177B" w:rsidRDefault="00E93282" w:rsidP="00E93282">
            <w:pPr>
              <w:pStyle w:val="AERbodytext"/>
              <w:numPr>
                <w:ilvl w:val="0"/>
                <w:numId w:val="6"/>
              </w:numPr>
            </w:pPr>
            <w:r w:rsidRPr="0055177B">
              <w:t>Comparison with return on debt</w:t>
            </w:r>
          </w:p>
        </w:tc>
        <w:tc>
          <w:tcPr>
            <w:tcW w:w="3027" w:type="pct"/>
          </w:tcPr>
          <w:p w:rsidR="00E93282" w:rsidRPr="0055177B" w:rsidRDefault="00E93282" w:rsidP="00E93282">
            <w:pPr>
              <w:pStyle w:val="AERbodytext"/>
              <w:numPr>
                <w:ilvl w:val="0"/>
                <w:numId w:val="6"/>
              </w:numPr>
            </w:pPr>
            <w:r w:rsidRPr="0055177B">
              <w:t>Inform the overall return on equity</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2239D7" w:rsidRDefault="00E93282" w:rsidP="00E93282">
            <w:pPr>
              <w:pStyle w:val="AERbodytext"/>
              <w:numPr>
                <w:ilvl w:val="0"/>
                <w:numId w:val="6"/>
              </w:numPr>
            </w:pPr>
            <w:r w:rsidRPr="002239D7">
              <w:t>Trading multiples</w:t>
            </w:r>
          </w:p>
        </w:tc>
        <w:tc>
          <w:tcPr>
            <w:tcW w:w="3027" w:type="pct"/>
            <w:vAlign w:val="top"/>
          </w:tcPr>
          <w:p w:rsidR="00E93282" w:rsidRPr="00E93282" w:rsidRDefault="00E93282" w:rsidP="001E2BC8">
            <w:r w:rsidRPr="002239D7">
              <w:t xml:space="preserve">No </w:t>
            </w:r>
            <w:r w:rsidRPr="00E93282">
              <w:t>role</w:t>
            </w:r>
          </w:p>
        </w:tc>
      </w:tr>
      <w:tr w:rsidR="00E93282" w:rsidRPr="00A77A6A" w:rsidTr="00CC043E">
        <w:tc>
          <w:tcPr>
            <w:tcW w:w="1973" w:type="pct"/>
          </w:tcPr>
          <w:p w:rsidR="00E93282" w:rsidRPr="002239D7" w:rsidRDefault="00E93282" w:rsidP="00E93282">
            <w:pPr>
              <w:pStyle w:val="AERbodytext"/>
              <w:numPr>
                <w:ilvl w:val="0"/>
                <w:numId w:val="6"/>
              </w:numPr>
            </w:pPr>
            <w:r w:rsidRPr="002239D7">
              <w:t>Asset sales</w:t>
            </w:r>
          </w:p>
        </w:tc>
        <w:tc>
          <w:tcPr>
            <w:tcW w:w="3027" w:type="pct"/>
            <w:vAlign w:val="top"/>
          </w:tcPr>
          <w:p w:rsidR="00E93282" w:rsidRPr="00E93282" w:rsidRDefault="00E93282" w:rsidP="001E2BC8">
            <w:r w:rsidRPr="002239D7">
              <w:t>No role</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55177B" w:rsidRDefault="00E93282" w:rsidP="00E93282">
            <w:pPr>
              <w:pStyle w:val="AERbodytext"/>
              <w:numPr>
                <w:ilvl w:val="0"/>
                <w:numId w:val="6"/>
              </w:numPr>
            </w:pPr>
            <w:r>
              <w:t>Brokers’ WACC estimates</w:t>
            </w:r>
          </w:p>
        </w:tc>
        <w:tc>
          <w:tcPr>
            <w:tcW w:w="3027" w:type="pct"/>
            <w:vAlign w:val="top"/>
          </w:tcPr>
          <w:p w:rsidR="00E93282" w:rsidRPr="00E93282" w:rsidRDefault="00E93282" w:rsidP="00E93282">
            <w:r>
              <w:t>No role</w:t>
            </w:r>
          </w:p>
        </w:tc>
      </w:tr>
      <w:tr w:rsidR="00E93282" w:rsidRPr="00A77A6A" w:rsidTr="00CC043E">
        <w:tc>
          <w:tcPr>
            <w:tcW w:w="1973" w:type="pct"/>
          </w:tcPr>
          <w:p w:rsidR="00E93282" w:rsidRPr="0055177B" w:rsidRDefault="00E93282" w:rsidP="00E93282">
            <w:pPr>
              <w:pStyle w:val="AERbodytext"/>
              <w:numPr>
                <w:ilvl w:val="0"/>
                <w:numId w:val="6"/>
              </w:numPr>
            </w:pPr>
            <w:r w:rsidRPr="0055177B">
              <w:t xml:space="preserve">Other regulators’ </w:t>
            </w:r>
            <w:r>
              <w:t>WACC estimates</w:t>
            </w:r>
          </w:p>
        </w:tc>
        <w:tc>
          <w:tcPr>
            <w:tcW w:w="3027" w:type="pct"/>
            <w:vAlign w:val="top"/>
          </w:tcPr>
          <w:p w:rsidR="00E93282" w:rsidRPr="00E93282" w:rsidRDefault="00E93282" w:rsidP="00E93282">
            <w:r>
              <w:t>N</w:t>
            </w:r>
            <w:r w:rsidRPr="00E93282">
              <w:t>o role</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1973" w:type="pct"/>
          </w:tcPr>
          <w:p w:rsidR="00E93282" w:rsidRPr="0055177B" w:rsidRDefault="00E93282" w:rsidP="00E93282">
            <w:pPr>
              <w:pStyle w:val="AERbodytext"/>
              <w:numPr>
                <w:ilvl w:val="0"/>
                <w:numId w:val="6"/>
              </w:numPr>
            </w:pPr>
            <w:r w:rsidRPr="0055177B">
              <w:t>Finance metrics</w:t>
            </w:r>
          </w:p>
        </w:tc>
        <w:tc>
          <w:tcPr>
            <w:tcW w:w="3027" w:type="pct"/>
          </w:tcPr>
          <w:p w:rsidR="00E93282" w:rsidRPr="0055177B" w:rsidRDefault="00E93282" w:rsidP="00E93282">
            <w:pPr>
              <w:pStyle w:val="AERbodytext"/>
              <w:numPr>
                <w:ilvl w:val="0"/>
                <w:numId w:val="6"/>
              </w:numPr>
            </w:pPr>
            <w:r w:rsidRPr="0055177B">
              <w:t>No role</w:t>
            </w:r>
            <w:r>
              <w:rPr>
                <w:rStyle w:val="FootnoteReference"/>
              </w:rPr>
              <w:footnoteReference w:id="12"/>
            </w:r>
          </w:p>
        </w:tc>
      </w:tr>
    </w:tbl>
    <w:p w:rsidR="00E93282" w:rsidRPr="008157D9" w:rsidRDefault="00E93282" w:rsidP="00E93282">
      <w:pPr>
        <w:pStyle w:val="AERtablesource"/>
      </w:pPr>
      <w:r>
        <w:t>Source:</w:t>
      </w:r>
      <w:r>
        <w:tab/>
        <w:t>AER analysis.</w:t>
      </w:r>
    </w:p>
    <w:p w:rsidR="00E93282" w:rsidRPr="00163CB9" w:rsidRDefault="00E93282" w:rsidP="00163CB9">
      <w:pPr>
        <w:pStyle w:val="Heading3"/>
      </w:pPr>
      <w:bookmarkStart w:id="31" w:name="_Ref363731938"/>
      <w:r w:rsidRPr="00163CB9">
        <w:t>Step three: implement foundation model</w:t>
      </w:r>
      <w:bookmarkEnd w:id="31"/>
    </w:p>
    <w:p w:rsidR="00E93282" w:rsidRDefault="00E93282" w:rsidP="004056B2">
      <w:r>
        <w:t>The AER's third step proposes to use the Sharpe–</w:t>
      </w:r>
      <w:proofErr w:type="spellStart"/>
      <w:r>
        <w:t>Lintner</w:t>
      </w:r>
      <w:proofErr w:type="spellEnd"/>
      <w:r>
        <w:t xml:space="preserve"> CAPM as the foundation model. The AER propose</w:t>
      </w:r>
      <w:r w:rsidR="000F0039">
        <w:t>s to</w:t>
      </w:r>
      <w:r>
        <w:t xml:space="preserve"> implement the Sharpe–</w:t>
      </w:r>
      <w:proofErr w:type="spellStart"/>
      <w:r>
        <w:t>Lintner</w:t>
      </w:r>
      <w:proofErr w:type="spellEnd"/>
      <w:r>
        <w:t xml:space="preserve"> CAPM as follows: </w:t>
      </w:r>
    </w:p>
    <w:p w:rsidR="00E93282" w:rsidRDefault="00E93282" w:rsidP="004056B2">
      <w:pPr>
        <w:pStyle w:val="AERbulletlistfirststyle"/>
      </w:pPr>
      <w:r>
        <w:lastRenderedPageBreak/>
        <w:t>The Sharpe–</w:t>
      </w:r>
      <w:proofErr w:type="spellStart"/>
      <w:r>
        <w:t>Lintner</w:t>
      </w:r>
      <w:proofErr w:type="spellEnd"/>
      <w:r>
        <w:t xml:space="preserve"> CAPM is estimated </w:t>
      </w:r>
      <w:r w:rsidR="00355534">
        <w:t xml:space="preserve">by adding </w:t>
      </w:r>
      <w:r w:rsidR="00756CC1">
        <w:t xml:space="preserve">to </w:t>
      </w:r>
      <w:r>
        <w:t>the risk free rate the product of the equity beta and market risk premium (MRP).</w:t>
      </w:r>
    </w:p>
    <w:p w:rsidR="004056B2" w:rsidRDefault="004056B2" w:rsidP="004056B2">
      <w:pPr>
        <w:pStyle w:val="AERbulletlistfirststyle"/>
      </w:pPr>
      <w:r>
        <w:t>The range and point estimate for the expected return on equity is calculated based on the range and point estimates from the corresponding input parameters. For example, the lower bound of the expected return on equity range is calculated by applying the point estimate for the risk free rate and the lower bound estimates of the equity beta and MRP. A probability will not be assigned to values within the range, but it will not be assumed that all values within the range are equally probable.</w:t>
      </w:r>
    </w:p>
    <w:p w:rsidR="004056B2" w:rsidRDefault="004056B2" w:rsidP="004056B2">
      <w:r>
        <w:t>The AER proposes to estimate the input parameter</w:t>
      </w:r>
      <w:r w:rsidR="00F32065">
        <w:t>s</w:t>
      </w:r>
      <w:r>
        <w:t xml:space="preserve"> for the Sharpe–</w:t>
      </w:r>
      <w:proofErr w:type="spellStart"/>
      <w:r>
        <w:t>Lintner</w:t>
      </w:r>
      <w:proofErr w:type="spellEnd"/>
      <w:r>
        <w:t xml:space="preserve"> CAPM as follows: </w:t>
      </w:r>
    </w:p>
    <w:p w:rsidR="004056B2" w:rsidRPr="001C6D6A" w:rsidRDefault="004056B2" w:rsidP="001954D1">
      <w:pPr>
        <w:pStyle w:val="HeadingBoldBlue"/>
      </w:pPr>
      <w:r w:rsidRPr="001C6D6A">
        <w:t>Risk free rate</w:t>
      </w:r>
    </w:p>
    <w:p w:rsidR="004056B2" w:rsidRPr="001C6D6A" w:rsidRDefault="004056B2" w:rsidP="004056B2">
      <w:r>
        <w:t>The AER</w:t>
      </w:r>
      <w:r w:rsidRPr="001C6D6A">
        <w:t xml:space="preserve"> propose</w:t>
      </w:r>
      <w:r>
        <w:t>s</w:t>
      </w:r>
      <w:r w:rsidRPr="001C6D6A">
        <w:t xml:space="preserve"> to adopt a forward looking risk free rate that is commensurate with prevailing conditions in the market for funds at the commencement of the regulatory control period.</w:t>
      </w:r>
    </w:p>
    <w:p w:rsidR="004056B2" w:rsidRPr="001C6D6A" w:rsidRDefault="004056B2" w:rsidP="004056B2">
      <w:r w:rsidRPr="001C6D6A">
        <w:t xml:space="preserve">On the risk free rate proxy, </w:t>
      </w:r>
      <w:r>
        <w:t>the AER</w:t>
      </w:r>
      <w:r w:rsidRPr="001C6D6A">
        <w:t xml:space="preserve"> propose</w:t>
      </w:r>
      <w:r>
        <w:t>s</w:t>
      </w:r>
      <w:r w:rsidRPr="001C6D6A">
        <w:t xml:space="preserve"> to adopt:</w:t>
      </w:r>
    </w:p>
    <w:p w:rsidR="004056B2" w:rsidRPr="001C6D6A" w:rsidRDefault="004056B2" w:rsidP="004056B2">
      <w:pPr>
        <w:pStyle w:val="AERbulletlistfirststyle"/>
      </w:pPr>
      <w:r>
        <w:t>t</w:t>
      </w:r>
      <w:r w:rsidRPr="001C6D6A">
        <w:t>he yield on CGS</w:t>
      </w:r>
    </w:p>
    <w:p w:rsidR="004056B2" w:rsidRPr="001C6D6A" w:rsidRDefault="004056B2" w:rsidP="004056B2">
      <w:pPr>
        <w:pStyle w:val="AERbulletlistfirststyle"/>
      </w:pPr>
      <w:proofErr w:type="gramStart"/>
      <w:r>
        <w:t>a</w:t>
      </w:r>
      <w:proofErr w:type="gramEnd"/>
      <w:r w:rsidRPr="001C6D6A">
        <w:t xml:space="preserve"> 10 year term</w:t>
      </w:r>
      <w:r>
        <w:t>.</w:t>
      </w:r>
    </w:p>
    <w:p w:rsidR="004056B2" w:rsidRPr="001C6D6A" w:rsidRDefault="004056B2" w:rsidP="004056B2">
      <w:r w:rsidRPr="001C6D6A">
        <w:t xml:space="preserve">On the risk free rate averaging period, </w:t>
      </w:r>
      <w:r>
        <w:t>the AER</w:t>
      </w:r>
      <w:r w:rsidRPr="001C6D6A">
        <w:t xml:space="preserve"> propose</w:t>
      </w:r>
      <w:r>
        <w:t>s</w:t>
      </w:r>
      <w:r w:rsidRPr="001C6D6A">
        <w:t xml:space="preserve"> to adopt a period that:</w:t>
      </w:r>
    </w:p>
    <w:p w:rsidR="004056B2" w:rsidRPr="001C6D6A" w:rsidRDefault="004056B2" w:rsidP="004056B2">
      <w:pPr>
        <w:pStyle w:val="AERbulletlistfirststyle"/>
      </w:pPr>
      <w:r w:rsidRPr="001C6D6A">
        <w:t>is short—specifically, 20 cons</w:t>
      </w:r>
      <w:r>
        <w:t>ecutive business days in length</w:t>
      </w:r>
    </w:p>
    <w:p w:rsidR="004056B2" w:rsidRPr="001C6D6A" w:rsidRDefault="004056B2" w:rsidP="004056B2">
      <w:pPr>
        <w:pStyle w:val="AERbulletlistfirststyle"/>
      </w:pPr>
      <w:proofErr w:type="gramStart"/>
      <w:r w:rsidRPr="001C6D6A">
        <w:t>is</w:t>
      </w:r>
      <w:proofErr w:type="gramEnd"/>
      <w:r w:rsidRPr="001C6D6A">
        <w:t xml:space="preserve"> as close as practicably possible to the commencement of the regulatory </w:t>
      </w:r>
      <w:r>
        <w:t xml:space="preserve">control </w:t>
      </w:r>
      <w:r w:rsidRPr="001C6D6A">
        <w:t>period.</w:t>
      </w:r>
    </w:p>
    <w:p w:rsidR="004056B2" w:rsidRPr="001C6D6A" w:rsidRDefault="004056B2" w:rsidP="001954D1">
      <w:pPr>
        <w:pStyle w:val="HeadingBoldBlue"/>
      </w:pPr>
      <w:r w:rsidRPr="001C6D6A">
        <w:t>Equity beta</w:t>
      </w:r>
    </w:p>
    <w:p w:rsidR="004056B2" w:rsidRPr="001C6D6A" w:rsidRDefault="004056B2" w:rsidP="004056B2">
      <w:pPr>
        <w:numPr>
          <w:ilvl w:val="0"/>
          <w:numId w:val="6"/>
        </w:numPr>
      </w:pPr>
      <w:r>
        <w:t>The AER</w:t>
      </w:r>
      <w:r w:rsidRPr="001C6D6A">
        <w:t xml:space="preserve"> propose</w:t>
      </w:r>
      <w:r>
        <w:t>s</w:t>
      </w:r>
      <w:r w:rsidRPr="001C6D6A">
        <w:t xml:space="preserve"> to estimate a range for the equity beta, and then select a point estimate </w:t>
      </w:r>
      <w:r>
        <w:t>for</w:t>
      </w:r>
      <w:r w:rsidRPr="001C6D6A">
        <w:t xml:space="preserve"> the equity beta from within that range.</w:t>
      </w:r>
    </w:p>
    <w:p w:rsidR="004056B2" w:rsidRPr="001C6D6A" w:rsidRDefault="004056B2" w:rsidP="004056B2">
      <w:r>
        <w:t>The AER</w:t>
      </w:r>
      <w:r w:rsidRPr="001C6D6A">
        <w:t xml:space="preserve"> propose</w:t>
      </w:r>
      <w:r>
        <w:t>s</w:t>
      </w:r>
      <w:r w:rsidRPr="001C6D6A">
        <w:t xml:space="preserve"> to adopt the same point estimate and range for equity beta across each of the energy sectors </w:t>
      </w:r>
      <w:r>
        <w:t>the AER</w:t>
      </w:r>
      <w:r w:rsidRPr="001C6D6A">
        <w:t xml:space="preserve"> regulate</w:t>
      </w:r>
      <w:r>
        <w:t>s</w:t>
      </w:r>
      <w:r w:rsidRPr="001C6D6A">
        <w:t xml:space="preserve"> (electricity transmission, electricity distribution, gas transmission and gas distribution). </w:t>
      </w:r>
    </w:p>
    <w:p w:rsidR="004056B2" w:rsidRPr="001C6D6A" w:rsidRDefault="004056B2" w:rsidP="004056B2">
      <w:pPr>
        <w:numPr>
          <w:ilvl w:val="0"/>
          <w:numId w:val="6"/>
        </w:numPr>
      </w:pPr>
      <w:r w:rsidRPr="001C6D6A">
        <w:t xml:space="preserve">Under </w:t>
      </w:r>
      <w:r>
        <w:t>the AER's</w:t>
      </w:r>
      <w:r w:rsidRPr="001C6D6A">
        <w:t xml:space="preserve"> approach, </w:t>
      </w:r>
      <w:r>
        <w:t>the AER</w:t>
      </w:r>
      <w:r w:rsidRPr="001C6D6A">
        <w:t xml:space="preserve"> propose</w:t>
      </w:r>
      <w:r>
        <w:t>s</w:t>
      </w:r>
      <w:r w:rsidRPr="001C6D6A">
        <w:t xml:space="preserve"> to estimate the range for the equity beta based on empirical analysis using a set of Australian energy utility firms </w:t>
      </w:r>
      <w:r>
        <w:t>the AER</w:t>
      </w:r>
      <w:r w:rsidRPr="001C6D6A">
        <w:t xml:space="preserve"> consider</w:t>
      </w:r>
      <w:r>
        <w:t>s</w:t>
      </w:r>
      <w:r w:rsidRPr="001C6D6A">
        <w:t xml:space="preserve"> reasonably comparable to the benchmark efficient entity.</w:t>
      </w:r>
      <w:r w:rsidR="004809EF">
        <w:t xml:space="preserve"> </w:t>
      </w:r>
      <w:r w:rsidR="00E050AC">
        <w:t>T</w:t>
      </w:r>
      <w:r w:rsidR="004809EF">
        <w:t>his approach leads to a range for equity beta from 0.4 to 0.7.</w:t>
      </w:r>
    </w:p>
    <w:p w:rsidR="004056B2" w:rsidRPr="001C6D6A" w:rsidRDefault="004056B2" w:rsidP="004056B2">
      <w:r>
        <w:t>The AER</w:t>
      </w:r>
      <w:r w:rsidRPr="001C6D6A">
        <w:t xml:space="preserve"> then propose</w:t>
      </w:r>
      <w:r>
        <w:t>s</w:t>
      </w:r>
      <w:r w:rsidRPr="001C6D6A">
        <w:t xml:space="preserve"> to use other information sources to inform </w:t>
      </w:r>
      <w:r>
        <w:t xml:space="preserve">the selection of </w:t>
      </w:r>
      <w:r w:rsidRPr="001C6D6A">
        <w:t>a point estimate from within the empirical range of equity beta estimates. This additional information includes:</w:t>
      </w:r>
      <w:r>
        <w:rPr>
          <w:rStyle w:val="CommentReference"/>
        </w:rPr>
        <w:t xml:space="preserve"> </w:t>
      </w:r>
    </w:p>
    <w:p w:rsidR="004056B2" w:rsidRPr="001C6D6A" w:rsidRDefault="004056B2" w:rsidP="004056B2">
      <w:pPr>
        <w:pStyle w:val="AERbulletlistfirststyle"/>
      </w:pPr>
      <w:proofErr w:type="gramStart"/>
      <w:r>
        <w:t>e</w:t>
      </w:r>
      <w:r w:rsidRPr="001C6D6A">
        <w:t>mpirical</w:t>
      </w:r>
      <w:proofErr w:type="gramEnd"/>
      <w:r w:rsidRPr="001C6D6A">
        <w:t xml:space="preserve"> estimates of overseas energy networks.</w:t>
      </w:r>
    </w:p>
    <w:p w:rsidR="004809EF" w:rsidRDefault="004056B2" w:rsidP="004056B2">
      <w:pPr>
        <w:pStyle w:val="AERbulletlistfirststyle"/>
      </w:pPr>
      <w:proofErr w:type="gramStart"/>
      <w:r>
        <w:t>t</w:t>
      </w:r>
      <w:r w:rsidRPr="001C6D6A">
        <w:t>he</w:t>
      </w:r>
      <w:proofErr w:type="gramEnd"/>
      <w:r w:rsidRPr="001C6D6A">
        <w:t xml:space="preserve"> theoretical principles underpinning the Black CAPM.</w:t>
      </w:r>
    </w:p>
    <w:p w:rsidR="004056B2" w:rsidRPr="001C6D6A" w:rsidRDefault="00E050AC" w:rsidP="00F32065">
      <w:pPr>
        <w:pStyle w:val="AERbodytext"/>
      </w:pPr>
      <w:r>
        <w:t>T</w:t>
      </w:r>
      <w:r w:rsidR="004809EF">
        <w:t>his approach leads to a</w:t>
      </w:r>
      <w:r>
        <w:t xml:space="preserve"> </w:t>
      </w:r>
      <w:r w:rsidR="004809EF">
        <w:t>point estimate of 0.7</w:t>
      </w:r>
      <w:r>
        <w:t xml:space="preserve"> for equity beta</w:t>
      </w:r>
      <w:r w:rsidR="004809EF">
        <w:t>, chosen from within the range 0.4 to 0.7.</w:t>
      </w:r>
    </w:p>
    <w:p w:rsidR="004056B2" w:rsidRPr="001C6D6A" w:rsidRDefault="004056B2" w:rsidP="001954D1">
      <w:pPr>
        <w:pStyle w:val="HeadingBoldBlue"/>
      </w:pPr>
      <w:r w:rsidRPr="001C6D6A">
        <w:lastRenderedPageBreak/>
        <w:t>Market risk premium</w:t>
      </w:r>
    </w:p>
    <w:p w:rsidR="004056B2" w:rsidRPr="001C6D6A" w:rsidRDefault="004056B2" w:rsidP="004056B2">
      <w:r>
        <w:t>The AER</w:t>
      </w:r>
      <w:r w:rsidRPr="001C6D6A">
        <w:t xml:space="preserve"> propose</w:t>
      </w:r>
      <w:r>
        <w:t>s</w:t>
      </w:r>
      <w:r w:rsidRPr="001C6D6A">
        <w:t xml:space="preserve"> to estimate a range for the MRP, and then select a point estimate from within that range.</w:t>
      </w:r>
    </w:p>
    <w:p w:rsidR="004056B2" w:rsidRPr="001C6D6A" w:rsidRDefault="004056B2" w:rsidP="004056B2">
      <w:r>
        <w:t>The AER</w:t>
      </w:r>
      <w:r w:rsidRPr="001C6D6A">
        <w:t xml:space="preserve"> propose</w:t>
      </w:r>
      <w:r>
        <w:t>s</w:t>
      </w:r>
      <w:r w:rsidRPr="001C6D6A">
        <w:t xml:space="preserve"> to estimate the range </w:t>
      </w:r>
      <w:r w:rsidR="006F1AFA">
        <w:t xml:space="preserve">for the MRP </w:t>
      </w:r>
      <w:r w:rsidRPr="001C6D6A">
        <w:t xml:space="preserve">with regard to theoretical and empirical evidence—including historical excess returns, </w:t>
      </w:r>
      <w:r w:rsidR="00C029AE">
        <w:t>dividend growth model</w:t>
      </w:r>
      <w:r w:rsidRPr="001C6D6A">
        <w:t xml:space="preserve"> estimates, </w:t>
      </w:r>
      <w:proofErr w:type="gramStart"/>
      <w:r w:rsidRPr="001C6D6A">
        <w:t>survey</w:t>
      </w:r>
      <w:proofErr w:type="gramEnd"/>
      <w:r w:rsidRPr="001C6D6A">
        <w:t xml:space="preserve"> evidence and </w:t>
      </w:r>
      <w:r w:rsidR="00A30285">
        <w:t>conditioning variables</w:t>
      </w:r>
      <w:r w:rsidRPr="001C6D6A">
        <w:t xml:space="preserve">. </w:t>
      </w:r>
      <w:r>
        <w:t>The AER</w:t>
      </w:r>
      <w:r w:rsidRPr="001C6D6A">
        <w:t xml:space="preserve"> will also have regard to recent decisions among Australian regulators. Each of these sources of evidence has strengths and limitations.</w:t>
      </w:r>
    </w:p>
    <w:p w:rsidR="00E93282" w:rsidRDefault="004056B2" w:rsidP="001954D1">
      <w:r>
        <w:t>The AER</w:t>
      </w:r>
      <w:r w:rsidRPr="001C6D6A">
        <w:t xml:space="preserve"> propose</w:t>
      </w:r>
      <w:r>
        <w:t>s</w:t>
      </w:r>
      <w:r w:rsidRPr="001C6D6A">
        <w:t xml:space="preserve"> to estimate the point estimate </w:t>
      </w:r>
      <w:r w:rsidR="006F1AFA">
        <w:t xml:space="preserve">for the MRP </w:t>
      </w:r>
      <w:r w:rsidRPr="001C6D6A">
        <w:t xml:space="preserve">based on </w:t>
      </w:r>
      <w:r>
        <w:t>the AER's</w:t>
      </w:r>
      <w:r w:rsidRPr="001C6D6A">
        <w:t xml:space="preserve"> regulatory judgement, taking into account estimates from each of those sources of evidence and considering their strengths and limitations.</w:t>
      </w:r>
    </w:p>
    <w:p w:rsidR="00E93282" w:rsidRPr="00163CB9" w:rsidRDefault="00E93282" w:rsidP="00163CB9">
      <w:pPr>
        <w:pStyle w:val="Heading3"/>
      </w:pPr>
      <w:bookmarkStart w:id="32" w:name="_Ref362953757"/>
      <w:r w:rsidRPr="00163CB9">
        <w:t xml:space="preserve">Step four: other </w:t>
      </w:r>
      <w:bookmarkEnd w:id="32"/>
      <w:r w:rsidRPr="00163CB9">
        <w:t>information</w:t>
      </w:r>
    </w:p>
    <w:p w:rsidR="00E93282" w:rsidRDefault="00E93282" w:rsidP="00E93282">
      <w:pPr>
        <w:pStyle w:val="AERbodytext"/>
        <w:numPr>
          <w:ilvl w:val="0"/>
          <w:numId w:val="6"/>
        </w:numPr>
      </w:pPr>
      <w:r>
        <w:t>The AER's fourth step proposes to estimate ranges, directional or relative information that will inform the point estimate of the expected return on equity.</w:t>
      </w:r>
    </w:p>
    <w:p w:rsidR="00E93282" w:rsidRDefault="000F0039" w:rsidP="00E93282">
      <w:pPr>
        <w:pStyle w:val="AERbodytext"/>
        <w:numPr>
          <w:ilvl w:val="0"/>
          <w:numId w:val="6"/>
        </w:numPr>
      </w:pPr>
      <w:r>
        <w:t>The AER proposes t</w:t>
      </w:r>
      <w:r w:rsidR="00E93282">
        <w:t xml:space="preserve">o determine the manner in which each piece of other information is used </w:t>
      </w:r>
      <w:r>
        <w:t xml:space="preserve">by assessing </w:t>
      </w:r>
      <w:r w:rsidR="00E93282">
        <w:t>the information against the assessment criteria. This assessment is outlined in the explanatory statement to this guideline.</w:t>
      </w:r>
    </w:p>
    <w:p w:rsidR="00E93282" w:rsidRDefault="00E93282" w:rsidP="00E93282">
      <w:pPr>
        <w:pStyle w:val="AERbodytext"/>
        <w:numPr>
          <w:ilvl w:val="0"/>
          <w:numId w:val="6"/>
        </w:numPr>
      </w:pPr>
      <w:r>
        <w:t xml:space="preserve">The outcome of the AER's assessment on the form of additional information is outlined in </w:t>
      </w:r>
      <w:r>
        <w:fldChar w:fldCharType="begin"/>
      </w:r>
      <w:r>
        <w:instrText xml:space="preserve"> REF  _Ref373836360 \* Lower \h  \* MERGEFORMAT </w:instrText>
      </w:r>
      <w:r>
        <w:fldChar w:fldCharType="separate"/>
      </w:r>
      <w:r w:rsidR="0044481E">
        <w:t>table 5.3</w:t>
      </w:r>
      <w:r>
        <w:fldChar w:fldCharType="end"/>
      </w:r>
      <w:r>
        <w:t>.</w:t>
      </w:r>
    </w:p>
    <w:p w:rsidR="00E93282" w:rsidRDefault="00E93282" w:rsidP="00E93282">
      <w:pPr>
        <w:pStyle w:val="Caption"/>
      </w:pPr>
      <w:bookmarkStart w:id="33" w:name="_Ref362608813"/>
      <w:bookmarkStart w:id="34" w:name="_Ref373836360"/>
      <w:proofErr w:type="gramStart"/>
      <w:r>
        <w:t xml:space="preserve">Table </w:t>
      </w:r>
      <w:proofErr w:type="gramEnd"/>
      <w:r w:rsidR="00A07404">
        <w:fldChar w:fldCharType="begin"/>
      </w:r>
      <w:r w:rsidR="00A07404">
        <w:instrText xml:space="preserve"> STYLEREF 1 \s </w:instrText>
      </w:r>
      <w:r w:rsidR="00A07404">
        <w:fldChar w:fldCharType="separate"/>
      </w:r>
      <w:r w:rsidR="0044481E">
        <w:rPr>
          <w:noProof/>
        </w:rPr>
        <w:t>5</w:t>
      </w:r>
      <w:r w:rsidR="00A07404">
        <w:rPr>
          <w:noProof/>
        </w:rPr>
        <w:fldChar w:fldCharType="end"/>
      </w:r>
      <w:proofErr w:type="gramStart"/>
      <w:r>
        <w:t>.</w:t>
      </w:r>
      <w:proofErr w:type="gramEnd"/>
      <w:fldSimple w:instr=" SEQ Table \* ARABIC \s 1 ">
        <w:r w:rsidR="0044481E">
          <w:rPr>
            <w:noProof/>
          </w:rPr>
          <w:t>3</w:t>
        </w:r>
      </w:fldSimple>
      <w:bookmarkEnd w:id="33"/>
      <w:bookmarkEnd w:id="34"/>
      <w:r>
        <w:tab/>
        <w:t>Form of other relevant information</w:t>
      </w:r>
    </w:p>
    <w:tbl>
      <w:tblPr>
        <w:tblStyle w:val="AERtable-text"/>
        <w:tblW w:w="5000" w:type="pct"/>
        <w:tblLook w:val="04A0" w:firstRow="1" w:lastRow="0" w:firstColumn="1" w:lastColumn="0" w:noHBand="0" w:noVBand="1"/>
      </w:tblPr>
      <w:tblGrid>
        <w:gridCol w:w="5042"/>
        <w:gridCol w:w="4200"/>
      </w:tblGrid>
      <w:tr w:rsidR="00E93282" w:rsidRPr="00A77A6A" w:rsidTr="00CC043E">
        <w:trPr>
          <w:cnfStyle w:val="100000000000" w:firstRow="1" w:lastRow="0" w:firstColumn="0" w:lastColumn="0" w:oddVBand="0" w:evenVBand="0" w:oddHBand="0" w:evenHBand="0" w:firstRowFirstColumn="0" w:firstRowLastColumn="0" w:lastRowFirstColumn="0" w:lastRowLastColumn="0"/>
        </w:trPr>
        <w:tc>
          <w:tcPr>
            <w:tcW w:w="2728" w:type="pct"/>
          </w:tcPr>
          <w:p w:rsidR="00E93282" w:rsidRPr="00B85634" w:rsidRDefault="00E93282" w:rsidP="00E93282">
            <w:pPr>
              <w:pStyle w:val="AERbodytext"/>
              <w:numPr>
                <w:ilvl w:val="0"/>
                <w:numId w:val="6"/>
              </w:numPr>
            </w:pPr>
            <w:r>
              <w:t>Additional information</w:t>
            </w:r>
          </w:p>
        </w:tc>
        <w:tc>
          <w:tcPr>
            <w:tcW w:w="2272" w:type="pct"/>
          </w:tcPr>
          <w:p w:rsidR="00E93282" w:rsidRPr="00B85634" w:rsidRDefault="00E93282" w:rsidP="00E93282">
            <w:pPr>
              <w:pStyle w:val="AERbodytext"/>
              <w:numPr>
                <w:ilvl w:val="0"/>
                <w:numId w:val="6"/>
              </w:numPr>
            </w:pPr>
            <w:r>
              <w:t>Form</w:t>
            </w:r>
            <w:r w:rsidRPr="00B85634">
              <w:t xml:space="preserve"> of information</w:t>
            </w:r>
          </w:p>
        </w:tc>
      </w:tr>
      <w:tr w:rsidR="00E93282" w:rsidRPr="00A77A6A" w:rsidTr="00CC043E">
        <w:tc>
          <w:tcPr>
            <w:tcW w:w="2728" w:type="pct"/>
          </w:tcPr>
          <w:p w:rsidR="00E93282" w:rsidRPr="0055177B" w:rsidRDefault="00E93282" w:rsidP="00E93282">
            <w:pPr>
              <w:pStyle w:val="AERbodytext"/>
              <w:numPr>
                <w:ilvl w:val="0"/>
                <w:numId w:val="6"/>
              </w:numPr>
            </w:pPr>
            <w:r w:rsidRPr="0055177B">
              <w:t xml:space="preserve">Wright approach </w:t>
            </w:r>
          </w:p>
        </w:tc>
        <w:tc>
          <w:tcPr>
            <w:tcW w:w="2272" w:type="pct"/>
          </w:tcPr>
          <w:p w:rsidR="00E93282" w:rsidRPr="00B85634" w:rsidRDefault="001C6D6A" w:rsidP="00E93282">
            <w:pPr>
              <w:pStyle w:val="AERbodytext"/>
              <w:numPr>
                <w:ilvl w:val="0"/>
                <w:numId w:val="6"/>
              </w:numPr>
            </w:pPr>
            <w:r>
              <w:t>Point in time</w:t>
            </w:r>
            <w:r w:rsidR="00E93282" w:rsidRPr="00B85634">
              <w:t xml:space="preserve"> </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2728" w:type="pct"/>
          </w:tcPr>
          <w:p w:rsidR="00E93282" w:rsidRPr="0055177B" w:rsidRDefault="00E93282" w:rsidP="00E93282">
            <w:pPr>
              <w:pStyle w:val="AERbodytext"/>
              <w:numPr>
                <w:ilvl w:val="0"/>
                <w:numId w:val="6"/>
              </w:numPr>
            </w:pPr>
            <w:r w:rsidRPr="0055177B">
              <w:t xml:space="preserve">Other regulators’ </w:t>
            </w:r>
            <w:r>
              <w:t>return on equity</w:t>
            </w:r>
            <w:r w:rsidRPr="0055177B">
              <w:t xml:space="preserve"> estimates</w:t>
            </w:r>
          </w:p>
        </w:tc>
        <w:tc>
          <w:tcPr>
            <w:tcW w:w="2272" w:type="pct"/>
          </w:tcPr>
          <w:p w:rsidR="00E93282" w:rsidRPr="00B85634" w:rsidRDefault="001C6D6A" w:rsidP="00E93282">
            <w:pPr>
              <w:pStyle w:val="AERbodytext"/>
              <w:numPr>
                <w:ilvl w:val="0"/>
                <w:numId w:val="6"/>
              </w:numPr>
            </w:pPr>
            <w:r>
              <w:t>Point in time</w:t>
            </w:r>
          </w:p>
        </w:tc>
      </w:tr>
      <w:tr w:rsidR="00E93282" w:rsidRPr="00A77A6A" w:rsidTr="00CC043E">
        <w:tc>
          <w:tcPr>
            <w:tcW w:w="2728" w:type="pct"/>
          </w:tcPr>
          <w:p w:rsidR="00E93282" w:rsidRPr="0055177B" w:rsidRDefault="00E93282" w:rsidP="00E93282">
            <w:pPr>
              <w:pStyle w:val="AERbodytext"/>
              <w:numPr>
                <w:ilvl w:val="0"/>
                <w:numId w:val="6"/>
              </w:numPr>
            </w:pPr>
            <w:r w:rsidRPr="0055177B">
              <w:t>Broker</w:t>
            </w:r>
            <w:r>
              <w:t>s’</w:t>
            </w:r>
            <w:r w:rsidRPr="0055177B">
              <w:t xml:space="preserve"> </w:t>
            </w:r>
            <w:r>
              <w:t>return on equity</w:t>
            </w:r>
            <w:r w:rsidRPr="0055177B">
              <w:t xml:space="preserve"> estimates</w:t>
            </w:r>
          </w:p>
        </w:tc>
        <w:tc>
          <w:tcPr>
            <w:tcW w:w="2272" w:type="pct"/>
          </w:tcPr>
          <w:p w:rsidR="00E93282" w:rsidRPr="00B85634" w:rsidRDefault="001C6D6A" w:rsidP="00E93282">
            <w:pPr>
              <w:pStyle w:val="AERbodytext"/>
              <w:numPr>
                <w:ilvl w:val="0"/>
                <w:numId w:val="6"/>
              </w:numPr>
            </w:pPr>
            <w:r>
              <w:t>Point in time and directional</w:t>
            </w:r>
          </w:p>
        </w:tc>
      </w:tr>
      <w:tr w:rsidR="00E93282" w:rsidRPr="00A77A6A" w:rsidTr="00CC043E">
        <w:trPr>
          <w:cnfStyle w:val="000000010000" w:firstRow="0" w:lastRow="0" w:firstColumn="0" w:lastColumn="0" w:oddVBand="0" w:evenVBand="0" w:oddHBand="0" w:evenHBand="1" w:firstRowFirstColumn="0" w:firstRowLastColumn="0" w:lastRowFirstColumn="0" w:lastRowLastColumn="0"/>
        </w:trPr>
        <w:tc>
          <w:tcPr>
            <w:tcW w:w="2728" w:type="pct"/>
          </w:tcPr>
          <w:p w:rsidR="00E93282" w:rsidRPr="0055177B" w:rsidRDefault="00E93282" w:rsidP="00E93282">
            <w:pPr>
              <w:pStyle w:val="AERbodytext"/>
              <w:numPr>
                <w:ilvl w:val="0"/>
                <w:numId w:val="6"/>
              </w:numPr>
            </w:pPr>
            <w:r w:rsidRPr="0055177B">
              <w:t>Takeover/valuation reports</w:t>
            </w:r>
          </w:p>
        </w:tc>
        <w:tc>
          <w:tcPr>
            <w:tcW w:w="2272" w:type="pct"/>
          </w:tcPr>
          <w:p w:rsidR="00E93282" w:rsidRPr="00B85634" w:rsidRDefault="00E93282" w:rsidP="00E93282">
            <w:pPr>
              <w:pStyle w:val="AERbodytext"/>
              <w:numPr>
                <w:ilvl w:val="0"/>
                <w:numId w:val="6"/>
              </w:numPr>
            </w:pPr>
            <w:r>
              <w:t>Directional</w:t>
            </w:r>
          </w:p>
        </w:tc>
      </w:tr>
      <w:tr w:rsidR="00E93282" w:rsidRPr="00A77A6A" w:rsidTr="00CC043E">
        <w:tc>
          <w:tcPr>
            <w:tcW w:w="2728" w:type="pct"/>
          </w:tcPr>
          <w:p w:rsidR="00E93282" w:rsidRPr="0055177B" w:rsidRDefault="00E93282" w:rsidP="00E93282">
            <w:pPr>
              <w:pStyle w:val="AERbodytext"/>
              <w:numPr>
                <w:ilvl w:val="0"/>
                <w:numId w:val="6"/>
              </w:numPr>
            </w:pPr>
            <w:r w:rsidRPr="0055177B">
              <w:t>Comparison with return on debt</w:t>
            </w:r>
          </w:p>
        </w:tc>
        <w:tc>
          <w:tcPr>
            <w:tcW w:w="2272" w:type="pct"/>
          </w:tcPr>
          <w:p w:rsidR="00E93282" w:rsidRPr="00B85634" w:rsidRDefault="00E93282" w:rsidP="00E93282">
            <w:pPr>
              <w:pStyle w:val="AERbodytext"/>
              <w:numPr>
                <w:ilvl w:val="0"/>
                <w:numId w:val="6"/>
              </w:numPr>
            </w:pPr>
            <w:r>
              <w:t>Relative</w:t>
            </w:r>
          </w:p>
        </w:tc>
      </w:tr>
    </w:tbl>
    <w:p w:rsidR="00E93282" w:rsidRPr="0024173C" w:rsidRDefault="00E93282" w:rsidP="00E93282">
      <w:pPr>
        <w:pStyle w:val="AERtablesource"/>
      </w:pPr>
      <w:r>
        <w:t>Source:</w:t>
      </w:r>
      <w:r>
        <w:tab/>
        <w:t>AER analysis.</w:t>
      </w:r>
    </w:p>
    <w:p w:rsidR="00E93282" w:rsidRPr="00163CB9" w:rsidRDefault="00E93282" w:rsidP="00163CB9">
      <w:pPr>
        <w:pStyle w:val="Heading3"/>
      </w:pPr>
      <w:bookmarkStart w:id="35" w:name="_Ref363035491"/>
      <w:r w:rsidRPr="00163CB9">
        <w:t>Step five: evaluate information set</w:t>
      </w:r>
      <w:bookmarkEnd w:id="35"/>
    </w:p>
    <w:p w:rsidR="00E93282" w:rsidRDefault="00E93282" w:rsidP="00E93282">
      <w:r>
        <w:t>The AER's fifth step proposes to evaluate</w:t>
      </w:r>
      <w:r w:rsidRPr="00B53BB4">
        <w:t xml:space="preserve"> the full set of </w:t>
      </w:r>
      <w:r>
        <w:t>material</w:t>
      </w:r>
      <w:r w:rsidRPr="00B53BB4">
        <w:t xml:space="preserve"> that </w:t>
      </w:r>
      <w:r>
        <w:t>will</w:t>
      </w:r>
      <w:r w:rsidRPr="00B53BB4">
        <w:t xml:space="preserve"> inform, in some way, the estimation of the </w:t>
      </w:r>
      <w:r>
        <w:t xml:space="preserve">expected </w:t>
      </w:r>
      <w:r w:rsidRPr="00B53BB4">
        <w:t xml:space="preserve">return on equity. </w:t>
      </w:r>
      <w:r>
        <w:t>T</w:t>
      </w:r>
      <w:r w:rsidRPr="00B53BB4">
        <w:t xml:space="preserve">his includes assessing the </w:t>
      </w:r>
      <w:r>
        <w:t>foundation</w:t>
      </w:r>
      <w:r w:rsidRPr="00B53BB4">
        <w:t xml:space="preserve"> model range and point estimate alongside the </w:t>
      </w:r>
      <w:r>
        <w:t>other</w:t>
      </w:r>
      <w:r w:rsidRPr="00B53BB4">
        <w:t xml:space="preserve"> information </w:t>
      </w:r>
      <w:r>
        <w:t xml:space="preserve">from step four. </w:t>
      </w:r>
    </w:p>
    <w:p w:rsidR="00E93282" w:rsidRDefault="00E93282" w:rsidP="00E93282">
      <w:r>
        <w:t>In undertaking this evaluation the AER may have regard to matters including:</w:t>
      </w:r>
    </w:p>
    <w:p w:rsidR="00E93282" w:rsidRDefault="00E93282" w:rsidP="00E93282">
      <w:pPr>
        <w:pStyle w:val="AERbulletlistfirststyle"/>
      </w:pPr>
      <w:r>
        <w:t>patterns shown in the other information</w:t>
      </w:r>
    </w:p>
    <w:p w:rsidR="00E93282" w:rsidRDefault="00E93282" w:rsidP="00E93282">
      <w:pPr>
        <w:pStyle w:val="AERbulletlistfirststyle"/>
      </w:pPr>
      <w:r>
        <w:t>the strengths and limitations of the other information</w:t>
      </w:r>
    </w:p>
    <w:p w:rsidR="00E93282" w:rsidRDefault="00E93282" w:rsidP="00E93282">
      <w:pPr>
        <w:pStyle w:val="AERbulletlistfirststyle"/>
      </w:pPr>
      <w:r>
        <w:lastRenderedPageBreak/>
        <w:t>the magnitude by which the other information suggests that the foundation model point estimate under or over estimates the expected return on equity (if at all).</w:t>
      </w:r>
    </w:p>
    <w:p w:rsidR="00E93282" w:rsidRPr="00163CB9" w:rsidRDefault="00E93282" w:rsidP="00163CB9">
      <w:pPr>
        <w:pStyle w:val="Heading3"/>
      </w:pPr>
      <w:r w:rsidRPr="00163CB9">
        <w:t>Step six: distil point estimate of the expected return on equity</w:t>
      </w:r>
    </w:p>
    <w:p w:rsidR="00E93282" w:rsidRDefault="00E93282" w:rsidP="00E93282">
      <w:pPr>
        <w:pStyle w:val="AERbodytext"/>
        <w:numPr>
          <w:ilvl w:val="0"/>
          <w:numId w:val="6"/>
        </w:numPr>
      </w:pPr>
      <w:r>
        <w:t xml:space="preserve">The AER's sixth step proposes to determine the final point estimate for the expected return on equity. The AER's </w:t>
      </w:r>
      <w:r w:rsidR="000F0039">
        <w:t xml:space="preserve">proposes to use the foundation model point estimate as the </w:t>
      </w:r>
      <w:r>
        <w:t>starting point for estimating the expected return on equity</w:t>
      </w:r>
      <w:r w:rsidR="00163CB9">
        <w:t>.</w:t>
      </w:r>
    </w:p>
    <w:p w:rsidR="00E93282" w:rsidRDefault="00E93282" w:rsidP="00E93282">
      <w:pPr>
        <w:pStyle w:val="AERbodytext"/>
        <w:numPr>
          <w:ilvl w:val="0"/>
          <w:numId w:val="6"/>
        </w:numPr>
      </w:pPr>
      <w:r>
        <w:t>The final point estimate of the expected return on equity will require the exercise of regulatory judgement. Th</w:t>
      </w:r>
      <w:r w:rsidR="000F0039">
        <w:t xml:space="preserve">e AER proposes to </w:t>
      </w:r>
      <w:r>
        <w:t>draw on the analysis and evaluation of the other information undertaken in step five</w:t>
      </w:r>
      <w:r w:rsidR="000F0039">
        <w:t xml:space="preserve"> in exercising this judgement</w:t>
      </w:r>
      <w:r>
        <w:t xml:space="preserve">. For example, if the evaluation of other information suggests that the point estimate from the foundation model </w:t>
      </w:r>
      <w:r w:rsidR="00C029AE">
        <w:t>contributes to an estimate of the rate of return that achieves the allowed rate of return objective</w:t>
      </w:r>
      <w:r>
        <w:t>, then this point estimate (rounded) will be applied. Alternatively, if the evaluation suggests that the point estimate is too high or low, the point estimate will be changed by an amount informed by the other information (using the AER's regulatory judgment).</w:t>
      </w:r>
    </w:p>
    <w:p w:rsidR="00E93282" w:rsidRDefault="00E93282" w:rsidP="00E93282">
      <w:pPr>
        <w:pStyle w:val="AERbodytext"/>
        <w:numPr>
          <w:ilvl w:val="0"/>
          <w:numId w:val="6"/>
        </w:numPr>
      </w:pPr>
      <w:r>
        <w:t>The</w:t>
      </w:r>
      <w:r w:rsidR="000F0039">
        <w:t xml:space="preserve"> AER proposes the</w:t>
      </w:r>
      <w:r>
        <w:t xml:space="preserve"> final point estimate </w:t>
      </w:r>
      <w:r w:rsidRPr="00F32EE5">
        <w:t xml:space="preserve">of the </w:t>
      </w:r>
      <w:r>
        <w:t xml:space="preserve">expected </w:t>
      </w:r>
      <w:r w:rsidRPr="00F32EE5">
        <w:t>return on equity</w:t>
      </w:r>
      <w:r>
        <w:t xml:space="preserve"> to be the foundation model point estimate, or alternatively, a different value that is a multiple of 25 basis points.</w:t>
      </w:r>
      <w:r w:rsidRPr="00CE7104">
        <w:t xml:space="preserve"> </w:t>
      </w:r>
      <w:r>
        <w:t xml:space="preserve">If the foundation model point estimate is applied, </w:t>
      </w:r>
      <w:r w:rsidR="006344B5">
        <w:t xml:space="preserve">the AER proposes to round </w:t>
      </w:r>
      <w:r>
        <w:t>this estimate to a single decimal point. This recognises the limited precision with which the expected return on equity can be estimated.</w:t>
      </w:r>
    </w:p>
    <w:p w:rsidR="00E93282" w:rsidRDefault="00E93282" w:rsidP="00E93282">
      <w:pPr>
        <w:pStyle w:val="AERbodytext"/>
      </w:pPr>
      <w:r>
        <w:t>The approach</w:t>
      </w:r>
      <w:r w:rsidRPr="00E93282">
        <w:t xml:space="preserve"> outlined is premised on the expectation that the analysis in step five should not suggest a final estimate of the expected return on equity outside the foundation model range. If this expectation is not met, the AER may reconsider the foundation model input parameter estimates, or more fundamentally, the foundation model itself. This recognises that, ultimately, </w:t>
      </w:r>
      <w:r w:rsidR="00A4268C">
        <w:t>the AER's</w:t>
      </w:r>
      <w:r w:rsidRPr="00E93282">
        <w:t xml:space="preserve"> rate of return must meet the allowed rate of return objective.</w:t>
      </w:r>
    </w:p>
    <w:p w:rsidR="00E93282" w:rsidRPr="00E93282" w:rsidRDefault="00E93282" w:rsidP="00E93282">
      <w:pPr>
        <w:pStyle w:val="Heading1"/>
      </w:pPr>
      <w:bookmarkStart w:id="36" w:name="_Toc374971885"/>
      <w:r w:rsidRPr="00E93282">
        <w:lastRenderedPageBreak/>
        <w:t>Return on debt</w:t>
      </w:r>
      <w:bookmarkEnd w:id="36"/>
      <w:r w:rsidRPr="00E93282">
        <w:t xml:space="preserve"> </w:t>
      </w:r>
    </w:p>
    <w:p w:rsidR="00E93282" w:rsidRPr="00E93282" w:rsidRDefault="00E93282" w:rsidP="00E93282">
      <w:pPr>
        <w:pStyle w:val="AERbodytext"/>
      </w:pPr>
      <w:r>
        <w:t xml:space="preserve">This </w:t>
      </w:r>
      <w:r w:rsidRPr="00E93282">
        <w:t xml:space="preserve">chapter sets out the AER's proposed approach to estimating the </w:t>
      </w:r>
      <w:r w:rsidR="004641BA">
        <w:t xml:space="preserve">allowed </w:t>
      </w:r>
      <w:r w:rsidRPr="00E93282">
        <w:t xml:space="preserve">return on debt for service providers.  </w:t>
      </w:r>
    </w:p>
    <w:p w:rsidR="00E93282" w:rsidRPr="00E93282" w:rsidRDefault="00E93282" w:rsidP="00E93282">
      <w:pPr>
        <w:pStyle w:val="Heading2"/>
      </w:pPr>
      <w:bookmarkStart w:id="37" w:name="_Toc374971886"/>
      <w:r w:rsidRPr="00E93282">
        <w:t>Objective</w:t>
      </w:r>
      <w:bookmarkEnd w:id="37"/>
    </w:p>
    <w:p w:rsidR="00E93282" w:rsidRPr="00E93282" w:rsidRDefault="00E243CB" w:rsidP="00E93282">
      <w:pPr>
        <w:pStyle w:val="AERbodytext"/>
      </w:pPr>
      <w:r>
        <w:t xml:space="preserve">The allowed return on debt must be estimated such that it contributes to the achievement of the allowed rate of return objective. It should therefore </w:t>
      </w:r>
      <w:r w:rsidR="00E93282">
        <w:t xml:space="preserve">provide compensation to a service provider for the </w:t>
      </w:r>
      <w:r w:rsidR="00E93282" w:rsidRPr="00E93282">
        <w:t xml:space="preserve">debt financing cost which is commensurate with the efficient financing costs of a benchmark efficient entity with a similar degree of risk. </w:t>
      </w:r>
    </w:p>
    <w:p w:rsidR="00E93282" w:rsidRPr="00E93282" w:rsidRDefault="00E93282" w:rsidP="00E93282">
      <w:pPr>
        <w:pStyle w:val="Heading2"/>
      </w:pPr>
      <w:bookmarkStart w:id="38" w:name="_Toc374971887"/>
      <w:r w:rsidRPr="00E93282">
        <w:t>Rule requirements</w:t>
      </w:r>
      <w:bookmarkEnd w:id="38"/>
    </w:p>
    <w:p w:rsidR="00E93282" w:rsidRPr="00E93282" w:rsidRDefault="00E93282" w:rsidP="00E93282">
      <w:pPr>
        <w:pStyle w:val="AERbodytext"/>
      </w:pPr>
      <w:r>
        <w:t>The rules</w:t>
      </w:r>
      <w:r w:rsidRPr="00E93282">
        <w:t xml:space="preserve"> set out the:</w:t>
      </w:r>
      <w:r w:rsidRPr="00E93282">
        <w:rPr>
          <w:rStyle w:val="FootnoteReference"/>
        </w:rPr>
        <w:footnoteReference w:id="13"/>
      </w:r>
    </w:p>
    <w:p w:rsidR="00E93282" w:rsidRDefault="00E93282" w:rsidP="00E93282">
      <w:pPr>
        <w:pStyle w:val="AERbulletlistfirststyle"/>
      </w:pPr>
      <w:r>
        <w:t xml:space="preserve">calculation </w:t>
      </w:r>
      <w:r w:rsidR="001E2BC8">
        <w:t xml:space="preserve">of </w:t>
      </w:r>
      <w:r>
        <w:t>the return on capital</w:t>
      </w:r>
    </w:p>
    <w:p w:rsidR="00E93282" w:rsidRDefault="008814D1" w:rsidP="00E93282">
      <w:pPr>
        <w:pStyle w:val="AERbulletlistfirststyle"/>
      </w:pPr>
      <w:r>
        <w:t xml:space="preserve">allowed rate of </w:t>
      </w:r>
      <w:r w:rsidR="00E93282">
        <w:t xml:space="preserve">return objective (including factors the AER must have regard to in setting the </w:t>
      </w:r>
      <w:r>
        <w:t xml:space="preserve">rate of </w:t>
      </w:r>
      <w:r w:rsidR="00E93282">
        <w:t>return</w:t>
      </w:r>
      <w:r>
        <w:t>)</w:t>
      </w:r>
      <w:r w:rsidR="00E93282">
        <w:t xml:space="preserve"> </w:t>
      </w:r>
    </w:p>
    <w:p w:rsidR="00E93282" w:rsidRPr="00E93282" w:rsidRDefault="00E93282" w:rsidP="00E93282">
      <w:pPr>
        <w:pStyle w:val="AERbodytext"/>
      </w:pPr>
      <w:r>
        <w:t>In addition, the return on debt may be estimated by the AER using a methodology which results in either:</w:t>
      </w:r>
    </w:p>
    <w:p w:rsidR="00E93282" w:rsidRDefault="00E93282" w:rsidP="00E93282">
      <w:pPr>
        <w:pStyle w:val="AERbulletlistfirststyle"/>
      </w:pPr>
      <w:r>
        <w:t>the return on debt for each regulatory year in the regulatory control period being the same; or</w:t>
      </w:r>
    </w:p>
    <w:p w:rsidR="00E93282" w:rsidRDefault="00E93282" w:rsidP="00E93282">
      <w:pPr>
        <w:pStyle w:val="AERbulletlistfirststyle"/>
      </w:pPr>
      <w:r>
        <w:t>the return on debt (and consequently the allowed rate of return) being or potentially being, different for different regulatory years in the regulatory control period.</w:t>
      </w:r>
    </w:p>
    <w:p w:rsidR="00E93282" w:rsidRPr="00E93282" w:rsidRDefault="00E93282" w:rsidP="00E93282">
      <w:pPr>
        <w:pStyle w:val="AERbodytext"/>
      </w:pPr>
      <w:r>
        <w:t xml:space="preserve">In estimating the return on debt the </w:t>
      </w:r>
      <w:r w:rsidRPr="00E93282">
        <w:t>AER must have regard to the following factors:</w:t>
      </w:r>
    </w:p>
    <w:p w:rsidR="00E93282" w:rsidRDefault="00E93282" w:rsidP="00E93282">
      <w:pPr>
        <w:pStyle w:val="AERbulletlistfirststyle"/>
      </w:pPr>
      <w:r>
        <w:t xml:space="preserve">the desirability of minimising any difference between the return on debt </w:t>
      </w:r>
      <w:r w:rsidR="00CC043E">
        <w:t xml:space="preserve">and the return on debt </w:t>
      </w:r>
      <w:r>
        <w:t>of a benchmark efficient entity</w:t>
      </w:r>
    </w:p>
    <w:p w:rsidR="00E93282" w:rsidRDefault="00E93282" w:rsidP="00E93282">
      <w:pPr>
        <w:pStyle w:val="AERbulletlistfirststyle"/>
      </w:pPr>
      <w:r>
        <w:t>the interrelationship between the return on equity and the return on debt</w:t>
      </w:r>
    </w:p>
    <w:p w:rsidR="00E93282" w:rsidRDefault="00E93282" w:rsidP="00E93282">
      <w:pPr>
        <w:pStyle w:val="AERbulletlistfirststyle"/>
      </w:pPr>
      <w:r>
        <w:t>the incentive that the return on debt may provide in relation to capital expenditure over the regulatory control period, including as to the timing of capital expenditure</w:t>
      </w:r>
    </w:p>
    <w:p w:rsidR="00E93282" w:rsidRDefault="00E93282" w:rsidP="00E93282">
      <w:pPr>
        <w:pStyle w:val="AERbulletlistfirststyle"/>
      </w:pPr>
      <w:r>
        <w:t xml:space="preserve">any impacts (including in relation to the costs of servicing debt across regulatory control periods) on a benchmark efficient entity referred to in the allowed rate of return objective that could arise as a result of changing the methodology that is used to estimate the return on debt from one regulatory control period to the next. </w:t>
      </w:r>
    </w:p>
    <w:p w:rsidR="00E93282" w:rsidRPr="00E93282" w:rsidRDefault="00E93282" w:rsidP="00E93282">
      <w:pPr>
        <w:pStyle w:val="Heading2"/>
      </w:pPr>
      <w:bookmarkStart w:id="39" w:name="_Toc374971888"/>
      <w:r w:rsidRPr="00E93282">
        <w:t>Application</w:t>
      </w:r>
      <w:bookmarkEnd w:id="39"/>
    </w:p>
    <w:p w:rsidR="00E93282" w:rsidRPr="00523722" w:rsidRDefault="00E93282" w:rsidP="00E93282">
      <w:r>
        <w:t xml:space="preserve">This section sets out the method the AER proposes to use to calculate the allowed return on debt. </w:t>
      </w:r>
    </w:p>
    <w:p w:rsidR="00E93282" w:rsidRPr="00163CB9" w:rsidRDefault="00E93282" w:rsidP="00163CB9">
      <w:pPr>
        <w:pStyle w:val="Heading3"/>
      </w:pPr>
      <w:r w:rsidRPr="00163CB9">
        <w:lastRenderedPageBreak/>
        <w:t>Trailing average portfolio approach</w:t>
      </w:r>
    </w:p>
    <w:p w:rsidR="00E93282" w:rsidRPr="00E93282" w:rsidRDefault="00E93282" w:rsidP="00E93282">
      <w:pPr>
        <w:pStyle w:val="AERbodytext"/>
      </w:pPr>
      <w:r>
        <w:t xml:space="preserve">The </w:t>
      </w:r>
      <w:r w:rsidR="00380FF6">
        <w:t xml:space="preserve">AER proposes to estimate the </w:t>
      </w:r>
      <w:r w:rsidRPr="00E93282">
        <w:t xml:space="preserve">allowed return on debt </w:t>
      </w:r>
      <w:r w:rsidR="00380FF6">
        <w:t>using</w:t>
      </w:r>
      <w:r w:rsidRPr="00E93282">
        <w:t xml:space="preserve"> a trailing average portfolio</w:t>
      </w:r>
      <w:r w:rsidR="00380FF6">
        <w:t xml:space="preserve"> approach</w:t>
      </w:r>
      <w:r w:rsidRPr="00E93282">
        <w:t xml:space="preserve"> following the completion of a transitional arrangement period. In particular, the AER </w:t>
      </w:r>
      <w:r w:rsidR="00E322E5">
        <w:t>proposes to</w:t>
      </w:r>
      <w:r w:rsidR="00E322E5" w:rsidRPr="00E93282">
        <w:t xml:space="preserve"> </w:t>
      </w:r>
      <w:r w:rsidRPr="00E93282">
        <w:t>apply the following:</w:t>
      </w:r>
    </w:p>
    <w:p w:rsidR="00E93282" w:rsidRPr="00A459D8" w:rsidRDefault="00E93282" w:rsidP="00E93282">
      <w:pPr>
        <w:pStyle w:val="AERbulletlistfirststyle"/>
      </w:pPr>
      <w:r w:rsidRPr="00A459D8">
        <w:t xml:space="preserve">a trailing average portfolio approach with the length of the trailing average to be </w:t>
      </w:r>
      <w:r w:rsidR="00133365">
        <w:t>10</w:t>
      </w:r>
      <w:r w:rsidRPr="00A459D8">
        <w:t xml:space="preserve"> years</w:t>
      </w:r>
    </w:p>
    <w:p w:rsidR="00E93282" w:rsidRPr="00A459D8" w:rsidRDefault="00E93282" w:rsidP="00E93282">
      <w:pPr>
        <w:pStyle w:val="AERbulletlistfirststyle"/>
      </w:pPr>
      <w:r w:rsidRPr="00A459D8">
        <w:t>equal weights to be applied to all the elements of the trailing average</w:t>
      </w:r>
    </w:p>
    <w:p w:rsidR="00E93282" w:rsidRPr="00E93282" w:rsidRDefault="00E93282" w:rsidP="00E93282">
      <w:pPr>
        <w:pStyle w:val="AERbulletlistfirststyle"/>
        <w:rPr>
          <w:rStyle w:val="AERbody"/>
          <w:rFonts w:eastAsia="Calibri"/>
        </w:rPr>
      </w:pPr>
      <w:r w:rsidRPr="00A459D8">
        <w:t>the trailing average to be automatically updated every regulatory year within the regulatory control period.</w:t>
      </w:r>
    </w:p>
    <w:p w:rsidR="00E93282" w:rsidRPr="00E93282" w:rsidRDefault="00E93282" w:rsidP="00E93282">
      <w:pPr>
        <w:pStyle w:val="AERbodytext"/>
      </w:pPr>
      <w:r>
        <w:t>In particular, t</w:t>
      </w:r>
      <w:r w:rsidRPr="00E93282">
        <w:t xml:space="preserve">he </w:t>
      </w:r>
      <w:r w:rsidR="00380FF6">
        <w:t xml:space="preserve">AER proposes to determine the </w:t>
      </w:r>
      <w:r w:rsidRPr="00E93282">
        <w:t>allowed return on debt for each regulatory year within a regulatory control period in accordance with the following formula:</w:t>
      </w:r>
    </w:p>
    <w:p w:rsidR="00E93282" w:rsidRPr="00CC043E" w:rsidRDefault="0044481E" w:rsidP="00E93282">
      <w:pPr>
        <w:pStyle w:val="AERbodytextindent1"/>
        <w:rPr>
          <w:rStyle w:val="AERbody"/>
        </w:rPr>
      </w:pPr>
      <m:oMathPara>
        <m:oMath>
          <m:sPre>
            <m:sPrePr>
              <m:ctrlPr>
                <w:rPr>
                  <w:rStyle w:val="AERbody"/>
                  <w:rFonts w:ascii="Cambria Math" w:hAnsi="Cambria Math"/>
                </w:rPr>
              </m:ctrlPr>
            </m:sPrePr>
            <m:sub>
              <m:r>
                <w:rPr>
                  <w:rStyle w:val="AERbody"/>
                  <w:rFonts w:ascii="Cambria Math" w:hAnsi="Cambria Math"/>
                </w:rPr>
                <m:t>x</m:t>
              </m:r>
            </m:sub>
            <m:sup/>
            <m:e>
              <m:sSubSup>
                <m:sSubSupPr>
                  <m:ctrlPr>
                    <w:rPr>
                      <w:rStyle w:val="AERbody"/>
                      <w:rFonts w:ascii="Cambria Math" w:hAnsi="Cambria Math"/>
                    </w:rPr>
                  </m:ctrlPr>
                </m:sSubSupPr>
                <m:e>
                  <m:r>
                    <w:rPr>
                      <w:rStyle w:val="AERbody"/>
                      <w:rFonts w:ascii="Cambria Math" w:hAnsi="Cambria Math"/>
                    </w:rPr>
                    <m:t>kd</m:t>
                  </m:r>
                </m:e>
                <m:sub>
                  <m:r>
                    <w:rPr>
                      <w:rStyle w:val="AERbody"/>
                      <w:rFonts w:ascii="Cambria Math" w:hAnsi="Cambria Math"/>
                    </w:rPr>
                    <m:t>x</m:t>
                  </m:r>
                  <m:r>
                    <m:rPr>
                      <m:sty m:val="p"/>
                    </m:rPr>
                    <w:rPr>
                      <w:rStyle w:val="AERbody"/>
                      <w:rFonts w:ascii="Cambria Math" w:hAnsi="Cambria Math"/>
                    </w:rPr>
                    <m:t>+1</m:t>
                  </m:r>
                </m:sub>
                <m:sup/>
              </m:sSubSup>
            </m:e>
          </m:sPre>
          <m:r>
            <m:rPr>
              <m:sty m:val="p"/>
            </m:rPr>
            <w:rPr>
              <w:rStyle w:val="AERbody"/>
              <w:rFonts w:ascii="Cambria Math" w:hAnsi="Cambria Math"/>
            </w:rPr>
            <m:t>=</m:t>
          </m:r>
          <m:f>
            <m:fPr>
              <m:ctrlPr>
                <w:rPr>
                  <w:rStyle w:val="AERbody"/>
                  <w:rFonts w:ascii="Cambria Math" w:hAnsi="Cambria Math"/>
                </w:rPr>
              </m:ctrlPr>
            </m:fPr>
            <m:num>
              <m:r>
                <m:rPr>
                  <m:sty m:val="p"/>
                </m:rPr>
                <w:rPr>
                  <w:rStyle w:val="AERbody"/>
                  <w:rFonts w:ascii="Cambria Math" w:hAnsi="Cambria Math"/>
                </w:rPr>
                <m:t>1</m:t>
              </m:r>
            </m:num>
            <m:den>
              <m:r>
                <m:rPr>
                  <m:sty m:val="p"/>
                </m:rPr>
                <w:rPr>
                  <w:rStyle w:val="AERbody"/>
                  <w:rFonts w:ascii="Cambria Math" w:hAnsi="Cambria Math"/>
                </w:rPr>
                <m:t>10</m:t>
              </m:r>
            </m:den>
          </m:f>
          <m:r>
            <m:rPr>
              <m:sty m:val="p"/>
            </m:rPr>
            <w:rPr>
              <w:rStyle w:val="AERbody"/>
              <w:rFonts w:ascii="Cambria Math" w:hAnsi="Cambria Math"/>
            </w:rPr>
            <m:t>∙</m:t>
          </m:r>
          <m:nary>
            <m:naryPr>
              <m:chr m:val="∑"/>
              <m:limLoc m:val="undOvr"/>
              <m:ctrlPr>
                <w:rPr>
                  <w:rStyle w:val="AERbody"/>
                  <w:rFonts w:ascii="Cambria Math" w:hAnsi="Cambria Math"/>
                </w:rPr>
              </m:ctrlPr>
            </m:naryPr>
            <m:sub>
              <m:r>
                <w:rPr>
                  <w:rStyle w:val="AERbody"/>
                  <w:rFonts w:ascii="Cambria Math" w:hAnsi="Cambria Math"/>
                </w:rPr>
                <m:t>t</m:t>
              </m:r>
              <m:r>
                <m:rPr>
                  <m:sty m:val="p"/>
                </m:rPr>
                <w:rPr>
                  <w:rStyle w:val="AERbody"/>
                  <w:rFonts w:ascii="Cambria Math" w:hAnsi="Cambria Math"/>
                </w:rPr>
                <m:t>=1</m:t>
              </m:r>
            </m:sub>
            <m:sup>
              <m:r>
                <m:rPr>
                  <m:sty m:val="p"/>
                </m:rPr>
                <w:rPr>
                  <w:rStyle w:val="AERbody"/>
                  <w:rFonts w:ascii="Cambria Math" w:hAnsi="Cambria Math"/>
                </w:rPr>
                <m:t>10</m:t>
              </m:r>
            </m:sup>
            <m:e>
              <m:sPre>
                <m:sPrePr>
                  <m:ctrlPr>
                    <w:rPr>
                      <w:rStyle w:val="AERbody"/>
                      <w:rFonts w:ascii="Cambria Math" w:hAnsi="Cambria Math"/>
                    </w:rPr>
                  </m:ctrlPr>
                </m:sPrePr>
                <m:sub>
                  <m:r>
                    <w:rPr>
                      <w:rStyle w:val="AERbody"/>
                      <w:rFonts w:ascii="Cambria Math" w:hAnsi="Cambria Math"/>
                    </w:rPr>
                    <m:t>x</m:t>
                  </m:r>
                  <m:r>
                    <m:rPr>
                      <m:sty m:val="p"/>
                    </m:rPr>
                    <w:rPr>
                      <w:rStyle w:val="AERbody"/>
                      <w:rFonts w:ascii="Cambria Math" w:hAnsi="Cambria Math"/>
                    </w:rPr>
                    <m:t>-10+</m:t>
                  </m:r>
                  <m:r>
                    <w:rPr>
                      <w:rStyle w:val="AERbody"/>
                      <w:rFonts w:ascii="Cambria Math" w:hAnsi="Cambria Math"/>
                    </w:rPr>
                    <m:t>t</m:t>
                  </m:r>
                </m:sub>
                <m:sup/>
                <m:e>
                  <m:sSubSup>
                    <m:sSubSupPr>
                      <m:ctrlPr>
                        <w:rPr>
                          <w:rStyle w:val="AERbody"/>
                          <w:rFonts w:ascii="Cambria Math" w:hAnsi="Cambria Math"/>
                        </w:rPr>
                      </m:ctrlPr>
                    </m:sSubSupPr>
                    <m:e>
                      <m:r>
                        <w:rPr>
                          <w:rStyle w:val="AERbody"/>
                          <w:rFonts w:ascii="Cambria Math" w:hAnsi="Cambria Math"/>
                        </w:rPr>
                        <m:t>R</m:t>
                      </m:r>
                    </m:e>
                    <m:sub>
                      <m:r>
                        <w:rPr>
                          <w:rStyle w:val="AERbody"/>
                          <w:rFonts w:ascii="Cambria Math" w:hAnsi="Cambria Math"/>
                        </w:rPr>
                        <m:t>x</m:t>
                      </m:r>
                      <m:r>
                        <m:rPr>
                          <m:sty m:val="p"/>
                        </m:rPr>
                        <w:rPr>
                          <w:rStyle w:val="AERbody"/>
                          <w:rFonts w:ascii="Cambria Math" w:hAnsi="Cambria Math"/>
                        </w:rPr>
                        <m:t>+</m:t>
                      </m:r>
                      <m:r>
                        <w:rPr>
                          <w:rStyle w:val="AERbody"/>
                          <w:rFonts w:ascii="Cambria Math" w:hAnsi="Cambria Math"/>
                        </w:rPr>
                        <m:t>t</m:t>
                      </m:r>
                    </m:sub>
                    <m:sup/>
                  </m:sSubSup>
                </m:e>
              </m:sPre>
            </m:e>
          </m:nary>
        </m:oMath>
      </m:oMathPara>
    </w:p>
    <w:p w:rsidR="00E93282" w:rsidRPr="00E93282" w:rsidRDefault="00E93282" w:rsidP="00E93282">
      <w:pPr>
        <w:pStyle w:val="AERbodytext"/>
      </w:pPr>
      <w:r>
        <w:t>w</w:t>
      </w:r>
      <w:r w:rsidRPr="00E93282">
        <w:t>here:</w:t>
      </w:r>
    </w:p>
    <w:p w:rsidR="00E93282" w:rsidRDefault="0044481E" w:rsidP="00E93282">
      <w:pPr>
        <w:pStyle w:val="AERbulletlistfirststyle"/>
      </w:pPr>
      <m:oMath>
        <m:sPre>
          <m:sPrePr>
            <m:ctrlPr>
              <w:rPr>
                <w:rFonts w:ascii="Cambria Math" w:hAnsi="Cambria Math"/>
              </w:rPr>
            </m:ctrlPr>
          </m:sPrePr>
          <m:sub>
            <m:r>
              <w:rPr>
                <w:rFonts w:ascii="Cambria Math" w:hAnsi="Cambria Math"/>
              </w:rPr>
              <m:t>x</m:t>
            </m:r>
          </m:sub>
          <m:sup/>
          <m:e>
            <m:sSubSup>
              <m:sSubSupPr>
                <m:ctrlPr>
                  <w:rPr>
                    <w:rFonts w:ascii="Cambria Math" w:hAnsi="Cambria Math"/>
                  </w:rPr>
                </m:ctrlPr>
              </m:sSubSupPr>
              <m:e>
                <m:r>
                  <w:rPr>
                    <w:rFonts w:ascii="Cambria Math" w:hAnsi="Cambria Math"/>
                  </w:rPr>
                  <m:t>kd</m:t>
                </m:r>
              </m:e>
              <m:sub>
                <m:r>
                  <w:rPr>
                    <w:rFonts w:ascii="Cambria Math" w:hAnsi="Cambria Math"/>
                  </w:rPr>
                  <m:t>x</m:t>
                </m:r>
                <m:r>
                  <m:rPr>
                    <m:sty m:val="p"/>
                  </m:rPr>
                  <w:rPr>
                    <w:rFonts w:ascii="Cambria Math" w:hAnsi="Cambria Math"/>
                  </w:rPr>
                  <m:t>+1</m:t>
                </m:r>
              </m:sub>
              <m:sup/>
            </m:sSubSup>
          </m:e>
        </m:sPre>
      </m:oMath>
      <w:r w:rsidR="00E93282" w:rsidRPr="001D6D43">
        <w:t xml:space="preserve"> refers to the allowed return </w:t>
      </w:r>
      <w:r w:rsidR="00E93282">
        <w:t xml:space="preserve">on debt </w:t>
      </w:r>
      <w:r w:rsidR="00E93282" w:rsidRPr="001D6D43">
        <w:t xml:space="preserve">for </w:t>
      </w:r>
      <w:r w:rsidR="00E93282">
        <w:t xml:space="preserve">regulatory year </w:t>
      </w:r>
      <w:r w:rsidR="00E93282" w:rsidRPr="001D6D43">
        <w:rPr>
          <w:rStyle w:val="AERtextitalic"/>
        </w:rPr>
        <w:t>x+1</w:t>
      </w:r>
    </w:p>
    <w:p w:rsidR="00E93282" w:rsidRDefault="0044481E" w:rsidP="00E93282">
      <w:pPr>
        <w:pStyle w:val="AERbulletlistfirststyle"/>
      </w:pPr>
      <m:oMath>
        <m:sPre>
          <m:sPrePr>
            <m:ctrlPr>
              <w:rPr>
                <w:rStyle w:val="AERbody"/>
                <w:rFonts w:ascii="Cambria Math" w:hAnsi="Cambria Math"/>
              </w:rPr>
            </m:ctrlPr>
          </m:sPrePr>
          <m:sub>
            <m:r>
              <w:rPr>
                <w:rStyle w:val="AERbody"/>
                <w:rFonts w:ascii="Cambria Math" w:hAnsi="Cambria Math"/>
              </w:rPr>
              <m:t>x-10+t</m:t>
            </m:r>
          </m:sub>
          <m:sup/>
          <m:e>
            <m:sSubSup>
              <m:sSubSupPr>
                <m:ctrlPr>
                  <w:rPr>
                    <w:rStyle w:val="AERbody"/>
                    <w:rFonts w:ascii="Cambria Math" w:hAnsi="Cambria Math"/>
                  </w:rPr>
                </m:ctrlPr>
              </m:sSubSupPr>
              <m:e>
                <m:r>
                  <w:rPr>
                    <w:rStyle w:val="AERbody"/>
                    <w:rFonts w:ascii="Cambria Math" w:hAnsi="Cambria Math"/>
                  </w:rPr>
                  <m:t>R</m:t>
                </m:r>
              </m:e>
              <m:sub>
                <m:r>
                  <w:rPr>
                    <w:rStyle w:val="AERbody"/>
                    <w:rFonts w:ascii="Cambria Math" w:hAnsi="Cambria Math"/>
                  </w:rPr>
                  <m:t>x+t</m:t>
                </m:r>
              </m:sub>
              <m:sup/>
            </m:sSubSup>
          </m:e>
        </m:sPre>
      </m:oMath>
      <w:r w:rsidR="00E93282" w:rsidRPr="00022703">
        <w:t xml:space="preserve"> refers to the estimated rate of return on debt that was entered into in year </w:t>
      </w:r>
      <w:r w:rsidR="00E93282" w:rsidRPr="00022703">
        <w:rPr>
          <w:rStyle w:val="AERtextitalic"/>
        </w:rPr>
        <w:t>(x-</w:t>
      </w:r>
      <w:r w:rsidR="00E93282">
        <w:rPr>
          <w:rStyle w:val="AERtextitalic"/>
        </w:rPr>
        <w:t>10</w:t>
      </w:r>
      <w:r w:rsidR="00E93282" w:rsidRPr="00022703">
        <w:rPr>
          <w:rStyle w:val="AERtextitalic"/>
        </w:rPr>
        <w:t>+t)</w:t>
      </w:r>
      <w:r w:rsidR="00E93282" w:rsidRPr="00022703">
        <w:t xml:space="preserve"> and</w:t>
      </w:r>
      <w:r w:rsidR="00E93282" w:rsidRPr="001D6D43">
        <w:t xml:space="preserve"> matures in year </w:t>
      </w:r>
      <w:r w:rsidR="00E93282" w:rsidRPr="007E4372">
        <w:rPr>
          <w:rStyle w:val="AERtextitalic"/>
        </w:rPr>
        <w:t>(x+t)</w:t>
      </w:r>
      <w:r w:rsidR="00E93282" w:rsidRPr="005B3594">
        <w:rPr>
          <w:rStyle w:val="AERbody"/>
        </w:rPr>
        <w:t xml:space="preserve"> (in the formula above all debt has </w:t>
      </w:r>
      <w:r w:rsidR="00E93282">
        <w:rPr>
          <w:rStyle w:val="AERbody"/>
        </w:rPr>
        <w:t>a ten</w:t>
      </w:r>
      <w:r w:rsidR="00E93282" w:rsidRPr="005B3594">
        <w:rPr>
          <w:rStyle w:val="AERbody"/>
        </w:rPr>
        <w:t xml:space="preserve"> year term);</w:t>
      </w:r>
      <w:r w:rsidR="00E93282">
        <w:t xml:space="preserve"> and</w:t>
      </w:r>
    </w:p>
    <w:p w:rsidR="00E93282" w:rsidRDefault="00E93282" w:rsidP="00E93282">
      <w:pPr>
        <w:pStyle w:val="AERbulletlistfirststyle"/>
      </w:pPr>
      <w:r>
        <w:t xml:space="preserve">weights of </w:t>
      </w:r>
      <w:r w:rsidRPr="00780184">
        <w:rPr>
          <w:rStyle w:val="AERbody"/>
        </w:rPr>
        <w:t>1/10</w:t>
      </w:r>
      <w:r>
        <w:t xml:space="preserve"> apply to each element of the trailing average.</w:t>
      </w:r>
    </w:p>
    <w:p w:rsidR="00E93282" w:rsidRPr="00E93282" w:rsidRDefault="00E93282" w:rsidP="00E93282">
      <w:pPr>
        <w:pStyle w:val="AERbodytext"/>
      </w:pPr>
      <w:r w:rsidRPr="001D6D43">
        <w:t xml:space="preserve">Estimates </w:t>
      </w:r>
      <w:r w:rsidRPr="00E93282">
        <w:t>of</w:t>
      </w:r>
      <w:r w:rsidRPr="00380FF6">
        <w:rPr>
          <w:rStyle w:val="AERbody"/>
        </w:rPr>
        <w:t xml:space="preserve"> </w:t>
      </w:r>
      <m:oMath>
        <m:sPre>
          <m:sPrePr>
            <m:ctrlPr>
              <w:rPr>
                <w:rStyle w:val="AERbody"/>
                <w:rFonts w:ascii="Cambria Math" w:hAnsi="Cambria Math"/>
              </w:rPr>
            </m:ctrlPr>
          </m:sPrePr>
          <m:sub>
            <m:r>
              <w:rPr>
                <w:rStyle w:val="AERbody"/>
                <w:rFonts w:ascii="Cambria Math" w:hAnsi="Cambria Math"/>
              </w:rPr>
              <m:t>x-10+t</m:t>
            </m:r>
          </m:sub>
          <m:sup/>
          <m:e>
            <m:sSubSup>
              <m:sSubSupPr>
                <m:ctrlPr>
                  <w:rPr>
                    <w:rStyle w:val="AERbody"/>
                    <w:rFonts w:ascii="Cambria Math" w:hAnsi="Cambria Math"/>
                  </w:rPr>
                </m:ctrlPr>
              </m:sSubSupPr>
              <m:e>
                <m:r>
                  <w:rPr>
                    <w:rStyle w:val="AERbody"/>
                    <w:rFonts w:ascii="Cambria Math" w:hAnsi="Cambria Math"/>
                  </w:rPr>
                  <m:t>R</m:t>
                </m:r>
              </m:e>
              <m:sub>
                <m:r>
                  <w:rPr>
                    <w:rStyle w:val="AERbody"/>
                    <w:rFonts w:ascii="Cambria Math" w:hAnsi="Cambria Math"/>
                  </w:rPr>
                  <m:t>x+t</m:t>
                </m:r>
              </m:sub>
              <m:sup/>
            </m:sSubSup>
          </m:e>
        </m:sPre>
      </m:oMath>
      <w:r w:rsidRPr="00E93282">
        <w:t xml:space="preserve"> represent simple averages of the estimates for each business day within the averaging period </w:t>
      </w:r>
      <w:r w:rsidR="00380FF6">
        <w:t>in</w:t>
      </w:r>
      <w:r w:rsidRPr="00E93282">
        <w:t xml:space="preserve"> year </w:t>
      </w:r>
      <w:r w:rsidRPr="00E93282">
        <w:rPr>
          <w:rStyle w:val="AERtextitalic"/>
        </w:rPr>
        <w:t>(x-10+t)</w:t>
      </w:r>
      <w:r w:rsidRPr="00E93282">
        <w:t xml:space="preserve">. </w:t>
      </w:r>
      <w:r w:rsidR="00E322E5">
        <w:t>The AER proposes to obtain e</w:t>
      </w:r>
      <w:r w:rsidRPr="00E93282">
        <w:t xml:space="preserve">ach daily estimate within the averaging period from an independent third party data provider in accordance with the estimation procedure specified in this guideline (section </w:t>
      </w:r>
      <w:r w:rsidRPr="00E93282">
        <w:fldChar w:fldCharType="begin"/>
      </w:r>
      <w:r w:rsidRPr="00E93282">
        <w:instrText xml:space="preserve"> REF _Ref365363929 \r \h </w:instrText>
      </w:r>
      <w:r w:rsidRPr="00E93282">
        <w:fldChar w:fldCharType="separate"/>
      </w:r>
      <w:r w:rsidR="0044481E">
        <w:t>6.3.3</w:t>
      </w:r>
      <w:r w:rsidRPr="00E93282">
        <w:fldChar w:fldCharType="end"/>
      </w:r>
      <w:r w:rsidRPr="00E93282">
        <w:t>).</w:t>
      </w:r>
    </w:p>
    <w:p w:rsidR="00E93282" w:rsidRPr="00163CB9" w:rsidRDefault="00E93282" w:rsidP="00163CB9">
      <w:pPr>
        <w:pStyle w:val="Heading3"/>
      </w:pPr>
      <w:r w:rsidRPr="00163CB9">
        <w:t>Transitional arrangements</w:t>
      </w:r>
    </w:p>
    <w:p w:rsidR="00E93282" w:rsidRPr="00E93282" w:rsidRDefault="00380FF6" w:rsidP="00E93282">
      <w:pPr>
        <w:pStyle w:val="AERbodytext"/>
      </w:pPr>
      <w:r>
        <w:t>The AER proposes to implement a</w:t>
      </w:r>
      <w:r w:rsidR="00E93282" w:rsidRPr="002C604D">
        <w:t xml:space="preserve"> trailing average </w:t>
      </w:r>
      <w:r w:rsidR="00E93282" w:rsidRPr="00E93282">
        <w:t>portfolio approach after a period of transition</w:t>
      </w:r>
      <w:r w:rsidR="00DC636E">
        <w:t xml:space="preserve"> for all regulated businesses</w:t>
      </w:r>
      <w:r w:rsidR="00E93282" w:rsidRPr="00E93282">
        <w:t xml:space="preserve">. The AER </w:t>
      </w:r>
      <w:r>
        <w:t>proposes to</w:t>
      </w:r>
      <w:r w:rsidRPr="00E93282">
        <w:t xml:space="preserve"> </w:t>
      </w:r>
      <w:r w:rsidR="00E93282" w:rsidRPr="00E93282">
        <w:t>apply a transitional arrangement to determine the allowed nominal return on debt (</w:t>
      </w:r>
      <m:oMath>
        <m:sSub>
          <m:sSubPr>
            <m:ctrlPr>
              <w:rPr>
                <w:rFonts w:ascii="Cambria Math" w:hAnsi="Cambria Math"/>
              </w:rPr>
            </m:ctrlPr>
          </m:sSubPr>
          <m:e>
            <m:r>
              <w:rPr>
                <w:rFonts w:ascii="Cambria Math" w:hAnsi="Cambria Math"/>
              </w:rPr>
              <m:t>k</m:t>
            </m:r>
          </m:e>
          <m:sub>
            <m:r>
              <w:rPr>
                <w:rFonts w:ascii="Cambria Math" w:hAnsi="Cambria Math"/>
              </w:rPr>
              <m:t>d</m:t>
            </m:r>
          </m:sub>
        </m:sSub>
      </m:oMath>
      <w:r w:rsidR="00E93282" w:rsidRPr="00E93282">
        <w:t xml:space="preserve">) at the commencement of a service provider's forthcoming regulatory control period. The </w:t>
      </w:r>
      <w:r w:rsidR="0011306C">
        <w:t xml:space="preserve">AER proposes the </w:t>
      </w:r>
      <w:r w:rsidR="00E93282" w:rsidRPr="00E93282">
        <w:t xml:space="preserve">period of transition </w:t>
      </w:r>
      <w:r w:rsidR="0011306C">
        <w:t>of</w:t>
      </w:r>
      <w:r w:rsidR="00E93282" w:rsidRPr="00E93282">
        <w:t xml:space="preserve"> </w:t>
      </w:r>
      <w:r w:rsidR="00133365">
        <w:t>10</w:t>
      </w:r>
      <w:r w:rsidR="00E93282" w:rsidRPr="00E93282">
        <w:t xml:space="preserve"> regulatory years. The </w:t>
      </w:r>
      <w:r w:rsidR="0011306C">
        <w:t xml:space="preserve">proposed </w:t>
      </w:r>
      <w:r w:rsidR="00E93282" w:rsidRPr="00E93282">
        <w:t>transition method is set out below.</w:t>
      </w:r>
    </w:p>
    <w:p w:rsidR="00E93282" w:rsidRDefault="00E93282" w:rsidP="00E93282">
      <w:pPr>
        <w:pStyle w:val="AERbodytext"/>
        <w:numPr>
          <w:ilvl w:val="0"/>
          <w:numId w:val="6"/>
        </w:numPr>
      </w:pPr>
      <w:r w:rsidRPr="002C604D">
        <w:t xml:space="preserve">In the </w:t>
      </w:r>
      <w:r>
        <w:t>transitional formulae:</w:t>
      </w:r>
    </w:p>
    <w:p w:rsidR="00E93282" w:rsidRDefault="00E93282" w:rsidP="00E93282">
      <w:pPr>
        <w:pStyle w:val="AERbulletlistfirststyle"/>
      </w:pPr>
      <w:r w:rsidRPr="002C604D">
        <w:t xml:space="preserve"> </w:t>
      </w:r>
      <m:oMath>
        <m:sPre>
          <m:sPrePr>
            <m:ctrlPr>
              <w:rPr>
                <w:rFonts w:ascii="Cambria Math" w:hAnsi="Cambria Math"/>
              </w:rPr>
            </m:ctrlPr>
          </m:sPrePr>
          <m:sub>
            <m:r>
              <w:rPr>
                <w:rFonts w:ascii="Cambria Math" w:hAnsi="Cambria Math"/>
              </w:rPr>
              <m:t>a</m:t>
            </m:r>
          </m:sub>
          <m:sup/>
          <m:e>
            <m:sSubSup>
              <m:sSubSupPr>
                <m:ctrlPr>
                  <w:rPr>
                    <w:rFonts w:ascii="Cambria Math" w:hAnsi="Cambria Math"/>
                  </w:rPr>
                </m:ctrlPr>
              </m:sSubSupPr>
              <m:e>
                <m:r>
                  <w:rPr>
                    <w:rFonts w:ascii="Cambria Math" w:hAnsi="Cambria Math"/>
                  </w:rPr>
                  <m:t>R</m:t>
                </m:r>
              </m:e>
              <m:sub>
                <m:r>
                  <w:rPr>
                    <w:rFonts w:ascii="Cambria Math" w:hAnsi="Cambria Math"/>
                  </w:rPr>
                  <m:t>a+10</m:t>
                </m:r>
              </m:sub>
              <m:sup/>
            </m:sSubSup>
          </m:e>
        </m:sPre>
      </m:oMath>
      <w:r w:rsidRPr="002C604D">
        <w:t xml:space="preserve"> corresponds to the </w:t>
      </w:r>
      <w:r>
        <w:t xml:space="preserve">estimated </w:t>
      </w:r>
      <w:r w:rsidRPr="002C604D">
        <w:t xml:space="preserve">return on debt that was entered into in year </w:t>
      </w:r>
      <w:r w:rsidRPr="002C604D">
        <w:rPr>
          <w:rStyle w:val="AERtextitalic"/>
        </w:rPr>
        <w:t>a</w:t>
      </w:r>
      <w:r w:rsidRPr="002C604D">
        <w:t xml:space="preserve"> and matures in year </w:t>
      </w:r>
      <w:r w:rsidR="00A17F2B">
        <w:rPr>
          <w:rStyle w:val="AERtextitalic"/>
        </w:rPr>
        <w:t>a+10</w:t>
      </w:r>
      <w:r>
        <w:rPr>
          <w:rStyle w:val="AERtextitalic"/>
        </w:rPr>
        <w:t>;</w:t>
      </w:r>
      <w:r w:rsidRPr="002C604D">
        <w:t xml:space="preserve"> and</w:t>
      </w:r>
    </w:p>
    <w:p w:rsidR="00E93282" w:rsidRPr="002C604D" w:rsidRDefault="0044481E" w:rsidP="00E93282">
      <w:pPr>
        <w:pStyle w:val="AERbulletlistfirststyle"/>
      </w:pPr>
      <m:oMath>
        <m:sPre>
          <m:sPrePr>
            <m:ctrlPr>
              <w:rPr>
                <w:rFonts w:ascii="Cambria Math" w:hAnsi="Cambria Math"/>
              </w:rPr>
            </m:ctrlPr>
          </m:sPrePr>
          <m:sub>
            <m:r>
              <w:rPr>
                <w:rFonts w:ascii="Cambria Math" w:hAnsi="Cambria Math"/>
              </w:rPr>
              <m:t>b</m:t>
            </m:r>
          </m:sub>
          <m:sup/>
          <m:e>
            <m:sSubSup>
              <m:sSubSupPr>
                <m:ctrlPr>
                  <w:rPr>
                    <w:rFonts w:ascii="Cambria Math" w:hAnsi="Cambria Math"/>
                  </w:rPr>
                </m:ctrlPr>
              </m:sSubSupPr>
              <m:e>
                <m:r>
                  <w:rPr>
                    <w:rFonts w:ascii="Cambria Math" w:hAnsi="Cambria Math"/>
                  </w:rPr>
                  <m:t>kd</m:t>
                </m:r>
              </m:e>
              <m:sub>
                <m:r>
                  <w:rPr>
                    <w:rFonts w:ascii="Cambria Math" w:hAnsi="Cambria Math"/>
                  </w:rPr>
                  <m:t>b+1</m:t>
                </m:r>
              </m:sub>
              <m:sup/>
            </m:sSubSup>
          </m:e>
        </m:sPre>
      </m:oMath>
      <w:r w:rsidR="00E93282" w:rsidRPr="002C604D">
        <w:t xml:space="preserve"> refers to the allowed return </w:t>
      </w:r>
      <w:r w:rsidR="00E93282">
        <w:t xml:space="preserve">on debt </w:t>
      </w:r>
      <w:r w:rsidR="00E93282" w:rsidRPr="002C604D">
        <w:t xml:space="preserve">for </w:t>
      </w:r>
      <w:r w:rsidR="00535EB3">
        <w:t>regulatory year</w:t>
      </w:r>
      <w:r w:rsidR="00E93282" w:rsidRPr="002C604D">
        <w:t xml:space="preserve"> </w:t>
      </w:r>
      <w:r w:rsidR="00535EB3">
        <w:rPr>
          <w:rStyle w:val="AERtextitalic"/>
        </w:rPr>
        <w:t>b+1</w:t>
      </w:r>
      <w:r w:rsidR="00E93282" w:rsidRPr="002C604D">
        <w:t xml:space="preserve">. </w:t>
      </w:r>
      <w:r w:rsidR="00E322E5">
        <w:t>The AER proposes to compute the e</w:t>
      </w:r>
      <w:r w:rsidR="00E93282" w:rsidRPr="002C604D">
        <w:t xml:space="preserve">stimates of </w:t>
      </w:r>
      <m:oMath>
        <m:sPre>
          <m:sPrePr>
            <m:ctrlPr>
              <w:rPr>
                <w:rFonts w:ascii="Cambria Math" w:hAnsi="Cambria Math"/>
              </w:rPr>
            </m:ctrlPr>
          </m:sPrePr>
          <m:sub>
            <m:r>
              <w:rPr>
                <w:rFonts w:ascii="Cambria Math" w:hAnsi="Cambria Math"/>
              </w:rPr>
              <m:t>a</m:t>
            </m:r>
          </m:sub>
          <m:sup/>
          <m:e>
            <m:sSubSup>
              <m:sSubSupPr>
                <m:ctrlPr>
                  <w:rPr>
                    <w:rFonts w:ascii="Cambria Math" w:hAnsi="Cambria Math"/>
                  </w:rPr>
                </m:ctrlPr>
              </m:sSubSupPr>
              <m:e>
                <m:r>
                  <w:rPr>
                    <w:rFonts w:ascii="Cambria Math" w:hAnsi="Cambria Math"/>
                  </w:rPr>
                  <m:t>R</m:t>
                </m:r>
              </m:e>
              <m:sub>
                <m:r>
                  <w:rPr>
                    <w:rFonts w:ascii="Cambria Math" w:hAnsi="Cambria Math"/>
                  </w:rPr>
                  <m:t>a+10</m:t>
                </m:r>
              </m:sub>
              <m:sup/>
            </m:sSubSup>
          </m:e>
        </m:sPre>
      </m:oMath>
      <w:r w:rsidR="00E93282" w:rsidRPr="002C604D">
        <w:t xml:space="preserve"> in accordance with the specified estimation method and represent simple averages of the estimates for each </w:t>
      </w:r>
      <w:r w:rsidR="00E93282">
        <w:t xml:space="preserve">business </w:t>
      </w:r>
      <w:r w:rsidR="00E93282" w:rsidRPr="002C604D">
        <w:t>day within the corresponding averaging period.</w:t>
      </w:r>
    </w:p>
    <w:p w:rsidR="00E93282" w:rsidRDefault="00E93282" w:rsidP="00E93282">
      <w:r>
        <w:lastRenderedPageBreak/>
        <w:t xml:space="preserve">In the first regulatory year of the transitional period, </w:t>
      </w:r>
      <w:r w:rsidR="0011306C">
        <w:t xml:space="preserve">the AER proposes </w:t>
      </w:r>
      <w:r>
        <w:t xml:space="preserve">the allowed rate of return on debt </w:t>
      </w:r>
      <w:r w:rsidR="0011306C">
        <w:t xml:space="preserve">to </w:t>
      </w:r>
      <w:r>
        <w:t>be based on the estimated prevailing rate of return on debt for that year (similar to the 'on the day' approach):</w:t>
      </w:r>
    </w:p>
    <w:p w:rsidR="00E93282" w:rsidRPr="00C26CAC" w:rsidRDefault="0044481E" w:rsidP="00E93282">
      <w:pPr>
        <w:pStyle w:val="AERbodytextindent1"/>
        <w:rPr>
          <w:rStyle w:val="AERbody"/>
        </w:rPr>
      </w:pPr>
      <m:oMathPara>
        <m:oMath>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kd</m:t>
                  </m:r>
                </m:e>
                <m:sub>
                  <m:r>
                    <m:rPr>
                      <m:sty m:val="p"/>
                    </m:rPr>
                    <w:rPr>
                      <w:rStyle w:val="AERbody"/>
                      <w:rFonts w:ascii="Cambria Math" w:hAnsi="Cambria Math"/>
                    </w:rPr>
                    <m:t>1</m:t>
                  </m:r>
                </m:sub>
                <m:sup/>
              </m:sSubSup>
            </m:e>
          </m:sPre>
          <m:r>
            <m:rPr>
              <m:sty m:val="p"/>
            </m:rPr>
            <w:rPr>
              <w:rStyle w:val="AERbody"/>
              <w:rFonts w:ascii="Cambria Math" w:hAnsi="Cambria Math"/>
            </w:rPr>
            <m:t>=</m:t>
          </m:r>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10</m:t>
                  </m:r>
                </m:sub>
                <m:sup/>
              </m:sSubSup>
            </m:e>
          </m:sPre>
        </m:oMath>
      </m:oMathPara>
    </w:p>
    <w:p w:rsidR="00E93282" w:rsidRDefault="00E322E5" w:rsidP="00E93282">
      <w:r>
        <w:t>In the second regulatory year, t</w:t>
      </w:r>
      <w:r w:rsidR="00E93282">
        <w:t xml:space="preserve">he </w:t>
      </w:r>
      <w:r w:rsidR="0011306C">
        <w:t xml:space="preserve">AER proposes the </w:t>
      </w:r>
      <w:r w:rsidR="00E93282">
        <w:t xml:space="preserve">allowed rate of return on debt </w:t>
      </w:r>
      <w:r w:rsidR="0011306C">
        <w:t xml:space="preserve">to </w:t>
      </w:r>
      <w:r w:rsidR="00E93282">
        <w:t>be the weighted average of the prevailing rates in the first and second regulatory year of the transitional period:</w:t>
      </w:r>
    </w:p>
    <w:p w:rsidR="00E93282" w:rsidRPr="00C26CAC" w:rsidRDefault="0044481E" w:rsidP="00E93282">
      <w:pPr>
        <w:pStyle w:val="AERbodytextindent1"/>
        <w:rPr>
          <w:rStyle w:val="AERbody"/>
        </w:rPr>
      </w:pPr>
      <m:oMathPara>
        <m:oMath>
          <m:sPre>
            <m:sPrePr>
              <m:ctrlPr>
                <w:rPr>
                  <w:rStyle w:val="AERbody"/>
                  <w:rFonts w:ascii="Cambria Math" w:hAnsi="Cambria Math"/>
                </w:rPr>
              </m:ctrlPr>
            </m:sPrePr>
            <m:sub>
              <m:r>
                <m:rPr>
                  <m:sty m:val="p"/>
                </m:rP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kd</m:t>
                  </m:r>
                </m:e>
                <m:sub>
                  <m:r>
                    <m:rPr>
                      <m:sty m:val="p"/>
                    </m:rPr>
                    <w:rPr>
                      <w:rStyle w:val="AERbody"/>
                      <w:rFonts w:ascii="Cambria Math" w:hAnsi="Cambria Math"/>
                    </w:rPr>
                    <m:t>2</m:t>
                  </m:r>
                </m:sub>
                <m:sup/>
              </m:sSubSup>
            </m:e>
          </m:sPre>
          <m:r>
            <m:rPr>
              <m:sty m:val="p"/>
            </m:rPr>
            <w:rPr>
              <w:rStyle w:val="AERbody"/>
              <w:rFonts w:ascii="Cambria Math" w:hAnsi="Cambria Math"/>
            </w:rPr>
            <m:t>=</m:t>
          </m:r>
          <m:r>
            <w:rPr>
              <w:rStyle w:val="AERbody"/>
              <w:rFonts w:ascii="Cambria Math" w:hAnsi="Cambria Math"/>
            </w:rPr>
            <m:t>0.9</m:t>
          </m:r>
          <m:r>
            <m:rPr>
              <m:sty m:val="p"/>
            </m:rPr>
            <w:rPr>
              <w:rStyle w:val="AERbody"/>
              <w:rFonts w:ascii="Cambria Math" w:hAnsi="Cambria Math"/>
            </w:rPr>
            <m:t>∙</m:t>
          </m:r>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10</m:t>
                  </m:r>
                </m:sub>
                <m:sup/>
              </m:sSubSup>
            </m:e>
          </m:sPre>
          <m:r>
            <m:rPr>
              <m:sty m:val="p"/>
            </m:rPr>
            <w:rPr>
              <w:rStyle w:val="AERbody"/>
              <w:rFonts w:ascii="Cambria Math" w:hAnsi="Cambria Math"/>
            </w:rPr>
            <m:t>+</m:t>
          </m:r>
          <m:r>
            <w:rPr>
              <w:rStyle w:val="AERbody"/>
              <w:rFonts w:ascii="Cambria Math" w:hAnsi="Cambria Math"/>
            </w:rPr>
            <m:t>0.1</m:t>
          </m:r>
          <m:r>
            <m:rPr>
              <m:sty m:val="p"/>
            </m:rPr>
            <w:rPr>
              <w:rStyle w:val="AERbody"/>
              <w:rFonts w:ascii="Cambria Math" w:hAnsi="Cambria Math"/>
            </w:rPr>
            <m:t>∙</m:t>
          </m:r>
          <m:sPre>
            <m:sPrePr>
              <m:ctrlPr>
                <w:rPr>
                  <w:rStyle w:val="AERbody"/>
                  <w:rFonts w:ascii="Cambria Math" w:hAnsi="Cambria Math"/>
                </w:rPr>
              </m:ctrlPr>
            </m:sPrePr>
            <m:sub>
              <m:r>
                <m:rPr>
                  <m:sty m:val="p"/>
                </m:rP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11</m:t>
                  </m:r>
                </m:sub>
                <m:sup/>
              </m:sSubSup>
            </m:e>
          </m:sPre>
        </m:oMath>
      </m:oMathPara>
    </w:p>
    <w:p w:rsidR="00E93282" w:rsidRDefault="00E93282" w:rsidP="00E93282">
      <w:r>
        <w:t xml:space="preserve">The </w:t>
      </w:r>
      <w:r w:rsidR="0011306C">
        <w:t xml:space="preserve">AER proposes the </w:t>
      </w:r>
      <w:r>
        <w:t xml:space="preserve">allowed rate of return on debt in the third regulatory year </w:t>
      </w:r>
      <w:r w:rsidR="0011306C">
        <w:t xml:space="preserve">to </w:t>
      </w:r>
      <w:r>
        <w:t xml:space="preserve">be the weighted average of the prevailing rates in the first, second, and third regulatory year of the transitional period:  </w:t>
      </w:r>
    </w:p>
    <w:p w:rsidR="00E93282" w:rsidRPr="00C26CAC" w:rsidRDefault="0044481E" w:rsidP="00E93282">
      <w:pPr>
        <w:pStyle w:val="AERbodytextindent1"/>
        <w:rPr>
          <w:rStyle w:val="AERbody"/>
        </w:rPr>
      </w:pPr>
      <m:oMathPara>
        <m:oMath>
          <m:sPre>
            <m:sPrePr>
              <m:ctrlPr>
                <w:rPr>
                  <w:rStyle w:val="AERbody"/>
                  <w:rFonts w:ascii="Cambria Math" w:hAnsi="Cambria Math"/>
                </w:rPr>
              </m:ctrlPr>
            </m:sPrePr>
            <m:sub>
              <m:r>
                <w:rPr>
                  <w:rStyle w:val="AERbody"/>
                  <w:rFonts w:ascii="Cambria Math" w:hAnsi="Cambria Math"/>
                </w:rPr>
                <m:t>2</m:t>
              </m:r>
            </m:sub>
            <m:sup/>
            <m:e>
              <m:sSubSup>
                <m:sSubSupPr>
                  <m:ctrlPr>
                    <w:rPr>
                      <w:rStyle w:val="AERbody"/>
                      <w:rFonts w:ascii="Cambria Math" w:hAnsi="Cambria Math"/>
                    </w:rPr>
                  </m:ctrlPr>
                </m:sSubSupPr>
                <m:e>
                  <m:r>
                    <w:rPr>
                      <w:rStyle w:val="AERbody"/>
                      <w:rFonts w:ascii="Cambria Math" w:hAnsi="Cambria Math"/>
                    </w:rPr>
                    <m:t>kd</m:t>
                  </m:r>
                </m:e>
                <m:sub>
                  <m:r>
                    <w:rPr>
                      <w:rStyle w:val="AERbody"/>
                      <w:rFonts w:ascii="Cambria Math" w:hAnsi="Cambria Math"/>
                    </w:rPr>
                    <m:t>3</m:t>
                  </m:r>
                </m:sub>
                <m:sup/>
              </m:sSubSup>
            </m:e>
          </m:sPre>
          <m:r>
            <w:rPr>
              <w:rStyle w:val="AERbody"/>
              <w:rFonts w:ascii="Cambria Math" w:hAnsi="Cambria Math"/>
            </w:rPr>
            <m:t>=</m:t>
          </m:r>
          <m:r>
            <m:rPr>
              <m:sty m:val="p"/>
            </m:rPr>
            <w:rPr>
              <w:rStyle w:val="AERbody"/>
              <w:rFonts w:ascii="Cambria Math" w:hAnsi="Cambria Math"/>
            </w:rPr>
            <m:t>0.8</m:t>
          </m:r>
          <m:r>
            <w:rPr>
              <w:rStyle w:val="AERbody"/>
              <w:rFonts w:ascii="Cambria Math" w:hAnsi="Cambria Math"/>
            </w:rPr>
            <m:t>∙</m:t>
          </m:r>
          <m:sPre>
            <m:sPrePr>
              <m:ctrlPr>
                <w:rPr>
                  <w:rStyle w:val="AERbody"/>
                  <w:rFonts w:ascii="Cambria Math" w:hAnsi="Cambria Math"/>
                </w:rPr>
              </m:ctrlPr>
            </m:sPrePr>
            <m:sub>
              <m: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w:rPr>
                      <w:rStyle w:val="AERbody"/>
                      <w:rFonts w:ascii="Cambria Math" w:hAnsi="Cambria Math"/>
                    </w:rPr>
                    <m:t>10</m:t>
                  </m:r>
                </m:sub>
                <m:sup/>
              </m:sSubSup>
            </m:e>
          </m:sPre>
          <m:r>
            <w:rPr>
              <w:rStyle w:val="AERbody"/>
              <w:rFonts w:ascii="Cambria Math" w:hAnsi="Cambria Math"/>
            </w:rPr>
            <m:t>+</m:t>
          </m:r>
          <m:r>
            <m:rPr>
              <m:sty m:val="p"/>
            </m:rPr>
            <w:rPr>
              <w:rStyle w:val="AERbody"/>
              <w:rFonts w:ascii="Cambria Math" w:hAnsi="Cambria Math"/>
            </w:rPr>
            <m:t>0.1</m:t>
          </m:r>
          <m:r>
            <w:rPr>
              <w:rStyle w:val="AERbody"/>
              <w:rFonts w:ascii="Cambria Math" w:hAnsi="Cambria Math"/>
            </w:rPr>
            <m:t>∙</m:t>
          </m:r>
          <m:sPre>
            <m:sPrePr>
              <m:ctrlPr>
                <w:rPr>
                  <w:rStyle w:val="AERbody"/>
                  <w:rFonts w:ascii="Cambria Math" w:hAnsi="Cambria Math"/>
                </w:rPr>
              </m:ctrlPr>
            </m:sPrePr>
            <m:sub>
              <m: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R</m:t>
                  </m:r>
                </m:e>
                <m:sub>
                  <m:r>
                    <w:rPr>
                      <w:rStyle w:val="AERbody"/>
                      <w:rFonts w:ascii="Cambria Math" w:hAnsi="Cambria Math"/>
                    </w:rPr>
                    <m:t>11</m:t>
                  </m:r>
                </m:sub>
                <m:sup/>
              </m:sSubSup>
            </m:e>
          </m:sPre>
          <m:r>
            <w:rPr>
              <w:rStyle w:val="AERbody"/>
              <w:rFonts w:ascii="Cambria Math" w:hAnsi="Cambria Math"/>
            </w:rPr>
            <m:t>+</m:t>
          </m:r>
          <m:r>
            <m:rPr>
              <m:sty m:val="p"/>
            </m:rPr>
            <w:rPr>
              <w:rStyle w:val="AERbody"/>
              <w:rFonts w:ascii="Cambria Math" w:hAnsi="Cambria Math"/>
            </w:rPr>
            <m:t>0.1</m:t>
          </m:r>
          <m:r>
            <w:rPr>
              <w:rStyle w:val="AERbody"/>
              <w:rFonts w:ascii="Cambria Math" w:hAnsi="Cambria Math"/>
            </w:rPr>
            <m:t>∙</m:t>
          </m:r>
          <m:sPre>
            <m:sPrePr>
              <m:ctrlPr>
                <w:rPr>
                  <w:rStyle w:val="AERbody"/>
                  <w:rFonts w:ascii="Cambria Math" w:hAnsi="Cambria Math"/>
                </w:rPr>
              </m:ctrlPr>
            </m:sPrePr>
            <m:sub>
              <m:r>
                <w:rPr>
                  <w:rStyle w:val="AERbody"/>
                  <w:rFonts w:ascii="Cambria Math" w:hAnsi="Cambria Math"/>
                </w:rPr>
                <m:t>2</m:t>
              </m:r>
            </m:sub>
            <m:sup/>
            <m:e>
              <m:sSubSup>
                <m:sSubSupPr>
                  <m:ctrlPr>
                    <w:rPr>
                      <w:rStyle w:val="AERbody"/>
                      <w:rFonts w:ascii="Cambria Math" w:hAnsi="Cambria Math"/>
                    </w:rPr>
                  </m:ctrlPr>
                </m:sSubSupPr>
                <m:e>
                  <m:r>
                    <w:rPr>
                      <w:rStyle w:val="AERbody"/>
                      <w:rFonts w:ascii="Cambria Math" w:hAnsi="Cambria Math"/>
                    </w:rPr>
                    <m:t>R</m:t>
                  </m:r>
                </m:e>
                <m:sub>
                  <m:r>
                    <w:rPr>
                      <w:rStyle w:val="AERbody"/>
                      <w:rFonts w:ascii="Cambria Math" w:hAnsi="Cambria Math"/>
                    </w:rPr>
                    <m:t>12</m:t>
                  </m:r>
                </m:sub>
                <m:sup/>
              </m:sSubSup>
            </m:e>
          </m:sPre>
        </m:oMath>
      </m:oMathPara>
    </w:p>
    <w:p w:rsidR="00E93282" w:rsidRDefault="00E93282" w:rsidP="00E93282">
      <w:r>
        <w:t>The calculation for all subsequent regulatory years until the transitional period is completed is set out below:</w:t>
      </w:r>
    </w:p>
    <w:p w:rsidR="00E93282" w:rsidRPr="006C66EA" w:rsidRDefault="0044481E" w:rsidP="00E93282">
      <w:pPr>
        <w:pStyle w:val="AERbodytextindent1"/>
        <w:rPr>
          <w:rStyle w:val="AERbody"/>
        </w:rPr>
      </w:pPr>
      <m:oMathPara>
        <m:oMath>
          <m:sPre>
            <m:sPrePr>
              <m:ctrlPr>
                <w:rPr>
                  <w:rStyle w:val="AERbody"/>
                  <w:rFonts w:ascii="Cambria Math" w:hAnsi="Cambria Math"/>
                </w:rPr>
              </m:ctrlPr>
            </m:sPrePr>
            <m:sub>
              <m:r>
                <m:rPr>
                  <m:sty m:val="p"/>
                </m:rPr>
                <w:rPr>
                  <w:rStyle w:val="AERbody"/>
                  <w:rFonts w:ascii="Cambria Math" w:hAnsi="Cambria Math"/>
                </w:rPr>
                <m:t>3</m:t>
              </m:r>
            </m:sub>
            <m:sup/>
            <m:e>
              <m:sSubSup>
                <m:sSubSupPr>
                  <m:ctrlPr>
                    <w:rPr>
                      <w:rStyle w:val="AERbody"/>
                      <w:rFonts w:ascii="Cambria Math" w:hAnsi="Cambria Math"/>
                    </w:rPr>
                  </m:ctrlPr>
                </m:sSubSupPr>
                <m:e>
                  <m:r>
                    <w:rPr>
                      <w:rStyle w:val="AERbody"/>
                      <w:rFonts w:ascii="Cambria Math" w:hAnsi="Cambria Math"/>
                    </w:rPr>
                    <m:t>kd</m:t>
                  </m:r>
                </m:e>
                <m:sub>
                  <m:r>
                    <m:rPr>
                      <m:sty m:val="p"/>
                    </m:rPr>
                    <w:rPr>
                      <w:rStyle w:val="AERbody"/>
                      <w:rFonts w:ascii="Cambria Math" w:hAnsi="Cambria Math"/>
                    </w:rPr>
                    <m:t>4</m:t>
                  </m:r>
                </m:sub>
                <m:sup/>
              </m:sSubSup>
            </m:e>
          </m:sPre>
          <m:r>
            <m:rPr>
              <m:sty m:val="p"/>
            </m:rPr>
            <w:rPr>
              <w:rStyle w:val="AERbody"/>
              <w:rFonts w:ascii="Cambria Math" w:hAnsi="Cambria Math"/>
            </w:rPr>
            <m:t>=0.7∙</m:t>
          </m:r>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10</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11</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2</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12</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3</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13</m:t>
                  </m:r>
                </m:sub>
                <m:sup/>
              </m:sSubSup>
            </m:e>
          </m:sPre>
        </m:oMath>
      </m:oMathPara>
    </w:p>
    <w:p w:rsidR="00E93282" w:rsidRPr="00C26CAC" w:rsidRDefault="00E93282" w:rsidP="00E93282">
      <w:pPr>
        <w:pStyle w:val="AERbodytextindent1"/>
        <w:rPr>
          <w:rStyle w:val="AERbody"/>
        </w:rPr>
      </w:pPr>
    </w:p>
    <w:p w:rsidR="00E93282" w:rsidRPr="006C66EA" w:rsidRDefault="0044481E" w:rsidP="00E93282">
      <w:pPr>
        <w:pStyle w:val="AERbodytextindent1"/>
        <w:rPr>
          <w:rStyle w:val="AERbody"/>
        </w:rPr>
      </w:pPr>
      <m:oMathPara>
        <m:oMath>
          <m:sPre>
            <m:sPrePr>
              <m:ctrlPr>
                <w:rPr>
                  <w:rStyle w:val="AERbody"/>
                  <w:rFonts w:ascii="Cambria Math" w:hAnsi="Cambria Math"/>
                </w:rPr>
              </m:ctrlPr>
            </m:sPrePr>
            <m:sub>
              <m:r>
                <m:rPr>
                  <m:sty m:val="p"/>
                </m:rPr>
                <w:rPr>
                  <w:rStyle w:val="AERbody"/>
                  <w:rFonts w:ascii="Cambria Math" w:hAnsi="Cambria Math"/>
                </w:rPr>
                <m:t>4</m:t>
              </m:r>
            </m:sub>
            <m:sup/>
            <m:e>
              <m:sSubSup>
                <m:sSubSupPr>
                  <m:ctrlPr>
                    <w:rPr>
                      <w:rStyle w:val="AERbody"/>
                      <w:rFonts w:ascii="Cambria Math" w:hAnsi="Cambria Math"/>
                    </w:rPr>
                  </m:ctrlPr>
                </m:sSubSupPr>
                <m:e>
                  <m:r>
                    <w:rPr>
                      <w:rStyle w:val="AERbody"/>
                      <w:rFonts w:ascii="Cambria Math" w:hAnsi="Cambria Math"/>
                    </w:rPr>
                    <m:t>kd</m:t>
                  </m:r>
                </m:e>
                <m:sub>
                  <m:r>
                    <m:rPr>
                      <m:sty m:val="p"/>
                    </m:rPr>
                    <w:rPr>
                      <w:rStyle w:val="AERbody"/>
                      <w:rFonts w:ascii="Cambria Math" w:hAnsi="Cambria Math"/>
                    </w:rPr>
                    <m:t>5</m:t>
                  </m:r>
                </m:sub>
                <m:sup/>
              </m:sSubSup>
            </m:e>
          </m:sPre>
          <m:r>
            <m:rPr>
              <m:sty m:val="p"/>
            </m:rPr>
            <w:rPr>
              <w:rStyle w:val="AERbody"/>
              <w:rFonts w:ascii="Cambria Math" w:hAnsi="Cambria Math"/>
            </w:rPr>
            <m:t>=0.6∙</m:t>
          </m:r>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10</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11</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2</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12</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3</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13</m:t>
                  </m:r>
                </m:sub>
                <m:sup/>
              </m:sSubSup>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4</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14</m:t>
                      </m:r>
                    </m:sub>
                    <m:sup/>
                  </m:sSubSup>
                </m:e>
              </m:sPre>
            </m:e>
          </m:sPre>
        </m:oMath>
      </m:oMathPara>
    </w:p>
    <w:p w:rsidR="00E93282" w:rsidRPr="00C26CAC" w:rsidRDefault="00E93282" w:rsidP="00E93282">
      <w:pPr>
        <w:pStyle w:val="AERbodytextindent1"/>
        <w:rPr>
          <w:rStyle w:val="AERbody"/>
        </w:rPr>
      </w:pPr>
    </w:p>
    <w:p w:rsidR="00E93282" w:rsidRPr="006C66EA" w:rsidRDefault="0044481E" w:rsidP="00E93282">
      <w:pPr>
        <w:pStyle w:val="AERbodytextindent1"/>
        <w:rPr>
          <w:rStyle w:val="AERbody"/>
        </w:rPr>
      </w:pPr>
      <m:oMathPara>
        <m:oMath>
          <m:sPre>
            <m:sPrePr>
              <m:ctrlPr>
                <w:rPr>
                  <w:rStyle w:val="AERbody"/>
                  <w:rFonts w:ascii="Cambria Math" w:hAnsi="Cambria Math"/>
                </w:rPr>
              </m:ctrlPr>
            </m:sPrePr>
            <m:sub>
              <m:r>
                <m:rPr>
                  <m:sty m:val="p"/>
                </m:rPr>
                <w:rPr>
                  <w:rStyle w:val="AERbody"/>
                  <w:rFonts w:ascii="Cambria Math" w:hAnsi="Cambria Math"/>
                </w:rPr>
                <m:t>5</m:t>
              </m:r>
            </m:sub>
            <m:sup/>
            <m:e>
              <m:sSubSup>
                <m:sSubSupPr>
                  <m:ctrlPr>
                    <w:rPr>
                      <w:rStyle w:val="AERbody"/>
                      <w:rFonts w:ascii="Cambria Math" w:hAnsi="Cambria Math"/>
                    </w:rPr>
                  </m:ctrlPr>
                </m:sSubSupPr>
                <m:e>
                  <m:r>
                    <w:rPr>
                      <w:rStyle w:val="AERbody"/>
                      <w:rFonts w:ascii="Cambria Math" w:hAnsi="Cambria Math"/>
                    </w:rPr>
                    <m:t>kd</m:t>
                  </m:r>
                </m:e>
                <m:sub>
                  <m:r>
                    <m:rPr>
                      <m:sty m:val="p"/>
                    </m:rPr>
                    <w:rPr>
                      <w:rStyle w:val="AERbody"/>
                      <w:rFonts w:ascii="Cambria Math" w:hAnsi="Cambria Math"/>
                    </w:rPr>
                    <m:t>6</m:t>
                  </m:r>
                </m:sub>
                <m:sup/>
              </m:sSubSup>
            </m:e>
          </m:sPre>
          <m:r>
            <m:rPr>
              <m:sty m:val="p"/>
            </m:rPr>
            <w:rPr>
              <w:rStyle w:val="AERbody"/>
              <w:rFonts w:ascii="Cambria Math" w:hAnsi="Cambria Math"/>
            </w:rPr>
            <m:t>=0.5∙</m:t>
          </m:r>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10</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11</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2</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12</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3</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13</m:t>
                  </m:r>
                </m:sub>
                <m:sup/>
              </m:sSubSup>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4</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14</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5</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15</m:t>
                      </m:r>
                    </m:sub>
                    <m:sup/>
                  </m:sSubSup>
                </m:e>
              </m:sPre>
            </m:e>
          </m:sPre>
        </m:oMath>
      </m:oMathPara>
    </w:p>
    <w:p w:rsidR="00E93282" w:rsidRPr="00C26CAC" w:rsidRDefault="00E93282" w:rsidP="00E93282">
      <w:pPr>
        <w:pStyle w:val="AERbodytextindent1"/>
        <w:rPr>
          <w:rStyle w:val="AERbody"/>
        </w:rPr>
      </w:pPr>
    </w:p>
    <w:p w:rsidR="00E93282" w:rsidRPr="006C66EA" w:rsidRDefault="0044481E" w:rsidP="00E93282">
      <w:pPr>
        <w:pStyle w:val="AERbodytextindent1"/>
        <w:rPr>
          <w:rStyle w:val="AERbody"/>
        </w:rPr>
      </w:pPr>
      <m:oMathPara>
        <m:oMath>
          <m:sPre>
            <m:sPrePr>
              <m:ctrlPr>
                <w:rPr>
                  <w:rStyle w:val="AERbody"/>
                  <w:rFonts w:ascii="Cambria Math" w:hAnsi="Cambria Math"/>
                </w:rPr>
              </m:ctrlPr>
            </m:sPrePr>
            <m:sub>
              <m:r>
                <m:rPr>
                  <m:sty m:val="p"/>
                </m:rPr>
                <w:rPr>
                  <w:rStyle w:val="AERbody"/>
                  <w:rFonts w:ascii="Cambria Math" w:hAnsi="Cambria Math"/>
                </w:rPr>
                <m:t>6</m:t>
              </m:r>
            </m:sub>
            <m:sup/>
            <m:e>
              <m:sSubSup>
                <m:sSubSupPr>
                  <m:ctrlPr>
                    <w:rPr>
                      <w:rStyle w:val="AERbody"/>
                      <w:rFonts w:ascii="Cambria Math" w:hAnsi="Cambria Math"/>
                    </w:rPr>
                  </m:ctrlPr>
                </m:sSubSupPr>
                <m:e>
                  <m:r>
                    <w:rPr>
                      <w:rStyle w:val="AERbody"/>
                      <w:rFonts w:ascii="Cambria Math" w:hAnsi="Cambria Math"/>
                    </w:rPr>
                    <m:t>kd</m:t>
                  </m:r>
                </m:e>
                <m:sub>
                  <m:r>
                    <m:rPr>
                      <m:sty m:val="p"/>
                    </m:rPr>
                    <w:rPr>
                      <w:rStyle w:val="AERbody"/>
                      <w:rFonts w:ascii="Cambria Math" w:hAnsi="Cambria Math"/>
                    </w:rPr>
                    <m:t>7</m:t>
                  </m:r>
                </m:sub>
                <m:sup/>
              </m:sSubSup>
            </m:e>
          </m:sPre>
          <m:r>
            <m:rPr>
              <m:sty m:val="p"/>
            </m:rPr>
            <w:rPr>
              <w:rStyle w:val="AERbody"/>
              <w:rFonts w:ascii="Cambria Math" w:hAnsi="Cambria Math"/>
            </w:rPr>
            <m:t>=0.4∙</m:t>
          </m:r>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10</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11</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2</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12</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3</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13</m:t>
                  </m:r>
                </m:sub>
                <m:sup/>
              </m:sSubSup>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4</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14</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5</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15</m:t>
                      </m:r>
                    </m:sub>
                    <m:sup/>
                  </m:sSubSup>
                </m:e>
              </m:sPre>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6</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16</m:t>
                  </m:r>
                </m:sub>
                <m:sup/>
              </m:sSubSup>
            </m:e>
          </m:sPre>
        </m:oMath>
      </m:oMathPara>
    </w:p>
    <w:p w:rsidR="00E93282" w:rsidRPr="00C26CAC" w:rsidRDefault="00E93282" w:rsidP="00E93282">
      <w:pPr>
        <w:pStyle w:val="AERbodytextindent1"/>
        <w:rPr>
          <w:rStyle w:val="AERbody"/>
        </w:rPr>
      </w:pPr>
    </w:p>
    <w:p w:rsidR="00E93282" w:rsidRPr="006C66EA" w:rsidRDefault="0044481E" w:rsidP="00E93282">
      <w:pPr>
        <w:pStyle w:val="AERbodytextindent1"/>
        <w:rPr>
          <w:rStyle w:val="AERbody"/>
        </w:rPr>
      </w:pPr>
      <m:oMathPara>
        <m:oMath>
          <m:sPre>
            <m:sPrePr>
              <m:ctrlPr>
                <w:rPr>
                  <w:rStyle w:val="AERbody"/>
                  <w:rFonts w:ascii="Cambria Math" w:hAnsi="Cambria Math"/>
                </w:rPr>
              </m:ctrlPr>
            </m:sPrePr>
            <m:sub>
              <m:r>
                <w:rPr>
                  <w:rStyle w:val="AERbody"/>
                  <w:rFonts w:ascii="Cambria Math" w:hAnsi="Cambria Math"/>
                </w:rPr>
                <m:t>7</m:t>
              </m:r>
            </m:sub>
            <m:sup/>
            <m:e>
              <m:sSubSup>
                <m:sSubSupPr>
                  <m:ctrlPr>
                    <w:rPr>
                      <w:rStyle w:val="AERbody"/>
                      <w:rFonts w:ascii="Cambria Math" w:hAnsi="Cambria Math"/>
                    </w:rPr>
                  </m:ctrlPr>
                </m:sSubSupPr>
                <m:e>
                  <m:r>
                    <w:rPr>
                      <w:rStyle w:val="AERbody"/>
                      <w:rFonts w:ascii="Cambria Math" w:hAnsi="Cambria Math"/>
                    </w:rPr>
                    <m:t>kd</m:t>
                  </m:r>
                </m:e>
                <m:sub>
                  <m:r>
                    <m:rPr>
                      <m:sty m:val="p"/>
                    </m:rPr>
                    <w:rPr>
                      <w:rStyle w:val="AERbody"/>
                      <w:rFonts w:ascii="Cambria Math" w:hAnsi="Cambria Math"/>
                    </w:rPr>
                    <m:t>8</m:t>
                  </m:r>
                </m:sub>
                <m:sup/>
              </m:sSubSup>
            </m:e>
          </m:sPre>
          <m:r>
            <m:rPr>
              <m:sty m:val="p"/>
            </m:rPr>
            <w:rPr>
              <w:rStyle w:val="AERbody"/>
              <w:rFonts w:ascii="Cambria Math" w:hAnsi="Cambria Math"/>
            </w:rPr>
            <m:t>=0.3∙</m:t>
          </m:r>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10</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11</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2</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12</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3</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13</m:t>
                  </m:r>
                </m:sub>
                <m:sup/>
              </m:sSubSup>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4</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14</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5</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15</m:t>
                      </m:r>
                    </m:sub>
                    <m:sup/>
                  </m:sSubSup>
                </m:e>
              </m:sPre>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6</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16</m:t>
                  </m:r>
                </m:sub>
                <m:sup/>
              </m:sSubSup>
            </m:e>
          </m:sPre>
          <m:r>
            <w:rPr>
              <w:rStyle w:val="AERbody"/>
              <w:rFonts w:ascii="Cambria Math" w:hAnsi="Cambria Math"/>
            </w:rPr>
            <m:t>+</m:t>
          </m:r>
          <m:r>
            <m:rPr>
              <m:sty m:val="p"/>
            </m:rPr>
            <w:rPr>
              <w:rStyle w:val="AERbody"/>
              <w:rFonts w:ascii="Cambria Math" w:hAnsi="Cambria Math"/>
            </w:rPr>
            <m:t>0.1∙</m:t>
          </m:r>
          <m:sPre>
            <m:sPrePr>
              <m:ctrlPr>
                <w:rPr>
                  <w:rStyle w:val="AERbody"/>
                  <w:rFonts w:ascii="Cambria Math" w:hAnsi="Cambria Math"/>
                </w:rPr>
              </m:ctrlPr>
            </m:sPrePr>
            <m:sub>
              <m:r>
                <w:rPr>
                  <w:rStyle w:val="AERbody"/>
                  <w:rFonts w:ascii="Cambria Math" w:hAnsi="Cambria Math"/>
                </w:rPr>
                <m:t>7</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17</m:t>
                  </m:r>
                </m:sub>
                <m:sup/>
              </m:sSubSup>
            </m:e>
          </m:sPre>
        </m:oMath>
      </m:oMathPara>
    </w:p>
    <w:p w:rsidR="00E93282" w:rsidRPr="006C66EA" w:rsidRDefault="00E93282" w:rsidP="00E93282">
      <w:pPr>
        <w:pStyle w:val="AERbodytextindent1"/>
        <w:rPr>
          <w:rStyle w:val="AERbody"/>
        </w:rPr>
      </w:pPr>
    </w:p>
    <w:p w:rsidR="00E93282" w:rsidRPr="006C66EA" w:rsidRDefault="0044481E" w:rsidP="00E93282">
      <w:pPr>
        <w:pStyle w:val="AERbodytextindent1"/>
        <w:rPr>
          <w:rStyle w:val="AERbody"/>
        </w:rPr>
      </w:pPr>
      <m:oMathPara>
        <m:oMath>
          <m:sPre>
            <m:sPrePr>
              <m:ctrlPr>
                <w:rPr>
                  <w:rStyle w:val="AERbody"/>
                  <w:rFonts w:ascii="Cambria Math" w:hAnsi="Cambria Math"/>
                </w:rPr>
              </m:ctrlPr>
            </m:sPrePr>
            <m:sub>
              <m:r>
                <w:rPr>
                  <w:rStyle w:val="AERbody"/>
                  <w:rFonts w:ascii="Cambria Math" w:hAnsi="Cambria Math"/>
                </w:rPr>
                <m:t>8</m:t>
              </m:r>
            </m:sub>
            <m:sup/>
            <m:e>
              <m:sSubSup>
                <m:sSubSupPr>
                  <m:ctrlPr>
                    <w:rPr>
                      <w:rStyle w:val="AERbody"/>
                      <w:rFonts w:ascii="Cambria Math" w:hAnsi="Cambria Math"/>
                    </w:rPr>
                  </m:ctrlPr>
                </m:sSubSupPr>
                <m:e>
                  <m:r>
                    <w:rPr>
                      <w:rStyle w:val="AERbody"/>
                      <w:rFonts w:ascii="Cambria Math" w:hAnsi="Cambria Math"/>
                    </w:rPr>
                    <m:t>kd</m:t>
                  </m:r>
                </m:e>
                <m:sub>
                  <m:r>
                    <w:rPr>
                      <w:rStyle w:val="AERbody"/>
                      <w:rFonts w:ascii="Cambria Math" w:hAnsi="Cambria Math"/>
                    </w:rPr>
                    <m:t>9</m:t>
                  </m:r>
                </m:sub>
                <m:sup/>
              </m:sSubSup>
            </m:e>
          </m:sPre>
          <m:r>
            <m:rPr>
              <m:sty m:val="p"/>
            </m:rPr>
            <w:rPr>
              <w:rStyle w:val="AERbody"/>
              <w:rFonts w:ascii="Cambria Math" w:hAnsi="Cambria Math"/>
            </w:rPr>
            <m:t>=0.2∙</m:t>
          </m:r>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10</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11</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2</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12</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3</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13</m:t>
                  </m:r>
                </m:sub>
                <m:sup/>
              </m:sSubSup>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4</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14</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5</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15</m:t>
                      </m:r>
                    </m:sub>
                    <m:sup/>
                  </m:sSubSup>
                </m:e>
              </m:sPre>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6</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16</m:t>
                  </m:r>
                </m:sub>
                <m:sup/>
              </m:sSubSup>
            </m:e>
          </m:sPre>
          <m:r>
            <w:rPr>
              <w:rStyle w:val="AERbody"/>
              <w:rFonts w:ascii="Cambria Math" w:hAnsi="Cambria Math"/>
            </w:rPr>
            <m:t>+</m:t>
          </m:r>
          <m:r>
            <m:rPr>
              <m:sty m:val="p"/>
            </m:rPr>
            <w:rPr>
              <w:rStyle w:val="AERbody"/>
              <w:rFonts w:ascii="Cambria Math" w:hAnsi="Cambria Math"/>
            </w:rPr>
            <m:t>0.1∙</m:t>
          </m:r>
          <m:sPre>
            <m:sPrePr>
              <m:ctrlPr>
                <w:rPr>
                  <w:rStyle w:val="AERbody"/>
                  <w:rFonts w:ascii="Cambria Math" w:hAnsi="Cambria Math"/>
                </w:rPr>
              </m:ctrlPr>
            </m:sPrePr>
            <m:sub>
              <m:r>
                <w:rPr>
                  <w:rStyle w:val="AERbody"/>
                  <w:rFonts w:ascii="Cambria Math" w:hAnsi="Cambria Math"/>
                </w:rPr>
                <m:t>7</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17</m:t>
                  </m:r>
                </m:sub>
                <m:sup/>
              </m:sSubSup>
            </m:e>
          </m:sPre>
          <m:r>
            <w:rPr>
              <w:rStyle w:val="AERbody"/>
              <w:rFonts w:ascii="Cambria Math" w:hAnsi="Cambria Math"/>
            </w:rPr>
            <m:t>+</m:t>
          </m:r>
          <m:r>
            <m:rPr>
              <m:sty m:val="p"/>
            </m:rPr>
            <w:rPr>
              <w:rStyle w:val="AERbody"/>
              <w:rFonts w:ascii="Cambria Math" w:hAnsi="Cambria Math"/>
            </w:rPr>
            <m:t>0.1∙</m:t>
          </m:r>
          <m:sPre>
            <m:sPrePr>
              <m:ctrlPr>
                <w:rPr>
                  <w:rStyle w:val="AERbody"/>
                  <w:rFonts w:ascii="Cambria Math" w:hAnsi="Cambria Math"/>
                </w:rPr>
              </m:ctrlPr>
            </m:sPrePr>
            <m:sub>
              <m:r>
                <w:rPr>
                  <w:rStyle w:val="AERbody"/>
                  <w:rFonts w:ascii="Cambria Math" w:hAnsi="Cambria Math"/>
                </w:rPr>
                <m:t>8</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18</m:t>
                  </m:r>
                </m:sub>
                <m:sup/>
              </m:sSubSup>
            </m:e>
          </m:sPre>
        </m:oMath>
      </m:oMathPara>
    </w:p>
    <w:p w:rsidR="00E93282" w:rsidRPr="006C66EA" w:rsidRDefault="00E93282" w:rsidP="00E93282">
      <w:pPr>
        <w:pStyle w:val="AERbodytextindent1"/>
        <w:rPr>
          <w:rStyle w:val="AERbody"/>
        </w:rPr>
      </w:pPr>
    </w:p>
    <w:p w:rsidR="00E93282" w:rsidRPr="00E019F4" w:rsidRDefault="0044481E" w:rsidP="00E93282">
      <w:pPr>
        <w:pStyle w:val="AERbodytextindent1"/>
        <w:rPr>
          <w:rStyle w:val="AERbody"/>
        </w:rPr>
      </w:pPr>
      <m:oMathPara>
        <m:oMath>
          <m:sPre>
            <m:sPrePr>
              <m:ctrlPr>
                <w:rPr>
                  <w:rStyle w:val="AERbody"/>
                  <w:rFonts w:ascii="Cambria Math" w:hAnsi="Cambria Math"/>
                </w:rPr>
              </m:ctrlPr>
            </m:sPrePr>
            <m:sub>
              <m:r>
                <w:rPr>
                  <w:rStyle w:val="AERbody"/>
                  <w:rFonts w:ascii="Cambria Math" w:hAnsi="Cambria Math"/>
                </w:rPr>
                <m:t>9</m:t>
              </m:r>
            </m:sub>
            <m:sup/>
            <m:e>
              <m:sSubSup>
                <m:sSubSupPr>
                  <m:ctrlPr>
                    <w:rPr>
                      <w:rStyle w:val="AERbody"/>
                      <w:rFonts w:ascii="Cambria Math" w:hAnsi="Cambria Math"/>
                    </w:rPr>
                  </m:ctrlPr>
                </m:sSubSupPr>
                <m:e>
                  <m:r>
                    <w:rPr>
                      <w:rStyle w:val="AERbody"/>
                      <w:rFonts w:ascii="Cambria Math" w:hAnsi="Cambria Math"/>
                    </w:rPr>
                    <m:t>kd</m:t>
                  </m:r>
                </m:e>
                <m:sub>
                  <m:r>
                    <w:rPr>
                      <w:rStyle w:val="AERbody"/>
                      <w:rFonts w:ascii="Cambria Math" w:hAnsi="Cambria Math"/>
                    </w:rPr>
                    <m:t>10</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0</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10</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1</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11</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2</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12</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3</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13</m:t>
                  </m:r>
                </m:sub>
                <m:sup/>
              </m:sSubSup>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4</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14</m:t>
                      </m:r>
                    </m:sub>
                    <m:sup/>
                  </m:sSubSup>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5</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15</m:t>
                      </m:r>
                    </m:sub>
                    <m:sup/>
                  </m:sSubSup>
                </m:e>
              </m:sPre>
            </m:e>
          </m:sPre>
          <m:r>
            <m:rPr>
              <m:sty m:val="p"/>
            </m:rPr>
            <w:rPr>
              <w:rStyle w:val="AERbody"/>
              <w:rFonts w:ascii="Cambria Math" w:hAnsi="Cambria Math"/>
            </w:rPr>
            <m:t>+0.1∙</m:t>
          </m:r>
          <m:sPre>
            <m:sPrePr>
              <m:ctrlPr>
                <w:rPr>
                  <w:rStyle w:val="AERbody"/>
                  <w:rFonts w:ascii="Cambria Math" w:hAnsi="Cambria Math"/>
                </w:rPr>
              </m:ctrlPr>
            </m:sPrePr>
            <m:sub>
              <m:r>
                <m:rPr>
                  <m:sty m:val="p"/>
                </m:rPr>
                <w:rPr>
                  <w:rStyle w:val="AERbody"/>
                  <w:rFonts w:ascii="Cambria Math" w:hAnsi="Cambria Math"/>
                </w:rPr>
                <m:t>6</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16</m:t>
                  </m:r>
                </m:sub>
                <m:sup/>
              </m:sSubSup>
            </m:e>
          </m:sPre>
          <m:r>
            <w:rPr>
              <w:rStyle w:val="AERbody"/>
              <w:rFonts w:ascii="Cambria Math" w:hAnsi="Cambria Math"/>
            </w:rPr>
            <m:t>+</m:t>
          </m:r>
          <m:r>
            <m:rPr>
              <m:sty m:val="p"/>
            </m:rPr>
            <w:rPr>
              <w:rStyle w:val="AERbody"/>
              <w:rFonts w:ascii="Cambria Math" w:hAnsi="Cambria Math"/>
            </w:rPr>
            <m:t>0.1∙</m:t>
          </m:r>
          <m:sPre>
            <m:sPrePr>
              <m:ctrlPr>
                <w:rPr>
                  <w:rStyle w:val="AERbody"/>
                  <w:rFonts w:ascii="Cambria Math" w:hAnsi="Cambria Math"/>
                </w:rPr>
              </m:ctrlPr>
            </m:sPrePr>
            <m:sub>
              <m:r>
                <w:rPr>
                  <w:rStyle w:val="AERbody"/>
                  <w:rFonts w:ascii="Cambria Math" w:hAnsi="Cambria Math"/>
                </w:rPr>
                <m:t>7</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17</m:t>
                  </m:r>
                </m:sub>
                <m:sup/>
              </m:sSubSup>
            </m:e>
          </m:sPre>
          <m:r>
            <w:rPr>
              <w:rStyle w:val="AERbody"/>
              <w:rFonts w:ascii="Cambria Math" w:hAnsi="Cambria Math"/>
            </w:rPr>
            <m:t>+</m:t>
          </m:r>
          <m:r>
            <m:rPr>
              <m:sty m:val="p"/>
            </m:rPr>
            <w:rPr>
              <w:rStyle w:val="AERbody"/>
              <w:rFonts w:ascii="Cambria Math" w:hAnsi="Cambria Math"/>
            </w:rPr>
            <m:t>0.1∙</m:t>
          </m:r>
          <m:sPre>
            <m:sPrePr>
              <m:ctrlPr>
                <w:rPr>
                  <w:rStyle w:val="AERbody"/>
                  <w:rFonts w:ascii="Cambria Math" w:hAnsi="Cambria Math"/>
                </w:rPr>
              </m:ctrlPr>
            </m:sPrePr>
            <m:sub>
              <m:r>
                <w:rPr>
                  <w:rStyle w:val="AERbody"/>
                  <w:rFonts w:ascii="Cambria Math" w:hAnsi="Cambria Math"/>
                </w:rPr>
                <m:t>8</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18</m:t>
                  </m:r>
                </m:sub>
                <m:sup/>
              </m:sSubSup>
            </m:e>
          </m:sPre>
          <m:r>
            <w:rPr>
              <w:rStyle w:val="AERbody"/>
              <w:rFonts w:ascii="Cambria Math" w:hAnsi="Cambria Math"/>
            </w:rPr>
            <m:t>+</m:t>
          </m:r>
          <m:r>
            <m:rPr>
              <m:sty m:val="p"/>
            </m:rPr>
            <w:rPr>
              <w:rStyle w:val="AERbody"/>
              <w:rFonts w:ascii="Cambria Math" w:hAnsi="Cambria Math"/>
            </w:rPr>
            <m:t>0.1∙</m:t>
          </m:r>
          <m:sPre>
            <m:sPrePr>
              <m:ctrlPr>
                <w:rPr>
                  <w:rStyle w:val="AERbody"/>
                  <w:rFonts w:ascii="Cambria Math" w:hAnsi="Cambria Math"/>
                </w:rPr>
              </m:ctrlPr>
            </m:sPrePr>
            <m:sub>
              <m:r>
                <w:rPr>
                  <w:rStyle w:val="AERbody"/>
                  <w:rFonts w:ascii="Cambria Math" w:hAnsi="Cambria Math"/>
                </w:rPr>
                <m:t>9</m:t>
              </m:r>
            </m:sub>
            <m:sup/>
            <m:e>
              <m:sSubSup>
                <m:sSubSupPr>
                  <m:ctrlPr>
                    <w:rPr>
                      <w:rStyle w:val="AERbody"/>
                      <w:rFonts w:ascii="Cambria Math" w:hAnsi="Cambria Math"/>
                    </w:rPr>
                  </m:ctrlPr>
                </m:sSubSupPr>
                <m:e>
                  <m:r>
                    <w:rPr>
                      <w:rStyle w:val="AERbody"/>
                      <w:rFonts w:ascii="Cambria Math" w:hAnsi="Cambria Math"/>
                    </w:rPr>
                    <m:t>R</m:t>
                  </m:r>
                </m:e>
                <m:sub>
                  <m:r>
                    <m:rPr>
                      <m:sty m:val="p"/>
                    </m:rPr>
                    <w:rPr>
                      <w:rStyle w:val="AERbody"/>
                      <w:rFonts w:ascii="Cambria Math" w:hAnsi="Cambria Math"/>
                    </w:rPr>
                    <m:t>19</m:t>
                  </m:r>
                </m:sub>
                <m:sup/>
              </m:sSubSup>
            </m:e>
          </m:sPre>
        </m:oMath>
      </m:oMathPara>
    </w:p>
    <w:p w:rsidR="00E019F4" w:rsidRPr="00C26CAC" w:rsidRDefault="00E019F4" w:rsidP="00E93282">
      <w:pPr>
        <w:pStyle w:val="AERbodytextindent1"/>
        <w:rPr>
          <w:rStyle w:val="AERbody"/>
        </w:rPr>
      </w:pPr>
    </w:p>
    <w:p w:rsidR="00E93282" w:rsidRPr="00163CB9" w:rsidRDefault="00E93282" w:rsidP="00163CB9">
      <w:pPr>
        <w:pStyle w:val="Heading3"/>
      </w:pPr>
      <w:bookmarkStart w:id="40" w:name="_Ref365363929"/>
      <w:r w:rsidRPr="00163CB9">
        <w:lastRenderedPageBreak/>
        <w:t>Estimation procedure</w:t>
      </w:r>
      <w:bookmarkEnd w:id="40"/>
    </w:p>
    <w:p w:rsidR="00E93282" w:rsidRPr="00E93282" w:rsidRDefault="00E93282" w:rsidP="00E93282">
      <w:pPr>
        <w:pStyle w:val="AERbodytext"/>
        <w:rPr>
          <w:rStyle w:val="AERbody"/>
          <w:rFonts w:eastAsia="Calibri"/>
        </w:rPr>
      </w:pPr>
      <w:r>
        <w:rPr>
          <w:rStyle w:val="AERbody"/>
        </w:rPr>
        <w:t>The AER</w:t>
      </w:r>
      <w:r w:rsidRPr="00E93282">
        <w:rPr>
          <w:rStyle w:val="AERbody"/>
        </w:rPr>
        <w:t xml:space="preserve"> </w:t>
      </w:r>
      <w:r w:rsidR="00E322E5">
        <w:rPr>
          <w:rStyle w:val="AERbody"/>
        </w:rPr>
        <w:t>proposes to</w:t>
      </w:r>
      <w:r w:rsidR="00E322E5" w:rsidRPr="00E93282">
        <w:rPr>
          <w:rStyle w:val="AERbody"/>
        </w:rPr>
        <w:t xml:space="preserve"> </w:t>
      </w:r>
      <w:r w:rsidRPr="00E93282">
        <w:rPr>
          <w:rStyle w:val="AERbody"/>
        </w:rPr>
        <w:t>apply the following estimation procedure for estimating the prevailing return on debt for each service provider during the averaging period:</w:t>
      </w:r>
    </w:p>
    <w:p w:rsidR="00E93282" w:rsidRPr="00E93282" w:rsidRDefault="003F4331" w:rsidP="00E93282">
      <w:pPr>
        <w:pStyle w:val="AERbulletlistfirststyle"/>
        <w:rPr>
          <w:rStyle w:val="AERbody"/>
          <w:rFonts w:eastAsia="Calibri"/>
        </w:rPr>
      </w:pPr>
      <w:r>
        <w:rPr>
          <w:rStyle w:val="AERbody"/>
        </w:rPr>
        <w:t>U</w:t>
      </w:r>
      <w:r w:rsidR="00E93282">
        <w:rPr>
          <w:rStyle w:val="AERbody"/>
        </w:rPr>
        <w:t>sing the published yields from an independent third party data service provider</w:t>
      </w:r>
      <w:r>
        <w:rPr>
          <w:rStyle w:val="AERbody"/>
        </w:rPr>
        <w:t>.</w:t>
      </w:r>
    </w:p>
    <w:p w:rsidR="00E93282" w:rsidRPr="00E93282" w:rsidRDefault="003F4331" w:rsidP="00E93282">
      <w:pPr>
        <w:pStyle w:val="AERbulletlistfirststyle"/>
        <w:rPr>
          <w:rStyle w:val="AERbody"/>
          <w:rFonts w:eastAsia="Calibri"/>
        </w:rPr>
      </w:pPr>
      <w:r>
        <w:rPr>
          <w:rStyle w:val="AERbody"/>
        </w:rPr>
        <w:t>U</w:t>
      </w:r>
      <w:r w:rsidR="00E93282">
        <w:rPr>
          <w:rStyle w:val="AERbody"/>
        </w:rPr>
        <w:t>sing a credit rating of BBB+ from Standard and Poor's or the equivalent rating from other recognised rating agencies. If the published yields do not reflect the assumed credit rating of BBB+ or the equivalent from rating agencies, the AER will apply the published yields that are the closest approximation of the BBB+ credit rating</w:t>
      </w:r>
      <w:r w:rsidR="005455E6">
        <w:rPr>
          <w:rStyle w:val="AERbody"/>
        </w:rPr>
        <w:t>.</w:t>
      </w:r>
    </w:p>
    <w:p w:rsidR="00E93282" w:rsidRPr="00B6785F" w:rsidRDefault="003F4331" w:rsidP="00B6785F">
      <w:pPr>
        <w:pStyle w:val="AERbulletlistfirststyle"/>
        <w:rPr>
          <w:rStyle w:val="AERbody"/>
        </w:rPr>
      </w:pPr>
      <w:r>
        <w:rPr>
          <w:rStyle w:val="AERbody"/>
        </w:rPr>
        <w:t>U</w:t>
      </w:r>
      <w:r w:rsidR="00E93282">
        <w:rPr>
          <w:rStyle w:val="AERbody"/>
        </w:rPr>
        <w:t xml:space="preserve">sing a term to </w:t>
      </w:r>
      <w:r w:rsidR="00E93282" w:rsidRPr="006C66EA">
        <w:rPr>
          <w:rStyle w:val="AERbody"/>
        </w:rPr>
        <w:t xml:space="preserve">maturity of debt of </w:t>
      </w:r>
      <w:r w:rsidR="00133365">
        <w:rPr>
          <w:rStyle w:val="AERbody"/>
        </w:rPr>
        <w:t>10</w:t>
      </w:r>
      <w:r w:rsidR="00E93282" w:rsidRPr="006C66EA">
        <w:rPr>
          <w:rStyle w:val="AERbody"/>
        </w:rPr>
        <w:t xml:space="preserve"> years</w:t>
      </w:r>
      <w:r w:rsidR="00E93282">
        <w:rPr>
          <w:rStyle w:val="AERbody"/>
        </w:rPr>
        <w:t xml:space="preserve">. Where the yield at a term to maturity of </w:t>
      </w:r>
      <w:r w:rsidR="00133365">
        <w:rPr>
          <w:rStyle w:val="AERbody"/>
        </w:rPr>
        <w:t>10</w:t>
      </w:r>
      <w:r w:rsidR="00E93282">
        <w:rPr>
          <w:rStyle w:val="AERbody"/>
        </w:rPr>
        <w:t xml:space="preserve"> years is not published by the third party service provider, the AER proposes to determine the method for extrapolation at each network service provider's determination. </w:t>
      </w:r>
      <w:r w:rsidR="00A4268C">
        <w:rPr>
          <w:rStyle w:val="AERbody"/>
        </w:rPr>
        <w:t>The AER</w:t>
      </w:r>
      <w:r w:rsidR="00A4268C" w:rsidRPr="00341EC5">
        <w:rPr>
          <w:rStyle w:val="AERbody"/>
        </w:rPr>
        <w:t xml:space="preserve"> </w:t>
      </w:r>
      <w:r w:rsidR="00341EC5">
        <w:rPr>
          <w:rStyle w:val="AERbody"/>
        </w:rPr>
        <w:t xml:space="preserve">may </w:t>
      </w:r>
      <w:r w:rsidR="00341EC5" w:rsidRPr="00341EC5">
        <w:rPr>
          <w:rStyle w:val="AERbody"/>
        </w:rPr>
        <w:t xml:space="preserve">estimate an extrapolation of the total debt yield or separately estimate the risk free rate and </w:t>
      </w:r>
      <w:r w:rsidR="0080117F">
        <w:rPr>
          <w:rStyle w:val="AERbody"/>
        </w:rPr>
        <w:t xml:space="preserve">debt risk premium </w:t>
      </w:r>
      <w:r w:rsidR="00341EC5" w:rsidRPr="00341EC5">
        <w:rPr>
          <w:rStyle w:val="AERbody"/>
        </w:rPr>
        <w:t>components (if extrapolation is required)</w:t>
      </w:r>
      <w:r w:rsidR="00341EC5">
        <w:rPr>
          <w:rStyle w:val="AERbody"/>
        </w:rPr>
        <w:t>. Irrespective of which method is used</w:t>
      </w:r>
      <w:r w:rsidR="00341EC5" w:rsidRPr="00341EC5">
        <w:rPr>
          <w:rStyle w:val="AERbody"/>
        </w:rPr>
        <w:t xml:space="preserve"> </w:t>
      </w:r>
      <w:r w:rsidR="00A4268C">
        <w:rPr>
          <w:rStyle w:val="AERbody"/>
        </w:rPr>
        <w:t>the AER</w:t>
      </w:r>
      <w:r w:rsidR="00341EC5" w:rsidRPr="00341EC5">
        <w:rPr>
          <w:rStyle w:val="AERbody"/>
        </w:rPr>
        <w:t xml:space="preserve"> </w:t>
      </w:r>
      <w:r w:rsidR="00341EC5">
        <w:rPr>
          <w:rStyle w:val="AERbody"/>
        </w:rPr>
        <w:t>propose</w:t>
      </w:r>
      <w:r w:rsidR="00A4268C">
        <w:rPr>
          <w:rStyle w:val="AERbody"/>
        </w:rPr>
        <w:t>s</w:t>
      </w:r>
      <w:r w:rsidR="00341EC5" w:rsidRPr="00341EC5">
        <w:rPr>
          <w:rStyle w:val="AERbody"/>
        </w:rPr>
        <w:t xml:space="preserve"> that</w:t>
      </w:r>
      <w:r w:rsidR="00341EC5">
        <w:rPr>
          <w:rStyle w:val="AERbody"/>
        </w:rPr>
        <w:t xml:space="preserve"> </w:t>
      </w:r>
      <w:r w:rsidR="00341EC5" w:rsidRPr="00341EC5">
        <w:rPr>
          <w:rStyle w:val="AERbody"/>
        </w:rPr>
        <w:t xml:space="preserve">the risk free </w:t>
      </w:r>
      <w:r w:rsidR="00341EC5">
        <w:rPr>
          <w:rStyle w:val="AERbody"/>
        </w:rPr>
        <w:t xml:space="preserve">rate </w:t>
      </w:r>
      <w:r w:rsidR="00341EC5" w:rsidRPr="00341EC5">
        <w:rPr>
          <w:rStyle w:val="AERbody"/>
        </w:rPr>
        <w:t>component</w:t>
      </w:r>
      <w:r w:rsidR="00341EC5">
        <w:rPr>
          <w:rStyle w:val="AERbody"/>
        </w:rPr>
        <w:t xml:space="preserve"> </w:t>
      </w:r>
      <w:r w:rsidR="00341EC5" w:rsidRPr="008D624E">
        <w:rPr>
          <w:rStyle w:val="AERbody"/>
        </w:rPr>
        <w:t>of debt yield</w:t>
      </w:r>
      <w:r w:rsidR="00341EC5">
        <w:rPr>
          <w:rStyle w:val="AERbody"/>
        </w:rPr>
        <w:t xml:space="preserve"> at a minimum</w:t>
      </w:r>
      <w:r w:rsidR="00341EC5" w:rsidRPr="00341EC5">
        <w:rPr>
          <w:rStyle w:val="AERbody"/>
        </w:rPr>
        <w:t xml:space="preserve"> should be applied at the annual update</w:t>
      </w:r>
      <w:r w:rsidR="00E93282">
        <w:rPr>
          <w:rStyle w:val="AERbody"/>
        </w:rPr>
        <w:t xml:space="preserve">. The AER proposes to calculate the risk free rate component by adding the difference between the average annualised yields for Commonwealth Government Securities with a </w:t>
      </w:r>
      <w:r w:rsidR="00133365">
        <w:rPr>
          <w:rStyle w:val="AERbody"/>
        </w:rPr>
        <w:t>10</w:t>
      </w:r>
      <w:r w:rsidR="00E93282">
        <w:rPr>
          <w:rStyle w:val="AERbody"/>
        </w:rPr>
        <w:t xml:space="preserve"> year and the shorter term </w:t>
      </w:r>
      <w:r w:rsidR="00E93282" w:rsidRPr="00013F6C">
        <w:rPr>
          <w:rStyle w:val="AERbody"/>
        </w:rPr>
        <w:t xml:space="preserve">maturity. The averaging period </w:t>
      </w:r>
      <w:r w:rsidR="00E93282">
        <w:rPr>
          <w:rStyle w:val="AERbody"/>
        </w:rPr>
        <w:t xml:space="preserve">that is proposed to apply is described in the next section. </w:t>
      </w:r>
    </w:p>
    <w:p w:rsidR="00E93282" w:rsidRPr="005A6536" w:rsidRDefault="00E93282" w:rsidP="003602E9">
      <w:pPr>
        <w:pStyle w:val="AERbulletlistfirststyle"/>
        <w:rPr>
          <w:rStyle w:val="AERbody"/>
        </w:rPr>
      </w:pPr>
      <w:r>
        <w:rPr>
          <w:rStyle w:val="AERbody"/>
        </w:rPr>
        <w:t>If the published yields from an independent third party data service provider are quoted on a semi-annual basis, then</w:t>
      </w:r>
      <w:r w:rsidRPr="005A6536">
        <w:rPr>
          <w:rStyle w:val="AERbody"/>
        </w:rPr>
        <w:t xml:space="preserve"> </w:t>
      </w:r>
      <w:r>
        <w:rPr>
          <w:rStyle w:val="AERbody"/>
        </w:rPr>
        <w:t>the AER</w:t>
      </w:r>
      <w:r w:rsidRPr="005A6536">
        <w:rPr>
          <w:rStyle w:val="AERbody"/>
        </w:rPr>
        <w:t xml:space="preserve"> </w:t>
      </w:r>
      <w:r w:rsidR="00E322E5">
        <w:rPr>
          <w:rStyle w:val="AERbody"/>
        </w:rPr>
        <w:t xml:space="preserve">proposes to </w:t>
      </w:r>
      <w:r w:rsidRPr="005A6536">
        <w:rPr>
          <w:rStyle w:val="AERbody"/>
        </w:rPr>
        <w:t>annualise the yields by applying the following formula:</w:t>
      </w:r>
    </w:p>
    <w:p w:rsidR="00E93282" w:rsidRPr="005A6536" w:rsidRDefault="0044481E" w:rsidP="00E93282">
      <w:pPr>
        <w:pStyle w:val="AERbodytextindent1"/>
        <w:rPr>
          <w:rStyle w:val="AERbody"/>
        </w:rPr>
      </w:pPr>
      <m:oMathPara>
        <m:oMath>
          <m:sSub>
            <m:sSubPr>
              <m:ctrlPr>
                <w:rPr>
                  <w:rStyle w:val="AERbody"/>
                  <w:rFonts w:ascii="Cambria Math" w:hAnsi="Cambria Math"/>
                </w:rPr>
              </m:ctrlPr>
            </m:sSubPr>
            <m:e>
              <m:r>
                <w:rPr>
                  <w:rStyle w:val="AERbody"/>
                  <w:rFonts w:ascii="Cambria Math" w:hAnsi="Cambria Math"/>
                </w:rPr>
                <m:t>y</m:t>
              </m:r>
            </m:e>
            <m:sub>
              <m:r>
                <w:rPr>
                  <w:rStyle w:val="AERbody"/>
                  <w:rFonts w:ascii="Cambria Math" w:hAnsi="Cambria Math"/>
                </w:rPr>
                <m:t>a</m:t>
              </m:r>
            </m:sub>
          </m:sSub>
          <m:r>
            <w:rPr>
              <w:rStyle w:val="AERbody"/>
              <w:rFonts w:ascii="Cambria Math" w:hAnsi="Cambria Math"/>
            </w:rPr>
            <m:t>=</m:t>
          </m:r>
          <m:sSup>
            <m:sSupPr>
              <m:ctrlPr>
                <w:rPr>
                  <w:rStyle w:val="AERbody"/>
                  <w:rFonts w:ascii="Cambria Math" w:hAnsi="Cambria Math"/>
                </w:rPr>
              </m:ctrlPr>
            </m:sSupPr>
            <m:e>
              <m:d>
                <m:dPr>
                  <m:ctrlPr>
                    <w:rPr>
                      <w:rStyle w:val="AERbody"/>
                      <w:rFonts w:ascii="Cambria Math" w:hAnsi="Cambria Math"/>
                    </w:rPr>
                  </m:ctrlPr>
                </m:dPr>
                <m:e>
                  <m:r>
                    <w:rPr>
                      <w:rStyle w:val="AERbody"/>
                      <w:rFonts w:ascii="Cambria Math" w:hAnsi="Cambria Math"/>
                    </w:rPr>
                    <m:t>1+</m:t>
                  </m:r>
                  <m:f>
                    <m:fPr>
                      <m:ctrlPr>
                        <w:rPr>
                          <w:rStyle w:val="AERbody"/>
                          <w:rFonts w:ascii="Cambria Math" w:hAnsi="Cambria Math"/>
                        </w:rPr>
                      </m:ctrlPr>
                    </m:fPr>
                    <m:num>
                      <m:sSub>
                        <m:sSubPr>
                          <m:ctrlPr>
                            <w:rPr>
                              <w:rStyle w:val="AERbody"/>
                              <w:rFonts w:ascii="Cambria Math" w:hAnsi="Cambria Math"/>
                            </w:rPr>
                          </m:ctrlPr>
                        </m:sSubPr>
                        <m:e>
                          <m:r>
                            <w:rPr>
                              <w:rStyle w:val="AERbody"/>
                              <w:rFonts w:ascii="Cambria Math" w:hAnsi="Cambria Math"/>
                            </w:rPr>
                            <m:t>y</m:t>
                          </m:r>
                        </m:e>
                        <m:sub>
                          <m:r>
                            <w:rPr>
                              <w:rStyle w:val="AERbody"/>
                              <w:rFonts w:ascii="Cambria Math" w:hAnsi="Cambria Math"/>
                            </w:rPr>
                            <m:t>s</m:t>
                          </m:r>
                        </m:sub>
                      </m:sSub>
                    </m:num>
                    <m:den>
                      <m:r>
                        <w:rPr>
                          <w:rStyle w:val="AERbody"/>
                          <w:rFonts w:ascii="Cambria Math" w:hAnsi="Cambria Math"/>
                        </w:rPr>
                        <m:t>2</m:t>
                      </m:r>
                    </m:den>
                  </m:f>
                </m:e>
              </m:d>
            </m:e>
            <m:sup>
              <m:r>
                <w:rPr>
                  <w:rStyle w:val="AERbody"/>
                  <w:rFonts w:ascii="Cambria Math" w:hAnsi="Cambria Math"/>
                </w:rPr>
                <m:t>2</m:t>
              </m:r>
            </m:sup>
          </m:sSup>
          <m:r>
            <w:rPr>
              <w:rStyle w:val="AERbody"/>
              <w:rFonts w:ascii="Cambria Math" w:hAnsi="Cambria Math"/>
            </w:rPr>
            <m:t>-1</m:t>
          </m:r>
        </m:oMath>
      </m:oMathPara>
    </w:p>
    <w:p w:rsidR="00E93282" w:rsidRPr="005A6536" w:rsidRDefault="00E93282" w:rsidP="00E93282">
      <w:pPr>
        <w:pStyle w:val="AERbodytext"/>
        <w:numPr>
          <w:ilvl w:val="0"/>
          <w:numId w:val="6"/>
        </w:numPr>
        <w:rPr>
          <w:rStyle w:val="AERbody"/>
        </w:rPr>
      </w:pPr>
      <w:r>
        <w:rPr>
          <w:rStyle w:val="AERbody"/>
        </w:rPr>
        <w:t>w</w:t>
      </w:r>
      <w:r w:rsidRPr="005A6536">
        <w:rPr>
          <w:rStyle w:val="AERbody"/>
        </w:rPr>
        <w:t>here:</w:t>
      </w:r>
    </w:p>
    <w:p w:rsidR="00E93282" w:rsidRPr="005A6536" w:rsidRDefault="0044481E" w:rsidP="00E93282">
      <w:pPr>
        <w:pStyle w:val="AERbulletlistfirststyle"/>
        <w:rPr>
          <w:rStyle w:val="AERbody"/>
        </w:rPr>
      </w:pPr>
      <m:oMath>
        <m:sSub>
          <m:sSubPr>
            <m:ctrlPr>
              <w:rPr>
                <w:rStyle w:val="AERbody"/>
                <w:rFonts w:ascii="Cambria Math" w:hAnsi="Cambria Math"/>
              </w:rPr>
            </m:ctrlPr>
          </m:sSubPr>
          <m:e>
            <m:r>
              <w:rPr>
                <w:rStyle w:val="AERbody"/>
                <w:rFonts w:ascii="Cambria Math" w:hAnsi="Cambria Math"/>
              </w:rPr>
              <m:t>y</m:t>
            </m:r>
          </m:e>
          <m:sub>
            <m:r>
              <w:rPr>
                <w:rStyle w:val="AERbody"/>
                <w:rFonts w:ascii="Cambria Math" w:hAnsi="Cambria Math"/>
              </w:rPr>
              <m:t>a</m:t>
            </m:r>
          </m:sub>
        </m:sSub>
      </m:oMath>
      <w:r w:rsidR="00E93282" w:rsidRPr="005A6536">
        <w:rPr>
          <w:rStyle w:val="AERbody"/>
        </w:rPr>
        <w:t xml:space="preserve">is the annualised yield </w:t>
      </w:r>
    </w:p>
    <w:p w:rsidR="00E93282" w:rsidRPr="005A6536" w:rsidRDefault="0044481E" w:rsidP="00E93282">
      <w:pPr>
        <w:pStyle w:val="AERbulletlistfirststyle"/>
      </w:pPr>
      <m:oMath>
        <m:sSub>
          <m:sSubPr>
            <m:ctrlPr>
              <w:rPr>
                <w:rStyle w:val="AERbody"/>
                <w:rFonts w:ascii="Cambria Math" w:hAnsi="Cambria Math"/>
              </w:rPr>
            </m:ctrlPr>
          </m:sSubPr>
          <m:e>
            <m:r>
              <w:rPr>
                <w:rStyle w:val="AERbody"/>
                <w:rFonts w:ascii="Cambria Math" w:hAnsi="Cambria Math"/>
              </w:rPr>
              <m:t>y</m:t>
            </m:r>
          </m:e>
          <m:sub>
            <m:r>
              <w:rPr>
                <w:rStyle w:val="AERbody"/>
                <w:rFonts w:ascii="Cambria Math" w:hAnsi="Cambria Math"/>
              </w:rPr>
              <m:t>s</m:t>
            </m:r>
          </m:sub>
        </m:sSub>
      </m:oMath>
      <w:r w:rsidR="00E93282" w:rsidRPr="005A6536">
        <w:rPr>
          <w:rStyle w:val="AERbody"/>
        </w:rPr>
        <w:t xml:space="preserve">is the semi-annual yield published by </w:t>
      </w:r>
      <w:r w:rsidR="00E93282">
        <w:rPr>
          <w:rStyle w:val="AERbody"/>
        </w:rPr>
        <w:t>an independent third party data service provider</w:t>
      </w:r>
      <w:r w:rsidR="00E93282" w:rsidRPr="005A6536">
        <w:rPr>
          <w:rStyle w:val="AERbody"/>
        </w:rPr>
        <w:t>.</w:t>
      </w:r>
    </w:p>
    <w:p w:rsidR="00E93282" w:rsidRPr="00E93282" w:rsidRDefault="00E93282" w:rsidP="003602E9">
      <w:pPr>
        <w:pStyle w:val="AERbodytext"/>
      </w:pPr>
      <w:r>
        <w:t>The AER</w:t>
      </w:r>
      <w:r w:rsidRPr="00E93282">
        <w:t xml:space="preserve"> proposes to specify in a service provider's determination how an automatic update of the trailing average would be applied in circumstances where estimation procedure for calculating the allowed return on debt is no longer available or has been amended during a service provider's regulatory control period. </w:t>
      </w:r>
    </w:p>
    <w:p w:rsidR="00E93282" w:rsidRPr="00E93282" w:rsidRDefault="00E93282" w:rsidP="00E93282">
      <w:pPr>
        <w:pStyle w:val="HeadingBoldBlue"/>
      </w:pPr>
      <w:r w:rsidRPr="006643A1">
        <w:t>Averaging period</w:t>
      </w:r>
    </w:p>
    <w:p w:rsidR="00E93282" w:rsidRDefault="00E93282" w:rsidP="00EE7FD6">
      <w:pPr>
        <w:pStyle w:val="AERbodytext"/>
      </w:pPr>
      <w:r>
        <w:t>For each regulatory year in the regulatory control period, the AER proposes to estimate the prevailing rate of return on debt as a simple average of the prevailing rates observed over a period of 10 or more consecutive business days</w:t>
      </w:r>
      <w:r w:rsidR="00EE7FD6">
        <w:t xml:space="preserve"> </w:t>
      </w:r>
      <w:r w:rsidR="00EE7FD6" w:rsidRPr="00EE7FD6">
        <w:t>up to a maximum of 12 months</w:t>
      </w:r>
      <w:r>
        <w:t>. Such an averaging period should satisfy the following conditions:</w:t>
      </w:r>
    </w:p>
    <w:p w:rsidR="00E93282" w:rsidRDefault="00385961" w:rsidP="00E93282">
      <w:pPr>
        <w:pStyle w:val="AERbulletlistfirststyle"/>
      </w:pPr>
      <w:r>
        <w:t>i</w:t>
      </w:r>
      <w:r w:rsidR="00E93282">
        <w:t xml:space="preserve">t should be specified prior to the commencement of the regulatory control period </w:t>
      </w:r>
    </w:p>
    <w:p w:rsidR="00E93282" w:rsidRDefault="00385961" w:rsidP="00E93282">
      <w:pPr>
        <w:pStyle w:val="AERbulletlistfirststyle"/>
      </w:pPr>
      <w:r>
        <w:t>a</w:t>
      </w:r>
      <w:r w:rsidR="00E93282">
        <w:t xml:space="preserve">t the time it is nominated, </w:t>
      </w:r>
      <w:r w:rsidR="00DC636E">
        <w:t xml:space="preserve">all dates in </w:t>
      </w:r>
      <w:r w:rsidR="00E93282">
        <w:t>the averaging period must take place in the future</w:t>
      </w:r>
    </w:p>
    <w:p w:rsidR="00E93282" w:rsidRPr="00E74A71" w:rsidRDefault="00385961" w:rsidP="00E93282">
      <w:pPr>
        <w:pStyle w:val="AERbulletlistfirststyle"/>
      </w:pPr>
      <w:r>
        <w:t>i</w:t>
      </w:r>
      <w:r w:rsidR="00E93282">
        <w:t>t</w:t>
      </w:r>
      <w:r w:rsidR="00E93282" w:rsidRPr="00E74A71">
        <w:t xml:space="preserve"> should be as close as practical to the commencement of each regulatory year in a regulatory control period </w:t>
      </w:r>
    </w:p>
    <w:p w:rsidR="00E93282" w:rsidRDefault="00385961" w:rsidP="00E93282">
      <w:pPr>
        <w:pStyle w:val="AERbulletlistfirststyle"/>
      </w:pPr>
      <w:r>
        <w:lastRenderedPageBreak/>
        <w:t>a</w:t>
      </w:r>
      <w:r w:rsidR="00E93282">
        <w:t xml:space="preserve">n averaging period needs to be specified for each regulatory year within a regulatory control period </w:t>
      </w:r>
    </w:p>
    <w:p w:rsidR="00E93282" w:rsidRDefault="00385961" w:rsidP="00E93282">
      <w:pPr>
        <w:pStyle w:val="AERbulletlistfirststyle"/>
      </w:pPr>
      <w:r>
        <w:t>t</w:t>
      </w:r>
      <w:r w:rsidR="00E93282">
        <w:t>he proposed averaging periods for different regulatory years are not required to be identical</w:t>
      </w:r>
      <w:r w:rsidR="004125E3">
        <w:t xml:space="preserve"> but should not overlap</w:t>
      </w:r>
    </w:p>
    <w:p w:rsidR="00E93282" w:rsidRPr="00221A44" w:rsidRDefault="00385961" w:rsidP="00E93282">
      <w:pPr>
        <w:pStyle w:val="AERbulletlistfirststyle"/>
      </w:pPr>
      <w:r>
        <w:t>t</w:t>
      </w:r>
      <w:r w:rsidR="00E93282" w:rsidRPr="00221A44">
        <w:t xml:space="preserve">he nominal return on debt is to be updated annually using the agreed averaging period for the relevant regulatory year </w:t>
      </w:r>
    </w:p>
    <w:p w:rsidR="00E93282" w:rsidRDefault="00385961" w:rsidP="00E93282">
      <w:pPr>
        <w:pStyle w:val="AERbulletlistfirststyle"/>
      </w:pPr>
      <w:r>
        <w:t>e</w:t>
      </w:r>
      <w:r w:rsidR="00E93282">
        <w:t>ach</w:t>
      </w:r>
      <w:r w:rsidR="00E93282" w:rsidRPr="00221A44">
        <w:t xml:space="preserve"> agreed averaging period is to be confidential. </w:t>
      </w:r>
    </w:p>
    <w:p w:rsidR="00E93282" w:rsidRDefault="00E93282" w:rsidP="00E93282">
      <w:pPr>
        <w:pStyle w:val="AERbodytext"/>
        <w:numPr>
          <w:ilvl w:val="0"/>
          <w:numId w:val="6"/>
        </w:numPr>
      </w:pPr>
      <w:r>
        <w:t>The averaging periods can be determined as follows:</w:t>
      </w:r>
    </w:p>
    <w:p w:rsidR="00E93282" w:rsidRPr="003602E9" w:rsidRDefault="00E93282" w:rsidP="00E93282">
      <w:pPr>
        <w:pStyle w:val="AERbulletlistfirststyle"/>
        <w:rPr>
          <w:rStyle w:val="AERbody"/>
        </w:rPr>
      </w:pPr>
      <w:r w:rsidRPr="003602E9">
        <w:rPr>
          <w:rStyle w:val="AERbody"/>
        </w:rPr>
        <w:t xml:space="preserve">proposed by the service provider </w:t>
      </w:r>
      <w:r w:rsidR="003602E9" w:rsidRPr="003602E9">
        <w:rPr>
          <w:rStyle w:val="AERbody"/>
        </w:rPr>
        <w:t xml:space="preserve">in the Framework and Approach process or </w:t>
      </w:r>
      <w:r w:rsidRPr="003602E9">
        <w:rPr>
          <w:rStyle w:val="AERbody"/>
        </w:rPr>
        <w:t>in its initial regulatory proposal</w:t>
      </w:r>
      <w:r w:rsidR="00CA523E">
        <w:rPr>
          <w:rStyle w:val="AERbody"/>
        </w:rPr>
        <w:t>,</w:t>
      </w:r>
      <w:r w:rsidRPr="003602E9">
        <w:rPr>
          <w:rStyle w:val="AERbody"/>
        </w:rPr>
        <w:t xml:space="preserve"> and agreed by the AER; or</w:t>
      </w:r>
    </w:p>
    <w:p w:rsidR="00E93282" w:rsidRPr="003602E9" w:rsidRDefault="00E93282" w:rsidP="00E93282">
      <w:pPr>
        <w:pStyle w:val="AERbulletlistfirststyle"/>
        <w:rPr>
          <w:rStyle w:val="AERbody"/>
        </w:rPr>
      </w:pPr>
      <w:r w:rsidRPr="003602E9">
        <w:rPr>
          <w:rStyle w:val="AERbody"/>
        </w:rPr>
        <w:t xml:space="preserve">if the AER does not agree to the averaging periods proposed by a service provider, the averaging period would be determined by the AER, and notified to the service provider within a reasonable time prior to the commencement of the </w:t>
      </w:r>
      <w:r w:rsidR="002C1AD9">
        <w:rPr>
          <w:rStyle w:val="AERbody"/>
        </w:rPr>
        <w:t>regulatory control</w:t>
      </w:r>
      <w:r w:rsidRPr="003602E9">
        <w:rPr>
          <w:rStyle w:val="AERbody"/>
        </w:rPr>
        <w:t xml:space="preserve"> period.</w:t>
      </w:r>
    </w:p>
    <w:p w:rsidR="00E93282" w:rsidRPr="00E93282" w:rsidRDefault="00E93282" w:rsidP="00E93282">
      <w:pPr>
        <w:pStyle w:val="Heading1"/>
      </w:pPr>
      <w:bookmarkStart w:id="41" w:name="_Toc374971889"/>
      <w:r w:rsidRPr="00E93282">
        <w:lastRenderedPageBreak/>
        <w:t>Imputation credits</w:t>
      </w:r>
      <w:bookmarkEnd w:id="41"/>
    </w:p>
    <w:p w:rsidR="00E93282" w:rsidRPr="00755FB1" w:rsidRDefault="00E93282" w:rsidP="00E93282">
      <w:pPr>
        <w:pStyle w:val="AERbodytext"/>
        <w:numPr>
          <w:ilvl w:val="0"/>
          <w:numId w:val="6"/>
        </w:numPr>
      </w:pPr>
      <w:r w:rsidRPr="00755FB1">
        <w:t>This section set</w:t>
      </w:r>
      <w:r>
        <w:t>s</w:t>
      </w:r>
      <w:r w:rsidRPr="00755FB1">
        <w:t xml:space="preserve"> out the AER's approach to estimating the </w:t>
      </w:r>
      <w:r>
        <w:t>value of imputation credits</w:t>
      </w:r>
      <w:r w:rsidRPr="00755FB1">
        <w:t>.</w:t>
      </w:r>
      <w:r>
        <w:t xml:space="preserve"> This primarily serves as an adjustment made to the cost of company income tax building block allowance.</w:t>
      </w:r>
      <w:r w:rsidRPr="00755FB1">
        <w:t xml:space="preserve">  </w:t>
      </w:r>
    </w:p>
    <w:p w:rsidR="00E93282" w:rsidRPr="00E93282" w:rsidRDefault="00E93282" w:rsidP="00E93282">
      <w:pPr>
        <w:pStyle w:val="Heading2"/>
      </w:pPr>
      <w:bookmarkStart w:id="42" w:name="_Toc374971890"/>
      <w:r w:rsidRPr="00E93282">
        <w:t>Objective</w:t>
      </w:r>
      <w:bookmarkEnd w:id="42"/>
    </w:p>
    <w:p w:rsidR="00E93282" w:rsidRPr="00E93282" w:rsidRDefault="00E93282" w:rsidP="00E93282">
      <w:pPr>
        <w:pStyle w:val="AERbodytext"/>
      </w:pPr>
      <w:r w:rsidRPr="00140CEB">
        <w:t xml:space="preserve">The objective of the </w:t>
      </w:r>
      <w:r w:rsidRPr="00E93282">
        <w:t>adjustment for the value of imputation credits is to reduce the cost of corporate income tax such that only the proportion of company tax which is actually retained by government is reflected in the corporate income tax building block. That is, the adjustment is an estimate of the company tax paid which the government subsequently transfers to investors.</w:t>
      </w:r>
    </w:p>
    <w:p w:rsidR="00E93282" w:rsidRPr="00E93282" w:rsidRDefault="00E93282" w:rsidP="00E93282">
      <w:pPr>
        <w:pStyle w:val="Heading2"/>
      </w:pPr>
      <w:bookmarkStart w:id="43" w:name="_Toc374971891"/>
      <w:r w:rsidRPr="00E93282">
        <w:t>Rule requirements</w:t>
      </w:r>
      <w:bookmarkEnd w:id="43"/>
    </w:p>
    <w:p w:rsidR="00E93282" w:rsidRPr="00755FB1" w:rsidRDefault="00E93282" w:rsidP="00E93282">
      <w:pPr>
        <w:pStyle w:val="AERbodytext"/>
        <w:numPr>
          <w:ilvl w:val="0"/>
          <w:numId w:val="6"/>
        </w:numPr>
      </w:pPr>
      <w:r>
        <w:t>Clauses 6.5.3</w:t>
      </w:r>
      <w:r w:rsidRPr="00FE61AD">
        <w:t xml:space="preserve"> </w:t>
      </w:r>
      <w:r>
        <w:t>and 6A.6.4</w:t>
      </w:r>
      <w:r w:rsidRPr="00FE61AD">
        <w:t xml:space="preserve"> of the NER and rule 87</w:t>
      </w:r>
      <w:r>
        <w:t>A</w:t>
      </w:r>
      <w:r w:rsidRPr="00FE61AD">
        <w:t xml:space="preserve"> of the NGR </w:t>
      </w:r>
      <w:r>
        <w:t>set out the cost of corporate income tax rule. This includes an adjustment for the value of imputation credits as follows</w:t>
      </w:r>
      <w:r w:rsidRPr="00755FB1">
        <w:t>:</w:t>
      </w:r>
    </w:p>
    <w:p w:rsidR="00E93282" w:rsidRPr="00755FB1" w:rsidRDefault="00E93282" w:rsidP="00E93282">
      <w:pPr>
        <w:pStyle w:val="AERquote"/>
      </w:pPr>
      <w:r w:rsidRPr="00755FB1">
        <w:t>The estimated cost of corporate income tax of a Distribution Network Service Provider for each regulatory year (ETC</w:t>
      </w:r>
      <w:r w:rsidRPr="00755FB1">
        <w:rPr>
          <w:rStyle w:val="AERsubscript"/>
        </w:rPr>
        <w:t>t</w:t>
      </w:r>
      <w:r w:rsidRPr="00755FB1">
        <w:t>) must be calculated in accordance with the following formula:</w:t>
      </w:r>
    </w:p>
    <w:p w:rsidR="00E93282" w:rsidRPr="00755FB1" w:rsidRDefault="00E93282" w:rsidP="00E93282">
      <w:pPr>
        <w:pStyle w:val="AERquote"/>
      </w:pPr>
      <w:r w:rsidRPr="00755FB1">
        <w:t>ETC</w:t>
      </w:r>
      <w:r w:rsidRPr="00755FB1">
        <w:rPr>
          <w:rStyle w:val="AERsubscript"/>
        </w:rPr>
        <w:t>t</w:t>
      </w:r>
      <w:r w:rsidRPr="00755FB1">
        <w:t xml:space="preserve"> = (ETI</w:t>
      </w:r>
      <w:r w:rsidRPr="00755FB1">
        <w:rPr>
          <w:rStyle w:val="AERsubscript"/>
        </w:rPr>
        <w:t>t</w:t>
      </w:r>
      <w:r w:rsidRPr="00755FB1">
        <w:t xml:space="preserve"> x r</w:t>
      </w:r>
      <w:r w:rsidRPr="00755FB1">
        <w:rPr>
          <w:rStyle w:val="AERsubscript"/>
        </w:rPr>
        <w:t>t</w:t>
      </w:r>
      <w:r w:rsidRPr="00755FB1">
        <w:t>) (1 – γ)</w:t>
      </w:r>
    </w:p>
    <w:p w:rsidR="00E93282" w:rsidRPr="00755FB1" w:rsidRDefault="00E93282" w:rsidP="00E93282">
      <w:pPr>
        <w:pStyle w:val="AERquote"/>
      </w:pPr>
      <w:r w:rsidRPr="00755FB1">
        <w:t>Where:</w:t>
      </w:r>
    </w:p>
    <w:p w:rsidR="00E93282" w:rsidRPr="00755FB1" w:rsidRDefault="00E93282" w:rsidP="00E93282">
      <w:pPr>
        <w:pStyle w:val="AERquote"/>
      </w:pPr>
      <w:r w:rsidRPr="00755FB1">
        <w:t>ETIt is an estimate of the taxable income for that regulatory year that would be earned by a benchmark efficient entity as a result of the provision of standard control services if such an entity, rather than the Distribution Network Service Provider, operated the business of the Distribution Network Service Provider, such estimate being determined in accordance with the post-tax revenue model.</w:t>
      </w:r>
    </w:p>
    <w:p w:rsidR="00E93282" w:rsidRPr="00755FB1" w:rsidRDefault="00E93282" w:rsidP="00E93282">
      <w:pPr>
        <w:pStyle w:val="AERquote"/>
      </w:pPr>
      <w:r w:rsidRPr="00755FB1">
        <w:t>r</w:t>
      </w:r>
      <w:r w:rsidRPr="0030610D">
        <w:rPr>
          <w:rStyle w:val="AERsubscript"/>
        </w:rPr>
        <w:t>t</w:t>
      </w:r>
      <w:r w:rsidRPr="00755FB1">
        <w:t xml:space="preserve"> is the expected statutory income tax rate for that regulatory year as determined by the AER; and</w:t>
      </w:r>
    </w:p>
    <w:p w:rsidR="00E93282" w:rsidRPr="00755FB1" w:rsidRDefault="00E93282" w:rsidP="00E93282">
      <w:pPr>
        <w:pStyle w:val="AERquote"/>
      </w:pPr>
      <w:r w:rsidRPr="00755FB1">
        <w:t>γ is the value of imputation credits</w:t>
      </w:r>
    </w:p>
    <w:p w:rsidR="00E93282" w:rsidRPr="00E93282" w:rsidRDefault="00E93282" w:rsidP="00E93282">
      <w:pPr>
        <w:pStyle w:val="Heading2"/>
      </w:pPr>
      <w:bookmarkStart w:id="44" w:name="_Toc374971892"/>
      <w:r w:rsidRPr="00E93282">
        <w:t>Application</w:t>
      </w:r>
      <w:bookmarkEnd w:id="44"/>
    </w:p>
    <w:p w:rsidR="00E93282" w:rsidRPr="00E93282" w:rsidRDefault="00E93282" w:rsidP="00E93282">
      <w:pPr>
        <w:pStyle w:val="AERbodytext"/>
      </w:pPr>
      <w:r w:rsidRPr="00FE61AD">
        <w:t xml:space="preserve">This section sets out the method to be applied by a service provider to </w:t>
      </w:r>
      <w:r w:rsidRPr="00E93282">
        <w:t xml:space="preserve">estimate the value of imputation credits. </w:t>
      </w:r>
    </w:p>
    <w:p w:rsidR="00E93282" w:rsidRPr="00E93282" w:rsidRDefault="00E93282" w:rsidP="00E93282">
      <w:pPr>
        <w:pStyle w:val="AERbodytext"/>
      </w:pPr>
      <w:r>
        <w:t xml:space="preserve">Overall, the value of imputation credits </w:t>
      </w:r>
      <w:r w:rsidRPr="00E93282">
        <w:t>would be estimated as a market wide parameter. Specifically, it would be determined as the product of:</w:t>
      </w:r>
    </w:p>
    <w:p w:rsidR="00E93282" w:rsidRDefault="00E93282" w:rsidP="00E93282">
      <w:pPr>
        <w:pStyle w:val="AERbulletlistfirststyle"/>
      </w:pPr>
      <w:r>
        <w:t>a payout ratio</w:t>
      </w:r>
    </w:p>
    <w:p w:rsidR="00E93282" w:rsidRDefault="00E93282" w:rsidP="00E93282">
      <w:pPr>
        <w:pStyle w:val="AERbulletlistfirststyle"/>
      </w:pPr>
      <w:r>
        <w:t>a utilisation rate.</w:t>
      </w:r>
    </w:p>
    <w:p w:rsidR="00E050AC" w:rsidRPr="00E050AC" w:rsidRDefault="004809EF" w:rsidP="00F32065">
      <w:pPr>
        <w:pStyle w:val="AERbodytext"/>
      </w:pPr>
      <w:r>
        <w:t>T</w:t>
      </w:r>
      <w:r w:rsidR="00E93282" w:rsidRPr="00E93282">
        <w:t xml:space="preserve">he AER considers this </w:t>
      </w:r>
      <w:r>
        <w:t xml:space="preserve">approach </w:t>
      </w:r>
      <w:r w:rsidR="00E93282" w:rsidRPr="00E93282">
        <w:t>leads to a</w:t>
      </w:r>
      <w:r>
        <w:t>n estimate</w:t>
      </w:r>
      <w:r w:rsidR="00E93282" w:rsidRPr="00E93282">
        <w:t xml:space="preserve"> of 0.5</w:t>
      </w:r>
      <w:r>
        <w:t xml:space="preserve"> for the value of imputation credits</w:t>
      </w:r>
      <w:r w:rsidR="00E93282" w:rsidRPr="00E93282">
        <w:t>, based on a payout ratio of 0.7 and a utilisation rate of 0.7.</w:t>
      </w:r>
    </w:p>
    <w:p w:rsidR="00E93282" w:rsidRPr="00163CB9" w:rsidRDefault="00E93282" w:rsidP="00163CB9">
      <w:pPr>
        <w:pStyle w:val="Heading3"/>
      </w:pPr>
      <w:r w:rsidRPr="00163CB9">
        <w:t>Payout ratio</w:t>
      </w:r>
    </w:p>
    <w:p w:rsidR="004809EF" w:rsidRPr="00E93282" w:rsidRDefault="00E93282" w:rsidP="00E93282">
      <w:pPr>
        <w:pStyle w:val="AERbodytext"/>
      </w:pPr>
      <w:r>
        <w:t xml:space="preserve">The payout ratio </w:t>
      </w:r>
      <w:r w:rsidRPr="00E93282">
        <w:t>would be estimated using the cumulative payout ratio approach. Th</w:t>
      </w:r>
      <w:r w:rsidR="00825F4D">
        <w:t>is approach uses ATO tax statistics to calculate the proportion of imputation credits generated (via tax payments) that have been distributed by companies since the start of the imputation system.</w:t>
      </w:r>
      <w:r w:rsidR="004809EF">
        <w:t xml:space="preserve"> This approach leads to an estimate of 0.7 for the payout ratio.</w:t>
      </w:r>
    </w:p>
    <w:p w:rsidR="00E93282" w:rsidRPr="00163CB9" w:rsidRDefault="00E93282" w:rsidP="00163CB9">
      <w:pPr>
        <w:pStyle w:val="Heading3"/>
      </w:pPr>
      <w:r w:rsidRPr="00163CB9">
        <w:lastRenderedPageBreak/>
        <w:t>Utilisation rate</w:t>
      </w:r>
    </w:p>
    <w:p w:rsidR="009963AA" w:rsidRDefault="00E93282" w:rsidP="00E93282">
      <w:pPr>
        <w:pStyle w:val="AERbodytext"/>
        <w:numPr>
          <w:ilvl w:val="0"/>
          <w:numId w:val="6"/>
        </w:numPr>
      </w:pPr>
      <w:r>
        <w:t xml:space="preserve">The utilisation rate would be estimated using the body of relevant evidence with regards to its strengths and </w:t>
      </w:r>
      <w:r w:rsidR="00DC636E">
        <w:t>limitations</w:t>
      </w:r>
      <w:r>
        <w:t xml:space="preserve">, checked against </w:t>
      </w:r>
      <w:r w:rsidR="009963AA">
        <w:t>a range of supporting evidence.</w:t>
      </w:r>
      <w:r w:rsidR="00825F4D">
        <w:t xml:space="preserve"> The body of evidence includes:</w:t>
      </w:r>
    </w:p>
    <w:p w:rsidR="00825F4D" w:rsidRDefault="00825F4D" w:rsidP="00825F4D">
      <w:pPr>
        <w:pStyle w:val="AERbulletlistfirststyle"/>
      </w:pPr>
      <w:r>
        <w:t>the equity ownership approach</w:t>
      </w:r>
    </w:p>
    <w:p w:rsidR="00825F4D" w:rsidRDefault="00825F4D" w:rsidP="00825F4D">
      <w:pPr>
        <w:pStyle w:val="AERbulletlistfirststyle"/>
      </w:pPr>
      <w:r>
        <w:t>tax statistic estimates</w:t>
      </w:r>
    </w:p>
    <w:p w:rsidR="00825F4D" w:rsidRDefault="00825F4D" w:rsidP="00825F4D">
      <w:pPr>
        <w:pStyle w:val="AERbulletlistfirststyle"/>
      </w:pPr>
      <w:r>
        <w:t>implied market value studies</w:t>
      </w:r>
    </w:p>
    <w:p w:rsidR="00825F4D" w:rsidRDefault="00825F4D" w:rsidP="00825F4D">
      <w:pPr>
        <w:pStyle w:val="AERbulletlistfirststyle"/>
      </w:pPr>
      <w:r>
        <w:t>the conceptual goalposts approach</w:t>
      </w:r>
      <w:r w:rsidR="00385961">
        <w:t>.</w:t>
      </w:r>
    </w:p>
    <w:p w:rsidR="009963AA" w:rsidRPr="009963AA" w:rsidRDefault="009963AA" w:rsidP="009963AA">
      <w:pPr>
        <w:pStyle w:val="AERbodytext"/>
        <w:numPr>
          <w:ilvl w:val="0"/>
          <w:numId w:val="6"/>
        </w:numPr>
      </w:pPr>
      <w:r w:rsidRPr="009963AA">
        <w:t xml:space="preserve">In particular, </w:t>
      </w:r>
      <w:r w:rsidR="00A4268C">
        <w:t>the AER</w:t>
      </w:r>
      <w:r w:rsidRPr="009963AA">
        <w:t xml:space="preserve"> ha</w:t>
      </w:r>
      <w:r w:rsidR="00A4268C">
        <w:t>s</w:t>
      </w:r>
      <w:r w:rsidRPr="009963AA">
        <w:t xml:space="preserve"> higher regard to those approaches that: </w:t>
      </w:r>
    </w:p>
    <w:p w:rsidR="009963AA" w:rsidRPr="009963AA" w:rsidRDefault="009963AA" w:rsidP="009963AA">
      <w:pPr>
        <w:pStyle w:val="AERbulletlistfirststyle"/>
      </w:pPr>
      <w:r w:rsidRPr="009963AA">
        <w:t xml:space="preserve">accord with </w:t>
      </w:r>
      <w:r w:rsidR="00A4268C">
        <w:t>the AER's</w:t>
      </w:r>
      <w:r w:rsidRPr="009963AA">
        <w:t xml:space="preserve"> interpretation of the nature of the utilisation rate parameter in the conceptual framework provided by Officer and Monkhouse (while acknowledging that interpretation of this framework is a matter of debate) </w:t>
      </w:r>
    </w:p>
    <w:p w:rsidR="009963AA" w:rsidRPr="009963AA" w:rsidRDefault="009963AA" w:rsidP="009963AA">
      <w:pPr>
        <w:pStyle w:val="AERbulletlistfirststyle"/>
      </w:pPr>
      <w:r w:rsidRPr="009963AA">
        <w:t xml:space="preserve">are simpler and more transparent </w:t>
      </w:r>
    </w:p>
    <w:p w:rsidR="009963AA" w:rsidRPr="009963AA" w:rsidRDefault="009963AA" w:rsidP="009963AA">
      <w:pPr>
        <w:pStyle w:val="AERbulletlistfirststyle"/>
      </w:pPr>
      <w:r w:rsidRPr="009963AA">
        <w:t xml:space="preserve">produce reasonable estimates in light of empirical realities and conceptual considerations; namely, that most (but not all) investors are eligible to redeem imputation credits, and that eligible investors in the possession of imputation credits have the incentive to redeem them. </w:t>
      </w:r>
    </w:p>
    <w:p w:rsidR="004809EF" w:rsidRDefault="00E050AC" w:rsidP="00E93282">
      <w:pPr>
        <w:pStyle w:val="AERbodytext"/>
        <w:numPr>
          <w:ilvl w:val="0"/>
          <w:numId w:val="6"/>
        </w:numPr>
      </w:pPr>
      <w:r>
        <w:t>This approach</w:t>
      </w:r>
      <w:r w:rsidR="004809EF">
        <w:t xml:space="preserve"> leads to an estimate of 0.7 for the utilisation rate, based on the AER giving:</w:t>
      </w:r>
    </w:p>
    <w:p w:rsidR="004809EF" w:rsidRDefault="004809EF" w:rsidP="00F32065">
      <w:pPr>
        <w:pStyle w:val="AERbulletlistfirststyle"/>
      </w:pPr>
      <w:r>
        <w:t>more regard to the equity ownership approach, which sug</w:t>
      </w:r>
      <w:r w:rsidR="00E019F4">
        <w:t>gests an estimate of 0.7 to 0.8</w:t>
      </w:r>
    </w:p>
    <w:p w:rsidR="004809EF" w:rsidRDefault="004809EF" w:rsidP="00F32065">
      <w:pPr>
        <w:pStyle w:val="AERbulletlistfirststyle"/>
      </w:pPr>
      <w:r>
        <w:t>regard to tax statistic estimates, which suggest an estimat</w:t>
      </w:r>
      <w:r w:rsidR="00E019F4">
        <w:t>e of 0.4 to 0.8</w:t>
      </w:r>
    </w:p>
    <w:p w:rsidR="004809EF" w:rsidRDefault="004809EF" w:rsidP="00F32065">
      <w:pPr>
        <w:pStyle w:val="AERbulletlistfirststyle"/>
      </w:pPr>
      <w:r>
        <w:t xml:space="preserve">less regard to implied market value studies, which </w:t>
      </w:r>
      <w:r w:rsidR="00E019F4">
        <w:t>suggest an estimate of 0 to 0.5</w:t>
      </w:r>
    </w:p>
    <w:p w:rsidR="004809EF" w:rsidRDefault="004809EF" w:rsidP="00F32065">
      <w:pPr>
        <w:pStyle w:val="AERbulletlistfirststyle"/>
      </w:pPr>
      <w:r>
        <w:t>less regard to the conceptual goalposts approach, which suggests an estimate of 0.8 to 1.0.</w:t>
      </w:r>
    </w:p>
    <w:p w:rsidR="00E93282" w:rsidRPr="00B219F4" w:rsidRDefault="00E93282" w:rsidP="00E93282">
      <w:pPr>
        <w:pStyle w:val="AERbodytext"/>
      </w:pPr>
    </w:p>
    <w:p w:rsidR="00E93282" w:rsidRPr="00E93282" w:rsidRDefault="00E93282" w:rsidP="00E93282">
      <w:pPr>
        <w:pStyle w:val="Heading7"/>
      </w:pPr>
      <w:bookmarkStart w:id="45" w:name="_Toc374971893"/>
      <w:r w:rsidRPr="00E93282">
        <w:lastRenderedPageBreak/>
        <w:t>Glossary</w:t>
      </w:r>
      <w:bookmarkEnd w:id="45"/>
    </w:p>
    <w:p w:rsidR="00E93282" w:rsidRPr="009E536D" w:rsidRDefault="00E93282" w:rsidP="00E93282">
      <w:pPr>
        <w:numPr>
          <w:ilvl w:val="0"/>
          <w:numId w:val="6"/>
        </w:numPr>
      </w:pPr>
      <w:r>
        <w:t>This guideline uses following definitions and acronyms.</w:t>
      </w:r>
    </w:p>
    <w:tbl>
      <w:tblPr>
        <w:tblStyle w:val="AERtable-text"/>
        <w:tblW w:w="0" w:type="auto"/>
        <w:tblLook w:val="04A0" w:firstRow="1" w:lastRow="0" w:firstColumn="1" w:lastColumn="0" w:noHBand="0" w:noVBand="1"/>
      </w:tblPr>
      <w:tblGrid>
        <w:gridCol w:w="3227"/>
        <w:gridCol w:w="6015"/>
      </w:tblGrid>
      <w:tr w:rsidR="00E93282" w:rsidRPr="009E536D" w:rsidTr="004641BA">
        <w:trPr>
          <w:cnfStyle w:val="100000000000" w:firstRow="1" w:lastRow="0" w:firstColumn="0" w:lastColumn="0" w:oddVBand="0" w:evenVBand="0" w:oddHBand="0" w:evenHBand="0" w:firstRowFirstColumn="0" w:firstRowLastColumn="0" w:lastRowFirstColumn="0" w:lastRowLastColumn="0"/>
        </w:trPr>
        <w:tc>
          <w:tcPr>
            <w:tcW w:w="3227" w:type="dxa"/>
          </w:tcPr>
          <w:p w:rsidR="00E93282" w:rsidRPr="00E93282" w:rsidRDefault="00E93282" w:rsidP="00E93282">
            <w:r>
              <w:t>T</w:t>
            </w:r>
            <w:r w:rsidRPr="00E93282">
              <w:t>erm</w:t>
            </w:r>
          </w:p>
        </w:tc>
        <w:tc>
          <w:tcPr>
            <w:tcW w:w="6015" w:type="dxa"/>
          </w:tcPr>
          <w:p w:rsidR="00E93282" w:rsidRPr="00E93282" w:rsidRDefault="00E93282" w:rsidP="00E93282">
            <w:r>
              <w:t>Definition</w:t>
            </w:r>
          </w:p>
        </w:tc>
      </w:tr>
      <w:tr w:rsidR="00E93282" w:rsidRPr="009E536D" w:rsidTr="004641BA">
        <w:tc>
          <w:tcPr>
            <w:tcW w:w="3227" w:type="dxa"/>
          </w:tcPr>
          <w:p w:rsidR="00E93282" w:rsidRPr="00E93282" w:rsidRDefault="00E93282" w:rsidP="00E93282">
            <w:r w:rsidRPr="009E536D">
              <w:t>AEMC</w:t>
            </w:r>
          </w:p>
        </w:tc>
        <w:tc>
          <w:tcPr>
            <w:tcW w:w="6015" w:type="dxa"/>
          </w:tcPr>
          <w:p w:rsidR="00E93282" w:rsidRPr="00E93282" w:rsidRDefault="00E93282" w:rsidP="00E93282">
            <w:r w:rsidRPr="009E536D">
              <w:t xml:space="preserve">Australian Energy Market Commission </w:t>
            </w:r>
          </w:p>
        </w:tc>
      </w:tr>
      <w:tr w:rsidR="00E93282" w:rsidRPr="009E536D" w:rsidTr="004641BA">
        <w:trPr>
          <w:cnfStyle w:val="000000010000" w:firstRow="0" w:lastRow="0" w:firstColumn="0" w:lastColumn="0" w:oddVBand="0" w:evenVBand="0" w:oddHBand="0" w:evenHBand="1" w:firstRowFirstColumn="0" w:firstRowLastColumn="0" w:lastRowFirstColumn="0" w:lastRowLastColumn="0"/>
        </w:trPr>
        <w:tc>
          <w:tcPr>
            <w:tcW w:w="3227" w:type="dxa"/>
          </w:tcPr>
          <w:p w:rsidR="00E93282" w:rsidRPr="00E93282" w:rsidRDefault="00E93282" w:rsidP="00E93282">
            <w:r w:rsidRPr="009E536D">
              <w:t>AER</w:t>
            </w:r>
          </w:p>
        </w:tc>
        <w:tc>
          <w:tcPr>
            <w:tcW w:w="6015" w:type="dxa"/>
          </w:tcPr>
          <w:p w:rsidR="00E93282" w:rsidRPr="00E93282" w:rsidRDefault="00E93282" w:rsidP="00E93282">
            <w:r w:rsidRPr="009E536D">
              <w:t>Australian Energy Regulator</w:t>
            </w:r>
          </w:p>
        </w:tc>
      </w:tr>
      <w:tr w:rsidR="00E93282" w:rsidRPr="009E536D" w:rsidTr="004641BA">
        <w:tc>
          <w:tcPr>
            <w:tcW w:w="3227" w:type="dxa"/>
          </w:tcPr>
          <w:p w:rsidR="00E93282" w:rsidRPr="00E93282" w:rsidRDefault="00E93282" w:rsidP="00E93282">
            <w:r w:rsidRPr="009E536D">
              <w:t>determination</w:t>
            </w:r>
          </w:p>
        </w:tc>
        <w:tc>
          <w:tcPr>
            <w:tcW w:w="6015" w:type="dxa"/>
          </w:tcPr>
          <w:p w:rsidR="00E93282" w:rsidRPr="00E93282" w:rsidRDefault="00E93282" w:rsidP="00E93282">
            <w:r w:rsidRPr="009E536D">
              <w:t>In this document generally, in the context of the rate of return, the term "determination" refers both to regulatory determinations under the NER and access arrangement determinations under</w:t>
            </w:r>
            <w:r w:rsidRPr="00E93282">
              <w:t xml:space="preserve"> the NGR.</w:t>
            </w:r>
          </w:p>
        </w:tc>
      </w:tr>
      <w:tr w:rsidR="00E93282" w:rsidRPr="009E536D" w:rsidTr="004641BA">
        <w:trPr>
          <w:cnfStyle w:val="000000010000" w:firstRow="0" w:lastRow="0" w:firstColumn="0" w:lastColumn="0" w:oddVBand="0" w:evenVBand="0" w:oddHBand="0" w:evenHBand="1" w:firstRowFirstColumn="0" w:firstRowLastColumn="0" w:lastRowFirstColumn="0" w:lastRowLastColumn="0"/>
        </w:trPr>
        <w:tc>
          <w:tcPr>
            <w:tcW w:w="3227" w:type="dxa"/>
          </w:tcPr>
          <w:p w:rsidR="00E93282" w:rsidRPr="00E93282" w:rsidRDefault="00E93282" w:rsidP="00E93282">
            <w:r w:rsidRPr="009E536D">
              <w:t>MRP</w:t>
            </w:r>
          </w:p>
        </w:tc>
        <w:tc>
          <w:tcPr>
            <w:tcW w:w="6015" w:type="dxa"/>
          </w:tcPr>
          <w:p w:rsidR="00E93282" w:rsidRPr="00E93282" w:rsidRDefault="00E93282" w:rsidP="00E93282">
            <w:r w:rsidRPr="009E536D">
              <w:t>Market risk premium</w:t>
            </w:r>
          </w:p>
        </w:tc>
      </w:tr>
      <w:tr w:rsidR="001954D1" w:rsidRPr="009E536D" w:rsidTr="00CA523E">
        <w:tc>
          <w:tcPr>
            <w:tcW w:w="3227" w:type="dxa"/>
          </w:tcPr>
          <w:p w:rsidR="001954D1" w:rsidRPr="00E93282" w:rsidRDefault="001954D1" w:rsidP="001954D1">
            <w:pPr>
              <w:tabs>
                <w:tab w:val="num" w:pos="0"/>
              </w:tabs>
            </w:pPr>
            <w:r w:rsidRPr="009E536D">
              <w:t>NEL</w:t>
            </w:r>
          </w:p>
        </w:tc>
        <w:tc>
          <w:tcPr>
            <w:tcW w:w="6015" w:type="dxa"/>
          </w:tcPr>
          <w:p w:rsidR="001954D1" w:rsidRPr="00E93282" w:rsidRDefault="001954D1" w:rsidP="001954D1">
            <w:pPr>
              <w:tabs>
                <w:tab w:val="num" w:pos="0"/>
              </w:tabs>
            </w:pPr>
            <w:r w:rsidRPr="009E536D">
              <w:t>National Electricity Law</w:t>
            </w:r>
          </w:p>
        </w:tc>
      </w:tr>
      <w:tr w:rsidR="00E93282" w:rsidRPr="009E536D" w:rsidTr="004641BA">
        <w:trPr>
          <w:cnfStyle w:val="000000010000" w:firstRow="0" w:lastRow="0" w:firstColumn="0" w:lastColumn="0" w:oddVBand="0" w:evenVBand="0" w:oddHBand="0" w:evenHBand="1" w:firstRowFirstColumn="0" w:firstRowLastColumn="0" w:lastRowFirstColumn="0" w:lastRowLastColumn="0"/>
        </w:trPr>
        <w:tc>
          <w:tcPr>
            <w:tcW w:w="3227" w:type="dxa"/>
          </w:tcPr>
          <w:p w:rsidR="00E93282" w:rsidRPr="00E93282" w:rsidRDefault="00E93282" w:rsidP="00E93282">
            <w:r w:rsidRPr="009E536D">
              <w:t>NER</w:t>
            </w:r>
          </w:p>
        </w:tc>
        <w:tc>
          <w:tcPr>
            <w:tcW w:w="6015" w:type="dxa"/>
          </w:tcPr>
          <w:p w:rsidR="00E93282" w:rsidRPr="00E93282" w:rsidRDefault="00E93282" w:rsidP="00E93282">
            <w:r w:rsidRPr="009E536D">
              <w:t>National Electricity Rules</w:t>
            </w:r>
          </w:p>
        </w:tc>
      </w:tr>
      <w:tr w:rsidR="00E93282" w:rsidRPr="009E536D" w:rsidTr="004641BA">
        <w:tc>
          <w:tcPr>
            <w:tcW w:w="3227" w:type="dxa"/>
          </w:tcPr>
          <w:p w:rsidR="00E93282" w:rsidRPr="00E93282" w:rsidRDefault="00E93282" w:rsidP="00E93282">
            <w:r w:rsidRPr="009E536D">
              <w:t>new rules</w:t>
            </w:r>
          </w:p>
        </w:tc>
        <w:tc>
          <w:tcPr>
            <w:tcW w:w="6015" w:type="dxa"/>
          </w:tcPr>
          <w:p w:rsidR="00E93282" w:rsidRPr="00E93282" w:rsidRDefault="00E93282" w:rsidP="00E93282">
            <w:r w:rsidRPr="009E536D">
              <w:t>The National Electricity Rules and National Gas Rules that were published by the AEMC on 29 November 2012</w:t>
            </w:r>
          </w:p>
        </w:tc>
      </w:tr>
      <w:tr w:rsidR="00E93282" w:rsidRPr="009E536D" w:rsidTr="004641BA">
        <w:trPr>
          <w:cnfStyle w:val="000000010000" w:firstRow="0" w:lastRow="0" w:firstColumn="0" w:lastColumn="0" w:oddVBand="0" w:evenVBand="0" w:oddHBand="0" w:evenHBand="1" w:firstRowFirstColumn="0" w:firstRowLastColumn="0" w:lastRowFirstColumn="0" w:lastRowLastColumn="0"/>
        </w:trPr>
        <w:tc>
          <w:tcPr>
            <w:tcW w:w="3227" w:type="dxa"/>
          </w:tcPr>
          <w:p w:rsidR="00E93282" w:rsidRPr="00E93282" w:rsidRDefault="00E93282" w:rsidP="00E93282">
            <w:r w:rsidRPr="009E536D">
              <w:t>NGL</w:t>
            </w:r>
          </w:p>
        </w:tc>
        <w:tc>
          <w:tcPr>
            <w:tcW w:w="6015" w:type="dxa"/>
          </w:tcPr>
          <w:p w:rsidR="00E93282" w:rsidRPr="00E93282" w:rsidRDefault="00E93282" w:rsidP="00E93282">
            <w:r w:rsidRPr="009E536D">
              <w:t>National Gas Law</w:t>
            </w:r>
          </w:p>
        </w:tc>
      </w:tr>
      <w:tr w:rsidR="0080117F" w:rsidRPr="009E536D" w:rsidTr="004641BA">
        <w:tc>
          <w:tcPr>
            <w:tcW w:w="3227" w:type="dxa"/>
          </w:tcPr>
          <w:p w:rsidR="0080117F" w:rsidRPr="009E536D" w:rsidRDefault="0080117F" w:rsidP="00E93282">
            <w:r>
              <w:t>NGR</w:t>
            </w:r>
          </w:p>
        </w:tc>
        <w:tc>
          <w:tcPr>
            <w:tcW w:w="6015" w:type="dxa"/>
          </w:tcPr>
          <w:p w:rsidR="0080117F" w:rsidRPr="009E536D" w:rsidRDefault="0080117F" w:rsidP="00E93282">
            <w:r>
              <w:t>National Gas Rules</w:t>
            </w:r>
          </w:p>
        </w:tc>
      </w:tr>
      <w:tr w:rsidR="00E93282" w:rsidRPr="009E536D" w:rsidTr="004641BA">
        <w:trPr>
          <w:cnfStyle w:val="000000010000" w:firstRow="0" w:lastRow="0" w:firstColumn="0" w:lastColumn="0" w:oddVBand="0" w:evenVBand="0" w:oddHBand="0" w:evenHBand="1" w:firstRowFirstColumn="0" w:firstRowLastColumn="0" w:lastRowFirstColumn="0" w:lastRowLastColumn="0"/>
        </w:trPr>
        <w:tc>
          <w:tcPr>
            <w:tcW w:w="3227" w:type="dxa"/>
          </w:tcPr>
          <w:p w:rsidR="00E93282" w:rsidRPr="00E93282" w:rsidRDefault="00E93282" w:rsidP="00E93282">
            <w:r w:rsidRPr="009E536D">
              <w:t>QTC</w:t>
            </w:r>
          </w:p>
        </w:tc>
        <w:tc>
          <w:tcPr>
            <w:tcW w:w="6015" w:type="dxa"/>
          </w:tcPr>
          <w:p w:rsidR="00E93282" w:rsidRPr="00E93282" w:rsidRDefault="00E93282" w:rsidP="00E93282">
            <w:r w:rsidRPr="009E536D">
              <w:t>Queensland Treasury Corporation</w:t>
            </w:r>
          </w:p>
        </w:tc>
      </w:tr>
      <w:tr w:rsidR="00E93282" w:rsidRPr="009E536D" w:rsidTr="004641BA">
        <w:tc>
          <w:tcPr>
            <w:tcW w:w="3227" w:type="dxa"/>
          </w:tcPr>
          <w:p w:rsidR="00E93282" w:rsidRPr="00E93282" w:rsidRDefault="00E93282" w:rsidP="00E93282">
            <w:r w:rsidRPr="009E536D">
              <w:t>RAB</w:t>
            </w:r>
          </w:p>
        </w:tc>
        <w:tc>
          <w:tcPr>
            <w:tcW w:w="6015" w:type="dxa"/>
          </w:tcPr>
          <w:p w:rsidR="00E93282" w:rsidRPr="00E93282" w:rsidRDefault="00E93282" w:rsidP="00E93282">
            <w:r w:rsidRPr="009E536D">
              <w:t>Regulatory Asset Base</w:t>
            </w:r>
          </w:p>
        </w:tc>
      </w:tr>
      <w:tr w:rsidR="00E93282" w:rsidRPr="009E536D" w:rsidTr="004641BA">
        <w:trPr>
          <w:cnfStyle w:val="000000010000" w:firstRow="0" w:lastRow="0" w:firstColumn="0" w:lastColumn="0" w:oddVBand="0" w:evenVBand="0" w:oddHBand="0" w:evenHBand="1" w:firstRowFirstColumn="0" w:firstRowLastColumn="0" w:lastRowFirstColumn="0" w:lastRowLastColumn="0"/>
        </w:trPr>
        <w:tc>
          <w:tcPr>
            <w:tcW w:w="3227" w:type="dxa"/>
          </w:tcPr>
          <w:p w:rsidR="00E93282" w:rsidRPr="00E93282" w:rsidRDefault="00E93282" w:rsidP="00E93282">
            <w:r>
              <w:t>r</w:t>
            </w:r>
            <w:r w:rsidRPr="00E93282">
              <w:t>egulatory control period</w:t>
            </w:r>
          </w:p>
        </w:tc>
        <w:tc>
          <w:tcPr>
            <w:tcW w:w="6015" w:type="dxa"/>
          </w:tcPr>
          <w:p w:rsidR="00E93282" w:rsidRPr="00E93282" w:rsidRDefault="00E93282" w:rsidP="00E93282">
            <w:r>
              <w:t>In this document generally, in the context of the rate of return, the term 'regulatory control period' refers both to regulatory control period under the NER and access arrangement period under the NGR</w:t>
            </w:r>
          </w:p>
        </w:tc>
      </w:tr>
      <w:tr w:rsidR="00E93282" w:rsidRPr="009E536D" w:rsidTr="004641BA">
        <w:tc>
          <w:tcPr>
            <w:tcW w:w="3227" w:type="dxa"/>
          </w:tcPr>
          <w:p w:rsidR="00E93282" w:rsidRPr="00E93282" w:rsidRDefault="00E93282" w:rsidP="00E93282">
            <w:r w:rsidRPr="009E536D">
              <w:t>service providers</w:t>
            </w:r>
          </w:p>
        </w:tc>
        <w:tc>
          <w:tcPr>
            <w:tcW w:w="6015" w:type="dxa"/>
          </w:tcPr>
          <w:p w:rsidR="00E93282" w:rsidRPr="00E93282" w:rsidRDefault="00E93282" w:rsidP="00E93282">
            <w:r w:rsidRPr="009E536D">
              <w:t>Electricity transmission network service provider, electricity distribution network service providers and gas service providers</w:t>
            </w:r>
          </w:p>
        </w:tc>
      </w:tr>
      <w:tr w:rsidR="00E93282" w:rsidRPr="009E536D" w:rsidTr="004641BA">
        <w:trPr>
          <w:cnfStyle w:val="000000010000" w:firstRow="0" w:lastRow="0" w:firstColumn="0" w:lastColumn="0" w:oddVBand="0" w:evenVBand="0" w:oddHBand="0" w:evenHBand="1" w:firstRowFirstColumn="0" w:firstRowLastColumn="0" w:lastRowFirstColumn="0" w:lastRowLastColumn="0"/>
        </w:trPr>
        <w:tc>
          <w:tcPr>
            <w:tcW w:w="3227" w:type="dxa"/>
          </w:tcPr>
          <w:p w:rsidR="00E93282" w:rsidRPr="00E93282" w:rsidRDefault="00E93282" w:rsidP="00E93282">
            <w:r w:rsidRPr="009E536D">
              <w:t xml:space="preserve">the </w:t>
            </w:r>
            <w:r w:rsidRPr="00E93282">
              <w:t>guideline</w:t>
            </w:r>
          </w:p>
        </w:tc>
        <w:tc>
          <w:tcPr>
            <w:tcW w:w="6015" w:type="dxa"/>
          </w:tcPr>
          <w:p w:rsidR="00E93282" w:rsidRPr="00E93282" w:rsidRDefault="00E93282" w:rsidP="00E93282">
            <w:r w:rsidRPr="009E536D">
              <w:t xml:space="preserve">Rate of return </w:t>
            </w:r>
            <w:r w:rsidRPr="00E93282">
              <w:t xml:space="preserve">guideline </w:t>
            </w:r>
          </w:p>
        </w:tc>
      </w:tr>
      <w:tr w:rsidR="00E93282" w:rsidRPr="009E536D" w:rsidTr="004641BA">
        <w:tc>
          <w:tcPr>
            <w:tcW w:w="3227" w:type="dxa"/>
          </w:tcPr>
          <w:p w:rsidR="00E93282" w:rsidRPr="00E93282" w:rsidRDefault="00E93282" w:rsidP="00E93282">
            <w:r w:rsidRPr="009E536D">
              <w:t>WACC</w:t>
            </w:r>
          </w:p>
        </w:tc>
        <w:tc>
          <w:tcPr>
            <w:tcW w:w="6015" w:type="dxa"/>
          </w:tcPr>
          <w:p w:rsidR="00E93282" w:rsidRPr="00E93282" w:rsidRDefault="00E93282" w:rsidP="00E93282">
            <w:r w:rsidRPr="009E536D">
              <w:t>Weighted average</w:t>
            </w:r>
            <w:r w:rsidRPr="00E93282">
              <w:t xml:space="preserve"> cost of capital</w:t>
            </w:r>
          </w:p>
        </w:tc>
      </w:tr>
      <w:tr w:rsidR="00E93282" w:rsidRPr="009E536D" w:rsidTr="004641BA">
        <w:trPr>
          <w:cnfStyle w:val="000000010000" w:firstRow="0" w:lastRow="0" w:firstColumn="0" w:lastColumn="0" w:oddVBand="0" w:evenVBand="0" w:oddHBand="0" w:evenHBand="1" w:firstRowFirstColumn="0" w:firstRowLastColumn="0" w:lastRowFirstColumn="0" w:lastRowLastColumn="0"/>
        </w:trPr>
        <w:tc>
          <w:tcPr>
            <w:tcW w:w="3227" w:type="dxa"/>
          </w:tcPr>
          <w:p w:rsidR="00E93282" w:rsidRPr="00E93282" w:rsidRDefault="00E93282" w:rsidP="00E93282">
            <w:r w:rsidRPr="009E536D">
              <w:t>2009 WACC review</w:t>
            </w:r>
          </w:p>
        </w:tc>
        <w:tc>
          <w:tcPr>
            <w:tcW w:w="6015" w:type="dxa"/>
          </w:tcPr>
          <w:p w:rsidR="00E93282" w:rsidRPr="00E93282" w:rsidRDefault="00E93282" w:rsidP="00E93282">
            <w:r w:rsidRPr="009E536D">
              <w:t>AER 2009 review of the weighted average cost of capital (WACC) parameters (published in May 2009).</w:t>
            </w:r>
          </w:p>
        </w:tc>
      </w:tr>
    </w:tbl>
    <w:p w:rsidR="00E93282" w:rsidRPr="009E536D" w:rsidRDefault="00E93282" w:rsidP="00E93282">
      <w:pPr>
        <w:numPr>
          <w:ilvl w:val="0"/>
          <w:numId w:val="6"/>
        </w:numPr>
      </w:pPr>
    </w:p>
    <w:p w:rsidR="00E93282" w:rsidRPr="00E93282" w:rsidRDefault="00E93282" w:rsidP="00E93282">
      <w:pPr>
        <w:pStyle w:val="Heading7"/>
      </w:pPr>
      <w:bookmarkStart w:id="46" w:name="_Toc374971894"/>
      <w:r w:rsidRPr="00E93282">
        <w:lastRenderedPageBreak/>
        <w:t>Estimation of the return on debt: an example</w:t>
      </w:r>
      <w:bookmarkEnd w:id="46"/>
    </w:p>
    <w:p w:rsidR="00E93282" w:rsidRPr="004F0B41" w:rsidRDefault="00E93282" w:rsidP="00E93282">
      <w:pPr>
        <w:pStyle w:val="AERbodytext"/>
        <w:numPr>
          <w:ilvl w:val="0"/>
          <w:numId w:val="6"/>
        </w:numPr>
      </w:pPr>
      <w:r w:rsidRPr="004F0B41">
        <w:t xml:space="preserve">The purpose of this </w:t>
      </w:r>
      <w:r>
        <w:t>appendix</w:t>
      </w:r>
      <w:r w:rsidRPr="004F0B41">
        <w:t xml:space="preserve"> is to illustrate how </w:t>
      </w:r>
      <w:r>
        <w:t>the AER proposes</w:t>
      </w:r>
      <w:r w:rsidRPr="004F0B41">
        <w:t xml:space="preserve"> </w:t>
      </w:r>
      <w:r>
        <w:t xml:space="preserve">to </w:t>
      </w:r>
      <w:r w:rsidRPr="004F0B41">
        <w:t xml:space="preserve">estimate the return on debt under the trailing average portfolio approach and how </w:t>
      </w:r>
      <w:r>
        <w:t>the AER proposes</w:t>
      </w:r>
      <w:r w:rsidRPr="004F0B41">
        <w:t xml:space="preserve"> </w:t>
      </w:r>
      <w:r>
        <w:t xml:space="preserve">to </w:t>
      </w:r>
      <w:r w:rsidRPr="004F0B41">
        <w:t>implement the transition.</w:t>
      </w:r>
    </w:p>
    <w:p w:rsidR="00E93282" w:rsidRPr="004F0B41" w:rsidRDefault="00E93282" w:rsidP="00E93282">
      <w:pPr>
        <w:pStyle w:val="AERbodytext"/>
        <w:numPr>
          <w:ilvl w:val="0"/>
          <w:numId w:val="6"/>
        </w:numPr>
      </w:pPr>
      <w:r w:rsidRPr="004F0B41">
        <w:t xml:space="preserve">For the example provided below </w:t>
      </w:r>
      <w:r>
        <w:t>the AER</w:t>
      </w:r>
      <w:r w:rsidRPr="004F0B41">
        <w:t xml:space="preserve"> simulated monthly yield data using the model suggested in </w:t>
      </w:r>
      <w:r>
        <w:t>a</w:t>
      </w:r>
      <w:r w:rsidRPr="004F0B41">
        <w:t>ppendix A of the QTC</w:t>
      </w:r>
      <w:r>
        <w:t>'s</w:t>
      </w:r>
      <w:r w:rsidRPr="004F0B41">
        <w:t xml:space="preserve"> submission to the consultation paper.</w:t>
      </w:r>
      <w:r>
        <w:rPr>
          <w:rStyle w:val="FootnoteReference"/>
        </w:rPr>
        <w:footnoteReference w:id="14"/>
      </w:r>
      <w:r w:rsidRPr="004F0B41">
        <w:t xml:space="preserve"> </w:t>
      </w:r>
      <w:r>
        <w:t>The AER</w:t>
      </w:r>
      <w:r w:rsidRPr="004F0B41">
        <w:t xml:space="preserve"> emphasise</w:t>
      </w:r>
      <w:r>
        <w:t>s</w:t>
      </w:r>
      <w:r w:rsidRPr="004F0B41">
        <w:t xml:space="preserve"> that the model was chosen purely for illustrative purposes. </w:t>
      </w:r>
      <w:r>
        <w:t xml:space="preserve">The AER </w:t>
      </w:r>
      <w:r w:rsidRPr="004F0B41">
        <w:t>make</w:t>
      </w:r>
      <w:r>
        <w:t>s</w:t>
      </w:r>
      <w:r w:rsidRPr="004F0B41">
        <w:t xml:space="preserve"> no comments on how accurately it describes the short-term movements in the return on debt in Australia under the current market conditions.</w:t>
      </w:r>
    </w:p>
    <w:p w:rsidR="00E93282" w:rsidRPr="004F0B41" w:rsidRDefault="00E93282" w:rsidP="00E93282">
      <w:pPr>
        <w:pStyle w:val="AERbodytext"/>
        <w:numPr>
          <w:ilvl w:val="0"/>
          <w:numId w:val="6"/>
        </w:numPr>
      </w:pPr>
      <w:r w:rsidRPr="004F0B41">
        <w:t>The simulation model specified by the QTC is as follows:</w:t>
      </w:r>
    </w:p>
    <w:p w:rsidR="00E93282" w:rsidRPr="00E93282" w:rsidRDefault="0044481E" w:rsidP="00E93282">
      <w:pPr>
        <w:pStyle w:val="AERbodytextindent1"/>
        <w:rPr>
          <w:rFonts w:eastAsiaTheme="minorEastAsia"/>
        </w:rPr>
      </w:pPr>
      <m:oMathPara>
        <m:oMath>
          <m:sSub>
            <m:sSubPr>
              <m:ctrlPr>
                <w:rPr>
                  <w:rFonts w:ascii="Cambria Math" w:hAnsi="Cambria Math"/>
                </w:rPr>
              </m:ctrlPr>
            </m:sSubPr>
            <m:e>
              <m:r>
                <w:rPr>
                  <w:rFonts w:ascii="Cambria Math" w:hAnsi="Cambria Math"/>
                </w:rPr>
                <m:t>S</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t</m:t>
              </m:r>
              <m:r>
                <m:rPr>
                  <m:sty m:val="p"/>
                </m:rPr>
                <w:rPr>
                  <w:rFonts w:ascii="Cambria Math" w:hAnsi="Cambria Math"/>
                </w:rPr>
                <m:t>-1</m:t>
              </m:r>
            </m:sub>
          </m:sSub>
          <m:r>
            <m:rPr>
              <m:sty m:val="p"/>
            </m:rPr>
            <w:rPr>
              <w:rFonts w:ascii="Cambria Math" w:hAnsi="Cambria Math"/>
            </w:rPr>
            <m:t>+</m:t>
          </m:r>
          <m:r>
            <w:rPr>
              <w:rFonts w:ascii="Cambria Math" w:hAnsi="Cambria Math"/>
            </w:rPr>
            <m:t>αT</m:t>
          </m:r>
          <m:d>
            <m:dPr>
              <m:ctrlPr>
                <w:rPr>
                  <w:rFonts w:ascii="Cambria Math" w:hAnsi="Cambria Math"/>
                </w:rPr>
              </m:ctrlPr>
            </m:dPr>
            <m:e>
              <m:r>
                <w:rPr>
                  <w:rFonts w:ascii="Cambria Math" w:hAnsi="Cambria Math"/>
                </w:rPr>
                <m:t>θ</m:t>
              </m:r>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t</m:t>
                  </m:r>
                  <m:r>
                    <m:rPr>
                      <m:sty m:val="p"/>
                    </m:rPr>
                    <w:rPr>
                      <w:rFonts w:ascii="Cambria Math" w:hAnsi="Cambria Math"/>
                    </w:rPr>
                    <m:t>-1</m:t>
                  </m:r>
                </m:sub>
              </m:sSub>
            </m:e>
          </m:d>
          <m:r>
            <m:rPr>
              <m:sty m:val="p"/>
            </m:rPr>
            <w:rPr>
              <w:rFonts w:ascii="Cambria Math" w:hAnsi="Cambria Math"/>
            </w:rPr>
            <m:t>+</m:t>
          </m:r>
          <m:r>
            <w:rPr>
              <w:rFonts w:ascii="Cambria Math" w:hAnsi="Cambria Math"/>
            </w:rPr>
            <m:t>σ</m:t>
          </m:r>
          <m:rad>
            <m:radPr>
              <m:degHide m:val="1"/>
              <m:ctrlPr>
                <w:rPr>
                  <w:rFonts w:ascii="Cambria Math" w:hAnsi="Cambria Math"/>
                </w:rPr>
              </m:ctrlPr>
            </m:radPr>
            <m:deg/>
            <m:e>
              <m:r>
                <w:rPr>
                  <w:rFonts w:ascii="Cambria Math" w:hAnsi="Cambria Math"/>
                </w:rPr>
                <m:t>T</m:t>
              </m:r>
            </m:e>
          </m:rad>
          <m:sSub>
            <m:sSubPr>
              <m:ctrlPr>
                <w:rPr>
                  <w:rFonts w:ascii="Cambria Math" w:hAnsi="Cambria Math"/>
                </w:rPr>
              </m:ctrlPr>
            </m:sSubPr>
            <m:e>
              <m:r>
                <w:rPr>
                  <w:rFonts w:ascii="Cambria Math" w:hAnsi="Cambria Math"/>
                </w:rPr>
                <m:t>ε</m:t>
              </m:r>
            </m:e>
            <m:sub>
              <m:r>
                <w:rPr>
                  <w:rFonts w:ascii="Cambria Math" w:hAnsi="Cambria Math"/>
                </w:rPr>
                <m:t>t</m:t>
              </m:r>
            </m:sub>
          </m:sSub>
        </m:oMath>
      </m:oMathPara>
    </w:p>
    <w:p w:rsidR="00E93282" w:rsidRPr="00E93282" w:rsidRDefault="00E93282" w:rsidP="00E93282">
      <w:pPr>
        <w:pStyle w:val="AERbodytext"/>
        <w:rPr>
          <w:rFonts w:eastAsiaTheme="minorEastAsia"/>
        </w:rPr>
      </w:pPr>
      <w:r w:rsidRPr="00E93282">
        <w:rPr>
          <w:rFonts w:eastAsiaTheme="minorEastAsia"/>
        </w:rPr>
        <w:t>where:</w:t>
      </w:r>
      <w:r w:rsidRPr="00E93282">
        <w:rPr>
          <w:rStyle w:val="FootnoteReference"/>
          <w:rFonts w:eastAsiaTheme="minorEastAsia"/>
        </w:rPr>
        <w:footnoteReference w:id="15"/>
      </w:r>
    </w:p>
    <w:p w:rsidR="00E93282" w:rsidRPr="004F0B41" w:rsidRDefault="0044481E" w:rsidP="00E93282">
      <w:pPr>
        <w:pStyle w:val="AERbulletlistfirststyle"/>
      </w:pPr>
      <m:oMath>
        <m:sSub>
          <m:sSubPr>
            <m:ctrlPr>
              <w:rPr>
                <w:rFonts w:ascii="Cambria Math" w:hAnsi="Cambria Math"/>
              </w:rPr>
            </m:ctrlPr>
          </m:sSubPr>
          <m:e>
            <m:r>
              <w:rPr>
                <w:rFonts w:ascii="Cambria Math" w:hAnsi="Cambria Math"/>
              </w:rPr>
              <m:t>S</m:t>
            </m:r>
          </m:e>
          <m:sub>
            <m:r>
              <w:rPr>
                <w:rFonts w:ascii="Cambria Math" w:hAnsi="Cambria Math"/>
              </w:rPr>
              <m:t>t</m:t>
            </m:r>
          </m:sub>
        </m:sSub>
      </m:oMath>
      <w:r w:rsidR="00E93282" w:rsidRPr="004F0B41">
        <w:t xml:space="preserve">  </w:t>
      </w:r>
      <w:r w:rsidR="00E93282">
        <w:t>is</w:t>
      </w:r>
      <w:r w:rsidR="00E93282" w:rsidRPr="004F0B41">
        <w:t xml:space="preserve"> the randomly generated interest rate at time t</w:t>
      </w:r>
    </w:p>
    <w:p w:rsidR="00E93282" w:rsidRPr="004F0B41" w:rsidRDefault="0044481E" w:rsidP="00E93282">
      <w:pPr>
        <w:pStyle w:val="AERbulletlistfirststyle"/>
      </w:pPr>
      <m:oMath>
        <m:sSub>
          <m:sSubPr>
            <m:ctrlPr>
              <w:rPr>
                <w:rFonts w:ascii="Cambria Math" w:hAnsi="Cambria Math"/>
              </w:rPr>
            </m:ctrlPr>
          </m:sSubPr>
          <m:e>
            <m:r>
              <w:rPr>
                <w:rFonts w:ascii="Cambria Math" w:hAnsi="Cambria Math"/>
              </w:rPr>
              <m:t>S</m:t>
            </m:r>
          </m:e>
          <m:sub>
            <m:r>
              <w:rPr>
                <w:rFonts w:ascii="Cambria Math" w:hAnsi="Cambria Math"/>
              </w:rPr>
              <m:t>t</m:t>
            </m:r>
            <m:r>
              <m:rPr>
                <m:sty m:val="p"/>
              </m:rPr>
              <w:rPr>
                <w:rFonts w:ascii="Cambria Math" w:hAnsi="Cambria Math"/>
              </w:rPr>
              <m:t>-1</m:t>
            </m:r>
          </m:sub>
        </m:sSub>
      </m:oMath>
      <w:r w:rsidR="00E93282" w:rsidRPr="004F0B41">
        <w:t xml:space="preserve">  </w:t>
      </w:r>
      <w:r w:rsidR="00E93282">
        <w:t>is</w:t>
      </w:r>
      <w:r w:rsidR="00E93282" w:rsidRPr="004F0B41">
        <w:t xml:space="preserve"> the randomly generated interest rate at time t-1</w:t>
      </w:r>
    </w:p>
    <w:p w:rsidR="00E93282" w:rsidRPr="004F0B41" w:rsidRDefault="00E93282" w:rsidP="00E93282">
      <w:pPr>
        <w:pStyle w:val="AERbulletlistfirststyle"/>
      </w:pPr>
      <w:r w:rsidRPr="00682431">
        <w:rPr>
          <w:rStyle w:val="AERtextitalic"/>
        </w:rPr>
        <w:t>T</w:t>
      </w:r>
      <w:r w:rsidRPr="004F0B41">
        <w:t xml:space="preserve">  </w:t>
      </w:r>
      <w:r>
        <w:t>is</w:t>
      </w:r>
      <w:r w:rsidRPr="004F0B41">
        <w:t xml:space="preserve"> </w:t>
      </w:r>
      <w:r>
        <w:t xml:space="preserve">the </w:t>
      </w:r>
      <w:r w:rsidRPr="004F0B41">
        <w:t>time increment in years (</w:t>
      </w:r>
      <w:r w:rsidRPr="00682431">
        <w:rPr>
          <w:rStyle w:val="AERtextitalic"/>
        </w:rPr>
        <w:t>T</w:t>
      </w:r>
      <w:r w:rsidRPr="004F0B41">
        <w:t>=1/12 to produce monthly observations)</w:t>
      </w:r>
    </w:p>
    <w:p w:rsidR="00E93282" w:rsidRPr="004F0B41" w:rsidRDefault="00E93282" w:rsidP="00E93282">
      <w:pPr>
        <w:pStyle w:val="AERbulletlistfirststyle"/>
      </w:pPr>
      <w:r w:rsidRPr="00682431">
        <w:rPr>
          <w:rStyle w:val="AERtextitalic"/>
        </w:rPr>
        <w:t>α</w:t>
      </w:r>
      <w:r w:rsidRPr="004F0B41">
        <w:t xml:space="preserve"> </w:t>
      </w:r>
      <w:r>
        <w:t>is</w:t>
      </w:r>
      <w:r w:rsidRPr="004F0B41">
        <w:t xml:space="preserve"> </w:t>
      </w:r>
      <w:r>
        <w:t xml:space="preserve">the </w:t>
      </w:r>
      <w:r w:rsidRPr="004F0B41">
        <w:t>parameter characterising annual mean reversion speed (</w:t>
      </w:r>
      <w:r w:rsidRPr="00682431">
        <w:rPr>
          <w:rStyle w:val="AERtextitalic"/>
        </w:rPr>
        <w:t>α</w:t>
      </w:r>
      <w:r w:rsidRPr="004F0B41">
        <w:t>=0.2)</w:t>
      </w:r>
    </w:p>
    <w:p w:rsidR="00E93282" w:rsidRPr="004F0B41" w:rsidRDefault="00E93282" w:rsidP="00E93282">
      <w:pPr>
        <w:pStyle w:val="AERbulletlistfirststyle"/>
      </w:pPr>
      <w:r w:rsidRPr="00682431">
        <w:rPr>
          <w:rStyle w:val="AERtextitalic"/>
        </w:rPr>
        <w:t>θ</w:t>
      </w:r>
      <w:r w:rsidRPr="004F0B41">
        <w:t xml:space="preserve"> </w:t>
      </w:r>
      <w:r>
        <w:t>is</w:t>
      </w:r>
      <w:r w:rsidRPr="004F0B41">
        <w:t xml:space="preserve"> </w:t>
      </w:r>
      <w:r>
        <w:t xml:space="preserve">the </w:t>
      </w:r>
      <w:r w:rsidRPr="004F0B41">
        <w:t>long-term average interest rate (</w:t>
      </w:r>
      <w:r w:rsidRPr="00682431">
        <w:rPr>
          <w:rStyle w:val="AERtextitalic"/>
        </w:rPr>
        <w:t>θ</w:t>
      </w:r>
      <w:r w:rsidRPr="004F0B41">
        <w:t>=7.0 per cent)</w:t>
      </w:r>
    </w:p>
    <w:p w:rsidR="00E93282" w:rsidRPr="004F0B41" w:rsidRDefault="00E93282" w:rsidP="00E93282">
      <w:pPr>
        <w:pStyle w:val="AERbulletlistfirststyle"/>
      </w:pPr>
      <w:r w:rsidRPr="00682431">
        <w:rPr>
          <w:rStyle w:val="AERtextitalic"/>
        </w:rPr>
        <w:t>σ</w:t>
      </w:r>
      <w:r w:rsidRPr="004F0B41">
        <w:t xml:space="preserve"> </w:t>
      </w:r>
      <w:r>
        <w:t>is</w:t>
      </w:r>
      <w:r w:rsidRPr="004F0B41">
        <w:t xml:space="preserve"> </w:t>
      </w:r>
      <w:r>
        <w:t xml:space="preserve">the </w:t>
      </w:r>
      <w:r w:rsidRPr="004F0B41">
        <w:t>annualised yield volatility parameter (</w:t>
      </w:r>
      <w:r w:rsidRPr="00682431">
        <w:rPr>
          <w:rStyle w:val="AERtextitalic"/>
        </w:rPr>
        <w:t>σ</w:t>
      </w:r>
      <w:r w:rsidRPr="004F0B41">
        <w:t>=12.0 per cent)</w:t>
      </w:r>
    </w:p>
    <w:p w:rsidR="00E93282" w:rsidRPr="004F0B41" w:rsidRDefault="0044481E" w:rsidP="00E93282">
      <w:pPr>
        <w:pStyle w:val="AERbulletlistfirststyle"/>
      </w:pPr>
      <m:oMath>
        <m:sSub>
          <m:sSubPr>
            <m:ctrlPr>
              <w:rPr>
                <w:rFonts w:ascii="Cambria Math" w:hAnsi="Cambria Math"/>
              </w:rPr>
            </m:ctrlPr>
          </m:sSubPr>
          <m:e>
            <m:r>
              <w:rPr>
                <w:rFonts w:ascii="Cambria Math" w:hAnsi="Cambria Math"/>
              </w:rPr>
              <m:t>ε</m:t>
            </m:r>
          </m:e>
          <m:sub>
            <m:r>
              <w:rPr>
                <w:rFonts w:ascii="Cambria Math" w:hAnsi="Cambria Math"/>
              </w:rPr>
              <m:t>t</m:t>
            </m:r>
          </m:sub>
        </m:sSub>
      </m:oMath>
      <w:r w:rsidR="00E93282">
        <w:t xml:space="preserve"> </w:t>
      </w:r>
      <w:r w:rsidR="00E322E5">
        <w:t>are</w:t>
      </w:r>
      <w:r w:rsidR="00E93282" w:rsidRPr="004F0B41">
        <w:t xml:space="preserve"> </w:t>
      </w:r>
      <w:r w:rsidR="00E93282">
        <w:t xml:space="preserve">the </w:t>
      </w:r>
      <w:r w:rsidR="00E93282" w:rsidRPr="004F0B41">
        <w:t>independent identically distributed random variables, distributed normally with zero mean and standard deviation of one.</w:t>
      </w:r>
    </w:p>
    <w:p w:rsidR="00E93282" w:rsidRPr="00E93282" w:rsidRDefault="00E93282" w:rsidP="00E93282">
      <w:pPr>
        <w:pStyle w:val="AERbodytext"/>
      </w:pPr>
      <w:r>
        <w:t>The AER</w:t>
      </w:r>
      <w:r w:rsidRPr="00E93282">
        <w:t xml:space="preserve"> chose the starting rate of return to be equal to the average of Bloomberg seven year BBB yields, extrapolated out to ten years using the paired bonds approach for the period from 28 October 2013 to 22 November 2013. The AER generated 300 monthly observations. For the purposes of this example, the AER assumed a service provider ha</w:t>
      </w:r>
      <w:r w:rsidR="00E322E5">
        <w:t>d</w:t>
      </w:r>
      <w:r w:rsidRPr="00E93282">
        <w:t xml:space="preserve"> a five year regulatory control period, and the next regulatory control period </w:t>
      </w:r>
      <w:r w:rsidR="00E322E5">
        <w:t xml:space="preserve">would </w:t>
      </w:r>
      <w:r w:rsidRPr="00E93282">
        <w:t xml:space="preserve">start on 1 January 2016. The AER also assumed that the averaging periods for each regulatory year </w:t>
      </w:r>
      <w:r w:rsidR="00E322E5">
        <w:t>were</w:t>
      </w:r>
      <w:r w:rsidRPr="00E93282">
        <w:t xml:space="preserve"> set to the month of </w:t>
      </w:r>
      <w:r w:rsidRPr="003602E9">
        <w:rPr>
          <w:rStyle w:val="AERbody"/>
        </w:rPr>
        <w:t>November</w:t>
      </w:r>
      <w:r w:rsidRPr="00E93282">
        <w:t xml:space="preserve"> of the previous year.</w:t>
      </w:r>
    </w:p>
    <w:p w:rsidR="00E93282" w:rsidRPr="004F0B41" w:rsidRDefault="00E93282" w:rsidP="00E93282">
      <w:pPr>
        <w:pStyle w:val="AERbodytext"/>
        <w:numPr>
          <w:ilvl w:val="0"/>
          <w:numId w:val="6"/>
        </w:numPr>
      </w:pPr>
      <w:r>
        <w:fldChar w:fldCharType="begin"/>
      </w:r>
      <w:r>
        <w:instrText xml:space="preserve"> REF _Ref364852150 \h </w:instrText>
      </w:r>
      <w:r>
        <w:fldChar w:fldCharType="separate"/>
      </w:r>
      <w:r w:rsidR="0044481E" w:rsidRPr="006643A1">
        <w:t xml:space="preserve">Figure </w:t>
      </w:r>
      <w:r w:rsidR="0044481E">
        <w:t>B.</w:t>
      </w:r>
      <w:r w:rsidR="0044481E">
        <w:rPr>
          <w:noProof/>
        </w:rPr>
        <w:t>1</w:t>
      </w:r>
      <w:r>
        <w:fldChar w:fldCharType="end"/>
      </w:r>
      <w:r w:rsidRPr="004F0B41">
        <w:t xml:space="preserve"> illustrates the allowed return on debt during the transitional period of January 2016 </w:t>
      </w:r>
      <w:r>
        <w:t>to</w:t>
      </w:r>
      <w:r w:rsidRPr="004F0B41">
        <w:t xml:space="preserve"> December 202</w:t>
      </w:r>
      <w:r>
        <w:t xml:space="preserve">5. </w:t>
      </w:r>
      <w:r w:rsidR="00E322E5">
        <w:t>F</w:t>
      </w:r>
      <w:r w:rsidR="00E322E5" w:rsidRPr="004F0B41">
        <w:t>ollowing the transitional period</w:t>
      </w:r>
      <w:r w:rsidR="00E322E5">
        <w:t>,</w:t>
      </w:r>
      <w:r w:rsidR="00E322E5" w:rsidRPr="004F0B41">
        <w:t xml:space="preserve"> </w:t>
      </w:r>
      <w:r w:rsidR="00E322E5">
        <w:t xml:space="preserve">the allowed return on debt </w:t>
      </w:r>
      <w:r>
        <w:t xml:space="preserve">is </w:t>
      </w:r>
      <w:r w:rsidRPr="004F0B41">
        <w:t>estimated according to the trailing average portfolio approach</w:t>
      </w:r>
      <w:r w:rsidR="00E322E5">
        <w:t xml:space="preserve"> </w:t>
      </w:r>
      <w:r w:rsidRPr="004F0B41">
        <w:t xml:space="preserve">(red solid line). Note that the </w:t>
      </w:r>
      <w:r w:rsidR="00E322E5">
        <w:t xml:space="preserve">allowed </w:t>
      </w:r>
      <w:r w:rsidRPr="004F0B41">
        <w:t>return on debt in the first regulatory year of the transitional period is equal to the ‘on the day’ allowance for the same regulatory year.</w:t>
      </w:r>
    </w:p>
    <w:p w:rsidR="00E93282" w:rsidRPr="006643A1" w:rsidRDefault="00E93282" w:rsidP="00E93282">
      <w:pPr>
        <w:pStyle w:val="Caption"/>
      </w:pPr>
      <w:bookmarkStart w:id="47" w:name="_Ref364852150"/>
      <w:r w:rsidRPr="006643A1">
        <w:lastRenderedPageBreak/>
        <w:t xml:space="preserve">Figure </w:t>
      </w:r>
      <w:r w:rsidR="00BC0EE2">
        <w:t>B</w:t>
      </w:r>
      <w:r>
        <w:t>.</w:t>
      </w:r>
      <w:fldSimple w:instr=" SEQ Figure \* ARABIC \s 1 ">
        <w:r w:rsidR="0044481E">
          <w:rPr>
            <w:noProof/>
          </w:rPr>
          <w:t>1</w:t>
        </w:r>
      </w:fldSimple>
      <w:bookmarkEnd w:id="47"/>
      <w:r w:rsidRPr="006643A1">
        <w:t xml:space="preserve"> </w:t>
      </w:r>
      <w:r w:rsidRPr="006643A1">
        <w:tab/>
        <w:t>An example of estimated allowed rate of return on debt during a transitional period and under the trailing average portfolio approach</w:t>
      </w:r>
    </w:p>
    <w:p w:rsidR="00E93282" w:rsidRDefault="00E93282" w:rsidP="00E93282">
      <w:pPr>
        <w:pStyle w:val="AERtablesource"/>
      </w:pPr>
      <w:r w:rsidRPr="00E93282">
        <w:rPr>
          <w:noProof/>
          <w:lang w:eastAsia="en-AU"/>
        </w:rPr>
        <w:drawing>
          <wp:inline distT="0" distB="0" distL="0" distR="0" wp14:anchorId="0F8B191B" wp14:editId="664EED3C">
            <wp:extent cx="5731510" cy="3730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730896"/>
                    </a:xfrm>
                    <a:prstGeom prst="rect">
                      <a:avLst/>
                    </a:prstGeom>
                    <a:noFill/>
                    <a:ln>
                      <a:noFill/>
                    </a:ln>
                  </pic:spPr>
                </pic:pic>
              </a:graphicData>
            </a:graphic>
          </wp:inline>
        </w:drawing>
      </w:r>
    </w:p>
    <w:p w:rsidR="00E93282" w:rsidRDefault="00E93282" w:rsidP="00E93282">
      <w:pPr>
        <w:pStyle w:val="AERtablesource"/>
      </w:pPr>
      <w:r w:rsidRPr="00796A24">
        <w:t>Source</w:t>
      </w:r>
      <w:r>
        <w:t>:</w:t>
      </w:r>
      <w:r>
        <w:tab/>
        <w:t>AER analysis.</w:t>
      </w:r>
    </w:p>
    <w:p w:rsidR="00E93282" w:rsidRPr="00E93282" w:rsidRDefault="00E93282" w:rsidP="00E93282">
      <w:pPr>
        <w:pStyle w:val="AERbodytext"/>
      </w:pPr>
      <w:r w:rsidRPr="006C66EA">
        <w:t xml:space="preserve">Table </w:t>
      </w:r>
      <w:r w:rsidR="00BC0EE2">
        <w:t>B.1</w:t>
      </w:r>
      <w:r w:rsidRPr="00E93282">
        <w:t xml:space="preserve"> provides details o</w:t>
      </w:r>
      <w:r w:rsidR="00E322E5">
        <w:t>f</w:t>
      </w:r>
      <w:r w:rsidRPr="00E93282">
        <w:t xml:space="preserve"> the estimation of the allowed return on debt for the first </w:t>
      </w:r>
      <w:r w:rsidR="007E238B">
        <w:rPr>
          <w:rStyle w:val="AERbody"/>
        </w:rPr>
        <w:t>11</w:t>
      </w:r>
      <w:r w:rsidR="007E238B" w:rsidRPr="00E93282">
        <w:t xml:space="preserve"> </w:t>
      </w:r>
      <w:r w:rsidRPr="00E93282">
        <w:t>regulatory years.</w:t>
      </w:r>
    </w:p>
    <w:p w:rsidR="00E93282" w:rsidRPr="00E93282" w:rsidRDefault="00E93282" w:rsidP="00E93282">
      <w:r>
        <w:br w:type="page"/>
      </w:r>
    </w:p>
    <w:p w:rsidR="00E93282" w:rsidRDefault="00E93282" w:rsidP="00E93282">
      <w:pPr>
        <w:pStyle w:val="Caption"/>
      </w:pPr>
      <w:bookmarkStart w:id="48" w:name="_Ref364852392"/>
      <w:r>
        <w:lastRenderedPageBreak/>
        <w:t>Table</w:t>
      </w:r>
      <w:bookmarkEnd w:id="48"/>
      <w:r>
        <w:t xml:space="preserve"> </w:t>
      </w:r>
      <w:r w:rsidR="00BC0EE2">
        <w:t>B</w:t>
      </w:r>
      <w:r>
        <w:t>.</w:t>
      </w:r>
      <w:fldSimple w:instr=" SEQ Table \* ARABIC \s 1 ">
        <w:r w:rsidR="0044481E">
          <w:rPr>
            <w:noProof/>
          </w:rPr>
          <w:t>1</w:t>
        </w:r>
      </w:fldSimple>
      <w:r>
        <w:tab/>
        <w:t xml:space="preserve"> Example of the estimated return on debt allowance calculations (per cent)</w:t>
      </w:r>
    </w:p>
    <w:tbl>
      <w:tblPr>
        <w:tblStyle w:val="AERtable-numbers"/>
        <w:tblW w:w="5000" w:type="pct"/>
        <w:tblLook w:val="04A0" w:firstRow="1" w:lastRow="0" w:firstColumn="1" w:lastColumn="0" w:noHBand="0" w:noVBand="1"/>
      </w:tblPr>
      <w:tblGrid>
        <w:gridCol w:w="1185"/>
        <w:gridCol w:w="1617"/>
        <w:gridCol w:w="5244"/>
        <w:gridCol w:w="1196"/>
      </w:tblGrid>
      <w:tr w:rsidR="00E93282" w:rsidTr="00CC0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Regulatory year</w:t>
            </w:r>
          </w:p>
        </w:tc>
        <w:tc>
          <w:tcPr>
            <w:tcW w:w="875" w:type="pct"/>
          </w:tcPr>
          <w:p w:rsidR="00E93282" w:rsidRDefault="00E93282" w:rsidP="00E93282">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Prevailing rate during the averaging period</w:t>
            </w:r>
          </w:p>
        </w:tc>
        <w:tc>
          <w:tcPr>
            <w:tcW w:w="2837" w:type="pct"/>
          </w:tcPr>
          <w:p w:rsidR="00E93282" w:rsidRDefault="00E93282" w:rsidP="00B4305F">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Computations</w:t>
            </w:r>
          </w:p>
        </w:tc>
        <w:tc>
          <w:tcPr>
            <w:tcW w:w="647" w:type="pct"/>
          </w:tcPr>
          <w:p w:rsidR="00E93282" w:rsidRDefault="00446B3B" w:rsidP="00446B3B">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Allowed r</w:t>
            </w:r>
            <w:r w:rsidR="00E93282">
              <w:t>eturn on debt</w:t>
            </w:r>
          </w:p>
        </w:tc>
      </w:tr>
      <w:tr w:rsidR="00E93282" w:rsidTr="00CC043E">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2016</w:t>
            </w:r>
          </w:p>
        </w:tc>
        <w:tc>
          <w:tcPr>
            <w:tcW w:w="875"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5.55</w:t>
            </w:r>
          </w:p>
        </w:tc>
        <w:tc>
          <w:tcPr>
            <w:tcW w:w="283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r>
                <w:rPr>
                  <w:rFonts w:ascii="Cambria Math" w:hAnsi="Cambria Math"/>
                </w:rPr>
                <m:t>5.55</m:t>
              </m:r>
            </m:oMath>
          </w:p>
        </w:tc>
        <w:tc>
          <w:tcPr>
            <w:tcW w:w="64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5.55</w:t>
            </w:r>
          </w:p>
        </w:tc>
      </w:tr>
      <w:tr w:rsidR="00E93282" w:rsidTr="00CC0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2017</w:t>
            </w:r>
          </w:p>
        </w:tc>
        <w:tc>
          <w:tcPr>
            <w:tcW w:w="875"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5.38</w:t>
            </w:r>
          </w:p>
        </w:tc>
        <w:tc>
          <w:tcPr>
            <w:tcW w:w="2837"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0.9∙5.55+0.1∙5.38</m:t>
              </m:r>
            </m:oMath>
          </w:p>
        </w:tc>
        <w:tc>
          <w:tcPr>
            <w:tcW w:w="647"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5.53</w:t>
            </w:r>
          </w:p>
        </w:tc>
      </w:tr>
      <w:tr w:rsidR="00E93282" w:rsidTr="00CC043E">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2018</w:t>
            </w:r>
          </w:p>
        </w:tc>
        <w:tc>
          <w:tcPr>
            <w:tcW w:w="875"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5.16</w:t>
            </w:r>
          </w:p>
        </w:tc>
        <w:tc>
          <w:tcPr>
            <w:tcW w:w="283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r>
                <m:rPr>
                  <m:sty m:val="p"/>
                </m:rPr>
                <w:rPr>
                  <w:rFonts w:ascii="Cambria Math" w:hAnsi="Cambria Math"/>
                </w:rPr>
                <m:t>0.8∙5.55+0.1∙5.38+0.1∙5.16</m:t>
              </m:r>
            </m:oMath>
          </w:p>
        </w:tc>
        <w:tc>
          <w:tcPr>
            <w:tcW w:w="64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5.49</w:t>
            </w:r>
          </w:p>
        </w:tc>
      </w:tr>
      <w:tr w:rsidR="00E93282" w:rsidTr="00CC0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2019</w:t>
            </w:r>
          </w:p>
        </w:tc>
        <w:tc>
          <w:tcPr>
            <w:tcW w:w="875"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5.92</w:t>
            </w:r>
          </w:p>
        </w:tc>
        <w:tc>
          <w:tcPr>
            <w:tcW w:w="2837"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0.7∙5.55+0.1∙5.38+0.1∙5.16+0.1∙5.92</m:t>
              </m:r>
            </m:oMath>
          </w:p>
        </w:tc>
        <w:tc>
          <w:tcPr>
            <w:tcW w:w="647"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5.53</w:t>
            </w:r>
          </w:p>
        </w:tc>
      </w:tr>
      <w:tr w:rsidR="00E93282" w:rsidTr="00CC043E">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2020</w:t>
            </w:r>
          </w:p>
        </w:tc>
        <w:tc>
          <w:tcPr>
            <w:tcW w:w="875"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5.68</w:t>
            </w:r>
          </w:p>
        </w:tc>
        <w:tc>
          <w:tcPr>
            <w:tcW w:w="283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r>
                <m:rPr>
                  <m:sty m:val="p"/>
                </m:rPr>
                <w:rPr>
                  <w:rFonts w:ascii="Cambria Math" w:hAnsi="Cambria Math"/>
                </w:rPr>
                <m:t>0.6∙5.55+0.1∙5.38+0.1∙5.16+0.1∙5.92+0.1∙5.68</m:t>
              </m:r>
            </m:oMath>
          </w:p>
        </w:tc>
        <w:tc>
          <w:tcPr>
            <w:tcW w:w="64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5.54</w:t>
            </w:r>
          </w:p>
        </w:tc>
      </w:tr>
      <w:tr w:rsidR="00E93282" w:rsidTr="00CC0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2021</w:t>
            </w:r>
          </w:p>
        </w:tc>
        <w:tc>
          <w:tcPr>
            <w:tcW w:w="875"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6.21</w:t>
            </w:r>
          </w:p>
        </w:tc>
        <w:tc>
          <w:tcPr>
            <w:tcW w:w="2837"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m:oMath>
              <m:r>
                <m:rPr>
                  <m:sty m:val="p"/>
                </m:rPr>
                <w:rPr>
                  <w:rFonts w:ascii="Cambria Math" w:hAnsi="Cambria Math"/>
                </w:rPr>
                <m:t>0.5</m:t>
              </m:r>
              <m:r>
                <w:rPr>
                  <w:rFonts w:ascii="Cambria Math" w:hAnsi="Cambria Math"/>
                </w:rPr>
                <m:t>∙5.55+</m:t>
              </m:r>
              <m:r>
                <m:rPr>
                  <m:sty m:val="p"/>
                </m:rPr>
                <w:rPr>
                  <w:rFonts w:ascii="Cambria Math" w:hAnsi="Cambria Math"/>
                </w:rPr>
                <m:t>0.1</m:t>
              </m:r>
              <m:r>
                <w:rPr>
                  <w:rFonts w:ascii="Cambria Math" w:hAnsi="Cambria Math"/>
                </w:rPr>
                <m:t>∙5.38+</m:t>
              </m:r>
              <m:r>
                <m:rPr>
                  <m:sty m:val="p"/>
                </m:rPr>
                <w:rPr>
                  <w:rFonts w:ascii="Cambria Math" w:hAnsi="Cambria Math"/>
                </w:rPr>
                <m:t>0.1</m:t>
              </m:r>
              <m:r>
                <w:rPr>
                  <w:rFonts w:ascii="Cambria Math" w:hAnsi="Cambria Math"/>
                </w:rPr>
                <m:t>∙5.16+</m:t>
              </m:r>
              <m:r>
                <m:rPr>
                  <m:sty m:val="p"/>
                </m:rPr>
                <w:rPr>
                  <w:rFonts w:ascii="Cambria Math" w:hAnsi="Cambria Math"/>
                </w:rPr>
                <m:t>0.1</m:t>
              </m:r>
              <m:r>
                <w:rPr>
                  <w:rFonts w:ascii="Cambria Math" w:hAnsi="Cambria Math"/>
                </w:rPr>
                <m:t>∙5.92+</m:t>
              </m:r>
              <m:r>
                <m:rPr>
                  <m:sty m:val="p"/>
                </m:rPr>
                <w:rPr>
                  <w:rFonts w:ascii="Cambria Math" w:hAnsi="Cambria Math"/>
                </w:rPr>
                <m:t>0.1</m:t>
              </m:r>
              <m:r>
                <w:rPr>
                  <w:rFonts w:ascii="Cambria Math" w:hAnsi="Cambria Math"/>
                </w:rPr>
                <m:t>∙5.68+</m:t>
              </m:r>
              <m:r>
                <m:rPr>
                  <m:sty m:val="p"/>
                </m:rPr>
                <w:rPr>
                  <w:rFonts w:ascii="Cambria Math" w:hAnsi="Cambria Math"/>
                </w:rPr>
                <m:t>0.1</m:t>
              </m:r>
              <m:r>
                <w:rPr>
                  <w:rFonts w:ascii="Cambria Math" w:hAnsi="Cambria Math"/>
                </w:rPr>
                <m:t>∙6.21</m:t>
              </m:r>
            </m:oMath>
          </w:p>
        </w:tc>
        <w:tc>
          <w:tcPr>
            <w:tcW w:w="647"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5.61</w:t>
            </w:r>
          </w:p>
        </w:tc>
      </w:tr>
      <w:tr w:rsidR="00E93282" w:rsidTr="00CC043E">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2022</w:t>
            </w:r>
          </w:p>
        </w:tc>
        <w:tc>
          <w:tcPr>
            <w:tcW w:w="875"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6.88</w:t>
            </w:r>
          </w:p>
        </w:tc>
        <w:tc>
          <w:tcPr>
            <w:tcW w:w="283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r>
                <m:rPr>
                  <m:sty m:val="p"/>
                </m:rPr>
                <w:rPr>
                  <w:rFonts w:ascii="Cambria Math" w:hAnsi="Cambria Math"/>
                </w:rPr>
                <m:t>0.4</m:t>
              </m:r>
              <m:r>
                <w:rPr>
                  <w:rFonts w:ascii="Cambria Math" w:hAnsi="Cambria Math"/>
                </w:rPr>
                <m:t>∙5.55+0.1∙5.38+</m:t>
              </m:r>
              <m:r>
                <m:rPr>
                  <m:sty m:val="p"/>
                </m:rPr>
                <w:rPr>
                  <w:rFonts w:ascii="Cambria Math" w:hAnsi="Cambria Math"/>
                </w:rPr>
                <m:t>0.1</m:t>
              </m:r>
              <m:r>
                <w:rPr>
                  <w:rFonts w:ascii="Cambria Math" w:hAnsi="Cambria Math"/>
                </w:rPr>
                <m:t>∙5.16+</m:t>
              </m:r>
              <m:r>
                <m:rPr>
                  <m:sty m:val="p"/>
                </m:rPr>
                <w:rPr>
                  <w:rFonts w:ascii="Cambria Math" w:hAnsi="Cambria Math"/>
                </w:rPr>
                <m:t>0.1</m:t>
              </m:r>
              <m:r>
                <w:rPr>
                  <w:rFonts w:ascii="Cambria Math" w:hAnsi="Cambria Math"/>
                </w:rPr>
                <m:t>∙5.92+</m:t>
              </m:r>
              <m:r>
                <m:rPr>
                  <m:sty m:val="p"/>
                </m:rPr>
                <w:rPr>
                  <w:rFonts w:ascii="Cambria Math" w:hAnsi="Cambria Math"/>
                </w:rPr>
                <m:t>0.1</m:t>
              </m:r>
              <m:r>
                <w:rPr>
                  <w:rFonts w:ascii="Cambria Math" w:hAnsi="Cambria Math"/>
                </w:rPr>
                <m:t>∙5.68+</m:t>
              </m:r>
              <m:r>
                <m:rPr>
                  <m:sty m:val="p"/>
                </m:rPr>
                <w:rPr>
                  <w:rFonts w:ascii="Cambria Math" w:hAnsi="Cambria Math"/>
                </w:rPr>
                <m:t>0.1</m:t>
              </m:r>
              <m:r>
                <w:rPr>
                  <w:rFonts w:ascii="Cambria Math" w:hAnsi="Cambria Math"/>
                </w:rPr>
                <m:t>∙6.21+</m:t>
              </m:r>
              <m:r>
                <m:rPr>
                  <m:sty m:val="p"/>
                </m:rPr>
                <w:rPr>
                  <w:rFonts w:ascii="Cambria Math" w:hAnsi="Cambria Math"/>
                </w:rPr>
                <m:t>0.1</m:t>
              </m:r>
              <m:r>
                <w:rPr>
                  <w:rFonts w:ascii="Cambria Math" w:hAnsi="Cambria Math"/>
                </w:rPr>
                <m:t>∙6.88</m:t>
              </m:r>
            </m:oMath>
          </w:p>
        </w:tc>
        <w:tc>
          <w:tcPr>
            <w:tcW w:w="64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5.74</w:t>
            </w:r>
          </w:p>
        </w:tc>
      </w:tr>
      <w:tr w:rsidR="00E93282" w:rsidTr="00CC0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2023</w:t>
            </w:r>
          </w:p>
        </w:tc>
        <w:tc>
          <w:tcPr>
            <w:tcW w:w="875" w:type="pct"/>
          </w:tcPr>
          <w:p w:rsidR="00E93282" w:rsidRPr="00AB4F30"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7.29</w:t>
            </w:r>
          </w:p>
        </w:tc>
        <w:tc>
          <w:tcPr>
            <w:tcW w:w="2837" w:type="pct"/>
          </w:tcPr>
          <w:p w:rsidR="00E93282" w:rsidRPr="00E21B4C"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0.3∙5.55+</m:t>
              </m:r>
              <m:r>
                <m:rPr>
                  <m:sty m:val="p"/>
                </m:rPr>
                <w:rPr>
                  <w:rFonts w:ascii="Cambria Math" w:hAnsi="Cambria Math"/>
                </w:rPr>
                <m:t>0.1</m:t>
              </m:r>
              <m:r>
                <w:rPr>
                  <w:rFonts w:ascii="Cambria Math" w:hAnsi="Cambria Math"/>
                </w:rPr>
                <m:t>∙5.38+</m:t>
              </m:r>
              <m:r>
                <m:rPr>
                  <m:sty m:val="p"/>
                </m:rPr>
                <w:rPr>
                  <w:rFonts w:ascii="Cambria Math" w:hAnsi="Cambria Math"/>
                </w:rPr>
                <m:t>0.1</m:t>
              </m:r>
              <m:r>
                <w:rPr>
                  <w:rFonts w:ascii="Cambria Math" w:hAnsi="Cambria Math"/>
                </w:rPr>
                <m:t>∙5.16+</m:t>
              </m:r>
              <m:r>
                <m:rPr>
                  <m:sty m:val="p"/>
                </m:rPr>
                <w:rPr>
                  <w:rFonts w:ascii="Cambria Math" w:hAnsi="Cambria Math"/>
                </w:rPr>
                <m:t>0.1</m:t>
              </m:r>
              <m:r>
                <w:rPr>
                  <w:rFonts w:ascii="Cambria Math" w:hAnsi="Cambria Math"/>
                </w:rPr>
                <m:t>∙5.92+</m:t>
              </m:r>
              <m:r>
                <m:rPr>
                  <m:sty m:val="p"/>
                </m:rPr>
                <w:rPr>
                  <w:rFonts w:ascii="Cambria Math" w:hAnsi="Cambria Math"/>
                </w:rPr>
                <m:t>0.1</m:t>
              </m:r>
              <m:r>
                <w:rPr>
                  <w:rFonts w:ascii="Cambria Math" w:hAnsi="Cambria Math"/>
                </w:rPr>
                <m:t>∙5.68+</m:t>
              </m:r>
              <m:r>
                <m:rPr>
                  <m:sty m:val="p"/>
                </m:rPr>
                <w:rPr>
                  <w:rFonts w:ascii="Cambria Math" w:hAnsi="Cambria Math"/>
                </w:rPr>
                <m:t>0.1</m:t>
              </m:r>
              <m:r>
                <w:rPr>
                  <w:rFonts w:ascii="Cambria Math" w:hAnsi="Cambria Math"/>
                </w:rPr>
                <m:t>∙6.21+</m:t>
              </m:r>
              <m:r>
                <m:rPr>
                  <m:sty m:val="p"/>
                </m:rPr>
                <w:rPr>
                  <w:rFonts w:ascii="Cambria Math" w:hAnsi="Cambria Math"/>
                </w:rPr>
                <m:t>0.1</m:t>
              </m:r>
              <m:r>
                <w:rPr>
                  <w:rFonts w:ascii="Cambria Math" w:hAnsi="Cambria Math"/>
                </w:rPr>
                <m:t>∙6.88+0.1∙7.29</m:t>
              </m:r>
            </m:oMath>
          </w:p>
        </w:tc>
        <w:tc>
          <w:tcPr>
            <w:tcW w:w="647"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5.92</w:t>
            </w:r>
          </w:p>
        </w:tc>
      </w:tr>
      <w:tr w:rsidR="00E93282" w:rsidTr="00CC043E">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2024</w:t>
            </w:r>
          </w:p>
        </w:tc>
        <w:tc>
          <w:tcPr>
            <w:tcW w:w="875" w:type="pct"/>
          </w:tcPr>
          <w:p w:rsidR="00E93282" w:rsidDel="006C66EA"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8.65</w:t>
            </w:r>
          </w:p>
        </w:tc>
        <w:tc>
          <w:tcPr>
            <w:tcW w:w="283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r>
                <w:rPr>
                  <w:rFonts w:ascii="Cambria Math" w:hAnsi="Cambria Math"/>
                </w:rPr>
                <m:t>0.2∙5.55+</m:t>
              </m:r>
              <m:r>
                <m:rPr>
                  <m:sty m:val="p"/>
                </m:rPr>
                <w:rPr>
                  <w:rFonts w:ascii="Cambria Math" w:hAnsi="Cambria Math"/>
                </w:rPr>
                <m:t>0.1</m:t>
              </m:r>
              <m:r>
                <w:rPr>
                  <w:rFonts w:ascii="Cambria Math" w:hAnsi="Cambria Math"/>
                </w:rPr>
                <m:t>∙5.38+</m:t>
              </m:r>
              <m:r>
                <m:rPr>
                  <m:sty m:val="p"/>
                </m:rPr>
                <w:rPr>
                  <w:rFonts w:ascii="Cambria Math" w:hAnsi="Cambria Math"/>
                </w:rPr>
                <m:t>0.1</m:t>
              </m:r>
              <m:r>
                <w:rPr>
                  <w:rFonts w:ascii="Cambria Math" w:hAnsi="Cambria Math"/>
                </w:rPr>
                <m:t>∙5.16+</m:t>
              </m:r>
              <m:r>
                <m:rPr>
                  <m:sty m:val="p"/>
                </m:rPr>
                <w:rPr>
                  <w:rFonts w:ascii="Cambria Math" w:hAnsi="Cambria Math"/>
                </w:rPr>
                <m:t>0.1</m:t>
              </m:r>
              <m:r>
                <w:rPr>
                  <w:rFonts w:ascii="Cambria Math" w:hAnsi="Cambria Math"/>
                </w:rPr>
                <m:t>∙5.92+</m:t>
              </m:r>
              <m:r>
                <m:rPr>
                  <m:sty m:val="p"/>
                </m:rPr>
                <w:rPr>
                  <w:rFonts w:ascii="Cambria Math" w:hAnsi="Cambria Math"/>
                </w:rPr>
                <m:t>0.1</m:t>
              </m:r>
              <m:r>
                <w:rPr>
                  <w:rFonts w:ascii="Cambria Math" w:hAnsi="Cambria Math"/>
                </w:rPr>
                <m:t>∙5.68+</m:t>
              </m:r>
              <m:r>
                <m:rPr>
                  <m:sty m:val="p"/>
                </m:rPr>
                <w:rPr>
                  <w:rFonts w:ascii="Cambria Math" w:hAnsi="Cambria Math"/>
                </w:rPr>
                <m:t>0.1</m:t>
              </m:r>
              <m:r>
                <w:rPr>
                  <w:rFonts w:ascii="Cambria Math" w:hAnsi="Cambria Math"/>
                </w:rPr>
                <m:t>∙6.21+</m:t>
              </m:r>
              <m:r>
                <m:rPr>
                  <m:sty m:val="p"/>
                </m:rPr>
                <w:rPr>
                  <w:rFonts w:ascii="Cambria Math" w:hAnsi="Cambria Math"/>
                </w:rPr>
                <m:t>0.1</m:t>
              </m:r>
              <m:r>
                <w:rPr>
                  <w:rFonts w:ascii="Cambria Math" w:hAnsi="Cambria Math"/>
                </w:rPr>
                <m:t>∙6.88+0.1∙7.29+0.1∙8.65</m:t>
              </m:r>
            </m:oMath>
          </w:p>
        </w:tc>
        <w:tc>
          <w:tcPr>
            <w:tcW w:w="64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6.23</w:t>
            </w:r>
          </w:p>
        </w:tc>
      </w:tr>
      <w:tr w:rsidR="00E93282" w:rsidTr="00CC04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2025</w:t>
            </w:r>
          </w:p>
        </w:tc>
        <w:tc>
          <w:tcPr>
            <w:tcW w:w="875" w:type="pct"/>
          </w:tcPr>
          <w:p w:rsidR="00E93282" w:rsidDel="006C66EA"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7.24</w:t>
            </w:r>
          </w:p>
        </w:tc>
        <w:tc>
          <w:tcPr>
            <w:tcW w:w="2837"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m:oMath>
              <m:r>
                <w:rPr>
                  <w:rFonts w:ascii="Cambria Math" w:hAnsi="Cambria Math"/>
                </w:rPr>
                <m:t>0.1∙5.55+</m:t>
              </m:r>
              <m:r>
                <m:rPr>
                  <m:sty m:val="p"/>
                </m:rPr>
                <w:rPr>
                  <w:rFonts w:ascii="Cambria Math" w:hAnsi="Cambria Math"/>
                </w:rPr>
                <m:t>0.1</m:t>
              </m:r>
              <m:r>
                <w:rPr>
                  <w:rFonts w:ascii="Cambria Math" w:hAnsi="Cambria Math"/>
                </w:rPr>
                <m:t>∙5.38+</m:t>
              </m:r>
              <m:r>
                <m:rPr>
                  <m:sty m:val="p"/>
                </m:rPr>
                <w:rPr>
                  <w:rFonts w:ascii="Cambria Math" w:hAnsi="Cambria Math"/>
                </w:rPr>
                <m:t>0.1</m:t>
              </m:r>
              <m:r>
                <w:rPr>
                  <w:rFonts w:ascii="Cambria Math" w:hAnsi="Cambria Math"/>
                </w:rPr>
                <m:t>∙5.16+</m:t>
              </m:r>
              <m:r>
                <m:rPr>
                  <m:sty m:val="p"/>
                </m:rPr>
                <w:rPr>
                  <w:rFonts w:ascii="Cambria Math" w:hAnsi="Cambria Math"/>
                </w:rPr>
                <m:t>0.1</m:t>
              </m:r>
              <m:r>
                <w:rPr>
                  <w:rFonts w:ascii="Cambria Math" w:hAnsi="Cambria Math"/>
                </w:rPr>
                <m:t>∙5.92+</m:t>
              </m:r>
              <m:r>
                <m:rPr>
                  <m:sty m:val="p"/>
                </m:rPr>
                <w:rPr>
                  <w:rFonts w:ascii="Cambria Math" w:hAnsi="Cambria Math"/>
                </w:rPr>
                <m:t>0.1</m:t>
              </m:r>
              <m:r>
                <w:rPr>
                  <w:rFonts w:ascii="Cambria Math" w:hAnsi="Cambria Math"/>
                </w:rPr>
                <m:t>∙5.68+</m:t>
              </m:r>
              <m:r>
                <m:rPr>
                  <m:sty m:val="p"/>
                </m:rPr>
                <w:rPr>
                  <w:rFonts w:ascii="Cambria Math" w:hAnsi="Cambria Math"/>
                </w:rPr>
                <m:t>0.1</m:t>
              </m:r>
              <m:r>
                <w:rPr>
                  <w:rFonts w:ascii="Cambria Math" w:hAnsi="Cambria Math"/>
                </w:rPr>
                <m:t>∙6.21+</m:t>
              </m:r>
              <m:r>
                <m:rPr>
                  <m:sty m:val="p"/>
                </m:rPr>
                <w:rPr>
                  <w:rFonts w:ascii="Cambria Math" w:hAnsi="Cambria Math"/>
                </w:rPr>
                <m:t>0.1</m:t>
              </m:r>
              <m:r>
                <w:rPr>
                  <w:rFonts w:ascii="Cambria Math" w:hAnsi="Cambria Math"/>
                </w:rPr>
                <m:t>∙6.88+0.1∙7.29+0.1∙8.65+0.1∙7.24</m:t>
              </m:r>
            </m:oMath>
          </w:p>
        </w:tc>
        <w:tc>
          <w:tcPr>
            <w:tcW w:w="647" w:type="pct"/>
          </w:tcPr>
          <w:p w:rsidR="00E93282" w:rsidRDefault="00E93282" w:rsidP="00E93282">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6.40</w:t>
            </w:r>
          </w:p>
        </w:tc>
      </w:tr>
      <w:tr w:rsidR="00E93282" w:rsidTr="00CC043E">
        <w:tc>
          <w:tcPr>
            <w:cnfStyle w:val="001000000000" w:firstRow="0" w:lastRow="0" w:firstColumn="1" w:lastColumn="0" w:oddVBand="0" w:evenVBand="0" w:oddHBand="0" w:evenHBand="0" w:firstRowFirstColumn="0" w:firstRowLastColumn="0" w:lastRowFirstColumn="0" w:lastRowLastColumn="0"/>
            <w:tcW w:w="641" w:type="pct"/>
          </w:tcPr>
          <w:p w:rsidR="00E93282" w:rsidRDefault="00E93282" w:rsidP="00E93282">
            <w:pPr>
              <w:pStyle w:val="AERbodytext"/>
              <w:numPr>
                <w:ilvl w:val="0"/>
                <w:numId w:val="6"/>
              </w:numPr>
            </w:pPr>
            <w:r>
              <w:t>2026</w:t>
            </w:r>
          </w:p>
        </w:tc>
        <w:tc>
          <w:tcPr>
            <w:tcW w:w="875" w:type="pct"/>
          </w:tcPr>
          <w:p w:rsidR="00E93282" w:rsidDel="006C66EA"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6.99</w:t>
            </w:r>
          </w:p>
        </w:tc>
        <w:tc>
          <w:tcPr>
            <w:tcW w:w="283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m:oMath>
              <m:r>
                <w:rPr>
                  <w:rFonts w:ascii="Cambria Math" w:hAnsi="Cambria Math"/>
                </w:rPr>
                <m:t>0.1∙5.38+</m:t>
              </m:r>
              <m:r>
                <m:rPr>
                  <m:sty m:val="p"/>
                </m:rPr>
                <w:rPr>
                  <w:rFonts w:ascii="Cambria Math" w:hAnsi="Cambria Math"/>
                </w:rPr>
                <m:t>0.1</m:t>
              </m:r>
              <m:r>
                <w:rPr>
                  <w:rFonts w:ascii="Cambria Math" w:hAnsi="Cambria Math"/>
                </w:rPr>
                <m:t>∙5.16+</m:t>
              </m:r>
              <m:r>
                <m:rPr>
                  <m:sty m:val="p"/>
                </m:rPr>
                <w:rPr>
                  <w:rFonts w:ascii="Cambria Math" w:hAnsi="Cambria Math"/>
                </w:rPr>
                <m:t>0.1</m:t>
              </m:r>
              <m:r>
                <w:rPr>
                  <w:rFonts w:ascii="Cambria Math" w:hAnsi="Cambria Math"/>
                </w:rPr>
                <m:t>∙5.92+</m:t>
              </m:r>
              <m:r>
                <m:rPr>
                  <m:sty m:val="p"/>
                </m:rPr>
                <w:rPr>
                  <w:rFonts w:ascii="Cambria Math" w:hAnsi="Cambria Math"/>
                </w:rPr>
                <m:t>0.1</m:t>
              </m:r>
              <m:r>
                <w:rPr>
                  <w:rFonts w:ascii="Cambria Math" w:hAnsi="Cambria Math"/>
                </w:rPr>
                <m:t>∙5.68+</m:t>
              </m:r>
              <m:r>
                <m:rPr>
                  <m:sty m:val="p"/>
                </m:rPr>
                <w:rPr>
                  <w:rFonts w:ascii="Cambria Math" w:hAnsi="Cambria Math"/>
                </w:rPr>
                <m:t>0.1</m:t>
              </m:r>
              <m:r>
                <w:rPr>
                  <w:rFonts w:ascii="Cambria Math" w:hAnsi="Cambria Math"/>
                </w:rPr>
                <m:t>∙6.21+</m:t>
              </m:r>
              <m:r>
                <m:rPr>
                  <m:sty m:val="p"/>
                </m:rPr>
                <w:rPr>
                  <w:rFonts w:ascii="Cambria Math" w:hAnsi="Cambria Math"/>
                </w:rPr>
                <m:t>0.1</m:t>
              </m:r>
              <m:r>
                <w:rPr>
                  <w:rFonts w:ascii="Cambria Math" w:hAnsi="Cambria Math"/>
                </w:rPr>
                <m:t>∙6.88+</m:t>
              </m:r>
              <m:r>
                <m:rPr>
                  <m:sty m:val="p"/>
                </m:rPr>
                <w:rPr>
                  <w:rFonts w:ascii="Cambria Math" w:hAnsi="Cambria Math"/>
                </w:rPr>
                <m:t>0.1</m:t>
              </m:r>
              <m:r>
                <w:rPr>
                  <w:rFonts w:ascii="Cambria Math" w:hAnsi="Cambria Math"/>
                </w:rPr>
                <m:t>∙7.29+0.1∙8.65+0.1∙7.24+0.1∙6.99</m:t>
              </m:r>
            </m:oMath>
          </w:p>
        </w:tc>
        <w:tc>
          <w:tcPr>
            <w:tcW w:w="647" w:type="pct"/>
          </w:tcPr>
          <w:p w:rsidR="00E93282" w:rsidRDefault="00E93282" w:rsidP="00E93282">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6.54</w:t>
            </w:r>
          </w:p>
        </w:tc>
      </w:tr>
    </w:tbl>
    <w:p w:rsidR="00E93282" w:rsidRPr="00E93282" w:rsidRDefault="00E93282" w:rsidP="00E93282">
      <w:pPr>
        <w:pStyle w:val="AERtablesource"/>
      </w:pPr>
      <w:r w:rsidRPr="00E93282">
        <w:t xml:space="preserve">Source: </w:t>
      </w:r>
      <w:r w:rsidRPr="00E93282">
        <w:tab/>
        <w:t>AER analysis.</w:t>
      </w:r>
    </w:p>
    <w:p w:rsidR="009F6763" w:rsidRPr="00E93282" w:rsidRDefault="009F6763" w:rsidP="00E93282"/>
    <w:sectPr w:rsidR="009F6763" w:rsidRPr="00E93282" w:rsidSect="00617B56">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431" w:rsidRPr="00AB4345" w:rsidRDefault="00682431" w:rsidP="00AB4345">
      <w:r>
        <w:separator/>
      </w:r>
    </w:p>
  </w:endnote>
  <w:endnote w:type="continuationSeparator" w:id="0">
    <w:p w:rsidR="00682431" w:rsidRPr="00AB4345" w:rsidRDefault="0068243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682431" w:rsidRPr="00824CC8" w:rsidRDefault="00682431" w:rsidP="00824CC8">
        <w:pPr>
          <w:pStyle w:val="Footer"/>
        </w:pPr>
        <w:r w:rsidRPr="00824CC8">
          <w:fldChar w:fldCharType="begin"/>
        </w:r>
        <w:r w:rsidRPr="00824CC8">
          <w:instrText xml:space="preserve"> PAGE   \* MERGEFORMAT </w:instrText>
        </w:r>
        <w:r w:rsidRPr="00824CC8">
          <w:fldChar w:fldCharType="separate"/>
        </w:r>
        <w:r>
          <w:rPr>
            <w:noProof/>
          </w:rPr>
          <w:t>16</w:t>
        </w:r>
        <w:r w:rsidRPr="00824CC8">
          <w:fldChar w:fldCharType="end"/>
        </w:r>
        <w:r w:rsidRPr="00210880">
          <w:rPr>
            <w:rStyle w:val="AERbody"/>
          </w:rPr>
          <w:tab/>
        </w:r>
        <w:r>
          <w:rPr>
            <w:rStyle w:val="AERbody"/>
          </w:rPr>
          <w:tab/>
          <w:t>Better Regulation</w:t>
        </w:r>
        <w:r w:rsidRPr="00210880">
          <w:rPr>
            <w:rStyle w:val="AERbody"/>
          </w:rPr>
          <w:t xml:space="preserve"> | </w:t>
        </w:r>
        <w:r>
          <w:rPr>
            <w:rStyle w:val="AERbody"/>
          </w:rPr>
          <w:t>Rate of Return guideline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431" w:rsidRPr="00824CC8" w:rsidRDefault="00682431" w:rsidP="00824CC8">
    <w:pPr>
      <w:pStyle w:val="Footer"/>
      <w:rPr>
        <w:rStyle w:val="AERbody"/>
      </w:rPr>
    </w:pPr>
    <w:r w:rsidRPr="00617B56">
      <w:rPr>
        <w:rStyle w:val="AERtextblue"/>
      </w:rPr>
      <w:t>Better Regulation |</w:t>
    </w:r>
    <w:r w:rsidRPr="00210880">
      <w:rPr>
        <w:rStyle w:val="AERbody"/>
      </w:rPr>
      <w:t xml:space="preserve"> </w:t>
    </w:r>
    <w:r w:rsidRPr="00617B56">
      <w:rPr>
        <w:rStyle w:val="AERtextorange"/>
      </w:rPr>
      <w:t>Rate of Return guideline</w:t>
    </w:r>
    <w:r>
      <w:rPr>
        <w:rStyle w:val="AERbody"/>
      </w:rPr>
      <w:tab/>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44481E">
      <w:rPr>
        <w:rStyle w:val="AERbody"/>
        <w:noProof/>
      </w:rPr>
      <w:t>6</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431" w:rsidRPr="00AB4345" w:rsidRDefault="00682431" w:rsidP="00AB4345">
      <w:r>
        <w:separator/>
      </w:r>
    </w:p>
  </w:footnote>
  <w:footnote w:type="continuationSeparator" w:id="0">
    <w:p w:rsidR="00682431" w:rsidRPr="00AB4345" w:rsidRDefault="00682431" w:rsidP="00AB4345">
      <w:r>
        <w:continuationSeparator/>
      </w:r>
    </w:p>
  </w:footnote>
  <w:footnote w:id="1">
    <w:p w:rsidR="00682431" w:rsidRDefault="00682431" w:rsidP="00E93282">
      <w:pPr>
        <w:pStyle w:val="FootnoteText"/>
      </w:pPr>
      <w:r>
        <w:rPr>
          <w:rStyle w:val="FootnoteReference"/>
        </w:rPr>
        <w:footnoteRef/>
      </w:r>
      <w:r>
        <w:t xml:space="preserve"> </w:t>
      </w:r>
      <w:r>
        <w:tab/>
        <w:t>NER, cls. 6.5.2(n) and 6A.6.2(n); NGR, r. 87(14).</w:t>
      </w:r>
    </w:p>
  </w:footnote>
  <w:footnote w:id="2">
    <w:p w:rsidR="00682431" w:rsidRDefault="00682431" w:rsidP="002F2B68">
      <w:pPr>
        <w:pStyle w:val="FootnoteText"/>
      </w:pPr>
      <w:r>
        <w:rPr>
          <w:rStyle w:val="FootnoteReference"/>
        </w:rPr>
        <w:footnoteRef/>
      </w:r>
      <w:r>
        <w:t xml:space="preserve"> </w:t>
      </w:r>
      <w:r>
        <w:tab/>
        <w:t>NER, cls. 6.2.8(e) and cl. 6A,2.3(e); NGR, r. 87(17).</w:t>
      </w:r>
    </w:p>
  </w:footnote>
  <w:footnote w:id="3">
    <w:p w:rsidR="00682431" w:rsidRDefault="00682431" w:rsidP="00E93282">
      <w:pPr>
        <w:pStyle w:val="FootnoteText"/>
      </w:pPr>
      <w:r>
        <w:rPr>
          <w:rStyle w:val="FootnoteReference"/>
        </w:rPr>
        <w:footnoteRef/>
      </w:r>
      <w:r>
        <w:t xml:space="preserve"> </w:t>
      </w:r>
      <w:r>
        <w:tab/>
        <w:t>NEL, ss. 7 and 7A; NGL, ss. 23 and 24.</w:t>
      </w:r>
    </w:p>
  </w:footnote>
  <w:footnote w:id="4">
    <w:p w:rsidR="00682431" w:rsidRDefault="00682431" w:rsidP="00E93282">
      <w:pPr>
        <w:pStyle w:val="FootnoteText"/>
      </w:pPr>
      <w:r>
        <w:rPr>
          <w:rStyle w:val="FootnoteReference"/>
        </w:rPr>
        <w:footnoteRef/>
      </w:r>
      <w:r>
        <w:t xml:space="preserve"> </w:t>
      </w:r>
      <w:r>
        <w:tab/>
        <w:t>NEL, s. 7; NGL, s. 23.</w:t>
      </w:r>
    </w:p>
  </w:footnote>
  <w:footnote w:id="5">
    <w:p w:rsidR="00682431" w:rsidRDefault="00682431" w:rsidP="00E93282">
      <w:pPr>
        <w:pStyle w:val="FootnoteText"/>
      </w:pPr>
      <w:r>
        <w:rPr>
          <w:rStyle w:val="FootnoteReference"/>
        </w:rPr>
        <w:footnoteRef/>
      </w:r>
      <w:r>
        <w:t xml:space="preserve"> </w:t>
      </w:r>
      <w:r>
        <w:tab/>
        <w:t>NEL, s. 7A; NGL, s. 24.</w:t>
      </w:r>
    </w:p>
  </w:footnote>
  <w:footnote w:id="6">
    <w:p w:rsidR="00682431" w:rsidRDefault="00682431" w:rsidP="00E93282">
      <w:pPr>
        <w:pStyle w:val="FootnoteText"/>
      </w:pPr>
      <w:r>
        <w:rPr>
          <w:rStyle w:val="FootnoteReference"/>
        </w:rPr>
        <w:footnoteRef/>
      </w:r>
      <w:r>
        <w:t xml:space="preserve"> </w:t>
      </w:r>
      <w:r>
        <w:tab/>
        <w:t>NER, cls. 6.5.2(d)(2) and 6A.6.2(d)(2); NGR, r. 87(4)(b).</w:t>
      </w:r>
    </w:p>
  </w:footnote>
  <w:footnote w:id="7">
    <w:p w:rsidR="00682431" w:rsidRDefault="00682431" w:rsidP="00E93282">
      <w:pPr>
        <w:pStyle w:val="FootnoteText"/>
      </w:pPr>
      <w:r>
        <w:rPr>
          <w:rStyle w:val="FootnoteReference"/>
        </w:rPr>
        <w:footnoteRef/>
      </w:r>
      <w:r>
        <w:t xml:space="preserve"> </w:t>
      </w:r>
      <w:r>
        <w:tab/>
        <w:t>NER, cls. 6.5.2(e) and 6A.6.2(e); NGR, r. 87(5).</w:t>
      </w:r>
    </w:p>
  </w:footnote>
  <w:footnote w:id="8">
    <w:p w:rsidR="00682431" w:rsidRDefault="00682431" w:rsidP="00E93282">
      <w:pPr>
        <w:pStyle w:val="FootnoteText"/>
      </w:pPr>
      <w:r>
        <w:rPr>
          <w:rStyle w:val="FootnoteReference"/>
        </w:rPr>
        <w:footnoteRef/>
      </w:r>
      <w:r>
        <w:t xml:space="preserve"> </w:t>
      </w:r>
      <w:r>
        <w:tab/>
        <w:t>NER, cls. 6.4.2, 6.4.3, 6A.5.3, and 6A.5.4; NGR rr. 76 and 87A.</w:t>
      </w:r>
    </w:p>
  </w:footnote>
  <w:footnote w:id="9">
    <w:p w:rsidR="00682431" w:rsidRDefault="00682431">
      <w:pPr>
        <w:pStyle w:val="FootnoteText"/>
      </w:pPr>
      <w:r>
        <w:rPr>
          <w:rStyle w:val="FootnoteReference"/>
        </w:rPr>
        <w:footnoteRef/>
      </w:r>
      <w:r>
        <w:t xml:space="preserve"> </w:t>
      </w:r>
      <w:r>
        <w:tab/>
        <w:t>NER, cls. 6.5.2(d)(2) and 6A.6.2(d)(2); NGR, r. 87(4)(b).</w:t>
      </w:r>
    </w:p>
  </w:footnote>
  <w:footnote w:id="10">
    <w:p w:rsidR="00682431" w:rsidRDefault="00682431" w:rsidP="00E93282">
      <w:pPr>
        <w:pStyle w:val="FootnoteText"/>
      </w:pPr>
      <w:r>
        <w:rPr>
          <w:rStyle w:val="FootnoteReference"/>
        </w:rPr>
        <w:footnoteRef/>
      </w:r>
      <w:r>
        <w:t xml:space="preserve"> </w:t>
      </w:r>
      <w:r>
        <w:tab/>
        <w:t>NER, cls. 6.5.2(c) and 6A.6.2(c); NGR, r. 87(3).</w:t>
      </w:r>
    </w:p>
  </w:footnote>
  <w:footnote w:id="11">
    <w:p w:rsidR="00682431" w:rsidRDefault="00682431" w:rsidP="00E93282">
      <w:pPr>
        <w:pStyle w:val="FootnoteText"/>
      </w:pPr>
      <w:r>
        <w:rPr>
          <w:rStyle w:val="FootnoteReference"/>
        </w:rPr>
        <w:footnoteRef/>
      </w:r>
      <w:r>
        <w:t xml:space="preserve"> </w:t>
      </w:r>
      <w:r>
        <w:tab/>
        <w:t>NER, cls. 6.5.2(e)(1) and 6A.6.2(e)(1); NGR, r. 87(5)(a).</w:t>
      </w:r>
    </w:p>
  </w:footnote>
  <w:footnote w:id="12">
    <w:p w:rsidR="00682431" w:rsidRDefault="00682431" w:rsidP="00E93282">
      <w:pPr>
        <w:pStyle w:val="FootnoteText"/>
      </w:pPr>
      <w:r>
        <w:rPr>
          <w:rStyle w:val="FootnoteReference"/>
        </w:rPr>
        <w:footnoteRef/>
      </w:r>
      <w:r>
        <w:t xml:space="preserve"> </w:t>
      </w:r>
      <w:r>
        <w:tab/>
        <w:t>Finance metrics</w:t>
      </w:r>
      <w:r w:rsidRPr="006A25AA">
        <w:t xml:space="preserve"> may </w:t>
      </w:r>
      <w:r>
        <w:t>play a role in future AER</w:t>
      </w:r>
      <w:r w:rsidRPr="006A25AA">
        <w:t xml:space="preserve"> decisions</w:t>
      </w:r>
      <w:r>
        <w:t xml:space="preserve">. However, </w:t>
      </w:r>
      <w:r w:rsidRPr="006A25AA">
        <w:t xml:space="preserve">at this stage </w:t>
      </w:r>
      <w:r>
        <w:t>the AER has</w:t>
      </w:r>
      <w:r w:rsidRPr="006A25AA">
        <w:t xml:space="preserve"> not formed a view on how these tests should be applied. Therefore, these tests </w:t>
      </w:r>
      <w:r>
        <w:t xml:space="preserve">are not included </w:t>
      </w:r>
      <w:r w:rsidRPr="006A25AA">
        <w:t xml:space="preserve">in </w:t>
      </w:r>
      <w:r>
        <w:t xml:space="preserve">this </w:t>
      </w:r>
      <w:r w:rsidRPr="006A25AA">
        <w:t>final guideline.</w:t>
      </w:r>
      <w:r>
        <w:t xml:space="preserve"> </w:t>
      </w:r>
    </w:p>
  </w:footnote>
  <w:footnote w:id="13">
    <w:p w:rsidR="00682431" w:rsidRDefault="00682431" w:rsidP="00E93282">
      <w:pPr>
        <w:pStyle w:val="FootnoteText"/>
      </w:pPr>
      <w:r>
        <w:rPr>
          <w:rStyle w:val="FootnoteReference"/>
        </w:rPr>
        <w:footnoteRef/>
      </w:r>
      <w:r>
        <w:t xml:space="preserve"> </w:t>
      </w:r>
      <w:r>
        <w:tab/>
        <w:t>NER, cls. 6.5.2 and 6A.6.2; NGR, r. 87.</w:t>
      </w:r>
    </w:p>
  </w:footnote>
  <w:footnote w:id="14">
    <w:p w:rsidR="00682431" w:rsidRDefault="00682431" w:rsidP="00E93282">
      <w:pPr>
        <w:pStyle w:val="FootnoteText"/>
      </w:pPr>
      <w:r>
        <w:rPr>
          <w:rStyle w:val="FootnoteReference"/>
        </w:rPr>
        <w:footnoteRef/>
      </w:r>
      <w:r>
        <w:t xml:space="preserve"> </w:t>
      </w:r>
      <w:r>
        <w:tab/>
      </w:r>
      <w:r w:rsidRPr="00B407FA">
        <w:t xml:space="preserve">Queensland Treasury Corporation (QTC), </w:t>
      </w:r>
      <w:r w:rsidRPr="00B407FA">
        <w:rPr>
          <w:rStyle w:val="AERtextitalic"/>
        </w:rPr>
        <w:t>Submission to AER’s rate of return guidelines consultation paper</w:t>
      </w:r>
      <w:r w:rsidRPr="00B407FA">
        <w:t>, 21</w:t>
      </w:r>
      <w:r>
        <w:t> </w:t>
      </w:r>
      <w:r w:rsidRPr="00B407FA">
        <w:t>June</w:t>
      </w:r>
      <w:r>
        <w:t> </w:t>
      </w:r>
      <w:r w:rsidRPr="00B407FA">
        <w:t>2013</w:t>
      </w:r>
      <w:r>
        <w:t>, pp. 29–30.</w:t>
      </w:r>
    </w:p>
  </w:footnote>
  <w:footnote w:id="15">
    <w:p w:rsidR="00682431" w:rsidRDefault="00682431" w:rsidP="00E93282">
      <w:pPr>
        <w:pStyle w:val="FootnoteText"/>
      </w:pPr>
      <w:r>
        <w:rPr>
          <w:rStyle w:val="FootnoteReference"/>
        </w:rPr>
        <w:footnoteRef/>
      </w:r>
      <w:r>
        <w:t xml:space="preserve"> </w:t>
      </w:r>
      <w:r>
        <w:tab/>
        <w:t>Due to the scarcity of relevant data for ten year debt and since the example is provided purely for illustrative purposes, we used the same parameter values as those provided by the QTC.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AC6DD7"/>
    <w:multiLevelType w:val="multilevel"/>
    <w:tmpl w:val="950A1C52"/>
    <w:numStyleLink w:val="AERHeadings"/>
  </w:abstractNum>
  <w:abstractNum w:abstractNumId="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3"/>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formatting="1" w:enforcement="1" w:cryptProviderType="rsaFull" w:cryptAlgorithmClass="hash" w:cryptAlgorithmType="typeAny" w:cryptAlgorithmSid="4" w:cryptSpinCount="100000" w:hash="+wf1C3LII77Eiu+pvXrfx6YSN6Y=" w:salt="84xLaTEKml7rfLGOQPWlTg=="/>
  <w:defaultTabStop w:val="720"/>
  <w:drawingGridHorizontalSpacing w:val="10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2"/>
  </w:compat>
  <w:docVars>
    <w:docVar w:name="currentname" w:val="\\cbrvpwxfs01\home$\jande\Guideline - Rate of return.DOCX"/>
  </w:docVars>
  <w:rsids>
    <w:rsidRoot w:val="000C052F"/>
    <w:rsid w:val="00003AAE"/>
    <w:rsid w:val="000067F3"/>
    <w:rsid w:val="00011129"/>
    <w:rsid w:val="0002238E"/>
    <w:rsid w:val="00022606"/>
    <w:rsid w:val="00025E02"/>
    <w:rsid w:val="00030059"/>
    <w:rsid w:val="00035719"/>
    <w:rsid w:val="00040599"/>
    <w:rsid w:val="00040749"/>
    <w:rsid w:val="00052B95"/>
    <w:rsid w:val="00054E3A"/>
    <w:rsid w:val="0005550C"/>
    <w:rsid w:val="0005687C"/>
    <w:rsid w:val="00060174"/>
    <w:rsid w:val="00062F86"/>
    <w:rsid w:val="0006655C"/>
    <w:rsid w:val="00067755"/>
    <w:rsid w:val="00070AA7"/>
    <w:rsid w:val="000864B3"/>
    <w:rsid w:val="00090740"/>
    <w:rsid w:val="0009487B"/>
    <w:rsid w:val="000A16C8"/>
    <w:rsid w:val="000A1CC2"/>
    <w:rsid w:val="000A5342"/>
    <w:rsid w:val="000B15CA"/>
    <w:rsid w:val="000B7346"/>
    <w:rsid w:val="000C052F"/>
    <w:rsid w:val="000C3430"/>
    <w:rsid w:val="000D01DA"/>
    <w:rsid w:val="000D03C2"/>
    <w:rsid w:val="000D04B1"/>
    <w:rsid w:val="000D401F"/>
    <w:rsid w:val="000E1A25"/>
    <w:rsid w:val="000E4BDB"/>
    <w:rsid w:val="000F0039"/>
    <w:rsid w:val="000F3A6A"/>
    <w:rsid w:val="000F40D2"/>
    <w:rsid w:val="001001A3"/>
    <w:rsid w:val="00101A65"/>
    <w:rsid w:val="001033B3"/>
    <w:rsid w:val="00105636"/>
    <w:rsid w:val="001113C6"/>
    <w:rsid w:val="00112E85"/>
    <w:rsid w:val="0011306C"/>
    <w:rsid w:val="00114EE8"/>
    <w:rsid w:val="00122232"/>
    <w:rsid w:val="001232C5"/>
    <w:rsid w:val="00126AD1"/>
    <w:rsid w:val="00127986"/>
    <w:rsid w:val="00133365"/>
    <w:rsid w:val="0013558A"/>
    <w:rsid w:val="001378D8"/>
    <w:rsid w:val="00140E44"/>
    <w:rsid w:val="00147656"/>
    <w:rsid w:val="001477E3"/>
    <w:rsid w:val="00147AED"/>
    <w:rsid w:val="00152162"/>
    <w:rsid w:val="00152633"/>
    <w:rsid w:val="00152736"/>
    <w:rsid w:val="001543D2"/>
    <w:rsid w:val="00163627"/>
    <w:rsid w:val="00163CB9"/>
    <w:rsid w:val="00167EB9"/>
    <w:rsid w:val="00173EA6"/>
    <w:rsid w:val="00174026"/>
    <w:rsid w:val="00175760"/>
    <w:rsid w:val="00177A5E"/>
    <w:rsid w:val="0018475A"/>
    <w:rsid w:val="001856EE"/>
    <w:rsid w:val="0019056F"/>
    <w:rsid w:val="001940EC"/>
    <w:rsid w:val="00194C3C"/>
    <w:rsid w:val="001954D1"/>
    <w:rsid w:val="001A04F6"/>
    <w:rsid w:val="001A260F"/>
    <w:rsid w:val="001A35FB"/>
    <w:rsid w:val="001A3AD4"/>
    <w:rsid w:val="001A5718"/>
    <w:rsid w:val="001A7F30"/>
    <w:rsid w:val="001B1E7D"/>
    <w:rsid w:val="001B48A5"/>
    <w:rsid w:val="001B54E3"/>
    <w:rsid w:val="001C12E5"/>
    <w:rsid w:val="001C5EC4"/>
    <w:rsid w:val="001C6D6A"/>
    <w:rsid w:val="001C7D54"/>
    <w:rsid w:val="001D0ED9"/>
    <w:rsid w:val="001D5B08"/>
    <w:rsid w:val="001D6195"/>
    <w:rsid w:val="001D6274"/>
    <w:rsid w:val="001D6CE8"/>
    <w:rsid w:val="001E2BC8"/>
    <w:rsid w:val="001E3F74"/>
    <w:rsid w:val="001F627E"/>
    <w:rsid w:val="0020711E"/>
    <w:rsid w:val="00210880"/>
    <w:rsid w:val="00212A7C"/>
    <w:rsid w:val="00212C45"/>
    <w:rsid w:val="00214B32"/>
    <w:rsid w:val="002229EF"/>
    <w:rsid w:val="002257B9"/>
    <w:rsid w:val="00227E49"/>
    <w:rsid w:val="0023137D"/>
    <w:rsid w:val="00231782"/>
    <w:rsid w:val="00236B53"/>
    <w:rsid w:val="00237A32"/>
    <w:rsid w:val="00250F5F"/>
    <w:rsid w:val="00251867"/>
    <w:rsid w:val="00253351"/>
    <w:rsid w:val="00253912"/>
    <w:rsid w:val="00262CB3"/>
    <w:rsid w:val="00266710"/>
    <w:rsid w:val="00272021"/>
    <w:rsid w:val="00272615"/>
    <w:rsid w:val="00273E67"/>
    <w:rsid w:val="0028029B"/>
    <w:rsid w:val="002805B8"/>
    <w:rsid w:val="00280684"/>
    <w:rsid w:val="002938CE"/>
    <w:rsid w:val="0029559B"/>
    <w:rsid w:val="00297717"/>
    <w:rsid w:val="002A08DC"/>
    <w:rsid w:val="002A310E"/>
    <w:rsid w:val="002A6CBC"/>
    <w:rsid w:val="002A7376"/>
    <w:rsid w:val="002B1FE0"/>
    <w:rsid w:val="002B2F50"/>
    <w:rsid w:val="002B3DB2"/>
    <w:rsid w:val="002B422A"/>
    <w:rsid w:val="002B6640"/>
    <w:rsid w:val="002B6E05"/>
    <w:rsid w:val="002B7842"/>
    <w:rsid w:val="002C1AD9"/>
    <w:rsid w:val="002C302F"/>
    <w:rsid w:val="002C5F64"/>
    <w:rsid w:val="002C7EF0"/>
    <w:rsid w:val="002D25ED"/>
    <w:rsid w:val="002D61AC"/>
    <w:rsid w:val="002D6C39"/>
    <w:rsid w:val="002E1D6A"/>
    <w:rsid w:val="002E4720"/>
    <w:rsid w:val="002F2B68"/>
    <w:rsid w:val="00303452"/>
    <w:rsid w:val="00312AB6"/>
    <w:rsid w:val="00322CA5"/>
    <w:rsid w:val="00323075"/>
    <w:rsid w:val="0032354C"/>
    <w:rsid w:val="0032402C"/>
    <w:rsid w:val="00330C7E"/>
    <w:rsid w:val="003324F7"/>
    <w:rsid w:val="00334F88"/>
    <w:rsid w:val="00341EC5"/>
    <w:rsid w:val="0034609C"/>
    <w:rsid w:val="00347FD7"/>
    <w:rsid w:val="00351496"/>
    <w:rsid w:val="00353A91"/>
    <w:rsid w:val="00353C03"/>
    <w:rsid w:val="00355534"/>
    <w:rsid w:val="003602E5"/>
    <w:rsid w:val="003602E9"/>
    <w:rsid w:val="00363DAA"/>
    <w:rsid w:val="00364811"/>
    <w:rsid w:val="003707DB"/>
    <w:rsid w:val="00372801"/>
    <w:rsid w:val="00375740"/>
    <w:rsid w:val="00375AEC"/>
    <w:rsid w:val="00376236"/>
    <w:rsid w:val="0037652C"/>
    <w:rsid w:val="003776D9"/>
    <w:rsid w:val="003800E4"/>
    <w:rsid w:val="00380FF5"/>
    <w:rsid w:val="00380FF6"/>
    <w:rsid w:val="003822AB"/>
    <w:rsid w:val="00382823"/>
    <w:rsid w:val="00385961"/>
    <w:rsid w:val="003963BF"/>
    <w:rsid w:val="003A6174"/>
    <w:rsid w:val="003B464E"/>
    <w:rsid w:val="003B6799"/>
    <w:rsid w:val="003C2E72"/>
    <w:rsid w:val="003C67F3"/>
    <w:rsid w:val="003C747B"/>
    <w:rsid w:val="003D2185"/>
    <w:rsid w:val="003E187C"/>
    <w:rsid w:val="003E3464"/>
    <w:rsid w:val="003E414F"/>
    <w:rsid w:val="003E4811"/>
    <w:rsid w:val="003E7336"/>
    <w:rsid w:val="003F4331"/>
    <w:rsid w:val="0040298C"/>
    <w:rsid w:val="004030AB"/>
    <w:rsid w:val="004056B2"/>
    <w:rsid w:val="00412282"/>
    <w:rsid w:val="004125E3"/>
    <w:rsid w:val="004256BA"/>
    <w:rsid w:val="00431999"/>
    <w:rsid w:val="00431B75"/>
    <w:rsid w:val="00435682"/>
    <w:rsid w:val="004360D2"/>
    <w:rsid w:val="004421EE"/>
    <w:rsid w:val="004433F9"/>
    <w:rsid w:val="0044481E"/>
    <w:rsid w:val="00446B3B"/>
    <w:rsid w:val="004507D0"/>
    <w:rsid w:val="00455C04"/>
    <w:rsid w:val="00456081"/>
    <w:rsid w:val="004606BE"/>
    <w:rsid w:val="0046324E"/>
    <w:rsid w:val="004641BA"/>
    <w:rsid w:val="00464F5D"/>
    <w:rsid w:val="00471574"/>
    <w:rsid w:val="00471B96"/>
    <w:rsid w:val="00474FBD"/>
    <w:rsid w:val="004809EF"/>
    <w:rsid w:val="00490DBA"/>
    <w:rsid w:val="00491D7D"/>
    <w:rsid w:val="00494982"/>
    <w:rsid w:val="004A59A8"/>
    <w:rsid w:val="004A6E56"/>
    <w:rsid w:val="004B0B30"/>
    <w:rsid w:val="004B3B17"/>
    <w:rsid w:val="004B5BBD"/>
    <w:rsid w:val="004C1F02"/>
    <w:rsid w:val="004C3F45"/>
    <w:rsid w:val="004C43AD"/>
    <w:rsid w:val="004C679A"/>
    <w:rsid w:val="004C6DD4"/>
    <w:rsid w:val="004E063E"/>
    <w:rsid w:val="004E40EF"/>
    <w:rsid w:val="004E6E2B"/>
    <w:rsid w:val="004E73F7"/>
    <w:rsid w:val="004F1C8E"/>
    <w:rsid w:val="004F6CAC"/>
    <w:rsid w:val="004F76A0"/>
    <w:rsid w:val="00500043"/>
    <w:rsid w:val="00500E7F"/>
    <w:rsid w:val="005020B2"/>
    <w:rsid w:val="005114FB"/>
    <w:rsid w:val="00512125"/>
    <w:rsid w:val="00512DD8"/>
    <w:rsid w:val="005133C4"/>
    <w:rsid w:val="0051695E"/>
    <w:rsid w:val="00517978"/>
    <w:rsid w:val="00520B85"/>
    <w:rsid w:val="0052179D"/>
    <w:rsid w:val="0053069A"/>
    <w:rsid w:val="0053379E"/>
    <w:rsid w:val="00534630"/>
    <w:rsid w:val="00535EB3"/>
    <w:rsid w:val="00541C6B"/>
    <w:rsid w:val="00544EBA"/>
    <w:rsid w:val="00544FD3"/>
    <w:rsid w:val="005455E6"/>
    <w:rsid w:val="005456A9"/>
    <w:rsid w:val="00545C2D"/>
    <w:rsid w:val="00545D36"/>
    <w:rsid w:val="005466D7"/>
    <w:rsid w:val="00547CC9"/>
    <w:rsid w:val="00555D52"/>
    <w:rsid w:val="005566D7"/>
    <w:rsid w:val="00561F7F"/>
    <w:rsid w:val="00566B35"/>
    <w:rsid w:val="00567280"/>
    <w:rsid w:val="00572917"/>
    <w:rsid w:val="00572C78"/>
    <w:rsid w:val="005732CC"/>
    <w:rsid w:val="00573996"/>
    <w:rsid w:val="00573B94"/>
    <w:rsid w:val="00573F68"/>
    <w:rsid w:val="00575422"/>
    <w:rsid w:val="0057755B"/>
    <w:rsid w:val="005818EB"/>
    <w:rsid w:val="0058646D"/>
    <w:rsid w:val="005928FA"/>
    <w:rsid w:val="005938C6"/>
    <w:rsid w:val="00596588"/>
    <w:rsid w:val="005A0431"/>
    <w:rsid w:val="005A429B"/>
    <w:rsid w:val="005A4EA9"/>
    <w:rsid w:val="005B3752"/>
    <w:rsid w:val="005B61C2"/>
    <w:rsid w:val="005C1FA7"/>
    <w:rsid w:val="005C4161"/>
    <w:rsid w:val="005C7ECE"/>
    <w:rsid w:val="005D061E"/>
    <w:rsid w:val="005D26B7"/>
    <w:rsid w:val="005D4AA1"/>
    <w:rsid w:val="005E4B39"/>
    <w:rsid w:val="005F6082"/>
    <w:rsid w:val="005F636F"/>
    <w:rsid w:val="0060146C"/>
    <w:rsid w:val="0060207D"/>
    <w:rsid w:val="0060371D"/>
    <w:rsid w:val="006039F2"/>
    <w:rsid w:val="006061B0"/>
    <w:rsid w:val="0060732E"/>
    <w:rsid w:val="006076A9"/>
    <w:rsid w:val="0061051F"/>
    <w:rsid w:val="00613314"/>
    <w:rsid w:val="00615000"/>
    <w:rsid w:val="006166A7"/>
    <w:rsid w:val="00616E23"/>
    <w:rsid w:val="00617B56"/>
    <w:rsid w:val="00622E4F"/>
    <w:rsid w:val="006238B8"/>
    <w:rsid w:val="00624A10"/>
    <w:rsid w:val="006342E9"/>
    <w:rsid w:val="006344B5"/>
    <w:rsid w:val="00634B1B"/>
    <w:rsid w:val="0065193C"/>
    <w:rsid w:val="006544EA"/>
    <w:rsid w:val="00656E0C"/>
    <w:rsid w:val="0066569F"/>
    <w:rsid w:val="00672508"/>
    <w:rsid w:val="00672944"/>
    <w:rsid w:val="00682431"/>
    <w:rsid w:val="00687092"/>
    <w:rsid w:val="0069004B"/>
    <w:rsid w:val="006A17D7"/>
    <w:rsid w:val="006A48A7"/>
    <w:rsid w:val="006B08CE"/>
    <w:rsid w:val="006B08EB"/>
    <w:rsid w:val="006B18EF"/>
    <w:rsid w:val="006B481F"/>
    <w:rsid w:val="006B52CF"/>
    <w:rsid w:val="006B5BFE"/>
    <w:rsid w:val="006C1C91"/>
    <w:rsid w:val="006C20A0"/>
    <w:rsid w:val="006D1269"/>
    <w:rsid w:val="006D1999"/>
    <w:rsid w:val="006D2A3A"/>
    <w:rsid w:val="006D5051"/>
    <w:rsid w:val="006D71B9"/>
    <w:rsid w:val="006E51BD"/>
    <w:rsid w:val="006E6DDC"/>
    <w:rsid w:val="006E7EA3"/>
    <w:rsid w:val="006F1AFA"/>
    <w:rsid w:val="006F3B2F"/>
    <w:rsid w:val="006F638E"/>
    <w:rsid w:val="00700297"/>
    <w:rsid w:val="00703E42"/>
    <w:rsid w:val="0070642E"/>
    <w:rsid w:val="00710238"/>
    <w:rsid w:val="00717D71"/>
    <w:rsid w:val="00723FE6"/>
    <w:rsid w:val="00724128"/>
    <w:rsid w:val="00724C9A"/>
    <w:rsid w:val="007273A5"/>
    <w:rsid w:val="007368AD"/>
    <w:rsid w:val="00737265"/>
    <w:rsid w:val="00741FE2"/>
    <w:rsid w:val="0074295E"/>
    <w:rsid w:val="00751D2A"/>
    <w:rsid w:val="00752189"/>
    <w:rsid w:val="0075301C"/>
    <w:rsid w:val="00755095"/>
    <w:rsid w:val="00756CC1"/>
    <w:rsid w:val="007662A5"/>
    <w:rsid w:val="007673AB"/>
    <w:rsid w:val="00773482"/>
    <w:rsid w:val="00780184"/>
    <w:rsid w:val="00780589"/>
    <w:rsid w:val="007824B4"/>
    <w:rsid w:val="00785E38"/>
    <w:rsid w:val="00795B15"/>
    <w:rsid w:val="00796A07"/>
    <w:rsid w:val="007B5AB7"/>
    <w:rsid w:val="007B7830"/>
    <w:rsid w:val="007D00A8"/>
    <w:rsid w:val="007D7ADA"/>
    <w:rsid w:val="007E1562"/>
    <w:rsid w:val="007E238B"/>
    <w:rsid w:val="007E36C4"/>
    <w:rsid w:val="007E4D6A"/>
    <w:rsid w:val="007E5270"/>
    <w:rsid w:val="007E59A1"/>
    <w:rsid w:val="007E7DA2"/>
    <w:rsid w:val="007F10E3"/>
    <w:rsid w:val="007F2C0E"/>
    <w:rsid w:val="0080117F"/>
    <w:rsid w:val="00804AEB"/>
    <w:rsid w:val="0081051B"/>
    <w:rsid w:val="00810D64"/>
    <w:rsid w:val="00824653"/>
    <w:rsid w:val="00824CC8"/>
    <w:rsid w:val="008259AE"/>
    <w:rsid w:val="00825F4D"/>
    <w:rsid w:val="00827331"/>
    <w:rsid w:val="00830DEB"/>
    <w:rsid w:val="0083263E"/>
    <w:rsid w:val="00836D17"/>
    <w:rsid w:val="00840A55"/>
    <w:rsid w:val="00841E25"/>
    <w:rsid w:val="00842096"/>
    <w:rsid w:val="008464CD"/>
    <w:rsid w:val="008466AD"/>
    <w:rsid w:val="00847807"/>
    <w:rsid w:val="00847DBF"/>
    <w:rsid w:val="008515EE"/>
    <w:rsid w:val="00852216"/>
    <w:rsid w:val="0085273A"/>
    <w:rsid w:val="0086170F"/>
    <w:rsid w:val="00861B95"/>
    <w:rsid w:val="00861C4E"/>
    <w:rsid w:val="00865C97"/>
    <w:rsid w:val="00866D21"/>
    <w:rsid w:val="00872A35"/>
    <w:rsid w:val="00872D85"/>
    <w:rsid w:val="00876D26"/>
    <w:rsid w:val="008814D1"/>
    <w:rsid w:val="00882260"/>
    <w:rsid w:val="00883DDA"/>
    <w:rsid w:val="00886B02"/>
    <w:rsid w:val="00890EA1"/>
    <w:rsid w:val="00891FF9"/>
    <w:rsid w:val="00893367"/>
    <w:rsid w:val="008936EE"/>
    <w:rsid w:val="00894A7D"/>
    <w:rsid w:val="008A0131"/>
    <w:rsid w:val="008A3E60"/>
    <w:rsid w:val="008B2192"/>
    <w:rsid w:val="008B7956"/>
    <w:rsid w:val="008C3B67"/>
    <w:rsid w:val="008C3F48"/>
    <w:rsid w:val="008C43E4"/>
    <w:rsid w:val="008D11AB"/>
    <w:rsid w:val="008D49B4"/>
    <w:rsid w:val="008D5091"/>
    <w:rsid w:val="008D6699"/>
    <w:rsid w:val="008D6736"/>
    <w:rsid w:val="008D7498"/>
    <w:rsid w:val="0090210E"/>
    <w:rsid w:val="009068A5"/>
    <w:rsid w:val="00911DED"/>
    <w:rsid w:val="00913578"/>
    <w:rsid w:val="0093131E"/>
    <w:rsid w:val="00932E96"/>
    <w:rsid w:val="009343AA"/>
    <w:rsid w:val="009344B0"/>
    <w:rsid w:val="009356A3"/>
    <w:rsid w:val="009418E6"/>
    <w:rsid w:val="0094235F"/>
    <w:rsid w:val="0094279F"/>
    <w:rsid w:val="00942D80"/>
    <w:rsid w:val="0094316E"/>
    <w:rsid w:val="0094605A"/>
    <w:rsid w:val="00946B98"/>
    <w:rsid w:val="0095052A"/>
    <w:rsid w:val="00956A74"/>
    <w:rsid w:val="009658F0"/>
    <w:rsid w:val="00965EDF"/>
    <w:rsid w:val="00966BD8"/>
    <w:rsid w:val="00971655"/>
    <w:rsid w:val="00971C63"/>
    <w:rsid w:val="009768FA"/>
    <w:rsid w:val="00977B32"/>
    <w:rsid w:val="00985BA2"/>
    <w:rsid w:val="00990EB9"/>
    <w:rsid w:val="00993EB9"/>
    <w:rsid w:val="00994BF9"/>
    <w:rsid w:val="009963AA"/>
    <w:rsid w:val="009A2EA1"/>
    <w:rsid w:val="009A4AE9"/>
    <w:rsid w:val="009A5192"/>
    <w:rsid w:val="009B3259"/>
    <w:rsid w:val="009C08F1"/>
    <w:rsid w:val="009C71D5"/>
    <w:rsid w:val="009D2620"/>
    <w:rsid w:val="009E5019"/>
    <w:rsid w:val="009F19F7"/>
    <w:rsid w:val="009F6763"/>
    <w:rsid w:val="009F7CE4"/>
    <w:rsid w:val="00A00AB6"/>
    <w:rsid w:val="00A0469F"/>
    <w:rsid w:val="00A05952"/>
    <w:rsid w:val="00A07404"/>
    <w:rsid w:val="00A11162"/>
    <w:rsid w:val="00A17BAA"/>
    <w:rsid w:val="00A17F2B"/>
    <w:rsid w:val="00A2131A"/>
    <w:rsid w:val="00A219D3"/>
    <w:rsid w:val="00A249C5"/>
    <w:rsid w:val="00A25966"/>
    <w:rsid w:val="00A2597D"/>
    <w:rsid w:val="00A262B0"/>
    <w:rsid w:val="00A30285"/>
    <w:rsid w:val="00A351AA"/>
    <w:rsid w:val="00A4268C"/>
    <w:rsid w:val="00A43227"/>
    <w:rsid w:val="00A45DCB"/>
    <w:rsid w:val="00A46CCD"/>
    <w:rsid w:val="00A55C1F"/>
    <w:rsid w:val="00A57D05"/>
    <w:rsid w:val="00A62C15"/>
    <w:rsid w:val="00A65133"/>
    <w:rsid w:val="00A652C5"/>
    <w:rsid w:val="00A67CC7"/>
    <w:rsid w:val="00A67E56"/>
    <w:rsid w:val="00A76DFD"/>
    <w:rsid w:val="00A81407"/>
    <w:rsid w:val="00A85639"/>
    <w:rsid w:val="00A85C5A"/>
    <w:rsid w:val="00A874BB"/>
    <w:rsid w:val="00A91FA5"/>
    <w:rsid w:val="00A9363B"/>
    <w:rsid w:val="00A94F1F"/>
    <w:rsid w:val="00A96A08"/>
    <w:rsid w:val="00AA0161"/>
    <w:rsid w:val="00AA0649"/>
    <w:rsid w:val="00AB1D08"/>
    <w:rsid w:val="00AB4345"/>
    <w:rsid w:val="00AB5BD7"/>
    <w:rsid w:val="00AC0135"/>
    <w:rsid w:val="00AC070D"/>
    <w:rsid w:val="00AC1627"/>
    <w:rsid w:val="00AC1B94"/>
    <w:rsid w:val="00AC5384"/>
    <w:rsid w:val="00AD0616"/>
    <w:rsid w:val="00AD34FF"/>
    <w:rsid w:val="00AD38BE"/>
    <w:rsid w:val="00AD4DE6"/>
    <w:rsid w:val="00AD6B96"/>
    <w:rsid w:val="00AE5759"/>
    <w:rsid w:val="00AE6DBC"/>
    <w:rsid w:val="00AF23BF"/>
    <w:rsid w:val="00AF3E95"/>
    <w:rsid w:val="00AF4A7B"/>
    <w:rsid w:val="00AF7C67"/>
    <w:rsid w:val="00AF7CA7"/>
    <w:rsid w:val="00B01229"/>
    <w:rsid w:val="00B02627"/>
    <w:rsid w:val="00B05A0F"/>
    <w:rsid w:val="00B14804"/>
    <w:rsid w:val="00B15354"/>
    <w:rsid w:val="00B15FE9"/>
    <w:rsid w:val="00B17A9B"/>
    <w:rsid w:val="00B3241E"/>
    <w:rsid w:val="00B345C0"/>
    <w:rsid w:val="00B36686"/>
    <w:rsid w:val="00B37802"/>
    <w:rsid w:val="00B4305F"/>
    <w:rsid w:val="00B51883"/>
    <w:rsid w:val="00B519C6"/>
    <w:rsid w:val="00B51B3E"/>
    <w:rsid w:val="00B52A40"/>
    <w:rsid w:val="00B61FD4"/>
    <w:rsid w:val="00B63F84"/>
    <w:rsid w:val="00B6699C"/>
    <w:rsid w:val="00B674DB"/>
    <w:rsid w:val="00B6785F"/>
    <w:rsid w:val="00B679BB"/>
    <w:rsid w:val="00B716AF"/>
    <w:rsid w:val="00B75AFB"/>
    <w:rsid w:val="00B810C4"/>
    <w:rsid w:val="00B82E8D"/>
    <w:rsid w:val="00B9264D"/>
    <w:rsid w:val="00B92851"/>
    <w:rsid w:val="00B94D99"/>
    <w:rsid w:val="00BA00B6"/>
    <w:rsid w:val="00BA692D"/>
    <w:rsid w:val="00BA6C5B"/>
    <w:rsid w:val="00BA77A1"/>
    <w:rsid w:val="00BB3FA1"/>
    <w:rsid w:val="00BB5D05"/>
    <w:rsid w:val="00BB62BB"/>
    <w:rsid w:val="00BC05C5"/>
    <w:rsid w:val="00BC0EE2"/>
    <w:rsid w:val="00BC22A7"/>
    <w:rsid w:val="00BC54BE"/>
    <w:rsid w:val="00BC7D83"/>
    <w:rsid w:val="00BD04BE"/>
    <w:rsid w:val="00BD0D4D"/>
    <w:rsid w:val="00BE28E0"/>
    <w:rsid w:val="00BE6F28"/>
    <w:rsid w:val="00BF0C22"/>
    <w:rsid w:val="00BF29FA"/>
    <w:rsid w:val="00BF30D6"/>
    <w:rsid w:val="00C029AE"/>
    <w:rsid w:val="00C02B82"/>
    <w:rsid w:val="00C04D2B"/>
    <w:rsid w:val="00C05473"/>
    <w:rsid w:val="00C122D1"/>
    <w:rsid w:val="00C123C1"/>
    <w:rsid w:val="00C13106"/>
    <w:rsid w:val="00C159B4"/>
    <w:rsid w:val="00C22A70"/>
    <w:rsid w:val="00C37865"/>
    <w:rsid w:val="00C403E7"/>
    <w:rsid w:val="00C42DCD"/>
    <w:rsid w:val="00C45E5F"/>
    <w:rsid w:val="00C47A49"/>
    <w:rsid w:val="00C54DE9"/>
    <w:rsid w:val="00C55980"/>
    <w:rsid w:val="00C62BB7"/>
    <w:rsid w:val="00C737C5"/>
    <w:rsid w:val="00C77716"/>
    <w:rsid w:val="00C8088F"/>
    <w:rsid w:val="00C808A5"/>
    <w:rsid w:val="00C81A33"/>
    <w:rsid w:val="00C8682B"/>
    <w:rsid w:val="00C9045B"/>
    <w:rsid w:val="00C9127C"/>
    <w:rsid w:val="00C96ED9"/>
    <w:rsid w:val="00CA34F4"/>
    <w:rsid w:val="00CA3540"/>
    <w:rsid w:val="00CA390C"/>
    <w:rsid w:val="00CA4671"/>
    <w:rsid w:val="00CA499C"/>
    <w:rsid w:val="00CA523E"/>
    <w:rsid w:val="00CA639B"/>
    <w:rsid w:val="00CA6DED"/>
    <w:rsid w:val="00CA79D1"/>
    <w:rsid w:val="00CB63F5"/>
    <w:rsid w:val="00CB740D"/>
    <w:rsid w:val="00CB7EB3"/>
    <w:rsid w:val="00CC043E"/>
    <w:rsid w:val="00CC0A75"/>
    <w:rsid w:val="00CC49D4"/>
    <w:rsid w:val="00CD1D87"/>
    <w:rsid w:val="00CD2490"/>
    <w:rsid w:val="00CD4F60"/>
    <w:rsid w:val="00CD6CA9"/>
    <w:rsid w:val="00CE242A"/>
    <w:rsid w:val="00CE2F25"/>
    <w:rsid w:val="00CE4B58"/>
    <w:rsid w:val="00CE6F5A"/>
    <w:rsid w:val="00CF0387"/>
    <w:rsid w:val="00CF09AF"/>
    <w:rsid w:val="00CF2D6B"/>
    <w:rsid w:val="00CF42CF"/>
    <w:rsid w:val="00CF512A"/>
    <w:rsid w:val="00CF73BD"/>
    <w:rsid w:val="00CF7AC8"/>
    <w:rsid w:val="00D0350C"/>
    <w:rsid w:val="00D079EA"/>
    <w:rsid w:val="00D102E9"/>
    <w:rsid w:val="00D16076"/>
    <w:rsid w:val="00D1688F"/>
    <w:rsid w:val="00D207DE"/>
    <w:rsid w:val="00D2117F"/>
    <w:rsid w:val="00D21ACF"/>
    <w:rsid w:val="00D25317"/>
    <w:rsid w:val="00D3282B"/>
    <w:rsid w:val="00D347A7"/>
    <w:rsid w:val="00D4325A"/>
    <w:rsid w:val="00D509E4"/>
    <w:rsid w:val="00D527D6"/>
    <w:rsid w:val="00D55DFB"/>
    <w:rsid w:val="00D60355"/>
    <w:rsid w:val="00D63306"/>
    <w:rsid w:val="00D63368"/>
    <w:rsid w:val="00D6412B"/>
    <w:rsid w:val="00D66E8B"/>
    <w:rsid w:val="00D703D8"/>
    <w:rsid w:val="00D708A8"/>
    <w:rsid w:val="00D7131D"/>
    <w:rsid w:val="00D85715"/>
    <w:rsid w:val="00D8706C"/>
    <w:rsid w:val="00D90BD1"/>
    <w:rsid w:val="00D911F1"/>
    <w:rsid w:val="00D953B5"/>
    <w:rsid w:val="00DA45B7"/>
    <w:rsid w:val="00DA4C62"/>
    <w:rsid w:val="00DA5124"/>
    <w:rsid w:val="00DA5A7A"/>
    <w:rsid w:val="00DA66EB"/>
    <w:rsid w:val="00DA6847"/>
    <w:rsid w:val="00DB2F8B"/>
    <w:rsid w:val="00DB6A17"/>
    <w:rsid w:val="00DC2456"/>
    <w:rsid w:val="00DC636E"/>
    <w:rsid w:val="00DC7DA6"/>
    <w:rsid w:val="00DD5520"/>
    <w:rsid w:val="00DE1C2F"/>
    <w:rsid w:val="00DE4406"/>
    <w:rsid w:val="00DE7FA3"/>
    <w:rsid w:val="00DF16C2"/>
    <w:rsid w:val="00DF3382"/>
    <w:rsid w:val="00DF6631"/>
    <w:rsid w:val="00E00F76"/>
    <w:rsid w:val="00E019F4"/>
    <w:rsid w:val="00E029F6"/>
    <w:rsid w:val="00E03FD4"/>
    <w:rsid w:val="00E04601"/>
    <w:rsid w:val="00E050AC"/>
    <w:rsid w:val="00E06B1B"/>
    <w:rsid w:val="00E12106"/>
    <w:rsid w:val="00E1409D"/>
    <w:rsid w:val="00E15946"/>
    <w:rsid w:val="00E1631B"/>
    <w:rsid w:val="00E21E75"/>
    <w:rsid w:val="00E243CB"/>
    <w:rsid w:val="00E31772"/>
    <w:rsid w:val="00E322E5"/>
    <w:rsid w:val="00E37AC2"/>
    <w:rsid w:val="00E4077B"/>
    <w:rsid w:val="00E43DB9"/>
    <w:rsid w:val="00E45E21"/>
    <w:rsid w:val="00E519DC"/>
    <w:rsid w:val="00E51DC6"/>
    <w:rsid w:val="00E53B55"/>
    <w:rsid w:val="00E55422"/>
    <w:rsid w:val="00E55BFA"/>
    <w:rsid w:val="00E70E0C"/>
    <w:rsid w:val="00E7160A"/>
    <w:rsid w:val="00E807DA"/>
    <w:rsid w:val="00E80A53"/>
    <w:rsid w:val="00E80DEF"/>
    <w:rsid w:val="00E84E3A"/>
    <w:rsid w:val="00E93282"/>
    <w:rsid w:val="00E95164"/>
    <w:rsid w:val="00EA05AF"/>
    <w:rsid w:val="00EA4B63"/>
    <w:rsid w:val="00EB2023"/>
    <w:rsid w:val="00EB65C6"/>
    <w:rsid w:val="00EB7E26"/>
    <w:rsid w:val="00EC43B9"/>
    <w:rsid w:val="00ED0D2C"/>
    <w:rsid w:val="00ED4D69"/>
    <w:rsid w:val="00ED53F0"/>
    <w:rsid w:val="00EE08C0"/>
    <w:rsid w:val="00EE362F"/>
    <w:rsid w:val="00EE6090"/>
    <w:rsid w:val="00EE7FD6"/>
    <w:rsid w:val="00EE7FF9"/>
    <w:rsid w:val="00EF0E19"/>
    <w:rsid w:val="00EF2F53"/>
    <w:rsid w:val="00EF5BE6"/>
    <w:rsid w:val="00F02ED6"/>
    <w:rsid w:val="00F054E5"/>
    <w:rsid w:val="00F114AE"/>
    <w:rsid w:val="00F154A9"/>
    <w:rsid w:val="00F15CBA"/>
    <w:rsid w:val="00F172C8"/>
    <w:rsid w:val="00F173AF"/>
    <w:rsid w:val="00F22934"/>
    <w:rsid w:val="00F23306"/>
    <w:rsid w:val="00F32065"/>
    <w:rsid w:val="00F37B29"/>
    <w:rsid w:val="00F42757"/>
    <w:rsid w:val="00F43CA0"/>
    <w:rsid w:val="00F465D5"/>
    <w:rsid w:val="00F55030"/>
    <w:rsid w:val="00F56B5F"/>
    <w:rsid w:val="00F60CBF"/>
    <w:rsid w:val="00F61218"/>
    <w:rsid w:val="00F62BA8"/>
    <w:rsid w:val="00F648A8"/>
    <w:rsid w:val="00F66BE3"/>
    <w:rsid w:val="00F71862"/>
    <w:rsid w:val="00F7696F"/>
    <w:rsid w:val="00F774A8"/>
    <w:rsid w:val="00F8209B"/>
    <w:rsid w:val="00F8623C"/>
    <w:rsid w:val="00F92977"/>
    <w:rsid w:val="00F97CD9"/>
    <w:rsid w:val="00FA0576"/>
    <w:rsid w:val="00FA0A83"/>
    <w:rsid w:val="00FA117F"/>
    <w:rsid w:val="00FA33A2"/>
    <w:rsid w:val="00FB50B4"/>
    <w:rsid w:val="00FB607E"/>
    <w:rsid w:val="00FB70D6"/>
    <w:rsid w:val="00FC3481"/>
    <w:rsid w:val="00FD4B97"/>
    <w:rsid w:val="00FD5587"/>
    <w:rsid w:val="00FD744A"/>
    <w:rsid w:val="00FE4A1A"/>
    <w:rsid w:val="00FE55EB"/>
    <w:rsid w:val="00FF0247"/>
    <w:rsid w:val="00FF1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9"/>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CB740D"/>
    <w:pPr>
      <w:numPr>
        <w:ilvl w:val="4"/>
      </w:numPr>
    </w:pPr>
  </w:style>
  <w:style w:type="paragraph" w:customStyle="1" w:styleId="AERnumberedlist2second">
    <w:name w:val="AER numbered list 2 second"/>
    <w:basedOn w:val="AERnumberedlist2first"/>
    <w:qFormat/>
    <w:rsid w:val="00CB740D"/>
    <w:pPr>
      <w:numPr>
        <w:ilvl w:val="5"/>
      </w:numPr>
    </w:pPr>
  </w:style>
  <w:style w:type="paragraph" w:customStyle="1" w:styleId="AERnumberedlist2third">
    <w:name w:val="AER numbered list 2 third"/>
    <w:basedOn w:val="AERnumberedlist2second"/>
    <w:qFormat/>
    <w:rsid w:val="00CB740D"/>
    <w:pPr>
      <w:numPr>
        <w:ilvl w:val="6"/>
      </w:numPr>
    </w:pPr>
  </w:style>
  <w:style w:type="paragraph" w:customStyle="1" w:styleId="HeadingBoldBlue">
    <w:name w:val="Heading Bold Blue"/>
    <w:basedOn w:val="AERbodytext"/>
    <w:next w:val="AERbodytext"/>
    <w:link w:val="HeadingBoldBlueChar"/>
    <w:qFormat/>
    <w:rsid w:val="00CB740D"/>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CB740D"/>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CB740D"/>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CB740D"/>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HeadingOrange">
    <w:name w:val="Heading Orange"/>
    <w:basedOn w:val="HeadingBoldItalic"/>
    <w:qFormat/>
    <w:rsid w:val="00CB740D"/>
    <w:rPr>
      <w:i w:val="0"/>
      <w:sz w:val="20"/>
    </w:rPr>
  </w:style>
  <w:style w:type="paragraph" w:customStyle="1" w:styleId="AERbodytextcentre">
    <w:name w:val="AER body text centre"/>
    <w:basedOn w:val="AERbodytext"/>
    <w:qFormat/>
    <w:rsid w:val="00CB740D"/>
    <w:pPr>
      <w:numPr>
        <w:numId w:val="0"/>
      </w:numPr>
      <w:jc w:val="center"/>
    </w:pPr>
  </w:style>
  <w:style w:type="paragraph" w:customStyle="1" w:styleId="AERbodytextleftalign">
    <w:name w:val="AER body text left align"/>
    <w:basedOn w:val="AERbodytext"/>
    <w:qFormat/>
    <w:rsid w:val="00CB740D"/>
    <w:pPr>
      <w:numPr>
        <w:numId w:val="0"/>
      </w:numPr>
      <w:jc w:val="left"/>
    </w:pPr>
  </w:style>
  <w:style w:type="paragraph" w:customStyle="1" w:styleId="AERbodytextnospacecentre">
    <w:name w:val="AER body text no space centre"/>
    <w:basedOn w:val="AERbodytextnospace"/>
    <w:qFormat/>
    <w:rsid w:val="00CB740D"/>
    <w:pPr>
      <w:numPr>
        <w:numId w:val="0"/>
      </w:numPr>
      <w:jc w:val="center"/>
    </w:pPr>
  </w:style>
  <w:style w:type="paragraph" w:customStyle="1" w:styleId="AERbodytextnospaceleftalign">
    <w:name w:val="AER body text no space left align"/>
    <w:basedOn w:val="AERbodytextnospace"/>
    <w:qFormat/>
    <w:rsid w:val="00CB740D"/>
    <w:pPr>
      <w:numPr>
        <w:numId w:val="0"/>
      </w:numPr>
      <w:tabs>
        <w:tab w:val="num" w:pos="0"/>
      </w:tabs>
      <w:jc w:val="left"/>
    </w:pPr>
  </w:style>
  <w:style w:type="paragraph" w:styleId="Revision">
    <w:name w:val="Revision"/>
    <w:hidden/>
    <w:uiPriority w:val="99"/>
    <w:semiHidden/>
    <w:rsid w:val="00353A91"/>
    <w:rPr>
      <w:lang w:eastAsia="en-US"/>
    </w:rPr>
  </w:style>
  <w:style w:type="character" w:styleId="FollowedHyperlink">
    <w:name w:val="FollowedHyperlink"/>
    <w:basedOn w:val="DefaultParagraphFont"/>
    <w:uiPriority w:val="99"/>
    <w:semiHidden/>
    <w:unhideWhenUsed/>
    <w:rsid w:val="00353A91"/>
    <w:rPr>
      <w:color w:val="800080" w:themeColor="followedHyperlink"/>
      <w:u w:val="single"/>
    </w:rPr>
  </w:style>
  <w:style w:type="paragraph" w:styleId="NormalWeb">
    <w:name w:val="Normal (Web)"/>
    <w:basedOn w:val="Normal"/>
    <w:uiPriority w:val="99"/>
    <w:semiHidden/>
    <w:unhideWhenUsed/>
    <w:locked/>
    <w:rsid w:val="00353A91"/>
    <w:rPr>
      <w:rFonts w:ascii="Times New Roman" w:hAnsi="Times New Roman"/>
      <w:sz w:val="24"/>
      <w:szCs w:val="24"/>
    </w:rPr>
  </w:style>
  <w:style w:type="paragraph" w:styleId="Subtitle">
    <w:name w:val="Subtitle"/>
    <w:basedOn w:val="Normal"/>
    <w:next w:val="Normal"/>
    <w:link w:val="SubtitleChar"/>
    <w:uiPriority w:val="11"/>
    <w:semiHidden/>
    <w:unhideWhenUsed/>
    <w:qFormat/>
    <w:rsid w:val="00353A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53A91"/>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semiHidden/>
    <w:rsid w:val="00353A91"/>
    <w:pPr>
      <w:jc w:val="both"/>
    </w:pPr>
    <w:rPr>
      <w:lang w:eastAsia="en-US"/>
    </w:rPr>
  </w:style>
  <w:style w:type="paragraph" w:styleId="ListBullet">
    <w:name w:val="List Bullet"/>
    <w:basedOn w:val="Normal"/>
    <w:uiPriority w:val="99"/>
    <w:semiHidden/>
    <w:unhideWhenUsed/>
    <w:locked/>
    <w:rsid w:val="00353A91"/>
    <w:pPr>
      <w:tabs>
        <w:tab w:val="num" w:pos="0"/>
      </w:tabs>
      <w:contextualSpacing/>
    </w:pPr>
  </w:style>
  <w:style w:type="paragraph" w:styleId="ListBullet2">
    <w:name w:val="List Bullet 2"/>
    <w:basedOn w:val="Normal"/>
    <w:uiPriority w:val="99"/>
    <w:semiHidden/>
    <w:unhideWhenUsed/>
    <w:locked/>
    <w:rsid w:val="00353A91"/>
    <w:pPr>
      <w:tabs>
        <w:tab w:val="num" w:pos="0"/>
      </w:tabs>
      <w:contextualSpacing/>
    </w:pPr>
  </w:style>
  <w:style w:type="paragraph" w:styleId="ListBullet3">
    <w:name w:val="List Bullet 3"/>
    <w:basedOn w:val="Normal"/>
    <w:uiPriority w:val="99"/>
    <w:semiHidden/>
    <w:unhideWhenUsed/>
    <w:locked/>
    <w:rsid w:val="00353A91"/>
    <w:pPr>
      <w:ind w:left="1077" w:hanging="360"/>
      <w:contextualSpacing/>
    </w:pPr>
  </w:style>
  <w:style w:type="paragraph" w:styleId="ListBullet4">
    <w:name w:val="List Bullet 4"/>
    <w:basedOn w:val="Normal"/>
    <w:uiPriority w:val="99"/>
    <w:semiHidden/>
    <w:unhideWhenUsed/>
    <w:locked/>
    <w:rsid w:val="00353A91"/>
    <w:pPr>
      <w:tabs>
        <w:tab w:val="num" w:pos="0"/>
      </w:tabs>
      <w:contextualSpacing/>
    </w:pPr>
  </w:style>
  <w:style w:type="paragraph" w:styleId="ListBullet5">
    <w:name w:val="List Bullet 5"/>
    <w:basedOn w:val="Normal"/>
    <w:uiPriority w:val="99"/>
    <w:semiHidden/>
    <w:unhideWhenUsed/>
    <w:locked/>
    <w:rsid w:val="00353A91"/>
    <w:pPr>
      <w:ind w:left="1077" w:hanging="360"/>
      <w:contextualSpacing/>
    </w:pPr>
  </w:style>
  <w:style w:type="character" w:styleId="PlaceholderText">
    <w:name w:val="Placeholder Text"/>
    <w:basedOn w:val="DefaultParagraphFont"/>
    <w:uiPriority w:val="99"/>
    <w:semiHidden/>
    <w:unhideWhenUsed/>
    <w:rsid w:val="00E93282"/>
    <w:rPr>
      <w:color w:val="808080"/>
    </w:rPr>
  </w:style>
  <w:style w:type="paragraph" w:styleId="Quote">
    <w:name w:val="Quote"/>
    <w:basedOn w:val="Normal"/>
    <w:next w:val="Normal"/>
    <w:link w:val="QuoteChar"/>
    <w:uiPriority w:val="29"/>
    <w:unhideWhenUsed/>
    <w:qFormat/>
    <w:rsid w:val="00E93282"/>
    <w:rPr>
      <w:i/>
      <w:iCs/>
      <w:color w:val="000000" w:themeColor="text1"/>
    </w:rPr>
  </w:style>
  <w:style w:type="character" w:customStyle="1" w:styleId="QuoteChar">
    <w:name w:val="Quote Char"/>
    <w:basedOn w:val="DefaultParagraphFont"/>
    <w:link w:val="Quote"/>
    <w:uiPriority w:val="29"/>
    <w:rsid w:val="00E93282"/>
    <w:rPr>
      <w:i/>
      <w:iCs/>
      <w:color w:val="000000" w:themeColor="tex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8AF6-FD19-4685-85C0-91ADB47E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6D9429A5.dotm</Template>
  <TotalTime>85</TotalTime>
  <Pages>28</Pages>
  <Words>6701</Words>
  <Characters>38197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44809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JA</cp:lastModifiedBy>
  <cp:revision>21</cp:revision>
  <cp:lastPrinted>2013-12-16T04:42:00Z</cp:lastPrinted>
  <dcterms:created xsi:type="dcterms:W3CDTF">2013-12-11T22:28:00Z</dcterms:created>
  <dcterms:modified xsi:type="dcterms:W3CDTF">2013-12-16T04:44:00Z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\\cbrvpwxfs01\home$\jande\Guideline - Rate of return.DOCX</vt:lpwstr>
  </property>
  <property fmtid="{D5CDD505-2E9C-101B-9397-08002B2CF9AE}" pid="3" name="URI">
    <vt:lpwstr>8078840</vt:lpwstr>
  </property>
</Properties>
</file>