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56BBF" w14:textId="77777777" w:rsidR="008B3C78" w:rsidRDefault="00DB4E92" w:rsidP="006E0793">
      <w:pPr>
        <w:pStyle w:val="ReportTitle"/>
        <w:spacing w:before="4800"/>
        <w:ind w:left="360"/>
      </w:pPr>
      <w:bookmarkStart w:id="0" w:name="_GoBack"/>
      <w:bookmarkEnd w:id="0"/>
      <w:r>
        <w:rPr>
          <w:noProof/>
          <w:lang w:eastAsia="en-AU"/>
        </w:rPr>
        <w:drawing>
          <wp:anchor distT="0" distB="0" distL="114300" distR="114300" simplePos="0" relativeHeight="251660288" behindDoc="1" locked="0" layoutInCell="1" allowOverlap="1" wp14:anchorId="5DF4314D" wp14:editId="0B8078CF">
            <wp:simplePos x="0" y="0"/>
            <wp:positionH relativeFrom="column">
              <wp:posOffset>-858438</wp:posOffset>
            </wp:positionH>
            <wp:positionV relativeFrom="paragraph">
              <wp:posOffset>-2098730</wp:posOffset>
            </wp:positionV>
            <wp:extent cx="7553739" cy="11139777"/>
            <wp:effectExtent l="0" t="0" r="9525" b="508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739" cy="11139777"/>
                    </a:xfrm>
                    <a:prstGeom prst="rect">
                      <a:avLst/>
                    </a:prstGeom>
                    <a:noFill/>
                  </pic:spPr>
                </pic:pic>
              </a:graphicData>
            </a:graphic>
            <wp14:sizeRelH relativeFrom="page">
              <wp14:pctWidth>0</wp14:pctWidth>
            </wp14:sizeRelH>
            <wp14:sizeRelV relativeFrom="page">
              <wp14:pctHeight>0</wp14:pctHeight>
            </wp14:sizeRelV>
          </wp:anchor>
        </w:drawing>
      </w:r>
    </w:p>
    <w:sdt>
      <w:sdtPr>
        <w:id w:val="1752777455"/>
        <w:docPartObj>
          <w:docPartGallery w:val="Cover Pages"/>
          <w:docPartUnique/>
        </w:docPartObj>
      </w:sdtPr>
      <w:sdtEndPr/>
      <w:sdtContent>
        <w:p w14:paraId="1443626B" w14:textId="77777777" w:rsidR="002A0BA6" w:rsidRPr="002A0BA6" w:rsidRDefault="002A0BA6" w:rsidP="006E0793">
          <w:pPr>
            <w:pStyle w:val="ReportTitle"/>
            <w:spacing w:before="4800"/>
            <w:ind w:left="360"/>
            <w:rPr>
              <w:noProof/>
              <w:lang w:eastAsia="en-AU"/>
            </w:rPr>
          </w:pPr>
        </w:p>
        <w:p w14:paraId="78236927" w14:textId="7011F5B1" w:rsidR="002956ED" w:rsidRDefault="008471EE" w:rsidP="001822DD">
          <w:pPr>
            <w:pStyle w:val="ReportTitle"/>
            <w:tabs>
              <w:tab w:val="center" w:pos="4598"/>
              <w:tab w:val="right" w:pos="9026"/>
            </w:tabs>
            <w:spacing w:before="240"/>
            <w:rPr>
              <w:noProof/>
              <w:lang w:eastAsia="en-AU"/>
            </w:rPr>
          </w:pPr>
          <w:r>
            <w:rPr>
              <w:noProof/>
              <w:lang w:eastAsia="en-AU"/>
            </w:rPr>
            <w:t>AER (</w:t>
          </w:r>
          <w:r w:rsidR="00346199">
            <w:rPr>
              <w:noProof/>
              <w:lang w:eastAsia="en-AU"/>
            </w:rPr>
            <w:t>Retail</w:t>
          </w:r>
          <w:r>
            <w:rPr>
              <w:noProof/>
              <w:lang w:eastAsia="en-AU"/>
            </w:rPr>
            <w:t>)</w:t>
          </w:r>
          <w:r w:rsidR="00346199">
            <w:rPr>
              <w:noProof/>
              <w:lang w:eastAsia="en-AU"/>
            </w:rPr>
            <w:t xml:space="preserve"> Exempt Selling Guideline</w:t>
          </w:r>
        </w:p>
        <w:p w14:paraId="0185E58C" w14:textId="15ECE8DE" w:rsidR="00C118BD" w:rsidRDefault="00346199" w:rsidP="009B638B">
          <w:pPr>
            <w:pStyle w:val="ReportSubtitle"/>
            <w:tabs>
              <w:tab w:val="clear" w:pos="4598"/>
              <w:tab w:val="clear" w:pos="9026"/>
            </w:tabs>
            <w:spacing w:before="240"/>
          </w:pPr>
          <w:r>
            <w:t xml:space="preserve">Version </w:t>
          </w:r>
          <w:r w:rsidR="00AD0474">
            <w:t>5</w:t>
          </w:r>
        </w:p>
        <w:p w14:paraId="08C3E063" w14:textId="32E19B91" w:rsidR="00C118BD" w:rsidRDefault="00C118BD" w:rsidP="00C118BD">
          <w:pPr>
            <w:pStyle w:val="ReportSubtitle"/>
            <w:tabs>
              <w:tab w:val="clear" w:pos="4598"/>
              <w:tab w:val="clear" w:pos="9026"/>
            </w:tabs>
            <w:spacing w:before="240"/>
          </w:pPr>
        </w:p>
        <w:p w14:paraId="5D83F61A" w14:textId="1FF52CEC" w:rsidR="00847401" w:rsidRPr="00C118BD" w:rsidRDefault="00C21C5A" w:rsidP="00C118BD">
          <w:pPr>
            <w:pStyle w:val="ReportSubtitle"/>
            <w:tabs>
              <w:tab w:val="clear" w:pos="4598"/>
              <w:tab w:val="clear" w:pos="9026"/>
            </w:tabs>
            <w:spacing w:before="240"/>
            <w:rPr>
              <w:b w:val="0"/>
              <w:sz w:val="36"/>
              <w:szCs w:val="36"/>
            </w:rPr>
            <w:sectPr w:rsidR="00847401" w:rsidRPr="00C118BD" w:rsidSect="00C95315">
              <w:footerReference w:type="default" r:id="rId9"/>
              <w:footerReference w:type="first" r:id="rId10"/>
              <w:pgSz w:w="11906" w:h="16838"/>
              <w:pgMar w:top="1440" w:right="1440" w:bottom="1440" w:left="1440" w:header="708" w:footer="708" w:gutter="0"/>
              <w:pgNumType w:start="0"/>
              <w:cols w:space="708"/>
              <w:titlePg/>
              <w:docGrid w:linePitch="360"/>
            </w:sectPr>
          </w:pPr>
          <w:r>
            <w:rPr>
              <w:b w:val="0"/>
              <w:sz w:val="36"/>
              <w:szCs w:val="36"/>
            </w:rPr>
            <w:t>March</w:t>
          </w:r>
          <w:r w:rsidR="00075CC4" w:rsidRPr="00C118BD">
            <w:rPr>
              <w:b w:val="0"/>
              <w:sz w:val="36"/>
              <w:szCs w:val="36"/>
            </w:rPr>
            <w:t xml:space="preserve"> </w:t>
          </w:r>
          <w:r w:rsidR="00AD0474" w:rsidRPr="00C118BD">
            <w:rPr>
              <w:b w:val="0"/>
              <w:sz w:val="36"/>
              <w:szCs w:val="36"/>
            </w:rPr>
            <w:t>201</w:t>
          </w:r>
          <w:r w:rsidR="00075CC4">
            <w:rPr>
              <w:b w:val="0"/>
              <w:sz w:val="36"/>
              <w:szCs w:val="36"/>
            </w:rPr>
            <w:t>8</w:t>
          </w:r>
        </w:p>
        <w:p w14:paraId="2A853B5F" w14:textId="77777777" w:rsidR="00EF456F" w:rsidRDefault="0062758E" w:rsidP="002956ED">
          <w:pPr>
            <w:pStyle w:val="ReportTitle"/>
          </w:pPr>
        </w:p>
      </w:sdtContent>
    </w:sdt>
    <w:p w14:paraId="5443674E" w14:textId="56E70498" w:rsidR="00EF456F" w:rsidRDefault="009E7709" w:rsidP="009B638B">
      <w:pPr>
        <w:pStyle w:val="Copyright"/>
        <w:spacing w:before="120" w:line="276" w:lineRule="auto"/>
        <w:contextualSpacing w:val="0"/>
      </w:pPr>
      <w:r>
        <w:t>© Commonwealth of Australia 201</w:t>
      </w:r>
      <w:r w:rsidR="00075CC4">
        <w:t>8</w:t>
      </w:r>
    </w:p>
    <w:p w14:paraId="38DEF33A" w14:textId="77777777" w:rsidR="005C3C73" w:rsidRDefault="005C3C73" w:rsidP="009B638B">
      <w:pPr>
        <w:pStyle w:val="Copyright"/>
        <w:spacing w:before="120" w:line="276" w:lineRule="auto"/>
        <w:contextualSpacing w:val="0"/>
      </w:pPr>
      <w:r>
        <w:t>This work is copyright. In addition to any use permitted under the Copyright Act 1968, all material contained within this work is provided under a Creative Commons Attributions 3.0 Australia licence, with the exception of:</w:t>
      </w:r>
    </w:p>
    <w:p w14:paraId="5C25D461" w14:textId="77777777" w:rsidR="005C3C73" w:rsidRDefault="005C3C73" w:rsidP="009B638B">
      <w:pPr>
        <w:pStyle w:val="Copyright"/>
        <w:numPr>
          <w:ilvl w:val="0"/>
          <w:numId w:val="8"/>
        </w:numPr>
        <w:spacing w:before="120" w:line="276" w:lineRule="auto"/>
        <w:contextualSpacing w:val="0"/>
      </w:pPr>
      <w:r>
        <w:t>the Commonwealth Coat of Arms</w:t>
      </w:r>
    </w:p>
    <w:p w14:paraId="3251850D" w14:textId="77777777" w:rsidR="005C3C73" w:rsidRDefault="005C3C73" w:rsidP="009B638B">
      <w:pPr>
        <w:pStyle w:val="Copyright"/>
        <w:numPr>
          <w:ilvl w:val="0"/>
          <w:numId w:val="8"/>
        </w:numPr>
        <w:spacing w:before="120" w:line="276" w:lineRule="auto"/>
        <w:contextualSpacing w:val="0"/>
      </w:pPr>
      <w:r>
        <w:t>the ACCC and AER logos</w:t>
      </w:r>
    </w:p>
    <w:p w14:paraId="7C6A0834" w14:textId="77777777" w:rsidR="005C3C73" w:rsidRDefault="005C3C73" w:rsidP="009B638B">
      <w:pPr>
        <w:pStyle w:val="Copyright"/>
        <w:spacing w:before="120" w:line="276" w:lineRule="auto"/>
        <w:contextualSpacing w:val="0"/>
      </w:pPr>
      <w: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14:paraId="0AC9B3D9" w14:textId="145A02A2" w:rsidR="005C3C73" w:rsidRDefault="005C3C73" w:rsidP="009B638B">
      <w:pPr>
        <w:pStyle w:val="Copyright"/>
        <w:spacing w:before="120" w:line="276" w:lineRule="auto"/>
        <w:contextualSpacing w:val="0"/>
      </w:pPr>
      <w:r>
        <w:t xml:space="preserve">Requests and inquiries concerning reproduction and rights should be addressed to the Director, Corporate Communications, Australian Competition and Consumer Commission, GPO Box </w:t>
      </w:r>
      <w:r w:rsidR="005727F4">
        <w:t>3131</w:t>
      </w:r>
      <w:r>
        <w:t>, Canberra ACT 2601 or publishing.unit@accc.gov.au.</w:t>
      </w:r>
    </w:p>
    <w:p w14:paraId="7705302B" w14:textId="77777777" w:rsidR="005C3C73" w:rsidRPr="00C829B7" w:rsidRDefault="005C3C73" w:rsidP="009B638B">
      <w:pPr>
        <w:pStyle w:val="Copyright"/>
        <w:spacing w:before="120" w:line="276" w:lineRule="auto"/>
        <w:contextualSpacing w:val="0"/>
      </w:pPr>
      <w:r>
        <w:t>Inquiries about this publication should be addressed to:</w:t>
      </w:r>
    </w:p>
    <w:p w14:paraId="1D15E57F" w14:textId="77777777" w:rsidR="005C3C73" w:rsidRDefault="005C3C73" w:rsidP="009B638B">
      <w:pPr>
        <w:pStyle w:val="Copyright"/>
        <w:spacing w:before="120" w:line="276" w:lineRule="auto"/>
      </w:pPr>
      <w:r>
        <w:t>Australian Energy Regulator</w:t>
      </w:r>
    </w:p>
    <w:p w14:paraId="6C1206FC" w14:textId="77777777" w:rsidR="005C3C73" w:rsidRDefault="005C3C73" w:rsidP="009B638B">
      <w:pPr>
        <w:pStyle w:val="Copyright"/>
        <w:spacing w:before="120" w:line="276" w:lineRule="auto"/>
      </w:pPr>
      <w:r>
        <w:t>GPO Box 520</w:t>
      </w:r>
    </w:p>
    <w:p w14:paraId="0AA2E730" w14:textId="77777777" w:rsidR="005F3320" w:rsidRPr="005F3320" w:rsidRDefault="005C3C73" w:rsidP="009B638B">
      <w:pPr>
        <w:pStyle w:val="Copyright"/>
        <w:spacing w:before="120" w:line="276" w:lineRule="auto"/>
      </w:pPr>
      <w:r>
        <w:t>Melbourne  V</w:t>
      </w:r>
      <w:r w:rsidR="00C95712">
        <w:t>IC</w:t>
      </w:r>
      <w:r>
        <w:t xml:space="preserve">  3001</w:t>
      </w:r>
    </w:p>
    <w:p w14:paraId="268BD6A9" w14:textId="77777777" w:rsidR="005C3C73" w:rsidRDefault="005C3C73" w:rsidP="009B638B">
      <w:pPr>
        <w:pStyle w:val="Copyright"/>
        <w:spacing w:before="240" w:line="276" w:lineRule="auto"/>
        <w:contextualSpacing w:val="0"/>
      </w:pPr>
      <w:r w:rsidRPr="007C58F0">
        <w:t xml:space="preserve">Tel: </w:t>
      </w:r>
      <w:r w:rsidR="00E519DC">
        <w:t>1300 585 165</w:t>
      </w:r>
    </w:p>
    <w:p w14:paraId="5DB6CA0A" w14:textId="77777777" w:rsidR="005C3C73" w:rsidRDefault="005C3C73" w:rsidP="009B638B">
      <w:pPr>
        <w:pStyle w:val="Copyright"/>
        <w:spacing w:before="120" w:line="276" w:lineRule="auto"/>
        <w:contextualSpacing w:val="0"/>
      </w:pPr>
      <w:r>
        <w:t>Fax: (03) 9290 1457</w:t>
      </w:r>
    </w:p>
    <w:p w14:paraId="4871C7C3" w14:textId="77777777" w:rsidR="005C3C73" w:rsidRPr="009B638B" w:rsidRDefault="005C3C73" w:rsidP="009B638B">
      <w:pPr>
        <w:pStyle w:val="Copyright"/>
        <w:spacing w:before="120" w:line="276" w:lineRule="auto"/>
        <w:contextualSpacing w:val="0"/>
        <w:rPr>
          <w:rStyle w:val="Hyperlink"/>
          <w:b/>
          <w:sz w:val="72"/>
        </w:rPr>
      </w:pPr>
      <w:r>
        <w:t xml:space="preserve">Email: </w:t>
      </w:r>
      <w:hyperlink r:id="rId11" w:history="1">
        <w:r w:rsidRPr="00D64888">
          <w:rPr>
            <w:rStyle w:val="Hyperlink"/>
          </w:rPr>
          <w:t>AERInquiry@aer.gov.au</w:t>
        </w:r>
      </w:hyperlink>
    </w:p>
    <w:p w14:paraId="50094D6B" w14:textId="77777777" w:rsidR="005824AF" w:rsidRPr="005875FD" w:rsidRDefault="005875FD" w:rsidP="009C613C">
      <w:pPr>
        <w:rPr>
          <w:b/>
        </w:rPr>
      </w:pPr>
      <w:r w:rsidRPr="005875FD">
        <w:rPr>
          <w:b/>
        </w:rPr>
        <w:t>Amendment Record</w:t>
      </w:r>
    </w:p>
    <w:tbl>
      <w:tblPr>
        <w:tblStyle w:val="AERTable-Text"/>
        <w:tblW w:w="0" w:type="auto"/>
        <w:tblLook w:val="04A0" w:firstRow="1" w:lastRow="0" w:firstColumn="1" w:lastColumn="0" w:noHBand="0" w:noVBand="1"/>
      </w:tblPr>
      <w:tblGrid>
        <w:gridCol w:w="5070"/>
        <w:gridCol w:w="2693"/>
        <w:gridCol w:w="1479"/>
      </w:tblGrid>
      <w:tr w:rsidR="005875FD" w14:paraId="7B143CAD" w14:textId="77777777" w:rsidTr="007C58F0">
        <w:trPr>
          <w:cnfStyle w:val="100000000000" w:firstRow="1" w:lastRow="0" w:firstColumn="0" w:lastColumn="0" w:oddVBand="0" w:evenVBand="0" w:oddHBand="0" w:evenHBand="0" w:firstRowFirstColumn="0" w:firstRowLastColumn="0" w:lastRowFirstColumn="0" w:lastRowLastColumn="0"/>
        </w:trPr>
        <w:tc>
          <w:tcPr>
            <w:tcW w:w="5070" w:type="dxa"/>
          </w:tcPr>
          <w:p w14:paraId="0FEBE9F3" w14:textId="77777777" w:rsidR="005875FD" w:rsidRDefault="005875FD">
            <w:pPr>
              <w:spacing w:before="0" w:after="200"/>
            </w:pPr>
            <w:r>
              <w:t>Version</w:t>
            </w:r>
          </w:p>
        </w:tc>
        <w:tc>
          <w:tcPr>
            <w:tcW w:w="2693" w:type="dxa"/>
          </w:tcPr>
          <w:p w14:paraId="687ACE37" w14:textId="77777777" w:rsidR="005875FD" w:rsidRDefault="005875FD">
            <w:pPr>
              <w:spacing w:before="0" w:after="200"/>
            </w:pPr>
            <w:r>
              <w:t>Date</w:t>
            </w:r>
          </w:p>
        </w:tc>
        <w:tc>
          <w:tcPr>
            <w:tcW w:w="1479" w:type="dxa"/>
          </w:tcPr>
          <w:p w14:paraId="4A4603FF" w14:textId="77777777" w:rsidR="005875FD" w:rsidRDefault="005875FD">
            <w:pPr>
              <w:spacing w:before="0" w:after="200"/>
            </w:pPr>
            <w:r>
              <w:t>Pages</w:t>
            </w:r>
          </w:p>
        </w:tc>
      </w:tr>
      <w:tr w:rsidR="005875FD" w14:paraId="15FF1E9E" w14:textId="77777777" w:rsidTr="007C58F0">
        <w:tc>
          <w:tcPr>
            <w:tcW w:w="5070" w:type="dxa"/>
          </w:tcPr>
          <w:p w14:paraId="5268C064" w14:textId="77777777" w:rsidR="005875FD" w:rsidRDefault="00346199">
            <w:pPr>
              <w:spacing w:before="0" w:after="200"/>
            </w:pPr>
            <w:r>
              <w:t>1.0 – Exempt Selling guideline</w:t>
            </w:r>
          </w:p>
        </w:tc>
        <w:tc>
          <w:tcPr>
            <w:tcW w:w="2693" w:type="dxa"/>
          </w:tcPr>
          <w:p w14:paraId="17A9ACCC" w14:textId="77777777" w:rsidR="005875FD" w:rsidRDefault="00346199">
            <w:pPr>
              <w:spacing w:before="0" w:after="200"/>
            </w:pPr>
            <w:r>
              <w:t>December 2011</w:t>
            </w:r>
          </w:p>
        </w:tc>
        <w:tc>
          <w:tcPr>
            <w:tcW w:w="1479" w:type="dxa"/>
          </w:tcPr>
          <w:p w14:paraId="6356DA3C" w14:textId="77777777" w:rsidR="005875FD" w:rsidRDefault="00346199">
            <w:pPr>
              <w:spacing w:before="0" w:after="200"/>
            </w:pPr>
            <w:r>
              <w:t>124</w:t>
            </w:r>
          </w:p>
        </w:tc>
      </w:tr>
      <w:tr w:rsidR="005875FD" w14:paraId="403A30F6" w14:textId="77777777" w:rsidTr="007C58F0">
        <w:trPr>
          <w:cnfStyle w:val="000000010000" w:firstRow="0" w:lastRow="0" w:firstColumn="0" w:lastColumn="0" w:oddVBand="0" w:evenVBand="0" w:oddHBand="0" w:evenHBand="1" w:firstRowFirstColumn="0" w:firstRowLastColumn="0" w:lastRowFirstColumn="0" w:lastRowLastColumn="0"/>
        </w:trPr>
        <w:tc>
          <w:tcPr>
            <w:tcW w:w="5070" w:type="dxa"/>
          </w:tcPr>
          <w:p w14:paraId="77465FAC" w14:textId="77777777" w:rsidR="005875FD" w:rsidRDefault="00346199" w:rsidP="008471EE">
            <w:pPr>
              <w:spacing w:before="0" w:after="200"/>
            </w:pPr>
            <w:r>
              <w:t xml:space="preserve">2.0 – </w:t>
            </w:r>
            <w:r w:rsidR="008471EE">
              <w:t xml:space="preserve">AER </w:t>
            </w:r>
            <w:r>
              <w:t>(Retail</w:t>
            </w:r>
            <w:r w:rsidR="00A066C0">
              <w:t xml:space="preserve">) </w:t>
            </w:r>
            <w:r w:rsidR="00480BB1" w:rsidRPr="003A1BEC">
              <w:t>Exempt Selling Guideline</w:t>
            </w:r>
            <w:r>
              <w:t xml:space="preserve"> </w:t>
            </w:r>
          </w:p>
        </w:tc>
        <w:tc>
          <w:tcPr>
            <w:tcW w:w="2693" w:type="dxa"/>
          </w:tcPr>
          <w:p w14:paraId="61D1463D" w14:textId="77777777" w:rsidR="005875FD" w:rsidRDefault="00346199">
            <w:pPr>
              <w:spacing w:before="0" w:after="200"/>
            </w:pPr>
            <w:r>
              <w:t>July 2013</w:t>
            </w:r>
          </w:p>
        </w:tc>
        <w:tc>
          <w:tcPr>
            <w:tcW w:w="1479" w:type="dxa"/>
          </w:tcPr>
          <w:p w14:paraId="34807CA2" w14:textId="77777777" w:rsidR="005875FD" w:rsidRDefault="00346199">
            <w:pPr>
              <w:spacing w:before="0" w:after="200"/>
            </w:pPr>
            <w:r>
              <w:t>58</w:t>
            </w:r>
          </w:p>
        </w:tc>
      </w:tr>
      <w:tr w:rsidR="00480BB1" w14:paraId="783DF63B" w14:textId="77777777" w:rsidTr="007C58F0">
        <w:tc>
          <w:tcPr>
            <w:tcW w:w="5070" w:type="dxa"/>
          </w:tcPr>
          <w:p w14:paraId="13752C9B" w14:textId="77777777" w:rsidR="00480BB1" w:rsidRDefault="00480BB1" w:rsidP="008471EE">
            <w:pPr>
              <w:spacing w:before="0" w:after="200"/>
            </w:pPr>
            <w:r>
              <w:t xml:space="preserve">3.0 – </w:t>
            </w:r>
            <w:r w:rsidR="008471EE">
              <w:t xml:space="preserve">AER </w:t>
            </w:r>
            <w:r w:rsidR="00A066C0">
              <w:t>(Retail)</w:t>
            </w:r>
            <w:r w:rsidR="00FA57AE">
              <w:t xml:space="preserve"> </w:t>
            </w:r>
            <w:r>
              <w:t>Exempt Selling Guideline</w:t>
            </w:r>
          </w:p>
        </w:tc>
        <w:tc>
          <w:tcPr>
            <w:tcW w:w="2693" w:type="dxa"/>
          </w:tcPr>
          <w:p w14:paraId="113CE49E" w14:textId="77777777" w:rsidR="00480BB1" w:rsidRDefault="008471EE">
            <w:pPr>
              <w:spacing w:before="0" w:after="200"/>
            </w:pPr>
            <w:r>
              <w:t>April 2015</w:t>
            </w:r>
          </w:p>
        </w:tc>
        <w:tc>
          <w:tcPr>
            <w:tcW w:w="1479" w:type="dxa"/>
          </w:tcPr>
          <w:p w14:paraId="681B3E9D" w14:textId="77777777" w:rsidR="00480BB1" w:rsidRDefault="00760156">
            <w:pPr>
              <w:spacing w:before="0" w:after="200"/>
            </w:pPr>
            <w:r>
              <w:t>56</w:t>
            </w:r>
          </w:p>
        </w:tc>
      </w:tr>
      <w:tr w:rsidR="00AD0474" w14:paraId="3BD7ABFB" w14:textId="77777777" w:rsidTr="002E3A4D">
        <w:trPr>
          <w:cnfStyle w:val="000000010000" w:firstRow="0" w:lastRow="0" w:firstColumn="0" w:lastColumn="0" w:oddVBand="0" w:evenVBand="0" w:oddHBand="0" w:evenHBand="1" w:firstRowFirstColumn="0" w:firstRowLastColumn="0" w:lastRowFirstColumn="0" w:lastRowLastColumn="0"/>
          <w:trHeight w:val="341"/>
        </w:trPr>
        <w:tc>
          <w:tcPr>
            <w:tcW w:w="5070" w:type="dxa"/>
          </w:tcPr>
          <w:p w14:paraId="7C1C3688" w14:textId="77777777" w:rsidR="00AD0474" w:rsidRDefault="00AD0474" w:rsidP="002E3A4D">
            <w:pPr>
              <w:spacing w:before="0" w:after="200"/>
            </w:pPr>
            <w:r>
              <w:t>4.0 – AER (Retail) Exempt Selling Guideline</w:t>
            </w:r>
          </w:p>
        </w:tc>
        <w:tc>
          <w:tcPr>
            <w:tcW w:w="2693" w:type="dxa"/>
          </w:tcPr>
          <w:p w14:paraId="6164FE68" w14:textId="77777777" w:rsidR="00AD0474" w:rsidRDefault="00AD0474" w:rsidP="002E3A4D">
            <w:pPr>
              <w:spacing w:before="0" w:after="200"/>
            </w:pPr>
            <w:r>
              <w:t>March 2016</w:t>
            </w:r>
          </w:p>
        </w:tc>
        <w:tc>
          <w:tcPr>
            <w:tcW w:w="1479" w:type="dxa"/>
          </w:tcPr>
          <w:p w14:paraId="7A80D77C" w14:textId="77777777" w:rsidR="00AD0474" w:rsidRDefault="00AD0474" w:rsidP="002E3A4D">
            <w:pPr>
              <w:spacing w:before="0" w:after="200"/>
            </w:pPr>
            <w:r>
              <w:t>58</w:t>
            </w:r>
          </w:p>
        </w:tc>
      </w:tr>
      <w:tr w:rsidR="0097560A" w14:paraId="7184FEEA" w14:textId="77777777" w:rsidTr="0097560A">
        <w:trPr>
          <w:trHeight w:val="341"/>
        </w:trPr>
        <w:tc>
          <w:tcPr>
            <w:tcW w:w="5070" w:type="dxa"/>
          </w:tcPr>
          <w:p w14:paraId="5BED804B" w14:textId="20785C77" w:rsidR="0097560A" w:rsidRDefault="00AD0474" w:rsidP="0097560A">
            <w:pPr>
              <w:spacing w:before="0" w:after="200"/>
            </w:pPr>
            <w:r>
              <w:t>5</w:t>
            </w:r>
            <w:r w:rsidR="0097560A">
              <w:t>.0 – AER (Retail) Exempt Selling Guideline</w:t>
            </w:r>
          </w:p>
        </w:tc>
        <w:tc>
          <w:tcPr>
            <w:tcW w:w="2693" w:type="dxa"/>
          </w:tcPr>
          <w:p w14:paraId="415F9B5B" w14:textId="48EFA4AE" w:rsidR="0097560A" w:rsidRDefault="00C21C5A" w:rsidP="00C21C5A">
            <w:pPr>
              <w:spacing w:before="0" w:after="200"/>
            </w:pPr>
            <w:r>
              <w:t>March</w:t>
            </w:r>
            <w:r w:rsidR="00075CC4">
              <w:t xml:space="preserve"> </w:t>
            </w:r>
            <w:r w:rsidR="0097560A">
              <w:t>201</w:t>
            </w:r>
            <w:r w:rsidR="00075CC4">
              <w:t>8</w:t>
            </w:r>
          </w:p>
        </w:tc>
        <w:tc>
          <w:tcPr>
            <w:tcW w:w="1479" w:type="dxa"/>
          </w:tcPr>
          <w:p w14:paraId="0BD7D14C" w14:textId="05165502" w:rsidR="0097560A" w:rsidRPr="00787C3D" w:rsidRDefault="00787C3D" w:rsidP="0097560A">
            <w:pPr>
              <w:spacing w:before="0" w:after="200"/>
            </w:pPr>
            <w:r w:rsidRPr="00787C3D">
              <w:t>64</w:t>
            </w:r>
          </w:p>
        </w:tc>
      </w:tr>
    </w:tbl>
    <w:sdt>
      <w:sdtPr>
        <w:rPr>
          <w:rFonts w:cstheme="minorBidi"/>
          <w:b w:val="0"/>
          <w:color w:val="auto"/>
          <w:sz w:val="22"/>
          <w:szCs w:val="22"/>
        </w:rPr>
        <w:id w:val="1041565671"/>
        <w:docPartObj>
          <w:docPartGallery w:val="Table of Contents"/>
          <w:docPartUnique/>
        </w:docPartObj>
      </w:sdtPr>
      <w:sdtEndPr>
        <w:rPr>
          <w:bCs/>
          <w:noProof/>
        </w:rPr>
      </w:sdtEndPr>
      <w:sdtContent>
        <w:p w14:paraId="16343A97" w14:textId="77777777" w:rsidR="00FD1B63" w:rsidRDefault="00FD1B63">
          <w:pPr>
            <w:pStyle w:val="TOCHeading"/>
          </w:pPr>
          <w:r>
            <w:t>Table of Contents</w:t>
          </w:r>
        </w:p>
        <w:p w14:paraId="3E0289B2" w14:textId="6435AC31" w:rsidR="00E72AE8" w:rsidRDefault="00FD1B63">
          <w:pPr>
            <w:pStyle w:val="TOC1"/>
            <w:rPr>
              <w:rFonts w:asciiTheme="minorHAnsi" w:eastAsiaTheme="minorEastAsia" w:hAnsiTheme="minorHAnsi"/>
              <w:b w:val="0"/>
              <w:noProof/>
              <w:color w:val="auto"/>
              <w:sz w:val="22"/>
              <w:lang w:eastAsia="en-AU"/>
            </w:rPr>
          </w:pPr>
          <w:r w:rsidRPr="00A2043E">
            <w:fldChar w:fldCharType="begin"/>
          </w:r>
          <w:r>
            <w:instrText xml:space="preserve"> TOC \o "1-3" \h \z \u </w:instrText>
          </w:r>
          <w:r w:rsidRPr="00A2043E">
            <w:fldChar w:fldCharType="separate"/>
          </w:r>
          <w:hyperlink w:anchor="_Toc508963911" w:history="1">
            <w:r w:rsidR="00E72AE8" w:rsidRPr="00A11B35">
              <w:rPr>
                <w:rStyle w:val="Hyperlink"/>
                <w:noProof/>
              </w:rPr>
              <w:t>1</w:t>
            </w:r>
            <w:r w:rsidR="00E72AE8">
              <w:rPr>
                <w:rFonts w:asciiTheme="minorHAnsi" w:eastAsiaTheme="minorEastAsia" w:hAnsiTheme="minorHAnsi"/>
                <w:b w:val="0"/>
                <w:noProof/>
                <w:color w:val="auto"/>
                <w:sz w:val="22"/>
                <w:lang w:eastAsia="en-AU"/>
              </w:rPr>
              <w:tab/>
            </w:r>
            <w:r w:rsidR="00E72AE8" w:rsidRPr="00A11B35">
              <w:rPr>
                <w:rStyle w:val="Hyperlink"/>
                <w:noProof/>
              </w:rPr>
              <w:t>About this guideline</w:t>
            </w:r>
            <w:r w:rsidR="00E72AE8">
              <w:rPr>
                <w:noProof/>
                <w:webHidden/>
              </w:rPr>
              <w:tab/>
            </w:r>
            <w:r w:rsidR="00E72AE8">
              <w:rPr>
                <w:noProof/>
                <w:webHidden/>
              </w:rPr>
              <w:fldChar w:fldCharType="begin"/>
            </w:r>
            <w:r w:rsidR="00E72AE8">
              <w:rPr>
                <w:noProof/>
                <w:webHidden/>
              </w:rPr>
              <w:instrText xml:space="preserve"> PAGEREF _Toc508963911 \h </w:instrText>
            </w:r>
            <w:r w:rsidR="00E72AE8">
              <w:rPr>
                <w:noProof/>
                <w:webHidden/>
              </w:rPr>
            </w:r>
            <w:r w:rsidR="00E72AE8">
              <w:rPr>
                <w:noProof/>
                <w:webHidden/>
              </w:rPr>
              <w:fldChar w:fldCharType="separate"/>
            </w:r>
            <w:r w:rsidR="00E72AE8">
              <w:rPr>
                <w:noProof/>
                <w:webHidden/>
              </w:rPr>
              <w:t>3</w:t>
            </w:r>
            <w:r w:rsidR="00E72AE8">
              <w:rPr>
                <w:noProof/>
                <w:webHidden/>
              </w:rPr>
              <w:fldChar w:fldCharType="end"/>
            </w:r>
          </w:hyperlink>
        </w:p>
        <w:p w14:paraId="02694D4E" w14:textId="10A32AC0" w:rsidR="00E72AE8" w:rsidRDefault="0062758E">
          <w:pPr>
            <w:pStyle w:val="TOC1"/>
            <w:rPr>
              <w:rFonts w:asciiTheme="minorHAnsi" w:eastAsiaTheme="minorEastAsia" w:hAnsiTheme="minorHAnsi"/>
              <w:b w:val="0"/>
              <w:noProof/>
              <w:color w:val="auto"/>
              <w:sz w:val="22"/>
              <w:lang w:eastAsia="en-AU"/>
            </w:rPr>
          </w:pPr>
          <w:hyperlink w:anchor="_Toc508963912" w:history="1">
            <w:r w:rsidR="00E72AE8" w:rsidRPr="00A11B35">
              <w:rPr>
                <w:rStyle w:val="Hyperlink"/>
                <w:noProof/>
              </w:rPr>
              <w:t>2</w:t>
            </w:r>
            <w:r w:rsidR="00E72AE8">
              <w:rPr>
                <w:rFonts w:asciiTheme="minorHAnsi" w:eastAsiaTheme="minorEastAsia" w:hAnsiTheme="minorHAnsi"/>
                <w:b w:val="0"/>
                <w:noProof/>
                <w:color w:val="auto"/>
                <w:sz w:val="22"/>
                <w:lang w:eastAsia="en-AU"/>
              </w:rPr>
              <w:tab/>
            </w:r>
            <w:r w:rsidR="00E72AE8" w:rsidRPr="00A11B35">
              <w:rPr>
                <w:rStyle w:val="Hyperlink"/>
                <w:noProof/>
              </w:rPr>
              <w:t>Are you an energy seller?</w:t>
            </w:r>
            <w:r w:rsidR="00E72AE8">
              <w:rPr>
                <w:noProof/>
                <w:webHidden/>
              </w:rPr>
              <w:tab/>
            </w:r>
            <w:r w:rsidR="00E72AE8">
              <w:rPr>
                <w:noProof/>
                <w:webHidden/>
              </w:rPr>
              <w:fldChar w:fldCharType="begin"/>
            </w:r>
            <w:r w:rsidR="00E72AE8">
              <w:rPr>
                <w:noProof/>
                <w:webHidden/>
              </w:rPr>
              <w:instrText xml:space="preserve"> PAGEREF _Toc508963912 \h </w:instrText>
            </w:r>
            <w:r w:rsidR="00E72AE8">
              <w:rPr>
                <w:noProof/>
                <w:webHidden/>
              </w:rPr>
            </w:r>
            <w:r w:rsidR="00E72AE8">
              <w:rPr>
                <w:noProof/>
                <w:webHidden/>
              </w:rPr>
              <w:fldChar w:fldCharType="separate"/>
            </w:r>
            <w:r w:rsidR="00E72AE8">
              <w:rPr>
                <w:noProof/>
                <w:webHidden/>
              </w:rPr>
              <w:t>4</w:t>
            </w:r>
            <w:r w:rsidR="00E72AE8">
              <w:rPr>
                <w:noProof/>
                <w:webHidden/>
              </w:rPr>
              <w:fldChar w:fldCharType="end"/>
            </w:r>
          </w:hyperlink>
        </w:p>
        <w:p w14:paraId="1CC7626F" w14:textId="76AE9384" w:rsidR="00E72AE8" w:rsidRDefault="0062758E">
          <w:pPr>
            <w:pStyle w:val="TOC1"/>
            <w:rPr>
              <w:rFonts w:asciiTheme="minorHAnsi" w:eastAsiaTheme="minorEastAsia" w:hAnsiTheme="minorHAnsi"/>
              <w:b w:val="0"/>
              <w:noProof/>
              <w:color w:val="auto"/>
              <w:sz w:val="22"/>
              <w:lang w:eastAsia="en-AU"/>
            </w:rPr>
          </w:pPr>
          <w:hyperlink w:anchor="_Toc508963913" w:history="1">
            <w:r w:rsidR="00E72AE8" w:rsidRPr="00A11B35">
              <w:rPr>
                <w:rStyle w:val="Hyperlink"/>
                <w:noProof/>
              </w:rPr>
              <w:t>3</w:t>
            </w:r>
            <w:r w:rsidR="00E72AE8">
              <w:rPr>
                <w:rFonts w:asciiTheme="minorHAnsi" w:eastAsiaTheme="minorEastAsia" w:hAnsiTheme="minorHAnsi"/>
                <w:b w:val="0"/>
                <w:noProof/>
                <w:color w:val="auto"/>
                <w:sz w:val="22"/>
                <w:lang w:eastAsia="en-AU"/>
              </w:rPr>
              <w:tab/>
            </w:r>
            <w:r w:rsidR="00E72AE8" w:rsidRPr="00A11B35">
              <w:rPr>
                <w:rStyle w:val="Hyperlink"/>
                <w:noProof/>
              </w:rPr>
              <w:t>Do you need an authorisation or an exemption?</w:t>
            </w:r>
            <w:r w:rsidR="00E72AE8">
              <w:rPr>
                <w:noProof/>
                <w:webHidden/>
              </w:rPr>
              <w:tab/>
            </w:r>
            <w:r w:rsidR="00E72AE8">
              <w:rPr>
                <w:noProof/>
                <w:webHidden/>
              </w:rPr>
              <w:fldChar w:fldCharType="begin"/>
            </w:r>
            <w:r w:rsidR="00E72AE8">
              <w:rPr>
                <w:noProof/>
                <w:webHidden/>
              </w:rPr>
              <w:instrText xml:space="preserve"> PAGEREF _Toc508963913 \h </w:instrText>
            </w:r>
            <w:r w:rsidR="00E72AE8">
              <w:rPr>
                <w:noProof/>
                <w:webHidden/>
              </w:rPr>
            </w:r>
            <w:r w:rsidR="00E72AE8">
              <w:rPr>
                <w:noProof/>
                <w:webHidden/>
              </w:rPr>
              <w:fldChar w:fldCharType="separate"/>
            </w:r>
            <w:r w:rsidR="00E72AE8">
              <w:rPr>
                <w:noProof/>
                <w:webHidden/>
              </w:rPr>
              <w:t>5</w:t>
            </w:r>
            <w:r w:rsidR="00E72AE8">
              <w:rPr>
                <w:noProof/>
                <w:webHidden/>
              </w:rPr>
              <w:fldChar w:fldCharType="end"/>
            </w:r>
          </w:hyperlink>
        </w:p>
        <w:p w14:paraId="2817FF8A" w14:textId="1EB5ECC8" w:rsidR="00E72AE8" w:rsidRDefault="0062758E">
          <w:pPr>
            <w:pStyle w:val="TOC2"/>
            <w:rPr>
              <w:rFonts w:asciiTheme="minorHAnsi" w:eastAsiaTheme="minorEastAsia" w:hAnsiTheme="minorHAnsi"/>
              <w:noProof/>
              <w:sz w:val="22"/>
              <w:lang w:eastAsia="en-AU"/>
            </w:rPr>
          </w:pPr>
          <w:hyperlink w:anchor="_Toc508963914" w:history="1">
            <w:r w:rsidR="00E72AE8" w:rsidRPr="00A11B35">
              <w:rPr>
                <w:rStyle w:val="Hyperlink"/>
                <w:noProof/>
              </w:rPr>
              <w:t>3.1</w:t>
            </w:r>
            <w:r w:rsidR="00E72AE8">
              <w:rPr>
                <w:rFonts w:asciiTheme="minorHAnsi" w:eastAsiaTheme="minorEastAsia" w:hAnsiTheme="minorHAnsi"/>
                <w:noProof/>
                <w:sz w:val="22"/>
                <w:lang w:eastAsia="en-AU"/>
              </w:rPr>
              <w:tab/>
            </w:r>
            <w:r w:rsidR="00E72AE8" w:rsidRPr="00A11B35">
              <w:rPr>
                <w:rStyle w:val="Hyperlink"/>
                <w:noProof/>
              </w:rPr>
              <w:t>Retailer authorisation</w:t>
            </w:r>
            <w:r w:rsidR="00E72AE8">
              <w:rPr>
                <w:noProof/>
                <w:webHidden/>
              </w:rPr>
              <w:tab/>
            </w:r>
            <w:r w:rsidR="00E72AE8">
              <w:rPr>
                <w:noProof/>
                <w:webHidden/>
              </w:rPr>
              <w:fldChar w:fldCharType="begin"/>
            </w:r>
            <w:r w:rsidR="00E72AE8">
              <w:rPr>
                <w:noProof/>
                <w:webHidden/>
              </w:rPr>
              <w:instrText xml:space="preserve"> PAGEREF _Toc508963914 \h </w:instrText>
            </w:r>
            <w:r w:rsidR="00E72AE8">
              <w:rPr>
                <w:noProof/>
                <w:webHidden/>
              </w:rPr>
            </w:r>
            <w:r w:rsidR="00E72AE8">
              <w:rPr>
                <w:noProof/>
                <w:webHidden/>
              </w:rPr>
              <w:fldChar w:fldCharType="separate"/>
            </w:r>
            <w:r w:rsidR="00E72AE8">
              <w:rPr>
                <w:noProof/>
                <w:webHidden/>
              </w:rPr>
              <w:t>5</w:t>
            </w:r>
            <w:r w:rsidR="00E72AE8">
              <w:rPr>
                <w:noProof/>
                <w:webHidden/>
              </w:rPr>
              <w:fldChar w:fldCharType="end"/>
            </w:r>
          </w:hyperlink>
        </w:p>
        <w:p w14:paraId="3BB318FD" w14:textId="16189BFE" w:rsidR="00E72AE8" w:rsidRDefault="0062758E">
          <w:pPr>
            <w:pStyle w:val="TOC2"/>
            <w:rPr>
              <w:rFonts w:asciiTheme="minorHAnsi" w:eastAsiaTheme="minorEastAsia" w:hAnsiTheme="minorHAnsi"/>
              <w:noProof/>
              <w:sz w:val="22"/>
              <w:lang w:eastAsia="en-AU"/>
            </w:rPr>
          </w:pPr>
          <w:hyperlink w:anchor="_Toc508963915" w:history="1">
            <w:r w:rsidR="00E72AE8" w:rsidRPr="00A11B35">
              <w:rPr>
                <w:rStyle w:val="Hyperlink"/>
                <w:noProof/>
              </w:rPr>
              <w:t>3.2</w:t>
            </w:r>
            <w:r w:rsidR="00E72AE8">
              <w:rPr>
                <w:rFonts w:asciiTheme="minorHAnsi" w:eastAsiaTheme="minorEastAsia" w:hAnsiTheme="minorHAnsi"/>
                <w:noProof/>
                <w:sz w:val="22"/>
                <w:lang w:eastAsia="en-AU"/>
              </w:rPr>
              <w:tab/>
            </w:r>
            <w:r w:rsidR="00E72AE8" w:rsidRPr="00A11B35">
              <w:rPr>
                <w:rStyle w:val="Hyperlink"/>
                <w:noProof/>
              </w:rPr>
              <w:t>Retail exemptions</w:t>
            </w:r>
            <w:r w:rsidR="00E72AE8">
              <w:rPr>
                <w:noProof/>
                <w:webHidden/>
              </w:rPr>
              <w:tab/>
            </w:r>
            <w:r w:rsidR="00E72AE8">
              <w:rPr>
                <w:noProof/>
                <w:webHidden/>
              </w:rPr>
              <w:fldChar w:fldCharType="begin"/>
            </w:r>
            <w:r w:rsidR="00E72AE8">
              <w:rPr>
                <w:noProof/>
                <w:webHidden/>
              </w:rPr>
              <w:instrText xml:space="preserve"> PAGEREF _Toc508963915 \h </w:instrText>
            </w:r>
            <w:r w:rsidR="00E72AE8">
              <w:rPr>
                <w:noProof/>
                <w:webHidden/>
              </w:rPr>
            </w:r>
            <w:r w:rsidR="00E72AE8">
              <w:rPr>
                <w:noProof/>
                <w:webHidden/>
              </w:rPr>
              <w:fldChar w:fldCharType="separate"/>
            </w:r>
            <w:r w:rsidR="00E72AE8">
              <w:rPr>
                <w:noProof/>
                <w:webHidden/>
              </w:rPr>
              <w:t>5</w:t>
            </w:r>
            <w:r w:rsidR="00E72AE8">
              <w:rPr>
                <w:noProof/>
                <w:webHidden/>
              </w:rPr>
              <w:fldChar w:fldCharType="end"/>
            </w:r>
          </w:hyperlink>
        </w:p>
        <w:p w14:paraId="60D2832A" w14:textId="504ECD52" w:rsidR="00E72AE8" w:rsidRDefault="0062758E">
          <w:pPr>
            <w:pStyle w:val="TOC2"/>
            <w:rPr>
              <w:rFonts w:asciiTheme="minorHAnsi" w:eastAsiaTheme="minorEastAsia" w:hAnsiTheme="minorHAnsi"/>
              <w:noProof/>
              <w:sz w:val="22"/>
              <w:lang w:eastAsia="en-AU"/>
            </w:rPr>
          </w:pPr>
          <w:hyperlink w:anchor="_Toc508963916" w:history="1">
            <w:r w:rsidR="00E72AE8" w:rsidRPr="00A11B35">
              <w:rPr>
                <w:rStyle w:val="Hyperlink"/>
                <w:noProof/>
              </w:rPr>
              <w:t>3.3</w:t>
            </w:r>
            <w:r w:rsidR="00E72AE8">
              <w:rPr>
                <w:rFonts w:asciiTheme="minorHAnsi" w:eastAsiaTheme="minorEastAsia" w:hAnsiTheme="minorHAnsi"/>
                <w:noProof/>
                <w:sz w:val="22"/>
                <w:lang w:eastAsia="en-AU"/>
              </w:rPr>
              <w:tab/>
            </w:r>
            <w:r w:rsidR="00E72AE8" w:rsidRPr="00A11B35">
              <w:rPr>
                <w:rStyle w:val="Hyperlink"/>
                <w:noProof/>
              </w:rPr>
              <w:t>Examples: Authorisation or exemption?</w:t>
            </w:r>
            <w:r w:rsidR="00E72AE8">
              <w:rPr>
                <w:noProof/>
                <w:webHidden/>
              </w:rPr>
              <w:tab/>
            </w:r>
            <w:r w:rsidR="00E72AE8">
              <w:rPr>
                <w:noProof/>
                <w:webHidden/>
              </w:rPr>
              <w:fldChar w:fldCharType="begin"/>
            </w:r>
            <w:r w:rsidR="00E72AE8">
              <w:rPr>
                <w:noProof/>
                <w:webHidden/>
              </w:rPr>
              <w:instrText xml:space="preserve"> PAGEREF _Toc508963916 \h </w:instrText>
            </w:r>
            <w:r w:rsidR="00E72AE8">
              <w:rPr>
                <w:noProof/>
                <w:webHidden/>
              </w:rPr>
            </w:r>
            <w:r w:rsidR="00E72AE8">
              <w:rPr>
                <w:noProof/>
                <w:webHidden/>
              </w:rPr>
              <w:fldChar w:fldCharType="separate"/>
            </w:r>
            <w:r w:rsidR="00E72AE8">
              <w:rPr>
                <w:noProof/>
                <w:webHidden/>
              </w:rPr>
              <w:t>6</w:t>
            </w:r>
            <w:r w:rsidR="00E72AE8">
              <w:rPr>
                <w:noProof/>
                <w:webHidden/>
              </w:rPr>
              <w:fldChar w:fldCharType="end"/>
            </w:r>
          </w:hyperlink>
        </w:p>
        <w:p w14:paraId="06FED99F" w14:textId="0F708B68" w:rsidR="00E72AE8" w:rsidRDefault="0062758E">
          <w:pPr>
            <w:pStyle w:val="TOC1"/>
            <w:rPr>
              <w:rFonts w:asciiTheme="minorHAnsi" w:eastAsiaTheme="minorEastAsia" w:hAnsiTheme="minorHAnsi"/>
              <w:b w:val="0"/>
              <w:noProof/>
              <w:color w:val="auto"/>
              <w:sz w:val="22"/>
              <w:lang w:eastAsia="en-AU"/>
            </w:rPr>
          </w:pPr>
          <w:hyperlink w:anchor="_Toc508963917" w:history="1">
            <w:r w:rsidR="00E72AE8" w:rsidRPr="00A11B35">
              <w:rPr>
                <w:rStyle w:val="Hyperlink"/>
                <w:noProof/>
              </w:rPr>
              <w:t>4</w:t>
            </w:r>
            <w:r w:rsidR="00E72AE8">
              <w:rPr>
                <w:rFonts w:asciiTheme="minorHAnsi" w:eastAsiaTheme="minorEastAsia" w:hAnsiTheme="minorHAnsi"/>
                <w:b w:val="0"/>
                <w:noProof/>
                <w:color w:val="auto"/>
                <w:sz w:val="22"/>
                <w:lang w:eastAsia="en-AU"/>
              </w:rPr>
              <w:tab/>
            </w:r>
            <w:r w:rsidR="00E72AE8" w:rsidRPr="00A11B35">
              <w:rPr>
                <w:rStyle w:val="Hyperlink"/>
                <w:noProof/>
              </w:rPr>
              <w:t>What type of exemption do you need?</w:t>
            </w:r>
            <w:r w:rsidR="00E72AE8">
              <w:rPr>
                <w:noProof/>
                <w:webHidden/>
              </w:rPr>
              <w:tab/>
            </w:r>
            <w:r w:rsidR="00E72AE8">
              <w:rPr>
                <w:noProof/>
                <w:webHidden/>
              </w:rPr>
              <w:fldChar w:fldCharType="begin"/>
            </w:r>
            <w:r w:rsidR="00E72AE8">
              <w:rPr>
                <w:noProof/>
                <w:webHidden/>
              </w:rPr>
              <w:instrText xml:space="preserve"> PAGEREF _Toc508963917 \h </w:instrText>
            </w:r>
            <w:r w:rsidR="00E72AE8">
              <w:rPr>
                <w:noProof/>
                <w:webHidden/>
              </w:rPr>
            </w:r>
            <w:r w:rsidR="00E72AE8">
              <w:rPr>
                <w:noProof/>
                <w:webHidden/>
              </w:rPr>
              <w:fldChar w:fldCharType="separate"/>
            </w:r>
            <w:r w:rsidR="00E72AE8">
              <w:rPr>
                <w:noProof/>
                <w:webHidden/>
              </w:rPr>
              <w:t>8</w:t>
            </w:r>
            <w:r w:rsidR="00E72AE8">
              <w:rPr>
                <w:noProof/>
                <w:webHidden/>
              </w:rPr>
              <w:fldChar w:fldCharType="end"/>
            </w:r>
          </w:hyperlink>
        </w:p>
        <w:p w14:paraId="79EF69CC" w14:textId="7E3332A4" w:rsidR="00E72AE8" w:rsidRDefault="0062758E">
          <w:pPr>
            <w:pStyle w:val="TOC2"/>
            <w:rPr>
              <w:rFonts w:asciiTheme="minorHAnsi" w:eastAsiaTheme="minorEastAsia" w:hAnsiTheme="minorHAnsi"/>
              <w:noProof/>
              <w:sz w:val="22"/>
              <w:lang w:eastAsia="en-AU"/>
            </w:rPr>
          </w:pPr>
          <w:hyperlink w:anchor="_Toc508963918" w:history="1">
            <w:r w:rsidR="00E72AE8" w:rsidRPr="00A11B35">
              <w:rPr>
                <w:rStyle w:val="Hyperlink"/>
                <w:noProof/>
              </w:rPr>
              <w:t>4.1</w:t>
            </w:r>
            <w:r w:rsidR="00E72AE8">
              <w:rPr>
                <w:rFonts w:asciiTheme="minorHAnsi" w:eastAsiaTheme="minorEastAsia" w:hAnsiTheme="minorHAnsi"/>
                <w:noProof/>
                <w:sz w:val="22"/>
                <w:lang w:eastAsia="en-AU"/>
              </w:rPr>
              <w:tab/>
            </w:r>
            <w:r w:rsidR="00E72AE8" w:rsidRPr="00A11B35">
              <w:rPr>
                <w:rStyle w:val="Hyperlink"/>
                <w:noProof/>
              </w:rPr>
              <w:t>Deemed exemptions</w:t>
            </w:r>
            <w:r w:rsidR="00E72AE8">
              <w:rPr>
                <w:noProof/>
                <w:webHidden/>
              </w:rPr>
              <w:tab/>
            </w:r>
            <w:r w:rsidR="00E72AE8">
              <w:rPr>
                <w:noProof/>
                <w:webHidden/>
              </w:rPr>
              <w:fldChar w:fldCharType="begin"/>
            </w:r>
            <w:r w:rsidR="00E72AE8">
              <w:rPr>
                <w:noProof/>
                <w:webHidden/>
              </w:rPr>
              <w:instrText xml:space="preserve"> PAGEREF _Toc508963918 \h </w:instrText>
            </w:r>
            <w:r w:rsidR="00E72AE8">
              <w:rPr>
                <w:noProof/>
                <w:webHidden/>
              </w:rPr>
            </w:r>
            <w:r w:rsidR="00E72AE8">
              <w:rPr>
                <w:noProof/>
                <w:webHidden/>
              </w:rPr>
              <w:fldChar w:fldCharType="separate"/>
            </w:r>
            <w:r w:rsidR="00E72AE8">
              <w:rPr>
                <w:noProof/>
                <w:webHidden/>
              </w:rPr>
              <w:t>8</w:t>
            </w:r>
            <w:r w:rsidR="00E72AE8">
              <w:rPr>
                <w:noProof/>
                <w:webHidden/>
              </w:rPr>
              <w:fldChar w:fldCharType="end"/>
            </w:r>
          </w:hyperlink>
        </w:p>
        <w:p w14:paraId="70BAAA6C" w14:textId="5F616D72" w:rsidR="00E72AE8" w:rsidRDefault="0062758E">
          <w:pPr>
            <w:pStyle w:val="TOC2"/>
            <w:rPr>
              <w:rFonts w:asciiTheme="minorHAnsi" w:eastAsiaTheme="minorEastAsia" w:hAnsiTheme="minorHAnsi"/>
              <w:noProof/>
              <w:sz w:val="22"/>
              <w:lang w:eastAsia="en-AU"/>
            </w:rPr>
          </w:pPr>
          <w:hyperlink w:anchor="_Toc508963919" w:history="1">
            <w:r w:rsidR="00E72AE8" w:rsidRPr="00A11B35">
              <w:rPr>
                <w:rStyle w:val="Hyperlink"/>
                <w:noProof/>
              </w:rPr>
              <w:t>4.2</w:t>
            </w:r>
            <w:r w:rsidR="00E72AE8">
              <w:rPr>
                <w:rFonts w:asciiTheme="minorHAnsi" w:eastAsiaTheme="minorEastAsia" w:hAnsiTheme="minorHAnsi"/>
                <w:noProof/>
                <w:sz w:val="22"/>
                <w:lang w:eastAsia="en-AU"/>
              </w:rPr>
              <w:tab/>
            </w:r>
            <w:r w:rsidR="00E72AE8" w:rsidRPr="00A11B35">
              <w:rPr>
                <w:rStyle w:val="Hyperlink"/>
                <w:noProof/>
              </w:rPr>
              <w:t>Registrable exemptions</w:t>
            </w:r>
            <w:r w:rsidR="00E72AE8">
              <w:rPr>
                <w:noProof/>
                <w:webHidden/>
              </w:rPr>
              <w:tab/>
            </w:r>
            <w:r w:rsidR="00E72AE8">
              <w:rPr>
                <w:noProof/>
                <w:webHidden/>
              </w:rPr>
              <w:fldChar w:fldCharType="begin"/>
            </w:r>
            <w:r w:rsidR="00E72AE8">
              <w:rPr>
                <w:noProof/>
                <w:webHidden/>
              </w:rPr>
              <w:instrText xml:space="preserve"> PAGEREF _Toc508963919 \h </w:instrText>
            </w:r>
            <w:r w:rsidR="00E72AE8">
              <w:rPr>
                <w:noProof/>
                <w:webHidden/>
              </w:rPr>
            </w:r>
            <w:r w:rsidR="00E72AE8">
              <w:rPr>
                <w:noProof/>
                <w:webHidden/>
              </w:rPr>
              <w:fldChar w:fldCharType="separate"/>
            </w:r>
            <w:r w:rsidR="00E72AE8">
              <w:rPr>
                <w:noProof/>
                <w:webHidden/>
              </w:rPr>
              <w:t>9</w:t>
            </w:r>
            <w:r w:rsidR="00E72AE8">
              <w:rPr>
                <w:noProof/>
                <w:webHidden/>
              </w:rPr>
              <w:fldChar w:fldCharType="end"/>
            </w:r>
          </w:hyperlink>
        </w:p>
        <w:p w14:paraId="4428E00E" w14:textId="1CDF9B4B" w:rsidR="00E72AE8" w:rsidRDefault="0062758E">
          <w:pPr>
            <w:pStyle w:val="TOC2"/>
            <w:rPr>
              <w:rFonts w:asciiTheme="minorHAnsi" w:eastAsiaTheme="minorEastAsia" w:hAnsiTheme="minorHAnsi"/>
              <w:noProof/>
              <w:sz w:val="22"/>
              <w:lang w:eastAsia="en-AU"/>
            </w:rPr>
          </w:pPr>
          <w:hyperlink w:anchor="_Toc508963920" w:history="1">
            <w:r w:rsidR="00E72AE8" w:rsidRPr="00A11B35">
              <w:rPr>
                <w:rStyle w:val="Hyperlink"/>
                <w:noProof/>
              </w:rPr>
              <w:t>4.3</w:t>
            </w:r>
            <w:r w:rsidR="00E72AE8">
              <w:rPr>
                <w:rFonts w:asciiTheme="minorHAnsi" w:eastAsiaTheme="minorEastAsia" w:hAnsiTheme="minorHAnsi"/>
                <w:noProof/>
                <w:sz w:val="22"/>
                <w:lang w:eastAsia="en-AU"/>
              </w:rPr>
              <w:tab/>
            </w:r>
            <w:r w:rsidR="00E72AE8" w:rsidRPr="00A11B35">
              <w:rPr>
                <w:rStyle w:val="Hyperlink"/>
                <w:noProof/>
              </w:rPr>
              <w:t>Individual exemptions</w:t>
            </w:r>
            <w:r w:rsidR="00E72AE8">
              <w:rPr>
                <w:noProof/>
                <w:webHidden/>
              </w:rPr>
              <w:tab/>
            </w:r>
            <w:r w:rsidR="00E72AE8">
              <w:rPr>
                <w:noProof/>
                <w:webHidden/>
              </w:rPr>
              <w:fldChar w:fldCharType="begin"/>
            </w:r>
            <w:r w:rsidR="00E72AE8">
              <w:rPr>
                <w:noProof/>
                <w:webHidden/>
              </w:rPr>
              <w:instrText xml:space="preserve"> PAGEREF _Toc508963920 \h </w:instrText>
            </w:r>
            <w:r w:rsidR="00E72AE8">
              <w:rPr>
                <w:noProof/>
                <w:webHidden/>
              </w:rPr>
            </w:r>
            <w:r w:rsidR="00E72AE8">
              <w:rPr>
                <w:noProof/>
                <w:webHidden/>
              </w:rPr>
              <w:fldChar w:fldCharType="separate"/>
            </w:r>
            <w:r w:rsidR="00E72AE8">
              <w:rPr>
                <w:noProof/>
                <w:webHidden/>
              </w:rPr>
              <w:t>9</w:t>
            </w:r>
            <w:r w:rsidR="00E72AE8">
              <w:rPr>
                <w:noProof/>
                <w:webHidden/>
              </w:rPr>
              <w:fldChar w:fldCharType="end"/>
            </w:r>
          </w:hyperlink>
        </w:p>
        <w:p w14:paraId="6F28456F" w14:textId="09741142" w:rsidR="00E72AE8" w:rsidRDefault="0062758E">
          <w:pPr>
            <w:pStyle w:val="TOC2"/>
            <w:rPr>
              <w:rFonts w:asciiTheme="minorHAnsi" w:eastAsiaTheme="minorEastAsia" w:hAnsiTheme="minorHAnsi"/>
              <w:noProof/>
              <w:sz w:val="22"/>
              <w:lang w:eastAsia="en-AU"/>
            </w:rPr>
          </w:pPr>
          <w:hyperlink w:anchor="_Toc508963921" w:history="1">
            <w:r w:rsidR="00E72AE8" w:rsidRPr="00A11B35">
              <w:rPr>
                <w:rStyle w:val="Hyperlink"/>
                <w:noProof/>
              </w:rPr>
              <w:t>4.4</w:t>
            </w:r>
            <w:r w:rsidR="00E72AE8">
              <w:rPr>
                <w:rFonts w:asciiTheme="minorHAnsi" w:eastAsiaTheme="minorEastAsia" w:hAnsiTheme="minorHAnsi"/>
                <w:noProof/>
                <w:sz w:val="22"/>
                <w:lang w:eastAsia="en-AU"/>
              </w:rPr>
              <w:tab/>
            </w:r>
            <w:r w:rsidR="00E72AE8" w:rsidRPr="00A11B35">
              <w:rPr>
                <w:rStyle w:val="Hyperlink"/>
                <w:noProof/>
              </w:rPr>
              <w:t>Other situations: network conversions (retrofitting)</w:t>
            </w:r>
            <w:r w:rsidR="00E72AE8">
              <w:rPr>
                <w:noProof/>
                <w:webHidden/>
              </w:rPr>
              <w:tab/>
            </w:r>
            <w:r w:rsidR="00E72AE8">
              <w:rPr>
                <w:noProof/>
                <w:webHidden/>
              </w:rPr>
              <w:fldChar w:fldCharType="begin"/>
            </w:r>
            <w:r w:rsidR="00E72AE8">
              <w:rPr>
                <w:noProof/>
                <w:webHidden/>
              </w:rPr>
              <w:instrText xml:space="preserve"> PAGEREF _Toc508963921 \h </w:instrText>
            </w:r>
            <w:r w:rsidR="00E72AE8">
              <w:rPr>
                <w:noProof/>
                <w:webHidden/>
              </w:rPr>
            </w:r>
            <w:r w:rsidR="00E72AE8">
              <w:rPr>
                <w:noProof/>
                <w:webHidden/>
              </w:rPr>
              <w:fldChar w:fldCharType="separate"/>
            </w:r>
            <w:r w:rsidR="00E72AE8">
              <w:rPr>
                <w:noProof/>
                <w:webHidden/>
              </w:rPr>
              <w:t>10</w:t>
            </w:r>
            <w:r w:rsidR="00E72AE8">
              <w:rPr>
                <w:noProof/>
                <w:webHidden/>
              </w:rPr>
              <w:fldChar w:fldCharType="end"/>
            </w:r>
          </w:hyperlink>
        </w:p>
        <w:p w14:paraId="76FCB70C" w14:textId="07F7300B" w:rsidR="00E72AE8" w:rsidRDefault="0062758E">
          <w:pPr>
            <w:pStyle w:val="TOC1"/>
            <w:rPr>
              <w:rFonts w:asciiTheme="minorHAnsi" w:eastAsiaTheme="minorEastAsia" w:hAnsiTheme="minorHAnsi"/>
              <w:b w:val="0"/>
              <w:noProof/>
              <w:color w:val="auto"/>
              <w:sz w:val="22"/>
              <w:lang w:eastAsia="en-AU"/>
            </w:rPr>
          </w:pPr>
          <w:hyperlink w:anchor="_Toc508963922" w:history="1">
            <w:r w:rsidR="00E72AE8" w:rsidRPr="00A11B35">
              <w:rPr>
                <w:rStyle w:val="Hyperlink"/>
                <w:noProof/>
              </w:rPr>
              <w:t>5</w:t>
            </w:r>
            <w:r w:rsidR="00E72AE8">
              <w:rPr>
                <w:rFonts w:asciiTheme="minorHAnsi" w:eastAsiaTheme="minorEastAsia" w:hAnsiTheme="minorHAnsi"/>
                <w:b w:val="0"/>
                <w:noProof/>
                <w:color w:val="auto"/>
                <w:sz w:val="22"/>
                <w:lang w:eastAsia="en-AU"/>
              </w:rPr>
              <w:tab/>
            </w:r>
            <w:r w:rsidR="00E72AE8" w:rsidRPr="00A11B35">
              <w:rPr>
                <w:rStyle w:val="Hyperlink"/>
                <w:noProof/>
              </w:rPr>
              <w:t>Who should hold the exemption?</w:t>
            </w:r>
            <w:r w:rsidR="00E72AE8">
              <w:rPr>
                <w:noProof/>
                <w:webHidden/>
              </w:rPr>
              <w:tab/>
            </w:r>
            <w:r w:rsidR="00E72AE8">
              <w:rPr>
                <w:noProof/>
                <w:webHidden/>
              </w:rPr>
              <w:fldChar w:fldCharType="begin"/>
            </w:r>
            <w:r w:rsidR="00E72AE8">
              <w:rPr>
                <w:noProof/>
                <w:webHidden/>
              </w:rPr>
              <w:instrText xml:space="preserve"> PAGEREF _Toc508963922 \h </w:instrText>
            </w:r>
            <w:r w:rsidR="00E72AE8">
              <w:rPr>
                <w:noProof/>
                <w:webHidden/>
              </w:rPr>
            </w:r>
            <w:r w:rsidR="00E72AE8">
              <w:rPr>
                <w:noProof/>
                <w:webHidden/>
              </w:rPr>
              <w:fldChar w:fldCharType="separate"/>
            </w:r>
            <w:r w:rsidR="00E72AE8">
              <w:rPr>
                <w:noProof/>
                <w:webHidden/>
              </w:rPr>
              <w:t>11</w:t>
            </w:r>
            <w:r w:rsidR="00E72AE8">
              <w:rPr>
                <w:noProof/>
                <w:webHidden/>
              </w:rPr>
              <w:fldChar w:fldCharType="end"/>
            </w:r>
          </w:hyperlink>
        </w:p>
        <w:p w14:paraId="58072DC9" w14:textId="37B324F9" w:rsidR="00E72AE8" w:rsidRDefault="0062758E">
          <w:pPr>
            <w:pStyle w:val="TOC2"/>
            <w:rPr>
              <w:rFonts w:asciiTheme="minorHAnsi" w:eastAsiaTheme="minorEastAsia" w:hAnsiTheme="minorHAnsi"/>
              <w:noProof/>
              <w:sz w:val="22"/>
              <w:lang w:eastAsia="en-AU"/>
            </w:rPr>
          </w:pPr>
          <w:hyperlink w:anchor="_Toc508963923" w:history="1">
            <w:r w:rsidR="00E72AE8" w:rsidRPr="00A11B35">
              <w:rPr>
                <w:rStyle w:val="Hyperlink"/>
                <w:noProof/>
              </w:rPr>
              <w:t>5.1</w:t>
            </w:r>
            <w:r w:rsidR="00E72AE8">
              <w:rPr>
                <w:rFonts w:asciiTheme="minorHAnsi" w:eastAsiaTheme="minorEastAsia" w:hAnsiTheme="minorHAnsi"/>
                <w:noProof/>
                <w:sz w:val="22"/>
                <w:lang w:eastAsia="en-AU"/>
              </w:rPr>
              <w:tab/>
            </w:r>
            <w:r w:rsidR="00E72AE8" w:rsidRPr="00A11B35">
              <w:rPr>
                <w:rStyle w:val="Hyperlink"/>
                <w:noProof/>
              </w:rPr>
              <w:t>When you use an agent or service provider</w:t>
            </w:r>
            <w:r w:rsidR="00E72AE8">
              <w:rPr>
                <w:noProof/>
                <w:webHidden/>
              </w:rPr>
              <w:tab/>
            </w:r>
            <w:r w:rsidR="00E72AE8">
              <w:rPr>
                <w:noProof/>
                <w:webHidden/>
              </w:rPr>
              <w:fldChar w:fldCharType="begin"/>
            </w:r>
            <w:r w:rsidR="00E72AE8">
              <w:rPr>
                <w:noProof/>
                <w:webHidden/>
              </w:rPr>
              <w:instrText xml:space="preserve"> PAGEREF _Toc508963923 \h </w:instrText>
            </w:r>
            <w:r w:rsidR="00E72AE8">
              <w:rPr>
                <w:noProof/>
                <w:webHidden/>
              </w:rPr>
            </w:r>
            <w:r w:rsidR="00E72AE8">
              <w:rPr>
                <w:noProof/>
                <w:webHidden/>
              </w:rPr>
              <w:fldChar w:fldCharType="separate"/>
            </w:r>
            <w:r w:rsidR="00E72AE8">
              <w:rPr>
                <w:noProof/>
                <w:webHidden/>
              </w:rPr>
              <w:t>11</w:t>
            </w:r>
            <w:r w:rsidR="00E72AE8">
              <w:rPr>
                <w:noProof/>
                <w:webHidden/>
              </w:rPr>
              <w:fldChar w:fldCharType="end"/>
            </w:r>
          </w:hyperlink>
        </w:p>
        <w:p w14:paraId="26745D8D" w14:textId="0CB9B2A3" w:rsidR="00E72AE8" w:rsidRDefault="0062758E">
          <w:pPr>
            <w:pStyle w:val="TOC1"/>
            <w:rPr>
              <w:rFonts w:asciiTheme="minorHAnsi" w:eastAsiaTheme="minorEastAsia" w:hAnsiTheme="minorHAnsi"/>
              <w:b w:val="0"/>
              <w:noProof/>
              <w:color w:val="auto"/>
              <w:sz w:val="22"/>
              <w:lang w:eastAsia="en-AU"/>
            </w:rPr>
          </w:pPr>
          <w:hyperlink w:anchor="_Toc508963924" w:history="1">
            <w:r w:rsidR="00E72AE8" w:rsidRPr="00A11B35">
              <w:rPr>
                <w:rStyle w:val="Hyperlink"/>
                <w:noProof/>
              </w:rPr>
              <w:t>6</w:t>
            </w:r>
            <w:r w:rsidR="00E72AE8">
              <w:rPr>
                <w:rFonts w:asciiTheme="minorHAnsi" w:eastAsiaTheme="minorEastAsia" w:hAnsiTheme="minorHAnsi"/>
                <w:b w:val="0"/>
                <w:noProof/>
                <w:color w:val="auto"/>
                <w:sz w:val="22"/>
                <w:lang w:eastAsia="en-AU"/>
              </w:rPr>
              <w:tab/>
            </w:r>
            <w:r w:rsidR="00E72AE8" w:rsidRPr="00A11B35">
              <w:rPr>
                <w:rStyle w:val="Hyperlink"/>
                <w:noProof/>
              </w:rPr>
              <w:t>How do you get an exemption?</w:t>
            </w:r>
            <w:r w:rsidR="00E72AE8">
              <w:rPr>
                <w:noProof/>
                <w:webHidden/>
              </w:rPr>
              <w:tab/>
            </w:r>
            <w:r w:rsidR="00E72AE8">
              <w:rPr>
                <w:noProof/>
                <w:webHidden/>
              </w:rPr>
              <w:fldChar w:fldCharType="begin"/>
            </w:r>
            <w:r w:rsidR="00E72AE8">
              <w:rPr>
                <w:noProof/>
                <w:webHidden/>
              </w:rPr>
              <w:instrText xml:space="preserve"> PAGEREF _Toc508963924 \h </w:instrText>
            </w:r>
            <w:r w:rsidR="00E72AE8">
              <w:rPr>
                <w:noProof/>
                <w:webHidden/>
              </w:rPr>
            </w:r>
            <w:r w:rsidR="00E72AE8">
              <w:rPr>
                <w:noProof/>
                <w:webHidden/>
              </w:rPr>
              <w:fldChar w:fldCharType="separate"/>
            </w:r>
            <w:r w:rsidR="00E72AE8">
              <w:rPr>
                <w:noProof/>
                <w:webHidden/>
              </w:rPr>
              <w:t>12</w:t>
            </w:r>
            <w:r w:rsidR="00E72AE8">
              <w:rPr>
                <w:noProof/>
                <w:webHidden/>
              </w:rPr>
              <w:fldChar w:fldCharType="end"/>
            </w:r>
          </w:hyperlink>
        </w:p>
        <w:p w14:paraId="5935A26B" w14:textId="43ABF8F7" w:rsidR="00E72AE8" w:rsidRDefault="0062758E">
          <w:pPr>
            <w:pStyle w:val="TOC2"/>
            <w:rPr>
              <w:rFonts w:asciiTheme="minorHAnsi" w:eastAsiaTheme="minorEastAsia" w:hAnsiTheme="minorHAnsi"/>
              <w:noProof/>
              <w:sz w:val="22"/>
              <w:lang w:eastAsia="en-AU"/>
            </w:rPr>
          </w:pPr>
          <w:hyperlink w:anchor="_Toc508963925" w:history="1">
            <w:r w:rsidR="00E72AE8" w:rsidRPr="00A11B35">
              <w:rPr>
                <w:rStyle w:val="Hyperlink"/>
                <w:noProof/>
              </w:rPr>
              <w:t>6.1</w:t>
            </w:r>
            <w:r w:rsidR="00E72AE8">
              <w:rPr>
                <w:rFonts w:asciiTheme="minorHAnsi" w:eastAsiaTheme="minorEastAsia" w:hAnsiTheme="minorHAnsi"/>
                <w:noProof/>
                <w:sz w:val="22"/>
                <w:lang w:eastAsia="en-AU"/>
              </w:rPr>
              <w:tab/>
            </w:r>
            <w:r w:rsidR="00E72AE8" w:rsidRPr="00A11B35">
              <w:rPr>
                <w:rStyle w:val="Hyperlink"/>
                <w:noProof/>
              </w:rPr>
              <w:t>Deemed exemptions</w:t>
            </w:r>
            <w:r w:rsidR="00E72AE8">
              <w:rPr>
                <w:noProof/>
                <w:webHidden/>
              </w:rPr>
              <w:tab/>
            </w:r>
            <w:r w:rsidR="00E72AE8">
              <w:rPr>
                <w:noProof/>
                <w:webHidden/>
              </w:rPr>
              <w:fldChar w:fldCharType="begin"/>
            </w:r>
            <w:r w:rsidR="00E72AE8">
              <w:rPr>
                <w:noProof/>
                <w:webHidden/>
              </w:rPr>
              <w:instrText xml:space="preserve"> PAGEREF _Toc508963925 \h </w:instrText>
            </w:r>
            <w:r w:rsidR="00E72AE8">
              <w:rPr>
                <w:noProof/>
                <w:webHidden/>
              </w:rPr>
            </w:r>
            <w:r w:rsidR="00E72AE8">
              <w:rPr>
                <w:noProof/>
                <w:webHidden/>
              </w:rPr>
              <w:fldChar w:fldCharType="separate"/>
            </w:r>
            <w:r w:rsidR="00E72AE8">
              <w:rPr>
                <w:noProof/>
                <w:webHidden/>
              </w:rPr>
              <w:t>12</w:t>
            </w:r>
            <w:r w:rsidR="00E72AE8">
              <w:rPr>
                <w:noProof/>
                <w:webHidden/>
              </w:rPr>
              <w:fldChar w:fldCharType="end"/>
            </w:r>
          </w:hyperlink>
        </w:p>
        <w:p w14:paraId="79A4C58C" w14:textId="4809C07C" w:rsidR="00E72AE8" w:rsidRDefault="0062758E">
          <w:pPr>
            <w:pStyle w:val="TOC2"/>
            <w:rPr>
              <w:rFonts w:asciiTheme="minorHAnsi" w:eastAsiaTheme="minorEastAsia" w:hAnsiTheme="minorHAnsi"/>
              <w:noProof/>
              <w:sz w:val="22"/>
              <w:lang w:eastAsia="en-AU"/>
            </w:rPr>
          </w:pPr>
          <w:hyperlink w:anchor="_Toc508963926" w:history="1">
            <w:r w:rsidR="00E72AE8" w:rsidRPr="00A11B35">
              <w:rPr>
                <w:rStyle w:val="Hyperlink"/>
                <w:noProof/>
              </w:rPr>
              <w:t>6.2</w:t>
            </w:r>
            <w:r w:rsidR="00E72AE8">
              <w:rPr>
                <w:rFonts w:asciiTheme="minorHAnsi" w:eastAsiaTheme="minorEastAsia" w:hAnsiTheme="minorHAnsi"/>
                <w:noProof/>
                <w:sz w:val="22"/>
                <w:lang w:eastAsia="en-AU"/>
              </w:rPr>
              <w:tab/>
            </w:r>
            <w:r w:rsidR="00E72AE8" w:rsidRPr="00A11B35">
              <w:rPr>
                <w:rStyle w:val="Hyperlink"/>
                <w:noProof/>
              </w:rPr>
              <w:t>Registrable exemptions</w:t>
            </w:r>
            <w:r w:rsidR="00E72AE8">
              <w:rPr>
                <w:noProof/>
                <w:webHidden/>
              </w:rPr>
              <w:tab/>
            </w:r>
            <w:r w:rsidR="00E72AE8">
              <w:rPr>
                <w:noProof/>
                <w:webHidden/>
              </w:rPr>
              <w:fldChar w:fldCharType="begin"/>
            </w:r>
            <w:r w:rsidR="00E72AE8">
              <w:rPr>
                <w:noProof/>
                <w:webHidden/>
              </w:rPr>
              <w:instrText xml:space="preserve"> PAGEREF _Toc508963926 \h </w:instrText>
            </w:r>
            <w:r w:rsidR="00E72AE8">
              <w:rPr>
                <w:noProof/>
                <w:webHidden/>
              </w:rPr>
            </w:r>
            <w:r w:rsidR="00E72AE8">
              <w:rPr>
                <w:noProof/>
                <w:webHidden/>
              </w:rPr>
              <w:fldChar w:fldCharType="separate"/>
            </w:r>
            <w:r w:rsidR="00E72AE8">
              <w:rPr>
                <w:noProof/>
                <w:webHidden/>
              </w:rPr>
              <w:t>12</w:t>
            </w:r>
            <w:r w:rsidR="00E72AE8">
              <w:rPr>
                <w:noProof/>
                <w:webHidden/>
              </w:rPr>
              <w:fldChar w:fldCharType="end"/>
            </w:r>
          </w:hyperlink>
        </w:p>
        <w:p w14:paraId="413B9487" w14:textId="55804C3D" w:rsidR="00E72AE8" w:rsidRDefault="0062758E">
          <w:pPr>
            <w:pStyle w:val="TOC2"/>
            <w:rPr>
              <w:rFonts w:asciiTheme="minorHAnsi" w:eastAsiaTheme="minorEastAsia" w:hAnsiTheme="minorHAnsi"/>
              <w:noProof/>
              <w:sz w:val="22"/>
              <w:lang w:eastAsia="en-AU"/>
            </w:rPr>
          </w:pPr>
          <w:hyperlink w:anchor="_Toc508963927" w:history="1">
            <w:r w:rsidR="00E72AE8" w:rsidRPr="00A11B35">
              <w:rPr>
                <w:rStyle w:val="Hyperlink"/>
                <w:noProof/>
              </w:rPr>
              <w:t>6.3</w:t>
            </w:r>
            <w:r w:rsidR="00E72AE8">
              <w:rPr>
                <w:rFonts w:asciiTheme="minorHAnsi" w:eastAsiaTheme="minorEastAsia" w:hAnsiTheme="minorHAnsi"/>
                <w:noProof/>
                <w:sz w:val="22"/>
                <w:lang w:eastAsia="en-AU"/>
              </w:rPr>
              <w:tab/>
            </w:r>
            <w:r w:rsidR="00E72AE8" w:rsidRPr="00A11B35">
              <w:rPr>
                <w:rStyle w:val="Hyperlink"/>
                <w:noProof/>
              </w:rPr>
              <w:t>Individual exemptions</w:t>
            </w:r>
            <w:r w:rsidR="00E72AE8">
              <w:rPr>
                <w:noProof/>
                <w:webHidden/>
              </w:rPr>
              <w:tab/>
            </w:r>
            <w:r w:rsidR="00E72AE8">
              <w:rPr>
                <w:noProof/>
                <w:webHidden/>
              </w:rPr>
              <w:fldChar w:fldCharType="begin"/>
            </w:r>
            <w:r w:rsidR="00E72AE8">
              <w:rPr>
                <w:noProof/>
                <w:webHidden/>
              </w:rPr>
              <w:instrText xml:space="preserve"> PAGEREF _Toc508963927 \h </w:instrText>
            </w:r>
            <w:r w:rsidR="00E72AE8">
              <w:rPr>
                <w:noProof/>
                <w:webHidden/>
              </w:rPr>
            </w:r>
            <w:r w:rsidR="00E72AE8">
              <w:rPr>
                <w:noProof/>
                <w:webHidden/>
              </w:rPr>
              <w:fldChar w:fldCharType="separate"/>
            </w:r>
            <w:r w:rsidR="00E72AE8">
              <w:rPr>
                <w:noProof/>
                <w:webHidden/>
              </w:rPr>
              <w:t>13</w:t>
            </w:r>
            <w:r w:rsidR="00E72AE8">
              <w:rPr>
                <w:noProof/>
                <w:webHidden/>
              </w:rPr>
              <w:fldChar w:fldCharType="end"/>
            </w:r>
          </w:hyperlink>
        </w:p>
        <w:p w14:paraId="25BDE4DF" w14:textId="6F96B482" w:rsidR="00E72AE8" w:rsidRDefault="0062758E">
          <w:pPr>
            <w:pStyle w:val="TOC1"/>
            <w:rPr>
              <w:rFonts w:asciiTheme="minorHAnsi" w:eastAsiaTheme="minorEastAsia" w:hAnsiTheme="minorHAnsi"/>
              <w:b w:val="0"/>
              <w:noProof/>
              <w:color w:val="auto"/>
              <w:sz w:val="22"/>
              <w:lang w:eastAsia="en-AU"/>
            </w:rPr>
          </w:pPr>
          <w:hyperlink w:anchor="_Toc508963928" w:history="1">
            <w:r w:rsidR="00E72AE8" w:rsidRPr="00A11B35">
              <w:rPr>
                <w:rStyle w:val="Hyperlink"/>
                <w:noProof/>
              </w:rPr>
              <w:t>7</w:t>
            </w:r>
            <w:r w:rsidR="00E72AE8">
              <w:rPr>
                <w:rFonts w:asciiTheme="minorHAnsi" w:eastAsiaTheme="minorEastAsia" w:hAnsiTheme="minorHAnsi"/>
                <w:b w:val="0"/>
                <w:noProof/>
                <w:color w:val="auto"/>
                <w:sz w:val="22"/>
                <w:lang w:eastAsia="en-AU"/>
              </w:rPr>
              <w:tab/>
            </w:r>
            <w:r w:rsidR="00E72AE8" w:rsidRPr="00A11B35">
              <w:rPr>
                <w:rStyle w:val="Hyperlink"/>
                <w:noProof/>
              </w:rPr>
              <w:t>Assessing applications for individual exemptions</w:t>
            </w:r>
            <w:r w:rsidR="00E72AE8">
              <w:rPr>
                <w:noProof/>
                <w:webHidden/>
              </w:rPr>
              <w:tab/>
            </w:r>
            <w:r w:rsidR="00E72AE8">
              <w:rPr>
                <w:noProof/>
                <w:webHidden/>
              </w:rPr>
              <w:fldChar w:fldCharType="begin"/>
            </w:r>
            <w:r w:rsidR="00E72AE8">
              <w:rPr>
                <w:noProof/>
                <w:webHidden/>
              </w:rPr>
              <w:instrText xml:space="preserve"> PAGEREF _Toc508963928 \h </w:instrText>
            </w:r>
            <w:r w:rsidR="00E72AE8">
              <w:rPr>
                <w:noProof/>
                <w:webHidden/>
              </w:rPr>
            </w:r>
            <w:r w:rsidR="00E72AE8">
              <w:rPr>
                <w:noProof/>
                <w:webHidden/>
              </w:rPr>
              <w:fldChar w:fldCharType="separate"/>
            </w:r>
            <w:r w:rsidR="00E72AE8">
              <w:rPr>
                <w:noProof/>
                <w:webHidden/>
              </w:rPr>
              <w:t>15</w:t>
            </w:r>
            <w:r w:rsidR="00E72AE8">
              <w:rPr>
                <w:noProof/>
                <w:webHidden/>
              </w:rPr>
              <w:fldChar w:fldCharType="end"/>
            </w:r>
          </w:hyperlink>
        </w:p>
        <w:p w14:paraId="01021316" w14:textId="603F971C" w:rsidR="00E72AE8" w:rsidRDefault="0062758E">
          <w:pPr>
            <w:pStyle w:val="TOC2"/>
            <w:rPr>
              <w:rFonts w:asciiTheme="minorHAnsi" w:eastAsiaTheme="minorEastAsia" w:hAnsiTheme="minorHAnsi"/>
              <w:noProof/>
              <w:sz w:val="22"/>
              <w:lang w:eastAsia="en-AU"/>
            </w:rPr>
          </w:pPr>
          <w:hyperlink w:anchor="_Toc508963929" w:history="1">
            <w:r w:rsidR="00E72AE8" w:rsidRPr="00A11B35">
              <w:rPr>
                <w:rStyle w:val="Hyperlink"/>
                <w:noProof/>
              </w:rPr>
              <w:t>7.1</w:t>
            </w:r>
            <w:r w:rsidR="00E72AE8">
              <w:rPr>
                <w:rFonts w:asciiTheme="minorHAnsi" w:eastAsiaTheme="minorEastAsia" w:hAnsiTheme="minorHAnsi"/>
                <w:noProof/>
                <w:sz w:val="22"/>
                <w:lang w:eastAsia="en-AU"/>
              </w:rPr>
              <w:tab/>
            </w:r>
            <w:r w:rsidR="00E72AE8" w:rsidRPr="00A11B35">
              <w:rPr>
                <w:rStyle w:val="Hyperlink"/>
                <w:noProof/>
              </w:rPr>
              <w:t>Public consultation process</w:t>
            </w:r>
            <w:r w:rsidR="00E72AE8">
              <w:rPr>
                <w:noProof/>
                <w:webHidden/>
              </w:rPr>
              <w:tab/>
            </w:r>
            <w:r w:rsidR="00E72AE8">
              <w:rPr>
                <w:noProof/>
                <w:webHidden/>
              </w:rPr>
              <w:fldChar w:fldCharType="begin"/>
            </w:r>
            <w:r w:rsidR="00E72AE8">
              <w:rPr>
                <w:noProof/>
                <w:webHidden/>
              </w:rPr>
              <w:instrText xml:space="preserve"> PAGEREF _Toc508963929 \h </w:instrText>
            </w:r>
            <w:r w:rsidR="00E72AE8">
              <w:rPr>
                <w:noProof/>
                <w:webHidden/>
              </w:rPr>
            </w:r>
            <w:r w:rsidR="00E72AE8">
              <w:rPr>
                <w:noProof/>
                <w:webHidden/>
              </w:rPr>
              <w:fldChar w:fldCharType="separate"/>
            </w:r>
            <w:r w:rsidR="00E72AE8">
              <w:rPr>
                <w:noProof/>
                <w:webHidden/>
              </w:rPr>
              <w:t>15</w:t>
            </w:r>
            <w:r w:rsidR="00E72AE8">
              <w:rPr>
                <w:noProof/>
                <w:webHidden/>
              </w:rPr>
              <w:fldChar w:fldCharType="end"/>
            </w:r>
          </w:hyperlink>
        </w:p>
        <w:p w14:paraId="47A2DED3" w14:textId="1E753CB3" w:rsidR="00E72AE8" w:rsidRDefault="0062758E">
          <w:pPr>
            <w:pStyle w:val="TOC2"/>
            <w:rPr>
              <w:rFonts w:asciiTheme="minorHAnsi" w:eastAsiaTheme="minorEastAsia" w:hAnsiTheme="minorHAnsi"/>
              <w:noProof/>
              <w:sz w:val="22"/>
              <w:lang w:eastAsia="en-AU"/>
            </w:rPr>
          </w:pPr>
          <w:hyperlink w:anchor="_Toc508963930" w:history="1">
            <w:r w:rsidR="00E72AE8" w:rsidRPr="00A11B35">
              <w:rPr>
                <w:rStyle w:val="Hyperlink"/>
                <w:noProof/>
              </w:rPr>
              <w:t>7.2</w:t>
            </w:r>
            <w:r w:rsidR="00E72AE8">
              <w:rPr>
                <w:rFonts w:asciiTheme="minorHAnsi" w:eastAsiaTheme="minorEastAsia" w:hAnsiTheme="minorHAnsi"/>
                <w:noProof/>
                <w:sz w:val="22"/>
                <w:lang w:eastAsia="en-AU"/>
              </w:rPr>
              <w:tab/>
            </w:r>
            <w:r w:rsidR="00E72AE8" w:rsidRPr="00A11B35">
              <w:rPr>
                <w:rStyle w:val="Hyperlink"/>
                <w:noProof/>
              </w:rPr>
              <w:t>Assessing an application</w:t>
            </w:r>
            <w:r w:rsidR="00E72AE8">
              <w:rPr>
                <w:noProof/>
                <w:webHidden/>
              </w:rPr>
              <w:tab/>
            </w:r>
            <w:r w:rsidR="00E72AE8">
              <w:rPr>
                <w:noProof/>
                <w:webHidden/>
              </w:rPr>
              <w:fldChar w:fldCharType="begin"/>
            </w:r>
            <w:r w:rsidR="00E72AE8">
              <w:rPr>
                <w:noProof/>
                <w:webHidden/>
              </w:rPr>
              <w:instrText xml:space="preserve"> PAGEREF _Toc508963930 \h </w:instrText>
            </w:r>
            <w:r w:rsidR="00E72AE8">
              <w:rPr>
                <w:noProof/>
                <w:webHidden/>
              </w:rPr>
            </w:r>
            <w:r w:rsidR="00E72AE8">
              <w:rPr>
                <w:noProof/>
                <w:webHidden/>
              </w:rPr>
              <w:fldChar w:fldCharType="separate"/>
            </w:r>
            <w:r w:rsidR="00E72AE8">
              <w:rPr>
                <w:noProof/>
                <w:webHidden/>
              </w:rPr>
              <w:t>15</w:t>
            </w:r>
            <w:r w:rsidR="00E72AE8">
              <w:rPr>
                <w:noProof/>
                <w:webHidden/>
              </w:rPr>
              <w:fldChar w:fldCharType="end"/>
            </w:r>
          </w:hyperlink>
        </w:p>
        <w:p w14:paraId="4E4B2875" w14:textId="0EC6EF7B" w:rsidR="00E72AE8" w:rsidRDefault="0062758E">
          <w:pPr>
            <w:pStyle w:val="TOC3"/>
            <w:rPr>
              <w:rFonts w:asciiTheme="minorHAnsi" w:eastAsiaTheme="minorEastAsia" w:hAnsiTheme="minorHAnsi"/>
              <w:noProof/>
              <w:lang w:eastAsia="en-AU"/>
            </w:rPr>
          </w:pPr>
          <w:hyperlink w:anchor="_Toc508963931" w:history="1">
            <w:r w:rsidR="00E72AE8" w:rsidRPr="00A11B35">
              <w:rPr>
                <w:rStyle w:val="Hyperlink"/>
                <w:noProof/>
              </w:rPr>
              <w:t>7.2.1</w:t>
            </w:r>
            <w:r w:rsidR="00E72AE8">
              <w:rPr>
                <w:rFonts w:asciiTheme="minorHAnsi" w:eastAsiaTheme="minorEastAsia" w:hAnsiTheme="minorHAnsi"/>
                <w:noProof/>
                <w:lang w:eastAsia="en-AU"/>
              </w:rPr>
              <w:tab/>
            </w:r>
            <w:r w:rsidR="00E72AE8" w:rsidRPr="00A11B35">
              <w:rPr>
                <w:rStyle w:val="Hyperlink"/>
                <w:noProof/>
              </w:rPr>
              <w:t>Assessing an application involving converted embedded networks (retrofits)</w:t>
            </w:r>
            <w:r w:rsidR="00E72AE8">
              <w:rPr>
                <w:noProof/>
                <w:webHidden/>
              </w:rPr>
              <w:tab/>
            </w:r>
            <w:r w:rsidR="00E72AE8">
              <w:rPr>
                <w:noProof/>
                <w:webHidden/>
              </w:rPr>
              <w:fldChar w:fldCharType="begin"/>
            </w:r>
            <w:r w:rsidR="00E72AE8">
              <w:rPr>
                <w:noProof/>
                <w:webHidden/>
              </w:rPr>
              <w:instrText xml:space="preserve"> PAGEREF _Toc508963931 \h </w:instrText>
            </w:r>
            <w:r w:rsidR="00E72AE8">
              <w:rPr>
                <w:noProof/>
                <w:webHidden/>
              </w:rPr>
            </w:r>
            <w:r w:rsidR="00E72AE8">
              <w:rPr>
                <w:noProof/>
                <w:webHidden/>
              </w:rPr>
              <w:fldChar w:fldCharType="separate"/>
            </w:r>
            <w:r w:rsidR="00E72AE8">
              <w:rPr>
                <w:noProof/>
                <w:webHidden/>
              </w:rPr>
              <w:t>15</w:t>
            </w:r>
            <w:r w:rsidR="00E72AE8">
              <w:rPr>
                <w:noProof/>
                <w:webHidden/>
              </w:rPr>
              <w:fldChar w:fldCharType="end"/>
            </w:r>
          </w:hyperlink>
        </w:p>
        <w:p w14:paraId="345BF3B6" w14:textId="13C152F4" w:rsidR="00E72AE8" w:rsidRDefault="0062758E">
          <w:pPr>
            <w:pStyle w:val="TOC2"/>
            <w:rPr>
              <w:rFonts w:asciiTheme="minorHAnsi" w:eastAsiaTheme="minorEastAsia" w:hAnsiTheme="minorHAnsi"/>
              <w:noProof/>
              <w:sz w:val="22"/>
              <w:lang w:eastAsia="en-AU"/>
            </w:rPr>
          </w:pPr>
          <w:hyperlink w:anchor="_Toc508963932" w:history="1">
            <w:r w:rsidR="00E72AE8" w:rsidRPr="00A11B35">
              <w:rPr>
                <w:rStyle w:val="Hyperlink"/>
                <w:noProof/>
              </w:rPr>
              <w:t>7.3</w:t>
            </w:r>
            <w:r w:rsidR="00E72AE8">
              <w:rPr>
                <w:rFonts w:asciiTheme="minorHAnsi" w:eastAsiaTheme="minorEastAsia" w:hAnsiTheme="minorHAnsi"/>
                <w:noProof/>
                <w:sz w:val="22"/>
                <w:lang w:eastAsia="en-AU"/>
              </w:rPr>
              <w:tab/>
            </w:r>
            <w:r w:rsidR="00E72AE8" w:rsidRPr="00A11B35">
              <w:rPr>
                <w:rStyle w:val="Hyperlink"/>
                <w:noProof/>
              </w:rPr>
              <w:t>Making a decision</w:t>
            </w:r>
            <w:r w:rsidR="00E72AE8">
              <w:rPr>
                <w:noProof/>
                <w:webHidden/>
              </w:rPr>
              <w:tab/>
            </w:r>
            <w:r w:rsidR="00E72AE8">
              <w:rPr>
                <w:noProof/>
                <w:webHidden/>
              </w:rPr>
              <w:fldChar w:fldCharType="begin"/>
            </w:r>
            <w:r w:rsidR="00E72AE8">
              <w:rPr>
                <w:noProof/>
                <w:webHidden/>
              </w:rPr>
              <w:instrText xml:space="preserve"> PAGEREF _Toc508963932 \h </w:instrText>
            </w:r>
            <w:r w:rsidR="00E72AE8">
              <w:rPr>
                <w:noProof/>
                <w:webHidden/>
              </w:rPr>
            </w:r>
            <w:r w:rsidR="00E72AE8">
              <w:rPr>
                <w:noProof/>
                <w:webHidden/>
              </w:rPr>
              <w:fldChar w:fldCharType="separate"/>
            </w:r>
            <w:r w:rsidR="00E72AE8">
              <w:rPr>
                <w:noProof/>
                <w:webHidden/>
              </w:rPr>
              <w:t>17</w:t>
            </w:r>
            <w:r w:rsidR="00E72AE8">
              <w:rPr>
                <w:noProof/>
                <w:webHidden/>
              </w:rPr>
              <w:fldChar w:fldCharType="end"/>
            </w:r>
          </w:hyperlink>
        </w:p>
        <w:p w14:paraId="46A1537A" w14:textId="6E578F56" w:rsidR="00E72AE8" w:rsidRDefault="0062758E">
          <w:pPr>
            <w:pStyle w:val="TOC3"/>
            <w:rPr>
              <w:rFonts w:asciiTheme="minorHAnsi" w:eastAsiaTheme="minorEastAsia" w:hAnsiTheme="minorHAnsi"/>
              <w:noProof/>
              <w:lang w:eastAsia="en-AU"/>
            </w:rPr>
          </w:pPr>
          <w:hyperlink w:anchor="_Toc508963933" w:history="1">
            <w:r w:rsidR="00E72AE8" w:rsidRPr="00A11B35">
              <w:rPr>
                <w:rStyle w:val="Hyperlink"/>
                <w:noProof/>
              </w:rPr>
              <w:t>7.3.1</w:t>
            </w:r>
            <w:r w:rsidR="00E72AE8">
              <w:rPr>
                <w:rFonts w:asciiTheme="minorHAnsi" w:eastAsiaTheme="minorEastAsia" w:hAnsiTheme="minorHAnsi"/>
                <w:noProof/>
                <w:lang w:eastAsia="en-AU"/>
              </w:rPr>
              <w:tab/>
            </w:r>
            <w:r w:rsidR="00E72AE8" w:rsidRPr="00A11B35">
              <w:rPr>
                <w:rStyle w:val="Hyperlink"/>
                <w:noProof/>
              </w:rPr>
              <w:t>Coverage or scope of exemption</w:t>
            </w:r>
            <w:r w:rsidR="00E72AE8">
              <w:rPr>
                <w:noProof/>
                <w:webHidden/>
              </w:rPr>
              <w:tab/>
            </w:r>
            <w:r w:rsidR="00E72AE8">
              <w:rPr>
                <w:noProof/>
                <w:webHidden/>
              </w:rPr>
              <w:fldChar w:fldCharType="begin"/>
            </w:r>
            <w:r w:rsidR="00E72AE8">
              <w:rPr>
                <w:noProof/>
                <w:webHidden/>
              </w:rPr>
              <w:instrText xml:space="preserve"> PAGEREF _Toc508963933 \h </w:instrText>
            </w:r>
            <w:r w:rsidR="00E72AE8">
              <w:rPr>
                <w:noProof/>
                <w:webHidden/>
              </w:rPr>
            </w:r>
            <w:r w:rsidR="00E72AE8">
              <w:rPr>
                <w:noProof/>
                <w:webHidden/>
              </w:rPr>
              <w:fldChar w:fldCharType="separate"/>
            </w:r>
            <w:r w:rsidR="00E72AE8">
              <w:rPr>
                <w:noProof/>
                <w:webHidden/>
              </w:rPr>
              <w:t>17</w:t>
            </w:r>
            <w:r w:rsidR="00E72AE8">
              <w:rPr>
                <w:noProof/>
                <w:webHidden/>
              </w:rPr>
              <w:fldChar w:fldCharType="end"/>
            </w:r>
          </w:hyperlink>
        </w:p>
        <w:p w14:paraId="360C384D" w14:textId="6231A47C" w:rsidR="00E72AE8" w:rsidRDefault="0062758E">
          <w:pPr>
            <w:pStyle w:val="TOC3"/>
            <w:rPr>
              <w:rFonts w:asciiTheme="minorHAnsi" w:eastAsiaTheme="minorEastAsia" w:hAnsiTheme="minorHAnsi"/>
              <w:noProof/>
              <w:lang w:eastAsia="en-AU"/>
            </w:rPr>
          </w:pPr>
          <w:hyperlink w:anchor="_Toc508963934" w:history="1">
            <w:r w:rsidR="00E72AE8" w:rsidRPr="00A11B35">
              <w:rPr>
                <w:rStyle w:val="Hyperlink"/>
                <w:noProof/>
              </w:rPr>
              <w:t>7.3.2</w:t>
            </w:r>
            <w:r w:rsidR="00E72AE8">
              <w:rPr>
                <w:rFonts w:asciiTheme="minorHAnsi" w:eastAsiaTheme="minorEastAsia" w:hAnsiTheme="minorHAnsi"/>
                <w:noProof/>
                <w:lang w:eastAsia="en-AU"/>
              </w:rPr>
              <w:tab/>
            </w:r>
            <w:r w:rsidR="00E72AE8" w:rsidRPr="00A11B35">
              <w:rPr>
                <w:rStyle w:val="Hyperlink"/>
                <w:noProof/>
              </w:rPr>
              <w:t>Change of circumstances</w:t>
            </w:r>
            <w:r w:rsidR="00E72AE8">
              <w:rPr>
                <w:noProof/>
                <w:webHidden/>
              </w:rPr>
              <w:tab/>
            </w:r>
            <w:r w:rsidR="00E72AE8">
              <w:rPr>
                <w:noProof/>
                <w:webHidden/>
              </w:rPr>
              <w:fldChar w:fldCharType="begin"/>
            </w:r>
            <w:r w:rsidR="00E72AE8">
              <w:rPr>
                <w:noProof/>
                <w:webHidden/>
              </w:rPr>
              <w:instrText xml:space="preserve"> PAGEREF _Toc508963934 \h </w:instrText>
            </w:r>
            <w:r w:rsidR="00E72AE8">
              <w:rPr>
                <w:noProof/>
                <w:webHidden/>
              </w:rPr>
            </w:r>
            <w:r w:rsidR="00E72AE8">
              <w:rPr>
                <w:noProof/>
                <w:webHidden/>
              </w:rPr>
              <w:fldChar w:fldCharType="separate"/>
            </w:r>
            <w:r w:rsidR="00E72AE8">
              <w:rPr>
                <w:noProof/>
                <w:webHidden/>
              </w:rPr>
              <w:t>17</w:t>
            </w:r>
            <w:r w:rsidR="00E72AE8">
              <w:rPr>
                <w:noProof/>
                <w:webHidden/>
              </w:rPr>
              <w:fldChar w:fldCharType="end"/>
            </w:r>
          </w:hyperlink>
        </w:p>
        <w:p w14:paraId="0DD8B8AB" w14:textId="0345E29C" w:rsidR="00E72AE8" w:rsidRDefault="0062758E">
          <w:pPr>
            <w:pStyle w:val="TOC2"/>
            <w:rPr>
              <w:rFonts w:asciiTheme="minorHAnsi" w:eastAsiaTheme="minorEastAsia" w:hAnsiTheme="minorHAnsi"/>
              <w:noProof/>
              <w:sz w:val="22"/>
              <w:lang w:eastAsia="en-AU"/>
            </w:rPr>
          </w:pPr>
          <w:hyperlink w:anchor="_Toc508963935" w:history="1">
            <w:r w:rsidR="00E72AE8" w:rsidRPr="00A11B35">
              <w:rPr>
                <w:rStyle w:val="Hyperlink"/>
                <w:noProof/>
              </w:rPr>
              <w:t>7.4</w:t>
            </w:r>
            <w:r w:rsidR="00E72AE8">
              <w:rPr>
                <w:rFonts w:asciiTheme="minorHAnsi" w:eastAsiaTheme="minorEastAsia" w:hAnsiTheme="minorHAnsi"/>
                <w:noProof/>
                <w:sz w:val="22"/>
                <w:lang w:eastAsia="en-AU"/>
              </w:rPr>
              <w:tab/>
            </w:r>
            <w:r w:rsidR="00E72AE8" w:rsidRPr="00A11B35">
              <w:rPr>
                <w:rStyle w:val="Hyperlink"/>
                <w:noProof/>
              </w:rPr>
              <w:t>Grounds for refusal</w:t>
            </w:r>
            <w:r w:rsidR="00E72AE8">
              <w:rPr>
                <w:noProof/>
                <w:webHidden/>
              </w:rPr>
              <w:tab/>
            </w:r>
            <w:r w:rsidR="00E72AE8">
              <w:rPr>
                <w:noProof/>
                <w:webHidden/>
              </w:rPr>
              <w:fldChar w:fldCharType="begin"/>
            </w:r>
            <w:r w:rsidR="00E72AE8">
              <w:rPr>
                <w:noProof/>
                <w:webHidden/>
              </w:rPr>
              <w:instrText xml:space="preserve"> PAGEREF _Toc508963935 \h </w:instrText>
            </w:r>
            <w:r w:rsidR="00E72AE8">
              <w:rPr>
                <w:noProof/>
                <w:webHidden/>
              </w:rPr>
            </w:r>
            <w:r w:rsidR="00E72AE8">
              <w:rPr>
                <w:noProof/>
                <w:webHidden/>
              </w:rPr>
              <w:fldChar w:fldCharType="separate"/>
            </w:r>
            <w:r w:rsidR="00E72AE8">
              <w:rPr>
                <w:noProof/>
                <w:webHidden/>
              </w:rPr>
              <w:t>18</w:t>
            </w:r>
            <w:r w:rsidR="00E72AE8">
              <w:rPr>
                <w:noProof/>
                <w:webHidden/>
              </w:rPr>
              <w:fldChar w:fldCharType="end"/>
            </w:r>
          </w:hyperlink>
        </w:p>
        <w:p w14:paraId="4E3131AA" w14:textId="0DCB1948" w:rsidR="00E72AE8" w:rsidRDefault="0062758E">
          <w:pPr>
            <w:pStyle w:val="TOC1"/>
            <w:rPr>
              <w:rFonts w:asciiTheme="minorHAnsi" w:eastAsiaTheme="minorEastAsia" w:hAnsiTheme="minorHAnsi"/>
              <w:b w:val="0"/>
              <w:noProof/>
              <w:color w:val="auto"/>
              <w:sz w:val="22"/>
              <w:lang w:eastAsia="en-AU"/>
            </w:rPr>
          </w:pPr>
          <w:hyperlink w:anchor="_Toc508963936" w:history="1">
            <w:r w:rsidR="00E72AE8" w:rsidRPr="00A11B35">
              <w:rPr>
                <w:rStyle w:val="Hyperlink"/>
                <w:noProof/>
              </w:rPr>
              <w:t>8</w:t>
            </w:r>
            <w:r w:rsidR="00E72AE8">
              <w:rPr>
                <w:rFonts w:asciiTheme="minorHAnsi" w:eastAsiaTheme="minorEastAsia" w:hAnsiTheme="minorHAnsi"/>
                <w:b w:val="0"/>
                <w:noProof/>
                <w:color w:val="auto"/>
                <w:sz w:val="22"/>
                <w:lang w:eastAsia="en-AU"/>
              </w:rPr>
              <w:tab/>
            </w:r>
            <w:r w:rsidR="00E72AE8" w:rsidRPr="00A11B35">
              <w:rPr>
                <w:rStyle w:val="Hyperlink"/>
                <w:noProof/>
              </w:rPr>
              <w:t>Exemption conditions and compliance</w:t>
            </w:r>
            <w:r w:rsidR="00E72AE8">
              <w:rPr>
                <w:noProof/>
                <w:webHidden/>
              </w:rPr>
              <w:tab/>
            </w:r>
            <w:r w:rsidR="00E72AE8">
              <w:rPr>
                <w:noProof/>
                <w:webHidden/>
              </w:rPr>
              <w:fldChar w:fldCharType="begin"/>
            </w:r>
            <w:r w:rsidR="00E72AE8">
              <w:rPr>
                <w:noProof/>
                <w:webHidden/>
              </w:rPr>
              <w:instrText xml:space="preserve"> PAGEREF _Toc508963936 \h </w:instrText>
            </w:r>
            <w:r w:rsidR="00E72AE8">
              <w:rPr>
                <w:noProof/>
                <w:webHidden/>
              </w:rPr>
            </w:r>
            <w:r w:rsidR="00E72AE8">
              <w:rPr>
                <w:noProof/>
                <w:webHidden/>
              </w:rPr>
              <w:fldChar w:fldCharType="separate"/>
            </w:r>
            <w:r w:rsidR="00E72AE8">
              <w:rPr>
                <w:noProof/>
                <w:webHidden/>
              </w:rPr>
              <w:t>19</w:t>
            </w:r>
            <w:r w:rsidR="00E72AE8">
              <w:rPr>
                <w:noProof/>
                <w:webHidden/>
              </w:rPr>
              <w:fldChar w:fldCharType="end"/>
            </w:r>
          </w:hyperlink>
        </w:p>
        <w:p w14:paraId="504B33C7" w14:textId="7C954725" w:rsidR="00E72AE8" w:rsidRDefault="0062758E">
          <w:pPr>
            <w:pStyle w:val="TOC2"/>
            <w:rPr>
              <w:rFonts w:asciiTheme="minorHAnsi" w:eastAsiaTheme="minorEastAsia" w:hAnsiTheme="minorHAnsi"/>
              <w:noProof/>
              <w:sz w:val="22"/>
              <w:lang w:eastAsia="en-AU"/>
            </w:rPr>
          </w:pPr>
          <w:hyperlink w:anchor="_Toc508963937" w:history="1">
            <w:r w:rsidR="00E72AE8" w:rsidRPr="00A11B35">
              <w:rPr>
                <w:rStyle w:val="Hyperlink"/>
                <w:noProof/>
              </w:rPr>
              <w:t>8.1</w:t>
            </w:r>
            <w:r w:rsidR="00E72AE8">
              <w:rPr>
                <w:rFonts w:asciiTheme="minorHAnsi" w:eastAsiaTheme="minorEastAsia" w:hAnsiTheme="minorHAnsi"/>
                <w:noProof/>
                <w:sz w:val="22"/>
                <w:lang w:eastAsia="en-AU"/>
              </w:rPr>
              <w:tab/>
            </w:r>
            <w:r w:rsidR="00E72AE8" w:rsidRPr="00A11B35">
              <w:rPr>
                <w:rStyle w:val="Hyperlink"/>
                <w:noProof/>
              </w:rPr>
              <w:t>Exemption conditions</w:t>
            </w:r>
            <w:r w:rsidR="00E72AE8">
              <w:rPr>
                <w:noProof/>
                <w:webHidden/>
              </w:rPr>
              <w:tab/>
            </w:r>
            <w:r w:rsidR="00E72AE8">
              <w:rPr>
                <w:noProof/>
                <w:webHidden/>
              </w:rPr>
              <w:fldChar w:fldCharType="begin"/>
            </w:r>
            <w:r w:rsidR="00E72AE8">
              <w:rPr>
                <w:noProof/>
                <w:webHidden/>
              </w:rPr>
              <w:instrText xml:space="preserve"> PAGEREF _Toc508963937 \h </w:instrText>
            </w:r>
            <w:r w:rsidR="00E72AE8">
              <w:rPr>
                <w:noProof/>
                <w:webHidden/>
              </w:rPr>
            </w:r>
            <w:r w:rsidR="00E72AE8">
              <w:rPr>
                <w:noProof/>
                <w:webHidden/>
              </w:rPr>
              <w:fldChar w:fldCharType="separate"/>
            </w:r>
            <w:r w:rsidR="00E72AE8">
              <w:rPr>
                <w:noProof/>
                <w:webHidden/>
              </w:rPr>
              <w:t>19</w:t>
            </w:r>
            <w:r w:rsidR="00E72AE8">
              <w:rPr>
                <w:noProof/>
                <w:webHidden/>
              </w:rPr>
              <w:fldChar w:fldCharType="end"/>
            </w:r>
          </w:hyperlink>
        </w:p>
        <w:p w14:paraId="700E3E25" w14:textId="60CC2F0B" w:rsidR="00E72AE8" w:rsidRDefault="0062758E">
          <w:pPr>
            <w:pStyle w:val="TOC2"/>
            <w:rPr>
              <w:rFonts w:asciiTheme="minorHAnsi" w:eastAsiaTheme="minorEastAsia" w:hAnsiTheme="minorHAnsi"/>
              <w:noProof/>
              <w:sz w:val="22"/>
              <w:lang w:eastAsia="en-AU"/>
            </w:rPr>
          </w:pPr>
          <w:hyperlink w:anchor="_Toc508963938" w:history="1">
            <w:r w:rsidR="00E72AE8" w:rsidRPr="00A11B35">
              <w:rPr>
                <w:rStyle w:val="Hyperlink"/>
                <w:noProof/>
              </w:rPr>
              <w:t>8.2</w:t>
            </w:r>
            <w:r w:rsidR="00E72AE8">
              <w:rPr>
                <w:rFonts w:asciiTheme="minorHAnsi" w:eastAsiaTheme="minorEastAsia" w:hAnsiTheme="minorHAnsi"/>
                <w:noProof/>
                <w:sz w:val="22"/>
                <w:lang w:eastAsia="en-AU"/>
              </w:rPr>
              <w:tab/>
            </w:r>
            <w:r w:rsidR="00E72AE8" w:rsidRPr="00A11B35">
              <w:rPr>
                <w:rStyle w:val="Hyperlink"/>
                <w:noProof/>
              </w:rPr>
              <w:t>Breaches of conditions</w:t>
            </w:r>
            <w:r w:rsidR="00E72AE8">
              <w:rPr>
                <w:noProof/>
                <w:webHidden/>
              </w:rPr>
              <w:tab/>
            </w:r>
            <w:r w:rsidR="00E72AE8">
              <w:rPr>
                <w:noProof/>
                <w:webHidden/>
              </w:rPr>
              <w:fldChar w:fldCharType="begin"/>
            </w:r>
            <w:r w:rsidR="00E72AE8">
              <w:rPr>
                <w:noProof/>
                <w:webHidden/>
              </w:rPr>
              <w:instrText xml:space="preserve"> PAGEREF _Toc508963938 \h </w:instrText>
            </w:r>
            <w:r w:rsidR="00E72AE8">
              <w:rPr>
                <w:noProof/>
                <w:webHidden/>
              </w:rPr>
            </w:r>
            <w:r w:rsidR="00E72AE8">
              <w:rPr>
                <w:noProof/>
                <w:webHidden/>
              </w:rPr>
              <w:fldChar w:fldCharType="separate"/>
            </w:r>
            <w:r w:rsidR="00E72AE8">
              <w:rPr>
                <w:noProof/>
                <w:webHidden/>
              </w:rPr>
              <w:t>19</w:t>
            </w:r>
            <w:r w:rsidR="00E72AE8">
              <w:rPr>
                <w:noProof/>
                <w:webHidden/>
              </w:rPr>
              <w:fldChar w:fldCharType="end"/>
            </w:r>
          </w:hyperlink>
        </w:p>
        <w:p w14:paraId="6D72FE03" w14:textId="5742936F" w:rsidR="00E72AE8" w:rsidRDefault="0062758E">
          <w:pPr>
            <w:pStyle w:val="TOC1"/>
            <w:rPr>
              <w:rFonts w:asciiTheme="minorHAnsi" w:eastAsiaTheme="minorEastAsia" w:hAnsiTheme="minorHAnsi"/>
              <w:b w:val="0"/>
              <w:noProof/>
              <w:color w:val="auto"/>
              <w:sz w:val="22"/>
              <w:lang w:eastAsia="en-AU"/>
            </w:rPr>
          </w:pPr>
          <w:hyperlink w:anchor="_Toc508963939" w:history="1">
            <w:r w:rsidR="00E72AE8" w:rsidRPr="00A11B35">
              <w:rPr>
                <w:rStyle w:val="Hyperlink"/>
                <w:noProof/>
              </w:rPr>
              <w:t>9</w:t>
            </w:r>
            <w:r w:rsidR="00E72AE8">
              <w:rPr>
                <w:rFonts w:asciiTheme="minorHAnsi" w:eastAsiaTheme="minorEastAsia" w:hAnsiTheme="minorHAnsi"/>
                <w:b w:val="0"/>
                <w:noProof/>
                <w:color w:val="auto"/>
                <w:sz w:val="22"/>
                <w:lang w:eastAsia="en-AU"/>
              </w:rPr>
              <w:tab/>
            </w:r>
            <w:r w:rsidR="00E72AE8" w:rsidRPr="00A11B35">
              <w:rPr>
                <w:rStyle w:val="Hyperlink"/>
                <w:noProof/>
              </w:rPr>
              <w:t>Cancelling and revoking exemptions</w:t>
            </w:r>
            <w:r w:rsidR="00E72AE8">
              <w:rPr>
                <w:noProof/>
                <w:webHidden/>
              </w:rPr>
              <w:tab/>
            </w:r>
            <w:r w:rsidR="00E72AE8">
              <w:rPr>
                <w:noProof/>
                <w:webHidden/>
              </w:rPr>
              <w:fldChar w:fldCharType="begin"/>
            </w:r>
            <w:r w:rsidR="00E72AE8">
              <w:rPr>
                <w:noProof/>
                <w:webHidden/>
              </w:rPr>
              <w:instrText xml:space="preserve"> PAGEREF _Toc508963939 \h </w:instrText>
            </w:r>
            <w:r w:rsidR="00E72AE8">
              <w:rPr>
                <w:noProof/>
                <w:webHidden/>
              </w:rPr>
            </w:r>
            <w:r w:rsidR="00E72AE8">
              <w:rPr>
                <w:noProof/>
                <w:webHidden/>
              </w:rPr>
              <w:fldChar w:fldCharType="separate"/>
            </w:r>
            <w:r w:rsidR="00E72AE8">
              <w:rPr>
                <w:noProof/>
                <w:webHidden/>
              </w:rPr>
              <w:t>21</w:t>
            </w:r>
            <w:r w:rsidR="00E72AE8">
              <w:rPr>
                <w:noProof/>
                <w:webHidden/>
              </w:rPr>
              <w:fldChar w:fldCharType="end"/>
            </w:r>
          </w:hyperlink>
        </w:p>
        <w:p w14:paraId="6F879A92" w14:textId="7556CE22" w:rsidR="00E72AE8" w:rsidRDefault="0062758E">
          <w:pPr>
            <w:pStyle w:val="TOC2"/>
            <w:rPr>
              <w:rFonts w:asciiTheme="minorHAnsi" w:eastAsiaTheme="minorEastAsia" w:hAnsiTheme="minorHAnsi"/>
              <w:noProof/>
              <w:sz w:val="22"/>
              <w:lang w:eastAsia="en-AU"/>
            </w:rPr>
          </w:pPr>
          <w:hyperlink w:anchor="_Toc508963940" w:history="1">
            <w:r w:rsidR="00E72AE8" w:rsidRPr="00A11B35">
              <w:rPr>
                <w:rStyle w:val="Hyperlink"/>
                <w:noProof/>
              </w:rPr>
              <w:t>9.1</w:t>
            </w:r>
            <w:r w:rsidR="00E72AE8">
              <w:rPr>
                <w:rFonts w:asciiTheme="minorHAnsi" w:eastAsiaTheme="minorEastAsia" w:hAnsiTheme="minorHAnsi"/>
                <w:noProof/>
                <w:sz w:val="22"/>
                <w:lang w:eastAsia="en-AU"/>
              </w:rPr>
              <w:tab/>
            </w:r>
            <w:r w:rsidR="00E72AE8" w:rsidRPr="00A11B35">
              <w:rPr>
                <w:rStyle w:val="Hyperlink"/>
                <w:noProof/>
              </w:rPr>
              <w:t>Cancelling an exemption</w:t>
            </w:r>
            <w:r w:rsidR="00E72AE8">
              <w:rPr>
                <w:noProof/>
                <w:webHidden/>
              </w:rPr>
              <w:tab/>
            </w:r>
            <w:r w:rsidR="00E72AE8">
              <w:rPr>
                <w:noProof/>
                <w:webHidden/>
              </w:rPr>
              <w:fldChar w:fldCharType="begin"/>
            </w:r>
            <w:r w:rsidR="00E72AE8">
              <w:rPr>
                <w:noProof/>
                <w:webHidden/>
              </w:rPr>
              <w:instrText xml:space="preserve"> PAGEREF _Toc508963940 \h </w:instrText>
            </w:r>
            <w:r w:rsidR="00E72AE8">
              <w:rPr>
                <w:noProof/>
                <w:webHidden/>
              </w:rPr>
            </w:r>
            <w:r w:rsidR="00E72AE8">
              <w:rPr>
                <w:noProof/>
                <w:webHidden/>
              </w:rPr>
              <w:fldChar w:fldCharType="separate"/>
            </w:r>
            <w:r w:rsidR="00E72AE8">
              <w:rPr>
                <w:noProof/>
                <w:webHidden/>
              </w:rPr>
              <w:t>21</w:t>
            </w:r>
            <w:r w:rsidR="00E72AE8">
              <w:rPr>
                <w:noProof/>
                <w:webHidden/>
              </w:rPr>
              <w:fldChar w:fldCharType="end"/>
            </w:r>
          </w:hyperlink>
        </w:p>
        <w:p w14:paraId="4041B904" w14:textId="66408D51" w:rsidR="00E72AE8" w:rsidRDefault="0062758E">
          <w:pPr>
            <w:pStyle w:val="TOC2"/>
            <w:rPr>
              <w:rFonts w:asciiTheme="minorHAnsi" w:eastAsiaTheme="minorEastAsia" w:hAnsiTheme="minorHAnsi"/>
              <w:noProof/>
              <w:sz w:val="22"/>
              <w:lang w:eastAsia="en-AU"/>
            </w:rPr>
          </w:pPr>
          <w:hyperlink w:anchor="_Toc508963941" w:history="1">
            <w:r w:rsidR="00E72AE8" w:rsidRPr="00A11B35">
              <w:rPr>
                <w:rStyle w:val="Hyperlink"/>
                <w:noProof/>
              </w:rPr>
              <w:t>9.2</w:t>
            </w:r>
            <w:r w:rsidR="00E72AE8">
              <w:rPr>
                <w:rFonts w:asciiTheme="minorHAnsi" w:eastAsiaTheme="minorEastAsia" w:hAnsiTheme="minorHAnsi"/>
                <w:noProof/>
                <w:sz w:val="22"/>
                <w:lang w:eastAsia="en-AU"/>
              </w:rPr>
              <w:tab/>
            </w:r>
            <w:r w:rsidR="00E72AE8" w:rsidRPr="00A11B35">
              <w:rPr>
                <w:rStyle w:val="Hyperlink"/>
                <w:noProof/>
              </w:rPr>
              <w:t>Revoking an exemption</w:t>
            </w:r>
            <w:r w:rsidR="00E72AE8">
              <w:rPr>
                <w:noProof/>
                <w:webHidden/>
              </w:rPr>
              <w:tab/>
            </w:r>
            <w:r w:rsidR="00E72AE8">
              <w:rPr>
                <w:noProof/>
                <w:webHidden/>
              </w:rPr>
              <w:fldChar w:fldCharType="begin"/>
            </w:r>
            <w:r w:rsidR="00E72AE8">
              <w:rPr>
                <w:noProof/>
                <w:webHidden/>
              </w:rPr>
              <w:instrText xml:space="preserve"> PAGEREF _Toc508963941 \h </w:instrText>
            </w:r>
            <w:r w:rsidR="00E72AE8">
              <w:rPr>
                <w:noProof/>
                <w:webHidden/>
              </w:rPr>
            </w:r>
            <w:r w:rsidR="00E72AE8">
              <w:rPr>
                <w:noProof/>
                <w:webHidden/>
              </w:rPr>
              <w:fldChar w:fldCharType="separate"/>
            </w:r>
            <w:r w:rsidR="00E72AE8">
              <w:rPr>
                <w:noProof/>
                <w:webHidden/>
              </w:rPr>
              <w:t>21</w:t>
            </w:r>
            <w:r w:rsidR="00E72AE8">
              <w:rPr>
                <w:noProof/>
                <w:webHidden/>
              </w:rPr>
              <w:fldChar w:fldCharType="end"/>
            </w:r>
          </w:hyperlink>
        </w:p>
        <w:p w14:paraId="3463B089" w14:textId="2FFF9C77" w:rsidR="00E72AE8" w:rsidRDefault="0062758E">
          <w:pPr>
            <w:pStyle w:val="TOC1"/>
            <w:rPr>
              <w:rFonts w:asciiTheme="minorHAnsi" w:eastAsiaTheme="minorEastAsia" w:hAnsiTheme="minorHAnsi"/>
              <w:b w:val="0"/>
              <w:noProof/>
              <w:color w:val="auto"/>
              <w:sz w:val="22"/>
              <w:lang w:eastAsia="en-AU"/>
            </w:rPr>
          </w:pPr>
          <w:hyperlink w:anchor="_Toc508963942" w:history="1">
            <w:r w:rsidR="00E72AE8" w:rsidRPr="00A11B35">
              <w:rPr>
                <w:rStyle w:val="Hyperlink"/>
                <w:noProof/>
              </w:rPr>
              <w:t>10</w:t>
            </w:r>
            <w:r w:rsidR="00E72AE8">
              <w:rPr>
                <w:rFonts w:asciiTheme="minorHAnsi" w:eastAsiaTheme="minorEastAsia" w:hAnsiTheme="minorHAnsi"/>
                <w:b w:val="0"/>
                <w:noProof/>
                <w:color w:val="auto"/>
                <w:sz w:val="22"/>
                <w:lang w:eastAsia="en-AU"/>
              </w:rPr>
              <w:tab/>
            </w:r>
            <w:r w:rsidR="00E72AE8" w:rsidRPr="00A11B35">
              <w:rPr>
                <w:rStyle w:val="Hyperlink"/>
                <w:noProof/>
              </w:rPr>
              <w:t>Network exemptions</w:t>
            </w:r>
            <w:r w:rsidR="00E72AE8">
              <w:rPr>
                <w:noProof/>
                <w:webHidden/>
              </w:rPr>
              <w:tab/>
            </w:r>
            <w:r w:rsidR="00E72AE8">
              <w:rPr>
                <w:noProof/>
                <w:webHidden/>
              </w:rPr>
              <w:fldChar w:fldCharType="begin"/>
            </w:r>
            <w:r w:rsidR="00E72AE8">
              <w:rPr>
                <w:noProof/>
                <w:webHidden/>
              </w:rPr>
              <w:instrText xml:space="preserve"> PAGEREF _Toc508963942 \h </w:instrText>
            </w:r>
            <w:r w:rsidR="00E72AE8">
              <w:rPr>
                <w:noProof/>
                <w:webHidden/>
              </w:rPr>
            </w:r>
            <w:r w:rsidR="00E72AE8">
              <w:rPr>
                <w:noProof/>
                <w:webHidden/>
              </w:rPr>
              <w:fldChar w:fldCharType="separate"/>
            </w:r>
            <w:r w:rsidR="00E72AE8">
              <w:rPr>
                <w:noProof/>
                <w:webHidden/>
              </w:rPr>
              <w:t>23</w:t>
            </w:r>
            <w:r w:rsidR="00E72AE8">
              <w:rPr>
                <w:noProof/>
                <w:webHidden/>
              </w:rPr>
              <w:fldChar w:fldCharType="end"/>
            </w:r>
          </w:hyperlink>
        </w:p>
        <w:p w14:paraId="6F7848B1" w14:textId="39B0136A" w:rsidR="00E72AE8" w:rsidRDefault="0062758E">
          <w:pPr>
            <w:pStyle w:val="TOC1"/>
            <w:rPr>
              <w:rFonts w:asciiTheme="minorHAnsi" w:eastAsiaTheme="minorEastAsia" w:hAnsiTheme="minorHAnsi"/>
              <w:b w:val="0"/>
              <w:noProof/>
              <w:color w:val="auto"/>
              <w:sz w:val="22"/>
              <w:lang w:eastAsia="en-AU"/>
            </w:rPr>
          </w:pPr>
          <w:hyperlink w:anchor="_Toc508963943" w:history="1">
            <w:r w:rsidR="00E72AE8" w:rsidRPr="00A11B35">
              <w:rPr>
                <w:rStyle w:val="Hyperlink"/>
                <w:noProof/>
              </w:rPr>
              <w:t>11</w:t>
            </w:r>
            <w:r w:rsidR="00E72AE8">
              <w:rPr>
                <w:rFonts w:asciiTheme="minorHAnsi" w:eastAsiaTheme="minorEastAsia" w:hAnsiTheme="minorHAnsi"/>
                <w:b w:val="0"/>
                <w:noProof/>
                <w:color w:val="auto"/>
                <w:sz w:val="22"/>
                <w:lang w:eastAsia="en-AU"/>
              </w:rPr>
              <w:tab/>
            </w:r>
            <w:r w:rsidR="00E72AE8" w:rsidRPr="00A11B35">
              <w:rPr>
                <w:rStyle w:val="Hyperlink"/>
                <w:noProof/>
              </w:rPr>
              <w:t>Glossary</w:t>
            </w:r>
            <w:r w:rsidR="00E72AE8">
              <w:rPr>
                <w:noProof/>
                <w:webHidden/>
              </w:rPr>
              <w:tab/>
            </w:r>
            <w:r w:rsidR="00E72AE8">
              <w:rPr>
                <w:noProof/>
                <w:webHidden/>
              </w:rPr>
              <w:fldChar w:fldCharType="begin"/>
            </w:r>
            <w:r w:rsidR="00E72AE8">
              <w:rPr>
                <w:noProof/>
                <w:webHidden/>
              </w:rPr>
              <w:instrText xml:space="preserve"> PAGEREF _Toc508963943 \h </w:instrText>
            </w:r>
            <w:r w:rsidR="00E72AE8">
              <w:rPr>
                <w:noProof/>
                <w:webHidden/>
              </w:rPr>
            </w:r>
            <w:r w:rsidR="00E72AE8">
              <w:rPr>
                <w:noProof/>
                <w:webHidden/>
              </w:rPr>
              <w:fldChar w:fldCharType="separate"/>
            </w:r>
            <w:r w:rsidR="00E72AE8">
              <w:rPr>
                <w:noProof/>
                <w:webHidden/>
              </w:rPr>
              <w:t>24</w:t>
            </w:r>
            <w:r w:rsidR="00E72AE8">
              <w:rPr>
                <w:noProof/>
                <w:webHidden/>
              </w:rPr>
              <w:fldChar w:fldCharType="end"/>
            </w:r>
          </w:hyperlink>
        </w:p>
        <w:p w14:paraId="74898EBB" w14:textId="6CA5BAA9" w:rsidR="00E72AE8" w:rsidRDefault="0062758E">
          <w:pPr>
            <w:pStyle w:val="TOC1"/>
            <w:rPr>
              <w:rFonts w:asciiTheme="minorHAnsi" w:eastAsiaTheme="minorEastAsia" w:hAnsiTheme="minorHAnsi"/>
              <w:b w:val="0"/>
              <w:noProof/>
              <w:color w:val="auto"/>
              <w:sz w:val="22"/>
              <w:lang w:eastAsia="en-AU"/>
            </w:rPr>
          </w:pPr>
          <w:hyperlink w:anchor="_Toc508963944" w:history="1">
            <w:r w:rsidR="00E72AE8" w:rsidRPr="00A11B35">
              <w:rPr>
                <w:rStyle w:val="Hyperlink"/>
                <w:noProof/>
              </w:rPr>
              <w:t>Appendix A-1: Classes of deemed and registrable exemptions and conditions</w:t>
            </w:r>
            <w:r w:rsidR="00E72AE8">
              <w:rPr>
                <w:noProof/>
                <w:webHidden/>
              </w:rPr>
              <w:tab/>
            </w:r>
            <w:r w:rsidR="00E72AE8">
              <w:rPr>
                <w:noProof/>
                <w:webHidden/>
              </w:rPr>
              <w:fldChar w:fldCharType="begin"/>
            </w:r>
            <w:r w:rsidR="00E72AE8">
              <w:rPr>
                <w:noProof/>
                <w:webHidden/>
              </w:rPr>
              <w:instrText xml:space="preserve"> PAGEREF _Toc508963944 \h </w:instrText>
            </w:r>
            <w:r w:rsidR="00E72AE8">
              <w:rPr>
                <w:noProof/>
                <w:webHidden/>
              </w:rPr>
            </w:r>
            <w:r w:rsidR="00E72AE8">
              <w:rPr>
                <w:noProof/>
                <w:webHidden/>
              </w:rPr>
              <w:fldChar w:fldCharType="separate"/>
            </w:r>
            <w:r w:rsidR="00E72AE8">
              <w:rPr>
                <w:noProof/>
                <w:webHidden/>
              </w:rPr>
              <w:t>27</w:t>
            </w:r>
            <w:r w:rsidR="00E72AE8">
              <w:rPr>
                <w:noProof/>
                <w:webHidden/>
              </w:rPr>
              <w:fldChar w:fldCharType="end"/>
            </w:r>
          </w:hyperlink>
        </w:p>
        <w:p w14:paraId="5C359371" w14:textId="214531F6" w:rsidR="00E72AE8" w:rsidRDefault="0062758E">
          <w:pPr>
            <w:pStyle w:val="TOC1"/>
            <w:rPr>
              <w:rFonts w:asciiTheme="minorHAnsi" w:eastAsiaTheme="minorEastAsia" w:hAnsiTheme="minorHAnsi"/>
              <w:b w:val="0"/>
              <w:noProof/>
              <w:color w:val="auto"/>
              <w:sz w:val="22"/>
              <w:lang w:eastAsia="en-AU"/>
            </w:rPr>
          </w:pPr>
          <w:hyperlink w:anchor="_Toc508963945" w:history="1">
            <w:r w:rsidR="00E72AE8" w:rsidRPr="00A11B35">
              <w:rPr>
                <w:rStyle w:val="Hyperlink"/>
                <w:noProof/>
              </w:rPr>
              <w:t>Appendix A-2: Core exemption conditions</w:t>
            </w:r>
            <w:r w:rsidR="00E72AE8">
              <w:rPr>
                <w:noProof/>
                <w:webHidden/>
              </w:rPr>
              <w:tab/>
            </w:r>
            <w:r w:rsidR="00E72AE8">
              <w:rPr>
                <w:noProof/>
                <w:webHidden/>
              </w:rPr>
              <w:fldChar w:fldCharType="begin"/>
            </w:r>
            <w:r w:rsidR="00E72AE8">
              <w:rPr>
                <w:noProof/>
                <w:webHidden/>
              </w:rPr>
              <w:instrText xml:space="preserve"> PAGEREF _Toc508963945 \h </w:instrText>
            </w:r>
            <w:r w:rsidR="00E72AE8">
              <w:rPr>
                <w:noProof/>
                <w:webHidden/>
              </w:rPr>
            </w:r>
            <w:r w:rsidR="00E72AE8">
              <w:rPr>
                <w:noProof/>
                <w:webHidden/>
              </w:rPr>
              <w:fldChar w:fldCharType="separate"/>
            </w:r>
            <w:r w:rsidR="00E72AE8">
              <w:rPr>
                <w:noProof/>
                <w:webHidden/>
              </w:rPr>
              <w:t>34</w:t>
            </w:r>
            <w:r w:rsidR="00E72AE8">
              <w:rPr>
                <w:noProof/>
                <w:webHidden/>
              </w:rPr>
              <w:fldChar w:fldCharType="end"/>
            </w:r>
          </w:hyperlink>
        </w:p>
        <w:p w14:paraId="0E664B77" w14:textId="1AFEB94F" w:rsidR="00E72AE8" w:rsidRDefault="0062758E">
          <w:pPr>
            <w:pStyle w:val="TOC1"/>
            <w:rPr>
              <w:rFonts w:asciiTheme="minorHAnsi" w:eastAsiaTheme="minorEastAsia" w:hAnsiTheme="minorHAnsi"/>
              <w:b w:val="0"/>
              <w:noProof/>
              <w:color w:val="auto"/>
              <w:sz w:val="22"/>
              <w:lang w:eastAsia="en-AU"/>
            </w:rPr>
          </w:pPr>
          <w:hyperlink w:anchor="_Toc508963946" w:history="1">
            <w:r w:rsidR="00E72AE8" w:rsidRPr="00A11B35">
              <w:rPr>
                <w:rStyle w:val="Hyperlink"/>
                <w:noProof/>
              </w:rPr>
              <w:t>Appendix A-3: Exemption class conditions</w:t>
            </w:r>
            <w:r w:rsidR="00E72AE8">
              <w:rPr>
                <w:noProof/>
                <w:webHidden/>
              </w:rPr>
              <w:tab/>
            </w:r>
            <w:r w:rsidR="00E72AE8">
              <w:rPr>
                <w:noProof/>
                <w:webHidden/>
              </w:rPr>
              <w:fldChar w:fldCharType="begin"/>
            </w:r>
            <w:r w:rsidR="00E72AE8">
              <w:rPr>
                <w:noProof/>
                <w:webHidden/>
              </w:rPr>
              <w:instrText xml:space="preserve"> PAGEREF _Toc508963946 \h </w:instrText>
            </w:r>
            <w:r w:rsidR="00E72AE8">
              <w:rPr>
                <w:noProof/>
                <w:webHidden/>
              </w:rPr>
            </w:r>
            <w:r w:rsidR="00E72AE8">
              <w:rPr>
                <w:noProof/>
                <w:webHidden/>
              </w:rPr>
              <w:fldChar w:fldCharType="separate"/>
            </w:r>
            <w:r w:rsidR="00E72AE8">
              <w:rPr>
                <w:noProof/>
                <w:webHidden/>
              </w:rPr>
              <w:t>46</w:t>
            </w:r>
            <w:r w:rsidR="00E72AE8">
              <w:rPr>
                <w:noProof/>
                <w:webHidden/>
              </w:rPr>
              <w:fldChar w:fldCharType="end"/>
            </w:r>
          </w:hyperlink>
        </w:p>
        <w:p w14:paraId="0569DFE9" w14:textId="13869A6D" w:rsidR="00E72AE8" w:rsidRDefault="0062758E">
          <w:pPr>
            <w:pStyle w:val="TOC1"/>
            <w:rPr>
              <w:rFonts w:asciiTheme="minorHAnsi" w:eastAsiaTheme="minorEastAsia" w:hAnsiTheme="minorHAnsi"/>
              <w:b w:val="0"/>
              <w:noProof/>
              <w:color w:val="auto"/>
              <w:sz w:val="22"/>
              <w:lang w:eastAsia="en-AU"/>
            </w:rPr>
          </w:pPr>
          <w:hyperlink w:anchor="_Toc508963947" w:history="1">
            <w:r w:rsidR="00E72AE8" w:rsidRPr="00A11B35">
              <w:rPr>
                <w:rStyle w:val="Hyperlink"/>
                <w:noProof/>
              </w:rPr>
              <w:t>Appendix B: Applying for an individual exemption application (other than PPA providers)</w:t>
            </w:r>
            <w:r w:rsidR="00E72AE8">
              <w:rPr>
                <w:noProof/>
                <w:webHidden/>
              </w:rPr>
              <w:tab/>
            </w:r>
            <w:r w:rsidR="00E72AE8">
              <w:rPr>
                <w:noProof/>
                <w:webHidden/>
              </w:rPr>
              <w:fldChar w:fldCharType="begin"/>
            </w:r>
            <w:r w:rsidR="00E72AE8">
              <w:rPr>
                <w:noProof/>
                <w:webHidden/>
              </w:rPr>
              <w:instrText xml:space="preserve"> PAGEREF _Toc508963947 \h </w:instrText>
            </w:r>
            <w:r w:rsidR="00E72AE8">
              <w:rPr>
                <w:noProof/>
                <w:webHidden/>
              </w:rPr>
            </w:r>
            <w:r w:rsidR="00E72AE8">
              <w:rPr>
                <w:noProof/>
                <w:webHidden/>
              </w:rPr>
              <w:fldChar w:fldCharType="separate"/>
            </w:r>
            <w:r w:rsidR="00E72AE8">
              <w:rPr>
                <w:noProof/>
                <w:webHidden/>
              </w:rPr>
              <w:t>50</w:t>
            </w:r>
            <w:r w:rsidR="00E72AE8">
              <w:rPr>
                <w:noProof/>
                <w:webHidden/>
              </w:rPr>
              <w:fldChar w:fldCharType="end"/>
            </w:r>
          </w:hyperlink>
        </w:p>
        <w:p w14:paraId="49BFB2A7" w14:textId="397AB521" w:rsidR="00E72AE8" w:rsidRDefault="0062758E">
          <w:pPr>
            <w:pStyle w:val="TOC1"/>
            <w:rPr>
              <w:rFonts w:asciiTheme="minorHAnsi" w:eastAsiaTheme="minorEastAsia" w:hAnsiTheme="minorHAnsi"/>
              <w:b w:val="0"/>
              <w:noProof/>
              <w:color w:val="auto"/>
              <w:sz w:val="22"/>
              <w:lang w:eastAsia="en-AU"/>
            </w:rPr>
          </w:pPr>
          <w:hyperlink w:anchor="_Toc508963948" w:history="1">
            <w:r w:rsidR="00E72AE8" w:rsidRPr="00A11B35">
              <w:rPr>
                <w:rStyle w:val="Hyperlink"/>
                <w:noProof/>
              </w:rPr>
              <w:t>Appendix C: Applying for an individual exemption for power purchase providers only</w:t>
            </w:r>
            <w:r w:rsidR="00E72AE8">
              <w:rPr>
                <w:noProof/>
                <w:webHidden/>
              </w:rPr>
              <w:tab/>
            </w:r>
            <w:r w:rsidR="00E72AE8">
              <w:rPr>
                <w:noProof/>
                <w:webHidden/>
              </w:rPr>
              <w:fldChar w:fldCharType="begin"/>
            </w:r>
            <w:r w:rsidR="00E72AE8">
              <w:rPr>
                <w:noProof/>
                <w:webHidden/>
              </w:rPr>
              <w:instrText xml:space="preserve"> PAGEREF _Toc508963948 \h </w:instrText>
            </w:r>
            <w:r w:rsidR="00E72AE8">
              <w:rPr>
                <w:noProof/>
                <w:webHidden/>
              </w:rPr>
            </w:r>
            <w:r w:rsidR="00E72AE8">
              <w:rPr>
                <w:noProof/>
                <w:webHidden/>
              </w:rPr>
              <w:fldChar w:fldCharType="separate"/>
            </w:r>
            <w:r w:rsidR="00E72AE8">
              <w:rPr>
                <w:noProof/>
                <w:webHidden/>
              </w:rPr>
              <w:t>54</w:t>
            </w:r>
            <w:r w:rsidR="00E72AE8">
              <w:rPr>
                <w:noProof/>
                <w:webHidden/>
              </w:rPr>
              <w:fldChar w:fldCharType="end"/>
            </w:r>
          </w:hyperlink>
        </w:p>
        <w:p w14:paraId="5A3595AC" w14:textId="6F1111A8" w:rsidR="00E72AE8" w:rsidRDefault="0062758E">
          <w:pPr>
            <w:pStyle w:val="TOC1"/>
            <w:rPr>
              <w:rFonts w:asciiTheme="minorHAnsi" w:eastAsiaTheme="minorEastAsia" w:hAnsiTheme="minorHAnsi"/>
              <w:b w:val="0"/>
              <w:noProof/>
              <w:color w:val="auto"/>
              <w:sz w:val="22"/>
              <w:lang w:eastAsia="en-AU"/>
            </w:rPr>
          </w:pPr>
          <w:hyperlink w:anchor="_Toc508963949" w:history="1">
            <w:r w:rsidR="00E72AE8" w:rsidRPr="00A11B35">
              <w:rPr>
                <w:rStyle w:val="Hyperlink"/>
                <w:noProof/>
              </w:rPr>
              <w:t>Appendix D: Applicants seeking to vary an individual exemption</w:t>
            </w:r>
            <w:r w:rsidR="00E72AE8">
              <w:rPr>
                <w:noProof/>
                <w:webHidden/>
              </w:rPr>
              <w:tab/>
            </w:r>
            <w:r w:rsidR="00E72AE8">
              <w:rPr>
                <w:noProof/>
                <w:webHidden/>
              </w:rPr>
              <w:fldChar w:fldCharType="begin"/>
            </w:r>
            <w:r w:rsidR="00E72AE8">
              <w:rPr>
                <w:noProof/>
                <w:webHidden/>
              </w:rPr>
              <w:instrText xml:space="preserve"> PAGEREF _Toc508963949 \h </w:instrText>
            </w:r>
            <w:r w:rsidR="00E72AE8">
              <w:rPr>
                <w:noProof/>
                <w:webHidden/>
              </w:rPr>
            </w:r>
            <w:r w:rsidR="00E72AE8">
              <w:rPr>
                <w:noProof/>
                <w:webHidden/>
              </w:rPr>
              <w:fldChar w:fldCharType="separate"/>
            </w:r>
            <w:r w:rsidR="00E72AE8">
              <w:rPr>
                <w:noProof/>
                <w:webHidden/>
              </w:rPr>
              <w:t>56</w:t>
            </w:r>
            <w:r w:rsidR="00E72AE8">
              <w:rPr>
                <w:noProof/>
                <w:webHidden/>
              </w:rPr>
              <w:fldChar w:fldCharType="end"/>
            </w:r>
          </w:hyperlink>
        </w:p>
        <w:p w14:paraId="54BBBBA1" w14:textId="2A76CFA0" w:rsidR="00E72AE8" w:rsidRDefault="0062758E">
          <w:pPr>
            <w:pStyle w:val="TOC1"/>
            <w:rPr>
              <w:rFonts w:asciiTheme="minorHAnsi" w:eastAsiaTheme="minorEastAsia" w:hAnsiTheme="minorHAnsi"/>
              <w:b w:val="0"/>
              <w:noProof/>
              <w:color w:val="auto"/>
              <w:sz w:val="22"/>
              <w:lang w:eastAsia="en-AU"/>
            </w:rPr>
          </w:pPr>
          <w:hyperlink w:anchor="_Toc508963950" w:history="1">
            <w:r w:rsidR="00E72AE8" w:rsidRPr="00A11B35">
              <w:rPr>
                <w:rStyle w:val="Hyperlink"/>
                <w:noProof/>
              </w:rPr>
              <w:t>Appendix E: How we assess individual exemption applications</w:t>
            </w:r>
            <w:r w:rsidR="00E72AE8">
              <w:rPr>
                <w:noProof/>
                <w:webHidden/>
              </w:rPr>
              <w:tab/>
            </w:r>
            <w:r w:rsidR="00E72AE8">
              <w:rPr>
                <w:noProof/>
                <w:webHidden/>
              </w:rPr>
              <w:fldChar w:fldCharType="begin"/>
            </w:r>
            <w:r w:rsidR="00E72AE8">
              <w:rPr>
                <w:noProof/>
                <w:webHidden/>
              </w:rPr>
              <w:instrText xml:space="preserve"> PAGEREF _Toc508963950 \h </w:instrText>
            </w:r>
            <w:r w:rsidR="00E72AE8">
              <w:rPr>
                <w:noProof/>
                <w:webHidden/>
              </w:rPr>
            </w:r>
            <w:r w:rsidR="00E72AE8">
              <w:rPr>
                <w:noProof/>
                <w:webHidden/>
              </w:rPr>
              <w:fldChar w:fldCharType="separate"/>
            </w:r>
            <w:r w:rsidR="00E72AE8">
              <w:rPr>
                <w:noProof/>
                <w:webHidden/>
              </w:rPr>
              <w:t>57</w:t>
            </w:r>
            <w:r w:rsidR="00E72AE8">
              <w:rPr>
                <w:noProof/>
                <w:webHidden/>
              </w:rPr>
              <w:fldChar w:fldCharType="end"/>
            </w:r>
          </w:hyperlink>
        </w:p>
        <w:p w14:paraId="1A2321B3" w14:textId="633687BF" w:rsidR="00FD1B63" w:rsidRDefault="00FD1B63" w:rsidP="00A2043E">
          <w:r w:rsidRPr="00A2043E">
            <w:rPr>
              <w:b/>
            </w:rPr>
            <w:fldChar w:fldCharType="end"/>
          </w:r>
        </w:p>
      </w:sdtContent>
    </w:sdt>
    <w:p w14:paraId="50D0A00D" w14:textId="77777777" w:rsidR="00A066C0" w:rsidRPr="0013268C" w:rsidRDefault="00A066C0" w:rsidP="0013268C">
      <w:pPr>
        <w:sectPr w:rsidR="00A066C0" w:rsidRPr="0013268C" w:rsidSect="00D91CFD">
          <w:footerReference w:type="default" r:id="rId12"/>
          <w:footerReference w:type="first" r:id="rId13"/>
          <w:pgSz w:w="11906" w:h="16838"/>
          <w:pgMar w:top="1440" w:right="1440" w:bottom="1440" w:left="1440" w:header="708" w:footer="708" w:gutter="0"/>
          <w:pgNumType w:start="1"/>
          <w:cols w:space="708"/>
          <w:docGrid w:linePitch="360"/>
        </w:sectPr>
      </w:pPr>
    </w:p>
    <w:p w14:paraId="6E98EC42" w14:textId="77777777" w:rsidR="00474532" w:rsidRDefault="00474532" w:rsidP="00371EE3">
      <w:pPr>
        <w:pStyle w:val="Heading1"/>
      </w:pPr>
      <w:bookmarkStart w:id="1" w:name="_Toc445886486"/>
      <w:bookmarkStart w:id="2" w:name="_Toc508963911"/>
      <w:r w:rsidRPr="00C03707">
        <w:lastRenderedPageBreak/>
        <w:t>About</w:t>
      </w:r>
      <w:r>
        <w:t xml:space="preserve"> this guideline</w:t>
      </w:r>
      <w:bookmarkEnd w:id="1"/>
      <w:bookmarkEnd w:id="2"/>
    </w:p>
    <w:p w14:paraId="7BACA280" w14:textId="77777777" w:rsidR="00D122F1" w:rsidRDefault="00D122F1" w:rsidP="00474532">
      <w:r>
        <w:t xml:space="preserve">Under the </w:t>
      </w:r>
      <w:r w:rsidR="0027126E">
        <w:t xml:space="preserve">National Energy </w:t>
      </w:r>
      <w:r>
        <w:t>Retail Law</w:t>
      </w:r>
      <w:r w:rsidR="0027126E">
        <w:t xml:space="preserve"> (Retail Law)</w:t>
      </w:r>
      <w:r>
        <w:t xml:space="preserve">, any person or business who sells energy to another person for use at premises must have </w:t>
      </w:r>
      <w:r w:rsidR="00440753">
        <w:t>either a retailer authorisation</w:t>
      </w:r>
      <w:r>
        <w:t xml:space="preserve"> or a retail exemption.</w:t>
      </w:r>
      <w:r>
        <w:rPr>
          <w:rStyle w:val="FootnoteReference"/>
        </w:rPr>
        <w:footnoteReference w:id="2"/>
      </w:r>
      <w:r w:rsidR="003370FB" w:rsidRPr="00E519DC">
        <w:rPr>
          <w:vertAlign w:val="superscript"/>
        </w:rPr>
        <w:t>,</w:t>
      </w:r>
      <w:r>
        <w:rPr>
          <w:rStyle w:val="FootnoteReference"/>
        </w:rPr>
        <w:footnoteReference w:id="3"/>
      </w:r>
      <w:r w:rsidR="00FC74B9">
        <w:t xml:space="preserve"> </w:t>
      </w:r>
    </w:p>
    <w:p w14:paraId="28E2F260" w14:textId="77777777" w:rsidR="0026461B" w:rsidRDefault="00452734" w:rsidP="00E519DC">
      <w:r>
        <w:t xml:space="preserve">If energy selling is your main business, you are selling to large numbers of customers or selling in a number of states and territories, you will probably need a retailer authorisation. </w:t>
      </w:r>
      <w:r w:rsidR="0026461B">
        <w:t xml:space="preserve">If you want to sell energy at a </w:t>
      </w:r>
      <w:r>
        <w:t>specific</w:t>
      </w:r>
      <w:r w:rsidR="0026461B">
        <w:t xml:space="preserve"> site, </w:t>
      </w:r>
      <w:r>
        <w:t xml:space="preserve">to customers you already have a relationship with, </w:t>
      </w:r>
      <w:r w:rsidR="0026461B">
        <w:t xml:space="preserve">or </w:t>
      </w:r>
      <w:r>
        <w:t>have plans for small-scale</w:t>
      </w:r>
      <w:r w:rsidR="0026461B">
        <w:t xml:space="preserve"> selling activities, you may be eligible for a retail exemption</w:t>
      </w:r>
      <w:r w:rsidR="007109FE">
        <w:t>.</w:t>
      </w:r>
      <w:r w:rsidR="0026461B">
        <w:t xml:space="preserve"> </w:t>
      </w:r>
      <w:r w:rsidR="00474532">
        <w:t xml:space="preserve">This guideline is for </w:t>
      </w:r>
      <w:r w:rsidR="007109FE">
        <w:t xml:space="preserve">those </w:t>
      </w:r>
      <w:r w:rsidR="009F7429">
        <w:t>energy sellers</w:t>
      </w:r>
      <w:r w:rsidR="00474532">
        <w:t xml:space="preserve"> that need a retail exemption.</w:t>
      </w:r>
      <w:r w:rsidR="0026461B" w:rsidRPr="0026461B">
        <w:rPr>
          <w:rStyle w:val="FootnoteReference"/>
        </w:rPr>
        <w:t xml:space="preserve"> </w:t>
      </w:r>
      <w:r w:rsidR="0026461B">
        <w:rPr>
          <w:rStyle w:val="FootnoteReference"/>
        </w:rPr>
        <w:footnoteReference w:id="4"/>
      </w:r>
      <w:r w:rsidR="0026461B">
        <w:t xml:space="preserve"> </w:t>
      </w:r>
      <w:r w:rsidR="00F10975">
        <w:t xml:space="preserve">  </w:t>
      </w:r>
    </w:p>
    <w:p w14:paraId="257919AE" w14:textId="77777777" w:rsidR="00474532" w:rsidRDefault="00D122F1" w:rsidP="00474532">
      <w:r>
        <w:t>T</w:t>
      </w:r>
      <w:r w:rsidR="00474532">
        <w:t xml:space="preserve">his guideline will help you understand: </w:t>
      </w:r>
    </w:p>
    <w:p w14:paraId="31DAE2A8" w14:textId="588F8705" w:rsidR="009F7429" w:rsidRDefault="00DF38E7" w:rsidP="001A2F7A">
      <w:pPr>
        <w:pStyle w:val="ListParagraph"/>
        <w:numPr>
          <w:ilvl w:val="0"/>
          <w:numId w:val="9"/>
        </w:numPr>
        <w:ind w:left="567" w:hanging="430"/>
        <w:contextualSpacing w:val="0"/>
      </w:pPr>
      <w:r>
        <w:t xml:space="preserve">whether </w:t>
      </w:r>
      <w:r w:rsidR="00474532">
        <w:t>you</w:t>
      </w:r>
      <w:r w:rsidR="001A2F7A">
        <w:t xml:space="preserve"> </w:t>
      </w:r>
      <w:r w:rsidR="00474532">
        <w:t>need</w:t>
      </w:r>
      <w:r w:rsidR="001A2F7A">
        <w:t xml:space="preserve"> </w:t>
      </w:r>
      <w:r w:rsidR="00474532">
        <w:t>a</w:t>
      </w:r>
      <w:r w:rsidR="001A2F7A">
        <w:t>n</w:t>
      </w:r>
      <w:r w:rsidR="00474532">
        <w:t xml:space="preserve"> exemption</w:t>
      </w:r>
      <w:r w:rsidR="001A2F7A">
        <w:t xml:space="preserve"> or an authorisation</w:t>
      </w:r>
      <w:r w:rsidR="009F7429">
        <w:t xml:space="preserve"> (Section </w:t>
      </w:r>
      <w:r w:rsidR="00646D0E">
        <w:t>3</w:t>
      </w:r>
      <w:r w:rsidR="009F7429">
        <w:t>)</w:t>
      </w:r>
    </w:p>
    <w:p w14:paraId="35361495" w14:textId="153BBF68" w:rsidR="009F7429" w:rsidRDefault="009F7429" w:rsidP="001A2F7A">
      <w:pPr>
        <w:pStyle w:val="ListParagraph"/>
        <w:numPr>
          <w:ilvl w:val="0"/>
          <w:numId w:val="9"/>
        </w:numPr>
        <w:ind w:left="567" w:hanging="430"/>
        <w:contextualSpacing w:val="0"/>
      </w:pPr>
      <w:r>
        <w:t xml:space="preserve">which type of exemption </w:t>
      </w:r>
      <w:r w:rsidR="002676A6">
        <w:t>you need – deemed, registrable or individual</w:t>
      </w:r>
      <w:r>
        <w:t xml:space="preserve"> (Section </w:t>
      </w:r>
      <w:r w:rsidR="00646D0E">
        <w:t>4</w:t>
      </w:r>
      <w:r>
        <w:t>)</w:t>
      </w:r>
    </w:p>
    <w:p w14:paraId="76C071E4" w14:textId="77777777" w:rsidR="00474532" w:rsidRDefault="009F7429" w:rsidP="001A2F7A">
      <w:pPr>
        <w:pStyle w:val="ListParagraph"/>
        <w:numPr>
          <w:ilvl w:val="0"/>
          <w:numId w:val="9"/>
        </w:numPr>
        <w:ind w:left="567" w:hanging="430"/>
        <w:contextualSpacing w:val="0"/>
      </w:pPr>
      <w:r>
        <w:t>who should hold the exemption (Section 5)</w:t>
      </w:r>
      <w:r w:rsidR="00474532">
        <w:t xml:space="preserve"> </w:t>
      </w:r>
    </w:p>
    <w:p w14:paraId="4FDE28E5" w14:textId="77777777" w:rsidR="00474532" w:rsidRDefault="00474532" w:rsidP="001A2F7A">
      <w:pPr>
        <w:pStyle w:val="ListParagraph"/>
        <w:numPr>
          <w:ilvl w:val="0"/>
          <w:numId w:val="9"/>
        </w:numPr>
        <w:ind w:left="567" w:hanging="430"/>
        <w:contextualSpacing w:val="0"/>
      </w:pPr>
      <w:r>
        <w:t xml:space="preserve">how to </w:t>
      </w:r>
      <w:r w:rsidR="00452734">
        <w:t xml:space="preserve">get </w:t>
      </w:r>
      <w:r>
        <w:t>a</w:t>
      </w:r>
      <w:r w:rsidR="009F7429">
        <w:t>n exemption (Section 6)</w:t>
      </w:r>
    </w:p>
    <w:p w14:paraId="18D3B6C8" w14:textId="77777777" w:rsidR="00DF38E7" w:rsidRDefault="002676A6" w:rsidP="001A2F7A">
      <w:pPr>
        <w:pStyle w:val="ListParagraph"/>
        <w:numPr>
          <w:ilvl w:val="0"/>
          <w:numId w:val="9"/>
        </w:numPr>
        <w:ind w:left="567" w:hanging="430"/>
        <w:contextualSpacing w:val="0"/>
      </w:pPr>
      <w:r>
        <w:t>how we</w:t>
      </w:r>
      <w:r w:rsidR="00DF38E7">
        <w:t xml:space="preserve"> assess </w:t>
      </w:r>
      <w:r w:rsidR="001A2F7A">
        <w:t xml:space="preserve">individual </w:t>
      </w:r>
      <w:r w:rsidR="00DF38E7">
        <w:t>exemption applications</w:t>
      </w:r>
      <w:r w:rsidR="009F7429">
        <w:t xml:space="preserve"> (Section 7)</w:t>
      </w:r>
    </w:p>
    <w:p w14:paraId="0D17C51D" w14:textId="77777777" w:rsidR="001A2F7A" w:rsidRDefault="001A2F7A" w:rsidP="001A2F7A">
      <w:pPr>
        <w:pStyle w:val="ListParagraph"/>
        <w:numPr>
          <w:ilvl w:val="0"/>
          <w:numId w:val="9"/>
        </w:numPr>
        <w:ind w:left="567" w:hanging="430"/>
        <w:contextualSpacing w:val="0"/>
      </w:pPr>
      <w:r>
        <w:t xml:space="preserve">the conditions </w:t>
      </w:r>
      <w:r w:rsidR="002676A6">
        <w:t xml:space="preserve">exemption holders </w:t>
      </w:r>
      <w:r>
        <w:t xml:space="preserve">must comply with (Section 8). </w:t>
      </w:r>
    </w:p>
    <w:p w14:paraId="63F1B4B0" w14:textId="302AC489" w:rsidR="001A2F7A" w:rsidRDefault="001A2F7A" w:rsidP="007109FE">
      <w:r>
        <w:t>The guideline refers you to further informatio</w:t>
      </w:r>
      <w:r w:rsidR="002676A6">
        <w:t xml:space="preserve">n in the relevant appendices. The appendices provide detailed information </w:t>
      </w:r>
      <w:r w:rsidR="00452734">
        <w:t>to</w:t>
      </w:r>
      <w:r w:rsidR="002676A6">
        <w:t xml:space="preserve"> help you understand what you need to do </w:t>
      </w:r>
      <w:r w:rsidR="00452734">
        <w:t xml:space="preserve">to get an exemption and your obligations once you have </w:t>
      </w:r>
      <w:r w:rsidR="00F00A6E">
        <w:t>one</w:t>
      </w:r>
      <w:r w:rsidR="00452734">
        <w:t xml:space="preserve">. </w:t>
      </w:r>
      <w:r w:rsidR="002676A6">
        <w:t xml:space="preserve">  </w:t>
      </w:r>
      <w:r>
        <w:t xml:space="preserve"> </w:t>
      </w:r>
    </w:p>
    <w:p w14:paraId="4AADA4E5" w14:textId="5815B933" w:rsidR="00474532" w:rsidRDefault="00474532" w:rsidP="00474532">
      <w:r>
        <w:t>If you</w:t>
      </w:r>
      <w:r w:rsidR="00440753">
        <w:t xml:space="preserve"> have read this guideline and</w:t>
      </w:r>
      <w:r>
        <w:t xml:space="preserve"> are</w:t>
      </w:r>
      <w:r w:rsidR="00440753">
        <w:t xml:space="preserve"> still</w:t>
      </w:r>
      <w:r>
        <w:t xml:space="preserve"> unsure whether you need an exemption, please contact us. </w:t>
      </w:r>
      <w:r w:rsidR="007C0183">
        <w:t xml:space="preserve">We can </w:t>
      </w:r>
      <w:r w:rsidR="008005A8">
        <w:t xml:space="preserve">help you understand </w:t>
      </w:r>
      <w:r w:rsidR="007C0183">
        <w:t xml:space="preserve">how the guideline </w:t>
      </w:r>
      <w:r w:rsidR="00167CB4">
        <w:t xml:space="preserve">works </w:t>
      </w:r>
      <w:r w:rsidR="007C0183">
        <w:t xml:space="preserve">but you </w:t>
      </w:r>
      <w:r w:rsidR="005B350B">
        <w:t xml:space="preserve">may </w:t>
      </w:r>
      <w:r w:rsidR="0048756C">
        <w:t xml:space="preserve">also </w:t>
      </w:r>
      <w:r w:rsidR="007C0183">
        <w:t xml:space="preserve">need </w:t>
      </w:r>
      <w:r w:rsidR="00924598">
        <w:t>your own</w:t>
      </w:r>
      <w:r w:rsidR="007C0183">
        <w:t xml:space="preserve"> legal advice</w:t>
      </w:r>
      <w:r w:rsidR="0048756C">
        <w:t xml:space="preserve"> on your specific circumstances</w:t>
      </w:r>
      <w:r w:rsidR="007C0183">
        <w:t xml:space="preserve">. </w:t>
      </w:r>
      <w:r>
        <w:t xml:space="preserve">You can email us at </w:t>
      </w:r>
      <w:hyperlink r:id="rId14" w:history="1">
        <w:r w:rsidR="002C7913" w:rsidRPr="008738BD">
          <w:rPr>
            <w:rStyle w:val="Hyperlink"/>
          </w:rPr>
          <w:t>AERExemptions@aer.gov.au</w:t>
        </w:r>
      </w:hyperlink>
      <w:r>
        <w:t>, or phone the AER Info</w:t>
      </w:r>
      <w:r w:rsidR="00384842">
        <w:t>rmation line</w:t>
      </w:r>
      <w:r>
        <w:t xml:space="preserve"> on 1300 58</w:t>
      </w:r>
      <w:r w:rsidR="00E41674">
        <w:t>5 165</w:t>
      </w:r>
      <w:r w:rsidR="00E70764">
        <w:t xml:space="preserve"> </w:t>
      </w:r>
      <w:r w:rsidR="00452734">
        <w:t>(</w:t>
      </w:r>
      <w:r w:rsidR="0048756C">
        <w:t>leave details so we can contact you</w:t>
      </w:r>
      <w:r w:rsidR="00452734">
        <w:t>)</w:t>
      </w:r>
      <w:r>
        <w:t xml:space="preserve">. </w:t>
      </w:r>
    </w:p>
    <w:p w14:paraId="029BC0AF" w14:textId="77777777" w:rsidR="0026461B" w:rsidRDefault="008005A8" w:rsidP="00480BB1">
      <w:r>
        <w:t xml:space="preserve">This guideline deals with retail exemptions under the Retail Law. For network exemptions under the National Electricity Law, please see the </w:t>
      </w:r>
      <w:hyperlink r:id="rId15" w:history="1">
        <w:r w:rsidR="00E519DC" w:rsidRPr="00C2567C">
          <w:t>AER’s Network</w:t>
        </w:r>
        <w:r w:rsidRPr="00C2567C">
          <w:t xml:space="preserve"> </w:t>
        </w:r>
        <w:r w:rsidR="0027126E">
          <w:t>S</w:t>
        </w:r>
        <w:r w:rsidRPr="00C2567C">
          <w:t xml:space="preserve">ervice </w:t>
        </w:r>
        <w:r w:rsidR="0027126E">
          <w:t>P</w:t>
        </w:r>
        <w:r w:rsidRPr="00C2567C">
          <w:t xml:space="preserve">rovider </w:t>
        </w:r>
        <w:r w:rsidR="0027126E">
          <w:t>R</w:t>
        </w:r>
        <w:r w:rsidRPr="00C2567C">
          <w:t xml:space="preserve">egistration </w:t>
        </w:r>
        <w:r w:rsidR="0027126E">
          <w:t>E</w:t>
        </w:r>
        <w:r w:rsidRPr="00C2567C">
          <w:t xml:space="preserve">xemption </w:t>
        </w:r>
        <w:r w:rsidR="0027126E">
          <w:t>G</w:t>
        </w:r>
        <w:r w:rsidRPr="00C2567C">
          <w:t>uideline</w:t>
        </w:r>
      </w:hyperlink>
      <w:r>
        <w:t>.</w:t>
      </w:r>
      <w:r w:rsidRPr="00371EE3">
        <w:rPr>
          <w:vertAlign w:val="superscript"/>
        </w:rPr>
        <w:footnoteReference w:id="5"/>
      </w:r>
    </w:p>
    <w:p w14:paraId="2C3BA4BC" w14:textId="77777777" w:rsidR="00F6674D" w:rsidRPr="00480BB1" w:rsidRDefault="00282288" w:rsidP="00F6674D">
      <w:pPr>
        <w:pStyle w:val="Heading1"/>
      </w:pPr>
      <w:bookmarkStart w:id="3" w:name="_Toc445886487"/>
      <w:bookmarkStart w:id="4" w:name="_Toc508963912"/>
      <w:r>
        <w:lastRenderedPageBreak/>
        <w:t>Are you</w:t>
      </w:r>
      <w:r w:rsidR="00C04146">
        <w:t xml:space="preserve"> an</w:t>
      </w:r>
      <w:r w:rsidR="00F6674D" w:rsidRPr="00480BB1">
        <w:t xml:space="preserve"> energy</w:t>
      </w:r>
      <w:r w:rsidR="00A76B9F">
        <w:t xml:space="preserve"> seller</w:t>
      </w:r>
      <w:r w:rsidR="00F6674D" w:rsidRPr="00480BB1">
        <w:t>?</w:t>
      </w:r>
      <w:bookmarkEnd w:id="3"/>
      <w:bookmarkEnd w:id="4"/>
      <w:r w:rsidR="00F6674D" w:rsidRPr="00480BB1">
        <w:t xml:space="preserve"> </w:t>
      </w:r>
    </w:p>
    <w:p w14:paraId="072B8BC1" w14:textId="77777777" w:rsidR="00D2156A" w:rsidRPr="001A3DE4" w:rsidRDefault="00924598" w:rsidP="00D2156A">
      <w:r>
        <w:t>I</w:t>
      </w:r>
      <w:r w:rsidR="00D2156A">
        <w:t xml:space="preserve">f you sell gas or electricity to a person or business for use at </w:t>
      </w:r>
      <w:r w:rsidR="00D2156A" w:rsidRPr="00327589">
        <w:rPr>
          <w:b/>
          <w:bCs/>
        </w:rPr>
        <w:t>premises</w:t>
      </w:r>
      <w:r w:rsidR="00D2156A">
        <w:t xml:space="preserve">, and you </w:t>
      </w:r>
      <w:r>
        <w:t xml:space="preserve">itemise </w:t>
      </w:r>
      <w:r w:rsidR="00D2156A">
        <w:t xml:space="preserve">that cost in </w:t>
      </w:r>
      <w:r w:rsidR="00D2156A" w:rsidRPr="00327589">
        <w:rPr>
          <w:b/>
          <w:bCs/>
        </w:rPr>
        <w:t>a separate, discrete charge</w:t>
      </w:r>
      <w:r w:rsidR="00D2156A">
        <w:rPr>
          <w:bCs/>
        </w:rPr>
        <w:t xml:space="preserve">, </w:t>
      </w:r>
      <w:r w:rsidR="00904909">
        <w:rPr>
          <w:bCs/>
        </w:rPr>
        <w:t>it is likely that you are</w:t>
      </w:r>
      <w:r w:rsidR="00D2156A">
        <w:rPr>
          <w:bCs/>
        </w:rPr>
        <w:t xml:space="preserve"> an energy seller</w:t>
      </w:r>
      <w:r>
        <w:rPr>
          <w:bCs/>
        </w:rPr>
        <w:t xml:space="preserve"> under the Retail Law</w:t>
      </w:r>
      <w:r w:rsidR="007109FE">
        <w:rPr>
          <w:bCs/>
        </w:rPr>
        <w:t>.</w:t>
      </w:r>
    </w:p>
    <w:p w14:paraId="2C9D3239" w14:textId="77777777" w:rsidR="00A76B9F" w:rsidRDefault="00A76B9F" w:rsidP="00A76B9F">
      <w:r>
        <w:t>Energy selling covers a wide range of activities, from energy retailing by authorised retailers to</w:t>
      </w:r>
      <w:r w:rsidR="00CF72AB">
        <w:t xml:space="preserve"> households and businesses </w:t>
      </w:r>
      <w:r w:rsidR="0027126E">
        <w:t xml:space="preserve">to </w:t>
      </w:r>
      <w:r>
        <w:t xml:space="preserve">landlords recovering </w:t>
      </w:r>
      <w:r w:rsidR="00F348F2">
        <w:t>energy costs from their tenants</w:t>
      </w:r>
      <w:r>
        <w:t xml:space="preserve">.  </w:t>
      </w:r>
    </w:p>
    <w:p w14:paraId="259C76A5" w14:textId="77777777" w:rsidR="00CF72AB" w:rsidRDefault="00A76B9F" w:rsidP="00A76B9F">
      <w:r>
        <w:t>Energy ‘sales’ do not necessarily have to be for profit—</w:t>
      </w:r>
      <w:r w:rsidR="00432744">
        <w:t xml:space="preserve">even </w:t>
      </w:r>
      <w:r>
        <w:t xml:space="preserve">passing on energy </w:t>
      </w:r>
      <w:r w:rsidR="00924598">
        <w:t xml:space="preserve">at </w:t>
      </w:r>
      <w:r>
        <w:t>cost to another person is a sale.</w:t>
      </w:r>
      <w:r w:rsidR="007E1EE9">
        <w:t xml:space="preserve"> But w</w:t>
      </w:r>
      <w:r w:rsidR="0014614C">
        <w:t>e do not consider energy is being sold</w:t>
      </w:r>
      <w:r w:rsidR="00CF72AB">
        <w:t xml:space="preserve"> where energy costs are only one part of another fixed charge (for example, </w:t>
      </w:r>
      <w:r w:rsidR="00924598">
        <w:t xml:space="preserve">a hotel tariff or </w:t>
      </w:r>
      <w:r w:rsidR="00CF72AB">
        <w:t>rent that includes energy costs</w:t>
      </w:r>
      <w:r w:rsidR="00924598">
        <w:t>)</w:t>
      </w:r>
      <w:r w:rsidR="00CF72AB">
        <w:t>,</w:t>
      </w:r>
      <w:r w:rsidR="00CF72AB">
        <w:rPr>
          <w:rStyle w:val="FootnoteReference"/>
        </w:rPr>
        <w:footnoteReference w:id="6"/>
      </w:r>
      <w:r w:rsidR="00CF72AB">
        <w:t xml:space="preserve"> or where the costs are shared (for example, in a group house or a community facility).</w:t>
      </w:r>
    </w:p>
    <w:p w14:paraId="7E806BC8" w14:textId="77777777" w:rsidR="008E39F0" w:rsidRDefault="008E39F0" w:rsidP="008E39F0">
      <w:pPr>
        <w:shd w:val="clear" w:color="auto" w:fill="D9D9D9" w:themeFill="background1" w:themeFillShade="D9"/>
      </w:pPr>
      <w:r>
        <w:t>Some example</w:t>
      </w:r>
      <w:r w:rsidR="00B02796">
        <w:t>s</w:t>
      </w:r>
      <w:r>
        <w:t xml:space="preserve"> of a sale of energy could include:</w:t>
      </w:r>
    </w:p>
    <w:p w14:paraId="1FB3E1AD" w14:textId="62629DF7" w:rsidR="00F6674D" w:rsidRDefault="00E757B3" w:rsidP="00B30B92">
      <w:pPr>
        <w:pStyle w:val="ListParagraph"/>
        <w:numPr>
          <w:ilvl w:val="0"/>
          <w:numId w:val="67"/>
        </w:numPr>
        <w:shd w:val="clear" w:color="auto" w:fill="D9D9D9" w:themeFill="background1" w:themeFillShade="D9"/>
      </w:pPr>
      <w:r>
        <w:t>e</w:t>
      </w:r>
      <w:r w:rsidR="00F6674D">
        <w:t xml:space="preserve">nergy sold to a long term resident of a caravan park, based on the resident’s metered consumption </w:t>
      </w:r>
    </w:p>
    <w:p w14:paraId="52E573A7" w14:textId="38A2C09E" w:rsidR="00F6674D" w:rsidRDefault="00E757B3" w:rsidP="00B30B92">
      <w:pPr>
        <w:pStyle w:val="ListParagraph"/>
        <w:numPr>
          <w:ilvl w:val="0"/>
          <w:numId w:val="67"/>
        </w:numPr>
        <w:shd w:val="clear" w:color="auto" w:fill="D9D9D9" w:themeFill="background1" w:themeFillShade="D9"/>
      </w:pPr>
      <w:r>
        <w:t>e</w:t>
      </w:r>
      <w:r w:rsidR="00282288">
        <w:t xml:space="preserve">nergy sold </w:t>
      </w:r>
      <w:r w:rsidR="00F6674D">
        <w:t>to tenants</w:t>
      </w:r>
      <w:r w:rsidR="00282288">
        <w:t xml:space="preserve"> of a residential apartment block based on </w:t>
      </w:r>
      <w:r w:rsidR="00904909">
        <w:t>each</w:t>
      </w:r>
      <w:r w:rsidR="00282288">
        <w:t xml:space="preserve"> residents</w:t>
      </w:r>
      <w:r w:rsidR="00B02796">
        <w:t>’</w:t>
      </w:r>
      <w:r w:rsidR="00282288">
        <w:t xml:space="preserve"> metered consumption</w:t>
      </w:r>
      <w:r w:rsidR="00F6674D">
        <w:t xml:space="preserve"> </w:t>
      </w:r>
      <w:r w:rsidR="00F348F2">
        <w:t xml:space="preserve">(but not </w:t>
      </w:r>
      <w:r w:rsidR="00F00A6E">
        <w:t>included in</w:t>
      </w:r>
      <w:r w:rsidR="00F348F2">
        <w:t xml:space="preserve"> rent) </w:t>
      </w:r>
    </w:p>
    <w:p w14:paraId="4792A449" w14:textId="56C44AD5" w:rsidR="00F348F2" w:rsidRDefault="00E757B3" w:rsidP="00B30B92">
      <w:pPr>
        <w:pStyle w:val="ListParagraph"/>
        <w:numPr>
          <w:ilvl w:val="0"/>
          <w:numId w:val="67"/>
        </w:numPr>
        <w:shd w:val="clear" w:color="auto" w:fill="D9D9D9" w:themeFill="background1" w:themeFillShade="D9"/>
      </w:pPr>
      <w:r>
        <w:t>e</w:t>
      </w:r>
      <w:r w:rsidR="00F348F2">
        <w:t>nergy costs passed through—at no p</w:t>
      </w:r>
      <w:r w:rsidR="00DF38E7">
        <w:t>rofit—from a landlord to</w:t>
      </w:r>
      <w:r w:rsidR="00924598">
        <w:t xml:space="preserve"> a</w:t>
      </w:r>
      <w:r w:rsidR="00DF38E7">
        <w:t xml:space="preserve"> tenant</w:t>
      </w:r>
      <w:r w:rsidR="00F348F2">
        <w:t xml:space="preserve"> </w:t>
      </w:r>
    </w:p>
    <w:p w14:paraId="5FB55D75" w14:textId="4377BAA0" w:rsidR="00F6674D" w:rsidRDefault="00E757B3" w:rsidP="00B30B92">
      <w:pPr>
        <w:pStyle w:val="ListParagraph"/>
        <w:numPr>
          <w:ilvl w:val="0"/>
          <w:numId w:val="67"/>
        </w:numPr>
        <w:shd w:val="clear" w:color="auto" w:fill="D9D9D9" w:themeFill="background1" w:themeFillShade="D9"/>
      </w:pPr>
      <w:r>
        <w:t>u</w:t>
      </w:r>
      <w:r w:rsidR="00F6674D">
        <w:t xml:space="preserve">nmetered energy where a commercial landlord is billed and then apportions the cost between tenants </w:t>
      </w:r>
    </w:p>
    <w:p w14:paraId="4BCF42A5" w14:textId="005FE588" w:rsidR="00580545" w:rsidRDefault="00E757B3" w:rsidP="00B30B92">
      <w:pPr>
        <w:pStyle w:val="ListParagraph"/>
        <w:numPr>
          <w:ilvl w:val="0"/>
          <w:numId w:val="67"/>
        </w:numPr>
        <w:shd w:val="clear" w:color="auto" w:fill="D9D9D9" w:themeFill="background1" w:themeFillShade="D9"/>
      </w:pPr>
      <w:r>
        <w:t>e</w:t>
      </w:r>
      <w:r w:rsidR="00580545">
        <w:t xml:space="preserve">nergy </w:t>
      </w:r>
      <w:r w:rsidR="00282288">
        <w:t xml:space="preserve">sold </w:t>
      </w:r>
      <w:r w:rsidR="00580545">
        <w:t xml:space="preserve">to builders </w:t>
      </w:r>
      <w:r w:rsidR="00D621C3">
        <w:t>working on</w:t>
      </w:r>
      <w:r w:rsidR="00580545">
        <w:t xml:space="preserve"> a construction site</w:t>
      </w:r>
      <w:r w:rsidR="00282288">
        <w:t>, even though it’s</w:t>
      </w:r>
      <w:r w:rsidR="00580545">
        <w:t xml:space="preserve"> on a temporary basis</w:t>
      </w:r>
    </w:p>
    <w:p w14:paraId="693C986B" w14:textId="11405187" w:rsidR="008E39F0" w:rsidRDefault="00E757B3" w:rsidP="008E39F0">
      <w:pPr>
        <w:pStyle w:val="ListParagraph"/>
        <w:numPr>
          <w:ilvl w:val="0"/>
          <w:numId w:val="67"/>
        </w:numPr>
        <w:shd w:val="clear" w:color="auto" w:fill="D9D9D9" w:themeFill="background1" w:themeFillShade="D9"/>
      </w:pPr>
      <w:r>
        <w:t>e</w:t>
      </w:r>
      <w:r w:rsidR="00580545">
        <w:t>nergy sold through power purchase agreements to supplement the energy a customer buys from an authorised retailer</w:t>
      </w:r>
      <w:r>
        <w:t>.</w:t>
      </w:r>
      <w:r w:rsidR="00580545">
        <w:t xml:space="preserve"> </w:t>
      </w:r>
    </w:p>
    <w:p w14:paraId="54B030F6" w14:textId="6B846435" w:rsidR="00285904" w:rsidRDefault="00924598" w:rsidP="00E70764">
      <w:pPr>
        <w:spacing w:before="240"/>
      </w:pPr>
      <w:r>
        <w:t>The Retail Law does</w:t>
      </w:r>
      <w:r w:rsidR="00904909">
        <w:t xml:space="preserve"> </w:t>
      </w:r>
      <w:r>
        <w:t>n</w:t>
      </w:r>
      <w:r w:rsidR="00904909">
        <w:t>o</w:t>
      </w:r>
      <w:r>
        <w:t xml:space="preserve">t define ‘premises’. We consider it </w:t>
      </w:r>
      <w:r w:rsidR="00F00A6E">
        <w:t>has</w:t>
      </w:r>
      <w:r>
        <w:t xml:space="preserve"> a broad application and we take a pragmatic approach to interpreting it. </w:t>
      </w:r>
    </w:p>
    <w:p w14:paraId="06534362" w14:textId="77777777" w:rsidR="00353CD9" w:rsidRDefault="00353CD9" w:rsidP="00C03707">
      <w:pPr>
        <w:pStyle w:val="Heading1"/>
      </w:pPr>
      <w:bookmarkStart w:id="5" w:name="_Toc445886488"/>
      <w:bookmarkStart w:id="6" w:name="_Toc508963913"/>
      <w:r>
        <w:t xml:space="preserve">Do </w:t>
      </w:r>
      <w:r w:rsidR="00904909">
        <w:t>you</w:t>
      </w:r>
      <w:r>
        <w:t xml:space="preserve"> need an authorisation or </w:t>
      </w:r>
      <w:r w:rsidR="00640310">
        <w:t xml:space="preserve">an </w:t>
      </w:r>
      <w:r>
        <w:t>exemption?</w:t>
      </w:r>
      <w:bookmarkEnd w:id="5"/>
      <w:bookmarkEnd w:id="6"/>
    </w:p>
    <w:p w14:paraId="434CBD4D" w14:textId="77777777" w:rsidR="0027126E" w:rsidRDefault="002676A6" w:rsidP="0027126E">
      <w:r>
        <w:t>If you sell energy in a</w:t>
      </w:r>
      <w:r w:rsidR="00896861">
        <w:t>ny</w:t>
      </w:r>
      <w:r>
        <w:t xml:space="preserve"> state or territory where the Retail Law applies, you must hold either a</w:t>
      </w:r>
      <w:r w:rsidR="00896861">
        <w:t xml:space="preserve"> retail</w:t>
      </w:r>
      <w:r w:rsidR="000D3B5D">
        <w:t>er</w:t>
      </w:r>
      <w:r>
        <w:t xml:space="preserve"> authorisation or an exemption</w:t>
      </w:r>
      <w:r w:rsidR="00BF2E17">
        <w:t xml:space="preserve"> from the requirement to hold an authorisation</w:t>
      </w:r>
      <w:r w:rsidR="00896861">
        <w:t xml:space="preserve"> (but not both)</w:t>
      </w:r>
      <w:r>
        <w:t>.</w:t>
      </w:r>
      <w:r>
        <w:rPr>
          <w:rStyle w:val="FootnoteReference"/>
        </w:rPr>
        <w:footnoteReference w:id="7"/>
      </w:r>
      <w:r w:rsidR="00896861">
        <w:t xml:space="preserve"> </w:t>
      </w:r>
      <w:r w:rsidR="0027126E">
        <w:t>This section of the guideline will help you decide if</w:t>
      </w:r>
      <w:r w:rsidR="00D2156A">
        <w:t xml:space="preserve"> </w:t>
      </w:r>
      <w:r w:rsidR="00282288">
        <w:t xml:space="preserve">you need an authorisation, or if you may instead seek </w:t>
      </w:r>
      <w:r w:rsidR="0027126E">
        <w:t>a</w:t>
      </w:r>
      <w:r w:rsidR="00380FE6">
        <w:t xml:space="preserve"> retail</w:t>
      </w:r>
      <w:r w:rsidR="0027126E">
        <w:t xml:space="preserve"> exemption</w:t>
      </w:r>
      <w:r w:rsidR="00282288">
        <w:t xml:space="preserve">. </w:t>
      </w:r>
      <w:r w:rsidR="007109FE" w:rsidRPr="00FE53A3">
        <w:t>Penalties apply for sellers of energy who do not have an authorisation or an exemption.</w:t>
      </w:r>
      <w:r w:rsidR="007109FE" w:rsidRPr="00FE53A3">
        <w:rPr>
          <w:rStyle w:val="FootnoteReference"/>
        </w:rPr>
        <w:footnoteReference w:id="8"/>
      </w:r>
    </w:p>
    <w:p w14:paraId="7206FD60" w14:textId="77777777" w:rsidR="001C6DBA" w:rsidRDefault="007109FE" w:rsidP="007B42FF">
      <w:pPr>
        <w:pStyle w:val="Heading2"/>
      </w:pPr>
      <w:bookmarkStart w:id="7" w:name="_Toc430776160"/>
      <w:bookmarkStart w:id="8" w:name="_Toc444774631"/>
      <w:bookmarkStart w:id="9" w:name="_Toc445751583"/>
      <w:bookmarkStart w:id="10" w:name="_Toc445793333"/>
      <w:bookmarkStart w:id="11" w:name="_Toc445886489"/>
      <w:bookmarkStart w:id="12" w:name="_Toc496611982"/>
      <w:bookmarkStart w:id="13" w:name="_Toc508963914"/>
      <w:r>
        <w:t>R</w:t>
      </w:r>
      <w:r w:rsidR="00640310">
        <w:t>etailer authorisation</w:t>
      </w:r>
      <w:bookmarkEnd w:id="7"/>
      <w:bookmarkEnd w:id="8"/>
      <w:bookmarkEnd w:id="9"/>
      <w:bookmarkEnd w:id="10"/>
      <w:bookmarkEnd w:id="11"/>
      <w:bookmarkEnd w:id="12"/>
      <w:bookmarkEnd w:id="13"/>
      <w:r w:rsidR="00640310">
        <w:t xml:space="preserve"> </w:t>
      </w:r>
    </w:p>
    <w:p w14:paraId="113333E1" w14:textId="77777777" w:rsidR="005040FA" w:rsidRDefault="005040FA" w:rsidP="00353CD9">
      <w:r>
        <w:t>A national retailer authorisation allows you to sell electricity or gas in all states and territories where the Retail Law applies.</w:t>
      </w:r>
      <w:r>
        <w:rPr>
          <w:rStyle w:val="FootnoteReference"/>
        </w:rPr>
        <w:footnoteReference w:id="9"/>
      </w:r>
      <w:r>
        <w:t xml:space="preserve">  </w:t>
      </w:r>
    </w:p>
    <w:p w14:paraId="7459F6B5" w14:textId="77777777" w:rsidR="00353CD9" w:rsidRDefault="00353CD9" w:rsidP="00353CD9">
      <w:r>
        <w:t xml:space="preserve">Retailer authorisations are normally required where: </w:t>
      </w:r>
    </w:p>
    <w:p w14:paraId="3A5A71E5" w14:textId="77777777" w:rsidR="007B42FF" w:rsidRDefault="00353CD9" w:rsidP="00A97E11">
      <w:pPr>
        <w:pStyle w:val="ListParagraph"/>
        <w:numPr>
          <w:ilvl w:val="0"/>
          <w:numId w:val="14"/>
        </w:numPr>
      </w:pPr>
      <w:r>
        <w:t xml:space="preserve">your </w:t>
      </w:r>
      <w:r w:rsidR="00380FE6">
        <w:t xml:space="preserve">main </w:t>
      </w:r>
      <w:r>
        <w:t>business is the sale of energy</w:t>
      </w:r>
      <w:r w:rsidR="00640310">
        <w:t xml:space="preserve"> to customer</w:t>
      </w:r>
      <w:r w:rsidR="000816CC">
        <w:t>s</w:t>
      </w:r>
      <w:r>
        <w:rPr>
          <w:rStyle w:val="FootnoteReference"/>
        </w:rPr>
        <w:footnoteReference w:id="10"/>
      </w:r>
      <w:r>
        <w:t xml:space="preserve"> </w:t>
      </w:r>
    </w:p>
    <w:p w14:paraId="3AD0267F" w14:textId="77777777" w:rsidR="00896861" w:rsidRDefault="00353CD9" w:rsidP="00E06865">
      <w:pPr>
        <w:pStyle w:val="ListParagraph"/>
        <w:numPr>
          <w:ilvl w:val="0"/>
          <w:numId w:val="14"/>
        </w:numPr>
      </w:pPr>
      <w:r>
        <w:t xml:space="preserve">your </w:t>
      </w:r>
      <w:r w:rsidR="009D71A7">
        <w:t xml:space="preserve">main </w:t>
      </w:r>
      <w:r>
        <w:t>relationship with your customers is the sale of energy</w:t>
      </w:r>
    </w:p>
    <w:p w14:paraId="5E61BAD7" w14:textId="77777777" w:rsidR="00353CD9" w:rsidRDefault="00353CD9" w:rsidP="00E06865">
      <w:pPr>
        <w:pStyle w:val="ListParagraph"/>
        <w:numPr>
          <w:ilvl w:val="0"/>
          <w:numId w:val="14"/>
        </w:numPr>
      </w:pPr>
      <w:r>
        <w:t xml:space="preserve">you </w:t>
      </w:r>
      <w:r w:rsidR="00640310">
        <w:t xml:space="preserve">plan </w:t>
      </w:r>
      <w:r>
        <w:t>to sell</w:t>
      </w:r>
      <w:r w:rsidR="00640310">
        <w:t xml:space="preserve"> </w:t>
      </w:r>
      <w:r>
        <w:t xml:space="preserve">a large </w:t>
      </w:r>
      <w:r w:rsidR="005040FA">
        <w:t xml:space="preserve">amount </w:t>
      </w:r>
      <w:r>
        <w:t>of energy</w:t>
      </w:r>
      <w:r w:rsidR="005040FA">
        <w:t xml:space="preserve"> across a number of sites or </w:t>
      </w:r>
      <w:r w:rsidR="00167CB4">
        <w:t>across a number of states and territories</w:t>
      </w:r>
      <w:r>
        <w:t>.</w:t>
      </w:r>
      <w:r>
        <w:rPr>
          <w:rStyle w:val="FootnoteReference"/>
        </w:rPr>
        <w:footnoteReference w:id="11"/>
      </w:r>
      <w:r>
        <w:t xml:space="preserve"> </w:t>
      </w:r>
    </w:p>
    <w:p w14:paraId="6649A8BD" w14:textId="77777777" w:rsidR="000850F1" w:rsidRDefault="008E0908" w:rsidP="00353CD9">
      <w:r>
        <w:t>The AER assesses and approves applications for retailer authorisation.</w:t>
      </w:r>
      <w:r w:rsidR="00167CB4">
        <w:t xml:space="preserve"> </w:t>
      </w:r>
      <w:r w:rsidR="000850F1">
        <w:t>We have developed a separate guideline for businesses that want to apply for a retailer authorisation.</w:t>
      </w:r>
      <w:r w:rsidR="000850F1">
        <w:rPr>
          <w:rStyle w:val="FootnoteReference"/>
        </w:rPr>
        <w:footnoteReference w:id="12"/>
      </w:r>
      <w:r w:rsidR="000850F1">
        <w:t xml:space="preserve">  </w:t>
      </w:r>
    </w:p>
    <w:p w14:paraId="32DB444F" w14:textId="77777777" w:rsidR="001C6DBA" w:rsidRDefault="007109FE" w:rsidP="007B42FF">
      <w:pPr>
        <w:pStyle w:val="Heading2"/>
      </w:pPr>
      <w:bookmarkStart w:id="14" w:name="_Toc445886490"/>
      <w:bookmarkStart w:id="15" w:name="_Toc496611983"/>
      <w:bookmarkStart w:id="16" w:name="_Toc508963915"/>
      <w:r>
        <w:t>Retail exemptions</w:t>
      </w:r>
      <w:bookmarkEnd w:id="14"/>
      <w:bookmarkEnd w:id="15"/>
      <w:bookmarkEnd w:id="16"/>
    </w:p>
    <w:p w14:paraId="20D868E3" w14:textId="77777777" w:rsidR="005040FA" w:rsidRDefault="00904909" w:rsidP="005040FA">
      <w:r>
        <w:t>T</w:t>
      </w:r>
      <w:r w:rsidR="00574A4B">
        <w:t>he</w:t>
      </w:r>
      <w:r w:rsidR="008E39F0">
        <w:t xml:space="preserve"> scale of the planned energy sales </w:t>
      </w:r>
      <w:r w:rsidR="00574A4B">
        <w:t>or</w:t>
      </w:r>
      <w:r w:rsidR="008E39F0">
        <w:t xml:space="preserve"> the</w:t>
      </w:r>
      <w:r w:rsidR="00574A4B">
        <w:t xml:space="preserve"> relationship between the energy seller and customer </w:t>
      </w:r>
      <w:r>
        <w:t xml:space="preserve">may </w:t>
      </w:r>
      <w:r w:rsidR="00574A4B">
        <w:t>mean</w:t>
      </w:r>
      <w:r w:rsidR="005040FA">
        <w:t xml:space="preserve"> </w:t>
      </w:r>
      <w:r w:rsidR="008E39F0">
        <w:t xml:space="preserve">that an authorisation is not necessary and </w:t>
      </w:r>
      <w:r w:rsidR="005040FA">
        <w:t>a</w:t>
      </w:r>
      <w:r w:rsidR="00896861">
        <w:t>n</w:t>
      </w:r>
      <w:r w:rsidR="005040FA">
        <w:t xml:space="preserve"> exemption </w:t>
      </w:r>
      <w:r w:rsidR="00574A4B">
        <w:t>is</w:t>
      </w:r>
      <w:r w:rsidR="005040FA">
        <w:t xml:space="preserve"> more appropriate</w:t>
      </w:r>
      <w:r w:rsidR="008E39F0">
        <w:t>.</w:t>
      </w:r>
      <w:r w:rsidR="00380FE6">
        <w:t xml:space="preserve"> </w:t>
      </w:r>
    </w:p>
    <w:p w14:paraId="293C8C4E" w14:textId="77777777" w:rsidR="00896861" w:rsidRDefault="00896861" w:rsidP="005040FA">
      <w:r>
        <w:t>You will likely be eligible for an exemption i</w:t>
      </w:r>
      <w:r w:rsidR="00034197">
        <w:t>f you are planning to sell energy</w:t>
      </w:r>
      <w:r>
        <w:t>:</w:t>
      </w:r>
    </w:p>
    <w:p w14:paraId="12DF5CE3" w14:textId="77777777" w:rsidR="00896861" w:rsidRDefault="00034197" w:rsidP="007109FE">
      <w:pPr>
        <w:pStyle w:val="ListParagraph"/>
        <w:numPr>
          <w:ilvl w:val="0"/>
          <w:numId w:val="96"/>
        </w:numPr>
      </w:pPr>
      <w:r>
        <w:t>‘incidentally’ to your main business</w:t>
      </w:r>
      <w:r>
        <w:rPr>
          <w:rStyle w:val="FootnoteReference"/>
        </w:rPr>
        <w:footnoteReference w:id="13"/>
      </w:r>
      <w:r>
        <w:t xml:space="preserve"> </w:t>
      </w:r>
    </w:p>
    <w:p w14:paraId="1DFB2E0F" w14:textId="77777777" w:rsidR="00896861" w:rsidRDefault="00034197" w:rsidP="007109FE">
      <w:pPr>
        <w:pStyle w:val="ListParagraph"/>
        <w:numPr>
          <w:ilvl w:val="0"/>
          <w:numId w:val="96"/>
        </w:numPr>
      </w:pPr>
      <w:r>
        <w:t>as a community service or at cost</w:t>
      </w:r>
      <w:r w:rsidR="007109FE">
        <w:t xml:space="preserve"> </w:t>
      </w:r>
      <w:r w:rsidR="00904909">
        <w:t>or</w:t>
      </w:r>
    </w:p>
    <w:p w14:paraId="4822B4C3" w14:textId="77777777" w:rsidR="00034197" w:rsidRDefault="00034197" w:rsidP="007109FE">
      <w:pPr>
        <w:pStyle w:val="ListParagraph"/>
        <w:numPr>
          <w:ilvl w:val="0"/>
          <w:numId w:val="96"/>
        </w:numPr>
      </w:pPr>
      <w:r>
        <w:t>to a defined group of customers at one site</w:t>
      </w:r>
      <w:r w:rsidR="00896861">
        <w:t>.</w:t>
      </w:r>
    </w:p>
    <w:p w14:paraId="767D8955" w14:textId="6AED4400" w:rsidR="00C46CDE" w:rsidRDefault="00380FE6" w:rsidP="00F95A72">
      <w:r>
        <w:t>E</w:t>
      </w:r>
      <w:r w:rsidR="00F95A72">
        <w:t xml:space="preserve">xemptions were developed to manage the practice of </w:t>
      </w:r>
      <w:r w:rsidR="004B3CB7">
        <w:t>‘</w:t>
      </w:r>
      <w:r w:rsidR="00F95A72">
        <w:t>on-selling</w:t>
      </w:r>
      <w:r w:rsidR="004B3CB7">
        <w:t>’</w:t>
      </w:r>
      <w:r>
        <w:t xml:space="preserve"> energy</w:t>
      </w:r>
      <w:r w:rsidR="00F95A72">
        <w:t xml:space="preserve">. On-selling (or reselling), is when a person or business </w:t>
      </w:r>
      <w:r w:rsidR="00C46CDE">
        <w:t>purchases</w:t>
      </w:r>
      <w:r w:rsidR="00F95A72">
        <w:t xml:space="preserve"> </w:t>
      </w:r>
      <w:r w:rsidR="00C46CDE">
        <w:t>energy from</w:t>
      </w:r>
      <w:r w:rsidR="00F95A72">
        <w:t xml:space="preserve"> an</w:t>
      </w:r>
      <w:r w:rsidR="009D71A7">
        <w:t xml:space="preserve">other person or business—usually an </w:t>
      </w:r>
      <w:r w:rsidR="00C46CDE">
        <w:t>authorised</w:t>
      </w:r>
      <w:r w:rsidR="00F95A72">
        <w:t xml:space="preserve"> energy retailer</w:t>
      </w:r>
      <w:r w:rsidR="009D71A7">
        <w:t>—</w:t>
      </w:r>
      <w:r w:rsidR="00C46CDE">
        <w:t>and then sells it</w:t>
      </w:r>
      <w:r w:rsidR="00F95A72">
        <w:t xml:space="preserve"> to </w:t>
      </w:r>
      <w:r w:rsidR="00C46CDE">
        <w:t>a</w:t>
      </w:r>
      <w:r w:rsidR="00F95A72">
        <w:t xml:space="preserve"> customer through an embedded network,</w:t>
      </w:r>
      <w:r w:rsidR="00F95A72">
        <w:rPr>
          <w:rStyle w:val="FootnoteReference"/>
        </w:rPr>
        <w:footnoteReference w:id="14"/>
      </w:r>
      <w:r w:rsidR="00F95A72">
        <w:t xml:space="preserve"> such as a shopping centre, apartment building, retirement village or caravan park. The </w:t>
      </w:r>
      <w:r w:rsidR="009D71A7">
        <w:t>main</w:t>
      </w:r>
      <w:r w:rsidR="00F95A72">
        <w:t xml:space="preserve"> relationship the on-seller has with their cus</w:t>
      </w:r>
      <w:r w:rsidR="00C46CDE">
        <w:t xml:space="preserve">tomer is not the sale of energy. </w:t>
      </w:r>
    </w:p>
    <w:p w14:paraId="490A82AE" w14:textId="2B8A514F" w:rsidR="008040CE" w:rsidRDefault="00F95A72" w:rsidP="008040CE">
      <w:r>
        <w:t xml:space="preserve">Most </w:t>
      </w:r>
      <w:r w:rsidR="004B3CB7">
        <w:t>(</w:t>
      </w:r>
      <w:r>
        <w:t>but not all</w:t>
      </w:r>
      <w:r w:rsidR="004B3CB7">
        <w:t>)</w:t>
      </w:r>
      <w:r>
        <w:t xml:space="preserve"> exemptions are held by on-sellers. </w:t>
      </w:r>
      <w:r w:rsidRPr="00FE53A3">
        <w:t>A person that sells energy to customers to supplement the energy th</w:t>
      </w:r>
      <w:r>
        <w:t xml:space="preserve">at </w:t>
      </w:r>
      <w:r w:rsidR="00254184">
        <w:t xml:space="preserve">the </w:t>
      </w:r>
      <w:r>
        <w:t>customer</w:t>
      </w:r>
      <w:r w:rsidRPr="00FE53A3">
        <w:t xml:space="preserve"> buy</w:t>
      </w:r>
      <w:r>
        <w:t>s</w:t>
      </w:r>
      <w:r w:rsidRPr="00FE53A3">
        <w:t xml:space="preserve"> from a retailer (for instance, energy that is generated by solar panels or other equipment </w:t>
      </w:r>
      <w:r w:rsidR="00254184" w:rsidRPr="00FE53A3">
        <w:t>the</w:t>
      </w:r>
      <w:r w:rsidR="00254184">
        <w:t xml:space="preserve"> seller</w:t>
      </w:r>
      <w:r w:rsidR="00254184" w:rsidRPr="00FE53A3">
        <w:t xml:space="preserve"> </w:t>
      </w:r>
      <w:r w:rsidRPr="00FE53A3">
        <w:t>own</w:t>
      </w:r>
      <w:r w:rsidR="00254184">
        <w:t>s</w:t>
      </w:r>
      <w:r w:rsidRPr="00FE53A3">
        <w:t>) may also be eligible for a retail exemption.</w:t>
      </w:r>
      <w:r w:rsidR="00167CB4">
        <w:t xml:space="preserve"> </w:t>
      </w:r>
    </w:p>
    <w:p w14:paraId="33443058" w14:textId="77777777" w:rsidR="007109FE" w:rsidRDefault="007109FE" w:rsidP="007109FE">
      <w:r>
        <w:t xml:space="preserve">Like an authorisation, an exemption allows you to sell energy. However unlike an authorisation, an exemption restricts your selling activity to a defined class (or classes) of customers, usually at a specific site (or sites). These restrictions will be set out in the terms of the exemption.  </w:t>
      </w:r>
    </w:p>
    <w:p w14:paraId="59FF5F5B" w14:textId="7C178676" w:rsidR="007109FE" w:rsidRDefault="007109FE" w:rsidP="007109FE">
      <w:r>
        <w:t xml:space="preserve">Exempt sellers still have to follow strict conditions and meet a range of obligations to their customers, but generally the regulatory requirements are </w:t>
      </w:r>
      <w:r w:rsidR="004568B7">
        <w:t xml:space="preserve">lighter </w:t>
      </w:r>
      <w:r>
        <w:t xml:space="preserve">than those of retailer authorisations. </w:t>
      </w:r>
    </w:p>
    <w:p w14:paraId="34FA1986" w14:textId="53B6B788" w:rsidR="007109FE" w:rsidRDefault="007109FE" w:rsidP="007109FE">
      <w:r>
        <w:t>The core conditions that an exempt seller must meet are based on customer protections under the Retail Law but will vary according to your particular operations.</w:t>
      </w:r>
      <w:r w:rsidR="00741A21">
        <w:t xml:space="preserve"> </w:t>
      </w:r>
      <w:r>
        <w:t xml:space="preserve">They cover </w:t>
      </w:r>
      <w:r w:rsidR="000301D3">
        <w:t xml:space="preserve">such </w:t>
      </w:r>
      <w:r>
        <w:t xml:space="preserve">things as an obligation to supply, provision of key information to customers, billing and payment arrangements, disconnection and reconnection, and concessions and rebates. </w:t>
      </w:r>
    </w:p>
    <w:p w14:paraId="79B1FFFE" w14:textId="77777777" w:rsidR="007109FE" w:rsidRDefault="007109FE" w:rsidP="007109FE">
      <w:r>
        <w:t xml:space="preserve">The core conditions for exempt sellers are set out in </w:t>
      </w:r>
      <w:r w:rsidRPr="007109FE">
        <w:rPr>
          <w:b/>
        </w:rPr>
        <w:t>Appendices A-2 and A-3</w:t>
      </w:r>
      <w:r>
        <w:t>.</w:t>
      </w:r>
    </w:p>
    <w:p w14:paraId="3CB6BD11" w14:textId="77777777" w:rsidR="005040FA" w:rsidRDefault="005040FA" w:rsidP="00DB2D13">
      <w:r>
        <w:t>If you</w:t>
      </w:r>
      <w:r w:rsidR="00C46CDE">
        <w:t xml:space="preserve"> hold an exemption and want</w:t>
      </w:r>
      <w:r>
        <w:t xml:space="preserve"> to </w:t>
      </w:r>
      <w:r w:rsidR="00904909">
        <w:t xml:space="preserve">change or </w:t>
      </w:r>
      <w:r>
        <w:t xml:space="preserve">expand </w:t>
      </w:r>
      <w:r w:rsidR="00C46CDE">
        <w:t xml:space="preserve">your selling </w:t>
      </w:r>
      <w:r>
        <w:t>activities</w:t>
      </w:r>
      <w:r w:rsidR="00C46CDE">
        <w:t>,</w:t>
      </w:r>
      <w:r>
        <w:t xml:space="preserve"> you must </w:t>
      </w:r>
      <w:r w:rsidR="00C46CDE">
        <w:t xml:space="preserve">tell </w:t>
      </w:r>
      <w:r>
        <w:t>us. You may be able to apply for an exemption variation</w:t>
      </w:r>
      <w:r w:rsidR="00C46CDE">
        <w:t>,</w:t>
      </w:r>
      <w:r>
        <w:t xml:space="preserve"> but if the scale and scope of your proposed sales is </w:t>
      </w:r>
      <w:r w:rsidR="00C46CDE">
        <w:t>significant</w:t>
      </w:r>
      <w:r>
        <w:t>, you may need</w:t>
      </w:r>
      <w:r w:rsidR="00C46CDE">
        <w:t xml:space="preserve"> to apply for</w:t>
      </w:r>
      <w:r>
        <w:t xml:space="preserve"> a retailer authorisation.</w:t>
      </w:r>
      <w:r w:rsidR="00C46CDE">
        <w:t xml:space="preserve"> If you are granted an authorisation, you will need to surrender your exemption. </w:t>
      </w:r>
      <w:r>
        <w:t xml:space="preserve"> </w:t>
      </w:r>
    </w:p>
    <w:p w14:paraId="49801083" w14:textId="77777777" w:rsidR="003B318F" w:rsidRDefault="007323A2" w:rsidP="0027092D">
      <w:pPr>
        <w:pStyle w:val="Heading2"/>
      </w:pPr>
      <w:bookmarkStart w:id="17" w:name="_Toc445793335"/>
      <w:bookmarkStart w:id="18" w:name="_Toc430776162"/>
      <w:bookmarkStart w:id="19" w:name="_Toc444774633"/>
      <w:bookmarkStart w:id="20" w:name="_Toc445751585"/>
      <w:bookmarkStart w:id="21" w:name="_Toc445793336"/>
      <w:bookmarkStart w:id="22" w:name="_Toc445886491"/>
      <w:bookmarkStart w:id="23" w:name="_Toc496611984"/>
      <w:bookmarkStart w:id="24" w:name="_Toc508963916"/>
      <w:bookmarkEnd w:id="17"/>
      <w:r>
        <w:t>Examples: Authorisation or exemption?</w:t>
      </w:r>
      <w:bookmarkEnd w:id="18"/>
      <w:bookmarkEnd w:id="19"/>
      <w:bookmarkEnd w:id="20"/>
      <w:bookmarkEnd w:id="21"/>
      <w:bookmarkEnd w:id="22"/>
      <w:bookmarkEnd w:id="23"/>
      <w:bookmarkEnd w:id="24"/>
      <w:r>
        <w:t xml:space="preserve"> </w:t>
      </w:r>
    </w:p>
    <w:p w14:paraId="51065B8A" w14:textId="462B4BBE" w:rsidR="0027092D" w:rsidRPr="00B837DC" w:rsidRDefault="00353CD9" w:rsidP="007907D7">
      <w:pPr>
        <w:rPr>
          <w:rStyle w:val="Strong"/>
          <w:b w:val="0"/>
          <w:bCs w:val="0"/>
        </w:rPr>
      </w:pPr>
      <w:r>
        <w:t xml:space="preserve">The </w:t>
      </w:r>
      <w:r w:rsidR="007323A2">
        <w:t xml:space="preserve">following </w:t>
      </w:r>
      <w:r>
        <w:t xml:space="preserve">examples </w:t>
      </w:r>
      <w:r w:rsidR="007323A2">
        <w:t xml:space="preserve">help to </w:t>
      </w:r>
      <w:r>
        <w:t xml:space="preserve">demonstrate </w:t>
      </w:r>
      <w:r w:rsidR="009D71A7">
        <w:t xml:space="preserve">some </w:t>
      </w:r>
      <w:r w:rsidR="000A06C3">
        <w:t xml:space="preserve">key </w:t>
      </w:r>
      <w:r>
        <w:t>difference</w:t>
      </w:r>
      <w:r w:rsidR="009D71A7">
        <w:t>s</w:t>
      </w:r>
      <w:r>
        <w:t xml:space="preserve"> between an authorisation and an </w:t>
      </w:r>
      <w:r w:rsidRPr="002A2EF4">
        <w:t>e</w:t>
      </w:r>
      <w:r>
        <w:t xml:space="preserve">xemption. </w:t>
      </w:r>
      <w:r w:rsidR="00616AF3">
        <w:t>T</w:t>
      </w:r>
      <w:r w:rsidR="00904909">
        <w:t>hese are examples only</w:t>
      </w:r>
      <w:r w:rsidR="00616AF3">
        <w:t xml:space="preserve"> as each case will be different</w:t>
      </w:r>
      <w:r w:rsidR="00904909">
        <w:t xml:space="preserve">. </w:t>
      </w:r>
      <w:r w:rsidR="007323A2">
        <w:t xml:space="preserve">We </w:t>
      </w:r>
      <w:r w:rsidR="00DF38E7">
        <w:t>consider</w:t>
      </w:r>
      <w:r w:rsidR="007323A2">
        <w:t xml:space="preserve"> the particular facts of each situation and encourage you to contact us and discuss your circumstances. We also recommend</w:t>
      </w:r>
      <w:r w:rsidR="00FA2C7B">
        <w:t xml:space="preserve"> you</w:t>
      </w:r>
      <w:r w:rsidR="007323A2">
        <w:t xml:space="preserve"> get your own legal advice.  </w:t>
      </w:r>
    </w:p>
    <w:p w14:paraId="7BF290D3" w14:textId="77777777" w:rsidR="007907D7" w:rsidRPr="00EF22BF" w:rsidRDefault="007907D7" w:rsidP="002500B0">
      <w:pPr>
        <w:keepNext/>
        <w:keepLines/>
        <w:rPr>
          <w:rStyle w:val="Strong"/>
        </w:rPr>
      </w:pPr>
      <w:r w:rsidRPr="00EF22BF">
        <w:rPr>
          <w:rStyle w:val="Strong"/>
        </w:rPr>
        <w:t>Example A</w:t>
      </w:r>
    </w:p>
    <w:p w14:paraId="23AAEABC" w14:textId="145D0A55" w:rsidR="007907D7" w:rsidRDefault="007907D7" w:rsidP="002500B0">
      <w:pPr>
        <w:pStyle w:val="BoxedText"/>
        <w:keepNext/>
        <w:keepLines/>
      </w:pPr>
      <w:r>
        <w:t xml:space="preserve">Company A plans to sell gas and electricity to residential customers and, in the longer term, to small business customers. It plans to start on a small scale in South Australia and then to expand to New South Wales and Queensland. Its core function is the sale of energy (it doesn’t provide any other services to its customers).  </w:t>
      </w:r>
    </w:p>
    <w:p w14:paraId="6EFC0057" w14:textId="77777777" w:rsidR="007907D7" w:rsidRDefault="007907D7" w:rsidP="007907D7">
      <w:pPr>
        <w:pStyle w:val="BoxedText"/>
      </w:pPr>
      <w:r>
        <w:t xml:space="preserve">It would be appropriate for Company A to seek a retailer authorisation. </w:t>
      </w:r>
    </w:p>
    <w:p w14:paraId="54A605D6" w14:textId="77777777" w:rsidR="00EF22BF" w:rsidRDefault="00EF22BF" w:rsidP="007907D7">
      <w:pPr>
        <w:rPr>
          <w:rStyle w:val="Strong"/>
        </w:rPr>
      </w:pPr>
    </w:p>
    <w:p w14:paraId="003AC2BB" w14:textId="77777777" w:rsidR="007907D7" w:rsidRPr="00EF22BF" w:rsidRDefault="007907D7" w:rsidP="00EF22BF">
      <w:pPr>
        <w:keepNext/>
        <w:keepLines/>
        <w:rPr>
          <w:rStyle w:val="Strong"/>
        </w:rPr>
      </w:pPr>
      <w:r w:rsidRPr="00EF22BF">
        <w:rPr>
          <w:rStyle w:val="Strong"/>
        </w:rPr>
        <w:t>Example B</w:t>
      </w:r>
    </w:p>
    <w:p w14:paraId="694D2732" w14:textId="76E1B91D" w:rsidR="007907D7" w:rsidRDefault="007907D7" w:rsidP="00EF22BF">
      <w:pPr>
        <w:pStyle w:val="BoxedText"/>
        <w:keepNext/>
        <w:keepLines/>
      </w:pPr>
      <w:r>
        <w:t xml:space="preserve">Company B is a mining company based in outback Queensland. It owns and operates an electricity generator which its uses to power its mining operations. It also supplies electricity to the townspeople (most of whom it employs). Its business is </w:t>
      </w:r>
      <w:r w:rsidR="00616AF3">
        <w:t>mining, not</w:t>
      </w:r>
      <w:r>
        <w:t xml:space="preserve"> the generation and sale of energy, but </w:t>
      </w:r>
      <w:r w:rsidR="004568B7">
        <w:t>it s</w:t>
      </w:r>
      <w:r w:rsidR="00D621C3">
        <w:t>upplies</w:t>
      </w:r>
      <w:r w:rsidR="004568B7">
        <w:t xml:space="preserve"> energy</w:t>
      </w:r>
      <w:r>
        <w:t xml:space="preserve"> because there is no other viable </w:t>
      </w:r>
      <w:r w:rsidR="004568B7">
        <w:t>supply</w:t>
      </w:r>
      <w:r>
        <w:t xml:space="preserve"> to the community and it is mutually convenient for the company and its customers. Its energy generation and sales activities will be restricted to this site and will continue for as long as the company’s mining operations continue (or another source of energy becomes available).</w:t>
      </w:r>
    </w:p>
    <w:p w14:paraId="4FE589E6" w14:textId="77777777" w:rsidR="00F354D4" w:rsidRDefault="007907D7" w:rsidP="00825379">
      <w:pPr>
        <w:pStyle w:val="BoxedText"/>
      </w:pPr>
      <w:r>
        <w:t xml:space="preserve">It would be appropriate for Company B to seek an exemption (specifically an ‘individual exemption’ – see </w:t>
      </w:r>
      <w:r w:rsidR="00C35D42">
        <w:t xml:space="preserve">Section 4.3 of this </w:t>
      </w:r>
      <w:r w:rsidR="00147056">
        <w:t>guideline</w:t>
      </w:r>
      <w:r>
        <w:t>).</w:t>
      </w:r>
    </w:p>
    <w:p w14:paraId="33E81186" w14:textId="77777777" w:rsidR="00346199" w:rsidRPr="005D7BB4" w:rsidRDefault="00346199" w:rsidP="004B47CF">
      <w:pPr>
        <w:pStyle w:val="Heading1"/>
      </w:pPr>
      <w:bookmarkStart w:id="25" w:name="_Toc430250213"/>
      <w:bookmarkStart w:id="26" w:name="_Toc430250214"/>
      <w:bookmarkStart w:id="27" w:name="_Toc430249004"/>
      <w:bookmarkStart w:id="28" w:name="_Toc430250217"/>
      <w:bookmarkStart w:id="29" w:name="_Toc445886492"/>
      <w:bookmarkStart w:id="30" w:name="_Toc508963917"/>
      <w:bookmarkEnd w:id="25"/>
      <w:bookmarkEnd w:id="26"/>
      <w:bookmarkEnd w:id="27"/>
      <w:bookmarkEnd w:id="28"/>
      <w:r w:rsidRPr="005D7BB4">
        <w:t>Wh</w:t>
      </w:r>
      <w:r w:rsidR="00387CEF">
        <w:t>at</w:t>
      </w:r>
      <w:r w:rsidRPr="005D7BB4">
        <w:t xml:space="preserve"> </w:t>
      </w:r>
      <w:r w:rsidR="00440753" w:rsidRPr="005D7BB4">
        <w:t xml:space="preserve">type of </w:t>
      </w:r>
      <w:r w:rsidR="00F6674D" w:rsidRPr="005D7BB4">
        <w:t xml:space="preserve">exemption </w:t>
      </w:r>
      <w:r w:rsidR="00B93A47">
        <w:t xml:space="preserve">do </w:t>
      </w:r>
      <w:r w:rsidR="00904909">
        <w:t>you</w:t>
      </w:r>
      <w:r w:rsidR="00B93A47">
        <w:t xml:space="preserve"> need</w:t>
      </w:r>
      <w:r w:rsidR="0009156C">
        <w:t>?</w:t>
      </w:r>
      <w:bookmarkEnd w:id="29"/>
      <w:bookmarkEnd w:id="30"/>
      <w:r w:rsidRPr="005D7BB4">
        <w:t xml:space="preserve"> </w:t>
      </w:r>
    </w:p>
    <w:p w14:paraId="68F51AC4" w14:textId="77777777" w:rsidR="00346199" w:rsidRDefault="00346199" w:rsidP="00346199">
      <w:r>
        <w:t>There are three types of exemption</w:t>
      </w:r>
      <w:r w:rsidR="004F0E63">
        <w:t>s</w:t>
      </w:r>
      <w:r>
        <w:t xml:space="preserve">: </w:t>
      </w:r>
      <w:r w:rsidRPr="007109FE">
        <w:rPr>
          <w:b/>
        </w:rPr>
        <w:t xml:space="preserve">deemed, registrable </w:t>
      </w:r>
      <w:r w:rsidRPr="00D2156A">
        <w:t>and</w:t>
      </w:r>
      <w:r w:rsidRPr="007109FE">
        <w:rPr>
          <w:b/>
        </w:rPr>
        <w:t xml:space="preserve"> individual</w:t>
      </w:r>
      <w:r w:rsidR="00E86019">
        <w:t>. The type of exemption you need will depend on the nature of your business</w:t>
      </w:r>
      <w:r w:rsidR="00B965A1">
        <w:t xml:space="preserve"> and your energy sales</w:t>
      </w:r>
      <w:r w:rsidR="00E86019">
        <w:t>, who you are selling energy to, and why you are selling it.</w:t>
      </w:r>
      <w:r w:rsidR="00E86019" w:rsidRPr="00034197">
        <w:t xml:space="preserve"> </w:t>
      </w:r>
    </w:p>
    <w:p w14:paraId="1E10D049" w14:textId="77777777" w:rsidR="00896861" w:rsidRPr="00BF2D86" w:rsidRDefault="00346199" w:rsidP="00034197">
      <w:r>
        <w:t>Deemed and registrable exemptions are</w:t>
      </w:r>
      <w:r w:rsidR="000A06C3">
        <w:t xml:space="preserve"> </w:t>
      </w:r>
      <w:r w:rsidR="00904909">
        <w:t>called</w:t>
      </w:r>
      <w:r>
        <w:t xml:space="preserve"> </w:t>
      </w:r>
      <w:r w:rsidR="007323A2">
        <w:t>‘</w:t>
      </w:r>
      <w:r>
        <w:t>class exemptio</w:t>
      </w:r>
      <w:r w:rsidR="00A25DDD">
        <w:t>ns</w:t>
      </w:r>
      <w:r w:rsidR="007323A2">
        <w:t>’</w:t>
      </w:r>
      <w:r w:rsidR="000A06C3">
        <w:t>, because they</w:t>
      </w:r>
      <w:r w:rsidR="00A25DDD">
        <w:t xml:space="preserve"> apply to certain groups</w:t>
      </w:r>
      <w:r w:rsidR="004F0E63">
        <w:t xml:space="preserve"> (</w:t>
      </w:r>
      <w:r w:rsidR="008673C7">
        <w:t xml:space="preserve">or </w:t>
      </w:r>
      <w:r w:rsidR="004F0E63">
        <w:t>‘</w:t>
      </w:r>
      <w:r w:rsidR="008673C7">
        <w:t>classes</w:t>
      </w:r>
      <w:r w:rsidR="004F0E63">
        <w:t>’)</w:t>
      </w:r>
      <w:r w:rsidR="004F0E63" w:rsidDel="004F0E63">
        <w:t xml:space="preserve"> </w:t>
      </w:r>
      <w:r>
        <w:t>of people</w:t>
      </w:r>
      <w:r w:rsidR="00A25DDD">
        <w:t xml:space="preserve"> </w:t>
      </w:r>
      <w:r>
        <w:t>who sell energy. Generally, these are people or businesses who sell energy incidentally, meaning that</w:t>
      </w:r>
      <w:r w:rsidR="00082DF4">
        <w:t xml:space="preserve"> </w:t>
      </w:r>
      <w:r w:rsidR="00034197">
        <w:t>the sale of energy isn’t their main business</w:t>
      </w:r>
      <w:r w:rsidR="00E86019">
        <w:t xml:space="preserve"> and they are only selling energy to </w:t>
      </w:r>
      <w:r w:rsidR="00034197">
        <w:t xml:space="preserve">support </w:t>
      </w:r>
      <w:r w:rsidR="00262E1A">
        <w:t>another</w:t>
      </w:r>
      <w:r w:rsidR="000165CD">
        <w:t xml:space="preserve"> </w:t>
      </w:r>
      <w:r w:rsidR="007208C3">
        <w:t>more</w:t>
      </w:r>
      <w:r w:rsidR="000165CD">
        <w:t xml:space="preserve"> significant</w:t>
      </w:r>
      <w:r w:rsidR="00262E1A">
        <w:t xml:space="preserve"> </w:t>
      </w:r>
      <w:r w:rsidR="00082DF4" w:rsidRPr="00A25DDD">
        <w:t xml:space="preserve">relationship </w:t>
      </w:r>
      <w:r w:rsidR="00034197">
        <w:t>they have with the</w:t>
      </w:r>
      <w:r w:rsidR="00082DF4" w:rsidRPr="00A25DDD">
        <w:t xml:space="preserve"> custome</w:t>
      </w:r>
      <w:r w:rsidR="00523F8F">
        <w:t>r</w:t>
      </w:r>
      <w:r w:rsidR="00904909">
        <w:t xml:space="preserve"> (for example, landlord and tenant)</w:t>
      </w:r>
      <w:r w:rsidR="0066419D">
        <w:t>.</w:t>
      </w:r>
      <w:r>
        <w:t xml:space="preserve"> </w:t>
      </w:r>
    </w:p>
    <w:p w14:paraId="06133666" w14:textId="77777777" w:rsidR="00D2156A" w:rsidRDefault="00BF2D86" w:rsidP="00346199">
      <w:r w:rsidRPr="00BF2D86">
        <w:t>We</w:t>
      </w:r>
      <w:r w:rsidR="00EA2314">
        <w:t xml:space="preserve"> use a numbering system</w:t>
      </w:r>
      <w:r w:rsidR="000A06C3">
        <w:t xml:space="preserve"> for class exemptions</w:t>
      </w:r>
      <w:r w:rsidR="00EA2314">
        <w:t xml:space="preserve"> to group common types of selling activities together. This makes it easier for you to identify how we may consider your energy selling activities and the conditions that apply. </w:t>
      </w:r>
      <w:r w:rsidRPr="00BF2D86">
        <w:t xml:space="preserve"> </w:t>
      </w:r>
    </w:p>
    <w:p w14:paraId="2A1A8B2C" w14:textId="73257F84" w:rsidR="004F0E63" w:rsidRDefault="00BF2D86" w:rsidP="007109FE">
      <w:pPr>
        <w:pStyle w:val="ListParagraph"/>
        <w:numPr>
          <w:ilvl w:val="0"/>
          <w:numId w:val="93"/>
        </w:numPr>
      </w:pPr>
      <w:r w:rsidRPr="00BF2D86">
        <w:t>Classes that</w:t>
      </w:r>
      <w:r w:rsidR="000A06C3">
        <w:t xml:space="preserve"> a</w:t>
      </w:r>
      <w:r w:rsidR="00E86019">
        <w:t>n energy</w:t>
      </w:r>
      <w:r w:rsidR="000A06C3">
        <w:t xml:space="preserve"> seller can hold</w:t>
      </w:r>
      <w:r w:rsidRPr="00BF2D86">
        <w:t xml:space="preserve"> automatically</w:t>
      </w:r>
      <w:r w:rsidR="001A7FA1">
        <w:t xml:space="preserve"> (that is, they are</w:t>
      </w:r>
      <w:r w:rsidRPr="00BF2D86">
        <w:t xml:space="preserve"> ‘</w:t>
      </w:r>
      <w:r w:rsidRPr="007109FE">
        <w:rPr>
          <w:b/>
        </w:rPr>
        <w:t>deemed</w:t>
      </w:r>
      <w:r w:rsidRPr="00BF2D86">
        <w:t>’</w:t>
      </w:r>
      <w:r w:rsidR="001A7FA1">
        <w:t xml:space="preserve"> to apply</w:t>
      </w:r>
      <w:r w:rsidR="00034197">
        <w:t xml:space="preserve"> without any </w:t>
      </w:r>
      <w:r w:rsidR="00112A74">
        <w:t xml:space="preserve">registration </w:t>
      </w:r>
      <w:r w:rsidR="00034197">
        <w:t>process</w:t>
      </w:r>
      <w:r w:rsidR="001A7FA1">
        <w:t>)</w:t>
      </w:r>
      <w:r w:rsidRPr="00BF2D86">
        <w:t xml:space="preserve">, begin with the letter ‘D’ (e.g. D1, D2 etc.). </w:t>
      </w:r>
    </w:p>
    <w:p w14:paraId="5759DF97" w14:textId="77777777" w:rsidR="004F0E63" w:rsidRDefault="00BF2D86" w:rsidP="007109FE">
      <w:pPr>
        <w:pStyle w:val="ListParagraph"/>
        <w:numPr>
          <w:ilvl w:val="0"/>
          <w:numId w:val="93"/>
        </w:numPr>
      </w:pPr>
      <w:r w:rsidRPr="00BF2D86">
        <w:t xml:space="preserve">Classes that a seller must </w:t>
      </w:r>
      <w:r w:rsidR="0066419D">
        <w:t>register for (by completing an online form)</w:t>
      </w:r>
      <w:r w:rsidR="0066419D" w:rsidRPr="00BF2D86">
        <w:t xml:space="preserve"> </w:t>
      </w:r>
      <w:r w:rsidRPr="00BF2D86">
        <w:t>are known as ‘</w:t>
      </w:r>
      <w:r w:rsidRPr="007109FE">
        <w:rPr>
          <w:b/>
        </w:rPr>
        <w:t>registrable</w:t>
      </w:r>
      <w:r w:rsidRPr="00BF2D86">
        <w:t xml:space="preserve">’ exemptions and begin with the letter ‘R’ (e.g. R1, R2 etc.). </w:t>
      </w:r>
    </w:p>
    <w:p w14:paraId="2DE37E12" w14:textId="77777777" w:rsidR="0066419D" w:rsidRDefault="00E86019" w:rsidP="004F0E63">
      <w:r w:rsidRPr="00BF2D86">
        <w:t xml:space="preserve">If you do not fit the criteria of </w:t>
      </w:r>
      <w:r>
        <w:t>an</w:t>
      </w:r>
      <w:r w:rsidRPr="00BF2D86">
        <w:t xml:space="preserve"> established class</w:t>
      </w:r>
      <w:r>
        <w:t xml:space="preserve"> exemption, </w:t>
      </w:r>
      <w:r w:rsidRPr="00BF2D86">
        <w:t>you must apply</w:t>
      </w:r>
      <w:r>
        <w:t xml:space="preserve"> </w:t>
      </w:r>
      <w:r w:rsidRPr="00BF2D86">
        <w:t xml:space="preserve">for an </w:t>
      </w:r>
      <w:r w:rsidRPr="00E86019">
        <w:rPr>
          <w:b/>
        </w:rPr>
        <w:t>individual</w:t>
      </w:r>
      <w:r w:rsidRPr="00BF2D86">
        <w:t xml:space="preserve"> exemption</w:t>
      </w:r>
      <w:r>
        <w:t>.</w:t>
      </w:r>
    </w:p>
    <w:p w14:paraId="0B6846B1" w14:textId="77777777" w:rsidR="005D7BB4" w:rsidRDefault="005D7BB4" w:rsidP="004B47CF">
      <w:pPr>
        <w:pStyle w:val="Heading2"/>
      </w:pPr>
      <w:bookmarkStart w:id="31" w:name="_Toc445793338"/>
      <w:bookmarkStart w:id="32" w:name="_Toc430776164"/>
      <w:bookmarkStart w:id="33" w:name="_Toc436316917"/>
      <w:bookmarkStart w:id="34" w:name="_Toc444774635"/>
      <w:bookmarkStart w:id="35" w:name="_Toc445751587"/>
      <w:bookmarkStart w:id="36" w:name="_Toc445793339"/>
      <w:bookmarkStart w:id="37" w:name="_Toc445886493"/>
      <w:bookmarkStart w:id="38" w:name="_Toc496611986"/>
      <w:bookmarkStart w:id="39" w:name="_Toc508963918"/>
      <w:bookmarkEnd w:id="31"/>
      <w:r>
        <w:t>Deemed exemptions</w:t>
      </w:r>
      <w:bookmarkEnd w:id="32"/>
      <w:bookmarkEnd w:id="33"/>
      <w:bookmarkEnd w:id="34"/>
      <w:bookmarkEnd w:id="35"/>
      <w:bookmarkEnd w:id="36"/>
      <w:bookmarkEnd w:id="37"/>
      <w:bookmarkEnd w:id="38"/>
      <w:bookmarkEnd w:id="39"/>
    </w:p>
    <w:p w14:paraId="3A6CB916" w14:textId="77777777" w:rsidR="00346199" w:rsidRDefault="00346199" w:rsidP="00346199">
      <w:r>
        <w:t xml:space="preserve">A </w:t>
      </w:r>
      <w:r w:rsidRPr="00523F8F">
        <w:rPr>
          <w:b/>
        </w:rPr>
        <w:t>deemed exemption</w:t>
      </w:r>
      <w:r>
        <w:t xml:space="preserve"> applies automatically to certain classes of </w:t>
      </w:r>
      <w:r w:rsidR="001A7FA1">
        <w:t>energy sellers</w:t>
      </w:r>
      <w:r>
        <w:t>. A person covered by a deemed exemption does not need to apply or register with us</w:t>
      </w:r>
      <w:r w:rsidR="00BF2D86">
        <w:t xml:space="preserve">. </w:t>
      </w:r>
      <w:r>
        <w:t xml:space="preserve">Deemed classes are usually for small-scale selling arrangements </w:t>
      </w:r>
      <w:r w:rsidR="001D69C5">
        <w:t xml:space="preserve">that </w:t>
      </w:r>
      <w:r w:rsidR="00D44AE1">
        <w:t xml:space="preserve">need </w:t>
      </w:r>
      <w:r w:rsidR="006F244B">
        <w:t>little regulatory oversight</w:t>
      </w:r>
      <w:r w:rsidR="005C2C45">
        <w:t xml:space="preserve">. </w:t>
      </w:r>
      <w:r w:rsidR="00782DAE">
        <w:t>Most</w:t>
      </w:r>
      <w:r w:rsidR="0066419D">
        <w:t>, however,</w:t>
      </w:r>
      <w:r w:rsidR="00782DAE">
        <w:t xml:space="preserve"> are </w:t>
      </w:r>
      <w:r w:rsidR="001A7FA1">
        <w:t xml:space="preserve">still </w:t>
      </w:r>
      <w:r w:rsidR="00782DAE">
        <w:t>subject to conditions.</w:t>
      </w:r>
    </w:p>
    <w:p w14:paraId="78055116" w14:textId="77777777" w:rsidR="00346199" w:rsidRDefault="00C17E92" w:rsidP="00346199">
      <w:r>
        <w:t>D</w:t>
      </w:r>
      <w:r w:rsidR="00346199">
        <w:t xml:space="preserve">eemed exemptions apply to </w:t>
      </w:r>
      <w:r>
        <w:t xml:space="preserve">a range of </w:t>
      </w:r>
      <w:r w:rsidR="0066419D">
        <w:t>energy selling activities</w:t>
      </w:r>
      <w:r>
        <w:t xml:space="preserve">, </w:t>
      </w:r>
      <w:r w:rsidR="00346199">
        <w:t>includ</w:t>
      </w:r>
      <w:r>
        <w:t>ing</w:t>
      </w:r>
      <w:r w:rsidR="0085703B">
        <w:t>:</w:t>
      </w:r>
      <w:r w:rsidR="00346199">
        <w:t xml:space="preserve"> </w:t>
      </w:r>
    </w:p>
    <w:p w14:paraId="7F04BFDC" w14:textId="77777777" w:rsidR="0066419D" w:rsidRDefault="0066419D" w:rsidP="0066419D">
      <w:pPr>
        <w:pStyle w:val="ListParagraph"/>
        <w:numPr>
          <w:ilvl w:val="0"/>
          <w:numId w:val="14"/>
        </w:numPr>
      </w:pPr>
      <w:r>
        <w:t xml:space="preserve">caravan parks or holidays parks that sell metered energy to people in short term holiday accommodation  </w:t>
      </w:r>
    </w:p>
    <w:p w14:paraId="74415953" w14:textId="77777777" w:rsidR="00346199" w:rsidRDefault="00346199" w:rsidP="00A97E11">
      <w:pPr>
        <w:pStyle w:val="ListParagraph"/>
        <w:numPr>
          <w:ilvl w:val="0"/>
          <w:numId w:val="14"/>
        </w:numPr>
      </w:pPr>
      <w:r>
        <w:t xml:space="preserve">businesses that sell energy to a related </w:t>
      </w:r>
      <w:r w:rsidR="001A7FA1">
        <w:t>business</w:t>
      </w:r>
    </w:p>
    <w:p w14:paraId="0A0CAF7B" w14:textId="77777777" w:rsidR="001B5FE7" w:rsidRDefault="00346199" w:rsidP="00A97E11">
      <w:pPr>
        <w:pStyle w:val="ListParagraph"/>
        <w:numPr>
          <w:ilvl w:val="0"/>
          <w:numId w:val="14"/>
        </w:numPr>
      </w:pPr>
      <w:r>
        <w:t xml:space="preserve">persons who sell metered energy to fewer than </w:t>
      </w:r>
      <w:r w:rsidR="00E86019">
        <w:t>ten</w:t>
      </w:r>
      <w:r>
        <w:t xml:space="preserve"> small </w:t>
      </w:r>
      <w:r w:rsidR="00603667">
        <w:t xml:space="preserve">businesses </w:t>
      </w:r>
      <w:r>
        <w:t>or residents</w:t>
      </w:r>
    </w:p>
    <w:p w14:paraId="23B4AB92" w14:textId="77777777" w:rsidR="00346199" w:rsidRDefault="00346199" w:rsidP="00A97E11">
      <w:pPr>
        <w:pStyle w:val="ListParagraph"/>
        <w:numPr>
          <w:ilvl w:val="0"/>
          <w:numId w:val="14"/>
        </w:numPr>
      </w:pPr>
      <w:r>
        <w:t>businesses that sell unmetered electricity in Queensland</w:t>
      </w:r>
      <w:r w:rsidR="00480BB1">
        <w:rPr>
          <w:rStyle w:val="FootnoteReference"/>
        </w:rPr>
        <w:footnoteReference w:id="15"/>
      </w:r>
    </w:p>
    <w:p w14:paraId="6526C81E" w14:textId="77777777" w:rsidR="00346199" w:rsidRDefault="00346199" w:rsidP="00A97E11">
      <w:pPr>
        <w:pStyle w:val="ListParagraph"/>
        <w:numPr>
          <w:ilvl w:val="0"/>
          <w:numId w:val="14"/>
        </w:numPr>
      </w:pPr>
      <w:r>
        <w:t>people who sell unmetered gas where gas is used for limited purposes</w:t>
      </w:r>
    </w:p>
    <w:p w14:paraId="1BD81D10" w14:textId="77777777" w:rsidR="00346199" w:rsidRDefault="00346199" w:rsidP="00A97E11">
      <w:pPr>
        <w:pStyle w:val="ListParagraph"/>
        <w:numPr>
          <w:ilvl w:val="0"/>
          <w:numId w:val="14"/>
        </w:numPr>
      </w:pPr>
      <w:r>
        <w:t xml:space="preserve">government </w:t>
      </w:r>
      <w:r w:rsidR="00A1214D">
        <w:t>and community organisations</w:t>
      </w:r>
      <w:r w:rsidR="00603667">
        <w:t xml:space="preserve"> </w:t>
      </w:r>
      <w:r>
        <w:t xml:space="preserve">that sell metered energy </w:t>
      </w:r>
      <w:r w:rsidR="00A1214D">
        <w:t xml:space="preserve">secondary </w:t>
      </w:r>
      <w:r>
        <w:t>to their core functions.</w:t>
      </w:r>
    </w:p>
    <w:p w14:paraId="4CDFB372" w14:textId="7CAB0DA6" w:rsidR="005D7BB4" w:rsidRDefault="00346199" w:rsidP="00346199">
      <w:r>
        <w:t>A full list of deemed exemption</w:t>
      </w:r>
      <w:r w:rsidR="0085703B">
        <w:t xml:space="preserve"> classes</w:t>
      </w:r>
      <w:r>
        <w:t xml:space="preserve"> is set out at </w:t>
      </w:r>
      <w:r w:rsidRPr="007109FE">
        <w:rPr>
          <w:b/>
        </w:rPr>
        <w:t>Appendix A</w:t>
      </w:r>
      <w:r w:rsidR="00B837DC" w:rsidRPr="007109FE">
        <w:rPr>
          <w:b/>
        </w:rPr>
        <w:t>-1</w:t>
      </w:r>
      <w:r w:rsidRPr="007109FE">
        <w:rPr>
          <w:b/>
        </w:rPr>
        <w:t xml:space="preserve"> (Table </w:t>
      </w:r>
      <w:r w:rsidR="00820705">
        <w:rPr>
          <w:b/>
        </w:rPr>
        <w:t>1</w:t>
      </w:r>
      <w:r w:rsidR="0090394B" w:rsidRPr="007109FE">
        <w:rPr>
          <w:b/>
        </w:rPr>
        <w:t>)</w:t>
      </w:r>
      <w:r w:rsidR="0090394B" w:rsidRPr="002676A6">
        <w:t xml:space="preserve">. </w:t>
      </w:r>
    </w:p>
    <w:p w14:paraId="3CF404F1" w14:textId="77777777" w:rsidR="005D7BB4" w:rsidRDefault="005D7BB4" w:rsidP="004B47CF">
      <w:pPr>
        <w:pStyle w:val="Heading2"/>
      </w:pPr>
      <w:bookmarkStart w:id="40" w:name="_Toc430776165"/>
      <w:bookmarkStart w:id="41" w:name="_Toc436316918"/>
      <w:bookmarkStart w:id="42" w:name="_Toc444774636"/>
      <w:bookmarkStart w:id="43" w:name="_Toc445751588"/>
      <w:bookmarkStart w:id="44" w:name="_Toc445793340"/>
      <w:bookmarkStart w:id="45" w:name="_Toc445886494"/>
      <w:bookmarkStart w:id="46" w:name="_Toc496611987"/>
      <w:bookmarkStart w:id="47" w:name="_Toc508963919"/>
      <w:r>
        <w:t>Registrable exemptions</w:t>
      </w:r>
      <w:bookmarkEnd w:id="40"/>
      <w:bookmarkEnd w:id="41"/>
      <w:bookmarkEnd w:id="42"/>
      <w:bookmarkEnd w:id="43"/>
      <w:bookmarkEnd w:id="44"/>
      <w:bookmarkEnd w:id="45"/>
      <w:bookmarkEnd w:id="46"/>
      <w:bookmarkEnd w:id="47"/>
      <w:r>
        <w:t xml:space="preserve"> </w:t>
      </w:r>
    </w:p>
    <w:p w14:paraId="786E53EF" w14:textId="77777777" w:rsidR="005D4C93" w:rsidRDefault="004B47CF" w:rsidP="00346199">
      <w:r>
        <w:t>Some e</w:t>
      </w:r>
      <w:r w:rsidR="005D7BB4">
        <w:t xml:space="preserve">nergy selling activities </w:t>
      </w:r>
      <w:r>
        <w:t>need to be registered</w:t>
      </w:r>
      <w:r w:rsidR="00EA2314">
        <w:t xml:space="preserve"> with us</w:t>
      </w:r>
      <w:r>
        <w:t>. This is</w:t>
      </w:r>
      <w:r w:rsidR="005D7BB4">
        <w:t xml:space="preserve"> usually because the scale of the </w:t>
      </w:r>
      <w:r w:rsidR="000165CD">
        <w:t xml:space="preserve">selling </w:t>
      </w:r>
      <w:r w:rsidR="00E86019">
        <w:t>activity</w:t>
      </w:r>
      <w:r w:rsidR="005D7BB4">
        <w:t xml:space="preserve"> is larger </w:t>
      </w:r>
      <w:r w:rsidR="0085703B">
        <w:t xml:space="preserve">than for a deemed exemption </w:t>
      </w:r>
      <w:r w:rsidR="005D7BB4">
        <w:t>and</w:t>
      </w:r>
      <w:r w:rsidR="00EA2314">
        <w:t xml:space="preserve"> </w:t>
      </w:r>
      <w:r w:rsidR="0085703B">
        <w:t xml:space="preserve">therefore </w:t>
      </w:r>
      <w:r w:rsidR="009B5183">
        <w:t>more</w:t>
      </w:r>
      <w:r w:rsidR="00EA2314">
        <w:t xml:space="preserve"> regulatory oversight is warranted</w:t>
      </w:r>
      <w:r w:rsidR="005D7BB4">
        <w:t xml:space="preserve">. </w:t>
      </w:r>
    </w:p>
    <w:p w14:paraId="3B96F57B" w14:textId="77777777" w:rsidR="00E86019" w:rsidRDefault="00E86019" w:rsidP="00346199">
      <w:r>
        <w:t xml:space="preserve">Like deemed exemptions, </w:t>
      </w:r>
      <w:r w:rsidRPr="00064ADB">
        <w:rPr>
          <w:b/>
        </w:rPr>
        <w:t>registrable exemption</w:t>
      </w:r>
      <w:r>
        <w:rPr>
          <w:b/>
        </w:rPr>
        <w:t>s</w:t>
      </w:r>
      <w:r>
        <w:t xml:space="preserve"> apply to certain classes of energy sellers</w:t>
      </w:r>
      <w:r w:rsidR="005D4C93">
        <w:t>.</w:t>
      </w:r>
      <w:r>
        <w:t xml:space="preserve"> An exemption only applies to a particular individual or entity for a particular site, and is subject to conditions. </w:t>
      </w:r>
    </w:p>
    <w:p w14:paraId="29543AB0" w14:textId="77777777" w:rsidR="005D7BB4" w:rsidRDefault="000165CD" w:rsidP="00346199">
      <w:r>
        <w:t>We publish registered</w:t>
      </w:r>
      <w:r w:rsidR="0085703B">
        <w:t xml:space="preserve"> exemptions on our website; </w:t>
      </w:r>
      <w:r w:rsidR="004D3CF6">
        <w:t>but</w:t>
      </w:r>
      <w:r w:rsidR="0085703B">
        <w:t xml:space="preserve"> </w:t>
      </w:r>
      <w:r w:rsidR="0085703B" w:rsidRPr="00A2043E">
        <w:rPr>
          <w:b/>
        </w:rPr>
        <w:t>do not assess or approve</w:t>
      </w:r>
      <w:r w:rsidR="0085703B">
        <w:t xml:space="preserve"> the</w:t>
      </w:r>
      <w:r w:rsidR="009B5183">
        <w:t>m</w:t>
      </w:r>
      <w:r w:rsidR="0085703B">
        <w:t xml:space="preserve">.  </w:t>
      </w:r>
    </w:p>
    <w:p w14:paraId="1F5C44F6" w14:textId="77777777" w:rsidR="00346199" w:rsidRDefault="0085703B" w:rsidP="00FE53A3">
      <w:pPr>
        <w:keepNext/>
        <w:keepLines/>
      </w:pPr>
      <w:r>
        <w:t>Energy sellers that can</w:t>
      </w:r>
      <w:r w:rsidR="00346199">
        <w:t xml:space="preserve"> </w:t>
      </w:r>
      <w:r>
        <w:t xml:space="preserve">register an </w:t>
      </w:r>
      <w:r w:rsidR="00346199">
        <w:t>exemption</w:t>
      </w:r>
      <w:r>
        <w:t xml:space="preserve"> </w:t>
      </w:r>
      <w:r w:rsidR="00346199">
        <w:t xml:space="preserve">include: </w:t>
      </w:r>
    </w:p>
    <w:p w14:paraId="31CE4EBC" w14:textId="77777777" w:rsidR="00346199" w:rsidRDefault="00346199" w:rsidP="00A97E11">
      <w:pPr>
        <w:pStyle w:val="ListParagraph"/>
        <w:keepNext/>
        <w:keepLines/>
        <w:numPr>
          <w:ilvl w:val="0"/>
          <w:numId w:val="15"/>
        </w:numPr>
      </w:pPr>
      <w:r>
        <w:t xml:space="preserve">persons who sell metered energy to </w:t>
      </w:r>
      <w:r w:rsidR="0085703B">
        <w:t>ten</w:t>
      </w:r>
      <w:r>
        <w:t xml:space="preserve"> or more small tenants or residents within a site</w:t>
      </w:r>
    </w:p>
    <w:p w14:paraId="52AF5312" w14:textId="77777777" w:rsidR="00346199" w:rsidRDefault="00346199" w:rsidP="00A97E11">
      <w:pPr>
        <w:pStyle w:val="ListParagraph"/>
        <w:keepNext/>
        <w:keepLines/>
        <w:numPr>
          <w:ilvl w:val="0"/>
          <w:numId w:val="15"/>
        </w:numPr>
      </w:pPr>
      <w:r>
        <w:t xml:space="preserve">retirement villages or caravan parks who sell metered energy to permanent residents  </w:t>
      </w:r>
    </w:p>
    <w:p w14:paraId="2B12AC09" w14:textId="77777777" w:rsidR="00346199" w:rsidRDefault="00346199" w:rsidP="00A97E11">
      <w:pPr>
        <w:pStyle w:val="ListParagraph"/>
        <w:keepNext/>
        <w:keepLines/>
        <w:numPr>
          <w:ilvl w:val="0"/>
          <w:numId w:val="15"/>
        </w:numPr>
      </w:pPr>
      <w:r>
        <w:t>people or businesses selling energy to large customers</w:t>
      </w:r>
      <w:r w:rsidR="00A97112">
        <w:t>.</w:t>
      </w:r>
      <w:r w:rsidR="00480BB1">
        <w:rPr>
          <w:rStyle w:val="FootnoteReference"/>
        </w:rPr>
        <w:footnoteReference w:id="16"/>
      </w:r>
      <w:r>
        <w:t xml:space="preserve">  </w:t>
      </w:r>
    </w:p>
    <w:p w14:paraId="065EAE97" w14:textId="77777777" w:rsidR="007208C3" w:rsidRDefault="007208C3" w:rsidP="007208C3">
      <w:r>
        <w:t xml:space="preserve">A full list of registrable exemptions is set out at </w:t>
      </w:r>
      <w:r w:rsidRPr="007109FE">
        <w:rPr>
          <w:b/>
        </w:rPr>
        <w:t>Appendix A-1 (Table 2)</w:t>
      </w:r>
      <w:r w:rsidRPr="002676A6">
        <w:t>.</w:t>
      </w:r>
      <w:r>
        <w:t xml:space="preserve"> </w:t>
      </w:r>
      <w:r w:rsidR="001B5FE7">
        <w:t>Two</w:t>
      </w:r>
      <w:r w:rsidR="001B5FE7" w:rsidRPr="00D8688A">
        <w:t xml:space="preserve"> registrable classes</w:t>
      </w:r>
      <w:r w:rsidR="001B5FE7">
        <w:t>,</w:t>
      </w:r>
      <w:r w:rsidR="001B5FE7" w:rsidRPr="00D8688A">
        <w:t xml:space="preserve"> (R6—Persons selling metered energy to small customers at an adjacent site and R7—Persons selling unmetered energy to small business customers)</w:t>
      </w:r>
      <w:r w:rsidR="001B5FE7">
        <w:t xml:space="preserve">, are only available where </w:t>
      </w:r>
      <w:r w:rsidR="001B5FE7" w:rsidRPr="00D8688A">
        <w:t xml:space="preserve">sellers </w:t>
      </w:r>
      <w:r w:rsidR="001B5FE7">
        <w:t>had these selling arrangements in place</w:t>
      </w:r>
      <w:r w:rsidR="001B5FE7" w:rsidRPr="00D8688A">
        <w:t xml:space="preserve"> </w:t>
      </w:r>
      <w:r w:rsidR="001B5FE7" w:rsidRPr="007109FE">
        <w:rPr>
          <w:b/>
        </w:rPr>
        <w:t>before</w:t>
      </w:r>
      <w:r w:rsidR="001B5FE7" w:rsidRPr="00D8688A">
        <w:t xml:space="preserve"> 1 January 2015.</w:t>
      </w:r>
    </w:p>
    <w:p w14:paraId="795C77BF" w14:textId="77777777" w:rsidR="005D7BB4" w:rsidRPr="005D7BB4" w:rsidRDefault="005D7BB4" w:rsidP="004B47CF">
      <w:pPr>
        <w:pStyle w:val="Heading2"/>
      </w:pPr>
      <w:bookmarkStart w:id="48" w:name="_Toc430776166"/>
      <w:bookmarkStart w:id="49" w:name="_Toc436316919"/>
      <w:bookmarkStart w:id="50" w:name="_Toc444774637"/>
      <w:bookmarkStart w:id="51" w:name="_Toc445751589"/>
      <w:bookmarkStart w:id="52" w:name="_Toc445793341"/>
      <w:bookmarkStart w:id="53" w:name="_Toc445886495"/>
      <w:bookmarkStart w:id="54" w:name="_Toc496611988"/>
      <w:bookmarkStart w:id="55" w:name="_Toc508963920"/>
      <w:r w:rsidRPr="005D7BB4">
        <w:t>Individual exemption</w:t>
      </w:r>
      <w:r w:rsidR="00FB2F77">
        <w:t>s</w:t>
      </w:r>
      <w:bookmarkEnd w:id="48"/>
      <w:bookmarkEnd w:id="49"/>
      <w:bookmarkEnd w:id="50"/>
      <w:bookmarkEnd w:id="51"/>
      <w:bookmarkEnd w:id="52"/>
      <w:bookmarkEnd w:id="53"/>
      <w:bookmarkEnd w:id="54"/>
      <w:bookmarkEnd w:id="55"/>
      <w:r w:rsidRPr="005D7BB4">
        <w:t xml:space="preserve"> </w:t>
      </w:r>
    </w:p>
    <w:p w14:paraId="7BD255B9" w14:textId="25D51214" w:rsidR="005D7BB4" w:rsidRDefault="00346199" w:rsidP="00346199">
      <w:r>
        <w:t xml:space="preserve">An individual exemption normally applies </w:t>
      </w:r>
      <w:r w:rsidR="004D3CF6">
        <w:t xml:space="preserve">to </w:t>
      </w:r>
      <w:r>
        <w:t>the sale of energy at a particular site and/or to a particular customer (or group of customers). Individual exemptions are</w:t>
      </w:r>
      <w:r w:rsidR="003320CF">
        <w:t xml:space="preserve"> intended for more </w:t>
      </w:r>
      <w:r w:rsidR="004B47CF">
        <w:t>unusual</w:t>
      </w:r>
      <w:r w:rsidR="003320CF">
        <w:t xml:space="preserve"> and often one-off arrangements and </w:t>
      </w:r>
      <w:r w:rsidR="00E86019">
        <w:t xml:space="preserve">allow us to tailor the conditions of the exemption to </w:t>
      </w:r>
      <w:r>
        <w:t>the</w:t>
      </w:r>
      <w:r w:rsidR="00E86019">
        <w:t xml:space="preserve"> specific situation</w:t>
      </w:r>
      <w:r w:rsidR="00BF2D86">
        <w:t xml:space="preserve">. </w:t>
      </w:r>
      <w:r>
        <w:t xml:space="preserve"> </w:t>
      </w:r>
      <w:r w:rsidR="002818DF">
        <w:t xml:space="preserve">As a general rule, </w:t>
      </w:r>
      <w:r w:rsidR="002818DF">
        <w:rPr>
          <w:rStyle w:val="CommentReference"/>
          <w:sz w:val="22"/>
          <w:szCs w:val="22"/>
        </w:rPr>
        <w:t xml:space="preserve">if your planned selling activity is not covered by the exemption classes listed in Appendix A-1 you will likely need an </w:t>
      </w:r>
      <w:r w:rsidR="002818DF" w:rsidRPr="002818DF">
        <w:rPr>
          <w:rStyle w:val="CommentReference"/>
          <w:sz w:val="22"/>
          <w:szCs w:val="22"/>
        </w:rPr>
        <w:t>individual exemption</w:t>
      </w:r>
      <w:r w:rsidR="002818DF" w:rsidRPr="002818DF">
        <w:rPr>
          <w:rStyle w:val="CommentReference"/>
          <w:sz w:val="22"/>
        </w:rPr>
        <w:t>.</w:t>
      </w:r>
    </w:p>
    <w:p w14:paraId="4F2FA50C" w14:textId="77777777" w:rsidR="005D7BB4" w:rsidRDefault="00346199" w:rsidP="00346199">
      <w:r>
        <w:t xml:space="preserve">Conditions attached to an individual exemption are </w:t>
      </w:r>
      <w:r w:rsidR="005C2C45">
        <w:t>intended</w:t>
      </w:r>
      <w:r>
        <w:t xml:space="preserve"> to balanc</w:t>
      </w:r>
      <w:r w:rsidR="005C2C45">
        <w:t>e</w:t>
      </w:r>
      <w:r>
        <w:t xml:space="preserve"> the needs and rights of customers and the regulatory burden that meeting those conditions will place on the exemption holder. </w:t>
      </w:r>
    </w:p>
    <w:p w14:paraId="71DBAD86" w14:textId="77777777" w:rsidR="004F4953" w:rsidRDefault="00346199" w:rsidP="00346199">
      <w:r>
        <w:t xml:space="preserve">For example, if you are </w:t>
      </w:r>
      <w:r w:rsidR="002676A6">
        <w:t xml:space="preserve">planning </w:t>
      </w:r>
      <w:r>
        <w:t xml:space="preserve">to sell to large industrial customers, </w:t>
      </w:r>
      <w:r w:rsidR="00546907">
        <w:t>the conditions we impose are likely to be minimal</w:t>
      </w:r>
      <w:r>
        <w:t xml:space="preserve">.  </w:t>
      </w:r>
      <w:r w:rsidR="002676A6">
        <w:t xml:space="preserve">If you are planning to sell </w:t>
      </w:r>
      <w:r>
        <w:t>to</w:t>
      </w:r>
      <w:r w:rsidR="005D7BB4">
        <w:t xml:space="preserve"> </w:t>
      </w:r>
      <w:r>
        <w:t xml:space="preserve">residential customers, we will likely impose conditions that provide customer protections </w:t>
      </w:r>
      <w:r w:rsidR="004D3CF6">
        <w:t xml:space="preserve">closer </w:t>
      </w:r>
      <w:r>
        <w:t>to those provided</w:t>
      </w:r>
      <w:r w:rsidR="00E86019">
        <w:t xml:space="preserve"> by authorised retailers</w:t>
      </w:r>
      <w:r>
        <w:t xml:space="preserve"> under the Retail Law—for example, a requirement to offer </w:t>
      </w:r>
      <w:r w:rsidR="00E86019">
        <w:t xml:space="preserve">a </w:t>
      </w:r>
      <w:r>
        <w:t xml:space="preserve">hardship program. </w:t>
      </w:r>
    </w:p>
    <w:p w14:paraId="139CEAAA" w14:textId="77777777" w:rsidR="00346199" w:rsidRDefault="00346199" w:rsidP="00346199">
      <w:r>
        <w:t xml:space="preserve">Businesses that </w:t>
      </w:r>
      <w:r w:rsidR="005D7BB4">
        <w:t xml:space="preserve">want </w:t>
      </w:r>
      <w:r>
        <w:t xml:space="preserve">to sell </w:t>
      </w:r>
      <w:r w:rsidR="004F4953">
        <w:t>energy on a large scale (numbers of customers and / or energy sold) will likely</w:t>
      </w:r>
      <w:r>
        <w:t xml:space="preserve"> need a retailer authorisation. </w:t>
      </w:r>
    </w:p>
    <w:p w14:paraId="3889427E" w14:textId="23CCA689" w:rsidR="002818DF" w:rsidRDefault="002818DF" w:rsidP="002818DF">
      <w:r>
        <w:rPr>
          <w:rStyle w:val="CommentReference"/>
          <w:sz w:val="22"/>
          <w:szCs w:val="22"/>
        </w:rPr>
        <w:t>When</w:t>
      </w:r>
      <w:r w:rsidRPr="00A25DDD">
        <w:rPr>
          <w:rStyle w:val="CommentReference"/>
          <w:sz w:val="22"/>
          <w:szCs w:val="22"/>
        </w:rPr>
        <w:t xml:space="preserve"> ap</w:t>
      </w:r>
      <w:r>
        <w:rPr>
          <w:rStyle w:val="CommentReference"/>
          <w:sz w:val="22"/>
          <w:szCs w:val="22"/>
        </w:rPr>
        <w:t xml:space="preserve">plying for an </w:t>
      </w:r>
      <w:r w:rsidRPr="002818DF">
        <w:rPr>
          <w:rStyle w:val="CommentReference"/>
          <w:sz w:val="22"/>
          <w:szCs w:val="22"/>
        </w:rPr>
        <w:t>individual exemption</w:t>
      </w:r>
      <w:r>
        <w:rPr>
          <w:rStyle w:val="CommentReference"/>
          <w:sz w:val="22"/>
          <w:szCs w:val="22"/>
        </w:rPr>
        <w:t>, y</w:t>
      </w:r>
      <w:r w:rsidRPr="00820705">
        <w:rPr>
          <w:rStyle w:val="CommentReference"/>
          <w:sz w:val="22"/>
          <w:szCs w:val="22"/>
        </w:rPr>
        <w:t>our a</w:t>
      </w:r>
      <w:r>
        <w:rPr>
          <w:rStyle w:val="CommentReference"/>
          <w:sz w:val="22"/>
          <w:szCs w:val="22"/>
        </w:rPr>
        <w:t xml:space="preserve">pplication should </w:t>
      </w:r>
      <w:r>
        <w:t xml:space="preserve">answer the questions in </w:t>
      </w:r>
      <w:r w:rsidRPr="004B3CB7">
        <w:rPr>
          <w:b/>
        </w:rPr>
        <w:t>Appendix B</w:t>
      </w:r>
      <w:r>
        <w:t xml:space="preserve"> (but is not limited to them) and should include any required evidence. </w:t>
      </w:r>
    </w:p>
    <w:p w14:paraId="05E32E57" w14:textId="4DD7BC42" w:rsidR="006A76EC" w:rsidRPr="005D7BB4" w:rsidRDefault="006A76EC" w:rsidP="006A76EC">
      <w:pPr>
        <w:pStyle w:val="Heading2"/>
      </w:pPr>
      <w:bookmarkStart w:id="56" w:name="_Toc430776167"/>
      <w:bookmarkStart w:id="57" w:name="_Toc436316920"/>
      <w:bookmarkStart w:id="58" w:name="_Toc444774638"/>
      <w:bookmarkStart w:id="59" w:name="_Toc445751590"/>
      <w:bookmarkStart w:id="60" w:name="_Toc445793342"/>
      <w:bookmarkStart w:id="61" w:name="_Toc445886496"/>
      <w:bookmarkStart w:id="62" w:name="_Toc496611989"/>
      <w:bookmarkStart w:id="63" w:name="_Toc508963921"/>
      <w:r>
        <w:t xml:space="preserve">Other situations: </w:t>
      </w:r>
      <w:r w:rsidR="003E5FC1">
        <w:t>network conversions (</w:t>
      </w:r>
      <w:r>
        <w:t>retrofitting</w:t>
      </w:r>
      <w:bookmarkEnd w:id="56"/>
      <w:bookmarkEnd w:id="57"/>
      <w:bookmarkEnd w:id="58"/>
      <w:bookmarkEnd w:id="59"/>
      <w:bookmarkEnd w:id="60"/>
      <w:bookmarkEnd w:id="61"/>
      <w:bookmarkEnd w:id="62"/>
      <w:r w:rsidR="003E5FC1">
        <w:t>)</w:t>
      </w:r>
      <w:bookmarkEnd w:id="63"/>
    </w:p>
    <w:p w14:paraId="77756404" w14:textId="0F3FAA83" w:rsidR="002676A6" w:rsidRDefault="00B12A74" w:rsidP="00B12A74">
      <w:r>
        <w:t>Retrofitting is the conversion of an existing site’s electrical wiring into an embedded network that allows the owner or operator of the site to sell electricity directly to the residents or tenants of the site.</w:t>
      </w:r>
      <w:r w:rsidR="00E06865">
        <w:t xml:space="preserve"> Whether you need an individual exemption or a class exemption (</w:t>
      </w:r>
      <w:r w:rsidR="00900E73">
        <w:t>either</w:t>
      </w:r>
      <w:r w:rsidR="00E06865">
        <w:t xml:space="preserve"> deemed or registrable) will depend on your customers (residential or commercial) and whether you have their explicit informed consent</w:t>
      </w:r>
      <w:r w:rsidR="00B965A1">
        <w:t xml:space="preserve"> to the conversion</w:t>
      </w:r>
      <w:r w:rsidR="00E06865">
        <w:t xml:space="preserve">. </w:t>
      </w:r>
      <w:r>
        <w:t xml:space="preserve"> </w:t>
      </w:r>
    </w:p>
    <w:p w14:paraId="27823874" w14:textId="3C1BEA0A" w:rsidR="00F601DA" w:rsidRDefault="00F601DA" w:rsidP="00F601DA">
      <w:r>
        <w:t>A network conversion changes the way residents</w:t>
      </w:r>
      <w:r w:rsidR="00391139">
        <w:t>/</w:t>
      </w:r>
      <w:r>
        <w:t>tenants take electricity supply at a site</w:t>
      </w:r>
      <w:r w:rsidR="009822FF">
        <w:t>,</w:t>
      </w:r>
      <w:r>
        <w:t xml:space="preserve"> a</w:t>
      </w:r>
      <w:r w:rsidR="00391139">
        <w:t>s well as</w:t>
      </w:r>
      <w:r>
        <w:t xml:space="preserve"> their supply choices. They should therefore be consulted on the changes, and have their concerns heard and addressed, to the extent possible. To be able to </w:t>
      </w:r>
      <w:r w:rsidR="005A38D2">
        <w:t>engage in the process</w:t>
      </w:r>
      <w:r>
        <w:t xml:space="preserve">, </w:t>
      </w:r>
      <w:r w:rsidR="005A38D2">
        <w:t>residents/tenants</w:t>
      </w:r>
      <w:r>
        <w:t xml:space="preserve"> need information about how the changes will affect them – both the benefits and the costs. </w:t>
      </w:r>
      <w:r w:rsidR="00CF46B6">
        <w:t xml:space="preserve">You need to obtain their consent to the </w:t>
      </w:r>
      <w:r w:rsidR="008B2901">
        <w:t xml:space="preserve">proposed </w:t>
      </w:r>
      <w:r w:rsidR="00CF46B6">
        <w:t>change, that is to the network conversion</w:t>
      </w:r>
      <w:r w:rsidR="00306C1F">
        <w:t xml:space="preserve">, </w:t>
      </w:r>
      <w:r w:rsidR="008B2901">
        <w:t>and separately,</w:t>
      </w:r>
      <w:r w:rsidR="00306C1F">
        <w:t xml:space="preserve"> to any consent to the actual </w:t>
      </w:r>
      <w:r w:rsidR="00CE45D0">
        <w:t xml:space="preserve">purchase </w:t>
      </w:r>
      <w:r w:rsidR="00306C1F">
        <w:t>of electricity.</w:t>
      </w:r>
      <w:r w:rsidR="00CF46B6">
        <w:t xml:space="preserve"> </w:t>
      </w:r>
      <w:r w:rsidR="00B43DAF">
        <w:t xml:space="preserve">A </w:t>
      </w:r>
      <w:r w:rsidR="005A38D2">
        <w:t>tenant/resident</w:t>
      </w:r>
      <w:r w:rsidR="00B43DAF">
        <w:t xml:space="preserve"> can agree to the conversion </w:t>
      </w:r>
      <w:r w:rsidR="005A38D2">
        <w:t>but</w:t>
      </w:r>
      <w:r w:rsidR="00B43DAF">
        <w:t xml:space="preserve"> still make their own energy purchase arrangements</w:t>
      </w:r>
      <w:r w:rsidR="008B2901">
        <w:t xml:space="preserve"> (i.e. they do not need to consent to buy electricity from you)</w:t>
      </w:r>
      <w:r w:rsidR="00B43DAF">
        <w:t>.</w:t>
      </w:r>
    </w:p>
    <w:p w14:paraId="09F7202B" w14:textId="0DE6D566" w:rsidR="00B43DAF" w:rsidRDefault="00384842" w:rsidP="00F601DA">
      <w:r>
        <w:t>In</w:t>
      </w:r>
      <w:r w:rsidR="00CF46B6">
        <w:t xml:space="preserve"> applications to sell electricity through a network conversion</w:t>
      </w:r>
      <w:r>
        <w:t>,</w:t>
      </w:r>
      <w:r w:rsidR="00CE45D0">
        <w:t xml:space="preserve"> </w:t>
      </w:r>
      <w:r w:rsidR="00CF46B6">
        <w:t>tenants</w:t>
      </w:r>
      <w:r w:rsidR="009251DD">
        <w:t>/</w:t>
      </w:r>
      <w:r w:rsidR="00CF46B6">
        <w:t xml:space="preserve">residents </w:t>
      </w:r>
      <w:r>
        <w:t xml:space="preserve">must </w:t>
      </w:r>
      <w:r w:rsidR="00CF46B6">
        <w:t xml:space="preserve">have given fully informed consent to the conversion. </w:t>
      </w:r>
      <w:r w:rsidR="00F601DA">
        <w:t xml:space="preserve">To assess whether consent is fully informed, we consider the </w:t>
      </w:r>
      <w:r w:rsidR="007236BC">
        <w:t>steps</w:t>
      </w:r>
      <w:r w:rsidR="00F601DA">
        <w:t xml:space="preserve"> </w:t>
      </w:r>
      <w:r w:rsidR="00B43DAF">
        <w:t xml:space="preserve">you have </w:t>
      </w:r>
      <w:r w:rsidR="00F601DA">
        <w:t xml:space="preserve">taken to </w:t>
      </w:r>
      <w:r w:rsidR="00B43DAF">
        <w:t xml:space="preserve">clearly, fully and adequately </w:t>
      </w:r>
      <w:r w:rsidR="00F601DA">
        <w:t xml:space="preserve">disclose all matters relevant to the conversion. We also consider how </w:t>
      </w:r>
      <w:r w:rsidR="007236BC">
        <w:t xml:space="preserve">you </w:t>
      </w:r>
      <w:r w:rsidR="00F601DA">
        <w:t>sought to obtain consent and customers’ capacit</w:t>
      </w:r>
      <w:r w:rsidR="00900E73">
        <w:t>y</w:t>
      </w:r>
      <w:r w:rsidR="00F601DA">
        <w:t xml:space="preserve"> to provide consent. </w:t>
      </w:r>
      <w:r w:rsidR="007236BC">
        <w:t xml:space="preserve">You need to be able to </w:t>
      </w:r>
      <w:r w:rsidR="00306C1F">
        <w:t>support</w:t>
      </w:r>
      <w:r w:rsidR="007236BC">
        <w:t xml:space="preserve"> this </w:t>
      </w:r>
      <w:r w:rsidR="00F601DA">
        <w:t xml:space="preserve">information </w:t>
      </w:r>
      <w:r w:rsidR="007236BC">
        <w:t>with</w:t>
      </w:r>
      <w:r w:rsidR="00F601DA">
        <w:t xml:space="preserve"> evidence</w:t>
      </w:r>
      <w:r w:rsidR="007236BC">
        <w:t xml:space="preserve"> – and may need to include it in your application</w:t>
      </w:r>
      <w:r w:rsidR="00F601DA">
        <w:t>.</w:t>
      </w:r>
      <w:r w:rsidR="00B43DAF">
        <w:t xml:space="preserve"> </w:t>
      </w:r>
    </w:p>
    <w:p w14:paraId="0764456B" w14:textId="591B0105" w:rsidR="00CE0D2B" w:rsidRDefault="009251DD" w:rsidP="00B12A74">
      <w:r>
        <w:t>Therefore, i</w:t>
      </w:r>
      <w:r w:rsidR="00D04D84">
        <w:t xml:space="preserve">f you are planning to retrofit a site you </w:t>
      </w:r>
      <w:r>
        <w:t>must</w:t>
      </w:r>
      <w:r w:rsidR="0097560A">
        <w:t xml:space="preserve"> </w:t>
      </w:r>
      <w:r w:rsidR="00D04D84">
        <w:t>first seek the explicit informed consent of all affected residents or tenants at the site.</w:t>
      </w:r>
      <w:r w:rsidR="00D04D84">
        <w:rPr>
          <w:rStyle w:val="FootnoteReference"/>
        </w:rPr>
        <w:footnoteReference w:id="17"/>
      </w:r>
      <w:r w:rsidR="00D04D84">
        <w:t xml:space="preserve"> </w:t>
      </w:r>
    </w:p>
    <w:p w14:paraId="2CC7CA34" w14:textId="486C67FE" w:rsidR="004D3CF6" w:rsidRDefault="00DE2C74" w:rsidP="007109FE">
      <w:pPr>
        <w:pStyle w:val="ListParagraph"/>
        <w:numPr>
          <w:ilvl w:val="0"/>
          <w:numId w:val="94"/>
        </w:numPr>
      </w:pPr>
      <w:r>
        <w:t xml:space="preserve">If you are planning to retrofit a </w:t>
      </w:r>
      <w:r w:rsidRPr="00CE0D2B">
        <w:rPr>
          <w:b/>
        </w:rPr>
        <w:t>commercial</w:t>
      </w:r>
      <w:r>
        <w:t xml:space="preserve"> site and have </w:t>
      </w:r>
      <w:r w:rsidRPr="004B47CF">
        <w:t xml:space="preserve">the </w:t>
      </w:r>
      <w:r>
        <w:t>explicit informed</w:t>
      </w:r>
      <w:r w:rsidRPr="004B47CF">
        <w:t xml:space="preserve"> consent of </w:t>
      </w:r>
      <w:r w:rsidRPr="007109FE">
        <w:rPr>
          <w:b/>
        </w:rPr>
        <w:t>all</w:t>
      </w:r>
      <w:r w:rsidRPr="004B47CF">
        <w:t xml:space="preserve"> the </w:t>
      </w:r>
      <w:r w:rsidR="005820EB" w:rsidRPr="004B47CF">
        <w:t xml:space="preserve">affected </w:t>
      </w:r>
      <w:r w:rsidR="005820EB">
        <w:t>tenants</w:t>
      </w:r>
      <w:r>
        <w:t xml:space="preserve"> or customers you </w:t>
      </w:r>
      <w:r w:rsidR="00B43DAF">
        <w:t xml:space="preserve">do not need to apply for an individual exemption, </w:t>
      </w:r>
      <w:r w:rsidR="00306C1F">
        <w:t xml:space="preserve">but </w:t>
      </w:r>
      <w:r w:rsidR="009251DD">
        <w:t xml:space="preserve">will be </w:t>
      </w:r>
      <w:r>
        <w:t xml:space="preserve">eligible for </w:t>
      </w:r>
      <w:r w:rsidR="002472B3">
        <w:t xml:space="preserve">the relevant </w:t>
      </w:r>
      <w:r w:rsidRPr="007109FE">
        <w:rPr>
          <w:b/>
        </w:rPr>
        <w:t>class exemption</w:t>
      </w:r>
      <w:r>
        <w:t xml:space="preserve">. </w:t>
      </w:r>
    </w:p>
    <w:p w14:paraId="07A4E670" w14:textId="75D09E7A" w:rsidR="00DE2C74" w:rsidRDefault="00DE2C74" w:rsidP="007109FE">
      <w:pPr>
        <w:pStyle w:val="ListParagraph"/>
        <w:numPr>
          <w:ilvl w:val="0"/>
          <w:numId w:val="94"/>
        </w:numPr>
      </w:pPr>
      <w:r>
        <w:t xml:space="preserve">If you are planning to retrofit a </w:t>
      </w:r>
      <w:r w:rsidRPr="00CE0D2B">
        <w:rPr>
          <w:b/>
        </w:rPr>
        <w:t>residential</w:t>
      </w:r>
      <w:r>
        <w:t xml:space="preserve"> site you need to apply for an </w:t>
      </w:r>
      <w:r w:rsidRPr="007109FE">
        <w:rPr>
          <w:b/>
        </w:rPr>
        <w:t>individual exemption</w:t>
      </w:r>
      <w:r>
        <w:t xml:space="preserve">—irrespective of whether you have the full consent of affected tenants or customers. </w:t>
      </w:r>
    </w:p>
    <w:p w14:paraId="5C291D58" w14:textId="38AAA766" w:rsidR="00CE0D2B" w:rsidRDefault="00F153D3" w:rsidP="00B12A74">
      <w:r w:rsidDel="005D4C93">
        <w:t xml:space="preserve">Our approach to assessing </w:t>
      </w:r>
      <w:r w:rsidR="00BC1E7F" w:rsidDel="005D4C93">
        <w:t xml:space="preserve">retrofit </w:t>
      </w:r>
      <w:r w:rsidDel="005D4C93">
        <w:t>applications for individual exemption</w:t>
      </w:r>
      <w:r w:rsidR="005820EB" w:rsidDel="005D4C93">
        <w:t>,</w:t>
      </w:r>
      <w:r w:rsidDel="005D4C93">
        <w:t xml:space="preserve"> and the additional information </w:t>
      </w:r>
      <w:r w:rsidR="003E5FC1">
        <w:t>you should include in your application</w:t>
      </w:r>
      <w:r w:rsidR="00900E73">
        <w:t>,</w:t>
      </w:r>
      <w:r w:rsidR="003E5FC1">
        <w:t xml:space="preserve"> are </w:t>
      </w:r>
      <w:r w:rsidDel="005D4C93">
        <w:t xml:space="preserve">discussed </w:t>
      </w:r>
      <w:r w:rsidR="004D3CF6">
        <w:t xml:space="preserve">in </w:t>
      </w:r>
      <w:r w:rsidR="003B6E74" w:rsidRPr="003B6E74">
        <w:t xml:space="preserve">Section </w:t>
      </w:r>
      <w:r w:rsidR="004D3CF6" w:rsidRPr="003B6E74">
        <w:t>7</w:t>
      </w:r>
      <w:r w:rsidR="00D04D84" w:rsidDel="005D4C93">
        <w:t xml:space="preserve"> (see also </w:t>
      </w:r>
      <w:r w:rsidR="00D04D84" w:rsidRPr="007109FE" w:rsidDel="005D4C93">
        <w:rPr>
          <w:b/>
        </w:rPr>
        <w:t>Appendix A-1, Tables 1 and 2</w:t>
      </w:r>
      <w:r w:rsidR="002E3A4D">
        <w:rPr>
          <w:b/>
        </w:rPr>
        <w:t xml:space="preserve"> and Appendix B</w:t>
      </w:r>
      <w:r w:rsidR="00D04D84" w:rsidRPr="004B47CF" w:rsidDel="005D4C93">
        <w:t>)</w:t>
      </w:r>
      <w:r w:rsidDel="005D4C93">
        <w:t xml:space="preserve">. </w:t>
      </w:r>
    </w:p>
    <w:p w14:paraId="30579DD3" w14:textId="7FE7A6E1" w:rsidR="00B12A74" w:rsidRDefault="00D04D84" w:rsidP="00B12A74">
      <w:r>
        <w:t>The</w:t>
      </w:r>
      <w:r w:rsidR="00B12A74">
        <w:t xml:space="preserve"> potential customer detriment arising from a loss of retailer contestability </w:t>
      </w:r>
      <w:r w:rsidR="00B12A74" w:rsidRPr="009C0CE2">
        <w:t xml:space="preserve">is </w:t>
      </w:r>
      <w:r w:rsidR="004D3CF6">
        <w:t xml:space="preserve">a key factor in </w:t>
      </w:r>
      <w:r w:rsidR="00727BA8" w:rsidRPr="00540067">
        <w:t xml:space="preserve">our consideration of </w:t>
      </w:r>
      <w:r w:rsidR="001B5FE7">
        <w:t xml:space="preserve">these </w:t>
      </w:r>
      <w:r w:rsidR="00727BA8" w:rsidRPr="00540067">
        <w:t>application</w:t>
      </w:r>
      <w:r>
        <w:t>s</w:t>
      </w:r>
      <w:r w:rsidR="005820EB">
        <w:t>. Retrofit applications</w:t>
      </w:r>
      <w:r>
        <w:t xml:space="preserve"> must therefore pass a</w:t>
      </w:r>
      <w:r w:rsidR="000B637F">
        <w:t xml:space="preserve"> high </w:t>
      </w:r>
      <w:r>
        <w:t xml:space="preserve">level of scrutiny. </w:t>
      </w:r>
      <w:r w:rsidR="001B5FE7">
        <w:t>If you cannot demonstrate that you</w:t>
      </w:r>
      <w:r>
        <w:t xml:space="preserve"> have taken satisfactory steps to mitigate customer detriment</w:t>
      </w:r>
      <w:r w:rsidR="001B5FE7">
        <w:t>,</w:t>
      </w:r>
      <w:r>
        <w:t xml:space="preserve"> we will not approve your application.</w:t>
      </w:r>
      <w:r w:rsidR="00B12A74">
        <w:t xml:space="preserve"> </w:t>
      </w:r>
    </w:p>
    <w:p w14:paraId="2C4E6DDD" w14:textId="77777777" w:rsidR="00515C80" w:rsidRDefault="00515C80" w:rsidP="004B47CF">
      <w:pPr>
        <w:pStyle w:val="Heading1"/>
      </w:pPr>
      <w:bookmarkStart w:id="64" w:name="_Toc445886497"/>
      <w:bookmarkStart w:id="65" w:name="_Toc508963922"/>
      <w:r>
        <w:t>Who should hold the exemption?</w:t>
      </w:r>
      <w:bookmarkEnd w:id="64"/>
      <w:bookmarkEnd w:id="65"/>
      <w:r>
        <w:t xml:space="preserve"> </w:t>
      </w:r>
    </w:p>
    <w:p w14:paraId="57D97254" w14:textId="47E12E69" w:rsidR="00515C80" w:rsidRDefault="008307A2" w:rsidP="00515C80">
      <w:r>
        <w:t>The</w:t>
      </w:r>
      <w:r w:rsidR="00515C80">
        <w:t xml:space="preserve"> person</w:t>
      </w:r>
      <w:r w:rsidR="00AE1795">
        <w:t xml:space="preserve"> (or business)</w:t>
      </w:r>
      <w:r w:rsidR="00515C80">
        <w:t xml:space="preserve"> </w:t>
      </w:r>
      <w:r w:rsidR="00515C80" w:rsidRPr="001229BD">
        <w:rPr>
          <w:b/>
        </w:rPr>
        <w:t>selling</w:t>
      </w:r>
      <w:r w:rsidR="00515C80">
        <w:t xml:space="preserve"> the energy should hold the exemption. Th</w:t>
      </w:r>
      <w:r w:rsidR="000B637F">
        <w:t xml:space="preserve">is </w:t>
      </w:r>
      <w:r w:rsidR="00515C80">
        <w:t>will generally</w:t>
      </w:r>
      <w:r w:rsidR="00C0318A">
        <w:t xml:space="preserve"> be the person who has</w:t>
      </w:r>
      <w:r w:rsidR="00515C80">
        <w:t xml:space="preserve"> a contract with an authorised retailer</w:t>
      </w:r>
      <w:r w:rsidR="00721E3C">
        <w:t xml:space="preserve"> to buy energy at the</w:t>
      </w:r>
      <w:r w:rsidR="00C0318A">
        <w:t xml:space="preserve"> site</w:t>
      </w:r>
      <w:r w:rsidR="00E51D00">
        <w:t>’s</w:t>
      </w:r>
      <w:r w:rsidR="00721E3C">
        <w:t xml:space="preserve"> gate meter</w:t>
      </w:r>
      <w:r w:rsidR="00C0318A">
        <w:t xml:space="preserve"> and who then sells the energy to the customers at the site</w:t>
      </w:r>
      <w:r w:rsidR="00515C80">
        <w:t xml:space="preserve">. </w:t>
      </w:r>
    </w:p>
    <w:p w14:paraId="4C03DF73" w14:textId="503DE644" w:rsidR="00EE436C" w:rsidRDefault="00515C80" w:rsidP="00EE436C">
      <w:r>
        <w:t xml:space="preserve">If you </w:t>
      </w:r>
      <w:r w:rsidR="00EC493D">
        <w:t>hold</w:t>
      </w:r>
      <w:r w:rsidR="00963734">
        <w:t xml:space="preserve"> </w:t>
      </w:r>
      <w:r>
        <w:t>an exemption, your exemption is specific to you and applies to the activities for which you were granted</w:t>
      </w:r>
      <w:r w:rsidR="00BF2D86">
        <w:t>,</w:t>
      </w:r>
      <w:r>
        <w:t xml:space="preserve"> or registered</w:t>
      </w:r>
      <w:r w:rsidR="00BF2D86">
        <w:t>,</w:t>
      </w:r>
      <w:r>
        <w:t xml:space="preserve"> the exemption. Your exemption cannot be extended or transferred to related businesses or subsidiaries (that is, to another ACN or ABN).</w:t>
      </w:r>
      <w:r>
        <w:rPr>
          <w:rStyle w:val="FootnoteReference"/>
        </w:rPr>
        <w:footnoteReference w:id="18"/>
      </w:r>
      <w:r>
        <w:t xml:space="preserve"> Those other businesses will need to apply or register </w:t>
      </w:r>
      <w:r w:rsidR="007004A0">
        <w:t xml:space="preserve">separately </w:t>
      </w:r>
      <w:r>
        <w:t>for their own exemptions.</w:t>
      </w:r>
      <w:r w:rsidR="00EE436C" w:rsidRPr="00EE436C">
        <w:t xml:space="preserve"> </w:t>
      </w:r>
    </w:p>
    <w:p w14:paraId="4BA01DF0" w14:textId="77777777" w:rsidR="00515C80" w:rsidRDefault="00EE436C" w:rsidP="00515C80">
      <w:r>
        <w:t xml:space="preserve">The exemption holder is responsible for ensuring compliance with all conditions of the exemption. </w:t>
      </w:r>
    </w:p>
    <w:p w14:paraId="58A94DE3" w14:textId="77777777" w:rsidR="00515C80" w:rsidRDefault="00961CD7" w:rsidP="00961CD7">
      <w:pPr>
        <w:pStyle w:val="Heading2"/>
      </w:pPr>
      <w:bookmarkStart w:id="66" w:name="_Toc430776169"/>
      <w:bookmarkStart w:id="67" w:name="_Toc436316922"/>
      <w:bookmarkStart w:id="68" w:name="_Toc444774641"/>
      <w:bookmarkStart w:id="69" w:name="_Toc445751593"/>
      <w:bookmarkStart w:id="70" w:name="_Toc445793345"/>
      <w:bookmarkStart w:id="71" w:name="_Toc445886498"/>
      <w:bookmarkStart w:id="72" w:name="_Toc496611991"/>
      <w:bookmarkStart w:id="73" w:name="_Toc508963923"/>
      <w:r>
        <w:t xml:space="preserve">When you use an agent or </w:t>
      </w:r>
      <w:r w:rsidR="004B1BE6">
        <w:t>service provider</w:t>
      </w:r>
      <w:bookmarkEnd w:id="66"/>
      <w:bookmarkEnd w:id="67"/>
      <w:bookmarkEnd w:id="68"/>
      <w:bookmarkEnd w:id="69"/>
      <w:bookmarkEnd w:id="70"/>
      <w:bookmarkEnd w:id="71"/>
      <w:bookmarkEnd w:id="72"/>
      <w:bookmarkEnd w:id="73"/>
    </w:p>
    <w:p w14:paraId="721DE52A" w14:textId="425CA3C0" w:rsidR="00963734" w:rsidRDefault="00515C80" w:rsidP="00515C80">
      <w:r>
        <w:t xml:space="preserve">Many people or businesses use an agent or service provider to manage the sale of energy to </w:t>
      </w:r>
      <w:r w:rsidR="000F420D">
        <w:t>their</w:t>
      </w:r>
      <w:r>
        <w:t xml:space="preserve"> customers, particularly within embedded networks. A service provider may </w:t>
      </w:r>
      <w:r w:rsidR="00963734">
        <w:t xml:space="preserve">communicate </w:t>
      </w:r>
      <w:r>
        <w:t xml:space="preserve">with customers, organise connections and disconnections, issue bills and handle any energy related complaints. </w:t>
      </w:r>
      <w:r w:rsidR="00B837DC">
        <w:t xml:space="preserve">If </w:t>
      </w:r>
      <w:r>
        <w:t xml:space="preserve">the service provider buys energy from a retailer and sells it directly to your residents or tenants </w:t>
      </w:r>
      <w:r w:rsidR="00963734">
        <w:t>on your behalf</w:t>
      </w:r>
      <w:r w:rsidR="00EE436C">
        <w:t>, then</w:t>
      </w:r>
      <w:r w:rsidR="00963734">
        <w:t xml:space="preserve"> </w:t>
      </w:r>
      <w:r>
        <w:t>they are</w:t>
      </w:r>
      <w:r w:rsidR="00963734">
        <w:t xml:space="preserve"> </w:t>
      </w:r>
      <w:r w:rsidR="00EE436C">
        <w:t>the energy seller and are the party that</w:t>
      </w:r>
      <w:r w:rsidR="00CD15E0">
        <w:t xml:space="preserve"> </w:t>
      </w:r>
      <w:r w:rsidR="00BF2D86">
        <w:t>need</w:t>
      </w:r>
      <w:r w:rsidR="000840CA">
        <w:t>s</w:t>
      </w:r>
      <w:r w:rsidR="00BF2D86">
        <w:t xml:space="preserve"> an exemption or authorisation</w:t>
      </w:r>
      <w:r>
        <w:t xml:space="preserve">. </w:t>
      </w:r>
    </w:p>
    <w:p w14:paraId="7FED6514" w14:textId="333CFCAF" w:rsidR="00515C80" w:rsidRDefault="00EE436C" w:rsidP="00515C80">
      <w:r>
        <w:t>We do not generally consider</w:t>
      </w:r>
      <w:r w:rsidR="00515C80" w:rsidRPr="007A1F7B">
        <w:t xml:space="preserve"> that class exemptions are appropriate for service providers because for them, selling energy is a core business activity</w:t>
      </w:r>
      <w:r w:rsidR="00515C80">
        <w:t xml:space="preserve">. If the service provider is selling energy to only </w:t>
      </w:r>
      <w:r w:rsidR="00146592">
        <w:t>one</w:t>
      </w:r>
      <w:r w:rsidR="00515C80">
        <w:t xml:space="preserve"> site they may be eligible for an individual exemption. However, if they sell, or intend to sell, at many locations they may need to apply for a retailer authorisation (</w:t>
      </w:r>
      <w:r w:rsidR="00515C80" w:rsidRPr="00FB2F77">
        <w:t xml:space="preserve">see discussion on </w:t>
      </w:r>
      <w:r w:rsidR="00515C80" w:rsidRPr="00FB2F77">
        <w:fldChar w:fldCharType="begin"/>
      </w:r>
      <w:r w:rsidR="00515C80" w:rsidRPr="00FB2F77">
        <w:instrText xml:space="preserve"> REF _Ref404599051 \h </w:instrText>
      </w:r>
      <w:r w:rsidR="004B1BE6" w:rsidRPr="00FB2F77">
        <w:instrText xml:space="preserve"> \* MERGEFORMAT </w:instrText>
      </w:r>
      <w:r w:rsidR="00515C80" w:rsidRPr="00FB2F77">
        <w:fldChar w:fldCharType="separate"/>
      </w:r>
      <w:r w:rsidR="009822FF">
        <w:t>Individual E</w:t>
      </w:r>
      <w:r w:rsidR="006F45B5" w:rsidRPr="00D94D1A">
        <w:t>xemptions</w:t>
      </w:r>
      <w:r w:rsidR="00515C80" w:rsidRPr="00FB2F77">
        <w:fldChar w:fldCharType="end"/>
      </w:r>
      <w:r w:rsidR="00C35D42">
        <w:t xml:space="preserve"> in Section 4.3).</w:t>
      </w:r>
      <w:r w:rsidR="00515C80">
        <w:t xml:space="preserve"> </w:t>
      </w:r>
    </w:p>
    <w:p w14:paraId="514BB4F7" w14:textId="77777777" w:rsidR="00346199" w:rsidRDefault="00346199" w:rsidP="00D8688A">
      <w:pPr>
        <w:pStyle w:val="Heading1"/>
      </w:pPr>
      <w:bookmarkStart w:id="74" w:name="_Toc445886499"/>
      <w:bookmarkStart w:id="75" w:name="_Toc508963924"/>
      <w:r>
        <w:t xml:space="preserve">How do </w:t>
      </w:r>
      <w:r w:rsidR="00090946">
        <w:t>you</w:t>
      </w:r>
      <w:r>
        <w:t xml:space="preserve"> </w:t>
      </w:r>
      <w:r w:rsidR="00EC78EE">
        <w:t xml:space="preserve">get </w:t>
      </w:r>
      <w:r>
        <w:t>an exemption?</w:t>
      </w:r>
      <w:bookmarkEnd w:id="74"/>
      <w:bookmarkEnd w:id="75"/>
      <w:r w:rsidR="005F3B2D">
        <w:t xml:space="preserve"> </w:t>
      </w:r>
    </w:p>
    <w:p w14:paraId="606A3594" w14:textId="77777777" w:rsidR="00346199" w:rsidRDefault="00346199" w:rsidP="00D8688A">
      <w:pPr>
        <w:pStyle w:val="Heading2"/>
      </w:pPr>
      <w:bookmarkStart w:id="76" w:name="_Toc430776171"/>
      <w:bookmarkStart w:id="77" w:name="_Toc436316924"/>
      <w:bookmarkStart w:id="78" w:name="_Toc444774643"/>
      <w:bookmarkStart w:id="79" w:name="_Toc445751595"/>
      <w:bookmarkStart w:id="80" w:name="_Toc445793347"/>
      <w:bookmarkStart w:id="81" w:name="_Toc445886500"/>
      <w:bookmarkStart w:id="82" w:name="_Toc496611993"/>
      <w:bookmarkStart w:id="83" w:name="_Toc508963925"/>
      <w:r>
        <w:t>Deemed exemptions</w:t>
      </w:r>
      <w:bookmarkEnd w:id="76"/>
      <w:bookmarkEnd w:id="77"/>
      <w:bookmarkEnd w:id="78"/>
      <w:bookmarkEnd w:id="79"/>
      <w:bookmarkEnd w:id="80"/>
      <w:bookmarkEnd w:id="81"/>
      <w:bookmarkEnd w:id="82"/>
      <w:bookmarkEnd w:id="83"/>
      <w:r>
        <w:t xml:space="preserve"> </w:t>
      </w:r>
    </w:p>
    <w:p w14:paraId="65966467" w14:textId="77777777" w:rsidR="005F3B2D" w:rsidRDefault="00346199" w:rsidP="00346199">
      <w:r>
        <w:t>Deemed exemptions are automatic</w:t>
      </w:r>
      <w:r w:rsidR="00EC7220">
        <w:t>, p</w:t>
      </w:r>
      <w:r>
        <w:t xml:space="preserve">rovided you meet </w:t>
      </w:r>
      <w:r w:rsidR="004A7BC6">
        <w:t xml:space="preserve">the </w:t>
      </w:r>
      <w:r>
        <w:t xml:space="preserve">criteria </w:t>
      </w:r>
      <w:r w:rsidR="005D4C93">
        <w:t>of</w:t>
      </w:r>
      <w:r>
        <w:t xml:space="preserve"> the deemed class</w:t>
      </w:r>
      <w:r w:rsidR="00EC7220">
        <w:t xml:space="preserve">. This means </w:t>
      </w:r>
      <w:r>
        <w:t>you do not need to apply</w:t>
      </w:r>
      <w:r w:rsidR="00D8688A">
        <w:t xml:space="preserve"> </w:t>
      </w:r>
      <w:r>
        <w:t xml:space="preserve">for </w:t>
      </w:r>
      <w:r w:rsidR="00D8688A">
        <w:t xml:space="preserve">or register </w:t>
      </w:r>
      <w:r w:rsidR="00EC7220">
        <w:t>an exemption</w:t>
      </w:r>
      <w:r>
        <w:t xml:space="preserve">, but rather are ‘deemed’ to be exempt. </w:t>
      </w:r>
    </w:p>
    <w:p w14:paraId="5596A400" w14:textId="77777777" w:rsidR="00346199" w:rsidRDefault="00580241" w:rsidP="00346199">
      <w:r>
        <w:t xml:space="preserve">You must </w:t>
      </w:r>
      <w:r w:rsidR="00064ADB">
        <w:t xml:space="preserve">comply </w:t>
      </w:r>
      <w:r>
        <w:t>with the conditions of the deemed exemption</w:t>
      </w:r>
      <w:r w:rsidR="005C57D7">
        <w:t xml:space="preserve">. The core conditions, and the exemption classes they apply to, are detailed at </w:t>
      </w:r>
      <w:r w:rsidR="005C57D7" w:rsidRPr="007109FE">
        <w:rPr>
          <w:b/>
        </w:rPr>
        <w:t>Appendices A-2 and A-3</w:t>
      </w:r>
      <w:r w:rsidR="005C57D7">
        <w:t xml:space="preserve">, respectively. </w:t>
      </w:r>
    </w:p>
    <w:p w14:paraId="0F1E7303" w14:textId="77777777" w:rsidR="00346199" w:rsidRDefault="00346199" w:rsidP="00D8688A">
      <w:pPr>
        <w:pStyle w:val="Heading2"/>
      </w:pPr>
      <w:bookmarkStart w:id="84" w:name="_Toc430776172"/>
      <w:bookmarkStart w:id="85" w:name="_Toc436316925"/>
      <w:bookmarkStart w:id="86" w:name="_Toc444774644"/>
      <w:bookmarkStart w:id="87" w:name="_Toc445751596"/>
      <w:bookmarkStart w:id="88" w:name="_Toc445793348"/>
      <w:bookmarkStart w:id="89" w:name="_Toc445886501"/>
      <w:bookmarkStart w:id="90" w:name="_Toc496611994"/>
      <w:bookmarkStart w:id="91" w:name="_Toc508963926"/>
      <w:r>
        <w:t>Registrable exemptions</w:t>
      </w:r>
      <w:bookmarkEnd w:id="84"/>
      <w:bookmarkEnd w:id="85"/>
      <w:bookmarkEnd w:id="86"/>
      <w:bookmarkEnd w:id="87"/>
      <w:bookmarkEnd w:id="88"/>
      <w:bookmarkEnd w:id="89"/>
      <w:bookmarkEnd w:id="90"/>
      <w:bookmarkEnd w:id="91"/>
      <w:r>
        <w:t xml:space="preserve"> </w:t>
      </w:r>
    </w:p>
    <w:p w14:paraId="1E2EF9DB" w14:textId="77777777" w:rsidR="00346199" w:rsidRDefault="004B1BE6" w:rsidP="00346199">
      <w:r>
        <w:t xml:space="preserve">Registrable </w:t>
      </w:r>
      <w:r w:rsidR="00346199">
        <w:t xml:space="preserve">exemptions are not automatic. You can register an exemption by completing </w:t>
      </w:r>
      <w:r>
        <w:t xml:space="preserve">the </w:t>
      </w:r>
      <w:r w:rsidR="00346199">
        <w:t>registration form</w:t>
      </w:r>
      <w:r w:rsidR="00697CAE">
        <w:t xml:space="preserve"> available</w:t>
      </w:r>
      <w:r w:rsidR="00346199">
        <w:t xml:space="preserve"> on our website.</w:t>
      </w:r>
      <w:r w:rsidR="008E75F6">
        <w:rPr>
          <w:rStyle w:val="FootnoteReference"/>
        </w:rPr>
        <w:footnoteReference w:id="19"/>
      </w:r>
      <w:r w:rsidR="00346199">
        <w:t xml:space="preserve"> To </w:t>
      </w:r>
      <w:r w:rsidR="00BF2D86">
        <w:t>register</w:t>
      </w:r>
      <w:r w:rsidR="00346199">
        <w:t xml:space="preserve"> a </w:t>
      </w:r>
      <w:r w:rsidR="00346199" w:rsidRPr="00E91559">
        <w:rPr>
          <w:b/>
        </w:rPr>
        <w:t>retail</w:t>
      </w:r>
      <w:r w:rsidR="00346199">
        <w:t xml:space="preserve"> exemption, you need to complete Parts A and C of the form.</w:t>
      </w:r>
      <w:r>
        <w:t xml:space="preserve"> </w:t>
      </w:r>
    </w:p>
    <w:p w14:paraId="0B341024" w14:textId="77777777" w:rsidR="00346199" w:rsidRDefault="00346199" w:rsidP="00346199">
      <w:r>
        <w:t>You must provide all the information requested in the form, including:</w:t>
      </w:r>
    </w:p>
    <w:p w14:paraId="675BF6CA" w14:textId="77777777" w:rsidR="00346199" w:rsidRDefault="00346199" w:rsidP="00A97E11">
      <w:pPr>
        <w:pStyle w:val="ListParagraph"/>
        <w:numPr>
          <w:ilvl w:val="0"/>
          <w:numId w:val="13"/>
        </w:numPr>
      </w:pPr>
      <w:r>
        <w:t xml:space="preserve">the legal name (and trading name) of the business or person seeking the exemption, and their </w:t>
      </w:r>
      <w:r w:rsidR="005F3B2D">
        <w:t>ABN</w:t>
      </w:r>
      <w:r>
        <w:t xml:space="preserve"> or </w:t>
      </w:r>
      <w:r w:rsidR="005F3B2D">
        <w:t>ACN</w:t>
      </w:r>
    </w:p>
    <w:p w14:paraId="4E1788AF" w14:textId="77777777" w:rsidR="00346199" w:rsidRDefault="00346199" w:rsidP="00A97E11">
      <w:pPr>
        <w:pStyle w:val="ListParagraph"/>
        <w:numPr>
          <w:ilvl w:val="0"/>
          <w:numId w:val="13"/>
        </w:numPr>
      </w:pPr>
      <w:r>
        <w:t>the site address for the exemption, the number of customers at that site and the class of exemption (for example, class R1), and a brief description of the normal business activities undertaken at that site</w:t>
      </w:r>
      <w:r w:rsidR="008E75F6">
        <w:rPr>
          <w:rStyle w:val="FootnoteReference"/>
        </w:rPr>
        <w:footnoteReference w:id="20"/>
      </w:r>
      <w:r w:rsidR="00DD54AD">
        <w:t xml:space="preserve"> </w:t>
      </w:r>
    </w:p>
    <w:p w14:paraId="77E39197" w14:textId="77777777" w:rsidR="00346199" w:rsidRDefault="00346199" w:rsidP="00A97E11">
      <w:pPr>
        <w:pStyle w:val="ListParagraph"/>
        <w:numPr>
          <w:ilvl w:val="0"/>
          <w:numId w:val="13"/>
        </w:numPr>
      </w:pPr>
      <w:r>
        <w:t xml:space="preserve">details of a customer contact and authorised representative so that we can contact you if necessary. </w:t>
      </w:r>
    </w:p>
    <w:p w14:paraId="70553CE6" w14:textId="2F4EA95C" w:rsidR="004B1BE6" w:rsidRDefault="004B1BE6" w:rsidP="004B1BE6">
      <w:r>
        <w:t xml:space="preserve">Anyone on-selling electricity will likely also need a network exemption. If you do, you should also complete Part B of the registration form. The </w:t>
      </w:r>
      <w:hyperlink r:id="rId16" w:history="1">
        <w:r w:rsidRPr="009822FF">
          <w:rPr>
            <w:rStyle w:val="Hyperlink"/>
          </w:rPr>
          <w:t>Electricity network service provider registration exemption guideline</w:t>
        </w:r>
      </w:hyperlink>
      <w:r>
        <w:t xml:space="preserve"> sets out the network registration process in Part C of that guideline. </w:t>
      </w:r>
    </w:p>
    <w:p w14:paraId="110E24BD" w14:textId="77777777" w:rsidR="00310F67" w:rsidRDefault="005F3B2D" w:rsidP="00346199">
      <w:r>
        <w:t>S</w:t>
      </w:r>
      <w:r w:rsidR="00346199">
        <w:t>ubmit</w:t>
      </w:r>
      <w:r w:rsidR="004B1BE6">
        <w:t xml:space="preserve"> completed forms </w:t>
      </w:r>
      <w:r w:rsidR="00346199">
        <w:t xml:space="preserve">electronically to: </w:t>
      </w:r>
      <w:hyperlink r:id="rId17" w:history="1">
        <w:r w:rsidR="00310F67" w:rsidRPr="00620B26">
          <w:rPr>
            <w:rStyle w:val="Hyperlink"/>
          </w:rPr>
          <w:t>AERExemptions@aer.gov.au</w:t>
        </w:r>
      </w:hyperlink>
      <w:r w:rsidR="00346199">
        <w:t>.</w:t>
      </w:r>
    </w:p>
    <w:p w14:paraId="66A430C3" w14:textId="33F06825" w:rsidR="004B1BE6" w:rsidRDefault="00346199" w:rsidP="005F2928">
      <w:r>
        <w:t>There is no approval process for registrable exemptions</w:t>
      </w:r>
      <w:r w:rsidR="00961C81">
        <w:t>. Y</w:t>
      </w:r>
      <w:r>
        <w:t xml:space="preserve">our exemption </w:t>
      </w:r>
      <w:r w:rsidR="00310F67">
        <w:t>comes into effect once y</w:t>
      </w:r>
      <w:r w:rsidR="00961C81">
        <w:t xml:space="preserve">ou are registered on our </w:t>
      </w:r>
      <w:hyperlink r:id="rId18" w:history="1">
        <w:r w:rsidR="00961C81">
          <w:rPr>
            <w:rStyle w:val="Hyperlink"/>
          </w:rPr>
          <w:t>public register of exempt sellers</w:t>
        </w:r>
      </w:hyperlink>
      <w:r w:rsidR="00230EFB">
        <w:rPr>
          <w:rStyle w:val="Hyperlink"/>
        </w:rPr>
        <w:t>.</w:t>
      </w:r>
      <w:r w:rsidR="00961C81">
        <w:rPr>
          <w:rStyle w:val="FootnoteReference"/>
        </w:rPr>
        <w:footnoteReference w:id="21"/>
      </w:r>
      <w:r w:rsidR="00310F67">
        <w:t xml:space="preserve"> </w:t>
      </w:r>
    </w:p>
    <w:p w14:paraId="43EF9B55" w14:textId="77777777" w:rsidR="005F02A9" w:rsidRDefault="00310F67" w:rsidP="005F2928">
      <w:r>
        <w:t>Co</w:t>
      </w:r>
      <w:r w:rsidR="00346199">
        <w:t xml:space="preserve">nditions apply to all registered exemptions. </w:t>
      </w:r>
      <w:r w:rsidR="00580241">
        <w:t>You must comply with these conditions</w:t>
      </w:r>
      <w:r w:rsidR="00D8688A">
        <w:t xml:space="preserve"> (see </w:t>
      </w:r>
      <w:r w:rsidR="005C57D7" w:rsidRPr="007109FE">
        <w:rPr>
          <w:b/>
        </w:rPr>
        <w:t>Appendices A-2 and A-3</w:t>
      </w:r>
      <w:r w:rsidR="00D8688A">
        <w:t>)</w:t>
      </w:r>
      <w:r w:rsidR="00580241">
        <w:t>.</w:t>
      </w:r>
    </w:p>
    <w:p w14:paraId="5A26D455" w14:textId="251F0C89" w:rsidR="00346199" w:rsidRDefault="00346199" w:rsidP="00346199">
      <w:r>
        <w:t xml:space="preserve">You should advise us if your details change, for instance if the site for which you have the exemption changes owners, or the nature of your energy </w:t>
      </w:r>
      <w:r w:rsidR="00DD54AD">
        <w:t>selling activities changes (for </w:t>
      </w:r>
      <w:r>
        <w:t>example, you no longer sell energy to small non-residential customers, but to large customers), or you start selling energy to life support customers</w:t>
      </w:r>
      <w:r w:rsidR="007A7763">
        <w:t xml:space="preserve"> (see </w:t>
      </w:r>
      <w:r w:rsidR="007A7763" w:rsidRPr="008709B4">
        <w:t>Section 7.3.2</w:t>
      </w:r>
      <w:r w:rsidR="007A7763">
        <w:t>)</w:t>
      </w:r>
      <w:r>
        <w:t xml:space="preserve">. </w:t>
      </w:r>
      <w:r w:rsidR="00D55A92">
        <w:t>You may need to apply for a different type of exemption or an authorisation.</w:t>
      </w:r>
    </w:p>
    <w:p w14:paraId="1EACB386" w14:textId="58CFC5F3" w:rsidR="008F2520" w:rsidRDefault="008F2520" w:rsidP="008F2520">
      <w:r>
        <w:t xml:space="preserve">For a site that changes ownership or whose ABN or ACN changes, </w:t>
      </w:r>
      <w:r w:rsidR="00657792">
        <w:t>the new seller</w:t>
      </w:r>
      <w:r>
        <w:t xml:space="preserve"> should advise us </w:t>
      </w:r>
      <w:r w:rsidR="007B65B9">
        <w:t>before</w:t>
      </w:r>
      <w:r>
        <w:t xml:space="preserve"> the change takes effect by sending an email to: </w:t>
      </w:r>
      <w:hyperlink r:id="rId19" w:history="1">
        <w:r w:rsidRPr="00B476AD">
          <w:rPr>
            <w:rStyle w:val="Hyperlink"/>
          </w:rPr>
          <w:t>AERExemptions@aer.gov.au</w:t>
        </w:r>
      </w:hyperlink>
      <w:r>
        <w:t xml:space="preserve">. </w:t>
      </w:r>
      <w:r w:rsidR="00657792">
        <w:t>The new seller should</w:t>
      </w:r>
      <w:r>
        <w:t xml:space="preserve"> provide the ABN, legal name and contact details for both the old and the new </w:t>
      </w:r>
      <w:r w:rsidR="00657792">
        <w:t>seller</w:t>
      </w:r>
      <w:r>
        <w:t>, and confirm the registrable exemption classes applicable to the site</w:t>
      </w:r>
    </w:p>
    <w:p w14:paraId="626FCBB5" w14:textId="77777777" w:rsidR="00346199" w:rsidRPr="00D94D1A" w:rsidRDefault="00346199" w:rsidP="00D8688A">
      <w:pPr>
        <w:pStyle w:val="Heading2"/>
      </w:pPr>
      <w:bookmarkStart w:id="92" w:name="_Ref404599051"/>
      <w:bookmarkStart w:id="93" w:name="_Toc430776173"/>
      <w:bookmarkStart w:id="94" w:name="_Toc436316926"/>
      <w:bookmarkStart w:id="95" w:name="_Toc444774645"/>
      <w:bookmarkStart w:id="96" w:name="_Toc445751597"/>
      <w:bookmarkStart w:id="97" w:name="_Toc445793349"/>
      <w:bookmarkStart w:id="98" w:name="_Toc445886502"/>
      <w:bookmarkStart w:id="99" w:name="_Toc496611995"/>
      <w:bookmarkStart w:id="100" w:name="_Toc508963927"/>
      <w:r w:rsidRPr="00D94D1A">
        <w:t>Individual exemptions</w:t>
      </w:r>
      <w:bookmarkEnd w:id="92"/>
      <w:bookmarkEnd w:id="93"/>
      <w:bookmarkEnd w:id="94"/>
      <w:bookmarkEnd w:id="95"/>
      <w:bookmarkEnd w:id="96"/>
      <w:bookmarkEnd w:id="97"/>
      <w:bookmarkEnd w:id="98"/>
      <w:bookmarkEnd w:id="99"/>
      <w:bookmarkEnd w:id="100"/>
    </w:p>
    <w:p w14:paraId="75E6C926" w14:textId="0D1BB7E7" w:rsidR="00346199" w:rsidRDefault="00346199" w:rsidP="00346199">
      <w:r>
        <w:t>We recommend you contact us before applying for an individual exemption</w:t>
      </w:r>
      <w:r w:rsidR="00D8072E">
        <w:t>.</w:t>
      </w:r>
      <w:r>
        <w:t xml:space="preserve"> This is so we can provide information and guidance relevant to your individual circumstances, and assist you with the application process. </w:t>
      </w:r>
    </w:p>
    <w:p w14:paraId="31BFB450" w14:textId="7B6ADAB4" w:rsidR="00346199" w:rsidRDefault="00346199" w:rsidP="00346199">
      <w:r w:rsidRPr="007109FE">
        <w:rPr>
          <w:b/>
        </w:rPr>
        <w:t>Appendix B</w:t>
      </w:r>
      <w:r>
        <w:t xml:space="preserve"> sets out the information you must provide when you apply for an individual exemption. </w:t>
      </w:r>
    </w:p>
    <w:p w14:paraId="22751E22" w14:textId="77777777" w:rsidR="00400FF1" w:rsidRDefault="00ED7A8E" w:rsidP="00346199">
      <w:r>
        <w:t>P</w:t>
      </w:r>
      <w:r w:rsidR="00346199">
        <w:t>roviding false or misleading information</w:t>
      </w:r>
      <w:r w:rsidR="00D8072E">
        <w:t xml:space="preserve"> (or omitting to provide relevant information) to a Commonwealth entity</w:t>
      </w:r>
      <w:r w:rsidR="00346199">
        <w:t xml:space="preserve"> is a serious offence under the </w:t>
      </w:r>
      <w:r w:rsidR="00346199" w:rsidRPr="00016F37">
        <w:rPr>
          <w:i/>
        </w:rPr>
        <w:t>Criminal Code Act 1995</w:t>
      </w:r>
      <w:r w:rsidR="00346199">
        <w:t xml:space="preserve"> (Cth).</w:t>
      </w:r>
      <w:r w:rsidR="00D8072E">
        <w:rPr>
          <w:rStyle w:val="FootnoteReference"/>
        </w:rPr>
        <w:footnoteReference w:id="22"/>
      </w:r>
      <w:r w:rsidR="00346199">
        <w:t xml:space="preserve"> </w:t>
      </w:r>
      <w:r w:rsidR="00D8072E">
        <w:t xml:space="preserve">A court may impose a maximum penalty of $102,000 </w:t>
      </w:r>
      <w:r w:rsidR="00D8072E">
        <w:rPr>
          <w:i/>
          <w:iCs/>
        </w:rPr>
        <w:t xml:space="preserve">per offence </w:t>
      </w:r>
      <w:r w:rsidR="00D8072E">
        <w:t>on a body corporate for breaches of this provision.</w:t>
      </w:r>
      <w:r w:rsidR="008729FA">
        <w:t xml:space="preserve"> </w:t>
      </w:r>
    </w:p>
    <w:p w14:paraId="0211B341" w14:textId="77777777" w:rsidR="00ED7A8E" w:rsidRDefault="00ED7A8E" w:rsidP="00ED7A8E">
      <w:r>
        <w:t>If your application contains confidential information, you should:</w:t>
      </w:r>
    </w:p>
    <w:p w14:paraId="7C16813A" w14:textId="77777777" w:rsidR="00ED7A8E" w:rsidRDefault="00ED7A8E" w:rsidP="00A97E11">
      <w:pPr>
        <w:pStyle w:val="ListParagraph"/>
        <w:numPr>
          <w:ilvl w:val="0"/>
          <w:numId w:val="75"/>
        </w:numPr>
      </w:pPr>
      <w:r>
        <w:t>clearly identify anything you consider confidential</w:t>
      </w:r>
    </w:p>
    <w:p w14:paraId="06688C41" w14:textId="77777777" w:rsidR="00ED7A8E" w:rsidRDefault="00ED7A8E" w:rsidP="00A97E11">
      <w:pPr>
        <w:pStyle w:val="ListParagraph"/>
        <w:numPr>
          <w:ilvl w:val="0"/>
          <w:numId w:val="75"/>
        </w:numPr>
      </w:pPr>
      <w:r>
        <w:t>give reasons for each confidentiality clai</w:t>
      </w:r>
      <w:r w:rsidR="00745AAE">
        <w:t>m</w:t>
      </w:r>
    </w:p>
    <w:p w14:paraId="73D95F85" w14:textId="77777777" w:rsidR="00ED7A8E" w:rsidRDefault="00ED7A8E" w:rsidP="00A97E11">
      <w:pPr>
        <w:pStyle w:val="ListParagraph"/>
        <w:numPr>
          <w:ilvl w:val="0"/>
          <w:numId w:val="75"/>
        </w:numPr>
      </w:pPr>
      <w:r>
        <w:t xml:space="preserve">advise of any potential harm that disclosing the information might cause you </w:t>
      </w:r>
    </w:p>
    <w:p w14:paraId="75325D36" w14:textId="77777777" w:rsidR="00ED7A8E" w:rsidRDefault="00ED7A8E" w:rsidP="00A97E11">
      <w:pPr>
        <w:pStyle w:val="ListParagraph"/>
        <w:numPr>
          <w:ilvl w:val="0"/>
          <w:numId w:val="75"/>
        </w:numPr>
      </w:pPr>
      <w:r>
        <w:t xml:space="preserve">also submit a public version of  your application. </w:t>
      </w:r>
    </w:p>
    <w:p w14:paraId="282ED00A" w14:textId="7F9CF744" w:rsidR="00ED7A8E" w:rsidRDefault="00ED7A8E" w:rsidP="00ED7A8E">
      <w:r>
        <w:t xml:space="preserve">The public version of your application should be detailed enough for members of the public to comment </w:t>
      </w:r>
      <w:r w:rsidR="00B24091">
        <w:t xml:space="preserve">on </w:t>
      </w:r>
      <w:r>
        <w:t xml:space="preserve">if they wish—you should only remove genuinely sensitive information from the application. </w:t>
      </w:r>
    </w:p>
    <w:p w14:paraId="26EFC702" w14:textId="43C6D6DA" w:rsidR="00ED7A8E" w:rsidRDefault="00ED7A8E" w:rsidP="00ED7A8E">
      <w:r>
        <w:t>A confidentiality claim, by itself, is not always enough to prevent disclosure. Under the Retail</w:t>
      </w:r>
      <w:r w:rsidR="00C35D42">
        <w:t> </w:t>
      </w:r>
      <w:r>
        <w:t xml:space="preserve">Law and the </w:t>
      </w:r>
      <w:r w:rsidRPr="005D17E8">
        <w:rPr>
          <w:i/>
        </w:rPr>
        <w:t>Competition and Consumer Act 2010 (Cth),</w:t>
      </w:r>
      <w:r>
        <w:t xml:space="preserve"> we may disclose confidential information in certain circumstances, for example, where disclosure would not cause detriment, or the public benefit </w:t>
      </w:r>
      <w:r w:rsidR="00B24091">
        <w:t xml:space="preserve">in </w:t>
      </w:r>
      <w:r>
        <w:t xml:space="preserve">disclosing the information outweighs that detriment. </w:t>
      </w:r>
      <w:r w:rsidRPr="002B3D9D">
        <w:t xml:space="preserve"> </w:t>
      </w:r>
      <w:r>
        <w:t>For further information on the AER’s policy on the collection, use and disclosure of information see the ACCC and AER information policy.</w:t>
      </w:r>
      <w:r w:rsidRPr="00FB7F80">
        <w:rPr>
          <w:rStyle w:val="FootnoteReference"/>
        </w:rPr>
        <w:t xml:space="preserve"> </w:t>
      </w:r>
      <w:r>
        <w:rPr>
          <w:rStyle w:val="FootnoteReference"/>
        </w:rPr>
        <w:footnoteReference w:id="23"/>
      </w:r>
      <w:r>
        <w:t xml:space="preserve"> </w:t>
      </w:r>
    </w:p>
    <w:p w14:paraId="57B2541E" w14:textId="67882106" w:rsidR="00ED7A8E" w:rsidRDefault="00ED7A8E" w:rsidP="00ED7A8E">
      <w:r>
        <w:t>If we are considering disclosing confidential information, we will contact you and first provide you an opportunity to comment.</w:t>
      </w:r>
      <w:r>
        <w:rPr>
          <w:rStyle w:val="FootnoteReference"/>
        </w:rPr>
        <w:footnoteReference w:id="24"/>
      </w:r>
      <w:r>
        <w:t xml:space="preserve">  </w:t>
      </w:r>
    </w:p>
    <w:p w14:paraId="6C67DECF" w14:textId="77777777" w:rsidR="00616AF3" w:rsidRDefault="00616AF3" w:rsidP="00ED7A8E"/>
    <w:p w14:paraId="6F51EC2C" w14:textId="77777777" w:rsidR="00ED7A8E" w:rsidRDefault="00ED7A8E" w:rsidP="00ED7A8E">
      <w:r>
        <w:t>You can submit your application to:</w:t>
      </w:r>
    </w:p>
    <w:p w14:paraId="34DE35B1" w14:textId="77777777" w:rsidR="00ED7A8E" w:rsidRDefault="0062758E" w:rsidP="00ED7A8E">
      <w:hyperlink r:id="rId20" w:history="1">
        <w:r w:rsidR="00ED7A8E" w:rsidRPr="000D47B0">
          <w:rPr>
            <w:rStyle w:val="Hyperlink"/>
          </w:rPr>
          <w:t>AERExemptions@aer.gov.au</w:t>
        </w:r>
      </w:hyperlink>
      <w:r w:rsidR="00ED7A8E">
        <w:t xml:space="preserve"> with ‘</w:t>
      </w:r>
      <w:r w:rsidR="00ED7A8E" w:rsidRPr="008E75F6">
        <w:rPr>
          <w:i/>
        </w:rPr>
        <w:t>Application for individual exemption</w:t>
      </w:r>
      <w:r w:rsidR="00ED7A8E">
        <w:t xml:space="preserve">’ in the subject line. </w:t>
      </w:r>
    </w:p>
    <w:p w14:paraId="4BBE9BBF" w14:textId="77777777" w:rsidR="00ED7A8E" w:rsidRDefault="00ED7A8E" w:rsidP="00346199">
      <w:r>
        <w:t>The process for assessing an application for an individual exem</w:t>
      </w:r>
      <w:r w:rsidR="0085327B">
        <w:t>ption is set out in Section 7</w:t>
      </w:r>
      <w:r w:rsidR="00090946">
        <w:t>. Section 7 also explains what information must be provided in an application for an individual exemption for a retrofitted site</w:t>
      </w:r>
      <w:r w:rsidR="0085327B">
        <w:t xml:space="preserve">. </w:t>
      </w:r>
    </w:p>
    <w:p w14:paraId="6A69BD0F" w14:textId="77777777" w:rsidR="007E44F6" w:rsidRDefault="00ED7A8E" w:rsidP="00D8688A">
      <w:pPr>
        <w:pStyle w:val="Heading1"/>
      </w:pPr>
      <w:bookmarkStart w:id="101" w:name="_Toc445886503"/>
      <w:bookmarkStart w:id="102" w:name="_Toc508963928"/>
      <w:r>
        <w:t>Assessing</w:t>
      </w:r>
      <w:r w:rsidR="00400FF1">
        <w:t xml:space="preserve"> application</w:t>
      </w:r>
      <w:r>
        <w:t>s for individual exemptions</w:t>
      </w:r>
      <w:bookmarkEnd w:id="101"/>
      <w:bookmarkEnd w:id="102"/>
      <w:r>
        <w:t xml:space="preserve"> </w:t>
      </w:r>
    </w:p>
    <w:p w14:paraId="7586DE02" w14:textId="77777777" w:rsidR="007E44F6" w:rsidRDefault="007E44F6" w:rsidP="00D8688A">
      <w:pPr>
        <w:pStyle w:val="Heading2"/>
      </w:pPr>
      <w:bookmarkStart w:id="103" w:name="_Toc430776175"/>
      <w:bookmarkStart w:id="104" w:name="_Toc436316928"/>
      <w:bookmarkStart w:id="105" w:name="_Toc444774647"/>
      <w:bookmarkStart w:id="106" w:name="_Toc445751599"/>
      <w:bookmarkStart w:id="107" w:name="_Toc445793351"/>
      <w:bookmarkStart w:id="108" w:name="_Toc445886504"/>
      <w:bookmarkStart w:id="109" w:name="_Toc496611997"/>
      <w:bookmarkStart w:id="110" w:name="_Toc508963929"/>
      <w:r>
        <w:t>Public consultation process</w:t>
      </w:r>
      <w:bookmarkEnd w:id="103"/>
      <w:bookmarkEnd w:id="104"/>
      <w:bookmarkEnd w:id="105"/>
      <w:bookmarkEnd w:id="106"/>
      <w:bookmarkEnd w:id="107"/>
      <w:bookmarkEnd w:id="108"/>
      <w:bookmarkEnd w:id="109"/>
      <w:bookmarkEnd w:id="110"/>
    </w:p>
    <w:p w14:paraId="51FFF2B4" w14:textId="77777777" w:rsidR="00400FF1" w:rsidRDefault="00400FF1" w:rsidP="00346199">
      <w:r>
        <w:t>W</w:t>
      </w:r>
      <w:r w:rsidR="007E44F6">
        <w:t xml:space="preserve">e will review </w:t>
      </w:r>
      <w:r>
        <w:t xml:space="preserve">your application </w:t>
      </w:r>
      <w:r w:rsidR="0090394B">
        <w:t>a</w:t>
      </w:r>
      <w:r w:rsidR="007E44F6">
        <w:t>nd will contact you if there is any incomplete or missing information.</w:t>
      </w:r>
      <w:r>
        <w:t xml:space="preserve"> Provided your application is complete, we will ‘accept’ your </w:t>
      </w:r>
      <w:r w:rsidR="00CF1526">
        <w:t>application and start</w:t>
      </w:r>
      <w:r w:rsidR="007E44F6">
        <w:t xml:space="preserve"> the required public consultation process (accepting your application does not mean that the AER has approved it).  </w:t>
      </w:r>
    </w:p>
    <w:p w14:paraId="630EC685" w14:textId="77777777" w:rsidR="007E44F6" w:rsidRDefault="00775191" w:rsidP="00346199">
      <w:r>
        <w:t>We will then</w:t>
      </w:r>
      <w:r w:rsidR="007E44F6">
        <w:t xml:space="preserve"> publish a notice on our website: </w:t>
      </w:r>
    </w:p>
    <w:p w14:paraId="48E2C212" w14:textId="77777777" w:rsidR="007E44F6" w:rsidRDefault="007E44F6" w:rsidP="00A97E11">
      <w:pPr>
        <w:pStyle w:val="ListParagraph"/>
        <w:numPr>
          <w:ilvl w:val="0"/>
          <w:numId w:val="70"/>
        </w:numPr>
      </w:pPr>
      <w:r>
        <w:t>stating that the application has been received and</w:t>
      </w:r>
    </w:p>
    <w:p w14:paraId="3E3BF9A4" w14:textId="77777777" w:rsidR="007E44F6" w:rsidRDefault="007E44F6" w:rsidP="00A97E11">
      <w:pPr>
        <w:pStyle w:val="ListParagraph"/>
        <w:numPr>
          <w:ilvl w:val="0"/>
          <w:numId w:val="70"/>
        </w:numPr>
      </w:pPr>
      <w:r>
        <w:t>seeking written submissions on the application from interested stakeholders.</w:t>
      </w:r>
    </w:p>
    <w:p w14:paraId="1DE4DEE6" w14:textId="77777777" w:rsidR="007E44F6" w:rsidRDefault="007E44F6" w:rsidP="007E44F6">
      <w:r>
        <w:t xml:space="preserve">The consultation period will </w:t>
      </w:r>
      <w:r w:rsidR="00775191">
        <w:t>be</w:t>
      </w:r>
      <w:r>
        <w:t xml:space="preserve"> at least 20 business days.</w:t>
      </w:r>
      <w:r>
        <w:rPr>
          <w:rStyle w:val="FootnoteReference"/>
        </w:rPr>
        <w:footnoteReference w:id="25"/>
      </w:r>
      <w:r>
        <w:t xml:space="preserve">  </w:t>
      </w:r>
    </w:p>
    <w:p w14:paraId="7047DA9E" w14:textId="77777777" w:rsidR="00346199" w:rsidRDefault="00E43B93" w:rsidP="00D8688A">
      <w:pPr>
        <w:pStyle w:val="Heading2"/>
      </w:pPr>
      <w:bookmarkStart w:id="111" w:name="_Toc430249023"/>
      <w:bookmarkStart w:id="112" w:name="_Toc430250236"/>
      <w:bookmarkStart w:id="113" w:name="_Toc430249024"/>
      <w:bookmarkStart w:id="114" w:name="_Toc430250237"/>
      <w:bookmarkStart w:id="115" w:name="_Toc430776176"/>
      <w:bookmarkStart w:id="116" w:name="_Toc436316929"/>
      <w:bookmarkStart w:id="117" w:name="_Toc444774648"/>
      <w:bookmarkStart w:id="118" w:name="_Toc445751600"/>
      <w:bookmarkStart w:id="119" w:name="_Toc445793352"/>
      <w:bookmarkStart w:id="120" w:name="_Toc445886505"/>
      <w:bookmarkStart w:id="121" w:name="_Toc496611998"/>
      <w:bookmarkStart w:id="122" w:name="_Toc508963930"/>
      <w:bookmarkEnd w:id="111"/>
      <w:bookmarkEnd w:id="112"/>
      <w:bookmarkEnd w:id="113"/>
      <w:bookmarkEnd w:id="114"/>
      <w:r>
        <w:t>Assessing an application</w:t>
      </w:r>
      <w:bookmarkEnd w:id="115"/>
      <w:bookmarkEnd w:id="116"/>
      <w:bookmarkEnd w:id="117"/>
      <w:bookmarkEnd w:id="118"/>
      <w:bookmarkEnd w:id="119"/>
      <w:bookmarkEnd w:id="120"/>
      <w:bookmarkEnd w:id="121"/>
      <w:bookmarkEnd w:id="122"/>
      <w:r>
        <w:t xml:space="preserve"> </w:t>
      </w:r>
      <w:r w:rsidR="00346199">
        <w:t xml:space="preserve"> </w:t>
      </w:r>
    </w:p>
    <w:p w14:paraId="0F9AE107" w14:textId="77777777" w:rsidR="00E43B93" w:rsidRDefault="00E43B93" w:rsidP="00E43B93">
      <w:r>
        <w:t xml:space="preserve">When considering applications for individual exemptions, we will be guided by the Retail Law objective, which is: </w:t>
      </w:r>
    </w:p>
    <w:p w14:paraId="43B78629" w14:textId="77777777" w:rsidR="00E43B93" w:rsidRPr="008E75F6" w:rsidRDefault="00E43B93" w:rsidP="00E43B93">
      <w:pPr>
        <w:ind w:left="720"/>
        <w:rPr>
          <w:rStyle w:val="Emphasis"/>
        </w:rPr>
      </w:pPr>
      <w:r w:rsidRPr="008E75F6">
        <w:rPr>
          <w:rStyle w:val="Emphasis"/>
        </w:rPr>
        <w:t xml:space="preserve">to promote efficient investment in, and efficient operation and use of, energy services for the long term interests of consumers of energy with respect to price, quality, safety, reliability and security of supply of energy. </w:t>
      </w:r>
    </w:p>
    <w:p w14:paraId="72A2AAB5" w14:textId="77777777" w:rsidR="00EF22BF" w:rsidRDefault="00E43B93" w:rsidP="00E43B93">
      <w:r>
        <w:t>We will also consider the policy principles, exempt seller related factors and customer related factors specified in the Retail Law when considering your application.</w:t>
      </w:r>
      <w:r>
        <w:rPr>
          <w:rStyle w:val="FootnoteReference"/>
        </w:rPr>
        <w:footnoteReference w:id="26"/>
      </w:r>
      <w:r>
        <w:t xml:space="preserve">  </w:t>
      </w:r>
    </w:p>
    <w:p w14:paraId="657BDD75" w14:textId="69518142" w:rsidR="004D3CF6" w:rsidRDefault="00E43B93" w:rsidP="00E43B93">
      <w:r>
        <w:t xml:space="preserve">Guidance on how we consider these principles and factors is provided in </w:t>
      </w:r>
      <w:r w:rsidRPr="007109FE">
        <w:rPr>
          <w:b/>
        </w:rPr>
        <w:t>Appendix E</w:t>
      </w:r>
      <w:r>
        <w:t xml:space="preserve">. We encourage anyone applying for an individual exemption to familiarise themselves with </w:t>
      </w:r>
      <w:r w:rsidR="004B78C1">
        <w:t xml:space="preserve">these </w:t>
      </w:r>
      <w:r>
        <w:t xml:space="preserve">policy principles and factors before making an application. </w:t>
      </w:r>
    </w:p>
    <w:p w14:paraId="5BEBCD82" w14:textId="16FB5082" w:rsidR="004D3CF6" w:rsidRDefault="004D3CF6" w:rsidP="004D3CF6">
      <w:pPr>
        <w:pStyle w:val="Heading3"/>
      </w:pPr>
      <w:bookmarkStart w:id="123" w:name="_Toc445886506"/>
      <w:bookmarkStart w:id="124" w:name="_Toc496611999"/>
      <w:bookmarkStart w:id="125" w:name="_Toc508963931"/>
      <w:r w:rsidRPr="00694AE4">
        <w:t xml:space="preserve">Assessing </w:t>
      </w:r>
      <w:r>
        <w:t xml:space="preserve">an application involving </w:t>
      </w:r>
      <w:bookmarkEnd w:id="123"/>
      <w:bookmarkEnd w:id="124"/>
      <w:r w:rsidR="00056C0B">
        <w:t>converted embedded networks (retrofits)</w:t>
      </w:r>
      <w:bookmarkEnd w:id="125"/>
      <w:r>
        <w:t xml:space="preserve"> </w:t>
      </w:r>
    </w:p>
    <w:p w14:paraId="74BAD898" w14:textId="1F0CF458" w:rsidR="004B78C1" w:rsidRDefault="005A3348" w:rsidP="00B21F4C">
      <w:pPr>
        <w:spacing w:before="0" w:after="200"/>
      </w:pPr>
      <w:r>
        <w:t xml:space="preserve">This section provides information on points to address in applications to </w:t>
      </w:r>
      <w:r w:rsidR="00EC37FD">
        <w:t>sell energy through a</w:t>
      </w:r>
      <w:r w:rsidR="00973471">
        <w:t xml:space="preserve"> </w:t>
      </w:r>
      <w:r w:rsidR="00056C0B">
        <w:t>converted</w:t>
      </w:r>
      <w:r w:rsidR="00EC37FD">
        <w:t xml:space="preserve"> embedded network</w:t>
      </w:r>
      <w:r>
        <w:t>. To address these points in your application, you need to complete Part</w:t>
      </w:r>
      <w:r w:rsidR="00632F45">
        <w:t>s 1, 2 and</w:t>
      </w:r>
      <w:r>
        <w:t xml:space="preserve"> 3 of </w:t>
      </w:r>
      <w:r w:rsidRPr="008709B4">
        <w:rPr>
          <w:b/>
        </w:rPr>
        <w:t>Appendix B</w:t>
      </w:r>
      <w:r w:rsidR="00E07C7D">
        <w:t>.</w:t>
      </w:r>
      <w:r w:rsidR="00A669C1">
        <w:t xml:space="preserve"> </w:t>
      </w:r>
    </w:p>
    <w:p w14:paraId="0037E5AC" w14:textId="1EBA8631" w:rsidR="00E07C7D" w:rsidRPr="00AD0474" w:rsidRDefault="00A669C1" w:rsidP="00E06BA1">
      <w:r w:rsidRPr="00864055">
        <w:t>In particular, you will need to demonstrate that you have taken adequate steps to mitigate any potential customer detriment.</w:t>
      </w:r>
    </w:p>
    <w:p w14:paraId="7B72AB1B" w14:textId="77777777" w:rsidR="004D3CF6" w:rsidRPr="00BE798A" w:rsidRDefault="004D3CF6" w:rsidP="00864055">
      <w:pPr>
        <w:pStyle w:val="ListParagraph"/>
        <w:numPr>
          <w:ilvl w:val="0"/>
          <w:numId w:val="84"/>
        </w:numPr>
        <w:spacing w:before="0" w:after="200"/>
        <w:rPr>
          <w:b/>
        </w:rPr>
      </w:pPr>
      <w:r w:rsidRPr="00BE798A">
        <w:rPr>
          <w:b/>
        </w:rPr>
        <w:t>Mitigation of detriment: Retail contestability and competitive offers</w:t>
      </w:r>
    </w:p>
    <w:p w14:paraId="791B30C7" w14:textId="37CC7F31" w:rsidR="004D3CF6" w:rsidRDefault="004D3CF6" w:rsidP="004D3CF6">
      <w:r>
        <w:t xml:space="preserve">Customers in an embedded network can experience practical difficulties in accessing market retailers. An application for an exemption involving a retrofit must attempt to remove barriers </w:t>
      </w:r>
      <w:r w:rsidR="00660CD7">
        <w:t xml:space="preserve">to </w:t>
      </w:r>
      <w:r>
        <w:t xml:space="preserve">customers purchasing energy from a retailer of their choice. A successful applicant must also limit the customer detriment that </w:t>
      </w:r>
      <w:r w:rsidR="00660CD7">
        <w:t xml:space="preserve">may </w:t>
      </w:r>
      <w:r>
        <w:t xml:space="preserve">result from it potentially being a monopoly supplier, by offering an attractive product to customers ‘as if’ in a more competitive market. </w:t>
      </w:r>
    </w:p>
    <w:p w14:paraId="232B4831" w14:textId="57796C8E" w:rsidR="004D3CF6" w:rsidRDefault="004D3CF6" w:rsidP="004D3CF6">
      <w:r>
        <w:t xml:space="preserve">In addressing this </w:t>
      </w:r>
      <w:r w:rsidR="005557CC">
        <w:t>issue</w:t>
      </w:r>
      <w:r>
        <w:t xml:space="preserve">, we will look for evidence </w:t>
      </w:r>
      <w:r w:rsidR="00314C7E">
        <w:t>that you have advised residents</w:t>
      </w:r>
      <w:r w:rsidR="00306C1F">
        <w:t>/</w:t>
      </w:r>
      <w:r w:rsidR="007D468A">
        <w:t xml:space="preserve"> </w:t>
      </w:r>
      <w:r w:rsidR="00314C7E">
        <w:t xml:space="preserve">tenants of potential customer impacts if they join the network and for evidence </w:t>
      </w:r>
      <w:r>
        <w:t>of:</w:t>
      </w:r>
    </w:p>
    <w:p w14:paraId="4E7D4A0E" w14:textId="77777777" w:rsidR="004D3CF6" w:rsidRDefault="004D3CF6" w:rsidP="004D3CF6">
      <w:pPr>
        <w:pStyle w:val="ListParagraph"/>
        <w:numPr>
          <w:ilvl w:val="0"/>
          <w:numId w:val="85"/>
        </w:numPr>
        <w:spacing w:before="0" w:after="200"/>
        <w:ind w:left="360"/>
      </w:pPr>
      <w:r>
        <w:t xml:space="preserve">advice sought from the distributor whether (and how) non-consenting energy </w:t>
      </w:r>
      <w:r w:rsidR="00A60D1B">
        <w:t xml:space="preserve">customers </w:t>
      </w:r>
      <w:r>
        <w:t>can be left out of the network conversion</w:t>
      </w:r>
    </w:p>
    <w:p w14:paraId="378ED527" w14:textId="77777777" w:rsidR="004D3CF6" w:rsidRDefault="004D3CF6" w:rsidP="004D3CF6">
      <w:pPr>
        <w:pStyle w:val="ListParagraph"/>
        <w:numPr>
          <w:ilvl w:val="0"/>
          <w:numId w:val="85"/>
        </w:numPr>
        <w:spacing w:before="0" w:after="200"/>
        <w:ind w:left="360"/>
      </w:pPr>
      <w:r>
        <w:t>ongoing cooperation with retailers and distributors to facilitate access to competition</w:t>
      </w:r>
    </w:p>
    <w:p w14:paraId="7D93F961" w14:textId="2F34CB64" w:rsidR="004D3CF6" w:rsidRDefault="004D3CF6" w:rsidP="004D3CF6">
      <w:pPr>
        <w:pStyle w:val="ListParagraph"/>
        <w:numPr>
          <w:ilvl w:val="0"/>
          <w:numId w:val="85"/>
        </w:numPr>
        <w:spacing w:before="0" w:after="200"/>
        <w:ind w:left="360"/>
      </w:pPr>
      <w:r>
        <w:t xml:space="preserve">processes to ensure </w:t>
      </w:r>
      <w:r w:rsidR="00A60D1B">
        <w:t>customers</w:t>
      </w:r>
      <w:r w:rsidR="00D30B36">
        <w:t xml:space="preserve"> </w:t>
      </w:r>
      <w:r>
        <w:t>who choose to purchase from an authorised retailer do not pay double network charges</w:t>
      </w:r>
      <w:r w:rsidR="002F1789">
        <w:t>,</w:t>
      </w:r>
      <w:r>
        <w:t xml:space="preserve"> and acknowledg</w:t>
      </w:r>
      <w:r w:rsidR="00632F45">
        <w:t>e</w:t>
      </w:r>
      <w:r w:rsidR="00660CD7">
        <w:t>ment</w:t>
      </w:r>
      <w:r>
        <w:t xml:space="preserve"> that </w:t>
      </w:r>
      <w:r w:rsidR="007F79B5">
        <w:t xml:space="preserve">financial responsibility </w:t>
      </w:r>
      <w:r>
        <w:t xml:space="preserve">lies with the exempt seller </w:t>
      </w:r>
      <w:r w:rsidR="005557CC">
        <w:t xml:space="preserve">(i.e. the applicant) </w:t>
      </w:r>
      <w:r w:rsidR="002F1789">
        <w:t xml:space="preserve">to rectify </w:t>
      </w:r>
      <w:r w:rsidR="00721E3C">
        <w:t>any double charging</w:t>
      </w:r>
      <w:r w:rsidR="002F1789">
        <w:t xml:space="preserve"> </w:t>
      </w:r>
    </w:p>
    <w:p w14:paraId="30D2F1A1" w14:textId="77777777" w:rsidR="004D3CF6" w:rsidRDefault="004D3CF6" w:rsidP="004D3CF6">
      <w:pPr>
        <w:pStyle w:val="ListParagraph"/>
        <w:numPr>
          <w:ilvl w:val="0"/>
          <w:numId w:val="85"/>
        </w:numPr>
        <w:spacing w:before="0" w:after="200"/>
        <w:ind w:left="360"/>
      </w:pPr>
      <w:r>
        <w:t>maintenance of consumer price and service quality at a level that would be competitive in the market. This may involve options around price matching for affected customers.</w:t>
      </w:r>
    </w:p>
    <w:p w14:paraId="278C7CD7" w14:textId="77777777" w:rsidR="004D3CF6" w:rsidRPr="002C3512" w:rsidRDefault="004D3CF6" w:rsidP="00A2043E">
      <w:pPr>
        <w:pStyle w:val="ListParagraph"/>
        <w:numPr>
          <w:ilvl w:val="0"/>
          <w:numId w:val="84"/>
        </w:numPr>
        <w:spacing w:before="360" w:after="200"/>
        <w:ind w:left="357" w:hanging="357"/>
        <w:contextualSpacing w:val="0"/>
        <w:rPr>
          <w:b/>
        </w:rPr>
      </w:pPr>
      <w:r w:rsidRPr="002C3512">
        <w:rPr>
          <w:b/>
        </w:rPr>
        <w:t>Mitigation of detriment:</w:t>
      </w:r>
      <w:r>
        <w:rPr>
          <w:b/>
        </w:rPr>
        <w:t xml:space="preserve"> Customer</w:t>
      </w:r>
      <w:r w:rsidRPr="002C3512">
        <w:rPr>
          <w:b/>
        </w:rPr>
        <w:t xml:space="preserve"> </w:t>
      </w:r>
      <w:r>
        <w:rPr>
          <w:b/>
        </w:rPr>
        <w:t>d</w:t>
      </w:r>
      <w:r w:rsidRPr="002C3512">
        <w:rPr>
          <w:b/>
        </w:rPr>
        <w:t>ispute resolution</w:t>
      </w:r>
      <w:r>
        <w:rPr>
          <w:b/>
        </w:rPr>
        <w:t xml:space="preserve"> services</w:t>
      </w:r>
    </w:p>
    <w:p w14:paraId="539E054B" w14:textId="7E2B6D62" w:rsidR="004D3CF6" w:rsidRDefault="004D3CF6" w:rsidP="004D3CF6">
      <w:r>
        <w:t xml:space="preserve">Authorised energy retailers must be a member of all relevant state and territory energy ombudsman schemes. This is so </w:t>
      </w:r>
      <w:r w:rsidR="00A753AD">
        <w:t xml:space="preserve">their </w:t>
      </w:r>
      <w:r>
        <w:t xml:space="preserve">customers have access to a dispute resolution body </w:t>
      </w:r>
      <w:r w:rsidR="005557CC">
        <w:t xml:space="preserve">if </w:t>
      </w:r>
      <w:r>
        <w:t xml:space="preserve">they cannot resolve a complaint with the retailer. </w:t>
      </w:r>
      <w:r w:rsidR="00BE55C7">
        <w:t>To the extent possible, w</w:t>
      </w:r>
      <w:r w:rsidR="00584728">
        <w:t xml:space="preserve">e consider the same protection should apply to customers of exempt sellers. For individual exemptions involving retrofits, we will assess the need for ombudsman scheme access and impose relevant conditions on a case-by-case basis. </w:t>
      </w:r>
    </w:p>
    <w:p w14:paraId="16F61DF4" w14:textId="46BCE245" w:rsidR="00644D77" w:rsidRPr="00431CDB" w:rsidRDefault="00644D77" w:rsidP="00197B1D">
      <w:r>
        <w:t>I</w:t>
      </w:r>
      <w:r w:rsidR="00A753AD">
        <w:t xml:space="preserve">f we determine an exempt seller is not required to be subject to an ombudsman scheme, the exempt seller must still </w:t>
      </w:r>
      <w:r w:rsidR="008D5A47">
        <w:t xml:space="preserve">have robust internal dispute resolution processes. </w:t>
      </w:r>
      <w:r w:rsidR="004D3CF6">
        <w:t>In addressing this criterion, we will look for evidence of</w:t>
      </w:r>
      <w:r w:rsidR="00197B1D">
        <w:t xml:space="preserve"> </w:t>
      </w:r>
      <w:r w:rsidR="004D3CF6">
        <w:t xml:space="preserve">a dispute resolution process that </w:t>
      </w:r>
      <w:r w:rsidR="00A60D1B">
        <w:t xml:space="preserve">is consistent with </w:t>
      </w:r>
      <w:r w:rsidR="004D3CF6">
        <w:t xml:space="preserve">Australian Standards: AS/NZS 10002:2014 </w:t>
      </w:r>
      <w:r w:rsidRPr="00644D77">
        <w:rPr>
          <w:i/>
        </w:rPr>
        <w:t>Guidelines for complaint management in organi</w:t>
      </w:r>
      <w:r>
        <w:rPr>
          <w:i/>
        </w:rPr>
        <w:t>s</w:t>
      </w:r>
      <w:r w:rsidRPr="00644D77">
        <w:rPr>
          <w:i/>
        </w:rPr>
        <w:t>ations</w:t>
      </w:r>
      <w:r w:rsidR="00056C0B">
        <w:rPr>
          <w:i/>
        </w:rPr>
        <w:t>,</w:t>
      </w:r>
      <w:r>
        <w:t xml:space="preserve"> as amended and updated from time to time</w:t>
      </w:r>
      <w:r w:rsidR="00197B1D">
        <w:t>.</w:t>
      </w:r>
      <w:r w:rsidRPr="00644D77" w:rsidDel="00460B39">
        <w:rPr>
          <w:i/>
        </w:rPr>
        <w:t xml:space="preserve"> </w:t>
      </w:r>
    </w:p>
    <w:p w14:paraId="6F86DB6D" w14:textId="77777777" w:rsidR="004D3CF6" w:rsidRPr="002C3512" w:rsidRDefault="004D3CF6" w:rsidP="00A2043E">
      <w:pPr>
        <w:pStyle w:val="ListParagraph"/>
        <w:keepNext/>
        <w:numPr>
          <w:ilvl w:val="0"/>
          <w:numId w:val="84"/>
        </w:numPr>
        <w:spacing w:before="360" w:after="200"/>
        <w:ind w:left="357" w:hanging="357"/>
        <w:contextualSpacing w:val="0"/>
        <w:rPr>
          <w:b/>
        </w:rPr>
      </w:pPr>
      <w:r>
        <w:rPr>
          <w:b/>
        </w:rPr>
        <w:t>Efforts to obtain</w:t>
      </w:r>
      <w:r w:rsidRPr="002C3512">
        <w:rPr>
          <w:b/>
        </w:rPr>
        <w:t xml:space="preserve"> </w:t>
      </w:r>
      <w:r>
        <w:rPr>
          <w:b/>
        </w:rPr>
        <w:t>e</w:t>
      </w:r>
      <w:r w:rsidRPr="002C3512">
        <w:rPr>
          <w:b/>
        </w:rPr>
        <w:t xml:space="preserve">xplicit </w:t>
      </w:r>
      <w:r>
        <w:rPr>
          <w:b/>
        </w:rPr>
        <w:t>i</w:t>
      </w:r>
      <w:r w:rsidRPr="002C3512">
        <w:rPr>
          <w:b/>
        </w:rPr>
        <w:t xml:space="preserve">nformed </w:t>
      </w:r>
      <w:r>
        <w:rPr>
          <w:b/>
        </w:rPr>
        <w:t>c</w:t>
      </w:r>
      <w:r w:rsidRPr="002C3512">
        <w:rPr>
          <w:b/>
        </w:rPr>
        <w:t>onsent</w:t>
      </w:r>
    </w:p>
    <w:p w14:paraId="239CE613" w14:textId="5819E575" w:rsidR="004D3CF6" w:rsidRDefault="004D3CF6" w:rsidP="009B638B">
      <w:pPr>
        <w:keepNext/>
      </w:pPr>
      <w:r>
        <w:t xml:space="preserve">Customers in embedded networks do not have the full range of rights and protections available to them under the Retail Law (as they would have had the retrofit not taken place). </w:t>
      </w:r>
    </w:p>
    <w:p w14:paraId="55333BF2" w14:textId="3799EF16" w:rsidR="004D3CF6" w:rsidRDefault="004D3CF6" w:rsidP="004D3CF6">
      <w:r>
        <w:t xml:space="preserve">Therefore, applicants must </w:t>
      </w:r>
      <w:r w:rsidR="00973471">
        <w:t xml:space="preserve">advise </w:t>
      </w:r>
      <w:r w:rsidR="00864055">
        <w:t xml:space="preserve">potential </w:t>
      </w:r>
      <w:r w:rsidR="00A60D1B">
        <w:t xml:space="preserve">customers </w:t>
      </w:r>
      <w:r>
        <w:t>about the implications of being in an embedded network</w:t>
      </w:r>
      <w:r w:rsidR="007F79B5">
        <w:t>.</w:t>
      </w:r>
      <w:r w:rsidR="00645F1C">
        <w:t xml:space="preserve"> This </w:t>
      </w:r>
      <w:r w:rsidR="007D468A">
        <w:t>will</w:t>
      </w:r>
      <w:r w:rsidR="00645F1C">
        <w:t xml:space="preserve"> include information about the benefits as well as potential detriments</w:t>
      </w:r>
      <w:r w:rsidR="00197B1D">
        <w:t>. E</w:t>
      </w:r>
      <w:r w:rsidR="007F79B5">
        <w:t xml:space="preserve">xplicit informed </w:t>
      </w:r>
      <w:r>
        <w:t xml:space="preserve">consent </w:t>
      </w:r>
      <w:r w:rsidR="007F79B5">
        <w:t xml:space="preserve">must be sought and voluntarily provided. Any </w:t>
      </w:r>
      <w:r>
        <w:t xml:space="preserve">concerns </w:t>
      </w:r>
      <w:r w:rsidR="00197B1D">
        <w:t xml:space="preserve">customers </w:t>
      </w:r>
      <w:r>
        <w:t xml:space="preserve">raise must be formally recorded </w:t>
      </w:r>
      <w:r w:rsidR="005557CC">
        <w:t xml:space="preserve">along </w:t>
      </w:r>
      <w:r>
        <w:t xml:space="preserve">with attempts made to </w:t>
      </w:r>
      <w:r w:rsidR="00197B1D">
        <w:t xml:space="preserve">address </w:t>
      </w:r>
      <w:r>
        <w:t>them</w:t>
      </w:r>
      <w:r w:rsidR="007F79B5">
        <w:t>.</w:t>
      </w:r>
    </w:p>
    <w:p w14:paraId="298F92F9" w14:textId="42D8CEA6" w:rsidR="004D3CF6" w:rsidRDefault="00A60D1B" w:rsidP="004D3CF6">
      <w:r>
        <w:t>Applicants</w:t>
      </w:r>
      <w:r w:rsidR="004D3CF6">
        <w:t xml:space="preserve"> must demonstrate a principled approach to the facilitation and collection of explicit informed consent. </w:t>
      </w:r>
      <w:r>
        <w:t>Applicants</w:t>
      </w:r>
      <w:r w:rsidR="004D3CF6">
        <w:t xml:space="preserve"> must also demonstrate a willingness to identify and mitigate the concerns of </w:t>
      </w:r>
      <w:r w:rsidR="00B21F4C">
        <w:t xml:space="preserve">potential </w:t>
      </w:r>
      <w:r w:rsidR="007D468A">
        <w:t xml:space="preserve">customers </w:t>
      </w:r>
      <w:r w:rsidR="004D3CF6">
        <w:t>at the site.</w:t>
      </w:r>
    </w:p>
    <w:p w14:paraId="04062F0E" w14:textId="127C8FFF" w:rsidR="004D3CF6" w:rsidRDefault="002C29CB" w:rsidP="002C29CB">
      <w:pPr>
        <w:pStyle w:val="ListParagraph"/>
        <w:spacing w:before="0" w:after="200"/>
        <w:ind w:left="0"/>
      </w:pPr>
      <w:r>
        <w:rPr>
          <w:rFonts w:cs="Arial"/>
          <w:color w:val="000000"/>
          <w:szCs w:val="20"/>
        </w:rPr>
        <w:t xml:space="preserve">Applicants must provide </w:t>
      </w:r>
      <w:r w:rsidRPr="002C29CB">
        <w:rPr>
          <w:rFonts w:cs="Arial"/>
          <w:color w:val="000000"/>
          <w:szCs w:val="20"/>
        </w:rPr>
        <w:t xml:space="preserve">evidence to support </w:t>
      </w:r>
      <w:r>
        <w:rPr>
          <w:rFonts w:cs="Arial"/>
          <w:color w:val="000000"/>
          <w:szCs w:val="20"/>
        </w:rPr>
        <w:t xml:space="preserve">their claims. In particular, </w:t>
      </w:r>
      <w:r w:rsidR="004D3CF6">
        <w:t>we will look for evidence of:</w:t>
      </w:r>
    </w:p>
    <w:p w14:paraId="7C47E255" w14:textId="77777777" w:rsidR="004D3CF6" w:rsidRDefault="004D3CF6" w:rsidP="004D3CF6">
      <w:pPr>
        <w:pStyle w:val="ListParagraph"/>
        <w:numPr>
          <w:ilvl w:val="0"/>
          <w:numId w:val="86"/>
        </w:numPr>
        <w:spacing w:before="0" w:after="200"/>
      </w:pPr>
      <w:r>
        <w:t xml:space="preserve">clear communication with </w:t>
      </w:r>
      <w:r w:rsidR="0057535D">
        <w:t>customers</w:t>
      </w:r>
      <w:r>
        <w:t xml:space="preserve">, including about their rights, protections and obligations, to allow them to make an informed decision about entering into an embedded network </w:t>
      </w:r>
    </w:p>
    <w:p w14:paraId="6CC2C432" w14:textId="348A1095" w:rsidR="004D3CF6" w:rsidRDefault="004D3CF6" w:rsidP="004D3CF6">
      <w:pPr>
        <w:pStyle w:val="ListParagraph"/>
        <w:numPr>
          <w:ilvl w:val="0"/>
          <w:numId w:val="86"/>
        </w:numPr>
        <w:spacing w:before="0" w:after="200"/>
      </w:pPr>
      <w:r>
        <w:t xml:space="preserve">opportunities for </w:t>
      </w:r>
      <w:r w:rsidR="0057535D">
        <w:t xml:space="preserve">customers </w:t>
      </w:r>
      <w:r>
        <w:t>to raise concerns, including that you have specifically advised them of the AER’s formal public consultation process,</w:t>
      </w:r>
      <w:r w:rsidR="00973471">
        <w:rPr>
          <w:rStyle w:val="FootnoteReference"/>
        </w:rPr>
        <w:footnoteReference w:id="27"/>
      </w:r>
      <w:r>
        <w:t xml:space="preserve"> and any attempts </w:t>
      </w:r>
      <w:r w:rsidR="0057535D">
        <w:t>you have made</w:t>
      </w:r>
      <w:r>
        <w:t xml:space="preserve"> to discuss and/or mitigate those concerns</w:t>
      </w:r>
    </w:p>
    <w:p w14:paraId="06EDB2F8" w14:textId="3DBCF008" w:rsidR="004D3CF6" w:rsidRDefault="004D3CF6" w:rsidP="004D3CF6">
      <w:pPr>
        <w:pStyle w:val="ListParagraph"/>
        <w:numPr>
          <w:ilvl w:val="0"/>
          <w:numId w:val="86"/>
        </w:numPr>
        <w:spacing w:before="0" w:after="200"/>
      </w:pPr>
      <w:r>
        <w:t xml:space="preserve">regard for the capacity of affected </w:t>
      </w:r>
      <w:r w:rsidR="00F72246">
        <w:t>consumers</w:t>
      </w:r>
      <w:r w:rsidR="008A6D03">
        <w:t xml:space="preserve"> </w:t>
      </w:r>
      <w:r>
        <w:t>to provide voluntary informed consent, for example, English literacy skills</w:t>
      </w:r>
      <w:r w:rsidR="00CF5E0B">
        <w:t xml:space="preserve"> or </w:t>
      </w:r>
      <w:r>
        <w:t>physical or intellectual disability may affect a person’s capacity to provide consent and</w:t>
      </w:r>
    </w:p>
    <w:p w14:paraId="67F790DC" w14:textId="77777777" w:rsidR="004D3CF6" w:rsidRDefault="004D3CF6" w:rsidP="004D3CF6">
      <w:pPr>
        <w:pStyle w:val="ListParagraph"/>
        <w:numPr>
          <w:ilvl w:val="0"/>
          <w:numId w:val="86"/>
        </w:numPr>
        <w:spacing w:before="0" w:after="200"/>
        <w:ind w:left="714" w:hanging="357"/>
        <w:contextualSpacing w:val="0"/>
      </w:pPr>
      <w:r>
        <w:t xml:space="preserve">a process that demonstrates collection of voluntary consent from </w:t>
      </w:r>
      <w:r w:rsidR="0057535D">
        <w:t>customers</w:t>
      </w:r>
      <w:r>
        <w:t xml:space="preserve">. </w:t>
      </w:r>
    </w:p>
    <w:p w14:paraId="73F65378" w14:textId="5B8005B2" w:rsidR="002C29CB" w:rsidRDefault="005557CC" w:rsidP="004D3CF6">
      <w:pPr>
        <w:pStyle w:val="ListParagraph"/>
        <w:spacing w:before="0" w:after="200"/>
        <w:ind w:left="0"/>
        <w:rPr>
          <w:rFonts w:cs="Arial"/>
          <w:color w:val="000000"/>
          <w:szCs w:val="20"/>
        </w:rPr>
      </w:pPr>
      <w:r w:rsidRPr="00B21F4C">
        <w:rPr>
          <w:rFonts w:cs="Arial"/>
          <w:color w:val="000000"/>
          <w:szCs w:val="20"/>
        </w:rPr>
        <w:t>Without such evidence, w</w:t>
      </w:r>
      <w:r w:rsidR="002C29CB" w:rsidRPr="00B21F4C">
        <w:rPr>
          <w:rFonts w:cs="Arial"/>
          <w:color w:val="000000"/>
          <w:szCs w:val="20"/>
        </w:rPr>
        <w:t xml:space="preserve">e cannot establish what steps an applicant has taken to inform customers </w:t>
      </w:r>
      <w:r w:rsidR="00EB33AF" w:rsidRPr="00B21F4C">
        <w:rPr>
          <w:rFonts w:cs="Arial"/>
          <w:color w:val="000000"/>
          <w:szCs w:val="20"/>
        </w:rPr>
        <w:t xml:space="preserve">(see </w:t>
      </w:r>
      <w:r w:rsidR="00EB33AF" w:rsidRPr="00B21F4C">
        <w:rPr>
          <w:rFonts w:cs="Arial"/>
          <w:b/>
          <w:color w:val="000000"/>
          <w:szCs w:val="20"/>
        </w:rPr>
        <w:t>Appendix B: Part 3</w:t>
      </w:r>
      <w:r w:rsidR="00EB33AF" w:rsidRPr="00B21F4C">
        <w:rPr>
          <w:rFonts w:cs="Arial"/>
          <w:color w:val="000000"/>
          <w:szCs w:val="20"/>
        </w:rPr>
        <w:t xml:space="preserve"> for specific information requirements)</w:t>
      </w:r>
      <w:r w:rsidRPr="00B21F4C">
        <w:rPr>
          <w:rFonts w:cs="Arial"/>
          <w:color w:val="000000"/>
          <w:szCs w:val="20"/>
        </w:rPr>
        <w:t>.</w:t>
      </w:r>
      <w:r w:rsidR="002C29CB" w:rsidRPr="00B21F4C">
        <w:rPr>
          <w:rFonts w:cs="Arial"/>
          <w:color w:val="000000"/>
          <w:szCs w:val="20"/>
        </w:rPr>
        <w:t xml:space="preserve"> Applications that do not provide th</w:t>
      </w:r>
      <w:r w:rsidR="00EB33AF" w:rsidRPr="00B21F4C">
        <w:rPr>
          <w:rFonts w:cs="Arial"/>
          <w:color w:val="000000"/>
          <w:szCs w:val="20"/>
        </w:rPr>
        <w:t xml:space="preserve">is </w:t>
      </w:r>
      <w:r w:rsidR="002C29CB" w:rsidRPr="00B21F4C">
        <w:rPr>
          <w:rFonts w:cs="Arial"/>
          <w:color w:val="000000"/>
          <w:szCs w:val="20"/>
        </w:rPr>
        <w:t>information may be refused.</w:t>
      </w:r>
    </w:p>
    <w:p w14:paraId="204E12F3" w14:textId="37D150CB" w:rsidR="00E43B93" w:rsidRDefault="00E43B93" w:rsidP="00D8688A">
      <w:pPr>
        <w:pStyle w:val="Heading2"/>
      </w:pPr>
      <w:bookmarkStart w:id="126" w:name="_Toc430776177"/>
      <w:bookmarkStart w:id="127" w:name="_Toc436316930"/>
      <w:bookmarkStart w:id="128" w:name="_Toc444774649"/>
      <w:bookmarkStart w:id="129" w:name="_Toc445751601"/>
      <w:bookmarkStart w:id="130" w:name="_Toc445793353"/>
      <w:bookmarkStart w:id="131" w:name="_Toc445886507"/>
      <w:bookmarkStart w:id="132" w:name="_Toc496612000"/>
      <w:bookmarkStart w:id="133" w:name="_Toc508963932"/>
      <w:r>
        <w:t>Making a decision</w:t>
      </w:r>
      <w:bookmarkEnd w:id="126"/>
      <w:bookmarkEnd w:id="127"/>
      <w:bookmarkEnd w:id="128"/>
      <w:bookmarkEnd w:id="129"/>
      <w:bookmarkEnd w:id="130"/>
      <w:bookmarkEnd w:id="131"/>
      <w:bookmarkEnd w:id="132"/>
      <w:bookmarkEnd w:id="133"/>
      <w:r>
        <w:t xml:space="preserve"> </w:t>
      </w:r>
    </w:p>
    <w:p w14:paraId="6E39CA98" w14:textId="6F9FBBDE" w:rsidR="00346199" w:rsidRDefault="00D8688A" w:rsidP="00346199">
      <w:r w:rsidRPr="00D8688A">
        <w:t>Unlike deemed and registrable exemptions, t</w:t>
      </w:r>
      <w:r w:rsidR="006A76EC" w:rsidRPr="00D8688A">
        <w:t xml:space="preserve">he AER </w:t>
      </w:r>
      <w:r w:rsidR="005F3B2D">
        <w:t>must</w:t>
      </w:r>
      <w:r w:rsidR="006A76EC" w:rsidRPr="00D8688A">
        <w:t xml:space="preserve"> </w:t>
      </w:r>
      <w:r w:rsidR="00384842">
        <w:t xml:space="preserve">decide whether to grant an </w:t>
      </w:r>
      <w:r w:rsidR="00FA4F18" w:rsidRPr="00D8688A">
        <w:t>individual exemption</w:t>
      </w:r>
      <w:r w:rsidR="006A76EC" w:rsidRPr="00D8688A">
        <w:t>.</w:t>
      </w:r>
      <w:r w:rsidR="005F3B2D">
        <w:t xml:space="preserve"> </w:t>
      </w:r>
      <w:r w:rsidR="00745AAE">
        <w:t>Once we have considered your application w</w:t>
      </w:r>
      <w:r w:rsidR="00346199">
        <w:t>e will advise you, in writing, of our decision.</w:t>
      </w:r>
      <w:r w:rsidR="008E75F6">
        <w:rPr>
          <w:rStyle w:val="FootnoteReference"/>
        </w:rPr>
        <w:footnoteReference w:id="28"/>
      </w:r>
      <w:r w:rsidR="00346199">
        <w:t xml:space="preserve">  If your application is approved, we will also advise you of any conditions that may be attached to the exemption.</w:t>
      </w:r>
      <w:r w:rsidR="008E75F6">
        <w:rPr>
          <w:rStyle w:val="FootnoteReference"/>
        </w:rPr>
        <w:footnoteReference w:id="29"/>
      </w:r>
      <w:r w:rsidR="00346199">
        <w:t xml:space="preserve">  You will need to accept those conditions</w:t>
      </w:r>
      <w:r w:rsidR="00056C0B">
        <w:t>,</w:t>
      </w:r>
      <w:r w:rsidR="00346199">
        <w:t xml:space="preserve"> </w:t>
      </w:r>
      <w:r w:rsidR="00336EE7">
        <w:t>in writing</w:t>
      </w:r>
      <w:r w:rsidR="00056C0B">
        <w:t>,</w:t>
      </w:r>
      <w:r w:rsidR="00336EE7">
        <w:t xml:space="preserve"> </w:t>
      </w:r>
      <w:r w:rsidR="00346199">
        <w:t>before your exemption takes effect</w:t>
      </w:r>
      <w:r w:rsidR="00336EE7">
        <w:t xml:space="preserve">. If </w:t>
      </w:r>
      <w:r w:rsidR="009D0685">
        <w:t>you do</w:t>
      </w:r>
      <w:r w:rsidR="002E75BE">
        <w:t xml:space="preserve"> not accept the conditions </w:t>
      </w:r>
      <w:r w:rsidR="00336EE7">
        <w:t>with</w:t>
      </w:r>
      <w:r w:rsidR="002E75BE">
        <w:t xml:space="preserve">in the specified time </w:t>
      </w:r>
      <w:r w:rsidR="00336EE7">
        <w:t xml:space="preserve">period, </w:t>
      </w:r>
      <w:r w:rsidR="002E75BE">
        <w:t>your exemption will be taken to be refused.</w:t>
      </w:r>
    </w:p>
    <w:p w14:paraId="3A1E0CA6" w14:textId="77777777" w:rsidR="00371EE3" w:rsidRPr="00371EE3" w:rsidRDefault="00371EE3" w:rsidP="00371EE3">
      <w:pPr>
        <w:pStyle w:val="Heading3"/>
      </w:pPr>
      <w:bookmarkStart w:id="134" w:name="_Toc430592395"/>
      <w:bookmarkStart w:id="135" w:name="_Toc430776178"/>
      <w:bookmarkStart w:id="136" w:name="_Toc436316931"/>
      <w:bookmarkStart w:id="137" w:name="_Toc444774650"/>
      <w:bookmarkStart w:id="138" w:name="_Toc445751602"/>
      <w:bookmarkStart w:id="139" w:name="_Toc445793354"/>
      <w:bookmarkStart w:id="140" w:name="_Toc445886508"/>
      <w:bookmarkStart w:id="141" w:name="_Toc496612001"/>
      <w:bookmarkStart w:id="142" w:name="_Toc508963933"/>
      <w:r w:rsidRPr="00371EE3">
        <w:t>Coverage or scope</w:t>
      </w:r>
      <w:r>
        <w:t xml:space="preserve"> of exemption</w:t>
      </w:r>
      <w:bookmarkEnd w:id="134"/>
      <w:bookmarkEnd w:id="135"/>
      <w:bookmarkEnd w:id="136"/>
      <w:bookmarkEnd w:id="137"/>
      <w:bookmarkEnd w:id="138"/>
      <w:bookmarkEnd w:id="139"/>
      <w:bookmarkEnd w:id="140"/>
      <w:bookmarkEnd w:id="141"/>
      <w:bookmarkEnd w:id="142"/>
    </w:p>
    <w:p w14:paraId="2DD817A5" w14:textId="77777777" w:rsidR="00371EE3" w:rsidRPr="00371EE3" w:rsidRDefault="00371EE3" w:rsidP="00371EE3">
      <w:r w:rsidRPr="00371EE3">
        <w:t xml:space="preserve">Most individual exemptions will be issued for a particular site or area, and will limit the sale of energy to a certain class or classes of customers. We will only grant an individual exemption that covers multiple sites where </w:t>
      </w:r>
      <w:r w:rsidR="002E5CA8">
        <w:t>it</w:t>
      </w:r>
      <w:r w:rsidRPr="00371EE3">
        <w:t xml:space="preserve"> is consistent with the Retail Law objective. </w:t>
      </w:r>
    </w:p>
    <w:p w14:paraId="560FD887" w14:textId="7F26415C" w:rsidR="00371EE3" w:rsidRPr="00371EE3" w:rsidRDefault="00371EE3" w:rsidP="00371EE3">
      <w:r w:rsidRPr="00371EE3">
        <w:t xml:space="preserve">The Retail Law does not place a limit on the duration of an exemption. However, we may impose a time limit on an individual exemption if we consider it appropriate. This will be determined on a </w:t>
      </w:r>
      <w:r w:rsidR="00056C0B" w:rsidRPr="00371EE3">
        <w:t>case-by-case</w:t>
      </w:r>
      <w:r w:rsidRPr="00371EE3">
        <w:t xml:space="preserve"> basis. </w:t>
      </w:r>
    </w:p>
    <w:p w14:paraId="38F286BD" w14:textId="7761DC5D" w:rsidR="00371EE3" w:rsidRDefault="00371EE3" w:rsidP="00371EE3">
      <w:r w:rsidRPr="00371EE3">
        <w:t xml:space="preserve">If </w:t>
      </w:r>
      <w:r w:rsidR="002E5CA8">
        <w:t>we do not impose a time limit,</w:t>
      </w:r>
      <w:r w:rsidRPr="00371EE3">
        <w:t xml:space="preserve"> </w:t>
      </w:r>
      <w:r w:rsidR="00056C0B">
        <w:t>the exemption</w:t>
      </w:r>
      <w:r w:rsidRPr="00371EE3">
        <w:t xml:space="preserve"> will continue </w:t>
      </w:r>
      <w:r w:rsidR="002E5CA8" w:rsidRPr="00371EE3">
        <w:t>un</w:t>
      </w:r>
      <w:r w:rsidR="002E5CA8">
        <w:t>til</w:t>
      </w:r>
      <w:r w:rsidR="002E5CA8" w:rsidRPr="00371EE3">
        <w:t xml:space="preserve"> </w:t>
      </w:r>
      <w:r w:rsidRPr="00371EE3">
        <w:t xml:space="preserve">it is </w:t>
      </w:r>
      <w:r w:rsidR="00CF1526">
        <w:t>cancelled</w:t>
      </w:r>
      <w:r w:rsidR="002E5CA8">
        <w:t xml:space="preserve"> or revoked</w:t>
      </w:r>
      <w:r w:rsidRPr="00371EE3">
        <w:t>.</w:t>
      </w:r>
      <w:r>
        <w:t xml:space="preserve"> </w:t>
      </w:r>
    </w:p>
    <w:p w14:paraId="4B27D661" w14:textId="77777777" w:rsidR="00371EE3" w:rsidRPr="00371EE3" w:rsidRDefault="00371EE3" w:rsidP="00371EE3">
      <w:pPr>
        <w:pStyle w:val="Heading3"/>
      </w:pPr>
      <w:bookmarkStart w:id="143" w:name="_Toc430592396"/>
      <w:bookmarkStart w:id="144" w:name="_Toc430776179"/>
      <w:bookmarkStart w:id="145" w:name="_Toc436316932"/>
      <w:bookmarkStart w:id="146" w:name="_Toc444774651"/>
      <w:bookmarkStart w:id="147" w:name="_Toc445751603"/>
      <w:bookmarkStart w:id="148" w:name="_Toc445793355"/>
      <w:bookmarkStart w:id="149" w:name="_Toc445886509"/>
      <w:bookmarkStart w:id="150" w:name="_Toc496612002"/>
      <w:bookmarkStart w:id="151" w:name="_Toc508963934"/>
      <w:r w:rsidRPr="00371EE3">
        <w:t>Change of circumstances</w:t>
      </w:r>
      <w:bookmarkEnd w:id="143"/>
      <w:bookmarkEnd w:id="144"/>
      <w:bookmarkEnd w:id="145"/>
      <w:bookmarkEnd w:id="146"/>
      <w:bookmarkEnd w:id="147"/>
      <w:bookmarkEnd w:id="148"/>
      <w:bookmarkEnd w:id="149"/>
      <w:bookmarkEnd w:id="150"/>
      <w:bookmarkEnd w:id="151"/>
    </w:p>
    <w:p w14:paraId="52581949" w14:textId="77777777" w:rsidR="00DE060C" w:rsidRDefault="00371EE3" w:rsidP="00371EE3">
      <w:r>
        <w:t xml:space="preserve">Your exemption will specify the form of energy you may sell and the scope of your sales: it cannot be varied to sell another or </w:t>
      </w:r>
      <w:r w:rsidR="00335907">
        <w:t xml:space="preserve">an </w:t>
      </w:r>
      <w:r>
        <w:t>additional form of energy, or to additional sites.</w:t>
      </w:r>
      <w:r>
        <w:rPr>
          <w:rStyle w:val="FootnoteReference"/>
        </w:rPr>
        <w:footnoteReference w:id="30"/>
      </w:r>
      <w:r>
        <w:t xml:space="preserve"> You will need to apply for an exemption variation or possibly a new or separate individual exemption to do this. </w:t>
      </w:r>
      <w:r w:rsidR="007D306A">
        <w:t xml:space="preserve">You should also contact us </w:t>
      </w:r>
      <w:r>
        <w:t>if your details change in any other way</w:t>
      </w:r>
      <w:r w:rsidR="007D306A">
        <w:t>.</w:t>
      </w:r>
      <w:r w:rsidR="00711FAC">
        <w:t xml:space="preserve"> </w:t>
      </w:r>
      <w:r w:rsidR="00E91559">
        <w:t xml:space="preserve">Simple changes, like a change in contact details, generally only mean updating </w:t>
      </w:r>
      <w:r w:rsidR="009A73F8">
        <w:t>the public</w:t>
      </w:r>
      <w:r w:rsidR="007D306A">
        <w:t xml:space="preserve"> register</w:t>
      </w:r>
      <w:r w:rsidR="00E91559">
        <w:t xml:space="preserve">. </w:t>
      </w:r>
      <w:r w:rsidR="009A73F8">
        <w:t>However in some cases</w:t>
      </w:r>
      <w:r w:rsidR="00E91559">
        <w:t xml:space="preserve">, for example </w:t>
      </w:r>
      <w:r w:rsidR="007D306A">
        <w:t>i</w:t>
      </w:r>
      <w:r w:rsidR="00335907">
        <w:t xml:space="preserve">f </w:t>
      </w:r>
      <w:r w:rsidR="00DB6A2C">
        <w:t xml:space="preserve">the </w:t>
      </w:r>
      <w:r w:rsidR="00335907">
        <w:t>entity selling the energy</w:t>
      </w:r>
      <w:r w:rsidR="009A73F8">
        <w:t xml:space="preserve"> changes, that is the ACN or ABN </w:t>
      </w:r>
      <w:r w:rsidR="00335907">
        <w:t>changes</w:t>
      </w:r>
      <w:r w:rsidR="009A73F8">
        <w:t>, you</w:t>
      </w:r>
      <w:r w:rsidR="00E91559">
        <w:t xml:space="preserve"> </w:t>
      </w:r>
      <w:r w:rsidR="007D306A">
        <w:t xml:space="preserve">will </w:t>
      </w:r>
      <w:r w:rsidR="00335907">
        <w:t xml:space="preserve">need to </w:t>
      </w:r>
      <w:r w:rsidR="007D306A">
        <w:t xml:space="preserve">register or </w:t>
      </w:r>
      <w:r w:rsidR="00335907">
        <w:t xml:space="preserve">apply for </w:t>
      </w:r>
      <w:r w:rsidR="007D306A">
        <w:t>a new</w:t>
      </w:r>
      <w:r w:rsidR="00DB6A2C">
        <w:t xml:space="preserve"> </w:t>
      </w:r>
      <w:r w:rsidR="00335907">
        <w:t>exemption.</w:t>
      </w:r>
    </w:p>
    <w:p w14:paraId="18CEDB64" w14:textId="77777777" w:rsidR="00346199" w:rsidRDefault="00346199" w:rsidP="000D344D">
      <w:pPr>
        <w:pStyle w:val="Heading2"/>
      </w:pPr>
      <w:bookmarkStart w:id="152" w:name="_Toc430776180"/>
      <w:bookmarkStart w:id="153" w:name="_Toc436316933"/>
      <w:bookmarkStart w:id="154" w:name="_Toc444774652"/>
      <w:bookmarkStart w:id="155" w:name="_Toc445751604"/>
      <w:bookmarkStart w:id="156" w:name="_Toc445793356"/>
      <w:bookmarkStart w:id="157" w:name="_Toc445886510"/>
      <w:bookmarkStart w:id="158" w:name="_Toc496612003"/>
      <w:bookmarkStart w:id="159" w:name="_Toc508963935"/>
      <w:r>
        <w:t>Grounds for refusal</w:t>
      </w:r>
      <w:bookmarkEnd w:id="152"/>
      <w:bookmarkEnd w:id="153"/>
      <w:bookmarkEnd w:id="154"/>
      <w:bookmarkEnd w:id="155"/>
      <w:bookmarkEnd w:id="156"/>
      <w:bookmarkEnd w:id="157"/>
      <w:bookmarkEnd w:id="158"/>
      <w:bookmarkEnd w:id="159"/>
      <w:r>
        <w:t xml:space="preserve"> </w:t>
      </w:r>
    </w:p>
    <w:p w14:paraId="52C344F2" w14:textId="77777777" w:rsidR="00346199" w:rsidRDefault="00346199" w:rsidP="00346199">
      <w:r>
        <w:t xml:space="preserve">We may refuse an application for an individual exemption if, for example: </w:t>
      </w:r>
    </w:p>
    <w:p w14:paraId="2838EBE8" w14:textId="77777777" w:rsidR="00346199" w:rsidRDefault="00346199" w:rsidP="00A97E11">
      <w:pPr>
        <w:pStyle w:val="ListParagraph"/>
        <w:numPr>
          <w:ilvl w:val="0"/>
          <w:numId w:val="12"/>
        </w:numPr>
      </w:pPr>
      <w:r>
        <w:t xml:space="preserve">we </w:t>
      </w:r>
      <w:r w:rsidR="002E5CA8">
        <w:t xml:space="preserve">do not </w:t>
      </w:r>
      <w:r w:rsidR="00ED6665">
        <w:t xml:space="preserve">consider </w:t>
      </w:r>
      <w:r w:rsidR="002E5CA8">
        <w:t>it</w:t>
      </w:r>
      <w:r>
        <w:t xml:space="preserve"> </w:t>
      </w:r>
      <w:r w:rsidR="00103A40">
        <w:t xml:space="preserve">will </w:t>
      </w:r>
      <w:r>
        <w:t>contribute to the achievement of the na</w:t>
      </w:r>
      <w:r w:rsidR="008E75F6">
        <w:t>tional energy retail objective</w:t>
      </w:r>
      <w:r w:rsidR="00284A98">
        <w:rPr>
          <w:rStyle w:val="FootnoteReference"/>
        </w:rPr>
        <w:footnoteReference w:id="31"/>
      </w:r>
      <w:r>
        <w:t xml:space="preserve"> </w:t>
      </w:r>
    </w:p>
    <w:p w14:paraId="2ABEDDA7" w14:textId="17E88FE7" w:rsidR="00346199" w:rsidRDefault="00346199" w:rsidP="00A97E11">
      <w:pPr>
        <w:pStyle w:val="ListParagraph"/>
        <w:numPr>
          <w:ilvl w:val="0"/>
          <w:numId w:val="12"/>
        </w:numPr>
      </w:pPr>
      <w:r>
        <w:t xml:space="preserve">we </w:t>
      </w:r>
      <w:r w:rsidR="002E5CA8">
        <w:t xml:space="preserve">do not </w:t>
      </w:r>
      <w:r w:rsidR="00ED6665">
        <w:t>consider</w:t>
      </w:r>
      <w:r>
        <w:t xml:space="preserve"> </w:t>
      </w:r>
      <w:r w:rsidR="002E5CA8">
        <w:t>it</w:t>
      </w:r>
      <w:r>
        <w:t xml:space="preserve"> </w:t>
      </w:r>
      <w:r w:rsidR="001A6495">
        <w:t>is in line with</w:t>
      </w:r>
      <w:r>
        <w:t xml:space="preserve"> the policy principles or i</w:t>
      </w:r>
      <w:r w:rsidR="00F620BC">
        <w:t>s</w:t>
      </w:r>
      <w:r>
        <w:t xml:space="preserve"> consistent with the exempt seller related factors or the customer related factors</w:t>
      </w:r>
    </w:p>
    <w:p w14:paraId="774A163F" w14:textId="3BAC17F2" w:rsidR="001A6495" w:rsidRPr="00616AF3" w:rsidRDefault="001A6495" w:rsidP="00A97E11">
      <w:pPr>
        <w:pStyle w:val="ListParagraph"/>
        <w:numPr>
          <w:ilvl w:val="0"/>
          <w:numId w:val="12"/>
        </w:numPr>
      </w:pPr>
      <w:r w:rsidRPr="00616AF3">
        <w:t xml:space="preserve">you have not </w:t>
      </w:r>
      <w:r w:rsidR="008307A2" w:rsidRPr="00616AF3">
        <w:t xml:space="preserve">adequately </w:t>
      </w:r>
      <w:r w:rsidRPr="00616AF3">
        <w:t>demonstrated why you should be granted an individual exemption</w:t>
      </w:r>
      <w:r w:rsidR="000D161C" w:rsidRPr="00616AF3">
        <w:t xml:space="preserve"> or have not provided evidence </w:t>
      </w:r>
      <w:r w:rsidR="00EB33AF" w:rsidRPr="00616AF3">
        <w:t xml:space="preserve">necessary to support your application and / or claims </w:t>
      </w:r>
    </w:p>
    <w:p w14:paraId="70447322" w14:textId="77777777" w:rsidR="00346199" w:rsidRDefault="00346199" w:rsidP="00A97E11">
      <w:pPr>
        <w:pStyle w:val="ListParagraph"/>
        <w:numPr>
          <w:ilvl w:val="0"/>
          <w:numId w:val="12"/>
        </w:numPr>
      </w:pPr>
      <w:r>
        <w:t xml:space="preserve">we </w:t>
      </w:r>
      <w:r w:rsidR="00ED6665">
        <w:t>consider</w:t>
      </w:r>
      <w:r w:rsidR="00ED6665" w:rsidDel="00ED6665">
        <w:t xml:space="preserve"> </w:t>
      </w:r>
      <w:r>
        <w:t xml:space="preserve">you should apply for a retailer authorisation, given the scale and scope of your energy sales </w:t>
      </w:r>
    </w:p>
    <w:p w14:paraId="0D01D01F" w14:textId="77777777" w:rsidR="00D94D1A" w:rsidRDefault="00346199" w:rsidP="00961CD7">
      <w:pPr>
        <w:pStyle w:val="ListParagraph"/>
        <w:numPr>
          <w:ilvl w:val="0"/>
          <w:numId w:val="12"/>
        </w:numPr>
      </w:pPr>
      <w:r>
        <w:t>you have provided us with f</w:t>
      </w:r>
      <w:r w:rsidR="0085327B">
        <w:t>alse or misleading information.</w:t>
      </w:r>
    </w:p>
    <w:p w14:paraId="1999F6FA" w14:textId="77777777" w:rsidR="00346199" w:rsidRPr="00DE55B3" w:rsidRDefault="00346199" w:rsidP="004174B9">
      <w:pPr>
        <w:pStyle w:val="Heading1"/>
      </w:pPr>
      <w:bookmarkStart w:id="160" w:name="_Toc445886511"/>
      <w:bookmarkStart w:id="161" w:name="_Toc508963936"/>
      <w:r w:rsidRPr="00DE55B3">
        <w:t>Exemption conditions and compliance</w:t>
      </w:r>
      <w:bookmarkEnd w:id="160"/>
      <w:bookmarkEnd w:id="161"/>
      <w:r w:rsidR="002E5CA8">
        <w:t xml:space="preserve"> </w:t>
      </w:r>
    </w:p>
    <w:p w14:paraId="42A493C3" w14:textId="77777777" w:rsidR="00346199" w:rsidRDefault="00346199" w:rsidP="004174B9">
      <w:pPr>
        <w:pStyle w:val="Heading2"/>
      </w:pPr>
      <w:bookmarkStart w:id="162" w:name="_Toc430776182"/>
      <w:bookmarkStart w:id="163" w:name="_Toc436316935"/>
      <w:bookmarkStart w:id="164" w:name="_Toc444774654"/>
      <w:bookmarkStart w:id="165" w:name="_Toc445751606"/>
      <w:bookmarkStart w:id="166" w:name="_Toc445793358"/>
      <w:bookmarkStart w:id="167" w:name="_Toc445886512"/>
      <w:bookmarkStart w:id="168" w:name="_Toc496612005"/>
      <w:bookmarkStart w:id="169" w:name="_Toc508963937"/>
      <w:r w:rsidRPr="00DE55B3">
        <w:t>Exemption conditions</w:t>
      </w:r>
      <w:bookmarkEnd w:id="162"/>
      <w:bookmarkEnd w:id="163"/>
      <w:bookmarkEnd w:id="164"/>
      <w:bookmarkEnd w:id="165"/>
      <w:bookmarkEnd w:id="166"/>
      <w:bookmarkEnd w:id="167"/>
      <w:bookmarkEnd w:id="168"/>
      <w:bookmarkEnd w:id="169"/>
    </w:p>
    <w:p w14:paraId="3EC5697F" w14:textId="0EF52EED" w:rsidR="008E26F8" w:rsidRDefault="00346199" w:rsidP="008E26F8">
      <w:r>
        <w:t>Most exemptions—</w:t>
      </w:r>
      <w:r w:rsidR="002E5CA8">
        <w:t xml:space="preserve">registrable, deemed </w:t>
      </w:r>
      <w:r w:rsidR="00C04438">
        <w:t>and</w:t>
      </w:r>
      <w:r>
        <w:t xml:space="preserve"> individual—have conditions you must meet</w:t>
      </w:r>
      <w:r w:rsidR="004958DA">
        <w:t xml:space="preserve">. </w:t>
      </w:r>
      <w:r>
        <w:t xml:space="preserve"> </w:t>
      </w:r>
      <w:r w:rsidR="008E26F8">
        <w:t xml:space="preserve">Conditions are designed to protect customers without </w:t>
      </w:r>
      <w:r w:rsidR="002E5CA8">
        <w:t xml:space="preserve">being </w:t>
      </w:r>
      <w:r w:rsidR="00090946">
        <w:t xml:space="preserve">an </w:t>
      </w:r>
      <w:r w:rsidR="002E5CA8">
        <w:t>unreasonabl</w:t>
      </w:r>
      <w:r w:rsidR="00090946">
        <w:t>e burden</w:t>
      </w:r>
      <w:r w:rsidR="002E5CA8">
        <w:t xml:space="preserve"> </w:t>
      </w:r>
      <w:r w:rsidR="00090946">
        <w:t>on</w:t>
      </w:r>
      <w:r w:rsidR="008E26F8">
        <w:t xml:space="preserve"> exempt sellers, and the general conditions are modelled on the protections that authorised retailers must provide their customers. </w:t>
      </w:r>
    </w:p>
    <w:p w14:paraId="366CF5D1" w14:textId="5354B938" w:rsidR="00FA4F18" w:rsidRDefault="00F3470B" w:rsidP="008E26F8">
      <w:r>
        <w:t xml:space="preserve">The </w:t>
      </w:r>
      <w:r w:rsidRPr="008E26F8">
        <w:t>c</w:t>
      </w:r>
      <w:r w:rsidR="00FA4F18" w:rsidRPr="008E26F8">
        <w:t xml:space="preserve">onditions </w:t>
      </w:r>
      <w:r w:rsidR="00FA4F18">
        <w:t>vary according to the nature of the energy sale (including scale and scope) and the seller-customer relationship. For example, we would likely apply minimal conditions where the energy sale is to commercial or large customers</w:t>
      </w:r>
      <w:r w:rsidR="00CF1526">
        <w:t xml:space="preserve"> as large </w:t>
      </w:r>
      <w:r w:rsidR="00FA4F18">
        <w:t xml:space="preserve">customers </w:t>
      </w:r>
      <w:r w:rsidR="009068FB">
        <w:t xml:space="preserve">are unlikely to </w:t>
      </w:r>
      <w:r w:rsidR="00FA4F18">
        <w:t xml:space="preserve">need a high level of </w:t>
      </w:r>
      <w:r w:rsidR="00E43C60">
        <w:t xml:space="preserve">consumer </w:t>
      </w:r>
      <w:r w:rsidR="00FA4F18">
        <w:t xml:space="preserve">protection. However, we would likely apply conditions that are similar to the obligations placed on an authorised retailer for sellers who sell to residential customers.  </w:t>
      </w:r>
    </w:p>
    <w:p w14:paraId="0D1F341C" w14:textId="77777777" w:rsidR="00FA4F18" w:rsidRDefault="00FA4F18" w:rsidP="00346199">
      <w:r>
        <w:t xml:space="preserve">A full list of core conditions </w:t>
      </w:r>
      <w:r w:rsidR="007D0F09">
        <w:t>is</w:t>
      </w:r>
      <w:r>
        <w:t xml:space="preserve"> at </w:t>
      </w:r>
      <w:r w:rsidRPr="007109FE">
        <w:rPr>
          <w:b/>
        </w:rPr>
        <w:t>Appendix A-2</w:t>
      </w:r>
      <w:r>
        <w:t xml:space="preserve">. </w:t>
      </w:r>
      <w:r w:rsidRPr="007109FE">
        <w:rPr>
          <w:b/>
        </w:rPr>
        <w:t>Appendix A-3</w:t>
      </w:r>
      <w:r>
        <w:t xml:space="preserve"> shows which conditions apply to each exemption class.  </w:t>
      </w:r>
    </w:p>
    <w:p w14:paraId="011EE035" w14:textId="3CD4C2BC" w:rsidR="00346199" w:rsidRDefault="00346199" w:rsidP="00346199">
      <w:r>
        <w:t xml:space="preserve">If you cannot meet all the conditions attached to your </w:t>
      </w:r>
      <w:r w:rsidR="00056C0B">
        <w:t>exemption,</w:t>
      </w:r>
      <w:r>
        <w:t xml:space="preserve"> you should contact us immediately. </w:t>
      </w:r>
    </w:p>
    <w:p w14:paraId="188BF00D" w14:textId="77777777" w:rsidR="00346199" w:rsidRDefault="00A4016A" w:rsidP="00924E76">
      <w:pPr>
        <w:pStyle w:val="Heading2"/>
      </w:pPr>
      <w:bookmarkStart w:id="170" w:name="_Toc430776183"/>
      <w:bookmarkStart w:id="171" w:name="_Toc436316936"/>
      <w:bookmarkStart w:id="172" w:name="_Toc444774655"/>
      <w:bookmarkStart w:id="173" w:name="_Toc445751607"/>
      <w:bookmarkStart w:id="174" w:name="_Toc445793359"/>
      <w:bookmarkStart w:id="175" w:name="_Toc445886513"/>
      <w:bookmarkStart w:id="176" w:name="_Toc496612006"/>
      <w:bookmarkStart w:id="177" w:name="_Toc508963938"/>
      <w:r>
        <w:t>Breaches of conditions</w:t>
      </w:r>
      <w:bookmarkEnd w:id="170"/>
      <w:bookmarkEnd w:id="171"/>
      <w:bookmarkEnd w:id="172"/>
      <w:bookmarkEnd w:id="173"/>
      <w:bookmarkEnd w:id="174"/>
      <w:bookmarkEnd w:id="175"/>
      <w:bookmarkEnd w:id="176"/>
      <w:bookmarkEnd w:id="177"/>
      <w:r>
        <w:t xml:space="preserve"> </w:t>
      </w:r>
    </w:p>
    <w:p w14:paraId="4B84EF4D" w14:textId="7452835D" w:rsidR="007D0F09" w:rsidRDefault="00980257" w:rsidP="008E26F8">
      <w:pPr>
        <w:autoSpaceDE w:val="0"/>
        <w:autoSpaceDN w:val="0"/>
        <w:adjustRightInd w:val="0"/>
        <w:rPr>
          <w:rFonts w:eastAsia="Arial" w:cs="Times New Roman"/>
        </w:rPr>
      </w:pPr>
      <w:r w:rsidRPr="000C2F28">
        <w:rPr>
          <w:rFonts w:cs="Arial"/>
        </w:rPr>
        <w:t xml:space="preserve">A breach of an exemption condition is a breach of the Retail </w:t>
      </w:r>
      <w:r w:rsidR="00984D2D">
        <w:rPr>
          <w:rFonts w:cs="Arial"/>
        </w:rPr>
        <w:t>Rules</w:t>
      </w:r>
      <w:r w:rsidR="006B4688" w:rsidRPr="000C2F28">
        <w:rPr>
          <w:rFonts w:cs="Arial"/>
        </w:rPr>
        <w:t xml:space="preserve"> </w:t>
      </w:r>
      <w:r w:rsidR="006B4688">
        <w:rPr>
          <w:rFonts w:cs="Arial"/>
        </w:rPr>
        <w:t>and</w:t>
      </w:r>
      <w:r w:rsidR="00E43C60">
        <w:rPr>
          <w:rFonts w:cs="Arial"/>
        </w:rPr>
        <w:t xml:space="preserve"> </w:t>
      </w:r>
      <w:r w:rsidRPr="000C2F28">
        <w:rPr>
          <w:rFonts w:cs="Arial"/>
        </w:rPr>
        <w:t>a civil penalty provision</w:t>
      </w:r>
      <w:r w:rsidR="003506BB" w:rsidRPr="000C2F28">
        <w:rPr>
          <w:rFonts w:cs="Arial"/>
        </w:rPr>
        <w:t>.</w:t>
      </w:r>
      <w:r w:rsidRPr="000C2F28">
        <w:rPr>
          <w:rStyle w:val="FootnoteReference"/>
          <w:rFonts w:cs="Arial"/>
          <w:color w:val="auto"/>
        </w:rPr>
        <w:footnoteReference w:id="32"/>
      </w:r>
      <w:r w:rsidRPr="000C2F28">
        <w:rPr>
          <w:rFonts w:cs="Arial"/>
        </w:rPr>
        <w:t xml:space="preserve"> </w:t>
      </w:r>
      <w:r w:rsidR="006B4688" w:rsidRPr="00C373FD">
        <w:rPr>
          <w:rFonts w:eastAsia="Arial" w:cs="Times New Roman"/>
        </w:rPr>
        <w:t xml:space="preserve">Possible enforcement responses to breaches of the Retail Law or Rules </w:t>
      </w:r>
      <w:r w:rsidR="003638D7">
        <w:rPr>
          <w:rFonts w:eastAsia="Arial" w:cs="Times New Roman"/>
        </w:rPr>
        <w:t>may</w:t>
      </w:r>
      <w:r w:rsidR="007D0F09">
        <w:rPr>
          <w:rFonts w:eastAsia="Arial" w:cs="Times New Roman"/>
        </w:rPr>
        <w:t xml:space="preserve"> involve:</w:t>
      </w:r>
      <w:r w:rsidR="006B4688" w:rsidRPr="00C373FD">
        <w:rPr>
          <w:rFonts w:eastAsia="Arial" w:cs="Times New Roman"/>
        </w:rPr>
        <w:t xml:space="preserve"> </w:t>
      </w:r>
    </w:p>
    <w:p w14:paraId="45DD3460" w14:textId="1C8687D0" w:rsidR="007D0F09" w:rsidRPr="007109FE" w:rsidRDefault="007D0F09" w:rsidP="007109FE">
      <w:pPr>
        <w:pStyle w:val="ListParagraph"/>
        <w:numPr>
          <w:ilvl w:val="0"/>
          <w:numId w:val="95"/>
        </w:numPr>
        <w:autoSpaceDE w:val="0"/>
        <w:autoSpaceDN w:val="0"/>
        <w:adjustRightInd w:val="0"/>
        <w:rPr>
          <w:rFonts w:eastAsia="Arial" w:cs="Times New Roman"/>
        </w:rPr>
      </w:pPr>
      <w:r>
        <w:rPr>
          <w:rFonts w:eastAsia="Arial" w:cs="Times New Roman"/>
        </w:rPr>
        <w:t>an</w:t>
      </w:r>
      <w:r w:rsidRPr="007109FE">
        <w:rPr>
          <w:rFonts w:eastAsia="Arial" w:cs="Times New Roman"/>
        </w:rPr>
        <w:t xml:space="preserve"> </w:t>
      </w:r>
      <w:r w:rsidR="006B4688" w:rsidRPr="007109FE">
        <w:rPr>
          <w:rFonts w:eastAsia="Arial" w:cs="Times New Roman"/>
        </w:rPr>
        <w:t>administrative</w:t>
      </w:r>
      <w:r>
        <w:rPr>
          <w:rFonts w:eastAsia="Arial" w:cs="Times New Roman"/>
        </w:rPr>
        <w:t xml:space="preserve"> resolution</w:t>
      </w:r>
      <w:r w:rsidR="006B4688" w:rsidRPr="007109FE">
        <w:rPr>
          <w:rFonts w:eastAsia="Arial" w:cs="Times New Roman"/>
        </w:rPr>
        <w:t xml:space="preserve"> (an agreement between the parties </w:t>
      </w:r>
      <w:r w:rsidR="000535F1">
        <w:rPr>
          <w:rFonts w:eastAsia="Arial" w:cs="Times New Roman"/>
        </w:rPr>
        <w:t xml:space="preserve">which </w:t>
      </w:r>
      <w:r w:rsidR="006B4688" w:rsidRPr="007109FE">
        <w:rPr>
          <w:rFonts w:eastAsia="Arial" w:cs="Times New Roman"/>
        </w:rPr>
        <w:t>does not rely on any particular provision of the Retail Law or Rules</w:t>
      </w:r>
      <w:r>
        <w:rPr>
          <w:rFonts w:eastAsia="Arial" w:cs="Times New Roman"/>
        </w:rPr>
        <w:t>. For example</w:t>
      </w:r>
      <w:r w:rsidR="006B4688" w:rsidRPr="007109FE">
        <w:rPr>
          <w:rFonts w:eastAsia="Arial" w:cs="Times New Roman"/>
        </w:rPr>
        <w:t xml:space="preserve"> voluntary undertakings, revisions to internal processes or improved compliance training)</w:t>
      </w:r>
      <w:r>
        <w:rPr>
          <w:rFonts w:eastAsia="Arial" w:cs="Times New Roman"/>
        </w:rPr>
        <w:t>;</w:t>
      </w:r>
      <w:r w:rsidR="006B4688" w:rsidRPr="007109FE">
        <w:rPr>
          <w:rFonts w:eastAsia="Arial" w:cs="Times New Roman"/>
        </w:rPr>
        <w:t xml:space="preserve"> or </w:t>
      </w:r>
    </w:p>
    <w:p w14:paraId="522F2F79" w14:textId="7015084F" w:rsidR="007D0F09" w:rsidRPr="007109FE" w:rsidRDefault="006B4688" w:rsidP="007109FE">
      <w:pPr>
        <w:pStyle w:val="ListParagraph"/>
        <w:numPr>
          <w:ilvl w:val="0"/>
          <w:numId w:val="95"/>
        </w:numPr>
        <w:autoSpaceDE w:val="0"/>
        <w:autoSpaceDN w:val="0"/>
        <w:adjustRightInd w:val="0"/>
      </w:pPr>
      <w:r w:rsidRPr="007109FE">
        <w:rPr>
          <w:rFonts w:eastAsia="Arial" w:cs="Times New Roman"/>
        </w:rPr>
        <w:t>a statutory enforcement action</w:t>
      </w:r>
      <w:r w:rsidR="007D0F09">
        <w:rPr>
          <w:rFonts w:eastAsia="Arial" w:cs="Times New Roman"/>
        </w:rPr>
        <w:t xml:space="preserve"> (</w:t>
      </w:r>
      <w:r w:rsidRPr="007109FE">
        <w:rPr>
          <w:rFonts w:eastAsia="Arial" w:cs="Times New Roman"/>
        </w:rPr>
        <w:t>can include issuing infringement notices of $4,000 for a natural person or $20,000 for a body corporate,</w:t>
      </w:r>
      <w:r w:rsidR="00E735A2">
        <w:rPr>
          <w:rStyle w:val="FootnoteReference"/>
          <w:rFonts w:eastAsia="Arial" w:cs="Times New Roman"/>
        </w:rPr>
        <w:footnoteReference w:id="33"/>
      </w:r>
      <w:r w:rsidRPr="007109FE">
        <w:rPr>
          <w:rFonts w:eastAsia="Arial" w:cs="Times New Roman"/>
        </w:rPr>
        <w:t xml:space="preserve"> enforceable undertakings and court proceedings</w:t>
      </w:r>
      <w:r w:rsidR="00294F7D">
        <w:rPr>
          <w:rFonts w:eastAsia="Arial" w:cs="Times New Roman"/>
        </w:rPr>
        <w:t>,</w:t>
      </w:r>
      <w:r w:rsidRPr="007109FE">
        <w:rPr>
          <w:rFonts w:eastAsia="Arial" w:cs="Times New Roman"/>
        </w:rPr>
        <w:t xml:space="preserve"> or a combination of these options</w:t>
      </w:r>
      <w:r w:rsidR="007D0F09">
        <w:rPr>
          <w:rFonts w:eastAsia="Arial" w:cs="Times New Roman"/>
        </w:rPr>
        <w:t>)</w:t>
      </w:r>
      <w:r w:rsidRPr="007109FE">
        <w:rPr>
          <w:rFonts w:eastAsia="Arial" w:cs="Times New Roman"/>
        </w:rPr>
        <w:t xml:space="preserve">. </w:t>
      </w:r>
    </w:p>
    <w:p w14:paraId="773D24AC" w14:textId="77777777" w:rsidR="00980257" w:rsidRPr="000C2F28" w:rsidRDefault="006B4688" w:rsidP="007D0F09">
      <w:pPr>
        <w:autoSpaceDE w:val="0"/>
        <w:autoSpaceDN w:val="0"/>
        <w:adjustRightInd w:val="0"/>
      </w:pPr>
      <w:r w:rsidRPr="007109FE">
        <w:rPr>
          <w:rFonts w:eastAsia="Arial" w:cs="Times New Roman"/>
        </w:rPr>
        <w:t>The AER also has the power, in limited circumstances, to revoke a retail exemption.</w:t>
      </w:r>
      <w:r w:rsidR="00980257" w:rsidRPr="000C2F28">
        <w:t xml:space="preserve"> </w:t>
      </w:r>
    </w:p>
    <w:p w14:paraId="7FB4D404" w14:textId="1BD1BC0A" w:rsidR="00B10056" w:rsidRDefault="008E26F8" w:rsidP="008E26F8">
      <w:pPr>
        <w:autoSpaceDE w:val="0"/>
        <w:autoSpaceDN w:val="0"/>
        <w:adjustRightInd w:val="0"/>
        <w:rPr>
          <w:lang w:eastAsia="en-AU"/>
        </w:rPr>
      </w:pPr>
      <w:r>
        <w:rPr>
          <w:lang w:eastAsia="en-AU"/>
        </w:rPr>
        <w:t>If an e</w:t>
      </w:r>
      <w:r w:rsidR="00840DAD">
        <w:rPr>
          <w:lang w:eastAsia="en-AU"/>
        </w:rPr>
        <w:t>xempt seller</w:t>
      </w:r>
      <w:r>
        <w:rPr>
          <w:lang w:eastAsia="en-AU"/>
        </w:rPr>
        <w:t xml:space="preserve"> is a </w:t>
      </w:r>
      <w:r w:rsidR="00056C0B">
        <w:rPr>
          <w:lang w:eastAsia="en-AU"/>
        </w:rPr>
        <w:t>corporation,</w:t>
      </w:r>
      <w:r>
        <w:rPr>
          <w:lang w:eastAsia="en-AU"/>
        </w:rPr>
        <w:t xml:space="preserve"> it</w:t>
      </w:r>
      <w:r w:rsidR="00E125DF">
        <w:rPr>
          <w:lang w:eastAsia="en-AU"/>
        </w:rPr>
        <w:t xml:space="preserve"> </w:t>
      </w:r>
      <w:r w:rsidR="00840DAD">
        <w:rPr>
          <w:lang w:eastAsia="en-AU"/>
        </w:rPr>
        <w:t xml:space="preserve">may be held responsible for </w:t>
      </w:r>
      <w:r w:rsidR="009D0685">
        <w:rPr>
          <w:lang w:eastAsia="en-AU"/>
        </w:rPr>
        <w:t>any</w:t>
      </w:r>
      <w:r w:rsidR="00840DAD">
        <w:rPr>
          <w:lang w:eastAsia="en-AU"/>
        </w:rPr>
        <w:t xml:space="preserve"> actions of </w:t>
      </w:r>
      <w:r>
        <w:rPr>
          <w:lang w:eastAsia="en-AU"/>
        </w:rPr>
        <w:t>its</w:t>
      </w:r>
      <w:r w:rsidR="00840DAD">
        <w:rPr>
          <w:lang w:eastAsia="en-AU"/>
        </w:rPr>
        <w:t xml:space="preserve"> officers and employees</w:t>
      </w:r>
      <w:r w:rsidR="00E125DF">
        <w:rPr>
          <w:lang w:eastAsia="en-AU"/>
        </w:rPr>
        <w:t xml:space="preserve"> that result in a breach.</w:t>
      </w:r>
      <w:r w:rsidR="006B4688">
        <w:rPr>
          <w:rStyle w:val="FootnoteReference"/>
          <w:lang w:eastAsia="en-AU"/>
        </w:rPr>
        <w:footnoteReference w:id="34"/>
      </w:r>
      <w:r w:rsidR="00E125DF">
        <w:rPr>
          <w:lang w:eastAsia="en-AU"/>
        </w:rPr>
        <w:t xml:space="preserve"> </w:t>
      </w:r>
      <w:r w:rsidR="00B10056">
        <w:rPr>
          <w:lang w:eastAsia="en-AU"/>
        </w:rPr>
        <w:t>In addition</w:t>
      </w:r>
      <w:r w:rsidR="006B4688">
        <w:rPr>
          <w:lang w:eastAsia="en-AU"/>
        </w:rPr>
        <w:t>,</w:t>
      </w:r>
      <w:r w:rsidR="00B10056">
        <w:rPr>
          <w:lang w:eastAsia="en-AU"/>
        </w:rPr>
        <w:t xml:space="preserve"> if a corporation contravenes a breach provision,</w:t>
      </w:r>
      <w:r w:rsidR="00B10056">
        <w:rPr>
          <w:rStyle w:val="FootnoteReference"/>
          <w:lang w:eastAsia="en-AU"/>
        </w:rPr>
        <w:footnoteReference w:id="35"/>
      </w:r>
      <w:r w:rsidR="00B10056">
        <w:rPr>
          <w:lang w:eastAsia="en-AU"/>
        </w:rPr>
        <w:t xml:space="preserve"> each officer who knowingly authorised or permitted the contravention is deemed to have committed the breach.</w:t>
      </w:r>
      <w:r w:rsidR="00B10056">
        <w:rPr>
          <w:rStyle w:val="FootnoteReference"/>
          <w:lang w:eastAsia="en-AU"/>
        </w:rPr>
        <w:footnoteReference w:id="36"/>
      </w:r>
    </w:p>
    <w:p w14:paraId="57368F1E" w14:textId="77777777" w:rsidR="00840DAD" w:rsidRPr="00980257" w:rsidRDefault="00E125DF" w:rsidP="008E26F8">
      <w:pPr>
        <w:autoSpaceDE w:val="0"/>
        <w:autoSpaceDN w:val="0"/>
        <w:adjustRightInd w:val="0"/>
      </w:pPr>
      <w:r>
        <w:rPr>
          <w:lang w:eastAsia="en-AU"/>
        </w:rPr>
        <w:t>Depending on the facts and circumstances, an exempt seller may also be held responsible for the actions of</w:t>
      </w:r>
      <w:r w:rsidR="00840DAD">
        <w:rPr>
          <w:lang w:eastAsia="en-AU"/>
        </w:rPr>
        <w:t xml:space="preserve"> their agents. </w:t>
      </w:r>
      <w:r w:rsidR="00B10056">
        <w:rPr>
          <w:lang w:eastAsia="en-AU"/>
        </w:rPr>
        <w:t>A</w:t>
      </w:r>
      <w:r w:rsidR="00B10056">
        <w:t>gents of exempt sellers may be liable under the Retail Law if they aid, abet, counsel or procure a breach of a civil penalty provision, or are in any way knowingly concerned in a breach by the exempt seller.</w:t>
      </w:r>
      <w:r w:rsidR="00840DAD">
        <w:rPr>
          <w:lang w:eastAsia="en-AU"/>
        </w:rPr>
        <w:t xml:space="preserve"> </w:t>
      </w:r>
    </w:p>
    <w:p w14:paraId="631D60DE" w14:textId="77777777" w:rsidR="000C2F28" w:rsidRDefault="00B10056">
      <w:pPr>
        <w:rPr>
          <w:rStyle w:val="Hyperlink"/>
        </w:rPr>
      </w:pPr>
      <w:r>
        <w:t>For further information on o</w:t>
      </w:r>
      <w:r w:rsidRPr="000C2F28">
        <w:t xml:space="preserve">ur approach to </w:t>
      </w:r>
      <w:r>
        <w:t xml:space="preserve">exemption breaches </w:t>
      </w:r>
      <w:r w:rsidR="006B4688">
        <w:t xml:space="preserve">see </w:t>
      </w:r>
      <w:r w:rsidR="006B4688" w:rsidRPr="000C2F28">
        <w:t>the</w:t>
      </w:r>
      <w:r w:rsidRPr="000C2F28">
        <w:t xml:space="preserve"> AER’s</w:t>
      </w:r>
      <w:r w:rsidRPr="00645F25">
        <w:t xml:space="preserve"> </w:t>
      </w:r>
      <w:hyperlink w:history="1">
        <w:r w:rsidRPr="00F9509D">
          <w:rPr>
            <w:rStyle w:val="Hyperlink"/>
          </w:rPr>
          <w:t>Compliance and Enforcement Statement of Approach</w:t>
        </w:r>
        <w:r w:rsidRPr="007E44F6">
          <w:rPr>
            <w:rStyle w:val="Hyperlink"/>
            <w:u w:val="none"/>
          </w:rPr>
          <w:t>.</w:t>
        </w:r>
        <w:r w:rsidRPr="007E44F6">
          <w:rPr>
            <w:rStyle w:val="FootnoteReference"/>
          </w:rPr>
          <w:footnoteReference w:id="37"/>
        </w:r>
        <w:r w:rsidRPr="00F9509D">
          <w:rPr>
            <w:rStyle w:val="Hyperlink"/>
          </w:rPr>
          <w:t xml:space="preserve"> </w:t>
        </w:r>
      </w:hyperlink>
    </w:p>
    <w:p w14:paraId="7919FEDC" w14:textId="77777777" w:rsidR="00CF1526" w:rsidRDefault="00CF1526">
      <w:r w:rsidRPr="00CF1526">
        <w:t xml:space="preserve">In addition to complying with your obligations under the Retail Law and this guideline, you must comply with relevant legislation, including the competition provisions of the </w:t>
      </w:r>
      <w:r w:rsidRPr="00CF1526">
        <w:rPr>
          <w:i/>
        </w:rPr>
        <w:t>Competition and Consumer Act 2010</w:t>
      </w:r>
      <w:r w:rsidRPr="00CF1526">
        <w:t>.</w:t>
      </w:r>
      <w:r w:rsidR="00DF28FB">
        <w:t xml:space="preserve"> </w:t>
      </w:r>
    </w:p>
    <w:p w14:paraId="7553326F" w14:textId="77777777" w:rsidR="000C2F28" w:rsidRPr="00DE55B3" w:rsidRDefault="00565A33" w:rsidP="000C2F28">
      <w:pPr>
        <w:pStyle w:val="Heading1"/>
      </w:pPr>
      <w:bookmarkStart w:id="178" w:name="_Toc445886514"/>
      <w:bookmarkStart w:id="179" w:name="_Toc508963939"/>
      <w:r>
        <w:t>Cancelling</w:t>
      </w:r>
      <w:r w:rsidR="00C82827">
        <w:t xml:space="preserve"> </w:t>
      </w:r>
      <w:r w:rsidR="000C2F28">
        <w:t>and revoking exemptions</w:t>
      </w:r>
      <w:bookmarkEnd w:id="178"/>
      <w:bookmarkEnd w:id="179"/>
      <w:r w:rsidR="007D0F09">
        <w:t xml:space="preserve"> </w:t>
      </w:r>
    </w:p>
    <w:p w14:paraId="13C2B78D" w14:textId="77777777" w:rsidR="000C2F28" w:rsidRDefault="00565A33" w:rsidP="00371EE3">
      <w:pPr>
        <w:pStyle w:val="Heading2"/>
      </w:pPr>
      <w:bookmarkStart w:id="180" w:name="_Toc430776185"/>
      <w:bookmarkStart w:id="181" w:name="_Toc436316938"/>
      <w:bookmarkStart w:id="182" w:name="_Toc444774657"/>
      <w:bookmarkStart w:id="183" w:name="_Toc445751609"/>
      <w:bookmarkStart w:id="184" w:name="_Toc445793361"/>
      <w:bookmarkStart w:id="185" w:name="_Toc445886515"/>
      <w:bookmarkStart w:id="186" w:name="_Toc496612008"/>
      <w:bookmarkStart w:id="187" w:name="_Toc508963940"/>
      <w:r>
        <w:t xml:space="preserve">Cancelling </w:t>
      </w:r>
      <w:r w:rsidR="00924E76">
        <w:t>an</w:t>
      </w:r>
      <w:r w:rsidR="000C2F28">
        <w:t xml:space="preserve"> exemption</w:t>
      </w:r>
      <w:bookmarkEnd w:id="180"/>
      <w:bookmarkEnd w:id="181"/>
      <w:bookmarkEnd w:id="182"/>
      <w:bookmarkEnd w:id="183"/>
      <w:bookmarkEnd w:id="184"/>
      <w:bookmarkEnd w:id="185"/>
      <w:bookmarkEnd w:id="186"/>
      <w:bookmarkEnd w:id="187"/>
      <w:r w:rsidR="000C2F28">
        <w:t xml:space="preserve"> </w:t>
      </w:r>
    </w:p>
    <w:p w14:paraId="30084D01" w14:textId="77777777" w:rsidR="003E6621" w:rsidRDefault="000C2F28" w:rsidP="009F58CE">
      <w:pPr>
        <w:keepNext/>
      </w:pPr>
      <w:r>
        <w:t>If your circumstances change and you no longer need an</w:t>
      </w:r>
      <w:r w:rsidR="006B4688">
        <w:t xml:space="preserve"> </w:t>
      </w:r>
      <w:r>
        <w:t xml:space="preserve">exemption you may apply to the AER to </w:t>
      </w:r>
      <w:r w:rsidR="00565A33">
        <w:t xml:space="preserve">cancel </w:t>
      </w:r>
      <w:r>
        <w:t xml:space="preserve">your exemption. </w:t>
      </w:r>
      <w:r w:rsidR="00384B6B">
        <w:t xml:space="preserve">The process for </w:t>
      </w:r>
      <w:r w:rsidR="00565A33">
        <w:t>cancelling</w:t>
      </w:r>
      <w:r w:rsidR="00384B6B">
        <w:t xml:space="preserve"> an exemption </w:t>
      </w:r>
      <w:r w:rsidR="00745AAE">
        <w:t>is the reverse of the process for creating it</w:t>
      </w:r>
      <w:r w:rsidR="00C82827">
        <w:t>.</w:t>
      </w:r>
      <w:r w:rsidR="00C0598F">
        <w:rPr>
          <w:rStyle w:val="FootnoteReference"/>
        </w:rPr>
        <w:footnoteReference w:id="38"/>
      </w:r>
      <w:r w:rsidR="00A4016A">
        <w:t xml:space="preserve"> </w:t>
      </w:r>
      <w:r w:rsidR="00565A33">
        <w:t xml:space="preserve">In the case of a registrable exemption this will simply </w:t>
      </w:r>
      <w:r w:rsidR="0041677A">
        <w:t>mean</w:t>
      </w:r>
      <w:r w:rsidR="00565A33">
        <w:t xml:space="preserve"> removing your exemption from the public register of exemptions. However, </w:t>
      </w:r>
      <w:r w:rsidR="003E6621">
        <w:t xml:space="preserve">the process for cancelling an individual exemption </w:t>
      </w:r>
      <w:r w:rsidR="0041677A">
        <w:t>will</w:t>
      </w:r>
      <w:r w:rsidR="00A26ED5">
        <w:t xml:space="preserve"> </w:t>
      </w:r>
      <w:r w:rsidR="00A4016A">
        <w:t>mean public</w:t>
      </w:r>
      <w:r w:rsidR="00A26ED5">
        <w:t xml:space="preserve"> consultation and </w:t>
      </w:r>
      <w:r w:rsidR="00A4016A">
        <w:t xml:space="preserve">a </w:t>
      </w:r>
      <w:r w:rsidR="00A26ED5">
        <w:t>decision making process.</w:t>
      </w:r>
    </w:p>
    <w:p w14:paraId="497EDC5B" w14:textId="77777777" w:rsidR="0041677A" w:rsidRDefault="003E6621" w:rsidP="009F58CE">
      <w:pPr>
        <w:keepNext/>
      </w:pPr>
      <w:r>
        <w:t>Before we begin the process of cancelling an exemption we will want to be satisfied that all energy selling has ceased</w:t>
      </w:r>
      <w:r w:rsidR="007D0F09">
        <w:t>,</w:t>
      </w:r>
      <w:r>
        <w:t xml:space="preserve"> or </w:t>
      </w:r>
      <w:r w:rsidR="00E016E3">
        <w:t xml:space="preserve">if </w:t>
      </w:r>
      <w:r>
        <w:t>energy</w:t>
      </w:r>
      <w:r w:rsidR="00E016E3">
        <w:t xml:space="preserve"> is</w:t>
      </w:r>
      <w:r>
        <w:t xml:space="preserve"> still being sold</w:t>
      </w:r>
      <w:r w:rsidR="00A26ED5">
        <w:t>, that</w:t>
      </w:r>
      <w:r w:rsidR="00E016E3">
        <w:t xml:space="preserve"> it is being sold by </w:t>
      </w:r>
      <w:r w:rsidR="0041677A">
        <w:t>someone holding the appropriate regulatory instrument such as an exemption or authorisation.</w:t>
      </w:r>
    </w:p>
    <w:p w14:paraId="22D8635B" w14:textId="77777777" w:rsidR="000C2F28" w:rsidRDefault="00F75D0A" w:rsidP="009F58CE">
      <w:pPr>
        <w:keepNext/>
      </w:pPr>
      <w:r>
        <w:t xml:space="preserve">We </w:t>
      </w:r>
      <w:r w:rsidR="00CF1526">
        <w:t>must</w:t>
      </w:r>
      <w:r>
        <w:t xml:space="preserve"> </w:t>
      </w:r>
      <w:r w:rsidR="00CF1526">
        <w:t xml:space="preserve">follow </w:t>
      </w:r>
      <w:r>
        <w:t>a number of formal steps when we receive an application to cancel an individual exemption</w:t>
      </w:r>
      <w:r w:rsidR="00A26ED5">
        <w:t>.</w:t>
      </w:r>
      <w:r>
        <w:t xml:space="preserve"> </w:t>
      </w:r>
      <w:r w:rsidR="00C0598F">
        <w:t>These include</w:t>
      </w:r>
      <w:r w:rsidR="00384B6B">
        <w:t>:</w:t>
      </w:r>
    </w:p>
    <w:p w14:paraId="62685ACB" w14:textId="77777777" w:rsidR="00384B6B" w:rsidRDefault="00C47101" w:rsidP="00A97E11">
      <w:pPr>
        <w:pStyle w:val="ListParagraph"/>
        <w:keepNext/>
        <w:numPr>
          <w:ilvl w:val="0"/>
          <w:numId w:val="11"/>
        </w:numPr>
        <w:contextualSpacing w:val="0"/>
      </w:pPr>
      <w:r>
        <w:t>publish</w:t>
      </w:r>
      <w:r w:rsidR="00A2010D">
        <w:t>ing</w:t>
      </w:r>
      <w:r>
        <w:t xml:space="preserve"> a notice on our website stating that the application </w:t>
      </w:r>
      <w:r w:rsidR="007D306A">
        <w:t xml:space="preserve">for cancellation </w:t>
      </w:r>
      <w:r>
        <w:t>has been received and seeking written submissions on the application from interested parties</w:t>
      </w:r>
    </w:p>
    <w:p w14:paraId="58701B8D" w14:textId="77777777" w:rsidR="00C47101" w:rsidRDefault="00C47101" w:rsidP="00A97E11">
      <w:pPr>
        <w:pStyle w:val="ListParagraph"/>
        <w:keepNext/>
        <w:numPr>
          <w:ilvl w:val="0"/>
          <w:numId w:val="11"/>
        </w:numPr>
        <w:contextualSpacing w:val="0"/>
      </w:pPr>
      <w:r>
        <w:t>allow</w:t>
      </w:r>
      <w:r w:rsidR="00A2010D">
        <w:t>ing</w:t>
      </w:r>
      <w:r>
        <w:t xml:space="preserve"> a period of at least 20 business days for written submissions to be made</w:t>
      </w:r>
    </w:p>
    <w:p w14:paraId="5FDDC916" w14:textId="77777777" w:rsidR="00C47101" w:rsidRDefault="00C47101" w:rsidP="00A97E11">
      <w:pPr>
        <w:pStyle w:val="ListParagraph"/>
        <w:keepNext/>
        <w:numPr>
          <w:ilvl w:val="0"/>
          <w:numId w:val="11"/>
        </w:numPr>
        <w:contextualSpacing w:val="0"/>
      </w:pPr>
      <w:r>
        <w:t>consider</w:t>
      </w:r>
      <w:r w:rsidR="00A2010D">
        <w:t>ing</w:t>
      </w:r>
      <w:r>
        <w:t xml:space="preserve"> all written submissions made during that period before deciding whethe</w:t>
      </w:r>
      <w:r w:rsidR="00C0598F">
        <w:t xml:space="preserve">r to </w:t>
      </w:r>
      <w:r w:rsidR="00A26ED5">
        <w:t>cancel</w:t>
      </w:r>
      <w:r w:rsidR="00C0598F">
        <w:t xml:space="preserve"> your exemption</w:t>
      </w:r>
    </w:p>
    <w:p w14:paraId="5A783B2A" w14:textId="77777777" w:rsidR="00C0598F" w:rsidRDefault="00C0598F" w:rsidP="00A97E11">
      <w:pPr>
        <w:pStyle w:val="ListParagraph"/>
        <w:keepNext/>
        <w:numPr>
          <w:ilvl w:val="0"/>
          <w:numId w:val="11"/>
        </w:numPr>
        <w:contextualSpacing w:val="0"/>
      </w:pPr>
      <w:r>
        <w:t>providing you with a</w:t>
      </w:r>
      <w:r w:rsidR="00A26ED5">
        <w:t xml:space="preserve"> written notice of our decision</w:t>
      </w:r>
      <w:r>
        <w:t xml:space="preserve"> and</w:t>
      </w:r>
      <w:r w:rsidR="00A26ED5">
        <w:t>, if we decide to refuse your application for cancellation, providing you with a notice setting out the reasons for our decision</w:t>
      </w:r>
    </w:p>
    <w:p w14:paraId="5182A2DB" w14:textId="77777777" w:rsidR="00C0598F" w:rsidRDefault="00C0598F" w:rsidP="00A97E11">
      <w:pPr>
        <w:pStyle w:val="ListParagraph"/>
        <w:keepNext/>
        <w:numPr>
          <w:ilvl w:val="0"/>
          <w:numId w:val="11"/>
        </w:numPr>
        <w:contextualSpacing w:val="0"/>
      </w:pPr>
      <w:r>
        <w:t>publishing the details of our decision on our website.</w:t>
      </w:r>
    </w:p>
    <w:p w14:paraId="1BAE9B47" w14:textId="77777777" w:rsidR="00A679BA" w:rsidRDefault="00C0598F" w:rsidP="00A679BA">
      <w:r>
        <w:t xml:space="preserve">The </w:t>
      </w:r>
      <w:r w:rsidR="00DD54AD">
        <w:t xml:space="preserve">cancellation </w:t>
      </w:r>
      <w:r>
        <w:t>of an individual exemption will normally be a straightforward process.</w:t>
      </w:r>
    </w:p>
    <w:p w14:paraId="1487C5F7" w14:textId="77777777" w:rsidR="000C2F28" w:rsidRDefault="00F66BEE" w:rsidP="00924E76">
      <w:pPr>
        <w:pStyle w:val="Heading2"/>
      </w:pPr>
      <w:bookmarkStart w:id="188" w:name="_Toc430776186"/>
      <w:bookmarkStart w:id="189" w:name="_Toc436316939"/>
      <w:bookmarkStart w:id="190" w:name="_Toc444774658"/>
      <w:bookmarkStart w:id="191" w:name="_Toc445751610"/>
      <w:bookmarkStart w:id="192" w:name="_Toc445793362"/>
      <w:bookmarkStart w:id="193" w:name="_Toc445886516"/>
      <w:bookmarkStart w:id="194" w:name="_Toc496612009"/>
      <w:bookmarkStart w:id="195" w:name="_Toc508963941"/>
      <w:r>
        <w:t xml:space="preserve">Revoking </w:t>
      </w:r>
      <w:r w:rsidR="00924E76">
        <w:t>an</w:t>
      </w:r>
      <w:r>
        <w:t xml:space="preserve"> exemption</w:t>
      </w:r>
      <w:bookmarkEnd w:id="188"/>
      <w:bookmarkEnd w:id="189"/>
      <w:bookmarkEnd w:id="190"/>
      <w:bookmarkEnd w:id="191"/>
      <w:bookmarkEnd w:id="192"/>
      <w:bookmarkEnd w:id="193"/>
      <w:bookmarkEnd w:id="194"/>
      <w:bookmarkEnd w:id="195"/>
    </w:p>
    <w:p w14:paraId="37C26009" w14:textId="77777777" w:rsidR="00FE53A3" w:rsidRDefault="00F66BEE" w:rsidP="0047258C">
      <w:r w:rsidRPr="002C12AD">
        <w:t>If</w:t>
      </w:r>
      <w:r>
        <w:t xml:space="preserve"> you do not comply with the conditions of your exemption and</w:t>
      </w:r>
      <w:r w:rsidR="007A1F7B">
        <w:t>, after looking into the matter, we consider</w:t>
      </w:r>
      <w:r w:rsidRPr="002C12AD">
        <w:t xml:space="preserve"> the non-compliance is serious (for example, if there has been a material failure) we may decide to revoke your exemption.</w:t>
      </w:r>
      <w:r>
        <w:rPr>
          <w:rStyle w:val="FootnoteReference"/>
        </w:rPr>
        <w:footnoteReference w:id="39"/>
      </w:r>
      <w:r w:rsidRPr="00C7434E">
        <w:t xml:space="preserve">  </w:t>
      </w:r>
      <w:r w:rsidR="0047258C">
        <w:t>An example of</w:t>
      </w:r>
      <w:r w:rsidRPr="00C7434E">
        <w:t xml:space="preserve"> a ‘material failure’ </w:t>
      </w:r>
      <w:r w:rsidR="0047258C">
        <w:t xml:space="preserve">is </w:t>
      </w:r>
      <w:r w:rsidRPr="00C7434E">
        <w:t>where an exempt person has not complied with their exemption conditions and this has had a significant or widespread impact on their customers</w:t>
      </w:r>
      <w:r w:rsidR="0047258C">
        <w:t xml:space="preserve">. </w:t>
      </w:r>
    </w:p>
    <w:p w14:paraId="36EB01CD" w14:textId="77777777" w:rsidR="00346199" w:rsidRPr="00C7434E" w:rsidRDefault="00EA149B" w:rsidP="00FE53A3">
      <w:pPr>
        <w:keepNext/>
        <w:keepLines/>
      </w:pPr>
      <w:r>
        <w:t xml:space="preserve">Before we revoke </w:t>
      </w:r>
      <w:r w:rsidR="0047258C">
        <w:t>your</w:t>
      </w:r>
      <w:r>
        <w:t xml:space="preserve"> exemption </w:t>
      </w:r>
      <w:r w:rsidR="00346199" w:rsidRPr="00C7434E">
        <w:t xml:space="preserve">we must:  </w:t>
      </w:r>
    </w:p>
    <w:p w14:paraId="70B0E8B7" w14:textId="5DD012BA" w:rsidR="00346199" w:rsidRPr="002C12AD" w:rsidRDefault="00346199" w:rsidP="00A97E11">
      <w:pPr>
        <w:pStyle w:val="ListParagraph"/>
        <w:keepNext/>
        <w:keepLines/>
        <w:numPr>
          <w:ilvl w:val="0"/>
          <w:numId w:val="11"/>
        </w:numPr>
        <w:contextualSpacing w:val="0"/>
      </w:pPr>
      <w:r w:rsidRPr="002C12AD">
        <w:t xml:space="preserve">give </w:t>
      </w:r>
      <w:r w:rsidR="00213350">
        <w:t xml:space="preserve">you </w:t>
      </w:r>
      <w:r w:rsidRPr="002C12AD">
        <w:t xml:space="preserve">notice that we intend to revoke </w:t>
      </w:r>
      <w:r w:rsidR="0047258C">
        <w:t>your</w:t>
      </w:r>
      <w:r w:rsidRPr="002C12AD">
        <w:t xml:space="preserve"> exem</w:t>
      </w:r>
      <w:r w:rsidR="0047258C">
        <w:t xml:space="preserve">ption, and our reasons for revoking it </w:t>
      </w:r>
      <w:r w:rsidRPr="002C12AD">
        <w:t xml:space="preserve"> </w:t>
      </w:r>
    </w:p>
    <w:p w14:paraId="4DDCAD1D" w14:textId="77777777" w:rsidR="00346199" w:rsidRPr="002C12AD" w:rsidRDefault="00346199" w:rsidP="00A97E11">
      <w:pPr>
        <w:pStyle w:val="ListParagraph"/>
        <w:keepNext/>
        <w:keepLines/>
        <w:numPr>
          <w:ilvl w:val="0"/>
          <w:numId w:val="11"/>
        </w:numPr>
        <w:ind w:left="357" w:hanging="357"/>
        <w:contextualSpacing w:val="0"/>
      </w:pPr>
      <w:r w:rsidRPr="002C12AD">
        <w:t xml:space="preserve">give </w:t>
      </w:r>
      <w:r w:rsidR="00213350">
        <w:t>you</w:t>
      </w:r>
      <w:r w:rsidRPr="002C12AD">
        <w:t xml:space="preserve"> an opportunity to respond, in writing, showing why the exemption should not be revoked and proposing what </w:t>
      </w:r>
      <w:r w:rsidR="0047258C">
        <w:t>you</w:t>
      </w:r>
      <w:r w:rsidRPr="002C12AD">
        <w:t xml:space="preserve"> will do to rectify the problem.</w:t>
      </w:r>
      <w:r w:rsidR="00D94D1A" w:rsidRPr="002C12AD">
        <w:rPr>
          <w:rStyle w:val="FootnoteReference"/>
        </w:rPr>
        <w:footnoteReference w:id="40"/>
      </w:r>
      <w:r w:rsidRPr="002C12AD">
        <w:t xml:space="preserve"> </w:t>
      </w:r>
    </w:p>
    <w:p w14:paraId="25EA1C4F" w14:textId="77777777" w:rsidR="00346199" w:rsidRDefault="00346199" w:rsidP="00346199">
      <w:r w:rsidRPr="005F0389">
        <w:t xml:space="preserve">If we are not satisfied with your response we may set a time for the revocation to take effect and will inform you of any conditions you must comply with. </w:t>
      </w:r>
      <w:r w:rsidR="007D306A">
        <w:t xml:space="preserve">For example, </w:t>
      </w:r>
      <w:r w:rsidR="002C10A6">
        <w:t xml:space="preserve">you </w:t>
      </w:r>
      <w:r w:rsidR="007D306A">
        <w:t xml:space="preserve">may need </w:t>
      </w:r>
      <w:r w:rsidR="002C10A6">
        <w:t>to comply with certain requirements of the Retail Law and</w:t>
      </w:r>
      <w:r w:rsidR="00CF1526">
        <w:t xml:space="preserve"> </w:t>
      </w:r>
      <w:r w:rsidR="002C10A6">
        <w:t>/</w:t>
      </w:r>
      <w:r w:rsidR="00CF1526">
        <w:t xml:space="preserve"> </w:t>
      </w:r>
      <w:r w:rsidR="002C10A6">
        <w:t xml:space="preserve">or Rules </w:t>
      </w:r>
      <w:r w:rsidR="00CF1526">
        <w:t>that</w:t>
      </w:r>
      <w:r w:rsidR="002C10A6">
        <w:t xml:space="preserve"> may continue to apply after the revocation.</w:t>
      </w:r>
      <w:r w:rsidR="002C10A6">
        <w:rPr>
          <w:rStyle w:val="FootnoteReference"/>
        </w:rPr>
        <w:footnoteReference w:id="41"/>
      </w:r>
      <w:r w:rsidR="002C10A6">
        <w:t xml:space="preserve"> </w:t>
      </w:r>
      <w:r w:rsidRPr="005F0389">
        <w:t>We will publish our revocation decision on our website.</w:t>
      </w:r>
      <w:r>
        <w:t xml:space="preserve"> </w:t>
      </w:r>
    </w:p>
    <w:p w14:paraId="214CD652" w14:textId="77777777" w:rsidR="00346199" w:rsidRDefault="00EB53B5" w:rsidP="004174B9">
      <w:pPr>
        <w:pStyle w:val="Heading1"/>
      </w:pPr>
      <w:r>
        <w:t xml:space="preserve"> </w:t>
      </w:r>
      <w:bookmarkStart w:id="196" w:name="_Toc445886517"/>
      <w:bookmarkStart w:id="197" w:name="_Toc508963942"/>
      <w:r w:rsidR="00346199">
        <w:t>Network exemptions</w:t>
      </w:r>
      <w:bookmarkEnd w:id="196"/>
      <w:bookmarkEnd w:id="197"/>
      <w:r w:rsidR="00346199">
        <w:t xml:space="preserve"> </w:t>
      </w:r>
    </w:p>
    <w:p w14:paraId="1BC6D68B" w14:textId="77E2B1BB" w:rsidR="00961CD7" w:rsidRDefault="00346199" w:rsidP="00346199">
      <w:r>
        <w:t xml:space="preserve">If you are selling electricity </w:t>
      </w:r>
      <w:r w:rsidR="003638D7">
        <w:t xml:space="preserve">through </w:t>
      </w:r>
      <w:r>
        <w:t>a private embedded network that you own or operate,</w:t>
      </w:r>
      <w:r w:rsidR="00D94D1A">
        <w:rPr>
          <w:rStyle w:val="FootnoteReference"/>
        </w:rPr>
        <w:footnoteReference w:id="42"/>
      </w:r>
      <w:r>
        <w:t xml:space="preserve"> you will need to either register the network with the Australian Energy Market Operator (AEMO) or </w:t>
      </w:r>
      <w:r w:rsidR="003F13D2">
        <w:t xml:space="preserve">register </w:t>
      </w:r>
      <w:r w:rsidR="00F66BEE">
        <w:t>a</w:t>
      </w:r>
      <w:r w:rsidR="003638D7">
        <w:t xml:space="preserve"> network</w:t>
      </w:r>
      <w:r w:rsidR="003F13D2">
        <w:t xml:space="preserve"> exemption </w:t>
      </w:r>
      <w:r w:rsidR="00F66BEE">
        <w:t xml:space="preserve">with us </w:t>
      </w:r>
      <w:r w:rsidR="003638D7">
        <w:t>(</w:t>
      </w:r>
      <w:r w:rsidR="00F66BEE">
        <w:t>if</w:t>
      </w:r>
      <w:r>
        <w:t xml:space="preserve"> the network is not in a deemed </w:t>
      </w:r>
      <w:r w:rsidR="003F13D2">
        <w:t xml:space="preserve">exemption </w:t>
      </w:r>
      <w:r>
        <w:t>category</w:t>
      </w:r>
      <w:r w:rsidR="003638D7">
        <w:t>)</w:t>
      </w:r>
      <w:r>
        <w:t>.</w:t>
      </w:r>
      <w:r w:rsidR="00D94D1A">
        <w:rPr>
          <w:rStyle w:val="FootnoteReference"/>
        </w:rPr>
        <w:footnoteReference w:id="43"/>
      </w:r>
      <w:r>
        <w:t xml:space="preserve">  </w:t>
      </w:r>
    </w:p>
    <w:p w14:paraId="3621424D" w14:textId="77777777" w:rsidR="00C04438" w:rsidRDefault="00DD54AD" w:rsidP="00346199">
      <w:r>
        <w:t>In </w:t>
      </w:r>
      <w:r w:rsidR="00C04438">
        <w:t xml:space="preserve">most cases, if you are eligible for a </w:t>
      </w:r>
      <w:r w:rsidR="003F13D2">
        <w:t xml:space="preserve">deemed or </w:t>
      </w:r>
      <w:r w:rsidR="00C04438">
        <w:t>registrable retail exemption you will also need a network exemption. Some</w:t>
      </w:r>
      <w:r w:rsidR="003F13D2">
        <w:t>, but not all,</w:t>
      </w:r>
      <w:r w:rsidR="00C04438">
        <w:t xml:space="preserve"> individual exemption holders will also need a network exemption (sellers of power</w:t>
      </w:r>
      <w:r w:rsidR="00562155">
        <w:t xml:space="preserve"> purchase agreements, for example, </w:t>
      </w:r>
      <w:r w:rsidR="00B56EC0">
        <w:t>will</w:t>
      </w:r>
      <w:r w:rsidR="00562155">
        <w:t xml:space="preserve"> not).</w:t>
      </w:r>
      <w:r w:rsidR="00C04438">
        <w:t xml:space="preserve">  </w:t>
      </w:r>
    </w:p>
    <w:p w14:paraId="34F95978" w14:textId="77777777" w:rsidR="00346199" w:rsidRDefault="00346199" w:rsidP="00346199">
      <w:r>
        <w:t xml:space="preserve">We administer both the network and retail exemption processes. Although the </w:t>
      </w:r>
      <w:r w:rsidR="0047258C">
        <w:t>exemptions</w:t>
      </w:r>
      <w:r>
        <w:t xml:space="preserve"> are separate, </w:t>
      </w:r>
      <w:r w:rsidR="0047258C">
        <w:t xml:space="preserve">you can </w:t>
      </w:r>
      <w:r>
        <w:t>regist</w:t>
      </w:r>
      <w:r w:rsidR="0047258C">
        <w:t>er</w:t>
      </w:r>
      <w:r>
        <w:t xml:space="preserve"> either or both a retail exemption and</w:t>
      </w:r>
      <w:r w:rsidR="0047258C">
        <w:t xml:space="preserve"> network exemption </w:t>
      </w:r>
      <w:r w:rsidR="00CE4147">
        <w:t>on</w:t>
      </w:r>
      <w:r w:rsidR="000A7884">
        <w:t xml:space="preserve"> the</w:t>
      </w:r>
      <w:r w:rsidR="009F58CE">
        <w:t xml:space="preserve"> </w:t>
      </w:r>
      <w:hyperlink r:id="rId21" w:history="1">
        <w:r w:rsidR="009F58CE">
          <w:rPr>
            <w:rStyle w:val="Hyperlink"/>
          </w:rPr>
          <w:t>one form</w:t>
        </w:r>
      </w:hyperlink>
      <w:r>
        <w:t>.</w:t>
      </w:r>
      <w:r w:rsidR="00D94D1A">
        <w:rPr>
          <w:rStyle w:val="FootnoteReference"/>
        </w:rPr>
        <w:footnoteReference w:id="44"/>
      </w:r>
      <w:r>
        <w:t xml:space="preserve"> </w:t>
      </w:r>
      <w:r w:rsidR="00562155">
        <w:t xml:space="preserve">If you have </w:t>
      </w:r>
      <w:r w:rsidR="000A7884">
        <w:t xml:space="preserve">already </w:t>
      </w:r>
      <w:r w:rsidR="00562155">
        <w:t>been granted an individual retail exemption you will need to register your network exemption separately.</w:t>
      </w:r>
      <w:r>
        <w:t xml:space="preserve"> </w:t>
      </w:r>
    </w:p>
    <w:p w14:paraId="5CEA0DBC" w14:textId="70D7B6E9" w:rsidR="00EC433B" w:rsidRDefault="00346199">
      <w:r>
        <w:t>The</w:t>
      </w:r>
      <w:r w:rsidR="009F58CE">
        <w:t xml:space="preserve"> </w:t>
      </w:r>
      <w:hyperlink r:id="rId22" w:history="1">
        <w:r w:rsidR="000925ED" w:rsidRPr="000925ED">
          <w:rPr>
            <w:rStyle w:val="Hyperlink"/>
          </w:rPr>
          <w:t>Electricity network service provider registration exemption guideline</w:t>
        </w:r>
      </w:hyperlink>
      <w:r w:rsidR="00D94D1A" w:rsidRPr="009F58CE">
        <w:rPr>
          <w:rStyle w:val="FootnoteReference"/>
        </w:rPr>
        <w:footnoteReference w:id="45"/>
      </w:r>
      <w:r w:rsidR="00D94D1A">
        <w:t xml:space="preserve"> </w:t>
      </w:r>
      <w:r>
        <w:t xml:space="preserve">sets out further information on network exemptions, including classes of exemption and how to apply for a network exemption.  </w:t>
      </w:r>
    </w:p>
    <w:p w14:paraId="1A1DC788" w14:textId="77777777" w:rsidR="00346199" w:rsidRDefault="00896A0E" w:rsidP="004174B9">
      <w:pPr>
        <w:pStyle w:val="Heading1"/>
      </w:pPr>
      <w:r>
        <w:t xml:space="preserve"> </w:t>
      </w:r>
      <w:bookmarkStart w:id="198" w:name="_Toc445886518"/>
      <w:bookmarkStart w:id="199" w:name="_Toc508963943"/>
      <w:r w:rsidR="00E43B93">
        <w:t>Glossary</w:t>
      </w:r>
      <w:bookmarkEnd w:id="198"/>
      <w:bookmarkEnd w:id="199"/>
      <w:r w:rsidR="00E43B93">
        <w:t xml:space="preserve"> </w:t>
      </w:r>
    </w:p>
    <w:p w14:paraId="037C64E8" w14:textId="77777777" w:rsidR="00346199" w:rsidRDefault="00346199" w:rsidP="00346199">
      <w:r w:rsidRPr="0062521A">
        <w:rPr>
          <w:rStyle w:val="Strong"/>
          <w:i/>
        </w:rPr>
        <w:t>body corporate</w:t>
      </w:r>
      <w:r>
        <w:t xml:space="preserve"> means a controlling body of a scheme constituted under state or territory strata titles legislation, the members of which are lot owners (or their representatives), and includes an owners’ corporation but is not a body corporate for the purposes of the Corporations Act 2001 (Cth).</w:t>
      </w:r>
      <w:r w:rsidR="00C228E0">
        <w:t xml:space="preserve"> </w:t>
      </w:r>
    </w:p>
    <w:p w14:paraId="5637CA1C" w14:textId="77777777" w:rsidR="00346199" w:rsidRDefault="00346199" w:rsidP="00346199">
      <w:r w:rsidRPr="0062521A">
        <w:rPr>
          <w:rStyle w:val="Strong"/>
          <w:i/>
        </w:rPr>
        <w:t>brownfield site</w:t>
      </w:r>
      <w:r>
        <w:t xml:space="preserve"> means a site that is established and serviceable by a retailer but later retrofitted to allow onselling.</w:t>
      </w:r>
    </w:p>
    <w:p w14:paraId="355165FF" w14:textId="77777777" w:rsidR="0057535D" w:rsidRDefault="0057535D" w:rsidP="00346199">
      <w:r>
        <w:rPr>
          <w:rStyle w:val="Strong"/>
          <w:i/>
        </w:rPr>
        <w:t>customer</w:t>
      </w:r>
      <w:r>
        <w:t xml:space="preserve"> has the same meaning as </w:t>
      </w:r>
      <w:r w:rsidRPr="0057535D">
        <w:rPr>
          <w:b/>
          <w:i/>
        </w:rPr>
        <w:t>exempt customer</w:t>
      </w:r>
      <w:r>
        <w:t xml:space="preserve">. </w:t>
      </w:r>
    </w:p>
    <w:p w14:paraId="0EC2A89A" w14:textId="77777777" w:rsidR="00346199" w:rsidRDefault="00346199" w:rsidP="00346199">
      <w:r w:rsidRPr="0062521A">
        <w:rPr>
          <w:rStyle w:val="Strong"/>
          <w:i/>
        </w:rPr>
        <w:t>disconnection</w:t>
      </w:r>
      <w:r>
        <w:t xml:space="preserve"> or </w:t>
      </w:r>
      <w:r w:rsidRPr="0062521A">
        <w:rPr>
          <w:rStyle w:val="Strong"/>
          <w:i/>
        </w:rPr>
        <w:t>de-energisation</w:t>
      </w:r>
      <w:r w:rsidR="00EB2A5B">
        <w:t xml:space="preserve"> of premises means:</w:t>
      </w:r>
    </w:p>
    <w:p w14:paraId="5CCAE1ED" w14:textId="77777777" w:rsidR="00346199" w:rsidRDefault="00346199" w:rsidP="00A97E11">
      <w:pPr>
        <w:pStyle w:val="ListParagraph"/>
        <w:numPr>
          <w:ilvl w:val="0"/>
          <w:numId w:val="72"/>
        </w:numPr>
        <w:contextualSpacing w:val="0"/>
      </w:pPr>
      <w:r>
        <w:t>in the case of electric</w:t>
      </w:r>
      <w:r w:rsidR="0062521A">
        <w:t>ity—the opening of a connection</w:t>
      </w:r>
      <w:r>
        <w:t xml:space="preserve"> or</w:t>
      </w:r>
    </w:p>
    <w:p w14:paraId="6E4A33F6" w14:textId="77777777" w:rsidR="00346199" w:rsidRDefault="00346199" w:rsidP="00A97E11">
      <w:pPr>
        <w:pStyle w:val="ListParagraph"/>
        <w:numPr>
          <w:ilvl w:val="0"/>
          <w:numId w:val="72"/>
        </w:numPr>
        <w:contextualSpacing w:val="0"/>
      </w:pPr>
      <w:r>
        <w:t>in the case of gas</w:t>
      </w:r>
      <w:r w:rsidR="0062521A">
        <w:t>—the closing of a connection</w:t>
      </w:r>
    </w:p>
    <w:p w14:paraId="2FB84FAA" w14:textId="77777777" w:rsidR="00346199" w:rsidRDefault="00346199" w:rsidP="00346199">
      <w:r>
        <w:t>in order to prevent the flow of energy to the premises.</w:t>
      </w:r>
    </w:p>
    <w:p w14:paraId="4CD50ACB" w14:textId="232EB641" w:rsidR="00100128" w:rsidRPr="00100128" w:rsidRDefault="00100128" w:rsidP="00346199">
      <w:r w:rsidRPr="00100128">
        <w:rPr>
          <w:b/>
          <w:i/>
        </w:rPr>
        <w:t>embedded network</w:t>
      </w:r>
      <w:r>
        <w:rPr>
          <w:b/>
          <w:i/>
        </w:rPr>
        <w:t xml:space="preserve"> </w:t>
      </w:r>
      <w:r>
        <w:t xml:space="preserve">means a privately owned </w:t>
      </w:r>
      <w:r w:rsidR="00335396">
        <w:t xml:space="preserve">energy </w:t>
      </w:r>
      <w:r w:rsidRPr="00100128">
        <w:t>network</w:t>
      </w:r>
      <w:r w:rsidR="00F375CC">
        <w:t xml:space="preserve">, connected to the distribution network by one or more meters. </w:t>
      </w:r>
      <w:r w:rsidRPr="00100128">
        <w:t xml:space="preserve"> Energy is  delivered to customers via the private network. For the purposes of the retail exemption </w:t>
      </w:r>
      <w:r w:rsidR="00F375CC">
        <w:t>guideline,</w:t>
      </w:r>
      <w:r w:rsidRPr="00100128">
        <w:t xml:space="preserve"> a private network connected to another private network is </w:t>
      </w:r>
      <w:r w:rsidR="00335396">
        <w:t xml:space="preserve">also </w:t>
      </w:r>
      <w:r w:rsidR="00984D2D">
        <w:t>considered</w:t>
      </w:r>
      <w:r w:rsidRPr="00100128">
        <w:t xml:space="preserve"> an embedded network.</w:t>
      </w:r>
    </w:p>
    <w:p w14:paraId="240BE603" w14:textId="77777777" w:rsidR="00346199" w:rsidRDefault="00346199" w:rsidP="00346199">
      <w:r w:rsidRPr="0062521A">
        <w:rPr>
          <w:rStyle w:val="Strong"/>
          <w:i/>
        </w:rPr>
        <w:t>energy</w:t>
      </w:r>
      <w:r>
        <w:t xml:space="preserve"> means electricity or gas.</w:t>
      </w:r>
    </w:p>
    <w:p w14:paraId="7783D9E0" w14:textId="77777777" w:rsidR="00346199" w:rsidRDefault="00346199" w:rsidP="00346199">
      <w:r w:rsidRPr="0062521A">
        <w:rPr>
          <w:rStyle w:val="Strong"/>
          <w:i/>
        </w:rPr>
        <w:t xml:space="preserve">energy </w:t>
      </w:r>
      <w:r w:rsidR="00E43B93">
        <w:rPr>
          <w:rStyle w:val="Strong"/>
          <w:i/>
        </w:rPr>
        <w:t>o</w:t>
      </w:r>
      <w:r w:rsidRPr="0062521A">
        <w:rPr>
          <w:rStyle w:val="Strong"/>
          <w:i/>
        </w:rPr>
        <w:t>mbudsman scheme</w:t>
      </w:r>
      <w:r>
        <w:t xml:space="preserve"> means a scheme associated with the energy </w:t>
      </w:r>
      <w:r w:rsidR="00E43B93">
        <w:t>o</w:t>
      </w:r>
      <w:r>
        <w:t>mbudsman for the relevant jurisdiction as prescribed in the National Energy Retail Regulations.</w:t>
      </w:r>
    </w:p>
    <w:p w14:paraId="184A6FF2" w14:textId="30890EAE" w:rsidR="00346199" w:rsidRDefault="00346199" w:rsidP="00346199">
      <w:r w:rsidRPr="0062521A">
        <w:rPr>
          <w:rStyle w:val="Strong"/>
          <w:i/>
        </w:rPr>
        <w:t>exempt customer</w:t>
      </w:r>
      <w:r>
        <w:t xml:space="preserve"> means a person to whom an exempt person sells energy and who would be a retail customer of the seller if the seller were a retailer.</w:t>
      </w:r>
      <w:r w:rsidR="0057535D">
        <w:t xml:space="preserve"> </w:t>
      </w:r>
    </w:p>
    <w:p w14:paraId="7AB55D45" w14:textId="77777777" w:rsidR="00346199" w:rsidRDefault="00346199" w:rsidP="00346199">
      <w:r w:rsidRPr="0062521A">
        <w:rPr>
          <w:rStyle w:val="Strong"/>
          <w:i/>
        </w:rPr>
        <w:t>exempt person</w:t>
      </w:r>
      <w:r>
        <w:t xml:space="preserve"> or </w:t>
      </w:r>
      <w:r w:rsidRPr="0062521A">
        <w:rPr>
          <w:rStyle w:val="Strong"/>
          <w:i/>
        </w:rPr>
        <w:t>exempt seller</w:t>
      </w:r>
      <w:r>
        <w:t xml:space="preserve"> means a person who is exempted by the AER under a deemed, registered or individual exemption from the requirement to hold a retailer authorisation. </w:t>
      </w:r>
    </w:p>
    <w:p w14:paraId="1AC80F6A" w14:textId="1504EED3" w:rsidR="00D970F6" w:rsidRPr="00E70764" w:rsidRDefault="000B551C" w:rsidP="00EB2A5B">
      <w:pPr>
        <w:rPr>
          <w:sz w:val="23"/>
          <w:szCs w:val="23"/>
        </w:rPr>
      </w:pPr>
      <w:r>
        <w:rPr>
          <w:rStyle w:val="Strong"/>
          <w:i/>
        </w:rPr>
        <w:t>e</w:t>
      </w:r>
      <w:r w:rsidRPr="0062521A">
        <w:rPr>
          <w:rStyle w:val="Strong"/>
          <w:i/>
        </w:rPr>
        <w:t>x</w:t>
      </w:r>
      <w:r>
        <w:rPr>
          <w:rStyle w:val="Strong"/>
          <w:i/>
        </w:rPr>
        <w:t xml:space="preserve">plicit informed consent </w:t>
      </w:r>
      <w:r>
        <w:t xml:space="preserve">means </w:t>
      </w:r>
      <w:r w:rsidR="00D970F6">
        <w:t xml:space="preserve">consent given by a customer to an exempt seller </w:t>
      </w:r>
      <w:r w:rsidR="00EB2A5B">
        <w:t xml:space="preserve">where </w:t>
      </w:r>
      <w:r w:rsidR="00D970F6">
        <w:t>the exempt seller has clearly, fully and adequately disclosed all matters relevant to the consent of the customer, including each specific purpose or use of the consent; and the customer gives the consent to the transaction</w:t>
      </w:r>
      <w:r w:rsidR="00E70764">
        <w:t>:</w:t>
      </w:r>
    </w:p>
    <w:p w14:paraId="080405D7" w14:textId="77777777" w:rsidR="000B551C" w:rsidRPr="00EB2A5B" w:rsidRDefault="00D970F6" w:rsidP="00A97E11">
      <w:pPr>
        <w:pStyle w:val="ListParagraph"/>
        <w:numPr>
          <w:ilvl w:val="0"/>
          <w:numId w:val="71"/>
        </w:numPr>
        <w:rPr>
          <w:rStyle w:val="CommentReference"/>
          <w:sz w:val="22"/>
          <w:szCs w:val="22"/>
        </w:rPr>
      </w:pPr>
      <w:r w:rsidRPr="00D970F6">
        <w:t>in writing signed by the customer or</w:t>
      </w:r>
      <w:r w:rsidRPr="00EB2A5B">
        <w:rPr>
          <w:rStyle w:val="CommentReference"/>
          <w:sz w:val="22"/>
          <w:szCs w:val="22"/>
        </w:rPr>
        <w:t xml:space="preserve"> </w:t>
      </w:r>
    </w:p>
    <w:p w14:paraId="1D60C2A7" w14:textId="77777777" w:rsidR="00D970F6" w:rsidRPr="00EB2A5B" w:rsidRDefault="00D970F6" w:rsidP="00A97E11">
      <w:pPr>
        <w:pStyle w:val="ListParagraph"/>
        <w:numPr>
          <w:ilvl w:val="0"/>
          <w:numId w:val="71"/>
        </w:numPr>
        <w:rPr>
          <w:rStyle w:val="CommentReference"/>
          <w:sz w:val="22"/>
          <w:szCs w:val="22"/>
        </w:rPr>
      </w:pPr>
      <w:r w:rsidRPr="00EB2A5B">
        <w:rPr>
          <w:rStyle w:val="CommentReference"/>
          <w:sz w:val="22"/>
          <w:szCs w:val="22"/>
        </w:rPr>
        <w:t>verbally</w:t>
      </w:r>
      <w:r w:rsidR="00EB2A5B" w:rsidRPr="00EB2A5B">
        <w:rPr>
          <w:rStyle w:val="CommentReference"/>
          <w:sz w:val="22"/>
          <w:szCs w:val="22"/>
        </w:rPr>
        <w:t>, so long as the verbal consent is evidenced in such a way that it can be verified and recorded or</w:t>
      </w:r>
    </w:p>
    <w:p w14:paraId="24184754" w14:textId="77777777" w:rsidR="00EB2A5B" w:rsidRPr="00EB2A5B" w:rsidRDefault="00EB2A5B" w:rsidP="00A97E11">
      <w:pPr>
        <w:pStyle w:val="ListParagraph"/>
        <w:numPr>
          <w:ilvl w:val="0"/>
          <w:numId w:val="71"/>
        </w:numPr>
        <w:rPr>
          <w:rStyle w:val="CommentReference"/>
          <w:sz w:val="22"/>
          <w:szCs w:val="22"/>
        </w:rPr>
      </w:pPr>
      <w:r w:rsidRPr="00EB2A5B">
        <w:rPr>
          <w:rStyle w:val="CommentReference"/>
          <w:sz w:val="22"/>
          <w:szCs w:val="22"/>
        </w:rPr>
        <w:t>by electronic communication generated by the customer.</w:t>
      </w:r>
    </w:p>
    <w:p w14:paraId="52752001" w14:textId="77777777" w:rsidR="00DF76CA" w:rsidRPr="00E70764" w:rsidRDefault="00DF76CA" w:rsidP="00346199">
      <w:pPr>
        <w:rPr>
          <w:rStyle w:val="Strong"/>
          <w:b w:val="0"/>
        </w:rPr>
      </w:pPr>
      <w:r>
        <w:rPr>
          <w:rStyle w:val="Strong"/>
          <w:i/>
        </w:rPr>
        <w:t xml:space="preserve">long term resident </w:t>
      </w:r>
      <w:r>
        <w:t>of a caravan park, residential park or manufactured home estate  / park  is a person whose premises is the resident’s principal place of residence, that is, it is where the person lives most of the time and / or the person has no other place of residence.</w:t>
      </w:r>
      <w:r w:rsidRPr="00E70764">
        <w:rPr>
          <w:rStyle w:val="Strong"/>
          <w:b w:val="0"/>
        </w:rPr>
        <w:t xml:space="preserve"> </w:t>
      </w:r>
    </w:p>
    <w:p w14:paraId="7259B2EE" w14:textId="77777777" w:rsidR="00346199" w:rsidRDefault="00346199" w:rsidP="00346199">
      <w:r w:rsidRPr="0062521A">
        <w:rPr>
          <w:rStyle w:val="Strong"/>
          <w:i/>
        </w:rPr>
        <w:t>large customer</w:t>
      </w:r>
      <w:r>
        <w:t xml:space="preserve"> means a business customer who consumes energy at business premises at or above the upper consumption threshold, as defined by the relevant jurisdiction. If no threshold is defined – 100 megawatt hours per annum for electricity or 1 terajoule per annum for gas, as per the National Energy Retail Regulations SA 2012.</w:t>
      </w:r>
    </w:p>
    <w:p w14:paraId="7ADFAB37" w14:textId="6D2A0C47" w:rsidR="00376230" w:rsidRDefault="007D694F" w:rsidP="00346199">
      <w:pPr>
        <w:rPr>
          <w:rStyle w:val="Strong"/>
          <w:b w:val="0"/>
        </w:rPr>
      </w:pPr>
      <w:r>
        <w:rPr>
          <w:rStyle w:val="Strong"/>
          <w:i/>
        </w:rPr>
        <w:t>l</w:t>
      </w:r>
      <w:r w:rsidR="00376230">
        <w:rPr>
          <w:rStyle w:val="Strong"/>
          <w:i/>
        </w:rPr>
        <w:t>ife support equipment</w:t>
      </w:r>
      <w:r w:rsidR="007058EC">
        <w:rPr>
          <w:rStyle w:val="Strong"/>
          <w:b w:val="0"/>
        </w:rPr>
        <w:t xml:space="preserve"> means any of the following:</w:t>
      </w:r>
    </w:p>
    <w:p w14:paraId="1189C3D2" w14:textId="104D2523" w:rsidR="007058EC" w:rsidRDefault="007058EC" w:rsidP="00F66647">
      <w:pPr>
        <w:pStyle w:val="ListParagraph"/>
        <w:numPr>
          <w:ilvl w:val="0"/>
          <w:numId w:val="149"/>
        </w:numPr>
        <w:rPr>
          <w:rStyle w:val="Strong"/>
          <w:b w:val="0"/>
        </w:rPr>
      </w:pPr>
      <w:r>
        <w:rPr>
          <w:rStyle w:val="Strong"/>
          <w:b w:val="0"/>
        </w:rPr>
        <w:t>an oxygen concentrator</w:t>
      </w:r>
    </w:p>
    <w:p w14:paraId="47B5460C" w14:textId="66D4CA77" w:rsidR="007058EC" w:rsidRDefault="007058EC" w:rsidP="00F66647">
      <w:pPr>
        <w:pStyle w:val="ListParagraph"/>
        <w:numPr>
          <w:ilvl w:val="0"/>
          <w:numId w:val="149"/>
        </w:numPr>
        <w:rPr>
          <w:rStyle w:val="Strong"/>
          <w:b w:val="0"/>
        </w:rPr>
      </w:pPr>
      <w:r>
        <w:rPr>
          <w:rStyle w:val="Strong"/>
          <w:b w:val="0"/>
        </w:rPr>
        <w:t>an intermittent peritoneal dialysis machine</w:t>
      </w:r>
    </w:p>
    <w:p w14:paraId="7A965CF8" w14:textId="52DE467F" w:rsidR="007058EC" w:rsidRDefault="007058EC" w:rsidP="00F66647">
      <w:pPr>
        <w:pStyle w:val="ListParagraph"/>
        <w:numPr>
          <w:ilvl w:val="0"/>
          <w:numId w:val="149"/>
        </w:numPr>
        <w:rPr>
          <w:rStyle w:val="Strong"/>
          <w:b w:val="0"/>
        </w:rPr>
      </w:pPr>
      <w:r>
        <w:rPr>
          <w:rStyle w:val="Strong"/>
          <w:b w:val="0"/>
        </w:rPr>
        <w:t>a kidney dialysis machine</w:t>
      </w:r>
    </w:p>
    <w:p w14:paraId="0C6829CD" w14:textId="2556BDED" w:rsidR="007058EC" w:rsidRDefault="007058EC" w:rsidP="00F66647">
      <w:pPr>
        <w:pStyle w:val="ListParagraph"/>
        <w:numPr>
          <w:ilvl w:val="0"/>
          <w:numId w:val="149"/>
        </w:numPr>
        <w:rPr>
          <w:rStyle w:val="Strong"/>
          <w:b w:val="0"/>
        </w:rPr>
      </w:pPr>
      <w:r>
        <w:rPr>
          <w:rStyle w:val="Strong"/>
          <w:b w:val="0"/>
        </w:rPr>
        <w:t>a chronic positive airways pressure respirator</w:t>
      </w:r>
    </w:p>
    <w:p w14:paraId="13184689" w14:textId="0BC103DE" w:rsidR="007058EC" w:rsidRDefault="007058EC" w:rsidP="00F66647">
      <w:pPr>
        <w:pStyle w:val="ListParagraph"/>
        <w:numPr>
          <w:ilvl w:val="0"/>
          <w:numId w:val="149"/>
        </w:numPr>
        <w:rPr>
          <w:rStyle w:val="Strong"/>
          <w:b w:val="0"/>
        </w:rPr>
      </w:pPr>
      <w:r>
        <w:rPr>
          <w:rStyle w:val="Strong"/>
          <w:b w:val="0"/>
        </w:rPr>
        <w:t>crigler najjar syndrome phototherapy equipment</w:t>
      </w:r>
    </w:p>
    <w:p w14:paraId="06BE1C2A" w14:textId="4EF505F9" w:rsidR="007058EC" w:rsidRDefault="007058EC" w:rsidP="00F66647">
      <w:pPr>
        <w:pStyle w:val="ListParagraph"/>
        <w:numPr>
          <w:ilvl w:val="0"/>
          <w:numId w:val="149"/>
        </w:numPr>
        <w:rPr>
          <w:rStyle w:val="Strong"/>
          <w:b w:val="0"/>
        </w:rPr>
      </w:pPr>
      <w:r>
        <w:rPr>
          <w:rStyle w:val="Strong"/>
          <w:b w:val="0"/>
        </w:rPr>
        <w:t>a ventilator for life support</w:t>
      </w:r>
    </w:p>
    <w:p w14:paraId="464B39CB" w14:textId="1E2E9C02" w:rsidR="007058EC" w:rsidRPr="00F66647" w:rsidRDefault="007058EC" w:rsidP="00F66647">
      <w:pPr>
        <w:pStyle w:val="ListParagraph"/>
        <w:numPr>
          <w:ilvl w:val="0"/>
          <w:numId w:val="149"/>
        </w:numPr>
        <w:rPr>
          <w:rStyle w:val="Strong"/>
          <w:b w:val="0"/>
        </w:rPr>
      </w:pPr>
      <w:r>
        <w:rPr>
          <w:rStyle w:val="Strong"/>
          <w:b w:val="0"/>
        </w:rPr>
        <w:t xml:space="preserve">in relation to a particular customer, any other </w:t>
      </w:r>
      <w:r w:rsidR="000231D1">
        <w:rPr>
          <w:rStyle w:val="Strong"/>
          <w:b w:val="0"/>
        </w:rPr>
        <w:t>e</w:t>
      </w:r>
      <w:r>
        <w:rPr>
          <w:rStyle w:val="Strong"/>
          <w:b w:val="0"/>
        </w:rPr>
        <w:t>quipment that a registered medical practitioner certifies is required for a person residing at the customer’s premises for life support.</w:t>
      </w:r>
    </w:p>
    <w:p w14:paraId="76325C3A" w14:textId="77777777" w:rsidR="009C2818" w:rsidRDefault="00731EC9" w:rsidP="00346199">
      <w:r>
        <w:rPr>
          <w:rStyle w:val="Strong"/>
          <w:i/>
        </w:rPr>
        <w:t>on-</w:t>
      </w:r>
      <w:r w:rsidR="009C2818">
        <w:rPr>
          <w:rStyle w:val="Strong"/>
          <w:i/>
        </w:rPr>
        <w:t>market customer</w:t>
      </w:r>
      <w:r w:rsidR="009C2818">
        <w:t xml:space="preserve"> means customer of an authorised energy retailer.</w:t>
      </w:r>
    </w:p>
    <w:p w14:paraId="0509225F" w14:textId="77777777" w:rsidR="00346199" w:rsidRDefault="00346199" w:rsidP="00346199">
      <w:r w:rsidRPr="0062521A">
        <w:rPr>
          <w:rStyle w:val="Strong"/>
          <w:i/>
        </w:rPr>
        <w:t>meter</w:t>
      </w:r>
      <w:r>
        <w:t xml:space="preserve"> means any device that measures the quantity of energy passing through it or records the consumption of energy at the customer’s premises.</w:t>
      </w:r>
    </w:p>
    <w:p w14:paraId="4A784F62" w14:textId="77777777" w:rsidR="00346199" w:rsidRDefault="00346199" w:rsidP="00346199">
      <w:r w:rsidRPr="0062521A">
        <w:rPr>
          <w:rStyle w:val="Strong"/>
          <w:i/>
        </w:rPr>
        <w:t>off-grid</w:t>
      </w:r>
      <w:r>
        <w:t xml:space="preserve"> means not physically connected to the distribution or transmission systems that make up the national electricity power system.</w:t>
      </w:r>
    </w:p>
    <w:p w14:paraId="048A3746" w14:textId="77777777" w:rsidR="00346199" w:rsidRDefault="00346199" w:rsidP="00346199">
      <w:r w:rsidRPr="0062521A">
        <w:rPr>
          <w:rStyle w:val="Strong"/>
          <w:i/>
        </w:rPr>
        <w:t>onselling</w:t>
      </w:r>
      <w:r>
        <w:t xml:space="preserve"> means an arrangement where a person acquires energy from a</w:t>
      </w:r>
      <w:r w:rsidR="006E526B">
        <w:t>nother person, and</w:t>
      </w:r>
      <w:r>
        <w:t xml:space="preserve"> the</w:t>
      </w:r>
      <w:r w:rsidR="006E526B">
        <w:t>y,</w:t>
      </w:r>
      <w:r>
        <w:t xml:space="preserve"> or a person acting on their behalf</w:t>
      </w:r>
      <w:r w:rsidR="006E526B">
        <w:t>,</w:t>
      </w:r>
      <w:r>
        <w:t xml:space="preserve"> sells energy for use within the limits of </w:t>
      </w:r>
      <w:r w:rsidR="005F37E5">
        <w:t>a site</w:t>
      </w:r>
      <w:r>
        <w:t>.</w:t>
      </w:r>
    </w:p>
    <w:p w14:paraId="4C775BD0" w14:textId="5503E111" w:rsidR="00C13B5E" w:rsidRPr="00F66647" w:rsidRDefault="005B7015" w:rsidP="00F61F2B">
      <w:pPr>
        <w:rPr>
          <w:rStyle w:val="Strong"/>
          <w:b w:val="0"/>
        </w:rPr>
      </w:pPr>
      <w:r>
        <w:rPr>
          <w:rStyle w:val="Strong"/>
          <w:i/>
        </w:rPr>
        <w:t>p</w:t>
      </w:r>
      <w:r w:rsidR="00C13B5E">
        <w:rPr>
          <w:rStyle w:val="Strong"/>
          <w:i/>
        </w:rPr>
        <w:t xml:space="preserve">lanned interruption </w:t>
      </w:r>
      <w:r w:rsidR="00C13B5E">
        <w:rPr>
          <w:rStyle w:val="Strong"/>
          <w:b w:val="0"/>
        </w:rPr>
        <w:t>means an interruption of the supply of energy for the planned maintenance, repair or augmentation of</w:t>
      </w:r>
      <w:r>
        <w:rPr>
          <w:rStyle w:val="Strong"/>
          <w:b w:val="0"/>
        </w:rPr>
        <w:t xml:space="preserve"> either</w:t>
      </w:r>
      <w:r w:rsidR="00C13B5E">
        <w:rPr>
          <w:rStyle w:val="Strong"/>
          <w:b w:val="0"/>
        </w:rPr>
        <w:t xml:space="preserve"> the distribution </w:t>
      </w:r>
      <w:r>
        <w:rPr>
          <w:rStyle w:val="Strong"/>
          <w:b w:val="0"/>
        </w:rPr>
        <w:t>system or</w:t>
      </w:r>
      <w:r w:rsidR="00C13B5E">
        <w:rPr>
          <w:rStyle w:val="Strong"/>
          <w:b w:val="0"/>
        </w:rPr>
        <w:t xml:space="preserve"> the embedded network, including planned or routine maintenance of metering equipment</w:t>
      </w:r>
      <w:r>
        <w:rPr>
          <w:rStyle w:val="Strong"/>
          <w:b w:val="0"/>
        </w:rPr>
        <w:t>,</w:t>
      </w:r>
      <w:r w:rsidR="00C13B5E">
        <w:rPr>
          <w:rStyle w:val="Strong"/>
          <w:b w:val="0"/>
        </w:rPr>
        <w:t xml:space="preserve"> or the installation of a new connection or a connection alteration.</w:t>
      </w:r>
    </w:p>
    <w:p w14:paraId="457735A5" w14:textId="77777777" w:rsidR="00F61F2B" w:rsidRDefault="00F61F2B" w:rsidP="00F61F2B">
      <w:r>
        <w:rPr>
          <w:rStyle w:val="Strong"/>
          <w:i/>
        </w:rPr>
        <w:t>PPA</w:t>
      </w:r>
      <w:r>
        <w:t xml:space="preserve"> means </w:t>
      </w:r>
      <w:r w:rsidR="005C57D7">
        <w:t>a power purchase agreement, which is a financial arrangement in which a business provides, installs and maintains, at no initial cost, a</w:t>
      </w:r>
      <w:r w:rsidR="004A2032">
        <w:t>n</w:t>
      </w:r>
      <w:r w:rsidR="005C57D7">
        <w:t xml:space="preserve"> electricity </w:t>
      </w:r>
      <w:r w:rsidR="004A2032">
        <w:t>generation system at a</w:t>
      </w:r>
      <w:r w:rsidR="005C57D7">
        <w:t xml:space="preserve"> customer</w:t>
      </w:r>
      <w:r w:rsidR="004A2032">
        <w:t>’s premises</w:t>
      </w:r>
      <w:r w:rsidR="005C57D7">
        <w:t xml:space="preserve"> and in exchange, the customer buys the energy </w:t>
      </w:r>
      <w:r w:rsidR="004A2032">
        <w:t>generated</w:t>
      </w:r>
      <w:r w:rsidR="005C57D7">
        <w:t xml:space="preserve"> for an agreed period.</w:t>
      </w:r>
    </w:p>
    <w:p w14:paraId="0951E425" w14:textId="77777777" w:rsidR="00346199" w:rsidRDefault="00346199" w:rsidP="00346199">
      <w:r w:rsidRPr="0062521A">
        <w:rPr>
          <w:rStyle w:val="Strong"/>
          <w:i/>
        </w:rPr>
        <w:t xml:space="preserve">public register </w:t>
      </w:r>
      <w:r>
        <w:t xml:space="preserve">means the AER’s Public Register of Exempt Sellers under r. 164 of the National Energy Retail Rules. It includes a list of all holders of registered exemptions and individual exemptions.  </w:t>
      </w:r>
    </w:p>
    <w:p w14:paraId="25AA13D1" w14:textId="794ABE4F" w:rsidR="00BE4849" w:rsidRPr="005F37E5" w:rsidRDefault="00BE4849" w:rsidP="005F37E5">
      <w:r w:rsidRPr="005F37E5">
        <w:rPr>
          <w:b/>
          <w:i/>
        </w:rPr>
        <w:t>reconnection</w:t>
      </w:r>
      <w:r w:rsidRPr="005F37E5">
        <w:t xml:space="preserve"> </w:t>
      </w:r>
      <w:r>
        <w:t xml:space="preserve">or </w:t>
      </w:r>
      <w:r w:rsidRPr="005F37E5">
        <w:rPr>
          <w:b/>
          <w:i/>
        </w:rPr>
        <w:t>re-energisat</w:t>
      </w:r>
      <w:r w:rsidR="001B5FE7">
        <w:rPr>
          <w:b/>
          <w:i/>
        </w:rPr>
        <w:t>i</w:t>
      </w:r>
      <w:r w:rsidRPr="005F37E5">
        <w:rPr>
          <w:b/>
          <w:i/>
        </w:rPr>
        <w:t>on</w:t>
      </w:r>
      <w:r>
        <w:t xml:space="preserve"> </w:t>
      </w:r>
      <w:r w:rsidRPr="005F37E5">
        <w:t xml:space="preserve">of premises means the energisation of the premises after </w:t>
      </w:r>
      <w:r w:rsidR="007C4247">
        <w:t>its</w:t>
      </w:r>
      <w:r w:rsidR="007C4247" w:rsidRPr="005F37E5">
        <w:t xml:space="preserve"> </w:t>
      </w:r>
      <w:r w:rsidRPr="005F37E5">
        <w:t>de-energisation</w:t>
      </w:r>
      <w:r w:rsidR="004E0979">
        <w:t>.</w:t>
      </w:r>
      <w:r w:rsidRPr="005F37E5">
        <w:t xml:space="preserve"> </w:t>
      </w:r>
    </w:p>
    <w:p w14:paraId="08C7117F" w14:textId="77777777" w:rsidR="00346199" w:rsidRDefault="00346199" w:rsidP="00346199">
      <w:r w:rsidRPr="0062521A">
        <w:rPr>
          <w:rStyle w:val="Strong"/>
          <w:i/>
        </w:rPr>
        <w:t xml:space="preserve">residential customer </w:t>
      </w:r>
      <w:r>
        <w:t>means a customer who buys energy principally for personal, household or domestic use at premises.</w:t>
      </w:r>
    </w:p>
    <w:p w14:paraId="57F6DD13" w14:textId="77777777" w:rsidR="00346199" w:rsidRDefault="00346199" w:rsidP="00346199">
      <w:r w:rsidRPr="0062521A">
        <w:rPr>
          <w:rStyle w:val="Strong"/>
          <w:i/>
        </w:rPr>
        <w:t>retailer</w:t>
      </w:r>
      <w:r>
        <w:t xml:space="preserve"> means a person who is the holder of a retailer authorisation for the purposes of section 88 of the National Energy Retail Law.</w:t>
      </w:r>
    </w:p>
    <w:p w14:paraId="348BF4A0" w14:textId="77777777" w:rsidR="00F61F2B" w:rsidRDefault="00F61F2B" w:rsidP="00F61F2B">
      <w:r>
        <w:rPr>
          <w:rStyle w:val="Strong"/>
          <w:i/>
        </w:rPr>
        <w:t>retrofitting</w:t>
      </w:r>
      <w:r>
        <w:t xml:space="preserve"> means installing a private electricity network into a site that was established and serviceable by a retailer to allow onselling</w:t>
      </w:r>
      <w:r w:rsidR="00EB2A5B">
        <w:t>.</w:t>
      </w:r>
    </w:p>
    <w:p w14:paraId="783465FA" w14:textId="77777777" w:rsidR="00346199" w:rsidRDefault="00346199" w:rsidP="00346199">
      <w:r w:rsidRPr="0062521A">
        <w:rPr>
          <w:rStyle w:val="Strong"/>
          <w:i/>
        </w:rPr>
        <w:t>small customer</w:t>
      </w:r>
      <w:r>
        <w:t xml:space="preserve"> means a customer—</w:t>
      </w:r>
    </w:p>
    <w:p w14:paraId="0D392F72" w14:textId="77777777" w:rsidR="00346199" w:rsidRDefault="00346199" w:rsidP="00A97E11">
      <w:pPr>
        <w:pStyle w:val="ListParagraph"/>
        <w:numPr>
          <w:ilvl w:val="0"/>
          <w:numId w:val="73"/>
        </w:numPr>
        <w:contextualSpacing w:val="0"/>
      </w:pPr>
      <w:r>
        <w:t xml:space="preserve">who is a residential customer, or </w:t>
      </w:r>
    </w:p>
    <w:p w14:paraId="65DDD30C" w14:textId="77777777" w:rsidR="00B16E83" w:rsidRDefault="00346199" w:rsidP="00A97E11">
      <w:pPr>
        <w:pStyle w:val="ListParagraph"/>
        <w:numPr>
          <w:ilvl w:val="0"/>
          <w:numId w:val="73"/>
        </w:numPr>
        <w:contextualSpacing w:val="0"/>
      </w:pPr>
      <w:r>
        <w:t>who is a business customer who consumes energy at business premises below the upper consumption threshold, as defined by the relevant jurisdiction. If no threshold is defined – 100 megawatt hours per annum for electricity or 1 terajoule per annum for gas, as per the National Energy Retail Regulations.</w:t>
      </w:r>
    </w:p>
    <w:p w14:paraId="32900BE8" w14:textId="77777777" w:rsidR="00C13B5E" w:rsidRDefault="00F61F2B" w:rsidP="00F61F2B">
      <w:r>
        <w:rPr>
          <w:rStyle w:val="Strong"/>
          <w:i/>
        </w:rPr>
        <w:t>SPPA</w:t>
      </w:r>
      <w:r>
        <w:t xml:space="preserve"> means a solar power pu</w:t>
      </w:r>
      <w:r w:rsidR="0085327B">
        <w:t>rchase agreement</w:t>
      </w:r>
    </w:p>
    <w:p w14:paraId="09F65AC4" w14:textId="6D2D4F53" w:rsidR="00F61F2B" w:rsidRDefault="005B7015" w:rsidP="00F61F2B">
      <w:r>
        <w:rPr>
          <w:b/>
          <w:i/>
        </w:rPr>
        <w:t>u</w:t>
      </w:r>
      <w:r w:rsidR="00C13B5E">
        <w:rPr>
          <w:b/>
          <w:i/>
        </w:rPr>
        <w:t xml:space="preserve">nplanned interruption </w:t>
      </w:r>
      <w:r w:rsidR="00C13B5E">
        <w:t xml:space="preserve">means an interruption of the supply of energy to carry out unanticipated or unplanned maintenance or repairs </w:t>
      </w:r>
      <w:r w:rsidR="00776EAE">
        <w:t>to</w:t>
      </w:r>
      <w:r>
        <w:t xml:space="preserve"> either the distribution system</w:t>
      </w:r>
      <w:r w:rsidR="00776EAE">
        <w:t xml:space="preserve"> or the embedded network,  </w:t>
      </w:r>
      <w:r w:rsidR="00C13B5E">
        <w:t>in any case where there is an actual or apprehended threat to the safety, reliability or security of the supply of energy</w:t>
      </w:r>
      <w:r w:rsidR="0085327B">
        <w:t>.</w:t>
      </w:r>
    </w:p>
    <w:p w14:paraId="4B04B7CA" w14:textId="77777777" w:rsidR="00B16E83" w:rsidRDefault="00B16E83" w:rsidP="00B16E83">
      <w:r>
        <w:br w:type="page"/>
      </w:r>
    </w:p>
    <w:p w14:paraId="0F0BAF21" w14:textId="61E402DA" w:rsidR="001F2EE7" w:rsidRDefault="00910071" w:rsidP="000D344D">
      <w:pPr>
        <w:pStyle w:val="Heading1"/>
        <w:numPr>
          <w:ilvl w:val="0"/>
          <w:numId w:val="0"/>
        </w:numPr>
      </w:pPr>
      <w:bookmarkStart w:id="200" w:name="_Toc445886519"/>
      <w:bookmarkStart w:id="201" w:name="_Toc508963944"/>
      <w:r>
        <w:t>Appendix A</w:t>
      </w:r>
      <w:r w:rsidR="00B837DC">
        <w:t>-</w:t>
      </w:r>
      <w:r w:rsidR="006144F8">
        <w:t>1</w:t>
      </w:r>
      <w:r>
        <w:t xml:space="preserve">: </w:t>
      </w:r>
      <w:r w:rsidR="003C7996">
        <w:t>C</w:t>
      </w:r>
      <w:r w:rsidR="001C5AF3">
        <w:t>lasses of deemed and registr</w:t>
      </w:r>
      <w:r>
        <w:t>able exemptions and conditions</w:t>
      </w:r>
      <w:bookmarkEnd w:id="200"/>
      <w:bookmarkEnd w:id="201"/>
    </w:p>
    <w:p w14:paraId="4E4A4A4C" w14:textId="77777777" w:rsidR="00A67A66" w:rsidRPr="0049338B" w:rsidRDefault="00A67A66" w:rsidP="00A67A66">
      <w:pPr>
        <w:pStyle w:val="Caption"/>
        <w:keepNext/>
      </w:pPr>
      <w:r w:rsidRPr="0049338B">
        <w:t xml:space="preserve">Table </w:t>
      </w:r>
      <w:r w:rsidR="00880C10">
        <w:t>1</w:t>
      </w:r>
      <w:r w:rsidRPr="0049338B">
        <w:t xml:space="preserve"> </w:t>
      </w:r>
      <w:r w:rsidR="008E3B62" w:rsidRPr="0049338B">
        <w:t>–</w:t>
      </w:r>
      <w:r w:rsidRPr="0049338B">
        <w:t xml:space="preserve"> </w:t>
      </w:r>
      <w:r w:rsidR="006144F8">
        <w:t>Deemed c</w:t>
      </w:r>
      <w:r w:rsidR="006144F8" w:rsidRPr="0049338B">
        <w:t xml:space="preserve">lasses </w:t>
      </w:r>
      <w:r w:rsidR="008E3B62" w:rsidRPr="0049338B">
        <w:t>of exemption</w:t>
      </w:r>
    </w:p>
    <w:tbl>
      <w:tblPr>
        <w:tblStyle w:val="AERTable-Text"/>
        <w:tblW w:w="0" w:type="auto"/>
        <w:tblLook w:val="04A0" w:firstRow="1" w:lastRow="0" w:firstColumn="1" w:lastColumn="0" w:noHBand="0" w:noVBand="1"/>
      </w:tblPr>
      <w:tblGrid>
        <w:gridCol w:w="2093"/>
        <w:gridCol w:w="2693"/>
        <w:gridCol w:w="2268"/>
        <w:gridCol w:w="2188"/>
      </w:tblGrid>
      <w:tr w:rsidR="008E3B62" w14:paraId="407DD2E8" w14:textId="77777777" w:rsidTr="000D344D">
        <w:trPr>
          <w:cnfStyle w:val="100000000000" w:firstRow="1" w:lastRow="0" w:firstColumn="0" w:lastColumn="0" w:oddVBand="0" w:evenVBand="0" w:oddHBand="0" w:evenHBand="0" w:firstRowFirstColumn="0" w:firstRowLastColumn="0" w:lastRowFirstColumn="0" w:lastRowLastColumn="0"/>
          <w:cantSplit/>
          <w:tblHeader/>
        </w:trPr>
        <w:tc>
          <w:tcPr>
            <w:tcW w:w="2093" w:type="dxa"/>
          </w:tcPr>
          <w:p w14:paraId="13112020" w14:textId="77777777" w:rsidR="008E3B62" w:rsidRPr="004C6AA0" w:rsidRDefault="008E3B62" w:rsidP="0070263C">
            <w:r w:rsidRPr="004C6AA0">
              <w:t>Deemed exemption class</w:t>
            </w:r>
          </w:p>
        </w:tc>
        <w:tc>
          <w:tcPr>
            <w:tcW w:w="2693" w:type="dxa"/>
          </w:tcPr>
          <w:p w14:paraId="130A2F4A" w14:textId="77777777" w:rsidR="008E3B62" w:rsidRPr="004C6AA0" w:rsidRDefault="008E3B62" w:rsidP="0070263C">
            <w:r w:rsidRPr="004C6AA0">
              <w:t>Application</w:t>
            </w:r>
          </w:p>
        </w:tc>
        <w:tc>
          <w:tcPr>
            <w:tcW w:w="2268" w:type="dxa"/>
          </w:tcPr>
          <w:p w14:paraId="08C4DE30" w14:textId="77777777" w:rsidR="008E3B62" w:rsidRPr="004C6AA0" w:rsidRDefault="008E3B62" w:rsidP="0070263C">
            <w:r w:rsidRPr="004C6AA0">
              <w:t>Class criteria</w:t>
            </w:r>
          </w:p>
        </w:tc>
        <w:tc>
          <w:tcPr>
            <w:tcW w:w="2188" w:type="dxa"/>
          </w:tcPr>
          <w:p w14:paraId="038C82AD" w14:textId="77777777" w:rsidR="008E3B62" w:rsidRDefault="009F2A23" w:rsidP="0070263C">
            <w:r>
              <w:t>Class restrictions</w:t>
            </w:r>
          </w:p>
        </w:tc>
      </w:tr>
      <w:tr w:rsidR="008E3B62" w14:paraId="13EB3446" w14:textId="77777777" w:rsidTr="0082284E">
        <w:trPr>
          <w:cantSplit/>
        </w:trPr>
        <w:tc>
          <w:tcPr>
            <w:tcW w:w="2093" w:type="dxa"/>
          </w:tcPr>
          <w:p w14:paraId="3610E0A1" w14:textId="77777777" w:rsidR="008E3B62" w:rsidRPr="008E3B62" w:rsidRDefault="008E3B62" w:rsidP="008E3B62">
            <w:pPr>
              <w:rPr>
                <w:b/>
              </w:rPr>
            </w:pPr>
            <w:r w:rsidRPr="008E3B62">
              <w:rPr>
                <w:b/>
              </w:rPr>
              <w:t>Class D1</w:t>
            </w:r>
          </w:p>
          <w:p w14:paraId="40864BDE" w14:textId="6E05C523" w:rsidR="008E3B62" w:rsidRDefault="008E3B62" w:rsidP="00107FDE">
            <w:r>
              <w:t>Persons selling metered energy to fewer than ten small commercial/retail customers within the limits of a site that they own, occupy or operate.</w:t>
            </w:r>
          </w:p>
        </w:tc>
        <w:tc>
          <w:tcPr>
            <w:tcW w:w="2693" w:type="dxa"/>
          </w:tcPr>
          <w:p w14:paraId="7B195325" w14:textId="77777777" w:rsidR="008E3B62" w:rsidRDefault="00063ECE" w:rsidP="008E3B62">
            <w:r>
              <w:t>Applies (but is not limited to) b</w:t>
            </w:r>
            <w:r w:rsidR="008E3B62">
              <w:t xml:space="preserve">odies corporate, landlords, lessors or property managers  who sell energy in commercial or retail developments such as shopping centres, office buildings, airports and industrial parks. </w:t>
            </w:r>
          </w:p>
          <w:p w14:paraId="1597A7EF" w14:textId="77777777" w:rsidR="008E3B62" w:rsidRDefault="008E3B62" w:rsidP="008E3B62">
            <w:r>
              <w:t>Customers are commercial or retail customers.</w:t>
            </w:r>
          </w:p>
        </w:tc>
        <w:tc>
          <w:tcPr>
            <w:tcW w:w="2268" w:type="dxa"/>
          </w:tcPr>
          <w:p w14:paraId="7612281B" w14:textId="77777777" w:rsidR="008E3B62" w:rsidRDefault="008E3B62" w:rsidP="008E3B62">
            <w:r>
              <w:t>Energy is used for premises within the limits of a site owned, occupied or operated by the person, and</w:t>
            </w:r>
          </w:p>
          <w:p w14:paraId="31997B10" w14:textId="77777777" w:rsidR="008E3B62" w:rsidRDefault="008E3B62" w:rsidP="008E3B62">
            <w:r>
              <w:t>Each premises is separately metered</w:t>
            </w:r>
            <w:r w:rsidR="00E862A4">
              <w:t xml:space="preserve">, </w:t>
            </w:r>
            <w:r>
              <w:t>and</w:t>
            </w:r>
          </w:p>
          <w:p w14:paraId="6812D3D3" w14:textId="77777777" w:rsidR="008E3B62" w:rsidRDefault="008E3B62" w:rsidP="008E3B62">
            <w:r>
              <w:t>The site has fewer than 10 commercial or retail premises.</w:t>
            </w:r>
          </w:p>
        </w:tc>
        <w:tc>
          <w:tcPr>
            <w:tcW w:w="2188" w:type="dxa"/>
          </w:tcPr>
          <w:p w14:paraId="35553CA4" w14:textId="77777777" w:rsidR="00E862A4" w:rsidRDefault="008E3B62" w:rsidP="00E862A4">
            <w:r w:rsidRPr="008E3B62">
              <w:t xml:space="preserve">Class </w:t>
            </w:r>
            <w:r w:rsidR="001B48DA">
              <w:t>remains open except for sites where</w:t>
            </w:r>
            <w:r w:rsidR="00E862A4">
              <w:t xml:space="preserve"> </w:t>
            </w:r>
            <w:r w:rsidRPr="0069035F">
              <w:t xml:space="preserve">embedded networks are retrofitted </w:t>
            </w:r>
            <w:r w:rsidR="00E70764">
              <w:t>after 1 </w:t>
            </w:r>
            <w:r w:rsidRPr="0069035F">
              <w:t>January 2015</w:t>
            </w:r>
            <w:r w:rsidR="002A2EF4">
              <w:t xml:space="preserve"> and the applicant is unable to obtain the explicit informed consent of all affected customers</w:t>
            </w:r>
            <w:r w:rsidR="00E862A4">
              <w:t xml:space="preserve">. </w:t>
            </w:r>
          </w:p>
          <w:p w14:paraId="22042424" w14:textId="77777777" w:rsidR="008E3B62" w:rsidRPr="00E862A4" w:rsidRDefault="00A06177" w:rsidP="00A06177">
            <w:r w:rsidRPr="00A06177">
              <w:t>Individual exemptions will be required if</w:t>
            </w:r>
            <w:r>
              <w:rPr>
                <w:b/>
              </w:rPr>
              <w:t xml:space="preserve"> </w:t>
            </w:r>
            <w:r w:rsidR="00E862A4" w:rsidRPr="00E862A4">
              <w:rPr>
                <w:b/>
              </w:rPr>
              <w:t xml:space="preserve">explicit informed consent </w:t>
            </w:r>
            <w:r w:rsidRPr="00A06177">
              <w:t>cannot be obtained</w:t>
            </w:r>
            <w:r>
              <w:t>.</w:t>
            </w:r>
          </w:p>
        </w:tc>
      </w:tr>
      <w:tr w:rsidR="008E3B62" w14:paraId="6C03A4F5" w14:textId="77777777" w:rsidTr="0082284E">
        <w:trPr>
          <w:cnfStyle w:val="000000010000" w:firstRow="0" w:lastRow="0" w:firstColumn="0" w:lastColumn="0" w:oddVBand="0" w:evenVBand="0" w:oddHBand="0" w:evenHBand="1" w:firstRowFirstColumn="0" w:firstRowLastColumn="0" w:lastRowFirstColumn="0" w:lastRowLastColumn="0"/>
          <w:cantSplit/>
        </w:trPr>
        <w:tc>
          <w:tcPr>
            <w:tcW w:w="2093" w:type="dxa"/>
          </w:tcPr>
          <w:p w14:paraId="414127F0" w14:textId="77777777" w:rsidR="008E3B62" w:rsidRPr="00373CA3" w:rsidRDefault="008E3B62" w:rsidP="008E3B62">
            <w:pPr>
              <w:rPr>
                <w:b/>
              </w:rPr>
            </w:pPr>
            <w:r w:rsidRPr="00373CA3">
              <w:rPr>
                <w:b/>
              </w:rPr>
              <w:t xml:space="preserve">Class D2 </w:t>
            </w:r>
          </w:p>
          <w:p w14:paraId="7BA5F91A" w14:textId="77777777" w:rsidR="008E3B62" w:rsidRPr="00B61C4F" w:rsidRDefault="008E3B62" w:rsidP="008E3B62">
            <w:r w:rsidRPr="00373CA3">
              <w:t>Persons selling metered ener</w:t>
            </w:r>
            <w:r w:rsidRPr="00B61C4F">
              <w:t>gy to fewer than ten residential customers within the limits of a site that they own, occupy or operate.</w:t>
            </w:r>
          </w:p>
        </w:tc>
        <w:tc>
          <w:tcPr>
            <w:tcW w:w="2693" w:type="dxa"/>
          </w:tcPr>
          <w:p w14:paraId="29524F43" w14:textId="77777777" w:rsidR="008E3B62" w:rsidRPr="003A59E1" w:rsidRDefault="00063ECE" w:rsidP="008E3B62">
            <w:r w:rsidRPr="00B61C4F">
              <w:t xml:space="preserve">Applies (but is not limited to) bodies </w:t>
            </w:r>
            <w:r w:rsidR="008E3B62" w:rsidRPr="00B61C4F">
              <w:t xml:space="preserve">corporate, landlords, owners and operators of rooming houses, lessors, or property managers who sell </w:t>
            </w:r>
            <w:r w:rsidR="008E3B62" w:rsidRPr="003A59E1">
              <w:t xml:space="preserve">energy to residential dwellings such as units, standard apartments, flats and purpose built off-site student accommodation. </w:t>
            </w:r>
          </w:p>
          <w:p w14:paraId="55B777B5" w14:textId="77777777" w:rsidR="008E3B62" w:rsidRPr="00D66713" w:rsidRDefault="008E3B62" w:rsidP="008E3B62">
            <w:r w:rsidRPr="00D66713">
              <w:t>Customers include tenants, occupants and owner-occupants.</w:t>
            </w:r>
          </w:p>
        </w:tc>
        <w:tc>
          <w:tcPr>
            <w:tcW w:w="2268" w:type="dxa"/>
          </w:tcPr>
          <w:p w14:paraId="7A7847B2" w14:textId="77777777" w:rsidR="008E3B62" w:rsidRPr="003A59E1" w:rsidRDefault="008E3B62" w:rsidP="008E3B62">
            <w:r w:rsidRPr="003A59E1">
              <w:t>Energy is used for premises within the limits of a site owned, occupied or operated by the person, and</w:t>
            </w:r>
          </w:p>
          <w:p w14:paraId="73637BE9" w14:textId="77777777" w:rsidR="008E3B62" w:rsidRPr="003A59E1" w:rsidRDefault="008E3B62" w:rsidP="008E3B62">
            <w:r w:rsidRPr="003A59E1">
              <w:t>Each premises is separately metered, and</w:t>
            </w:r>
          </w:p>
          <w:p w14:paraId="4A958A69" w14:textId="77777777" w:rsidR="008E3B62" w:rsidRPr="003A59E1" w:rsidRDefault="008E3B62" w:rsidP="008E3B62">
            <w:r w:rsidRPr="003A59E1">
              <w:t>The site has fewer than 10 residential premises.</w:t>
            </w:r>
          </w:p>
        </w:tc>
        <w:tc>
          <w:tcPr>
            <w:tcW w:w="2188" w:type="dxa"/>
          </w:tcPr>
          <w:p w14:paraId="65EBC638" w14:textId="77777777" w:rsidR="009A73F8" w:rsidRPr="003A59E1" w:rsidRDefault="00E862A4" w:rsidP="00E862A4">
            <w:r w:rsidRPr="003A59E1">
              <w:t>Class remains open except for sites where embedded n</w:t>
            </w:r>
            <w:r w:rsidR="00E70764" w:rsidRPr="003A59E1">
              <w:t>etworks are retrofitted after 1 </w:t>
            </w:r>
            <w:r w:rsidRPr="003A59E1">
              <w:t>January 2015</w:t>
            </w:r>
            <w:r w:rsidR="00B747AE" w:rsidRPr="003A59E1">
              <w:t xml:space="preserve">. </w:t>
            </w:r>
          </w:p>
          <w:p w14:paraId="212037A6" w14:textId="77777777" w:rsidR="008E3B62" w:rsidRPr="00373CA3" w:rsidRDefault="00B747AE" w:rsidP="00E70764">
            <w:r w:rsidRPr="003A59E1">
              <w:t>Individual exemptions are required from that date</w:t>
            </w:r>
            <w:r w:rsidRPr="00373CA3">
              <w:t>.</w:t>
            </w:r>
            <w:r w:rsidR="00A06177" w:rsidRPr="00373CA3">
              <w:t xml:space="preserve"> </w:t>
            </w:r>
          </w:p>
        </w:tc>
      </w:tr>
      <w:tr w:rsidR="008E3B62" w14:paraId="7DEAD42A" w14:textId="77777777" w:rsidTr="0082284E">
        <w:trPr>
          <w:cantSplit/>
        </w:trPr>
        <w:tc>
          <w:tcPr>
            <w:tcW w:w="2093" w:type="dxa"/>
          </w:tcPr>
          <w:p w14:paraId="62DC3A0C" w14:textId="77777777" w:rsidR="008E3B62" w:rsidRPr="008E3B62" w:rsidRDefault="008E3B62" w:rsidP="008E3B62">
            <w:pPr>
              <w:rPr>
                <w:b/>
              </w:rPr>
            </w:pPr>
            <w:r w:rsidRPr="008E3B62">
              <w:rPr>
                <w:b/>
              </w:rPr>
              <w:t>Class D3</w:t>
            </w:r>
          </w:p>
          <w:p w14:paraId="35ABBF8B" w14:textId="77777777" w:rsidR="008E3B62" w:rsidRDefault="008E3B62" w:rsidP="008E3B62">
            <w:r>
              <w:t>Persons selling metered energy to occupants of holiday accommodation on a short-term basis.</w:t>
            </w:r>
          </w:p>
        </w:tc>
        <w:tc>
          <w:tcPr>
            <w:tcW w:w="2693" w:type="dxa"/>
          </w:tcPr>
          <w:p w14:paraId="18E00187" w14:textId="77777777" w:rsidR="008E3B62" w:rsidRDefault="008E3B62" w:rsidP="008E3B62">
            <w:r>
              <w:t>Customers are short term occupants of holiday accommodation including</w:t>
            </w:r>
            <w:r w:rsidR="000D344D">
              <w:t xml:space="preserve"> (but not limited to)</w:t>
            </w:r>
            <w:r>
              <w:t xml:space="preserve"> hotels, motels, inns, holiday flats, holiday cabins, campsites, caravan parks and marinas.</w:t>
            </w:r>
          </w:p>
          <w:p w14:paraId="64A75D33" w14:textId="77777777" w:rsidR="008E3B62" w:rsidRDefault="008E3B62" w:rsidP="008E3B62">
            <w:r>
              <w:t>Customers do not include residents of caravan parks, residential parks and manufactured home estates</w:t>
            </w:r>
            <w:r w:rsidR="00114749">
              <w:t xml:space="preserve"> who </w:t>
            </w:r>
            <w:r w:rsidR="00114749" w:rsidRPr="000E61C6">
              <w:t>principally reside</w:t>
            </w:r>
            <w:r w:rsidR="00114749">
              <w:t xml:space="preserve"> there</w:t>
            </w:r>
            <w:r>
              <w:t xml:space="preserve">.  Persons selling to </w:t>
            </w:r>
            <w:r w:rsidR="00114749">
              <w:t>these customers</w:t>
            </w:r>
            <w:r>
              <w:t xml:space="preserve"> are covered by registrable exemption R4. </w:t>
            </w:r>
          </w:p>
          <w:p w14:paraId="03AF6079" w14:textId="77777777" w:rsidR="008E3B62" w:rsidRDefault="008E3B62" w:rsidP="008E3B62"/>
        </w:tc>
        <w:tc>
          <w:tcPr>
            <w:tcW w:w="2268" w:type="dxa"/>
          </w:tcPr>
          <w:p w14:paraId="7A14A77E" w14:textId="77777777" w:rsidR="008E3B62" w:rsidRPr="008A1075" w:rsidRDefault="008E3B62" w:rsidP="008E3B62">
            <w:pPr>
              <w:rPr>
                <w:szCs w:val="20"/>
              </w:rPr>
            </w:pPr>
            <w:r w:rsidRPr="006C333E">
              <w:rPr>
                <w:szCs w:val="20"/>
              </w:rPr>
              <w:t>Energy is used for premises within the limits of a site owned, occupied or oper</w:t>
            </w:r>
            <w:r w:rsidRPr="008A1075">
              <w:rPr>
                <w:szCs w:val="20"/>
              </w:rPr>
              <w:t>ated by the person, and</w:t>
            </w:r>
          </w:p>
          <w:p w14:paraId="056A8D0E" w14:textId="77777777" w:rsidR="008E3B62" w:rsidRPr="00653953" w:rsidRDefault="008E3B62" w:rsidP="008E3B62">
            <w:pPr>
              <w:spacing w:line="276" w:lineRule="auto"/>
              <w:rPr>
                <w:szCs w:val="20"/>
              </w:rPr>
            </w:pPr>
            <w:r w:rsidRPr="0063150A">
              <w:rPr>
                <w:szCs w:val="20"/>
              </w:rPr>
              <w:t>Each premises is separately metered, and</w:t>
            </w:r>
          </w:p>
          <w:p w14:paraId="63B2045C" w14:textId="77777777" w:rsidR="008E3B62" w:rsidRPr="00653953" w:rsidRDefault="008E3B62" w:rsidP="008E3B62">
            <w:pPr>
              <w:spacing w:line="276" w:lineRule="auto"/>
              <w:rPr>
                <w:szCs w:val="20"/>
              </w:rPr>
            </w:pPr>
            <w:r w:rsidRPr="0063150A">
              <w:rPr>
                <w:szCs w:val="20"/>
              </w:rPr>
              <w:t>The occupancy is short-term, that is, the resident</w:t>
            </w:r>
            <w:r w:rsidR="00114749">
              <w:rPr>
                <w:szCs w:val="20"/>
              </w:rPr>
              <w:t xml:space="preserve"> does not principally reside there</w:t>
            </w:r>
            <w:r w:rsidR="00011005">
              <w:rPr>
                <w:szCs w:val="20"/>
              </w:rPr>
              <w:t xml:space="preserve"> </w:t>
            </w:r>
            <w:r w:rsidRPr="0063150A">
              <w:rPr>
                <w:szCs w:val="20"/>
              </w:rPr>
              <w:t>and</w:t>
            </w:r>
          </w:p>
          <w:p w14:paraId="3F5E390E" w14:textId="77777777" w:rsidR="008E3B62" w:rsidRPr="00653953" w:rsidRDefault="008E3B62" w:rsidP="008E3B62">
            <w:pPr>
              <w:spacing w:line="276" w:lineRule="auto"/>
              <w:rPr>
                <w:szCs w:val="20"/>
              </w:rPr>
            </w:pPr>
            <w:r w:rsidRPr="0063150A">
              <w:rPr>
                <w:szCs w:val="20"/>
              </w:rPr>
              <w:t xml:space="preserve">There is a separate itemised item for the sale of energy.  </w:t>
            </w:r>
          </w:p>
        </w:tc>
        <w:tc>
          <w:tcPr>
            <w:tcW w:w="2188" w:type="dxa"/>
          </w:tcPr>
          <w:p w14:paraId="1CBF9CB0" w14:textId="77777777" w:rsidR="008E3B62" w:rsidRPr="006C333E" w:rsidRDefault="008E3B62" w:rsidP="00A67A66">
            <w:pPr>
              <w:rPr>
                <w:rFonts w:cs="Arial"/>
                <w:szCs w:val="20"/>
              </w:rPr>
            </w:pPr>
            <w:r w:rsidRPr="006C333E">
              <w:rPr>
                <w:rFonts w:cs="Arial"/>
                <w:szCs w:val="20"/>
                <w:lang w:val="en-GB"/>
              </w:rPr>
              <w:t>Class remains open.</w:t>
            </w:r>
          </w:p>
        </w:tc>
      </w:tr>
      <w:tr w:rsidR="008E3B62" w14:paraId="516F7B9F" w14:textId="77777777" w:rsidTr="0082284E">
        <w:trPr>
          <w:cnfStyle w:val="000000010000" w:firstRow="0" w:lastRow="0" w:firstColumn="0" w:lastColumn="0" w:oddVBand="0" w:evenVBand="0" w:oddHBand="0" w:evenHBand="1" w:firstRowFirstColumn="0" w:firstRowLastColumn="0" w:lastRowFirstColumn="0" w:lastRowLastColumn="0"/>
          <w:cantSplit/>
        </w:trPr>
        <w:tc>
          <w:tcPr>
            <w:tcW w:w="2093" w:type="dxa"/>
          </w:tcPr>
          <w:p w14:paraId="34DA535B" w14:textId="77777777" w:rsidR="008E3B62" w:rsidRDefault="008E3B62" w:rsidP="00011005">
            <w:r w:rsidRPr="008E3B62">
              <w:rPr>
                <w:b/>
              </w:rPr>
              <w:t>Class D4</w:t>
            </w:r>
            <w:r w:rsidR="000D344D">
              <w:t xml:space="preserve"> </w:t>
            </w:r>
            <w:r w:rsidRPr="008E3B62">
              <w:t xml:space="preserve"> </w:t>
            </w:r>
          </w:p>
          <w:p w14:paraId="36BCACE4" w14:textId="77777777" w:rsidR="005A3AE5" w:rsidRDefault="005A3AE5" w:rsidP="005A3AE5">
            <w:r>
              <w:t>Persons temporarily selling energy on construction sites.</w:t>
            </w:r>
          </w:p>
        </w:tc>
        <w:tc>
          <w:tcPr>
            <w:tcW w:w="2693" w:type="dxa"/>
          </w:tcPr>
          <w:p w14:paraId="7F4170B4" w14:textId="77777777" w:rsidR="008E3B62" w:rsidRDefault="00011005" w:rsidP="00A67A66">
            <w:r>
              <w:t>Temporary supply for the construction and commissioning phase of building, civil, construction, industrial, transport, mining or other projects</w:t>
            </w:r>
          </w:p>
        </w:tc>
        <w:tc>
          <w:tcPr>
            <w:tcW w:w="2268" w:type="dxa"/>
          </w:tcPr>
          <w:p w14:paraId="0C8DAD58" w14:textId="77777777" w:rsidR="008E3B62" w:rsidRDefault="00011005" w:rsidP="00A67A66">
            <w:r>
              <w:t>Incidental supply to facilitate bona fide construction and commissioning of new facilities on the same or an adjoin site</w:t>
            </w:r>
          </w:p>
        </w:tc>
        <w:tc>
          <w:tcPr>
            <w:tcW w:w="2188" w:type="dxa"/>
          </w:tcPr>
          <w:p w14:paraId="323FB780" w14:textId="77777777" w:rsidR="008E3B62" w:rsidRPr="008E3B62" w:rsidRDefault="00A54E81" w:rsidP="00A67A66">
            <w:r>
              <w:t>Class remains open</w:t>
            </w:r>
          </w:p>
        </w:tc>
      </w:tr>
      <w:tr w:rsidR="008E3B62" w14:paraId="7F1FAF0A" w14:textId="77777777" w:rsidTr="0082284E">
        <w:trPr>
          <w:cantSplit/>
        </w:trPr>
        <w:tc>
          <w:tcPr>
            <w:tcW w:w="2093" w:type="dxa"/>
          </w:tcPr>
          <w:p w14:paraId="3CE65F99" w14:textId="77777777" w:rsidR="008E3B62" w:rsidRPr="008E3B62" w:rsidRDefault="008E3B62" w:rsidP="008E3B62">
            <w:pPr>
              <w:rPr>
                <w:b/>
              </w:rPr>
            </w:pPr>
            <w:r w:rsidRPr="008E3B62">
              <w:rPr>
                <w:b/>
              </w:rPr>
              <w:t>Class D5</w:t>
            </w:r>
          </w:p>
          <w:p w14:paraId="6CEE4C71" w14:textId="77777777" w:rsidR="008E3B62" w:rsidRDefault="008E3B62" w:rsidP="008E3B62">
            <w:r>
              <w:t>Persons selling unmetered gas to individual premises where gas is used for limited purposes.</w:t>
            </w:r>
          </w:p>
        </w:tc>
        <w:tc>
          <w:tcPr>
            <w:tcW w:w="2693" w:type="dxa"/>
          </w:tcPr>
          <w:p w14:paraId="0CF77F6B" w14:textId="77777777" w:rsidR="008E3B62" w:rsidRDefault="008E3B62" w:rsidP="008E3B62">
            <w:r>
              <w:t>Gas that is sold for limited purposes, for example, for use in cooking appliances. It does not include gas used in the production of bulk or stored hot water.</w:t>
            </w:r>
          </w:p>
          <w:p w14:paraId="0DDFE2CC" w14:textId="77777777" w:rsidR="008E3B62" w:rsidRDefault="008E3B62" w:rsidP="008E3B62"/>
        </w:tc>
        <w:tc>
          <w:tcPr>
            <w:tcW w:w="2268" w:type="dxa"/>
          </w:tcPr>
          <w:p w14:paraId="610C650E" w14:textId="77777777" w:rsidR="008E3B62" w:rsidRDefault="008E3B62" w:rsidP="008E3B62">
            <w:r>
              <w:t>Gas is used for premises within the limits of a site owned, occupied or operated by the person and</w:t>
            </w:r>
          </w:p>
          <w:p w14:paraId="338DA5B9" w14:textId="77777777" w:rsidR="008E3B62" w:rsidRDefault="008E3B62" w:rsidP="008E3B62">
            <w:r>
              <w:t>The premises are not separately metered for gas consumption, and</w:t>
            </w:r>
          </w:p>
          <w:p w14:paraId="5C1B89AA" w14:textId="77777777" w:rsidR="008E3B62" w:rsidRDefault="008E3B62" w:rsidP="008E3B62">
            <w:r>
              <w:t>There is a separate itemised charge for the gas sold, and</w:t>
            </w:r>
          </w:p>
          <w:p w14:paraId="277D2855" w14:textId="77777777" w:rsidR="008E3B62" w:rsidRDefault="008E3B62" w:rsidP="008E3B62">
            <w:r>
              <w:t>Gas is not used for space heating.</w:t>
            </w:r>
          </w:p>
        </w:tc>
        <w:tc>
          <w:tcPr>
            <w:tcW w:w="2188" w:type="dxa"/>
          </w:tcPr>
          <w:p w14:paraId="07811C19" w14:textId="77777777" w:rsidR="008E3B62" w:rsidRDefault="008E3B62" w:rsidP="00A67A66">
            <w:r w:rsidRPr="008E3B62">
              <w:t>Class remains open.</w:t>
            </w:r>
          </w:p>
        </w:tc>
      </w:tr>
      <w:tr w:rsidR="008E3B62" w14:paraId="37A8EE40" w14:textId="77777777" w:rsidTr="0082284E">
        <w:trPr>
          <w:cnfStyle w:val="000000010000" w:firstRow="0" w:lastRow="0" w:firstColumn="0" w:lastColumn="0" w:oddVBand="0" w:evenVBand="0" w:oddHBand="0" w:evenHBand="1" w:firstRowFirstColumn="0" w:firstRowLastColumn="0" w:lastRowFirstColumn="0" w:lastRowLastColumn="0"/>
          <w:cantSplit/>
        </w:trPr>
        <w:tc>
          <w:tcPr>
            <w:tcW w:w="2093" w:type="dxa"/>
          </w:tcPr>
          <w:p w14:paraId="7D8B092A" w14:textId="77777777" w:rsidR="008E3B62" w:rsidRPr="008E3B62" w:rsidRDefault="008E3B62" w:rsidP="008E3B62">
            <w:pPr>
              <w:rPr>
                <w:b/>
              </w:rPr>
            </w:pPr>
            <w:r w:rsidRPr="008E3B62">
              <w:rPr>
                <w:b/>
              </w:rPr>
              <w:t>Class D6</w:t>
            </w:r>
          </w:p>
          <w:p w14:paraId="59EB9E19" w14:textId="77777777" w:rsidR="008E3B62" w:rsidRDefault="008E3B62" w:rsidP="00825379">
            <w:r>
              <w:t xml:space="preserve">Persons selling unmetered electricity to </w:t>
            </w:r>
            <w:r w:rsidR="00825379">
              <w:t xml:space="preserve">residential </w:t>
            </w:r>
            <w:r>
              <w:t>customers in Queensland.</w:t>
            </w:r>
          </w:p>
        </w:tc>
        <w:tc>
          <w:tcPr>
            <w:tcW w:w="2693" w:type="dxa"/>
          </w:tcPr>
          <w:p w14:paraId="3F1CF914" w14:textId="77777777" w:rsidR="008E3B62" w:rsidRDefault="008E3B62" w:rsidP="008E3B62"/>
        </w:tc>
        <w:tc>
          <w:tcPr>
            <w:tcW w:w="2268" w:type="dxa"/>
          </w:tcPr>
          <w:p w14:paraId="558C3F7E" w14:textId="77777777" w:rsidR="008E3B62" w:rsidRDefault="008E3B62" w:rsidP="008E3B62">
            <w:r>
              <w:t>Electricity is used for premises within the limits of a site owned, occupied or operated by the person, and</w:t>
            </w:r>
          </w:p>
          <w:p w14:paraId="006CACB4" w14:textId="77777777" w:rsidR="008E3B62" w:rsidRDefault="008E3B62" w:rsidP="008E3B62">
            <w:r>
              <w:t>Premises are not separately metered, and</w:t>
            </w:r>
          </w:p>
          <w:p w14:paraId="642A2664" w14:textId="77777777" w:rsidR="008E3B62" w:rsidRDefault="008E3B62" w:rsidP="008E3B62">
            <w:r>
              <w:t>The relationship between the seller and customer is covered by the Residential Tenancies and Rooming Accommodation Act 2008 (Qld).</w:t>
            </w:r>
          </w:p>
        </w:tc>
        <w:tc>
          <w:tcPr>
            <w:tcW w:w="2188" w:type="dxa"/>
          </w:tcPr>
          <w:p w14:paraId="400FC297" w14:textId="77777777" w:rsidR="008E3B62" w:rsidRDefault="008E3B62" w:rsidP="00A67A66">
            <w:r w:rsidRPr="008E3B62">
              <w:t>Class remains open until Queensland legislation no longer permits this type of selling.</w:t>
            </w:r>
          </w:p>
        </w:tc>
      </w:tr>
      <w:tr w:rsidR="008E3B62" w14:paraId="291ABBD7" w14:textId="77777777" w:rsidTr="0082284E">
        <w:trPr>
          <w:cantSplit/>
        </w:trPr>
        <w:tc>
          <w:tcPr>
            <w:tcW w:w="2093" w:type="dxa"/>
          </w:tcPr>
          <w:p w14:paraId="66C8ED75" w14:textId="77777777" w:rsidR="008E3B62" w:rsidRPr="008E3B62" w:rsidRDefault="008E3B62" w:rsidP="00A67A66">
            <w:pPr>
              <w:rPr>
                <w:b/>
              </w:rPr>
            </w:pPr>
            <w:r w:rsidRPr="008E3B62">
              <w:rPr>
                <w:b/>
              </w:rPr>
              <w:t>Class D7 - DELETED</w:t>
            </w:r>
          </w:p>
        </w:tc>
        <w:tc>
          <w:tcPr>
            <w:tcW w:w="2693" w:type="dxa"/>
          </w:tcPr>
          <w:p w14:paraId="454A8409" w14:textId="77777777" w:rsidR="008E3B62" w:rsidRDefault="008E3B62" w:rsidP="00A67A66"/>
        </w:tc>
        <w:tc>
          <w:tcPr>
            <w:tcW w:w="2268" w:type="dxa"/>
          </w:tcPr>
          <w:p w14:paraId="56B821A3" w14:textId="77777777" w:rsidR="008E3B62" w:rsidRDefault="008E3B62" w:rsidP="00A67A66"/>
        </w:tc>
        <w:tc>
          <w:tcPr>
            <w:tcW w:w="2188" w:type="dxa"/>
          </w:tcPr>
          <w:p w14:paraId="70EF5848" w14:textId="77777777" w:rsidR="008E3B62" w:rsidRDefault="008E3B62" w:rsidP="00A67A66">
            <w:r w:rsidRPr="008E3B62">
              <w:t>This exemption class has been revoked</w:t>
            </w:r>
          </w:p>
        </w:tc>
      </w:tr>
      <w:tr w:rsidR="008E3B62" w14:paraId="055DD31F" w14:textId="77777777" w:rsidTr="0082284E">
        <w:trPr>
          <w:cnfStyle w:val="000000010000" w:firstRow="0" w:lastRow="0" w:firstColumn="0" w:lastColumn="0" w:oddVBand="0" w:evenVBand="0" w:oddHBand="0" w:evenHBand="1" w:firstRowFirstColumn="0" w:firstRowLastColumn="0" w:lastRowFirstColumn="0" w:lastRowLastColumn="0"/>
          <w:cantSplit/>
        </w:trPr>
        <w:tc>
          <w:tcPr>
            <w:tcW w:w="2093" w:type="dxa"/>
          </w:tcPr>
          <w:p w14:paraId="01A50059" w14:textId="77777777" w:rsidR="008E3B62" w:rsidRPr="008E3B62" w:rsidRDefault="008E3B62" w:rsidP="008E3B62">
            <w:pPr>
              <w:rPr>
                <w:b/>
              </w:rPr>
            </w:pPr>
            <w:r w:rsidRPr="008E3B62">
              <w:rPr>
                <w:b/>
              </w:rPr>
              <w:t>Class D8</w:t>
            </w:r>
          </w:p>
          <w:p w14:paraId="320B169F" w14:textId="77777777" w:rsidR="008E3B62" w:rsidRDefault="008E3B62" w:rsidP="008E3B62">
            <w:r>
              <w:t>Persons selling energy to a related company.</w:t>
            </w:r>
          </w:p>
        </w:tc>
        <w:tc>
          <w:tcPr>
            <w:tcW w:w="2693" w:type="dxa"/>
          </w:tcPr>
          <w:p w14:paraId="6E6FA5C1" w14:textId="77777777" w:rsidR="008E3B62" w:rsidRDefault="008E3B62" w:rsidP="008E3B62">
            <w:r>
              <w:t>Persons or companies who sell energy to a related company where the person or company controls, or is controlled by, another company including where:</w:t>
            </w:r>
          </w:p>
          <w:p w14:paraId="4C36DA35" w14:textId="77777777" w:rsidR="008E3B62" w:rsidRPr="00A54E81" w:rsidRDefault="008E3B62" w:rsidP="00A97E11">
            <w:pPr>
              <w:pStyle w:val="ListParagraph"/>
              <w:numPr>
                <w:ilvl w:val="0"/>
                <w:numId w:val="10"/>
              </w:numPr>
            </w:pPr>
            <w:r w:rsidRPr="00A54E81">
              <w:t xml:space="preserve">a company is a subsidiary of another company, or </w:t>
            </w:r>
          </w:p>
          <w:p w14:paraId="6F5DF380" w14:textId="77777777" w:rsidR="008E3B62" w:rsidRPr="000D344D" w:rsidRDefault="008E3B62" w:rsidP="00A97E11">
            <w:pPr>
              <w:pStyle w:val="ListParagraph"/>
              <w:numPr>
                <w:ilvl w:val="0"/>
                <w:numId w:val="10"/>
              </w:numPr>
            </w:pPr>
            <w:r w:rsidRPr="00A54E81">
              <w:t>two companie</w:t>
            </w:r>
            <w:r w:rsidR="005B76DA" w:rsidRPr="00A54E81">
              <w:t xml:space="preserve">s have a common holding company. </w:t>
            </w:r>
          </w:p>
        </w:tc>
        <w:tc>
          <w:tcPr>
            <w:tcW w:w="2268" w:type="dxa"/>
          </w:tcPr>
          <w:p w14:paraId="025363F3" w14:textId="77777777" w:rsidR="008E3B62" w:rsidRDefault="008E3B62" w:rsidP="00A67A66"/>
        </w:tc>
        <w:tc>
          <w:tcPr>
            <w:tcW w:w="2188" w:type="dxa"/>
          </w:tcPr>
          <w:p w14:paraId="542E0AB6" w14:textId="77777777" w:rsidR="008E3B62" w:rsidRDefault="008E3B62" w:rsidP="00A67A66">
            <w:r w:rsidRPr="008E3B62">
              <w:t>Class remains open.</w:t>
            </w:r>
          </w:p>
        </w:tc>
      </w:tr>
      <w:tr w:rsidR="008E3B62" w14:paraId="20C280E1" w14:textId="77777777" w:rsidTr="0082284E">
        <w:trPr>
          <w:cantSplit/>
        </w:trPr>
        <w:tc>
          <w:tcPr>
            <w:tcW w:w="2093" w:type="dxa"/>
          </w:tcPr>
          <w:p w14:paraId="7B78FF0F" w14:textId="77777777" w:rsidR="008E3B62" w:rsidRPr="008E3B62" w:rsidRDefault="008E3B62" w:rsidP="008E3B62">
            <w:pPr>
              <w:rPr>
                <w:b/>
              </w:rPr>
            </w:pPr>
            <w:r w:rsidRPr="008E3B62">
              <w:rPr>
                <w:b/>
              </w:rPr>
              <w:t>Class D9</w:t>
            </w:r>
          </w:p>
          <w:p w14:paraId="6BDDE87E" w14:textId="77777777" w:rsidR="008E3B62" w:rsidRDefault="008E3B62" w:rsidP="008E3B62">
            <w:r>
              <w:t>Persons selling energy to customers in conjunction with, or ancillary to, the provision of telecommunications</w:t>
            </w:r>
            <w:r w:rsidR="00725058">
              <w:t>/</w:t>
            </w:r>
            <w:r>
              <w:t xml:space="preserve"> information services.</w:t>
            </w:r>
          </w:p>
        </w:tc>
        <w:tc>
          <w:tcPr>
            <w:tcW w:w="2693" w:type="dxa"/>
          </w:tcPr>
          <w:p w14:paraId="3B2D2854" w14:textId="77777777" w:rsidR="008E3B62" w:rsidRDefault="000D344D" w:rsidP="008E3B62">
            <w:r>
              <w:t>Applies to (but is not limited to) t</w:t>
            </w:r>
            <w:r w:rsidR="008E3B62">
              <w:t>elecommunications companies</w:t>
            </w:r>
            <w:r w:rsidR="00725058">
              <w:t xml:space="preserve"> and data centre operators</w:t>
            </w:r>
            <w:r w:rsidR="008E3B62">
              <w:t xml:space="preserve">. </w:t>
            </w:r>
          </w:p>
          <w:p w14:paraId="4E70F069" w14:textId="77777777" w:rsidR="008E3B62" w:rsidRDefault="008E3B62" w:rsidP="008E3B62"/>
        </w:tc>
        <w:tc>
          <w:tcPr>
            <w:tcW w:w="2268" w:type="dxa"/>
          </w:tcPr>
          <w:p w14:paraId="5DC3DA70" w14:textId="77777777" w:rsidR="005B1483" w:rsidRDefault="005B1483" w:rsidP="005B1483">
            <w:r>
              <w:t xml:space="preserve">Energy is sold on or within the person’s premises, and </w:t>
            </w:r>
          </w:p>
          <w:p w14:paraId="3D9FE2EA" w14:textId="77777777" w:rsidR="008E3B62" w:rsidRDefault="005B1483" w:rsidP="005B1483">
            <w:r>
              <w:t>The energy is used in conjunction with, or ancillary to, the provision of telecommunications or information services.</w:t>
            </w:r>
          </w:p>
        </w:tc>
        <w:tc>
          <w:tcPr>
            <w:tcW w:w="2188" w:type="dxa"/>
          </w:tcPr>
          <w:p w14:paraId="39D0F7E3" w14:textId="77777777" w:rsidR="008E3B62" w:rsidRDefault="005B1483" w:rsidP="00A67A66">
            <w:r w:rsidRPr="008E3B62">
              <w:t>Class remains open.</w:t>
            </w:r>
          </w:p>
        </w:tc>
      </w:tr>
      <w:tr w:rsidR="008E3B62" w14:paraId="60E5DDD3" w14:textId="77777777" w:rsidTr="0082284E">
        <w:trPr>
          <w:cnfStyle w:val="000000010000" w:firstRow="0" w:lastRow="0" w:firstColumn="0" w:lastColumn="0" w:oddVBand="0" w:evenVBand="0" w:oddHBand="0" w:evenHBand="1" w:firstRowFirstColumn="0" w:firstRowLastColumn="0" w:lastRowFirstColumn="0" w:lastRowLastColumn="0"/>
          <w:cantSplit/>
        </w:trPr>
        <w:tc>
          <w:tcPr>
            <w:tcW w:w="2093" w:type="dxa"/>
          </w:tcPr>
          <w:p w14:paraId="60D7012B" w14:textId="77777777" w:rsidR="005B1483" w:rsidRPr="005B1483" w:rsidRDefault="005B1483" w:rsidP="005B1483">
            <w:pPr>
              <w:rPr>
                <w:b/>
              </w:rPr>
            </w:pPr>
            <w:r w:rsidRPr="005B1483">
              <w:rPr>
                <w:b/>
              </w:rPr>
              <w:t>Class D10</w:t>
            </w:r>
          </w:p>
          <w:p w14:paraId="3354A8C3" w14:textId="77777777" w:rsidR="008E3B62" w:rsidRDefault="005B1483" w:rsidP="00BD747E">
            <w:r>
              <w:t xml:space="preserve">Government </w:t>
            </w:r>
            <w:r w:rsidR="000D344D">
              <w:t xml:space="preserve">and similar </w:t>
            </w:r>
            <w:r>
              <w:t>agencies</w:t>
            </w:r>
            <w:r w:rsidR="007F4FFD">
              <w:t xml:space="preserve">, including their </w:t>
            </w:r>
            <w:r w:rsidR="00BD747E">
              <w:t>sub-contractors</w:t>
            </w:r>
            <w:r w:rsidR="007F4FFD">
              <w:t>,</w:t>
            </w:r>
            <w:r w:rsidR="007D306A">
              <w:t xml:space="preserve"> </w:t>
            </w:r>
            <w:r>
              <w:t>selling metered energy to non-residential customers.</w:t>
            </w:r>
          </w:p>
        </w:tc>
        <w:tc>
          <w:tcPr>
            <w:tcW w:w="2693" w:type="dxa"/>
          </w:tcPr>
          <w:p w14:paraId="51DB0805" w14:textId="77777777" w:rsidR="006462DD" w:rsidRDefault="00E70764" w:rsidP="005B1483">
            <w:r>
              <w:t>Applies</w:t>
            </w:r>
            <w:r w:rsidR="000D344D">
              <w:t xml:space="preserve"> (but is not limited to) </w:t>
            </w:r>
            <w:r w:rsidR="005B1483">
              <w:t xml:space="preserve">Federal, State and Local Government departments, statutory authorities or government owned corporations established under legislation of the Commonwealth or States and Territories </w:t>
            </w:r>
            <w:r w:rsidR="00725058">
              <w:t>and universities</w:t>
            </w:r>
            <w:r w:rsidR="007D306A">
              <w:t>.</w:t>
            </w:r>
            <w:r w:rsidR="00725058">
              <w:t xml:space="preserve"> </w:t>
            </w:r>
          </w:p>
          <w:p w14:paraId="5ACF9715" w14:textId="77777777" w:rsidR="007D306A" w:rsidRDefault="007D306A" w:rsidP="005B1483">
            <w:r>
              <w:t xml:space="preserve">Does not include housing authorities and student accommodation. </w:t>
            </w:r>
          </w:p>
          <w:p w14:paraId="68E3F6B7" w14:textId="77777777" w:rsidR="008E3B62" w:rsidRDefault="008E3B62" w:rsidP="005B1483"/>
        </w:tc>
        <w:tc>
          <w:tcPr>
            <w:tcW w:w="2268" w:type="dxa"/>
          </w:tcPr>
          <w:p w14:paraId="0C7CAE83" w14:textId="77777777" w:rsidR="005B1483" w:rsidRDefault="005B1483" w:rsidP="005B1483">
            <w:r>
              <w:t xml:space="preserve">The </w:t>
            </w:r>
            <w:r w:rsidR="00725058">
              <w:t>entity</w:t>
            </w:r>
            <w:r>
              <w:t xml:space="preserve"> has been established for purposes other than the sale, supply or generation of energy,  or the supply of housing or residential accommodation to tenants, and</w:t>
            </w:r>
          </w:p>
          <w:p w14:paraId="263F9DE0" w14:textId="77777777" w:rsidR="005B1483" w:rsidRDefault="005B1483" w:rsidP="005B1483">
            <w:r>
              <w:t xml:space="preserve">The </w:t>
            </w:r>
            <w:r w:rsidR="00725058">
              <w:t>entity</w:t>
            </w:r>
            <w:r>
              <w:t xml:space="preserve"> sells energy for purposes that are ancillary to its primary functions or objectives under its establishment legislation, and</w:t>
            </w:r>
          </w:p>
          <w:p w14:paraId="71985C62" w14:textId="77777777" w:rsidR="008E3B62" w:rsidRDefault="005B1483" w:rsidP="005B1483">
            <w:r>
              <w:t xml:space="preserve">Each premises is separately metered.  </w:t>
            </w:r>
          </w:p>
        </w:tc>
        <w:tc>
          <w:tcPr>
            <w:tcW w:w="2188" w:type="dxa"/>
          </w:tcPr>
          <w:p w14:paraId="7D1D1CC6" w14:textId="77777777" w:rsidR="008E3B62" w:rsidRDefault="005B1483" w:rsidP="00A67A66">
            <w:r w:rsidRPr="005B1483">
              <w:t>Class remains open.</w:t>
            </w:r>
          </w:p>
        </w:tc>
      </w:tr>
    </w:tbl>
    <w:p w14:paraId="6D7BD844" w14:textId="77777777" w:rsidR="001B48DA" w:rsidRDefault="001B48DA" w:rsidP="001B48DA"/>
    <w:p w14:paraId="4324A921" w14:textId="77777777" w:rsidR="007107E0" w:rsidRDefault="007107E0">
      <w:r>
        <w:rPr>
          <w:b/>
        </w:rPr>
        <w:br w:type="page"/>
      </w:r>
    </w:p>
    <w:p w14:paraId="70793D90" w14:textId="77777777" w:rsidR="009C5AB4" w:rsidRDefault="009C5AB4" w:rsidP="000D344D">
      <w:pPr>
        <w:pStyle w:val="Caption"/>
        <w:keepNext/>
      </w:pPr>
      <w:r>
        <w:t>Table 2</w:t>
      </w:r>
      <w:r w:rsidR="006144F8">
        <w:t xml:space="preserve"> - Registrable c</w:t>
      </w:r>
      <w:r w:rsidR="006144F8" w:rsidRPr="0049338B">
        <w:t>lasses of exemption</w:t>
      </w:r>
      <w:r>
        <w:t xml:space="preserve"> </w:t>
      </w:r>
    </w:p>
    <w:tbl>
      <w:tblPr>
        <w:tblStyle w:val="AERTable-Text"/>
        <w:tblW w:w="0" w:type="auto"/>
        <w:tblLook w:val="04A0" w:firstRow="1" w:lastRow="0" w:firstColumn="1" w:lastColumn="0" w:noHBand="0" w:noVBand="1"/>
      </w:tblPr>
      <w:tblGrid>
        <w:gridCol w:w="2093"/>
        <w:gridCol w:w="2693"/>
        <w:gridCol w:w="2552"/>
        <w:gridCol w:w="1904"/>
      </w:tblGrid>
      <w:tr w:rsidR="0094250E" w14:paraId="03B39121" w14:textId="77777777" w:rsidTr="000D344D">
        <w:trPr>
          <w:cnfStyle w:val="100000000000" w:firstRow="1" w:lastRow="0" w:firstColumn="0" w:lastColumn="0" w:oddVBand="0" w:evenVBand="0" w:oddHBand="0" w:evenHBand="0" w:firstRowFirstColumn="0" w:firstRowLastColumn="0" w:lastRowFirstColumn="0" w:lastRowLastColumn="0"/>
          <w:cantSplit/>
          <w:tblHeader/>
        </w:trPr>
        <w:tc>
          <w:tcPr>
            <w:tcW w:w="2093" w:type="dxa"/>
          </w:tcPr>
          <w:p w14:paraId="763BB0B3" w14:textId="77777777" w:rsidR="0094250E" w:rsidRPr="004C6AA0" w:rsidRDefault="0094250E" w:rsidP="0070263C">
            <w:r w:rsidRPr="0094250E">
              <w:t>Registrable exemption class</w:t>
            </w:r>
          </w:p>
        </w:tc>
        <w:tc>
          <w:tcPr>
            <w:tcW w:w="2693" w:type="dxa"/>
          </w:tcPr>
          <w:p w14:paraId="6AF6B8BD" w14:textId="77777777" w:rsidR="0094250E" w:rsidRPr="004C6AA0" w:rsidRDefault="0094250E" w:rsidP="0070263C">
            <w:r w:rsidRPr="004C6AA0">
              <w:t>Application</w:t>
            </w:r>
          </w:p>
        </w:tc>
        <w:tc>
          <w:tcPr>
            <w:tcW w:w="2552" w:type="dxa"/>
          </w:tcPr>
          <w:p w14:paraId="161A124A" w14:textId="77777777" w:rsidR="0094250E" w:rsidRPr="004C6AA0" w:rsidRDefault="0094250E" w:rsidP="0070263C">
            <w:r w:rsidRPr="004C6AA0">
              <w:t>Class criteria</w:t>
            </w:r>
          </w:p>
        </w:tc>
        <w:tc>
          <w:tcPr>
            <w:tcW w:w="1904" w:type="dxa"/>
          </w:tcPr>
          <w:p w14:paraId="013C5C74" w14:textId="77777777" w:rsidR="0094250E" w:rsidRDefault="009F2A23" w:rsidP="0070263C">
            <w:r>
              <w:t>Class Restrictions</w:t>
            </w:r>
          </w:p>
        </w:tc>
      </w:tr>
      <w:tr w:rsidR="0094250E" w14:paraId="38DF9108" w14:textId="77777777" w:rsidTr="0082284E">
        <w:trPr>
          <w:cantSplit/>
        </w:trPr>
        <w:tc>
          <w:tcPr>
            <w:tcW w:w="2093" w:type="dxa"/>
          </w:tcPr>
          <w:p w14:paraId="1AD3614E" w14:textId="77777777" w:rsidR="0094250E" w:rsidRPr="0094250E" w:rsidRDefault="0094250E" w:rsidP="0094250E">
            <w:pPr>
              <w:rPr>
                <w:b/>
              </w:rPr>
            </w:pPr>
            <w:r w:rsidRPr="0094250E">
              <w:rPr>
                <w:b/>
              </w:rPr>
              <w:t>Class R1</w:t>
            </w:r>
          </w:p>
          <w:p w14:paraId="3A48A2CC" w14:textId="6BD5759A" w:rsidR="0094250E" w:rsidRPr="0094250E" w:rsidRDefault="0094250E" w:rsidP="00107FDE">
            <w:r w:rsidRPr="0094250E">
              <w:t>Persons selling metered energy to ten or more small commercial/retail customers within the limits of a site that they own, occupy or operate.</w:t>
            </w:r>
          </w:p>
        </w:tc>
        <w:tc>
          <w:tcPr>
            <w:tcW w:w="2693" w:type="dxa"/>
          </w:tcPr>
          <w:p w14:paraId="0F9A49CF" w14:textId="77777777" w:rsidR="0094250E" w:rsidRDefault="00E70764" w:rsidP="0094250E">
            <w:r>
              <w:t xml:space="preserve">Applies </w:t>
            </w:r>
            <w:r w:rsidR="00844A60">
              <w:t>(but is not limited to) bodies</w:t>
            </w:r>
            <w:r w:rsidR="0094250E">
              <w:t xml:space="preserve"> corporate, landlords, lessors or management corporations who sell energy in  commercial or retail properties such as shopping centres, office buildings, airports and industrial parks.</w:t>
            </w:r>
          </w:p>
          <w:p w14:paraId="2D0E5654" w14:textId="77777777" w:rsidR="0094250E" w:rsidRDefault="0094250E" w:rsidP="0094250E"/>
        </w:tc>
        <w:tc>
          <w:tcPr>
            <w:tcW w:w="2552" w:type="dxa"/>
          </w:tcPr>
          <w:p w14:paraId="1A129CF9" w14:textId="77777777" w:rsidR="0094250E" w:rsidRDefault="0094250E" w:rsidP="0094250E">
            <w:r>
              <w:t>Energy is used for premises within the limits of a site owned, occupied or operated by the person, and</w:t>
            </w:r>
          </w:p>
          <w:p w14:paraId="571CC8BC" w14:textId="77777777" w:rsidR="0094250E" w:rsidRDefault="0094250E" w:rsidP="0094250E">
            <w:r>
              <w:t>Each premises is separately metered and</w:t>
            </w:r>
          </w:p>
          <w:p w14:paraId="064DAAB1" w14:textId="77777777" w:rsidR="0094250E" w:rsidRDefault="0094250E" w:rsidP="0094250E">
            <w:r>
              <w:t>The site has 10 or more commercial or retail premises.</w:t>
            </w:r>
          </w:p>
        </w:tc>
        <w:tc>
          <w:tcPr>
            <w:tcW w:w="1904" w:type="dxa"/>
          </w:tcPr>
          <w:p w14:paraId="6C9A0C55" w14:textId="77777777" w:rsidR="00B976AD" w:rsidRDefault="00B976AD" w:rsidP="00B976AD">
            <w:r w:rsidRPr="008E3B62">
              <w:t xml:space="preserve">Class </w:t>
            </w:r>
            <w:r>
              <w:t xml:space="preserve">remains open except for sites where </w:t>
            </w:r>
            <w:r w:rsidRPr="0069035F">
              <w:t>embedded n</w:t>
            </w:r>
            <w:r w:rsidR="00E70764">
              <w:t>etworks are retrofitted after 1 </w:t>
            </w:r>
            <w:r w:rsidRPr="0069035F">
              <w:t>January 2015</w:t>
            </w:r>
            <w:r w:rsidR="00A06177">
              <w:t xml:space="preserve"> and the applicant is unable to obtain the explicit informed consent of all affected customers</w:t>
            </w:r>
            <w:r>
              <w:t xml:space="preserve">. </w:t>
            </w:r>
          </w:p>
          <w:p w14:paraId="6CD81662" w14:textId="77777777" w:rsidR="0094250E" w:rsidRPr="00B34F94" w:rsidRDefault="00A06177" w:rsidP="00B976AD">
            <w:r w:rsidRPr="00A06177">
              <w:t>Individual exemptions will be required if</w:t>
            </w:r>
            <w:r w:rsidR="00B976AD" w:rsidRPr="00E862A4">
              <w:rPr>
                <w:b/>
              </w:rPr>
              <w:t xml:space="preserve"> explicit informed consent </w:t>
            </w:r>
            <w:r w:rsidR="00FE571B" w:rsidRPr="00A06177">
              <w:t>cannot be obtained</w:t>
            </w:r>
            <w:r w:rsidR="00B976AD" w:rsidRPr="00E862A4">
              <w:t>.</w:t>
            </w:r>
          </w:p>
        </w:tc>
      </w:tr>
      <w:tr w:rsidR="0094250E" w14:paraId="4D826872" w14:textId="77777777" w:rsidTr="0082284E">
        <w:trPr>
          <w:cnfStyle w:val="000000010000" w:firstRow="0" w:lastRow="0" w:firstColumn="0" w:lastColumn="0" w:oddVBand="0" w:evenVBand="0" w:oddHBand="0" w:evenHBand="1" w:firstRowFirstColumn="0" w:firstRowLastColumn="0" w:lastRowFirstColumn="0" w:lastRowLastColumn="0"/>
          <w:cantSplit/>
        </w:trPr>
        <w:tc>
          <w:tcPr>
            <w:tcW w:w="2093" w:type="dxa"/>
          </w:tcPr>
          <w:p w14:paraId="73CBBB3E" w14:textId="77777777" w:rsidR="0094250E" w:rsidRPr="0094250E" w:rsidRDefault="0094250E" w:rsidP="0094250E">
            <w:pPr>
              <w:rPr>
                <w:b/>
              </w:rPr>
            </w:pPr>
            <w:r w:rsidRPr="0094250E">
              <w:rPr>
                <w:b/>
              </w:rPr>
              <w:t xml:space="preserve">Class R2 </w:t>
            </w:r>
          </w:p>
          <w:p w14:paraId="69DB2378" w14:textId="77777777" w:rsidR="0094250E" w:rsidRPr="0094250E" w:rsidRDefault="0094250E" w:rsidP="0094250E">
            <w:r w:rsidRPr="0094250E">
              <w:t>Persons selling metered energy to ten or more residential customers within the limits of a site that they own, occupy or operate.</w:t>
            </w:r>
          </w:p>
        </w:tc>
        <w:tc>
          <w:tcPr>
            <w:tcW w:w="2693" w:type="dxa"/>
          </w:tcPr>
          <w:p w14:paraId="16ECACA8" w14:textId="77777777" w:rsidR="0094250E" w:rsidRDefault="00844A60" w:rsidP="0094250E">
            <w:r>
              <w:t>Applies (but is not limited to) bodies</w:t>
            </w:r>
            <w:r w:rsidR="0094250E">
              <w:t xml:space="preserve"> corporate, landlords, lessors, rooming houses or management corporations who sell energy to residential dwellings such as units, standard apartments, flats and purpose built student accommodation. </w:t>
            </w:r>
          </w:p>
          <w:p w14:paraId="10A85864" w14:textId="77777777" w:rsidR="0094250E" w:rsidRDefault="0094250E" w:rsidP="0094250E">
            <w:r>
              <w:t>Customers include tenants, occupants and owner-occupants.</w:t>
            </w:r>
          </w:p>
          <w:p w14:paraId="2553A003" w14:textId="77777777" w:rsidR="0094250E" w:rsidRDefault="0094250E" w:rsidP="00880C10">
            <w:r>
              <w:t>Customers do not include retirement village residents, or residents of caravan parks, residential parks and manufactured home estates</w:t>
            </w:r>
            <w:r w:rsidR="004910E9">
              <w:t xml:space="preserve"> who permanently reside there</w:t>
            </w:r>
            <w:r w:rsidR="00880C10">
              <w:t>.</w:t>
            </w:r>
            <w:r>
              <w:t xml:space="preserve"> Energy sales to these customers are covered by registrable classes R3 and R4, respectively.</w:t>
            </w:r>
          </w:p>
        </w:tc>
        <w:tc>
          <w:tcPr>
            <w:tcW w:w="2552" w:type="dxa"/>
          </w:tcPr>
          <w:p w14:paraId="142E68F6" w14:textId="77777777" w:rsidR="0094250E" w:rsidRDefault="0094250E" w:rsidP="0094250E">
            <w:r>
              <w:t>Energy is used for premises within the limits of a site owned, occupied or operated by the person, and</w:t>
            </w:r>
          </w:p>
          <w:p w14:paraId="537D5EFC" w14:textId="77777777" w:rsidR="0094250E" w:rsidRDefault="0094250E" w:rsidP="0094250E">
            <w:r>
              <w:t>Each premises is separately metered, and</w:t>
            </w:r>
          </w:p>
          <w:p w14:paraId="0BB1DD8A" w14:textId="77777777" w:rsidR="0094250E" w:rsidRDefault="0094250E" w:rsidP="0094250E">
            <w:r>
              <w:t>The site has 10 or more premises.</w:t>
            </w:r>
          </w:p>
        </w:tc>
        <w:tc>
          <w:tcPr>
            <w:tcW w:w="1904" w:type="dxa"/>
          </w:tcPr>
          <w:p w14:paraId="418CB181" w14:textId="77777777" w:rsidR="0094250E" w:rsidRPr="00B34F94" w:rsidRDefault="00B976AD" w:rsidP="004E51B0">
            <w:r w:rsidRPr="008E3B62">
              <w:t xml:space="preserve">Class </w:t>
            </w:r>
            <w:r>
              <w:t xml:space="preserve">remains open except for sites where </w:t>
            </w:r>
            <w:r w:rsidRPr="0069035F">
              <w:t>embedded n</w:t>
            </w:r>
            <w:r w:rsidR="00E70764">
              <w:t>etworks are retrofitted after 1 </w:t>
            </w:r>
            <w:r w:rsidRPr="0069035F">
              <w:t>January 2015</w:t>
            </w:r>
            <w:r w:rsidR="00B747AE">
              <w:t xml:space="preserve">. </w:t>
            </w:r>
            <w:r w:rsidR="00B747AE" w:rsidRPr="0094250E">
              <w:t xml:space="preserve">Individual exemptions </w:t>
            </w:r>
            <w:r w:rsidR="00B747AE">
              <w:t>are</w:t>
            </w:r>
            <w:r w:rsidR="00B747AE" w:rsidRPr="0094250E">
              <w:t xml:space="preserve"> required from that date.</w:t>
            </w:r>
          </w:p>
        </w:tc>
      </w:tr>
      <w:tr w:rsidR="0094250E" w14:paraId="2FA7A597" w14:textId="77777777" w:rsidTr="0082284E">
        <w:trPr>
          <w:cantSplit/>
        </w:trPr>
        <w:tc>
          <w:tcPr>
            <w:tcW w:w="2093" w:type="dxa"/>
          </w:tcPr>
          <w:p w14:paraId="1EEDBB4D" w14:textId="77777777" w:rsidR="000E61C6" w:rsidRPr="000E61C6" w:rsidRDefault="000E61C6" w:rsidP="000E61C6">
            <w:pPr>
              <w:rPr>
                <w:b/>
              </w:rPr>
            </w:pPr>
            <w:r w:rsidRPr="000E61C6">
              <w:rPr>
                <w:b/>
              </w:rPr>
              <w:t>Class R3</w:t>
            </w:r>
          </w:p>
          <w:p w14:paraId="2137434E" w14:textId="77777777" w:rsidR="0094250E" w:rsidRDefault="000E61C6" w:rsidP="000E61C6">
            <w:r>
              <w:t>Retirement villages selling metered energy to residential customers within the limits of a site that they own, occupy or operate.</w:t>
            </w:r>
          </w:p>
        </w:tc>
        <w:tc>
          <w:tcPr>
            <w:tcW w:w="2693" w:type="dxa"/>
          </w:tcPr>
          <w:p w14:paraId="601DC201" w14:textId="77777777" w:rsidR="000E61C6" w:rsidRDefault="000E61C6" w:rsidP="000E61C6">
            <w:r>
              <w:t>Owners or operators of retirement villages.</w:t>
            </w:r>
          </w:p>
          <w:p w14:paraId="70A882D1" w14:textId="77777777" w:rsidR="0094250E" w:rsidRDefault="0094250E" w:rsidP="000E61C6"/>
        </w:tc>
        <w:tc>
          <w:tcPr>
            <w:tcW w:w="2552" w:type="dxa"/>
          </w:tcPr>
          <w:p w14:paraId="0BAF7FB2" w14:textId="77777777" w:rsidR="000E61C6" w:rsidRDefault="000E61C6" w:rsidP="000E61C6">
            <w:r>
              <w:t>Energy is used for premises within the limits of a site owned, occupied or operated by the person, and</w:t>
            </w:r>
          </w:p>
          <w:p w14:paraId="66C27533" w14:textId="77777777" w:rsidR="0094250E" w:rsidRDefault="000E61C6" w:rsidP="000E61C6">
            <w:r>
              <w:t>Each premises is separately metered.</w:t>
            </w:r>
          </w:p>
        </w:tc>
        <w:tc>
          <w:tcPr>
            <w:tcW w:w="1904" w:type="dxa"/>
          </w:tcPr>
          <w:p w14:paraId="4D1725CE" w14:textId="77777777" w:rsidR="00B976AD" w:rsidRDefault="00B976AD" w:rsidP="00B976AD">
            <w:r w:rsidRPr="008E3B62">
              <w:t xml:space="preserve">Class </w:t>
            </w:r>
            <w:r>
              <w:t xml:space="preserve">remains open except for sites where </w:t>
            </w:r>
            <w:r w:rsidRPr="0069035F">
              <w:t xml:space="preserve">embedded networks are </w:t>
            </w:r>
            <w:r w:rsidR="00E70764">
              <w:t>retrofitted after 1 </w:t>
            </w:r>
            <w:r w:rsidRPr="0069035F">
              <w:t>January 2015</w:t>
            </w:r>
            <w:r w:rsidR="00B747AE">
              <w:t xml:space="preserve">. </w:t>
            </w:r>
            <w:r w:rsidR="00B747AE" w:rsidRPr="0094250E">
              <w:t xml:space="preserve">Individual exemptions </w:t>
            </w:r>
            <w:r w:rsidR="00B747AE">
              <w:t xml:space="preserve">are </w:t>
            </w:r>
            <w:r w:rsidR="00B747AE" w:rsidRPr="0094250E">
              <w:t>required from that date.</w:t>
            </w:r>
            <w:r>
              <w:t xml:space="preserve"> </w:t>
            </w:r>
          </w:p>
          <w:p w14:paraId="0C12287B" w14:textId="77777777" w:rsidR="0094250E" w:rsidRPr="00B34F94" w:rsidRDefault="0094250E" w:rsidP="00B976AD"/>
        </w:tc>
      </w:tr>
      <w:tr w:rsidR="000E61C6" w14:paraId="042809B3" w14:textId="77777777" w:rsidTr="0082284E">
        <w:trPr>
          <w:cnfStyle w:val="000000010000" w:firstRow="0" w:lastRow="0" w:firstColumn="0" w:lastColumn="0" w:oddVBand="0" w:evenVBand="0" w:oddHBand="0" w:evenHBand="1" w:firstRowFirstColumn="0" w:firstRowLastColumn="0" w:lastRowFirstColumn="0" w:lastRowLastColumn="0"/>
          <w:cantSplit/>
        </w:trPr>
        <w:tc>
          <w:tcPr>
            <w:tcW w:w="2093" w:type="dxa"/>
          </w:tcPr>
          <w:p w14:paraId="4D886074" w14:textId="77777777" w:rsidR="000E61C6" w:rsidRPr="000E61C6" w:rsidRDefault="000E61C6" w:rsidP="000E61C6">
            <w:pPr>
              <w:rPr>
                <w:b/>
              </w:rPr>
            </w:pPr>
            <w:r w:rsidRPr="000E61C6">
              <w:rPr>
                <w:b/>
              </w:rPr>
              <w:t>Class R4</w:t>
            </w:r>
          </w:p>
          <w:p w14:paraId="03E930BD" w14:textId="77777777" w:rsidR="000E61C6" w:rsidRPr="000E61C6" w:rsidRDefault="000E61C6" w:rsidP="000E61C6">
            <w:r w:rsidRPr="000E61C6">
              <w:t>Persons selling metered energy in caravan parks, residential parks and manufactured home estates to residents who principally reside there</w:t>
            </w:r>
            <w:r w:rsidR="00DF76CA">
              <w:t xml:space="preserve"> (ie </w:t>
            </w:r>
            <w:r w:rsidR="00DF76CA" w:rsidRPr="00DF76CA">
              <w:rPr>
                <w:i/>
              </w:rPr>
              <w:t>long term residents</w:t>
            </w:r>
            <w:r w:rsidR="00DF76CA">
              <w:t>)</w:t>
            </w:r>
          </w:p>
        </w:tc>
        <w:tc>
          <w:tcPr>
            <w:tcW w:w="2693" w:type="dxa"/>
          </w:tcPr>
          <w:p w14:paraId="23FF7A09" w14:textId="77777777" w:rsidR="000E61C6" w:rsidRDefault="000E61C6" w:rsidP="000E61C6">
            <w:r>
              <w:t>Owners or operators of caravan parks, residential parks and manufactured home estates.</w:t>
            </w:r>
          </w:p>
          <w:p w14:paraId="1AF967AA" w14:textId="77777777" w:rsidR="000E61C6" w:rsidRDefault="000E61C6" w:rsidP="000E61C6"/>
        </w:tc>
        <w:tc>
          <w:tcPr>
            <w:tcW w:w="2552" w:type="dxa"/>
          </w:tcPr>
          <w:p w14:paraId="6D0AA7AB" w14:textId="77777777" w:rsidR="000E61C6" w:rsidRDefault="000E61C6" w:rsidP="000E61C6">
            <w:r>
              <w:t>Energy is used for premises within the limits of a caravan park, residential park or manufactured home estate site owned, occupied or operated by the person, and</w:t>
            </w:r>
          </w:p>
          <w:p w14:paraId="4CCF2CD4" w14:textId="77777777" w:rsidR="000E61C6" w:rsidRDefault="000E61C6" w:rsidP="000E61C6">
            <w:r>
              <w:t>Each premises is separately metered, and</w:t>
            </w:r>
          </w:p>
          <w:p w14:paraId="42F79576" w14:textId="77777777" w:rsidR="000E61C6" w:rsidRDefault="000E61C6" w:rsidP="000E61C6">
            <w:r>
              <w:t>The premises are the residents’ principal place of residence, that is</w:t>
            </w:r>
            <w:r w:rsidR="004E5493">
              <w:t>,</w:t>
            </w:r>
            <w:r>
              <w:t xml:space="preserve"> it is where the person lives most of the time</w:t>
            </w:r>
            <w:r w:rsidR="00B34F94">
              <w:t xml:space="preserve"> and / or the person has no other place of residence</w:t>
            </w:r>
            <w:r>
              <w:t>.</w:t>
            </w:r>
          </w:p>
        </w:tc>
        <w:tc>
          <w:tcPr>
            <w:tcW w:w="1904" w:type="dxa"/>
          </w:tcPr>
          <w:p w14:paraId="2F2D9E8B" w14:textId="77777777" w:rsidR="000E61C6" w:rsidRPr="000E61C6" w:rsidRDefault="004E5493" w:rsidP="0070263C">
            <w:r w:rsidRPr="004E5493">
              <w:t>Class remains open</w:t>
            </w:r>
          </w:p>
        </w:tc>
      </w:tr>
      <w:tr w:rsidR="000E61C6" w14:paraId="5DCE7761" w14:textId="77777777" w:rsidTr="0082284E">
        <w:trPr>
          <w:cantSplit/>
        </w:trPr>
        <w:tc>
          <w:tcPr>
            <w:tcW w:w="2093" w:type="dxa"/>
          </w:tcPr>
          <w:p w14:paraId="0F08CB48" w14:textId="77777777" w:rsidR="004E5493" w:rsidRPr="004E5493" w:rsidRDefault="004E5493" w:rsidP="004E5493">
            <w:pPr>
              <w:rPr>
                <w:b/>
              </w:rPr>
            </w:pPr>
            <w:r w:rsidRPr="004E5493">
              <w:rPr>
                <w:b/>
              </w:rPr>
              <w:t>Class R5</w:t>
            </w:r>
          </w:p>
          <w:p w14:paraId="5F6B45EC" w14:textId="4FDEFDBB" w:rsidR="000E61C6" w:rsidRPr="004E5493" w:rsidRDefault="004E5493" w:rsidP="009B01F6">
            <w:r w:rsidRPr="004E5493">
              <w:t xml:space="preserve">Persons selling metered energy to large </w:t>
            </w:r>
            <w:r w:rsidRPr="007E7558">
              <w:t>customers.</w:t>
            </w:r>
          </w:p>
        </w:tc>
        <w:tc>
          <w:tcPr>
            <w:tcW w:w="2693" w:type="dxa"/>
          </w:tcPr>
          <w:p w14:paraId="3166547D" w14:textId="77777777" w:rsidR="000E61C6" w:rsidRDefault="00A97E11" w:rsidP="007E6186">
            <w:r>
              <w:t>Site specific</w:t>
            </w:r>
          </w:p>
        </w:tc>
        <w:tc>
          <w:tcPr>
            <w:tcW w:w="2552" w:type="dxa"/>
          </w:tcPr>
          <w:p w14:paraId="3DC40C83" w14:textId="77777777" w:rsidR="00143945" w:rsidRDefault="00143945" w:rsidP="00143945">
            <w:r>
              <w:t>Each premises is separately metered</w:t>
            </w:r>
            <w:r w:rsidR="00B34F94">
              <w:t xml:space="preserve"> (unless the customer has agreed otherwise</w:t>
            </w:r>
            <w:r w:rsidR="005E58F0">
              <w:t>)</w:t>
            </w:r>
            <w:r>
              <w:t>, and</w:t>
            </w:r>
          </w:p>
          <w:p w14:paraId="2520D3E9" w14:textId="77777777" w:rsidR="000E61C6" w:rsidRDefault="00143945" w:rsidP="00143945">
            <w:r>
              <w:t xml:space="preserve">The customers are large (ie for electricity, customers consume 100 MWh pa or more in New South Wales, the ACT, Queensland and Victoria, </w:t>
            </w:r>
            <w:r w:rsidR="00B34F94">
              <w:t xml:space="preserve">150 MWh pa in Tasmania, </w:t>
            </w:r>
            <w:r>
              <w:t>and 160MWh pa in South Australia; and for gas, customers consume 1TJ pa or more).</w:t>
            </w:r>
          </w:p>
        </w:tc>
        <w:tc>
          <w:tcPr>
            <w:tcW w:w="1904" w:type="dxa"/>
          </w:tcPr>
          <w:p w14:paraId="776E4EB5" w14:textId="77777777" w:rsidR="0014159A" w:rsidRPr="000E61C6" w:rsidRDefault="004E5493" w:rsidP="009C65C4">
            <w:r w:rsidRPr="004E5493">
              <w:t>Class remains open</w:t>
            </w:r>
            <w:r w:rsidR="009C65C4">
              <w:t>.</w:t>
            </w:r>
          </w:p>
        </w:tc>
      </w:tr>
      <w:tr w:rsidR="000E61C6" w14:paraId="54DAE28A" w14:textId="77777777" w:rsidTr="0082284E">
        <w:trPr>
          <w:cnfStyle w:val="000000010000" w:firstRow="0" w:lastRow="0" w:firstColumn="0" w:lastColumn="0" w:oddVBand="0" w:evenVBand="0" w:oddHBand="0" w:evenHBand="1" w:firstRowFirstColumn="0" w:firstRowLastColumn="0" w:lastRowFirstColumn="0" w:lastRowLastColumn="0"/>
          <w:cantSplit/>
        </w:trPr>
        <w:tc>
          <w:tcPr>
            <w:tcW w:w="2093" w:type="dxa"/>
          </w:tcPr>
          <w:p w14:paraId="54C6A738" w14:textId="77777777" w:rsidR="00143945" w:rsidRPr="00143945" w:rsidRDefault="00143945" w:rsidP="00143945">
            <w:pPr>
              <w:rPr>
                <w:b/>
              </w:rPr>
            </w:pPr>
            <w:r w:rsidRPr="00143945">
              <w:rPr>
                <w:b/>
              </w:rPr>
              <w:t>Class R6</w:t>
            </w:r>
          </w:p>
          <w:p w14:paraId="6409E728" w14:textId="77777777" w:rsidR="000E61C6" w:rsidRPr="00143945" w:rsidRDefault="00143945" w:rsidP="00143945">
            <w:r w:rsidRPr="00143945">
              <w:t xml:space="preserve">Persons selling metered energy to small customers at a site or premises </w:t>
            </w:r>
            <w:r w:rsidRPr="00143945">
              <w:rPr>
                <w:b/>
              </w:rPr>
              <w:t>adjacent</w:t>
            </w:r>
            <w:r w:rsidRPr="00143945">
              <w:t xml:space="preserve"> to a site that they own, occupy or operate</w:t>
            </w:r>
          </w:p>
        </w:tc>
        <w:tc>
          <w:tcPr>
            <w:tcW w:w="2693" w:type="dxa"/>
          </w:tcPr>
          <w:p w14:paraId="6AF5E53C" w14:textId="77777777" w:rsidR="00143945" w:rsidRDefault="00327589" w:rsidP="00143945">
            <w:r>
              <w:t>S</w:t>
            </w:r>
            <w:r w:rsidR="00143945">
              <w:t>ellers</w:t>
            </w:r>
            <w:r w:rsidR="007B03AA">
              <w:t xml:space="preserve"> who commenced selling prior to 1 January 2015</w:t>
            </w:r>
            <w:r w:rsidR="00B976AD">
              <w:t>.</w:t>
            </w:r>
          </w:p>
          <w:p w14:paraId="76682ABA" w14:textId="77777777" w:rsidR="000E61C6" w:rsidRDefault="00143945" w:rsidP="00E70764">
            <w:r>
              <w:t>Legacy arrangements.</w:t>
            </w:r>
          </w:p>
        </w:tc>
        <w:tc>
          <w:tcPr>
            <w:tcW w:w="2552" w:type="dxa"/>
          </w:tcPr>
          <w:p w14:paraId="153C0C0C" w14:textId="77777777" w:rsidR="00143945" w:rsidRDefault="00143945" w:rsidP="00143945">
            <w:r>
              <w:t>Energy is used for premises adjacent to the site owned, occupied or operated by the person, and</w:t>
            </w:r>
          </w:p>
          <w:p w14:paraId="3BA6E02E" w14:textId="77777777" w:rsidR="00143945" w:rsidRDefault="00143945" w:rsidP="00143945">
            <w:r>
              <w:t>Each premises is separately metered, and</w:t>
            </w:r>
          </w:p>
          <w:p w14:paraId="0BF32AEB" w14:textId="77777777" w:rsidR="000E61C6" w:rsidRDefault="00143945" w:rsidP="00FB1F25">
            <w:r>
              <w:t xml:space="preserve">Energy sales across site boundaries </w:t>
            </w:r>
            <w:r w:rsidR="00FB1F25">
              <w:t>are</w:t>
            </w:r>
            <w:r>
              <w:t xml:space="preserve"> permitted by the relevant jurisdiction.</w:t>
            </w:r>
          </w:p>
        </w:tc>
        <w:tc>
          <w:tcPr>
            <w:tcW w:w="1904" w:type="dxa"/>
          </w:tcPr>
          <w:p w14:paraId="0AC2238F" w14:textId="77777777" w:rsidR="000E61C6" w:rsidRPr="000E61C6" w:rsidRDefault="00327589" w:rsidP="00327589">
            <w:r>
              <w:t>Sellers who</w:t>
            </w:r>
            <w:r w:rsidR="007B03AA">
              <w:t xml:space="preserve"> commence</w:t>
            </w:r>
            <w:r>
              <w:t>d</w:t>
            </w:r>
            <w:r w:rsidR="007B03AA">
              <w:t xml:space="preserve"> selling </w:t>
            </w:r>
            <w:r>
              <w:t>after</w:t>
            </w:r>
            <w:r w:rsidR="00143945">
              <w:t xml:space="preserve"> 1 </w:t>
            </w:r>
            <w:r w:rsidR="00143945" w:rsidRPr="00143945">
              <w:t>January 2015</w:t>
            </w:r>
            <w:r>
              <w:t xml:space="preserve"> must apply for</w:t>
            </w:r>
            <w:r w:rsidR="00143945" w:rsidRPr="00143945">
              <w:t xml:space="preserve"> </w:t>
            </w:r>
            <w:r>
              <w:t>i</w:t>
            </w:r>
            <w:r w:rsidR="00143945" w:rsidRPr="00143945">
              <w:t>ndividual exemptions</w:t>
            </w:r>
            <w:r>
              <w:t xml:space="preserve">. </w:t>
            </w:r>
          </w:p>
        </w:tc>
      </w:tr>
      <w:tr w:rsidR="00327589" w14:paraId="5D1EDE48" w14:textId="77777777" w:rsidTr="0082284E">
        <w:trPr>
          <w:cantSplit/>
        </w:trPr>
        <w:tc>
          <w:tcPr>
            <w:tcW w:w="2093" w:type="dxa"/>
          </w:tcPr>
          <w:p w14:paraId="6C31ADCF" w14:textId="77777777" w:rsidR="00327589" w:rsidRPr="00143945" w:rsidRDefault="00327589" w:rsidP="00143945">
            <w:pPr>
              <w:rPr>
                <w:b/>
              </w:rPr>
            </w:pPr>
            <w:r w:rsidRPr="00143945">
              <w:rPr>
                <w:b/>
              </w:rPr>
              <w:t xml:space="preserve">Class R7 </w:t>
            </w:r>
          </w:p>
          <w:p w14:paraId="48E5CAB2" w14:textId="77777777" w:rsidR="00327589" w:rsidRPr="00143945" w:rsidRDefault="00327589" w:rsidP="00143945">
            <w:r w:rsidRPr="00143945">
              <w:t>Persons selling unmetered energy to small commercial/retail customers at a site that they own, occupy or operate.</w:t>
            </w:r>
          </w:p>
        </w:tc>
        <w:tc>
          <w:tcPr>
            <w:tcW w:w="2693" w:type="dxa"/>
          </w:tcPr>
          <w:p w14:paraId="329DE91B" w14:textId="77777777" w:rsidR="00327589" w:rsidRDefault="00327589" w:rsidP="00143945">
            <w:r>
              <w:t>Bodies corporate, landlords, lessors or management corporations (and similar entities) who sell energy in  commercial or retail properties such as shopping centres, office buildings, airports and industrial parks.</w:t>
            </w:r>
          </w:p>
          <w:p w14:paraId="6F046D7F" w14:textId="77777777" w:rsidR="00327589" w:rsidRDefault="00327589" w:rsidP="00B976AD">
            <w:r>
              <w:t>Sellers who commenced selling prior to 1 January 2015.</w:t>
            </w:r>
          </w:p>
          <w:p w14:paraId="17E9A649" w14:textId="77777777" w:rsidR="00327589" w:rsidRDefault="00327589" w:rsidP="00327589">
            <w:r>
              <w:t>Legacy arrangements.</w:t>
            </w:r>
          </w:p>
        </w:tc>
        <w:tc>
          <w:tcPr>
            <w:tcW w:w="2552" w:type="dxa"/>
          </w:tcPr>
          <w:p w14:paraId="799D0FD0" w14:textId="77777777" w:rsidR="00327589" w:rsidRDefault="00327589" w:rsidP="00143945">
            <w:r>
              <w:t>Energy is used for premises within the limits of a site owned, occupied or operated by the person, and</w:t>
            </w:r>
          </w:p>
          <w:p w14:paraId="1974A1D7" w14:textId="77777777" w:rsidR="00327589" w:rsidRDefault="00327589" w:rsidP="00143945">
            <w:r>
              <w:t>Premises are not separately metered.</w:t>
            </w:r>
          </w:p>
        </w:tc>
        <w:tc>
          <w:tcPr>
            <w:tcW w:w="1904" w:type="dxa"/>
          </w:tcPr>
          <w:p w14:paraId="2A717193" w14:textId="77777777" w:rsidR="00327589" w:rsidRPr="000E61C6" w:rsidRDefault="00327589" w:rsidP="007C58F0">
            <w:r>
              <w:t>Sellers who commenced selling after 1 </w:t>
            </w:r>
            <w:r w:rsidRPr="00143945">
              <w:t>January 2015</w:t>
            </w:r>
            <w:r>
              <w:t xml:space="preserve"> must apply for</w:t>
            </w:r>
            <w:r w:rsidRPr="00143945">
              <w:t xml:space="preserve"> </w:t>
            </w:r>
            <w:r>
              <w:t>i</w:t>
            </w:r>
            <w:r w:rsidRPr="00143945">
              <w:t>ndividual exemptions</w:t>
            </w:r>
            <w:r>
              <w:t xml:space="preserve">. </w:t>
            </w:r>
          </w:p>
        </w:tc>
      </w:tr>
      <w:tr w:rsidR="00327589" w14:paraId="2E668DD9" w14:textId="77777777" w:rsidTr="0082284E">
        <w:trPr>
          <w:cnfStyle w:val="000000010000" w:firstRow="0" w:lastRow="0" w:firstColumn="0" w:lastColumn="0" w:oddVBand="0" w:evenVBand="0" w:oddHBand="0" w:evenHBand="1" w:firstRowFirstColumn="0" w:firstRowLastColumn="0" w:lastRowFirstColumn="0" w:lastRowLastColumn="0"/>
          <w:cantSplit/>
        </w:trPr>
        <w:tc>
          <w:tcPr>
            <w:tcW w:w="2093" w:type="dxa"/>
          </w:tcPr>
          <w:p w14:paraId="04424DBF" w14:textId="77777777" w:rsidR="00327589" w:rsidRDefault="00327589" w:rsidP="00143945">
            <w:pPr>
              <w:rPr>
                <w:b/>
              </w:rPr>
            </w:pPr>
            <w:r>
              <w:rPr>
                <w:b/>
              </w:rPr>
              <w:t>Class R8</w:t>
            </w:r>
          </w:p>
          <w:p w14:paraId="7EAD46D7" w14:textId="77777777" w:rsidR="00327589" w:rsidRPr="00997082" w:rsidRDefault="00327589" w:rsidP="000D3E83">
            <w:r w:rsidRPr="00997082">
              <w:t xml:space="preserve">Persons </w:t>
            </w:r>
            <w:r>
              <w:t xml:space="preserve">selling electricity </w:t>
            </w:r>
            <w:r w:rsidR="007F4FFD">
              <w:t xml:space="preserve">as a supplementary supply </w:t>
            </w:r>
            <w:r>
              <w:t>through power purchase agreements (PPAs) to customers who are connected to the national electricity grid</w:t>
            </w:r>
          </w:p>
        </w:tc>
        <w:tc>
          <w:tcPr>
            <w:tcW w:w="2693" w:type="dxa"/>
          </w:tcPr>
          <w:p w14:paraId="5883979F" w14:textId="77777777" w:rsidR="00327589" w:rsidRDefault="00327589" w:rsidP="00143945"/>
        </w:tc>
        <w:tc>
          <w:tcPr>
            <w:tcW w:w="2552" w:type="dxa"/>
          </w:tcPr>
          <w:p w14:paraId="4B5C8FCB" w14:textId="77777777" w:rsidR="00327589" w:rsidRDefault="00327589" w:rsidP="00143945">
            <w:r>
              <w:t>Energy is sold to:</w:t>
            </w:r>
          </w:p>
          <w:p w14:paraId="39054134" w14:textId="77777777" w:rsidR="00327589" w:rsidRDefault="00327589" w:rsidP="00A97E11">
            <w:pPr>
              <w:pStyle w:val="ListParagraph"/>
              <w:numPr>
                <w:ilvl w:val="0"/>
                <w:numId w:val="66"/>
              </w:numPr>
            </w:pPr>
            <w:r>
              <w:t>residential customers where the duration of the PPA is less than 10 years and the customer is able to terminate the agreement early and / or</w:t>
            </w:r>
          </w:p>
          <w:p w14:paraId="19A3354B" w14:textId="77777777" w:rsidR="00327589" w:rsidRPr="00B976AD" w:rsidRDefault="00327589" w:rsidP="00A97E11">
            <w:pPr>
              <w:pStyle w:val="ListParagraph"/>
              <w:numPr>
                <w:ilvl w:val="0"/>
                <w:numId w:val="66"/>
              </w:numPr>
            </w:pPr>
            <w:r>
              <w:t>commercial customers</w:t>
            </w:r>
            <w:r w:rsidRPr="00B976AD">
              <w:t>.</w:t>
            </w:r>
          </w:p>
        </w:tc>
        <w:tc>
          <w:tcPr>
            <w:tcW w:w="1904" w:type="dxa"/>
          </w:tcPr>
          <w:p w14:paraId="25404A13" w14:textId="77777777" w:rsidR="00327589" w:rsidRPr="00143945" w:rsidRDefault="00327589" w:rsidP="0070263C">
            <w:r>
              <w:t>Class remains open</w:t>
            </w:r>
          </w:p>
        </w:tc>
      </w:tr>
    </w:tbl>
    <w:p w14:paraId="2F5C9A98" w14:textId="77777777" w:rsidR="00391ED8" w:rsidRDefault="00391ED8" w:rsidP="00C31D78">
      <w:pPr>
        <w:pStyle w:val="ReportTitle"/>
        <w:jc w:val="left"/>
        <w:sectPr w:rsidR="00391ED8" w:rsidSect="00D91CFD">
          <w:headerReference w:type="first" r:id="rId23"/>
          <w:footerReference w:type="first" r:id="rId24"/>
          <w:pgSz w:w="11906" w:h="16838"/>
          <w:pgMar w:top="1440" w:right="1440" w:bottom="1440" w:left="1440" w:header="708" w:footer="708" w:gutter="0"/>
          <w:pgNumType w:start="3"/>
          <w:cols w:space="708"/>
          <w:titlePg/>
          <w:docGrid w:linePitch="360"/>
        </w:sectPr>
      </w:pPr>
    </w:p>
    <w:p w14:paraId="0EA38E1E" w14:textId="77777777" w:rsidR="00187DC1" w:rsidRDefault="00187DC1" w:rsidP="00327589">
      <w:pPr>
        <w:pStyle w:val="Heading1"/>
        <w:numPr>
          <w:ilvl w:val="0"/>
          <w:numId w:val="0"/>
        </w:numPr>
      </w:pPr>
      <w:bookmarkStart w:id="202" w:name="_Toc445886520"/>
      <w:bookmarkStart w:id="203" w:name="_Toc508963945"/>
      <w:r>
        <w:t>Appendix A-2: Core exemption conditions</w:t>
      </w:r>
      <w:bookmarkEnd w:id="202"/>
      <w:bookmarkEnd w:id="203"/>
    </w:p>
    <w:p w14:paraId="338FC0A8" w14:textId="77777777" w:rsidR="00187DC1" w:rsidRDefault="00187DC1" w:rsidP="00154E14">
      <w:r>
        <w:t xml:space="preserve">The following conditions apply under rule 153 </w:t>
      </w:r>
      <w:r w:rsidR="00AE321F">
        <w:t xml:space="preserve">of the Retail Rules </w:t>
      </w:r>
      <w:r>
        <w:t xml:space="preserve">to the sale of energy to exempt customers by exempt persons. These </w:t>
      </w:r>
      <w:r w:rsidR="00560101">
        <w:t xml:space="preserve">are core </w:t>
      </w:r>
      <w:r>
        <w:t>conditions based on the retail customer protections provided under the</w:t>
      </w:r>
      <w:r w:rsidR="00091D62">
        <w:t xml:space="preserve"> National Energy</w:t>
      </w:r>
      <w:r>
        <w:t xml:space="preserve"> Retail Law</w:t>
      </w:r>
      <w:r w:rsidR="00091D62">
        <w:t xml:space="preserve"> (Retail Law)</w:t>
      </w:r>
      <w:r>
        <w:t xml:space="preserve">. </w:t>
      </w:r>
    </w:p>
    <w:p w14:paraId="2CDEC9DE" w14:textId="77777777" w:rsidR="00187DC1" w:rsidRDefault="00187DC1" w:rsidP="00A2043E">
      <w:pPr>
        <w:spacing w:after="240"/>
      </w:pPr>
      <w:r>
        <w:t xml:space="preserve">Not all of these conditions apply to all exemption classes. The specific obligations under each condition will vary from class to class and will depend on whether the class relates to residential or commercial/retail customers. Sellers should refer to the table at Appendix A-3 for the full list of conditions for their particular class in order to confirm their obligations. </w:t>
      </w:r>
    </w:p>
    <w:p w14:paraId="79F32582" w14:textId="77777777" w:rsidR="00187DC1" w:rsidRPr="005D2FB5" w:rsidRDefault="00187DC1" w:rsidP="00A2043E">
      <w:pPr>
        <w:spacing w:after="240"/>
        <w:rPr>
          <w:b/>
        </w:rPr>
      </w:pPr>
      <w:r w:rsidRPr="005D2FB5">
        <w:rPr>
          <w:b/>
        </w:rPr>
        <w:t>Condition 1 – Obligation to supply</w:t>
      </w:r>
    </w:p>
    <w:p w14:paraId="7FF2E096" w14:textId="31D21433" w:rsidR="00603D63" w:rsidRDefault="00187DC1" w:rsidP="00A97E11">
      <w:pPr>
        <w:pStyle w:val="ListParagraph"/>
        <w:numPr>
          <w:ilvl w:val="0"/>
          <w:numId w:val="27"/>
        </w:numPr>
        <w:contextualSpacing w:val="0"/>
      </w:pPr>
      <w:r>
        <w:t>An exempt person cannot refuse to sell energy to a customer who meets the criteria for this exemption class, except</w:t>
      </w:r>
      <w:r w:rsidR="00603D63">
        <w:t>:</w:t>
      </w:r>
    </w:p>
    <w:p w14:paraId="239EDE25" w14:textId="70BD636C" w:rsidR="00603D63" w:rsidRDefault="00187DC1" w:rsidP="00F620BC">
      <w:pPr>
        <w:pStyle w:val="ListParagraph"/>
        <w:numPr>
          <w:ilvl w:val="0"/>
          <w:numId w:val="29"/>
        </w:numPr>
        <w:contextualSpacing w:val="0"/>
      </w:pPr>
      <w:r>
        <w:t>in accordance with relevant disconnection provisions</w:t>
      </w:r>
      <w:r w:rsidR="000A0C86">
        <w:t xml:space="preserve"> </w:t>
      </w:r>
      <w:r w:rsidR="005F4D40">
        <w:t>and</w:t>
      </w:r>
    </w:p>
    <w:p w14:paraId="20BCEA77" w14:textId="2E78EFFD" w:rsidR="00187DC1" w:rsidRDefault="00603D63" w:rsidP="00A2043E">
      <w:pPr>
        <w:pStyle w:val="ListParagraph"/>
        <w:numPr>
          <w:ilvl w:val="0"/>
          <w:numId w:val="29"/>
        </w:numPr>
        <w:contextualSpacing w:val="0"/>
      </w:pPr>
      <w:r>
        <w:t>where the exempt customer’s premises have been disconnected by the exempt person for a reason other than failure to pay a bill and the matter leading to the disconnection has not been rectified. The exempt person must reconnect the premises and offer to sell energy once the matter is rectified.</w:t>
      </w:r>
    </w:p>
    <w:p w14:paraId="0A7B937A" w14:textId="77777777" w:rsidR="00187DC1" w:rsidRPr="005D2FB5" w:rsidRDefault="00187DC1" w:rsidP="00A2043E">
      <w:pPr>
        <w:spacing w:after="240"/>
        <w:rPr>
          <w:b/>
        </w:rPr>
      </w:pPr>
      <w:r w:rsidRPr="005D2FB5">
        <w:rPr>
          <w:b/>
        </w:rPr>
        <w:t>Condition 2 - Information provision</w:t>
      </w:r>
    </w:p>
    <w:p w14:paraId="41D5644B" w14:textId="77777777" w:rsidR="00187DC1" w:rsidRDefault="00187DC1" w:rsidP="00A97E11">
      <w:pPr>
        <w:pStyle w:val="ListParagraph"/>
        <w:numPr>
          <w:ilvl w:val="0"/>
          <w:numId w:val="28"/>
        </w:numPr>
        <w:contextualSpacing w:val="0"/>
      </w:pPr>
      <w:r>
        <w:t xml:space="preserve">The exempt person must advise exempt customers, in writing, at the start of their tenancy/residency/agreement of the following: </w:t>
      </w:r>
    </w:p>
    <w:p w14:paraId="1D04F8BE" w14:textId="6F3B8C8F" w:rsidR="007C74F8" w:rsidRDefault="007C74F8" w:rsidP="00A2043E">
      <w:pPr>
        <w:pStyle w:val="ListParagraph"/>
        <w:numPr>
          <w:ilvl w:val="0"/>
          <w:numId w:val="146"/>
        </w:numPr>
        <w:contextualSpacing w:val="0"/>
      </w:pPr>
      <w:r>
        <w:t xml:space="preserve">the legal name, trading name (if relevant) and contact details </w:t>
      </w:r>
      <w:r w:rsidR="008909BB">
        <w:t>of</w:t>
      </w:r>
      <w:r>
        <w:t xml:space="preserve"> the exempt seller</w:t>
      </w:r>
    </w:p>
    <w:p w14:paraId="32757B32" w14:textId="77777777" w:rsidR="00187DC1" w:rsidRDefault="00187DC1" w:rsidP="00A2043E">
      <w:pPr>
        <w:pStyle w:val="ListParagraph"/>
        <w:numPr>
          <w:ilvl w:val="0"/>
          <w:numId w:val="146"/>
        </w:numPr>
        <w:contextualSpacing w:val="0"/>
      </w:pPr>
      <w:r>
        <w:t>any right of the exempt customer, under state or territory laws, to elect to purchase energy from a retailer of their choice and information on the options for metering that would allow this choice</w:t>
      </w:r>
    </w:p>
    <w:p w14:paraId="600400DB" w14:textId="77777777" w:rsidR="00187DC1" w:rsidRDefault="00187DC1" w:rsidP="00A2043E">
      <w:pPr>
        <w:pStyle w:val="ListParagraph"/>
        <w:numPr>
          <w:ilvl w:val="0"/>
          <w:numId w:val="146"/>
        </w:numPr>
        <w:contextualSpacing w:val="0"/>
      </w:pPr>
      <w:r>
        <w:t xml:space="preserve">that the exempt person is not subject to all the obligations of an authorised retailer, and the exempt customer will not receive the same protections as it would if </w:t>
      </w:r>
      <w:r w:rsidR="001D0839">
        <w:t xml:space="preserve">it </w:t>
      </w:r>
      <w:r>
        <w:t>were purchasing from an authorised retailer</w:t>
      </w:r>
    </w:p>
    <w:p w14:paraId="14A1CDA5" w14:textId="77777777" w:rsidR="00187DC1" w:rsidRPr="005C0F73" w:rsidRDefault="00187DC1" w:rsidP="00A2043E">
      <w:pPr>
        <w:pStyle w:val="ListParagraph"/>
        <w:numPr>
          <w:ilvl w:val="0"/>
          <w:numId w:val="146"/>
        </w:numPr>
        <w:contextualSpacing w:val="0"/>
      </w:pPr>
      <w:r w:rsidRPr="005C0F73">
        <w:t>the exempt customer’s rights in relation to dispute resolution including:</w:t>
      </w:r>
    </w:p>
    <w:p w14:paraId="1E5ADEA1" w14:textId="06FB2270" w:rsidR="00187DC1" w:rsidRDefault="00187DC1" w:rsidP="00A97E11">
      <w:pPr>
        <w:pStyle w:val="ListParagraph"/>
        <w:numPr>
          <w:ilvl w:val="0"/>
          <w:numId w:val="30"/>
        </w:numPr>
        <w:ind w:left="1134" w:hanging="283"/>
        <w:contextualSpacing w:val="0"/>
      </w:pPr>
      <w:r w:rsidRPr="005C0F73">
        <w:t xml:space="preserve">any right the exempt customer has to access the energy </w:t>
      </w:r>
      <w:r w:rsidR="005C0F73">
        <w:t>o</w:t>
      </w:r>
      <w:r w:rsidRPr="005C0F73">
        <w:t xml:space="preserve">mbudsman </w:t>
      </w:r>
      <w:r w:rsidRPr="00696483">
        <w:t>scheme</w:t>
      </w:r>
      <w:r w:rsidR="00107FDE">
        <w:t xml:space="preserve"> </w:t>
      </w:r>
      <w:r w:rsidR="009A0989">
        <w:t xml:space="preserve">(if applicable), </w:t>
      </w:r>
      <w:r w:rsidR="00967855">
        <w:t>i</w:t>
      </w:r>
      <w:r w:rsidR="009A0989">
        <w:t>ncluding to lodge a complaint</w:t>
      </w:r>
      <w:r w:rsidR="00967855">
        <w:t xml:space="preserve"> or for free independent information and advice</w:t>
      </w:r>
      <w:r w:rsidR="009A0989">
        <w:t>,</w:t>
      </w:r>
      <w:r w:rsidRPr="00696483">
        <w:t xml:space="preserve"> or any other relevant external dispute resolution body in the state or territory in which the exempt customer is located</w:t>
      </w:r>
      <w:r w:rsidR="006C12B7">
        <w:t xml:space="preserve"> and</w:t>
      </w:r>
    </w:p>
    <w:p w14:paraId="1F1B75FF" w14:textId="782F6AB1" w:rsidR="006C12B7" w:rsidRPr="005C0F73" w:rsidRDefault="006C12B7" w:rsidP="00A97E11">
      <w:pPr>
        <w:pStyle w:val="ListParagraph"/>
        <w:numPr>
          <w:ilvl w:val="0"/>
          <w:numId w:val="30"/>
        </w:numPr>
        <w:ind w:left="1134" w:hanging="283"/>
        <w:contextualSpacing w:val="0"/>
      </w:pPr>
      <w:r w:rsidRPr="005C0F73">
        <w:t xml:space="preserve">the exempt person’s procedures for handling </w:t>
      </w:r>
      <w:r>
        <w:t>complaints and disputes</w:t>
      </w:r>
      <w:r w:rsidR="00614889">
        <w:t>.</w:t>
      </w:r>
    </w:p>
    <w:p w14:paraId="7B8A7141" w14:textId="77777777" w:rsidR="00187DC1" w:rsidRDefault="00187DC1" w:rsidP="00A2043E">
      <w:pPr>
        <w:pStyle w:val="ListParagraph"/>
        <w:numPr>
          <w:ilvl w:val="0"/>
          <w:numId w:val="146"/>
        </w:numPr>
        <w:contextualSpacing w:val="0"/>
      </w:pPr>
      <w:r>
        <w:t>the conditions applicable to the exemption that the exempt person is operating under</w:t>
      </w:r>
    </w:p>
    <w:p w14:paraId="0927BE9B" w14:textId="77777777" w:rsidR="00187DC1" w:rsidRDefault="00187DC1" w:rsidP="00A2043E">
      <w:pPr>
        <w:pStyle w:val="ListParagraph"/>
        <w:numPr>
          <w:ilvl w:val="0"/>
          <w:numId w:val="146"/>
        </w:numPr>
        <w:contextualSpacing w:val="0"/>
      </w:pPr>
      <w:r>
        <w:t>the availability of relevant government or non-government energy rebates, concessions and relief schemes</w:t>
      </w:r>
    </w:p>
    <w:p w14:paraId="54C7FAAD" w14:textId="77777777" w:rsidR="00187DC1" w:rsidRDefault="00187DC1" w:rsidP="00A2043E">
      <w:pPr>
        <w:pStyle w:val="ListParagraph"/>
        <w:numPr>
          <w:ilvl w:val="0"/>
          <w:numId w:val="146"/>
        </w:numPr>
        <w:contextualSpacing w:val="0"/>
      </w:pPr>
      <w:r>
        <w:t>the forms of assistance available if the exempt customer is unable to pay energy bills due to financial difficulty, as well as the process the exempt customer should follow to seek these forms of assistance</w:t>
      </w:r>
    </w:p>
    <w:p w14:paraId="16E8ABCC" w14:textId="77777777" w:rsidR="00187DC1" w:rsidRDefault="00187DC1" w:rsidP="00A2043E">
      <w:pPr>
        <w:pStyle w:val="ListParagraph"/>
        <w:numPr>
          <w:ilvl w:val="0"/>
          <w:numId w:val="146"/>
        </w:numPr>
        <w:contextualSpacing w:val="0"/>
      </w:pPr>
      <w:r>
        <w:t>the energy tariffs and all associated fees and charges that will apply to the exempt customer in relation to the sale of energy</w:t>
      </w:r>
    </w:p>
    <w:p w14:paraId="771368A1" w14:textId="77777777" w:rsidR="00187DC1" w:rsidRDefault="00187DC1" w:rsidP="00A2043E">
      <w:pPr>
        <w:pStyle w:val="ListParagraph"/>
        <w:numPr>
          <w:ilvl w:val="0"/>
          <w:numId w:val="146"/>
        </w:numPr>
        <w:contextualSpacing w:val="0"/>
      </w:pPr>
      <w:r>
        <w:t>the flexible payment options that are available to the exempt customer in relation to the sale of energy, such as arrangements for payment by periodic instalments (bill smoothing)</w:t>
      </w:r>
    </w:p>
    <w:p w14:paraId="3EA1D92E" w14:textId="77777777" w:rsidR="00187DC1" w:rsidRDefault="00187DC1" w:rsidP="00A2043E">
      <w:pPr>
        <w:pStyle w:val="ListParagraph"/>
        <w:numPr>
          <w:ilvl w:val="0"/>
          <w:numId w:val="146"/>
        </w:numPr>
        <w:contextualSpacing w:val="0"/>
      </w:pPr>
      <w:r>
        <w:t>contact numbers in the event of a gas or electricity fault or emergency.</w:t>
      </w:r>
    </w:p>
    <w:p w14:paraId="62159ABE" w14:textId="654BF896" w:rsidR="00187DC1" w:rsidRDefault="008909BB" w:rsidP="00A97E11">
      <w:pPr>
        <w:pStyle w:val="ListParagraph"/>
        <w:numPr>
          <w:ilvl w:val="0"/>
          <w:numId w:val="28"/>
        </w:numPr>
        <w:contextualSpacing w:val="0"/>
      </w:pPr>
      <w:r>
        <w:t xml:space="preserve">The exempt person must provide </w:t>
      </w:r>
      <w:r w:rsidR="00187DC1">
        <w:t xml:space="preserve">the information set out in paragraph 1 of this </w:t>
      </w:r>
      <w:r w:rsidR="00B51B46">
        <w:t>condition at</w:t>
      </w:r>
      <w:r w:rsidR="00187DC1">
        <w:t xml:space="preserve"> any time on request by the exempt customer or the AER.</w:t>
      </w:r>
    </w:p>
    <w:p w14:paraId="71DE4D7A" w14:textId="6B82ACE1" w:rsidR="00187DC1" w:rsidRDefault="008909BB" w:rsidP="00A2043E">
      <w:pPr>
        <w:pStyle w:val="ListParagraph"/>
        <w:numPr>
          <w:ilvl w:val="0"/>
          <w:numId w:val="28"/>
        </w:numPr>
        <w:spacing w:after="240"/>
        <w:contextualSpacing w:val="0"/>
      </w:pPr>
      <w:r>
        <w:t xml:space="preserve">The exempt person must provide </w:t>
      </w:r>
      <w:r w:rsidR="00187DC1">
        <w:t xml:space="preserve">the information set out in paragraph 1 of this </w:t>
      </w:r>
      <w:r w:rsidR="00B51B46">
        <w:t>condition to</w:t>
      </w:r>
      <w:r w:rsidR="00187DC1">
        <w:t xml:space="preserve"> existing exempt customers as soon as practicable but no later than three months after the </w:t>
      </w:r>
      <w:r w:rsidR="00BE08AB">
        <w:t>Retail Law commences</w:t>
      </w:r>
      <w:r w:rsidR="00187DC1">
        <w:t xml:space="preserve"> in the relevant state or territory.</w:t>
      </w:r>
    </w:p>
    <w:p w14:paraId="784F3515" w14:textId="77777777" w:rsidR="00187DC1" w:rsidRPr="005D2FB5" w:rsidRDefault="00187DC1" w:rsidP="00A2043E">
      <w:pPr>
        <w:spacing w:after="240"/>
        <w:rPr>
          <w:b/>
        </w:rPr>
      </w:pPr>
      <w:r w:rsidRPr="005D2FB5">
        <w:rPr>
          <w:b/>
        </w:rPr>
        <w:t>Condition 3 - Billing and payment arrangements</w:t>
      </w:r>
    </w:p>
    <w:p w14:paraId="11B458E6" w14:textId="77777777" w:rsidR="00187DC1" w:rsidRDefault="00187DC1" w:rsidP="00A97E11">
      <w:pPr>
        <w:pStyle w:val="ListParagraph"/>
        <w:numPr>
          <w:ilvl w:val="0"/>
          <w:numId w:val="31"/>
        </w:numPr>
        <w:contextualSpacing w:val="0"/>
      </w:pPr>
      <w:r>
        <w:t>An exempt person must ensure that bills are issued to each exempt customer at least once every three months.</w:t>
      </w:r>
    </w:p>
    <w:p w14:paraId="4EC3232E" w14:textId="77777777" w:rsidR="008C41AA" w:rsidRDefault="00091D62" w:rsidP="00F43794">
      <w:pPr>
        <w:pStyle w:val="ListParagraph"/>
        <w:numPr>
          <w:ilvl w:val="0"/>
          <w:numId w:val="31"/>
        </w:numPr>
        <w:contextualSpacing w:val="0"/>
      </w:pPr>
      <w:r w:rsidRPr="00997082">
        <w:t xml:space="preserve">An exempt person must offer at least two payment </w:t>
      </w:r>
      <w:r w:rsidR="004C2A09" w:rsidRPr="00997082">
        <w:t>methods</w:t>
      </w:r>
      <w:r w:rsidRPr="00997082">
        <w:t xml:space="preserve"> to an exempt customer</w:t>
      </w:r>
      <w:r w:rsidR="00F43794">
        <w:t>. However, if an exempt person offers direct debit as one payment method</w:t>
      </w:r>
      <w:r w:rsidR="009A73F8">
        <w:t>,</w:t>
      </w:r>
      <w:r w:rsidR="009C65C4">
        <w:t xml:space="preserve"> </w:t>
      </w:r>
      <w:r w:rsidR="00F43794">
        <w:t>they must also offer at least two other payment methods to an exempt customer (that is, at least three methods in total). In each case, at least one of the payment methods offered must be able to be effected without internet access. For example</w:t>
      </w:r>
      <w:r w:rsidR="008C41AA">
        <w:t>:</w:t>
      </w:r>
    </w:p>
    <w:p w14:paraId="2F297B52" w14:textId="2EE16D01" w:rsidR="008C41AA" w:rsidRPr="008C41AA" w:rsidRDefault="008C41AA" w:rsidP="008C41AA">
      <w:pPr>
        <w:pStyle w:val="ListParagraph"/>
        <w:numPr>
          <w:ilvl w:val="0"/>
          <w:numId w:val="32"/>
        </w:numPr>
        <w:contextualSpacing w:val="0"/>
      </w:pPr>
      <w:r w:rsidRPr="008C41AA">
        <w:t xml:space="preserve">in person </w:t>
      </w:r>
    </w:p>
    <w:p w14:paraId="656CC9EF" w14:textId="191F7A2F" w:rsidR="008C41AA" w:rsidRPr="008C41AA" w:rsidRDefault="008C41AA" w:rsidP="008C41AA">
      <w:pPr>
        <w:pStyle w:val="ListParagraph"/>
        <w:numPr>
          <w:ilvl w:val="0"/>
          <w:numId w:val="32"/>
        </w:numPr>
        <w:contextualSpacing w:val="0"/>
      </w:pPr>
      <w:r w:rsidRPr="008C41AA">
        <w:t xml:space="preserve">by telephone </w:t>
      </w:r>
    </w:p>
    <w:p w14:paraId="198BCB2A" w14:textId="679F271A" w:rsidR="008C41AA" w:rsidRDefault="008C41AA" w:rsidP="008C41AA">
      <w:pPr>
        <w:pStyle w:val="ListParagraph"/>
        <w:numPr>
          <w:ilvl w:val="0"/>
          <w:numId w:val="32"/>
        </w:numPr>
        <w:contextualSpacing w:val="0"/>
      </w:pPr>
      <w:r w:rsidRPr="008C41AA">
        <w:t xml:space="preserve">by mail </w:t>
      </w:r>
    </w:p>
    <w:p w14:paraId="22FDCEF8" w14:textId="77777777" w:rsidR="00BE08AB" w:rsidRDefault="00F43794" w:rsidP="00B9212C">
      <w:pPr>
        <w:pStyle w:val="ListParagraph"/>
        <w:numPr>
          <w:ilvl w:val="0"/>
          <w:numId w:val="32"/>
        </w:numPr>
        <w:contextualSpacing w:val="0"/>
      </w:pPr>
      <w:r>
        <w:t xml:space="preserve">by direct </w:t>
      </w:r>
      <w:r w:rsidR="007E5505">
        <w:t>deposit</w:t>
      </w:r>
      <w:r>
        <w:t xml:space="preserve"> into a bank account</w:t>
      </w:r>
      <w:r w:rsidR="00B9212C">
        <w:t>.</w:t>
      </w:r>
    </w:p>
    <w:p w14:paraId="748F476F" w14:textId="77777777" w:rsidR="00187DC1" w:rsidRPr="00C16717" w:rsidRDefault="00187DC1" w:rsidP="00A97E11">
      <w:pPr>
        <w:pStyle w:val="ListParagraph"/>
        <w:numPr>
          <w:ilvl w:val="0"/>
          <w:numId w:val="31"/>
        </w:numPr>
        <w:contextualSpacing w:val="0"/>
      </w:pPr>
      <w:r w:rsidRPr="00C16717">
        <w:t>An exempt person must include the following particulars in a bill for an exempt customer:</w:t>
      </w:r>
    </w:p>
    <w:p w14:paraId="26167E7D" w14:textId="5847B331" w:rsidR="00761F83" w:rsidRPr="00F159E4" w:rsidRDefault="00F159E4" w:rsidP="00E17824">
      <w:pPr>
        <w:pStyle w:val="ListParagraph"/>
        <w:numPr>
          <w:ilvl w:val="0"/>
          <w:numId w:val="34"/>
        </w:numPr>
        <w:contextualSpacing w:val="0"/>
      </w:pPr>
      <w:r w:rsidRPr="00F159E4">
        <w:t xml:space="preserve">the legal name, trading name (if relevant) and contact details </w:t>
      </w:r>
      <w:r w:rsidR="008909BB">
        <w:t xml:space="preserve">of </w:t>
      </w:r>
      <w:r w:rsidRPr="00F159E4">
        <w:t>the exempt seller</w:t>
      </w:r>
    </w:p>
    <w:p w14:paraId="37B451F4" w14:textId="3737BB3A" w:rsidR="00187DC1" w:rsidRDefault="009C664A" w:rsidP="00A97E11">
      <w:pPr>
        <w:pStyle w:val="ListParagraph"/>
        <w:numPr>
          <w:ilvl w:val="0"/>
          <w:numId w:val="34"/>
        </w:numPr>
        <w:contextualSpacing w:val="0"/>
      </w:pPr>
      <w:r>
        <w:t xml:space="preserve">the </w:t>
      </w:r>
      <w:r w:rsidR="00187DC1">
        <w:t>name of the exempt customer</w:t>
      </w:r>
    </w:p>
    <w:p w14:paraId="1BB8D562" w14:textId="31C60698" w:rsidR="00187DC1" w:rsidRDefault="009C664A" w:rsidP="00A97E11">
      <w:pPr>
        <w:pStyle w:val="ListParagraph"/>
        <w:numPr>
          <w:ilvl w:val="0"/>
          <w:numId w:val="34"/>
        </w:numPr>
        <w:contextualSpacing w:val="0"/>
      </w:pPr>
      <w:r>
        <w:t xml:space="preserve">the </w:t>
      </w:r>
      <w:r w:rsidR="00187DC1">
        <w:t>address of the exempt customer’s premises</w:t>
      </w:r>
    </w:p>
    <w:p w14:paraId="1CDEDEFB" w14:textId="14F7C864" w:rsidR="00187DC1" w:rsidRDefault="009C664A" w:rsidP="00A97E11">
      <w:pPr>
        <w:pStyle w:val="ListParagraph"/>
        <w:numPr>
          <w:ilvl w:val="0"/>
          <w:numId w:val="34"/>
        </w:numPr>
        <w:contextualSpacing w:val="0"/>
      </w:pPr>
      <w:r>
        <w:t xml:space="preserve">date </w:t>
      </w:r>
      <w:r w:rsidR="00187DC1">
        <w:t>that the account was issued</w:t>
      </w:r>
    </w:p>
    <w:p w14:paraId="2D1CF683" w14:textId="00CF6FA3" w:rsidR="00187DC1" w:rsidRDefault="009C664A" w:rsidP="00A97E11">
      <w:pPr>
        <w:pStyle w:val="ListParagraph"/>
        <w:numPr>
          <w:ilvl w:val="0"/>
          <w:numId w:val="34"/>
        </w:numPr>
        <w:contextualSpacing w:val="0"/>
      </w:pPr>
      <w:r>
        <w:t xml:space="preserve">the </w:t>
      </w:r>
      <w:r w:rsidR="00187DC1">
        <w:t>identifier of the meter for the exempt customer’s premises</w:t>
      </w:r>
    </w:p>
    <w:p w14:paraId="4B29C353" w14:textId="30FA6262" w:rsidR="00187DC1" w:rsidRDefault="009C664A" w:rsidP="00A97E11">
      <w:pPr>
        <w:pStyle w:val="ListParagraph"/>
        <w:numPr>
          <w:ilvl w:val="0"/>
          <w:numId w:val="34"/>
        </w:numPr>
        <w:contextualSpacing w:val="0"/>
      </w:pPr>
      <w:r>
        <w:t xml:space="preserve">the </w:t>
      </w:r>
      <w:r w:rsidR="00187DC1">
        <w:t>pay-by date for the bill</w:t>
      </w:r>
    </w:p>
    <w:p w14:paraId="1C3728C9" w14:textId="109D1CDA" w:rsidR="00187DC1" w:rsidRDefault="009C664A" w:rsidP="00A97E11">
      <w:pPr>
        <w:pStyle w:val="ListParagraph"/>
        <w:numPr>
          <w:ilvl w:val="0"/>
          <w:numId w:val="34"/>
        </w:numPr>
        <w:contextualSpacing w:val="0"/>
      </w:pPr>
      <w:r>
        <w:t xml:space="preserve">date </w:t>
      </w:r>
      <w:r w:rsidR="00187DC1">
        <w:t>of the current meter reading or estimate, as applicable</w:t>
      </w:r>
    </w:p>
    <w:p w14:paraId="0B247480" w14:textId="76688E9A" w:rsidR="00187DC1" w:rsidRDefault="009C664A" w:rsidP="00A97E11">
      <w:pPr>
        <w:pStyle w:val="ListParagraph"/>
        <w:numPr>
          <w:ilvl w:val="0"/>
          <w:numId w:val="34"/>
        </w:numPr>
        <w:contextualSpacing w:val="0"/>
      </w:pPr>
      <w:r>
        <w:t xml:space="preserve">the </w:t>
      </w:r>
      <w:r w:rsidR="00187DC1">
        <w:t>dates to which the meter reading or estimate applies (billing period)</w:t>
      </w:r>
    </w:p>
    <w:p w14:paraId="1095FEF0" w14:textId="2433A35E" w:rsidR="00187DC1" w:rsidRDefault="009C664A" w:rsidP="00A97E11">
      <w:pPr>
        <w:pStyle w:val="ListParagraph"/>
        <w:numPr>
          <w:ilvl w:val="0"/>
          <w:numId w:val="34"/>
        </w:numPr>
        <w:contextualSpacing w:val="0"/>
      </w:pPr>
      <w:r>
        <w:t xml:space="preserve">current </w:t>
      </w:r>
      <w:r w:rsidR="00187DC1">
        <w:t xml:space="preserve">meter reading or estimate in kilowatt hours and/or cubic metres, as applicable. Where the amount is an estimate, this must be clearly stated on the bill </w:t>
      </w:r>
    </w:p>
    <w:p w14:paraId="6561E5A6" w14:textId="6C0F214A" w:rsidR="00187DC1" w:rsidRDefault="009C664A" w:rsidP="00A97E11">
      <w:pPr>
        <w:pStyle w:val="ListParagraph"/>
        <w:numPr>
          <w:ilvl w:val="0"/>
          <w:numId w:val="34"/>
        </w:numPr>
        <w:contextualSpacing w:val="0"/>
      </w:pPr>
      <w:r>
        <w:t xml:space="preserve">previous </w:t>
      </w:r>
      <w:r w:rsidR="00187DC1">
        <w:t>meter reading or estimate in kilowatt hours and/or cubic metres, as applicable. Where the amount is an estimate, this must be clearly stated on the bill</w:t>
      </w:r>
    </w:p>
    <w:p w14:paraId="77B3EE70" w14:textId="715BFB1C" w:rsidR="00187DC1" w:rsidRDefault="009C664A" w:rsidP="00A97E11">
      <w:pPr>
        <w:pStyle w:val="ListParagraph"/>
        <w:numPr>
          <w:ilvl w:val="0"/>
          <w:numId w:val="34"/>
        </w:numPr>
        <w:contextualSpacing w:val="0"/>
      </w:pPr>
      <w:r>
        <w:t xml:space="preserve">the </w:t>
      </w:r>
      <w:r w:rsidR="00187DC1">
        <w:t>amount of energy consumed, or estimated to be consumed, in the meter reading period. For electricity, consumption must be shown in kilowatt hours. For gas, consumption must be shown in cubic metres and mega joules and must note the heating value and pressure conversion factor that has been applied (these must be the same as those applied by the retailer from whom the exempt person purchases gas for the site)</w:t>
      </w:r>
    </w:p>
    <w:p w14:paraId="4CCF366C" w14:textId="70BD493F" w:rsidR="00187DC1" w:rsidRDefault="009C664A" w:rsidP="00A97E11">
      <w:pPr>
        <w:pStyle w:val="ListParagraph"/>
        <w:numPr>
          <w:ilvl w:val="0"/>
          <w:numId w:val="34"/>
        </w:numPr>
        <w:contextualSpacing w:val="0"/>
      </w:pPr>
      <w:r>
        <w:t>tariffs</w:t>
      </w:r>
      <w:r w:rsidR="00187DC1">
        <w:t>, fees and charges applicable to the exempt customer</w:t>
      </w:r>
    </w:p>
    <w:p w14:paraId="4467B11D" w14:textId="6147717C" w:rsidR="007628B1" w:rsidRPr="007628B1" w:rsidRDefault="009C664A" w:rsidP="007628B1">
      <w:pPr>
        <w:pStyle w:val="ListParagraph"/>
        <w:numPr>
          <w:ilvl w:val="0"/>
          <w:numId w:val="34"/>
        </w:numPr>
        <w:contextualSpacing w:val="0"/>
      </w:pPr>
      <w:r>
        <w:t xml:space="preserve">the </w:t>
      </w:r>
      <w:r w:rsidR="006D3AAF">
        <w:t xml:space="preserve">basis on which tariffs, fees and charges are calculated. </w:t>
      </w:r>
      <w:r w:rsidR="007628B1" w:rsidRPr="007628B1">
        <w:t>This includes:</w:t>
      </w:r>
    </w:p>
    <w:p w14:paraId="5902843E" w14:textId="28AFDB44" w:rsidR="007628B1" w:rsidRPr="007628B1" w:rsidRDefault="007628B1" w:rsidP="007628B1">
      <w:pPr>
        <w:pStyle w:val="ListParagraph"/>
        <w:numPr>
          <w:ilvl w:val="2"/>
          <w:numId w:val="126"/>
        </w:numPr>
      </w:pPr>
      <w:r w:rsidRPr="007628B1">
        <w:t>the usage rate specified in cents per kilowatt hour (c/kWh)</w:t>
      </w:r>
      <w:r w:rsidR="00761F83">
        <w:t xml:space="preserve"> or cents per megajoules (c/MJ)</w:t>
      </w:r>
    </w:p>
    <w:p w14:paraId="50982F24" w14:textId="77777777" w:rsidR="007628B1" w:rsidRPr="007628B1" w:rsidRDefault="007628B1" w:rsidP="007628B1">
      <w:pPr>
        <w:pStyle w:val="ListParagraph"/>
        <w:numPr>
          <w:ilvl w:val="2"/>
          <w:numId w:val="126"/>
        </w:numPr>
      </w:pPr>
      <w:r w:rsidRPr="007628B1">
        <w:t>the daily supply charge in cents per day (c/day) (if charged)</w:t>
      </w:r>
    </w:p>
    <w:p w14:paraId="79555224" w14:textId="77777777" w:rsidR="007628B1" w:rsidRDefault="007628B1" w:rsidP="007628B1">
      <w:pPr>
        <w:pStyle w:val="ListParagraph"/>
        <w:numPr>
          <w:ilvl w:val="2"/>
          <w:numId w:val="126"/>
        </w:numPr>
      </w:pPr>
      <w:r w:rsidRPr="007628B1">
        <w:t>the number of days in the billing cycle</w:t>
      </w:r>
    </w:p>
    <w:p w14:paraId="593D15A7" w14:textId="77777777" w:rsidR="007628B1" w:rsidRPr="007628B1" w:rsidRDefault="007628B1" w:rsidP="007628B1">
      <w:pPr>
        <w:pStyle w:val="ListParagraph"/>
        <w:ind w:left="1797"/>
      </w:pPr>
    </w:p>
    <w:p w14:paraId="17749B23" w14:textId="7D7B9066" w:rsidR="00187DC1" w:rsidRDefault="009C664A" w:rsidP="00A97E11">
      <w:pPr>
        <w:pStyle w:val="ListParagraph"/>
        <w:numPr>
          <w:ilvl w:val="0"/>
          <w:numId w:val="34"/>
        </w:numPr>
        <w:contextualSpacing w:val="0"/>
      </w:pPr>
      <w:r>
        <w:t xml:space="preserve">any </w:t>
      </w:r>
      <w:r w:rsidR="00187DC1">
        <w:t>amount deducted, credited or received under a government or non-government funded energy charge rebate, concession or relief scheme or under a payment arrangement</w:t>
      </w:r>
    </w:p>
    <w:p w14:paraId="6F703DAB" w14:textId="085F8AF3" w:rsidR="00187DC1" w:rsidRDefault="009C664A" w:rsidP="00A97E11">
      <w:pPr>
        <w:pStyle w:val="ListParagraph"/>
        <w:numPr>
          <w:ilvl w:val="0"/>
          <w:numId w:val="34"/>
        </w:numPr>
        <w:contextualSpacing w:val="0"/>
      </w:pPr>
      <w:r>
        <w:t xml:space="preserve">details </w:t>
      </w:r>
      <w:r w:rsidR="00187DC1">
        <w:t>of the available payment methods</w:t>
      </w:r>
    </w:p>
    <w:p w14:paraId="3FFAAC8D" w14:textId="0171B2F4" w:rsidR="00187DC1" w:rsidRDefault="009C664A" w:rsidP="009B638B">
      <w:pPr>
        <w:pStyle w:val="ListParagraph"/>
        <w:numPr>
          <w:ilvl w:val="0"/>
          <w:numId w:val="34"/>
        </w:numPr>
        <w:spacing w:after="240"/>
        <w:contextualSpacing w:val="0"/>
      </w:pPr>
      <w:r>
        <w:t xml:space="preserve">a </w:t>
      </w:r>
      <w:r w:rsidR="00187DC1">
        <w:t xml:space="preserve">telephone number for account inquiries and complaints. </w:t>
      </w:r>
    </w:p>
    <w:p w14:paraId="0EBA7890" w14:textId="77777777" w:rsidR="00187DC1" w:rsidRPr="005D2FB5" w:rsidRDefault="00187DC1" w:rsidP="009B638B">
      <w:pPr>
        <w:keepNext/>
        <w:spacing w:after="240"/>
        <w:rPr>
          <w:b/>
        </w:rPr>
      </w:pPr>
      <w:r w:rsidRPr="005D2FB5">
        <w:rPr>
          <w:b/>
        </w:rPr>
        <w:t>Condition 4 - Estimation as basis for bills</w:t>
      </w:r>
    </w:p>
    <w:p w14:paraId="22AFEFE6" w14:textId="77777777" w:rsidR="00187DC1" w:rsidRDefault="00187DC1" w:rsidP="009B638B">
      <w:pPr>
        <w:pStyle w:val="ListParagraph"/>
        <w:keepNext/>
        <w:numPr>
          <w:ilvl w:val="0"/>
          <w:numId w:val="35"/>
        </w:numPr>
        <w:contextualSpacing w:val="0"/>
      </w:pPr>
      <w:r>
        <w:t>An exempt person must use best endeavours to ensure that the meter for each exempt customer is read and used as the basis, or apportioned, for any bill issued.</w:t>
      </w:r>
    </w:p>
    <w:p w14:paraId="52931E40" w14:textId="77777777" w:rsidR="00187DC1" w:rsidRDefault="00453549" w:rsidP="009B638B">
      <w:pPr>
        <w:pStyle w:val="ListParagraph"/>
        <w:keepNext/>
        <w:numPr>
          <w:ilvl w:val="0"/>
          <w:numId w:val="35"/>
        </w:numPr>
        <w:contextualSpacing w:val="0"/>
      </w:pPr>
      <w:r>
        <w:t xml:space="preserve">An </w:t>
      </w:r>
      <w:r w:rsidR="00187DC1">
        <w:t>exempt person cannot rely on an estimation of the meter value at the start of an energy supply arrangement with an exempt customer, or for the purpose of issuing a final bill to an exempt customer.</w:t>
      </w:r>
    </w:p>
    <w:p w14:paraId="70FC52F7" w14:textId="77777777" w:rsidR="00187DC1" w:rsidRDefault="00187DC1" w:rsidP="00A97E11">
      <w:pPr>
        <w:pStyle w:val="ListParagraph"/>
        <w:numPr>
          <w:ilvl w:val="0"/>
          <w:numId w:val="35"/>
        </w:numPr>
        <w:contextualSpacing w:val="0"/>
      </w:pPr>
      <w:r>
        <w:t xml:space="preserve">An exempt person may base an exempt customer’s bill on an estimation of the exempt customer’s consumption of energy where the exempt person is not able to reasonably or reliably base the bill on an actual meter reading. </w:t>
      </w:r>
    </w:p>
    <w:p w14:paraId="1B07C625" w14:textId="77777777" w:rsidR="00187DC1" w:rsidRDefault="00187DC1" w:rsidP="00A97E11">
      <w:pPr>
        <w:pStyle w:val="ListParagraph"/>
        <w:numPr>
          <w:ilvl w:val="0"/>
          <w:numId w:val="35"/>
        </w:numPr>
        <w:contextualSpacing w:val="0"/>
      </w:pPr>
      <w:r>
        <w:t>Where an estimation is used as the basis for a</w:t>
      </w:r>
      <w:r w:rsidR="00BE08AB">
        <w:t>n</w:t>
      </w:r>
      <w:r>
        <w:t xml:space="preserve"> exempt customer’s bill, the estimation must be based on:</w:t>
      </w:r>
    </w:p>
    <w:p w14:paraId="14492906" w14:textId="77777777" w:rsidR="00187DC1" w:rsidRDefault="00187DC1" w:rsidP="00A97E11">
      <w:pPr>
        <w:pStyle w:val="ListParagraph"/>
        <w:numPr>
          <w:ilvl w:val="0"/>
          <w:numId w:val="36"/>
        </w:numPr>
        <w:contextualSpacing w:val="0"/>
      </w:pPr>
      <w:r>
        <w:t>historical metering data for the exempt customer reasonably available to the exempt person or</w:t>
      </w:r>
    </w:p>
    <w:p w14:paraId="55B78BC4" w14:textId="77777777" w:rsidR="00187DC1" w:rsidRDefault="00187DC1" w:rsidP="00A97E11">
      <w:pPr>
        <w:pStyle w:val="ListParagraph"/>
        <w:numPr>
          <w:ilvl w:val="0"/>
          <w:numId w:val="36"/>
        </w:numPr>
        <w:contextualSpacing w:val="0"/>
      </w:pPr>
      <w:r>
        <w:t>where this is not available, the average usage of energy by a comparable customer over the corresponding period.</w:t>
      </w:r>
    </w:p>
    <w:p w14:paraId="7D79CE11" w14:textId="14E212F4" w:rsidR="00187DC1" w:rsidRDefault="00187DC1" w:rsidP="009B638B">
      <w:pPr>
        <w:pStyle w:val="ListParagraph"/>
        <w:numPr>
          <w:ilvl w:val="0"/>
          <w:numId w:val="35"/>
        </w:numPr>
        <w:spacing w:after="240"/>
        <w:contextualSpacing w:val="0"/>
      </w:pPr>
      <w:r>
        <w:t>If a customer’s bill is based on an estimation this must be clearly stated on the exempt customer’s bill.</w:t>
      </w:r>
    </w:p>
    <w:p w14:paraId="44E369A5" w14:textId="77777777" w:rsidR="00187DC1" w:rsidRPr="005D2FB5" w:rsidRDefault="00187DC1" w:rsidP="009B638B">
      <w:pPr>
        <w:spacing w:after="240"/>
        <w:rPr>
          <w:b/>
        </w:rPr>
      </w:pPr>
      <w:r w:rsidRPr="005D2FB5">
        <w:rPr>
          <w:b/>
        </w:rPr>
        <w:t>Condition 5 - Pay-by date</w:t>
      </w:r>
    </w:p>
    <w:p w14:paraId="6358C85D" w14:textId="7A1E7325" w:rsidR="00187DC1" w:rsidRDefault="00187DC1">
      <w:pPr>
        <w:pStyle w:val="ListParagraph"/>
        <w:numPr>
          <w:ilvl w:val="0"/>
          <w:numId w:val="37"/>
        </w:numPr>
        <w:contextualSpacing w:val="0"/>
      </w:pPr>
      <w:r>
        <w:t xml:space="preserve">The pay-by date for a bill must not be less than 13 business days from the date on which the exempt person issues the bill. </w:t>
      </w:r>
    </w:p>
    <w:p w14:paraId="7D34582F" w14:textId="77777777" w:rsidR="00616AF3" w:rsidRDefault="00616AF3" w:rsidP="00616AF3">
      <w:pPr>
        <w:pStyle w:val="ListParagraph"/>
        <w:ind w:left="340"/>
        <w:contextualSpacing w:val="0"/>
      </w:pPr>
    </w:p>
    <w:p w14:paraId="600B876D" w14:textId="77777777" w:rsidR="00187DC1" w:rsidRPr="005D2FB5" w:rsidRDefault="00187DC1">
      <w:pPr>
        <w:rPr>
          <w:b/>
        </w:rPr>
      </w:pPr>
      <w:r w:rsidRPr="005D2FB5">
        <w:rPr>
          <w:b/>
        </w:rPr>
        <w:t>Condition 6 - Receipts</w:t>
      </w:r>
    </w:p>
    <w:p w14:paraId="3557532A" w14:textId="77777777" w:rsidR="00187DC1" w:rsidRDefault="00187DC1">
      <w:pPr>
        <w:pStyle w:val="ListParagraph"/>
        <w:numPr>
          <w:ilvl w:val="0"/>
          <w:numId w:val="38"/>
        </w:numPr>
        <w:contextualSpacing w:val="0"/>
      </w:pPr>
      <w:r>
        <w:t>An exempt person must provide each exempt customer with a receipt for any amount paid for energy, except where payment has been made by:</w:t>
      </w:r>
    </w:p>
    <w:p w14:paraId="721E41AE" w14:textId="4373DC9A" w:rsidR="00187DC1" w:rsidRDefault="00187DC1" w:rsidP="00A97E11">
      <w:pPr>
        <w:pStyle w:val="ListParagraph"/>
        <w:numPr>
          <w:ilvl w:val="0"/>
          <w:numId w:val="39"/>
        </w:numPr>
        <w:contextualSpacing w:val="0"/>
      </w:pPr>
      <w:r>
        <w:t xml:space="preserve">direct debit or </w:t>
      </w:r>
    </w:p>
    <w:p w14:paraId="0DCA9EBC" w14:textId="77777777" w:rsidR="00187DC1" w:rsidRDefault="00187DC1" w:rsidP="00A97E11">
      <w:pPr>
        <w:pStyle w:val="ListParagraph"/>
        <w:numPr>
          <w:ilvl w:val="0"/>
          <w:numId w:val="39"/>
        </w:numPr>
        <w:contextualSpacing w:val="0"/>
      </w:pPr>
      <w:r>
        <w:t>credit card over the phone and the customer is provided with a receipt number.</w:t>
      </w:r>
    </w:p>
    <w:p w14:paraId="313842C7" w14:textId="77777777" w:rsidR="00187DC1" w:rsidRDefault="00453549" w:rsidP="009B638B">
      <w:pPr>
        <w:pStyle w:val="ListParagraph"/>
        <w:numPr>
          <w:ilvl w:val="0"/>
          <w:numId w:val="37"/>
        </w:numPr>
        <w:spacing w:after="240"/>
        <w:contextualSpacing w:val="0"/>
      </w:pPr>
      <w:r>
        <w:t>A</w:t>
      </w:r>
      <w:r w:rsidR="00187DC1">
        <w:t>n exempt person must provide the exempt customer with a separate receipt if a payment for energy was made together with a rent payment but has not been separately identified on the rent receipt.</w:t>
      </w:r>
    </w:p>
    <w:p w14:paraId="566693C6" w14:textId="77777777" w:rsidR="00187DC1" w:rsidRPr="005D2FB5" w:rsidRDefault="00187DC1" w:rsidP="009B638B">
      <w:pPr>
        <w:spacing w:after="240"/>
        <w:rPr>
          <w:b/>
        </w:rPr>
      </w:pPr>
      <w:r w:rsidRPr="005D2FB5">
        <w:rPr>
          <w:b/>
        </w:rPr>
        <w:t>Condition 7 - Pricing</w:t>
      </w:r>
    </w:p>
    <w:p w14:paraId="383FF7B6" w14:textId="0705A2CD" w:rsidR="00187DC1" w:rsidRDefault="00187DC1" w:rsidP="00A97E11">
      <w:pPr>
        <w:pStyle w:val="ListParagraph"/>
        <w:numPr>
          <w:ilvl w:val="0"/>
          <w:numId w:val="40"/>
        </w:numPr>
        <w:contextualSpacing w:val="0"/>
      </w:pPr>
      <w:r>
        <w:t>An exempt person must not charge the exempt customer tariffs higher than the standing offer price that would be charged by the relevant local area retailer for new connections, if the local area retailer were to supply that quantity, or estimated quantity, of energy directly to the premises of the exempt customer.</w:t>
      </w:r>
      <w:r w:rsidR="006E7631">
        <w:rPr>
          <w:rStyle w:val="FootnoteReference"/>
        </w:rPr>
        <w:footnoteReference w:id="46"/>
      </w:r>
    </w:p>
    <w:p w14:paraId="090EC05C" w14:textId="77777777" w:rsidR="00187DC1" w:rsidRDefault="00187DC1" w:rsidP="009B638B">
      <w:pPr>
        <w:pStyle w:val="ListParagraph"/>
        <w:numPr>
          <w:ilvl w:val="0"/>
          <w:numId w:val="40"/>
        </w:numPr>
        <w:spacing w:after="240"/>
        <w:contextualSpacing w:val="0"/>
      </w:pPr>
      <w:r>
        <w:t>An exempt person must provide notice to the exempt customer of any change in the exempt customer tariff as soon as practicable and no later than the exempt customer’s next bill.</w:t>
      </w:r>
    </w:p>
    <w:p w14:paraId="15F64897" w14:textId="3406E27B" w:rsidR="006D3AAF" w:rsidRPr="007628B1" w:rsidRDefault="006D3AAF" w:rsidP="009B638B">
      <w:pPr>
        <w:pStyle w:val="ListParagraph"/>
        <w:numPr>
          <w:ilvl w:val="0"/>
          <w:numId w:val="40"/>
        </w:numPr>
        <w:spacing w:after="240"/>
        <w:contextualSpacing w:val="0"/>
      </w:pPr>
      <w:r>
        <w:t xml:space="preserve">An exempt person must not impose any charge on an exempt customer that is not charged by the relevant local area retailer for new connections under a standard retail contract. </w:t>
      </w:r>
      <w:r w:rsidR="00101AD2">
        <w:t>A ‘</w:t>
      </w:r>
      <w:r w:rsidR="007628B1" w:rsidRPr="007628B1">
        <w:t>charge</w:t>
      </w:r>
      <w:r w:rsidR="00101AD2">
        <w:t>’</w:t>
      </w:r>
      <w:r w:rsidR="007628B1" w:rsidRPr="007628B1">
        <w:t xml:space="preserve"> includes, but is not limited to, account establishment fees, late payment fees, debt collection fees, disconnection and reconnection charges and security deposits.</w:t>
      </w:r>
      <w:r w:rsidR="007628B1" w:rsidRPr="007628B1">
        <w:rPr>
          <w:rStyle w:val="FootnoteReference"/>
        </w:rPr>
        <w:footnoteReference w:id="47"/>
      </w:r>
      <w:r w:rsidR="00FA3140">
        <w:t xml:space="preserve"> The amount of any allowable charge must not be greater than that charged under the relevant local area retailer’s standard retail contract.</w:t>
      </w:r>
    </w:p>
    <w:p w14:paraId="7FA2B266" w14:textId="77777777" w:rsidR="00187DC1" w:rsidRPr="005C3079" w:rsidRDefault="00187DC1" w:rsidP="005C3079">
      <w:pPr>
        <w:rPr>
          <w:b/>
        </w:rPr>
      </w:pPr>
      <w:r w:rsidRPr="005C3079">
        <w:rPr>
          <w:b/>
        </w:rPr>
        <w:t>Condition 8 – Undercharging and overcharging</w:t>
      </w:r>
    </w:p>
    <w:p w14:paraId="1FA2FBBA" w14:textId="77777777" w:rsidR="00187DC1" w:rsidRDefault="00187DC1" w:rsidP="00A97E11">
      <w:pPr>
        <w:pStyle w:val="ListParagraph"/>
        <w:numPr>
          <w:ilvl w:val="0"/>
          <w:numId w:val="41"/>
        </w:numPr>
        <w:contextualSpacing w:val="0"/>
      </w:pPr>
      <w:r>
        <w:t>Where an exempt customer has been undercharged, an exempt person can recover the amount undercharged subject to the following:</w:t>
      </w:r>
    </w:p>
    <w:p w14:paraId="4A9FCE09" w14:textId="2F8C88D3" w:rsidR="00187DC1" w:rsidRDefault="009C664A" w:rsidP="00A97E11">
      <w:pPr>
        <w:pStyle w:val="ListParagraph"/>
        <w:numPr>
          <w:ilvl w:val="0"/>
          <w:numId w:val="42"/>
        </w:numPr>
        <w:contextualSpacing w:val="0"/>
      </w:pPr>
      <w:r>
        <w:t xml:space="preserve">where </w:t>
      </w:r>
      <w:r w:rsidR="00187DC1">
        <w:t xml:space="preserve">the undercharging was not the result of the exempt customer’s fault or unlawful act or omission, the exempt person is limited to recovering the amount undercharged in the 9 months before the date on which the </w:t>
      </w:r>
      <w:r w:rsidR="008E4C94">
        <w:t xml:space="preserve">exempt </w:t>
      </w:r>
      <w:r w:rsidR="00187DC1">
        <w:t>customer is notified of the undercharging</w:t>
      </w:r>
    </w:p>
    <w:p w14:paraId="6FB00356" w14:textId="2F3FD60B" w:rsidR="00187DC1" w:rsidRDefault="009C664A" w:rsidP="00A97E11">
      <w:pPr>
        <w:pStyle w:val="ListParagraph"/>
        <w:numPr>
          <w:ilvl w:val="0"/>
          <w:numId w:val="42"/>
        </w:numPr>
        <w:contextualSpacing w:val="0"/>
      </w:pPr>
      <w:r>
        <w:t xml:space="preserve">the </w:t>
      </w:r>
      <w:r w:rsidR="00187DC1">
        <w:t>exempt person cannot charge interest on the undercharged amount</w:t>
      </w:r>
    </w:p>
    <w:p w14:paraId="4E7CF2CD" w14:textId="3F032DA7" w:rsidR="00187DC1" w:rsidRDefault="009C664A" w:rsidP="00A97E11">
      <w:pPr>
        <w:pStyle w:val="ListParagraph"/>
        <w:numPr>
          <w:ilvl w:val="0"/>
          <w:numId w:val="42"/>
        </w:numPr>
        <w:contextualSpacing w:val="0"/>
      </w:pPr>
      <w:r>
        <w:t xml:space="preserve">the </w:t>
      </w:r>
      <w:r w:rsidR="00187DC1">
        <w:t xml:space="preserve">exempt person must offer the exempt customer time to pay the undercharged amount by instalments, over a period nominated by the customer (up to12 months, but no longer than the period of the undercharging). </w:t>
      </w:r>
    </w:p>
    <w:p w14:paraId="2A7B865B" w14:textId="105F0260" w:rsidR="00187DC1" w:rsidRDefault="00187DC1" w:rsidP="00A97E11">
      <w:pPr>
        <w:pStyle w:val="ListParagraph"/>
        <w:numPr>
          <w:ilvl w:val="0"/>
          <w:numId w:val="41"/>
        </w:numPr>
        <w:contextualSpacing w:val="0"/>
      </w:pPr>
      <w:r>
        <w:t xml:space="preserve">Where an exempt customer has been overcharged, an exempt person must inform the </w:t>
      </w:r>
      <w:r w:rsidR="008E4C94">
        <w:t xml:space="preserve">exempt </w:t>
      </w:r>
      <w:r>
        <w:t>customer within 10 business days after becoming aware of the overcharging and repay the amount overcharged subject to the following:</w:t>
      </w:r>
    </w:p>
    <w:p w14:paraId="5FDE0967" w14:textId="7947BF83" w:rsidR="00187DC1" w:rsidRDefault="009C664A" w:rsidP="00A97E11">
      <w:pPr>
        <w:pStyle w:val="ListParagraph"/>
        <w:numPr>
          <w:ilvl w:val="0"/>
          <w:numId w:val="43"/>
        </w:numPr>
        <w:contextualSpacing w:val="0"/>
      </w:pPr>
      <w:r>
        <w:t xml:space="preserve">where </w:t>
      </w:r>
      <w:r w:rsidR="00187DC1">
        <w:t xml:space="preserve">the amount overcharged is $25 or more, the exempt person must refund the amount to the exempt customer if requested, or if no such request is made, credit the amount to the exempt customer’s next bill. Where the exempt customer no longer purchases energy from the exempt person, the exempt person must use best endeavours to refund the amount within 10 business days </w:t>
      </w:r>
    </w:p>
    <w:p w14:paraId="641BA509" w14:textId="627A48DE" w:rsidR="00187DC1" w:rsidRDefault="00BF13DA" w:rsidP="00A97E11">
      <w:pPr>
        <w:pStyle w:val="ListParagraph"/>
        <w:numPr>
          <w:ilvl w:val="0"/>
          <w:numId w:val="43"/>
        </w:numPr>
        <w:contextualSpacing w:val="0"/>
      </w:pPr>
      <w:r>
        <w:t xml:space="preserve">where </w:t>
      </w:r>
      <w:r w:rsidR="00187DC1">
        <w:t>the amount overcharged is less than $25, the exempt person must credit that amount to the exempt customer’s next bill</w:t>
      </w:r>
      <w:r w:rsidR="00842612">
        <w:t>. Where the exempt customer no longer purchases energy from the e</w:t>
      </w:r>
      <w:r w:rsidR="00381153">
        <w:t>xempt person, the exempt person</w:t>
      </w:r>
      <w:r w:rsidR="00842612">
        <w:t xml:space="preserve"> must use best endeavours to refund the amount with 10 business days</w:t>
      </w:r>
    </w:p>
    <w:p w14:paraId="13972456" w14:textId="35A08AE0" w:rsidR="00187DC1" w:rsidRDefault="00BF13DA" w:rsidP="00A97E11">
      <w:pPr>
        <w:pStyle w:val="ListParagraph"/>
        <w:numPr>
          <w:ilvl w:val="0"/>
          <w:numId w:val="43"/>
        </w:numPr>
        <w:contextualSpacing w:val="0"/>
      </w:pPr>
      <w:r>
        <w:t xml:space="preserve">no </w:t>
      </w:r>
      <w:r w:rsidR="00187DC1">
        <w:t>interest is payable on the overcharged amount</w:t>
      </w:r>
    </w:p>
    <w:p w14:paraId="2859B775" w14:textId="6AFC8A24" w:rsidR="00187DC1" w:rsidRDefault="00BF13DA" w:rsidP="009B638B">
      <w:pPr>
        <w:pStyle w:val="ListParagraph"/>
        <w:numPr>
          <w:ilvl w:val="0"/>
          <w:numId w:val="43"/>
        </w:numPr>
        <w:spacing w:after="240"/>
        <w:contextualSpacing w:val="0"/>
      </w:pPr>
      <w:r>
        <w:t xml:space="preserve">where </w:t>
      </w:r>
      <w:r w:rsidR="00187DC1">
        <w:t>the overcharging was the result of the exempt customer’s fault or unlawful act or omission, the exempt person is limited to repaying the amount overcharged in the 12 months before the date on which the error was discovered.</w:t>
      </w:r>
    </w:p>
    <w:p w14:paraId="14DFD088" w14:textId="77777777" w:rsidR="00187DC1" w:rsidRPr="00EB73FD" w:rsidRDefault="00187DC1" w:rsidP="009B638B">
      <w:pPr>
        <w:spacing w:after="240"/>
        <w:rPr>
          <w:b/>
        </w:rPr>
      </w:pPr>
      <w:r w:rsidRPr="00EB73FD">
        <w:rPr>
          <w:b/>
        </w:rPr>
        <w:t xml:space="preserve">Condition 9 - Payment difficulties and disconnection or </w:t>
      </w:r>
      <w:r w:rsidR="00CF4978">
        <w:rPr>
          <w:b/>
        </w:rPr>
        <w:t>de-energisation</w:t>
      </w:r>
    </w:p>
    <w:p w14:paraId="694FC0C1" w14:textId="5BED4379" w:rsidR="00187DC1" w:rsidRDefault="00187DC1" w:rsidP="009B638B">
      <w:pPr>
        <w:pStyle w:val="ListParagraph"/>
        <w:numPr>
          <w:ilvl w:val="0"/>
          <w:numId w:val="44"/>
        </w:numPr>
        <w:spacing w:after="240"/>
        <w:contextualSpacing w:val="0"/>
      </w:pPr>
      <w:r>
        <w:t xml:space="preserve">Where an exempt customer informs the exempt person that </w:t>
      </w:r>
      <w:r w:rsidR="00B12FED">
        <w:t>they are</w:t>
      </w:r>
      <w:r>
        <w:t xml:space="preserve"> unable to pay energy bills due to financial difficulty, the exempt person must:</w:t>
      </w:r>
    </w:p>
    <w:p w14:paraId="1385BFE4" w14:textId="0A6AACA6" w:rsidR="005552BB" w:rsidRDefault="005552BB" w:rsidP="00A97E11">
      <w:pPr>
        <w:pStyle w:val="ListParagraph"/>
        <w:numPr>
          <w:ilvl w:val="0"/>
          <w:numId w:val="45"/>
        </w:numPr>
        <w:contextualSpacing w:val="0"/>
      </w:pPr>
      <w:r>
        <w:t>offer the exempt customer a payment plan</w:t>
      </w:r>
      <w:r w:rsidR="00582567">
        <w:t xml:space="preserve"> (subject to Condition 12)</w:t>
      </w:r>
      <w:r w:rsidR="00255594">
        <w:t xml:space="preserve"> and</w:t>
      </w:r>
    </w:p>
    <w:p w14:paraId="33A293AA" w14:textId="7349E507" w:rsidR="00187DC1" w:rsidRDefault="00187DC1" w:rsidP="00A97E11">
      <w:pPr>
        <w:pStyle w:val="ListParagraph"/>
        <w:numPr>
          <w:ilvl w:val="0"/>
          <w:numId w:val="45"/>
        </w:numPr>
        <w:contextualSpacing w:val="0"/>
      </w:pPr>
      <w:r>
        <w:t>direct the exempt customer to the Australian government energy efficiency website or another information resource with energy efficiency advice and</w:t>
      </w:r>
    </w:p>
    <w:p w14:paraId="7F07BBA4" w14:textId="388C0B1D" w:rsidR="00187DC1" w:rsidRPr="00810D79" w:rsidRDefault="00187DC1" w:rsidP="00A97E11">
      <w:pPr>
        <w:pStyle w:val="ListParagraph"/>
        <w:numPr>
          <w:ilvl w:val="0"/>
          <w:numId w:val="45"/>
        </w:numPr>
        <w:contextualSpacing w:val="0"/>
        <w:rPr>
          <w:i/>
        </w:rPr>
      </w:pPr>
      <w:r>
        <w:t>ensure that the exempt customer is aware of relevant government or non-</w:t>
      </w:r>
      <w:r w:rsidRPr="00E17824">
        <w:t>government energy rebates, concessions and relief schemes and</w:t>
      </w:r>
    </w:p>
    <w:p w14:paraId="66B68F71" w14:textId="656C16E2" w:rsidR="00187DC1" w:rsidRDefault="00187DC1" w:rsidP="00A97E11">
      <w:pPr>
        <w:pStyle w:val="ListParagraph"/>
        <w:numPr>
          <w:ilvl w:val="0"/>
          <w:numId w:val="45"/>
        </w:numPr>
        <w:contextualSpacing w:val="0"/>
      </w:pPr>
      <w:r>
        <w:t>not charge the exempt customer a late payment fee and</w:t>
      </w:r>
    </w:p>
    <w:p w14:paraId="04A9CE7A" w14:textId="77777777" w:rsidR="00187DC1" w:rsidRDefault="00187DC1" w:rsidP="00A97E11">
      <w:pPr>
        <w:pStyle w:val="ListParagraph"/>
        <w:numPr>
          <w:ilvl w:val="0"/>
          <w:numId w:val="45"/>
        </w:numPr>
        <w:contextualSpacing w:val="0"/>
      </w:pPr>
      <w:r>
        <w:t xml:space="preserve">not charge the exempt customer a security deposit. </w:t>
      </w:r>
    </w:p>
    <w:p w14:paraId="0162CB6E" w14:textId="77777777" w:rsidR="00187DC1" w:rsidRDefault="00187DC1" w:rsidP="00A97E11">
      <w:pPr>
        <w:pStyle w:val="ListParagraph"/>
        <w:numPr>
          <w:ilvl w:val="0"/>
          <w:numId w:val="44"/>
        </w:numPr>
        <w:contextualSpacing w:val="0"/>
      </w:pPr>
      <w:r>
        <w:t>Subject to Condition 10, an exempt person must not proceed with disconnection or cessation of energy supply to an exempt customer unless the following requirements have been met:</w:t>
      </w:r>
    </w:p>
    <w:p w14:paraId="4622FBC6" w14:textId="150D0A3F" w:rsidR="00187DC1" w:rsidRDefault="00187DC1" w:rsidP="00A97E11">
      <w:pPr>
        <w:pStyle w:val="ListParagraph"/>
        <w:numPr>
          <w:ilvl w:val="0"/>
          <w:numId w:val="46"/>
        </w:numPr>
        <w:contextualSpacing w:val="0"/>
      </w:pPr>
      <w:r>
        <w:t>the exempt customer has requested disconnection or</w:t>
      </w:r>
    </w:p>
    <w:p w14:paraId="4721B957" w14:textId="6F8900F5" w:rsidR="00187DC1" w:rsidRDefault="00187DC1" w:rsidP="00A97E11">
      <w:pPr>
        <w:pStyle w:val="ListParagraph"/>
        <w:numPr>
          <w:ilvl w:val="0"/>
          <w:numId w:val="46"/>
        </w:numPr>
        <w:contextualSpacing w:val="0"/>
      </w:pPr>
      <w:r>
        <w:t>continuity of supply to the premises would be unsafe or</w:t>
      </w:r>
    </w:p>
    <w:p w14:paraId="73D01ED0" w14:textId="3C3B69F6" w:rsidR="00187DC1" w:rsidRDefault="00187DC1" w:rsidP="00A97E11">
      <w:pPr>
        <w:pStyle w:val="ListParagraph"/>
        <w:numPr>
          <w:ilvl w:val="0"/>
          <w:numId w:val="46"/>
        </w:numPr>
        <w:contextualSpacing w:val="0"/>
      </w:pPr>
      <w:r>
        <w:t>the exempt customer’s tenancy/residency/agreement has ended and the exempt customer is vacating the premises or</w:t>
      </w:r>
    </w:p>
    <w:p w14:paraId="123AF419" w14:textId="0A18054A" w:rsidR="00187DC1" w:rsidRDefault="00187DC1" w:rsidP="00A97E11">
      <w:pPr>
        <w:pStyle w:val="ListParagraph"/>
        <w:numPr>
          <w:ilvl w:val="0"/>
          <w:numId w:val="46"/>
        </w:numPr>
        <w:contextualSpacing w:val="0"/>
      </w:pPr>
      <w:r>
        <w:t>the exempt customer has not paid a bill by the pay-by date</w:t>
      </w:r>
      <w:r w:rsidR="006A67AD">
        <w:t>, and has not agreed to a payment plan, or having agreed to a payment plan has failed to adhere to the plan</w:t>
      </w:r>
      <w:r>
        <w:t xml:space="preserve"> and:</w:t>
      </w:r>
    </w:p>
    <w:p w14:paraId="7AB31129" w14:textId="35E504A9" w:rsidR="00187DC1" w:rsidRDefault="00187DC1" w:rsidP="00A97E11">
      <w:pPr>
        <w:pStyle w:val="ListParagraph"/>
        <w:numPr>
          <w:ilvl w:val="0"/>
          <w:numId w:val="47"/>
        </w:numPr>
        <w:ind w:left="1134" w:hanging="283"/>
        <w:contextualSpacing w:val="0"/>
      </w:pPr>
      <w:r>
        <w:t xml:space="preserve">following non-payment by the pay-by date, the exempt person has given the exempt customer a reminder notice requesting payment by a date at least 6 </w:t>
      </w:r>
      <w:r w:rsidR="003E4B66">
        <w:t xml:space="preserve"> </w:t>
      </w:r>
      <w:r>
        <w:t xml:space="preserve">business days from the date of issue of the reminder notice, </w:t>
      </w:r>
      <w:r w:rsidR="00EE7194">
        <w:t xml:space="preserve">and, in the case of residential exempt customers, </w:t>
      </w:r>
      <w:r>
        <w:t>has offered the exempt customer more flexible payment terms to pay any amount outstanding and has restated the forms of assistance available if the non-payment is due to financial difficulty and</w:t>
      </w:r>
    </w:p>
    <w:p w14:paraId="42A646EF" w14:textId="7F5E5AE5" w:rsidR="00187DC1" w:rsidRDefault="00187DC1" w:rsidP="00A97E11">
      <w:pPr>
        <w:pStyle w:val="ListParagraph"/>
        <w:numPr>
          <w:ilvl w:val="0"/>
          <w:numId w:val="47"/>
        </w:numPr>
        <w:ind w:left="1134" w:hanging="283"/>
        <w:contextualSpacing w:val="0"/>
      </w:pPr>
      <w:r>
        <w:t>following non-payment by the date specified in the reminder notice, or</w:t>
      </w:r>
      <w:r w:rsidR="00EE7194">
        <w:t>, in the case of residential customers,</w:t>
      </w:r>
      <w:r>
        <w:t xml:space="preserve"> the establishment of more flexible payment terms</w:t>
      </w:r>
      <w:r w:rsidR="00255594">
        <w:t>,</w:t>
      </w:r>
      <w:r>
        <w:t xml:space="preserve"> the exempt person has given the exempt customer a disconnection warning notice informing the exempt customer that disconnection may occur if payment of the outstanding bill is not made by a date at least 6 business days from the date of issue of the warning notice and</w:t>
      </w:r>
    </w:p>
    <w:p w14:paraId="7FFC0E05" w14:textId="61D1F23C" w:rsidR="00187DC1" w:rsidRDefault="00187DC1" w:rsidP="00A97E11">
      <w:pPr>
        <w:pStyle w:val="ListParagraph"/>
        <w:numPr>
          <w:ilvl w:val="0"/>
          <w:numId w:val="47"/>
        </w:numPr>
        <w:ind w:left="1134" w:hanging="283"/>
        <w:contextualSpacing w:val="0"/>
      </w:pPr>
      <w:r>
        <w:t>the exempt person has, after issuing the disconnection warning notice, used its best endeavours to contact the customer in person or by telephone in connection with the failure to pay and</w:t>
      </w:r>
    </w:p>
    <w:p w14:paraId="03B2D5CC" w14:textId="77777777" w:rsidR="00187DC1" w:rsidRDefault="00187DC1" w:rsidP="00A97E11">
      <w:pPr>
        <w:pStyle w:val="ListParagraph"/>
        <w:numPr>
          <w:ilvl w:val="0"/>
          <w:numId w:val="47"/>
        </w:numPr>
        <w:ind w:left="1134" w:hanging="283"/>
        <w:contextualSpacing w:val="0"/>
      </w:pPr>
      <w:r>
        <w:t>the exempt customer has, by the date specified in the disconnection warning notice, refused or failed to take any reasonable action towards settling the debt.</w:t>
      </w:r>
    </w:p>
    <w:p w14:paraId="2832097C" w14:textId="77777777" w:rsidR="00A11AC2" w:rsidRDefault="00641FD7" w:rsidP="00B579CD">
      <w:pPr>
        <w:pStyle w:val="ListParagraph"/>
        <w:numPr>
          <w:ilvl w:val="0"/>
          <w:numId w:val="44"/>
        </w:numPr>
        <w:contextualSpacing w:val="0"/>
      </w:pPr>
      <w:r>
        <w:t>A reminder warning issued pursuant to condition 9(2)(d)(i)  must</w:t>
      </w:r>
      <w:r w:rsidR="00A11AC2">
        <w:t>:</w:t>
      </w:r>
    </w:p>
    <w:p w14:paraId="5D06D87A" w14:textId="19CBD3EC" w:rsidR="00641FD7" w:rsidRDefault="00A11AC2" w:rsidP="00E17824">
      <w:pPr>
        <w:pStyle w:val="ListParagraph"/>
        <w:numPr>
          <w:ilvl w:val="0"/>
          <w:numId w:val="148"/>
        </w:numPr>
        <w:contextualSpacing w:val="0"/>
      </w:pPr>
      <w:r>
        <w:t>state the date of its issue and</w:t>
      </w:r>
    </w:p>
    <w:p w14:paraId="5125D8E5" w14:textId="12BC1E09" w:rsidR="00A11AC2" w:rsidRDefault="00A11AC2" w:rsidP="00E17824">
      <w:pPr>
        <w:pStyle w:val="ListParagraph"/>
        <w:numPr>
          <w:ilvl w:val="0"/>
          <w:numId w:val="148"/>
        </w:numPr>
        <w:contextualSpacing w:val="0"/>
      </w:pPr>
      <w:r>
        <w:t xml:space="preserve">state the date on which </w:t>
      </w:r>
      <w:r w:rsidR="006D4924">
        <w:t>the reminder notice period ends</w:t>
      </w:r>
      <w:r>
        <w:t xml:space="preserve"> and</w:t>
      </w:r>
    </w:p>
    <w:p w14:paraId="4D64A07A" w14:textId="5CB6C1E2" w:rsidR="00A11AC2" w:rsidRDefault="00A11AC2" w:rsidP="00E17824">
      <w:pPr>
        <w:pStyle w:val="ListParagraph"/>
        <w:numPr>
          <w:ilvl w:val="0"/>
          <w:numId w:val="148"/>
        </w:numPr>
        <w:contextualSpacing w:val="0"/>
      </w:pPr>
      <w:r>
        <w:t xml:space="preserve">include details of the </w:t>
      </w:r>
      <w:r w:rsidR="008E4C94">
        <w:t>exempt seller</w:t>
      </w:r>
      <w:r>
        <w:t>’s telephone number for complaints and disputes.</w:t>
      </w:r>
    </w:p>
    <w:p w14:paraId="6124BFE5" w14:textId="68B3EA08" w:rsidR="008A1E46" w:rsidRDefault="008A1E46" w:rsidP="00B579CD">
      <w:pPr>
        <w:pStyle w:val="ListParagraph"/>
        <w:numPr>
          <w:ilvl w:val="0"/>
          <w:numId w:val="44"/>
        </w:numPr>
        <w:contextualSpacing w:val="0"/>
      </w:pPr>
      <w:r>
        <w:t xml:space="preserve">A disconnection warning notice issued </w:t>
      </w:r>
      <w:r w:rsidR="00465012">
        <w:t>pursuant to</w:t>
      </w:r>
      <w:r>
        <w:t xml:space="preserve"> condition 9(2)(</w:t>
      </w:r>
      <w:r w:rsidR="00465012">
        <w:t>d</w:t>
      </w:r>
      <w:r>
        <w:t>)</w:t>
      </w:r>
      <w:r w:rsidR="00465012">
        <w:t>(ii)</w:t>
      </w:r>
      <w:r w:rsidR="0032593B">
        <w:t xml:space="preserve"> must:</w:t>
      </w:r>
    </w:p>
    <w:p w14:paraId="70E051ED" w14:textId="148D823D" w:rsidR="0032593B" w:rsidRDefault="0032593B" w:rsidP="00810D79">
      <w:pPr>
        <w:pStyle w:val="ListParagraph"/>
        <w:numPr>
          <w:ilvl w:val="0"/>
          <w:numId w:val="148"/>
        </w:numPr>
        <w:contextualSpacing w:val="0"/>
      </w:pPr>
      <w:r>
        <w:t>state the date of its issue</w:t>
      </w:r>
      <w:r w:rsidR="00A11AC2">
        <w:t xml:space="preserve"> and</w:t>
      </w:r>
    </w:p>
    <w:p w14:paraId="1FD4FFAD" w14:textId="53FCD1BA" w:rsidR="0032593B" w:rsidRDefault="0032593B" w:rsidP="00810D79">
      <w:pPr>
        <w:pStyle w:val="ListParagraph"/>
        <w:numPr>
          <w:ilvl w:val="0"/>
          <w:numId w:val="148"/>
        </w:numPr>
        <w:contextualSpacing w:val="0"/>
      </w:pPr>
      <w:r>
        <w:t xml:space="preserve">state the </w:t>
      </w:r>
      <w:r w:rsidR="00CD6EE8">
        <w:t>date on which the disconnection warning period ends</w:t>
      </w:r>
      <w:r w:rsidR="00A11AC2">
        <w:t xml:space="preserve"> and</w:t>
      </w:r>
      <w:r w:rsidR="00CD6EE8">
        <w:t xml:space="preserve"> </w:t>
      </w:r>
    </w:p>
    <w:p w14:paraId="3EC5D1E8" w14:textId="7294251C" w:rsidR="00CD6EE8" w:rsidRDefault="00CD6EE8" w:rsidP="00810D79">
      <w:pPr>
        <w:pStyle w:val="ListParagraph"/>
        <w:numPr>
          <w:ilvl w:val="0"/>
          <w:numId w:val="148"/>
        </w:numPr>
        <w:contextualSpacing w:val="0"/>
      </w:pPr>
      <w:r>
        <w:t>inform the</w:t>
      </w:r>
      <w:r w:rsidR="008E4C94">
        <w:t xml:space="preserve"> exempt</w:t>
      </w:r>
      <w:r>
        <w:t xml:space="preserve"> customer of applicable re-connection procedures and (if applicable)</w:t>
      </w:r>
      <w:r w:rsidR="00BA0378">
        <w:t xml:space="preserve"> that a charge will be imposed for reconnection</w:t>
      </w:r>
      <w:r w:rsidR="00A11AC2">
        <w:t xml:space="preserve"> and</w:t>
      </w:r>
    </w:p>
    <w:p w14:paraId="4E6885A4" w14:textId="47F7AE77" w:rsidR="00BA0378" w:rsidRDefault="00BA0378" w:rsidP="00810D79">
      <w:pPr>
        <w:pStyle w:val="ListParagraph"/>
        <w:numPr>
          <w:ilvl w:val="0"/>
          <w:numId w:val="148"/>
        </w:numPr>
        <w:contextualSpacing w:val="0"/>
      </w:pPr>
      <w:r>
        <w:t>include details (where applicable) of the existence and operation of the energy ombudsman, including contact details</w:t>
      </w:r>
      <w:r w:rsidR="00A11AC2">
        <w:t xml:space="preserve"> and</w:t>
      </w:r>
    </w:p>
    <w:p w14:paraId="03A070B6" w14:textId="28B78444" w:rsidR="0032593B" w:rsidRDefault="00BA0378" w:rsidP="00810D79">
      <w:pPr>
        <w:pStyle w:val="ListParagraph"/>
        <w:numPr>
          <w:ilvl w:val="0"/>
          <w:numId w:val="148"/>
        </w:numPr>
        <w:contextualSpacing w:val="0"/>
      </w:pPr>
      <w:r>
        <w:t>include contact details for the exempt seller.</w:t>
      </w:r>
    </w:p>
    <w:p w14:paraId="7EC0AFDF" w14:textId="77777777" w:rsidR="00187DC1" w:rsidDel="00060E48" w:rsidRDefault="00187DC1" w:rsidP="00B579CD">
      <w:pPr>
        <w:pStyle w:val="ListParagraph"/>
        <w:numPr>
          <w:ilvl w:val="0"/>
          <w:numId w:val="44"/>
        </w:numPr>
        <w:contextualSpacing w:val="0"/>
      </w:pPr>
      <w:r w:rsidDel="00060E48">
        <w:t>Where an exempt customer is disconnected in accordance with paragraph 2(b) of this condition, the exempt person must use its best endeavours to notify the exempt customer in person or by telephone prior to the disconnection, and must arrange for reconnection of the premises as soon as practicable.</w:t>
      </w:r>
    </w:p>
    <w:p w14:paraId="41280A21" w14:textId="6EF4407E" w:rsidR="00187DC1" w:rsidRDefault="00187DC1" w:rsidP="009B638B">
      <w:pPr>
        <w:pStyle w:val="ListParagraph"/>
        <w:numPr>
          <w:ilvl w:val="0"/>
          <w:numId w:val="44"/>
        </w:numPr>
        <w:spacing w:after="240"/>
        <w:contextualSpacing w:val="0"/>
      </w:pPr>
      <w:r>
        <w:t>This condition does not apply where state or territory legislation sets out the process and requirements for the disconnection or cessation of energy supply by the exempt person on the basis that they are a landlord</w:t>
      </w:r>
      <w:r w:rsidR="00201CC9">
        <w:t>, body corporate or similar.</w:t>
      </w:r>
    </w:p>
    <w:p w14:paraId="78FC99C4" w14:textId="607B9F50" w:rsidR="007D694F" w:rsidRDefault="007D694F" w:rsidP="00E17824">
      <w:pPr>
        <w:pStyle w:val="ListParagraph"/>
        <w:numPr>
          <w:ilvl w:val="0"/>
          <w:numId w:val="44"/>
        </w:numPr>
        <w:contextualSpacing w:val="0"/>
      </w:pPr>
      <w:r>
        <w:t>This condition does not apply to interruptions under conditions 18 and 19.</w:t>
      </w:r>
    </w:p>
    <w:p w14:paraId="38196117" w14:textId="77777777" w:rsidR="00187DC1" w:rsidRPr="00EB73FD" w:rsidRDefault="00187DC1" w:rsidP="009B638B">
      <w:pPr>
        <w:spacing w:after="240"/>
        <w:rPr>
          <w:b/>
        </w:rPr>
      </w:pPr>
      <w:r w:rsidRPr="00EB73FD">
        <w:rPr>
          <w:b/>
        </w:rPr>
        <w:t xml:space="preserve">Condition 10 - When disconnection or </w:t>
      </w:r>
      <w:r w:rsidR="00CF4978">
        <w:rPr>
          <w:b/>
        </w:rPr>
        <w:t>de-energisation</w:t>
      </w:r>
      <w:r w:rsidRPr="00EB73FD">
        <w:rPr>
          <w:b/>
        </w:rPr>
        <w:t xml:space="preserve"> is prohibited</w:t>
      </w:r>
    </w:p>
    <w:p w14:paraId="40AE85AC" w14:textId="77777777" w:rsidR="00187DC1" w:rsidRDefault="00187DC1" w:rsidP="009B638B">
      <w:pPr>
        <w:pStyle w:val="ListParagraph"/>
        <w:numPr>
          <w:ilvl w:val="0"/>
          <w:numId w:val="48"/>
        </w:numPr>
        <w:spacing w:after="240"/>
        <w:contextualSpacing w:val="0"/>
      </w:pPr>
      <w:r>
        <w:t xml:space="preserve">An exempt person must not disconnect or cease energy supply to an exempt customer’s premises where: </w:t>
      </w:r>
    </w:p>
    <w:p w14:paraId="024AFAEB" w14:textId="3E6E9CA7" w:rsidR="00187DC1" w:rsidRDefault="00187DC1" w:rsidP="00A97E11">
      <w:pPr>
        <w:pStyle w:val="ListParagraph"/>
        <w:numPr>
          <w:ilvl w:val="0"/>
          <w:numId w:val="65"/>
        </w:numPr>
        <w:contextualSpacing w:val="0"/>
      </w:pPr>
      <w:r>
        <w:t>a person residing at the exempt customer’s premises requires life support equipment that depends on energy for its operation or</w:t>
      </w:r>
    </w:p>
    <w:p w14:paraId="1188BE46" w14:textId="347C974C" w:rsidR="00187DC1" w:rsidRDefault="00187DC1" w:rsidP="00A97E11">
      <w:pPr>
        <w:pStyle w:val="ListParagraph"/>
        <w:numPr>
          <w:ilvl w:val="0"/>
          <w:numId w:val="65"/>
        </w:numPr>
        <w:contextualSpacing w:val="0"/>
      </w:pPr>
      <w:r>
        <w:t>an application has been made by or on behalf of the exempt customer for assistance to an organisation responsible for a rebate, concession or relief available under any government or non-government funded energy charge rebate, concession or relief scheme and a decision on the application has not been made or</w:t>
      </w:r>
    </w:p>
    <w:p w14:paraId="45F8400D" w14:textId="65F46933" w:rsidR="00187DC1" w:rsidRPr="003D605F" w:rsidRDefault="00187DC1" w:rsidP="00A97E11">
      <w:pPr>
        <w:pStyle w:val="ListParagraph"/>
        <w:numPr>
          <w:ilvl w:val="0"/>
          <w:numId w:val="65"/>
        </w:numPr>
        <w:contextualSpacing w:val="0"/>
      </w:pPr>
      <w:r w:rsidRPr="003D605F">
        <w:t xml:space="preserve">the exempt customer has made a complaint directly related to the proposed reason for disconnection or </w:t>
      </w:r>
      <w:r w:rsidR="00CF4978" w:rsidRPr="003D605F">
        <w:t>de-energisation</w:t>
      </w:r>
      <w:r w:rsidRPr="003D605F">
        <w:t xml:space="preserve"> to the exempt person, the energy </w:t>
      </w:r>
      <w:r w:rsidR="003D605F">
        <w:t>o</w:t>
      </w:r>
      <w:r w:rsidRPr="003D605F">
        <w:t>mbudsman or another relevant external dispute resolution body and the complaint remains unresolved or</w:t>
      </w:r>
    </w:p>
    <w:p w14:paraId="5FBDFB2D" w14:textId="77777777" w:rsidR="00187DC1" w:rsidRDefault="00187DC1" w:rsidP="00A97E11">
      <w:pPr>
        <w:pStyle w:val="ListParagraph"/>
        <w:numPr>
          <w:ilvl w:val="0"/>
          <w:numId w:val="65"/>
        </w:numPr>
        <w:contextualSpacing w:val="0"/>
      </w:pPr>
      <w:r>
        <w:t xml:space="preserve">the disconnection or </w:t>
      </w:r>
      <w:r w:rsidR="00CF4978">
        <w:t>de-energisation</w:t>
      </w:r>
      <w:r>
        <w:t xml:space="preserve"> would occur on:</w:t>
      </w:r>
    </w:p>
    <w:p w14:paraId="1659DFFE" w14:textId="77777777" w:rsidR="00187DC1" w:rsidRDefault="00187DC1" w:rsidP="00A97E11">
      <w:pPr>
        <w:pStyle w:val="ListParagraph"/>
        <w:numPr>
          <w:ilvl w:val="0"/>
          <w:numId w:val="49"/>
        </w:numPr>
        <w:ind w:left="1134" w:hanging="283"/>
        <w:contextualSpacing w:val="0"/>
      </w:pPr>
      <w:r>
        <w:t>a business day before 8am or after 3pm or</w:t>
      </w:r>
    </w:p>
    <w:p w14:paraId="10F2C34E" w14:textId="77777777" w:rsidR="00187DC1" w:rsidRDefault="00187DC1" w:rsidP="00A97E11">
      <w:pPr>
        <w:pStyle w:val="ListParagraph"/>
        <w:numPr>
          <w:ilvl w:val="0"/>
          <w:numId w:val="49"/>
        </w:numPr>
        <w:ind w:left="1134" w:hanging="283"/>
        <w:contextualSpacing w:val="0"/>
      </w:pPr>
      <w:r>
        <w:t>a Friday or the day before a public holiday or</w:t>
      </w:r>
    </w:p>
    <w:p w14:paraId="4C3B4B5F" w14:textId="77777777" w:rsidR="00187DC1" w:rsidRDefault="00187DC1" w:rsidP="00A97E11">
      <w:pPr>
        <w:pStyle w:val="ListParagraph"/>
        <w:numPr>
          <w:ilvl w:val="0"/>
          <w:numId w:val="49"/>
        </w:numPr>
        <w:ind w:left="1134" w:hanging="283"/>
        <w:contextualSpacing w:val="0"/>
      </w:pPr>
      <w:r>
        <w:t>a weekend or a public holiday or</w:t>
      </w:r>
    </w:p>
    <w:p w14:paraId="19C752A8" w14:textId="77777777" w:rsidR="00187DC1" w:rsidRDefault="00187DC1" w:rsidP="00A97E11">
      <w:pPr>
        <w:pStyle w:val="ListParagraph"/>
        <w:numPr>
          <w:ilvl w:val="0"/>
          <w:numId w:val="49"/>
        </w:numPr>
        <w:ind w:left="1134" w:hanging="283"/>
        <w:contextualSpacing w:val="0"/>
      </w:pPr>
      <w:r>
        <w:t>the days between 20 December and 31 December (inclusive) in any year.</w:t>
      </w:r>
    </w:p>
    <w:p w14:paraId="0EBAB407" w14:textId="77777777" w:rsidR="00187DC1" w:rsidRDefault="00187DC1" w:rsidP="00A97E11">
      <w:pPr>
        <w:pStyle w:val="ListParagraph"/>
        <w:numPr>
          <w:ilvl w:val="0"/>
          <w:numId w:val="48"/>
        </w:numPr>
        <w:contextualSpacing w:val="0"/>
      </w:pPr>
      <w:r>
        <w:t>For electricity, the exempt person must contact its distributor to ask whether disconnection of a retail customer in the relevant jurisdiction would be prohibited on that day due to extreme weather conditions. Where the distributor confirms that the disconnection of a retail customer would be prohibited on that day, the exempt person must not disconnect the exempt customer’s premises.</w:t>
      </w:r>
    </w:p>
    <w:p w14:paraId="2B991E7A" w14:textId="77777777" w:rsidR="00187DC1" w:rsidRDefault="00187DC1" w:rsidP="00A97E11">
      <w:pPr>
        <w:pStyle w:val="ListParagraph"/>
        <w:numPr>
          <w:ilvl w:val="0"/>
          <w:numId w:val="48"/>
        </w:numPr>
        <w:contextualSpacing w:val="0"/>
      </w:pPr>
      <w:r>
        <w:t>This condition does not apply where the exempt customer has requested disconnection.</w:t>
      </w:r>
    </w:p>
    <w:p w14:paraId="5F653D32" w14:textId="16604DCC" w:rsidR="008A1E46" w:rsidRDefault="008A1E46" w:rsidP="00A97E11">
      <w:pPr>
        <w:pStyle w:val="ListParagraph"/>
        <w:numPr>
          <w:ilvl w:val="0"/>
          <w:numId w:val="48"/>
        </w:numPr>
        <w:contextualSpacing w:val="0"/>
      </w:pPr>
      <w:r>
        <w:t>This condition does not apply where continuity of supply to the premises would be unsafe.</w:t>
      </w:r>
    </w:p>
    <w:p w14:paraId="2C32EF0F" w14:textId="77777777" w:rsidR="00187DC1" w:rsidRDefault="00187DC1" w:rsidP="00A2043E">
      <w:pPr>
        <w:pStyle w:val="ListParagraph"/>
        <w:numPr>
          <w:ilvl w:val="0"/>
          <w:numId w:val="48"/>
        </w:numPr>
        <w:spacing w:after="240"/>
        <w:contextualSpacing w:val="0"/>
      </w:pPr>
      <w:r>
        <w:t>This condition does not apply where the energy supply agreement between the exempt person and exempt customer has been terminated.</w:t>
      </w:r>
    </w:p>
    <w:p w14:paraId="3909E9E4" w14:textId="77777777" w:rsidR="00187DC1" w:rsidRDefault="00187DC1" w:rsidP="00A2043E">
      <w:pPr>
        <w:spacing w:after="240"/>
        <w:rPr>
          <w:b/>
        </w:rPr>
      </w:pPr>
      <w:r w:rsidRPr="00EB73FD">
        <w:rPr>
          <w:b/>
        </w:rPr>
        <w:t xml:space="preserve">Condition 11 - Reconnection </w:t>
      </w:r>
      <w:r w:rsidR="000246C9">
        <w:rPr>
          <w:b/>
        </w:rPr>
        <w:t>or</w:t>
      </w:r>
      <w:r w:rsidR="00CF4978">
        <w:rPr>
          <w:b/>
        </w:rPr>
        <w:t xml:space="preserve"> re-energisation</w:t>
      </w:r>
    </w:p>
    <w:p w14:paraId="667A7879" w14:textId="7329CEA3" w:rsidR="00F77811" w:rsidRPr="005B437E" w:rsidRDefault="005C3079" w:rsidP="00516E4B">
      <w:pPr>
        <w:pStyle w:val="ListParagraph"/>
        <w:numPr>
          <w:ilvl w:val="0"/>
          <w:numId w:val="123"/>
        </w:numPr>
        <w:contextualSpacing w:val="0"/>
      </w:pPr>
      <w:r w:rsidRPr="005B437E">
        <w:t>Where an exempt customer is disconnected in accordance with conditions 9 and 10 and the customer makes a request for reconnection,</w:t>
      </w:r>
      <w:r w:rsidR="00F77811" w:rsidRPr="00F77811">
        <w:t xml:space="preserve"> </w:t>
      </w:r>
      <w:r w:rsidR="00F77811" w:rsidRPr="005B437E">
        <w:t>the exempt person must reconnect the premises as soon as practicable after</w:t>
      </w:r>
      <w:r w:rsidR="00D00FB2">
        <w:t xml:space="preserve"> </w:t>
      </w:r>
      <w:r w:rsidR="00F77811" w:rsidRPr="005B437E">
        <w:t xml:space="preserve">a request for reconnection is made. A request for reconnection </w:t>
      </w:r>
      <w:r w:rsidR="00F77811">
        <w:t>may</w:t>
      </w:r>
      <w:r w:rsidR="00F77811" w:rsidRPr="005B437E">
        <w:t xml:space="preserve"> be made ten business days after disconnection, or </w:t>
      </w:r>
      <w:r w:rsidR="008307A2">
        <w:t>as soon as</w:t>
      </w:r>
      <w:r w:rsidR="00F77811" w:rsidRPr="005B437E">
        <w:t xml:space="preserve"> the matter that led to the disconnection is rectified</w:t>
      </w:r>
      <w:r w:rsidR="00F77811">
        <w:t>, and</w:t>
      </w:r>
    </w:p>
    <w:p w14:paraId="036CA290" w14:textId="00BAF266" w:rsidR="00F77811" w:rsidRPr="005B437E" w:rsidRDefault="00F77811" w:rsidP="00A2043E">
      <w:pPr>
        <w:pStyle w:val="ListParagraph"/>
        <w:numPr>
          <w:ilvl w:val="1"/>
          <w:numId w:val="123"/>
        </w:numPr>
        <w:contextualSpacing w:val="0"/>
      </w:pPr>
      <w:r w:rsidRPr="005B437E">
        <w:t>any charges for reconnection are paid and</w:t>
      </w:r>
    </w:p>
    <w:p w14:paraId="79A5114D" w14:textId="33278DAF" w:rsidR="00F77811" w:rsidRPr="005B437E" w:rsidRDefault="00F77811" w:rsidP="00F77811">
      <w:pPr>
        <w:pStyle w:val="ListParagraph"/>
        <w:numPr>
          <w:ilvl w:val="1"/>
          <w:numId w:val="123"/>
        </w:numPr>
        <w:contextualSpacing w:val="0"/>
      </w:pPr>
      <w:r w:rsidRPr="005B437E">
        <w:t xml:space="preserve">if the exempt customer still has </w:t>
      </w:r>
      <w:r w:rsidRPr="002A46D6">
        <w:t xml:space="preserve">outstanding amounts owed under the exempt customer’s energy account, </w:t>
      </w:r>
      <w:r w:rsidRPr="005B437E">
        <w:t>the customer agrees to enter into a payment plan with the exempt seller.</w:t>
      </w:r>
      <w:r w:rsidR="00D00FB2">
        <w:rPr>
          <w:rStyle w:val="FootnoteReference"/>
        </w:rPr>
        <w:footnoteReference w:id="48"/>
      </w:r>
      <w:r w:rsidR="00B12FED" w:rsidRPr="00B12FED">
        <w:rPr>
          <w:rStyle w:val="FootnoteReference"/>
        </w:rPr>
        <w:t xml:space="preserve"> </w:t>
      </w:r>
      <w:r w:rsidR="00B12FED">
        <w:rPr>
          <w:rStyle w:val="FootnoteReference"/>
        </w:rPr>
        <w:footnoteReference w:id="49"/>
      </w:r>
    </w:p>
    <w:p w14:paraId="4C95B082" w14:textId="68A24F03" w:rsidR="00F77811" w:rsidRPr="005B437E" w:rsidRDefault="00F77811" w:rsidP="00A2043E">
      <w:pPr>
        <w:pStyle w:val="ListParagraph"/>
        <w:numPr>
          <w:ilvl w:val="0"/>
          <w:numId w:val="123"/>
        </w:numPr>
        <w:contextualSpacing w:val="0"/>
      </w:pPr>
      <w:r w:rsidRPr="005B437E">
        <w:t xml:space="preserve">Subject to condition 11(1), the exempt person must reconnect the premises (or, where required, arrange with the distributor to reconnect the premises) as soon as practicable, and no later than two </w:t>
      </w:r>
      <w:r>
        <w:t xml:space="preserve">business </w:t>
      </w:r>
      <w:r w:rsidRPr="005B437E">
        <w:t>days from when the request was made.</w:t>
      </w:r>
    </w:p>
    <w:p w14:paraId="25A13688" w14:textId="77777777" w:rsidR="00F77811" w:rsidRPr="005B437E" w:rsidRDefault="00F77811" w:rsidP="00F77811">
      <w:pPr>
        <w:pStyle w:val="ListParagraph"/>
        <w:numPr>
          <w:ilvl w:val="0"/>
          <w:numId w:val="123"/>
        </w:numPr>
        <w:contextualSpacing w:val="0"/>
      </w:pPr>
      <w:r w:rsidRPr="005B437E">
        <w:t>Subject to condition 11(1), the exempt person cannot refuse to supply an exempt customer on the grounds that they owe outstanding amounts on their energy account</w:t>
      </w:r>
      <w:r>
        <w:t>.</w:t>
      </w:r>
    </w:p>
    <w:p w14:paraId="34B5C7F0" w14:textId="50014A09" w:rsidR="00F77811" w:rsidRPr="005B437E" w:rsidRDefault="00F77811" w:rsidP="00F77811">
      <w:pPr>
        <w:spacing w:after="240"/>
        <w:rPr>
          <w:b/>
        </w:rPr>
      </w:pPr>
      <w:r w:rsidRPr="005B437E">
        <w:rPr>
          <w:b/>
        </w:rPr>
        <w:t>Condition 12</w:t>
      </w:r>
      <w:r w:rsidR="00BA3870">
        <w:rPr>
          <w:b/>
        </w:rPr>
        <w:t xml:space="preserve"> -</w:t>
      </w:r>
      <w:r w:rsidRPr="005B437E">
        <w:rPr>
          <w:b/>
        </w:rPr>
        <w:t xml:space="preserve"> Payment plans</w:t>
      </w:r>
    </w:p>
    <w:p w14:paraId="261237DA" w14:textId="55643ACF" w:rsidR="00606777" w:rsidRPr="00E17824" w:rsidRDefault="00606777" w:rsidP="00F77811">
      <w:pPr>
        <w:numPr>
          <w:ilvl w:val="0"/>
          <w:numId w:val="136"/>
        </w:numPr>
        <w:spacing w:line="240" w:lineRule="auto"/>
        <w:rPr>
          <w:color w:val="000000"/>
          <w:sz w:val="23"/>
          <w:szCs w:val="23"/>
        </w:rPr>
      </w:pPr>
      <w:r>
        <w:t>An exempt person must offer flexible energy payment options to an exempt customer who has identified themselves as being in financial difficulty. Flexible payment options may include arrangements for a payment plan.</w:t>
      </w:r>
    </w:p>
    <w:p w14:paraId="3CC4156F" w14:textId="77777777" w:rsidR="00F77811" w:rsidRPr="005B437E" w:rsidRDefault="00F77811" w:rsidP="00F77811">
      <w:pPr>
        <w:numPr>
          <w:ilvl w:val="0"/>
          <w:numId w:val="136"/>
        </w:numPr>
        <w:spacing w:line="240" w:lineRule="auto"/>
        <w:rPr>
          <w:color w:val="000000"/>
          <w:sz w:val="23"/>
          <w:szCs w:val="23"/>
        </w:rPr>
      </w:pPr>
      <w:r w:rsidRPr="005B437E">
        <w:rPr>
          <w:color w:val="000000"/>
        </w:rPr>
        <w:t>In establishing a payment plan the exempt seller must have regard to</w:t>
      </w:r>
      <w:r w:rsidRPr="005B437E">
        <w:rPr>
          <w:color w:val="000000"/>
          <w:sz w:val="23"/>
          <w:szCs w:val="23"/>
        </w:rPr>
        <w:t xml:space="preserve">: </w:t>
      </w:r>
    </w:p>
    <w:p w14:paraId="49771598" w14:textId="77DE359F" w:rsidR="00F77811" w:rsidRPr="005B437E" w:rsidRDefault="00F77811" w:rsidP="00F77811">
      <w:pPr>
        <w:widowControl w:val="0"/>
        <w:numPr>
          <w:ilvl w:val="0"/>
          <w:numId w:val="135"/>
        </w:numPr>
        <w:spacing w:after="240" w:line="240" w:lineRule="atLeast"/>
      </w:pPr>
      <w:r w:rsidRPr="005B437E">
        <w:t xml:space="preserve">the exempt customer’s capacity to pay and </w:t>
      </w:r>
    </w:p>
    <w:p w14:paraId="788452FD" w14:textId="22BC1D5C" w:rsidR="00F77811" w:rsidRPr="005B437E" w:rsidRDefault="00F77811" w:rsidP="00F77811">
      <w:pPr>
        <w:widowControl w:val="0"/>
        <w:numPr>
          <w:ilvl w:val="0"/>
          <w:numId w:val="135"/>
        </w:numPr>
        <w:spacing w:after="240" w:line="240" w:lineRule="atLeast"/>
      </w:pPr>
      <w:r w:rsidRPr="005B437E">
        <w:t xml:space="preserve">any </w:t>
      </w:r>
      <w:r>
        <w:t>outstanding amounts</w:t>
      </w:r>
      <w:r w:rsidRPr="005B437E">
        <w:t xml:space="preserve"> ow</w:t>
      </w:r>
      <w:r>
        <w:t>ed</w:t>
      </w:r>
      <w:r w:rsidR="008307A2">
        <w:t xml:space="preserve"> </w:t>
      </w:r>
      <w:r w:rsidRPr="005B437E">
        <w:t xml:space="preserve">by the exempt customer and </w:t>
      </w:r>
    </w:p>
    <w:p w14:paraId="0770ADE6" w14:textId="3F0FD251" w:rsidR="00F77811" w:rsidRPr="005B437E" w:rsidRDefault="00F77811" w:rsidP="00F77811">
      <w:pPr>
        <w:widowControl w:val="0"/>
        <w:numPr>
          <w:ilvl w:val="0"/>
          <w:numId w:val="135"/>
        </w:numPr>
        <w:spacing w:after="240" w:line="240" w:lineRule="atLeast"/>
        <w:rPr>
          <w:color w:val="000000"/>
        </w:rPr>
      </w:pPr>
      <w:r w:rsidRPr="005B437E">
        <w:t>the exempt customer’s expected energy consumption</w:t>
      </w:r>
      <w:r w:rsidRPr="005B437E">
        <w:rPr>
          <w:color w:val="000000"/>
          <w:sz w:val="23"/>
          <w:szCs w:val="23"/>
        </w:rPr>
        <w:t xml:space="preserve"> </w:t>
      </w:r>
      <w:r w:rsidRPr="005B437E">
        <w:rPr>
          <w:color w:val="000000"/>
        </w:rPr>
        <w:t>needs over the following 12 month period</w:t>
      </w:r>
      <w:r w:rsidR="00C032C4" w:rsidRPr="00C032C4">
        <w:t xml:space="preserve"> </w:t>
      </w:r>
      <w:r w:rsidR="00C032C4">
        <w:t>or the duration of their tenancy/residency/agreement if the tenancy/residency/agreement is less than 12 months</w:t>
      </w:r>
      <w:r w:rsidRPr="005B437E">
        <w:rPr>
          <w:color w:val="000000"/>
        </w:rPr>
        <w:t>.</w:t>
      </w:r>
    </w:p>
    <w:p w14:paraId="78382F92" w14:textId="77777777" w:rsidR="00C032C4" w:rsidRPr="005B437E" w:rsidRDefault="00C032C4" w:rsidP="00C032C4">
      <w:pPr>
        <w:numPr>
          <w:ilvl w:val="0"/>
          <w:numId w:val="136"/>
        </w:numPr>
        <w:spacing w:line="240" w:lineRule="auto"/>
        <w:rPr>
          <w:color w:val="000000"/>
        </w:rPr>
      </w:pPr>
      <w:r w:rsidRPr="005B437E">
        <w:rPr>
          <w:color w:val="000000"/>
        </w:rPr>
        <w:t xml:space="preserve">An exempt seller who offers a payment plan to an exempt customer under this condition must inform the exempt customer of: </w:t>
      </w:r>
    </w:p>
    <w:p w14:paraId="1E85FB5D" w14:textId="32FA202C" w:rsidR="00C032C4" w:rsidRPr="005B437E" w:rsidRDefault="00C032C4" w:rsidP="00C032C4">
      <w:pPr>
        <w:widowControl w:val="0"/>
        <w:numPr>
          <w:ilvl w:val="0"/>
          <w:numId w:val="137"/>
        </w:numPr>
        <w:spacing w:after="240" w:line="240" w:lineRule="atLeast"/>
        <w:rPr>
          <w:color w:val="000000"/>
        </w:rPr>
      </w:pPr>
      <w:r w:rsidRPr="005B437E">
        <w:rPr>
          <w:color w:val="000000"/>
        </w:rPr>
        <w:t xml:space="preserve">the duration of the plan and </w:t>
      </w:r>
    </w:p>
    <w:p w14:paraId="1508D3EA" w14:textId="77777777" w:rsidR="00C032C4" w:rsidRDefault="00C032C4" w:rsidP="00C032C4">
      <w:pPr>
        <w:widowControl w:val="0"/>
        <w:numPr>
          <w:ilvl w:val="0"/>
          <w:numId w:val="137"/>
        </w:numPr>
        <w:spacing w:after="240" w:line="240" w:lineRule="atLeast"/>
        <w:rPr>
          <w:color w:val="000000"/>
        </w:rPr>
      </w:pPr>
      <w:r w:rsidRPr="005B437E">
        <w:rPr>
          <w:color w:val="000000"/>
        </w:rPr>
        <w:t>the amount of each instalment payable under the plan, the frequency of instalments and the date by which each instalment must be paid.</w:t>
      </w:r>
    </w:p>
    <w:p w14:paraId="5D65935E" w14:textId="6330BCBE" w:rsidR="00C032C4" w:rsidRDefault="006D4924" w:rsidP="00C032C4">
      <w:pPr>
        <w:pStyle w:val="ListParagraph"/>
        <w:numPr>
          <w:ilvl w:val="0"/>
          <w:numId w:val="150"/>
        </w:numPr>
        <w:contextualSpacing w:val="0"/>
      </w:pPr>
      <w:r>
        <w:t>This condition does</w:t>
      </w:r>
      <w:r w:rsidR="00C032C4">
        <w:t xml:space="preserve"> not apply where the exempt customer has:</w:t>
      </w:r>
    </w:p>
    <w:p w14:paraId="1CD36E84" w14:textId="25E8F395" w:rsidR="00C032C4" w:rsidRPr="00C032C4" w:rsidRDefault="00C032C4" w:rsidP="00C032C4">
      <w:pPr>
        <w:widowControl w:val="0"/>
        <w:numPr>
          <w:ilvl w:val="0"/>
          <w:numId w:val="151"/>
        </w:numPr>
        <w:spacing w:after="240" w:line="240" w:lineRule="atLeast"/>
        <w:rPr>
          <w:color w:val="000000"/>
        </w:rPr>
      </w:pPr>
      <w:r w:rsidRPr="00C032C4">
        <w:rPr>
          <w:color w:val="000000"/>
        </w:rPr>
        <w:t xml:space="preserve">had two </w:t>
      </w:r>
      <w:r>
        <w:rPr>
          <w:color w:val="000000"/>
        </w:rPr>
        <w:t>payment plans</w:t>
      </w:r>
      <w:r w:rsidRPr="00C032C4">
        <w:rPr>
          <w:color w:val="000000"/>
        </w:rPr>
        <w:t xml:space="preserve"> cancelled by the exempt person in the previous 12 months du</w:t>
      </w:r>
      <w:r w:rsidR="006D4924">
        <w:rPr>
          <w:color w:val="000000"/>
        </w:rPr>
        <w:t>e to non-payment</w:t>
      </w:r>
      <w:r w:rsidRPr="00C032C4">
        <w:rPr>
          <w:color w:val="000000"/>
        </w:rPr>
        <w:t xml:space="preserve"> or</w:t>
      </w:r>
    </w:p>
    <w:p w14:paraId="05368FC5" w14:textId="79EEDF74" w:rsidR="00C032C4" w:rsidRDefault="00C032C4" w:rsidP="00C032C4">
      <w:pPr>
        <w:widowControl w:val="0"/>
        <w:numPr>
          <w:ilvl w:val="0"/>
          <w:numId w:val="151"/>
        </w:numPr>
        <w:spacing w:after="240" w:line="240" w:lineRule="atLeast"/>
        <w:rPr>
          <w:color w:val="000000"/>
        </w:rPr>
      </w:pPr>
      <w:r w:rsidRPr="00C032C4">
        <w:rPr>
          <w:color w:val="000000"/>
        </w:rPr>
        <w:t>been convicted of an offence involving illegal use of energy in the previous two years</w:t>
      </w:r>
      <w:r>
        <w:rPr>
          <w:color w:val="000000"/>
        </w:rPr>
        <w:t>.</w:t>
      </w:r>
    </w:p>
    <w:p w14:paraId="2FC931C0" w14:textId="77777777" w:rsidR="00187DC1" w:rsidRPr="00EB73FD" w:rsidRDefault="00337F4A" w:rsidP="00A2043E">
      <w:pPr>
        <w:spacing w:after="240"/>
        <w:rPr>
          <w:b/>
        </w:rPr>
      </w:pPr>
      <w:r>
        <w:rPr>
          <w:b/>
        </w:rPr>
        <w:t xml:space="preserve">Condition 13 - </w:t>
      </w:r>
      <w:r w:rsidR="00187DC1" w:rsidRPr="00EB73FD">
        <w:rPr>
          <w:b/>
        </w:rPr>
        <w:t>Concessions and rebates</w:t>
      </w:r>
    </w:p>
    <w:p w14:paraId="54864E9E" w14:textId="77777777" w:rsidR="00187DC1" w:rsidRDefault="00187DC1" w:rsidP="00A2043E">
      <w:pPr>
        <w:pStyle w:val="ListParagraph"/>
        <w:numPr>
          <w:ilvl w:val="0"/>
          <w:numId w:val="133"/>
        </w:numPr>
        <w:spacing w:after="240"/>
        <w:contextualSpacing w:val="0"/>
      </w:pPr>
      <w:r>
        <w:t>Where an exempt customer is eligible to receive a government or non-government energy rebate, concession or assistance under a relief scheme, the exempt person must not hinder an exempt customer’s attempts to establish eligibility.</w:t>
      </w:r>
      <w:r w:rsidR="00A334B4">
        <w:t xml:space="preserve"> </w:t>
      </w:r>
    </w:p>
    <w:p w14:paraId="3F82E242" w14:textId="77777777" w:rsidR="00187DC1" w:rsidRDefault="00187DC1" w:rsidP="00A2043E">
      <w:pPr>
        <w:pStyle w:val="ListParagraph"/>
        <w:numPr>
          <w:ilvl w:val="0"/>
          <w:numId w:val="133"/>
        </w:numPr>
        <w:spacing w:after="240"/>
        <w:contextualSpacing w:val="0"/>
      </w:pPr>
      <w:r>
        <w:t xml:space="preserve">If the government or non-government energy rebate, concession or assistance under a relief scheme can only be claimed by the exempt person on behalf of the </w:t>
      </w:r>
      <w:r w:rsidR="005E309B">
        <w:t xml:space="preserve">eligible </w:t>
      </w:r>
      <w:r>
        <w:t>exempt customer, the</w:t>
      </w:r>
      <w:r w:rsidR="00584152">
        <w:t>n, assuming there is no legal impediment, the</w:t>
      </w:r>
      <w:r>
        <w:t xml:space="preserve"> exempt person must </w:t>
      </w:r>
      <w:r w:rsidR="00584152">
        <w:t>make that claim and</w:t>
      </w:r>
      <w:r>
        <w:t>, if successful, must apply the rebate, concession or assistance to the exempt customer’s bill.</w:t>
      </w:r>
    </w:p>
    <w:p w14:paraId="1B2ED62B" w14:textId="1F920841" w:rsidR="00187DC1" w:rsidRPr="00EB73FD" w:rsidRDefault="00187DC1" w:rsidP="00A2043E">
      <w:pPr>
        <w:spacing w:after="240"/>
        <w:rPr>
          <w:b/>
        </w:rPr>
      </w:pPr>
      <w:r w:rsidRPr="00EB73FD">
        <w:rPr>
          <w:b/>
        </w:rPr>
        <w:t xml:space="preserve">Condition </w:t>
      </w:r>
      <w:r w:rsidR="002C529A" w:rsidRPr="00EB73FD">
        <w:rPr>
          <w:b/>
        </w:rPr>
        <w:t>1</w:t>
      </w:r>
      <w:r w:rsidR="002C529A">
        <w:rPr>
          <w:b/>
        </w:rPr>
        <w:t>4</w:t>
      </w:r>
      <w:r w:rsidR="002C529A" w:rsidRPr="00EB73FD">
        <w:rPr>
          <w:b/>
        </w:rPr>
        <w:t xml:space="preserve"> </w:t>
      </w:r>
      <w:r w:rsidRPr="00EB73FD">
        <w:rPr>
          <w:b/>
        </w:rPr>
        <w:t>- Choice of retailer</w:t>
      </w:r>
    </w:p>
    <w:p w14:paraId="6EDB0171" w14:textId="77777777" w:rsidR="00187DC1" w:rsidRDefault="00187DC1" w:rsidP="00A97E11">
      <w:pPr>
        <w:pStyle w:val="ListParagraph"/>
        <w:numPr>
          <w:ilvl w:val="0"/>
          <w:numId w:val="25"/>
        </w:numPr>
        <w:contextualSpacing w:val="0"/>
      </w:pPr>
      <w:r>
        <w:t>Where an exempt customer is eligible under state or territory legislation to purchase energy from a retailer of their choice, the exempt person must not do anything to discourage or prevent them from exercising this choice, whether by:</w:t>
      </w:r>
    </w:p>
    <w:p w14:paraId="62D33360" w14:textId="77777777" w:rsidR="00187DC1" w:rsidRDefault="00187DC1" w:rsidP="00A97E11">
      <w:pPr>
        <w:pStyle w:val="ListParagraph"/>
        <w:numPr>
          <w:ilvl w:val="0"/>
          <w:numId w:val="53"/>
        </w:numPr>
        <w:contextualSpacing w:val="0"/>
      </w:pPr>
      <w:r>
        <w:t>requiring the exempt customer to waive their ability to choose a retailer</w:t>
      </w:r>
    </w:p>
    <w:p w14:paraId="5B66D64B" w14:textId="435FB0CE" w:rsidR="00187DC1" w:rsidRDefault="00187DC1" w:rsidP="00A97E11">
      <w:pPr>
        <w:pStyle w:val="ListParagraph"/>
        <w:numPr>
          <w:ilvl w:val="0"/>
          <w:numId w:val="53"/>
        </w:numPr>
        <w:contextualSpacing w:val="0"/>
      </w:pPr>
      <w:r>
        <w:t>unreasonably hindering their efforts to find another retailer or</w:t>
      </w:r>
    </w:p>
    <w:p w14:paraId="1337F515" w14:textId="77777777" w:rsidR="00187DC1" w:rsidRDefault="00187DC1" w:rsidP="00A97E11">
      <w:pPr>
        <w:pStyle w:val="ListParagraph"/>
        <w:numPr>
          <w:ilvl w:val="0"/>
          <w:numId w:val="53"/>
        </w:numPr>
        <w:contextualSpacing w:val="0"/>
      </w:pPr>
      <w:r>
        <w:t>unreasonably hindering any metering or network changes required to enable choice of retailer.</w:t>
      </w:r>
    </w:p>
    <w:p w14:paraId="64C1E771" w14:textId="154C9C46" w:rsidR="00187DC1" w:rsidRPr="00EB73FD" w:rsidRDefault="00187DC1" w:rsidP="00154E14">
      <w:pPr>
        <w:rPr>
          <w:b/>
        </w:rPr>
      </w:pPr>
      <w:r w:rsidRPr="00EB73FD">
        <w:rPr>
          <w:b/>
        </w:rPr>
        <w:t xml:space="preserve">Condition </w:t>
      </w:r>
      <w:r w:rsidR="002C529A" w:rsidRPr="00EB73FD">
        <w:rPr>
          <w:b/>
        </w:rPr>
        <w:t>1</w:t>
      </w:r>
      <w:r w:rsidR="002C529A">
        <w:rPr>
          <w:b/>
        </w:rPr>
        <w:t>5</w:t>
      </w:r>
      <w:r w:rsidR="002C529A" w:rsidRPr="00EB73FD">
        <w:rPr>
          <w:b/>
        </w:rPr>
        <w:t xml:space="preserve"> </w:t>
      </w:r>
      <w:r w:rsidRPr="00EB73FD">
        <w:rPr>
          <w:b/>
        </w:rPr>
        <w:t>- Contact details</w:t>
      </w:r>
    </w:p>
    <w:p w14:paraId="7DD8B875" w14:textId="77777777" w:rsidR="00187DC1" w:rsidRDefault="00187DC1" w:rsidP="00A97E11">
      <w:pPr>
        <w:pStyle w:val="ListParagraph"/>
        <w:numPr>
          <w:ilvl w:val="0"/>
          <w:numId w:val="26"/>
        </w:numPr>
        <w:contextualSpacing w:val="0"/>
      </w:pPr>
      <w:r>
        <w:t>An exempt person must provide a means of contact for account inquiries and complaints that can be readily accessed by exempt customers. Where a telephone number is provided, the charge for this call must be no more than the cost of a local call.</w:t>
      </w:r>
    </w:p>
    <w:p w14:paraId="7E295B9C" w14:textId="3713DF9B" w:rsidR="00187DC1" w:rsidRPr="00460B39" w:rsidRDefault="00187DC1" w:rsidP="00154E14">
      <w:pPr>
        <w:rPr>
          <w:b/>
        </w:rPr>
      </w:pPr>
      <w:r w:rsidRPr="00460B39">
        <w:rPr>
          <w:b/>
        </w:rPr>
        <w:t xml:space="preserve">Condition </w:t>
      </w:r>
      <w:r w:rsidR="002C529A" w:rsidRPr="00460B39">
        <w:rPr>
          <w:b/>
        </w:rPr>
        <w:t xml:space="preserve">16 </w:t>
      </w:r>
      <w:r w:rsidRPr="00460B39">
        <w:rPr>
          <w:b/>
        </w:rPr>
        <w:t>- Dispute resolution</w:t>
      </w:r>
    </w:p>
    <w:p w14:paraId="13AC5A4C" w14:textId="107608CD" w:rsidR="00915CA6" w:rsidRPr="00460B39" w:rsidRDefault="00AD1A7A">
      <w:pPr>
        <w:pStyle w:val="ListParagraph"/>
        <w:numPr>
          <w:ilvl w:val="0"/>
          <w:numId w:val="22"/>
        </w:numPr>
        <w:contextualSpacing w:val="0"/>
      </w:pPr>
      <w:r w:rsidRPr="00460B39">
        <w:t>An</w:t>
      </w:r>
      <w:r w:rsidR="00915CA6" w:rsidRPr="00460B39">
        <w:t xml:space="preserve"> exempt </w:t>
      </w:r>
      <w:r w:rsidRPr="00460B39">
        <w:t>person</w:t>
      </w:r>
      <w:r w:rsidR="00915CA6" w:rsidRPr="00460B39">
        <w:t xml:space="preserve"> must develop</w:t>
      </w:r>
      <w:r w:rsidR="008E7E3C">
        <w:t xml:space="preserve"> and make</w:t>
      </w:r>
      <w:r w:rsidR="00F15AAE" w:rsidRPr="00460B39">
        <w:t xml:space="preserve"> </w:t>
      </w:r>
      <w:r w:rsidR="00460B39" w:rsidRPr="00460B39">
        <w:t xml:space="preserve">a set </w:t>
      </w:r>
      <w:r w:rsidR="00915CA6" w:rsidRPr="00460B39">
        <w:t>of procedures detailing the exempt person’s procedures for handling complaints and disputes</w:t>
      </w:r>
      <w:r w:rsidR="003459E1">
        <w:t>, and those procedures must be provided to exempt customers in accordance with condition 2(1)(</w:t>
      </w:r>
      <w:r w:rsidR="004E7E01">
        <w:t>d</w:t>
      </w:r>
      <w:r w:rsidR="003459E1">
        <w:t>)(i)</w:t>
      </w:r>
      <w:r w:rsidR="00915CA6" w:rsidRPr="00460B39">
        <w:t>.</w:t>
      </w:r>
    </w:p>
    <w:p w14:paraId="5610DB5E" w14:textId="2F3C1FB5" w:rsidR="00323B0A" w:rsidRPr="00431CDB" w:rsidRDefault="00915CA6" w:rsidP="00323B0A">
      <w:pPr>
        <w:pStyle w:val="ListParagraph"/>
        <w:numPr>
          <w:ilvl w:val="0"/>
          <w:numId w:val="22"/>
        </w:numPr>
        <w:contextualSpacing w:val="0"/>
      </w:pPr>
      <w:r w:rsidRPr="00460B39">
        <w:t>The procedures must</w:t>
      </w:r>
      <w:r w:rsidR="00A526DD">
        <w:t xml:space="preserve"> be consistent with</w:t>
      </w:r>
      <w:r w:rsidR="004E2CA7" w:rsidRPr="00460B39">
        <w:t xml:space="preserve"> </w:t>
      </w:r>
      <w:r w:rsidRPr="00460B39">
        <w:t xml:space="preserve">the Australian Standard </w:t>
      </w:r>
      <w:r w:rsidRPr="00E17824">
        <w:rPr>
          <w:i/>
        </w:rPr>
        <w:t>AS</w:t>
      </w:r>
      <w:r w:rsidR="00480126" w:rsidRPr="00E17824">
        <w:rPr>
          <w:i/>
        </w:rPr>
        <w:t>/NZS</w:t>
      </w:r>
      <w:r w:rsidRPr="00E17824">
        <w:rPr>
          <w:i/>
        </w:rPr>
        <w:t xml:space="preserve"> 10002</w:t>
      </w:r>
      <w:r w:rsidR="00480126">
        <w:rPr>
          <w:i/>
        </w:rPr>
        <w:t>:</w:t>
      </w:r>
      <w:r w:rsidRPr="00E17824">
        <w:rPr>
          <w:i/>
        </w:rPr>
        <w:t>20</w:t>
      </w:r>
      <w:r w:rsidR="00B72EB0" w:rsidRPr="00E17824">
        <w:rPr>
          <w:i/>
        </w:rPr>
        <w:t>14</w:t>
      </w:r>
      <w:r w:rsidRPr="00E17824">
        <w:rPr>
          <w:i/>
        </w:rPr>
        <w:t xml:space="preserve"> </w:t>
      </w:r>
      <w:r w:rsidR="00480126" w:rsidRPr="00E17824">
        <w:rPr>
          <w:i/>
        </w:rPr>
        <w:t>Guidelines for complaint management in organizations</w:t>
      </w:r>
      <w:r w:rsidR="009562E3">
        <w:t xml:space="preserve"> as </w:t>
      </w:r>
      <w:r w:rsidR="00CD4462">
        <w:t xml:space="preserve">amended and </w:t>
      </w:r>
      <w:r w:rsidR="009562E3">
        <w:t>updated from time to time</w:t>
      </w:r>
      <w:r w:rsidR="00460B39" w:rsidRPr="00460B39">
        <w:t>.</w:t>
      </w:r>
      <w:r w:rsidR="00460B39" w:rsidRPr="00460B39" w:rsidDel="00460B39">
        <w:rPr>
          <w:i/>
        </w:rPr>
        <w:t xml:space="preserve"> </w:t>
      </w:r>
    </w:p>
    <w:p w14:paraId="5FBC831B" w14:textId="77777777" w:rsidR="00F80E8B" w:rsidRPr="00460B39" w:rsidRDefault="00F80E8B" w:rsidP="00F80E8B">
      <w:pPr>
        <w:pStyle w:val="ListParagraph"/>
        <w:numPr>
          <w:ilvl w:val="0"/>
          <w:numId w:val="22"/>
        </w:numPr>
        <w:contextualSpacing w:val="0"/>
      </w:pPr>
      <w:r w:rsidRPr="00460B39">
        <w:t xml:space="preserve">In the event of a </w:t>
      </w:r>
      <w:r>
        <w:t xml:space="preserve">complaint or </w:t>
      </w:r>
      <w:r w:rsidRPr="00460B39">
        <w:t xml:space="preserve">dispute concerning the sale of energy to an exempt customer, </w:t>
      </w:r>
      <w:r w:rsidR="008E7E3C">
        <w:t xml:space="preserve">and in the absence of a determination of the relevant tenancy tribunal if the customer is a tenant, </w:t>
      </w:r>
      <w:r w:rsidRPr="00460B39">
        <w:t>the exempt person must:</w:t>
      </w:r>
      <w:r>
        <w:rPr>
          <w:highlight w:val="cyan"/>
        </w:rPr>
        <w:t xml:space="preserve"> </w:t>
      </w:r>
    </w:p>
    <w:p w14:paraId="5DFE9A78" w14:textId="30993314" w:rsidR="008E7E3C" w:rsidRDefault="00F80E8B" w:rsidP="00F80E8B">
      <w:pPr>
        <w:pStyle w:val="ListParagraph"/>
        <w:numPr>
          <w:ilvl w:val="0"/>
          <w:numId w:val="54"/>
        </w:numPr>
        <w:contextualSpacing w:val="0"/>
      </w:pPr>
      <w:r>
        <w:t>deal with the complaint or dispute in accordance with the exempt person’s procedures for h</w:t>
      </w:r>
      <w:r w:rsidR="008E7E3C">
        <w:t>andling complaints and disputes</w:t>
      </w:r>
      <w:r>
        <w:t xml:space="preserve"> and</w:t>
      </w:r>
    </w:p>
    <w:p w14:paraId="0B78CA82" w14:textId="00495552" w:rsidR="00F80E8B" w:rsidRPr="00460B39" w:rsidRDefault="008E7E3C" w:rsidP="00F80E8B">
      <w:pPr>
        <w:pStyle w:val="ListParagraph"/>
        <w:numPr>
          <w:ilvl w:val="0"/>
          <w:numId w:val="54"/>
        </w:numPr>
        <w:contextualSpacing w:val="0"/>
      </w:pPr>
      <w:r>
        <w:t>make reasonable endeavours to resolve the dispute and</w:t>
      </w:r>
    </w:p>
    <w:p w14:paraId="33FD99B2" w14:textId="185AD01B" w:rsidR="00D5310D" w:rsidRDefault="00E50237" w:rsidP="00930A29">
      <w:pPr>
        <w:pStyle w:val="ListParagraph"/>
        <w:numPr>
          <w:ilvl w:val="0"/>
          <w:numId w:val="54"/>
        </w:numPr>
        <w:contextualSpacing w:val="0"/>
      </w:pPr>
      <w:r>
        <w:t>a</w:t>
      </w:r>
      <w:r w:rsidR="00D5310D">
        <w:t>dvise the exempt customer:</w:t>
      </w:r>
    </w:p>
    <w:p w14:paraId="22FE0B8C" w14:textId="15ABA2BE" w:rsidR="00D5310D" w:rsidRDefault="00E50237" w:rsidP="00A2043E">
      <w:pPr>
        <w:pStyle w:val="ListParagraph"/>
        <w:numPr>
          <w:ilvl w:val="1"/>
          <w:numId w:val="54"/>
        </w:numPr>
        <w:contextualSpacing w:val="0"/>
      </w:pPr>
      <w:r>
        <w:t>o</w:t>
      </w:r>
      <w:r w:rsidR="00D5310D">
        <w:t>f any right the exempt customer has to access an energy ombudsman</w:t>
      </w:r>
      <w:r w:rsidR="009A0989">
        <w:t xml:space="preserve"> (if applicable)</w:t>
      </w:r>
      <w:r w:rsidR="00967855">
        <w:t>, including to lodge a complaint or for free independent information and advice,</w:t>
      </w:r>
      <w:r w:rsidR="00D5310D">
        <w:t xml:space="preserve"> or any other external dispute resolution body in the state or territory where the exempt customer is located, and</w:t>
      </w:r>
    </w:p>
    <w:p w14:paraId="070DB116" w14:textId="77777777" w:rsidR="00655794" w:rsidRDefault="00E50237" w:rsidP="00CA0544">
      <w:pPr>
        <w:pStyle w:val="ListParagraph"/>
        <w:numPr>
          <w:ilvl w:val="1"/>
          <w:numId w:val="54"/>
        </w:numPr>
        <w:contextualSpacing w:val="0"/>
      </w:pPr>
      <w:r>
        <w:t>o</w:t>
      </w:r>
      <w:r w:rsidR="00D5310D">
        <w:t>f the telephone number and other contact details of the energy ombudsman (if applicable).</w:t>
      </w:r>
      <w:r w:rsidR="003E1FD7">
        <w:t xml:space="preserve"> </w:t>
      </w:r>
    </w:p>
    <w:p w14:paraId="334F4773" w14:textId="748F0EAA" w:rsidR="00323B0A" w:rsidRPr="00431CDB" w:rsidRDefault="00323B0A" w:rsidP="00431CDB">
      <w:pPr>
        <w:rPr>
          <w:b/>
        </w:rPr>
      </w:pPr>
      <w:r w:rsidRPr="00431CDB">
        <w:rPr>
          <w:b/>
        </w:rPr>
        <w:t xml:space="preserve">Condition 17 – Member of </w:t>
      </w:r>
      <w:r w:rsidR="002C0EC9">
        <w:rPr>
          <w:b/>
        </w:rPr>
        <w:t xml:space="preserve">energy </w:t>
      </w:r>
      <w:r w:rsidRPr="00431CDB">
        <w:rPr>
          <w:b/>
        </w:rPr>
        <w:t>ombudsman scheme</w:t>
      </w:r>
    </w:p>
    <w:p w14:paraId="0374D1EF" w14:textId="2F329714" w:rsidR="00460B39" w:rsidRDefault="00EE268F" w:rsidP="004E7E01">
      <w:pPr>
        <w:pStyle w:val="ListParagraph"/>
        <w:numPr>
          <w:ilvl w:val="0"/>
          <w:numId w:val="143"/>
        </w:numPr>
        <w:contextualSpacing w:val="0"/>
      </w:pPr>
      <w:r>
        <w:t>An exempt person must, if permitted by an energy ombudsman scheme</w:t>
      </w:r>
      <w:r w:rsidR="004E7E01">
        <w:t>:</w:t>
      </w:r>
    </w:p>
    <w:p w14:paraId="33A6786B" w14:textId="42DAB5E7" w:rsidR="00323B0A" w:rsidRDefault="003E1FD7" w:rsidP="000D2C46">
      <w:pPr>
        <w:pStyle w:val="ListParagraph"/>
        <w:numPr>
          <w:ilvl w:val="1"/>
          <w:numId w:val="143"/>
        </w:numPr>
        <w:ind w:left="697" w:hanging="357"/>
        <w:contextualSpacing w:val="0"/>
      </w:pPr>
      <w:r>
        <w:t>be a member of, or subject to, a</w:t>
      </w:r>
      <w:r w:rsidR="00EE268F">
        <w:t>n energy ombudsman scheme for ea</w:t>
      </w:r>
      <w:r>
        <w:t>ch jurisdiction where it sells energy to exempt customers and</w:t>
      </w:r>
    </w:p>
    <w:p w14:paraId="14667C5D" w14:textId="77777777" w:rsidR="003E1FD7" w:rsidRDefault="003E1FD7" w:rsidP="000D2C46">
      <w:pPr>
        <w:pStyle w:val="ListParagraph"/>
        <w:numPr>
          <w:ilvl w:val="1"/>
          <w:numId w:val="143"/>
        </w:numPr>
        <w:ind w:left="697" w:hanging="357"/>
        <w:contextualSpacing w:val="0"/>
      </w:pPr>
      <w:r>
        <w:t>comply with the requirements of that scheme.</w:t>
      </w:r>
    </w:p>
    <w:p w14:paraId="3ABDA6F2" w14:textId="77777777" w:rsidR="007628B1" w:rsidRPr="007628B1" w:rsidRDefault="007628B1" w:rsidP="007628B1">
      <w:pPr>
        <w:rPr>
          <w:b/>
        </w:rPr>
      </w:pPr>
      <w:r w:rsidRPr="007628B1">
        <w:rPr>
          <w:b/>
        </w:rPr>
        <w:t>Condition 18 – Planned interruptions to supply</w:t>
      </w:r>
    </w:p>
    <w:p w14:paraId="18BA5D5F" w14:textId="7F411851" w:rsidR="007628B1" w:rsidRPr="0078414F" w:rsidRDefault="007628B1" w:rsidP="007628B1">
      <w:pPr>
        <w:pStyle w:val="ListParagraph"/>
        <w:numPr>
          <w:ilvl w:val="0"/>
          <w:numId w:val="134"/>
        </w:numPr>
        <w:spacing w:after="240"/>
        <w:contextualSpacing w:val="0"/>
      </w:pPr>
      <w:r w:rsidRPr="0078414F">
        <w:t xml:space="preserve">For planned interruptions, the exempt seller must notify each affected exempt customer at least </w:t>
      </w:r>
      <w:r w:rsidR="0009720D">
        <w:t>two</w:t>
      </w:r>
      <w:r w:rsidRPr="0078414F">
        <w:t xml:space="preserve"> business days before the date of the interruption.</w:t>
      </w:r>
    </w:p>
    <w:p w14:paraId="409CB59E" w14:textId="77777777" w:rsidR="007628B1" w:rsidRPr="0078414F" w:rsidRDefault="007628B1" w:rsidP="007628B1">
      <w:pPr>
        <w:pStyle w:val="ListParagraph"/>
        <w:numPr>
          <w:ilvl w:val="0"/>
          <w:numId w:val="134"/>
        </w:numPr>
        <w:spacing w:after="240"/>
        <w:contextualSpacing w:val="0"/>
      </w:pPr>
      <w:r w:rsidRPr="0078414F">
        <w:t>The notification must:</w:t>
      </w:r>
    </w:p>
    <w:p w14:paraId="56F03967" w14:textId="25A213B8" w:rsidR="007628B1" w:rsidRPr="0078414F" w:rsidRDefault="007628B1" w:rsidP="007628B1">
      <w:pPr>
        <w:pStyle w:val="ListParagraph"/>
        <w:numPr>
          <w:ilvl w:val="0"/>
          <w:numId w:val="107"/>
        </w:numPr>
        <w:ind w:left="680"/>
        <w:contextualSpacing w:val="0"/>
      </w:pPr>
      <w:r w:rsidRPr="0078414F">
        <w:t>specify the expected date, time and duration of the interruption and</w:t>
      </w:r>
    </w:p>
    <w:p w14:paraId="58D6F770" w14:textId="0FBCC9C4" w:rsidR="007628B1" w:rsidRPr="0078414F" w:rsidRDefault="007628B1" w:rsidP="007628B1">
      <w:pPr>
        <w:pStyle w:val="ListParagraph"/>
        <w:numPr>
          <w:ilvl w:val="0"/>
          <w:numId w:val="107"/>
        </w:numPr>
        <w:ind w:left="680"/>
        <w:contextualSpacing w:val="0"/>
      </w:pPr>
      <w:r w:rsidRPr="0078414F">
        <w:t>include a telephone number for enquiries (the charge for which is no more than the cost of a local call) and</w:t>
      </w:r>
    </w:p>
    <w:p w14:paraId="49DF676B" w14:textId="77777777" w:rsidR="007628B1" w:rsidRPr="0078414F" w:rsidRDefault="007628B1" w:rsidP="007628B1">
      <w:pPr>
        <w:pStyle w:val="ListParagraph"/>
        <w:numPr>
          <w:ilvl w:val="0"/>
          <w:numId w:val="107"/>
        </w:numPr>
        <w:ind w:left="680"/>
        <w:contextualSpacing w:val="0"/>
      </w:pPr>
      <w:r w:rsidRPr="0078414F">
        <w:t>include a statement that any enquiries regarding planned interruptions are to be directed to the exempt seller.</w:t>
      </w:r>
    </w:p>
    <w:p w14:paraId="1A8F44A5" w14:textId="77777777" w:rsidR="007628B1" w:rsidRPr="00742515" w:rsidRDefault="007628B1" w:rsidP="00742515">
      <w:pPr>
        <w:pStyle w:val="ListParagraph"/>
        <w:numPr>
          <w:ilvl w:val="0"/>
          <w:numId w:val="134"/>
        </w:numPr>
        <w:spacing w:after="240"/>
        <w:contextualSpacing w:val="0"/>
      </w:pPr>
      <w:r w:rsidRPr="0078414F">
        <w:t>The exempt seller must use its best endeavours to restore the exempt customer’s supply as soon as possible.</w:t>
      </w:r>
    </w:p>
    <w:p w14:paraId="05494071" w14:textId="77777777" w:rsidR="007628B1" w:rsidRPr="0078414F" w:rsidRDefault="007628B1" w:rsidP="007628B1">
      <w:pPr>
        <w:rPr>
          <w:b/>
        </w:rPr>
      </w:pPr>
      <w:r w:rsidRPr="0078414F">
        <w:rPr>
          <w:b/>
        </w:rPr>
        <w:t>Condition 19 – Unplanned interruptions to supply</w:t>
      </w:r>
    </w:p>
    <w:p w14:paraId="6639E200" w14:textId="77777777" w:rsidR="007628B1" w:rsidRPr="0078414F" w:rsidRDefault="007628B1" w:rsidP="007628B1">
      <w:pPr>
        <w:pStyle w:val="ListParagraph"/>
        <w:numPr>
          <w:ilvl w:val="0"/>
          <w:numId w:val="103"/>
        </w:numPr>
        <w:contextualSpacing w:val="0"/>
      </w:pPr>
      <w:r w:rsidRPr="0078414F">
        <w:t>In the case of an unplanned interruption, the exempt seller must:</w:t>
      </w:r>
    </w:p>
    <w:p w14:paraId="55A0079E" w14:textId="3B0F732F" w:rsidR="007628B1" w:rsidRPr="0078414F" w:rsidRDefault="007628B1" w:rsidP="007628B1">
      <w:pPr>
        <w:pStyle w:val="ListParagraph"/>
        <w:numPr>
          <w:ilvl w:val="0"/>
          <w:numId w:val="105"/>
        </w:numPr>
        <w:contextualSpacing w:val="0"/>
      </w:pPr>
      <w:r w:rsidRPr="0078414F">
        <w:t xml:space="preserve">within 30 minutes of being advised of the </w:t>
      </w:r>
      <w:r w:rsidRPr="0078414F">
        <w:rPr>
          <w:iCs/>
        </w:rPr>
        <w:t>interruption</w:t>
      </w:r>
      <w:r w:rsidRPr="0078414F">
        <w:t xml:space="preserve">, or otherwise as soon as practicable, make available information on the nature of the </w:t>
      </w:r>
      <w:r w:rsidRPr="0078414F">
        <w:rPr>
          <w:iCs/>
        </w:rPr>
        <w:t xml:space="preserve">interruption </w:t>
      </w:r>
      <w:r w:rsidRPr="0078414F">
        <w:t>and an estimate of the time when supply will be restored or when reliable information on restoration of supply will be available and</w:t>
      </w:r>
    </w:p>
    <w:p w14:paraId="77512EA2" w14:textId="70659F53" w:rsidR="007628B1" w:rsidRPr="0078414F" w:rsidRDefault="007628B1" w:rsidP="007628B1">
      <w:pPr>
        <w:pStyle w:val="ListParagraph"/>
        <w:numPr>
          <w:ilvl w:val="0"/>
          <w:numId w:val="105"/>
        </w:numPr>
        <w:contextualSpacing w:val="0"/>
      </w:pPr>
      <w:r w:rsidRPr="0078414F">
        <w:t>if providing a telephone response that is automated, provide options for exempt customers who call the service to be directly connected to a telephone operator if required and</w:t>
      </w:r>
    </w:p>
    <w:p w14:paraId="0076EED2" w14:textId="77777777" w:rsidR="007628B1" w:rsidRPr="0078414F" w:rsidRDefault="007628B1" w:rsidP="007628B1">
      <w:pPr>
        <w:pStyle w:val="ListParagraph"/>
        <w:numPr>
          <w:ilvl w:val="0"/>
          <w:numId w:val="105"/>
        </w:numPr>
        <w:spacing w:after="240"/>
        <w:contextualSpacing w:val="0"/>
      </w:pPr>
      <w:r w:rsidRPr="0078414F">
        <w:t>use its best endeavours to restore supply to affected exempt customers as soon as possible.</w:t>
      </w:r>
    </w:p>
    <w:p w14:paraId="6DB4AC67" w14:textId="77777777" w:rsidR="00187DC1" w:rsidRPr="00EB73FD" w:rsidRDefault="00187DC1" w:rsidP="00A2043E">
      <w:pPr>
        <w:spacing w:after="240"/>
        <w:rPr>
          <w:b/>
        </w:rPr>
      </w:pPr>
      <w:r w:rsidRPr="00EB73FD">
        <w:rPr>
          <w:b/>
        </w:rPr>
        <w:t xml:space="preserve">Condition </w:t>
      </w:r>
      <w:r w:rsidR="00A86765">
        <w:rPr>
          <w:b/>
        </w:rPr>
        <w:t>20</w:t>
      </w:r>
      <w:r w:rsidR="00911431" w:rsidRPr="00EB73FD">
        <w:rPr>
          <w:b/>
        </w:rPr>
        <w:t xml:space="preserve"> </w:t>
      </w:r>
      <w:r w:rsidRPr="00EB73FD">
        <w:rPr>
          <w:b/>
        </w:rPr>
        <w:t>- Life support customers</w:t>
      </w:r>
    </w:p>
    <w:p w14:paraId="4746DB83" w14:textId="77777777" w:rsidR="00187DC1" w:rsidRDefault="00187DC1" w:rsidP="00A97E11">
      <w:pPr>
        <w:pStyle w:val="ListParagraph"/>
        <w:numPr>
          <w:ilvl w:val="0"/>
          <w:numId w:val="23"/>
        </w:numPr>
        <w:contextualSpacing w:val="0"/>
      </w:pPr>
      <w:r>
        <w:t>Where an exempt customer provides an exempt person with confirmation from a registered medical practitioner that a person residing at the exempt customer’s premises requires life support equipment, the exempt person must:</w:t>
      </w:r>
    </w:p>
    <w:p w14:paraId="04600BC8" w14:textId="10D3A437" w:rsidR="00187DC1" w:rsidRDefault="00187DC1" w:rsidP="00A97E11">
      <w:pPr>
        <w:pStyle w:val="ListParagraph"/>
        <w:numPr>
          <w:ilvl w:val="0"/>
          <w:numId w:val="55"/>
        </w:numPr>
        <w:contextualSpacing w:val="0"/>
      </w:pPr>
      <w:r>
        <w:t>advise the person whose embedded distribution network the sale of energy is occurring within (if different from the exempt person) that a person residing at the premises requires life support equipment and</w:t>
      </w:r>
    </w:p>
    <w:p w14:paraId="73B0AD4D" w14:textId="224F96D7" w:rsidR="00187DC1" w:rsidRDefault="00187DC1" w:rsidP="00A97E11">
      <w:pPr>
        <w:pStyle w:val="ListParagraph"/>
        <w:numPr>
          <w:ilvl w:val="0"/>
          <w:numId w:val="55"/>
        </w:numPr>
        <w:contextualSpacing w:val="0"/>
      </w:pPr>
      <w:r>
        <w:t>advise the exempt person’s authorised retailer and distributor that a person residing at the premises requires life support equipment and</w:t>
      </w:r>
    </w:p>
    <w:p w14:paraId="5BF56546" w14:textId="77777777" w:rsidR="00187DC1" w:rsidRDefault="00187DC1" w:rsidP="00A97E11">
      <w:pPr>
        <w:pStyle w:val="ListParagraph"/>
        <w:numPr>
          <w:ilvl w:val="0"/>
          <w:numId w:val="55"/>
        </w:numPr>
        <w:contextualSpacing w:val="0"/>
      </w:pPr>
      <w:r>
        <w:t>provide the exempt person’s authorised retailer and distributor with any relevant information about the premises for the purposes of updating their records and registers.</w:t>
      </w:r>
    </w:p>
    <w:p w14:paraId="703B0378" w14:textId="77777777" w:rsidR="00187DC1" w:rsidRDefault="00187DC1" w:rsidP="00A2043E">
      <w:pPr>
        <w:pStyle w:val="ListParagraph"/>
        <w:numPr>
          <w:ilvl w:val="0"/>
          <w:numId w:val="23"/>
        </w:numPr>
        <w:spacing w:after="240"/>
        <w:contextualSpacing w:val="0"/>
      </w:pPr>
      <w:r>
        <w:t xml:space="preserve">An exempt person must maintain records of any exempt customers who have life support equipment that depends on energy for its operation on their premises. </w:t>
      </w:r>
    </w:p>
    <w:p w14:paraId="23011904" w14:textId="625A8D2C" w:rsidR="00187DC1" w:rsidRPr="00EB73FD" w:rsidRDefault="00187DC1" w:rsidP="00A2043E">
      <w:pPr>
        <w:spacing w:after="240"/>
        <w:rPr>
          <w:b/>
        </w:rPr>
      </w:pPr>
      <w:r w:rsidRPr="00EB73FD">
        <w:rPr>
          <w:b/>
        </w:rPr>
        <w:t xml:space="preserve">Condition </w:t>
      </w:r>
      <w:r w:rsidR="002C529A">
        <w:rPr>
          <w:b/>
        </w:rPr>
        <w:t>2</w:t>
      </w:r>
      <w:r w:rsidR="00A86765">
        <w:rPr>
          <w:b/>
        </w:rPr>
        <w:t>1</w:t>
      </w:r>
      <w:r w:rsidR="00911431" w:rsidRPr="00EB73FD">
        <w:rPr>
          <w:b/>
        </w:rPr>
        <w:t xml:space="preserve"> </w:t>
      </w:r>
      <w:r w:rsidRPr="00EB73FD">
        <w:rPr>
          <w:b/>
        </w:rPr>
        <w:t>- Continuity of supply</w:t>
      </w:r>
    </w:p>
    <w:p w14:paraId="7C29830B" w14:textId="77777777" w:rsidR="00187DC1" w:rsidRDefault="00187DC1" w:rsidP="00A2043E">
      <w:pPr>
        <w:pStyle w:val="ListParagraph"/>
        <w:numPr>
          <w:ilvl w:val="0"/>
          <w:numId w:val="24"/>
        </w:numPr>
        <w:spacing w:after="240"/>
        <w:contextualSpacing w:val="0"/>
      </w:pPr>
      <w:r>
        <w:t>An exempt person must notify the exempt customers and the AER immediately if they are (or expect to be) disconnected, or there is any likelihood that they will be unable to continue selling energy.</w:t>
      </w:r>
    </w:p>
    <w:p w14:paraId="5F953FF8" w14:textId="74A1291A" w:rsidR="00187DC1" w:rsidRPr="00EB73FD" w:rsidRDefault="00187DC1" w:rsidP="00A2043E">
      <w:pPr>
        <w:spacing w:after="240"/>
        <w:rPr>
          <w:b/>
        </w:rPr>
      </w:pPr>
      <w:r w:rsidRPr="00EB73FD">
        <w:rPr>
          <w:b/>
        </w:rPr>
        <w:t xml:space="preserve">Condition </w:t>
      </w:r>
      <w:r w:rsidR="002C529A">
        <w:rPr>
          <w:b/>
        </w:rPr>
        <w:t>2</w:t>
      </w:r>
      <w:r w:rsidR="00A86765">
        <w:rPr>
          <w:b/>
        </w:rPr>
        <w:t>2</w:t>
      </w:r>
      <w:r w:rsidR="00E95EAA">
        <w:rPr>
          <w:b/>
        </w:rPr>
        <w:t xml:space="preserve"> </w:t>
      </w:r>
      <w:r w:rsidRPr="00EB73FD">
        <w:rPr>
          <w:b/>
        </w:rPr>
        <w:t>– Termination of energy supply agreement</w:t>
      </w:r>
    </w:p>
    <w:p w14:paraId="7BC3FA69" w14:textId="77777777" w:rsidR="00187DC1" w:rsidRDefault="00187DC1" w:rsidP="00A97E11">
      <w:pPr>
        <w:pStyle w:val="ListParagraph"/>
        <w:numPr>
          <w:ilvl w:val="0"/>
          <w:numId w:val="20"/>
        </w:numPr>
        <w:contextualSpacing w:val="0"/>
      </w:pPr>
      <w:r>
        <w:t>An energy supply agreement between the exempt person and an exempt customer will terminate:</w:t>
      </w:r>
    </w:p>
    <w:p w14:paraId="286A8EE0" w14:textId="0BD8168F" w:rsidR="00187DC1" w:rsidRDefault="00187DC1" w:rsidP="00A97E11">
      <w:pPr>
        <w:pStyle w:val="ListParagraph"/>
        <w:numPr>
          <w:ilvl w:val="0"/>
          <w:numId w:val="56"/>
        </w:numPr>
        <w:contextualSpacing w:val="0"/>
      </w:pPr>
      <w:r>
        <w:t>on a date agreed by the exempt person and exempt customer or</w:t>
      </w:r>
    </w:p>
    <w:p w14:paraId="1AF7DD1A" w14:textId="5998E07B" w:rsidR="00187DC1" w:rsidRDefault="00187DC1" w:rsidP="00A97E11">
      <w:pPr>
        <w:pStyle w:val="ListParagraph"/>
        <w:numPr>
          <w:ilvl w:val="0"/>
          <w:numId w:val="56"/>
        </w:numPr>
        <w:contextualSpacing w:val="0"/>
      </w:pPr>
      <w:r>
        <w:t>five business days (or a different time agreed by the exempt person and exempt customer) from the date when the exempt customer gives the exempt person a termination notice or</w:t>
      </w:r>
    </w:p>
    <w:p w14:paraId="31E9EAFD" w14:textId="4991B5F0" w:rsidR="00187DC1" w:rsidRDefault="00187DC1" w:rsidP="00A97E11">
      <w:pPr>
        <w:pStyle w:val="ListParagraph"/>
        <w:numPr>
          <w:ilvl w:val="0"/>
          <w:numId w:val="56"/>
        </w:numPr>
        <w:contextualSpacing w:val="0"/>
      </w:pPr>
      <w:r>
        <w:t>at the conclusion of the exempt customer’s lease for, or occupancy of, the premises to which the energy is supplied or</w:t>
      </w:r>
    </w:p>
    <w:p w14:paraId="75E8BCC1" w14:textId="4A72CC92" w:rsidR="00187DC1" w:rsidRDefault="00187DC1" w:rsidP="00A97E11">
      <w:pPr>
        <w:pStyle w:val="ListParagraph"/>
        <w:numPr>
          <w:ilvl w:val="0"/>
          <w:numId w:val="56"/>
        </w:numPr>
        <w:contextualSpacing w:val="0"/>
      </w:pPr>
      <w:r>
        <w:t>when the exempt customer starts receiving energy retail services from a different retailer or exempt person or</w:t>
      </w:r>
    </w:p>
    <w:p w14:paraId="7C9E37F0" w14:textId="2811AF0A" w:rsidR="00187DC1" w:rsidRDefault="00187DC1" w:rsidP="00A97E11">
      <w:pPr>
        <w:pStyle w:val="ListParagraph"/>
        <w:numPr>
          <w:ilvl w:val="0"/>
          <w:numId w:val="56"/>
        </w:numPr>
        <w:contextualSpacing w:val="0"/>
      </w:pPr>
      <w:r>
        <w:t>when a different exempt customer starts receiving customer retail services for the premises or</w:t>
      </w:r>
    </w:p>
    <w:p w14:paraId="5CD4EDBE" w14:textId="77777777" w:rsidR="00187DC1" w:rsidRDefault="00187DC1" w:rsidP="00A97E11">
      <w:pPr>
        <w:pStyle w:val="ListParagraph"/>
        <w:numPr>
          <w:ilvl w:val="0"/>
          <w:numId w:val="56"/>
        </w:numPr>
        <w:contextualSpacing w:val="0"/>
      </w:pPr>
      <w:r>
        <w:t>at the end of a period of 10 business days commencing on the day the exempt customer’s premises are disconnected, where the conditions for reconnection have not been met.</w:t>
      </w:r>
    </w:p>
    <w:p w14:paraId="6FB18017" w14:textId="77777777" w:rsidR="00187DC1" w:rsidRDefault="00187DC1" w:rsidP="00A2043E">
      <w:pPr>
        <w:pStyle w:val="ListParagraph"/>
        <w:numPr>
          <w:ilvl w:val="0"/>
          <w:numId w:val="20"/>
        </w:numPr>
        <w:spacing w:after="240"/>
        <w:contextualSpacing w:val="0"/>
      </w:pPr>
      <w:r>
        <w:t>Termination of an arrangement to supply energy does not affect any rights or obligations that have already accrued under the agreement.</w:t>
      </w:r>
    </w:p>
    <w:p w14:paraId="078BEC0B" w14:textId="65B2C028" w:rsidR="00187DC1" w:rsidRPr="00EB73FD" w:rsidRDefault="00187DC1" w:rsidP="00A2043E">
      <w:pPr>
        <w:spacing w:after="240"/>
        <w:rPr>
          <w:b/>
        </w:rPr>
      </w:pPr>
      <w:r w:rsidRPr="00EB73FD">
        <w:rPr>
          <w:b/>
        </w:rPr>
        <w:t xml:space="preserve">Condition </w:t>
      </w:r>
      <w:r w:rsidR="00911431">
        <w:rPr>
          <w:b/>
        </w:rPr>
        <w:t>2</w:t>
      </w:r>
      <w:r w:rsidR="00A86765">
        <w:rPr>
          <w:b/>
        </w:rPr>
        <w:t>3</w:t>
      </w:r>
      <w:r w:rsidR="00911431" w:rsidRPr="00EB73FD">
        <w:rPr>
          <w:b/>
        </w:rPr>
        <w:t xml:space="preserve"> </w:t>
      </w:r>
      <w:r w:rsidRPr="00EB73FD">
        <w:rPr>
          <w:b/>
        </w:rPr>
        <w:t>- Maintaining records</w:t>
      </w:r>
    </w:p>
    <w:p w14:paraId="1DEB14E0" w14:textId="77777777" w:rsidR="00187DC1" w:rsidRDefault="00187DC1" w:rsidP="00A97E11">
      <w:pPr>
        <w:pStyle w:val="ListParagraph"/>
        <w:numPr>
          <w:ilvl w:val="0"/>
          <w:numId w:val="21"/>
        </w:numPr>
        <w:contextualSpacing w:val="0"/>
      </w:pPr>
      <w:r>
        <w:t>An exempt person must maintain records of the following for each of its exempt customers:</w:t>
      </w:r>
    </w:p>
    <w:p w14:paraId="5E8C95A9" w14:textId="1582A629" w:rsidR="00187DC1" w:rsidRDefault="00A86765" w:rsidP="00A97E11">
      <w:pPr>
        <w:pStyle w:val="ListParagraph"/>
        <w:numPr>
          <w:ilvl w:val="0"/>
          <w:numId w:val="57"/>
        </w:numPr>
        <w:contextualSpacing w:val="0"/>
      </w:pPr>
      <w:r>
        <w:t xml:space="preserve">the </w:t>
      </w:r>
      <w:r w:rsidR="00187DC1">
        <w:t>name of the exempt customer</w:t>
      </w:r>
    </w:p>
    <w:p w14:paraId="52566EC0" w14:textId="502D2E63" w:rsidR="00187DC1" w:rsidRDefault="00A86765" w:rsidP="00A97E11">
      <w:pPr>
        <w:pStyle w:val="ListParagraph"/>
        <w:numPr>
          <w:ilvl w:val="0"/>
          <w:numId w:val="57"/>
        </w:numPr>
        <w:contextualSpacing w:val="0"/>
      </w:pPr>
      <w:r>
        <w:t xml:space="preserve">the </w:t>
      </w:r>
      <w:r w:rsidR="00187DC1">
        <w:t>address of the exempt customer’s premises</w:t>
      </w:r>
    </w:p>
    <w:p w14:paraId="58E3AD57" w14:textId="70596E58" w:rsidR="00187DC1" w:rsidRDefault="00A86765" w:rsidP="00A97E11">
      <w:pPr>
        <w:pStyle w:val="ListParagraph"/>
        <w:numPr>
          <w:ilvl w:val="0"/>
          <w:numId w:val="57"/>
        </w:numPr>
        <w:contextualSpacing w:val="0"/>
      </w:pPr>
      <w:r>
        <w:t xml:space="preserve">the </w:t>
      </w:r>
      <w:r w:rsidR="00187DC1">
        <w:t>identifier of the meter for the exempt customer’s premises (if applicable)</w:t>
      </w:r>
    </w:p>
    <w:p w14:paraId="317DCA88" w14:textId="31EB12C4" w:rsidR="00187DC1" w:rsidRDefault="00A86765" w:rsidP="00A97E11">
      <w:pPr>
        <w:pStyle w:val="ListParagraph"/>
        <w:numPr>
          <w:ilvl w:val="0"/>
          <w:numId w:val="57"/>
        </w:numPr>
        <w:contextualSpacing w:val="0"/>
      </w:pPr>
      <w:r>
        <w:t xml:space="preserve">the </w:t>
      </w:r>
      <w:r w:rsidR="00187DC1">
        <w:t>date that the customer account was created</w:t>
      </w:r>
    </w:p>
    <w:p w14:paraId="41CF9AC6" w14:textId="223BB927" w:rsidR="00187DC1" w:rsidRDefault="00A86765" w:rsidP="00A97E11">
      <w:pPr>
        <w:pStyle w:val="ListParagraph"/>
        <w:numPr>
          <w:ilvl w:val="0"/>
          <w:numId w:val="57"/>
        </w:numPr>
        <w:contextualSpacing w:val="0"/>
      </w:pPr>
      <w:r>
        <w:t xml:space="preserve">copies </w:t>
      </w:r>
      <w:r w:rsidR="00187DC1">
        <w:t>of any bills issued for the previous 12 months</w:t>
      </w:r>
    </w:p>
    <w:p w14:paraId="54716FD3" w14:textId="683ADFBD" w:rsidR="00187DC1" w:rsidRDefault="00A86765" w:rsidP="00A97E11">
      <w:pPr>
        <w:pStyle w:val="ListParagraph"/>
        <w:numPr>
          <w:ilvl w:val="0"/>
          <w:numId w:val="57"/>
        </w:numPr>
        <w:contextualSpacing w:val="0"/>
      </w:pPr>
      <w:r>
        <w:t xml:space="preserve">the </w:t>
      </w:r>
      <w:r w:rsidR="00187DC1">
        <w:t>date of the most recent meter read for the customer (if applicable)</w:t>
      </w:r>
    </w:p>
    <w:p w14:paraId="1EDBDFF3" w14:textId="0E8B890F" w:rsidR="00187DC1" w:rsidRDefault="00A86765" w:rsidP="009B638B">
      <w:pPr>
        <w:pStyle w:val="ListParagraph"/>
        <w:numPr>
          <w:ilvl w:val="0"/>
          <w:numId w:val="57"/>
        </w:numPr>
        <w:spacing w:after="240"/>
        <w:contextualSpacing w:val="0"/>
      </w:pPr>
      <w:r>
        <w:t xml:space="preserve">the </w:t>
      </w:r>
      <w:r w:rsidR="00187DC1">
        <w:t>basis for determining any estimates of consumption for the purpose of billing where a meter read could not be obtained.</w:t>
      </w:r>
    </w:p>
    <w:p w14:paraId="742B2F23" w14:textId="1EB6B541" w:rsidR="00AC346F" w:rsidRPr="00EB73FD" w:rsidRDefault="00AC346F" w:rsidP="00A2043E">
      <w:pPr>
        <w:keepNext/>
        <w:keepLines/>
        <w:spacing w:after="240"/>
        <w:rPr>
          <w:b/>
        </w:rPr>
      </w:pPr>
      <w:r w:rsidRPr="00EB73FD">
        <w:rPr>
          <w:b/>
        </w:rPr>
        <w:t xml:space="preserve">Condition </w:t>
      </w:r>
      <w:r w:rsidR="00911431">
        <w:rPr>
          <w:b/>
        </w:rPr>
        <w:t>2</w:t>
      </w:r>
      <w:r w:rsidR="00A86765">
        <w:rPr>
          <w:b/>
        </w:rPr>
        <w:t>4</w:t>
      </w:r>
      <w:r w:rsidR="00911431" w:rsidRPr="00EB73FD">
        <w:rPr>
          <w:b/>
        </w:rPr>
        <w:t xml:space="preserve"> </w:t>
      </w:r>
      <w:r>
        <w:rPr>
          <w:b/>
        </w:rPr>
        <w:t>–</w:t>
      </w:r>
      <w:r w:rsidRPr="00EB73FD">
        <w:rPr>
          <w:b/>
        </w:rPr>
        <w:t xml:space="preserve"> </w:t>
      </w:r>
      <w:r>
        <w:rPr>
          <w:b/>
        </w:rPr>
        <w:t>Information provision</w:t>
      </w:r>
      <w:r w:rsidR="004574FA">
        <w:rPr>
          <w:b/>
        </w:rPr>
        <w:t xml:space="preserve"> for exempt customers of power purchase agreement providers</w:t>
      </w:r>
    </w:p>
    <w:p w14:paraId="37BC44F5" w14:textId="62544F4F" w:rsidR="00AC346F" w:rsidRPr="0068190D" w:rsidRDefault="00AC346F" w:rsidP="00A2043E">
      <w:pPr>
        <w:pStyle w:val="ListParagraph"/>
        <w:keepNext/>
        <w:keepLines/>
        <w:numPr>
          <w:ilvl w:val="3"/>
          <w:numId w:val="68"/>
        </w:numPr>
        <w:spacing w:after="240"/>
        <w:ind w:left="426" w:hanging="426"/>
        <w:contextualSpacing w:val="0"/>
        <w:rPr>
          <w:rFonts w:cs="Arial"/>
          <w:szCs w:val="24"/>
        </w:rPr>
      </w:pPr>
      <w:r w:rsidRPr="0068190D">
        <w:rPr>
          <w:rFonts w:cs="Arial"/>
          <w:szCs w:val="24"/>
        </w:rPr>
        <w:t>An exempt person must provide the</w:t>
      </w:r>
      <w:r w:rsidR="004574FA">
        <w:rPr>
          <w:rFonts w:cs="Arial"/>
          <w:szCs w:val="24"/>
        </w:rPr>
        <w:t xml:space="preserve"> exempt</w:t>
      </w:r>
      <w:r w:rsidRPr="0068190D">
        <w:rPr>
          <w:rFonts w:cs="Arial"/>
          <w:szCs w:val="24"/>
        </w:rPr>
        <w:t xml:space="preserve"> customer in writing a plain English notice explaining that the </w:t>
      </w:r>
      <w:r w:rsidR="004574FA">
        <w:rPr>
          <w:rFonts w:cs="Arial"/>
          <w:szCs w:val="24"/>
        </w:rPr>
        <w:t xml:space="preserve">power purchase </w:t>
      </w:r>
      <w:r w:rsidR="001729A4">
        <w:rPr>
          <w:rFonts w:cs="Arial"/>
          <w:szCs w:val="24"/>
        </w:rPr>
        <w:t>agreement</w:t>
      </w:r>
      <w:r w:rsidR="001729A4" w:rsidRPr="0068190D">
        <w:rPr>
          <w:rFonts w:cs="Arial"/>
          <w:szCs w:val="24"/>
        </w:rPr>
        <w:t xml:space="preserve"> </w:t>
      </w:r>
      <w:r w:rsidRPr="0068190D">
        <w:rPr>
          <w:rFonts w:cs="Arial"/>
          <w:szCs w:val="24"/>
        </w:rPr>
        <w:t xml:space="preserve">is covered by Australian consumer protection laws and is separate to the </w:t>
      </w:r>
      <w:r w:rsidR="004574FA">
        <w:rPr>
          <w:rFonts w:cs="Arial"/>
          <w:szCs w:val="24"/>
        </w:rPr>
        <w:t xml:space="preserve">exempt </w:t>
      </w:r>
      <w:r w:rsidRPr="0068190D">
        <w:rPr>
          <w:rFonts w:cs="Arial"/>
          <w:szCs w:val="24"/>
        </w:rPr>
        <w:t>customer’s contract with their retailer and distributor which are covered under the National Energy Retail Law.</w:t>
      </w:r>
    </w:p>
    <w:p w14:paraId="4CAE2C6A" w14:textId="04592D4C" w:rsidR="002D67C5" w:rsidRPr="00C328C4" w:rsidRDefault="00AC346F" w:rsidP="00A2043E">
      <w:pPr>
        <w:keepNext/>
        <w:spacing w:after="240"/>
        <w:rPr>
          <w:rFonts w:cs="Arial"/>
        </w:rPr>
      </w:pPr>
      <w:r w:rsidRPr="00EB73FD">
        <w:rPr>
          <w:b/>
        </w:rPr>
        <w:t xml:space="preserve">Condition </w:t>
      </w:r>
      <w:r w:rsidR="00911431">
        <w:rPr>
          <w:b/>
        </w:rPr>
        <w:t>2</w:t>
      </w:r>
      <w:r w:rsidR="00A86765">
        <w:rPr>
          <w:b/>
        </w:rPr>
        <w:t>5</w:t>
      </w:r>
      <w:r w:rsidR="00911431" w:rsidRPr="00EB73FD">
        <w:rPr>
          <w:b/>
        </w:rPr>
        <w:t xml:space="preserve"> </w:t>
      </w:r>
      <w:r>
        <w:rPr>
          <w:b/>
        </w:rPr>
        <w:t>–</w:t>
      </w:r>
      <w:r w:rsidRPr="00EB73FD">
        <w:rPr>
          <w:b/>
        </w:rPr>
        <w:t xml:space="preserve"> </w:t>
      </w:r>
      <w:r w:rsidR="002D67C5" w:rsidRPr="00C328C4">
        <w:rPr>
          <w:rFonts w:cs="Arial"/>
          <w:b/>
          <w:bCs/>
        </w:rPr>
        <w:t xml:space="preserve">Exemption limited to the sale of electricity through power purchase agreements </w:t>
      </w:r>
    </w:p>
    <w:p w14:paraId="50EACE4D" w14:textId="77777777" w:rsidR="002D67C5" w:rsidRPr="0068190D" w:rsidRDefault="002D67C5" w:rsidP="00A97E11">
      <w:pPr>
        <w:pStyle w:val="ListParagraph"/>
        <w:numPr>
          <w:ilvl w:val="0"/>
          <w:numId w:val="69"/>
        </w:numPr>
        <w:ind w:left="426" w:hanging="426"/>
        <w:contextualSpacing w:val="0"/>
        <w:rPr>
          <w:rFonts w:cs="Arial"/>
        </w:rPr>
      </w:pPr>
      <w:r w:rsidRPr="0068190D">
        <w:rPr>
          <w:rFonts w:cs="Arial"/>
        </w:rPr>
        <w:t xml:space="preserve">An </w:t>
      </w:r>
      <w:r w:rsidRPr="0068190D">
        <w:rPr>
          <w:rFonts w:cs="Arial"/>
          <w:szCs w:val="24"/>
        </w:rPr>
        <w:t>exempt</w:t>
      </w:r>
      <w:r w:rsidRPr="0068190D">
        <w:rPr>
          <w:rFonts w:cs="Arial"/>
        </w:rPr>
        <w:t xml:space="preserve"> person must:</w:t>
      </w:r>
    </w:p>
    <w:p w14:paraId="5AF93A1C" w14:textId="6C2B5D20" w:rsidR="002D67C5" w:rsidRPr="00C328C4" w:rsidRDefault="002D67C5" w:rsidP="00A97E11">
      <w:pPr>
        <w:pStyle w:val="AERbulletlistfirststyle"/>
        <w:numPr>
          <w:ilvl w:val="0"/>
          <w:numId w:val="61"/>
        </w:numPr>
        <w:tabs>
          <w:tab w:val="clear" w:pos="567"/>
          <w:tab w:val="left" w:pos="720"/>
        </w:tabs>
        <w:spacing w:before="120" w:after="120" w:line="276" w:lineRule="auto"/>
        <w:rPr>
          <w:rFonts w:ascii="Arial" w:hAnsi="Arial" w:cs="Arial"/>
          <w:sz w:val="22"/>
          <w:szCs w:val="22"/>
        </w:rPr>
      </w:pPr>
      <w:r w:rsidRPr="002D67C5">
        <w:rPr>
          <w:rFonts w:ascii="Arial" w:hAnsi="Arial" w:cs="Arial"/>
          <w:sz w:val="22"/>
          <w:szCs w:val="22"/>
        </w:rPr>
        <w:t>refrain</w:t>
      </w:r>
      <w:r w:rsidRPr="00C328C4">
        <w:rPr>
          <w:rFonts w:ascii="Arial" w:hAnsi="Arial" w:cs="Arial"/>
          <w:sz w:val="22"/>
          <w:szCs w:val="22"/>
        </w:rPr>
        <w:t xml:space="preserve"> from registering in the wholesale market for the purposes of  purchasing energy and </w:t>
      </w:r>
    </w:p>
    <w:p w14:paraId="263731B8" w14:textId="77777777" w:rsidR="002D67C5" w:rsidRPr="00C328C4" w:rsidRDefault="002D67C5" w:rsidP="00A97E11">
      <w:pPr>
        <w:pStyle w:val="AERbulletlistfirststyle"/>
        <w:numPr>
          <w:ilvl w:val="0"/>
          <w:numId w:val="61"/>
        </w:numPr>
        <w:tabs>
          <w:tab w:val="clear" w:pos="567"/>
          <w:tab w:val="left" w:pos="720"/>
        </w:tabs>
        <w:spacing w:before="120" w:after="120" w:line="276" w:lineRule="auto"/>
        <w:rPr>
          <w:rFonts w:ascii="Arial" w:hAnsi="Arial" w:cs="Arial"/>
          <w:sz w:val="22"/>
          <w:szCs w:val="22"/>
        </w:rPr>
      </w:pPr>
      <w:r w:rsidRPr="002D67C5">
        <w:rPr>
          <w:rFonts w:ascii="Arial" w:hAnsi="Arial" w:cs="Arial"/>
          <w:sz w:val="22"/>
          <w:szCs w:val="22"/>
        </w:rPr>
        <w:t>not</w:t>
      </w:r>
      <w:r w:rsidRPr="009160B2">
        <w:rPr>
          <w:rFonts w:ascii="Arial" w:hAnsi="Arial" w:cs="Arial"/>
          <w:sz w:val="22"/>
          <w:szCs w:val="22"/>
        </w:rPr>
        <w:t xml:space="preserve"> be</w:t>
      </w:r>
      <w:r w:rsidRPr="00C328C4">
        <w:rPr>
          <w:rFonts w:ascii="Arial" w:hAnsi="Arial" w:cs="Arial"/>
          <w:sz w:val="22"/>
          <w:szCs w:val="22"/>
        </w:rPr>
        <w:t xml:space="preserve"> the financially responsible retailer for the premises (rather, this must be an authorised retailer).  </w:t>
      </w:r>
    </w:p>
    <w:p w14:paraId="2E7B28C0" w14:textId="77777777" w:rsidR="00391ED8" w:rsidRPr="00C328C4" w:rsidRDefault="00391ED8" w:rsidP="002D67C5">
      <w:pPr>
        <w:rPr>
          <w:rFonts w:asciiTheme="minorHAnsi" w:hAnsiTheme="minorHAnsi"/>
        </w:rPr>
      </w:pPr>
    </w:p>
    <w:p w14:paraId="45D71D79" w14:textId="77777777" w:rsidR="00CC063E" w:rsidRPr="000249A2" w:rsidRDefault="00CC063E" w:rsidP="00C328C4">
      <w:pPr>
        <w:rPr>
          <w:b/>
        </w:rPr>
        <w:sectPr w:rsidR="00CC063E" w:rsidRPr="000249A2" w:rsidSect="008605E1">
          <w:footerReference w:type="default" r:id="rId25"/>
          <w:pgSz w:w="11906" w:h="16838"/>
          <w:pgMar w:top="1440" w:right="1440" w:bottom="1440" w:left="1440" w:header="708" w:footer="708" w:gutter="0"/>
          <w:cols w:space="708"/>
          <w:titlePg/>
          <w:docGrid w:linePitch="360"/>
        </w:sectPr>
      </w:pPr>
    </w:p>
    <w:p w14:paraId="68928EFC" w14:textId="77777777" w:rsidR="00187DC1" w:rsidRDefault="00187DC1" w:rsidP="00327589">
      <w:pPr>
        <w:pStyle w:val="Heading1"/>
        <w:numPr>
          <w:ilvl w:val="0"/>
          <w:numId w:val="0"/>
        </w:numPr>
      </w:pPr>
      <w:bookmarkStart w:id="204" w:name="_Toc445886522"/>
      <w:bookmarkStart w:id="205" w:name="_Toc508963946"/>
      <w:r w:rsidRPr="00C328C4">
        <w:t>Appendix A-3: Exemption class conditions</w:t>
      </w:r>
      <w:bookmarkEnd w:id="204"/>
      <w:bookmarkEnd w:id="205"/>
    </w:p>
    <w:p w14:paraId="59844631" w14:textId="77777777" w:rsidR="00C03770" w:rsidRDefault="00C03770" w:rsidP="00C03770">
      <w:pPr>
        <w:pStyle w:val="Caption"/>
        <w:keepNext/>
      </w:pPr>
      <w:r w:rsidRPr="0049338B">
        <w:t xml:space="preserve">Table </w:t>
      </w:r>
      <w:r w:rsidR="00823AA0">
        <w:t>3</w:t>
      </w:r>
      <w:r w:rsidRPr="0049338B">
        <w:t xml:space="preserve"> </w:t>
      </w:r>
      <w:r w:rsidR="00DC5DBE" w:rsidRPr="0049338B">
        <w:t>–</w:t>
      </w:r>
      <w:r w:rsidRPr="0049338B">
        <w:t xml:space="preserve"> </w:t>
      </w:r>
      <w:r w:rsidR="00DC5DBE" w:rsidRPr="0049338B">
        <w:t>Exemption class conditions</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389"/>
        <w:gridCol w:w="1389"/>
        <w:gridCol w:w="1389"/>
        <w:gridCol w:w="1219"/>
        <w:gridCol w:w="1701"/>
        <w:gridCol w:w="1417"/>
        <w:gridCol w:w="1219"/>
        <w:gridCol w:w="1389"/>
        <w:gridCol w:w="1389"/>
        <w:gridCol w:w="1390"/>
      </w:tblGrid>
      <w:tr w:rsidR="00A25962" w:rsidRPr="00A60EE4" w14:paraId="1853376E" w14:textId="77777777" w:rsidTr="000301D3">
        <w:trPr>
          <w:trHeight w:val="175"/>
          <w:tblHeader/>
        </w:trPr>
        <w:tc>
          <w:tcPr>
            <w:tcW w:w="1277" w:type="dxa"/>
            <w:vMerge w:val="restart"/>
            <w:tcBorders>
              <w:top w:val="single" w:sz="12" w:space="0" w:color="auto"/>
              <w:left w:val="single" w:sz="12" w:space="0" w:color="auto"/>
              <w:right w:val="single" w:sz="12" w:space="0" w:color="auto"/>
            </w:tcBorders>
            <w:vAlign w:val="center"/>
          </w:tcPr>
          <w:p w14:paraId="4285AE2D" w14:textId="77777777" w:rsidR="00A25962" w:rsidRPr="00E16277" w:rsidRDefault="00A25962" w:rsidP="000301D3">
            <w:pPr>
              <w:spacing w:after="0" w:line="240" w:lineRule="auto"/>
              <w:jc w:val="center"/>
              <w:rPr>
                <w:rFonts w:ascii="Arial Narrow" w:hAnsi="Arial Narrow"/>
                <w:b/>
              </w:rPr>
            </w:pPr>
            <w:r w:rsidRPr="00E16277">
              <w:rPr>
                <w:rFonts w:ascii="Arial Narrow" w:hAnsi="Arial Narrow"/>
                <w:b/>
              </w:rPr>
              <w:t>Conditions</w:t>
            </w:r>
          </w:p>
        </w:tc>
        <w:tc>
          <w:tcPr>
            <w:tcW w:w="13891" w:type="dxa"/>
            <w:gridSpan w:val="10"/>
            <w:tcBorders>
              <w:top w:val="single" w:sz="12" w:space="0" w:color="auto"/>
              <w:left w:val="single" w:sz="12" w:space="0" w:color="auto"/>
              <w:bottom w:val="single" w:sz="12" w:space="0" w:color="auto"/>
              <w:right w:val="single" w:sz="12" w:space="0" w:color="auto"/>
            </w:tcBorders>
            <w:vAlign w:val="center"/>
          </w:tcPr>
          <w:p w14:paraId="1D77CF2A" w14:textId="77777777" w:rsidR="00A25962" w:rsidRPr="00E16277" w:rsidRDefault="00A25962" w:rsidP="000301D3">
            <w:pPr>
              <w:spacing w:after="0" w:line="240" w:lineRule="auto"/>
              <w:jc w:val="center"/>
              <w:rPr>
                <w:rFonts w:ascii="Arial Narrow" w:hAnsi="Arial Narrow"/>
                <w:b/>
              </w:rPr>
            </w:pPr>
            <w:r w:rsidRPr="00E16277">
              <w:rPr>
                <w:rFonts w:ascii="Arial Narrow" w:hAnsi="Arial Narrow"/>
                <w:b/>
              </w:rPr>
              <w:t>Class: Deemed</w:t>
            </w:r>
          </w:p>
        </w:tc>
      </w:tr>
      <w:tr w:rsidR="00A25962" w:rsidRPr="00A60EE4" w14:paraId="6ECB8AF3" w14:textId="77777777" w:rsidTr="000301D3">
        <w:trPr>
          <w:trHeight w:val="251"/>
          <w:tblHeader/>
        </w:trPr>
        <w:tc>
          <w:tcPr>
            <w:tcW w:w="1277" w:type="dxa"/>
            <w:vMerge/>
            <w:tcBorders>
              <w:left w:val="single" w:sz="12" w:space="0" w:color="auto"/>
              <w:bottom w:val="single" w:sz="12" w:space="0" w:color="auto"/>
              <w:right w:val="single" w:sz="12" w:space="0" w:color="auto"/>
            </w:tcBorders>
            <w:vAlign w:val="center"/>
          </w:tcPr>
          <w:p w14:paraId="4B824124" w14:textId="77777777" w:rsidR="00A25962" w:rsidRPr="00E16277" w:rsidRDefault="00A25962" w:rsidP="000301D3">
            <w:pPr>
              <w:spacing w:after="0" w:line="240" w:lineRule="auto"/>
              <w:jc w:val="center"/>
              <w:rPr>
                <w:rFonts w:ascii="Arial Narrow" w:hAnsi="Arial Narrow"/>
                <w:b/>
              </w:rPr>
            </w:pPr>
          </w:p>
        </w:tc>
        <w:tc>
          <w:tcPr>
            <w:tcW w:w="1389" w:type="dxa"/>
            <w:tcBorders>
              <w:top w:val="single" w:sz="12" w:space="0" w:color="auto"/>
              <w:left w:val="single" w:sz="12" w:space="0" w:color="auto"/>
              <w:bottom w:val="single" w:sz="12" w:space="0" w:color="auto"/>
            </w:tcBorders>
            <w:vAlign w:val="center"/>
          </w:tcPr>
          <w:p w14:paraId="5F09D52C" w14:textId="77777777" w:rsidR="00A25962" w:rsidRPr="00E16277" w:rsidRDefault="00A25962" w:rsidP="000301D3">
            <w:pPr>
              <w:spacing w:after="0" w:line="240" w:lineRule="auto"/>
              <w:jc w:val="center"/>
              <w:rPr>
                <w:rFonts w:ascii="Arial Narrow" w:hAnsi="Arial Narrow"/>
                <w:b/>
              </w:rPr>
            </w:pPr>
            <w:r w:rsidRPr="00E16277">
              <w:rPr>
                <w:rFonts w:ascii="Arial Narrow" w:hAnsi="Arial Narrow"/>
                <w:b/>
              </w:rPr>
              <w:t>D1</w:t>
            </w:r>
          </w:p>
        </w:tc>
        <w:tc>
          <w:tcPr>
            <w:tcW w:w="1389" w:type="dxa"/>
            <w:tcBorders>
              <w:top w:val="single" w:sz="12" w:space="0" w:color="auto"/>
              <w:bottom w:val="single" w:sz="12" w:space="0" w:color="auto"/>
            </w:tcBorders>
            <w:vAlign w:val="center"/>
          </w:tcPr>
          <w:p w14:paraId="1743E3AF" w14:textId="77777777" w:rsidR="00A25962" w:rsidRPr="00E16277" w:rsidRDefault="00A25962" w:rsidP="000301D3">
            <w:pPr>
              <w:spacing w:after="0" w:line="240" w:lineRule="auto"/>
              <w:jc w:val="center"/>
              <w:rPr>
                <w:rFonts w:ascii="Arial Narrow" w:hAnsi="Arial Narrow"/>
                <w:b/>
              </w:rPr>
            </w:pPr>
            <w:r w:rsidRPr="00E16277">
              <w:rPr>
                <w:rFonts w:ascii="Arial Narrow" w:hAnsi="Arial Narrow"/>
                <w:b/>
              </w:rPr>
              <w:t>D2</w:t>
            </w:r>
          </w:p>
        </w:tc>
        <w:tc>
          <w:tcPr>
            <w:tcW w:w="1389" w:type="dxa"/>
            <w:tcBorders>
              <w:top w:val="single" w:sz="12" w:space="0" w:color="auto"/>
              <w:bottom w:val="single" w:sz="12" w:space="0" w:color="auto"/>
            </w:tcBorders>
            <w:vAlign w:val="center"/>
          </w:tcPr>
          <w:p w14:paraId="22827D3A" w14:textId="77777777" w:rsidR="00A25962" w:rsidRPr="00E16277" w:rsidRDefault="00A25962" w:rsidP="000301D3">
            <w:pPr>
              <w:spacing w:after="0" w:line="240" w:lineRule="auto"/>
              <w:jc w:val="center"/>
              <w:rPr>
                <w:rFonts w:ascii="Arial Narrow" w:hAnsi="Arial Narrow"/>
                <w:b/>
              </w:rPr>
            </w:pPr>
            <w:r w:rsidRPr="00E16277">
              <w:rPr>
                <w:rFonts w:ascii="Arial Narrow" w:hAnsi="Arial Narrow"/>
                <w:b/>
              </w:rPr>
              <w:t>D3</w:t>
            </w:r>
          </w:p>
        </w:tc>
        <w:tc>
          <w:tcPr>
            <w:tcW w:w="1219" w:type="dxa"/>
            <w:tcBorders>
              <w:top w:val="single" w:sz="12" w:space="0" w:color="auto"/>
              <w:bottom w:val="single" w:sz="12" w:space="0" w:color="auto"/>
            </w:tcBorders>
            <w:shd w:val="clear" w:color="auto" w:fill="auto"/>
            <w:vAlign w:val="center"/>
          </w:tcPr>
          <w:p w14:paraId="030AECF2" w14:textId="77777777" w:rsidR="00A25962" w:rsidRPr="00E16277" w:rsidRDefault="00A25962" w:rsidP="000301D3">
            <w:pPr>
              <w:spacing w:after="0" w:line="240" w:lineRule="auto"/>
              <w:jc w:val="center"/>
              <w:rPr>
                <w:rFonts w:ascii="Arial Narrow" w:hAnsi="Arial Narrow"/>
                <w:b/>
              </w:rPr>
            </w:pPr>
            <w:r w:rsidRPr="00E16277">
              <w:rPr>
                <w:rFonts w:ascii="Arial Narrow" w:hAnsi="Arial Narrow"/>
                <w:b/>
              </w:rPr>
              <w:t>D4</w:t>
            </w:r>
          </w:p>
        </w:tc>
        <w:tc>
          <w:tcPr>
            <w:tcW w:w="1701" w:type="dxa"/>
            <w:tcBorders>
              <w:top w:val="single" w:sz="12" w:space="0" w:color="auto"/>
              <w:bottom w:val="single" w:sz="12" w:space="0" w:color="auto"/>
            </w:tcBorders>
            <w:vAlign w:val="center"/>
          </w:tcPr>
          <w:p w14:paraId="5530AF58" w14:textId="77777777" w:rsidR="00A25962" w:rsidRPr="00E16277" w:rsidRDefault="00A25962" w:rsidP="000301D3">
            <w:pPr>
              <w:spacing w:after="0" w:line="240" w:lineRule="auto"/>
              <w:jc w:val="center"/>
              <w:rPr>
                <w:rFonts w:ascii="Arial Narrow" w:hAnsi="Arial Narrow"/>
                <w:b/>
              </w:rPr>
            </w:pPr>
            <w:r w:rsidRPr="00E16277">
              <w:rPr>
                <w:rFonts w:ascii="Arial Narrow" w:hAnsi="Arial Narrow"/>
                <w:b/>
              </w:rPr>
              <w:t>D5</w:t>
            </w:r>
          </w:p>
        </w:tc>
        <w:tc>
          <w:tcPr>
            <w:tcW w:w="1417" w:type="dxa"/>
            <w:tcBorders>
              <w:top w:val="single" w:sz="12" w:space="0" w:color="auto"/>
              <w:bottom w:val="single" w:sz="12" w:space="0" w:color="auto"/>
            </w:tcBorders>
            <w:vAlign w:val="center"/>
          </w:tcPr>
          <w:p w14:paraId="47C39BFC" w14:textId="77777777" w:rsidR="00A25962" w:rsidRPr="00E16277" w:rsidRDefault="00A25962" w:rsidP="000301D3">
            <w:pPr>
              <w:spacing w:after="0" w:line="240" w:lineRule="auto"/>
              <w:jc w:val="center"/>
              <w:rPr>
                <w:rFonts w:ascii="Arial Narrow" w:hAnsi="Arial Narrow"/>
                <w:b/>
              </w:rPr>
            </w:pPr>
            <w:r w:rsidRPr="00E16277">
              <w:rPr>
                <w:rFonts w:ascii="Arial Narrow" w:hAnsi="Arial Narrow"/>
                <w:b/>
              </w:rPr>
              <w:t>D6</w:t>
            </w:r>
          </w:p>
        </w:tc>
        <w:tc>
          <w:tcPr>
            <w:tcW w:w="1219" w:type="dxa"/>
            <w:tcBorders>
              <w:top w:val="single" w:sz="12" w:space="0" w:color="auto"/>
              <w:bottom w:val="single" w:sz="12" w:space="0" w:color="auto"/>
            </w:tcBorders>
            <w:shd w:val="clear" w:color="auto" w:fill="D9D9D9"/>
            <w:vAlign w:val="center"/>
          </w:tcPr>
          <w:p w14:paraId="3643FB4C" w14:textId="77777777" w:rsidR="00A25962" w:rsidRPr="00E16277" w:rsidRDefault="00A25962" w:rsidP="000301D3">
            <w:pPr>
              <w:spacing w:after="0" w:line="240" w:lineRule="auto"/>
              <w:jc w:val="center"/>
              <w:rPr>
                <w:rFonts w:ascii="Arial Narrow" w:hAnsi="Arial Narrow"/>
                <w:b/>
              </w:rPr>
            </w:pPr>
            <w:r w:rsidRPr="00E16277">
              <w:rPr>
                <w:rFonts w:ascii="Arial Narrow" w:hAnsi="Arial Narrow"/>
                <w:b/>
              </w:rPr>
              <w:t>D7</w:t>
            </w:r>
          </w:p>
        </w:tc>
        <w:tc>
          <w:tcPr>
            <w:tcW w:w="1389" w:type="dxa"/>
            <w:tcBorders>
              <w:top w:val="single" w:sz="12" w:space="0" w:color="auto"/>
              <w:bottom w:val="single" w:sz="12" w:space="0" w:color="auto"/>
            </w:tcBorders>
            <w:vAlign w:val="center"/>
          </w:tcPr>
          <w:p w14:paraId="690C69E6" w14:textId="77777777" w:rsidR="00A25962" w:rsidRPr="00E16277" w:rsidRDefault="00A25962" w:rsidP="000301D3">
            <w:pPr>
              <w:spacing w:after="0" w:line="240" w:lineRule="auto"/>
              <w:jc w:val="center"/>
              <w:rPr>
                <w:rFonts w:ascii="Arial Narrow" w:hAnsi="Arial Narrow"/>
                <w:b/>
              </w:rPr>
            </w:pPr>
            <w:r w:rsidRPr="00E16277">
              <w:rPr>
                <w:rFonts w:ascii="Arial Narrow" w:hAnsi="Arial Narrow"/>
                <w:b/>
              </w:rPr>
              <w:t>D8</w:t>
            </w:r>
          </w:p>
        </w:tc>
        <w:tc>
          <w:tcPr>
            <w:tcW w:w="1389" w:type="dxa"/>
            <w:tcBorders>
              <w:top w:val="single" w:sz="12" w:space="0" w:color="auto"/>
              <w:bottom w:val="single" w:sz="12" w:space="0" w:color="auto"/>
            </w:tcBorders>
            <w:vAlign w:val="center"/>
          </w:tcPr>
          <w:p w14:paraId="1C478DD9" w14:textId="77777777" w:rsidR="00A25962" w:rsidRPr="00E16277" w:rsidRDefault="00A25962" w:rsidP="000301D3">
            <w:pPr>
              <w:spacing w:after="0" w:line="240" w:lineRule="auto"/>
              <w:jc w:val="center"/>
              <w:rPr>
                <w:rFonts w:ascii="Arial Narrow" w:hAnsi="Arial Narrow"/>
                <w:b/>
              </w:rPr>
            </w:pPr>
            <w:r w:rsidRPr="00E16277">
              <w:rPr>
                <w:rFonts w:ascii="Arial Narrow" w:hAnsi="Arial Narrow"/>
                <w:b/>
              </w:rPr>
              <w:t>D9</w:t>
            </w:r>
          </w:p>
        </w:tc>
        <w:tc>
          <w:tcPr>
            <w:tcW w:w="1390" w:type="dxa"/>
            <w:tcBorders>
              <w:top w:val="single" w:sz="12" w:space="0" w:color="auto"/>
              <w:bottom w:val="single" w:sz="12" w:space="0" w:color="auto"/>
              <w:right w:val="single" w:sz="12" w:space="0" w:color="auto"/>
            </w:tcBorders>
            <w:vAlign w:val="center"/>
          </w:tcPr>
          <w:p w14:paraId="001989E3" w14:textId="77777777" w:rsidR="00A25962" w:rsidRPr="00E16277" w:rsidRDefault="00A25962" w:rsidP="000301D3">
            <w:pPr>
              <w:spacing w:after="0" w:line="240" w:lineRule="auto"/>
              <w:jc w:val="center"/>
              <w:rPr>
                <w:rFonts w:ascii="Arial Narrow" w:hAnsi="Arial Narrow"/>
                <w:b/>
              </w:rPr>
            </w:pPr>
            <w:r w:rsidRPr="00E16277">
              <w:rPr>
                <w:rFonts w:ascii="Arial Narrow" w:hAnsi="Arial Narrow"/>
                <w:b/>
              </w:rPr>
              <w:t>D10</w:t>
            </w:r>
          </w:p>
        </w:tc>
      </w:tr>
      <w:tr w:rsidR="00A25962" w:rsidRPr="00A60EE4" w14:paraId="6737AC46" w14:textId="77777777" w:rsidTr="000301D3">
        <w:trPr>
          <w:trHeight w:val="397"/>
        </w:trPr>
        <w:tc>
          <w:tcPr>
            <w:tcW w:w="1277" w:type="dxa"/>
            <w:tcBorders>
              <w:top w:val="single" w:sz="12" w:space="0" w:color="auto"/>
              <w:left w:val="single" w:sz="12" w:space="0" w:color="auto"/>
              <w:right w:val="single" w:sz="12" w:space="0" w:color="auto"/>
            </w:tcBorders>
            <w:vAlign w:val="center"/>
          </w:tcPr>
          <w:p w14:paraId="119E830B" w14:textId="77777777" w:rsidR="00A25962" w:rsidRPr="00A60EE4" w:rsidRDefault="00A25962" w:rsidP="000301D3">
            <w:pPr>
              <w:spacing w:after="0" w:line="240" w:lineRule="auto"/>
              <w:jc w:val="center"/>
              <w:rPr>
                <w:rFonts w:ascii="Arial Narrow" w:hAnsi="Arial Narrow"/>
                <w:b/>
              </w:rPr>
            </w:pPr>
            <w:r w:rsidRPr="00A60EE4">
              <w:rPr>
                <w:rFonts w:ascii="Arial Narrow" w:hAnsi="Arial Narrow"/>
                <w:b/>
              </w:rPr>
              <w:t>1</w:t>
            </w:r>
          </w:p>
        </w:tc>
        <w:tc>
          <w:tcPr>
            <w:tcW w:w="1389" w:type="dxa"/>
            <w:tcBorders>
              <w:top w:val="single" w:sz="12" w:space="0" w:color="auto"/>
              <w:left w:val="single" w:sz="12" w:space="0" w:color="auto"/>
            </w:tcBorders>
            <w:vAlign w:val="center"/>
          </w:tcPr>
          <w:p w14:paraId="0915FA5E" w14:textId="77777777" w:rsidR="00A25962" w:rsidRPr="00A60EE4" w:rsidRDefault="00A25962" w:rsidP="000301D3">
            <w:pPr>
              <w:spacing w:after="0" w:line="240" w:lineRule="auto"/>
              <w:jc w:val="center"/>
              <w:rPr>
                <w:rFonts w:ascii="Arial Narrow" w:hAnsi="Arial Narrow"/>
                <w:b/>
                <w:szCs w:val="20"/>
                <w:highlight w:val="cyan"/>
              </w:rPr>
            </w:pPr>
            <w:r w:rsidRPr="00A60EE4">
              <w:rPr>
                <w:rFonts w:ascii="Arial Narrow" w:hAnsi="Arial Narrow"/>
              </w:rPr>
              <w:sym w:font="Wingdings 2" w:char="F050"/>
            </w:r>
          </w:p>
        </w:tc>
        <w:tc>
          <w:tcPr>
            <w:tcW w:w="1389" w:type="dxa"/>
            <w:tcBorders>
              <w:top w:val="single" w:sz="12" w:space="0" w:color="auto"/>
            </w:tcBorders>
            <w:vAlign w:val="center"/>
          </w:tcPr>
          <w:p w14:paraId="2B32928F" w14:textId="77777777" w:rsidR="00A25962" w:rsidRPr="00A60EE4" w:rsidRDefault="00A25962" w:rsidP="000301D3">
            <w:pPr>
              <w:spacing w:after="0" w:line="240" w:lineRule="auto"/>
              <w:jc w:val="center"/>
              <w:rPr>
                <w:rFonts w:ascii="Arial Narrow" w:hAnsi="Arial Narrow"/>
                <w:b/>
                <w:szCs w:val="20"/>
                <w:highlight w:val="cyan"/>
              </w:rPr>
            </w:pPr>
            <w:r w:rsidRPr="00A60EE4">
              <w:rPr>
                <w:rFonts w:ascii="Arial Narrow" w:hAnsi="Arial Narrow"/>
              </w:rPr>
              <w:sym w:font="Wingdings 2" w:char="F050"/>
            </w:r>
          </w:p>
        </w:tc>
        <w:tc>
          <w:tcPr>
            <w:tcW w:w="1389" w:type="dxa"/>
            <w:tcBorders>
              <w:top w:val="single" w:sz="12" w:space="0" w:color="auto"/>
            </w:tcBorders>
            <w:vAlign w:val="center"/>
          </w:tcPr>
          <w:p w14:paraId="4E2D4A72" w14:textId="77777777" w:rsidR="00A25962" w:rsidRPr="00A60EE4" w:rsidRDefault="00A25962" w:rsidP="000301D3">
            <w:pPr>
              <w:spacing w:after="0" w:line="240" w:lineRule="auto"/>
              <w:jc w:val="center"/>
              <w:rPr>
                <w:rFonts w:ascii="Arial Narrow" w:hAnsi="Arial Narrow" w:cs="Kartika"/>
                <w:b/>
                <w:sz w:val="18"/>
                <w:szCs w:val="18"/>
              </w:rPr>
            </w:pPr>
            <w:r w:rsidRPr="00A60EE4">
              <w:rPr>
                <w:rFonts w:ascii="Arial Narrow" w:hAnsi="Arial Narrow"/>
              </w:rPr>
              <w:sym w:font="Wingdings 2" w:char="F050"/>
            </w:r>
          </w:p>
        </w:tc>
        <w:tc>
          <w:tcPr>
            <w:tcW w:w="1219" w:type="dxa"/>
            <w:tcBorders>
              <w:top w:val="single" w:sz="12" w:space="0" w:color="auto"/>
            </w:tcBorders>
            <w:shd w:val="clear" w:color="auto" w:fill="auto"/>
            <w:vAlign w:val="center"/>
          </w:tcPr>
          <w:p w14:paraId="3A8DD0BB" w14:textId="77777777" w:rsidR="00A25962" w:rsidRPr="00A60EE4" w:rsidRDefault="00A25962" w:rsidP="000301D3">
            <w:pPr>
              <w:spacing w:after="0" w:line="240" w:lineRule="auto"/>
              <w:jc w:val="center"/>
              <w:rPr>
                <w:rFonts w:ascii="Arial Narrow" w:hAnsi="Arial Narrow"/>
                <w:szCs w:val="20"/>
                <w:highlight w:val="cyan"/>
              </w:rPr>
            </w:pPr>
            <w:r w:rsidRPr="00A60EE4">
              <w:rPr>
                <w:rFonts w:ascii="Arial Narrow" w:hAnsi="Arial Narrow" w:cs="Kartika"/>
                <w:sz w:val="18"/>
                <w:szCs w:val="18"/>
              </w:rPr>
              <w:t>N/A</w:t>
            </w:r>
          </w:p>
        </w:tc>
        <w:tc>
          <w:tcPr>
            <w:tcW w:w="1701" w:type="dxa"/>
            <w:tcBorders>
              <w:top w:val="single" w:sz="12" w:space="0" w:color="auto"/>
            </w:tcBorders>
            <w:vAlign w:val="center"/>
          </w:tcPr>
          <w:p w14:paraId="6D8D5D30" w14:textId="77777777" w:rsidR="00A25962" w:rsidRPr="00A60EE4" w:rsidRDefault="00A25962" w:rsidP="000301D3">
            <w:pPr>
              <w:spacing w:after="0" w:line="240" w:lineRule="auto"/>
              <w:jc w:val="center"/>
              <w:rPr>
                <w:rFonts w:ascii="Arial Narrow" w:hAnsi="Arial Narrow"/>
                <w:b/>
              </w:rPr>
            </w:pPr>
            <w:r w:rsidRPr="00A60EE4">
              <w:rPr>
                <w:rFonts w:ascii="Arial Narrow" w:hAnsi="Arial Narrow"/>
              </w:rPr>
              <w:sym w:font="Wingdings 2" w:char="F050"/>
            </w:r>
          </w:p>
        </w:tc>
        <w:tc>
          <w:tcPr>
            <w:tcW w:w="1417" w:type="dxa"/>
            <w:tcBorders>
              <w:top w:val="single" w:sz="12" w:space="0" w:color="auto"/>
            </w:tcBorders>
            <w:vAlign w:val="center"/>
          </w:tcPr>
          <w:p w14:paraId="633CF0AC" w14:textId="77777777" w:rsidR="00A25962" w:rsidRPr="00A60EE4" w:rsidRDefault="00A25962" w:rsidP="000301D3">
            <w:pPr>
              <w:spacing w:after="0" w:line="240" w:lineRule="auto"/>
              <w:jc w:val="center"/>
              <w:rPr>
                <w:rFonts w:ascii="Arial Narrow" w:hAnsi="Arial Narrow"/>
                <w:szCs w:val="20"/>
                <w:highlight w:val="cyan"/>
              </w:rPr>
            </w:pPr>
            <w:r w:rsidRPr="00A60EE4">
              <w:rPr>
                <w:rFonts w:ascii="Arial Narrow" w:hAnsi="Arial Narrow"/>
              </w:rPr>
              <w:sym w:font="Wingdings 2" w:char="F050"/>
            </w:r>
          </w:p>
        </w:tc>
        <w:tc>
          <w:tcPr>
            <w:tcW w:w="1219" w:type="dxa"/>
            <w:tcBorders>
              <w:top w:val="single" w:sz="12" w:space="0" w:color="auto"/>
            </w:tcBorders>
            <w:shd w:val="clear" w:color="auto" w:fill="D9D9D9"/>
            <w:vAlign w:val="center"/>
          </w:tcPr>
          <w:p w14:paraId="33E9E874" w14:textId="77777777" w:rsidR="00A25962" w:rsidRPr="00A60EE4" w:rsidRDefault="00A25962" w:rsidP="000301D3">
            <w:pPr>
              <w:spacing w:after="0" w:line="240" w:lineRule="auto"/>
              <w:jc w:val="center"/>
              <w:rPr>
                <w:rFonts w:ascii="Arial Narrow" w:hAnsi="Arial Narrow"/>
                <w:szCs w:val="20"/>
                <w:highlight w:val="cyan"/>
              </w:rPr>
            </w:pPr>
          </w:p>
        </w:tc>
        <w:tc>
          <w:tcPr>
            <w:tcW w:w="1389" w:type="dxa"/>
            <w:tcBorders>
              <w:top w:val="single" w:sz="12" w:space="0" w:color="auto"/>
            </w:tcBorders>
            <w:vAlign w:val="center"/>
          </w:tcPr>
          <w:p w14:paraId="2F87682F" w14:textId="77777777" w:rsidR="00A25962" w:rsidRPr="00A60EE4" w:rsidRDefault="00A25962" w:rsidP="000301D3">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tcBorders>
              <w:top w:val="single" w:sz="12" w:space="0" w:color="auto"/>
            </w:tcBorders>
            <w:vAlign w:val="center"/>
          </w:tcPr>
          <w:p w14:paraId="78B495D5" w14:textId="77777777" w:rsidR="00A25962" w:rsidRPr="00A60EE4" w:rsidRDefault="00A25962" w:rsidP="000301D3">
            <w:pPr>
              <w:spacing w:after="0" w:line="240" w:lineRule="auto"/>
              <w:jc w:val="center"/>
              <w:rPr>
                <w:rFonts w:ascii="Arial Narrow" w:hAnsi="Arial Narrow"/>
              </w:rPr>
            </w:pPr>
            <w:r w:rsidRPr="00A60EE4">
              <w:rPr>
                <w:rFonts w:ascii="Arial Narrow" w:hAnsi="Arial Narrow"/>
              </w:rPr>
              <w:sym w:font="Wingdings 2" w:char="F050"/>
            </w:r>
          </w:p>
        </w:tc>
        <w:tc>
          <w:tcPr>
            <w:tcW w:w="1390" w:type="dxa"/>
            <w:tcBorders>
              <w:top w:val="single" w:sz="12" w:space="0" w:color="auto"/>
              <w:right w:val="single" w:sz="12" w:space="0" w:color="auto"/>
            </w:tcBorders>
            <w:vAlign w:val="center"/>
          </w:tcPr>
          <w:p w14:paraId="42E50683" w14:textId="77777777" w:rsidR="00A25962" w:rsidRPr="00A60EE4" w:rsidRDefault="00A25962" w:rsidP="000301D3">
            <w:pPr>
              <w:spacing w:after="0" w:line="240" w:lineRule="auto"/>
              <w:jc w:val="center"/>
              <w:rPr>
                <w:rFonts w:ascii="Arial Narrow" w:hAnsi="Arial Narrow"/>
                <w:szCs w:val="20"/>
                <w:highlight w:val="cyan"/>
              </w:rPr>
            </w:pPr>
            <w:r w:rsidRPr="00A60EE4">
              <w:rPr>
                <w:rFonts w:ascii="Arial Narrow" w:hAnsi="Arial Narrow"/>
              </w:rPr>
              <w:sym w:font="Wingdings 2" w:char="F050"/>
            </w:r>
          </w:p>
        </w:tc>
      </w:tr>
      <w:tr w:rsidR="00A25962" w:rsidRPr="00C328C4" w14:paraId="6B178CCA" w14:textId="77777777" w:rsidTr="000301D3">
        <w:trPr>
          <w:trHeight w:val="397"/>
        </w:trPr>
        <w:tc>
          <w:tcPr>
            <w:tcW w:w="1277" w:type="dxa"/>
            <w:tcBorders>
              <w:left w:val="single" w:sz="12" w:space="0" w:color="auto"/>
              <w:right w:val="single" w:sz="12" w:space="0" w:color="auto"/>
            </w:tcBorders>
            <w:vAlign w:val="center"/>
          </w:tcPr>
          <w:p w14:paraId="5DD8EDB8" w14:textId="77777777" w:rsidR="00A25962" w:rsidRPr="00C328C4" w:rsidRDefault="00A25962" w:rsidP="000301D3">
            <w:pPr>
              <w:spacing w:after="0" w:line="240" w:lineRule="auto"/>
              <w:jc w:val="center"/>
              <w:rPr>
                <w:rFonts w:ascii="Arial Narrow" w:hAnsi="Arial Narrow"/>
                <w:b/>
              </w:rPr>
            </w:pPr>
            <w:r w:rsidRPr="00C328C4">
              <w:rPr>
                <w:rFonts w:ascii="Arial Narrow" w:hAnsi="Arial Narrow"/>
                <w:b/>
              </w:rPr>
              <w:t>2</w:t>
            </w:r>
          </w:p>
        </w:tc>
        <w:tc>
          <w:tcPr>
            <w:tcW w:w="1389" w:type="dxa"/>
            <w:tcBorders>
              <w:left w:val="single" w:sz="12" w:space="0" w:color="auto"/>
            </w:tcBorders>
            <w:vAlign w:val="center"/>
          </w:tcPr>
          <w:p w14:paraId="66248216"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p w14:paraId="219F6275" w14:textId="3776DDDB" w:rsidR="00A25962" w:rsidRPr="00C328C4" w:rsidRDefault="00A25962" w:rsidP="001877FE">
            <w:pPr>
              <w:spacing w:after="0" w:line="240" w:lineRule="auto"/>
              <w:jc w:val="center"/>
              <w:rPr>
                <w:rFonts w:ascii="Arial Narrow" w:hAnsi="Arial Narrow" w:cs="Kartika"/>
                <w:b/>
                <w:sz w:val="18"/>
                <w:szCs w:val="18"/>
              </w:rPr>
            </w:pPr>
            <w:r w:rsidRPr="00C328C4">
              <w:rPr>
                <w:rFonts w:ascii="Arial Narrow" w:hAnsi="Arial Narrow" w:cs="Kartika"/>
                <w:sz w:val="18"/>
                <w:szCs w:val="18"/>
              </w:rPr>
              <w:t>1 (</w:t>
            </w:r>
            <w:r w:rsidR="001877FE">
              <w:rPr>
                <w:rFonts w:ascii="Arial Narrow" w:hAnsi="Arial Narrow" w:cs="Kartika"/>
                <w:sz w:val="18"/>
                <w:szCs w:val="18"/>
              </w:rPr>
              <w:t>f</w:t>
            </w:r>
            <w:r w:rsidRPr="00C328C4">
              <w:rPr>
                <w:rFonts w:ascii="Arial Narrow" w:hAnsi="Arial Narrow" w:cs="Kartika"/>
                <w:sz w:val="18"/>
                <w:szCs w:val="18"/>
              </w:rPr>
              <w:t>), (</w:t>
            </w:r>
            <w:r w:rsidR="001877FE">
              <w:rPr>
                <w:rFonts w:ascii="Arial Narrow" w:hAnsi="Arial Narrow" w:cs="Kartika"/>
                <w:sz w:val="18"/>
                <w:szCs w:val="18"/>
              </w:rPr>
              <w:t>g</w:t>
            </w:r>
            <w:r w:rsidRPr="00C328C4">
              <w:rPr>
                <w:rFonts w:ascii="Arial Narrow" w:hAnsi="Arial Narrow" w:cs="Kartika"/>
                <w:sz w:val="18"/>
                <w:szCs w:val="18"/>
              </w:rPr>
              <w:t>, (</w:t>
            </w:r>
            <w:r w:rsidR="001877FE">
              <w:rPr>
                <w:rFonts w:ascii="Arial Narrow" w:hAnsi="Arial Narrow" w:cs="Kartika"/>
                <w:sz w:val="18"/>
                <w:szCs w:val="18"/>
              </w:rPr>
              <w:t>i</w:t>
            </w:r>
            <w:r w:rsidRPr="00C328C4">
              <w:rPr>
                <w:rFonts w:ascii="Arial Narrow" w:hAnsi="Arial Narrow" w:cs="Kartika"/>
                <w:sz w:val="18"/>
                <w:szCs w:val="18"/>
              </w:rPr>
              <w:t>)</w:t>
            </w:r>
          </w:p>
        </w:tc>
        <w:tc>
          <w:tcPr>
            <w:tcW w:w="1389" w:type="dxa"/>
            <w:vAlign w:val="center"/>
          </w:tcPr>
          <w:p w14:paraId="7A90DB85" w14:textId="77777777" w:rsidR="00A25962" w:rsidRPr="00C328C4" w:rsidRDefault="00A25962" w:rsidP="000301D3">
            <w:pPr>
              <w:spacing w:after="0" w:line="240" w:lineRule="auto"/>
              <w:jc w:val="center"/>
              <w:rPr>
                <w:rFonts w:ascii="Arial Narrow" w:hAnsi="Arial Narrow"/>
                <w:b/>
                <w:szCs w:val="20"/>
              </w:rPr>
            </w:pPr>
            <w:r w:rsidRPr="00C328C4">
              <w:rPr>
                <w:rFonts w:ascii="Arial Narrow" w:hAnsi="Arial Narrow"/>
              </w:rPr>
              <w:sym w:font="Wingdings 2" w:char="F050"/>
            </w:r>
          </w:p>
        </w:tc>
        <w:tc>
          <w:tcPr>
            <w:tcW w:w="1389" w:type="dxa"/>
            <w:vAlign w:val="center"/>
          </w:tcPr>
          <w:p w14:paraId="2242864A"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p w14:paraId="6D2679DB" w14:textId="2373519D" w:rsidR="00A25962" w:rsidRPr="00C328C4" w:rsidRDefault="00A25962" w:rsidP="00887DD4">
            <w:pPr>
              <w:spacing w:after="0" w:line="240" w:lineRule="auto"/>
              <w:jc w:val="center"/>
              <w:rPr>
                <w:rFonts w:ascii="Arial Narrow" w:hAnsi="Arial Narrow" w:cs="Kartika"/>
                <w:b/>
                <w:sz w:val="18"/>
                <w:szCs w:val="18"/>
              </w:rPr>
            </w:pPr>
            <w:r w:rsidRPr="00C328C4">
              <w:rPr>
                <w:rFonts w:ascii="Arial Narrow" w:hAnsi="Arial Narrow" w:cs="Kartika"/>
                <w:sz w:val="18"/>
                <w:szCs w:val="18"/>
              </w:rPr>
              <w:t>1 (</w:t>
            </w:r>
            <w:r w:rsidR="00887DD4">
              <w:rPr>
                <w:rFonts w:ascii="Arial Narrow" w:hAnsi="Arial Narrow" w:cs="Kartika"/>
                <w:sz w:val="18"/>
                <w:szCs w:val="18"/>
              </w:rPr>
              <w:t>b</w:t>
            </w:r>
            <w:r w:rsidRPr="00C328C4">
              <w:rPr>
                <w:rFonts w:ascii="Arial Narrow" w:hAnsi="Arial Narrow" w:cs="Kartika"/>
                <w:sz w:val="18"/>
                <w:szCs w:val="18"/>
              </w:rPr>
              <w:t>-(</w:t>
            </w:r>
            <w:r w:rsidR="00887DD4">
              <w:rPr>
                <w:rFonts w:ascii="Arial Narrow" w:hAnsi="Arial Narrow" w:cs="Kartika"/>
                <w:sz w:val="18"/>
                <w:szCs w:val="18"/>
              </w:rPr>
              <w:t>g</w:t>
            </w:r>
            <w:r w:rsidRPr="00C328C4">
              <w:rPr>
                <w:rFonts w:ascii="Arial Narrow" w:hAnsi="Arial Narrow" w:cs="Kartika"/>
                <w:sz w:val="18"/>
                <w:szCs w:val="18"/>
              </w:rPr>
              <w:t>), (</w:t>
            </w:r>
            <w:r w:rsidR="00887DD4">
              <w:rPr>
                <w:rFonts w:ascii="Arial Narrow" w:hAnsi="Arial Narrow" w:cs="Kartika"/>
                <w:sz w:val="18"/>
                <w:szCs w:val="18"/>
              </w:rPr>
              <w:t>i</w:t>
            </w:r>
            <w:r w:rsidRPr="00C328C4">
              <w:rPr>
                <w:rFonts w:ascii="Arial Narrow" w:hAnsi="Arial Narrow" w:cs="Kartika"/>
                <w:sz w:val="18"/>
                <w:szCs w:val="18"/>
              </w:rPr>
              <w:t>)</w:t>
            </w:r>
          </w:p>
        </w:tc>
        <w:tc>
          <w:tcPr>
            <w:tcW w:w="1219" w:type="dxa"/>
            <w:shd w:val="clear" w:color="auto" w:fill="auto"/>
            <w:vAlign w:val="center"/>
          </w:tcPr>
          <w:p w14:paraId="781DB081" w14:textId="77777777" w:rsidR="00A25962" w:rsidRPr="00C328C4" w:rsidRDefault="00A25962" w:rsidP="000301D3">
            <w:pPr>
              <w:spacing w:after="0" w:line="240" w:lineRule="auto"/>
              <w:jc w:val="center"/>
              <w:rPr>
                <w:rFonts w:ascii="Arial Narrow" w:hAnsi="Arial Narrow"/>
                <w:szCs w:val="20"/>
              </w:rPr>
            </w:pPr>
            <w:r w:rsidRPr="00C328C4">
              <w:rPr>
                <w:rFonts w:ascii="Arial Narrow" w:hAnsi="Arial Narrow" w:cs="Kartika"/>
                <w:sz w:val="18"/>
                <w:szCs w:val="18"/>
              </w:rPr>
              <w:t>N/A</w:t>
            </w:r>
          </w:p>
        </w:tc>
        <w:tc>
          <w:tcPr>
            <w:tcW w:w="1701" w:type="dxa"/>
            <w:vAlign w:val="center"/>
          </w:tcPr>
          <w:p w14:paraId="26093EEC"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p w14:paraId="4BBFB987" w14:textId="13EC81B7" w:rsidR="00A25962" w:rsidRPr="00C328C4" w:rsidRDefault="00A25962" w:rsidP="00887DD4">
            <w:pPr>
              <w:spacing w:after="0" w:line="240" w:lineRule="auto"/>
              <w:jc w:val="center"/>
              <w:rPr>
                <w:rFonts w:ascii="Arial Narrow" w:hAnsi="Arial Narrow" w:cs="Kartika"/>
                <w:b/>
                <w:sz w:val="18"/>
                <w:szCs w:val="18"/>
              </w:rPr>
            </w:pPr>
            <w:r w:rsidRPr="00C328C4">
              <w:rPr>
                <w:rFonts w:ascii="Arial Narrow" w:hAnsi="Arial Narrow" w:cs="Kartika"/>
                <w:sz w:val="18"/>
                <w:szCs w:val="18"/>
              </w:rPr>
              <w:t>1 (</w:t>
            </w:r>
            <w:r w:rsidR="00887DD4">
              <w:rPr>
                <w:rFonts w:ascii="Arial Narrow" w:hAnsi="Arial Narrow" w:cs="Kartika"/>
                <w:sz w:val="18"/>
                <w:szCs w:val="18"/>
              </w:rPr>
              <w:t>b</w:t>
            </w:r>
            <w:r w:rsidRPr="00C328C4">
              <w:rPr>
                <w:rFonts w:ascii="Arial Narrow" w:hAnsi="Arial Narrow" w:cs="Kartika"/>
                <w:sz w:val="18"/>
                <w:szCs w:val="18"/>
              </w:rPr>
              <w:t>), (</w:t>
            </w:r>
            <w:r w:rsidR="00887DD4">
              <w:rPr>
                <w:rFonts w:ascii="Arial Narrow" w:hAnsi="Arial Narrow" w:cs="Kartika"/>
                <w:sz w:val="18"/>
                <w:szCs w:val="18"/>
              </w:rPr>
              <w:t>c</w:t>
            </w:r>
            <w:r w:rsidRPr="00C328C4">
              <w:rPr>
                <w:rFonts w:ascii="Arial Narrow" w:hAnsi="Arial Narrow" w:cs="Kartika"/>
                <w:sz w:val="18"/>
                <w:szCs w:val="18"/>
              </w:rPr>
              <w:t>), (</w:t>
            </w:r>
            <w:r w:rsidR="00887DD4">
              <w:rPr>
                <w:rFonts w:ascii="Arial Narrow" w:hAnsi="Arial Narrow" w:cs="Kartika"/>
                <w:sz w:val="18"/>
                <w:szCs w:val="18"/>
              </w:rPr>
              <w:t>f</w:t>
            </w:r>
            <w:r w:rsidRPr="00C328C4">
              <w:rPr>
                <w:rFonts w:ascii="Arial Narrow" w:hAnsi="Arial Narrow" w:cs="Kartika"/>
                <w:sz w:val="18"/>
                <w:szCs w:val="18"/>
              </w:rPr>
              <w:t>), (</w:t>
            </w:r>
            <w:r w:rsidR="00887DD4">
              <w:rPr>
                <w:rFonts w:ascii="Arial Narrow" w:hAnsi="Arial Narrow" w:cs="Kartika"/>
                <w:sz w:val="18"/>
                <w:szCs w:val="18"/>
              </w:rPr>
              <w:t>g</w:t>
            </w:r>
            <w:r w:rsidRPr="00C328C4">
              <w:rPr>
                <w:rFonts w:ascii="Arial Narrow" w:hAnsi="Arial Narrow" w:cs="Kartika"/>
                <w:sz w:val="18"/>
                <w:szCs w:val="18"/>
              </w:rPr>
              <w:t>)</w:t>
            </w:r>
          </w:p>
        </w:tc>
        <w:tc>
          <w:tcPr>
            <w:tcW w:w="1417" w:type="dxa"/>
            <w:vAlign w:val="center"/>
          </w:tcPr>
          <w:p w14:paraId="153D4910" w14:textId="77777777" w:rsidR="00A25962" w:rsidRPr="00C328C4" w:rsidRDefault="00A25962" w:rsidP="000301D3">
            <w:pPr>
              <w:spacing w:after="0" w:line="240" w:lineRule="auto"/>
              <w:jc w:val="center"/>
              <w:rPr>
                <w:rFonts w:ascii="Arial Narrow" w:hAnsi="Arial Narrow"/>
                <w:szCs w:val="20"/>
              </w:rPr>
            </w:pPr>
            <w:r w:rsidRPr="00C328C4">
              <w:rPr>
                <w:rFonts w:ascii="Arial Narrow" w:hAnsi="Arial Narrow"/>
              </w:rPr>
              <w:sym w:font="Wingdings 2" w:char="F050"/>
            </w:r>
          </w:p>
        </w:tc>
        <w:tc>
          <w:tcPr>
            <w:tcW w:w="1219" w:type="dxa"/>
            <w:shd w:val="clear" w:color="auto" w:fill="D9D9D9"/>
            <w:vAlign w:val="center"/>
          </w:tcPr>
          <w:p w14:paraId="6B289632" w14:textId="77777777" w:rsidR="00A25962" w:rsidRPr="00C328C4" w:rsidRDefault="00A25962" w:rsidP="000301D3">
            <w:pPr>
              <w:spacing w:after="0" w:line="240" w:lineRule="auto"/>
              <w:jc w:val="center"/>
              <w:rPr>
                <w:rFonts w:ascii="Arial Narrow" w:hAnsi="Arial Narrow"/>
                <w:szCs w:val="20"/>
              </w:rPr>
            </w:pPr>
          </w:p>
        </w:tc>
        <w:tc>
          <w:tcPr>
            <w:tcW w:w="1389" w:type="dxa"/>
            <w:vAlign w:val="center"/>
          </w:tcPr>
          <w:p w14:paraId="0F16DC86"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389" w:type="dxa"/>
            <w:vAlign w:val="center"/>
          </w:tcPr>
          <w:p w14:paraId="7B16CAC8" w14:textId="77777777" w:rsidR="00A25962" w:rsidRPr="00C328C4" w:rsidRDefault="00A25962" w:rsidP="000301D3">
            <w:pPr>
              <w:spacing w:after="0" w:line="240" w:lineRule="auto"/>
              <w:jc w:val="center"/>
              <w:rPr>
                <w:rFonts w:ascii="Arial Narrow" w:hAnsi="Arial Narrow" w:cs="Kartika"/>
                <w:sz w:val="18"/>
                <w:szCs w:val="18"/>
              </w:rPr>
            </w:pPr>
            <w:r w:rsidRPr="00C328C4">
              <w:rPr>
                <w:rFonts w:ascii="Arial Narrow" w:hAnsi="Arial Narrow" w:cs="Kartika"/>
                <w:sz w:val="18"/>
                <w:szCs w:val="18"/>
              </w:rPr>
              <w:t>N/A:</w:t>
            </w:r>
          </w:p>
          <w:p w14:paraId="346E4D26" w14:textId="6DDF8291" w:rsidR="00A25962" w:rsidRPr="00C328C4" w:rsidRDefault="00A25962" w:rsidP="00887DD4">
            <w:pPr>
              <w:spacing w:after="0" w:line="240" w:lineRule="auto"/>
              <w:jc w:val="center"/>
              <w:rPr>
                <w:rFonts w:ascii="Arial Narrow" w:hAnsi="Arial Narrow"/>
              </w:rPr>
            </w:pPr>
            <w:r w:rsidRPr="00C328C4">
              <w:rPr>
                <w:rFonts w:ascii="Arial Narrow" w:hAnsi="Arial Narrow" w:cs="Kartika"/>
                <w:sz w:val="18"/>
                <w:szCs w:val="18"/>
              </w:rPr>
              <w:t>1(</w:t>
            </w:r>
            <w:r w:rsidR="00887DD4">
              <w:rPr>
                <w:rFonts w:ascii="Arial Narrow" w:hAnsi="Arial Narrow" w:cs="Kartika"/>
                <w:sz w:val="18"/>
                <w:szCs w:val="18"/>
              </w:rPr>
              <w:t>b</w:t>
            </w:r>
            <w:r w:rsidRPr="00C328C4">
              <w:rPr>
                <w:rFonts w:ascii="Arial Narrow" w:hAnsi="Arial Narrow" w:cs="Kartika"/>
                <w:sz w:val="18"/>
                <w:szCs w:val="18"/>
              </w:rPr>
              <w:t>), (</w:t>
            </w:r>
            <w:r w:rsidR="00887DD4">
              <w:rPr>
                <w:rFonts w:ascii="Arial Narrow" w:hAnsi="Arial Narrow" w:cs="Kartika"/>
                <w:sz w:val="18"/>
                <w:szCs w:val="18"/>
              </w:rPr>
              <w:t>d</w:t>
            </w:r>
            <w:r w:rsidRPr="00C328C4">
              <w:rPr>
                <w:rFonts w:ascii="Arial Narrow" w:hAnsi="Arial Narrow" w:cs="Kartika"/>
                <w:sz w:val="18"/>
                <w:szCs w:val="18"/>
              </w:rPr>
              <w:t>), (e), (f), (h)</w:t>
            </w:r>
          </w:p>
        </w:tc>
        <w:tc>
          <w:tcPr>
            <w:tcW w:w="1390" w:type="dxa"/>
            <w:tcBorders>
              <w:right w:val="single" w:sz="12" w:space="0" w:color="auto"/>
            </w:tcBorders>
            <w:vAlign w:val="center"/>
          </w:tcPr>
          <w:p w14:paraId="06927344"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p w14:paraId="3B5C9D9E"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cs="Kartika"/>
                <w:sz w:val="18"/>
                <w:szCs w:val="18"/>
              </w:rPr>
              <w:t>1 (e), (f), (h)</w:t>
            </w:r>
          </w:p>
        </w:tc>
      </w:tr>
      <w:tr w:rsidR="00A25962" w:rsidRPr="00C328C4" w14:paraId="41A54A04" w14:textId="77777777" w:rsidTr="000301D3">
        <w:trPr>
          <w:trHeight w:val="397"/>
        </w:trPr>
        <w:tc>
          <w:tcPr>
            <w:tcW w:w="1277" w:type="dxa"/>
            <w:tcBorders>
              <w:left w:val="single" w:sz="12" w:space="0" w:color="auto"/>
              <w:right w:val="single" w:sz="12" w:space="0" w:color="auto"/>
            </w:tcBorders>
            <w:vAlign w:val="center"/>
          </w:tcPr>
          <w:p w14:paraId="01810BC9" w14:textId="77777777" w:rsidR="00A25962" w:rsidRPr="00C328C4" w:rsidRDefault="00A25962" w:rsidP="000301D3">
            <w:pPr>
              <w:spacing w:after="0" w:line="240" w:lineRule="auto"/>
              <w:jc w:val="center"/>
              <w:rPr>
                <w:rFonts w:ascii="Arial Narrow" w:hAnsi="Arial Narrow"/>
                <w:b/>
              </w:rPr>
            </w:pPr>
            <w:r w:rsidRPr="00C328C4">
              <w:rPr>
                <w:rFonts w:ascii="Arial Narrow" w:hAnsi="Arial Narrow"/>
                <w:b/>
              </w:rPr>
              <w:t>3</w:t>
            </w:r>
          </w:p>
        </w:tc>
        <w:tc>
          <w:tcPr>
            <w:tcW w:w="1389" w:type="dxa"/>
            <w:tcBorders>
              <w:left w:val="single" w:sz="12" w:space="0" w:color="auto"/>
            </w:tcBorders>
            <w:vAlign w:val="center"/>
          </w:tcPr>
          <w:p w14:paraId="4EADCECC" w14:textId="639A3096" w:rsidR="00A25962" w:rsidRPr="00C328C4" w:rsidRDefault="00A25962" w:rsidP="00112A74">
            <w:pPr>
              <w:spacing w:after="0" w:line="240" w:lineRule="auto"/>
              <w:jc w:val="center"/>
              <w:rPr>
                <w:rFonts w:ascii="Arial Narrow" w:hAnsi="Arial Narrow"/>
                <w:b/>
                <w:szCs w:val="20"/>
              </w:rPr>
            </w:pPr>
            <w:r w:rsidRPr="00C328C4">
              <w:rPr>
                <w:rFonts w:ascii="Arial Narrow" w:hAnsi="Arial Narrow"/>
                <w:sz w:val="18"/>
                <w:szCs w:val="18"/>
              </w:rPr>
              <w:t>N/A: 3</w:t>
            </w:r>
            <w:r w:rsidR="001877FE">
              <w:rPr>
                <w:rFonts w:ascii="Arial Narrow" w:hAnsi="Arial Narrow"/>
                <w:sz w:val="18"/>
                <w:szCs w:val="18"/>
              </w:rPr>
              <w:t>n</w:t>
            </w:r>
          </w:p>
        </w:tc>
        <w:tc>
          <w:tcPr>
            <w:tcW w:w="1389" w:type="dxa"/>
            <w:vAlign w:val="center"/>
          </w:tcPr>
          <w:p w14:paraId="7CE34B76" w14:textId="77777777" w:rsidR="00A25962" w:rsidRPr="00C328C4" w:rsidRDefault="00A25962" w:rsidP="000301D3">
            <w:pPr>
              <w:spacing w:after="0" w:line="240" w:lineRule="auto"/>
              <w:jc w:val="center"/>
              <w:rPr>
                <w:rFonts w:ascii="Arial Narrow" w:hAnsi="Arial Narrow"/>
                <w:b/>
                <w:szCs w:val="20"/>
              </w:rPr>
            </w:pPr>
            <w:r w:rsidRPr="00C328C4">
              <w:rPr>
                <w:rFonts w:ascii="Arial Narrow" w:hAnsi="Arial Narrow"/>
              </w:rPr>
              <w:sym w:font="Wingdings 2" w:char="F050"/>
            </w:r>
          </w:p>
        </w:tc>
        <w:tc>
          <w:tcPr>
            <w:tcW w:w="1389" w:type="dxa"/>
            <w:vAlign w:val="center"/>
          </w:tcPr>
          <w:p w14:paraId="36D2F3FD"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p w14:paraId="55E70FFE" w14:textId="1CBCC287" w:rsidR="00A25962" w:rsidRPr="00C328C4" w:rsidRDefault="00AF4DBC" w:rsidP="00AF4DBC">
            <w:pPr>
              <w:spacing w:after="0" w:line="240" w:lineRule="auto"/>
              <w:jc w:val="center"/>
              <w:rPr>
                <w:rFonts w:ascii="Arial Narrow" w:hAnsi="Arial Narrow" w:cs="Kartika"/>
                <w:b/>
                <w:sz w:val="18"/>
                <w:szCs w:val="18"/>
              </w:rPr>
            </w:pPr>
            <w:r>
              <w:rPr>
                <w:rFonts w:ascii="Arial Narrow" w:hAnsi="Arial Narrow" w:cs="Kartika"/>
                <w:sz w:val="18"/>
                <w:szCs w:val="18"/>
              </w:rPr>
              <w:t>3</w:t>
            </w:r>
            <w:r w:rsidRPr="00C328C4">
              <w:rPr>
                <w:rFonts w:ascii="Arial Narrow" w:hAnsi="Arial Narrow" w:cs="Kartika"/>
                <w:sz w:val="18"/>
                <w:szCs w:val="18"/>
              </w:rPr>
              <w:t xml:space="preserve"> </w:t>
            </w:r>
            <w:r w:rsidR="00A25962" w:rsidRPr="00C328C4">
              <w:rPr>
                <w:rFonts w:ascii="Arial Narrow" w:hAnsi="Arial Narrow" w:cs="Kartika"/>
                <w:sz w:val="18"/>
                <w:szCs w:val="18"/>
              </w:rPr>
              <w:t>(</w:t>
            </w:r>
            <w:r>
              <w:rPr>
                <w:rFonts w:ascii="Arial Narrow" w:hAnsi="Arial Narrow" w:cs="Kartika"/>
                <w:sz w:val="18"/>
                <w:szCs w:val="18"/>
              </w:rPr>
              <w:t>b</w:t>
            </w:r>
            <w:r w:rsidR="00A25962" w:rsidRPr="00C328C4">
              <w:rPr>
                <w:rFonts w:ascii="Arial Narrow" w:hAnsi="Arial Narrow" w:cs="Kartika"/>
                <w:sz w:val="18"/>
                <w:szCs w:val="18"/>
              </w:rPr>
              <w:t>)-(</w:t>
            </w:r>
            <w:r>
              <w:rPr>
                <w:rFonts w:ascii="Arial Narrow" w:hAnsi="Arial Narrow" w:cs="Kartika"/>
                <w:sz w:val="18"/>
                <w:szCs w:val="18"/>
              </w:rPr>
              <w:t>e</w:t>
            </w:r>
            <w:r w:rsidR="00A25962" w:rsidRPr="00C328C4">
              <w:rPr>
                <w:rFonts w:ascii="Arial Narrow" w:hAnsi="Arial Narrow" w:cs="Kartika"/>
                <w:sz w:val="18"/>
                <w:szCs w:val="18"/>
              </w:rPr>
              <w:t>), (</w:t>
            </w:r>
            <w:r>
              <w:rPr>
                <w:rFonts w:ascii="Arial Narrow" w:hAnsi="Arial Narrow" w:cs="Kartika"/>
                <w:sz w:val="18"/>
                <w:szCs w:val="18"/>
              </w:rPr>
              <w:t>g</w:t>
            </w:r>
            <w:r w:rsidR="00A25962" w:rsidRPr="00C328C4">
              <w:rPr>
                <w:rFonts w:ascii="Arial Narrow" w:hAnsi="Arial Narrow" w:cs="Kartika"/>
                <w:sz w:val="18"/>
                <w:szCs w:val="18"/>
              </w:rPr>
              <w:t>), (</w:t>
            </w:r>
            <w:r>
              <w:rPr>
                <w:rFonts w:ascii="Arial Narrow" w:hAnsi="Arial Narrow" w:cs="Kartika"/>
                <w:sz w:val="18"/>
                <w:szCs w:val="18"/>
              </w:rPr>
              <w:t>i</w:t>
            </w:r>
            <w:r w:rsidR="00A25962" w:rsidRPr="00C328C4">
              <w:rPr>
                <w:rFonts w:ascii="Arial Narrow" w:hAnsi="Arial Narrow" w:cs="Kartika"/>
                <w:sz w:val="18"/>
                <w:szCs w:val="18"/>
              </w:rPr>
              <w:t>)</w:t>
            </w:r>
            <w:r w:rsidR="00A25962">
              <w:rPr>
                <w:rFonts w:ascii="Arial Narrow" w:hAnsi="Arial Narrow" w:cs="Kartika"/>
                <w:sz w:val="18"/>
                <w:szCs w:val="18"/>
              </w:rPr>
              <w:t>-</w:t>
            </w:r>
            <w:r w:rsidR="00A25962" w:rsidRPr="00C328C4">
              <w:rPr>
                <w:rFonts w:ascii="Arial Narrow" w:hAnsi="Arial Narrow" w:cs="Kartika"/>
                <w:sz w:val="18"/>
                <w:szCs w:val="18"/>
              </w:rPr>
              <w:t>(</w:t>
            </w:r>
            <w:r>
              <w:rPr>
                <w:rFonts w:ascii="Arial Narrow" w:hAnsi="Arial Narrow" w:cs="Kartika"/>
                <w:sz w:val="18"/>
                <w:szCs w:val="18"/>
              </w:rPr>
              <w:t>j</w:t>
            </w:r>
            <w:r w:rsidR="00A25962" w:rsidRPr="00C328C4">
              <w:rPr>
                <w:rFonts w:ascii="Arial Narrow" w:hAnsi="Arial Narrow" w:cs="Kartika"/>
                <w:sz w:val="18"/>
                <w:szCs w:val="18"/>
              </w:rPr>
              <w:t>), (</w:t>
            </w:r>
            <w:r>
              <w:rPr>
                <w:rFonts w:ascii="Arial Narrow" w:hAnsi="Arial Narrow" w:cs="Kartika"/>
                <w:sz w:val="18"/>
                <w:szCs w:val="18"/>
              </w:rPr>
              <w:t>n</w:t>
            </w:r>
            <w:r w:rsidR="00A25962" w:rsidRPr="00C328C4">
              <w:rPr>
                <w:rFonts w:ascii="Arial Narrow" w:hAnsi="Arial Narrow" w:cs="Kartika"/>
                <w:sz w:val="18"/>
                <w:szCs w:val="18"/>
              </w:rPr>
              <w:t>)</w:t>
            </w:r>
          </w:p>
        </w:tc>
        <w:tc>
          <w:tcPr>
            <w:tcW w:w="1219" w:type="dxa"/>
            <w:shd w:val="clear" w:color="auto" w:fill="auto"/>
            <w:vAlign w:val="center"/>
          </w:tcPr>
          <w:p w14:paraId="1C5D705F" w14:textId="77777777" w:rsidR="00A25962" w:rsidRPr="00C328C4" w:rsidRDefault="00A25962" w:rsidP="000301D3">
            <w:pPr>
              <w:spacing w:after="0" w:line="240" w:lineRule="auto"/>
              <w:jc w:val="center"/>
              <w:rPr>
                <w:rFonts w:ascii="Arial Narrow" w:hAnsi="Arial Narrow"/>
                <w:szCs w:val="20"/>
              </w:rPr>
            </w:pPr>
            <w:r w:rsidRPr="00C328C4">
              <w:rPr>
                <w:rFonts w:ascii="Arial Narrow" w:hAnsi="Arial Narrow" w:cs="Kartika"/>
                <w:sz w:val="18"/>
                <w:szCs w:val="18"/>
              </w:rPr>
              <w:t>N/A</w:t>
            </w:r>
          </w:p>
        </w:tc>
        <w:tc>
          <w:tcPr>
            <w:tcW w:w="1701" w:type="dxa"/>
            <w:vAlign w:val="center"/>
          </w:tcPr>
          <w:p w14:paraId="47ACB1F8"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p w14:paraId="47345F8B" w14:textId="52B22B52" w:rsidR="00A25962" w:rsidRPr="00C328C4" w:rsidRDefault="00AF4DBC" w:rsidP="00AF4DBC">
            <w:pPr>
              <w:spacing w:after="0" w:line="240" w:lineRule="auto"/>
              <w:jc w:val="center"/>
              <w:rPr>
                <w:rFonts w:ascii="Arial Narrow" w:hAnsi="Arial Narrow" w:cs="Kartika"/>
                <w:b/>
                <w:sz w:val="18"/>
                <w:szCs w:val="18"/>
              </w:rPr>
            </w:pPr>
            <w:r>
              <w:rPr>
                <w:rFonts w:ascii="Arial Narrow" w:hAnsi="Arial Narrow" w:cs="Kartika"/>
                <w:sz w:val="18"/>
                <w:szCs w:val="18"/>
              </w:rPr>
              <w:t>3</w:t>
            </w:r>
            <w:r w:rsidRPr="00C328C4">
              <w:rPr>
                <w:rFonts w:ascii="Arial Narrow" w:hAnsi="Arial Narrow" w:cs="Kartika"/>
                <w:sz w:val="18"/>
                <w:szCs w:val="18"/>
              </w:rPr>
              <w:t xml:space="preserve"> </w:t>
            </w:r>
            <w:r w:rsidR="00A25962" w:rsidRPr="00C328C4">
              <w:rPr>
                <w:rFonts w:ascii="Arial Narrow" w:hAnsi="Arial Narrow" w:cs="Kartika"/>
                <w:sz w:val="18"/>
                <w:szCs w:val="18"/>
              </w:rPr>
              <w:t>(</w:t>
            </w:r>
            <w:r>
              <w:rPr>
                <w:rFonts w:ascii="Arial Narrow" w:hAnsi="Arial Narrow" w:cs="Kartika"/>
                <w:sz w:val="18"/>
                <w:szCs w:val="18"/>
              </w:rPr>
              <w:t>e</w:t>
            </w:r>
            <w:r w:rsidR="00A25962" w:rsidRPr="00C328C4">
              <w:rPr>
                <w:rFonts w:ascii="Arial Narrow" w:hAnsi="Arial Narrow" w:cs="Kartika"/>
                <w:sz w:val="18"/>
                <w:szCs w:val="18"/>
              </w:rPr>
              <w:t>), (</w:t>
            </w:r>
            <w:r>
              <w:rPr>
                <w:rFonts w:ascii="Arial Narrow" w:hAnsi="Arial Narrow" w:cs="Kartika"/>
                <w:sz w:val="18"/>
                <w:szCs w:val="18"/>
              </w:rPr>
              <w:t>i</w:t>
            </w:r>
            <w:r w:rsidR="00A25962" w:rsidRPr="00C328C4">
              <w:rPr>
                <w:rFonts w:ascii="Arial Narrow" w:hAnsi="Arial Narrow" w:cs="Kartika"/>
                <w:sz w:val="18"/>
                <w:szCs w:val="18"/>
              </w:rPr>
              <w:t>)-(</w:t>
            </w:r>
            <w:r>
              <w:rPr>
                <w:rFonts w:ascii="Arial Narrow" w:hAnsi="Arial Narrow" w:cs="Kartika"/>
                <w:sz w:val="18"/>
                <w:szCs w:val="18"/>
              </w:rPr>
              <w:t>j</w:t>
            </w:r>
            <w:r w:rsidR="00A25962" w:rsidRPr="00C328C4">
              <w:rPr>
                <w:rFonts w:ascii="Arial Narrow" w:hAnsi="Arial Narrow" w:cs="Kartika"/>
                <w:sz w:val="18"/>
                <w:szCs w:val="18"/>
              </w:rPr>
              <w:t>), (</w:t>
            </w:r>
            <w:r>
              <w:rPr>
                <w:rFonts w:ascii="Arial Narrow" w:hAnsi="Arial Narrow" w:cs="Kartika"/>
                <w:sz w:val="18"/>
                <w:szCs w:val="18"/>
              </w:rPr>
              <w:t>n</w:t>
            </w:r>
            <w:r w:rsidR="00A25962" w:rsidRPr="00C328C4">
              <w:rPr>
                <w:rFonts w:ascii="Arial Narrow" w:hAnsi="Arial Narrow" w:cs="Kartika"/>
                <w:sz w:val="18"/>
                <w:szCs w:val="18"/>
              </w:rPr>
              <w:t>)</w:t>
            </w:r>
          </w:p>
        </w:tc>
        <w:tc>
          <w:tcPr>
            <w:tcW w:w="1417" w:type="dxa"/>
            <w:vAlign w:val="center"/>
          </w:tcPr>
          <w:p w14:paraId="3F423947"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p w14:paraId="6A9C3434" w14:textId="44610EAD" w:rsidR="00A25962" w:rsidRPr="00C328C4" w:rsidRDefault="00AF4DBC" w:rsidP="00AF4DBC">
            <w:pPr>
              <w:spacing w:after="0" w:line="240" w:lineRule="auto"/>
              <w:jc w:val="center"/>
              <w:rPr>
                <w:rFonts w:ascii="Arial Narrow" w:hAnsi="Arial Narrow"/>
                <w:szCs w:val="20"/>
              </w:rPr>
            </w:pPr>
            <w:r>
              <w:rPr>
                <w:rFonts w:ascii="Arial Narrow" w:hAnsi="Arial Narrow" w:cs="Kartika"/>
                <w:sz w:val="18"/>
                <w:szCs w:val="18"/>
              </w:rPr>
              <w:t>3</w:t>
            </w:r>
            <w:r w:rsidR="00A25962" w:rsidRPr="00C328C4">
              <w:rPr>
                <w:rFonts w:ascii="Arial Narrow" w:hAnsi="Arial Narrow" w:cs="Kartika"/>
                <w:sz w:val="18"/>
                <w:szCs w:val="18"/>
              </w:rPr>
              <w:t>(</w:t>
            </w:r>
            <w:r>
              <w:rPr>
                <w:rFonts w:ascii="Arial Narrow" w:hAnsi="Arial Narrow" w:cs="Kartika"/>
                <w:sz w:val="18"/>
                <w:szCs w:val="18"/>
              </w:rPr>
              <w:t>e</w:t>
            </w:r>
            <w:r w:rsidR="00A25962" w:rsidRPr="00C328C4">
              <w:rPr>
                <w:rFonts w:ascii="Arial Narrow" w:hAnsi="Arial Narrow" w:cs="Kartika"/>
                <w:sz w:val="18"/>
                <w:szCs w:val="18"/>
              </w:rPr>
              <w:t>), (</w:t>
            </w:r>
            <w:r>
              <w:rPr>
                <w:rFonts w:ascii="Arial Narrow" w:hAnsi="Arial Narrow" w:cs="Kartika"/>
                <w:sz w:val="18"/>
                <w:szCs w:val="18"/>
              </w:rPr>
              <w:t>i</w:t>
            </w:r>
            <w:r w:rsidR="00A25962" w:rsidRPr="00C328C4">
              <w:rPr>
                <w:rFonts w:ascii="Arial Narrow" w:hAnsi="Arial Narrow" w:cs="Kartika"/>
                <w:sz w:val="18"/>
                <w:szCs w:val="18"/>
              </w:rPr>
              <w:t>)</w:t>
            </w:r>
            <w:r w:rsidR="00A25962">
              <w:rPr>
                <w:rFonts w:ascii="Arial Narrow" w:hAnsi="Arial Narrow" w:cs="Kartika"/>
                <w:sz w:val="18"/>
                <w:szCs w:val="18"/>
              </w:rPr>
              <w:t>-(</w:t>
            </w:r>
            <w:r>
              <w:rPr>
                <w:rFonts w:ascii="Arial Narrow" w:hAnsi="Arial Narrow" w:cs="Kartika"/>
                <w:sz w:val="18"/>
                <w:szCs w:val="18"/>
              </w:rPr>
              <w:t>j</w:t>
            </w:r>
            <w:r w:rsidR="00A25962">
              <w:rPr>
                <w:rFonts w:ascii="Arial Narrow" w:hAnsi="Arial Narrow" w:cs="Kartika"/>
                <w:sz w:val="18"/>
                <w:szCs w:val="18"/>
              </w:rPr>
              <w:t>)</w:t>
            </w:r>
          </w:p>
        </w:tc>
        <w:tc>
          <w:tcPr>
            <w:tcW w:w="1219" w:type="dxa"/>
            <w:shd w:val="clear" w:color="auto" w:fill="D9D9D9"/>
            <w:vAlign w:val="center"/>
          </w:tcPr>
          <w:p w14:paraId="058B9FD0" w14:textId="77777777" w:rsidR="00A25962" w:rsidRPr="00C328C4" w:rsidRDefault="00A25962" w:rsidP="000301D3">
            <w:pPr>
              <w:spacing w:after="0" w:line="240" w:lineRule="auto"/>
              <w:jc w:val="center"/>
              <w:rPr>
                <w:rFonts w:ascii="Arial Narrow" w:hAnsi="Arial Narrow"/>
                <w:szCs w:val="20"/>
              </w:rPr>
            </w:pPr>
          </w:p>
        </w:tc>
        <w:tc>
          <w:tcPr>
            <w:tcW w:w="1389" w:type="dxa"/>
            <w:vAlign w:val="center"/>
          </w:tcPr>
          <w:p w14:paraId="587E97C6"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389" w:type="dxa"/>
            <w:vAlign w:val="center"/>
          </w:tcPr>
          <w:p w14:paraId="0B915D07"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390" w:type="dxa"/>
            <w:tcBorders>
              <w:right w:val="single" w:sz="12" w:space="0" w:color="auto"/>
            </w:tcBorders>
            <w:vAlign w:val="center"/>
          </w:tcPr>
          <w:p w14:paraId="62AA7DB4" w14:textId="5A7CD5A4" w:rsidR="00A25962" w:rsidRPr="00C328C4" w:rsidRDefault="00A25962" w:rsidP="00AF4DBC">
            <w:pPr>
              <w:spacing w:after="0" w:line="240" w:lineRule="auto"/>
              <w:jc w:val="center"/>
              <w:rPr>
                <w:rFonts w:ascii="Arial Narrow" w:hAnsi="Arial Narrow"/>
                <w:b/>
                <w:szCs w:val="20"/>
              </w:rPr>
            </w:pPr>
            <w:r w:rsidRPr="00C328C4">
              <w:rPr>
                <w:rFonts w:ascii="Arial Narrow" w:hAnsi="Arial Narrow"/>
                <w:sz w:val="18"/>
                <w:szCs w:val="18"/>
              </w:rPr>
              <w:t xml:space="preserve">N/A: </w:t>
            </w:r>
            <w:r w:rsidR="00AF4DBC">
              <w:rPr>
                <w:rFonts w:ascii="Arial Narrow" w:hAnsi="Arial Narrow"/>
                <w:sz w:val="18"/>
                <w:szCs w:val="18"/>
              </w:rPr>
              <w:t>3n</w:t>
            </w:r>
          </w:p>
        </w:tc>
      </w:tr>
      <w:tr w:rsidR="00A25962" w:rsidRPr="00C328C4" w14:paraId="5762A403" w14:textId="77777777" w:rsidTr="00D124D0">
        <w:trPr>
          <w:trHeight w:val="397"/>
        </w:trPr>
        <w:tc>
          <w:tcPr>
            <w:tcW w:w="1277" w:type="dxa"/>
            <w:tcBorders>
              <w:left w:val="single" w:sz="12" w:space="0" w:color="auto"/>
              <w:right w:val="single" w:sz="12" w:space="0" w:color="auto"/>
            </w:tcBorders>
            <w:vAlign w:val="center"/>
          </w:tcPr>
          <w:p w14:paraId="7D155D4E" w14:textId="77777777" w:rsidR="00A25962" w:rsidRPr="00C328C4" w:rsidRDefault="00A25962" w:rsidP="000301D3">
            <w:pPr>
              <w:spacing w:after="0" w:line="240" w:lineRule="auto"/>
              <w:jc w:val="center"/>
              <w:rPr>
                <w:rFonts w:ascii="Arial Narrow" w:hAnsi="Arial Narrow"/>
                <w:b/>
              </w:rPr>
            </w:pPr>
            <w:r w:rsidRPr="00C328C4">
              <w:rPr>
                <w:rFonts w:ascii="Arial Narrow" w:hAnsi="Arial Narrow"/>
                <w:b/>
              </w:rPr>
              <w:t>4</w:t>
            </w:r>
          </w:p>
        </w:tc>
        <w:tc>
          <w:tcPr>
            <w:tcW w:w="1389" w:type="dxa"/>
            <w:tcBorders>
              <w:left w:val="single" w:sz="12" w:space="0" w:color="auto"/>
            </w:tcBorders>
            <w:vAlign w:val="center"/>
          </w:tcPr>
          <w:p w14:paraId="37A98215" w14:textId="77777777" w:rsidR="00A25962" w:rsidRPr="00C328C4" w:rsidRDefault="00A25962" w:rsidP="000301D3">
            <w:pPr>
              <w:spacing w:after="0" w:line="240" w:lineRule="auto"/>
              <w:jc w:val="center"/>
              <w:rPr>
                <w:rFonts w:ascii="Arial Narrow" w:hAnsi="Arial Narrow"/>
                <w:b/>
                <w:szCs w:val="20"/>
              </w:rPr>
            </w:pPr>
            <w:r w:rsidRPr="00C328C4">
              <w:rPr>
                <w:rFonts w:ascii="Arial Narrow" w:hAnsi="Arial Narrow"/>
              </w:rPr>
              <w:sym w:font="Wingdings 2" w:char="F050"/>
            </w:r>
          </w:p>
        </w:tc>
        <w:tc>
          <w:tcPr>
            <w:tcW w:w="1389" w:type="dxa"/>
            <w:vAlign w:val="center"/>
          </w:tcPr>
          <w:p w14:paraId="7CF02622" w14:textId="77777777" w:rsidR="00A25962" w:rsidRPr="00C328C4" w:rsidRDefault="00A25962" w:rsidP="000301D3">
            <w:pPr>
              <w:spacing w:after="0" w:line="240" w:lineRule="auto"/>
              <w:jc w:val="center"/>
              <w:rPr>
                <w:rFonts w:ascii="Arial Narrow" w:hAnsi="Arial Narrow"/>
                <w:b/>
                <w:szCs w:val="20"/>
              </w:rPr>
            </w:pPr>
            <w:r w:rsidRPr="00C328C4">
              <w:rPr>
                <w:rFonts w:ascii="Arial Narrow" w:hAnsi="Arial Narrow"/>
              </w:rPr>
              <w:sym w:font="Wingdings 2" w:char="F050"/>
            </w:r>
          </w:p>
        </w:tc>
        <w:tc>
          <w:tcPr>
            <w:tcW w:w="1389" w:type="dxa"/>
            <w:vAlign w:val="center"/>
          </w:tcPr>
          <w:p w14:paraId="23F3E3A2"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rPr>
              <w:sym w:font="Wingdings 2" w:char="F050"/>
            </w:r>
          </w:p>
        </w:tc>
        <w:tc>
          <w:tcPr>
            <w:tcW w:w="1219" w:type="dxa"/>
            <w:shd w:val="clear" w:color="auto" w:fill="auto"/>
            <w:vAlign w:val="center"/>
          </w:tcPr>
          <w:p w14:paraId="5E708C4D" w14:textId="77777777" w:rsidR="00A25962" w:rsidRPr="00C328C4" w:rsidRDefault="00A25962" w:rsidP="000301D3">
            <w:pPr>
              <w:spacing w:after="0" w:line="240" w:lineRule="auto"/>
              <w:jc w:val="center"/>
              <w:rPr>
                <w:rFonts w:ascii="Arial Narrow" w:hAnsi="Arial Narrow"/>
                <w:szCs w:val="20"/>
              </w:rPr>
            </w:pPr>
            <w:r w:rsidRPr="00C328C4">
              <w:rPr>
                <w:rFonts w:ascii="Arial Narrow" w:hAnsi="Arial Narrow" w:cs="Kartika"/>
                <w:sz w:val="18"/>
                <w:szCs w:val="18"/>
              </w:rPr>
              <w:t>N/A</w:t>
            </w:r>
          </w:p>
        </w:tc>
        <w:tc>
          <w:tcPr>
            <w:tcW w:w="1701" w:type="dxa"/>
            <w:vAlign w:val="center"/>
          </w:tcPr>
          <w:p w14:paraId="1EC346A2"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p w14:paraId="44797477" w14:textId="77777777" w:rsidR="00A25962" w:rsidRPr="00C328C4" w:rsidRDefault="00A25962" w:rsidP="000301D3">
            <w:pPr>
              <w:spacing w:after="0" w:line="240" w:lineRule="auto"/>
              <w:jc w:val="center"/>
              <w:rPr>
                <w:rFonts w:ascii="Arial Narrow" w:hAnsi="Arial Narrow" w:cs="Kartika"/>
                <w:b/>
                <w:sz w:val="18"/>
                <w:szCs w:val="18"/>
              </w:rPr>
            </w:pPr>
          </w:p>
        </w:tc>
        <w:tc>
          <w:tcPr>
            <w:tcW w:w="1417" w:type="dxa"/>
            <w:shd w:val="clear" w:color="auto" w:fill="FFFFFF" w:themeFill="background1"/>
            <w:vAlign w:val="center"/>
          </w:tcPr>
          <w:p w14:paraId="0275DB3E" w14:textId="77777777" w:rsidR="00A25962" w:rsidRPr="00C328C4" w:rsidRDefault="00A25962" w:rsidP="00D124D0">
            <w:pPr>
              <w:spacing w:after="0" w:line="240" w:lineRule="auto"/>
              <w:jc w:val="center"/>
              <w:rPr>
                <w:rFonts w:ascii="Arial Narrow" w:hAnsi="Arial Narrow"/>
                <w:b/>
                <w:szCs w:val="20"/>
              </w:rPr>
            </w:pPr>
            <w:r w:rsidRPr="00D124D0">
              <w:rPr>
                <w:rFonts w:ascii="Arial Narrow" w:hAnsi="Arial Narrow" w:cs="Kartika"/>
                <w:sz w:val="18"/>
                <w:szCs w:val="18"/>
              </w:rPr>
              <w:t>N/A</w:t>
            </w:r>
          </w:p>
        </w:tc>
        <w:tc>
          <w:tcPr>
            <w:tcW w:w="1219" w:type="dxa"/>
            <w:shd w:val="clear" w:color="auto" w:fill="D9D9D9"/>
            <w:vAlign w:val="center"/>
          </w:tcPr>
          <w:p w14:paraId="7E687D1C" w14:textId="77777777" w:rsidR="00A25962" w:rsidRPr="00C328C4" w:rsidRDefault="00A25962" w:rsidP="000301D3">
            <w:pPr>
              <w:spacing w:after="0" w:line="240" w:lineRule="auto"/>
              <w:jc w:val="center"/>
              <w:rPr>
                <w:rFonts w:ascii="Arial Narrow" w:hAnsi="Arial Narrow"/>
                <w:szCs w:val="20"/>
              </w:rPr>
            </w:pPr>
          </w:p>
        </w:tc>
        <w:tc>
          <w:tcPr>
            <w:tcW w:w="1389" w:type="dxa"/>
            <w:vAlign w:val="center"/>
          </w:tcPr>
          <w:p w14:paraId="0994A618"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389" w:type="dxa"/>
            <w:vAlign w:val="center"/>
          </w:tcPr>
          <w:p w14:paraId="26B4A7FC"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390" w:type="dxa"/>
            <w:tcBorders>
              <w:right w:val="single" w:sz="12" w:space="0" w:color="auto"/>
            </w:tcBorders>
            <w:vAlign w:val="center"/>
          </w:tcPr>
          <w:p w14:paraId="7B9D2A09" w14:textId="77777777" w:rsidR="00A25962" w:rsidRPr="00C328C4" w:rsidRDefault="00A25962" w:rsidP="000301D3">
            <w:pPr>
              <w:spacing w:after="0" w:line="240" w:lineRule="auto"/>
              <w:jc w:val="center"/>
              <w:rPr>
                <w:rFonts w:ascii="Arial Narrow" w:hAnsi="Arial Narrow"/>
                <w:b/>
                <w:szCs w:val="20"/>
              </w:rPr>
            </w:pPr>
            <w:r w:rsidRPr="00C328C4">
              <w:rPr>
                <w:rFonts w:ascii="Arial Narrow" w:hAnsi="Arial Narrow"/>
              </w:rPr>
              <w:sym w:font="Wingdings 2" w:char="F050"/>
            </w:r>
          </w:p>
        </w:tc>
      </w:tr>
      <w:tr w:rsidR="00A25962" w:rsidRPr="00C328C4" w14:paraId="3A38B83A" w14:textId="77777777" w:rsidTr="000301D3">
        <w:trPr>
          <w:trHeight w:val="397"/>
        </w:trPr>
        <w:tc>
          <w:tcPr>
            <w:tcW w:w="1277" w:type="dxa"/>
            <w:tcBorders>
              <w:left w:val="single" w:sz="12" w:space="0" w:color="auto"/>
              <w:right w:val="single" w:sz="12" w:space="0" w:color="auto"/>
            </w:tcBorders>
            <w:vAlign w:val="center"/>
          </w:tcPr>
          <w:p w14:paraId="7E3AF3F5" w14:textId="77777777" w:rsidR="00A25962" w:rsidRPr="00C328C4" w:rsidRDefault="00A25962" w:rsidP="000301D3">
            <w:pPr>
              <w:spacing w:after="0" w:line="240" w:lineRule="auto"/>
              <w:jc w:val="center"/>
              <w:rPr>
                <w:rFonts w:ascii="Arial Narrow" w:hAnsi="Arial Narrow"/>
                <w:b/>
              </w:rPr>
            </w:pPr>
            <w:r w:rsidRPr="00C328C4">
              <w:rPr>
                <w:rFonts w:ascii="Arial Narrow" w:hAnsi="Arial Narrow"/>
                <w:b/>
              </w:rPr>
              <w:t>5</w:t>
            </w:r>
          </w:p>
        </w:tc>
        <w:tc>
          <w:tcPr>
            <w:tcW w:w="1389" w:type="dxa"/>
            <w:tcBorders>
              <w:left w:val="single" w:sz="12" w:space="0" w:color="auto"/>
            </w:tcBorders>
            <w:vAlign w:val="center"/>
          </w:tcPr>
          <w:p w14:paraId="36ADFB49" w14:textId="77777777" w:rsidR="00A25962" w:rsidRPr="00C328C4" w:rsidRDefault="00A25962" w:rsidP="000301D3">
            <w:pPr>
              <w:spacing w:after="0" w:line="240" w:lineRule="auto"/>
              <w:jc w:val="center"/>
              <w:rPr>
                <w:rFonts w:ascii="Arial Narrow" w:hAnsi="Arial Narrow"/>
                <w:b/>
                <w:szCs w:val="20"/>
              </w:rPr>
            </w:pPr>
            <w:r w:rsidRPr="00C328C4">
              <w:rPr>
                <w:rFonts w:ascii="Arial Narrow" w:hAnsi="Arial Narrow"/>
              </w:rPr>
              <w:sym w:font="Wingdings 2" w:char="F050"/>
            </w:r>
          </w:p>
        </w:tc>
        <w:tc>
          <w:tcPr>
            <w:tcW w:w="1389" w:type="dxa"/>
            <w:vAlign w:val="center"/>
          </w:tcPr>
          <w:p w14:paraId="4B8DEDF8" w14:textId="77777777" w:rsidR="00A25962" w:rsidRPr="00C328C4" w:rsidRDefault="00A25962" w:rsidP="000301D3">
            <w:pPr>
              <w:spacing w:after="0" w:line="240" w:lineRule="auto"/>
              <w:jc w:val="center"/>
              <w:rPr>
                <w:rFonts w:ascii="Arial Narrow" w:hAnsi="Arial Narrow"/>
                <w:b/>
                <w:szCs w:val="20"/>
              </w:rPr>
            </w:pPr>
            <w:r w:rsidRPr="00C328C4">
              <w:rPr>
                <w:rFonts w:ascii="Arial Narrow" w:hAnsi="Arial Narrow"/>
              </w:rPr>
              <w:sym w:font="Wingdings 2" w:char="F050"/>
            </w:r>
          </w:p>
        </w:tc>
        <w:tc>
          <w:tcPr>
            <w:tcW w:w="1389" w:type="dxa"/>
            <w:vAlign w:val="center"/>
          </w:tcPr>
          <w:p w14:paraId="1EEF23C1"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219" w:type="dxa"/>
            <w:shd w:val="clear" w:color="auto" w:fill="auto"/>
            <w:vAlign w:val="center"/>
          </w:tcPr>
          <w:p w14:paraId="573B62BA" w14:textId="77777777" w:rsidR="00A25962" w:rsidRPr="00C328C4" w:rsidRDefault="00A25962" w:rsidP="000301D3">
            <w:pPr>
              <w:spacing w:after="0" w:line="240" w:lineRule="auto"/>
              <w:jc w:val="center"/>
              <w:rPr>
                <w:rFonts w:ascii="Arial Narrow" w:hAnsi="Arial Narrow"/>
                <w:szCs w:val="20"/>
              </w:rPr>
            </w:pPr>
            <w:r w:rsidRPr="00C328C4">
              <w:rPr>
                <w:rFonts w:ascii="Arial Narrow" w:hAnsi="Arial Narrow" w:cs="Kartika"/>
                <w:sz w:val="18"/>
                <w:szCs w:val="18"/>
              </w:rPr>
              <w:t>N/A</w:t>
            </w:r>
          </w:p>
        </w:tc>
        <w:tc>
          <w:tcPr>
            <w:tcW w:w="1701" w:type="dxa"/>
            <w:vAlign w:val="center"/>
          </w:tcPr>
          <w:p w14:paraId="1C475B94" w14:textId="77777777" w:rsidR="00A25962" w:rsidRPr="00C328C4" w:rsidRDefault="00A25962" w:rsidP="000301D3">
            <w:pPr>
              <w:spacing w:after="0" w:line="240" w:lineRule="auto"/>
              <w:jc w:val="center"/>
              <w:rPr>
                <w:rFonts w:ascii="Arial Narrow" w:hAnsi="Arial Narrow"/>
                <w:b/>
                <w:szCs w:val="20"/>
              </w:rPr>
            </w:pPr>
            <w:r w:rsidRPr="00C328C4">
              <w:rPr>
                <w:rFonts w:ascii="Arial Narrow" w:hAnsi="Arial Narrow"/>
                <w:szCs w:val="20"/>
              </w:rPr>
              <w:sym w:font="Wingdings 2" w:char="F050"/>
            </w:r>
          </w:p>
        </w:tc>
        <w:tc>
          <w:tcPr>
            <w:tcW w:w="1417" w:type="dxa"/>
            <w:vAlign w:val="center"/>
          </w:tcPr>
          <w:p w14:paraId="789106B7" w14:textId="77777777" w:rsidR="00A25962" w:rsidRPr="00C328C4" w:rsidRDefault="00A25962" w:rsidP="000301D3">
            <w:pPr>
              <w:spacing w:after="0" w:line="240" w:lineRule="auto"/>
              <w:jc w:val="center"/>
              <w:rPr>
                <w:rFonts w:ascii="Arial Narrow" w:hAnsi="Arial Narrow"/>
                <w:b/>
                <w:szCs w:val="20"/>
              </w:rPr>
            </w:pPr>
            <w:r w:rsidRPr="00C328C4">
              <w:rPr>
                <w:rFonts w:ascii="Arial Narrow" w:hAnsi="Arial Narrow"/>
              </w:rPr>
              <w:sym w:font="Wingdings 2" w:char="F050"/>
            </w:r>
          </w:p>
        </w:tc>
        <w:tc>
          <w:tcPr>
            <w:tcW w:w="1219" w:type="dxa"/>
            <w:shd w:val="clear" w:color="auto" w:fill="D9D9D9"/>
            <w:vAlign w:val="center"/>
          </w:tcPr>
          <w:p w14:paraId="6EBBA565" w14:textId="77777777" w:rsidR="00A25962" w:rsidRPr="00C328C4" w:rsidRDefault="00A25962" w:rsidP="000301D3">
            <w:pPr>
              <w:spacing w:after="0" w:line="240" w:lineRule="auto"/>
              <w:jc w:val="center"/>
              <w:rPr>
                <w:rFonts w:ascii="Arial Narrow" w:hAnsi="Arial Narrow"/>
                <w:szCs w:val="20"/>
              </w:rPr>
            </w:pPr>
          </w:p>
        </w:tc>
        <w:tc>
          <w:tcPr>
            <w:tcW w:w="1389" w:type="dxa"/>
            <w:vAlign w:val="center"/>
          </w:tcPr>
          <w:p w14:paraId="2FC50AC1"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389" w:type="dxa"/>
            <w:vAlign w:val="center"/>
          </w:tcPr>
          <w:p w14:paraId="353A59B8"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390" w:type="dxa"/>
            <w:tcBorders>
              <w:right w:val="single" w:sz="12" w:space="0" w:color="auto"/>
            </w:tcBorders>
            <w:vAlign w:val="center"/>
          </w:tcPr>
          <w:p w14:paraId="1A90A5E3" w14:textId="77777777" w:rsidR="00A25962" w:rsidRPr="00C328C4" w:rsidRDefault="00A25962" w:rsidP="000301D3">
            <w:pPr>
              <w:spacing w:after="0" w:line="240" w:lineRule="auto"/>
              <w:jc w:val="center"/>
              <w:rPr>
                <w:rFonts w:ascii="Arial Narrow" w:hAnsi="Arial Narrow"/>
                <w:b/>
                <w:szCs w:val="20"/>
              </w:rPr>
            </w:pPr>
            <w:r w:rsidRPr="00C328C4">
              <w:rPr>
                <w:rFonts w:ascii="Arial Narrow" w:hAnsi="Arial Narrow"/>
              </w:rPr>
              <w:sym w:font="Wingdings 2" w:char="F050"/>
            </w:r>
          </w:p>
        </w:tc>
      </w:tr>
      <w:tr w:rsidR="00A25962" w:rsidRPr="00C328C4" w14:paraId="3A79FEE0" w14:textId="77777777" w:rsidTr="000301D3">
        <w:trPr>
          <w:trHeight w:val="397"/>
        </w:trPr>
        <w:tc>
          <w:tcPr>
            <w:tcW w:w="1277" w:type="dxa"/>
            <w:tcBorders>
              <w:left w:val="single" w:sz="12" w:space="0" w:color="auto"/>
              <w:right w:val="single" w:sz="12" w:space="0" w:color="auto"/>
            </w:tcBorders>
            <w:vAlign w:val="center"/>
          </w:tcPr>
          <w:p w14:paraId="2D005CD7" w14:textId="77777777" w:rsidR="00A25962" w:rsidRPr="00C328C4" w:rsidRDefault="00A25962" w:rsidP="000301D3">
            <w:pPr>
              <w:spacing w:after="0" w:line="240" w:lineRule="auto"/>
              <w:jc w:val="center"/>
              <w:rPr>
                <w:rFonts w:ascii="Arial Narrow" w:hAnsi="Arial Narrow"/>
                <w:b/>
              </w:rPr>
            </w:pPr>
            <w:r w:rsidRPr="00C328C4">
              <w:rPr>
                <w:rFonts w:ascii="Arial Narrow" w:hAnsi="Arial Narrow"/>
                <w:b/>
              </w:rPr>
              <w:t>6</w:t>
            </w:r>
          </w:p>
        </w:tc>
        <w:tc>
          <w:tcPr>
            <w:tcW w:w="1389" w:type="dxa"/>
            <w:tcBorders>
              <w:left w:val="single" w:sz="12" w:space="0" w:color="auto"/>
            </w:tcBorders>
            <w:vAlign w:val="center"/>
          </w:tcPr>
          <w:p w14:paraId="01F680CC" w14:textId="77777777" w:rsidR="00A25962" w:rsidRPr="00C328C4" w:rsidRDefault="00A25962" w:rsidP="000301D3">
            <w:pPr>
              <w:spacing w:after="0" w:line="240" w:lineRule="auto"/>
              <w:jc w:val="center"/>
              <w:rPr>
                <w:rFonts w:ascii="Arial Narrow" w:hAnsi="Arial Narrow"/>
                <w:b/>
                <w:szCs w:val="20"/>
              </w:rPr>
            </w:pPr>
            <w:r w:rsidRPr="00C328C4">
              <w:rPr>
                <w:rFonts w:ascii="Arial Narrow" w:hAnsi="Arial Narrow"/>
              </w:rPr>
              <w:sym w:font="Wingdings 2" w:char="F050"/>
            </w:r>
          </w:p>
        </w:tc>
        <w:tc>
          <w:tcPr>
            <w:tcW w:w="1389" w:type="dxa"/>
            <w:vAlign w:val="center"/>
          </w:tcPr>
          <w:p w14:paraId="68B7B9AB" w14:textId="77777777" w:rsidR="00A25962" w:rsidRPr="00C328C4" w:rsidRDefault="00A25962" w:rsidP="000301D3">
            <w:pPr>
              <w:spacing w:after="0" w:line="240" w:lineRule="auto"/>
              <w:jc w:val="center"/>
              <w:rPr>
                <w:rFonts w:ascii="Arial Narrow" w:hAnsi="Arial Narrow"/>
                <w:b/>
                <w:szCs w:val="20"/>
              </w:rPr>
            </w:pPr>
            <w:r w:rsidRPr="00C328C4">
              <w:rPr>
                <w:rFonts w:ascii="Arial Narrow" w:hAnsi="Arial Narrow"/>
              </w:rPr>
              <w:sym w:font="Wingdings 2" w:char="F050"/>
            </w:r>
          </w:p>
        </w:tc>
        <w:tc>
          <w:tcPr>
            <w:tcW w:w="1389" w:type="dxa"/>
            <w:vAlign w:val="center"/>
          </w:tcPr>
          <w:p w14:paraId="6B5AD1BA"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rPr>
              <w:sym w:font="Wingdings 2" w:char="F050"/>
            </w:r>
          </w:p>
        </w:tc>
        <w:tc>
          <w:tcPr>
            <w:tcW w:w="1219" w:type="dxa"/>
            <w:shd w:val="clear" w:color="auto" w:fill="auto"/>
            <w:vAlign w:val="center"/>
          </w:tcPr>
          <w:p w14:paraId="162CC00A" w14:textId="77777777" w:rsidR="00A25962" w:rsidRPr="00C328C4" w:rsidRDefault="00A25962" w:rsidP="000301D3">
            <w:pPr>
              <w:spacing w:after="0" w:line="240" w:lineRule="auto"/>
              <w:jc w:val="center"/>
              <w:rPr>
                <w:rFonts w:ascii="Arial Narrow" w:hAnsi="Arial Narrow"/>
                <w:szCs w:val="20"/>
              </w:rPr>
            </w:pPr>
            <w:r w:rsidRPr="00C328C4">
              <w:rPr>
                <w:rFonts w:ascii="Arial Narrow" w:hAnsi="Arial Narrow" w:cs="Kartika"/>
                <w:sz w:val="18"/>
                <w:szCs w:val="18"/>
              </w:rPr>
              <w:t>N/A</w:t>
            </w:r>
          </w:p>
        </w:tc>
        <w:tc>
          <w:tcPr>
            <w:tcW w:w="1701" w:type="dxa"/>
            <w:vAlign w:val="center"/>
          </w:tcPr>
          <w:p w14:paraId="4DCFEFA9" w14:textId="77777777" w:rsidR="00A25962" w:rsidRPr="00C328C4" w:rsidRDefault="00A25962" w:rsidP="000301D3">
            <w:pPr>
              <w:spacing w:after="0" w:line="240" w:lineRule="auto"/>
              <w:jc w:val="center"/>
              <w:rPr>
                <w:rFonts w:ascii="Arial Narrow" w:hAnsi="Arial Narrow"/>
                <w:b/>
                <w:szCs w:val="20"/>
              </w:rPr>
            </w:pPr>
            <w:r w:rsidRPr="00C328C4">
              <w:rPr>
                <w:rFonts w:ascii="Arial Narrow" w:hAnsi="Arial Narrow"/>
                <w:szCs w:val="20"/>
              </w:rPr>
              <w:sym w:font="Wingdings 2" w:char="F050"/>
            </w:r>
          </w:p>
        </w:tc>
        <w:tc>
          <w:tcPr>
            <w:tcW w:w="1417" w:type="dxa"/>
            <w:vAlign w:val="center"/>
          </w:tcPr>
          <w:p w14:paraId="3D2A10CB" w14:textId="77777777" w:rsidR="00A25962" w:rsidRPr="00C328C4" w:rsidRDefault="00A25962" w:rsidP="000301D3">
            <w:pPr>
              <w:spacing w:after="0" w:line="240" w:lineRule="auto"/>
              <w:jc w:val="center"/>
              <w:rPr>
                <w:rFonts w:ascii="Arial Narrow" w:hAnsi="Arial Narrow"/>
                <w:b/>
                <w:szCs w:val="20"/>
              </w:rPr>
            </w:pPr>
            <w:r w:rsidRPr="00C328C4">
              <w:rPr>
                <w:rFonts w:ascii="Arial Narrow" w:hAnsi="Arial Narrow"/>
              </w:rPr>
              <w:sym w:font="Wingdings 2" w:char="F050"/>
            </w:r>
          </w:p>
        </w:tc>
        <w:tc>
          <w:tcPr>
            <w:tcW w:w="1219" w:type="dxa"/>
            <w:shd w:val="clear" w:color="auto" w:fill="D9D9D9"/>
            <w:vAlign w:val="center"/>
          </w:tcPr>
          <w:p w14:paraId="11D312E4" w14:textId="77777777" w:rsidR="00A25962" w:rsidRPr="00C328C4" w:rsidRDefault="00A25962" w:rsidP="000301D3">
            <w:pPr>
              <w:spacing w:after="0" w:line="240" w:lineRule="auto"/>
              <w:jc w:val="center"/>
              <w:rPr>
                <w:rFonts w:ascii="Arial Narrow" w:hAnsi="Arial Narrow"/>
                <w:szCs w:val="20"/>
              </w:rPr>
            </w:pPr>
          </w:p>
        </w:tc>
        <w:tc>
          <w:tcPr>
            <w:tcW w:w="1389" w:type="dxa"/>
            <w:vAlign w:val="center"/>
          </w:tcPr>
          <w:p w14:paraId="698871D1"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389" w:type="dxa"/>
            <w:vAlign w:val="center"/>
          </w:tcPr>
          <w:p w14:paraId="32835996" w14:textId="77777777" w:rsidR="00A25962" w:rsidRPr="00C328C4" w:rsidRDefault="00A25962" w:rsidP="000301D3">
            <w:pPr>
              <w:spacing w:after="0" w:line="240" w:lineRule="auto"/>
              <w:jc w:val="center"/>
              <w:rPr>
                <w:rFonts w:ascii="Arial Narrow" w:hAnsi="Arial Narrow"/>
                <w:b/>
              </w:rPr>
            </w:pPr>
            <w:r w:rsidRPr="00C328C4">
              <w:rPr>
                <w:rFonts w:ascii="Arial Narrow" w:hAnsi="Arial Narrow"/>
              </w:rPr>
              <w:sym w:font="Wingdings 2" w:char="F050"/>
            </w:r>
          </w:p>
        </w:tc>
        <w:tc>
          <w:tcPr>
            <w:tcW w:w="1390" w:type="dxa"/>
            <w:tcBorders>
              <w:right w:val="single" w:sz="12" w:space="0" w:color="auto"/>
            </w:tcBorders>
            <w:vAlign w:val="center"/>
          </w:tcPr>
          <w:p w14:paraId="7410903A" w14:textId="77777777" w:rsidR="00A25962" w:rsidRPr="00C328C4" w:rsidRDefault="00A25962" w:rsidP="000301D3">
            <w:pPr>
              <w:spacing w:after="0" w:line="240" w:lineRule="auto"/>
              <w:jc w:val="center"/>
              <w:rPr>
                <w:rFonts w:ascii="Arial Narrow" w:hAnsi="Arial Narrow"/>
                <w:b/>
                <w:szCs w:val="20"/>
              </w:rPr>
            </w:pPr>
            <w:r w:rsidRPr="00C328C4">
              <w:rPr>
                <w:rFonts w:ascii="Arial Narrow" w:hAnsi="Arial Narrow"/>
              </w:rPr>
              <w:sym w:font="Wingdings 2" w:char="F050"/>
            </w:r>
          </w:p>
        </w:tc>
      </w:tr>
      <w:tr w:rsidR="00A25962" w:rsidRPr="00C328C4" w14:paraId="18A07E69" w14:textId="77777777" w:rsidTr="000301D3">
        <w:trPr>
          <w:trHeight w:val="397"/>
        </w:trPr>
        <w:tc>
          <w:tcPr>
            <w:tcW w:w="1277" w:type="dxa"/>
            <w:tcBorders>
              <w:left w:val="single" w:sz="12" w:space="0" w:color="auto"/>
              <w:right w:val="single" w:sz="12" w:space="0" w:color="auto"/>
            </w:tcBorders>
            <w:vAlign w:val="center"/>
          </w:tcPr>
          <w:p w14:paraId="7533B050" w14:textId="77777777" w:rsidR="00A25962" w:rsidRPr="00C328C4" w:rsidRDefault="00A25962" w:rsidP="000301D3">
            <w:pPr>
              <w:spacing w:after="0" w:line="240" w:lineRule="auto"/>
              <w:jc w:val="center"/>
              <w:rPr>
                <w:rFonts w:ascii="Arial Narrow" w:hAnsi="Arial Narrow"/>
                <w:b/>
              </w:rPr>
            </w:pPr>
            <w:r w:rsidRPr="00C328C4">
              <w:rPr>
                <w:rFonts w:ascii="Arial Narrow" w:hAnsi="Arial Narrow"/>
                <w:b/>
              </w:rPr>
              <w:t>7</w:t>
            </w:r>
          </w:p>
        </w:tc>
        <w:tc>
          <w:tcPr>
            <w:tcW w:w="1389" w:type="dxa"/>
            <w:tcBorders>
              <w:left w:val="single" w:sz="12" w:space="0" w:color="auto"/>
            </w:tcBorders>
            <w:vAlign w:val="center"/>
          </w:tcPr>
          <w:p w14:paraId="5AFFDE34" w14:textId="77777777" w:rsidR="00A25962" w:rsidRPr="00C328C4" w:rsidRDefault="00A25962" w:rsidP="000301D3">
            <w:pPr>
              <w:spacing w:after="0" w:line="240" w:lineRule="auto"/>
              <w:jc w:val="center"/>
              <w:rPr>
                <w:rFonts w:ascii="Arial Narrow" w:hAnsi="Arial Narrow"/>
                <w:b/>
                <w:szCs w:val="20"/>
              </w:rPr>
            </w:pPr>
            <w:r w:rsidRPr="00C328C4">
              <w:rPr>
                <w:rFonts w:ascii="Arial Narrow" w:hAnsi="Arial Narrow"/>
              </w:rPr>
              <w:sym w:font="Wingdings 2" w:char="F050"/>
            </w:r>
          </w:p>
        </w:tc>
        <w:tc>
          <w:tcPr>
            <w:tcW w:w="1389" w:type="dxa"/>
            <w:vAlign w:val="center"/>
          </w:tcPr>
          <w:p w14:paraId="24FC555F" w14:textId="77777777" w:rsidR="00A25962" w:rsidRPr="00C328C4" w:rsidRDefault="00A25962" w:rsidP="000301D3">
            <w:pPr>
              <w:spacing w:after="0" w:line="240" w:lineRule="auto"/>
              <w:jc w:val="center"/>
              <w:rPr>
                <w:rFonts w:ascii="Arial Narrow" w:hAnsi="Arial Narrow"/>
                <w:b/>
                <w:szCs w:val="20"/>
              </w:rPr>
            </w:pPr>
            <w:r w:rsidRPr="00C328C4">
              <w:rPr>
                <w:rFonts w:ascii="Arial Narrow" w:hAnsi="Arial Narrow"/>
              </w:rPr>
              <w:sym w:font="Wingdings 2" w:char="F050"/>
            </w:r>
          </w:p>
        </w:tc>
        <w:tc>
          <w:tcPr>
            <w:tcW w:w="1389" w:type="dxa"/>
            <w:vAlign w:val="center"/>
          </w:tcPr>
          <w:p w14:paraId="7F63E73D"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rPr>
              <w:sym w:font="Wingdings 2" w:char="F050"/>
            </w:r>
          </w:p>
        </w:tc>
        <w:tc>
          <w:tcPr>
            <w:tcW w:w="1219" w:type="dxa"/>
            <w:shd w:val="clear" w:color="auto" w:fill="auto"/>
            <w:vAlign w:val="center"/>
          </w:tcPr>
          <w:p w14:paraId="36AB052C" w14:textId="77777777" w:rsidR="00A25962" w:rsidRPr="00C328C4" w:rsidRDefault="00A25962" w:rsidP="000301D3">
            <w:pPr>
              <w:spacing w:after="0" w:line="240" w:lineRule="auto"/>
              <w:jc w:val="center"/>
              <w:rPr>
                <w:rFonts w:ascii="Arial Narrow" w:hAnsi="Arial Narrow"/>
                <w:szCs w:val="20"/>
              </w:rPr>
            </w:pPr>
            <w:r w:rsidRPr="00C328C4">
              <w:rPr>
                <w:rFonts w:ascii="Arial Narrow" w:hAnsi="Arial Narrow" w:cs="Kartika"/>
                <w:sz w:val="18"/>
                <w:szCs w:val="18"/>
              </w:rPr>
              <w:t>N/A</w:t>
            </w:r>
          </w:p>
        </w:tc>
        <w:tc>
          <w:tcPr>
            <w:tcW w:w="1701" w:type="dxa"/>
            <w:vAlign w:val="center"/>
          </w:tcPr>
          <w:p w14:paraId="59F2461E" w14:textId="77777777" w:rsidR="00A25962" w:rsidRPr="00C328C4" w:rsidRDefault="00A25962" w:rsidP="000301D3">
            <w:pPr>
              <w:spacing w:after="0" w:line="240" w:lineRule="auto"/>
              <w:jc w:val="center"/>
              <w:rPr>
                <w:rFonts w:ascii="Arial Narrow" w:hAnsi="Arial Narrow"/>
                <w:b/>
                <w:szCs w:val="20"/>
              </w:rPr>
            </w:pPr>
            <w:r w:rsidRPr="00C328C4">
              <w:rPr>
                <w:rFonts w:ascii="Arial Narrow" w:hAnsi="Arial Narrow"/>
                <w:szCs w:val="20"/>
              </w:rPr>
              <w:sym w:font="Wingdings 2" w:char="F050"/>
            </w:r>
          </w:p>
        </w:tc>
        <w:tc>
          <w:tcPr>
            <w:tcW w:w="1417" w:type="dxa"/>
            <w:vAlign w:val="center"/>
          </w:tcPr>
          <w:p w14:paraId="3E78E4A2" w14:textId="77777777" w:rsidR="00A25962" w:rsidRPr="00C328C4" w:rsidRDefault="00A25962" w:rsidP="000301D3">
            <w:pPr>
              <w:spacing w:after="0" w:line="240" w:lineRule="auto"/>
              <w:jc w:val="center"/>
              <w:rPr>
                <w:rFonts w:ascii="Arial Narrow" w:hAnsi="Arial Narrow"/>
                <w:b/>
                <w:szCs w:val="20"/>
              </w:rPr>
            </w:pPr>
            <w:r w:rsidRPr="00C328C4">
              <w:rPr>
                <w:rFonts w:ascii="Arial Narrow" w:hAnsi="Arial Narrow"/>
              </w:rPr>
              <w:sym w:font="Wingdings 2" w:char="F050"/>
            </w:r>
          </w:p>
        </w:tc>
        <w:tc>
          <w:tcPr>
            <w:tcW w:w="1219" w:type="dxa"/>
            <w:shd w:val="clear" w:color="auto" w:fill="D9D9D9"/>
            <w:vAlign w:val="center"/>
          </w:tcPr>
          <w:p w14:paraId="3EE7FEBB" w14:textId="77777777" w:rsidR="00A25962" w:rsidRPr="00C328C4" w:rsidRDefault="00A25962" w:rsidP="000301D3">
            <w:pPr>
              <w:spacing w:after="0" w:line="240" w:lineRule="auto"/>
              <w:jc w:val="center"/>
              <w:rPr>
                <w:rFonts w:ascii="Arial Narrow" w:hAnsi="Arial Narrow"/>
                <w:szCs w:val="20"/>
              </w:rPr>
            </w:pPr>
          </w:p>
        </w:tc>
        <w:tc>
          <w:tcPr>
            <w:tcW w:w="1389" w:type="dxa"/>
            <w:vAlign w:val="center"/>
          </w:tcPr>
          <w:p w14:paraId="65242AA4"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389" w:type="dxa"/>
            <w:vAlign w:val="center"/>
          </w:tcPr>
          <w:p w14:paraId="3784C632"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p w14:paraId="7BB44639" w14:textId="77777777" w:rsidR="00A25962" w:rsidRPr="00C328C4" w:rsidRDefault="00A25962" w:rsidP="000301D3">
            <w:pPr>
              <w:spacing w:after="0" w:line="240" w:lineRule="auto"/>
              <w:jc w:val="center"/>
              <w:rPr>
                <w:rFonts w:ascii="Arial Narrow" w:hAnsi="Arial Narrow"/>
                <w:b/>
              </w:rPr>
            </w:pPr>
          </w:p>
        </w:tc>
        <w:tc>
          <w:tcPr>
            <w:tcW w:w="1390" w:type="dxa"/>
            <w:tcBorders>
              <w:right w:val="single" w:sz="12" w:space="0" w:color="auto"/>
            </w:tcBorders>
            <w:vAlign w:val="center"/>
          </w:tcPr>
          <w:p w14:paraId="4DF705A6" w14:textId="77777777" w:rsidR="00A25962" w:rsidRPr="00C328C4" w:rsidRDefault="00A25962" w:rsidP="000301D3">
            <w:pPr>
              <w:spacing w:after="0" w:line="240" w:lineRule="auto"/>
              <w:jc w:val="center"/>
              <w:rPr>
                <w:rFonts w:ascii="Arial Narrow" w:hAnsi="Arial Narrow"/>
                <w:b/>
                <w:szCs w:val="20"/>
              </w:rPr>
            </w:pPr>
            <w:r w:rsidRPr="00C328C4">
              <w:rPr>
                <w:rFonts w:ascii="Arial Narrow" w:hAnsi="Arial Narrow"/>
              </w:rPr>
              <w:sym w:font="Wingdings 2" w:char="F050"/>
            </w:r>
          </w:p>
        </w:tc>
      </w:tr>
      <w:tr w:rsidR="00A25962" w:rsidRPr="00C328C4" w14:paraId="30B81BA8" w14:textId="77777777" w:rsidTr="000301D3">
        <w:trPr>
          <w:trHeight w:val="397"/>
        </w:trPr>
        <w:tc>
          <w:tcPr>
            <w:tcW w:w="1277" w:type="dxa"/>
            <w:tcBorders>
              <w:left w:val="single" w:sz="12" w:space="0" w:color="auto"/>
              <w:right w:val="single" w:sz="12" w:space="0" w:color="auto"/>
            </w:tcBorders>
            <w:vAlign w:val="center"/>
          </w:tcPr>
          <w:p w14:paraId="601E3219" w14:textId="77777777" w:rsidR="00A25962" w:rsidRPr="00C328C4" w:rsidRDefault="00A25962" w:rsidP="000301D3">
            <w:pPr>
              <w:spacing w:after="0" w:line="240" w:lineRule="auto"/>
              <w:jc w:val="center"/>
              <w:rPr>
                <w:rFonts w:ascii="Arial Narrow" w:hAnsi="Arial Narrow"/>
                <w:b/>
              </w:rPr>
            </w:pPr>
            <w:r w:rsidRPr="00C328C4">
              <w:rPr>
                <w:rFonts w:ascii="Arial Narrow" w:hAnsi="Arial Narrow"/>
                <w:b/>
              </w:rPr>
              <w:t>8</w:t>
            </w:r>
          </w:p>
        </w:tc>
        <w:tc>
          <w:tcPr>
            <w:tcW w:w="1389" w:type="dxa"/>
            <w:tcBorders>
              <w:left w:val="single" w:sz="12" w:space="0" w:color="auto"/>
            </w:tcBorders>
            <w:vAlign w:val="center"/>
          </w:tcPr>
          <w:p w14:paraId="0174CC84" w14:textId="77777777" w:rsidR="00A25962" w:rsidRPr="00C328C4" w:rsidRDefault="00A25962" w:rsidP="000301D3">
            <w:pPr>
              <w:spacing w:after="0" w:line="240" w:lineRule="auto"/>
              <w:jc w:val="center"/>
              <w:rPr>
                <w:rFonts w:ascii="Arial Narrow" w:hAnsi="Arial Narrow"/>
                <w:b/>
                <w:szCs w:val="20"/>
              </w:rPr>
            </w:pPr>
            <w:r w:rsidRPr="00C328C4">
              <w:rPr>
                <w:rFonts w:ascii="Arial Narrow" w:hAnsi="Arial Narrow"/>
              </w:rPr>
              <w:sym w:font="Wingdings 2" w:char="F050"/>
            </w:r>
          </w:p>
        </w:tc>
        <w:tc>
          <w:tcPr>
            <w:tcW w:w="1389" w:type="dxa"/>
            <w:vAlign w:val="center"/>
          </w:tcPr>
          <w:p w14:paraId="78D698D9" w14:textId="77777777" w:rsidR="00A25962" w:rsidRPr="00C328C4" w:rsidRDefault="00A25962" w:rsidP="000301D3">
            <w:pPr>
              <w:spacing w:after="0" w:line="240" w:lineRule="auto"/>
              <w:jc w:val="center"/>
              <w:rPr>
                <w:rFonts w:ascii="Arial Narrow" w:hAnsi="Arial Narrow"/>
                <w:b/>
                <w:szCs w:val="20"/>
              </w:rPr>
            </w:pPr>
            <w:r w:rsidRPr="00C328C4">
              <w:rPr>
                <w:rFonts w:ascii="Arial Narrow" w:hAnsi="Arial Narrow"/>
              </w:rPr>
              <w:sym w:font="Wingdings 2" w:char="F050"/>
            </w:r>
          </w:p>
        </w:tc>
        <w:tc>
          <w:tcPr>
            <w:tcW w:w="1389" w:type="dxa"/>
            <w:vAlign w:val="center"/>
          </w:tcPr>
          <w:p w14:paraId="5BB2C62D" w14:textId="77777777" w:rsidR="00A25962" w:rsidRPr="00C328C4" w:rsidRDefault="00A25962" w:rsidP="000301D3">
            <w:pPr>
              <w:spacing w:after="0" w:line="240" w:lineRule="auto"/>
              <w:jc w:val="center"/>
              <w:rPr>
                <w:rFonts w:ascii="Arial Narrow" w:hAnsi="Arial Narrow"/>
                <w:szCs w:val="20"/>
              </w:rPr>
            </w:pPr>
            <w:r w:rsidRPr="00C328C4">
              <w:rPr>
                <w:rFonts w:ascii="Arial Narrow" w:hAnsi="Arial Narrow" w:cs="Kartika"/>
                <w:sz w:val="18"/>
                <w:szCs w:val="18"/>
              </w:rPr>
              <w:t>N/A</w:t>
            </w:r>
          </w:p>
        </w:tc>
        <w:tc>
          <w:tcPr>
            <w:tcW w:w="1219" w:type="dxa"/>
            <w:shd w:val="clear" w:color="auto" w:fill="auto"/>
            <w:vAlign w:val="center"/>
          </w:tcPr>
          <w:p w14:paraId="74698FA0" w14:textId="77777777" w:rsidR="00A25962" w:rsidRPr="00C328C4" w:rsidRDefault="00A25962" w:rsidP="000301D3">
            <w:pPr>
              <w:spacing w:after="0" w:line="240" w:lineRule="auto"/>
              <w:jc w:val="center"/>
              <w:rPr>
                <w:rFonts w:ascii="Arial Narrow" w:hAnsi="Arial Narrow"/>
                <w:szCs w:val="20"/>
              </w:rPr>
            </w:pPr>
            <w:r w:rsidRPr="00C328C4">
              <w:rPr>
                <w:rFonts w:ascii="Arial Narrow" w:hAnsi="Arial Narrow" w:cs="Kartika"/>
                <w:sz w:val="18"/>
                <w:szCs w:val="18"/>
              </w:rPr>
              <w:t>N/A</w:t>
            </w:r>
          </w:p>
        </w:tc>
        <w:tc>
          <w:tcPr>
            <w:tcW w:w="1701" w:type="dxa"/>
            <w:vAlign w:val="center"/>
          </w:tcPr>
          <w:p w14:paraId="10B7E0D1" w14:textId="77777777" w:rsidR="00A25962" w:rsidRPr="00C328C4" w:rsidRDefault="00A25962" w:rsidP="000301D3">
            <w:pPr>
              <w:spacing w:after="0" w:line="240" w:lineRule="auto"/>
              <w:jc w:val="center"/>
              <w:rPr>
                <w:rFonts w:ascii="Arial Narrow" w:hAnsi="Arial Narrow"/>
                <w:b/>
                <w:szCs w:val="20"/>
              </w:rPr>
            </w:pPr>
            <w:r w:rsidRPr="00C328C4">
              <w:rPr>
                <w:rFonts w:ascii="Arial Narrow" w:hAnsi="Arial Narrow"/>
                <w:szCs w:val="20"/>
              </w:rPr>
              <w:sym w:font="Wingdings 2" w:char="F050"/>
            </w:r>
          </w:p>
        </w:tc>
        <w:tc>
          <w:tcPr>
            <w:tcW w:w="1417" w:type="dxa"/>
            <w:vAlign w:val="center"/>
          </w:tcPr>
          <w:p w14:paraId="793876C8" w14:textId="77777777" w:rsidR="00A25962" w:rsidRPr="00C328C4" w:rsidRDefault="00A25962" w:rsidP="000301D3">
            <w:pPr>
              <w:spacing w:after="0" w:line="240" w:lineRule="auto"/>
              <w:jc w:val="center"/>
              <w:rPr>
                <w:rFonts w:ascii="Arial Narrow" w:hAnsi="Arial Narrow"/>
                <w:b/>
                <w:szCs w:val="20"/>
              </w:rPr>
            </w:pPr>
            <w:r w:rsidRPr="00C328C4">
              <w:rPr>
                <w:rFonts w:ascii="Arial Narrow" w:hAnsi="Arial Narrow"/>
              </w:rPr>
              <w:sym w:font="Wingdings 2" w:char="F050"/>
            </w:r>
          </w:p>
        </w:tc>
        <w:tc>
          <w:tcPr>
            <w:tcW w:w="1219" w:type="dxa"/>
            <w:shd w:val="clear" w:color="auto" w:fill="D9D9D9"/>
            <w:vAlign w:val="center"/>
          </w:tcPr>
          <w:p w14:paraId="0631D417" w14:textId="77777777" w:rsidR="00A25962" w:rsidRPr="00C328C4" w:rsidRDefault="00A25962" w:rsidP="000301D3">
            <w:pPr>
              <w:spacing w:after="0" w:line="240" w:lineRule="auto"/>
              <w:jc w:val="center"/>
              <w:rPr>
                <w:rFonts w:ascii="Arial Narrow" w:hAnsi="Arial Narrow"/>
                <w:szCs w:val="20"/>
              </w:rPr>
            </w:pPr>
          </w:p>
        </w:tc>
        <w:tc>
          <w:tcPr>
            <w:tcW w:w="1389" w:type="dxa"/>
            <w:vAlign w:val="center"/>
          </w:tcPr>
          <w:p w14:paraId="40A22C61"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389" w:type="dxa"/>
            <w:vAlign w:val="center"/>
          </w:tcPr>
          <w:p w14:paraId="288D5DA8"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390" w:type="dxa"/>
            <w:tcBorders>
              <w:right w:val="single" w:sz="12" w:space="0" w:color="auto"/>
            </w:tcBorders>
            <w:vAlign w:val="center"/>
          </w:tcPr>
          <w:p w14:paraId="524EB665" w14:textId="77777777" w:rsidR="00A25962" w:rsidRPr="00C328C4" w:rsidRDefault="00A25962" w:rsidP="000301D3">
            <w:pPr>
              <w:spacing w:after="0" w:line="240" w:lineRule="auto"/>
              <w:jc w:val="center"/>
              <w:rPr>
                <w:rFonts w:ascii="Arial Narrow" w:hAnsi="Arial Narrow"/>
                <w:b/>
                <w:szCs w:val="20"/>
              </w:rPr>
            </w:pPr>
            <w:r w:rsidRPr="00C328C4">
              <w:rPr>
                <w:rFonts w:ascii="Arial Narrow" w:hAnsi="Arial Narrow"/>
              </w:rPr>
              <w:sym w:font="Wingdings 2" w:char="F050"/>
            </w:r>
          </w:p>
        </w:tc>
      </w:tr>
      <w:tr w:rsidR="00A25962" w:rsidRPr="00C328C4" w14:paraId="5F3D18BD" w14:textId="77777777" w:rsidTr="000301D3">
        <w:trPr>
          <w:trHeight w:val="397"/>
        </w:trPr>
        <w:tc>
          <w:tcPr>
            <w:tcW w:w="1277" w:type="dxa"/>
            <w:tcBorders>
              <w:left w:val="single" w:sz="12" w:space="0" w:color="auto"/>
              <w:right w:val="single" w:sz="12" w:space="0" w:color="auto"/>
            </w:tcBorders>
            <w:vAlign w:val="center"/>
          </w:tcPr>
          <w:p w14:paraId="2209C324" w14:textId="77777777" w:rsidR="00A25962" w:rsidRPr="00C328C4" w:rsidRDefault="00A25962" w:rsidP="000301D3">
            <w:pPr>
              <w:spacing w:after="0" w:line="240" w:lineRule="auto"/>
              <w:jc w:val="center"/>
              <w:rPr>
                <w:rFonts w:ascii="Arial Narrow" w:hAnsi="Arial Narrow"/>
                <w:b/>
              </w:rPr>
            </w:pPr>
            <w:r w:rsidRPr="00C328C4">
              <w:rPr>
                <w:rFonts w:ascii="Arial Narrow" w:hAnsi="Arial Narrow"/>
                <w:b/>
              </w:rPr>
              <w:t>9</w:t>
            </w:r>
          </w:p>
        </w:tc>
        <w:tc>
          <w:tcPr>
            <w:tcW w:w="1389" w:type="dxa"/>
            <w:tcBorders>
              <w:left w:val="single" w:sz="12" w:space="0" w:color="auto"/>
            </w:tcBorders>
            <w:vAlign w:val="center"/>
          </w:tcPr>
          <w:p w14:paraId="6B8FFE03"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p w14:paraId="0E10B34D" w14:textId="3C0772FE" w:rsidR="00A25962" w:rsidRPr="00C328C4" w:rsidRDefault="00A25962" w:rsidP="000301D3">
            <w:pPr>
              <w:spacing w:after="0" w:line="240" w:lineRule="auto"/>
              <w:jc w:val="center"/>
              <w:rPr>
                <w:rFonts w:ascii="Arial Narrow" w:hAnsi="Arial Narrow"/>
                <w:b/>
                <w:szCs w:val="20"/>
              </w:rPr>
            </w:pPr>
            <w:r w:rsidRPr="00C328C4">
              <w:rPr>
                <w:rFonts w:ascii="Arial Narrow" w:hAnsi="Arial Narrow" w:cs="Kartika"/>
                <w:sz w:val="18"/>
                <w:szCs w:val="18"/>
              </w:rPr>
              <w:t>1</w:t>
            </w:r>
            <w:r w:rsidR="001877FE">
              <w:rPr>
                <w:rFonts w:ascii="Arial Narrow" w:hAnsi="Arial Narrow" w:cs="Kartika"/>
                <w:sz w:val="18"/>
                <w:szCs w:val="18"/>
              </w:rPr>
              <w:t>(a)</w:t>
            </w:r>
          </w:p>
        </w:tc>
        <w:tc>
          <w:tcPr>
            <w:tcW w:w="1389" w:type="dxa"/>
            <w:vAlign w:val="center"/>
          </w:tcPr>
          <w:p w14:paraId="31BB4E57" w14:textId="77777777" w:rsidR="00A25962" w:rsidRPr="00C328C4" w:rsidRDefault="00A25962" w:rsidP="000301D3">
            <w:pPr>
              <w:spacing w:after="0" w:line="240" w:lineRule="auto"/>
              <w:jc w:val="center"/>
              <w:rPr>
                <w:rFonts w:ascii="Arial Narrow" w:hAnsi="Arial Narrow"/>
                <w:b/>
                <w:szCs w:val="20"/>
              </w:rPr>
            </w:pPr>
            <w:r w:rsidRPr="00C328C4">
              <w:rPr>
                <w:rFonts w:ascii="Arial Narrow" w:hAnsi="Arial Narrow"/>
              </w:rPr>
              <w:sym w:font="Wingdings 2" w:char="F050"/>
            </w:r>
          </w:p>
        </w:tc>
        <w:tc>
          <w:tcPr>
            <w:tcW w:w="1389" w:type="dxa"/>
            <w:vAlign w:val="center"/>
          </w:tcPr>
          <w:p w14:paraId="79B93060" w14:textId="77777777" w:rsidR="00A25962" w:rsidRPr="00C328C4" w:rsidRDefault="00A25962" w:rsidP="000301D3">
            <w:pPr>
              <w:spacing w:after="0" w:line="240" w:lineRule="auto"/>
              <w:jc w:val="center"/>
              <w:rPr>
                <w:rFonts w:ascii="Arial Narrow" w:hAnsi="Arial Narrow"/>
                <w:szCs w:val="20"/>
              </w:rPr>
            </w:pPr>
            <w:r w:rsidRPr="00C328C4">
              <w:rPr>
                <w:rFonts w:ascii="Arial Narrow" w:hAnsi="Arial Narrow" w:cs="Kartika"/>
                <w:sz w:val="18"/>
                <w:szCs w:val="18"/>
              </w:rPr>
              <w:t>N/A</w:t>
            </w:r>
          </w:p>
        </w:tc>
        <w:tc>
          <w:tcPr>
            <w:tcW w:w="1219" w:type="dxa"/>
            <w:shd w:val="clear" w:color="auto" w:fill="auto"/>
            <w:vAlign w:val="center"/>
          </w:tcPr>
          <w:p w14:paraId="5081CBBC" w14:textId="77777777" w:rsidR="00A25962" w:rsidRPr="00C328C4" w:rsidRDefault="00A25962" w:rsidP="000301D3">
            <w:pPr>
              <w:spacing w:after="0" w:line="240" w:lineRule="auto"/>
              <w:jc w:val="center"/>
              <w:rPr>
                <w:rFonts w:ascii="Arial Narrow" w:hAnsi="Arial Narrow"/>
                <w:szCs w:val="20"/>
              </w:rPr>
            </w:pPr>
            <w:r w:rsidRPr="00C328C4">
              <w:rPr>
                <w:rFonts w:ascii="Arial Narrow" w:hAnsi="Arial Narrow" w:cs="Kartika"/>
                <w:sz w:val="18"/>
                <w:szCs w:val="18"/>
              </w:rPr>
              <w:t>N/A</w:t>
            </w:r>
          </w:p>
        </w:tc>
        <w:tc>
          <w:tcPr>
            <w:tcW w:w="1701" w:type="dxa"/>
            <w:vAlign w:val="center"/>
          </w:tcPr>
          <w:p w14:paraId="1E71C4B0"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417" w:type="dxa"/>
            <w:vAlign w:val="center"/>
          </w:tcPr>
          <w:p w14:paraId="0D93622B" w14:textId="77777777" w:rsidR="00A25962" w:rsidRPr="00C328C4" w:rsidRDefault="00A25962" w:rsidP="000301D3">
            <w:pPr>
              <w:spacing w:after="0" w:line="240" w:lineRule="auto"/>
              <w:jc w:val="center"/>
              <w:rPr>
                <w:rFonts w:ascii="Arial Narrow" w:hAnsi="Arial Narrow"/>
                <w:b/>
                <w:szCs w:val="20"/>
              </w:rPr>
            </w:pPr>
            <w:r w:rsidRPr="00C328C4">
              <w:rPr>
                <w:rFonts w:ascii="Arial Narrow" w:hAnsi="Arial Narrow"/>
              </w:rPr>
              <w:sym w:font="Wingdings 2" w:char="F050"/>
            </w:r>
          </w:p>
        </w:tc>
        <w:tc>
          <w:tcPr>
            <w:tcW w:w="1219" w:type="dxa"/>
            <w:shd w:val="clear" w:color="auto" w:fill="D9D9D9"/>
            <w:vAlign w:val="center"/>
          </w:tcPr>
          <w:p w14:paraId="6A29B102" w14:textId="77777777" w:rsidR="00A25962" w:rsidRPr="00C328C4" w:rsidRDefault="00A25962" w:rsidP="000301D3">
            <w:pPr>
              <w:spacing w:after="0" w:line="240" w:lineRule="auto"/>
              <w:jc w:val="center"/>
              <w:rPr>
                <w:rFonts w:ascii="Arial Narrow" w:hAnsi="Arial Narrow"/>
                <w:szCs w:val="20"/>
              </w:rPr>
            </w:pPr>
          </w:p>
        </w:tc>
        <w:tc>
          <w:tcPr>
            <w:tcW w:w="1389" w:type="dxa"/>
            <w:vAlign w:val="center"/>
          </w:tcPr>
          <w:p w14:paraId="5C788C11"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389" w:type="dxa"/>
            <w:vAlign w:val="center"/>
          </w:tcPr>
          <w:p w14:paraId="17A24910"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390" w:type="dxa"/>
            <w:tcBorders>
              <w:right w:val="single" w:sz="12" w:space="0" w:color="auto"/>
            </w:tcBorders>
            <w:vAlign w:val="center"/>
          </w:tcPr>
          <w:p w14:paraId="47D998F8"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p w14:paraId="01CE37BE" w14:textId="0941E2E0"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cs="Kartika"/>
                <w:sz w:val="18"/>
                <w:szCs w:val="18"/>
              </w:rPr>
              <w:t>1</w:t>
            </w:r>
            <w:r w:rsidR="001877FE">
              <w:rPr>
                <w:rFonts w:ascii="Arial Narrow" w:hAnsi="Arial Narrow" w:cs="Kartika"/>
                <w:sz w:val="18"/>
                <w:szCs w:val="18"/>
              </w:rPr>
              <w:t>(a)</w:t>
            </w:r>
          </w:p>
        </w:tc>
      </w:tr>
      <w:tr w:rsidR="00A25962" w:rsidRPr="00C328C4" w14:paraId="0D44A267" w14:textId="77777777" w:rsidTr="000301D3">
        <w:trPr>
          <w:trHeight w:val="397"/>
        </w:trPr>
        <w:tc>
          <w:tcPr>
            <w:tcW w:w="1277" w:type="dxa"/>
            <w:tcBorders>
              <w:left w:val="single" w:sz="12" w:space="0" w:color="auto"/>
              <w:right w:val="single" w:sz="12" w:space="0" w:color="auto"/>
            </w:tcBorders>
            <w:vAlign w:val="center"/>
          </w:tcPr>
          <w:p w14:paraId="45EAE4A7" w14:textId="77777777" w:rsidR="00A25962" w:rsidRPr="00C328C4" w:rsidRDefault="00A25962" w:rsidP="000301D3">
            <w:pPr>
              <w:spacing w:after="0" w:line="240" w:lineRule="auto"/>
              <w:jc w:val="center"/>
              <w:rPr>
                <w:rFonts w:ascii="Arial Narrow" w:hAnsi="Arial Narrow"/>
                <w:b/>
              </w:rPr>
            </w:pPr>
            <w:r w:rsidRPr="00C328C4">
              <w:rPr>
                <w:rFonts w:ascii="Arial Narrow" w:hAnsi="Arial Narrow"/>
                <w:b/>
              </w:rPr>
              <w:t>10</w:t>
            </w:r>
          </w:p>
        </w:tc>
        <w:tc>
          <w:tcPr>
            <w:tcW w:w="1389" w:type="dxa"/>
            <w:tcBorders>
              <w:left w:val="single" w:sz="12" w:space="0" w:color="auto"/>
            </w:tcBorders>
            <w:vAlign w:val="center"/>
          </w:tcPr>
          <w:p w14:paraId="5F52AAEA"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p w14:paraId="0173C175" w14:textId="77777777" w:rsidR="00A25962" w:rsidRPr="00C328C4" w:rsidRDefault="00A25962" w:rsidP="000301D3">
            <w:pPr>
              <w:spacing w:after="0" w:line="240" w:lineRule="auto"/>
              <w:jc w:val="center"/>
              <w:rPr>
                <w:rFonts w:ascii="Arial Narrow" w:hAnsi="Arial Narrow"/>
                <w:b/>
                <w:szCs w:val="20"/>
              </w:rPr>
            </w:pPr>
            <w:r w:rsidRPr="00C328C4">
              <w:rPr>
                <w:rFonts w:ascii="Arial Narrow" w:hAnsi="Arial Narrow" w:cs="Kartika"/>
                <w:sz w:val="18"/>
                <w:szCs w:val="18"/>
              </w:rPr>
              <w:t>1 (a), (b)</w:t>
            </w:r>
          </w:p>
        </w:tc>
        <w:tc>
          <w:tcPr>
            <w:tcW w:w="1389" w:type="dxa"/>
            <w:vAlign w:val="center"/>
          </w:tcPr>
          <w:p w14:paraId="50D14EF0" w14:textId="77777777" w:rsidR="00A25962" w:rsidRPr="00C328C4" w:rsidRDefault="00A25962" w:rsidP="000301D3">
            <w:pPr>
              <w:spacing w:after="0" w:line="240" w:lineRule="auto"/>
              <w:jc w:val="center"/>
              <w:rPr>
                <w:rFonts w:ascii="Arial Narrow" w:hAnsi="Arial Narrow"/>
                <w:b/>
                <w:szCs w:val="20"/>
              </w:rPr>
            </w:pPr>
            <w:r w:rsidRPr="00C328C4">
              <w:rPr>
                <w:rFonts w:ascii="Arial Narrow" w:hAnsi="Arial Narrow"/>
              </w:rPr>
              <w:sym w:font="Wingdings 2" w:char="F050"/>
            </w:r>
          </w:p>
        </w:tc>
        <w:tc>
          <w:tcPr>
            <w:tcW w:w="1389" w:type="dxa"/>
            <w:vAlign w:val="center"/>
          </w:tcPr>
          <w:p w14:paraId="08CE3831" w14:textId="77777777" w:rsidR="00A25962" w:rsidRPr="00C328C4" w:rsidRDefault="00A25962" w:rsidP="000301D3">
            <w:pPr>
              <w:spacing w:after="0" w:line="240" w:lineRule="auto"/>
              <w:jc w:val="center"/>
              <w:rPr>
                <w:rFonts w:ascii="Arial Narrow" w:hAnsi="Arial Narrow"/>
                <w:szCs w:val="20"/>
              </w:rPr>
            </w:pPr>
            <w:r w:rsidRPr="00C328C4">
              <w:rPr>
                <w:rFonts w:ascii="Arial Narrow" w:hAnsi="Arial Narrow" w:cs="Kartika"/>
                <w:sz w:val="18"/>
                <w:szCs w:val="18"/>
              </w:rPr>
              <w:t>N/A</w:t>
            </w:r>
          </w:p>
        </w:tc>
        <w:tc>
          <w:tcPr>
            <w:tcW w:w="1219" w:type="dxa"/>
            <w:shd w:val="clear" w:color="auto" w:fill="auto"/>
            <w:vAlign w:val="center"/>
          </w:tcPr>
          <w:p w14:paraId="6A4E5710" w14:textId="77777777" w:rsidR="00A25962" w:rsidRPr="00C328C4" w:rsidRDefault="00A25962" w:rsidP="000301D3">
            <w:pPr>
              <w:spacing w:after="0" w:line="240" w:lineRule="auto"/>
              <w:jc w:val="center"/>
              <w:rPr>
                <w:rFonts w:ascii="Arial Narrow" w:hAnsi="Arial Narrow"/>
                <w:szCs w:val="20"/>
              </w:rPr>
            </w:pPr>
            <w:r w:rsidRPr="00C328C4">
              <w:rPr>
                <w:rFonts w:ascii="Arial Narrow" w:hAnsi="Arial Narrow" w:cs="Kartika"/>
                <w:sz w:val="18"/>
                <w:szCs w:val="18"/>
              </w:rPr>
              <w:t>N/A</w:t>
            </w:r>
          </w:p>
        </w:tc>
        <w:tc>
          <w:tcPr>
            <w:tcW w:w="1701" w:type="dxa"/>
            <w:vAlign w:val="center"/>
          </w:tcPr>
          <w:p w14:paraId="5A6EE18B"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417" w:type="dxa"/>
            <w:vAlign w:val="center"/>
          </w:tcPr>
          <w:p w14:paraId="6ACF7E71" w14:textId="77777777" w:rsidR="00A25962" w:rsidRPr="00C328C4" w:rsidRDefault="00A25962" w:rsidP="000301D3">
            <w:pPr>
              <w:spacing w:after="0" w:line="240" w:lineRule="auto"/>
              <w:jc w:val="center"/>
              <w:rPr>
                <w:rFonts w:ascii="Arial Narrow" w:hAnsi="Arial Narrow"/>
                <w:b/>
                <w:szCs w:val="20"/>
              </w:rPr>
            </w:pPr>
            <w:r w:rsidRPr="00C328C4">
              <w:rPr>
                <w:rFonts w:ascii="Arial Narrow" w:hAnsi="Arial Narrow"/>
              </w:rPr>
              <w:sym w:font="Wingdings 2" w:char="F050"/>
            </w:r>
          </w:p>
        </w:tc>
        <w:tc>
          <w:tcPr>
            <w:tcW w:w="1219" w:type="dxa"/>
            <w:shd w:val="clear" w:color="auto" w:fill="D9D9D9"/>
            <w:vAlign w:val="center"/>
          </w:tcPr>
          <w:p w14:paraId="353292F0" w14:textId="77777777" w:rsidR="00A25962" w:rsidRPr="00C328C4" w:rsidRDefault="00A25962" w:rsidP="000301D3">
            <w:pPr>
              <w:spacing w:after="0" w:line="240" w:lineRule="auto"/>
              <w:jc w:val="center"/>
              <w:rPr>
                <w:rFonts w:ascii="Arial Narrow" w:hAnsi="Arial Narrow"/>
                <w:szCs w:val="20"/>
              </w:rPr>
            </w:pPr>
          </w:p>
        </w:tc>
        <w:tc>
          <w:tcPr>
            <w:tcW w:w="1389" w:type="dxa"/>
            <w:vAlign w:val="center"/>
          </w:tcPr>
          <w:p w14:paraId="703BCB97"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389" w:type="dxa"/>
            <w:vAlign w:val="center"/>
          </w:tcPr>
          <w:p w14:paraId="40FE47DB"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390" w:type="dxa"/>
            <w:tcBorders>
              <w:right w:val="single" w:sz="12" w:space="0" w:color="auto"/>
            </w:tcBorders>
            <w:vAlign w:val="center"/>
          </w:tcPr>
          <w:p w14:paraId="76177AE4"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p w14:paraId="7DD270F7"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cs="Kartika"/>
                <w:sz w:val="18"/>
                <w:szCs w:val="18"/>
              </w:rPr>
              <w:t>1 (a), (b)</w:t>
            </w:r>
          </w:p>
        </w:tc>
      </w:tr>
      <w:tr w:rsidR="00A25962" w:rsidRPr="00C328C4" w14:paraId="411219C3" w14:textId="77777777" w:rsidTr="000301D3">
        <w:trPr>
          <w:trHeight w:val="397"/>
        </w:trPr>
        <w:tc>
          <w:tcPr>
            <w:tcW w:w="1277" w:type="dxa"/>
            <w:tcBorders>
              <w:left w:val="single" w:sz="12" w:space="0" w:color="auto"/>
              <w:right w:val="single" w:sz="12" w:space="0" w:color="auto"/>
            </w:tcBorders>
            <w:vAlign w:val="center"/>
          </w:tcPr>
          <w:p w14:paraId="1D1707D6" w14:textId="77777777" w:rsidR="00A25962" w:rsidRPr="00C328C4" w:rsidRDefault="00A25962" w:rsidP="000301D3">
            <w:pPr>
              <w:spacing w:after="0" w:line="240" w:lineRule="auto"/>
              <w:jc w:val="center"/>
              <w:rPr>
                <w:rFonts w:ascii="Arial Narrow" w:hAnsi="Arial Narrow"/>
                <w:b/>
              </w:rPr>
            </w:pPr>
            <w:r w:rsidRPr="00C328C4">
              <w:rPr>
                <w:rFonts w:ascii="Arial Narrow" w:hAnsi="Arial Narrow"/>
                <w:b/>
              </w:rPr>
              <w:t>11</w:t>
            </w:r>
          </w:p>
        </w:tc>
        <w:tc>
          <w:tcPr>
            <w:tcW w:w="1389" w:type="dxa"/>
            <w:tcBorders>
              <w:left w:val="single" w:sz="12" w:space="0" w:color="auto"/>
            </w:tcBorders>
            <w:vAlign w:val="center"/>
          </w:tcPr>
          <w:p w14:paraId="17945BFC" w14:textId="77777777" w:rsidR="00A25962" w:rsidRPr="00C328C4" w:rsidRDefault="00A25962" w:rsidP="000301D3">
            <w:pPr>
              <w:spacing w:after="0" w:line="240" w:lineRule="auto"/>
              <w:jc w:val="center"/>
              <w:rPr>
                <w:rFonts w:ascii="Arial Narrow" w:hAnsi="Arial Narrow"/>
                <w:b/>
                <w:szCs w:val="20"/>
              </w:rPr>
            </w:pPr>
            <w:r w:rsidRPr="00C328C4">
              <w:rPr>
                <w:rFonts w:ascii="Arial Narrow" w:hAnsi="Arial Narrow"/>
              </w:rPr>
              <w:sym w:font="Wingdings 2" w:char="F050"/>
            </w:r>
          </w:p>
        </w:tc>
        <w:tc>
          <w:tcPr>
            <w:tcW w:w="1389" w:type="dxa"/>
            <w:vAlign w:val="center"/>
          </w:tcPr>
          <w:p w14:paraId="319991B6" w14:textId="77777777" w:rsidR="00A25962" w:rsidRPr="00C328C4" w:rsidRDefault="00A25962" w:rsidP="000301D3">
            <w:pPr>
              <w:spacing w:after="0" w:line="240" w:lineRule="auto"/>
              <w:jc w:val="center"/>
              <w:rPr>
                <w:rFonts w:ascii="Arial Narrow" w:hAnsi="Arial Narrow"/>
                <w:b/>
                <w:szCs w:val="20"/>
              </w:rPr>
            </w:pPr>
            <w:r w:rsidRPr="00C328C4">
              <w:rPr>
                <w:rFonts w:ascii="Arial Narrow" w:hAnsi="Arial Narrow"/>
              </w:rPr>
              <w:sym w:font="Wingdings 2" w:char="F050"/>
            </w:r>
          </w:p>
        </w:tc>
        <w:tc>
          <w:tcPr>
            <w:tcW w:w="1389" w:type="dxa"/>
            <w:vAlign w:val="center"/>
          </w:tcPr>
          <w:p w14:paraId="6B77D1AD" w14:textId="77777777" w:rsidR="00A25962" w:rsidRPr="00C328C4" w:rsidRDefault="00A25962" w:rsidP="000301D3">
            <w:pPr>
              <w:spacing w:after="0" w:line="240" w:lineRule="auto"/>
              <w:jc w:val="center"/>
              <w:rPr>
                <w:rFonts w:ascii="Arial Narrow" w:hAnsi="Arial Narrow"/>
                <w:szCs w:val="20"/>
              </w:rPr>
            </w:pPr>
            <w:r w:rsidRPr="00C328C4">
              <w:rPr>
                <w:rFonts w:ascii="Arial Narrow" w:hAnsi="Arial Narrow" w:cs="Kartika"/>
                <w:sz w:val="18"/>
                <w:szCs w:val="18"/>
              </w:rPr>
              <w:t>N/A</w:t>
            </w:r>
          </w:p>
        </w:tc>
        <w:tc>
          <w:tcPr>
            <w:tcW w:w="1219" w:type="dxa"/>
            <w:shd w:val="clear" w:color="auto" w:fill="auto"/>
            <w:vAlign w:val="center"/>
          </w:tcPr>
          <w:p w14:paraId="6EB3BC87" w14:textId="77777777" w:rsidR="00A25962" w:rsidRPr="00C328C4" w:rsidRDefault="00A25962" w:rsidP="000301D3">
            <w:pPr>
              <w:spacing w:after="0" w:line="240" w:lineRule="auto"/>
              <w:jc w:val="center"/>
              <w:rPr>
                <w:rFonts w:ascii="Arial Narrow" w:hAnsi="Arial Narrow"/>
                <w:szCs w:val="20"/>
              </w:rPr>
            </w:pPr>
            <w:r w:rsidRPr="00C328C4">
              <w:rPr>
                <w:rFonts w:ascii="Arial Narrow" w:hAnsi="Arial Narrow" w:cs="Kartika"/>
                <w:sz w:val="18"/>
                <w:szCs w:val="18"/>
              </w:rPr>
              <w:t>N/A</w:t>
            </w:r>
          </w:p>
        </w:tc>
        <w:tc>
          <w:tcPr>
            <w:tcW w:w="1701" w:type="dxa"/>
            <w:vAlign w:val="center"/>
          </w:tcPr>
          <w:p w14:paraId="0054696E"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417" w:type="dxa"/>
            <w:vAlign w:val="center"/>
          </w:tcPr>
          <w:p w14:paraId="415D411B" w14:textId="77777777" w:rsidR="00A25962" w:rsidRPr="00C328C4" w:rsidRDefault="00A25962" w:rsidP="000301D3">
            <w:pPr>
              <w:spacing w:after="0" w:line="240" w:lineRule="auto"/>
              <w:jc w:val="center"/>
              <w:rPr>
                <w:rFonts w:ascii="Arial Narrow" w:hAnsi="Arial Narrow"/>
                <w:b/>
                <w:szCs w:val="20"/>
              </w:rPr>
            </w:pPr>
            <w:r w:rsidRPr="00C328C4">
              <w:rPr>
                <w:rFonts w:ascii="Arial Narrow" w:hAnsi="Arial Narrow"/>
              </w:rPr>
              <w:sym w:font="Wingdings 2" w:char="F050"/>
            </w:r>
          </w:p>
        </w:tc>
        <w:tc>
          <w:tcPr>
            <w:tcW w:w="1219" w:type="dxa"/>
            <w:shd w:val="clear" w:color="auto" w:fill="D9D9D9"/>
            <w:vAlign w:val="center"/>
          </w:tcPr>
          <w:p w14:paraId="31977FBA" w14:textId="77777777" w:rsidR="00A25962" w:rsidRPr="00C328C4" w:rsidRDefault="00A25962" w:rsidP="000301D3">
            <w:pPr>
              <w:spacing w:after="0" w:line="240" w:lineRule="auto"/>
              <w:jc w:val="center"/>
              <w:rPr>
                <w:rFonts w:ascii="Arial Narrow" w:hAnsi="Arial Narrow"/>
                <w:szCs w:val="20"/>
              </w:rPr>
            </w:pPr>
          </w:p>
        </w:tc>
        <w:tc>
          <w:tcPr>
            <w:tcW w:w="1389" w:type="dxa"/>
            <w:vAlign w:val="center"/>
          </w:tcPr>
          <w:p w14:paraId="1C0BDF69"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389" w:type="dxa"/>
            <w:vAlign w:val="center"/>
          </w:tcPr>
          <w:p w14:paraId="0E8674A6"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rPr>
              <w:sym w:font="Wingdings 2" w:char="F050"/>
            </w:r>
          </w:p>
        </w:tc>
        <w:tc>
          <w:tcPr>
            <w:tcW w:w="1390" w:type="dxa"/>
            <w:tcBorders>
              <w:right w:val="single" w:sz="12" w:space="0" w:color="auto"/>
            </w:tcBorders>
            <w:vAlign w:val="center"/>
          </w:tcPr>
          <w:p w14:paraId="5735ABF1" w14:textId="77777777" w:rsidR="00A25962" w:rsidRPr="00C328C4" w:rsidRDefault="00A25962" w:rsidP="000301D3">
            <w:pPr>
              <w:spacing w:after="0" w:line="240" w:lineRule="auto"/>
              <w:jc w:val="center"/>
              <w:rPr>
                <w:rFonts w:ascii="Arial Narrow" w:hAnsi="Arial Narrow"/>
                <w:szCs w:val="20"/>
              </w:rPr>
            </w:pPr>
            <w:r w:rsidRPr="00C328C4">
              <w:rPr>
                <w:rFonts w:ascii="Arial Narrow" w:hAnsi="Arial Narrow"/>
              </w:rPr>
              <w:sym w:font="Wingdings 2" w:char="F050"/>
            </w:r>
          </w:p>
        </w:tc>
      </w:tr>
      <w:tr w:rsidR="00A25962" w:rsidRPr="004D676F" w14:paraId="79433F27" w14:textId="77777777" w:rsidTr="000301D3">
        <w:trPr>
          <w:trHeight w:val="397"/>
        </w:trPr>
        <w:tc>
          <w:tcPr>
            <w:tcW w:w="1277" w:type="dxa"/>
            <w:tcBorders>
              <w:left w:val="single" w:sz="12" w:space="0" w:color="auto"/>
              <w:right w:val="single" w:sz="12" w:space="0" w:color="auto"/>
            </w:tcBorders>
            <w:vAlign w:val="center"/>
          </w:tcPr>
          <w:p w14:paraId="6E73262E" w14:textId="77777777" w:rsidR="00A25962" w:rsidRPr="003F4FCE" w:rsidRDefault="00A25962" w:rsidP="000301D3">
            <w:pPr>
              <w:spacing w:after="0" w:line="240" w:lineRule="auto"/>
              <w:jc w:val="center"/>
              <w:rPr>
                <w:rFonts w:ascii="Arial Narrow" w:hAnsi="Arial Narrow"/>
                <w:b/>
              </w:rPr>
            </w:pPr>
            <w:r w:rsidRPr="003F4FCE">
              <w:rPr>
                <w:rFonts w:ascii="Arial Narrow" w:hAnsi="Arial Narrow"/>
                <w:b/>
              </w:rPr>
              <w:t>12</w:t>
            </w:r>
          </w:p>
        </w:tc>
        <w:tc>
          <w:tcPr>
            <w:tcW w:w="1389" w:type="dxa"/>
            <w:tcBorders>
              <w:left w:val="single" w:sz="12" w:space="0" w:color="auto"/>
            </w:tcBorders>
            <w:vAlign w:val="center"/>
          </w:tcPr>
          <w:p w14:paraId="528C9278" w14:textId="3946992A" w:rsidR="00A25962" w:rsidRPr="00A2043E" w:rsidRDefault="00DC5DBE" w:rsidP="000301D3">
            <w:pPr>
              <w:spacing w:after="0" w:line="240" w:lineRule="auto"/>
              <w:jc w:val="center"/>
              <w:rPr>
                <w:rFonts w:ascii="Arial Narrow" w:hAnsi="Arial Narrow"/>
                <w:sz w:val="18"/>
              </w:rPr>
            </w:pPr>
            <w:r w:rsidRPr="00C328C4">
              <w:rPr>
                <w:rFonts w:ascii="Arial Narrow" w:hAnsi="Arial Narrow" w:cs="Kartika"/>
                <w:sz w:val="18"/>
                <w:szCs w:val="18"/>
              </w:rPr>
              <w:t>N/A</w:t>
            </w:r>
            <w:r w:rsidR="001877FE">
              <w:rPr>
                <w:rFonts w:ascii="Arial Narrow" w:hAnsi="Arial Narrow" w:cs="Kartika"/>
                <w:sz w:val="18"/>
                <w:szCs w:val="18"/>
              </w:rPr>
              <w:t>: 1</w:t>
            </w:r>
          </w:p>
        </w:tc>
        <w:tc>
          <w:tcPr>
            <w:tcW w:w="1389" w:type="dxa"/>
            <w:vAlign w:val="center"/>
          </w:tcPr>
          <w:p w14:paraId="75DBE4AD" w14:textId="77777777" w:rsidR="00A25962" w:rsidRPr="00A2043E" w:rsidRDefault="00A25962" w:rsidP="000301D3">
            <w:pPr>
              <w:spacing w:after="0" w:line="240" w:lineRule="auto"/>
              <w:jc w:val="center"/>
              <w:rPr>
                <w:rFonts w:ascii="Arial Narrow" w:hAnsi="Arial Narrow"/>
              </w:rPr>
            </w:pPr>
            <w:r w:rsidRPr="003F4FCE">
              <w:rPr>
                <w:rFonts w:ascii="Arial Narrow" w:hAnsi="Arial Narrow"/>
              </w:rPr>
              <w:sym w:font="Wingdings 2" w:char="F050"/>
            </w:r>
          </w:p>
        </w:tc>
        <w:tc>
          <w:tcPr>
            <w:tcW w:w="1389" w:type="dxa"/>
            <w:vAlign w:val="center"/>
          </w:tcPr>
          <w:p w14:paraId="0FE0ADF2" w14:textId="77777777" w:rsidR="00A25962" w:rsidRPr="00A2043E" w:rsidRDefault="00A25962" w:rsidP="000301D3">
            <w:pPr>
              <w:spacing w:after="0" w:line="240" w:lineRule="auto"/>
              <w:jc w:val="center"/>
              <w:rPr>
                <w:rFonts w:ascii="Arial Narrow" w:hAnsi="Arial Narrow"/>
                <w:sz w:val="18"/>
              </w:rPr>
            </w:pPr>
            <w:r w:rsidRPr="003F4FCE">
              <w:rPr>
                <w:rFonts w:ascii="Arial Narrow" w:hAnsi="Arial Narrow" w:cs="Kartika"/>
                <w:sz w:val="18"/>
                <w:szCs w:val="18"/>
              </w:rPr>
              <w:t>N/A</w:t>
            </w:r>
          </w:p>
        </w:tc>
        <w:tc>
          <w:tcPr>
            <w:tcW w:w="1219" w:type="dxa"/>
            <w:shd w:val="clear" w:color="auto" w:fill="auto"/>
            <w:vAlign w:val="center"/>
          </w:tcPr>
          <w:p w14:paraId="397DE260" w14:textId="77777777" w:rsidR="00A25962" w:rsidRPr="00A2043E" w:rsidRDefault="00A25962" w:rsidP="000301D3">
            <w:pPr>
              <w:spacing w:after="0" w:line="240" w:lineRule="auto"/>
              <w:jc w:val="center"/>
              <w:rPr>
                <w:rFonts w:ascii="Arial Narrow" w:hAnsi="Arial Narrow"/>
                <w:sz w:val="18"/>
              </w:rPr>
            </w:pPr>
            <w:r w:rsidRPr="003F4FCE">
              <w:rPr>
                <w:rFonts w:ascii="Arial Narrow" w:hAnsi="Arial Narrow" w:cs="Kartika"/>
                <w:sz w:val="18"/>
                <w:szCs w:val="18"/>
              </w:rPr>
              <w:t>N/A</w:t>
            </w:r>
          </w:p>
        </w:tc>
        <w:tc>
          <w:tcPr>
            <w:tcW w:w="1701" w:type="dxa"/>
            <w:vAlign w:val="center"/>
          </w:tcPr>
          <w:p w14:paraId="2D623EF7" w14:textId="77777777" w:rsidR="00A25962" w:rsidRPr="00A2043E" w:rsidRDefault="00A25962" w:rsidP="000301D3">
            <w:pPr>
              <w:spacing w:after="0" w:line="240" w:lineRule="auto"/>
              <w:jc w:val="center"/>
              <w:rPr>
                <w:rFonts w:ascii="Arial Narrow" w:hAnsi="Arial Narrow"/>
                <w:sz w:val="18"/>
              </w:rPr>
            </w:pPr>
            <w:r w:rsidRPr="003F4FCE">
              <w:rPr>
                <w:rFonts w:ascii="Arial Narrow" w:hAnsi="Arial Narrow" w:cs="Kartika"/>
                <w:sz w:val="18"/>
                <w:szCs w:val="18"/>
              </w:rPr>
              <w:t>N/A</w:t>
            </w:r>
          </w:p>
        </w:tc>
        <w:tc>
          <w:tcPr>
            <w:tcW w:w="1417" w:type="dxa"/>
            <w:vAlign w:val="center"/>
          </w:tcPr>
          <w:p w14:paraId="2D164526" w14:textId="77777777" w:rsidR="00A25962" w:rsidRPr="00A2043E" w:rsidRDefault="00A25962" w:rsidP="000301D3">
            <w:pPr>
              <w:spacing w:after="0" w:line="240" w:lineRule="auto"/>
              <w:jc w:val="center"/>
              <w:rPr>
                <w:rFonts w:ascii="Arial Narrow" w:hAnsi="Arial Narrow"/>
              </w:rPr>
            </w:pPr>
            <w:r w:rsidRPr="003F4FCE">
              <w:rPr>
                <w:rFonts w:ascii="Arial Narrow" w:hAnsi="Arial Narrow"/>
              </w:rPr>
              <w:sym w:font="Wingdings 2" w:char="F050"/>
            </w:r>
          </w:p>
        </w:tc>
        <w:tc>
          <w:tcPr>
            <w:tcW w:w="1219" w:type="dxa"/>
            <w:shd w:val="clear" w:color="auto" w:fill="D9D9D9"/>
            <w:vAlign w:val="center"/>
          </w:tcPr>
          <w:p w14:paraId="4A679E38" w14:textId="77777777" w:rsidR="00A25962" w:rsidRPr="003F4FCE" w:rsidRDefault="00A25962" w:rsidP="000301D3">
            <w:pPr>
              <w:spacing w:after="0" w:line="240" w:lineRule="auto"/>
              <w:jc w:val="center"/>
              <w:rPr>
                <w:rFonts w:ascii="Arial Narrow" w:hAnsi="Arial Narrow"/>
                <w:szCs w:val="20"/>
              </w:rPr>
            </w:pPr>
          </w:p>
        </w:tc>
        <w:tc>
          <w:tcPr>
            <w:tcW w:w="1389" w:type="dxa"/>
            <w:vAlign w:val="center"/>
          </w:tcPr>
          <w:p w14:paraId="042D94E7" w14:textId="77777777" w:rsidR="00A25962" w:rsidRPr="00A2043E" w:rsidRDefault="00A25962" w:rsidP="000301D3">
            <w:pPr>
              <w:spacing w:after="0" w:line="240" w:lineRule="auto"/>
              <w:jc w:val="center"/>
              <w:rPr>
                <w:rFonts w:ascii="Arial Narrow" w:hAnsi="Arial Narrow"/>
                <w:sz w:val="18"/>
              </w:rPr>
            </w:pPr>
            <w:r w:rsidRPr="003F4FCE">
              <w:rPr>
                <w:rFonts w:ascii="Arial Narrow" w:hAnsi="Arial Narrow" w:cs="Kartika"/>
                <w:sz w:val="18"/>
                <w:szCs w:val="18"/>
              </w:rPr>
              <w:t>N/A</w:t>
            </w:r>
          </w:p>
        </w:tc>
        <w:tc>
          <w:tcPr>
            <w:tcW w:w="1389" w:type="dxa"/>
            <w:vAlign w:val="center"/>
          </w:tcPr>
          <w:p w14:paraId="63B60B20" w14:textId="2A40E157" w:rsidR="00A25962" w:rsidRPr="00A2043E" w:rsidRDefault="00B12FED" w:rsidP="00B12FED">
            <w:pPr>
              <w:spacing w:after="0" w:line="240" w:lineRule="auto"/>
              <w:jc w:val="center"/>
              <w:rPr>
                <w:rFonts w:ascii="Arial Narrow" w:hAnsi="Arial Narrow"/>
                <w:sz w:val="18"/>
              </w:rPr>
            </w:pPr>
            <w:r w:rsidRPr="00B51B46">
              <w:rPr>
                <w:rFonts w:ascii="Arial Narrow" w:hAnsi="Arial Narrow" w:cs="Kartika"/>
                <w:sz w:val="18"/>
                <w:szCs w:val="18"/>
              </w:rPr>
              <w:t>N/A:1</w:t>
            </w:r>
          </w:p>
        </w:tc>
        <w:tc>
          <w:tcPr>
            <w:tcW w:w="1390" w:type="dxa"/>
            <w:tcBorders>
              <w:right w:val="single" w:sz="12" w:space="0" w:color="auto"/>
            </w:tcBorders>
            <w:vAlign w:val="center"/>
          </w:tcPr>
          <w:p w14:paraId="59D5C714" w14:textId="3C004CB4" w:rsidR="00A25962" w:rsidRPr="00A2043E" w:rsidRDefault="00B12FED" w:rsidP="000301D3">
            <w:pPr>
              <w:spacing w:after="0" w:line="240" w:lineRule="auto"/>
              <w:jc w:val="center"/>
              <w:rPr>
                <w:rFonts w:ascii="Arial Narrow" w:hAnsi="Arial Narrow"/>
                <w:sz w:val="18"/>
              </w:rPr>
            </w:pPr>
            <w:r w:rsidRPr="002D3476">
              <w:rPr>
                <w:rFonts w:ascii="Arial Narrow" w:hAnsi="Arial Narrow" w:cs="Kartika"/>
                <w:sz w:val="18"/>
                <w:szCs w:val="18"/>
              </w:rPr>
              <w:t xml:space="preserve"> N/A:1</w:t>
            </w:r>
          </w:p>
        </w:tc>
      </w:tr>
      <w:tr w:rsidR="00A25962" w:rsidRPr="00C328C4" w14:paraId="5CD82F77" w14:textId="77777777" w:rsidTr="000301D3">
        <w:trPr>
          <w:trHeight w:val="397"/>
        </w:trPr>
        <w:tc>
          <w:tcPr>
            <w:tcW w:w="1277" w:type="dxa"/>
            <w:tcBorders>
              <w:left w:val="single" w:sz="12" w:space="0" w:color="auto"/>
              <w:right w:val="single" w:sz="12" w:space="0" w:color="auto"/>
            </w:tcBorders>
            <w:vAlign w:val="center"/>
          </w:tcPr>
          <w:p w14:paraId="23DAA2CC" w14:textId="77777777" w:rsidR="00A25962" w:rsidRPr="00C328C4" w:rsidRDefault="00A25962" w:rsidP="000301D3">
            <w:pPr>
              <w:spacing w:after="0" w:line="240" w:lineRule="auto"/>
              <w:jc w:val="center"/>
              <w:rPr>
                <w:rFonts w:ascii="Arial Narrow" w:hAnsi="Arial Narrow"/>
                <w:b/>
              </w:rPr>
            </w:pPr>
            <w:r w:rsidRPr="00C328C4">
              <w:rPr>
                <w:rFonts w:ascii="Arial Narrow" w:hAnsi="Arial Narrow"/>
                <w:b/>
              </w:rPr>
              <w:t>1</w:t>
            </w:r>
            <w:r>
              <w:rPr>
                <w:rFonts w:ascii="Arial Narrow" w:hAnsi="Arial Narrow"/>
                <w:b/>
              </w:rPr>
              <w:t>3</w:t>
            </w:r>
          </w:p>
        </w:tc>
        <w:tc>
          <w:tcPr>
            <w:tcW w:w="1389" w:type="dxa"/>
            <w:tcBorders>
              <w:left w:val="single" w:sz="12" w:space="0" w:color="auto"/>
            </w:tcBorders>
            <w:vAlign w:val="center"/>
          </w:tcPr>
          <w:p w14:paraId="15A427AE" w14:textId="728B6B08"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389" w:type="dxa"/>
            <w:vAlign w:val="center"/>
          </w:tcPr>
          <w:p w14:paraId="55930132" w14:textId="77777777" w:rsidR="00A25962" w:rsidRPr="00A2043E" w:rsidRDefault="00A25962" w:rsidP="000301D3">
            <w:pPr>
              <w:spacing w:after="0" w:line="240" w:lineRule="auto"/>
              <w:jc w:val="center"/>
              <w:rPr>
                <w:rFonts w:ascii="Arial Narrow" w:hAnsi="Arial Narrow"/>
                <w:b/>
              </w:rPr>
            </w:pPr>
            <w:r w:rsidRPr="00C328C4">
              <w:rPr>
                <w:rFonts w:ascii="Arial Narrow" w:hAnsi="Arial Narrow"/>
              </w:rPr>
              <w:sym w:font="Wingdings 2" w:char="F050"/>
            </w:r>
          </w:p>
        </w:tc>
        <w:tc>
          <w:tcPr>
            <w:tcW w:w="1389" w:type="dxa"/>
            <w:vAlign w:val="center"/>
          </w:tcPr>
          <w:p w14:paraId="03A1C3D8" w14:textId="77777777" w:rsidR="00A25962" w:rsidRPr="00C328C4" w:rsidRDefault="00A25962" w:rsidP="000301D3">
            <w:pPr>
              <w:spacing w:after="0" w:line="240" w:lineRule="auto"/>
              <w:jc w:val="center"/>
              <w:rPr>
                <w:rFonts w:ascii="Arial Narrow" w:hAnsi="Arial Narrow"/>
                <w:szCs w:val="20"/>
              </w:rPr>
            </w:pPr>
            <w:r w:rsidRPr="00C328C4">
              <w:rPr>
                <w:rFonts w:ascii="Arial Narrow" w:hAnsi="Arial Narrow" w:cs="Kartika"/>
                <w:sz w:val="18"/>
                <w:szCs w:val="18"/>
              </w:rPr>
              <w:t>N/A</w:t>
            </w:r>
          </w:p>
        </w:tc>
        <w:tc>
          <w:tcPr>
            <w:tcW w:w="1219" w:type="dxa"/>
            <w:shd w:val="clear" w:color="auto" w:fill="auto"/>
            <w:vAlign w:val="center"/>
          </w:tcPr>
          <w:p w14:paraId="6FE2DF6D" w14:textId="77777777" w:rsidR="00A25962" w:rsidRPr="00C328C4" w:rsidRDefault="00A25962" w:rsidP="000301D3">
            <w:pPr>
              <w:spacing w:after="0" w:line="240" w:lineRule="auto"/>
              <w:jc w:val="center"/>
              <w:rPr>
                <w:rFonts w:ascii="Arial Narrow" w:hAnsi="Arial Narrow"/>
                <w:szCs w:val="20"/>
              </w:rPr>
            </w:pPr>
            <w:r w:rsidRPr="00C328C4">
              <w:rPr>
                <w:rFonts w:ascii="Arial Narrow" w:hAnsi="Arial Narrow" w:cs="Kartika"/>
                <w:sz w:val="18"/>
                <w:szCs w:val="18"/>
              </w:rPr>
              <w:t>N/A</w:t>
            </w:r>
          </w:p>
        </w:tc>
        <w:tc>
          <w:tcPr>
            <w:tcW w:w="1701" w:type="dxa"/>
            <w:vAlign w:val="center"/>
          </w:tcPr>
          <w:p w14:paraId="6DA24E02"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417" w:type="dxa"/>
            <w:vAlign w:val="center"/>
          </w:tcPr>
          <w:p w14:paraId="069794D9" w14:textId="77777777" w:rsidR="00A25962" w:rsidRPr="00A2043E" w:rsidRDefault="00A25962" w:rsidP="000301D3">
            <w:pPr>
              <w:spacing w:after="0" w:line="240" w:lineRule="auto"/>
              <w:jc w:val="center"/>
              <w:rPr>
                <w:rFonts w:ascii="Arial Narrow" w:hAnsi="Arial Narrow"/>
                <w:b/>
              </w:rPr>
            </w:pPr>
            <w:r w:rsidRPr="00C328C4">
              <w:rPr>
                <w:rFonts w:ascii="Arial Narrow" w:hAnsi="Arial Narrow"/>
              </w:rPr>
              <w:sym w:font="Wingdings 2" w:char="F050"/>
            </w:r>
          </w:p>
        </w:tc>
        <w:tc>
          <w:tcPr>
            <w:tcW w:w="1219" w:type="dxa"/>
            <w:shd w:val="clear" w:color="auto" w:fill="D9D9D9"/>
            <w:vAlign w:val="center"/>
          </w:tcPr>
          <w:p w14:paraId="0035EE86" w14:textId="77777777" w:rsidR="00A25962" w:rsidRPr="00C328C4" w:rsidRDefault="00A25962" w:rsidP="000301D3">
            <w:pPr>
              <w:spacing w:after="0" w:line="240" w:lineRule="auto"/>
              <w:jc w:val="center"/>
              <w:rPr>
                <w:rFonts w:ascii="Arial Narrow" w:hAnsi="Arial Narrow"/>
                <w:szCs w:val="20"/>
              </w:rPr>
            </w:pPr>
          </w:p>
        </w:tc>
        <w:tc>
          <w:tcPr>
            <w:tcW w:w="1389" w:type="dxa"/>
            <w:vAlign w:val="center"/>
          </w:tcPr>
          <w:p w14:paraId="300C4C2B"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389" w:type="dxa"/>
            <w:vAlign w:val="center"/>
          </w:tcPr>
          <w:p w14:paraId="62D2DE05"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390" w:type="dxa"/>
            <w:tcBorders>
              <w:right w:val="single" w:sz="12" w:space="0" w:color="auto"/>
            </w:tcBorders>
            <w:vAlign w:val="center"/>
          </w:tcPr>
          <w:p w14:paraId="4E9C4A38" w14:textId="69960358" w:rsidR="00A25962" w:rsidRPr="00A2043E" w:rsidRDefault="00A25962" w:rsidP="000301D3">
            <w:pPr>
              <w:spacing w:after="0" w:line="240" w:lineRule="auto"/>
              <w:jc w:val="center"/>
              <w:rPr>
                <w:rFonts w:ascii="Arial Narrow" w:hAnsi="Arial Narrow"/>
              </w:rPr>
            </w:pPr>
            <w:r w:rsidRPr="00C328C4">
              <w:rPr>
                <w:rFonts w:ascii="Arial Narrow" w:hAnsi="Arial Narrow" w:cs="Kartika"/>
                <w:sz w:val="18"/>
                <w:szCs w:val="18"/>
              </w:rPr>
              <w:t>N/A</w:t>
            </w:r>
          </w:p>
        </w:tc>
      </w:tr>
      <w:tr w:rsidR="00A25962" w:rsidRPr="00C328C4" w14:paraId="31898A2C" w14:textId="77777777" w:rsidTr="000301D3">
        <w:trPr>
          <w:trHeight w:val="397"/>
        </w:trPr>
        <w:tc>
          <w:tcPr>
            <w:tcW w:w="1277" w:type="dxa"/>
            <w:tcBorders>
              <w:left w:val="single" w:sz="12" w:space="0" w:color="auto"/>
              <w:right w:val="single" w:sz="12" w:space="0" w:color="auto"/>
            </w:tcBorders>
            <w:vAlign w:val="center"/>
          </w:tcPr>
          <w:p w14:paraId="6CA1E25C" w14:textId="77777777" w:rsidR="00A25962" w:rsidRPr="00C328C4" w:rsidRDefault="00A25962" w:rsidP="000301D3">
            <w:pPr>
              <w:spacing w:after="0" w:line="240" w:lineRule="auto"/>
              <w:jc w:val="center"/>
              <w:rPr>
                <w:rFonts w:ascii="Arial Narrow" w:hAnsi="Arial Narrow"/>
                <w:b/>
              </w:rPr>
            </w:pPr>
            <w:r w:rsidRPr="00C328C4">
              <w:rPr>
                <w:rFonts w:ascii="Arial Narrow" w:hAnsi="Arial Narrow"/>
                <w:b/>
              </w:rPr>
              <w:t>1</w:t>
            </w:r>
            <w:r>
              <w:rPr>
                <w:rFonts w:ascii="Arial Narrow" w:hAnsi="Arial Narrow"/>
                <w:b/>
              </w:rPr>
              <w:t>4</w:t>
            </w:r>
          </w:p>
        </w:tc>
        <w:tc>
          <w:tcPr>
            <w:tcW w:w="1389" w:type="dxa"/>
            <w:tcBorders>
              <w:left w:val="single" w:sz="12" w:space="0" w:color="auto"/>
            </w:tcBorders>
            <w:vAlign w:val="center"/>
          </w:tcPr>
          <w:p w14:paraId="1975E679"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rPr>
              <w:sym w:font="Wingdings 2" w:char="F050"/>
            </w:r>
          </w:p>
        </w:tc>
        <w:tc>
          <w:tcPr>
            <w:tcW w:w="1389" w:type="dxa"/>
            <w:vAlign w:val="center"/>
          </w:tcPr>
          <w:p w14:paraId="5B177DF5" w14:textId="77777777" w:rsidR="00A25962" w:rsidRPr="00C328C4" w:rsidRDefault="00A25962" w:rsidP="000301D3">
            <w:pPr>
              <w:spacing w:after="0" w:line="240" w:lineRule="auto"/>
              <w:jc w:val="center"/>
              <w:rPr>
                <w:rFonts w:ascii="Arial Narrow" w:hAnsi="Arial Narrow"/>
                <w:szCs w:val="20"/>
              </w:rPr>
            </w:pPr>
            <w:r w:rsidRPr="00C328C4">
              <w:rPr>
                <w:rFonts w:ascii="Arial Narrow" w:hAnsi="Arial Narrow"/>
              </w:rPr>
              <w:sym w:font="Wingdings 2" w:char="F050"/>
            </w:r>
          </w:p>
        </w:tc>
        <w:tc>
          <w:tcPr>
            <w:tcW w:w="1389" w:type="dxa"/>
            <w:vAlign w:val="center"/>
          </w:tcPr>
          <w:p w14:paraId="2F47FD37" w14:textId="77777777" w:rsidR="00A25962" w:rsidRPr="00C328C4" w:rsidRDefault="00A25962" w:rsidP="000301D3">
            <w:pPr>
              <w:spacing w:after="0" w:line="240" w:lineRule="auto"/>
              <w:jc w:val="center"/>
              <w:rPr>
                <w:rFonts w:ascii="Arial Narrow" w:hAnsi="Arial Narrow"/>
                <w:szCs w:val="20"/>
              </w:rPr>
            </w:pPr>
            <w:r w:rsidRPr="00C328C4">
              <w:rPr>
                <w:rFonts w:ascii="Arial Narrow" w:hAnsi="Arial Narrow" w:cs="Kartika"/>
                <w:sz w:val="18"/>
                <w:szCs w:val="18"/>
              </w:rPr>
              <w:t>N/A</w:t>
            </w:r>
          </w:p>
        </w:tc>
        <w:tc>
          <w:tcPr>
            <w:tcW w:w="1219" w:type="dxa"/>
            <w:shd w:val="clear" w:color="auto" w:fill="auto"/>
            <w:vAlign w:val="center"/>
          </w:tcPr>
          <w:p w14:paraId="77C9FF51" w14:textId="77777777" w:rsidR="00A25962" w:rsidRPr="00C328C4" w:rsidRDefault="00A25962" w:rsidP="000301D3">
            <w:pPr>
              <w:spacing w:after="0" w:line="240" w:lineRule="auto"/>
              <w:jc w:val="center"/>
              <w:rPr>
                <w:rFonts w:ascii="Arial Narrow" w:hAnsi="Arial Narrow"/>
                <w:szCs w:val="20"/>
              </w:rPr>
            </w:pPr>
            <w:r w:rsidRPr="00C328C4">
              <w:rPr>
                <w:rFonts w:ascii="Arial Narrow" w:hAnsi="Arial Narrow" w:cs="Kartika"/>
                <w:sz w:val="18"/>
                <w:szCs w:val="18"/>
              </w:rPr>
              <w:t>N/A</w:t>
            </w:r>
          </w:p>
        </w:tc>
        <w:tc>
          <w:tcPr>
            <w:tcW w:w="1701" w:type="dxa"/>
            <w:vAlign w:val="center"/>
          </w:tcPr>
          <w:p w14:paraId="1B54CC8D" w14:textId="3B0B4779" w:rsidR="00A25962" w:rsidRPr="00A2043E" w:rsidRDefault="00A25962" w:rsidP="000301D3">
            <w:pPr>
              <w:spacing w:after="0" w:line="240" w:lineRule="auto"/>
              <w:jc w:val="center"/>
              <w:rPr>
                <w:rFonts w:ascii="Arial Narrow" w:hAnsi="Arial Narrow"/>
                <w:b/>
                <w:sz w:val="18"/>
              </w:rPr>
            </w:pPr>
            <w:r w:rsidRPr="00C328C4">
              <w:rPr>
                <w:rFonts w:ascii="Arial Narrow" w:hAnsi="Arial Narrow" w:cs="Kartika"/>
                <w:sz w:val="18"/>
                <w:szCs w:val="18"/>
              </w:rPr>
              <w:t>N/A</w:t>
            </w:r>
          </w:p>
        </w:tc>
        <w:tc>
          <w:tcPr>
            <w:tcW w:w="1417" w:type="dxa"/>
            <w:vAlign w:val="center"/>
          </w:tcPr>
          <w:p w14:paraId="1F37F5F2" w14:textId="77777777" w:rsidR="00A25962" w:rsidRPr="00C328C4" w:rsidRDefault="00A25962" w:rsidP="000301D3">
            <w:pPr>
              <w:spacing w:after="0" w:line="240" w:lineRule="auto"/>
              <w:jc w:val="center"/>
              <w:rPr>
                <w:rFonts w:ascii="Arial Narrow" w:hAnsi="Arial Narrow"/>
                <w:szCs w:val="20"/>
              </w:rPr>
            </w:pPr>
            <w:r w:rsidRPr="00C328C4">
              <w:rPr>
                <w:rFonts w:ascii="Arial Narrow" w:hAnsi="Arial Narrow"/>
              </w:rPr>
              <w:sym w:font="Wingdings 2" w:char="F050"/>
            </w:r>
          </w:p>
        </w:tc>
        <w:tc>
          <w:tcPr>
            <w:tcW w:w="1219" w:type="dxa"/>
            <w:shd w:val="clear" w:color="auto" w:fill="D9D9D9"/>
            <w:vAlign w:val="center"/>
          </w:tcPr>
          <w:p w14:paraId="40E30BA6" w14:textId="77777777" w:rsidR="00A25962" w:rsidRPr="00C328C4" w:rsidRDefault="00A25962" w:rsidP="000301D3">
            <w:pPr>
              <w:spacing w:after="0" w:line="240" w:lineRule="auto"/>
              <w:jc w:val="center"/>
              <w:rPr>
                <w:rFonts w:ascii="Arial Narrow" w:hAnsi="Arial Narrow"/>
                <w:szCs w:val="20"/>
              </w:rPr>
            </w:pPr>
          </w:p>
        </w:tc>
        <w:tc>
          <w:tcPr>
            <w:tcW w:w="1389" w:type="dxa"/>
            <w:vAlign w:val="center"/>
          </w:tcPr>
          <w:p w14:paraId="6142A4C3" w14:textId="77777777" w:rsidR="00A25962" w:rsidRPr="00C328C4" w:rsidRDefault="00A25962" w:rsidP="000301D3">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389" w:type="dxa"/>
            <w:vAlign w:val="center"/>
          </w:tcPr>
          <w:p w14:paraId="54B7B54A" w14:textId="3AC1B424" w:rsidR="00A25962" w:rsidRPr="00A851F5" w:rsidRDefault="00A25962" w:rsidP="000301D3">
            <w:pPr>
              <w:spacing w:after="0" w:line="240" w:lineRule="auto"/>
              <w:jc w:val="center"/>
              <w:rPr>
                <w:rFonts w:ascii="Arial Narrow" w:hAnsi="Arial Narrow" w:cs="Kartika"/>
                <w:b/>
                <w:sz w:val="18"/>
                <w:szCs w:val="18"/>
              </w:rPr>
            </w:pPr>
            <w:r w:rsidRPr="00A851F5">
              <w:rPr>
                <w:rFonts w:ascii="Arial Narrow" w:hAnsi="Arial Narrow"/>
                <w:sz w:val="18"/>
                <w:szCs w:val="18"/>
              </w:rPr>
              <w:t>N/A</w:t>
            </w:r>
          </w:p>
        </w:tc>
        <w:tc>
          <w:tcPr>
            <w:tcW w:w="1390" w:type="dxa"/>
            <w:tcBorders>
              <w:right w:val="single" w:sz="12" w:space="0" w:color="auto"/>
            </w:tcBorders>
            <w:vAlign w:val="center"/>
          </w:tcPr>
          <w:p w14:paraId="26B2B9AB" w14:textId="77777777" w:rsidR="00A25962" w:rsidRPr="00C328C4" w:rsidRDefault="00A25962" w:rsidP="000301D3">
            <w:pPr>
              <w:spacing w:after="0" w:line="240" w:lineRule="auto"/>
              <w:jc w:val="center"/>
              <w:rPr>
                <w:rFonts w:ascii="Arial Narrow" w:hAnsi="Arial Narrow"/>
                <w:b/>
              </w:rPr>
            </w:pPr>
            <w:r w:rsidRPr="00C328C4">
              <w:rPr>
                <w:rFonts w:ascii="Arial Narrow" w:hAnsi="Arial Narrow"/>
              </w:rPr>
              <w:sym w:font="Wingdings 2" w:char="F050"/>
            </w:r>
          </w:p>
        </w:tc>
      </w:tr>
      <w:tr w:rsidR="00A25962" w:rsidRPr="00A60EE4" w14:paraId="14CFDD34" w14:textId="77777777" w:rsidTr="000301D3">
        <w:trPr>
          <w:trHeight w:val="397"/>
        </w:trPr>
        <w:tc>
          <w:tcPr>
            <w:tcW w:w="1277" w:type="dxa"/>
            <w:tcBorders>
              <w:left w:val="single" w:sz="12" w:space="0" w:color="auto"/>
              <w:right w:val="single" w:sz="12" w:space="0" w:color="auto"/>
            </w:tcBorders>
            <w:vAlign w:val="center"/>
          </w:tcPr>
          <w:p w14:paraId="0486848B" w14:textId="77777777" w:rsidR="00A25962" w:rsidRPr="00A60EE4" w:rsidRDefault="00A25962" w:rsidP="000301D3">
            <w:pPr>
              <w:spacing w:after="0" w:line="240" w:lineRule="auto"/>
              <w:jc w:val="center"/>
              <w:rPr>
                <w:rFonts w:ascii="Arial Narrow" w:hAnsi="Arial Narrow"/>
                <w:b/>
              </w:rPr>
            </w:pPr>
            <w:r w:rsidRPr="00A60EE4">
              <w:rPr>
                <w:rFonts w:ascii="Arial Narrow" w:hAnsi="Arial Narrow"/>
                <w:b/>
              </w:rPr>
              <w:t>1</w:t>
            </w:r>
            <w:r>
              <w:rPr>
                <w:rFonts w:ascii="Arial Narrow" w:hAnsi="Arial Narrow"/>
                <w:b/>
              </w:rPr>
              <w:t>5</w:t>
            </w:r>
          </w:p>
        </w:tc>
        <w:tc>
          <w:tcPr>
            <w:tcW w:w="1389" w:type="dxa"/>
            <w:tcBorders>
              <w:left w:val="single" w:sz="12" w:space="0" w:color="auto"/>
            </w:tcBorders>
            <w:vAlign w:val="center"/>
          </w:tcPr>
          <w:p w14:paraId="379771B5" w14:textId="77777777" w:rsidR="00A25962" w:rsidRPr="00A60EE4" w:rsidRDefault="00A25962" w:rsidP="000301D3">
            <w:pPr>
              <w:spacing w:after="0" w:line="240" w:lineRule="auto"/>
              <w:jc w:val="center"/>
              <w:rPr>
                <w:rFonts w:ascii="Arial Narrow" w:hAnsi="Arial Narrow" w:cs="Kartika"/>
                <w:b/>
                <w:sz w:val="18"/>
                <w:szCs w:val="18"/>
              </w:rPr>
            </w:pPr>
            <w:r w:rsidRPr="00A60EE4">
              <w:rPr>
                <w:rFonts w:ascii="Arial Narrow" w:hAnsi="Arial Narrow"/>
              </w:rPr>
              <w:sym w:font="Wingdings 2" w:char="F050"/>
            </w:r>
          </w:p>
        </w:tc>
        <w:tc>
          <w:tcPr>
            <w:tcW w:w="1389" w:type="dxa"/>
            <w:vAlign w:val="center"/>
          </w:tcPr>
          <w:p w14:paraId="47F202D9" w14:textId="77777777" w:rsidR="00A25962" w:rsidRPr="00A60EE4" w:rsidRDefault="00A25962" w:rsidP="000301D3">
            <w:pPr>
              <w:spacing w:after="0" w:line="240" w:lineRule="auto"/>
              <w:jc w:val="center"/>
              <w:rPr>
                <w:rFonts w:ascii="Arial Narrow" w:hAnsi="Arial Narrow"/>
                <w:szCs w:val="20"/>
              </w:rPr>
            </w:pPr>
            <w:r w:rsidRPr="00A60EE4">
              <w:rPr>
                <w:rFonts w:ascii="Arial Narrow" w:hAnsi="Arial Narrow"/>
              </w:rPr>
              <w:sym w:font="Wingdings 2" w:char="F050"/>
            </w:r>
          </w:p>
        </w:tc>
        <w:tc>
          <w:tcPr>
            <w:tcW w:w="1389" w:type="dxa"/>
            <w:vAlign w:val="center"/>
          </w:tcPr>
          <w:p w14:paraId="2A640D5C" w14:textId="77777777" w:rsidR="00A25962" w:rsidRPr="00A60EE4" w:rsidRDefault="00A25962" w:rsidP="000301D3">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219" w:type="dxa"/>
            <w:shd w:val="clear" w:color="auto" w:fill="auto"/>
            <w:vAlign w:val="center"/>
          </w:tcPr>
          <w:p w14:paraId="5B6143AF" w14:textId="77777777" w:rsidR="00A25962" w:rsidRPr="00A60EE4" w:rsidRDefault="00A25962" w:rsidP="000301D3">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701" w:type="dxa"/>
            <w:vAlign w:val="center"/>
          </w:tcPr>
          <w:p w14:paraId="3D6E726E" w14:textId="77777777" w:rsidR="00A25962" w:rsidRPr="00A60EE4" w:rsidRDefault="00A25962" w:rsidP="000301D3">
            <w:pPr>
              <w:spacing w:after="0" w:line="240" w:lineRule="auto"/>
              <w:jc w:val="center"/>
              <w:rPr>
                <w:rFonts w:ascii="Arial Narrow" w:hAnsi="Arial Narrow" w:cs="Kartika"/>
                <w:b/>
                <w:szCs w:val="18"/>
              </w:rPr>
            </w:pPr>
            <w:r w:rsidRPr="00A60EE4">
              <w:rPr>
                <w:rFonts w:ascii="Arial Narrow" w:hAnsi="Arial Narrow" w:cs="Kartika"/>
                <w:szCs w:val="18"/>
              </w:rPr>
              <w:sym w:font="Wingdings 2" w:char="F050"/>
            </w:r>
          </w:p>
        </w:tc>
        <w:tc>
          <w:tcPr>
            <w:tcW w:w="1417" w:type="dxa"/>
            <w:vAlign w:val="center"/>
          </w:tcPr>
          <w:p w14:paraId="5128C857" w14:textId="77777777" w:rsidR="00A25962" w:rsidRPr="00A60EE4" w:rsidRDefault="00A25962" w:rsidP="000301D3">
            <w:pPr>
              <w:spacing w:after="0" w:line="240" w:lineRule="auto"/>
              <w:jc w:val="center"/>
              <w:rPr>
                <w:rFonts w:ascii="Arial Narrow" w:hAnsi="Arial Narrow"/>
                <w:szCs w:val="20"/>
              </w:rPr>
            </w:pPr>
            <w:r w:rsidRPr="00A60EE4">
              <w:rPr>
                <w:rFonts w:ascii="Arial Narrow" w:hAnsi="Arial Narrow"/>
              </w:rPr>
              <w:sym w:font="Wingdings 2" w:char="F050"/>
            </w:r>
          </w:p>
        </w:tc>
        <w:tc>
          <w:tcPr>
            <w:tcW w:w="1219" w:type="dxa"/>
            <w:shd w:val="clear" w:color="auto" w:fill="D9D9D9"/>
            <w:vAlign w:val="center"/>
          </w:tcPr>
          <w:p w14:paraId="249A9E67" w14:textId="77777777" w:rsidR="00A25962" w:rsidRPr="00A60EE4" w:rsidRDefault="00A25962" w:rsidP="000301D3">
            <w:pPr>
              <w:spacing w:after="0" w:line="240" w:lineRule="auto"/>
              <w:jc w:val="center"/>
              <w:rPr>
                <w:rFonts w:ascii="Arial Narrow" w:hAnsi="Arial Narrow"/>
                <w:szCs w:val="20"/>
              </w:rPr>
            </w:pPr>
          </w:p>
        </w:tc>
        <w:tc>
          <w:tcPr>
            <w:tcW w:w="1389" w:type="dxa"/>
            <w:vAlign w:val="center"/>
          </w:tcPr>
          <w:p w14:paraId="5ABBA55D" w14:textId="77777777" w:rsidR="00A25962" w:rsidRPr="00A60EE4" w:rsidRDefault="00A25962" w:rsidP="000301D3">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14:paraId="6BC3D9B8" w14:textId="77777777" w:rsidR="00A25962" w:rsidRPr="00A60EE4" w:rsidRDefault="00A25962" w:rsidP="000301D3">
            <w:pPr>
              <w:spacing w:after="0" w:line="240" w:lineRule="auto"/>
              <w:jc w:val="center"/>
              <w:rPr>
                <w:rFonts w:ascii="Arial Narrow" w:hAnsi="Arial Narrow" w:cs="Kartika"/>
                <w:b/>
                <w:sz w:val="18"/>
                <w:szCs w:val="18"/>
              </w:rPr>
            </w:pPr>
            <w:r w:rsidRPr="00A60EE4">
              <w:rPr>
                <w:rFonts w:ascii="Arial Narrow" w:hAnsi="Arial Narrow"/>
              </w:rPr>
              <w:sym w:font="Wingdings 2" w:char="F050"/>
            </w:r>
          </w:p>
        </w:tc>
        <w:tc>
          <w:tcPr>
            <w:tcW w:w="1390" w:type="dxa"/>
            <w:tcBorders>
              <w:right w:val="single" w:sz="12" w:space="0" w:color="auto"/>
            </w:tcBorders>
            <w:vAlign w:val="center"/>
          </w:tcPr>
          <w:p w14:paraId="53844820" w14:textId="77777777" w:rsidR="00A25962" w:rsidRPr="00A2043E" w:rsidRDefault="00A25962" w:rsidP="000301D3">
            <w:pPr>
              <w:spacing w:after="0" w:line="240" w:lineRule="auto"/>
              <w:jc w:val="center"/>
              <w:rPr>
                <w:rFonts w:ascii="Arial Narrow" w:hAnsi="Arial Narrow"/>
                <w:b/>
              </w:rPr>
            </w:pPr>
            <w:r w:rsidRPr="00A60EE4">
              <w:rPr>
                <w:rFonts w:ascii="Arial Narrow" w:hAnsi="Arial Narrow"/>
              </w:rPr>
              <w:sym w:font="Wingdings 2" w:char="F050"/>
            </w:r>
          </w:p>
        </w:tc>
      </w:tr>
      <w:tr w:rsidR="00A25962" w:rsidRPr="00A60EE4" w14:paraId="21FE22BE" w14:textId="77777777" w:rsidTr="000301D3">
        <w:trPr>
          <w:trHeight w:val="397"/>
        </w:trPr>
        <w:tc>
          <w:tcPr>
            <w:tcW w:w="1277" w:type="dxa"/>
            <w:tcBorders>
              <w:left w:val="single" w:sz="12" w:space="0" w:color="auto"/>
              <w:right w:val="single" w:sz="12" w:space="0" w:color="auto"/>
            </w:tcBorders>
            <w:vAlign w:val="center"/>
          </w:tcPr>
          <w:p w14:paraId="0565C4BF" w14:textId="77777777" w:rsidR="00A25962" w:rsidRPr="00A60EE4" w:rsidRDefault="00A25962" w:rsidP="000301D3">
            <w:pPr>
              <w:spacing w:after="0" w:line="240" w:lineRule="auto"/>
              <w:jc w:val="center"/>
              <w:rPr>
                <w:rFonts w:ascii="Arial Narrow" w:hAnsi="Arial Narrow"/>
                <w:b/>
              </w:rPr>
            </w:pPr>
            <w:r w:rsidRPr="00A60EE4">
              <w:rPr>
                <w:rFonts w:ascii="Arial Narrow" w:hAnsi="Arial Narrow"/>
                <w:b/>
              </w:rPr>
              <w:t>1</w:t>
            </w:r>
            <w:r>
              <w:rPr>
                <w:rFonts w:ascii="Arial Narrow" w:hAnsi="Arial Narrow"/>
                <w:b/>
              </w:rPr>
              <w:t>6</w:t>
            </w:r>
          </w:p>
        </w:tc>
        <w:tc>
          <w:tcPr>
            <w:tcW w:w="1389" w:type="dxa"/>
            <w:tcBorders>
              <w:left w:val="single" w:sz="12" w:space="0" w:color="auto"/>
            </w:tcBorders>
            <w:vAlign w:val="center"/>
          </w:tcPr>
          <w:p w14:paraId="2C399759" w14:textId="342891FC" w:rsidR="00A25962" w:rsidRPr="00A60EE4" w:rsidRDefault="00A25962" w:rsidP="000301D3">
            <w:pPr>
              <w:spacing w:after="0" w:line="240" w:lineRule="auto"/>
              <w:jc w:val="center"/>
              <w:rPr>
                <w:rFonts w:ascii="Arial Narrow" w:hAnsi="Arial Narrow" w:cs="Kartika"/>
                <w:b/>
                <w:sz w:val="18"/>
                <w:szCs w:val="18"/>
              </w:rPr>
            </w:pPr>
            <w:r w:rsidRPr="00A60EE4">
              <w:rPr>
                <w:rFonts w:ascii="Arial Narrow" w:hAnsi="Arial Narrow"/>
              </w:rPr>
              <w:sym w:font="Wingdings 2" w:char="F050"/>
            </w:r>
          </w:p>
        </w:tc>
        <w:tc>
          <w:tcPr>
            <w:tcW w:w="1389" w:type="dxa"/>
            <w:vAlign w:val="center"/>
          </w:tcPr>
          <w:p w14:paraId="38700182" w14:textId="77777777" w:rsidR="00A25962" w:rsidRPr="00A60EE4" w:rsidRDefault="00A25962" w:rsidP="000301D3">
            <w:pPr>
              <w:spacing w:after="0" w:line="240" w:lineRule="auto"/>
              <w:jc w:val="center"/>
              <w:rPr>
                <w:rFonts w:ascii="Arial Narrow" w:hAnsi="Arial Narrow"/>
                <w:szCs w:val="20"/>
              </w:rPr>
            </w:pPr>
            <w:r w:rsidRPr="00A60EE4">
              <w:rPr>
                <w:rFonts w:ascii="Arial Narrow" w:hAnsi="Arial Narrow"/>
              </w:rPr>
              <w:sym w:font="Wingdings 2" w:char="F050"/>
            </w:r>
          </w:p>
        </w:tc>
        <w:tc>
          <w:tcPr>
            <w:tcW w:w="1389" w:type="dxa"/>
            <w:vAlign w:val="center"/>
          </w:tcPr>
          <w:p w14:paraId="3BF69957" w14:textId="77777777" w:rsidR="00A25962" w:rsidRPr="00A60EE4" w:rsidRDefault="00A25962" w:rsidP="000301D3">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219" w:type="dxa"/>
            <w:shd w:val="clear" w:color="auto" w:fill="auto"/>
            <w:vAlign w:val="center"/>
          </w:tcPr>
          <w:p w14:paraId="7E657286" w14:textId="77777777" w:rsidR="00A25962" w:rsidRPr="00A60EE4" w:rsidRDefault="00A25962" w:rsidP="000301D3">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701" w:type="dxa"/>
            <w:vAlign w:val="center"/>
          </w:tcPr>
          <w:p w14:paraId="14E7694E" w14:textId="13754046" w:rsidR="00A25962" w:rsidRPr="00A2043E" w:rsidRDefault="00A25962" w:rsidP="000301D3">
            <w:pPr>
              <w:spacing w:after="0" w:line="240" w:lineRule="auto"/>
              <w:jc w:val="center"/>
              <w:rPr>
                <w:rFonts w:ascii="Arial Narrow" w:hAnsi="Arial Narrow"/>
                <w:b/>
              </w:rPr>
            </w:pPr>
            <w:r w:rsidRPr="00A60EE4">
              <w:rPr>
                <w:rFonts w:ascii="Arial Narrow" w:hAnsi="Arial Narrow" w:cs="Kartika"/>
                <w:szCs w:val="18"/>
              </w:rPr>
              <w:sym w:font="Wingdings 2" w:char="F050"/>
            </w:r>
          </w:p>
        </w:tc>
        <w:tc>
          <w:tcPr>
            <w:tcW w:w="1417" w:type="dxa"/>
            <w:vAlign w:val="center"/>
          </w:tcPr>
          <w:p w14:paraId="0CBF9B19" w14:textId="77777777" w:rsidR="00A25962" w:rsidRPr="00A60EE4" w:rsidRDefault="00A25962" w:rsidP="000301D3">
            <w:pPr>
              <w:spacing w:after="0" w:line="240" w:lineRule="auto"/>
              <w:jc w:val="center"/>
              <w:rPr>
                <w:rFonts w:ascii="Arial Narrow" w:hAnsi="Arial Narrow"/>
                <w:szCs w:val="20"/>
              </w:rPr>
            </w:pPr>
            <w:r w:rsidRPr="00A60EE4">
              <w:rPr>
                <w:rFonts w:ascii="Arial Narrow" w:hAnsi="Arial Narrow"/>
              </w:rPr>
              <w:sym w:font="Wingdings 2" w:char="F050"/>
            </w:r>
          </w:p>
        </w:tc>
        <w:tc>
          <w:tcPr>
            <w:tcW w:w="1219" w:type="dxa"/>
            <w:shd w:val="clear" w:color="auto" w:fill="D9D9D9"/>
            <w:vAlign w:val="center"/>
          </w:tcPr>
          <w:p w14:paraId="2DADC5AE" w14:textId="77777777" w:rsidR="00A25962" w:rsidRPr="00A60EE4" w:rsidRDefault="00A25962" w:rsidP="000301D3">
            <w:pPr>
              <w:spacing w:after="0" w:line="240" w:lineRule="auto"/>
              <w:jc w:val="center"/>
              <w:rPr>
                <w:rFonts w:ascii="Arial Narrow" w:hAnsi="Arial Narrow"/>
                <w:szCs w:val="20"/>
              </w:rPr>
            </w:pPr>
          </w:p>
        </w:tc>
        <w:tc>
          <w:tcPr>
            <w:tcW w:w="1389" w:type="dxa"/>
            <w:vAlign w:val="center"/>
          </w:tcPr>
          <w:p w14:paraId="7E857581" w14:textId="77777777" w:rsidR="00A25962" w:rsidRPr="00A60EE4" w:rsidRDefault="00A25962" w:rsidP="000301D3">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14:paraId="60F9D923" w14:textId="142F7B19" w:rsidR="00A25962" w:rsidRPr="00A60EE4" w:rsidRDefault="00A25962" w:rsidP="000301D3">
            <w:pPr>
              <w:spacing w:after="0" w:line="240" w:lineRule="auto"/>
              <w:jc w:val="center"/>
              <w:rPr>
                <w:rFonts w:ascii="Arial Narrow" w:hAnsi="Arial Narrow" w:cs="Kartika"/>
                <w:b/>
                <w:sz w:val="18"/>
                <w:szCs w:val="18"/>
              </w:rPr>
            </w:pPr>
            <w:r w:rsidRPr="00A60EE4">
              <w:rPr>
                <w:rFonts w:ascii="Arial Narrow" w:hAnsi="Arial Narrow"/>
              </w:rPr>
              <w:sym w:font="Wingdings 2" w:char="F050"/>
            </w:r>
          </w:p>
        </w:tc>
        <w:tc>
          <w:tcPr>
            <w:tcW w:w="1390" w:type="dxa"/>
            <w:tcBorders>
              <w:right w:val="single" w:sz="12" w:space="0" w:color="auto"/>
            </w:tcBorders>
            <w:vAlign w:val="center"/>
          </w:tcPr>
          <w:p w14:paraId="6C0BF68B" w14:textId="7C92345D" w:rsidR="00A25962" w:rsidRPr="00A60EE4" w:rsidRDefault="00A25962" w:rsidP="000301D3">
            <w:pPr>
              <w:spacing w:after="0" w:line="240" w:lineRule="auto"/>
              <w:jc w:val="center"/>
              <w:rPr>
                <w:rFonts w:ascii="Arial Narrow" w:hAnsi="Arial Narrow"/>
                <w:szCs w:val="20"/>
              </w:rPr>
            </w:pPr>
            <w:r w:rsidRPr="00A60EE4">
              <w:rPr>
                <w:rFonts w:ascii="Arial Narrow" w:hAnsi="Arial Narrow"/>
              </w:rPr>
              <w:sym w:font="Wingdings 2" w:char="F050"/>
            </w:r>
          </w:p>
        </w:tc>
      </w:tr>
      <w:tr w:rsidR="00A25962" w:rsidRPr="003F4FCE" w14:paraId="52EB25B7" w14:textId="77777777" w:rsidTr="000301D3">
        <w:trPr>
          <w:trHeight w:val="397"/>
        </w:trPr>
        <w:tc>
          <w:tcPr>
            <w:tcW w:w="1277" w:type="dxa"/>
            <w:tcBorders>
              <w:left w:val="single" w:sz="12" w:space="0" w:color="auto"/>
              <w:right w:val="single" w:sz="12" w:space="0" w:color="auto"/>
            </w:tcBorders>
            <w:vAlign w:val="center"/>
          </w:tcPr>
          <w:p w14:paraId="2D878A3F" w14:textId="77777777" w:rsidR="00A25962" w:rsidRPr="003F4FCE" w:rsidRDefault="00A25962" w:rsidP="000301D3">
            <w:pPr>
              <w:spacing w:after="0" w:line="240" w:lineRule="auto"/>
              <w:jc w:val="center"/>
              <w:rPr>
                <w:rFonts w:ascii="Arial Narrow" w:hAnsi="Arial Narrow"/>
                <w:b/>
              </w:rPr>
            </w:pPr>
            <w:r w:rsidRPr="003F4FCE">
              <w:rPr>
                <w:rFonts w:ascii="Arial Narrow" w:hAnsi="Arial Narrow"/>
                <w:b/>
              </w:rPr>
              <w:t>17</w:t>
            </w:r>
          </w:p>
        </w:tc>
        <w:tc>
          <w:tcPr>
            <w:tcW w:w="1389" w:type="dxa"/>
            <w:tcBorders>
              <w:left w:val="single" w:sz="12" w:space="0" w:color="auto"/>
            </w:tcBorders>
            <w:vAlign w:val="center"/>
          </w:tcPr>
          <w:p w14:paraId="43CF67B5" w14:textId="0FEFBC2A" w:rsidR="00A25962" w:rsidRPr="00A2043E" w:rsidRDefault="00A25962" w:rsidP="000301D3">
            <w:pPr>
              <w:spacing w:after="0" w:line="240" w:lineRule="auto"/>
              <w:jc w:val="center"/>
              <w:rPr>
                <w:rFonts w:ascii="Arial Narrow" w:hAnsi="Arial Narrow"/>
                <w:sz w:val="18"/>
              </w:rPr>
            </w:pPr>
            <w:r w:rsidRPr="003F4FCE">
              <w:rPr>
                <w:rFonts w:ascii="Arial Narrow" w:hAnsi="Arial Narrow" w:cs="Kartika"/>
                <w:sz w:val="18"/>
                <w:szCs w:val="18"/>
              </w:rPr>
              <w:t>N/A</w:t>
            </w:r>
          </w:p>
        </w:tc>
        <w:tc>
          <w:tcPr>
            <w:tcW w:w="1389" w:type="dxa"/>
            <w:vAlign w:val="center"/>
          </w:tcPr>
          <w:p w14:paraId="06CA55E9" w14:textId="77777777" w:rsidR="00A25962" w:rsidRPr="003F4FCE" w:rsidRDefault="00A25962" w:rsidP="000301D3">
            <w:pPr>
              <w:spacing w:after="0" w:line="240" w:lineRule="auto"/>
              <w:jc w:val="center"/>
              <w:rPr>
                <w:rFonts w:ascii="Arial Narrow" w:hAnsi="Arial Narrow"/>
              </w:rPr>
            </w:pPr>
            <w:r w:rsidRPr="003F4FCE">
              <w:rPr>
                <w:rFonts w:ascii="Arial Narrow" w:hAnsi="Arial Narrow"/>
              </w:rPr>
              <w:sym w:font="Wingdings 2" w:char="F050"/>
            </w:r>
          </w:p>
        </w:tc>
        <w:tc>
          <w:tcPr>
            <w:tcW w:w="1389" w:type="dxa"/>
            <w:vAlign w:val="center"/>
          </w:tcPr>
          <w:p w14:paraId="1B4E863E" w14:textId="77777777" w:rsidR="00A25962" w:rsidRPr="00A2043E" w:rsidRDefault="00A25962" w:rsidP="000301D3">
            <w:pPr>
              <w:spacing w:after="0" w:line="240" w:lineRule="auto"/>
              <w:jc w:val="center"/>
              <w:rPr>
                <w:rFonts w:ascii="Arial Narrow" w:hAnsi="Arial Narrow"/>
                <w:sz w:val="18"/>
              </w:rPr>
            </w:pPr>
            <w:r w:rsidRPr="003F4FCE">
              <w:rPr>
                <w:rFonts w:ascii="Arial Narrow" w:hAnsi="Arial Narrow" w:cs="Kartika"/>
                <w:sz w:val="18"/>
                <w:szCs w:val="18"/>
              </w:rPr>
              <w:t>N/A</w:t>
            </w:r>
          </w:p>
        </w:tc>
        <w:tc>
          <w:tcPr>
            <w:tcW w:w="1219" w:type="dxa"/>
            <w:shd w:val="clear" w:color="auto" w:fill="auto"/>
            <w:vAlign w:val="center"/>
          </w:tcPr>
          <w:p w14:paraId="2E80ADA6" w14:textId="77777777" w:rsidR="00A25962" w:rsidRPr="00A2043E" w:rsidRDefault="00A25962" w:rsidP="000301D3">
            <w:pPr>
              <w:spacing w:after="0" w:line="240" w:lineRule="auto"/>
              <w:jc w:val="center"/>
              <w:rPr>
                <w:rFonts w:ascii="Arial Narrow" w:hAnsi="Arial Narrow"/>
                <w:sz w:val="18"/>
              </w:rPr>
            </w:pPr>
            <w:r w:rsidRPr="003F4FCE">
              <w:rPr>
                <w:rFonts w:ascii="Arial Narrow" w:hAnsi="Arial Narrow" w:cs="Kartika"/>
                <w:sz w:val="18"/>
                <w:szCs w:val="18"/>
              </w:rPr>
              <w:t>N/A</w:t>
            </w:r>
          </w:p>
        </w:tc>
        <w:tc>
          <w:tcPr>
            <w:tcW w:w="1701" w:type="dxa"/>
            <w:vAlign w:val="center"/>
          </w:tcPr>
          <w:p w14:paraId="19928AD4" w14:textId="77777777" w:rsidR="00A25962" w:rsidRPr="00A2043E" w:rsidRDefault="00A25962" w:rsidP="000301D3">
            <w:pPr>
              <w:spacing w:after="0" w:line="240" w:lineRule="auto"/>
              <w:jc w:val="center"/>
              <w:rPr>
                <w:rFonts w:ascii="Arial Narrow" w:hAnsi="Arial Narrow"/>
                <w:sz w:val="18"/>
              </w:rPr>
            </w:pPr>
            <w:r w:rsidRPr="003F4FCE">
              <w:rPr>
                <w:rFonts w:ascii="Arial Narrow" w:hAnsi="Arial Narrow" w:cs="Kartika"/>
                <w:sz w:val="18"/>
                <w:szCs w:val="18"/>
              </w:rPr>
              <w:t>N/A</w:t>
            </w:r>
          </w:p>
        </w:tc>
        <w:tc>
          <w:tcPr>
            <w:tcW w:w="1417" w:type="dxa"/>
            <w:vAlign w:val="center"/>
          </w:tcPr>
          <w:p w14:paraId="25E4B278" w14:textId="77777777" w:rsidR="00A25962" w:rsidRPr="003F4FCE" w:rsidRDefault="00A25962" w:rsidP="000301D3">
            <w:pPr>
              <w:spacing w:after="0" w:line="240" w:lineRule="auto"/>
              <w:jc w:val="center"/>
              <w:rPr>
                <w:rFonts w:ascii="Arial Narrow" w:hAnsi="Arial Narrow"/>
              </w:rPr>
            </w:pPr>
            <w:r w:rsidRPr="003F4FCE">
              <w:rPr>
                <w:rFonts w:ascii="Arial Narrow" w:hAnsi="Arial Narrow"/>
              </w:rPr>
              <w:sym w:font="Wingdings 2" w:char="F050"/>
            </w:r>
          </w:p>
        </w:tc>
        <w:tc>
          <w:tcPr>
            <w:tcW w:w="1219" w:type="dxa"/>
            <w:shd w:val="clear" w:color="auto" w:fill="D9D9D9"/>
            <w:vAlign w:val="center"/>
          </w:tcPr>
          <w:p w14:paraId="519F7C0F" w14:textId="77777777" w:rsidR="00A25962" w:rsidRPr="003F4FCE" w:rsidRDefault="00A25962" w:rsidP="000301D3">
            <w:pPr>
              <w:spacing w:after="0" w:line="240" w:lineRule="auto"/>
              <w:jc w:val="center"/>
              <w:rPr>
                <w:rFonts w:ascii="Arial Narrow" w:hAnsi="Arial Narrow"/>
                <w:szCs w:val="20"/>
              </w:rPr>
            </w:pPr>
          </w:p>
        </w:tc>
        <w:tc>
          <w:tcPr>
            <w:tcW w:w="1389" w:type="dxa"/>
            <w:vAlign w:val="center"/>
          </w:tcPr>
          <w:p w14:paraId="6E673CD0" w14:textId="77777777" w:rsidR="00A25962" w:rsidRPr="00A2043E" w:rsidRDefault="00A25962" w:rsidP="000301D3">
            <w:pPr>
              <w:spacing w:after="0" w:line="240" w:lineRule="auto"/>
              <w:jc w:val="center"/>
              <w:rPr>
                <w:rFonts w:ascii="Arial Narrow" w:hAnsi="Arial Narrow"/>
                <w:sz w:val="18"/>
              </w:rPr>
            </w:pPr>
            <w:r w:rsidRPr="003F4FCE">
              <w:rPr>
                <w:rFonts w:ascii="Arial Narrow" w:hAnsi="Arial Narrow" w:cs="Kartika"/>
                <w:sz w:val="18"/>
                <w:szCs w:val="18"/>
              </w:rPr>
              <w:t>N/A</w:t>
            </w:r>
          </w:p>
        </w:tc>
        <w:tc>
          <w:tcPr>
            <w:tcW w:w="1389" w:type="dxa"/>
            <w:vAlign w:val="center"/>
          </w:tcPr>
          <w:p w14:paraId="0994F0F3" w14:textId="77777777" w:rsidR="00A25962" w:rsidRPr="00A2043E" w:rsidRDefault="00A25962" w:rsidP="000301D3">
            <w:pPr>
              <w:spacing w:after="0" w:line="240" w:lineRule="auto"/>
              <w:jc w:val="center"/>
              <w:rPr>
                <w:rFonts w:ascii="Arial Narrow" w:hAnsi="Arial Narrow"/>
                <w:sz w:val="18"/>
              </w:rPr>
            </w:pPr>
            <w:r w:rsidRPr="003F4FCE">
              <w:rPr>
                <w:rFonts w:ascii="Arial Narrow" w:hAnsi="Arial Narrow" w:cs="Kartika"/>
                <w:sz w:val="18"/>
                <w:szCs w:val="18"/>
              </w:rPr>
              <w:t>N/A</w:t>
            </w:r>
          </w:p>
        </w:tc>
        <w:tc>
          <w:tcPr>
            <w:tcW w:w="1390" w:type="dxa"/>
            <w:tcBorders>
              <w:right w:val="single" w:sz="12" w:space="0" w:color="auto"/>
            </w:tcBorders>
            <w:vAlign w:val="center"/>
          </w:tcPr>
          <w:p w14:paraId="31EC57A5" w14:textId="7B124BC7" w:rsidR="00A25962" w:rsidRPr="00A2043E" w:rsidRDefault="00A25962" w:rsidP="000301D3">
            <w:pPr>
              <w:spacing w:after="0" w:line="240" w:lineRule="auto"/>
              <w:jc w:val="center"/>
              <w:rPr>
                <w:rFonts w:ascii="Arial Narrow" w:hAnsi="Arial Narrow"/>
                <w:sz w:val="18"/>
              </w:rPr>
            </w:pPr>
            <w:r w:rsidRPr="003F4FCE">
              <w:rPr>
                <w:rFonts w:ascii="Arial Narrow" w:hAnsi="Arial Narrow" w:cs="Kartika"/>
                <w:sz w:val="18"/>
                <w:szCs w:val="18"/>
              </w:rPr>
              <w:t>N/A</w:t>
            </w:r>
          </w:p>
        </w:tc>
      </w:tr>
      <w:tr w:rsidR="00A25962" w:rsidRPr="003F4FCE" w14:paraId="28D0F0DF" w14:textId="77777777" w:rsidTr="000301D3">
        <w:trPr>
          <w:trHeight w:val="397"/>
        </w:trPr>
        <w:tc>
          <w:tcPr>
            <w:tcW w:w="1277" w:type="dxa"/>
            <w:tcBorders>
              <w:left w:val="single" w:sz="12" w:space="0" w:color="auto"/>
              <w:right w:val="single" w:sz="12" w:space="0" w:color="auto"/>
            </w:tcBorders>
            <w:vAlign w:val="center"/>
          </w:tcPr>
          <w:p w14:paraId="2212AFFB" w14:textId="77777777" w:rsidR="00A25962" w:rsidRPr="003F4FCE" w:rsidRDefault="00A25962" w:rsidP="000301D3">
            <w:pPr>
              <w:spacing w:after="0" w:line="240" w:lineRule="auto"/>
              <w:jc w:val="center"/>
              <w:rPr>
                <w:rFonts w:ascii="Arial Narrow" w:hAnsi="Arial Narrow"/>
                <w:b/>
              </w:rPr>
            </w:pPr>
            <w:r w:rsidRPr="003F4FCE">
              <w:rPr>
                <w:rFonts w:ascii="Arial Narrow" w:hAnsi="Arial Narrow"/>
                <w:b/>
              </w:rPr>
              <w:t>18</w:t>
            </w:r>
          </w:p>
        </w:tc>
        <w:tc>
          <w:tcPr>
            <w:tcW w:w="1389" w:type="dxa"/>
            <w:tcBorders>
              <w:left w:val="single" w:sz="12" w:space="0" w:color="auto"/>
            </w:tcBorders>
            <w:vAlign w:val="center"/>
          </w:tcPr>
          <w:p w14:paraId="41F5E323" w14:textId="77777777" w:rsidR="00A25962" w:rsidRPr="00A2043E" w:rsidRDefault="00A25962" w:rsidP="000301D3">
            <w:pPr>
              <w:spacing w:after="0" w:line="240" w:lineRule="auto"/>
              <w:jc w:val="center"/>
              <w:rPr>
                <w:rFonts w:ascii="Arial Narrow" w:hAnsi="Arial Narrow"/>
                <w:sz w:val="18"/>
              </w:rPr>
            </w:pPr>
            <w:r w:rsidRPr="003F4FCE">
              <w:rPr>
                <w:rFonts w:ascii="Arial Narrow" w:hAnsi="Arial Narrow"/>
              </w:rPr>
              <w:sym w:font="Wingdings 2" w:char="F050"/>
            </w:r>
          </w:p>
        </w:tc>
        <w:tc>
          <w:tcPr>
            <w:tcW w:w="1389" w:type="dxa"/>
            <w:vAlign w:val="center"/>
          </w:tcPr>
          <w:p w14:paraId="11177CFA" w14:textId="77777777" w:rsidR="00A25962" w:rsidRPr="003F4FCE" w:rsidRDefault="00A25962" w:rsidP="000301D3">
            <w:pPr>
              <w:spacing w:after="0" w:line="240" w:lineRule="auto"/>
              <w:jc w:val="center"/>
              <w:rPr>
                <w:rFonts w:ascii="Arial Narrow" w:hAnsi="Arial Narrow"/>
              </w:rPr>
            </w:pPr>
            <w:r w:rsidRPr="003F4FCE">
              <w:rPr>
                <w:rFonts w:ascii="Arial Narrow" w:hAnsi="Arial Narrow"/>
              </w:rPr>
              <w:sym w:font="Wingdings 2" w:char="F050"/>
            </w:r>
          </w:p>
        </w:tc>
        <w:tc>
          <w:tcPr>
            <w:tcW w:w="1389" w:type="dxa"/>
            <w:vAlign w:val="center"/>
          </w:tcPr>
          <w:p w14:paraId="4D222C55" w14:textId="77777777" w:rsidR="00A25962" w:rsidRPr="00A2043E" w:rsidRDefault="00A25962" w:rsidP="000301D3">
            <w:pPr>
              <w:spacing w:after="0" w:line="240" w:lineRule="auto"/>
              <w:jc w:val="center"/>
              <w:rPr>
                <w:rFonts w:ascii="Arial Narrow" w:hAnsi="Arial Narrow"/>
                <w:sz w:val="18"/>
              </w:rPr>
            </w:pPr>
            <w:r w:rsidRPr="003F4FCE">
              <w:rPr>
                <w:rFonts w:ascii="Arial Narrow" w:hAnsi="Arial Narrow" w:cs="Kartika"/>
                <w:sz w:val="18"/>
                <w:szCs w:val="18"/>
              </w:rPr>
              <w:t>N/A</w:t>
            </w:r>
          </w:p>
        </w:tc>
        <w:tc>
          <w:tcPr>
            <w:tcW w:w="1219" w:type="dxa"/>
            <w:shd w:val="clear" w:color="auto" w:fill="auto"/>
            <w:vAlign w:val="center"/>
          </w:tcPr>
          <w:p w14:paraId="330B847C" w14:textId="77777777" w:rsidR="00A25962" w:rsidRPr="00A2043E" w:rsidRDefault="00A25962" w:rsidP="000301D3">
            <w:pPr>
              <w:spacing w:after="0" w:line="240" w:lineRule="auto"/>
              <w:jc w:val="center"/>
              <w:rPr>
                <w:rFonts w:ascii="Arial Narrow" w:hAnsi="Arial Narrow"/>
                <w:sz w:val="18"/>
              </w:rPr>
            </w:pPr>
            <w:r w:rsidRPr="003F4FCE">
              <w:rPr>
                <w:rFonts w:ascii="Arial Narrow" w:hAnsi="Arial Narrow" w:cs="Kartika"/>
                <w:sz w:val="18"/>
                <w:szCs w:val="18"/>
              </w:rPr>
              <w:t>N/A</w:t>
            </w:r>
          </w:p>
        </w:tc>
        <w:tc>
          <w:tcPr>
            <w:tcW w:w="1701" w:type="dxa"/>
            <w:vAlign w:val="center"/>
          </w:tcPr>
          <w:p w14:paraId="5BE64716" w14:textId="07F21E29" w:rsidR="00A25962" w:rsidRPr="00A2043E" w:rsidRDefault="00A25962" w:rsidP="000301D3">
            <w:pPr>
              <w:spacing w:after="0" w:line="240" w:lineRule="auto"/>
              <w:jc w:val="center"/>
              <w:rPr>
                <w:rFonts w:ascii="Arial Narrow" w:hAnsi="Arial Narrow"/>
                <w:sz w:val="18"/>
              </w:rPr>
            </w:pPr>
            <w:r w:rsidRPr="003F4FCE">
              <w:rPr>
                <w:rFonts w:ascii="Arial Narrow" w:hAnsi="Arial Narrow" w:cs="Kartika"/>
                <w:sz w:val="18"/>
                <w:szCs w:val="18"/>
              </w:rPr>
              <w:t>N/A</w:t>
            </w:r>
          </w:p>
        </w:tc>
        <w:tc>
          <w:tcPr>
            <w:tcW w:w="1417" w:type="dxa"/>
            <w:vAlign w:val="center"/>
          </w:tcPr>
          <w:p w14:paraId="2C42001E" w14:textId="77777777" w:rsidR="00A25962" w:rsidRPr="003F4FCE" w:rsidRDefault="00A25962" w:rsidP="000301D3">
            <w:pPr>
              <w:spacing w:after="0" w:line="240" w:lineRule="auto"/>
              <w:jc w:val="center"/>
              <w:rPr>
                <w:rFonts w:ascii="Arial Narrow" w:hAnsi="Arial Narrow"/>
              </w:rPr>
            </w:pPr>
            <w:r w:rsidRPr="003F4FCE">
              <w:rPr>
                <w:rFonts w:ascii="Arial Narrow" w:hAnsi="Arial Narrow"/>
              </w:rPr>
              <w:sym w:font="Wingdings 2" w:char="F050"/>
            </w:r>
          </w:p>
        </w:tc>
        <w:tc>
          <w:tcPr>
            <w:tcW w:w="1219" w:type="dxa"/>
            <w:shd w:val="clear" w:color="auto" w:fill="D9D9D9"/>
            <w:vAlign w:val="center"/>
          </w:tcPr>
          <w:p w14:paraId="7B0B52AA" w14:textId="77777777" w:rsidR="00A25962" w:rsidRPr="003F4FCE" w:rsidRDefault="00A25962" w:rsidP="000301D3">
            <w:pPr>
              <w:spacing w:after="0" w:line="240" w:lineRule="auto"/>
              <w:jc w:val="center"/>
              <w:rPr>
                <w:rFonts w:ascii="Arial Narrow" w:hAnsi="Arial Narrow"/>
                <w:szCs w:val="20"/>
              </w:rPr>
            </w:pPr>
          </w:p>
        </w:tc>
        <w:tc>
          <w:tcPr>
            <w:tcW w:w="1389" w:type="dxa"/>
            <w:vAlign w:val="center"/>
          </w:tcPr>
          <w:p w14:paraId="7C6F46CE" w14:textId="77777777" w:rsidR="00A25962" w:rsidRPr="00A2043E" w:rsidRDefault="00A25962" w:rsidP="000301D3">
            <w:pPr>
              <w:spacing w:after="0" w:line="240" w:lineRule="auto"/>
              <w:jc w:val="center"/>
              <w:rPr>
                <w:rFonts w:ascii="Arial Narrow" w:hAnsi="Arial Narrow"/>
                <w:sz w:val="18"/>
              </w:rPr>
            </w:pPr>
            <w:r w:rsidRPr="003F4FCE">
              <w:rPr>
                <w:rFonts w:ascii="Arial Narrow" w:hAnsi="Arial Narrow" w:cs="Kartika"/>
                <w:sz w:val="18"/>
                <w:szCs w:val="18"/>
              </w:rPr>
              <w:t>N/A</w:t>
            </w:r>
          </w:p>
        </w:tc>
        <w:tc>
          <w:tcPr>
            <w:tcW w:w="1389" w:type="dxa"/>
            <w:vAlign w:val="center"/>
          </w:tcPr>
          <w:p w14:paraId="53FC4133" w14:textId="6E7BD0F3" w:rsidR="00A25962" w:rsidRPr="00A2043E" w:rsidRDefault="00A25962" w:rsidP="000301D3">
            <w:pPr>
              <w:spacing w:after="0" w:line="240" w:lineRule="auto"/>
              <w:jc w:val="center"/>
              <w:rPr>
                <w:rFonts w:ascii="Arial Narrow" w:hAnsi="Arial Narrow"/>
                <w:sz w:val="18"/>
              </w:rPr>
            </w:pPr>
            <w:r w:rsidRPr="003F4FCE">
              <w:rPr>
                <w:rFonts w:ascii="Arial Narrow" w:hAnsi="Arial Narrow" w:cs="Kartika"/>
                <w:sz w:val="18"/>
                <w:szCs w:val="18"/>
              </w:rPr>
              <w:t>N/A</w:t>
            </w:r>
          </w:p>
        </w:tc>
        <w:tc>
          <w:tcPr>
            <w:tcW w:w="1390" w:type="dxa"/>
            <w:tcBorders>
              <w:right w:val="single" w:sz="12" w:space="0" w:color="auto"/>
            </w:tcBorders>
            <w:vAlign w:val="center"/>
          </w:tcPr>
          <w:p w14:paraId="0F5E1ED1" w14:textId="77777777" w:rsidR="00A25962" w:rsidRPr="00A2043E" w:rsidRDefault="00A25962" w:rsidP="000301D3">
            <w:pPr>
              <w:spacing w:after="0" w:line="240" w:lineRule="auto"/>
              <w:jc w:val="center"/>
              <w:rPr>
                <w:rFonts w:ascii="Arial Narrow" w:hAnsi="Arial Narrow"/>
                <w:sz w:val="18"/>
              </w:rPr>
            </w:pPr>
            <w:r w:rsidRPr="003F4FCE">
              <w:rPr>
                <w:rFonts w:ascii="Arial Narrow" w:hAnsi="Arial Narrow"/>
              </w:rPr>
              <w:sym w:font="Wingdings 2" w:char="F050"/>
            </w:r>
          </w:p>
        </w:tc>
      </w:tr>
      <w:tr w:rsidR="00A25962" w:rsidRPr="00A60EE4" w14:paraId="046CE48D" w14:textId="77777777" w:rsidTr="000301D3">
        <w:trPr>
          <w:trHeight w:val="397"/>
        </w:trPr>
        <w:tc>
          <w:tcPr>
            <w:tcW w:w="1277" w:type="dxa"/>
            <w:tcBorders>
              <w:left w:val="single" w:sz="12" w:space="0" w:color="auto"/>
              <w:right w:val="single" w:sz="12" w:space="0" w:color="auto"/>
            </w:tcBorders>
            <w:vAlign w:val="center"/>
          </w:tcPr>
          <w:p w14:paraId="72B576A5" w14:textId="77777777" w:rsidR="00A25962" w:rsidRPr="003F4FCE" w:rsidRDefault="00A25962" w:rsidP="000301D3">
            <w:pPr>
              <w:spacing w:after="0" w:line="240" w:lineRule="auto"/>
              <w:jc w:val="center"/>
              <w:rPr>
                <w:rFonts w:ascii="Arial Narrow" w:hAnsi="Arial Narrow"/>
                <w:b/>
              </w:rPr>
            </w:pPr>
            <w:r w:rsidRPr="003F4FCE">
              <w:rPr>
                <w:rFonts w:ascii="Arial Narrow" w:hAnsi="Arial Narrow"/>
                <w:b/>
              </w:rPr>
              <w:t>19</w:t>
            </w:r>
          </w:p>
        </w:tc>
        <w:tc>
          <w:tcPr>
            <w:tcW w:w="1389" w:type="dxa"/>
            <w:tcBorders>
              <w:left w:val="single" w:sz="12" w:space="0" w:color="auto"/>
            </w:tcBorders>
            <w:vAlign w:val="center"/>
          </w:tcPr>
          <w:p w14:paraId="36959DC4" w14:textId="77777777" w:rsidR="00A25962" w:rsidRPr="00A2043E" w:rsidRDefault="00A25962" w:rsidP="000301D3">
            <w:pPr>
              <w:spacing w:after="0" w:line="240" w:lineRule="auto"/>
              <w:jc w:val="center"/>
              <w:rPr>
                <w:rFonts w:ascii="Arial Narrow" w:hAnsi="Arial Narrow"/>
                <w:sz w:val="18"/>
              </w:rPr>
            </w:pPr>
            <w:r w:rsidRPr="003F4FCE">
              <w:rPr>
                <w:rFonts w:ascii="Arial Narrow" w:hAnsi="Arial Narrow"/>
              </w:rPr>
              <w:sym w:font="Wingdings 2" w:char="F050"/>
            </w:r>
          </w:p>
        </w:tc>
        <w:tc>
          <w:tcPr>
            <w:tcW w:w="1389" w:type="dxa"/>
            <w:vAlign w:val="center"/>
          </w:tcPr>
          <w:p w14:paraId="24D22B6A" w14:textId="77777777" w:rsidR="00A25962" w:rsidRPr="003F4FCE" w:rsidRDefault="00A25962" w:rsidP="000301D3">
            <w:pPr>
              <w:spacing w:after="0" w:line="240" w:lineRule="auto"/>
              <w:jc w:val="center"/>
              <w:rPr>
                <w:rFonts w:ascii="Arial Narrow" w:hAnsi="Arial Narrow"/>
              </w:rPr>
            </w:pPr>
            <w:r w:rsidRPr="003F4FCE">
              <w:rPr>
                <w:rFonts w:ascii="Arial Narrow" w:hAnsi="Arial Narrow"/>
              </w:rPr>
              <w:sym w:font="Wingdings 2" w:char="F050"/>
            </w:r>
          </w:p>
        </w:tc>
        <w:tc>
          <w:tcPr>
            <w:tcW w:w="1389" w:type="dxa"/>
            <w:vAlign w:val="center"/>
          </w:tcPr>
          <w:p w14:paraId="2DD858BA" w14:textId="77777777" w:rsidR="00A25962" w:rsidRPr="00A2043E" w:rsidRDefault="00A25962" w:rsidP="000301D3">
            <w:pPr>
              <w:spacing w:after="0" w:line="240" w:lineRule="auto"/>
              <w:jc w:val="center"/>
              <w:rPr>
                <w:rFonts w:ascii="Arial Narrow" w:hAnsi="Arial Narrow"/>
                <w:sz w:val="18"/>
              </w:rPr>
            </w:pPr>
            <w:r w:rsidRPr="003F4FCE">
              <w:rPr>
                <w:rFonts w:ascii="Arial Narrow" w:hAnsi="Arial Narrow" w:cs="Kartika"/>
                <w:sz w:val="18"/>
                <w:szCs w:val="18"/>
              </w:rPr>
              <w:t>N/A</w:t>
            </w:r>
          </w:p>
        </w:tc>
        <w:tc>
          <w:tcPr>
            <w:tcW w:w="1219" w:type="dxa"/>
            <w:shd w:val="clear" w:color="auto" w:fill="auto"/>
            <w:vAlign w:val="center"/>
          </w:tcPr>
          <w:p w14:paraId="5FD09B87" w14:textId="77777777" w:rsidR="00A25962" w:rsidRPr="00A2043E" w:rsidRDefault="00A25962" w:rsidP="000301D3">
            <w:pPr>
              <w:spacing w:after="0" w:line="240" w:lineRule="auto"/>
              <w:jc w:val="center"/>
              <w:rPr>
                <w:rFonts w:ascii="Arial Narrow" w:hAnsi="Arial Narrow"/>
                <w:sz w:val="18"/>
              </w:rPr>
            </w:pPr>
            <w:r w:rsidRPr="003F4FCE">
              <w:rPr>
                <w:rFonts w:ascii="Arial Narrow" w:hAnsi="Arial Narrow" w:cs="Kartika"/>
                <w:sz w:val="18"/>
                <w:szCs w:val="18"/>
              </w:rPr>
              <w:t>N/A</w:t>
            </w:r>
          </w:p>
        </w:tc>
        <w:tc>
          <w:tcPr>
            <w:tcW w:w="1701" w:type="dxa"/>
            <w:vAlign w:val="center"/>
          </w:tcPr>
          <w:p w14:paraId="60EB8094" w14:textId="77777777" w:rsidR="00A25962" w:rsidRPr="00A2043E" w:rsidRDefault="00A25962" w:rsidP="000301D3">
            <w:pPr>
              <w:spacing w:after="0" w:line="240" w:lineRule="auto"/>
              <w:jc w:val="center"/>
              <w:rPr>
                <w:rFonts w:ascii="Arial Narrow" w:hAnsi="Arial Narrow"/>
                <w:sz w:val="18"/>
              </w:rPr>
            </w:pPr>
            <w:r w:rsidRPr="003F4FCE">
              <w:rPr>
                <w:rFonts w:ascii="Arial Narrow" w:hAnsi="Arial Narrow" w:cs="Kartika"/>
                <w:sz w:val="18"/>
                <w:szCs w:val="18"/>
              </w:rPr>
              <w:t>N/A</w:t>
            </w:r>
          </w:p>
        </w:tc>
        <w:tc>
          <w:tcPr>
            <w:tcW w:w="1417" w:type="dxa"/>
            <w:vAlign w:val="center"/>
          </w:tcPr>
          <w:p w14:paraId="45B0953E" w14:textId="77777777" w:rsidR="00A25962" w:rsidRPr="003F4FCE" w:rsidRDefault="00A25962" w:rsidP="000301D3">
            <w:pPr>
              <w:spacing w:after="0" w:line="240" w:lineRule="auto"/>
              <w:jc w:val="center"/>
              <w:rPr>
                <w:rFonts w:ascii="Arial Narrow" w:hAnsi="Arial Narrow"/>
              </w:rPr>
            </w:pPr>
            <w:r w:rsidRPr="003F4FCE">
              <w:rPr>
                <w:rFonts w:ascii="Arial Narrow" w:hAnsi="Arial Narrow"/>
              </w:rPr>
              <w:sym w:font="Wingdings 2" w:char="F050"/>
            </w:r>
          </w:p>
        </w:tc>
        <w:tc>
          <w:tcPr>
            <w:tcW w:w="1219" w:type="dxa"/>
            <w:shd w:val="clear" w:color="auto" w:fill="D9D9D9"/>
            <w:vAlign w:val="center"/>
          </w:tcPr>
          <w:p w14:paraId="225A3F72" w14:textId="77777777" w:rsidR="00A25962" w:rsidRPr="003F4FCE" w:rsidRDefault="00A25962" w:rsidP="000301D3">
            <w:pPr>
              <w:spacing w:after="0" w:line="240" w:lineRule="auto"/>
              <w:jc w:val="center"/>
              <w:rPr>
                <w:rFonts w:ascii="Arial Narrow" w:hAnsi="Arial Narrow"/>
                <w:szCs w:val="20"/>
              </w:rPr>
            </w:pPr>
          </w:p>
        </w:tc>
        <w:tc>
          <w:tcPr>
            <w:tcW w:w="1389" w:type="dxa"/>
            <w:vAlign w:val="center"/>
          </w:tcPr>
          <w:p w14:paraId="7B40BCAC" w14:textId="77777777" w:rsidR="00A25962" w:rsidRPr="00A2043E" w:rsidRDefault="00A25962" w:rsidP="000301D3">
            <w:pPr>
              <w:spacing w:after="0" w:line="240" w:lineRule="auto"/>
              <w:jc w:val="center"/>
              <w:rPr>
                <w:rFonts w:ascii="Arial Narrow" w:hAnsi="Arial Narrow"/>
                <w:sz w:val="18"/>
              </w:rPr>
            </w:pPr>
            <w:r w:rsidRPr="003F4FCE">
              <w:rPr>
                <w:rFonts w:ascii="Arial Narrow" w:hAnsi="Arial Narrow" w:cs="Kartika"/>
                <w:sz w:val="18"/>
                <w:szCs w:val="18"/>
              </w:rPr>
              <w:t>N/A</w:t>
            </w:r>
          </w:p>
        </w:tc>
        <w:tc>
          <w:tcPr>
            <w:tcW w:w="1389" w:type="dxa"/>
            <w:vAlign w:val="center"/>
          </w:tcPr>
          <w:p w14:paraId="7D92FE87" w14:textId="71C9277D" w:rsidR="00A25962" w:rsidRPr="00A2043E" w:rsidRDefault="00A25962" w:rsidP="000301D3">
            <w:pPr>
              <w:spacing w:after="0" w:line="240" w:lineRule="auto"/>
              <w:jc w:val="center"/>
              <w:rPr>
                <w:rFonts w:ascii="Arial Narrow" w:hAnsi="Arial Narrow"/>
                <w:sz w:val="18"/>
              </w:rPr>
            </w:pPr>
            <w:r w:rsidRPr="003F4FCE">
              <w:rPr>
                <w:rFonts w:ascii="Arial Narrow" w:hAnsi="Arial Narrow" w:cs="Kartika"/>
                <w:sz w:val="18"/>
                <w:szCs w:val="18"/>
              </w:rPr>
              <w:t>N/A</w:t>
            </w:r>
          </w:p>
        </w:tc>
        <w:tc>
          <w:tcPr>
            <w:tcW w:w="1390" w:type="dxa"/>
            <w:tcBorders>
              <w:right w:val="single" w:sz="12" w:space="0" w:color="auto"/>
            </w:tcBorders>
            <w:vAlign w:val="center"/>
          </w:tcPr>
          <w:p w14:paraId="0B3B7E67" w14:textId="77777777" w:rsidR="00A25962" w:rsidRPr="00A2043E" w:rsidRDefault="00A25962" w:rsidP="000301D3">
            <w:pPr>
              <w:spacing w:after="0" w:line="240" w:lineRule="auto"/>
              <w:jc w:val="center"/>
              <w:rPr>
                <w:rFonts w:ascii="Arial Narrow" w:hAnsi="Arial Narrow"/>
                <w:sz w:val="18"/>
              </w:rPr>
            </w:pPr>
            <w:r w:rsidRPr="003F4FCE">
              <w:rPr>
                <w:rFonts w:ascii="Arial Narrow" w:hAnsi="Arial Narrow"/>
              </w:rPr>
              <w:sym w:font="Wingdings 2" w:char="F050"/>
            </w:r>
          </w:p>
        </w:tc>
      </w:tr>
      <w:tr w:rsidR="00A25962" w:rsidRPr="00A60EE4" w14:paraId="42613526" w14:textId="77777777" w:rsidTr="000301D3">
        <w:trPr>
          <w:trHeight w:val="397"/>
        </w:trPr>
        <w:tc>
          <w:tcPr>
            <w:tcW w:w="1277" w:type="dxa"/>
            <w:tcBorders>
              <w:left w:val="single" w:sz="12" w:space="0" w:color="auto"/>
              <w:right w:val="single" w:sz="12" w:space="0" w:color="auto"/>
            </w:tcBorders>
            <w:vAlign w:val="center"/>
          </w:tcPr>
          <w:p w14:paraId="6088B25D" w14:textId="77777777" w:rsidR="00A25962" w:rsidRPr="00A60EE4" w:rsidRDefault="00A25962" w:rsidP="000301D3">
            <w:pPr>
              <w:spacing w:after="0" w:line="240" w:lineRule="auto"/>
              <w:jc w:val="center"/>
              <w:rPr>
                <w:rFonts w:ascii="Arial Narrow" w:hAnsi="Arial Narrow"/>
                <w:b/>
              </w:rPr>
            </w:pPr>
            <w:r>
              <w:rPr>
                <w:rFonts w:ascii="Arial Narrow" w:hAnsi="Arial Narrow"/>
                <w:b/>
              </w:rPr>
              <w:t>20</w:t>
            </w:r>
          </w:p>
        </w:tc>
        <w:tc>
          <w:tcPr>
            <w:tcW w:w="1389" w:type="dxa"/>
            <w:tcBorders>
              <w:left w:val="single" w:sz="12" w:space="0" w:color="auto"/>
            </w:tcBorders>
            <w:vAlign w:val="center"/>
          </w:tcPr>
          <w:p w14:paraId="772F7C03" w14:textId="77777777" w:rsidR="00A25962" w:rsidRPr="00A2043E" w:rsidRDefault="00A25962" w:rsidP="000301D3">
            <w:pPr>
              <w:spacing w:after="0" w:line="240" w:lineRule="auto"/>
              <w:jc w:val="center"/>
              <w:rPr>
                <w:rFonts w:ascii="Arial Narrow" w:hAnsi="Arial Narrow"/>
                <w:b/>
                <w:sz w:val="18"/>
              </w:rPr>
            </w:pPr>
            <w:r w:rsidRPr="00A60EE4">
              <w:rPr>
                <w:rFonts w:ascii="Arial Narrow" w:hAnsi="Arial Narrow" w:cs="Kartika"/>
                <w:sz w:val="18"/>
                <w:szCs w:val="18"/>
              </w:rPr>
              <w:t>N/A</w:t>
            </w:r>
          </w:p>
        </w:tc>
        <w:tc>
          <w:tcPr>
            <w:tcW w:w="1389" w:type="dxa"/>
            <w:vAlign w:val="center"/>
          </w:tcPr>
          <w:p w14:paraId="73B5844F" w14:textId="1F0BF41D" w:rsidR="00A25962" w:rsidRPr="00A2043E" w:rsidRDefault="00A25962" w:rsidP="000301D3">
            <w:pPr>
              <w:spacing w:after="0" w:line="240" w:lineRule="auto"/>
              <w:jc w:val="center"/>
              <w:rPr>
                <w:rFonts w:ascii="Arial Narrow" w:hAnsi="Arial Narrow"/>
              </w:rPr>
            </w:pPr>
            <w:r w:rsidRPr="00A60EE4">
              <w:rPr>
                <w:rFonts w:ascii="Arial Narrow" w:hAnsi="Arial Narrow"/>
              </w:rPr>
              <w:sym w:font="Wingdings 2" w:char="F050"/>
            </w:r>
          </w:p>
        </w:tc>
        <w:tc>
          <w:tcPr>
            <w:tcW w:w="1389" w:type="dxa"/>
            <w:vAlign w:val="center"/>
          </w:tcPr>
          <w:p w14:paraId="15A1C942" w14:textId="77777777" w:rsidR="00A25962" w:rsidRPr="00A2043E" w:rsidRDefault="00A25962" w:rsidP="000301D3">
            <w:pPr>
              <w:spacing w:after="0" w:line="240" w:lineRule="auto"/>
              <w:jc w:val="center"/>
              <w:rPr>
                <w:rFonts w:ascii="Arial Narrow" w:hAnsi="Arial Narrow"/>
              </w:rPr>
            </w:pPr>
            <w:r w:rsidRPr="00A60EE4">
              <w:rPr>
                <w:rFonts w:ascii="Arial Narrow" w:hAnsi="Arial Narrow" w:cs="Kartika"/>
                <w:sz w:val="18"/>
                <w:szCs w:val="18"/>
              </w:rPr>
              <w:t>N/A</w:t>
            </w:r>
          </w:p>
        </w:tc>
        <w:tc>
          <w:tcPr>
            <w:tcW w:w="1219" w:type="dxa"/>
            <w:shd w:val="clear" w:color="auto" w:fill="auto"/>
            <w:vAlign w:val="center"/>
          </w:tcPr>
          <w:p w14:paraId="7AB29482" w14:textId="77777777" w:rsidR="00A25962" w:rsidRPr="00A2043E" w:rsidRDefault="00A25962" w:rsidP="000301D3">
            <w:pPr>
              <w:spacing w:after="0" w:line="240" w:lineRule="auto"/>
              <w:jc w:val="center"/>
              <w:rPr>
                <w:rFonts w:ascii="Arial Narrow" w:hAnsi="Arial Narrow"/>
              </w:rPr>
            </w:pPr>
            <w:r w:rsidRPr="00A60EE4">
              <w:rPr>
                <w:rFonts w:ascii="Arial Narrow" w:hAnsi="Arial Narrow" w:cs="Kartika"/>
                <w:sz w:val="18"/>
                <w:szCs w:val="18"/>
              </w:rPr>
              <w:t>N/A</w:t>
            </w:r>
          </w:p>
        </w:tc>
        <w:tc>
          <w:tcPr>
            <w:tcW w:w="1701" w:type="dxa"/>
            <w:vAlign w:val="center"/>
          </w:tcPr>
          <w:p w14:paraId="2FF82D86" w14:textId="28A0BD80" w:rsidR="00A25962" w:rsidRPr="00A2043E" w:rsidRDefault="00A25962" w:rsidP="000301D3">
            <w:pPr>
              <w:spacing w:after="0" w:line="240" w:lineRule="auto"/>
              <w:jc w:val="center"/>
              <w:rPr>
                <w:rFonts w:ascii="Arial Narrow" w:hAnsi="Arial Narrow"/>
                <w:b/>
                <w:sz w:val="18"/>
              </w:rPr>
            </w:pPr>
            <w:r w:rsidRPr="00A60EE4">
              <w:rPr>
                <w:rFonts w:ascii="Arial Narrow" w:hAnsi="Arial Narrow" w:cs="Kartika"/>
                <w:sz w:val="18"/>
                <w:szCs w:val="18"/>
              </w:rPr>
              <w:t>N/A</w:t>
            </w:r>
          </w:p>
        </w:tc>
        <w:tc>
          <w:tcPr>
            <w:tcW w:w="1417" w:type="dxa"/>
            <w:vAlign w:val="center"/>
          </w:tcPr>
          <w:p w14:paraId="5EF72F8A" w14:textId="39929D7C" w:rsidR="00A25962" w:rsidRPr="00A2043E" w:rsidRDefault="00A25962" w:rsidP="000301D3">
            <w:pPr>
              <w:spacing w:after="0" w:line="240" w:lineRule="auto"/>
              <w:jc w:val="center"/>
              <w:rPr>
                <w:rFonts w:ascii="Arial Narrow" w:hAnsi="Arial Narrow"/>
              </w:rPr>
            </w:pPr>
            <w:r w:rsidRPr="00A60EE4">
              <w:rPr>
                <w:rFonts w:ascii="Arial Narrow" w:hAnsi="Arial Narrow"/>
              </w:rPr>
              <w:sym w:font="Wingdings 2" w:char="F050"/>
            </w:r>
          </w:p>
        </w:tc>
        <w:tc>
          <w:tcPr>
            <w:tcW w:w="1219" w:type="dxa"/>
            <w:shd w:val="clear" w:color="auto" w:fill="D9D9D9"/>
            <w:vAlign w:val="center"/>
          </w:tcPr>
          <w:p w14:paraId="4BE7B45F" w14:textId="77777777" w:rsidR="00A25962" w:rsidRPr="00A2043E" w:rsidRDefault="00A25962" w:rsidP="000301D3">
            <w:pPr>
              <w:spacing w:after="0" w:line="240" w:lineRule="auto"/>
              <w:jc w:val="center"/>
              <w:rPr>
                <w:rFonts w:ascii="Arial Narrow" w:hAnsi="Arial Narrow"/>
              </w:rPr>
            </w:pPr>
          </w:p>
        </w:tc>
        <w:tc>
          <w:tcPr>
            <w:tcW w:w="1389" w:type="dxa"/>
            <w:vAlign w:val="center"/>
          </w:tcPr>
          <w:p w14:paraId="12FF884A" w14:textId="77777777" w:rsidR="00A25962" w:rsidRPr="00A2043E" w:rsidRDefault="00A25962" w:rsidP="000301D3">
            <w:pPr>
              <w:spacing w:after="0" w:line="240" w:lineRule="auto"/>
              <w:jc w:val="center"/>
              <w:rPr>
                <w:rFonts w:ascii="Arial Narrow" w:hAnsi="Arial Narrow"/>
                <w:b/>
                <w:sz w:val="18"/>
              </w:rPr>
            </w:pPr>
            <w:r w:rsidRPr="00A60EE4">
              <w:rPr>
                <w:rFonts w:ascii="Arial Narrow" w:hAnsi="Arial Narrow" w:cs="Kartika"/>
                <w:sz w:val="18"/>
                <w:szCs w:val="18"/>
              </w:rPr>
              <w:t>N/A</w:t>
            </w:r>
          </w:p>
        </w:tc>
        <w:tc>
          <w:tcPr>
            <w:tcW w:w="1389" w:type="dxa"/>
            <w:vAlign w:val="center"/>
          </w:tcPr>
          <w:p w14:paraId="701C484F" w14:textId="77777777" w:rsidR="00A25962" w:rsidRPr="00A2043E" w:rsidRDefault="00A25962" w:rsidP="000301D3">
            <w:pPr>
              <w:spacing w:after="0" w:line="240" w:lineRule="auto"/>
              <w:jc w:val="center"/>
              <w:rPr>
                <w:rFonts w:ascii="Arial Narrow" w:hAnsi="Arial Narrow"/>
                <w:b/>
                <w:sz w:val="18"/>
              </w:rPr>
            </w:pPr>
            <w:r w:rsidRPr="00A60EE4">
              <w:rPr>
                <w:rFonts w:ascii="Arial Narrow" w:hAnsi="Arial Narrow" w:cs="Kartika"/>
                <w:sz w:val="18"/>
                <w:szCs w:val="18"/>
              </w:rPr>
              <w:t>N/A</w:t>
            </w:r>
          </w:p>
        </w:tc>
        <w:tc>
          <w:tcPr>
            <w:tcW w:w="1390" w:type="dxa"/>
            <w:tcBorders>
              <w:right w:val="single" w:sz="12" w:space="0" w:color="auto"/>
            </w:tcBorders>
            <w:vAlign w:val="center"/>
          </w:tcPr>
          <w:p w14:paraId="080EFF34" w14:textId="77777777" w:rsidR="00A25962" w:rsidRPr="00A2043E" w:rsidRDefault="00A25962" w:rsidP="000301D3">
            <w:pPr>
              <w:spacing w:after="0" w:line="240" w:lineRule="auto"/>
              <w:jc w:val="center"/>
              <w:rPr>
                <w:rFonts w:ascii="Arial Narrow" w:hAnsi="Arial Narrow"/>
              </w:rPr>
            </w:pPr>
            <w:r w:rsidRPr="00A60EE4">
              <w:rPr>
                <w:rFonts w:ascii="Arial Narrow" w:hAnsi="Arial Narrow" w:cs="Kartika"/>
                <w:sz w:val="18"/>
                <w:szCs w:val="18"/>
              </w:rPr>
              <w:t>N/A</w:t>
            </w:r>
          </w:p>
        </w:tc>
      </w:tr>
      <w:tr w:rsidR="009B638B" w:rsidRPr="00A60EE4" w14:paraId="12DBD701" w14:textId="77777777" w:rsidTr="000301D3">
        <w:trPr>
          <w:trHeight w:val="397"/>
        </w:trPr>
        <w:tc>
          <w:tcPr>
            <w:tcW w:w="1277" w:type="dxa"/>
            <w:tcBorders>
              <w:left w:val="single" w:sz="12" w:space="0" w:color="auto"/>
              <w:right w:val="single" w:sz="12" w:space="0" w:color="auto"/>
            </w:tcBorders>
            <w:vAlign w:val="center"/>
          </w:tcPr>
          <w:p w14:paraId="2640C2AE" w14:textId="77777777" w:rsidR="00A25962" w:rsidRPr="00A60EE4" w:rsidRDefault="00A25962" w:rsidP="000301D3">
            <w:pPr>
              <w:spacing w:after="0" w:line="240" w:lineRule="auto"/>
              <w:jc w:val="center"/>
              <w:rPr>
                <w:rFonts w:ascii="Arial Narrow" w:hAnsi="Arial Narrow"/>
                <w:b/>
              </w:rPr>
            </w:pPr>
            <w:r>
              <w:rPr>
                <w:rFonts w:ascii="Arial Narrow" w:hAnsi="Arial Narrow"/>
                <w:b/>
              </w:rPr>
              <w:t>21</w:t>
            </w:r>
          </w:p>
        </w:tc>
        <w:tc>
          <w:tcPr>
            <w:tcW w:w="1389" w:type="dxa"/>
            <w:tcBorders>
              <w:left w:val="single" w:sz="12" w:space="0" w:color="auto"/>
            </w:tcBorders>
            <w:vAlign w:val="center"/>
          </w:tcPr>
          <w:p w14:paraId="1D7958D1" w14:textId="48B06A8C" w:rsidR="00A25962" w:rsidRPr="00A2043E" w:rsidRDefault="00A25962" w:rsidP="000301D3">
            <w:pPr>
              <w:spacing w:after="0" w:line="240" w:lineRule="auto"/>
              <w:jc w:val="center"/>
              <w:rPr>
                <w:rFonts w:ascii="Arial Narrow" w:hAnsi="Arial Narrow"/>
              </w:rPr>
            </w:pPr>
            <w:r w:rsidRPr="00A60EE4">
              <w:rPr>
                <w:rFonts w:ascii="Arial Narrow" w:hAnsi="Arial Narrow"/>
              </w:rPr>
              <w:sym w:font="Wingdings 2" w:char="F050"/>
            </w:r>
          </w:p>
        </w:tc>
        <w:tc>
          <w:tcPr>
            <w:tcW w:w="1389" w:type="dxa"/>
            <w:vAlign w:val="center"/>
          </w:tcPr>
          <w:p w14:paraId="535107F7" w14:textId="32F46828" w:rsidR="00A25962" w:rsidRPr="00A2043E" w:rsidRDefault="00A25962" w:rsidP="000301D3">
            <w:pPr>
              <w:spacing w:after="0" w:line="240" w:lineRule="auto"/>
              <w:jc w:val="center"/>
              <w:rPr>
                <w:rFonts w:ascii="Arial Narrow" w:hAnsi="Arial Narrow"/>
              </w:rPr>
            </w:pPr>
            <w:r w:rsidRPr="00A60EE4">
              <w:rPr>
                <w:rFonts w:ascii="Arial Narrow" w:hAnsi="Arial Narrow"/>
              </w:rPr>
              <w:sym w:font="Wingdings 2" w:char="F050"/>
            </w:r>
          </w:p>
        </w:tc>
        <w:tc>
          <w:tcPr>
            <w:tcW w:w="1389" w:type="dxa"/>
            <w:vAlign w:val="center"/>
          </w:tcPr>
          <w:p w14:paraId="66AB77DA" w14:textId="77777777" w:rsidR="00A25962" w:rsidRPr="00A2043E" w:rsidRDefault="00A25962" w:rsidP="000301D3">
            <w:pPr>
              <w:spacing w:after="0" w:line="240" w:lineRule="auto"/>
              <w:jc w:val="center"/>
              <w:rPr>
                <w:rFonts w:ascii="Arial Narrow" w:hAnsi="Arial Narrow"/>
              </w:rPr>
            </w:pPr>
            <w:r w:rsidRPr="00A60EE4">
              <w:rPr>
                <w:rFonts w:ascii="Arial Narrow" w:hAnsi="Arial Narrow" w:cs="Kartika"/>
                <w:sz w:val="18"/>
                <w:szCs w:val="18"/>
              </w:rPr>
              <w:t>N/A</w:t>
            </w:r>
          </w:p>
        </w:tc>
        <w:tc>
          <w:tcPr>
            <w:tcW w:w="1219" w:type="dxa"/>
            <w:shd w:val="clear" w:color="auto" w:fill="auto"/>
            <w:vAlign w:val="center"/>
          </w:tcPr>
          <w:p w14:paraId="5B21E054" w14:textId="77777777" w:rsidR="00A25962" w:rsidRPr="00A2043E" w:rsidRDefault="00A25962" w:rsidP="000301D3">
            <w:pPr>
              <w:spacing w:after="0" w:line="240" w:lineRule="auto"/>
              <w:jc w:val="center"/>
              <w:rPr>
                <w:rFonts w:ascii="Arial Narrow" w:hAnsi="Arial Narrow"/>
              </w:rPr>
            </w:pPr>
            <w:r w:rsidRPr="00A60EE4">
              <w:rPr>
                <w:rFonts w:ascii="Arial Narrow" w:hAnsi="Arial Narrow" w:cs="Kartika"/>
                <w:sz w:val="18"/>
                <w:szCs w:val="18"/>
              </w:rPr>
              <w:t>N/A</w:t>
            </w:r>
          </w:p>
        </w:tc>
        <w:tc>
          <w:tcPr>
            <w:tcW w:w="1701" w:type="dxa"/>
            <w:vAlign w:val="center"/>
          </w:tcPr>
          <w:p w14:paraId="3DA7D334" w14:textId="77777777" w:rsidR="00A25962" w:rsidRPr="00A2043E" w:rsidRDefault="00A25962" w:rsidP="000301D3">
            <w:pPr>
              <w:spacing w:after="0" w:line="240" w:lineRule="auto"/>
              <w:jc w:val="center"/>
              <w:rPr>
                <w:rFonts w:ascii="Arial Narrow" w:hAnsi="Arial Narrow"/>
                <w:b/>
                <w:sz w:val="18"/>
              </w:rPr>
            </w:pPr>
            <w:r w:rsidRPr="00A60EE4">
              <w:rPr>
                <w:rFonts w:ascii="Arial Narrow" w:hAnsi="Arial Narrow" w:cs="Kartika"/>
                <w:sz w:val="18"/>
                <w:szCs w:val="18"/>
              </w:rPr>
              <w:t>N/A</w:t>
            </w:r>
          </w:p>
        </w:tc>
        <w:tc>
          <w:tcPr>
            <w:tcW w:w="1417" w:type="dxa"/>
            <w:vAlign w:val="center"/>
          </w:tcPr>
          <w:p w14:paraId="6A5E3FD0" w14:textId="654CA490" w:rsidR="00A25962" w:rsidRPr="00A2043E" w:rsidRDefault="00A25962" w:rsidP="000301D3">
            <w:pPr>
              <w:spacing w:after="0" w:line="240" w:lineRule="auto"/>
              <w:jc w:val="center"/>
              <w:rPr>
                <w:rFonts w:ascii="Arial Narrow" w:hAnsi="Arial Narrow"/>
              </w:rPr>
            </w:pPr>
            <w:r w:rsidRPr="00A60EE4">
              <w:rPr>
                <w:rFonts w:ascii="Arial Narrow" w:hAnsi="Arial Narrow"/>
              </w:rPr>
              <w:sym w:font="Wingdings 2" w:char="F050"/>
            </w:r>
          </w:p>
        </w:tc>
        <w:tc>
          <w:tcPr>
            <w:tcW w:w="1219" w:type="dxa"/>
            <w:shd w:val="clear" w:color="auto" w:fill="D9D9D9"/>
            <w:vAlign w:val="center"/>
          </w:tcPr>
          <w:p w14:paraId="3CC30B2B" w14:textId="77777777" w:rsidR="00A25962" w:rsidRPr="00A2043E" w:rsidRDefault="00A25962" w:rsidP="000301D3">
            <w:pPr>
              <w:spacing w:after="0" w:line="240" w:lineRule="auto"/>
              <w:jc w:val="center"/>
              <w:rPr>
                <w:rFonts w:ascii="Arial Narrow" w:hAnsi="Arial Narrow"/>
              </w:rPr>
            </w:pPr>
          </w:p>
        </w:tc>
        <w:tc>
          <w:tcPr>
            <w:tcW w:w="1389" w:type="dxa"/>
            <w:vAlign w:val="center"/>
          </w:tcPr>
          <w:p w14:paraId="21904D16" w14:textId="77777777" w:rsidR="00A25962" w:rsidRPr="00A2043E" w:rsidRDefault="00A25962" w:rsidP="000301D3">
            <w:pPr>
              <w:spacing w:after="0" w:line="240" w:lineRule="auto"/>
              <w:jc w:val="center"/>
              <w:rPr>
                <w:rFonts w:ascii="Arial Narrow" w:hAnsi="Arial Narrow"/>
                <w:b/>
                <w:sz w:val="18"/>
              </w:rPr>
            </w:pPr>
            <w:r w:rsidRPr="00A60EE4">
              <w:rPr>
                <w:rFonts w:ascii="Arial Narrow" w:hAnsi="Arial Narrow" w:cs="Kartika"/>
                <w:sz w:val="18"/>
                <w:szCs w:val="18"/>
              </w:rPr>
              <w:t>N/A</w:t>
            </w:r>
          </w:p>
        </w:tc>
        <w:tc>
          <w:tcPr>
            <w:tcW w:w="1389" w:type="dxa"/>
            <w:vAlign w:val="center"/>
          </w:tcPr>
          <w:p w14:paraId="37E9FE03" w14:textId="77777777" w:rsidR="00A25962" w:rsidRPr="00A2043E" w:rsidRDefault="00A25962" w:rsidP="000301D3">
            <w:pPr>
              <w:spacing w:after="0" w:line="240" w:lineRule="auto"/>
              <w:jc w:val="center"/>
              <w:rPr>
                <w:rFonts w:ascii="Arial Narrow" w:hAnsi="Arial Narrow"/>
                <w:b/>
                <w:sz w:val="18"/>
              </w:rPr>
            </w:pPr>
            <w:r w:rsidRPr="00A60EE4">
              <w:rPr>
                <w:rFonts w:ascii="Arial Narrow" w:hAnsi="Arial Narrow" w:cs="Kartika"/>
                <w:sz w:val="18"/>
                <w:szCs w:val="18"/>
              </w:rPr>
              <w:t>N/A</w:t>
            </w:r>
          </w:p>
        </w:tc>
        <w:tc>
          <w:tcPr>
            <w:tcW w:w="1390" w:type="dxa"/>
            <w:tcBorders>
              <w:right w:val="single" w:sz="12" w:space="0" w:color="auto"/>
            </w:tcBorders>
            <w:vAlign w:val="center"/>
          </w:tcPr>
          <w:p w14:paraId="26C29BB3" w14:textId="485226F1" w:rsidR="00A25962" w:rsidRPr="00A2043E" w:rsidRDefault="00A25962" w:rsidP="000301D3">
            <w:pPr>
              <w:spacing w:after="0" w:line="240" w:lineRule="auto"/>
              <w:jc w:val="center"/>
              <w:rPr>
                <w:rFonts w:ascii="Arial Narrow" w:hAnsi="Arial Narrow"/>
                <w:b/>
              </w:rPr>
            </w:pPr>
            <w:r w:rsidRPr="00A60EE4">
              <w:rPr>
                <w:rFonts w:ascii="Arial Narrow" w:hAnsi="Arial Narrow"/>
              </w:rPr>
              <w:sym w:font="Wingdings 2" w:char="F050"/>
            </w:r>
          </w:p>
        </w:tc>
      </w:tr>
      <w:tr w:rsidR="00A25962" w:rsidRPr="00A60EE4" w14:paraId="2D8EC6A4" w14:textId="77777777" w:rsidTr="000301D3">
        <w:trPr>
          <w:trHeight w:val="397"/>
        </w:trPr>
        <w:tc>
          <w:tcPr>
            <w:tcW w:w="1277" w:type="dxa"/>
            <w:tcBorders>
              <w:left w:val="single" w:sz="12" w:space="0" w:color="auto"/>
              <w:right w:val="single" w:sz="12" w:space="0" w:color="auto"/>
            </w:tcBorders>
            <w:vAlign w:val="center"/>
          </w:tcPr>
          <w:p w14:paraId="16D404F4" w14:textId="77777777" w:rsidR="00A25962" w:rsidRPr="00A60EE4" w:rsidRDefault="00A25962" w:rsidP="000301D3">
            <w:pPr>
              <w:spacing w:after="0" w:line="240" w:lineRule="auto"/>
              <w:jc w:val="center"/>
              <w:rPr>
                <w:rFonts w:ascii="Arial Narrow" w:hAnsi="Arial Narrow"/>
                <w:b/>
              </w:rPr>
            </w:pPr>
            <w:r>
              <w:rPr>
                <w:rFonts w:ascii="Arial Narrow" w:hAnsi="Arial Narrow"/>
                <w:b/>
              </w:rPr>
              <w:t>22</w:t>
            </w:r>
          </w:p>
        </w:tc>
        <w:tc>
          <w:tcPr>
            <w:tcW w:w="1389" w:type="dxa"/>
            <w:tcBorders>
              <w:left w:val="single" w:sz="12" w:space="0" w:color="auto"/>
            </w:tcBorders>
            <w:vAlign w:val="center"/>
          </w:tcPr>
          <w:p w14:paraId="5ECEB1F8" w14:textId="77777777" w:rsidR="00A25962" w:rsidRPr="00A60EE4" w:rsidRDefault="00A25962" w:rsidP="000301D3">
            <w:pPr>
              <w:spacing w:after="0" w:line="240" w:lineRule="auto"/>
              <w:jc w:val="center"/>
              <w:rPr>
                <w:rFonts w:ascii="Arial Narrow" w:hAnsi="Arial Narrow"/>
                <w:szCs w:val="20"/>
              </w:rPr>
            </w:pPr>
            <w:r w:rsidRPr="00A60EE4">
              <w:rPr>
                <w:rFonts w:ascii="Arial Narrow" w:hAnsi="Arial Narrow"/>
              </w:rPr>
              <w:sym w:font="Wingdings 2" w:char="F050"/>
            </w:r>
          </w:p>
        </w:tc>
        <w:tc>
          <w:tcPr>
            <w:tcW w:w="1389" w:type="dxa"/>
            <w:vAlign w:val="center"/>
          </w:tcPr>
          <w:p w14:paraId="3A8E732D" w14:textId="77777777" w:rsidR="00A25962" w:rsidRPr="00A60EE4" w:rsidRDefault="00A25962" w:rsidP="000301D3">
            <w:pPr>
              <w:spacing w:after="0" w:line="240" w:lineRule="auto"/>
              <w:jc w:val="center"/>
              <w:rPr>
                <w:rFonts w:ascii="Arial Narrow" w:hAnsi="Arial Narrow"/>
                <w:szCs w:val="20"/>
              </w:rPr>
            </w:pPr>
            <w:r w:rsidRPr="00A60EE4">
              <w:rPr>
                <w:rFonts w:ascii="Arial Narrow" w:hAnsi="Arial Narrow"/>
              </w:rPr>
              <w:sym w:font="Wingdings 2" w:char="F050"/>
            </w:r>
          </w:p>
        </w:tc>
        <w:tc>
          <w:tcPr>
            <w:tcW w:w="1389" w:type="dxa"/>
            <w:vAlign w:val="center"/>
          </w:tcPr>
          <w:p w14:paraId="05E55766" w14:textId="77777777" w:rsidR="00A25962" w:rsidRPr="00A60EE4" w:rsidRDefault="00A25962" w:rsidP="000301D3">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219" w:type="dxa"/>
            <w:shd w:val="clear" w:color="auto" w:fill="auto"/>
            <w:vAlign w:val="center"/>
          </w:tcPr>
          <w:p w14:paraId="4A56938F" w14:textId="77777777" w:rsidR="00A25962" w:rsidRPr="00A60EE4" w:rsidRDefault="00A25962" w:rsidP="000301D3">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701" w:type="dxa"/>
            <w:vAlign w:val="center"/>
          </w:tcPr>
          <w:p w14:paraId="7667B4EE" w14:textId="77777777" w:rsidR="00A25962" w:rsidRPr="00A60EE4" w:rsidRDefault="00A25962" w:rsidP="000301D3">
            <w:pPr>
              <w:spacing w:after="0" w:line="240" w:lineRule="auto"/>
              <w:jc w:val="center"/>
              <w:rPr>
                <w:rFonts w:ascii="Arial Narrow" w:hAnsi="Arial Narrow" w:cs="Kartika"/>
                <w:b/>
                <w:sz w:val="18"/>
                <w:szCs w:val="18"/>
              </w:rPr>
            </w:pPr>
            <w:r w:rsidRPr="00A60EE4">
              <w:rPr>
                <w:rFonts w:ascii="Arial Narrow" w:hAnsi="Arial Narrow" w:cs="Kartika"/>
                <w:szCs w:val="18"/>
              </w:rPr>
              <w:sym w:font="Wingdings 2" w:char="F050"/>
            </w:r>
          </w:p>
        </w:tc>
        <w:tc>
          <w:tcPr>
            <w:tcW w:w="1417" w:type="dxa"/>
            <w:vAlign w:val="center"/>
          </w:tcPr>
          <w:p w14:paraId="03950274" w14:textId="77777777" w:rsidR="00A25962" w:rsidRPr="00A60EE4" w:rsidRDefault="00A25962" w:rsidP="000301D3">
            <w:pPr>
              <w:spacing w:after="0" w:line="240" w:lineRule="auto"/>
              <w:jc w:val="center"/>
              <w:rPr>
                <w:rFonts w:ascii="Arial Narrow" w:hAnsi="Arial Narrow"/>
                <w:szCs w:val="20"/>
              </w:rPr>
            </w:pPr>
            <w:r w:rsidRPr="00A60EE4">
              <w:rPr>
                <w:rFonts w:ascii="Arial Narrow" w:hAnsi="Arial Narrow"/>
              </w:rPr>
              <w:sym w:font="Wingdings 2" w:char="F050"/>
            </w:r>
          </w:p>
        </w:tc>
        <w:tc>
          <w:tcPr>
            <w:tcW w:w="1219" w:type="dxa"/>
            <w:shd w:val="clear" w:color="auto" w:fill="D9D9D9"/>
            <w:vAlign w:val="center"/>
          </w:tcPr>
          <w:p w14:paraId="068BD683" w14:textId="77777777" w:rsidR="00A25962" w:rsidRPr="00A60EE4" w:rsidRDefault="00A25962" w:rsidP="000301D3">
            <w:pPr>
              <w:spacing w:after="0" w:line="240" w:lineRule="auto"/>
              <w:jc w:val="center"/>
              <w:rPr>
                <w:rFonts w:ascii="Arial Narrow" w:hAnsi="Arial Narrow"/>
                <w:szCs w:val="20"/>
              </w:rPr>
            </w:pPr>
          </w:p>
        </w:tc>
        <w:tc>
          <w:tcPr>
            <w:tcW w:w="1389" w:type="dxa"/>
            <w:vAlign w:val="center"/>
          </w:tcPr>
          <w:p w14:paraId="3DB1262C" w14:textId="77777777" w:rsidR="00A25962" w:rsidRPr="00A60EE4" w:rsidRDefault="00A25962" w:rsidP="000301D3">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14:paraId="501243DE" w14:textId="77777777" w:rsidR="00A25962" w:rsidRPr="00A60EE4" w:rsidRDefault="00A25962" w:rsidP="000301D3">
            <w:pPr>
              <w:spacing w:after="0" w:line="240" w:lineRule="auto"/>
              <w:jc w:val="center"/>
              <w:rPr>
                <w:rFonts w:ascii="Arial Narrow" w:hAnsi="Arial Narrow" w:cs="Kartika"/>
                <w:b/>
                <w:sz w:val="18"/>
                <w:szCs w:val="18"/>
              </w:rPr>
            </w:pPr>
            <w:r w:rsidRPr="00A60EE4">
              <w:rPr>
                <w:rFonts w:ascii="Arial Narrow" w:hAnsi="Arial Narrow"/>
              </w:rPr>
              <w:sym w:font="Wingdings 2" w:char="F050"/>
            </w:r>
          </w:p>
        </w:tc>
        <w:tc>
          <w:tcPr>
            <w:tcW w:w="1390" w:type="dxa"/>
            <w:tcBorders>
              <w:right w:val="single" w:sz="12" w:space="0" w:color="auto"/>
            </w:tcBorders>
            <w:vAlign w:val="center"/>
          </w:tcPr>
          <w:p w14:paraId="67C28C57" w14:textId="77777777" w:rsidR="00A25962" w:rsidRPr="00A60EE4" w:rsidRDefault="00A25962" w:rsidP="000301D3">
            <w:pPr>
              <w:spacing w:after="0" w:line="240" w:lineRule="auto"/>
              <w:jc w:val="center"/>
              <w:rPr>
                <w:rFonts w:ascii="Arial Narrow" w:hAnsi="Arial Narrow"/>
                <w:b/>
              </w:rPr>
            </w:pPr>
            <w:r w:rsidRPr="00A60EE4">
              <w:rPr>
                <w:rFonts w:ascii="Arial Narrow" w:hAnsi="Arial Narrow"/>
              </w:rPr>
              <w:sym w:font="Wingdings 2" w:char="F050"/>
            </w:r>
          </w:p>
        </w:tc>
      </w:tr>
      <w:tr w:rsidR="00A25962" w:rsidRPr="00A60EE4" w14:paraId="5048EFDC" w14:textId="77777777" w:rsidTr="000301D3">
        <w:trPr>
          <w:trHeight w:val="397"/>
        </w:trPr>
        <w:tc>
          <w:tcPr>
            <w:tcW w:w="1277" w:type="dxa"/>
            <w:tcBorders>
              <w:left w:val="single" w:sz="12" w:space="0" w:color="auto"/>
              <w:right w:val="single" w:sz="12" w:space="0" w:color="auto"/>
            </w:tcBorders>
            <w:vAlign w:val="center"/>
          </w:tcPr>
          <w:p w14:paraId="59673DAB" w14:textId="77777777" w:rsidR="00A25962" w:rsidRPr="00A60EE4" w:rsidRDefault="00A25962" w:rsidP="000301D3">
            <w:pPr>
              <w:spacing w:after="0" w:line="240" w:lineRule="auto"/>
              <w:jc w:val="center"/>
              <w:rPr>
                <w:rFonts w:ascii="Arial Narrow" w:hAnsi="Arial Narrow"/>
                <w:b/>
              </w:rPr>
            </w:pPr>
            <w:r>
              <w:rPr>
                <w:rFonts w:ascii="Arial Narrow" w:hAnsi="Arial Narrow"/>
                <w:b/>
              </w:rPr>
              <w:t>23</w:t>
            </w:r>
          </w:p>
        </w:tc>
        <w:tc>
          <w:tcPr>
            <w:tcW w:w="1389" w:type="dxa"/>
            <w:tcBorders>
              <w:left w:val="single" w:sz="12" w:space="0" w:color="auto"/>
            </w:tcBorders>
            <w:vAlign w:val="center"/>
          </w:tcPr>
          <w:p w14:paraId="68B5BCE2" w14:textId="77777777" w:rsidR="00A25962" w:rsidRPr="00A60EE4" w:rsidRDefault="00A25962" w:rsidP="000301D3">
            <w:pPr>
              <w:spacing w:after="0" w:line="240" w:lineRule="auto"/>
              <w:jc w:val="center"/>
              <w:rPr>
                <w:rFonts w:ascii="Arial Narrow" w:hAnsi="Arial Narrow"/>
                <w:szCs w:val="20"/>
              </w:rPr>
            </w:pPr>
            <w:r w:rsidRPr="00A60EE4">
              <w:rPr>
                <w:rFonts w:ascii="Arial Narrow" w:hAnsi="Arial Narrow"/>
              </w:rPr>
              <w:sym w:font="Wingdings 2" w:char="F050"/>
            </w:r>
          </w:p>
        </w:tc>
        <w:tc>
          <w:tcPr>
            <w:tcW w:w="1389" w:type="dxa"/>
            <w:vAlign w:val="center"/>
          </w:tcPr>
          <w:p w14:paraId="1F1C1C4B" w14:textId="77777777" w:rsidR="00A25962" w:rsidRPr="00A60EE4" w:rsidRDefault="00A25962" w:rsidP="000301D3">
            <w:pPr>
              <w:spacing w:after="0" w:line="240" w:lineRule="auto"/>
              <w:jc w:val="center"/>
              <w:rPr>
                <w:rFonts w:ascii="Arial Narrow" w:hAnsi="Arial Narrow"/>
                <w:szCs w:val="20"/>
              </w:rPr>
            </w:pPr>
            <w:r w:rsidRPr="00A60EE4">
              <w:rPr>
                <w:rFonts w:ascii="Arial Narrow" w:hAnsi="Arial Narrow"/>
              </w:rPr>
              <w:sym w:font="Wingdings 2" w:char="F050"/>
            </w:r>
          </w:p>
        </w:tc>
        <w:tc>
          <w:tcPr>
            <w:tcW w:w="1389" w:type="dxa"/>
            <w:vAlign w:val="center"/>
          </w:tcPr>
          <w:p w14:paraId="14763C32" w14:textId="77777777" w:rsidR="00A25962" w:rsidRPr="00A60EE4" w:rsidRDefault="00A25962" w:rsidP="000301D3">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219" w:type="dxa"/>
            <w:shd w:val="clear" w:color="auto" w:fill="auto"/>
            <w:vAlign w:val="center"/>
          </w:tcPr>
          <w:p w14:paraId="16F00091" w14:textId="77777777" w:rsidR="00A25962" w:rsidRPr="00A60EE4" w:rsidRDefault="00A25962" w:rsidP="000301D3">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701" w:type="dxa"/>
            <w:vAlign w:val="center"/>
          </w:tcPr>
          <w:p w14:paraId="10526936" w14:textId="77777777" w:rsidR="00A25962" w:rsidRPr="00A60EE4" w:rsidRDefault="00A25962" w:rsidP="000301D3">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417" w:type="dxa"/>
            <w:vAlign w:val="center"/>
          </w:tcPr>
          <w:p w14:paraId="449AE860" w14:textId="77777777" w:rsidR="00A25962" w:rsidRPr="00A60EE4" w:rsidRDefault="00A25962" w:rsidP="000301D3">
            <w:pPr>
              <w:spacing w:after="0" w:line="240" w:lineRule="auto"/>
              <w:jc w:val="center"/>
              <w:rPr>
                <w:rFonts w:ascii="Arial Narrow" w:hAnsi="Arial Narrow"/>
                <w:szCs w:val="20"/>
              </w:rPr>
            </w:pPr>
            <w:r w:rsidRPr="00A60EE4">
              <w:rPr>
                <w:rFonts w:ascii="Arial Narrow" w:hAnsi="Arial Narrow"/>
              </w:rPr>
              <w:sym w:font="Wingdings 2" w:char="F050"/>
            </w:r>
          </w:p>
        </w:tc>
        <w:tc>
          <w:tcPr>
            <w:tcW w:w="1219" w:type="dxa"/>
            <w:shd w:val="clear" w:color="auto" w:fill="D9D9D9"/>
            <w:vAlign w:val="center"/>
          </w:tcPr>
          <w:p w14:paraId="05D187B7" w14:textId="77777777" w:rsidR="00A25962" w:rsidRPr="00A60EE4" w:rsidRDefault="00A25962" w:rsidP="000301D3">
            <w:pPr>
              <w:spacing w:after="0" w:line="240" w:lineRule="auto"/>
              <w:jc w:val="center"/>
              <w:rPr>
                <w:rFonts w:ascii="Arial Narrow" w:hAnsi="Arial Narrow"/>
                <w:szCs w:val="20"/>
              </w:rPr>
            </w:pPr>
          </w:p>
        </w:tc>
        <w:tc>
          <w:tcPr>
            <w:tcW w:w="1389" w:type="dxa"/>
            <w:vAlign w:val="center"/>
          </w:tcPr>
          <w:p w14:paraId="52502CFA" w14:textId="77777777" w:rsidR="00A25962" w:rsidRPr="00A60EE4" w:rsidRDefault="00A25962" w:rsidP="000301D3">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14:paraId="68DA672F" w14:textId="77777777" w:rsidR="00A25962" w:rsidRPr="00A60EE4" w:rsidRDefault="00A25962" w:rsidP="000301D3">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90" w:type="dxa"/>
            <w:tcBorders>
              <w:right w:val="single" w:sz="12" w:space="0" w:color="auto"/>
            </w:tcBorders>
            <w:vAlign w:val="center"/>
          </w:tcPr>
          <w:p w14:paraId="1DB5534A" w14:textId="77777777" w:rsidR="00A25962" w:rsidRPr="00A60EE4" w:rsidRDefault="00A25962" w:rsidP="000301D3">
            <w:pPr>
              <w:spacing w:after="0" w:line="240" w:lineRule="auto"/>
              <w:jc w:val="center"/>
              <w:rPr>
                <w:rFonts w:ascii="Arial Narrow" w:hAnsi="Arial Narrow"/>
                <w:szCs w:val="20"/>
              </w:rPr>
            </w:pPr>
            <w:r w:rsidRPr="00A60EE4">
              <w:rPr>
                <w:rFonts w:ascii="Arial Narrow" w:hAnsi="Arial Narrow"/>
              </w:rPr>
              <w:sym w:font="Wingdings 2" w:char="F050"/>
            </w:r>
          </w:p>
        </w:tc>
      </w:tr>
      <w:tr w:rsidR="00A25962" w:rsidRPr="00A60EE4" w14:paraId="72D70AE1" w14:textId="77777777" w:rsidTr="000301D3">
        <w:trPr>
          <w:trHeight w:val="397"/>
        </w:trPr>
        <w:tc>
          <w:tcPr>
            <w:tcW w:w="1277" w:type="dxa"/>
            <w:tcBorders>
              <w:left w:val="single" w:sz="12" w:space="0" w:color="auto"/>
              <w:right w:val="single" w:sz="12" w:space="0" w:color="auto"/>
            </w:tcBorders>
            <w:vAlign w:val="center"/>
          </w:tcPr>
          <w:p w14:paraId="1926AAAF" w14:textId="77777777" w:rsidR="00A25962" w:rsidRPr="00A60EE4" w:rsidRDefault="00A25962" w:rsidP="000301D3">
            <w:pPr>
              <w:spacing w:after="0" w:line="240" w:lineRule="auto"/>
              <w:jc w:val="center"/>
              <w:rPr>
                <w:rFonts w:ascii="Arial Narrow" w:hAnsi="Arial Narrow"/>
                <w:b/>
              </w:rPr>
            </w:pPr>
            <w:r>
              <w:rPr>
                <w:rFonts w:ascii="Arial Narrow" w:hAnsi="Arial Narrow"/>
                <w:b/>
              </w:rPr>
              <w:t>24</w:t>
            </w:r>
          </w:p>
        </w:tc>
        <w:tc>
          <w:tcPr>
            <w:tcW w:w="1389" w:type="dxa"/>
            <w:tcBorders>
              <w:left w:val="single" w:sz="12" w:space="0" w:color="auto"/>
            </w:tcBorders>
            <w:vAlign w:val="center"/>
          </w:tcPr>
          <w:p w14:paraId="7B6EB44B" w14:textId="77777777" w:rsidR="00A25962" w:rsidRPr="00A851F5" w:rsidRDefault="00A25962" w:rsidP="000301D3">
            <w:pPr>
              <w:spacing w:after="0" w:line="240" w:lineRule="auto"/>
              <w:jc w:val="center"/>
              <w:rPr>
                <w:rFonts w:ascii="Arial Narrow" w:hAnsi="Arial Narrow"/>
                <w:sz w:val="18"/>
                <w:szCs w:val="18"/>
              </w:rPr>
            </w:pPr>
            <w:r w:rsidRPr="00A851F5">
              <w:rPr>
                <w:rFonts w:ascii="Arial Narrow" w:hAnsi="Arial Narrow"/>
                <w:sz w:val="18"/>
                <w:szCs w:val="18"/>
              </w:rPr>
              <w:t>N/A</w:t>
            </w:r>
          </w:p>
        </w:tc>
        <w:tc>
          <w:tcPr>
            <w:tcW w:w="1389" w:type="dxa"/>
            <w:vAlign w:val="center"/>
          </w:tcPr>
          <w:p w14:paraId="61078E57" w14:textId="77777777" w:rsidR="00A25962" w:rsidRPr="00A851F5" w:rsidRDefault="00A25962" w:rsidP="000301D3">
            <w:pPr>
              <w:spacing w:after="0" w:line="240" w:lineRule="auto"/>
              <w:jc w:val="center"/>
              <w:rPr>
                <w:rFonts w:ascii="Arial Narrow" w:hAnsi="Arial Narrow"/>
                <w:sz w:val="18"/>
                <w:szCs w:val="18"/>
              </w:rPr>
            </w:pPr>
            <w:r w:rsidRPr="00A851F5">
              <w:rPr>
                <w:rFonts w:ascii="Arial Narrow" w:hAnsi="Arial Narrow"/>
                <w:sz w:val="18"/>
                <w:szCs w:val="18"/>
              </w:rPr>
              <w:t>N/A</w:t>
            </w:r>
          </w:p>
        </w:tc>
        <w:tc>
          <w:tcPr>
            <w:tcW w:w="1389" w:type="dxa"/>
            <w:vAlign w:val="center"/>
          </w:tcPr>
          <w:p w14:paraId="79EC8B6D" w14:textId="77777777" w:rsidR="00A25962" w:rsidRPr="00A851F5" w:rsidRDefault="00A25962" w:rsidP="000301D3">
            <w:pPr>
              <w:spacing w:after="0" w:line="240" w:lineRule="auto"/>
              <w:jc w:val="center"/>
              <w:rPr>
                <w:rFonts w:ascii="Arial Narrow" w:hAnsi="Arial Narrow" w:cs="Kartika"/>
                <w:sz w:val="18"/>
                <w:szCs w:val="18"/>
              </w:rPr>
            </w:pPr>
            <w:r w:rsidRPr="00A851F5">
              <w:rPr>
                <w:rFonts w:ascii="Arial Narrow" w:hAnsi="Arial Narrow"/>
                <w:sz w:val="18"/>
                <w:szCs w:val="18"/>
              </w:rPr>
              <w:t>N/A</w:t>
            </w:r>
          </w:p>
        </w:tc>
        <w:tc>
          <w:tcPr>
            <w:tcW w:w="1219" w:type="dxa"/>
            <w:shd w:val="clear" w:color="auto" w:fill="auto"/>
            <w:vAlign w:val="center"/>
          </w:tcPr>
          <w:p w14:paraId="02ADBD0D" w14:textId="77777777" w:rsidR="00A25962" w:rsidRPr="00A851F5" w:rsidRDefault="00A25962" w:rsidP="000301D3">
            <w:pPr>
              <w:spacing w:after="0" w:line="240" w:lineRule="auto"/>
              <w:jc w:val="center"/>
              <w:rPr>
                <w:rFonts w:ascii="Arial Narrow" w:hAnsi="Arial Narrow"/>
                <w:sz w:val="18"/>
                <w:szCs w:val="18"/>
              </w:rPr>
            </w:pPr>
            <w:r w:rsidRPr="00A851F5">
              <w:rPr>
                <w:rFonts w:ascii="Arial Narrow" w:hAnsi="Arial Narrow"/>
                <w:sz w:val="18"/>
                <w:szCs w:val="18"/>
              </w:rPr>
              <w:t>N/A</w:t>
            </w:r>
          </w:p>
        </w:tc>
        <w:tc>
          <w:tcPr>
            <w:tcW w:w="1701" w:type="dxa"/>
            <w:vAlign w:val="center"/>
          </w:tcPr>
          <w:p w14:paraId="5E3A5724" w14:textId="77777777" w:rsidR="00A25962" w:rsidRPr="00A851F5" w:rsidRDefault="00A25962" w:rsidP="000301D3">
            <w:pPr>
              <w:spacing w:after="0" w:line="240" w:lineRule="auto"/>
              <w:jc w:val="center"/>
              <w:rPr>
                <w:rFonts w:ascii="Arial Narrow" w:hAnsi="Arial Narrow" w:cs="Kartika"/>
                <w:sz w:val="18"/>
                <w:szCs w:val="18"/>
              </w:rPr>
            </w:pPr>
            <w:r w:rsidRPr="00A851F5">
              <w:rPr>
                <w:rFonts w:ascii="Arial Narrow" w:hAnsi="Arial Narrow"/>
                <w:sz w:val="18"/>
                <w:szCs w:val="18"/>
              </w:rPr>
              <w:t xml:space="preserve">N/A </w:t>
            </w:r>
          </w:p>
        </w:tc>
        <w:tc>
          <w:tcPr>
            <w:tcW w:w="1417" w:type="dxa"/>
            <w:vAlign w:val="center"/>
          </w:tcPr>
          <w:p w14:paraId="7F2DDB7D" w14:textId="77777777" w:rsidR="00A25962" w:rsidRPr="00A851F5" w:rsidRDefault="00A25962" w:rsidP="000301D3">
            <w:pPr>
              <w:spacing w:after="0" w:line="240" w:lineRule="auto"/>
              <w:jc w:val="center"/>
              <w:rPr>
                <w:rFonts w:ascii="Arial Narrow" w:hAnsi="Arial Narrow"/>
                <w:sz w:val="18"/>
                <w:szCs w:val="18"/>
              </w:rPr>
            </w:pPr>
            <w:r w:rsidRPr="00A851F5">
              <w:rPr>
                <w:rFonts w:ascii="Arial Narrow" w:hAnsi="Arial Narrow"/>
                <w:sz w:val="18"/>
                <w:szCs w:val="18"/>
              </w:rPr>
              <w:t>N/A</w:t>
            </w:r>
          </w:p>
        </w:tc>
        <w:tc>
          <w:tcPr>
            <w:tcW w:w="1219" w:type="dxa"/>
            <w:shd w:val="clear" w:color="auto" w:fill="D9D9D9"/>
            <w:vAlign w:val="center"/>
          </w:tcPr>
          <w:p w14:paraId="1D4A5255" w14:textId="77777777" w:rsidR="00A25962" w:rsidRPr="00A851F5" w:rsidRDefault="00A25962" w:rsidP="000301D3">
            <w:pPr>
              <w:spacing w:after="0" w:line="240" w:lineRule="auto"/>
              <w:jc w:val="center"/>
              <w:rPr>
                <w:rFonts w:ascii="Arial Narrow" w:hAnsi="Arial Narrow"/>
                <w:sz w:val="18"/>
                <w:szCs w:val="18"/>
              </w:rPr>
            </w:pPr>
          </w:p>
        </w:tc>
        <w:tc>
          <w:tcPr>
            <w:tcW w:w="1389" w:type="dxa"/>
            <w:vAlign w:val="center"/>
          </w:tcPr>
          <w:p w14:paraId="47454D63" w14:textId="77777777" w:rsidR="00A25962" w:rsidRPr="00A851F5" w:rsidRDefault="00A25962" w:rsidP="000301D3">
            <w:pPr>
              <w:spacing w:after="0" w:line="240" w:lineRule="auto"/>
              <w:jc w:val="center"/>
              <w:rPr>
                <w:rFonts w:ascii="Arial Narrow" w:hAnsi="Arial Narrow" w:cs="Kartika"/>
                <w:sz w:val="18"/>
                <w:szCs w:val="18"/>
              </w:rPr>
            </w:pPr>
            <w:r w:rsidRPr="00A851F5">
              <w:rPr>
                <w:rFonts w:ascii="Arial Narrow" w:hAnsi="Arial Narrow"/>
                <w:sz w:val="18"/>
                <w:szCs w:val="18"/>
              </w:rPr>
              <w:t>N/A</w:t>
            </w:r>
          </w:p>
        </w:tc>
        <w:tc>
          <w:tcPr>
            <w:tcW w:w="1389" w:type="dxa"/>
            <w:vAlign w:val="center"/>
          </w:tcPr>
          <w:p w14:paraId="48B6A5E2" w14:textId="77777777" w:rsidR="00A25962" w:rsidRPr="00A851F5" w:rsidRDefault="00A25962" w:rsidP="000301D3">
            <w:pPr>
              <w:spacing w:after="0" w:line="240" w:lineRule="auto"/>
              <w:jc w:val="center"/>
              <w:rPr>
                <w:rFonts w:ascii="Arial Narrow" w:hAnsi="Arial Narrow" w:cs="Kartika"/>
                <w:sz w:val="18"/>
                <w:szCs w:val="18"/>
              </w:rPr>
            </w:pPr>
            <w:r w:rsidRPr="00A851F5">
              <w:rPr>
                <w:rFonts w:ascii="Arial Narrow" w:hAnsi="Arial Narrow"/>
                <w:sz w:val="18"/>
                <w:szCs w:val="18"/>
              </w:rPr>
              <w:t>N/A</w:t>
            </w:r>
          </w:p>
        </w:tc>
        <w:tc>
          <w:tcPr>
            <w:tcW w:w="1390" w:type="dxa"/>
            <w:tcBorders>
              <w:right w:val="single" w:sz="12" w:space="0" w:color="auto"/>
            </w:tcBorders>
            <w:vAlign w:val="center"/>
          </w:tcPr>
          <w:p w14:paraId="22069D8E" w14:textId="77777777" w:rsidR="00A25962" w:rsidRPr="00A851F5" w:rsidRDefault="00A25962" w:rsidP="000301D3">
            <w:pPr>
              <w:spacing w:after="0" w:line="240" w:lineRule="auto"/>
              <w:jc w:val="center"/>
              <w:rPr>
                <w:rFonts w:ascii="Arial Narrow" w:hAnsi="Arial Narrow"/>
                <w:sz w:val="18"/>
                <w:szCs w:val="18"/>
              </w:rPr>
            </w:pPr>
            <w:r w:rsidRPr="00A851F5">
              <w:rPr>
                <w:rFonts w:ascii="Arial Narrow" w:hAnsi="Arial Narrow"/>
                <w:sz w:val="18"/>
                <w:szCs w:val="18"/>
              </w:rPr>
              <w:t>N/A</w:t>
            </w:r>
          </w:p>
        </w:tc>
      </w:tr>
      <w:tr w:rsidR="00A25962" w:rsidRPr="00A60EE4" w14:paraId="2E7B5225" w14:textId="77777777" w:rsidTr="000301D3">
        <w:trPr>
          <w:trHeight w:val="397"/>
        </w:trPr>
        <w:tc>
          <w:tcPr>
            <w:tcW w:w="1277" w:type="dxa"/>
            <w:tcBorders>
              <w:left w:val="single" w:sz="12" w:space="0" w:color="auto"/>
              <w:bottom w:val="single" w:sz="12" w:space="0" w:color="auto"/>
              <w:right w:val="single" w:sz="12" w:space="0" w:color="auto"/>
            </w:tcBorders>
            <w:vAlign w:val="center"/>
          </w:tcPr>
          <w:p w14:paraId="3EC93FB7" w14:textId="77777777" w:rsidR="00A25962" w:rsidRPr="00A60EE4" w:rsidRDefault="00A25962" w:rsidP="000301D3">
            <w:pPr>
              <w:spacing w:after="0" w:line="240" w:lineRule="auto"/>
              <w:jc w:val="center"/>
              <w:rPr>
                <w:rFonts w:ascii="Arial Narrow" w:hAnsi="Arial Narrow"/>
                <w:b/>
              </w:rPr>
            </w:pPr>
            <w:r>
              <w:rPr>
                <w:rFonts w:ascii="Arial Narrow" w:hAnsi="Arial Narrow"/>
                <w:b/>
              </w:rPr>
              <w:t>25</w:t>
            </w:r>
          </w:p>
        </w:tc>
        <w:tc>
          <w:tcPr>
            <w:tcW w:w="1389" w:type="dxa"/>
            <w:tcBorders>
              <w:left w:val="single" w:sz="12" w:space="0" w:color="auto"/>
              <w:bottom w:val="single" w:sz="12" w:space="0" w:color="auto"/>
            </w:tcBorders>
            <w:vAlign w:val="center"/>
          </w:tcPr>
          <w:p w14:paraId="499E3190" w14:textId="77777777" w:rsidR="00A25962" w:rsidRPr="00A851F5" w:rsidRDefault="00A25962" w:rsidP="000301D3">
            <w:pPr>
              <w:spacing w:after="0" w:line="240" w:lineRule="auto"/>
              <w:jc w:val="center"/>
              <w:rPr>
                <w:rFonts w:ascii="Arial Narrow" w:hAnsi="Arial Narrow"/>
                <w:sz w:val="18"/>
                <w:szCs w:val="18"/>
              </w:rPr>
            </w:pPr>
            <w:r w:rsidRPr="00A851F5">
              <w:rPr>
                <w:rFonts w:ascii="Arial Narrow" w:hAnsi="Arial Narrow"/>
                <w:sz w:val="18"/>
                <w:szCs w:val="18"/>
              </w:rPr>
              <w:t>N/A</w:t>
            </w:r>
          </w:p>
        </w:tc>
        <w:tc>
          <w:tcPr>
            <w:tcW w:w="1389" w:type="dxa"/>
            <w:tcBorders>
              <w:bottom w:val="single" w:sz="12" w:space="0" w:color="auto"/>
            </w:tcBorders>
            <w:vAlign w:val="center"/>
          </w:tcPr>
          <w:p w14:paraId="54E0323C" w14:textId="77777777" w:rsidR="00A25962" w:rsidRPr="00A851F5" w:rsidRDefault="00A25962" w:rsidP="000301D3">
            <w:pPr>
              <w:spacing w:after="0" w:line="240" w:lineRule="auto"/>
              <w:jc w:val="center"/>
              <w:rPr>
                <w:rFonts w:ascii="Arial Narrow" w:hAnsi="Arial Narrow"/>
                <w:sz w:val="18"/>
                <w:szCs w:val="18"/>
              </w:rPr>
            </w:pPr>
            <w:r w:rsidRPr="00A851F5">
              <w:rPr>
                <w:rFonts w:ascii="Arial Narrow" w:hAnsi="Arial Narrow"/>
                <w:sz w:val="18"/>
                <w:szCs w:val="18"/>
              </w:rPr>
              <w:t>N/A</w:t>
            </w:r>
          </w:p>
        </w:tc>
        <w:tc>
          <w:tcPr>
            <w:tcW w:w="1389" w:type="dxa"/>
            <w:tcBorders>
              <w:bottom w:val="single" w:sz="12" w:space="0" w:color="auto"/>
            </w:tcBorders>
            <w:vAlign w:val="center"/>
          </w:tcPr>
          <w:p w14:paraId="37F4083B" w14:textId="77777777" w:rsidR="00A25962" w:rsidRPr="00A851F5" w:rsidRDefault="00A25962" w:rsidP="000301D3">
            <w:pPr>
              <w:spacing w:after="0" w:line="240" w:lineRule="auto"/>
              <w:jc w:val="center"/>
              <w:rPr>
                <w:rFonts w:ascii="Arial Narrow" w:hAnsi="Arial Narrow" w:cs="Kartika"/>
                <w:sz w:val="18"/>
                <w:szCs w:val="18"/>
              </w:rPr>
            </w:pPr>
            <w:r w:rsidRPr="00A851F5">
              <w:rPr>
                <w:rFonts w:ascii="Arial Narrow" w:hAnsi="Arial Narrow"/>
                <w:sz w:val="18"/>
                <w:szCs w:val="18"/>
              </w:rPr>
              <w:t>N/A</w:t>
            </w:r>
          </w:p>
        </w:tc>
        <w:tc>
          <w:tcPr>
            <w:tcW w:w="1219" w:type="dxa"/>
            <w:tcBorders>
              <w:bottom w:val="single" w:sz="12" w:space="0" w:color="auto"/>
            </w:tcBorders>
            <w:shd w:val="clear" w:color="auto" w:fill="auto"/>
            <w:vAlign w:val="center"/>
          </w:tcPr>
          <w:p w14:paraId="27EC9082" w14:textId="77777777" w:rsidR="00A25962" w:rsidRPr="00A851F5" w:rsidRDefault="00A25962" w:rsidP="000301D3">
            <w:pPr>
              <w:spacing w:after="0" w:line="240" w:lineRule="auto"/>
              <w:jc w:val="center"/>
              <w:rPr>
                <w:rFonts w:ascii="Arial Narrow" w:hAnsi="Arial Narrow"/>
                <w:sz w:val="18"/>
                <w:szCs w:val="18"/>
              </w:rPr>
            </w:pPr>
            <w:r w:rsidRPr="00A851F5">
              <w:rPr>
                <w:rFonts w:ascii="Arial Narrow" w:hAnsi="Arial Narrow"/>
                <w:sz w:val="18"/>
                <w:szCs w:val="18"/>
              </w:rPr>
              <w:t>N/A</w:t>
            </w:r>
          </w:p>
        </w:tc>
        <w:tc>
          <w:tcPr>
            <w:tcW w:w="1701" w:type="dxa"/>
            <w:tcBorders>
              <w:bottom w:val="single" w:sz="12" w:space="0" w:color="auto"/>
            </w:tcBorders>
            <w:vAlign w:val="center"/>
          </w:tcPr>
          <w:p w14:paraId="3970933C" w14:textId="77777777" w:rsidR="00A25962" w:rsidRPr="00A851F5" w:rsidRDefault="00A25962" w:rsidP="000301D3">
            <w:pPr>
              <w:spacing w:after="0" w:line="240" w:lineRule="auto"/>
              <w:jc w:val="center"/>
              <w:rPr>
                <w:rFonts w:ascii="Arial Narrow" w:hAnsi="Arial Narrow" w:cs="Kartika"/>
                <w:sz w:val="18"/>
                <w:szCs w:val="18"/>
              </w:rPr>
            </w:pPr>
            <w:r w:rsidRPr="00A851F5">
              <w:rPr>
                <w:rFonts w:ascii="Arial Narrow" w:hAnsi="Arial Narrow"/>
                <w:sz w:val="18"/>
                <w:szCs w:val="18"/>
              </w:rPr>
              <w:t>N/A</w:t>
            </w:r>
          </w:p>
        </w:tc>
        <w:tc>
          <w:tcPr>
            <w:tcW w:w="1417" w:type="dxa"/>
            <w:tcBorders>
              <w:bottom w:val="single" w:sz="12" w:space="0" w:color="auto"/>
            </w:tcBorders>
            <w:vAlign w:val="center"/>
          </w:tcPr>
          <w:p w14:paraId="2ECD2DA1" w14:textId="77777777" w:rsidR="00A25962" w:rsidRPr="00A851F5" w:rsidRDefault="00A25962" w:rsidP="000301D3">
            <w:pPr>
              <w:spacing w:after="0" w:line="240" w:lineRule="auto"/>
              <w:jc w:val="center"/>
              <w:rPr>
                <w:rFonts w:ascii="Arial Narrow" w:hAnsi="Arial Narrow"/>
                <w:sz w:val="18"/>
                <w:szCs w:val="18"/>
              </w:rPr>
            </w:pPr>
            <w:r w:rsidRPr="00A851F5">
              <w:rPr>
                <w:rFonts w:ascii="Arial Narrow" w:hAnsi="Arial Narrow"/>
                <w:sz w:val="18"/>
                <w:szCs w:val="18"/>
              </w:rPr>
              <w:t>N/A</w:t>
            </w:r>
          </w:p>
        </w:tc>
        <w:tc>
          <w:tcPr>
            <w:tcW w:w="1219" w:type="dxa"/>
            <w:tcBorders>
              <w:bottom w:val="single" w:sz="12" w:space="0" w:color="auto"/>
            </w:tcBorders>
            <w:shd w:val="clear" w:color="auto" w:fill="D9D9D9"/>
            <w:vAlign w:val="center"/>
          </w:tcPr>
          <w:p w14:paraId="105C423F" w14:textId="77777777" w:rsidR="00A25962" w:rsidRPr="00A851F5" w:rsidRDefault="00A25962" w:rsidP="000301D3">
            <w:pPr>
              <w:spacing w:after="0" w:line="240" w:lineRule="auto"/>
              <w:jc w:val="center"/>
              <w:rPr>
                <w:rFonts w:ascii="Arial Narrow" w:hAnsi="Arial Narrow"/>
                <w:sz w:val="18"/>
                <w:szCs w:val="18"/>
              </w:rPr>
            </w:pPr>
          </w:p>
        </w:tc>
        <w:tc>
          <w:tcPr>
            <w:tcW w:w="1389" w:type="dxa"/>
            <w:tcBorders>
              <w:bottom w:val="single" w:sz="12" w:space="0" w:color="auto"/>
            </w:tcBorders>
            <w:vAlign w:val="center"/>
          </w:tcPr>
          <w:p w14:paraId="3E662CAD" w14:textId="77777777" w:rsidR="00A25962" w:rsidRPr="00A851F5" w:rsidRDefault="00A25962" w:rsidP="000301D3">
            <w:pPr>
              <w:spacing w:after="0" w:line="240" w:lineRule="auto"/>
              <w:jc w:val="center"/>
              <w:rPr>
                <w:rFonts w:ascii="Arial Narrow" w:hAnsi="Arial Narrow" w:cs="Kartika"/>
                <w:sz w:val="18"/>
                <w:szCs w:val="18"/>
              </w:rPr>
            </w:pPr>
            <w:r w:rsidRPr="00A851F5">
              <w:rPr>
                <w:rFonts w:ascii="Arial Narrow" w:hAnsi="Arial Narrow"/>
                <w:sz w:val="18"/>
                <w:szCs w:val="18"/>
              </w:rPr>
              <w:t>N/A</w:t>
            </w:r>
          </w:p>
        </w:tc>
        <w:tc>
          <w:tcPr>
            <w:tcW w:w="1389" w:type="dxa"/>
            <w:tcBorders>
              <w:bottom w:val="single" w:sz="12" w:space="0" w:color="auto"/>
            </w:tcBorders>
            <w:vAlign w:val="center"/>
          </w:tcPr>
          <w:p w14:paraId="70CCAEC1" w14:textId="77777777" w:rsidR="00A25962" w:rsidRPr="00A851F5" w:rsidRDefault="00A25962" w:rsidP="000301D3">
            <w:pPr>
              <w:spacing w:after="0" w:line="240" w:lineRule="auto"/>
              <w:jc w:val="center"/>
              <w:rPr>
                <w:rFonts w:ascii="Arial Narrow" w:hAnsi="Arial Narrow" w:cs="Kartika"/>
                <w:sz w:val="18"/>
                <w:szCs w:val="18"/>
              </w:rPr>
            </w:pPr>
            <w:r w:rsidRPr="00A851F5">
              <w:rPr>
                <w:rFonts w:ascii="Arial Narrow" w:hAnsi="Arial Narrow"/>
                <w:sz w:val="18"/>
                <w:szCs w:val="18"/>
              </w:rPr>
              <w:t>N/A</w:t>
            </w:r>
          </w:p>
        </w:tc>
        <w:tc>
          <w:tcPr>
            <w:tcW w:w="1390" w:type="dxa"/>
            <w:tcBorders>
              <w:bottom w:val="single" w:sz="12" w:space="0" w:color="auto"/>
              <w:right w:val="single" w:sz="12" w:space="0" w:color="auto"/>
            </w:tcBorders>
            <w:vAlign w:val="center"/>
          </w:tcPr>
          <w:p w14:paraId="77590E02" w14:textId="77777777" w:rsidR="00A25962" w:rsidRPr="00A851F5" w:rsidRDefault="00A25962" w:rsidP="000301D3">
            <w:pPr>
              <w:spacing w:after="0" w:line="240" w:lineRule="auto"/>
              <w:jc w:val="center"/>
              <w:rPr>
                <w:rFonts w:ascii="Arial Narrow" w:hAnsi="Arial Narrow"/>
                <w:sz w:val="18"/>
                <w:szCs w:val="18"/>
              </w:rPr>
            </w:pPr>
            <w:r w:rsidRPr="00A851F5">
              <w:rPr>
                <w:rFonts w:ascii="Arial Narrow" w:hAnsi="Arial Narrow"/>
                <w:sz w:val="18"/>
                <w:szCs w:val="18"/>
              </w:rPr>
              <w:t>N/A</w:t>
            </w:r>
          </w:p>
        </w:tc>
      </w:tr>
    </w:tbl>
    <w:p w14:paraId="4C0B332D" w14:textId="77777777" w:rsidR="00A25962" w:rsidRDefault="00A25962" w:rsidP="00A25962">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98"/>
        <w:gridCol w:w="1498"/>
        <w:gridCol w:w="1499"/>
        <w:gridCol w:w="1498"/>
        <w:gridCol w:w="1499"/>
        <w:gridCol w:w="1498"/>
        <w:gridCol w:w="1499"/>
        <w:gridCol w:w="1499"/>
      </w:tblGrid>
      <w:tr w:rsidR="00A25962" w:rsidRPr="00E16277" w14:paraId="132DB28E" w14:textId="77777777" w:rsidTr="000301D3">
        <w:trPr>
          <w:trHeight w:val="348"/>
          <w:tblHeader/>
        </w:trPr>
        <w:tc>
          <w:tcPr>
            <w:tcW w:w="1560" w:type="dxa"/>
            <w:vMerge w:val="restart"/>
            <w:tcBorders>
              <w:top w:val="single" w:sz="12" w:space="0" w:color="auto"/>
              <w:left w:val="single" w:sz="12" w:space="0" w:color="auto"/>
              <w:right w:val="single" w:sz="12" w:space="0" w:color="auto"/>
            </w:tcBorders>
            <w:vAlign w:val="center"/>
          </w:tcPr>
          <w:p w14:paraId="64B7281A" w14:textId="77777777" w:rsidR="00A25962" w:rsidRPr="00E16277" w:rsidRDefault="00A25962" w:rsidP="000301D3">
            <w:pPr>
              <w:spacing w:after="0" w:line="240" w:lineRule="auto"/>
              <w:jc w:val="center"/>
              <w:rPr>
                <w:rFonts w:ascii="Arial Narrow" w:hAnsi="Arial Narrow"/>
                <w:b/>
              </w:rPr>
            </w:pPr>
            <w:r w:rsidRPr="00E16277">
              <w:rPr>
                <w:rFonts w:ascii="Arial Narrow" w:hAnsi="Arial Narrow"/>
                <w:b/>
              </w:rPr>
              <w:t>Conditions</w:t>
            </w:r>
          </w:p>
        </w:tc>
        <w:tc>
          <w:tcPr>
            <w:tcW w:w="11988" w:type="dxa"/>
            <w:gridSpan w:val="8"/>
            <w:tcBorders>
              <w:top w:val="single" w:sz="12" w:space="0" w:color="auto"/>
              <w:left w:val="single" w:sz="12" w:space="0" w:color="auto"/>
              <w:bottom w:val="single" w:sz="12" w:space="0" w:color="auto"/>
              <w:right w:val="single" w:sz="12" w:space="0" w:color="auto"/>
            </w:tcBorders>
            <w:vAlign w:val="center"/>
          </w:tcPr>
          <w:p w14:paraId="618A56B8" w14:textId="77777777" w:rsidR="00A25962" w:rsidRPr="00E16277" w:rsidRDefault="00A25962" w:rsidP="000301D3">
            <w:pPr>
              <w:spacing w:after="0" w:line="240" w:lineRule="auto"/>
              <w:jc w:val="center"/>
              <w:rPr>
                <w:rFonts w:ascii="Arial Narrow" w:hAnsi="Arial Narrow"/>
                <w:b/>
              </w:rPr>
            </w:pPr>
            <w:r w:rsidRPr="00E16277">
              <w:rPr>
                <w:rFonts w:ascii="Arial Narrow" w:hAnsi="Arial Narrow"/>
                <w:b/>
              </w:rPr>
              <w:t>Class: Registrable</w:t>
            </w:r>
          </w:p>
        </w:tc>
      </w:tr>
      <w:tr w:rsidR="00A25962" w:rsidRPr="00E16277" w14:paraId="1EFAC2A1" w14:textId="77777777" w:rsidTr="000301D3">
        <w:trPr>
          <w:trHeight w:val="289"/>
          <w:tblHeader/>
        </w:trPr>
        <w:tc>
          <w:tcPr>
            <w:tcW w:w="1560" w:type="dxa"/>
            <w:vMerge/>
            <w:tcBorders>
              <w:left w:val="single" w:sz="12" w:space="0" w:color="auto"/>
              <w:bottom w:val="single" w:sz="12" w:space="0" w:color="auto"/>
              <w:right w:val="single" w:sz="12" w:space="0" w:color="auto"/>
            </w:tcBorders>
            <w:vAlign w:val="center"/>
          </w:tcPr>
          <w:p w14:paraId="5B279FAA" w14:textId="77777777" w:rsidR="00A25962" w:rsidRPr="00E16277" w:rsidRDefault="00A25962" w:rsidP="000301D3">
            <w:pPr>
              <w:spacing w:after="0" w:line="240" w:lineRule="auto"/>
              <w:jc w:val="center"/>
              <w:rPr>
                <w:rFonts w:ascii="Arial Narrow" w:hAnsi="Arial Narrow"/>
                <w:b/>
              </w:rPr>
            </w:pPr>
          </w:p>
        </w:tc>
        <w:tc>
          <w:tcPr>
            <w:tcW w:w="1498" w:type="dxa"/>
            <w:tcBorders>
              <w:top w:val="single" w:sz="12" w:space="0" w:color="auto"/>
              <w:left w:val="single" w:sz="12" w:space="0" w:color="auto"/>
              <w:bottom w:val="single" w:sz="12" w:space="0" w:color="auto"/>
            </w:tcBorders>
            <w:vAlign w:val="center"/>
          </w:tcPr>
          <w:p w14:paraId="1A2531CC" w14:textId="77777777" w:rsidR="00A25962" w:rsidRPr="00E16277" w:rsidRDefault="00A25962" w:rsidP="000301D3">
            <w:pPr>
              <w:spacing w:after="0" w:line="240" w:lineRule="auto"/>
              <w:jc w:val="center"/>
              <w:rPr>
                <w:rFonts w:ascii="Arial Narrow" w:hAnsi="Arial Narrow"/>
                <w:b/>
              </w:rPr>
            </w:pPr>
            <w:r w:rsidRPr="00E16277">
              <w:rPr>
                <w:rFonts w:ascii="Arial Narrow" w:hAnsi="Arial Narrow"/>
                <w:b/>
              </w:rPr>
              <w:t>R1</w:t>
            </w:r>
          </w:p>
        </w:tc>
        <w:tc>
          <w:tcPr>
            <w:tcW w:w="1498" w:type="dxa"/>
            <w:tcBorders>
              <w:top w:val="single" w:sz="12" w:space="0" w:color="auto"/>
              <w:bottom w:val="single" w:sz="12" w:space="0" w:color="auto"/>
            </w:tcBorders>
            <w:vAlign w:val="center"/>
          </w:tcPr>
          <w:p w14:paraId="1FF42E50" w14:textId="77777777" w:rsidR="00A25962" w:rsidRPr="00E16277" w:rsidRDefault="00A25962" w:rsidP="000301D3">
            <w:pPr>
              <w:spacing w:after="0" w:line="240" w:lineRule="auto"/>
              <w:jc w:val="center"/>
              <w:rPr>
                <w:rFonts w:ascii="Arial Narrow" w:hAnsi="Arial Narrow"/>
                <w:b/>
              </w:rPr>
            </w:pPr>
            <w:r w:rsidRPr="00E16277">
              <w:rPr>
                <w:rFonts w:ascii="Arial Narrow" w:hAnsi="Arial Narrow"/>
                <w:b/>
              </w:rPr>
              <w:t>R2</w:t>
            </w:r>
          </w:p>
        </w:tc>
        <w:tc>
          <w:tcPr>
            <w:tcW w:w="1499" w:type="dxa"/>
            <w:tcBorders>
              <w:top w:val="single" w:sz="12" w:space="0" w:color="auto"/>
              <w:bottom w:val="single" w:sz="12" w:space="0" w:color="auto"/>
            </w:tcBorders>
            <w:vAlign w:val="center"/>
          </w:tcPr>
          <w:p w14:paraId="75A1664F" w14:textId="77777777" w:rsidR="00A25962" w:rsidRPr="00E16277" w:rsidRDefault="00A25962" w:rsidP="000301D3">
            <w:pPr>
              <w:spacing w:after="0" w:line="240" w:lineRule="auto"/>
              <w:jc w:val="center"/>
              <w:rPr>
                <w:rFonts w:ascii="Arial Narrow" w:hAnsi="Arial Narrow"/>
                <w:b/>
              </w:rPr>
            </w:pPr>
            <w:r w:rsidRPr="00E16277">
              <w:rPr>
                <w:rFonts w:ascii="Arial Narrow" w:hAnsi="Arial Narrow"/>
                <w:b/>
              </w:rPr>
              <w:t>R3</w:t>
            </w:r>
          </w:p>
        </w:tc>
        <w:tc>
          <w:tcPr>
            <w:tcW w:w="1498" w:type="dxa"/>
            <w:tcBorders>
              <w:top w:val="single" w:sz="12" w:space="0" w:color="auto"/>
              <w:bottom w:val="single" w:sz="12" w:space="0" w:color="auto"/>
            </w:tcBorders>
            <w:vAlign w:val="center"/>
          </w:tcPr>
          <w:p w14:paraId="4BDEEE31" w14:textId="77777777" w:rsidR="00A25962" w:rsidRPr="00E16277" w:rsidRDefault="00A25962" w:rsidP="000301D3">
            <w:pPr>
              <w:spacing w:after="0" w:line="240" w:lineRule="auto"/>
              <w:jc w:val="center"/>
              <w:rPr>
                <w:rFonts w:ascii="Arial Narrow" w:hAnsi="Arial Narrow"/>
                <w:b/>
              </w:rPr>
            </w:pPr>
            <w:r w:rsidRPr="00E16277">
              <w:rPr>
                <w:rFonts w:ascii="Arial Narrow" w:hAnsi="Arial Narrow"/>
                <w:b/>
              </w:rPr>
              <w:t>R4</w:t>
            </w:r>
          </w:p>
        </w:tc>
        <w:tc>
          <w:tcPr>
            <w:tcW w:w="1499" w:type="dxa"/>
            <w:tcBorders>
              <w:top w:val="single" w:sz="12" w:space="0" w:color="auto"/>
              <w:bottom w:val="single" w:sz="12" w:space="0" w:color="auto"/>
            </w:tcBorders>
            <w:vAlign w:val="center"/>
          </w:tcPr>
          <w:p w14:paraId="4264B3A1" w14:textId="77777777" w:rsidR="00A25962" w:rsidRPr="00E16277" w:rsidRDefault="00A25962" w:rsidP="000301D3">
            <w:pPr>
              <w:spacing w:after="0" w:line="240" w:lineRule="auto"/>
              <w:jc w:val="center"/>
              <w:rPr>
                <w:rFonts w:ascii="Arial Narrow" w:hAnsi="Arial Narrow"/>
                <w:b/>
              </w:rPr>
            </w:pPr>
            <w:r w:rsidRPr="00E16277">
              <w:rPr>
                <w:rFonts w:ascii="Arial Narrow" w:hAnsi="Arial Narrow"/>
                <w:b/>
              </w:rPr>
              <w:t>R5</w:t>
            </w:r>
          </w:p>
        </w:tc>
        <w:tc>
          <w:tcPr>
            <w:tcW w:w="1498" w:type="dxa"/>
            <w:tcBorders>
              <w:top w:val="single" w:sz="12" w:space="0" w:color="auto"/>
              <w:bottom w:val="single" w:sz="12" w:space="0" w:color="auto"/>
            </w:tcBorders>
            <w:vAlign w:val="center"/>
          </w:tcPr>
          <w:p w14:paraId="2C4BFB8F" w14:textId="77777777" w:rsidR="00A25962" w:rsidRPr="00E16277" w:rsidRDefault="00A25962" w:rsidP="000301D3">
            <w:pPr>
              <w:spacing w:after="0" w:line="240" w:lineRule="auto"/>
              <w:jc w:val="center"/>
              <w:rPr>
                <w:rFonts w:ascii="Arial Narrow" w:hAnsi="Arial Narrow"/>
                <w:b/>
              </w:rPr>
            </w:pPr>
            <w:r w:rsidRPr="00E16277">
              <w:rPr>
                <w:rFonts w:ascii="Arial Narrow" w:hAnsi="Arial Narrow"/>
                <w:b/>
              </w:rPr>
              <w:t>R6</w:t>
            </w:r>
          </w:p>
        </w:tc>
        <w:tc>
          <w:tcPr>
            <w:tcW w:w="1499" w:type="dxa"/>
            <w:tcBorders>
              <w:top w:val="single" w:sz="12" w:space="0" w:color="auto"/>
              <w:bottom w:val="single" w:sz="12" w:space="0" w:color="auto"/>
              <w:right w:val="single" w:sz="12" w:space="0" w:color="auto"/>
            </w:tcBorders>
            <w:vAlign w:val="center"/>
          </w:tcPr>
          <w:p w14:paraId="79FE6F24" w14:textId="77777777" w:rsidR="00A25962" w:rsidRPr="00E16277" w:rsidRDefault="00A25962" w:rsidP="000301D3">
            <w:pPr>
              <w:spacing w:after="0" w:line="240" w:lineRule="auto"/>
              <w:jc w:val="center"/>
              <w:rPr>
                <w:rFonts w:ascii="Arial Narrow" w:hAnsi="Arial Narrow"/>
                <w:b/>
              </w:rPr>
            </w:pPr>
            <w:r w:rsidRPr="00E16277">
              <w:rPr>
                <w:rFonts w:ascii="Arial Narrow" w:hAnsi="Arial Narrow"/>
                <w:b/>
              </w:rPr>
              <w:t>R7</w:t>
            </w:r>
          </w:p>
        </w:tc>
        <w:tc>
          <w:tcPr>
            <w:tcW w:w="1499" w:type="dxa"/>
            <w:tcBorders>
              <w:top w:val="single" w:sz="12" w:space="0" w:color="auto"/>
              <w:bottom w:val="single" w:sz="12" w:space="0" w:color="auto"/>
              <w:right w:val="single" w:sz="12" w:space="0" w:color="auto"/>
            </w:tcBorders>
          </w:tcPr>
          <w:p w14:paraId="30FAC23F" w14:textId="77777777" w:rsidR="00A25962" w:rsidRPr="00E16277" w:rsidRDefault="00A25962" w:rsidP="000301D3">
            <w:pPr>
              <w:spacing w:after="0" w:line="240" w:lineRule="auto"/>
              <w:jc w:val="center"/>
              <w:rPr>
                <w:rFonts w:ascii="Arial Narrow" w:hAnsi="Arial Narrow"/>
                <w:b/>
              </w:rPr>
            </w:pPr>
            <w:r>
              <w:rPr>
                <w:rFonts w:ascii="Arial Narrow" w:hAnsi="Arial Narrow"/>
                <w:b/>
              </w:rPr>
              <w:t>R8</w:t>
            </w:r>
          </w:p>
        </w:tc>
      </w:tr>
      <w:tr w:rsidR="00A25962" w:rsidRPr="00E16277" w14:paraId="150CCCF5" w14:textId="77777777" w:rsidTr="000301D3">
        <w:trPr>
          <w:trHeight w:val="397"/>
        </w:trPr>
        <w:tc>
          <w:tcPr>
            <w:tcW w:w="1560" w:type="dxa"/>
            <w:tcBorders>
              <w:top w:val="single" w:sz="12" w:space="0" w:color="auto"/>
              <w:left w:val="single" w:sz="12" w:space="0" w:color="auto"/>
              <w:right w:val="single" w:sz="12" w:space="0" w:color="auto"/>
            </w:tcBorders>
            <w:vAlign w:val="center"/>
          </w:tcPr>
          <w:p w14:paraId="150968DE" w14:textId="77777777" w:rsidR="00A25962" w:rsidRPr="00E16277" w:rsidRDefault="00A25962" w:rsidP="000301D3">
            <w:pPr>
              <w:spacing w:after="0" w:line="240" w:lineRule="auto"/>
              <w:jc w:val="center"/>
              <w:rPr>
                <w:rFonts w:ascii="Arial Narrow" w:hAnsi="Arial Narrow"/>
                <w:b/>
              </w:rPr>
            </w:pPr>
            <w:r w:rsidRPr="00E16277">
              <w:rPr>
                <w:rFonts w:ascii="Arial Narrow" w:hAnsi="Arial Narrow"/>
                <w:b/>
              </w:rPr>
              <w:t>1</w:t>
            </w:r>
          </w:p>
        </w:tc>
        <w:tc>
          <w:tcPr>
            <w:tcW w:w="1498" w:type="dxa"/>
            <w:tcBorders>
              <w:top w:val="single" w:sz="12" w:space="0" w:color="auto"/>
              <w:left w:val="single" w:sz="12" w:space="0" w:color="auto"/>
            </w:tcBorders>
            <w:vAlign w:val="center"/>
          </w:tcPr>
          <w:p w14:paraId="2508BFFA"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tcBorders>
              <w:top w:val="single" w:sz="12" w:space="0" w:color="auto"/>
            </w:tcBorders>
            <w:vAlign w:val="center"/>
          </w:tcPr>
          <w:p w14:paraId="5BB99D8E"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top w:val="single" w:sz="12" w:space="0" w:color="auto"/>
            </w:tcBorders>
            <w:vAlign w:val="center"/>
          </w:tcPr>
          <w:p w14:paraId="7ADE3237"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tcBorders>
              <w:top w:val="single" w:sz="12" w:space="0" w:color="auto"/>
            </w:tcBorders>
            <w:vAlign w:val="center"/>
          </w:tcPr>
          <w:p w14:paraId="39395BD2"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top w:val="single" w:sz="12" w:space="0" w:color="auto"/>
            </w:tcBorders>
            <w:vAlign w:val="center"/>
          </w:tcPr>
          <w:p w14:paraId="68845A15"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tcBorders>
              <w:top w:val="single" w:sz="12" w:space="0" w:color="auto"/>
            </w:tcBorders>
            <w:vAlign w:val="center"/>
          </w:tcPr>
          <w:p w14:paraId="3880CCD1"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top w:val="single" w:sz="12" w:space="0" w:color="auto"/>
              <w:right w:val="single" w:sz="12" w:space="0" w:color="auto"/>
            </w:tcBorders>
            <w:vAlign w:val="center"/>
          </w:tcPr>
          <w:p w14:paraId="403E4B10"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top w:val="single" w:sz="12" w:space="0" w:color="auto"/>
              <w:right w:val="single" w:sz="12" w:space="0" w:color="auto"/>
            </w:tcBorders>
          </w:tcPr>
          <w:p w14:paraId="30D27630" w14:textId="77777777" w:rsidR="00A25962" w:rsidRPr="00E16277" w:rsidRDefault="00A25962" w:rsidP="000301D3">
            <w:pPr>
              <w:spacing w:after="0" w:line="240" w:lineRule="auto"/>
              <w:jc w:val="center"/>
              <w:rPr>
                <w:rFonts w:ascii="Arial Narrow" w:hAnsi="Arial Narrow"/>
                <w:szCs w:val="28"/>
              </w:rPr>
            </w:pPr>
            <w:r w:rsidRPr="00886D76">
              <w:rPr>
                <w:rFonts w:ascii="Arial Narrow" w:hAnsi="Arial Narrow"/>
                <w:sz w:val="18"/>
                <w:szCs w:val="18"/>
              </w:rPr>
              <w:t>N/A</w:t>
            </w:r>
          </w:p>
        </w:tc>
      </w:tr>
      <w:tr w:rsidR="00A25962" w:rsidRPr="00E16277" w14:paraId="6976503F" w14:textId="77777777" w:rsidTr="000301D3">
        <w:trPr>
          <w:trHeight w:val="397"/>
        </w:trPr>
        <w:tc>
          <w:tcPr>
            <w:tcW w:w="1560" w:type="dxa"/>
            <w:tcBorders>
              <w:left w:val="single" w:sz="12" w:space="0" w:color="auto"/>
              <w:right w:val="single" w:sz="12" w:space="0" w:color="auto"/>
            </w:tcBorders>
            <w:vAlign w:val="center"/>
          </w:tcPr>
          <w:p w14:paraId="271F8B5A" w14:textId="77777777" w:rsidR="00A25962" w:rsidRPr="00E16277" w:rsidRDefault="00A25962" w:rsidP="000301D3">
            <w:pPr>
              <w:spacing w:after="0" w:line="240" w:lineRule="auto"/>
              <w:jc w:val="center"/>
              <w:rPr>
                <w:rFonts w:ascii="Arial Narrow" w:hAnsi="Arial Narrow"/>
                <w:b/>
              </w:rPr>
            </w:pPr>
            <w:r w:rsidRPr="00E16277">
              <w:rPr>
                <w:rFonts w:ascii="Arial Narrow" w:hAnsi="Arial Narrow"/>
                <w:b/>
              </w:rPr>
              <w:t>2</w:t>
            </w:r>
          </w:p>
        </w:tc>
        <w:tc>
          <w:tcPr>
            <w:tcW w:w="1498" w:type="dxa"/>
            <w:tcBorders>
              <w:left w:val="single" w:sz="12" w:space="0" w:color="auto"/>
            </w:tcBorders>
            <w:vAlign w:val="center"/>
          </w:tcPr>
          <w:p w14:paraId="0031C5F4" w14:textId="77777777" w:rsidR="00A25962" w:rsidRPr="00E16277" w:rsidRDefault="00A25962" w:rsidP="000301D3">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14:paraId="1083D558" w14:textId="1AA20DE5" w:rsidR="00A25962" w:rsidRPr="00E16277" w:rsidRDefault="00A25962" w:rsidP="00ED692C">
            <w:pPr>
              <w:spacing w:after="0" w:line="240" w:lineRule="auto"/>
              <w:jc w:val="center"/>
              <w:rPr>
                <w:rFonts w:ascii="Arial Narrow" w:hAnsi="Arial Narrow" w:cs="Kartika"/>
                <w:sz w:val="18"/>
                <w:szCs w:val="18"/>
              </w:rPr>
            </w:pPr>
            <w:r w:rsidRPr="00E16277">
              <w:rPr>
                <w:rFonts w:ascii="Arial Narrow" w:hAnsi="Arial Narrow" w:cs="Kartika"/>
                <w:sz w:val="18"/>
                <w:szCs w:val="18"/>
              </w:rPr>
              <w:t>1 (</w:t>
            </w:r>
            <w:r w:rsidR="00ED692C">
              <w:rPr>
                <w:rFonts w:ascii="Arial Narrow" w:hAnsi="Arial Narrow" w:cs="Kartika"/>
                <w:sz w:val="18"/>
                <w:szCs w:val="18"/>
              </w:rPr>
              <w:t>f</w:t>
            </w:r>
            <w:r w:rsidRPr="00E16277">
              <w:rPr>
                <w:rFonts w:ascii="Arial Narrow" w:hAnsi="Arial Narrow" w:cs="Kartika"/>
                <w:sz w:val="18"/>
                <w:szCs w:val="18"/>
              </w:rPr>
              <w:t>), (</w:t>
            </w:r>
            <w:r w:rsidR="00ED692C">
              <w:rPr>
                <w:rFonts w:ascii="Arial Narrow" w:hAnsi="Arial Narrow" w:cs="Kartika"/>
                <w:sz w:val="18"/>
                <w:szCs w:val="18"/>
              </w:rPr>
              <w:t>g</w:t>
            </w:r>
            <w:r w:rsidRPr="00E16277">
              <w:rPr>
                <w:rFonts w:ascii="Arial Narrow" w:hAnsi="Arial Narrow" w:cs="Kartika"/>
                <w:sz w:val="18"/>
                <w:szCs w:val="18"/>
              </w:rPr>
              <w:t>), (</w:t>
            </w:r>
            <w:r w:rsidR="00ED692C">
              <w:rPr>
                <w:rFonts w:ascii="Arial Narrow" w:hAnsi="Arial Narrow" w:cs="Kartika"/>
                <w:sz w:val="18"/>
                <w:szCs w:val="18"/>
              </w:rPr>
              <w:t>i</w:t>
            </w:r>
            <w:r w:rsidRPr="00E16277">
              <w:rPr>
                <w:rFonts w:ascii="Arial Narrow" w:hAnsi="Arial Narrow" w:cs="Kartika"/>
                <w:sz w:val="18"/>
                <w:szCs w:val="18"/>
              </w:rPr>
              <w:t>)</w:t>
            </w:r>
          </w:p>
        </w:tc>
        <w:tc>
          <w:tcPr>
            <w:tcW w:w="1498" w:type="dxa"/>
            <w:vAlign w:val="center"/>
          </w:tcPr>
          <w:p w14:paraId="2C9C512F"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14:paraId="03E35379"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14:paraId="4305F504"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14:paraId="56956CCC" w14:textId="77777777" w:rsidR="00A25962" w:rsidRPr="00E16277" w:rsidRDefault="00A25962" w:rsidP="000301D3">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14:paraId="3D7BBFDA" w14:textId="77777777" w:rsidR="00A25962" w:rsidRPr="00E16277" w:rsidRDefault="00A25962" w:rsidP="000301D3">
            <w:pPr>
              <w:spacing w:after="0" w:line="240" w:lineRule="auto"/>
              <w:jc w:val="center"/>
              <w:rPr>
                <w:rFonts w:ascii="Arial Narrow" w:hAnsi="Arial Narrow"/>
              </w:rPr>
            </w:pPr>
          </w:p>
        </w:tc>
        <w:tc>
          <w:tcPr>
            <w:tcW w:w="1498" w:type="dxa"/>
            <w:vAlign w:val="center"/>
          </w:tcPr>
          <w:p w14:paraId="4F7BDDB2" w14:textId="77777777" w:rsidR="00A25962" w:rsidRPr="00E16277" w:rsidRDefault="00A25962" w:rsidP="000301D3">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14:paraId="5DF4C4C9" w14:textId="4617812D" w:rsidR="00A25962" w:rsidRPr="00E16277" w:rsidRDefault="00A25962" w:rsidP="00683AA1">
            <w:pPr>
              <w:spacing w:after="0" w:line="240" w:lineRule="auto"/>
              <w:jc w:val="center"/>
              <w:rPr>
                <w:rFonts w:ascii="Arial Narrow" w:hAnsi="Arial Narrow"/>
              </w:rPr>
            </w:pPr>
            <w:r w:rsidRPr="00E16277">
              <w:rPr>
                <w:rFonts w:ascii="Arial Narrow" w:hAnsi="Arial Narrow" w:cs="Kartika"/>
                <w:sz w:val="18"/>
                <w:szCs w:val="18"/>
              </w:rPr>
              <w:t>1 (</w:t>
            </w:r>
            <w:r w:rsidR="00683AA1">
              <w:rPr>
                <w:rFonts w:ascii="Arial Narrow" w:hAnsi="Arial Narrow" w:cs="Kartika"/>
                <w:sz w:val="18"/>
                <w:szCs w:val="18"/>
              </w:rPr>
              <w:t>f</w:t>
            </w:r>
            <w:r w:rsidRPr="00E16277">
              <w:rPr>
                <w:rFonts w:ascii="Arial Narrow" w:hAnsi="Arial Narrow" w:cs="Kartika"/>
                <w:sz w:val="18"/>
                <w:szCs w:val="18"/>
              </w:rPr>
              <w:t>), (</w:t>
            </w:r>
            <w:r w:rsidR="00683AA1">
              <w:rPr>
                <w:rFonts w:ascii="Arial Narrow" w:hAnsi="Arial Narrow" w:cs="Kartika"/>
                <w:sz w:val="18"/>
                <w:szCs w:val="18"/>
              </w:rPr>
              <w:t>g</w:t>
            </w:r>
            <w:r w:rsidRPr="00E16277">
              <w:rPr>
                <w:rFonts w:ascii="Arial Narrow" w:hAnsi="Arial Narrow" w:cs="Kartika"/>
                <w:sz w:val="18"/>
                <w:szCs w:val="18"/>
              </w:rPr>
              <w:t>), (</w:t>
            </w:r>
            <w:r w:rsidR="00683AA1">
              <w:rPr>
                <w:rFonts w:ascii="Arial Narrow" w:hAnsi="Arial Narrow" w:cs="Kartika"/>
                <w:sz w:val="18"/>
                <w:szCs w:val="18"/>
              </w:rPr>
              <w:t>i</w:t>
            </w:r>
            <w:r w:rsidRPr="00E16277">
              <w:rPr>
                <w:rFonts w:ascii="Arial Narrow" w:hAnsi="Arial Narrow" w:cs="Kartika"/>
                <w:sz w:val="18"/>
                <w:szCs w:val="18"/>
              </w:rPr>
              <w:t>)</w:t>
            </w:r>
          </w:p>
        </w:tc>
        <w:tc>
          <w:tcPr>
            <w:tcW w:w="1499" w:type="dxa"/>
            <w:tcBorders>
              <w:right w:val="single" w:sz="12" w:space="0" w:color="auto"/>
            </w:tcBorders>
            <w:vAlign w:val="center"/>
          </w:tcPr>
          <w:p w14:paraId="122E4C08" w14:textId="77777777" w:rsidR="00A25962" w:rsidRPr="00E16277" w:rsidRDefault="00A25962" w:rsidP="000301D3">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14:paraId="15278FCC" w14:textId="626D3C10" w:rsidR="00A25962" w:rsidRPr="00E16277" w:rsidRDefault="00A25962" w:rsidP="00683AA1">
            <w:pPr>
              <w:spacing w:after="0" w:line="240" w:lineRule="auto"/>
              <w:jc w:val="center"/>
              <w:rPr>
                <w:rFonts w:ascii="Arial Narrow" w:hAnsi="Arial Narrow" w:cs="Kartika"/>
                <w:sz w:val="18"/>
                <w:szCs w:val="18"/>
              </w:rPr>
            </w:pPr>
            <w:r w:rsidRPr="00E16277">
              <w:rPr>
                <w:rFonts w:ascii="Arial Narrow" w:hAnsi="Arial Narrow" w:cs="Kartika"/>
                <w:sz w:val="18"/>
                <w:szCs w:val="18"/>
              </w:rPr>
              <w:t>1 (</w:t>
            </w:r>
            <w:r w:rsidR="00683AA1">
              <w:rPr>
                <w:rFonts w:ascii="Arial Narrow" w:hAnsi="Arial Narrow" w:cs="Kartika"/>
                <w:sz w:val="18"/>
                <w:szCs w:val="18"/>
              </w:rPr>
              <w:t>f</w:t>
            </w:r>
            <w:r w:rsidRPr="00E16277">
              <w:rPr>
                <w:rFonts w:ascii="Arial Narrow" w:hAnsi="Arial Narrow" w:cs="Kartika"/>
                <w:sz w:val="18"/>
                <w:szCs w:val="18"/>
              </w:rPr>
              <w:t>), (</w:t>
            </w:r>
            <w:r w:rsidR="00683AA1">
              <w:rPr>
                <w:rFonts w:ascii="Arial Narrow" w:hAnsi="Arial Narrow" w:cs="Kartika"/>
                <w:sz w:val="18"/>
                <w:szCs w:val="18"/>
              </w:rPr>
              <w:t>g</w:t>
            </w:r>
            <w:r w:rsidRPr="00E16277">
              <w:rPr>
                <w:rFonts w:ascii="Arial Narrow" w:hAnsi="Arial Narrow" w:cs="Kartika"/>
                <w:sz w:val="18"/>
                <w:szCs w:val="18"/>
              </w:rPr>
              <w:t>), (</w:t>
            </w:r>
            <w:r w:rsidR="00683AA1">
              <w:rPr>
                <w:rFonts w:ascii="Arial Narrow" w:hAnsi="Arial Narrow" w:cs="Kartika"/>
                <w:sz w:val="18"/>
                <w:szCs w:val="18"/>
              </w:rPr>
              <w:t>i</w:t>
            </w:r>
            <w:r w:rsidRPr="00E16277">
              <w:rPr>
                <w:rFonts w:ascii="Arial Narrow" w:hAnsi="Arial Narrow" w:cs="Kartika"/>
                <w:sz w:val="18"/>
                <w:szCs w:val="18"/>
              </w:rPr>
              <w:t>)</w:t>
            </w:r>
          </w:p>
        </w:tc>
        <w:tc>
          <w:tcPr>
            <w:tcW w:w="1499" w:type="dxa"/>
            <w:tcBorders>
              <w:right w:val="single" w:sz="12" w:space="0" w:color="auto"/>
            </w:tcBorders>
          </w:tcPr>
          <w:p w14:paraId="29C44420" w14:textId="77777777" w:rsidR="00A25962" w:rsidRPr="00E16277" w:rsidRDefault="00A25962" w:rsidP="000301D3">
            <w:pPr>
              <w:spacing w:after="0" w:line="240" w:lineRule="auto"/>
              <w:jc w:val="center"/>
              <w:rPr>
                <w:rFonts w:ascii="Arial Narrow" w:hAnsi="Arial Narrow" w:cs="Kartika"/>
                <w:sz w:val="18"/>
                <w:szCs w:val="18"/>
              </w:rPr>
            </w:pPr>
            <w:r w:rsidRPr="00886D76">
              <w:rPr>
                <w:rFonts w:ascii="Arial Narrow" w:hAnsi="Arial Narrow"/>
                <w:sz w:val="18"/>
                <w:szCs w:val="18"/>
              </w:rPr>
              <w:t>N/A</w:t>
            </w:r>
          </w:p>
        </w:tc>
      </w:tr>
      <w:tr w:rsidR="00A25962" w:rsidRPr="00E16277" w14:paraId="6D5CF475" w14:textId="77777777" w:rsidTr="000301D3">
        <w:trPr>
          <w:trHeight w:val="397"/>
        </w:trPr>
        <w:tc>
          <w:tcPr>
            <w:tcW w:w="1560" w:type="dxa"/>
            <w:tcBorders>
              <w:left w:val="single" w:sz="12" w:space="0" w:color="auto"/>
              <w:right w:val="single" w:sz="12" w:space="0" w:color="auto"/>
            </w:tcBorders>
            <w:vAlign w:val="center"/>
          </w:tcPr>
          <w:p w14:paraId="7AF16BCE" w14:textId="77777777" w:rsidR="00A25962" w:rsidRPr="00E16277" w:rsidRDefault="00A25962" w:rsidP="000301D3">
            <w:pPr>
              <w:spacing w:after="0" w:line="240" w:lineRule="auto"/>
              <w:jc w:val="center"/>
              <w:rPr>
                <w:rFonts w:ascii="Arial Narrow" w:hAnsi="Arial Narrow"/>
                <w:b/>
              </w:rPr>
            </w:pPr>
            <w:r w:rsidRPr="00E16277">
              <w:rPr>
                <w:rFonts w:ascii="Arial Narrow" w:hAnsi="Arial Narrow"/>
                <w:b/>
              </w:rPr>
              <w:t>3</w:t>
            </w:r>
          </w:p>
        </w:tc>
        <w:tc>
          <w:tcPr>
            <w:tcW w:w="1498" w:type="dxa"/>
            <w:tcBorders>
              <w:left w:val="single" w:sz="12" w:space="0" w:color="auto"/>
            </w:tcBorders>
            <w:vAlign w:val="center"/>
          </w:tcPr>
          <w:p w14:paraId="1AC1C5C2" w14:textId="77777777" w:rsidR="00A25962" w:rsidRPr="00E16277" w:rsidRDefault="00A25962" w:rsidP="000301D3">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14:paraId="16CC69FD" w14:textId="11B90F41" w:rsidR="00A25962" w:rsidRPr="00E16277" w:rsidRDefault="00A25962" w:rsidP="00683AA1">
            <w:pPr>
              <w:spacing w:after="0" w:line="240" w:lineRule="auto"/>
              <w:jc w:val="center"/>
              <w:rPr>
                <w:rFonts w:ascii="Arial Narrow" w:hAnsi="Arial Narrow"/>
              </w:rPr>
            </w:pPr>
            <w:r>
              <w:rPr>
                <w:rFonts w:ascii="Arial Narrow" w:hAnsi="Arial Narrow" w:cs="Kartika"/>
                <w:sz w:val="18"/>
                <w:szCs w:val="18"/>
              </w:rPr>
              <w:t>3</w:t>
            </w:r>
            <w:r w:rsidRPr="00E16277">
              <w:rPr>
                <w:rFonts w:ascii="Arial Narrow" w:hAnsi="Arial Narrow" w:cs="Kartika"/>
                <w:sz w:val="18"/>
                <w:szCs w:val="18"/>
              </w:rPr>
              <w:t xml:space="preserve"> (</w:t>
            </w:r>
            <w:r w:rsidR="00683AA1">
              <w:rPr>
                <w:rFonts w:ascii="Arial Narrow" w:hAnsi="Arial Narrow" w:cs="Kartika"/>
                <w:sz w:val="18"/>
                <w:szCs w:val="18"/>
              </w:rPr>
              <w:t>n</w:t>
            </w:r>
            <w:r w:rsidRPr="00E16277">
              <w:rPr>
                <w:rFonts w:ascii="Arial Narrow" w:hAnsi="Arial Narrow" w:cs="Kartika"/>
                <w:sz w:val="18"/>
                <w:szCs w:val="18"/>
              </w:rPr>
              <w:t>)</w:t>
            </w:r>
          </w:p>
        </w:tc>
        <w:tc>
          <w:tcPr>
            <w:tcW w:w="1498" w:type="dxa"/>
            <w:vAlign w:val="center"/>
          </w:tcPr>
          <w:p w14:paraId="3B0ABF77"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14:paraId="266006AF"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14:paraId="4CED21DE"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14:paraId="403927A0"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cs="Kartika"/>
                <w:sz w:val="18"/>
                <w:szCs w:val="18"/>
              </w:rPr>
              <w:t>N/A</w:t>
            </w:r>
          </w:p>
        </w:tc>
        <w:tc>
          <w:tcPr>
            <w:tcW w:w="1498" w:type="dxa"/>
            <w:vAlign w:val="center"/>
          </w:tcPr>
          <w:p w14:paraId="6BB20721" w14:textId="2751CF98" w:rsidR="00A25962" w:rsidRPr="00E16277" w:rsidRDefault="00A25962" w:rsidP="00683AA1">
            <w:pPr>
              <w:spacing w:after="0" w:line="240" w:lineRule="auto"/>
              <w:jc w:val="center"/>
              <w:rPr>
                <w:rFonts w:ascii="Arial Narrow" w:hAnsi="Arial Narrow"/>
              </w:rPr>
            </w:pPr>
            <w:r w:rsidRPr="00E16277">
              <w:rPr>
                <w:rFonts w:ascii="Arial Narrow" w:hAnsi="Arial Narrow" w:cs="Kartika"/>
                <w:sz w:val="18"/>
                <w:szCs w:val="18"/>
              </w:rPr>
              <w:t xml:space="preserve">N/A: </w:t>
            </w:r>
            <w:r>
              <w:rPr>
                <w:rFonts w:ascii="Arial Narrow" w:hAnsi="Arial Narrow" w:cs="Kartika"/>
                <w:sz w:val="18"/>
                <w:szCs w:val="18"/>
              </w:rPr>
              <w:t>3</w:t>
            </w:r>
            <w:r w:rsidR="00683AA1" w:rsidRPr="00E16277" w:rsidDel="00683AA1">
              <w:rPr>
                <w:rFonts w:ascii="Arial Narrow" w:hAnsi="Arial Narrow" w:cs="Kartika"/>
                <w:sz w:val="18"/>
                <w:szCs w:val="18"/>
              </w:rPr>
              <w:t xml:space="preserve"> </w:t>
            </w:r>
            <w:r w:rsidRPr="00E16277">
              <w:rPr>
                <w:rFonts w:ascii="Arial Narrow" w:hAnsi="Arial Narrow" w:cs="Kartika"/>
                <w:sz w:val="18"/>
                <w:szCs w:val="18"/>
              </w:rPr>
              <w:t>(</w:t>
            </w:r>
            <w:r w:rsidR="00683AA1">
              <w:rPr>
                <w:rFonts w:ascii="Arial Narrow" w:hAnsi="Arial Narrow" w:cs="Kartika"/>
                <w:sz w:val="18"/>
                <w:szCs w:val="18"/>
              </w:rPr>
              <w:t>n</w:t>
            </w:r>
            <w:r w:rsidRPr="00E16277">
              <w:rPr>
                <w:rFonts w:ascii="Arial Narrow" w:hAnsi="Arial Narrow" w:cs="Kartika"/>
                <w:sz w:val="18"/>
                <w:szCs w:val="18"/>
              </w:rPr>
              <w:t>)</w:t>
            </w:r>
          </w:p>
        </w:tc>
        <w:tc>
          <w:tcPr>
            <w:tcW w:w="1499" w:type="dxa"/>
            <w:tcBorders>
              <w:right w:val="single" w:sz="12" w:space="0" w:color="auto"/>
            </w:tcBorders>
            <w:vAlign w:val="center"/>
          </w:tcPr>
          <w:p w14:paraId="27C86D4F" w14:textId="77777777" w:rsidR="00A25962" w:rsidRPr="00E16277" w:rsidRDefault="00A25962" w:rsidP="000301D3">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14:paraId="4F162DF7" w14:textId="6823CF75" w:rsidR="00A25962" w:rsidRPr="00E16277" w:rsidRDefault="00A25962" w:rsidP="00316E3D">
            <w:pPr>
              <w:spacing w:after="0" w:line="240" w:lineRule="auto"/>
              <w:jc w:val="center"/>
              <w:rPr>
                <w:rFonts w:ascii="Arial Narrow" w:hAnsi="Arial Narrow"/>
              </w:rPr>
            </w:pPr>
            <w:r>
              <w:rPr>
                <w:rFonts w:ascii="Arial Narrow" w:hAnsi="Arial Narrow" w:cs="Kartika"/>
                <w:sz w:val="18"/>
                <w:szCs w:val="18"/>
              </w:rPr>
              <w:t>3</w:t>
            </w:r>
            <w:r w:rsidRPr="00E16277">
              <w:rPr>
                <w:rFonts w:ascii="Arial Narrow" w:hAnsi="Arial Narrow" w:cs="Kartika"/>
                <w:sz w:val="18"/>
                <w:szCs w:val="18"/>
              </w:rPr>
              <w:t xml:space="preserve"> (</w:t>
            </w:r>
            <w:r w:rsidR="00316E3D">
              <w:rPr>
                <w:rFonts w:ascii="Arial Narrow" w:hAnsi="Arial Narrow" w:cs="Kartika"/>
                <w:sz w:val="18"/>
                <w:szCs w:val="18"/>
              </w:rPr>
              <w:t>n</w:t>
            </w:r>
            <w:r w:rsidRPr="00E16277">
              <w:rPr>
                <w:rFonts w:ascii="Arial Narrow" w:hAnsi="Arial Narrow" w:cs="Kartika"/>
                <w:sz w:val="18"/>
                <w:szCs w:val="18"/>
              </w:rPr>
              <w:t>)</w:t>
            </w:r>
          </w:p>
        </w:tc>
        <w:tc>
          <w:tcPr>
            <w:tcW w:w="1499" w:type="dxa"/>
            <w:tcBorders>
              <w:right w:val="single" w:sz="12" w:space="0" w:color="auto"/>
            </w:tcBorders>
          </w:tcPr>
          <w:p w14:paraId="20EE3466" w14:textId="77777777" w:rsidR="00A25962" w:rsidRPr="00E16277" w:rsidRDefault="00A25962" w:rsidP="000301D3">
            <w:pPr>
              <w:spacing w:after="0" w:line="240" w:lineRule="auto"/>
              <w:jc w:val="center"/>
              <w:rPr>
                <w:rFonts w:ascii="Arial Narrow" w:hAnsi="Arial Narrow" w:cs="Kartika"/>
                <w:sz w:val="18"/>
                <w:szCs w:val="18"/>
              </w:rPr>
            </w:pPr>
            <w:r w:rsidRPr="00886D76">
              <w:rPr>
                <w:rFonts w:ascii="Arial Narrow" w:hAnsi="Arial Narrow"/>
                <w:sz w:val="18"/>
                <w:szCs w:val="18"/>
              </w:rPr>
              <w:t>N/A</w:t>
            </w:r>
          </w:p>
        </w:tc>
      </w:tr>
      <w:tr w:rsidR="00A25962" w:rsidRPr="00E16277" w14:paraId="24F6F641" w14:textId="77777777" w:rsidTr="000301D3">
        <w:trPr>
          <w:trHeight w:val="397"/>
        </w:trPr>
        <w:tc>
          <w:tcPr>
            <w:tcW w:w="1560" w:type="dxa"/>
            <w:tcBorders>
              <w:left w:val="single" w:sz="12" w:space="0" w:color="auto"/>
              <w:right w:val="single" w:sz="12" w:space="0" w:color="auto"/>
            </w:tcBorders>
            <w:vAlign w:val="center"/>
          </w:tcPr>
          <w:p w14:paraId="221B30AE" w14:textId="77777777" w:rsidR="00A25962" w:rsidRPr="00E16277" w:rsidRDefault="00A25962" w:rsidP="000301D3">
            <w:pPr>
              <w:spacing w:after="0" w:line="240" w:lineRule="auto"/>
              <w:jc w:val="center"/>
              <w:rPr>
                <w:rFonts w:ascii="Arial Narrow" w:hAnsi="Arial Narrow"/>
                <w:b/>
              </w:rPr>
            </w:pPr>
            <w:r w:rsidRPr="00E16277">
              <w:rPr>
                <w:rFonts w:ascii="Arial Narrow" w:hAnsi="Arial Narrow"/>
                <w:b/>
              </w:rPr>
              <w:t>4</w:t>
            </w:r>
          </w:p>
        </w:tc>
        <w:tc>
          <w:tcPr>
            <w:tcW w:w="1498" w:type="dxa"/>
            <w:tcBorders>
              <w:left w:val="single" w:sz="12" w:space="0" w:color="auto"/>
            </w:tcBorders>
            <w:vAlign w:val="center"/>
          </w:tcPr>
          <w:p w14:paraId="08274693"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14:paraId="65CB3431"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14:paraId="3F9E1DE2"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14:paraId="2FED3807"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14:paraId="3A8B1E9D" w14:textId="77777777" w:rsidR="00A25962" w:rsidRPr="00E16277" w:rsidRDefault="00A25962" w:rsidP="000301D3">
            <w:pPr>
              <w:spacing w:after="0" w:line="240" w:lineRule="auto"/>
              <w:jc w:val="center"/>
              <w:rPr>
                <w:rFonts w:ascii="Arial Narrow" w:hAnsi="Arial Narrow"/>
              </w:rPr>
            </w:pPr>
            <w:r>
              <w:rPr>
                <w:rFonts w:ascii="Arial Narrow" w:hAnsi="Arial Narrow" w:cs="Kartika"/>
                <w:sz w:val="18"/>
                <w:szCs w:val="18"/>
              </w:rPr>
              <w:t>N/A</w:t>
            </w:r>
          </w:p>
        </w:tc>
        <w:tc>
          <w:tcPr>
            <w:tcW w:w="1498" w:type="dxa"/>
            <w:vAlign w:val="center"/>
          </w:tcPr>
          <w:p w14:paraId="06223E1D"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right w:val="single" w:sz="12" w:space="0" w:color="auto"/>
            </w:tcBorders>
            <w:vAlign w:val="center"/>
          </w:tcPr>
          <w:p w14:paraId="6AB5802D" w14:textId="77777777" w:rsidR="00A25962" w:rsidRPr="004A09C5" w:rsidRDefault="00A25962" w:rsidP="000301D3">
            <w:pPr>
              <w:spacing w:after="0" w:line="240" w:lineRule="auto"/>
              <w:jc w:val="center"/>
              <w:rPr>
                <w:rFonts w:ascii="Arial Narrow" w:hAnsi="Arial Narrow"/>
                <w:sz w:val="18"/>
                <w:szCs w:val="18"/>
              </w:rPr>
            </w:pPr>
            <w:r w:rsidRPr="004A09C5">
              <w:rPr>
                <w:rFonts w:ascii="Arial Narrow" w:hAnsi="Arial Narrow"/>
                <w:sz w:val="18"/>
                <w:szCs w:val="18"/>
              </w:rPr>
              <w:t>N/A</w:t>
            </w:r>
          </w:p>
        </w:tc>
        <w:tc>
          <w:tcPr>
            <w:tcW w:w="1499" w:type="dxa"/>
            <w:tcBorders>
              <w:right w:val="single" w:sz="12" w:space="0" w:color="auto"/>
            </w:tcBorders>
          </w:tcPr>
          <w:p w14:paraId="50032D8A" w14:textId="77777777" w:rsidR="00A25962" w:rsidRPr="00E16277" w:rsidRDefault="00A25962" w:rsidP="000301D3">
            <w:pPr>
              <w:spacing w:after="0" w:line="240" w:lineRule="auto"/>
              <w:jc w:val="center"/>
              <w:rPr>
                <w:rFonts w:ascii="Arial Narrow" w:hAnsi="Arial Narrow"/>
                <w:szCs w:val="28"/>
              </w:rPr>
            </w:pPr>
            <w:r w:rsidRPr="00886D76">
              <w:rPr>
                <w:rFonts w:ascii="Arial Narrow" w:hAnsi="Arial Narrow"/>
                <w:sz w:val="18"/>
                <w:szCs w:val="18"/>
              </w:rPr>
              <w:t>N/A</w:t>
            </w:r>
          </w:p>
        </w:tc>
      </w:tr>
      <w:tr w:rsidR="00A25962" w:rsidRPr="00E16277" w14:paraId="6D40A9B5" w14:textId="77777777" w:rsidTr="000301D3">
        <w:trPr>
          <w:trHeight w:val="397"/>
        </w:trPr>
        <w:tc>
          <w:tcPr>
            <w:tcW w:w="1560" w:type="dxa"/>
            <w:tcBorders>
              <w:left w:val="single" w:sz="12" w:space="0" w:color="auto"/>
              <w:right w:val="single" w:sz="12" w:space="0" w:color="auto"/>
            </w:tcBorders>
            <w:vAlign w:val="center"/>
          </w:tcPr>
          <w:p w14:paraId="3151DD67" w14:textId="77777777" w:rsidR="00A25962" w:rsidRPr="00E16277" w:rsidRDefault="00A25962" w:rsidP="000301D3">
            <w:pPr>
              <w:spacing w:after="0" w:line="240" w:lineRule="auto"/>
              <w:jc w:val="center"/>
              <w:rPr>
                <w:rFonts w:ascii="Arial Narrow" w:hAnsi="Arial Narrow"/>
                <w:b/>
              </w:rPr>
            </w:pPr>
            <w:r w:rsidRPr="00E16277">
              <w:rPr>
                <w:rFonts w:ascii="Arial Narrow" w:hAnsi="Arial Narrow"/>
                <w:b/>
              </w:rPr>
              <w:t>5</w:t>
            </w:r>
          </w:p>
        </w:tc>
        <w:tc>
          <w:tcPr>
            <w:tcW w:w="1498" w:type="dxa"/>
            <w:tcBorders>
              <w:left w:val="single" w:sz="12" w:space="0" w:color="auto"/>
            </w:tcBorders>
            <w:vAlign w:val="center"/>
          </w:tcPr>
          <w:p w14:paraId="2CA77E54"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14:paraId="30A6220D"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14:paraId="707515C6"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14:paraId="56D150F4"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14:paraId="371B7C6E"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cs="Kartika"/>
                <w:sz w:val="18"/>
                <w:szCs w:val="18"/>
              </w:rPr>
              <w:t>N/A</w:t>
            </w:r>
          </w:p>
        </w:tc>
        <w:tc>
          <w:tcPr>
            <w:tcW w:w="1498" w:type="dxa"/>
            <w:vAlign w:val="center"/>
          </w:tcPr>
          <w:p w14:paraId="34814EFE"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right w:val="single" w:sz="12" w:space="0" w:color="auto"/>
            </w:tcBorders>
            <w:vAlign w:val="center"/>
          </w:tcPr>
          <w:p w14:paraId="5FC0479B"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right w:val="single" w:sz="12" w:space="0" w:color="auto"/>
            </w:tcBorders>
          </w:tcPr>
          <w:p w14:paraId="6E87DD46" w14:textId="77777777" w:rsidR="00A25962" w:rsidRPr="00E16277" w:rsidRDefault="00A25962" w:rsidP="000301D3">
            <w:pPr>
              <w:spacing w:after="0" w:line="240" w:lineRule="auto"/>
              <w:jc w:val="center"/>
              <w:rPr>
                <w:rFonts w:ascii="Arial Narrow" w:hAnsi="Arial Narrow"/>
                <w:szCs w:val="28"/>
              </w:rPr>
            </w:pPr>
            <w:r w:rsidRPr="00886D76">
              <w:rPr>
                <w:rFonts w:ascii="Arial Narrow" w:hAnsi="Arial Narrow"/>
                <w:sz w:val="18"/>
                <w:szCs w:val="18"/>
              </w:rPr>
              <w:t>N/A</w:t>
            </w:r>
          </w:p>
        </w:tc>
      </w:tr>
      <w:tr w:rsidR="00A25962" w:rsidRPr="00E16277" w14:paraId="07BD0731" w14:textId="77777777" w:rsidTr="000301D3">
        <w:trPr>
          <w:trHeight w:val="397"/>
        </w:trPr>
        <w:tc>
          <w:tcPr>
            <w:tcW w:w="1560" w:type="dxa"/>
            <w:tcBorders>
              <w:left w:val="single" w:sz="12" w:space="0" w:color="auto"/>
              <w:right w:val="single" w:sz="12" w:space="0" w:color="auto"/>
            </w:tcBorders>
            <w:vAlign w:val="center"/>
          </w:tcPr>
          <w:p w14:paraId="64BB7884" w14:textId="77777777" w:rsidR="00A25962" w:rsidRPr="00E16277" w:rsidRDefault="00A25962" w:rsidP="000301D3">
            <w:pPr>
              <w:spacing w:after="0" w:line="240" w:lineRule="auto"/>
              <w:jc w:val="center"/>
              <w:rPr>
                <w:rFonts w:ascii="Arial Narrow" w:hAnsi="Arial Narrow"/>
                <w:b/>
              </w:rPr>
            </w:pPr>
            <w:r w:rsidRPr="00E16277">
              <w:rPr>
                <w:rFonts w:ascii="Arial Narrow" w:hAnsi="Arial Narrow"/>
                <w:b/>
              </w:rPr>
              <w:t>6</w:t>
            </w:r>
          </w:p>
        </w:tc>
        <w:tc>
          <w:tcPr>
            <w:tcW w:w="1498" w:type="dxa"/>
            <w:tcBorders>
              <w:left w:val="single" w:sz="12" w:space="0" w:color="auto"/>
            </w:tcBorders>
            <w:vAlign w:val="center"/>
          </w:tcPr>
          <w:p w14:paraId="070B5239"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14:paraId="585E0842"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14:paraId="2A6FA49E"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14:paraId="180B16AB"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14:paraId="7C716CB8" w14:textId="77777777" w:rsidR="00A25962" w:rsidRPr="0014159A" w:rsidRDefault="00A25962" w:rsidP="000301D3">
            <w:pPr>
              <w:spacing w:after="0" w:line="240" w:lineRule="auto"/>
              <w:jc w:val="center"/>
              <w:rPr>
                <w:rFonts w:ascii="Arial Narrow" w:hAnsi="Arial Narrow"/>
                <w:sz w:val="18"/>
                <w:szCs w:val="18"/>
              </w:rPr>
            </w:pPr>
            <w:r w:rsidRPr="0014159A">
              <w:rPr>
                <w:rFonts w:ascii="Arial Narrow" w:hAnsi="Arial Narrow"/>
                <w:sz w:val="18"/>
                <w:szCs w:val="18"/>
              </w:rPr>
              <w:t>N/A</w:t>
            </w:r>
          </w:p>
        </w:tc>
        <w:tc>
          <w:tcPr>
            <w:tcW w:w="1498" w:type="dxa"/>
            <w:vAlign w:val="center"/>
          </w:tcPr>
          <w:p w14:paraId="2664BD71"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cs="Kartika"/>
                <w:sz w:val="18"/>
                <w:szCs w:val="18"/>
              </w:rPr>
              <w:t>N/A: 2</w:t>
            </w:r>
          </w:p>
        </w:tc>
        <w:tc>
          <w:tcPr>
            <w:tcW w:w="1499" w:type="dxa"/>
            <w:tcBorders>
              <w:right w:val="single" w:sz="12" w:space="0" w:color="auto"/>
            </w:tcBorders>
            <w:vAlign w:val="center"/>
          </w:tcPr>
          <w:p w14:paraId="01C44F6D"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right w:val="single" w:sz="12" w:space="0" w:color="auto"/>
            </w:tcBorders>
          </w:tcPr>
          <w:p w14:paraId="6327C4FD" w14:textId="77777777" w:rsidR="00A25962" w:rsidRPr="00E16277" w:rsidRDefault="00A25962" w:rsidP="000301D3">
            <w:pPr>
              <w:spacing w:after="0" w:line="240" w:lineRule="auto"/>
              <w:jc w:val="center"/>
              <w:rPr>
                <w:rFonts w:ascii="Arial Narrow" w:hAnsi="Arial Narrow"/>
                <w:szCs w:val="28"/>
              </w:rPr>
            </w:pPr>
            <w:r w:rsidRPr="00886D76">
              <w:rPr>
                <w:rFonts w:ascii="Arial Narrow" w:hAnsi="Arial Narrow"/>
                <w:sz w:val="18"/>
                <w:szCs w:val="18"/>
              </w:rPr>
              <w:t>N/A</w:t>
            </w:r>
          </w:p>
        </w:tc>
      </w:tr>
      <w:tr w:rsidR="00A25962" w:rsidRPr="00E16277" w14:paraId="4E37FDCD" w14:textId="77777777" w:rsidTr="000301D3">
        <w:trPr>
          <w:trHeight w:val="397"/>
        </w:trPr>
        <w:tc>
          <w:tcPr>
            <w:tcW w:w="1560" w:type="dxa"/>
            <w:tcBorders>
              <w:left w:val="single" w:sz="12" w:space="0" w:color="auto"/>
              <w:right w:val="single" w:sz="12" w:space="0" w:color="auto"/>
            </w:tcBorders>
            <w:vAlign w:val="center"/>
          </w:tcPr>
          <w:p w14:paraId="79C98EC8" w14:textId="77777777" w:rsidR="00A25962" w:rsidRPr="00E16277" w:rsidRDefault="00A25962" w:rsidP="000301D3">
            <w:pPr>
              <w:spacing w:after="0" w:line="240" w:lineRule="auto"/>
              <w:jc w:val="center"/>
              <w:rPr>
                <w:rFonts w:ascii="Arial Narrow" w:hAnsi="Arial Narrow"/>
                <w:b/>
              </w:rPr>
            </w:pPr>
            <w:r w:rsidRPr="00E16277">
              <w:rPr>
                <w:rFonts w:ascii="Arial Narrow" w:hAnsi="Arial Narrow"/>
                <w:b/>
              </w:rPr>
              <w:t>7</w:t>
            </w:r>
          </w:p>
        </w:tc>
        <w:tc>
          <w:tcPr>
            <w:tcW w:w="1498" w:type="dxa"/>
            <w:tcBorders>
              <w:left w:val="single" w:sz="12" w:space="0" w:color="auto"/>
            </w:tcBorders>
            <w:vAlign w:val="center"/>
          </w:tcPr>
          <w:p w14:paraId="44778066"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14:paraId="3785988E"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14:paraId="1B3A4EB6"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14:paraId="26EA6EC4"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14:paraId="0AA81618" w14:textId="77777777" w:rsidR="00A25962" w:rsidRPr="0014159A" w:rsidRDefault="00A25962" w:rsidP="000301D3">
            <w:pPr>
              <w:spacing w:after="0" w:line="240" w:lineRule="auto"/>
              <w:jc w:val="center"/>
              <w:rPr>
                <w:rFonts w:ascii="Arial Narrow" w:hAnsi="Arial Narrow"/>
                <w:sz w:val="18"/>
                <w:szCs w:val="18"/>
              </w:rPr>
            </w:pPr>
            <w:r>
              <w:rPr>
                <w:rFonts w:ascii="Arial Narrow" w:hAnsi="Arial Narrow"/>
                <w:sz w:val="18"/>
                <w:szCs w:val="18"/>
              </w:rPr>
              <w:t>N/A</w:t>
            </w:r>
          </w:p>
        </w:tc>
        <w:tc>
          <w:tcPr>
            <w:tcW w:w="1498" w:type="dxa"/>
            <w:vAlign w:val="center"/>
          </w:tcPr>
          <w:p w14:paraId="6D6455BB"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right w:val="single" w:sz="12" w:space="0" w:color="auto"/>
            </w:tcBorders>
            <w:vAlign w:val="center"/>
          </w:tcPr>
          <w:p w14:paraId="3D39DDEC"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right w:val="single" w:sz="12" w:space="0" w:color="auto"/>
            </w:tcBorders>
          </w:tcPr>
          <w:p w14:paraId="70036B4B" w14:textId="77777777" w:rsidR="00A25962" w:rsidRPr="00E16277" w:rsidRDefault="00A25962" w:rsidP="000301D3">
            <w:pPr>
              <w:spacing w:after="0" w:line="240" w:lineRule="auto"/>
              <w:jc w:val="center"/>
              <w:rPr>
                <w:rFonts w:ascii="Arial Narrow" w:hAnsi="Arial Narrow"/>
                <w:szCs w:val="28"/>
              </w:rPr>
            </w:pPr>
            <w:r w:rsidRPr="00886D76">
              <w:rPr>
                <w:rFonts w:ascii="Arial Narrow" w:hAnsi="Arial Narrow"/>
                <w:sz w:val="18"/>
                <w:szCs w:val="18"/>
              </w:rPr>
              <w:t>N/A</w:t>
            </w:r>
          </w:p>
        </w:tc>
      </w:tr>
      <w:tr w:rsidR="00A25962" w:rsidRPr="00E16277" w14:paraId="27FBABA6" w14:textId="77777777" w:rsidTr="000301D3">
        <w:trPr>
          <w:trHeight w:val="397"/>
        </w:trPr>
        <w:tc>
          <w:tcPr>
            <w:tcW w:w="1560" w:type="dxa"/>
            <w:tcBorders>
              <w:left w:val="single" w:sz="12" w:space="0" w:color="auto"/>
              <w:right w:val="single" w:sz="12" w:space="0" w:color="auto"/>
            </w:tcBorders>
            <w:vAlign w:val="center"/>
          </w:tcPr>
          <w:p w14:paraId="55108E58" w14:textId="77777777" w:rsidR="00A25962" w:rsidRPr="00E16277" w:rsidRDefault="00A25962" w:rsidP="000301D3">
            <w:pPr>
              <w:spacing w:after="0" w:line="240" w:lineRule="auto"/>
              <w:jc w:val="center"/>
              <w:rPr>
                <w:rFonts w:ascii="Arial Narrow" w:hAnsi="Arial Narrow"/>
                <w:b/>
              </w:rPr>
            </w:pPr>
            <w:r w:rsidRPr="00E16277">
              <w:rPr>
                <w:rFonts w:ascii="Arial Narrow" w:hAnsi="Arial Narrow"/>
                <w:b/>
              </w:rPr>
              <w:t>8</w:t>
            </w:r>
          </w:p>
        </w:tc>
        <w:tc>
          <w:tcPr>
            <w:tcW w:w="1498" w:type="dxa"/>
            <w:tcBorders>
              <w:left w:val="single" w:sz="12" w:space="0" w:color="auto"/>
            </w:tcBorders>
            <w:vAlign w:val="center"/>
          </w:tcPr>
          <w:p w14:paraId="77319CE2"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14:paraId="455C7EEA"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14:paraId="087DB7BE"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14:paraId="59FEBA9B"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14:paraId="1C49AA32"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cs="Kartika"/>
                <w:sz w:val="18"/>
                <w:szCs w:val="18"/>
              </w:rPr>
              <w:t>N/A</w:t>
            </w:r>
          </w:p>
        </w:tc>
        <w:tc>
          <w:tcPr>
            <w:tcW w:w="1498" w:type="dxa"/>
            <w:vAlign w:val="center"/>
          </w:tcPr>
          <w:p w14:paraId="51130A7E"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rPr>
              <w:sym w:font="Wingdings 2" w:char="F050"/>
            </w:r>
          </w:p>
        </w:tc>
        <w:tc>
          <w:tcPr>
            <w:tcW w:w="1499" w:type="dxa"/>
            <w:tcBorders>
              <w:right w:val="single" w:sz="12" w:space="0" w:color="auto"/>
            </w:tcBorders>
            <w:vAlign w:val="center"/>
          </w:tcPr>
          <w:p w14:paraId="628664CE"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rPr>
              <w:sym w:font="Wingdings 2" w:char="F050"/>
            </w:r>
          </w:p>
        </w:tc>
        <w:tc>
          <w:tcPr>
            <w:tcW w:w="1499" w:type="dxa"/>
            <w:tcBorders>
              <w:right w:val="single" w:sz="12" w:space="0" w:color="auto"/>
            </w:tcBorders>
          </w:tcPr>
          <w:p w14:paraId="58D6154A" w14:textId="77777777" w:rsidR="00A25962" w:rsidRPr="00E16277" w:rsidRDefault="00A25962" w:rsidP="000301D3">
            <w:pPr>
              <w:spacing w:after="0" w:line="240" w:lineRule="auto"/>
              <w:jc w:val="center"/>
              <w:rPr>
                <w:rFonts w:ascii="Arial Narrow" w:hAnsi="Arial Narrow"/>
              </w:rPr>
            </w:pPr>
            <w:r w:rsidRPr="00886D76">
              <w:rPr>
                <w:rFonts w:ascii="Arial Narrow" w:hAnsi="Arial Narrow"/>
                <w:sz w:val="18"/>
                <w:szCs w:val="18"/>
              </w:rPr>
              <w:t>N/A</w:t>
            </w:r>
          </w:p>
        </w:tc>
      </w:tr>
      <w:tr w:rsidR="00A25962" w:rsidRPr="00E16277" w14:paraId="21786529" w14:textId="77777777" w:rsidTr="000301D3">
        <w:trPr>
          <w:trHeight w:val="397"/>
        </w:trPr>
        <w:tc>
          <w:tcPr>
            <w:tcW w:w="1560" w:type="dxa"/>
            <w:tcBorders>
              <w:left w:val="single" w:sz="12" w:space="0" w:color="auto"/>
              <w:right w:val="single" w:sz="12" w:space="0" w:color="auto"/>
            </w:tcBorders>
            <w:vAlign w:val="center"/>
          </w:tcPr>
          <w:p w14:paraId="7CF4CB21" w14:textId="77777777" w:rsidR="00A25962" w:rsidRPr="00E16277" w:rsidRDefault="00A25962" w:rsidP="000301D3">
            <w:pPr>
              <w:spacing w:after="0" w:line="240" w:lineRule="auto"/>
              <w:jc w:val="center"/>
              <w:rPr>
                <w:rFonts w:ascii="Arial Narrow" w:hAnsi="Arial Narrow"/>
                <w:b/>
              </w:rPr>
            </w:pPr>
            <w:r w:rsidRPr="00E16277">
              <w:rPr>
                <w:rFonts w:ascii="Arial Narrow" w:hAnsi="Arial Narrow"/>
                <w:b/>
              </w:rPr>
              <w:t>9</w:t>
            </w:r>
          </w:p>
        </w:tc>
        <w:tc>
          <w:tcPr>
            <w:tcW w:w="1498" w:type="dxa"/>
            <w:tcBorders>
              <w:left w:val="single" w:sz="12" w:space="0" w:color="auto"/>
            </w:tcBorders>
            <w:vAlign w:val="center"/>
          </w:tcPr>
          <w:p w14:paraId="5621AA4C" w14:textId="77777777" w:rsidR="00A25962" w:rsidRPr="00E16277" w:rsidRDefault="00A25962" w:rsidP="000301D3">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14:paraId="648F0272" w14:textId="2E59E5BD" w:rsidR="00A25962" w:rsidRPr="00E16277" w:rsidRDefault="00A25962" w:rsidP="000301D3">
            <w:pPr>
              <w:spacing w:after="0" w:line="240" w:lineRule="auto"/>
              <w:jc w:val="center"/>
              <w:rPr>
                <w:rFonts w:ascii="Arial Narrow" w:hAnsi="Arial Narrow" w:cs="Kartika"/>
                <w:sz w:val="18"/>
                <w:szCs w:val="18"/>
              </w:rPr>
            </w:pPr>
            <w:r>
              <w:rPr>
                <w:rFonts w:ascii="Arial Narrow" w:hAnsi="Arial Narrow" w:cs="Kartika"/>
                <w:sz w:val="18"/>
                <w:szCs w:val="18"/>
              </w:rPr>
              <w:t>1</w:t>
            </w:r>
            <w:r w:rsidR="00ED692C">
              <w:rPr>
                <w:rFonts w:ascii="Arial Narrow" w:hAnsi="Arial Narrow" w:cs="Kartika"/>
                <w:sz w:val="18"/>
                <w:szCs w:val="18"/>
              </w:rPr>
              <w:t>(a)</w:t>
            </w:r>
          </w:p>
        </w:tc>
        <w:tc>
          <w:tcPr>
            <w:tcW w:w="1498" w:type="dxa"/>
            <w:vAlign w:val="center"/>
          </w:tcPr>
          <w:p w14:paraId="5D5DAB46"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14:paraId="6D8090CA"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14:paraId="783F98F4"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14:paraId="3ADBC758"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cs="Kartika"/>
                <w:sz w:val="18"/>
                <w:szCs w:val="18"/>
              </w:rPr>
              <w:t>N/A</w:t>
            </w:r>
          </w:p>
        </w:tc>
        <w:tc>
          <w:tcPr>
            <w:tcW w:w="1498" w:type="dxa"/>
            <w:vAlign w:val="center"/>
          </w:tcPr>
          <w:p w14:paraId="1C7B5ACE" w14:textId="77777777" w:rsidR="00A25962" w:rsidRPr="00E16277" w:rsidRDefault="00A25962" w:rsidP="000301D3">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14:paraId="43575086" w14:textId="2A040198" w:rsidR="00A25962" w:rsidRPr="00E16277" w:rsidRDefault="00A25962" w:rsidP="000301D3">
            <w:pPr>
              <w:spacing w:after="0" w:line="240" w:lineRule="auto"/>
              <w:jc w:val="center"/>
              <w:rPr>
                <w:rFonts w:ascii="Arial Narrow" w:hAnsi="Arial Narrow"/>
              </w:rPr>
            </w:pPr>
            <w:r>
              <w:rPr>
                <w:rFonts w:ascii="Arial Narrow" w:hAnsi="Arial Narrow" w:cs="Kartika"/>
                <w:sz w:val="18"/>
                <w:szCs w:val="18"/>
              </w:rPr>
              <w:t>1</w:t>
            </w:r>
            <w:r w:rsidR="00ED692C">
              <w:rPr>
                <w:rFonts w:ascii="Arial Narrow" w:hAnsi="Arial Narrow" w:cs="Kartika"/>
                <w:sz w:val="18"/>
                <w:szCs w:val="18"/>
              </w:rPr>
              <w:t>(a)</w:t>
            </w:r>
          </w:p>
        </w:tc>
        <w:tc>
          <w:tcPr>
            <w:tcW w:w="1499" w:type="dxa"/>
            <w:tcBorders>
              <w:right w:val="single" w:sz="12" w:space="0" w:color="auto"/>
            </w:tcBorders>
            <w:vAlign w:val="center"/>
          </w:tcPr>
          <w:p w14:paraId="07B90DA8" w14:textId="77777777" w:rsidR="00A25962" w:rsidRPr="00E16277" w:rsidRDefault="00A25962" w:rsidP="000301D3">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14:paraId="614DABDD" w14:textId="6A45692B" w:rsidR="00A25962" w:rsidRPr="00E16277" w:rsidRDefault="00A25962" w:rsidP="000301D3">
            <w:pPr>
              <w:spacing w:after="0" w:line="240" w:lineRule="auto"/>
              <w:jc w:val="center"/>
              <w:rPr>
                <w:rFonts w:ascii="Arial Narrow" w:hAnsi="Arial Narrow"/>
              </w:rPr>
            </w:pPr>
            <w:r>
              <w:rPr>
                <w:rFonts w:ascii="Arial Narrow" w:hAnsi="Arial Narrow" w:cs="Kartika"/>
                <w:sz w:val="18"/>
                <w:szCs w:val="18"/>
              </w:rPr>
              <w:t>1</w:t>
            </w:r>
            <w:r w:rsidR="00ED692C">
              <w:rPr>
                <w:rFonts w:ascii="Arial Narrow" w:hAnsi="Arial Narrow" w:cs="Kartika"/>
                <w:sz w:val="18"/>
                <w:szCs w:val="18"/>
              </w:rPr>
              <w:t>(a)</w:t>
            </w:r>
          </w:p>
        </w:tc>
        <w:tc>
          <w:tcPr>
            <w:tcW w:w="1499" w:type="dxa"/>
            <w:tcBorders>
              <w:right w:val="single" w:sz="12" w:space="0" w:color="auto"/>
            </w:tcBorders>
          </w:tcPr>
          <w:p w14:paraId="7BC72236" w14:textId="77777777" w:rsidR="00A25962" w:rsidRPr="00E16277" w:rsidRDefault="00A25962" w:rsidP="000301D3">
            <w:pPr>
              <w:spacing w:after="0" w:line="240" w:lineRule="auto"/>
              <w:jc w:val="center"/>
              <w:rPr>
                <w:rFonts w:ascii="Arial Narrow" w:hAnsi="Arial Narrow" w:cs="Kartika"/>
                <w:sz w:val="18"/>
                <w:szCs w:val="18"/>
              </w:rPr>
            </w:pPr>
            <w:r w:rsidRPr="00886D76">
              <w:rPr>
                <w:rFonts w:ascii="Arial Narrow" w:hAnsi="Arial Narrow"/>
                <w:sz w:val="18"/>
                <w:szCs w:val="18"/>
              </w:rPr>
              <w:t>N/A</w:t>
            </w:r>
          </w:p>
        </w:tc>
      </w:tr>
      <w:tr w:rsidR="00A25962" w:rsidRPr="00E16277" w14:paraId="7A29AED6" w14:textId="77777777" w:rsidTr="000301D3">
        <w:trPr>
          <w:trHeight w:val="397"/>
        </w:trPr>
        <w:tc>
          <w:tcPr>
            <w:tcW w:w="1560" w:type="dxa"/>
            <w:tcBorders>
              <w:left w:val="single" w:sz="12" w:space="0" w:color="auto"/>
              <w:right w:val="single" w:sz="12" w:space="0" w:color="auto"/>
            </w:tcBorders>
            <w:vAlign w:val="center"/>
          </w:tcPr>
          <w:p w14:paraId="22CD8CD2" w14:textId="77777777" w:rsidR="00A25962" w:rsidRPr="00E16277" w:rsidRDefault="00A25962" w:rsidP="000301D3">
            <w:pPr>
              <w:spacing w:after="0" w:line="240" w:lineRule="auto"/>
              <w:jc w:val="center"/>
              <w:rPr>
                <w:rFonts w:ascii="Arial Narrow" w:hAnsi="Arial Narrow"/>
                <w:b/>
              </w:rPr>
            </w:pPr>
            <w:r w:rsidRPr="00E16277">
              <w:rPr>
                <w:rFonts w:ascii="Arial Narrow" w:hAnsi="Arial Narrow"/>
                <w:b/>
              </w:rPr>
              <w:t>10</w:t>
            </w:r>
          </w:p>
        </w:tc>
        <w:tc>
          <w:tcPr>
            <w:tcW w:w="1498" w:type="dxa"/>
            <w:tcBorders>
              <w:left w:val="single" w:sz="12" w:space="0" w:color="auto"/>
            </w:tcBorders>
            <w:vAlign w:val="center"/>
          </w:tcPr>
          <w:p w14:paraId="42A00D3C" w14:textId="77777777" w:rsidR="00A25962" w:rsidRPr="00E16277" w:rsidRDefault="00A25962" w:rsidP="000301D3">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14:paraId="11289270"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cs="Kartika"/>
                <w:sz w:val="18"/>
                <w:szCs w:val="18"/>
              </w:rPr>
              <w:t>1 (a), (b)</w:t>
            </w:r>
          </w:p>
        </w:tc>
        <w:tc>
          <w:tcPr>
            <w:tcW w:w="1498" w:type="dxa"/>
            <w:vAlign w:val="center"/>
          </w:tcPr>
          <w:p w14:paraId="5C868BC8"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14:paraId="30AD613B"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14:paraId="0677EBA7"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14:paraId="419829A1"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cs="Kartika"/>
                <w:sz w:val="18"/>
                <w:szCs w:val="18"/>
              </w:rPr>
              <w:t>N/A</w:t>
            </w:r>
          </w:p>
        </w:tc>
        <w:tc>
          <w:tcPr>
            <w:tcW w:w="1498" w:type="dxa"/>
            <w:vAlign w:val="center"/>
          </w:tcPr>
          <w:p w14:paraId="0581D5AA" w14:textId="77777777" w:rsidR="00A25962" w:rsidRPr="00E16277" w:rsidRDefault="00A25962" w:rsidP="000301D3">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14:paraId="60EE9BDE"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cs="Kartika"/>
                <w:sz w:val="18"/>
                <w:szCs w:val="18"/>
              </w:rPr>
              <w:t>1 (a), (b)</w:t>
            </w:r>
          </w:p>
        </w:tc>
        <w:tc>
          <w:tcPr>
            <w:tcW w:w="1499" w:type="dxa"/>
            <w:tcBorders>
              <w:right w:val="single" w:sz="12" w:space="0" w:color="auto"/>
            </w:tcBorders>
            <w:vAlign w:val="center"/>
          </w:tcPr>
          <w:p w14:paraId="3CDE8DEF" w14:textId="77777777" w:rsidR="00A25962" w:rsidRPr="00E16277" w:rsidRDefault="00A25962" w:rsidP="000301D3">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14:paraId="40F7CE16"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cs="Kartika"/>
                <w:sz w:val="18"/>
                <w:szCs w:val="18"/>
              </w:rPr>
              <w:t>1 (a), (b)</w:t>
            </w:r>
          </w:p>
        </w:tc>
        <w:tc>
          <w:tcPr>
            <w:tcW w:w="1499" w:type="dxa"/>
            <w:tcBorders>
              <w:right w:val="single" w:sz="12" w:space="0" w:color="auto"/>
            </w:tcBorders>
          </w:tcPr>
          <w:p w14:paraId="7DA9E7AC" w14:textId="77777777" w:rsidR="00A25962" w:rsidRPr="00E16277" w:rsidRDefault="00A25962" w:rsidP="000301D3">
            <w:pPr>
              <w:spacing w:after="0" w:line="240" w:lineRule="auto"/>
              <w:jc w:val="center"/>
              <w:rPr>
                <w:rFonts w:ascii="Arial Narrow" w:hAnsi="Arial Narrow" w:cs="Kartika"/>
                <w:sz w:val="18"/>
                <w:szCs w:val="18"/>
              </w:rPr>
            </w:pPr>
            <w:r w:rsidRPr="00886D76">
              <w:rPr>
                <w:rFonts w:ascii="Arial Narrow" w:hAnsi="Arial Narrow"/>
                <w:sz w:val="18"/>
                <w:szCs w:val="18"/>
              </w:rPr>
              <w:t>N/A</w:t>
            </w:r>
          </w:p>
        </w:tc>
      </w:tr>
      <w:tr w:rsidR="00A25962" w:rsidRPr="00E16277" w14:paraId="0EE6FAF9" w14:textId="77777777" w:rsidTr="000301D3">
        <w:trPr>
          <w:trHeight w:val="397"/>
        </w:trPr>
        <w:tc>
          <w:tcPr>
            <w:tcW w:w="1560" w:type="dxa"/>
            <w:tcBorders>
              <w:left w:val="single" w:sz="12" w:space="0" w:color="auto"/>
              <w:right w:val="single" w:sz="12" w:space="0" w:color="auto"/>
            </w:tcBorders>
            <w:vAlign w:val="center"/>
          </w:tcPr>
          <w:p w14:paraId="2C25439A" w14:textId="77777777" w:rsidR="00A25962" w:rsidRPr="00E16277" w:rsidRDefault="00A25962" w:rsidP="000301D3">
            <w:pPr>
              <w:spacing w:after="0" w:line="240" w:lineRule="auto"/>
              <w:jc w:val="center"/>
              <w:rPr>
                <w:rFonts w:ascii="Arial Narrow" w:hAnsi="Arial Narrow"/>
                <w:b/>
              </w:rPr>
            </w:pPr>
            <w:r w:rsidRPr="00E16277">
              <w:rPr>
                <w:rFonts w:ascii="Arial Narrow" w:hAnsi="Arial Narrow"/>
                <w:b/>
              </w:rPr>
              <w:t>11</w:t>
            </w:r>
          </w:p>
        </w:tc>
        <w:tc>
          <w:tcPr>
            <w:tcW w:w="1498" w:type="dxa"/>
            <w:tcBorders>
              <w:left w:val="single" w:sz="12" w:space="0" w:color="auto"/>
            </w:tcBorders>
            <w:vAlign w:val="center"/>
          </w:tcPr>
          <w:p w14:paraId="2C9F282A"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14:paraId="70D49617"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14:paraId="268EF175"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14:paraId="54D1EE25"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14:paraId="14A9D6B6"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14:paraId="529ED2B7"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right w:val="single" w:sz="12" w:space="0" w:color="auto"/>
            </w:tcBorders>
            <w:vAlign w:val="center"/>
          </w:tcPr>
          <w:p w14:paraId="3206A513"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right w:val="single" w:sz="12" w:space="0" w:color="auto"/>
            </w:tcBorders>
          </w:tcPr>
          <w:p w14:paraId="43F7A7A3" w14:textId="77777777" w:rsidR="00A25962" w:rsidRPr="00E16277" w:rsidRDefault="00A25962" w:rsidP="000301D3">
            <w:pPr>
              <w:spacing w:after="0" w:line="240" w:lineRule="auto"/>
              <w:jc w:val="center"/>
              <w:rPr>
                <w:rFonts w:ascii="Arial Narrow" w:hAnsi="Arial Narrow"/>
                <w:szCs w:val="28"/>
              </w:rPr>
            </w:pPr>
            <w:r w:rsidRPr="00886D76">
              <w:rPr>
                <w:rFonts w:ascii="Arial Narrow" w:hAnsi="Arial Narrow"/>
                <w:sz w:val="18"/>
                <w:szCs w:val="18"/>
              </w:rPr>
              <w:t>N/A</w:t>
            </w:r>
          </w:p>
        </w:tc>
      </w:tr>
      <w:tr w:rsidR="00A25962" w:rsidRPr="00E16277" w14:paraId="244E47C7" w14:textId="77777777" w:rsidTr="000301D3">
        <w:trPr>
          <w:trHeight w:val="397"/>
        </w:trPr>
        <w:tc>
          <w:tcPr>
            <w:tcW w:w="1560" w:type="dxa"/>
            <w:tcBorders>
              <w:left w:val="single" w:sz="12" w:space="0" w:color="auto"/>
              <w:right w:val="single" w:sz="12" w:space="0" w:color="auto"/>
            </w:tcBorders>
            <w:vAlign w:val="center"/>
          </w:tcPr>
          <w:p w14:paraId="4E36E55E" w14:textId="77777777" w:rsidR="00A25962" w:rsidRPr="003F4FCE" w:rsidRDefault="00A25962" w:rsidP="000301D3">
            <w:pPr>
              <w:spacing w:after="0" w:line="240" w:lineRule="auto"/>
              <w:jc w:val="center"/>
              <w:rPr>
                <w:rFonts w:ascii="Arial Narrow" w:hAnsi="Arial Narrow"/>
                <w:b/>
              </w:rPr>
            </w:pPr>
            <w:r w:rsidRPr="003F4FCE">
              <w:rPr>
                <w:rFonts w:ascii="Arial Narrow" w:hAnsi="Arial Narrow"/>
                <w:b/>
              </w:rPr>
              <w:t>12</w:t>
            </w:r>
          </w:p>
        </w:tc>
        <w:tc>
          <w:tcPr>
            <w:tcW w:w="1498" w:type="dxa"/>
            <w:tcBorders>
              <w:left w:val="single" w:sz="12" w:space="0" w:color="auto"/>
            </w:tcBorders>
            <w:vAlign w:val="center"/>
          </w:tcPr>
          <w:p w14:paraId="2B0A28DB" w14:textId="7FE1EF50" w:rsidR="00A25962" w:rsidRPr="003F4FCE" w:rsidRDefault="001877FE" w:rsidP="000301D3">
            <w:pPr>
              <w:spacing w:after="0" w:line="240" w:lineRule="auto"/>
              <w:jc w:val="center"/>
              <w:rPr>
                <w:rFonts w:ascii="Arial Narrow" w:hAnsi="Arial Narrow" w:cs="Kartika"/>
                <w:sz w:val="18"/>
                <w:szCs w:val="18"/>
              </w:rPr>
            </w:pPr>
            <w:r>
              <w:rPr>
                <w:rFonts w:ascii="Arial Narrow" w:hAnsi="Arial Narrow" w:cs="Kartika"/>
                <w:sz w:val="18"/>
                <w:szCs w:val="18"/>
              </w:rPr>
              <w:t>N/A: 1</w:t>
            </w:r>
          </w:p>
        </w:tc>
        <w:tc>
          <w:tcPr>
            <w:tcW w:w="1498" w:type="dxa"/>
            <w:vAlign w:val="center"/>
          </w:tcPr>
          <w:p w14:paraId="3FCE2E01" w14:textId="77777777" w:rsidR="00A25962" w:rsidRPr="003F4FCE" w:rsidRDefault="00A25962" w:rsidP="000301D3">
            <w:pPr>
              <w:spacing w:after="0" w:line="240" w:lineRule="auto"/>
              <w:jc w:val="center"/>
              <w:rPr>
                <w:rFonts w:ascii="Arial Narrow" w:hAnsi="Arial Narrow"/>
                <w:szCs w:val="28"/>
              </w:rPr>
            </w:pPr>
            <w:r w:rsidRPr="003F4FCE">
              <w:rPr>
                <w:rFonts w:ascii="Arial Narrow" w:hAnsi="Arial Narrow"/>
                <w:szCs w:val="28"/>
              </w:rPr>
              <w:sym w:font="Wingdings 2" w:char="F050"/>
            </w:r>
          </w:p>
        </w:tc>
        <w:tc>
          <w:tcPr>
            <w:tcW w:w="1499" w:type="dxa"/>
            <w:vAlign w:val="center"/>
          </w:tcPr>
          <w:p w14:paraId="63C7AB09" w14:textId="77777777" w:rsidR="00A25962" w:rsidRPr="003F4FCE" w:rsidRDefault="00A25962" w:rsidP="000301D3">
            <w:pPr>
              <w:spacing w:after="0" w:line="240" w:lineRule="auto"/>
              <w:jc w:val="center"/>
              <w:rPr>
                <w:rFonts w:ascii="Arial Narrow" w:hAnsi="Arial Narrow"/>
                <w:szCs w:val="28"/>
              </w:rPr>
            </w:pPr>
            <w:r w:rsidRPr="003F4FCE">
              <w:rPr>
                <w:rFonts w:ascii="Arial Narrow" w:hAnsi="Arial Narrow"/>
                <w:szCs w:val="28"/>
              </w:rPr>
              <w:sym w:font="Wingdings 2" w:char="F050"/>
            </w:r>
          </w:p>
        </w:tc>
        <w:tc>
          <w:tcPr>
            <w:tcW w:w="1498" w:type="dxa"/>
            <w:vAlign w:val="center"/>
          </w:tcPr>
          <w:p w14:paraId="7DF96DD4" w14:textId="77777777" w:rsidR="00A25962" w:rsidRPr="003F4FCE" w:rsidRDefault="00A25962" w:rsidP="000301D3">
            <w:pPr>
              <w:spacing w:after="0" w:line="240" w:lineRule="auto"/>
              <w:jc w:val="center"/>
              <w:rPr>
                <w:rFonts w:ascii="Arial Narrow" w:hAnsi="Arial Narrow"/>
                <w:szCs w:val="28"/>
              </w:rPr>
            </w:pPr>
            <w:r w:rsidRPr="003F4FCE">
              <w:rPr>
                <w:rFonts w:ascii="Arial Narrow" w:hAnsi="Arial Narrow"/>
                <w:szCs w:val="28"/>
              </w:rPr>
              <w:sym w:font="Wingdings 2" w:char="F050"/>
            </w:r>
          </w:p>
        </w:tc>
        <w:tc>
          <w:tcPr>
            <w:tcW w:w="1499" w:type="dxa"/>
            <w:vAlign w:val="center"/>
          </w:tcPr>
          <w:p w14:paraId="64F75DFE" w14:textId="0533E5CB" w:rsidR="00A25962" w:rsidRPr="00A2043E" w:rsidRDefault="009160B2" w:rsidP="00A21BEA">
            <w:pPr>
              <w:spacing w:after="0" w:line="240" w:lineRule="auto"/>
              <w:jc w:val="center"/>
              <w:rPr>
                <w:rFonts w:ascii="Arial Narrow" w:hAnsi="Arial Narrow"/>
                <w:sz w:val="18"/>
              </w:rPr>
            </w:pPr>
            <w:r w:rsidRPr="00E16277">
              <w:rPr>
                <w:rFonts w:ascii="Arial Narrow" w:hAnsi="Arial Narrow" w:cs="Kartika"/>
                <w:sz w:val="18"/>
                <w:szCs w:val="18"/>
              </w:rPr>
              <w:t>N/A</w:t>
            </w:r>
            <w:r w:rsidR="009D528C">
              <w:rPr>
                <w:rFonts w:ascii="Arial Narrow" w:hAnsi="Arial Narrow" w:cs="Kartika"/>
                <w:sz w:val="18"/>
                <w:szCs w:val="18"/>
              </w:rPr>
              <w:t>:1</w:t>
            </w:r>
          </w:p>
        </w:tc>
        <w:tc>
          <w:tcPr>
            <w:tcW w:w="1498" w:type="dxa"/>
            <w:vAlign w:val="center"/>
          </w:tcPr>
          <w:p w14:paraId="00DDBC68" w14:textId="18CC94E6" w:rsidR="00A25962" w:rsidRPr="00A2043E" w:rsidRDefault="00D2586E" w:rsidP="00D2586E">
            <w:pPr>
              <w:spacing w:after="0" w:line="240" w:lineRule="auto"/>
              <w:jc w:val="center"/>
              <w:rPr>
                <w:rFonts w:ascii="Arial Narrow" w:hAnsi="Arial Narrow"/>
                <w:sz w:val="18"/>
              </w:rPr>
            </w:pPr>
            <w:r>
              <w:rPr>
                <w:rFonts w:ascii="Arial Narrow" w:hAnsi="Arial Narrow" w:cs="Kartika"/>
                <w:sz w:val="18"/>
                <w:szCs w:val="18"/>
              </w:rPr>
              <w:t>N/A: 1</w:t>
            </w:r>
          </w:p>
        </w:tc>
        <w:tc>
          <w:tcPr>
            <w:tcW w:w="1499" w:type="dxa"/>
            <w:tcBorders>
              <w:right w:val="single" w:sz="12" w:space="0" w:color="auto"/>
            </w:tcBorders>
            <w:vAlign w:val="center"/>
          </w:tcPr>
          <w:p w14:paraId="5591A12B" w14:textId="6A3A4EC8" w:rsidR="00A25962" w:rsidRPr="003F4FCE" w:rsidRDefault="00E61C62" w:rsidP="000301D3">
            <w:pPr>
              <w:spacing w:after="0" w:line="240" w:lineRule="auto"/>
              <w:jc w:val="center"/>
              <w:rPr>
                <w:rFonts w:ascii="Arial Narrow" w:hAnsi="Arial Narrow" w:cs="Kartika"/>
                <w:sz w:val="18"/>
                <w:szCs w:val="18"/>
              </w:rPr>
            </w:pPr>
            <w:r>
              <w:rPr>
                <w:rFonts w:ascii="Arial Narrow" w:hAnsi="Arial Narrow" w:cs="Kartika"/>
                <w:sz w:val="18"/>
                <w:szCs w:val="18"/>
              </w:rPr>
              <w:t xml:space="preserve"> N/A: 1</w:t>
            </w:r>
          </w:p>
        </w:tc>
        <w:tc>
          <w:tcPr>
            <w:tcW w:w="1499" w:type="dxa"/>
            <w:tcBorders>
              <w:right w:val="single" w:sz="12" w:space="0" w:color="auto"/>
            </w:tcBorders>
          </w:tcPr>
          <w:p w14:paraId="4EE0E216" w14:textId="77777777" w:rsidR="00A25962" w:rsidRPr="003F4FCE" w:rsidRDefault="00A25962" w:rsidP="000301D3">
            <w:pPr>
              <w:spacing w:after="0" w:line="240" w:lineRule="auto"/>
              <w:jc w:val="center"/>
              <w:rPr>
                <w:rFonts w:ascii="Arial Narrow" w:hAnsi="Arial Narrow"/>
                <w:sz w:val="18"/>
                <w:szCs w:val="18"/>
              </w:rPr>
            </w:pPr>
            <w:r w:rsidRPr="003F4FCE">
              <w:rPr>
                <w:rFonts w:ascii="Arial Narrow" w:hAnsi="Arial Narrow"/>
                <w:sz w:val="18"/>
                <w:szCs w:val="18"/>
              </w:rPr>
              <w:t>N/A</w:t>
            </w:r>
          </w:p>
        </w:tc>
      </w:tr>
      <w:tr w:rsidR="00A25962" w:rsidRPr="00E16277" w14:paraId="6C0D82D9" w14:textId="77777777" w:rsidTr="000301D3">
        <w:trPr>
          <w:trHeight w:val="397"/>
        </w:trPr>
        <w:tc>
          <w:tcPr>
            <w:tcW w:w="1560" w:type="dxa"/>
            <w:tcBorders>
              <w:left w:val="single" w:sz="12" w:space="0" w:color="auto"/>
              <w:right w:val="single" w:sz="12" w:space="0" w:color="auto"/>
            </w:tcBorders>
            <w:vAlign w:val="center"/>
          </w:tcPr>
          <w:p w14:paraId="6A245257" w14:textId="77777777" w:rsidR="00A25962" w:rsidRPr="00E16277" w:rsidRDefault="00A25962" w:rsidP="000301D3">
            <w:pPr>
              <w:spacing w:after="0" w:line="240" w:lineRule="auto"/>
              <w:jc w:val="center"/>
              <w:rPr>
                <w:rFonts w:ascii="Arial Narrow" w:hAnsi="Arial Narrow"/>
                <w:b/>
              </w:rPr>
            </w:pPr>
            <w:r w:rsidRPr="00E16277">
              <w:rPr>
                <w:rFonts w:ascii="Arial Narrow" w:hAnsi="Arial Narrow"/>
                <w:b/>
              </w:rPr>
              <w:t>1</w:t>
            </w:r>
            <w:r>
              <w:rPr>
                <w:rFonts w:ascii="Arial Narrow" w:hAnsi="Arial Narrow"/>
                <w:b/>
              </w:rPr>
              <w:t>3</w:t>
            </w:r>
          </w:p>
        </w:tc>
        <w:tc>
          <w:tcPr>
            <w:tcW w:w="1498" w:type="dxa"/>
            <w:tcBorders>
              <w:left w:val="single" w:sz="12" w:space="0" w:color="auto"/>
            </w:tcBorders>
            <w:vAlign w:val="center"/>
          </w:tcPr>
          <w:p w14:paraId="0E77C487" w14:textId="59ED42DE" w:rsidR="00A25962" w:rsidRPr="00A2043E" w:rsidRDefault="00A25962" w:rsidP="000301D3">
            <w:pPr>
              <w:spacing w:after="0" w:line="240" w:lineRule="auto"/>
              <w:jc w:val="center"/>
              <w:rPr>
                <w:rFonts w:ascii="Arial Narrow" w:hAnsi="Arial Narrow"/>
                <w:sz w:val="18"/>
              </w:rPr>
            </w:pPr>
            <w:r w:rsidRPr="00E16277">
              <w:rPr>
                <w:rFonts w:ascii="Arial Narrow" w:hAnsi="Arial Narrow" w:cs="Kartika"/>
                <w:sz w:val="18"/>
                <w:szCs w:val="18"/>
              </w:rPr>
              <w:t>N/A</w:t>
            </w:r>
          </w:p>
        </w:tc>
        <w:tc>
          <w:tcPr>
            <w:tcW w:w="1498" w:type="dxa"/>
            <w:vAlign w:val="center"/>
          </w:tcPr>
          <w:p w14:paraId="23BB1841"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14:paraId="5B9E4BB4"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14:paraId="62CB2D47"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14:paraId="2794E46C" w14:textId="7E2B3448" w:rsidR="00A25962" w:rsidRPr="00E16277" w:rsidRDefault="00A25962" w:rsidP="000301D3">
            <w:pPr>
              <w:spacing w:after="0" w:line="240" w:lineRule="auto"/>
              <w:jc w:val="center"/>
              <w:rPr>
                <w:rFonts w:ascii="Arial Narrow" w:hAnsi="Arial Narrow"/>
              </w:rPr>
            </w:pPr>
            <w:r w:rsidRPr="00E16277">
              <w:rPr>
                <w:rFonts w:ascii="Arial Narrow" w:hAnsi="Arial Narrow" w:cs="Kartika"/>
                <w:sz w:val="18"/>
                <w:szCs w:val="18"/>
              </w:rPr>
              <w:t>N/A</w:t>
            </w:r>
          </w:p>
        </w:tc>
        <w:tc>
          <w:tcPr>
            <w:tcW w:w="1498" w:type="dxa"/>
            <w:vAlign w:val="center"/>
          </w:tcPr>
          <w:p w14:paraId="160BBEBB" w14:textId="5A81B51A" w:rsidR="00A25962" w:rsidRPr="00E16277" w:rsidRDefault="00A25962" w:rsidP="000301D3">
            <w:pPr>
              <w:spacing w:after="0" w:line="240" w:lineRule="auto"/>
              <w:jc w:val="center"/>
              <w:rPr>
                <w:rFonts w:ascii="Arial Narrow" w:hAnsi="Arial Narrow"/>
              </w:rPr>
            </w:pPr>
            <w:r w:rsidRPr="00E16277">
              <w:rPr>
                <w:rFonts w:ascii="Arial Narrow" w:hAnsi="Arial Narrow" w:cs="Kartika"/>
                <w:sz w:val="18"/>
                <w:szCs w:val="18"/>
              </w:rPr>
              <w:t>N/A</w:t>
            </w:r>
          </w:p>
        </w:tc>
        <w:tc>
          <w:tcPr>
            <w:tcW w:w="1499" w:type="dxa"/>
            <w:tcBorders>
              <w:right w:val="single" w:sz="12" w:space="0" w:color="auto"/>
            </w:tcBorders>
            <w:vAlign w:val="center"/>
          </w:tcPr>
          <w:p w14:paraId="5BA0C7F3" w14:textId="3D0D8588" w:rsidR="00A25962" w:rsidRPr="00A2043E" w:rsidRDefault="00A25962" w:rsidP="000301D3">
            <w:pPr>
              <w:spacing w:after="0" w:line="240" w:lineRule="auto"/>
              <w:jc w:val="center"/>
              <w:rPr>
                <w:rFonts w:ascii="Arial Narrow" w:hAnsi="Arial Narrow"/>
                <w:sz w:val="18"/>
              </w:rPr>
            </w:pPr>
            <w:r w:rsidRPr="00E16277">
              <w:rPr>
                <w:rFonts w:ascii="Arial Narrow" w:hAnsi="Arial Narrow" w:cs="Kartika"/>
                <w:sz w:val="18"/>
                <w:szCs w:val="18"/>
              </w:rPr>
              <w:t>N/A</w:t>
            </w:r>
          </w:p>
        </w:tc>
        <w:tc>
          <w:tcPr>
            <w:tcW w:w="1499" w:type="dxa"/>
            <w:tcBorders>
              <w:right w:val="single" w:sz="12" w:space="0" w:color="auto"/>
            </w:tcBorders>
          </w:tcPr>
          <w:p w14:paraId="4223A213" w14:textId="77777777" w:rsidR="00A25962" w:rsidRPr="00A2043E" w:rsidRDefault="00A25962" w:rsidP="000301D3">
            <w:pPr>
              <w:spacing w:after="0" w:line="240" w:lineRule="auto"/>
              <w:jc w:val="center"/>
              <w:rPr>
                <w:rFonts w:ascii="Arial Narrow" w:hAnsi="Arial Narrow"/>
                <w:sz w:val="18"/>
              </w:rPr>
            </w:pPr>
            <w:r w:rsidRPr="00886D76">
              <w:rPr>
                <w:rFonts w:ascii="Arial Narrow" w:hAnsi="Arial Narrow"/>
                <w:sz w:val="18"/>
                <w:szCs w:val="18"/>
              </w:rPr>
              <w:t>N/A</w:t>
            </w:r>
          </w:p>
        </w:tc>
      </w:tr>
      <w:tr w:rsidR="00A25962" w:rsidRPr="00E16277" w14:paraId="3A6CCA29" w14:textId="77777777" w:rsidTr="000301D3">
        <w:trPr>
          <w:trHeight w:val="397"/>
        </w:trPr>
        <w:tc>
          <w:tcPr>
            <w:tcW w:w="1560" w:type="dxa"/>
            <w:tcBorders>
              <w:left w:val="single" w:sz="12" w:space="0" w:color="auto"/>
              <w:right w:val="single" w:sz="12" w:space="0" w:color="auto"/>
            </w:tcBorders>
            <w:vAlign w:val="center"/>
          </w:tcPr>
          <w:p w14:paraId="5D61B7C4" w14:textId="77777777" w:rsidR="00A25962" w:rsidRPr="00E16277" w:rsidRDefault="00A25962" w:rsidP="000301D3">
            <w:pPr>
              <w:spacing w:after="0" w:line="240" w:lineRule="auto"/>
              <w:jc w:val="center"/>
              <w:rPr>
                <w:rFonts w:ascii="Arial Narrow" w:hAnsi="Arial Narrow"/>
                <w:b/>
              </w:rPr>
            </w:pPr>
            <w:r w:rsidRPr="00E16277">
              <w:rPr>
                <w:rFonts w:ascii="Arial Narrow" w:hAnsi="Arial Narrow"/>
                <w:b/>
              </w:rPr>
              <w:t>1</w:t>
            </w:r>
            <w:r>
              <w:rPr>
                <w:rFonts w:ascii="Arial Narrow" w:hAnsi="Arial Narrow"/>
                <w:b/>
              </w:rPr>
              <w:t>4</w:t>
            </w:r>
          </w:p>
        </w:tc>
        <w:tc>
          <w:tcPr>
            <w:tcW w:w="1498" w:type="dxa"/>
            <w:tcBorders>
              <w:left w:val="single" w:sz="12" w:space="0" w:color="auto"/>
            </w:tcBorders>
            <w:vAlign w:val="center"/>
          </w:tcPr>
          <w:p w14:paraId="08D3BA7D"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14:paraId="3DA6108C"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14:paraId="26D59B1C"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14:paraId="6BAC4940"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14:paraId="4B831269" w14:textId="4AC87923" w:rsidR="00A25962" w:rsidRPr="00A2043E" w:rsidRDefault="00A25962" w:rsidP="000301D3">
            <w:pPr>
              <w:spacing w:after="0" w:line="240" w:lineRule="auto"/>
              <w:jc w:val="center"/>
              <w:rPr>
                <w:rFonts w:ascii="Arial Narrow" w:hAnsi="Arial Narrow"/>
              </w:rPr>
            </w:pPr>
            <w:r w:rsidRPr="00E16277">
              <w:rPr>
                <w:rFonts w:ascii="Arial Narrow" w:hAnsi="Arial Narrow"/>
              </w:rPr>
              <w:sym w:font="Wingdings 2" w:char="F050"/>
            </w:r>
          </w:p>
        </w:tc>
        <w:tc>
          <w:tcPr>
            <w:tcW w:w="1498" w:type="dxa"/>
            <w:vAlign w:val="center"/>
          </w:tcPr>
          <w:p w14:paraId="7E663137"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rPr>
              <w:sym w:font="Wingdings 2" w:char="F050"/>
            </w:r>
          </w:p>
        </w:tc>
        <w:tc>
          <w:tcPr>
            <w:tcW w:w="1499" w:type="dxa"/>
            <w:tcBorders>
              <w:right w:val="single" w:sz="12" w:space="0" w:color="auto"/>
            </w:tcBorders>
            <w:vAlign w:val="center"/>
          </w:tcPr>
          <w:p w14:paraId="317AFA7A"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rPr>
              <w:sym w:font="Wingdings 2" w:char="F050"/>
            </w:r>
          </w:p>
        </w:tc>
        <w:tc>
          <w:tcPr>
            <w:tcW w:w="1499" w:type="dxa"/>
            <w:tcBorders>
              <w:right w:val="single" w:sz="12" w:space="0" w:color="auto"/>
            </w:tcBorders>
          </w:tcPr>
          <w:p w14:paraId="55E7D896" w14:textId="77777777" w:rsidR="00A25962" w:rsidRPr="00E16277" w:rsidRDefault="00A25962" w:rsidP="000301D3">
            <w:pPr>
              <w:spacing w:after="0" w:line="240" w:lineRule="auto"/>
              <w:jc w:val="center"/>
              <w:rPr>
                <w:rFonts w:ascii="Arial Narrow" w:hAnsi="Arial Narrow"/>
              </w:rPr>
            </w:pPr>
            <w:r w:rsidRPr="00886D76">
              <w:rPr>
                <w:rFonts w:ascii="Arial Narrow" w:hAnsi="Arial Narrow"/>
                <w:sz w:val="18"/>
                <w:szCs w:val="18"/>
              </w:rPr>
              <w:t>N/A</w:t>
            </w:r>
          </w:p>
        </w:tc>
      </w:tr>
      <w:tr w:rsidR="00A25962" w:rsidRPr="00E16277" w14:paraId="74308D6B" w14:textId="77777777" w:rsidTr="000301D3">
        <w:trPr>
          <w:trHeight w:val="397"/>
        </w:trPr>
        <w:tc>
          <w:tcPr>
            <w:tcW w:w="1560" w:type="dxa"/>
            <w:tcBorders>
              <w:left w:val="single" w:sz="12" w:space="0" w:color="auto"/>
              <w:right w:val="single" w:sz="12" w:space="0" w:color="auto"/>
            </w:tcBorders>
            <w:vAlign w:val="center"/>
          </w:tcPr>
          <w:p w14:paraId="7A944E4C" w14:textId="77777777" w:rsidR="00A25962" w:rsidRPr="00E16277" w:rsidRDefault="00A25962" w:rsidP="000301D3">
            <w:pPr>
              <w:spacing w:after="0" w:line="240" w:lineRule="auto"/>
              <w:jc w:val="center"/>
              <w:rPr>
                <w:rFonts w:ascii="Arial Narrow" w:hAnsi="Arial Narrow"/>
                <w:b/>
              </w:rPr>
            </w:pPr>
            <w:r w:rsidRPr="00E16277">
              <w:rPr>
                <w:rFonts w:ascii="Arial Narrow" w:hAnsi="Arial Narrow"/>
                <w:b/>
              </w:rPr>
              <w:t>1</w:t>
            </w:r>
            <w:r>
              <w:rPr>
                <w:rFonts w:ascii="Arial Narrow" w:hAnsi="Arial Narrow"/>
                <w:b/>
              </w:rPr>
              <w:t>5</w:t>
            </w:r>
          </w:p>
        </w:tc>
        <w:tc>
          <w:tcPr>
            <w:tcW w:w="1498" w:type="dxa"/>
            <w:tcBorders>
              <w:left w:val="single" w:sz="12" w:space="0" w:color="auto"/>
            </w:tcBorders>
            <w:vAlign w:val="center"/>
          </w:tcPr>
          <w:p w14:paraId="268CBDC9"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14:paraId="00598B62"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14:paraId="0644ED65"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14:paraId="1D53F76A"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14:paraId="39475671" w14:textId="77777777" w:rsidR="00A25962" w:rsidRPr="00A2043E" w:rsidRDefault="00A25962" w:rsidP="000301D3">
            <w:pPr>
              <w:spacing w:after="0" w:line="240" w:lineRule="auto"/>
              <w:jc w:val="center"/>
              <w:rPr>
                <w:rFonts w:ascii="Arial Narrow" w:hAnsi="Arial Narrow"/>
                <w:sz w:val="18"/>
              </w:rPr>
            </w:pPr>
            <w:r>
              <w:rPr>
                <w:rFonts w:ascii="Arial Narrow" w:hAnsi="Arial Narrow"/>
                <w:sz w:val="18"/>
                <w:szCs w:val="18"/>
              </w:rPr>
              <w:t>N/A</w:t>
            </w:r>
          </w:p>
        </w:tc>
        <w:tc>
          <w:tcPr>
            <w:tcW w:w="1498" w:type="dxa"/>
            <w:vAlign w:val="center"/>
          </w:tcPr>
          <w:p w14:paraId="00CBF1CD"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rPr>
              <w:sym w:font="Wingdings 2" w:char="F050"/>
            </w:r>
          </w:p>
        </w:tc>
        <w:tc>
          <w:tcPr>
            <w:tcW w:w="1499" w:type="dxa"/>
            <w:tcBorders>
              <w:right w:val="single" w:sz="12" w:space="0" w:color="auto"/>
            </w:tcBorders>
            <w:vAlign w:val="center"/>
          </w:tcPr>
          <w:p w14:paraId="2B07FEF2"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rPr>
              <w:sym w:font="Wingdings 2" w:char="F050"/>
            </w:r>
          </w:p>
        </w:tc>
        <w:tc>
          <w:tcPr>
            <w:tcW w:w="1499" w:type="dxa"/>
            <w:tcBorders>
              <w:right w:val="single" w:sz="12" w:space="0" w:color="auto"/>
            </w:tcBorders>
          </w:tcPr>
          <w:p w14:paraId="6CCC499A" w14:textId="77777777" w:rsidR="00A25962" w:rsidRPr="00E16277" w:rsidRDefault="00A25962" w:rsidP="000301D3">
            <w:pPr>
              <w:spacing w:after="0" w:line="240" w:lineRule="auto"/>
              <w:jc w:val="center"/>
              <w:rPr>
                <w:rFonts w:ascii="Arial Narrow" w:hAnsi="Arial Narrow"/>
              </w:rPr>
            </w:pPr>
            <w:r w:rsidRPr="00886D76">
              <w:rPr>
                <w:rFonts w:ascii="Arial Narrow" w:hAnsi="Arial Narrow"/>
                <w:sz w:val="18"/>
                <w:szCs w:val="18"/>
              </w:rPr>
              <w:t>N/A</w:t>
            </w:r>
          </w:p>
        </w:tc>
      </w:tr>
      <w:tr w:rsidR="00A25962" w:rsidRPr="00E16277" w14:paraId="0E0F2365" w14:textId="77777777" w:rsidTr="000301D3">
        <w:trPr>
          <w:trHeight w:val="397"/>
        </w:trPr>
        <w:tc>
          <w:tcPr>
            <w:tcW w:w="1560" w:type="dxa"/>
            <w:tcBorders>
              <w:left w:val="single" w:sz="12" w:space="0" w:color="auto"/>
              <w:right w:val="single" w:sz="12" w:space="0" w:color="auto"/>
            </w:tcBorders>
            <w:vAlign w:val="center"/>
          </w:tcPr>
          <w:p w14:paraId="05AE3CAF" w14:textId="77777777" w:rsidR="00A25962" w:rsidRPr="00E16277" w:rsidRDefault="00A25962" w:rsidP="000301D3">
            <w:pPr>
              <w:spacing w:after="0" w:line="240" w:lineRule="auto"/>
              <w:jc w:val="center"/>
              <w:rPr>
                <w:rFonts w:ascii="Arial Narrow" w:hAnsi="Arial Narrow"/>
                <w:b/>
              </w:rPr>
            </w:pPr>
            <w:r w:rsidRPr="00E16277">
              <w:rPr>
                <w:rFonts w:ascii="Arial Narrow" w:hAnsi="Arial Narrow"/>
                <w:b/>
              </w:rPr>
              <w:t>1</w:t>
            </w:r>
            <w:r>
              <w:rPr>
                <w:rFonts w:ascii="Arial Narrow" w:hAnsi="Arial Narrow"/>
                <w:b/>
              </w:rPr>
              <w:t>6</w:t>
            </w:r>
          </w:p>
        </w:tc>
        <w:tc>
          <w:tcPr>
            <w:tcW w:w="1498" w:type="dxa"/>
            <w:tcBorders>
              <w:left w:val="single" w:sz="12" w:space="0" w:color="auto"/>
            </w:tcBorders>
            <w:vAlign w:val="center"/>
          </w:tcPr>
          <w:p w14:paraId="085AADF7" w14:textId="07DC1F8A"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14:paraId="19D08C8A"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14:paraId="70AC3943"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14:paraId="1A1DA2D9"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14:paraId="7DFD1AB2" w14:textId="77777777" w:rsidR="00A25962" w:rsidRPr="00E16277" w:rsidRDefault="00A25962" w:rsidP="000301D3">
            <w:pPr>
              <w:spacing w:after="0" w:line="240" w:lineRule="auto"/>
              <w:jc w:val="center"/>
              <w:rPr>
                <w:rFonts w:ascii="Arial Narrow" w:hAnsi="Arial Narrow"/>
              </w:rPr>
            </w:pPr>
            <w:r w:rsidRPr="0014159A">
              <w:rPr>
                <w:rFonts w:ascii="Arial Narrow" w:hAnsi="Arial Narrow"/>
                <w:sz w:val="18"/>
                <w:szCs w:val="18"/>
              </w:rPr>
              <w:t>N/A</w:t>
            </w:r>
          </w:p>
        </w:tc>
        <w:tc>
          <w:tcPr>
            <w:tcW w:w="1498" w:type="dxa"/>
            <w:vAlign w:val="center"/>
          </w:tcPr>
          <w:p w14:paraId="71F623E2" w14:textId="22B2B339" w:rsidR="00A25962" w:rsidRPr="00E16277" w:rsidRDefault="00A25962" w:rsidP="000301D3">
            <w:pPr>
              <w:spacing w:after="0" w:line="240" w:lineRule="auto"/>
              <w:jc w:val="center"/>
              <w:rPr>
                <w:rFonts w:ascii="Arial Narrow" w:hAnsi="Arial Narrow"/>
              </w:rPr>
            </w:pPr>
            <w:r w:rsidRPr="00E16277">
              <w:rPr>
                <w:rFonts w:ascii="Arial Narrow" w:hAnsi="Arial Narrow"/>
              </w:rPr>
              <w:sym w:font="Wingdings 2" w:char="F050"/>
            </w:r>
          </w:p>
        </w:tc>
        <w:tc>
          <w:tcPr>
            <w:tcW w:w="1499" w:type="dxa"/>
            <w:tcBorders>
              <w:right w:val="single" w:sz="12" w:space="0" w:color="auto"/>
            </w:tcBorders>
            <w:vAlign w:val="center"/>
          </w:tcPr>
          <w:p w14:paraId="0ACB93A9" w14:textId="3C924D20" w:rsidR="00A25962" w:rsidRPr="00E16277" w:rsidRDefault="00A25962" w:rsidP="000301D3">
            <w:pPr>
              <w:spacing w:after="0" w:line="240" w:lineRule="auto"/>
              <w:jc w:val="center"/>
              <w:rPr>
                <w:rFonts w:ascii="Arial Narrow" w:hAnsi="Arial Narrow"/>
              </w:rPr>
            </w:pPr>
            <w:r w:rsidRPr="00E16277">
              <w:rPr>
                <w:rFonts w:ascii="Arial Narrow" w:hAnsi="Arial Narrow"/>
              </w:rPr>
              <w:sym w:font="Wingdings 2" w:char="F050"/>
            </w:r>
          </w:p>
        </w:tc>
        <w:tc>
          <w:tcPr>
            <w:tcW w:w="1499" w:type="dxa"/>
            <w:tcBorders>
              <w:right w:val="single" w:sz="12" w:space="0" w:color="auto"/>
            </w:tcBorders>
          </w:tcPr>
          <w:p w14:paraId="3EEC65EE" w14:textId="77777777" w:rsidR="00A25962" w:rsidRPr="00A2043E" w:rsidRDefault="00A25962" w:rsidP="000301D3">
            <w:pPr>
              <w:spacing w:after="0" w:line="240" w:lineRule="auto"/>
              <w:jc w:val="center"/>
              <w:rPr>
                <w:rFonts w:ascii="Arial Narrow" w:hAnsi="Arial Narrow"/>
              </w:rPr>
            </w:pPr>
            <w:r w:rsidRPr="00886D76">
              <w:rPr>
                <w:rFonts w:ascii="Arial Narrow" w:hAnsi="Arial Narrow"/>
                <w:sz w:val="18"/>
                <w:szCs w:val="18"/>
              </w:rPr>
              <w:t>N/A</w:t>
            </w:r>
          </w:p>
        </w:tc>
      </w:tr>
      <w:tr w:rsidR="00A25962" w:rsidRPr="003F4FCE" w14:paraId="5A0192E7" w14:textId="77777777" w:rsidTr="000301D3">
        <w:trPr>
          <w:trHeight w:val="397"/>
        </w:trPr>
        <w:tc>
          <w:tcPr>
            <w:tcW w:w="1560" w:type="dxa"/>
            <w:tcBorders>
              <w:left w:val="single" w:sz="12" w:space="0" w:color="auto"/>
              <w:right w:val="single" w:sz="12" w:space="0" w:color="auto"/>
            </w:tcBorders>
            <w:vAlign w:val="center"/>
          </w:tcPr>
          <w:p w14:paraId="75CD9B8D" w14:textId="77777777" w:rsidR="00A25962" w:rsidRPr="003F4FCE" w:rsidRDefault="00A25962" w:rsidP="000301D3">
            <w:pPr>
              <w:spacing w:after="0" w:line="240" w:lineRule="auto"/>
              <w:jc w:val="center"/>
              <w:rPr>
                <w:rFonts w:ascii="Arial Narrow" w:hAnsi="Arial Narrow"/>
                <w:b/>
              </w:rPr>
            </w:pPr>
            <w:r w:rsidRPr="003F4FCE">
              <w:rPr>
                <w:rFonts w:ascii="Arial Narrow" w:hAnsi="Arial Narrow"/>
                <w:b/>
              </w:rPr>
              <w:t>17</w:t>
            </w:r>
          </w:p>
        </w:tc>
        <w:tc>
          <w:tcPr>
            <w:tcW w:w="1498" w:type="dxa"/>
            <w:tcBorders>
              <w:left w:val="single" w:sz="12" w:space="0" w:color="auto"/>
            </w:tcBorders>
            <w:vAlign w:val="center"/>
          </w:tcPr>
          <w:p w14:paraId="6BD56376" w14:textId="53A5A009" w:rsidR="00A25962" w:rsidRPr="00A2043E" w:rsidRDefault="00A25962" w:rsidP="000301D3">
            <w:pPr>
              <w:spacing w:after="0" w:line="240" w:lineRule="auto"/>
              <w:jc w:val="center"/>
              <w:rPr>
                <w:rFonts w:ascii="Arial Narrow" w:hAnsi="Arial Narrow"/>
                <w:sz w:val="18"/>
              </w:rPr>
            </w:pPr>
            <w:r w:rsidRPr="003F4FCE">
              <w:rPr>
                <w:rFonts w:ascii="Arial Narrow" w:hAnsi="Arial Narrow"/>
                <w:sz w:val="18"/>
                <w:szCs w:val="18"/>
              </w:rPr>
              <w:t>N/A</w:t>
            </w:r>
          </w:p>
        </w:tc>
        <w:tc>
          <w:tcPr>
            <w:tcW w:w="1498" w:type="dxa"/>
            <w:vAlign w:val="center"/>
          </w:tcPr>
          <w:p w14:paraId="74558DA4" w14:textId="77777777" w:rsidR="00A25962" w:rsidRPr="003F4FCE" w:rsidRDefault="00A25962" w:rsidP="000301D3">
            <w:pPr>
              <w:spacing w:after="0" w:line="240" w:lineRule="auto"/>
              <w:jc w:val="center"/>
              <w:rPr>
                <w:rFonts w:ascii="Arial Narrow" w:hAnsi="Arial Narrow"/>
                <w:szCs w:val="28"/>
              </w:rPr>
            </w:pPr>
            <w:r w:rsidRPr="003F4FCE">
              <w:rPr>
                <w:rFonts w:ascii="Arial Narrow" w:hAnsi="Arial Narrow"/>
                <w:szCs w:val="28"/>
              </w:rPr>
              <w:sym w:font="Wingdings 2" w:char="F050"/>
            </w:r>
          </w:p>
        </w:tc>
        <w:tc>
          <w:tcPr>
            <w:tcW w:w="1499" w:type="dxa"/>
            <w:vAlign w:val="center"/>
          </w:tcPr>
          <w:p w14:paraId="1127BC73" w14:textId="77777777" w:rsidR="00A25962" w:rsidRPr="003F4FCE" w:rsidRDefault="00A25962" w:rsidP="000301D3">
            <w:pPr>
              <w:spacing w:after="0" w:line="240" w:lineRule="auto"/>
              <w:jc w:val="center"/>
              <w:rPr>
                <w:rFonts w:ascii="Arial Narrow" w:hAnsi="Arial Narrow"/>
                <w:szCs w:val="28"/>
              </w:rPr>
            </w:pPr>
            <w:r w:rsidRPr="003F4FCE">
              <w:rPr>
                <w:rFonts w:ascii="Arial Narrow" w:hAnsi="Arial Narrow"/>
                <w:szCs w:val="28"/>
              </w:rPr>
              <w:sym w:font="Wingdings 2" w:char="F050"/>
            </w:r>
          </w:p>
        </w:tc>
        <w:tc>
          <w:tcPr>
            <w:tcW w:w="1498" w:type="dxa"/>
            <w:vAlign w:val="center"/>
          </w:tcPr>
          <w:p w14:paraId="3C754299" w14:textId="77777777" w:rsidR="00A25962" w:rsidRPr="003F4FCE" w:rsidRDefault="00A25962" w:rsidP="000301D3">
            <w:pPr>
              <w:spacing w:after="0" w:line="240" w:lineRule="auto"/>
              <w:jc w:val="center"/>
              <w:rPr>
                <w:rFonts w:ascii="Arial Narrow" w:hAnsi="Arial Narrow"/>
                <w:szCs w:val="28"/>
              </w:rPr>
            </w:pPr>
            <w:r w:rsidRPr="003F4FCE">
              <w:rPr>
                <w:rFonts w:ascii="Arial Narrow" w:hAnsi="Arial Narrow"/>
                <w:szCs w:val="28"/>
              </w:rPr>
              <w:sym w:font="Wingdings 2" w:char="F050"/>
            </w:r>
          </w:p>
        </w:tc>
        <w:tc>
          <w:tcPr>
            <w:tcW w:w="1499" w:type="dxa"/>
            <w:vAlign w:val="center"/>
          </w:tcPr>
          <w:p w14:paraId="7988B19C" w14:textId="13F96A31" w:rsidR="00A25962" w:rsidRPr="00A2043E" w:rsidRDefault="00A25962" w:rsidP="000301D3">
            <w:pPr>
              <w:spacing w:after="0" w:line="240" w:lineRule="auto"/>
              <w:jc w:val="center"/>
              <w:rPr>
                <w:rFonts w:ascii="Arial Narrow" w:hAnsi="Arial Narrow"/>
                <w:sz w:val="18"/>
              </w:rPr>
            </w:pPr>
            <w:r w:rsidRPr="003F4FCE">
              <w:rPr>
                <w:rFonts w:ascii="Arial Narrow" w:hAnsi="Arial Narrow"/>
                <w:sz w:val="18"/>
                <w:szCs w:val="18"/>
              </w:rPr>
              <w:t>N/A</w:t>
            </w:r>
          </w:p>
        </w:tc>
        <w:tc>
          <w:tcPr>
            <w:tcW w:w="1498" w:type="dxa"/>
            <w:vAlign w:val="center"/>
          </w:tcPr>
          <w:p w14:paraId="0C129933" w14:textId="626B8302" w:rsidR="00A25962" w:rsidRPr="00A2043E" w:rsidRDefault="00A25962" w:rsidP="000301D3">
            <w:pPr>
              <w:spacing w:after="0" w:line="240" w:lineRule="auto"/>
              <w:jc w:val="center"/>
              <w:rPr>
                <w:rFonts w:ascii="Arial Narrow" w:hAnsi="Arial Narrow"/>
                <w:sz w:val="18"/>
              </w:rPr>
            </w:pPr>
            <w:r w:rsidRPr="003F4FCE">
              <w:rPr>
                <w:rFonts w:ascii="Arial Narrow" w:hAnsi="Arial Narrow"/>
                <w:sz w:val="18"/>
                <w:szCs w:val="18"/>
              </w:rPr>
              <w:t>N/A</w:t>
            </w:r>
          </w:p>
        </w:tc>
        <w:tc>
          <w:tcPr>
            <w:tcW w:w="1499" w:type="dxa"/>
            <w:tcBorders>
              <w:right w:val="single" w:sz="12" w:space="0" w:color="auto"/>
            </w:tcBorders>
            <w:vAlign w:val="center"/>
          </w:tcPr>
          <w:p w14:paraId="408BDFD1" w14:textId="518DE02F" w:rsidR="00A25962" w:rsidRPr="00A2043E" w:rsidRDefault="00A25962" w:rsidP="000301D3">
            <w:pPr>
              <w:spacing w:after="0" w:line="240" w:lineRule="auto"/>
              <w:jc w:val="center"/>
              <w:rPr>
                <w:rFonts w:ascii="Arial Narrow" w:hAnsi="Arial Narrow"/>
                <w:sz w:val="18"/>
              </w:rPr>
            </w:pPr>
            <w:r w:rsidRPr="003F4FCE">
              <w:rPr>
                <w:rFonts w:ascii="Arial Narrow" w:hAnsi="Arial Narrow" w:cs="Kartika"/>
                <w:sz w:val="18"/>
                <w:szCs w:val="18"/>
              </w:rPr>
              <w:t>N/A</w:t>
            </w:r>
          </w:p>
        </w:tc>
        <w:tc>
          <w:tcPr>
            <w:tcW w:w="1499" w:type="dxa"/>
            <w:tcBorders>
              <w:right w:val="single" w:sz="12" w:space="0" w:color="auto"/>
            </w:tcBorders>
          </w:tcPr>
          <w:p w14:paraId="511627CC" w14:textId="77777777" w:rsidR="00A25962" w:rsidRPr="00A2043E" w:rsidRDefault="00A25962" w:rsidP="000301D3">
            <w:pPr>
              <w:spacing w:after="0" w:line="240" w:lineRule="auto"/>
              <w:jc w:val="center"/>
              <w:rPr>
                <w:rFonts w:ascii="Arial Narrow" w:hAnsi="Arial Narrow"/>
                <w:sz w:val="18"/>
              </w:rPr>
            </w:pPr>
            <w:r w:rsidRPr="003F4FCE">
              <w:rPr>
                <w:rFonts w:ascii="Arial Narrow" w:hAnsi="Arial Narrow"/>
                <w:sz w:val="18"/>
                <w:szCs w:val="18"/>
              </w:rPr>
              <w:t>N/A</w:t>
            </w:r>
          </w:p>
        </w:tc>
      </w:tr>
      <w:tr w:rsidR="00A25962" w:rsidRPr="003F4FCE" w14:paraId="290D3173" w14:textId="77777777" w:rsidTr="000301D3">
        <w:trPr>
          <w:trHeight w:val="397"/>
        </w:trPr>
        <w:tc>
          <w:tcPr>
            <w:tcW w:w="1560" w:type="dxa"/>
            <w:tcBorders>
              <w:left w:val="single" w:sz="12" w:space="0" w:color="auto"/>
              <w:right w:val="single" w:sz="12" w:space="0" w:color="auto"/>
            </w:tcBorders>
            <w:vAlign w:val="center"/>
          </w:tcPr>
          <w:p w14:paraId="096D80F0" w14:textId="77777777" w:rsidR="00A25962" w:rsidRPr="003F4FCE" w:rsidRDefault="00A25962" w:rsidP="000301D3">
            <w:pPr>
              <w:spacing w:after="0" w:line="240" w:lineRule="auto"/>
              <w:jc w:val="center"/>
              <w:rPr>
                <w:rFonts w:ascii="Arial Narrow" w:hAnsi="Arial Narrow"/>
                <w:b/>
              </w:rPr>
            </w:pPr>
            <w:r w:rsidRPr="003F4FCE">
              <w:rPr>
                <w:rFonts w:ascii="Arial Narrow" w:hAnsi="Arial Narrow"/>
                <w:b/>
              </w:rPr>
              <w:t>18</w:t>
            </w:r>
          </w:p>
        </w:tc>
        <w:tc>
          <w:tcPr>
            <w:tcW w:w="1498" w:type="dxa"/>
            <w:tcBorders>
              <w:left w:val="single" w:sz="12" w:space="0" w:color="auto"/>
            </w:tcBorders>
            <w:vAlign w:val="center"/>
          </w:tcPr>
          <w:p w14:paraId="48F82292" w14:textId="77777777" w:rsidR="00A25962" w:rsidRPr="00A2043E" w:rsidRDefault="00A25962" w:rsidP="000301D3">
            <w:pPr>
              <w:spacing w:after="0" w:line="240" w:lineRule="auto"/>
              <w:jc w:val="center"/>
              <w:rPr>
                <w:rFonts w:ascii="Arial Narrow" w:hAnsi="Arial Narrow"/>
                <w:sz w:val="18"/>
              </w:rPr>
            </w:pPr>
            <w:r w:rsidRPr="003F4FCE">
              <w:rPr>
                <w:rFonts w:ascii="Arial Narrow" w:hAnsi="Arial Narrow"/>
              </w:rPr>
              <w:sym w:font="Wingdings 2" w:char="F050"/>
            </w:r>
          </w:p>
        </w:tc>
        <w:tc>
          <w:tcPr>
            <w:tcW w:w="1498" w:type="dxa"/>
            <w:vAlign w:val="center"/>
          </w:tcPr>
          <w:p w14:paraId="72531B65" w14:textId="77777777" w:rsidR="00A25962" w:rsidRPr="003F4FCE" w:rsidRDefault="00A25962" w:rsidP="000301D3">
            <w:pPr>
              <w:spacing w:after="0" w:line="240" w:lineRule="auto"/>
              <w:jc w:val="center"/>
              <w:rPr>
                <w:rFonts w:ascii="Arial Narrow" w:hAnsi="Arial Narrow"/>
                <w:szCs w:val="28"/>
              </w:rPr>
            </w:pPr>
            <w:r w:rsidRPr="003F4FCE">
              <w:rPr>
                <w:rFonts w:ascii="Arial Narrow" w:hAnsi="Arial Narrow"/>
              </w:rPr>
              <w:sym w:font="Wingdings 2" w:char="F050"/>
            </w:r>
          </w:p>
        </w:tc>
        <w:tc>
          <w:tcPr>
            <w:tcW w:w="1499" w:type="dxa"/>
            <w:vAlign w:val="center"/>
          </w:tcPr>
          <w:p w14:paraId="794EE228" w14:textId="77777777" w:rsidR="00A25962" w:rsidRPr="003F4FCE" w:rsidRDefault="00A25962" w:rsidP="000301D3">
            <w:pPr>
              <w:spacing w:after="0" w:line="240" w:lineRule="auto"/>
              <w:jc w:val="center"/>
              <w:rPr>
                <w:rFonts w:ascii="Arial Narrow" w:hAnsi="Arial Narrow"/>
                <w:szCs w:val="28"/>
              </w:rPr>
            </w:pPr>
            <w:r w:rsidRPr="003F4FCE">
              <w:rPr>
                <w:rFonts w:ascii="Arial Narrow" w:hAnsi="Arial Narrow"/>
              </w:rPr>
              <w:sym w:font="Wingdings 2" w:char="F050"/>
            </w:r>
          </w:p>
        </w:tc>
        <w:tc>
          <w:tcPr>
            <w:tcW w:w="1498" w:type="dxa"/>
            <w:vAlign w:val="center"/>
          </w:tcPr>
          <w:p w14:paraId="62470B18" w14:textId="77777777" w:rsidR="00A25962" w:rsidRPr="003F4FCE" w:rsidRDefault="00A25962" w:rsidP="000301D3">
            <w:pPr>
              <w:spacing w:after="0" w:line="240" w:lineRule="auto"/>
              <w:jc w:val="center"/>
              <w:rPr>
                <w:rFonts w:ascii="Arial Narrow" w:hAnsi="Arial Narrow"/>
                <w:szCs w:val="28"/>
              </w:rPr>
            </w:pPr>
            <w:r w:rsidRPr="003F4FCE">
              <w:rPr>
                <w:rFonts w:ascii="Arial Narrow" w:hAnsi="Arial Narrow"/>
              </w:rPr>
              <w:sym w:font="Wingdings 2" w:char="F050"/>
            </w:r>
          </w:p>
        </w:tc>
        <w:tc>
          <w:tcPr>
            <w:tcW w:w="1499" w:type="dxa"/>
            <w:vAlign w:val="center"/>
          </w:tcPr>
          <w:p w14:paraId="5A818D94" w14:textId="77777777" w:rsidR="00A25962" w:rsidRPr="003F4FCE" w:rsidRDefault="00A25962" w:rsidP="000301D3">
            <w:pPr>
              <w:spacing w:after="0" w:line="240" w:lineRule="auto"/>
              <w:jc w:val="center"/>
              <w:rPr>
                <w:rFonts w:ascii="Arial Narrow" w:hAnsi="Arial Narrow"/>
                <w:sz w:val="18"/>
                <w:szCs w:val="18"/>
              </w:rPr>
            </w:pPr>
            <w:r w:rsidRPr="003F4FCE">
              <w:rPr>
                <w:rFonts w:ascii="Arial Narrow" w:hAnsi="Arial Narrow"/>
                <w:sz w:val="18"/>
                <w:szCs w:val="18"/>
              </w:rPr>
              <w:t>N/A</w:t>
            </w:r>
          </w:p>
        </w:tc>
        <w:tc>
          <w:tcPr>
            <w:tcW w:w="1498" w:type="dxa"/>
            <w:vAlign w:val="center"/>
          </w:tcPr>
          <w:p w14:paraId="37215C41" w14:textId="77777777" w:rsidR="00A25962" w:rsidRPr="00A2043E" w:rsidRDefault="00A25962" w:rsidP="000301D3">
            <w:pPr>
              <w:spacing w:after="0" w:line="240" w:lineRule="auto"/>
              <w:jc w:val="center"/>
              <w:rPr>
                <w:rFonts w:ascii="Arial Narrow" w:hAnsi="Arial Narrow"/>
                <w:sz w:val="18"/>
              </w:rPr>
            </w:pPr>
            <w:r w:rsidRPr="003F4FCE">
              <w:rPr>
                <w:rFonts w:ascii="Arial Narrow" w:hAnsi="Arial Narrow"/>
              </w:rPr>
              <w:sym w:font="Wingdings 2" w:char="F050"/>
            </w:r>
          </w:p>
        </w:tc>
        <w:tc>
          <w:tcPr>
            <w:tcW w:w="1499" w:type="dxa"/>
            <w:tcBorders>
              <w:right w:val="single" w:sz="12" w:space="0" w:color="auto"/>
            </w:tcBorders>
            <w:vAlign w:val="center"/>
          </w:tcPr>
          <w:p w14:paraId="15DCFC43" w14:textId="77777777" w:rsidR="00A25962" w:rsidRPr="00A2043E" w:rsidRDefault="00A25962" w:rsidP="000301D3">
            <w:pPr>
              <w:spacing w:after="0" w:line="240" w:lineRule="auto"/>
              <w:jc w:val="center"/>
              <w:rPr>
                <w:rFonts w:ascii="Arial Narrow" w:hAnsi="Arial Narrow"/>
                <w:sz w:val="18"/>
              </w:rPr>
            </w:pPr>
            <w:r w:rsidRPr="003F4FCE">
              <w:rPr>
                <w:rFonts w:ascii="Arial Narrow" w:hAnsi="Arial Narrow"/>
              </w:rPr>
              <w:sym w:font="Wingdings 2" w:char="F050"/>
            </w:r>
          </w:p>
        </w:tc>
        <w:tc>
          <w:tcPr>
            <w:tcW w:w="1499" w:type="dxa"/>
            <w:tcBorders>
              <w:right w:val="single" w:sz="12" w:space="0" w:color="auto"/>
            </w:tcBorders>
          </w:tcPr>
          <w:p w14:paraId="59C6573A" w14:textId="77777777" w:rsidR="00A25962" w:rsidRPr="00A2043E" w:rsidRDefault="00A25962" w:rsidP="000301D3">
            <w:pPr>
              <w:spacing w:after="0" w:line="240" w:lineRule="auto"/>
              <w:jc w:val="center"/>
              <w:rPr>
                <w:rFonts w:ascii="Arial Narrow" w:hAnsi="Arial Narrow"/>
                <w:sz w:val="18"/>
              </w:rPr>
            </w:pPr>
            <w:r w:rsidRPr="003F4FCE">
              <w:rPr>
                <w:rFonts w:ascii="Arial Narrow" w:hAnsi="Arial Narrow"/>
                <w:sz w:val="18"/>
                <w:szCs w:val="18"/>
              </w:rPr>
              <w:t>N/A</w:t>
            </w:r>
          </w:p>
        </w:tc>
      </w:tr>
      <w:tr w:rsidR="00A25962" w:rsidRPr="00E16277" w14:paraId="1DB04AA2" w14:textId="77777777" w:rsidTr="000301D3">
        <w:trPr>
          <w:trHeight w:val="397"/>
        </w:trPr>
        <w:tc>
          <w:tcPr>
            <w:tcW w:w="1560" w:type="dxa"/>
            <w:tcBorders>
              <w:left w:val="single" w:sz="12" w:space="0" w:color="auto"/>
              <w:right w:val="single" w:sz="12" w:space="0" w:color="auto"/>
            </w:tcBorders>
            <w:vAlign w:val="center"/>
          </w:tcPr>
          <w:p w14:paraId="7A2ED966" w14:textId="77777777" w:rsidR="00A25962" w:rsidRPr="003F4FCE" w:rsidRDefault="00A25962" w:rsidP="000301D3">
            <w:pPr>
              <w:spacing w:after="0" w:line="240" w:lineRule="auto"/>
              <w:jc w:val="center"/>
              <w:rPr>
                <w:rFonts w:ascii="Arial Narrow" w:hAnsi="Arial Narrow"/>
                <w:b/>
              </w:rPr>
            </w:pPr>
            <w:r w:rsidRPr="003F4FCE">
              <w:rPr>
                <w:rFonts w:ascii="Arial Narrow" w:hAnsi="Arial Narrow"/>
                <w:b/>
              </w:rPr>
              <w:t>19</w:t>
            </w:r>
          </w:p>
        </w:tc>
        <w:tc>
          <w:tcPr>
            <w:tcW w:w="1498" w:type="dxa"/>
            <w:tcBorders>
              <w:left w:val="single" w:sz="12" w:space="0" w:color="auto"/>
            </w:tcBorders>
            <w:vAlign w:val="center"/>
          </w:tcPr>
          <w:p w14:paraId="725708FA" w14:textId="77777777" w:rsidR="00A25962" w:rsidRPr="00A2043E" w:rsidRDefault="00A25962" w:rsidP="000301D3">
            <w:pPr>
              <w:spacing w:after="0" w:line="240" w:lineRule="auto"/>
              <w:jc w:val="center"/>
              <w:rPr>
                <w:rFonts w:ascii="Arial Narrow" w:hAnsi="Arial Narrow"/>
                <w:sz w:val="18"/>
              </w:rPr>
            </w:pPr>
            <w:r w:rsidRPr="003F4FCE">
              <w:rPr>
                <w:rFonts w:ascii="Arial Narrow" w:hAnsi="Arial Narrow"/>
              </w:rPr>
              <w:sym w:font="Wingdings 2" w:char="F050"/>
            </w:r>
          </w:p>
        </w:tc>
        <w:tc>
          <w:tcPr>
            <w:tcW w:w="1498" w:type="dxa"/>
            <w:vAlign w:val="center"/>
          </w:tcPr>
          <w:p w14:paraId="10004075" w14:textId="77777777" w:rsidR="00A25962" w:rsidRPr="003F4FCE" w:rsidRDefault="00A25962" w:rsidP="000301D3">
            <w:pPr>
              <w:spacing w:after="0" w:line="240" w:lineRule="auto"/>
              <w:jc w:val="center"/>
              <w:rPr>
                <w:rFonts w:ascii="Arial Narrow" w:hAnsi="Arial Narrow"/>
                <w:szCs w:val="28"/>
              </w:rPr>
            </w:pPr>
            <w:r w:rsidRPr="003F4FCE">
              <w:rPr>
                <w:rFonts w:ascii="Arial Narrow" w:hAnsi="Arial Narrow"/>
              </w:rPr>
              <w:sym w:font="Wingdings 2" w:char="F050"/>
            </w:r>
          </w:p>
        </w:tc>
        <w:tc>
          <w:tcPr>
            <w:tcW w:w="1499" w:type="dxa"/>
            <w:vAlign w:val="center"/>
          </w:tcPr>
          <w:p w14:paraId="74B56FB0" w14:textId="77777777" w:rsidR="00A25962" w:rsidRPr="003F4FCE" w:rsidRDefault="00A25962" w:rsidP="000301D3">
            <w:pPr>
              <w:spacing w:after="0" w:line="240" w:lineRule="auto"/>
              <w:jc w:val="center"/>
              <w:rPr>
                <w:rFonts w:ascii="Arial Narrow" w:hAnsi="Arial Narrow"/>
                <w:szCs w:val="28"/>
              </w:rPr>
            </w:pPr>
            <w:r w:rsidRPr="003F4FCE">
              <w:rPr>
                <w:rFonts w:ascii="Arial Narrow" w:hAnsi="Arial Narrow"/>
              </w:rPr>
              <w:sym w:font="Wingdings 2" w:char="F050"/>
            </w:r>
          </w:p>
        </w:tc>
        <w:tc>
          <w:tcPr>
            <w:tcW w:w="1498" w:type="dxa"/>
            <w:vAlign w:val="center"/>
          </w:tcPr>
          <w:p w14:paraId="6F8AB310" w14:textId="77777777" w:rsidR="00A25962" w:rsidRPr="003F4FCE" w:rsidRDefault="00A25962" w:rsidP="000301D3">
            <w:pPr>
              <w:spacing w:after="0" w:line="240" w:lineRule="auto"/>
              <w:jc w:val="center"/>
              <w:rPr>
                <w:rFonts w:ascii="Arial Narrow" w:hAnsi="Arial Narrow"/>
                <w:szCs w:val="28"/>
              </w:rPr>
            </w:pPr>
            <w:r w:rsidRPr="003F4FCE">
              <w:rPr>
                <w:rFonts w:ascii="Arial Narrow" w:hAnsi="Arial Narrow"/>
              </w:rPr>
              <w:sym w:font="Wingdings 2" w:char="F050"/>
            </w:r>
          </w:p>
        </w:tc>
        <w:tc>
          <w:tcPr>
            <w:tcW w:w="1499" w:type="dxa"/>
            <w:vAlign w:val="center"/>
          </w:tcPr>
          <w:p w14:paraId="37045DE1" w14:textId="77777777" w:rsidR="00A25962" w:rsidRPr="00A2043E" w:rsidRDefault="00A25962" w:rsidP="000301D3">
            <w:pPr>
              <w:spacing w:after="0" w:line="240" w:lineRule="auto"/>
              <w:jc w:val="center"/>
              <w:rPr>
                <w:rFonts w:ascii="Arial Narrow" w:hAnsi="Arial Narrow"/>
                <w:sz w:val="18"/>
              </w:rPr>
            </w:pPr>
            <w:r w:rsidRPr="003F4FCE">
              <w:rPr>
                <w:rFonts w:ascii="Arial Narrow" w:hAnsi="Arial Narrow"/>
                <w:sz w:val="18"/>
                <w:szCs w:val="18"/>
              </w:rPr>
              <w:t>N/A</w:t>
            </w:r>
          </w:p>
        </w:tc>
        <w:tc>
          <w:tcPr>
            <w:tcW w:w="1498" w:type="dxa"/>
            <w:vAlign w:val="center"/>
          </w:tcPr>
          <w:p w14:paraId="3D925E53" w14:textId="77777777" w:rsidR="00A25962" w:rsidRPr="00A2043E" w:rsidRDefault="00A25962" w:rsidP="000301D3">
            <w:pPr>
              <w:spacing w:after="0" w:line="240" w:lineRule="auto"/>
              <w:jc w:val="center"/>
              <w:rPr>
                <w:rFonts w:ascii="Arial Narrow" w:hAnsi="Arial Narrow"/>
                <w:sz w:val="18"/>
              </w:rPr>
            </w:pPr>
            <w:r w:rsidRPr="003F4FCE">
              <w:rPr>
                <w:rFonts w:ascii="Arial Narrow" w:hAnsi="Arial Narrow"/>
              </w:rPr>
              <w:sym w:font="Wingdings 2" w:char="F050"/>
            </w:r>
          </w:p>
        </w:tc>
        <w:tc>
          <w:tcPr>
            <w:tcW w:w="1499" w:type="dxa"/>
            <w:tcBorders>
              <w:right w:val="single" w:sz="12" w:space="0" w:color="auto"/>
            </w:tcBorders>
            <w:vAlign w:val="center"/>
          </w:tcPr>
          <w:p w14:paraId="33396AF9" w14:textId="77777777" w:rsidR="00A25962" w:rsidRPr="00A2043E" w:rsidRDefault="00A25962" w:rsidP="000301D3">
            <w:pPr>
              <w:spacing w:after="0" w:line="240" w:lineRule="auto"/>
              <w:jc w:val="center"/>
              <w:rPr>
                <w:rFonts w:ascii="Arial Narrow" w:hAnsi="Arial Narrow"/>
                <w:sz w:val="18"/>
              </w:rPr>
            </w:pPr>
            <w:r w:rsidRPr="003F4FCE">
              <w:rPr>
                <w:rFonts w:ascii="Arial Narrow" w:hAnsi="Arial Narrow"/>
              </w:rPr>
              <w:sym w:font="Wingdings 2" w:char="F050"/>
            </w:r>
          </w:p>
        </w:tc>
        <w:tc>
          <w:tcPr>
            <w:tcW w:w="1499" w:type="dxa"/>
            <w:tcBorders>
              <w:right w:val="single" w:sz="12" w:space="0" w:color="auto"/>
            </w:tcBorders>
          </w:tcPr>
          <w:p w14:paraId="3CC99D9C" w14:textId="77777777" w:rsidR="00A25962" w:rsidRPr="00A2043E" w:rsidRDefault="00A25962" w:rsidP="000301D3">
            <w:pPr>
              <w:spacing w:after="0" w:line="240" w:lineRule="auto"/>
              <w:jc w:val="center"/>
              <w:rPr>
                <w:rFonts w:ascii="Arial Narrow" w:hAnsi="Arial Narrow"/>
                <w:sz w:val="18"/>
              </w:rPr>
            </w:pPr>
            <w:r w:rsidRPr="003F4FCE">
              <w:rPr>
                <w:rFonts w:ascii="Arial Narrow" w:hAnsi="Arial Narrow"/>
                <w:sz w:val="18"/>
                <w:szCs w:val="18"/>
              </w:rPr>
              <w:t>N/A</w:t>
            </w:r>
          </w:p>
        </w:tc>
      </w:tr>
      <w:tr w:rsidR="00A25962" w:rsidRPr="00E16277" w14:paraId="0F20C60B" w14:textId="77777777" w:rsidTr="000301D3">
        <w:trPr>
          <w:trHeight w:val="397"/>
        </w:trPr>
        <w:tc>
          <w:tcPr>
            <w:tcW w:w="1560" w:type="dxa"/>
            <w:tcBorders>
              <w:left w:val="single" w:sz="12" w:space="0" w:color="auto"/>
              <w:right w:val="single" w:sz="12" w:space="0" w:color="auto"/>
            </w:tcBorders>
            <w:vAlign w:val="center"/>
          </w:tcPr>
          <w:p w14:paraId="0F2BDDFB" w14:textId="77777777" w:rsidR="00A25962" w:rsidRPr="00E16277" w:rsidRDefault="00A25962" w:rsidP="000301D3">
            <w:pPr>
              <w:spacing w:after="0" w:line="240" w:lineRule="auto"/>
              <w:jc w:val="center"/>
              <w:rPr>
                <w:rFonts w:ascii="Arial Narrow" w:hAnsi="Arial Narrow"/>
                <w:b/>
              </w:rPr>
            </w:pPr>
            <w:r>
              <w:rPr>
                <w:rFonts w:ascii="Arial Narrow" w:hAnsi="Arial Narrow"/>
                <w:b/>
              </w:rPr>
              <w:t>20</w:t>
            </w:r>
          </w:p>
        </w:tc>
        <w:tc>
          <w:tcPr>
            <w:tcW w:w="1498" w:type="dxa"/>
            <w:tcBorders>
              <w:left w:val="single" w:sz="12" w:space="0" w:color="auto"/>
            </w:tcBorders>
            <w:vAlign w:val="center"/>
          </w:tcPr>
          <w:p w14:paraId="20EF9158" w14:textId="77777777" w:rsidR="00A25962" w:rsidRPr="00A2043E" w:rsidRDefault="00A25962" w:rsidP="000301D3">
            <w:pPr>
              <w:spacing w:after="0" w:line="240" w:lineRule="auto"/>
              <w:jc w:val="center"/>
              <w:rPr>
                <w:rFonts w:ascii="Arial Narrow" w:hAnsi="Arial Narrow"/>
              </w:rPr>
            </w:pPr>
            <w:r w:rsidRPr="00E16277">
              <w:rPr>
                <w:rFonts w:ascii="Arial Narrow" w:hAnsi="Arial Narrow" w:cs="Kartika"/>
                <w:sz w:val="18"/>
                <w:szCs w:val="18"/>
              </w:rPr>
              <w:t>N/A</w:t>
            </w:r>
          </w:p>
        </w:tc>
        <w:tc>
          <w:tcPr>
            <w:tcW w:w="1498" w:type="dxa"/>
            <w:vAlign w:val="center"/>
          </w:tcPr>
          <w:p w14:paraId="21A7A86C" w14:textId="4ADE3999"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14:paraId="37F50DB4" w14:textId="4A548A35"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14:paraId="4F1B7D65" w14:textId="2846F51D"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14:paraId="6CA65EB6" w14:textId="77777777" w:rsidR="00A25962" w:rsidRPr="00A2043E" w:rsidRDefault="00A25962" w:rsidP="000301D3">
            <w:pPr>
              <w:spacing w:after="0" w:line="240" w:lineRule="auto"/>
              <w:jc w:val="center"/>
              <w:rPr>
                <w:rFonts w:ascii="Arial Narrow" w:hAnsi="Arial Narrow"/>
              </w:rPr>
            </w:pPr>
            <w:r w:rsidRPr="00E16277">
              <w:rPr>
                <w:rFonts w:ascii="Arial Narrow" w:hAnsi="Arial Narrow"/>
                <w:sz w:val="18"/>
                <w:szCs w:val="18"/>
              </w:rPr>
              <w:t>N/A</w:t>
            </w:r>
          </w:p>
        </w:tc>
        <w:tc>
          <w:tcPr>
            <w:tcW w:w="1498" w:type="dxa"/>
            <w:vAlign w:val="center"/>
          </w:tcPr>
          <w:p w14:paraId="458C4FD9"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cs="Kartika"/>
                <w:sz w:val="18"/>
                <w:szCs w:val="18"/>
              </w:rPr>
              <w:t>N/A</w:t>
            </w:r>
          </w:p>
        </w:tc>
        <w:tc>
          <w:tcPr>
            <w:tcW w:w="1499" w:type="dxa"/>
            <w:tcBorders>
              <w:right w:val="single" w:sz="12" w:space="0" w:color="auto"/>
            </w:tcBorders>
            <w:vAlign w:val="center"/>
          </w:tcPr>
          <w:p w14:paraId="32E008AE"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cs="Kartika"/>
                <w:sz w:val="18"/>
                <w:szCs w:val="18"/>
              </w:rPr>
              <w:t>N/A</w:t>
            </w:r>
          </w:p>
        </w:tc>
        <w:tc>
          <w:tcPr>
            <w:tcW w:w="1499" w:type="dxa"/>
            <w:tcBorders>
              <w:right w:val="single" w:sz="12" w:space="0" w:color="auto"/>
            </w:tcBorders>
          </w:tcPr>
          <w:p w14:paraId="57B9D4AD" w14:textId="4536158D" w:rsidR="00A25962" w:rsidRPr="00A2043E" w:rsidRDefault="00A25962" w:rsidP="000301D3">
            <w:pPr>
              <w:spacing w:after="0" w:line="240" w:lineRule="auto"/>
              <w:jc w:val="center"/>
              <w:rPr>
                <w:rFonts w:ascii="Arial Narrow" w:hAnsi="Arial Narrow"/>
                <w:sz w:val="18"/>
              </w:rPr>
            </w:pPr>
            <w:r w:rsidRPr="00886D76">
              <w:rPr>
                <w:rFonts w:ascii="Arial Narrow" w:hAnsi="Arial Narrow"/>
                <w:sz w:val="18"/>
                <w:szCs w:val="18"/>
              </w:rPr>
              <w:t>N/A</w:t>
            </w:r>
          </w:p>
        </w:tc>
      </w:tr>
      <w:tr w:rsidR="00A25962" w:rsidRPr="00E16277" w14:paraId="269B9B91" w14:textId="77777777" w:rsidTr="000301D3">
        <w:trPr>
          <w:trHeight w:val="397"/>
        </w:trPr>
        <w:tc>
          <w:tcPr>
            <w:tcW w:w="1560" w:type="dxa"/>
            <w:tcBorders>
              <w:left w:val="single" w:sz="12" w:space="0" w:color="auto"/>
              <w:right w:val="single" w:sz="12" w:space="0" w:color="auto"/>
            </w:tcBorders>
            <w:vAlign w:val="center"/>
          </w:tcPr>
          <w:p w14:paraId="775A5BA0" w14:textId="77777777" w:rsidR="00A25962" w:rsidRPr="00E16277" w:rsidRDefault="00A25962" w:rsidP="000301D3">
            <w:pPr>
              <w:spacing w:after="0" w:line="240" w:lineRule="auto"/>
              <w:jc w:val="center"/>
              <w:rPr>
                <w:rFonts w:ascii="Arial Narrow" w:hAnsi="Arial Narrow"/>
                <w:b/>
              </w:rPr>
            </w:pPr>
            <w:r>
              <w:rPr>
                <w:rFonts w:ascii="Arial Narrow" w:hAnsi="Arial Narrow"/>
                <w:b/>
              </w:rPr>
              <w:t>21</w:t>
            </w:r>
          </w:p>
        </w:tc>
        <w:tc>
          <w:tcPr>
            <w:tcW w:w="1498" w:type="dxa"/>
            <w:tcBorders>
              <w:left w:val="single" w:sz="12" w:space="0" w:color="auto"/>
            </w:tcBorders>
            <w:vAlign w:val="center"/>
          </w:tcPr>
          <w:p w14:paraId="6079FBD7"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14:paraId="42BF448B"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14:paraId="3EB54F61"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14:paraId="4CB30FA2"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14:paraId="0C6B9A10"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14:paraId="170213FC"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right w:val="single" w:sz="12" w:space="0" w:color="auto"/>
            </w:tcBorders>
            <w:vAlign w:val="center"/>
          </w:tcPr>
          <w:p w14:paraId="45C5588E"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right w:val="single" w:sz="12" w:space="0" w:color="auto"/>
            </w:tcBorders>
          </w:tcPr>
          <w:p w14:paraId="3EE3074B" w14:textId="77777777" w:rsidR="00A25962" w:rsidRPr="00E16277" w:rsidRDefault="00A25962" w:rsidP="000301D3">
            <w:pPr>
              <w:spacing w:after="0" w:line="240" w:lineRule="auto"/>
              <w:jc w:val="center"/>
              <w:rPr>
                <w:rFonts w:ascii="Arial Narrow" w:hAnsi="Arial Narrow"/>
                <w:szCs w:val="28"/>
              </w:rPr>
            </w:pPr>
            <w:r w:rsidRPr="00886D76">
              <w:rPr>
                <w:rFonts w:ascii="Arial Narrow" w:hAnsi="Arial Narrow"/>
                <w:sz w:val="18"/>
                <w:szCs w:val="18"/>
              </w:rPr>
              <w:t>N/A</w:t>
            </w:r>
          </w:p>
        </w:tc>
      </w:tr>
      <w:tr w:rsidR="00A25962" w:rsidRPr="00E16277" w14:paraId="0D05287C" w14:textId="77777777" w:rsidTr="000301D3">
        <w:trPr>
          <w:trHeight w:val="397"/>
        </w:trPr>
        <w:tc>
          <w:tcPr>
            <w:tcW w:w="1560" w:type="dxa"/>
            <w:tcBorders>
              <w:left w:val="single" w:sz="12" w:space="0" w:color="auto"/>
              <w:right w:val="single" w:sz="12" w:space="0" w:color="auto"/>
            </w:tcBorders>
            <w:vAlign w:val="center"/>
          </w:tcPr>
          <w:p w14:paraId="3AABE2EB" w14:textId="77777777" w:rsidR="00A25962" w:rsidRPr="00E16277" w:rsidRDefault="00A25962" w:rsidP="000301D3">
            <w:pPr>
              <w:spacing w:after="0" w:line="240" w:lineRule="auto"/>
              <w:jc w:val="center"/>
              <w:rPr>
                <w:rFonts w:ascii="Arial Narrow" w:hAnsi="Arial Narrow"/>
                <w:b/>
              </w:rPr>
            </w:pPr>
            <w:r>
              <w:rPr>
                <w:rFonts w:ascii="Arial Narrow" w:hAnsi="Arial Narrow"/>
                <w:b/>
              </w:rPr>
              <w:t>22</w:t>
            </w:r>
          </w:p>
        </w:tc>
        <w:tc>
          <w:tcPr>
            <w:tcW w:w="1498" w:type="dxa"/>
            <w:tcBorders>
              <w:left w:val="single" w:sz="12" w:space="0" w:color="auto"/>
            </w:tcBorders>
            <w:vAlign w:val="center"/>
          </w:tcPr>
          <w:p w14:paraId="6F2D11A8"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14:paraId="2F0B5464"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14:paraId="60B14BA1"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14:paraId="0CAF4E63"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14:paraId="3C5ED8D9" w14:textId="77777777" w:rsidR="00A25962" w:rsidRPr="0014159A" w:rsidRDefault="00A25962" w:rsidP="000301D3">
            <w:pPr>
              <w:spacing w:after="0" w:line="240" w:lineRule="auto"/>
              <w:jc w:val="center"/>
              <w:rPr>
                <w:rFonts w:ascii="Arial Narrow" w:hAnsi="Arial Narrow"/>
                <w:sz w:val="18"/>
                <w:szCs w:val="18"/>
              </w:rPr>
            </w:pPr>
            <w:r>
              <w:rPr>
                <w:rFonts w:ascii="Arial Narrow" w:hAnsi="Arial Narrow"/>
                <w:sz w:val="18"/>
                <w:szCs w:val="18"/>
              </w:rPr>
              <w:t>N/A</w:t>
            </w:r>
          </w:p>
        </w:tc>
        <w:tc>
          <w:tcPr>
            <w:tcW w:w="1498" w:type="dxa"/>
            <w:vAlign w:val="center"/>
          </w:tcPr>
          <w:p w14:paraId="1DB1CF1B"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right w:val="single" w:sz="12" w:space="0" w:color="auto"/>
            </w:tcBorders>
            <w:vAlign w:val="center"/>
          </w:tcPr>
          <w:p w14:paraId="49630338"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right w:val="single" w:sz="12" w:space="0" w:color="auto"/>
            </w:tcBorders>
          </w:tcPr>
          <w:p w14:paraId="767F4EF6" w14:textId="77777777" w:rsidR="00A25962" w:rsidRPr="00E16277" w:rsidRDefault="00A25962" w:rsidP="000301D3">
            <w:pPr>
              <w:spacing w:after="0" w:line="240" w:lineRule="auto"/>
              <w:jc w:val="center"/>
              <w:rPr>
                <w:rFonts w:ascii="Arial Narrow" w:hAnsi="Arial Narrow"/>
                <w:szCs w:val="28"/>
              </w:rPr>
            </w:pPr>
            <w:r w:rsidRPr="00886D76">
              <w:rPr>
                <w:rFonts w:ascii="Arial Narrow" w:hAnsi="Arial Narrow"/>
                <w:sz w:val="18"/>
                <w:szCs w:val="18"/>
              </w:rPr>
              <w:t>N/A</w:t>
            </w:r>
          </w:p>
        </w:tc>
      </w:tr>
      <w:tr w:rsidR="00A25962" w:rsidRPr="00E16277" w14:paraId="15AA1F71" w14:textId="77777777" w:rsidTr="000301D3">
        <w:trPr>
          <w:trHeight w:val="397"/>
        </w:trPr>
        <w:tc>
          <w:tcPr>
            <w:tcW w:w="1560" w:type="dxa"/>
            <w:tcBorders>
              <w:left w:val="single" w:sz="12" w:space="0" w:color="auto"/>
              <w:right w:val="single" w:sz="12" w:space="0" w:color="auto"/>
            </w:tcBorders>
            <w:vAlign w:val="center"/>
          </w:tcPr>
          <w:p w14:paraId="19EECCEE" w14:textId="77777777" w:rsidR="00A25962" w:rsidRPr="00E16277" w:rsidRDefault="00A25962" w:rsidP="000301D3">
            <w:pPr>
              <w:spacing w:after="0" w:line="240" w:lineRule="auto"/>
              <w:jc w:val="center"/>
              <w:rPr>
                <w:rFonts w:ascii="Arial Narrow" w:hAnsi="Arial Narrow"/>
                <w:b/>
              </w:rPr>
            </w:pPr>
            <w:r>
              <w:rPr>
                <w:rFonts w:ascii="Arial Narrow" w:hAnsi="Arial Narrow"/>
                <w:b/>
              </w:rPr>
              <w:t>23</w:t>
            </w:r>
          </w:p>
        </w:tc>
        <w:tc>
          <w:tcPr>
            <w:tcW w:w="1498" w:type="dxa"/>
            <w:tcBorders>
              <w:left w:val="single" w:sz="12" w:space="0" w:color="auto"/>
            </w:tcBorders>
            <w:vAlign w:val="center"/>
          </w:tcPr>
          <w:p w14:paraId="79387C8E"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14:paraId="070F5956"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14:paraId="72E2F48F"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14:paraId="07CCF442"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14:paraId="5CC34770"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cs="Kartika"/>
                <w:sz w:val="18"/>
                <w:szCs w:val="18"/>
              </w:rPr>
              <w:t>N/A</w:t>
            </w:r>
          </w:p>
        </w:tc>
        <w:tc>
          <w:tcPr>
            <w:tcW w:w="1498" w:type="dxa"/>
            <w:vAlign w:val="center"/>
          </w:tcPr>
          <w:p w14:paraId="4A988E1F"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right w:val="single" w:sz="12" w:space="0" w:color="auto"/>
            </w:tcBorders>
            <w:vAlign w:val="center"/>
          </w:tcPr>
          <w:p w14:paraId="59910D75" w14:textId="77777777" w:rsidR="00A25962" w:rsidRPr="00E16277" w:rsidRDefault="00A25962" w:rsidP="000301D3">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right w:val="single" w:sz="12" w:space="0" w:color="auto"/>
            </w:tcBorders>
          </w:tcPr>
          <w:p w14:paraId="2CBE254F" w14:textId="77777777" w:rsidR="00A25962" w:rsidRPr="00E16277" w:rsidRDefault="00A25962" w:rsidP="000301D3">
            <w:pPr>
              <w:spacing w:after="0" w:line="240" w:lineRule="auto"/>
              <w:jc w:val="center"/>
              <w:rPr>
                <w:rFonts w:ascii="Arial Narrow" w:hAnsi="Arial Narrow"/>
                <w:szCs w:val="28"/>
              </w:rPr>
            </w:pPr>
            <w:r w:rsidRPr="00886D76">
              <w:rPr>
                <w:rFonts w:ascii="Arial Narrow" w:hAnsi="Arial Narrow"/>
                <w:sz w:val="18"/>
                <w:szCs w:val="18"/>
              </w:rPr>
              <w:t>N/A</w:t>
            </w:r>
          </w:p>
        </w:tc>
      </w:tr>
      <w:tr w:rsidR="00A25962" w:rsidRPr="00E16277" w14:paraId="529A688A" w14:textId="77777777" w:rsidTr="00A2043E">
        <w:trPr>
          <w:trHeight w:val="397"/>
        </w:trPr>
        <w:tc>
          <w:tcPr>
            <w:tcW w:w="1560" w:type="dxa"/>
            <w:tcBorders>
              <w:left w:val="single" w:sz="12" w:space="0" w:color="auto"/>
              <w:right w:val="single" w:sz="12" w:space="0" w:color="auto"/>
            </w:tcBorders>
            <w:vAlign w:val="center"/>
          </w:tcPr>
          <w:p w14:paraId="3A85006D" w14:textId="46E5AF05" w:rsidR="00A25962" w:rsidRPr="00E16277" w:rsidRDefault="00A25962" w:rsidP="000301D3">
            <w:pPr>
              <w:spacing w:after="0" w:line="240" w:lineRule="auto"/>
              <w:jc w:val="center"/>
              <w:rPr>
                <w:rFonts w:ascii="Arial Narrow" w:hAnsi="Arial Narrow"/>
                <w:b/>
              </w:rPr>
            </w:pPr>
            <w:r>
              <w:rPr>
                <w:rFonts w:ascii="Arial Narrow" w:hAnsi="Arial Narrow"/>
                <w:b/>
              </w:rPr>
              <w:t>24</w:t>
            </w:r>
          </w:p>
        </w:tc>
        <w:tc>
          <w:tcPr>
            <w:tcW w:w="1498" w:type="dxa"/>
            <w:tcBorders>
              <w:left w:val="single" w:sz="12" w:space="0" w:color="auto"/>
            </w:tcBorders>
            <w:vAlign w:val="center"/>
          </w:tcPr>
          <w:p w14:paraId="1B6E2F4A" w14:textId="77777777" w:rsidR="00A25962" w:rsidRPr="00A2043E" w:rsidRDefault="00A25962" w:rsidP="000301D3">
            <w:pPr>
              <w:spacing w:after="0" w:line="240" w:lineRule="auto"/>
              <w:jc w:val="center"/>
              <w:rPr>
                <w:rFonts w:ascii="Arial Narrow" w:hAnsi="Arial Narrow"/>
                <w:sz w:val="18"/>
              </w:rPr>
            </w:pPr>
            <w:r w:rsidRPr="00C328C4">
              <w:rPr>
                <w:rFonts w:ascii="Arial Narrow" w:hAnsi="Arial Narrow"/>
                <w:sz w:val="18"/>
                <w:szCs w:val="18"/>
              </w:rPr>
              <w:t>N/A</w:t>
            </w:r>
          </w:p>
        </w:tc>
        <w:tc>
          <w:tcPr>
            <w:tcW w:w="1498" w:type="dxa"/>
            <w:vAlign w:val="center"/>
          </w:tcPr>
          <w:p w14:paraId="6D18ED9E" w14:textId="77777777" w:rsidR="00A25962" w:rsidRPr="00E16277" w:rsidRDefault="00A25962" w:rsidP="000301D3">
            <w:pPr>
              <w:spacing w:after="0" w:line="240" w:lineRule="auto"/>
              <w:jc w:val="center"/>
              <w:rPr>
                <w:rFonts w:ascii="Arial Narrow" w:hAnsi="Arial Narrow"/>
                <w:szCs w:val="28"/>
              </w:rPr>
            </w:pPr>
            <w:r w:rsidRPr="00886D76">
              <w:rPr>
                <w:rFonts w:ascii="Arial Narrow" w:hAnsi="Arial Narrow"/>
                <w:sz w:val="18"/>
                <w:szCs w:val="18"/>
              </w:rPr>
              <w:t>N/A</w:t>
            </w:r>
          </w:p>
        </w:tc>
        <w:tc>
          <w:tcPr>
            <w:tcW w:w="1499" w:type="dxa"/>
            <w:vAlign w:val="center"/>
          </w:tcPr>
          <w:p w14:paraId="7060A807" w14:textId="77777777" w:rsidR="00A25962" w:rsidRPr="00E16277" w:rsidRDefault="00A25962" w:rsidP="000301D3">
            <w:pPr>
              <w:spacing w:after="0" w:line="240" w:lineRule="auto"/>
              <w:jc w:val="center"/>
              <w:rPr>
                <w:rFonts w:ascii="Arial Narrow" w:hAnsi="Arial Narrow"/>
                <w:szCs w:val="28"/>
              </w:rPr>
            </w:pPr>
            <w:r w:rsidRPr="00886D76">
              <w:rPr>
                <w:rFonts w:ascii="Arial Narrow" w:hAnsi="Arial Narrow"/>
                <w:sz w:val="18"/>
                <w:szCs w:val="18"/>
              </w:rPr>
              <w:t>N/A</w:t>
            </w:r>
          </w:p>
        </w:tc>
        <w:tc>
          <w:tcPr>
            <w:tcW w:w="1498" w:type="dxa"/>
            <w:vAlign w:val="center"/>
          </w:tcPr>
          <w:p w14:paraId="471B0875" w14:textId="77777777" w:rsidR="00A25962" w:rsidRPr="00E16277" w:rsidRDefault="00A25962" w:rsidP="000301D3">
            <w:pPr>
              <w:spacing w:after="0" w:line="240" w:lineRule="auto"/>
              <w:jc w:val="center"/>
              <w:rPr>
                <w:rFonts w:ascii="Arial Narrow" w:hAnsi="Arial Narrow"/>
                <w:szCs w:val="28"/>
              </w:rPr>
            </w:pPr>
            <w:r w:rsidRPr="00886D76">
              <w:rPr>
                <w:rFonts w:ascii="Arial Narrow" w:hAnsi="Arial Narrow"/>
                <w:sz w:val="18"/>
                <w:szCs w:val="18"/>
              </w:rPr>
              <w:t>N/A</w:t>
            </w:r>
          </w:p>
        </w:tc>
        <w:tc>
          <w:tcPr>
            <w:tcW w:w="1499" w:type="dxa"/>
            <w:vAlign w:val="center"/>
          </w:tcPr>
          <w:p w14:paraId="73204A57" w14:textId="77777777" w:rsidR="00A25962" w:rsidRPr="00E16277" w:rsidRDefault="00A25962" w:rsidP="000301D3">
            <w:pPr>
              <w:spacing w:after="0" w:line="240" w:lineRule="auto"/>
              <w:jc w:val="center"/>
              <w:rPr>
                <w:rFonts w:ascii="Arial Narrow" w:hAnsi="Arial Narrow" w:cs="Kartika"/>
                <w:sz w:val="18"/>
                <w:szCs w:val="18"/>
              </w:rPr>
            </w:pPr>
            <w:r w:rsidRPr="00886D76">
              <w:rPr>
                <w:rFonts w:ascii="Arial Narrow" w:hAnsi="Arial Narrow"/>
                <w:sz w:val="18"/>
                <w:szCs w:val="18"/>
              </w:rPr>
              <w:t>N/A</w:t>
            </w:r>
          </w:p>
        </w:tc>
        <w:tc>
          <w:tcPr>
            <w:tcW w:w="1498" w:type="dxa"/>
            <w:vAlign w:val="center"/>
          </w:tcPr>
          <w:p w14:paraId="38D0E3A4" w14:textId="77777777" w:rsidR="00A25962" w:rsidRPr="00E16277" w:rsidRDefault="00A25962" w:rsidP="000301D3">
            <w:pPr>
              <w:spacing w:after="0" w:line="240" w:lineRule="auto"/>
              <w:jc w:val="center"/>
              <w:rPr>
                <w:rFonts w:ascii="Arial Narrow" w:hAnsi="Arial Narrow"/>
                <w:szCs w:val="28"/>
              </w:rPr>
            </w:pPr>
            <w:r w:rsidRPr="00886D76">
              <w:rPr>
                <w:rFonts w:ascii="Arial Narrow" w:hAnsi="Arial Narrow"/>
                <w:sz w:val="18"/>
                <w:szCs w:val="18"/>
              </w:rPr>
              <w:t>N/A</w:t>
            </w:r>
          </w:p>
        </w:tc>
        <w:tc>
          <w:tcPr>
            <w:tcW w:w="1499" w:type="dxa"/>
            <w:tcBorders>
              <w:right w:val="single" w:sz="12" w:space="0" w:color="auto"/>
            </w:tcBorders>
            <w:vAlign w:val="center"/>
          </w:tcPr>
          <w:p w14:paraId="40B9E3F8" w14:textId="77777777" w:rsidR="00A25962" w:rsidRPr="00E16277" w:rsidRDefault="00A25962" w:rsidP="000301D3">
            <w:pPr>
              <w:spacing w:after="0" w:line="240" w:lineRule="auto"/>
              <w:jc w:val="center"/>
              <w:rPr>
                <w:rFonts w:ascii="Arial Narrow" w:hAnsi="Arial Narrow"/>
                <w:szCs w:val="28"/>
              </w:rPr>
            </w:pPr>
            <w:r w:rsidRPr="00886D76">
              <w:rPr>
                <w:rFonts w:ascii="Arial Narrow" w:hAnsi="Arial Narrow"/>
                <w:sz w:val="18"/>
                <w:szCs w:val="18"/>
              </w:rPr>
              <w:t>N/A</w:t>
            </w:r>
          </w:p>
        </w:tc>
        <w:tc>
          <w:tcPr>
            <w:tcW w:w="1499" w:type="dxa"/>
            <w:tcBorders>
              <w:right w:val="single" w:sz="12" w:space="0" w:color="auto"/>
            </w:tcBorders>
          </w:tcPr>
          <w:p w14:paraId="366B6F52" w14:textId="77777777" w:rsidR="00A25962" w:rsidRPr="00E16277" w:rsidRDefault="00A25962" w:rsidP="000301D3">
            <w:pPr>
              <w:spacing w:after="0" w:line="240" w:lineRule="auto"/>
              <w:jc w:val="center"/>
              <w:rPr>
                <w:rFonts w:ascii="Arial Narrow" w:hAnsi="Arial Narrow"/>
                <w:szCs w:val="28"/>
              </w:rPr>
            </w:pPr>
            <w:r w:rsidRPr="00E16277">
              <w:rPr>
                <w:rFonts w:ascii="Arial Narrow" w:hAnsi="Arial Narrow"/>
                <w:szCs w:val="28"/>
              </w:rPr>
              <w:sym w:font="Wingdings 2" w:char="F050"/>
            </w:r>
          </w:p>
        </w:tc>
      </w:tr>
      <w:tr w:rsidR="00A25962" w:rsidRPr="00E16277" w14:paraId="197B68B8" w14:textId="77777777" w:rsidTr="000301D3">
        <w:trPr>
          <w:trHeight w:val="397"/>
        </w:trPr>
        <w:tc>
          <w:tcPr>
            <w:tcW w:w="1560" w:type="dxa"/>
            <w:tcBorders>
              <w:left w:val="single" w:sz="12" w:space="0" w:color="auto"/>
              <w:bottom w:val="single" w:sz="12" w:space="0" w:color="auto"/>
              <w:right w:val="single" w:sz="12" w:space="0" w:color="auto"/>
            </w:tcBorders>
            <w:vAlign w:val="center"/>
          </w:tcPr>
          <w:p w14:paraId="08A9687A" w14:textId="77777777" w:rsidR="00A25962" w:rsidRPr="00E16277" w:rsidRDefault="00A25962" w:rsidP="000301D3">
            <w:pPr>
              <w:spacing w:after="0" w:line="240" w:lineRule="auto"/>
              <w:jc w:val="center"/>
              <w:rPr>
                <w:rFonts w:ascii="Arial Narrow" w:hAnsi="Arial Narrow"/>
                <w:b/>
              </w:rPr>
            </w:pPr>
            <w:r>
              <w:rPr>
                <w:rFonts w:ascii="Arial Narrow" w:hAnsi="Arial Narrow"/>
                <w:b/>
              </w:rPr>
              <w:t>25</w:t>
            </w:r>
          </w:p>
        </w:tc>
        <w:tc>
          <w:tcPr>
            <w:tcW w:w="1498" w:type="dxa"/>
            <w:tcBorders>
              <w:left w:val="single" w:sz="12" w:space="0" w:color="auto"/>
              <w:bottom w:val="single" w:sz="12" w:space="0" w:color="auto"/>
            </w:tcBorders>
            <w:vAlign w:val="center"/>
          </w:tcPr>
          <w:p w14:paraId="6619CAD6" w14:textId="77777777" w:rsidR="00A25962" w:rsidRPr="00E16277" w:rsidRDefault="00A25962" w:rsidP="000301D3">
            <w:pPr>
              <w:spacing w:after="0" w:line="240" w:lineRule="auto"/>
              <w:jc w:val="center"/>
              <w:rPr>
                <w:rFonts w:ascii="Arial Narrow" w:hAnsi="Arial Narrow"/>
                <w:szCs w:val="28"/>
              </w:rPr>
            </w:pPr>
            <w:r w:rsidRPr="00886D76">
              <w:rPr>
                <w:rFonts w:ascii="Arial Narrow" w:hAnsi="Arial Narrow"/>
                <w:sz w:val="18"/>
                <w:szCs w:val="18"/>
              </w:rPr>
              <w:t>N/A</w:t>
            </w:r>
          </w:p>
        </w:tc>
        <w:tc>
          <w:tcPr>
            <w:tcW w:w="1498" w:type="dxa"/>
            <w:tcBorders>
              <w:bottom w:val="single" w:sz="12" w:space="0" w:color="auto"/>
            </w:tcBorders>
            <w:vAlign w:val="center"/>
          </w:tcPr>
          <w:p w14:paraId="06876EA1" w14:textId="77777777" w:rsidR="00A25962" w:rsidRPr="00E16277" w:rsidRDefault="00A25962" w:rsidP="000301D3">
            <w:pPr>
              <w:spacing w:after="0" w:line="240" w:lineRule="auto"/>
              <w:jc w:val="center"/>
              <w:rPr>
                <w:rFonts w:ascii="Arial Narrow" w:hAnsi="Arial Narrow"/>
                <w:szCs w:val="28"/>
              </w:rPr>
            </w:pPr>
            <w:r w:rsidRPr="00886D76">
              <w:rPr>
                <w:rFonts w:ascii="Arial Narrow" w:hAnsi="Arial Narrow"/>
                <w:sz w:val="18"/>
                <w:szCs w:val="18"/>
              </w:rPr>
              <w:t>N/A</w:t>
            </w:r>
          </w:p>
        </w:tc>
        <w:tc>
          <w:tcPr>
            <w:tcW w:w="1499" w:type="dxa"/>
            <w:tcBorders>
              <w:bottom w:val="single" w:sz="12" w:space="0" w:color="auto"/>
            </w:tcBorders>
            <w:vAlign w:val="center"/>
          </w:tcPr>
          <w:p w14:paraId="14ABC5C5" w14:textId="77777777" w:rsidR="00A25962" w:rsidRPr="00E16277" w:rsidRDefault="00A25962" w:rsidP="000301D3">
            <w:pPr>
              <w:spacing w:after="0" w:line="240" w:lineRule="auto"/>
              <w:jc w:val="center"/>
              <w:rPr>
                <w:rFonts w:ascii="Arial Narrow" w:hAnsi="Arial Narrow"/>
                <w:szCs w:val="28"/>
              </w:rPr>
            </w:pPr>
            <w:r w:rsidRPr="00886D76">
              <w:rPr>
                <w:rFonts w:ascii="Arial Narrow" w:hAnsi="Arial Narrow"/>
                <w:sz w:val="18"/>
                <w:szCs w:val="18"/>
              </w:rPr>
              <w:t>N/A</w:t>
            </w:r>
          </w:p>
        </w:tc>
        <w:tc>
          <w:tcPr>
            <w:tcW w:w="1498" w:type="dxa"/>
            <w:tcBorders>
              <w:bottom w:val="single" w:sz="12" w:space="0" w:color="auto"/>
            </w:tcBorders>
            <w:vAlign w:val="center"/>
          </w:tcPr>
          <w:p w14:paraId="1CCEE1A6" w14:textId="77777777" w:rsidR="00A25962" w:rsidRPr="00E16277" w:rsidRDefault="00A25962" w:rsidP="000301D3">
            <w:pPr>
              <w:spacing w:after="0" w:line="240" w:lineRule="auto"/>
              <w:jc w:val="center"/>
              <w:rPr>
                <w:rFonts w:ascii="Arial Narrow" w:hAnsi="Arial Narrow"/>
                <w:szCs w:val="28"/>
              </w:rPr>
            </w:pPr>
            <w:r w:rsidRPr="00886D76">
              <w:rPr>
                <w:rFonts w:ascii="Arial Narrow" w:hAnsi="Arial Narrow"/>
                <w:sz w:val="18"/>
                <w:szCs w:val="18"/>
              </w:rPr>
              <w:t>N/A</w:t>
            </w:r>
          </w:p>
        </w:tc>
        <w:tc>
          <w:tcPr>
            <w:tcW w:w="1499" w:type="dxa"/>
            <w:tcBorders>
              <w:bottom w:val="single" w:sz="12" w:space="0" w:color="auto"/>
            </w:tcBorders>
            <w:vAlign w:val="center"/>
          </w:tcPr>
          <w:p w14:paraId="47B350EE" w14:textId="77777777" w:rsidR="00A25962" w:rsidRPr="00E16277" w:rsidRDefault="00A25962" w:rsidP="000301D3">
            <w:pPr>
              <w:spacing w:after="0" w:line="240" w:lineRule="auto"/>
              <w:jc w:val="center"/>
              <w:rPr>
                <w:rFonts w:ascii="Arial Narrow" w:hAnsi="Arial Narrow" w:cs="Kartika"/>
                <w:sz w:val="18"/>
                <w:szCs w:val="18"/>
              </w:rPr>
            </w:pPr>
            <w:r w:rsidRPr="00886D76">
              <w:rPr>
                <w:rFonts w:ascii="Arial Narrow" w:hAnsi="Arial Narrow"/>
                <w:sz w:val="18"/>
                <w:szCs w:val="18"/>
              </w:rPr>
              <w:t>N/A</w:t>
            </w:r>
          </w:p>
        </w:tc>
        <w:tc>
          <w:tcPr>
            <w:tcW w:w="1498" w:type="dxa"/>
            <w:tcBorders>
              <w:bottom w:val="single" w:sz="12" w:space="0" w:color="auto"/>
            </w:tcBorders>
            <w:vAlign w:val="center"/>
          </w:tcPr>
          <w:p w14:paraId="45349A12" w14:textId="77777777" w:rsidR="00A25962" w:rsidRPr="00E16277" w:rsidRDefault="00A25962" w:rsidP="000301D3">
            <w:pPr>
              <w:spacing w:after="0" w:line="240" w:lineRule="auto"/>
              <w:jc w:val="center"/>
              <w:rPr>
                <w:rFonts w:ascii="Arial Narrow" w:hAnsi="Arial Narrow"/>
                <w:szCs w:val="28"/>
              </w:rPr>
            </w:pPr>
            <w:r w:rsidRPr="00886D76">
              <w:rPr>
                <w:rFonts w:ascii="Arial Narrow" w:hAnsi="Arial Narrow"/>
                <w:sz w:val="18"/>
                <w:szCs w:val="18"/>
              </w:rPr>
              <w:t>N/A</w:t>
            </w:r>
          </w:p>
        </w:tc>
        <w:tc>
          <w:tcPr>
            <w:tcW w:w="1499" w:type="dxa"/>
            <w:tcBorders>
              <w:bottom w:val="single" w:sz="12" w:space="0" w:color="auto"/>
              <w:right w:val="single" w:sz="12" w:space="0" w:color="auto"/>
            </w:tcBorders>
            <w:vAlign w:val="center"/>
          </w:tcPr>
          <w:p w14:paraId="0E0775B1" w14:textId="77777777" w:rsidR="00A25962" w:rsidRPr="00E16277" w:rsidRDefault="00A25962" w:rsidP="000301D3">
            <w:pPr>
              <w:spacing w:after="0" w:line="240" w:lineRule="auto"/>
              <w:jc w:val="center"/>
              <w:rPr>
                <w:rFonts w:ascii="Arial Narrow" w:hAnsi="Arial Narrow"/>
                <w:szCs w:val="28"/>
              </w:rPr>
            </w:pPr>
            <w:r w:rsidRPr="00886D76">
              <w:rPr>
                <w:rFonts w:ascii="Arial Narrow" w:hAnsi="Arial Narrow"/>
                <w:sz w:val="18"/>
                <w:szCs w:val="18"/>
              </w:rPr>
              <w:t>N/A</w:t>
            </w:r>
          </w:p>
        </w:tc>
        <w:tc>
          <w:tcPr>
            <w:tcW w:w="1499" w:type="dxa"/>
            <w:tcBorders>
              <w:bottom w:val="single" w:sz="12" w:space="0" w:color="auto"/>
              <w:right w:val="single" w:sz="12" w:space="0" w:color="auto"/>
            </w:tcBorders>
          </w:tcPr>
          <w:p w14:paraId="4F3AAFE9" w14:textId="77777777" w:rsidR="00A25962" w:rsidRPr="00E16277" w:rsidRDefault="00A25962" w:rsidP="000301D3">
            <w:pPr>
              <w:spacing w:after="0" w:line="240" w:lineRule="auto"/>
              <w:jc w:val="center"/>
              <w:rPr>
                <w:rFonts w:ascii="Arial Narrow" w:hAnsi="Arial Narrow"/>
                <w:szCs w:val="28"/>
              </w:rPr>
            </w:pPr>
            <w:r w:rsidRPr="00E16277">
              <w:rPr>
                <w:rFonts w:ascii="Arial Narrow" w:hAnsi="Arial Narrow"/>
                <w:szCs w:val="28"/>
              </w:rPr>
              <w:sym w:font="Wingdings 2" w:char="F050"/>
            </w:r>
          </w:p>
        </w:tc>
      </w:tr>
    </w:tbl>
    <w:p w14:paraId="2E6D23FA" w14:textId="77777777" w:rsidR="00DC5DBE" w:rsidRPr="00EA2DA3" w:rsidRDefault="00DC5DBE" w:rsidP="00DC5DBE">
      <w:pPr>
        <w:sectPr w:rsidR="00DC5DBE" w:rsidRPr="00EA2DA3" w:rsidSect="00C95712">
          <w:pgSz w:w="16838" w:h="11906" w:orient="landscape"/>
          <w:pgMar w:top="1440" w:right="1440" w:bottom="1440" w:left="1440" w:header="709" w:footer="499" w:gutter="0"/>
          <w:cols w:space="708"/>
          <w:docGrid w:linePitch="360"/>
        </w:sectPr>
      </w:pPr>
    </w:p>
    <w:p w14:paraId="2C09EC16" w14:textId="77777777" w:rsidR="00187DC1" w:rsidRDefault="00187DC1" w:rsidP="00327589">
      <w:pPr>
        <w:pStyle w:val="Heading1"/>
        <w:numPr>
          <w:ilvl w:val="0"/>
          <w:numId w:val="0"/>
        </w:numPr>
      </w:pPr>
      <w:bookmarkStart w:id="206" w:name="_Toc445886523"/>
      <w:bookmarkStart w:id="207" w:name="_Toc508963947"/>
      <w:r>
        <w:t xml:space="preserve">Appendix B: </w:t>
      </w:r>
      <w:r w:rsidR="00EC78EE">
        <w:t>Applying for an</w:t>
      </w:r>
      <w:r>
        <w:t xml:space="preserve"> individual exemption application</w:t>
      </w:r>
      <w:r w:rsidR="003F7DA2">
        <w:t xml:space="preserve"> (</w:t>
      </w:r>
      <w:r w:rsidR="007E44F6">
        <w:t xml:space="preserve">other than </w:t>
      </w:r>
      <w:r w:rsidR="003F7DA2">
        <w:t>PPA providers)</w:t>
      </w:r>
      <w:bookmarkEnd w:id="206"/>
      <w:bookmarkEnd w:id="207"/>
    </w:p>
    <w:p w14:paraId="13B2DFA9" w14:textId="77777777" w:rsidR="00187DC1" w:rsidRPr="003C3CE2" w:rsidRDefault="005A3348" w:rsidP="00327589">
      <w:pPr>
        <w:pStyle w:val="Heading4"/>
        <w:numPr>
          <w:ilvl w:val="0"/>
          <w:numId w:val="0"/>
        </w:numPr>
      </w:pPr>
      <w:r>
        <w:t xml:space="preserve">Part 1: </w:t>
      </w:r>
      <w:r w:rsidR="00187DC1" w:rsidRPr="003C3CE2">
        <w:t>General information requirements</w:t>
      </w:r>
    </w:p>
    <w:p w14:paraId="503B1DCD" w14:textId="77777777" w:rsidR="00187DC1" w:rsidRDefault="00187DC1" w:rsidP="00154E14">
      <w:r>
        <w:t>Please provide the following information in your application for an individual exemption:</w:t>
      </w:r>
    </w:p>
    <w:p w14:paraId="06F31F49" w14:textId="77777777" w:rsidR="00187DC1" w:rsidRDefault="00187DC1" w:rsidP="00A97E11">
      <w:pPr>
        <w:pStyle w:val="ListParagraph"/>
        <w:numPr>
          <w:ilvl w:val="0"/>
          <w:numId w:val="16"/>
        </w:numPr>
        <w:contextualSpacing w:val="0"/>
      </w:pPr>
      <w:r>
        <w:t>Your legal name. If you are a body corporate or community corporation, please indicate this.</w:t>
      </w:r>
    </w:p>
    <w:p w14:paraId="3803F6E2" w14:textId="77777777" w:rsidR="00187DC1" w:rsidRDefault="00187DC1" w:rsidP="00A97E11">
      <w:pPr>
        <w:pStyle w:val="ListParagraph"/>
        <w:numPr>
          <w:ilvl w:val="0"/>
          <w:numId w:val="16"/>
        </w:numPr>
        <w:contextualSpacing w:val="0"/>
      </w:pPr>
      <w:r>
        <w:t>Your trading name if different to your legal name.</w:t>
      </w:r>
    </w:p>
    <w:p w14:paraId="0B22FAE5" w14:textId="77777777" w:rsidR="00187DC1" w:rsidRDefault="00187DC1" w:rsidP="00A97E11">
      <w:pPr>
        <w:pStyle w:val="ListParagraph"/>
        <w:numPr>
          <w:ilvl w:val="0"/>
          <w:numId w:val="16"/>
        </w:numPr>
        <w:contextualSpacing w:val="0"/>
      </w:pPr>
      <w:r>
        <w:t>Australian Business Number (ABN) or Australian Company Number (ACN).</w:t>
      </w:r>
    </w:p>
    <w:p w14:paraId="57FFDEE8" w14:textId="77777777" w:rsidR="00187DC1" w:rsidRDefault="00187DC1" w:rsidP="00A97E11">
      <w:pPr>
        <w:pStyle w:val="ListParagraph"/>
        <w:numPr>
          <w:ilvl w:val="0"/>
          <w:numId w:val="16"/>
        </w:numPr>
        <w:contextualSpacing w:val="0"/>
      </w:pPr>
      <w:r>
        <w:t>Registered postal address for correspondence. We may verify this information with the Australian Securities and Investments Commission (ASIC) or other relevant agency.</w:t>
      </w:r>
    </w:p>
    <w:p w14:paraId="0E176192" w14:textId="77777777" w:rsidR="00187DC1" w:rsidRDefault="00187DC1" w:rsidP="00A97E11">
      <w:pPr>
        <w:pStyle w:val="ListParagraph"/>
        <w:numPr>
          <w:ilvl w:val="0"/>
          <w:numId w:val="16"/>
        </w:numPr>
        <w:contextualSpacing w:val="0"/>
      </w:pPr>
      <w:r>
        <w:t>Nominated contact person, including their position in the organisation and contact details.</w:t>
      </w:r>
    </w:p>
    <w:p w14:paraId="3206D81C" w14:textId="77777777" w:rsidR="00187DC1" w:rsidRDefault="00187DC1" w:rsidP="00A97E11">
      <w:pPr>
        <w:pStyle w:val="ListParagraph"/>
        <w:numPr>
          <w:ilvl w:val="0"/>
          <w:numId w:val="16"/>
        </w:numPr>
        <w:contextualSpacing w:val="0"/>
      </w:pPr>
      <w:r>
        <w:t>Why you are seeking an individual exemption, and why you believe that an exemption (rather than a retailer authorisation) is appropriate to your circumstances.</w:t>
      </w:r>
    </w:p>
    <w:p w14:paraId="4B9D7B3E" w14:textId="77777777" w:rsidR="00187DC1" w:rsidRDefault="00187DC1" w:rsidP="00A97E11">
      <w:pPr>
        <w:pStyle w:val="ListParagraph"/>
        <w:numPr>
          <w:ilvl w:val="0"/>
          <w:numId w:val="16"/>
        </w:numPr>
        <w:contextualSpacing w:val="0"/>
      </w:pPr>
      <w:r>
        <w:t xml:space="preserve">The address of the site at which you intend to sell energy, including a map of the site and a brief description of this site and its current and future use/s. </w:t>
      </w:r>
    </w:p>
    <w:p w14:paraId="738DE7E4" w14:textId="77777777" w:rsidR="00187DC1" w:rsidRDefault="00187DC1" w:rsidP="00A97E11">
      <w:pPr>
        <w:pStyle w:val="ListParagraph"/>
        <w:numPr>
          <w:ilvl w:val="0"/>
          <w:numId w:val="16"/>
        </w:numPr>
        <w:contextualSpacing w:val="0"/>
      </w:pPr>
      <w:r>
        <w:t>The primary activity of your business (for example, managing a shopping centre).</w:t>
      </w:r>
    </w:p>
    <w:p w14:paraId="26060506" w14:textId="77777777" w:rsidR="00187DC1" w:rsidRDefault="00187DC1" w:rsidP="00A97E11">
      <w:pPr>
        <w:pStyle w:val="ListParagraph"/>
        <w:numPr>
          <w:ilvl w:val="0"/>
          <w:numId w:val="16"/>
        </w:numPr>
        <w:contextualSpacing w:val="0"/>
      </w:pPr>
      <w:r>
        <w:t xml:space="preserve">The form of energy for which you are seeking the individual exemption (electricity or gas). For electricity, please state whether the network you propose to sell is directly or indirectly connected to the main grid or is (or will be) an off-grid network. </w:t>
      </w:r>
    </w:p>
    <w:p w14:paraId="4FFB7FEF" w14:textId="77777777" w:rsidR="00187DC1" w:rsidRDefault="00187DC1" w:rsidP="00A97E11">
      <w:pPr>
        <w:pStyle w:val="ListParagraph"/>
        <w:numPr>
          <w:ilvl w:val="0"/>
          <w:numId w:val="16"/>
        </w:numPr>
        <w:contextualSpacing w:val="0"/>
      </w:pPr>
      <w:r>
        <w:t>Are you establishing, or have you established, energy supply in an area where there are no other viable energy supply arrangements available</w:t>
      </w:r>
      <w:r w:rsidR="00BF189B">
        <w:t>?</w:t>
      </w:r>
      <w:r w:rsidR="002436CD">
        <w:t xml:space="preserve"> </w:t>
      </w:r>
    </w:p>
    <w:p w14:paraId="7E67DBF9" w14:textId="77777777" w:rsidR="00187DC1" w:rsidRDefault="00187DC1" w:rsidP="00A97E11">
      <w:pPr>
        <w:pStyle w:val="ListParagraph"/>
        <w:numPr>
          <w:ilvl w:val="0"/>
          <w:numId w:val="16"/>
        </w:numPr>
        <w:contextualSpacing w:val="0"/>
      </w:pPr>
      <w:r>
        <w:t xml:space="preserve">The date from which you intend to commence selling energy. </w:t>
      </w:r>
    </w:p>
    <w:p w14:paraId="716ECBBA" w14:textId="77777777" w:rsidR="00187DC1" w:rsidRDefault="00187DC1" w:rsidP="00A97E11">
      <w:pPr>
        <w:pStyle w:val="ListParagraph"/>
        <w:numPr>
          <w:ilvl w:val="0"/>
          <w:numId w:val="16"/>
        </w:numPr>
        <w:contextualSpacing w:val="0"/>
      </w:pPr>
      <w:r>
        <w:t>Mailing addresses for premises at the site (where applicable). We may use this information to ensure that potential customers are able to participate in our consultation process.</w:t>
      </w:r>
    </w:p>
    <w:p w14:paraId="428A8A8B" w14:textId="77777777" w:rsidR="00187DC1" w:rsidRDefault="00187DC1" w:rsidP="00A97E11">
      <w:pPr>
        <w:pStyle w:val="ListParagraph"/>
        <w:numPr>
          <w:ilvl w:val="0"/>
          <w:numId w:val="16"/>
        </w:numPr>
        <w:contextualSpacing w:val="0"/>
      </w:pPr>
      <w:r>
        <w:t xml:space="preserve">Details of any experience in selling energy, for example:  </w:t>
      </w:r>
    </w:p>
    <w:p w14:paraId="57F1C698" w14:textId="77777777" w:rsidR="00187DC1" w:rsidRDefault="00187DC1" w:rsidP="00A97E11">
      <w:pPr>
        <w:pStyle w:val="ListParagraph"/>
        <w:numPr>
          <w:ilvl w:val="1"/>
          <w:numId w:val="17"/>
        </w:numPr>
        <w:contextualSpacing w:val="0"/>
      </w:pPr>
      <w:r>
        <w:t>date/s and location/s of previous operations</w:t>
      </w:r>
    </w:p>
    <w:p w14:paraId="715C95B9" w14:textId="77777777" w:rsidR="00187DC1" w:rsidRDefault="00187DC1" w:rsidP="00A97E11">
      <w:pPr>
        <w:pStyle w:val="ListParagraph"/>
        <w:numPr>
          <w:ilvl w:val="1"/>
          <w:numId w:val="17"/>
        </w:numPr>
        <w:contextualSpacing w:val="0"/>
      </w:pPr>
      <w:r>
        <w:t>form/s of energy sold</w:t>
      </w:r>
    </w:p>
    <w:p w14:paraId="07E8D89D" w14:textId="77777777" w:rsidR="00187DC1" w:rsidRDefault="00187DC1" w:rsidP="00A97E11">
      <w:pPr>
        <w:pStyle w:val="ListParagraph"/>
        <w:numPr>
          <w:ilvl w:val="1"/>
          <w:numId w:val="17"/>
        </w:numPr>
        <w:contextualSpacing w:val="0"/>
      </w:pPr>
      <w:r>
        <w:t>scale of operations (that is, the number, size and type of customers)</w:t>
      </w:r>
    </w:p>
    <w:p w14:paraId="0ACAC300" w14:textId="77777777" w:rsidR="00187DC1" w:rsidRDefault="00187DC1" w:rsidP="00A97E11">
      <w:pPr>
        <w:pStyle w:val="ListParagraph"/>
        <w:numPr>
          <w:ilvl w:val="1"/>
          <w:numId w:val="17"/>
        </w:numPr>
        <w:contextualSpacing w:val="0"/>
      </w:pPr>
      <w:r>
        <w:t>an explanation of which activities will be conducted in-house and which will be contracted out to third parties.</w:t>
      </w:r>
    </w:p>
    <w:p w14:paraId="1FA780D0" w14:textId="77777777" w:rsidR="00187DC1" w:rsidRDefault="00187DC1" w:rsidP="00A97E11">
      <w:pPr>
        <w:pStyle w:val="ListParagraph"/>
        <w:numPr>
          <w:ilvl w:val="0"/>
          <w:numId w:val="16"/>
        </w:numPr>
        <w:contextualSpacing w:val="0"/>
      </w:pPr>
      <w:r>
        <w:t>Whether you currently hold, or have previously held or been subject to, an energy selling exemption or a retail licence (retailer authorisation) in any state or territory. If so, please provide details.</w:t>
      </w:r>
    </w:p>
    <w:p w14:paraId="78056CAC" w14:textId="77777777" w:rsidR="00187DC1" w:rsidRDefault="00187DC1" w:rsidP="00A97E11">
      <w:pPr>
        <w:pStyle w:val="ListParagraph"/>
        <w:numPr>
          <w:ilvl w:val="0"/>
          <w:numId w:val="16"/>
        </w:numPr>
        <w:contextualSpacing w:val="0"/>
      </w:pPr>
      <w:r>
        <w:t xml:space="preserve">What arrangements you have made in the event that you can no longer continue supplying energy (e.g., has the retailer that sells to you agreed that they will service the customers). </w:t>
      </w:r>
    </w:p>
    <w:p w14:paraId="0326FCC5" w14:textId="77777777" w:rsidR="00187DC1" w:rsidRDefault="005A3348" w:rsidP="00AE321F">
      <w:pPr>
        <w:pStyle w:val="Heading4"/>
        <w:numPr>
          <w:ilvl w:val="0"/>
          <w:numId w:val="0"/>
        </w:numPr>
        <w:spacing w:before="120"/>
      </w:pPr>
      <w:r>
        <w:t xml:space="preserve">Part 2: </w:t>
      </w:r>
      <w:r w:rsidR="00187DC1">
        <w:t>Particulars relating to the nature and scope of the proposed operations</w:t>
      </w:r>
    </w:p>
    <w:p w14:paraId="09BBD5D4" w14:textId="77777777" w:rsidR="00187DC1" w:rsidRDefault="00187DC1" w:rsidP="00154E14">
      <w:r>
        <w:t>To determine whether it is appropriate to exempt you from the requirement to hold a retailer authorisation, we need information on the nature and scope of the operations you propose to conduct. Please answer the following questions:</w:t>
      </w:r>
    </w:p>
    <w:p w14:paraId="0606EBB5" w14:textId="21EA9803" w:rsidR="00187DC1" w:rsidRDefault="00187DC1" w:rsidP="00CE6D49">
      <w:pPr>
        <w:pStyle w:val="ListParagraph"/>
        <w:numPr>
          <w:ilvl w:val="0"/>
          <w:numId w:val="18"/>
        </w:numPr>
        <w:contextualSpacing w:val="0"/>
      </w:pPr>
      <w:r>
        <w:t>Will your customers be your tenants? If so, are they residential or commercial/retail</w:t>
      </w:r>
    </w:p>
    <w:p w14:paraId="528D2003" w14:textId="77777777" w:rsidR="00187DC1" w:rsidRDefault="00187DC1" w:rsidP="00A97E11">
      <w:pPr>
        <w:pStyle w:val="ListParagraph"/>
        <w:numPr>
          <w:ilvl w:val="0"/>
          <w:numId w:val="18"/>
        </w:numPr>
        <w:contextualSpacing w:val="0"/>
      </w:pPr>
      <w:r>
        <w:t>Are you providing other services (for example, accommodation/leasing of property) to persons on the site who you intend to sell energy to? Or will your only commercial relationship to persons on the site be the sale of energy? If you are providing other services, please specify what these services are, and the contractual or leasing arrangements under which these services are being provided.</w:t>
      </w:r>
    </w:p>
    <w:p w14:paraId="0B11F68D" w14:textId="77777777" w:rsidR="00187DC1" w:rsidRDefault="00187DC1" w:rsidP="00A97E11">
      <w:pPr>
        <w:pStyle w:val="ListParagraph"/>
        <w:numPr>
          <w:ilvl w:val="0"/>
          <w:numId w:val="18"/>
        </w:numPr>
        <w:contextualSpacing w:val="0"/>
      </w:pPr>
      <w:r>
        <w:t xml:space="preserve">What is the total number of </w:t>
      </w:r>
      <w:r w:rsidR="00C722C2">
        <w:t>customers</w:t>
      </w:r>
      <w:r>
        <w:t xml:space="preserve"> at the site? Please provide a breakdown between residential and business customers (and whether they are small or large as defined for the jurisdiction in which you intend to operate). </w:t>
      </w:r>
    </w:p>
    <w:p w14:paraId="4B2C3B8A" w14:textId="07FAE89F" w:rsidR="00187DC1" w:rsidRDefault="00187DC1" w:rsidP="00A97E11">
      <w:pPr>
        <w:pStyle w:val="ListParagraph"/>
        <w:numPr>
          <w:ilvl w:val="0"/>
          <w:numId w:val="18"/>
        </w:numPr>
        <w:contextualSpacing w:val="0"/>
      </w:pPr>
      <w:r>
        <w:t>Will you be on</w:t>
      </w:r>
      <w:r w:rsidR="003F4FCE">
        <w:t>-</w:t>
      </w:r>
      <w:r>
        <w:t xml:space="preserve">selling energy (that is, selling energy purchased from an authorised retailer) or purchasing it directly from the wholesale market? </w:t>
      </w:r>
    </w:p>
    <w:p w14:paraId="7AF4FF6F" w14:textId="77777777" w:rsidR="00187DC1" w:rsidRDefault="00187DC1" w:rsidP="00A97E11">
      <w:pPr>
        <w:pStyle w:val="ListParagraph"/>
        <w:numPr>
          <w:ilvl w:val="0"/>
          <w:numId w:val="18"/>
        </w:numPr>
        <w:contextualSpacing w:val="0"/>
      </w:pPr>
      <w:r>
        <w:t xml:space="preserve">What is the estimated aggregate annual amount of energy you are likely to sell (kilowatt hours or megawatt hours for electricity and mega joules or gigajoules for gas) and the average expected consumption of customers for each type of customer you service (that is, residential customers and retail or commercial customers)? </w:t>
      </w:r>
    </w:p>
    <w:p w14:paraId="23F85184" w14:textId="77777777" w:rsidR="00187DC1" w:rsidRDefault="00187DC1" w:rsidP="00A97E11">
      <w:pPr>
        <w:pStyle w:val="ListParagraph"/>
        <w:numPr>
          <w:ilvl w:val="0"/>
          <w:numId w:val="18"/>
        </w:numPr>
        <w:contextualSpacing w:val="0"/>
      </w:pPr>
      <w:r>
        <w:t>Will your customers be wholly contained within a site owned, controlled or operated by you? (For the purposes of this question, a body corporate may be taken to ‘operate’ premises it oversees).</w:t>
      </w:r>
    </w:p>
    <w:p w14:paraId="085C091A" w14:textId="77777777" w:rsidR="000F0F72" w:rsidRDefault="00CA0D56" w:rsidP="000F0F72">
      <w:pPr>
        <w:pStyle w:val="ListParagraph"/>
        <w:numPr>
          <w:ilvl w:val="0"/>
          <w:numId w:val="18"/>
        </w:numPr>
        <w:contextualSpacing w:val="0"/>
      </w:pPr>
      <w:r>
        <w:t>Will each premises/dwelling be separately metered? If the application is for a new development or a redevelopment and customers will not be separately metered, please explain why not. For unmetered supply, state how you will determine energy charges?</w:t>
      </w:r>
    </w:p>
    <w:p w14:paraId="4DD5DD3F" w14:textId="1BDFF67C" w:rsidR="00187DC1" w:rsidRDefault="00187DC1" w:rsidP="00A97E11">
      <w:pPr>
        <w:pStyle w:val="ListParagraph"/>
        <w:numPr>
          <w:ilvl w:val="0"/>
          <w:numId w:val="18"/>
        </w:numPr>
        <w:contextualSpacing w:val="0"/>
      </w:pPr>
      <w:r>
        <w:t xml:space="preserve">Will meters allow your customers to change retailers (i.e. not </w:t>
      </w:r>
      <w:r w:rsidR="004A4997">
        <w:t xml:space="preserve">buy </w:t>
      </w:r>
      <w:r>
        <w:t>their energy from you)</w:t>
      </w:r>
      <w:r w:rsidR="00AF793B">
        <w:t xml:space="preserve"> as required by</w:t>
      </w:r>
      <w:r w:rsidR="004A4997">
        <w:t xml:space="preserve"> the</w:t>
      </w:r>
      <w:r w:rsidR="00AF793B">
        <w:t xml:space="preserve"> AER’s </w:t>
      </w:r>
      <w:r w:rsidR="000F0F72">
        <w:t>Network G</w:t>
      </w:r>
      <w:r w:rsidR="00AF793B">
        <w:t>uideline?</w:t>
      </w:r>
      <w:r>
        <w:t xml:space="preserve"> </w:t>
      </w:r>
    </w:p>
    <w:p w14:paraId="20959993" w14:textId="77777777" w:rsidR="00187DC1" w:rsidRDefault="00187DC1" w:rsidP="00A97E11">
      <w:pPr>
        <w:pStyle w:val="ListParagraph"/>
        <w:numPr>
          <w:ilvl w:val="0"/>
          <w:numId w:val="18"/>
        </w:numPr>
        <w:contextualSpacing w:val="0"/>
      </w:pPr>
      <w:r>
        <w:t xml:space="preserve">In what form and how often will customers be billed? Will you be issuing bills yourself or through a billing agent? </w:t>
      </w:r>
    </w:p>
    <w:p w14:paraId="26314E28" w14:textId="3937C747" w:rsidR="00187DC1" w:rsidRPr="003F0B1E" w:rsidRDefault="00187DC1" w:rsidP="00E00F72">
      <w:pPr>
        <w:pStyle w:val="ListParagraph"/>
        <w:numPr>
          <w:ilvl w:val="0"/>
          <w:numId w:val="18"/>
        </w:numPr>
        <w:contextualSpacing w:val="0"/>
        <w:rPr>
          <w:rFonts w:eastAsiaTheme="majorEastAsia" w:cs="Arial"/>
          <w:szCs w:val="24"/>
        </w:rPr>
      </w:pPr>
      <w:r>
        <w:t>What dispute resolution procedures do you intend to put in place to deal with energy related complaints and issues?</w:t>
      </w:r>
      <w:r w:rsidR="00E00F72" w:rsidRPr="00E00F72">
        <w:rPr>
          <w:rFonts w:eastAsiaTheme="majorEastAsia" w:cs="Arial"/>
          <w:szCs w:val="24"/>
        </w:rPr>
        <w:t xml:space="preserve"> </w:t>
      </w:r>
      <w:r w:rsidR="00E00F72">
        <w:rPr>
          <w:rFonts w:eastAsiaTheme="majorEastAsia" w:cs="Arial"/>
          <w:szCs w:val="24"/>
        </w:rPr>
        <w:t xml:space="preserve">Confirm whether it </w:t>
      </w:r>
      <w:r w:rsidR="006C12B7">
        <w:rPr>
          <w:rFonts w:eastAsiaTheme="majorEastAsia" w:cs="Arial"/>
          <w:szCs w:val="24"/>
        </w:rPr>
        <w:t xml:space="preserve">is consistent with </w:t>
      </w:r>
      <w:r w:rsidR="00E00F72">
        <w:rPr>
          <w:rFonts w:eastAsiaTheme="majorEastAsia" w:cs="Arial"/>
          <w:szCs w:val="24"/>
        </w:rPr>
        <w:t xml:space="preserve">the </w:t>
      </w:r>
      <w:r w:rsidR="00E00F72" w:rsidRPr="00250D1E">
        <w:rPr>
          <w:rFonts w:eastAsiaTheme="majorEastAsia" w:cs="Arial"/>
          <w:szCs w:val="24"/>
        </w:rPr>
        <w:t>Australian Standards: AS/NZS 10002:2014 Customer Satisfaction – Guidelines</w:t>
      </w:r>
      <w:r w:rsidR="00E00F72">
        <w:rPr>
          <w:rFonts w:eastAsiaTheme="majorEastAsia" w:cs="Arial"/>
          <w:szCs w:val="24"/>
        </w:rPr>
        <w:t>.</w:t>
      </w:r>
      <w:r w:rsidR="00E00F72" w:rsidRPr="00250D1E">
        <w:rPr>
          <w:rFonts w:eastAsiaTheme="majorEastAsia" w:cs="Arial"/>
          <w:szCs w:val="24"/>
        </w:rPr>
        <w:t xml:space="preserve"> </w:t>
      </w:r>
    </w:p>
    <w:p w14:paraId="4C901F62" w14:textId="77777777" w:rsidR="00187DC1" w:rsidRDefault="00187DC1" w:rsidP="00A97E11">
      <w:pPr>
        <w:pStyle w:val="ListParagraph"/>
        <w:numPr>
          <w:ilvl w:val="0"/>
          <w:numId w:val="18"/>
        </w:numPr>
        <w:contextualSpacing w:val="0"/>
      </w:pPr>
      <w:r>
        <w:t>Please provide any further information that you consider would assist us to assess your application.</w:t>
      </w:r>
    </w:p>
    <w:p w14:paraId="5010DE0C" w14:textId="303762E4" w:rsidR="00CD1935" w:rsidRDefault="005A3348" w:rsidP="003F0B1E">
      <w:pPr>
        <w:spacing w:before="240"/>
        <w:rPr>
          <w:rFonts w:eastAsiaTheme="majorEastAsia" w:cs="Arial"/>
          <w:b/>
          <w:bCs/>
          <w:iCs/>
          <w:color w:val="70635A"/>
          <w:sz w:val="24"/>
          <w:szCs w:val="24"/>
        </w:rPr>
      </w:pPr>
      <w:r>
        <w:rPr>
          <w:rFonts w:eastAsiaTheme="majorEastAsia" w:cs="Arial"/>
          <w:b/>
          <w:bCs/>
          <w:iCs/>
          <w:color w:val="70635A"/>
          <w:sz w:val="24"/>
          <w:szCs w:val="24"/>
        </w:rPr>
        <w:t xml:space="preserve">Part 3: </w:t>
      </w:r>
      <w:r w:rsidR="00F54A6F">
        <w:rPr>
          <w:rFonts w:eastAsiaTheme="majorEastAsia" w:cs="Arial"/>
          <w:b/>
          <w:bCs/>
          <w:iCs/>
          <w:color w:val="70635A"/>
          <w:sz w:val="24"/>
          <w:szCs w:val="24"/>
        </w:rPr>
        <w:t>Converting</w:t>
      </w:r>
      <w:r w:rsidR="00A26277">
        <w:rPr>
          <w:rFonts w:eastAsiaTheme="majorEastAsia" w:cs="Arial"/>
          <w:b/>
          <w:bCs/>
          <w:iCs/>
          <w:color w:val="70635A"/>
          <w:sz w:val="24"/>
          <w:szCs w:val="24"/>
        </w:rPr>
        <w:t xml:space="preserve"> embedded networks</w:t>
      </w:r>
      <w:r w:rsidR="00F54A6F">
        <w:rPr>
          <w:rFonts w:eastAsiaTheme="majorEastAsia" w:cs="Arial"/>
          <w:b/>
          <w:bCs/>
          <w:iCs/>
          <w:color w:val="70635A"/>
          <w:sz w:val="24"/>
          <w:szCs w:val="24"/>
        </w:rPr>
        <w:t xml:space="preserve"> (retrofitting)</w:t>
      </w:r>
    </w:p>
    <w:p w14:paraId="32235E55" w14:textId="1A05764F" w:rsidR="00B9212C" w:rsidRDefault="000F0F72" w:rsidP="00E715BB">
      <w:r w:rsidRPr="00A2043E">
        <w:t xml:space="preserve">If you are planning </w:t>
      </w:r>
      <w:r w:rsidR="0024012D" w:rsidRPr="00A2043E">
        <w:t xml:space="preserve">to </w:t>
      </w:r>
      <w:r w:rsidR="00CA0D56">
        <w:t xml:space="preserve">sell energy through a </w:t>
      </w:r>
      <w:r w:rsidR="00F54A6F">
        <w:t>converted</w:t>
      </w:r>
      <w:r w:rsidR="00CA0D56" w:rsidRPr="00A2043E">
        <w:t xml:space="preserve"> </w:t>
      </w:r>
      <w:r w:rsidRPr="00A2043E">
        <w:t>embedded network</w:t>
      </w:r>
      <w:r w:rsidR="007C370A">
        <w:t>,</w:t>
      </w:r>
      <w:r w:rsidR="00A26277">
        <w:t xml:space="preserve"> </w:t>
      </w:r>
      <w:r>
        <w:t>y</w:t>
      </w:r>
      <w:r w:rsidR="00B9212C">
        <w:t xml:space="preserve">our application needs to address all the questions </w:t>
      </w:r>
      <w:r w:rsidR="00736B05">
        <w:t xml:space="preserve">in Parts 1 and 2 </w:t>
      </w:r>
      <w:r w:rsidR="00823AA0">
        <w:t>as well as</w:t>
      </w:r>
      <w:r w:rsidR="00B9212C">
        <w:t xml:space="preserve"> </w:t>
      </w:r>
      <w:r w:rsidR="00DB0714">
        <w:t xml:space="preserve">the </w:t>
      </w:r>
      <w:r w:rsidR="00A26277">
        <w:t>questions</w:t>
      </w:r>
      <w:r w:rsidR="0024012D">
        <w:t xml:space="preserve"> and information requests at</w:t>
      </w:r>
      <w:r w:rsidR="00A26277">
        <w:t xml:space="preserve"> </w:t>
      </w:r>
      <w:r w:rsidR="00736B05">
        <w:t>30</w:t>
      </w:r>
      <w:r w:rsidR="00F42794">
        <w:t xml:space="preserve"> to </w:t>
      </w:r>
      <w:r w:rsidR="005C1BB7">
        <w:t>39</w:t>
      </w:r>
      <w:r w:rsidR="0024012D">
        <w:t xml:space="preserve"> </w:t>
      </w:r>
      <w:r w:rsidR="00741402">
        <w:t xml:space="preserve">below. </w:t>
      </w:r>
    </w:p>
    <w:p w14:paraId="11E6B2E8" w14:textId="7E040DF5" w:rsidR="00F42794" w:rsidRDefault="00736B05" w:rsidP="003F0B1E">
      <w:r>
        <w:t xml:space="preserve">Before </w:t>
      </w:r>
      <w:r w:rsidR="0024012D">
        <w:t>completing this section</w:t>
      </w:r>
      <w:r w:rsidR="00F42794">
        <w:t xml:space="preserve"> </w:t>
      </w:r>
      <w:r>
        <w:t>you should</w:t>
      </w:r>
      <w:r w:rsidR="00F42794">
        <w:t xml:space="preserve"> refer to s</w:t>
      </w:r>
      <w:r w:rsidR="004E0979">
        <w:t>ection</w:t>
      </w:r>
      <w:r w:rsidR="00CA0D56">
        <w:t>s</w:t>
      </w:r>
      <w:r w:rsidR="004E0979">
        <w:t xml:space="preserve"> </w:t>
      </w:r>
      <w:r w:rsidR="00173E22">
        <w:t xml:space="preserve">4.4 </w:t>
      </w:r>
      <w:r w:rsidR="00CA0D56">
        <w:t>and</w:t>
      </w:r>
      <w:r w:rsidR="00173E22">
        <w:t xml:space="preserve"> 7.2.1</w:t>
      </w:r>
      <w:r w:rsidR="004E0979">
        <w:t xml:space="preserve"> </w:t>
      </w:r>
      <w:r w:rsidR="00CA0D56">
        <w:t>of this guideline.</w:t>
      </w:r>
    </w:p>
    <w:p w14:paraId="7C986DA8" w14:textId="77777777" w:rsidR="00616AF3" w:rsidRDefault="00616AF3" w:rsidP="003F0B1E">
      <w:pPr>
        <w:rPr>
          <w:rFonts w:eastAsiaTheme="majorEastAsia" w:cs="Arial"/>
          <w:b/>
          <w:szCs w:val="24"/>
        </w:rPr>
      </w:pPr>
    </w:p>
    <w:p w14:paraId="5A6A2175" w14:textId="77777777" w:rsidR="004A6E6A" w:rsidRDefault="00E07C7D" w:rsidP="003F0B1E">
      <w:pPr>
        <w:rPr>
          <w:rFonts w:eastAsiaTheme="majorEastAsia" w:cs="Arial"/>
          <w:b/>
          <w:szCs w:val="24"/>
        </w:rPr>
      </w:pPr>
      <w:r w:rsidRPr="003F0B1E">
        <w:rPr>
          <w:rFonts w:eastAsiaTheme="majorEastAsia" w:cs="Arial"/>
          <w:b/>
          <w:szCs w:val="24"/>
        </w:rPr>
        <w:t>Provision of information</w:t>
      </w:r>
    </w:p>
    <w:p w14:paraId="349261AB" w14:textId="77777777" w:rsidR="00E07C7D" w:rsidRPr="003F0B1E" w:rsidRDefault="00A556E6" w:rsidP="003F0B1E">
      <w:pPr>
        <w:rPr>
          <w:rFonts w:eastAsiaTheme="majorEastAsia" w:cs="Arial"/>
          <w:szCs w:val="24"/>
        </w:rPr>
      </w:pPr>
      <w:r>
        <w:rPr>
          <w:rFonts w:eastAsiaTheme="majorEastAsia" w:cs="Arial"/>
          <w:szCs w:val="24"/>
        </w:rPr>
        <w:t xml:space="preserve">You </w:t>
      </w:r>
      <w:r w:rsidR="00C90954">
        <w:rPr>
          <w:rFonts w:eastAsiaTheme="majorEastAsia" w:cs="Arial"/>
          <w:szCs w:val="24"/>
        </w:rPr>
        <w:t>must</w:t>
      </w:r>
      <w:r w:rsidR="00E00F72">
        <w:rPr>
          <w:rFonts w:eastAsiaTheme="majorEastAsia" w:cs="Arial"/>
          <w:szCs w:val="24"/>
        </w:rPr>
        <w:t xml:space="preserve"> confirm</w:t>
      </w:r>
      <w:r w:rsidR="00C90954">
        <w:rPr>
          <w:rFonts w:eastAsiaTheme="majorEastAsia" w:cs="Arial"/>
          <w:szCs w:val="24"/>
        </w:rPr>
        <w:t xml:space="preserve"> </w:t>
      </w:r>
      <w:r w:rsidR="00E00F72">
        <w:rPr>
          <w:rFonts w:eastAsiaTheme="majorEastAsia" w:cs="Arial"/>
          <w:szCs w:val="24"/>
        </w:rPr>
        <w:t>you have</w:t>
      </w:r>
      <w:r w:rsidR="004A6E6A" w:rsidRPr="003F0B1E">
        <w:rPr>
          <w:rFonts w:eastAsiaTheme="majorEastAsia" w:cs="Arial"/>
          <w:szCs w:val="24"/>
        </w:rPr>
        <w:t xml:space="preserve"> evidence </w:t>
      </w:r>
      <w:r w:rsidR="00E00F72">
        <w:rPr>
          <w:rFonts w:eastAsiaTheme="majorEastAsia" w:cs="Arial"/>
          <w:szCs w:val="24"/>
        </w:rPr>
        <w:t xml:space="preserve">that </w:t>
      </w:r>
      <w:r w:rsidR="00F72246">
        <w:rPr>
          <w:rFonts w:eastAsiaTheme="majorEastAsia" w:cs="Arial"/>
          <w:szCs w:val="24"/>
        </w:rPr>
        <w:t>consumers</w:t>
      </w:r>
      <w:r w:rsidR="00E00F72">
        <w:rPr>
          <w:rFonts w:eastAsiaTheme="majorEastAsia" w:cs="Arial"/>
          <w:szCs w:val="24"/>
        </w:rPr>
        <w:t xml:space="preserve"> have been provided with the following informatio</w:t>
      </w:r>
      <w:r w:rsidR="00DE7BE0">
        <w:rPr>
          <w:rFonts w:eastAsiaTheme="majorEastAsia" w:cs="Arial"/>
          <w:szCs w:val="24"/>
        </w:rPr>
        <w:t>n:</w:t>
      </w:r>
    </w:p>
    <w:p w14:paraId="6EB9A0A1" w14:textId="62E7F4BE" w:rsidR="00DE7BE0" w:rsidRDefault="00A556E6" w:rsidP="00A2043E">
      <w:pPr>
        <w:pStyle w:val="ListParagraph"/>
        <w:numPr>
          <w:ilvl w:val="0"/>
          <w:numId w:val="18"/>
        </w:numPr>
        <w:contextualSpacing w:val="0"/>
      </w:pPr>
      <w:r>
        <w:t xml:space="preserve">that </w:t>
      </w:r>
      <w:r w:rsidR="00E00F72">
        <w:t>y</w:t>
      </w:r>
      <w:r w:rsidR="00FE0832" w:rsidRPr="004A6E6A">
        <w:t>ou</w:t>
      </w:r>
      <w:r w:rsidR="00FE0832">
        <w:t xml:space="preserve"> are planning to retrofit the site as an embedded networ</w:t>
      </w:r>
      <w:r w:rsidR="00F42794">
        <w:t>k</w:t>
      </w:r>
      <w:r w:rsidR="004A6E6A">
        <w:t xml:space="preserve"> </w:t>
      </w:r>
      <w:r w:rsidR="00C90954">
        <w:t>and this</w:t>
      </w:r>
      <w:r w:rsidR="00CF7F8A">
        <w:t xml:space="preserve"> will require metering changes</w:t>
      </w:r>
      <w:r w:rsidR="00F42794">
        <w:t xml:space="preserve"> </w:t>
      </w:r>
    </w:p>
    <w:p w14:paraId="62543394" w14:textId="13B8533F" w:rsidR="00AD0B28" w:rsidRDefault="00C90954">
      <w:pPr>
        <w:pStyle w:val="ListParagraph"/>
        <w:numPr>
          <w:ilvl w:val="0"/>
          <w:numId w:val="18"/>
        </w:numPr>
        <w:contextualSpacing w:val="0"/>
        <w:rPr>
          <w:rFonts w:eastAsiaTheme="majorEastAsia" w:cs="Arial"/>
          <w:szCs w:val="24"/>
        </w:rPr>
      </w:pPr>
      <w:r>
        <w:t>that</w:t>
      </w:r>
      <w:r w:rsidR="00AD0B28">
        <w:t xml:space="preserve"> </w:t>
      </w:r>
      <w:r w:rsidR="00F72246">
        <w:rPr>
          <w:rFonts w:eastAsiaTheme="majorEastAsia" w:cs="Arial"/>
          <w:szCs w:val="24"/>
        </w:rPr>
        <w:t>consumers</w:t>
      </w:r>
      <w:r w:rsidR="00EB3B67">
        <w:rPr>
          <w:rFonts w:eastAsiaTheme="majorEastAsia" w:cs="Arial"/>
          <w:szCs w:val="24"/>
        </w:rPr>
        <w:t xml:space="preserve"> </w:t>
      </w:r>
      <w:r w:rsidR="00AD0B28">
        <w:rPr>
          <w:rFonts w:eastAsiaTheme="majorEastAsia" w:cs="Arial"/>
          <w:szCs w:val="24"/>
        </w:rPr>
        <w:t>retain</w:t>
      </w:r>
      <w:r w:rsidR="00F42794">
        <w:rPr>
          <w:rFonts w:eastAsiaTheme="majorEastAsia" w:cs="Arial"/>
          <w:szCs w:val="24"/>
        </w:rPr>
        <w:t xml:space="preserve"> </w:t>
      </w:r>
      <w:r w:rsidR="00AD0B28">
        <w:rPr>
          <w:rFonts w:eastAsiaTheme="majorEastAsia" w:cs="Arial"/>
          <w:szCs w:val="24"/>
        </w:rPr>
        <w:t>the</w:t>
      </w:r>
      <w:r w:rsidR="00F42794">
        <w:rPr>
          <w:rFonts w:eastAsiaTheme="majorEastAsia" w:cs="Arial"/>
          <w:szCs w:val="24"/>
        </w:rPr>
        <w:t xml:space="preserve"> right to</w:t>
      </w:r>
      <w:r w:rsidR="004A6E6A">
        <w:rPr>
          <w:rFonts w:eastAsiaTheme="majorEastAsia" w:cs="Arial"/>
          <w:szCs w:val="24"/>
        </w:rPr>
        <w:t xml:space="preserve"> contract with a retailer of choice</w:t>
      </w:r>
      <w:r w:rsidR="00AD0B28">
        <w:rPr>
          <w:rFonts w:eastAsiaTheme="majorEastAsia" w:cs="Arial"/>
          <w:szCs w:val="24"/>
        </w:rPr>
        <w:t xml:space="preserve"> even after </w:t>
      </w:r>
      <w:r w:rsidR="00AD0B28">
        <w:t xml:space="preserve">inclusion in the embedded network </w:t>
      </w:r>
      <w:r w:rsidR="00AD0B28">
        <w:rPr>
          <w:rFonts w:eastAsiaTheme="majorEastAsia" w:cs="Arial"/>
          <w:szCs w:val="24"/>
        </w:rPr>
        <w:t>(except where this right does not exist due to jurisdictional legislation)</w:t>
      </w:r>
    </w:p>
    <w:p w14:paraId="534B8E9B" w14:textId="77777777" w:rsidR="004A6E6A" w:rsidRPr="00051D5C" w:rsidRDefault="00AD0B28">
      <w:pPr>
        <w:pStyle w:val="ListParagraph"/>
        <w:numPr>
          <w:ilvl w:val="0"/>
          <w:numId w:val="18"/>
        </w:numPr>
        <w:contextualSpacing w:val="0"/>
        <w:rPr>
          <w:rFonts w:eastAsiaTheme="majorEastAsia" w:cs="Arial"/>
          <w:szCs w:val="24"/>
        </w:rPr>
      </w:pPr>
      <w:r>
        <w:rPr>
          <w:rFonts w:eastAsiaTheme="majorEastAsia" w:cs="Arial"/>
          <w:szCs w:val="24"/>
        </w:rPr>
        <w:t>that in order to exercise their right to a retailer of choice,</w:t>
      </w:r>
      <w:r w:rsidR="00B8209A">
        <w:rPr>
          <w:rFonts w:eastAsiaTheme="majorEastAsia" w:cs="Arial"/>
          <w:szCs w:val="24"/>
        </w:rPr>
        <w:t xml:space="preserve"> </w:t>
      </w:r>
      <w:r w:rsidR="00F72246">
        <w:rPr>
          <w:rFonts w:eastAsiaTheme="majorEastAsia" w:cs="Arial"/>
          <w:szCs w:val="24"/>
        </w:rPr>
        <w:t>consumers</w:t>
      </w:r>
      <w:r w:rsidR="00A149E9" w:rsidRPr="00051D5C">
        <w:rPr>
          <w:rFonts w:eastAsiaTheme="majorEastAsia" w:cs="Arial"/>
          <w:szCs w:val="24"/>
        </w:rPr>
        <w:t xml:space="preserve"> </w:t>
      </w:r>
      <w:r w:rsidR="00CF7F8A">
        <w:rPr>
          <w:rFonts w:eastAsiaTheme="majorEastAsia" w:cs="Arial"/>
          <w:szCs w:val="24"/>
        </w:rPr>
        <w:t>may</w:t>
      </w:r>
      <w:r w:rsidR="00C90954">
        <w:rPr>
          <w:rFonts w:eastAsiaTheme="majorEastAsia" w:cs="Arial"/>
          <w:szCs w:val="24"/>
        </w:rPr>
        <w:t xml:space="preserve"> </w:t>
      </w:r>
      <w:r w:rsidR="00A149E9" w:rsidRPr="00051D5C">
        <w:rPr>
          <w:rFonts w:eastAsiaTheme="majorEastAsia" w:cs="Arial"/>
          <w:szCs w:val="24"/>
        </w:rPr>
        <w:t>need to enter</w:t>
      </w:r>
      <w:r>
        <w:rPr>
          <w:rFonts w:eastAsiaTheme="majorEastAsia" w:cs="Arial"/>
          <w:szCs w:val="24"/>
        </w:rPr>
        <w:t xml:space="preserve"> into</w:t>
      </w:r>
      <w:r w:rsidR="00A149E9" w:rsidRPr="00051D5C">
        <w:rPr>
          <w:rFonts w:eastAsiaTheme="majorEastAsia" w:cs="Arial"/>
          <w:szCs w:val="24"/>
        </w:rPr>
        <w:t xml:space="preserve"> an </w:t>
      </w:r>
      <w:r w:rsidR="00DE7BE0" w:rsidRPr="00051D5C">
        <w:rPr>
          <w:rFonts w:eastAsiaTheme="majorEastAsia" w:cs="Arial"/>
          <w:szCs w:val="24"/>
        </w:rPr>
        <w:t>‘</w:t>
      </w:r>
      <w:r w:rsidR="00A149E9" w:rsidRPr="00051D5C">
        <w:rPr>
          <w:rFonts w:eastAsiaTheme="majorEastAsia" w:cs="Arial"/>
          <w:szCs w:val="24"/>
        </w:rPr>
        <w:t>energy only</w:t>
      </w:r>
      <w:r w:rsidR="00DE7BE0" w:rsidRPr="00051D5C">
        <w:rPr>
          <w:rFonts w:eastAsiaTheme="majorEastAsia" w:cs="Arial"/>
          <w:szCs w:val="24"/>
        </w:rPr>
        <w:t>’</w:t>
      </w:r>
      <w:r w:rsidR="00A149E9" w:rsidRPr="00051D5C">
        <w:rPr>
          <w:rFonts w:eastAsiaTheme="majorEastAsia" w:cs="Arial"/>
          <w:szCs w:val="24"/>
        </w:rPr>
        <w:t xml:space="preserve"> contract, </w:t>
      </w:r>
      <w:r w:rsidR="00DE7BE0" w:rsidRPr="00051D5C">
        <w:rPr>
          <w:rFonts w:eastAsiaTheme="majorEastAsia" w:cs="Arial"/>
          <w:szCs w:val="24"/>
        </w:rPr>
        <w:t xml:space="preserve">which </w:t>
      </w:r>
      <w:r w:rsidR="00CC5B16">
        <w:rPr>
          <w:rFonts w:eastAsiaTheme="majorEastAsia" w:cs="Arial"/>
          <w:szCs w:val="24"/>
        </w:rPr>
        <w:t>is</w:t>
      </w:r>
      <w:r w:rsidR="00DE7BE0" w:rsidRPr="00051D5C">
        <w:rPr>
          <w:rFonts w:eastAsiaTheme="majorEastAsia" w:cs="Arial"/>
          <w:szCs w:val="24"/>
        </w:rPr>
        <w:t xml:space="preserve"> offered at retailers’ discretio</w:t>
      </w:r>
      <w:r w:rsidR="00F42794">
        <w:rPr>
          <w:rFonts w:eastAsiaTheme="majorEastAsia" w:cs="Arial"/>
          <w:szCs w:val="24"/>
        </w:rPr>
        <w:t>n and may be difficult to obtain</w:t>
      </w:r>
      <w:r w:rsidR="004A6E6A" w:rsidRPr="00051D5C">
        <w:rPr>
          <w:rFonts w:eastAsiaTheme="majorEastAsia" w:cs="Arial"/>
          <w:szCs w:val="24"/>
        </w:rPr>
        <w:t xml:space="preserve"> </w:t>
      </w:r>
    </w:p>
    <w:p w14:paraId="14AAA1FC" w14:textId="77777777" w:rsidR="00A149E9" w:rsidRDefault="00A149E9" w:rsidP="004A6E6A">
      <w:pPr>
        <w:pStyle w:val="ListParagraph"/>
        <w:numPr>
          <w:ilvl w:val="0"/>
          <w:numId w:val="18"/>
        </w:numPr>
        <w:contextualSpacing w:val="0"/>
        <w:rPr>
          <w:rFonts w:eastAsiaTheme="majorEastAsia" w:cs="Arial"/>
          <w:szCs w:val="24"/>
        </w:rPr>
      </w:pPr>
      <w:r>
        <w:rPr>
          <w:rFonts w:eastAsiaTheme="majorEastAsia" w:cs="Arial"/>
          <w:szCs w:val="24"/>
        </w:rPr>
        <w:t>that customers in embedded networks may not receive the same protections as those of an authorised retailer</w:t>
      </w:r>
      <w:r w:rsidR="00A556E6">
        <w:rPr>
          <w:rFonts w:eastAsiaTheme="majorEastAsia" w:cs="Arial"/>
          <w:szCs w:val="24"/>
        </w:rPr>
        <w:t xml:space="preserve"> under the Retail Law</w:t>
      </w:r>
      <w:r w:rsidR="00B8209A">
        <w:rPr>
          <w:rFonts w:eastAsiaTheme="majorEastAsia" w:cs="Arial"/>
          <w:szCs w:val="24"/>
        </w:rPr>
        <w:t>, including access to ombudsman schemes</w:t>
      </w:r>
      <w:r w:rsidR="00CC5B16">
        <w:rPr>
          <w:rFonts w:eastAsiaTheme="majorEastAsia" w:cs="Arial"/>
          <w:szCs w:val="24"/>
        </w:rPr>
        <w:t>.</w:t>
      </w:r>
    </w:p>
    <w:p w14:paraId="7114F392" w14:textId="77777777" w:rsidR="00A556E6" w:rsidRPr="003F0B1E" w:rsidRDefault="00D26FD7" w:rsidP="003F0B1E">
      <w:pPr>
        <w:rPr>
          <w:rFonts w:eastAsiaTheme="majorEastAsia" w:cs="Arial"/>
          <w:szCs w:val="24"/>
        </w:rPr>
      </w:pPr>
      <w:r>
        <w:rPr>
          <w:rFonts w:eastAsiaTheme="majorEastAsia" w:cs="Arial"/>
          <w:szCs w:val="24"/>
        </w:rPr>
        <w:t xml:space="preserve">In addition, </w:t>
      </w:r>
      <w:r w:rsidR="00CC5B16">
        <w:rPr>
          <w:rFonts w:eastAsiaTheme="majorEastAsia" w:cs="Arial"/>
          <w:szCs w:val="24"/>
        </w:rPr>
        <w:t>you need to confirm that you have</w:t>
      </w:r>
      <w:r w:rsidR="00A556E6">
        <w:rPr>
          <w:rFonts w:eastAsiaTheme="majorEastAsia" w:cs="Arial"/>
          <w:szCs w:val="24"/>
        </w:rPr>
        <w:t xml:space="preserve"> provided </w:t>
      </w:r>
      <w:r w:rsidR="00F72246">
        <w:rPr>
          <w:rFonts w:eastAsiaTheme="majorEastAsia" w:cs="Arial"/>
          <w:szCs w:val="24"/>
        </w:rPr>
        <w:t>consumers</w:t>
      </w:r>
      <w:r>
        <w:rPr>
          <w:rFonts w:eastAsiaTheme="majorEastAsia" w:cs="Arial"/>
          <w:szCs w:val="24"/>
        </w:rPr>
        <w:t xml:space="preserve"> </w:t>
      </w:r>
      <w:r w:rsidR="00A556E6">
        <w:rPr>
          <w:rFonts w:eastAsiaTheme="majorEastAsia" w:cs="Arial"/>
          <w:szCs w:val="24"/>
        </w:rPr>
        <w:t>with:</w:t>
      </w:r>
    </w:p>
    <w:p w14:paraId="4BD11CA1" w14:textId="77777777" w:rsidR="003C5C30" w:rsidRPr="003F0B1E" w:rsidRDefault="00A556E6" w:rsidP="00A149E9">
      <w:pPr>
        <w:pStyle w:val="ListParagraph"/>
        <w:numPr>
          <w:ilvl w:val="0"/>
          <w:numId w:val="18"/>
        </w:numPr>
        <w:contextualSpacing w:val="0"/>
        <w:rPr>
          <w:rFonts w:eastAsiaTheme="majorEastAsia" w:cs="Arial"/>
          <w:szCs w:val="24"/>
        </w:rPr>
      </w:pPr>
      <w:r>
        <w:rPr>
          <w:rFonts w:eastAsiaTheme="majorEastAsia" w:cs="Arial"/>
          <w:szCs w:val="24"/>
        </w:rPr>
        <w:t xml:space="preserve"> </w:t>
      </w:r>
      <w:r w:rsidR="003A5164">
        <w:rPr>
          <w:rFonts w:eastAsiaTheme="majorEastAsia" w:cs="Arial"/>
          <w:szCs w:val="24"/>
        </w:rPr>
        <w:t>you</w:t>
      </w:r>
      <w:r w:rsidR="005E37B3">
        <w:rPr>
          <w:rFonts w:eastAsiaTheme="majorEastAsia" w:cs="Arial"/>
          <w:szCs w:val="24"/>
        </w:rPr>
        <w:t>r</w:t>
      </w:r>
      <w:r w:rsidR="00A149E9">
        <w:rPr>
          <w:rFonts w:eastAsiaTheme="majorEastAsia" w:cs="Arial"/>
          <w:szCs w:val="24"/>
        </w:rPr>
        <w:t xml:space="preserve"> </w:t>
      </w:r>
      <w:r w:rsidR="003C5C30" w:rsidRPr="003F0B1E">
        <w:rPr>
          <w:rFonts w:eastAsiaTheme="majorEastAsia" w:cs="Arial"/>
          <w:szCs w:val="24"/>
        </w:rPr>
        <w:t>electricity sales agreement</w:t>
      </w:r>
      <w:r w:rsidR="005E37B3">
        <w:rPr>
          <w:rFonts w:eastAsiaTheme="majorEastAsia" w:cs="Arial"/>
          <w:szCs w:val="24"/>
        </w:rPr>
        <w:t xml:space="preserve">, </w:t>
      </w:r>
      <w:r w:rsidR="0024012D">
        <w:rPr>
          <w:rFonts w:eastAsiaTheme="majorEastAsia" w:cs="Arial"/>
          <w:szCs w:val="24"/>
        </w:rPr>
        <w:t>which details</w:t>
      </w:r>
      <w:r w:rsidR="00A149E9">
        <w:rPr>
          <w:rFonts w:eastAsiaTheme="majorEastAsia" w:cs="Arial"/>
          <w:szCs w:val="24"/>
        </w:rPr>
        <w:t xml:space="preserve"> all fees</w:t>
      </w:r>
      <w:r w:rsidR="005E37B3">
        <w:rPr>
          <w:rFonts w:eastAsiaTheme="majorEastAsia" w:cs="Arial"/>
          <w:szCs w:val="24"/>
        </w:rPr>
        <w:t xml:space="preserve"> and tariffs</w:t>
      </w:r>
    </w:p>
    <w:p w14:paraId="3044183E" w14:textId="77777777" w:rsidR="00EE1ECE" w:rsidRPr="003F0B1E" w:rsidRDefault="005E37B3" w:rsidP="00E00F72">
      <w:pPr>
        <w:pStyle w:val="ListParagraph"/>
        <w:numPr>
          <w:ilvl w:val="0"/>
          <w:numId w:val="18"/>
        </w:numPr>
        <w:contextualSpacing w:val="0"/>
        <w:rPr>
          <w:rFonts w:eastAsiaTheme="majorEastAsia" w:cs="Arial"/>
          <w:b/>
          <w:szCs w:val="24"/>
        </w:rPr>
      </w:pPr>
      <w:r>
        <w:rPr>
          <w:rFonts w:eastAsiaTheme="majorEastAsia" w:cs="Arial"/>
          <w:szCs w:val="24"/>
        </w:rPr>
        <w:t xml:space="preserve"> </w:t>
      </w:r>
      <w:r w:rsidR="00A149E9">
        <w:rPr>
          <w:rFonts w:eastAsiaTheme="majorEastAsia" w:cs="Arial"/>
          <w:szCs w:val="24"/>
        </w:rPr>
        <w:t>t</w:t>
      </w:r>
      <w:r w:rsidR="003C5C30">
        <w:rPr>
          <w:rFonts w:eastAsiaTheme="majorEastAsia" w:cs="Arial"/>
          <w:szCs w:val="24"/>
        </w:rPr>
        <w:t>he contact details of a representative</w:t>
      </w:r>
      <w:r w:rsidR="00C921A8">
        <w:rPr>
          <w:rFonts w:eastAsiaTheme="majorEastAsia" w:cs="Arial"/>
          <w:szCs w:val="24"/>
        </w:rPr>
        <w:t xml:space="preserve"> from your company</w:t>
      </w:r>
      <w:r w:rsidR="003C5C30">
        <w:rPr>
          <w:rFonts w:eastAsiaTheme="majorEastAsia" w:cs="Arial"/>
          <w:szCs w:val="24"/>
        </w:rPr>
        <w:t xml:space="preserve"> </w:t>
      </w:r>
      <w:r w:rsidR="00A149E9">
        <w:rPr>
          <w:rFonts w:eastAsiaTheme="majorEastAsia" w:cs="Arial"/>
          <w:szCs w:val="24"/>
        </w:rPr>
        <w:t>to</w:t>
      </w:r>
      <w:r w:rsidR="003C5C30">
        <w:rPr>
          <w:rFonts w:eastAsiaTheme="majorEastAsia" w:cs="Arial"/>
          <w:szCs w:val="24"/>
        </w:rPr>
        <w:t xml:space="preserve"> </w:t>
      </w:r>
      <w:r w:rsidR="00A149E9">
        <w:rPr>
          <w:rFonts w:eastAsiaTheme="majorEastAsia" w:cs="Arial"/>
          <w:szCs w:val="24"/>
        </w:rPr>
        <w:t xml:space="preserve">answer </w:t>
      </w:r>
      <w:r w:rsidR="003C5C30">
        <w:rPr>
          <w:rFonts w:eastAsiaTheme="majorEastAsia" w:cs="Arial"/>
          <w:szCs w:val="24"/>
        </w:rPr>
        <w:t>any queries or concerns about the planned retrofit.</w:t>
      </w:r>
    </w:p>
    <w:p w14:paraId="3F62CE80" w14:textId="77777777" w:rsidR="00D26FD7" w:rsidRPr="003F0B1E" w:rsidRDefault="00D26FD7" w:rsidP="00A556E6">
      <w:pPr>
        <w:rPr>
          <w:rFonts w:eastAsiaTheme="majorEastAsia" w:cs="Arial"/>
          <w:szCs w:val="24"/>
        </w:rPr>
      </w:pPr>
      <w:r w:rsidRPr="003F0B1E">
        <w:rPr>
          <w:rFonts w:eastAsiaTheme="majorEastAsia" w:cs="Arial"/>
          <w:szCs w:val="24"/>
        </w:rPr>
        <w:t>In your applicatio</w:t>
      </w:r>
      <w:r w:rsidR="00B8209A">
        <w:rPr>
          <w:rFonts w:eastAsiaTheme="majorEastAsia" w:cs="Arial"/>
          <w:szCs w:val="24"/>
        </w:rPr>
        <w:t>n you need to include</w:t>
      </w:r>
      <w:r w:rsidRPr="003F0B1E">
        <w:rPr>
          <w:rFonts w:eastAsiaTheme="majorEastAsia" w:cs="Arial"/>
          <w:szCs w:val="24"/>
        </w:rPr>
        <w:t xml:space="preserve"> </w:t>
      </w:r>
      <w:r w:rsidR="00B8209A">
        <w:rPr>
          <w:rFonts w:eastAsiaTheme="majorEastAsia" w:cs="Arial"/>
          <w:szCs w:val="24"/>
        </w:rPr>
        <w:t>samples</w:t>
      </w:r>
      <w:r w:rsidRPr="003F0B1E">
        <w:rPr>
          <w:rFonts w:eastAsiaTheme="majorEastAsia" w:cs="Arial"/>
          <w:szCs w:val="24"/>
        </w:rPr>
        <w:t xml:space="preserve"> of</w:t>
      </w:r>
      <w:r w:rsidR="00B8209A">
        <w:rPr>
          <w:rFonts w:eastAsiaTheme="majorEastAsia" w:cs="Arial"/>
          <w:szCs w:val="24"/>
        </w:rPr>
        <w:t xml:space="preserve"> the</w:t>
      </w:r>
      <w:r w:rsidRPr="003F0B1E">
        <w:rPr>
          <w:rFonts w:eastAsiaTheme="majorEastAsia" w:cs="Arial"/>
          <w:szCs w:val="24"/>
        </w:rPr>
        <w:t xml:space="preserve"> information </w:t>
      </w:r>
      <w:r w:rsidR="00B8209A">
        <w:rPr>
          <w:rFonts w:eastAsiaTheme="majorEastAsia" w:cs="Arial"/>
          <w:szCs w:val="24"/>
        </w:rPr>
        <w:t xml:space="preserve">you have provided </w:t>
      </w:r>
      <w:r w:rsidRPr="003F0B1E">
        <w:rPr>
          <w:rFonts w:eastAsiaTheme="majorEastAsia" w:cs="Arial"/>
          <w:szCs w:val="24"/>
        </w:rPr>
        <w:t xml:space="preserve">to </w:t>
      </w:r>
      <w:r w:rsidR="00F72246">
        <w:rPr>
          <w:rFonts w:eastAsiaTheme="majorEastAsia" w:cs="Arial"/>
          <w:szCs w:val="24"/>
        </w:rPr>
        <w:t>consumers</w:t>
      </w:r>
      <w:r w:rsidR="00B8209A">
        <w:rPr>
          <w:rFonts w:eastAsiaTheme="majorEastAsia" w:cs="Arial"/>
          <w:szCs w:val="24"/>
        </w:rPr>
        <w:t>.</w:t>
      </w:r>
      <w:r w:rsidRPr="003F0B1E">
        <w:rPr>
          <w:rFonts w:eastAsiaTheme="majorEastAsia" w:cs="Arial"/>
          <w:szCs w:val="24"/>
        </w:rPr>
        <w:t xml:space="preserve"> </w:t>
      </w:r>
    </w:p>
    <w:p w14:paraId="4C98E562" w14:textId="0B287919" w:rsidR="00A556E6" w:rsidRPr="0019146D" w:rsidRDefault="00A556E6" w:rsidP="00A556E6">
      <w:pPr>
        <w:rPr>
          <w:rFonts w:eastAsiaTheme="majorEastAsia" w:cs="Arial"/>
          <w:b/>
          <w:szCs w:val="24"/>
        </w:rPr>
      </w:pPr>
      <w:r>
        <w:rPr>
          <w:rFonts w:eastAsiaTheme="majorEastAsia" w:cs="Arial"/>
          <w:b/>
          <w:szCs w:val="24"/>
        </w:rPr>
        <w:t>E</w:t>
      </w:r>
      <w:r w:rsidRPr="0019146D">
        <w:rPr>
          <w:rFonts w:eastAsiaTheme="majorEastAsia" w:cs="Arial"/>
          <w:b/>
          <w:szCs w:val="24"/>
        </w:rPr>
        <w:t xml:space="preserve">xplicit </w:t>
      </w:r>
      <w:r w:rsidRPr="00A2043E">
        <w:rPr>
          <w:b/>
        </w:rPr>
        <w:t xml:space="preserve">informed </w:t>
      </w:r>
      <w:r w:rsidRPr="0019146D">
        <w:rPr>
          <w:rFonts w:eastAsiaTheme="majorEastAsia" w:cs="Arial"/>
          <w:b/>
          <w:szCs w:val="24"/>
        </w:rPr>
        <w:t>consent</w:t>
      </w:r>
    </w:p>
    <w:p w14:paraId="20A4B51F" w14:textId="77777777" w:rsidR="00A556E6" w:rsidRDefault="00A556E6" w:rsidP="003F0B1E">
      <w:pPr>
        <w:rPr>
          <w:rFonts w:eastAsiaTheme="majorEastAsia" w:cs="Arial"/>
          <w:szCs w:val="24"/>
        </w:rPr>
      </w:pPr>
      <w:r>
        <w:rPr>
          <w:rFonts w:eastAsiaTheme="majorEastAsia" w:cs="Arial"/>
          <w:szCs w:val="24"/>
        </w:rPr>
        <w:t>To</w:t>
      </w:r>
      <w:r w:rsidR="00CF7F8A">
        <w:rPr>
          <w:rFonts w:eastAsiaTheme="majorEastAsia" w:cs="Arial"/>
          <w:szCs w:val="24"/>
        </w:rPr>
        <w:t xml:space="preserve"> demonstrate</w:t>
      </w:r>
      <w:r w:rsidR="00D26FD7">
        <w:rPr>
          <w:rFonts w:eastAsiaTheme="majorEastAsia" w:cs="Arial"/>
          <w:szCs w:val="24"/>
        </w:rPr>
        <w:t xml:space="preserve"> that</w:t>
      </w:r>
      <w:r>
        <w:rPr>
          <w:rFonts w:eastAsiaTheme="majorEastAsia" w:cs="Arial"/>
          <w:szCs w:val="24"/>
        </w:rPr>
        <w:t xml:space="preserve"> you have </w:t>
      </w:r>
      <w:r w:rsidR="00CC5B16">
        <w:rPr>
          <w:rFonts w:eastAsiaTheme="majorEastAsia" w:cs="Arial"/>
          <w:szCs w:val="24"/>
        </w:rPr>
        <w:t>obtained</w:t>
      </w:r>
      <w:r>
        <w:rPr>
          <w:rFonts w:eastAsiaTheme="majorEastAsia" w:cs="Arial"/>
          <w:szCs w:val="24"/>
        </w:rPr>
        <w:t xml:space="preserve"> customer consent</w:t>
      </w:r>
      <w:r w:rsidR="00D26FD7">
        <w:rPr>
          <w:rFonts w:eastAsiaTheme="majorEastAsia" w:cs="Arial"/>
          <w:szCs w:val="24"/>
        </w:rPr>
        <w:t xml:space="preserve"> you need to </w:t>
      </w:r>
      <w:r w:rsidR="00CC5B16">
        <w:rPr>
          <w:rFonts w:eastAsiaTheme="majorEastAsia" w:cs="Arial"/>
          <w:szCs w:val="24"/>
        </w:rPr>
        <w:t>address the</w:t>
      </w:r>
      <w:r w:rsidR="00D26FD7">
        <w:rPr>
          <w:rFonts w:eastAsiaTheme="majorEastAsia" w:cs="Arial"/>
          <w:szCs w:val="24"/>
        </w:rPr>
        <w:t xml:space="preserve"> following</w:t>
      </w:r>
      <w:r w:rsidR="00CC5B16">
        <w:rPr>
          <w:rFonts w:eastAsiaTheme="majorEastAsia" w:cs="Arial"/>
          <w:szCs w:val="24"/>
        </w:rPr>
        <w:t>:</w:t>
      </w:r>
    </w:p>
    <w:p w14:paraId="69C53BE7" w14:textId="77777777" w:rsidR="00A556E6" w:rsidRDefault="000B6888" w:rsidP="003F0B1E">
      <w:pPr>
        <w:pStyle w:val="ListParagraph"/>
        <w:numPr>
          <w:ilvl w:val="0"/>
          <w:numId w:val="18"/>
        </w:numPr>
        <w:contextualSpacing w:val="0"/>
        <w:rPr>
          <w:rFonts w:eastAsiaTheme="majorEastAsia" w:cs="Arial"/>
          <w:szCs w:val="24"/>
        </w:rPr>
      </w:pPr>
      <w:r>
        <w:rPr>
          <w:rFonts w:eastAsiaTheme="majorEastAsia" w:cs="Arial"/>
          <w:szCs w:val="24"/>
        </w:rPr>
        <w:t>confirm you have</w:t>
      </w:r>
      <w:r w:rsidR="00A556E6">
        <w:rPr>
          <w:rFonts w:eastAsiaTheme="majorEastAsia" w:cs="Arial"/>
          <w:szCs w:val="24"/>
        </w:rPr>
        <w:t xml:space="preserve"> evidence of written consent from all </w:t>
      </w:r>
      <w:r w:rsidR="00C51F2F">
        <w:rPr>
          <w:rFonts w:eastAsiaTheme="majorEastAsia" w:cs="Arial"/>
          <w:szCs w:val="24"/>
        </w:rPr>
        <w:t>customers</w:t>
      </w:r>
      <w:r w:rsidR="00CF7F8A">
        <w:rPr>
          <w:rFonts w:eastAsiaTheme="majorEastAsia" w:cs="Arial"/>
          <w:szCs w:val="24"/>
        </w:rPr>
        <w:t xml:space="preserve"> affected by</w:t>
      </w:r>
      <w:r w:rsidR="00A556E6">
        <w:rPr>
          <w:rFonts w:eastAsiaTheme="majorEastAsia" w:cs="Arial"/>
          <w:szCs w:val="24"/>
        </w:rPr>
        <w:t xml:space="preserve"> the retrofit </w:t>
      </w:r>
    </w:p>
    <w:p w14:paraId="4E97FE5C" w14:textId="77777777" w:rsidR="00A556E6" w:rsidRDefault="000B6888" w:rsidP="003F0B1E">
      <w:pPr>
        <w:pStyle w:val="ListParagraph"/>
        <w:numPr>
          <w:ilvl w:val="0"/>
          <w:numId w:val="18"/>
        </w:numPr>
        <w:contextualSpacing w:val="0"/>
        <w:rPr>
          <w:rFonts w:eastAsiaTheme="majorEastAsia" w:cs="Arial"/>
          <w:szCs w:val="24"/>
        </w:rPr>
      </w:pPr>
      <w:r>
        <w:rPr>
          <w:rFonts w:eastAsiaTheme="majorEastAsia" w:cs="Arial"/>
          <w:szCs w:val="24"/>
        </w:rPr>
        <w:t xml:space="preserve">confirm </w:t>
      </w:r>
      <w:r w:rsidR="005E37B3">
        <w:rPr>
          <w:rFonts w:eastAsiaTheme="majorEastAsia" w:cs="Arial"/>
          <w:szCs w:val="24"/>
        </w:rPr>
        <w:t xml:space="preserve">that consent </w:t>
      </w:r>
      <w:r w:rsidR="003C0E33">
        <w:rPr>
          <w:rFonts w:eastAsiaTheme="majorEastAsia" w:cs="Arial"/>
          <w:szCs w:val="24"/>
        </w:rPr>
        <w:t>was</w:t>
      </w:r>
      <w:r w:rsidR="005E37B3">
        <w:rPr>
          <w:rFonts w:eastAsiaTheme="majorEastAsia" w:cs="Arial"/>
          <w:szCs w:val="24"/>
        </w:rPr>
        <w:t xml:space="preserve"> sought separately</w:t>
      </w:r>
      <w:r w:rsidR="003C0E33">
        <w:rPr>
          <w:rFonts w:eastAsiaTheme="majorEastAsia" w:cs="Arial"/>
          <w:szCs w:val="24"/>
        </w:rPr>
        <w:t xml:space="preserve"> from </w:t>
      </w:r>
      <w:r w:rsidR="00C51F2F">
        <w:rPr>
          <w:rFonts w:eastAsiaTheme="majorEastAsia" w:cs="Arial"/>
          <w:szCs w:val="24"/>
        </w:rPr>
        <w:t>customers</w:t>
      </w:r>
      <w:r w:rsidR="005E37B3">
        <w:rPr>
          <w:rFonts w:eastAsiaTheme="majorEastAsia" w:cs="Arial"/>
          <w:szCs w:val="24"/>
        </w:rPr>
        <w:t xml:space="preserve"> for the retrofit and the energy sale agreement</w:t>
      </w:r>
    </w:p>
    <w:p w14:paraId="3805E969" w14:textId="2ABA7845" w:rsidR="00A556E6" w:rsidRDefault="00D26FD7" w:rsidP="003F0B1E">
      <w:pPr>
        <w:pStyle w:val="ListParagraph"/>
        <w:numPr>
          <w:ilvl w:val="0"/>
          <w:numId w:val="18"/>
        </w:numPr>
        <w:contextualSpacing w:val="0"/>
        <w:rPr>
          <w:rFonts w:eastAsiaTheme="majorEastAsia" w:cs="Arial"/>
          <w:szCs w:val="24"/>
        </w:rPr>
      </w:pPr>
      <w:r>
        <w:rPr>
          <w:rFonts w:eastAsiaTheme="majorEastAsia" w:cs="Arial"/>
          <w:szCs w:val="24"/>
        </w:rPr>
        <w:t>i</w:t>
      </w:r>
      <w:r w:rsidR="00A556E6" w:rsidRPr="0019146D">
        <w:rPr>
          <w:rFonts w:eastAsiaTheme="majorEastAsia" w:cs="Arial"/>
          <w:szCs w:val="24"/>
        </w:rPr>
        <w:t xml:space="preserve">f </w:t>
      </w:r>
      <w:r w:rsidR="00C51F2F">
        <w:rPr>
          <w:rFonts w:eastAsiaTheme="majorEastAsia" w:cs="Arial"/>
          <w:szCs w:val="24"/>
        </w:rPr>
        <w:t>customers</w:t>
      </w:r>
      <w:r w:rsidR="00A556E6" w:rsidRPr="0019146D">
        <w:rPr>
          <w:rFonts w:eastAsiaTheme="majorEastAsia" w:cs="Arial"/>
          <w:szCs w:val="24"/>
        </w:rPr>
        <w:t xml:space="preserve"> expressed concerns, </w:t>
      </w:r>
      <w:r w:rsidR="000B6888">
        <w:rPr>
          <w:rFonts w:eastAsiaTheme="majorEastAsia" w:cs="Arial"/>
          <w:szCs w:val="24"/>
        </w:rPr>
        <w:t xml:space="preserve">provide </w:t>
      </w:r>
      <w:r w:rsidR="00CC5B16">
        <w:rPr>
          <w:rFonts w:eastAsiaTheme="majorEastAsia" w:cs="Arial"/>
          <w:szCs w:val="24"/>
        </w:rPr>
        <w:t xml:space="preserve">evidence of your </w:t>
      </w:r>
      <w:r w:rsidR="00A556E6">
        <w:rPr>
          <w:rFonts w:eastAsiaTheme="majorEastAsia" w:cs="Arial"/>
          <w:szCs w:val="24"/>
        </w:rPr>
        <w:t>attemp</w:t>
      </w:r>
      <w:r w:rsidR="00CC5B16">
        <w:rPr>
          <w:rFonts w:eastAsiaTheme="majorEastAsia" w:cs="Arial"/>
          <w:szCs w:val="24"/>
        </w:rPr>
        <w:t>ts</w:t>
      </w:r>
      <w:r w:rsidR="00A556E6">
        <w:rPr>
          <w:rFonts w:eastAsiaTheme="majorEastAsia" w:cs="Arial"/>
          <w:szCs w:val="24"/>
        </w:rPr>
        <w:t xml:space="preserve"> to resolve them</w:t>
      </w:r>
      <w:r w:rsidR="00CF7F8A">
        <w:rPr>
          <w:rFonts w:eastAsiaTheme="majorEastAsia" w:cs="Arial"/>
          <w:szCs w:val="24"/>
        </w:rPr>
        <w:t>.</w:t>
      </w:r>
    </w:p>
    <w:p w14:paraId="55D840C1" w14:textId="77777777" w:rsidR="00D26FD7" w:rsidRPr="003F0B1E" w:rsidRDefault="00C208A9" w:rsidP="003F0B1E">
      <w:r>
        <w:t xml:space="preserve">You do not need to provide evidence of </w:t>
      </w:r>
      <w:r w:rsidR="00C51F2F">
        <w:t>customers’</w:t>
      </w:r>
      <w:r>
        <w:t xml:space="preserve"> consent to the proposed retrofit in the initial application, but evidence should be available on request. </w:t>
      </w:r>
    </w:p>
    <w:p w14:paraId="6438FD42" w14:textId="77777777" w:rsidR="008677F3" w:rsidRPr="003F0B1E" w:rsidRDefault="003D6FDF" w:rsidP="003F0B1E">
      <w:pPr>
        <w:rPr>
          <w:b/>
        </w:rPr>
      </w:pPr>
      <w:r w:rsidRPr="003F0B1E">
        <w:rPr>
          <w:b/>
        </w:rPr>
        <w:t>Retail contestability</w:t>
      </w:r>
    </w:p>
    <w:p w14:paraId="7958C250" w14:textId="77777777" w:rsidR="00E423B5" w:rsidRPr="00486178" w:rsidRDefault="00853AF5" w:rsidP="003F0B1E">
      <w:pPr>
        <w:pStyle w:val="ListParagraph"/>
        <w:ind w:left="0"/>
        <w:contextualSpacing w:val="0"/>
        <w:rPr>
          <w:rFonts w:eastAsiaTheme="majorEastAsia" w:cs="Arial"/>
          <w:szCs w:val="24"/>
        </w:rPr>
      </w:pPr>
      <w:r>
        <w:rPr>
          <w:rFonts w:eastAsiaTheme="majorEastAsia" w:cs="Arial"/>
          <w:szCs w:val="24"/>
        </w:rPr>
        <w:t>To demonstrate you</w:t>
      </w:r>
      <w:r w:rsidR="007A1558">
        <w:rPr>
          <w:rFonts w:eastAsiaTheme="majorEastAsia" w:cs="Arial"/>
          <w:szCs w:val="24"/>
        </w:rPr>
        <w:t xml:space="preserve"> have</w:t>
      </w:r>
      <w:r w:rsidR="00E423B5" w:rsidRPr="003F0B1E">
        <w:rPr>
          <w:rFonts w:eastAsiaTheme="majorEastAsia" w:cs="Arial"/>
          <w:szCs w:val="24"/>
        </w:rPr>
        <w:t xml:space="preserve"> </w:t>
      </w:r>
      <w:r w:rsidR="003A5164">
        <w:rPr>
          <w:rFonts w:eastAsiaTheme="majorEastAsia" w:cs="Arial"/>
          <w:szCs w:val="24"/>
        </w:rPr>
        <w:t>address</w:t>
      </w:r>
      <w:r w:rsidR="007A1558">
        <w:rPr>
          <w:rFonts w:eastAsiaTheme="majorEastAsia" w:cs="Arial"/>
          <w:szCs w:val="24"/>
        </w:rPr>
        <w:t>ed</w:t>
      </w:r>
      <w:r w:rsidR="00E423B5" w:rsidRPr="003F0B1E">
        <w:rPr>
          <w:rFonts w:eastAsiaTheme="majorEastAsia" w:cs="Arial"/>
          <w:szCs w:val="24"/>
        </w:rPr>
        <w:t xml:space="preserve"> </w:t>
      </w:r>
      <w:r w:rsidR="007A1558">
        <w:rPr>
          <w:rFonts w:eastAsiaTheme="majorEastAsia" w:cs="Arial"/>
          <w:szCs w:val="24"/>
        </w:rPr>
        <w:t>any</w:t>
      </w:r>
      <w:r>
        <w:rPr>
          <w:rFonts w:eastAsiaTheme="majorEastAsia" w:cs="Arial"/>
          <w:szCs w:val="24"/>
        </w:rPr>
        <w:t xml:space="preserve"> potential</w:t>
      </w:r>
      <w:r w:rsidR="00CF7F8A">
        <w:rPr>
          <w:rFonts w:eastAsiaTheme="majorEastAsia" w:cs="Arial"/>
          <w:szCs w:val="24"/>
        </w:rPr>
        <w:t xml:space="preserve"> </w:t>
      </w:r>
      <w:r w:rsidR="00E423B5" w:rsidRPr="003F0B1E">
        <w:rPr>
          <w:rFonts w:eastAsiaTheme="majorEastAsia" w:cs="Arial"/>
          <w:szCs w:val="24"/>
        </w:rPr>
        <w:t>customer detriment</w:t>
      </w:r>
      <w:r w:rsidR="007A1558">
        <w:rPr>
          <w:rFonts w:eastAsiaTheme="majorEastAsia" w:cs="Arial"/>
          <w:szCs w:val="24"/>
        </w:rPr>
        <w:t xml:space="preserve"> </w:t>
      </w:r>
      <w:r>
        <w:rPr>
          <w:rFonts w:eastAsiaTheme="majorEastAsia" w:cs="Arial"/>
          <w:szCs w:val="24"/>
        </w:rPr>
        <w:t>resulting from a</w:t>
      </w:r>
      <w:r w:rsidR="007A1558">
        <w:rPr>
          <w:rFonts w:eastAsiaTheme="majorEastAsia" w:cs="Arial"/>
          <w:szCs w:val="24"/>
        </w:rPr>
        <w:t xml:space="preserve"> </w:t>
      </w:r>
      <w:r>
        <w:rPr>
          <w:rFonts w:eastAsiaTheme="majorEastAsia" w:cs="Arial"/>
          <w:szCs w:val="24"/>
        </w:rPr>
        <w:t>loss of retail contestability, you must</w:t>
      </w:r>
      <w:r w:rsidR="000B6888">
        <w:rPr>
          <w:rFonts w:eastAsiaTheme="majorEastAsia" w:cs="Arial"/>
          <w:szCs w:val="24"/>
        </w:rPr>
        <w:t xml:space="preserve"> </w:t>
      </w:r>
      <w:r w:rsidR="00E00F72">
        <w:rPr>
          <w:rFonts w:eastAsiaTheme="majorEastAsia" w:cs="Arial"/>
          <w:szCs w:val="24"/>
        </w:rPr>
        <w:t xml:space="preserve">confirm </w:t>
      </w:r>
      <w:r w:rsidR="00D26FD7">
        <w:rPr>
          <w:rFonts w:eastAsiaTheme="majorEastAsia" w:cs="Arial"/>
          <w:szCs w:val="24"/>
        </w:rPr>
        <w:t xml:space="preserve">whether </w:t>
      </w:r>
      <w:r w:rsidR="00E00F72">
        <w:rPr>
          <w:rFonts w:eastAsiaTheme="majorEastAsia" w:cs="Arial"/>
          <w:szCs w:val="24"/>
        </w:rPr>
        <w:t>you have:</w:t>
      </w:r>
    </w:p>
    <w:p w14:paraId="5D236222" w14:textId="77777777" w:rsidR="003A5164" w:rsidRDefault="003A5164" w:rsidP="003A5164">
      <w:pPr>
        <w:pStyle w:val="ListParagraph"/>
        <w:numPr>
          <w:ilvl w:val="0"/>
          <w:numId w:val="18"/>
        </w:numPr>
        <w:contextualSpacing w:val="0"/>
        <w:rPr>
          <w:rFonts w:eastAsiaTheme="majorEastAsia" w:cs="Arial"/>
          <w:szCs w:val="24"/>
        </w:rPr>
      </w:pPr>
      <w:r>
        <w:rPr>
          <w:rFonts w:eastAsiaTheme="majorEastAsia" w:cs="Arial"/>
          <w:szCs w:val="24"/>
        </w:rPr>
        <w:t>sought advice from the distributor about whether</w:t>
      </w:r>
      <w:r w:rsidR="00853AF5">
        <w:rPr>
          <w:rFonts w:eastAsiaTheme="majorEastAsia" w:cs="Arial"/>
          <w:szCs w:val="24"/>
        </w:rPr>
        <w:t xml:space="preserve"> non-consenting</w:t>
      </w:r>
      <w:r>
        <w:rPr>
          <w:rFonts w:eastAsiaTheme="majorEastAsia" w:cs="Arial"/>
          <w:szCs w:val="24"/>
        </w:rPr>
        <w:t xml:space="preserve"> customers can be wired out of the embedded network </w:t>
      </w:r>
    </w:p>
    <w:p w14:paraId="3178A1EC" w14:textId="77777777" w:rsidR="00E00F72" w:rsidRPr="003F0B1E" w:rsidRDefault="00853AF5" w:rsidP="00E00F72">
      <w:pPr>
        <w:pStyle w:val="ListParagraph"/>
        <w:numPr>
          <w:ilvl w:val="0"/>
          <w:numId w:val="18"/>
        </w:numPr>
        <w:contextualSpacing w:val="0"/>
        <w:rPr>
          <w:rFonts w:eastAsiaTheme="majorEastAsia" w:cs="Arial"/>
          <w:b/>
          <w:szCs w:val="24"/>
        </w:rPr>
      </w:pPr>
      <w:r>
        <w:rPr>
          <w:rFonts w:eastAsiaTheme="majorEastAsia" w:cs="Arial"/>
          <w:szCs w:val="24"/>
        </w:rPr>
        <w:t xml:space="preserve">taken steps to ensure that </w:t>
      </w:r>
      <w:r w:rsidR="008677F3">
        <w:rPr>
          <w:rFonts w:eastAsiaTheme="majorEastAsia" w:cs="Arial"/>
          <w:szCs w:val="24"/>
        </w:rPr>
        <w:t xml:space="preserve">customers who </w:t>
      </w:r>
      <w:r w:rsidR="00E00F72">
        <w:rPr>
          <w:rFonts w:eastAsiaTheme="majorEastAsia" w:cs="Arial"/>
          <w:szCs w:val="24"/>
        </w:rPr>
        <w:t>wish</w:t>
      </w:r>
      <w:r w:rsidR="008677F3">
        <w:rPr>
          <w:rFonts w:eastAsiaTheme="majorEastAsia" w:cs="Arial"/>
          <w:szCs w:val="24"/>
        </w:rPr>
        <w:t xml:space="preserve"> to remain with their retailer</w:t>
      </w:r>
      <w:r>
        <w:rPr>
          <w:rFonts w:eastAsiaTheme="majorEastAsia" w:cs="Arial"/>
          <w:szCs w:val="24"/>
        </w:rPr>
        <w:t>,</w:t>
      </w:r>
      <w:r w:rsidR="008677F3">
        <w:rPr>
          <w:rFonts w:eastAsiaTheme="majorEastAsia" w:cs="Arial"/>
          <w:szCs w:val="24"/>
        </w:rPr>
        <w:t xml:space="preserve"> </w:t>
      </w:r>
      <w:r w:rsidR="00E00F72">
        <w:rPr>
          <w:rFonts w:eastAsiaTheme="majorEastAsia" w:cs="Arial"/>
          <w:szCs w:val="24"/>
        </w:rPr>
        <w:t xml:space="preserve">but cannot be wired out, </w:t>
      </w:r>
      <w:r w:rsidR="000B6888">
        <w:rPr>
          <w:rFonts w:eastAsiaTheme="majorEastAsia" w:cs="Arial"/>
          <w:szCs w:val="24"/>
        </w:rPr>
        <w:t>will not be</w:t>
      </w:r>
      <w:r w:rsidR="008677F3">
        <w:rPr>
          <w:rFonts w:eastAsiaTheme="majorEastAsia" w:cs="Arial"/>
          <w:szCs w:val="24"/>
        </w:rPr>
        <w:t xml:space="preserve"> financially disadvantaged</w:t>
      </w:r>
      <w:r w:rsidR="00B8209A">
        <w:rPr>
          <w:rFonts w:eastAsiaTheme="majorEastAsia" w:cs="Arial"/>
          <w:szCs w:val="24"/>
        </w:rPr>
        <w:t xml:space="preserve"> by the retrofit. Measures </w:t>
      </w:r>
      <w:r w:rsidR="003A5164">
        <w:rPr>
          <w:rFonts w:eastAsiaTheme="majorEastAsia" w:cs="Arial"/>
          <w:szCs w:val="24"/>
        </w:rPr>
        <w:t>to</w:t>
      </w:r>
      <w:r w:rsidR="00B8209A">
        <w:rPr>
          <w:rFonts w:eastAsiaTheme="majorEastAsia" w:cs="Arial"/>
          <w:szCs w:val="24"/>
        </w:rPr>
        <w:t xml:space="preserve"> reduce financial detriment </w:t>
      </w:r>
      <w:r w:rsidR="003A5164">
        <w:rPr>
          <w:rFonts w:eastAsiaTheme="majorEastAsia" w:cs="Arial"/>
          <w:szCs w:val="24"/>
        </w:rPr>
        <w:t>are likely to</w:t>
      </w:r>
      <w:r w:rsidR="00B8209A">
        <w:rPr>
          <w:rFonts w:eastAsiaTheme="majorEastAsia" w:cs="Arial"/>
          <w:szCs w:val="24"/>
        </w:rPr>
        <w:t xml:space="preserve"> include</w:t>
      </w:r>
      <w:r w:rsidR="008677F3">
        <w:rPr>
          <w:rFonts w:eastAsiaTheme="majorEastAsia" w:cs="Arial"/>
          <w:szCs w:val="24"/>
        </w:rPr>
        <w:t xml:space="preserve"> </w:t>
      </w:r>
      <w:r w:rsidR="00B55D87">
        <w:rPr>
          <w:rFonts w:eastAsiaTheme="majorEastAsia" w:cs="Arial"/>
          <w:szCs w:val="24"/>
        </w:rPr>
        <w:t>price match</w:t>
      </w:r>
      <w:r w:rsidR="00E00F72">
        <w:rPr>
          <w:rFonts w:eastAsiaTheme="majorEastAsia" w:cs="Arial"/>
          <w:szCs w:val="24"/>
        </w:rPr>
        <w:t>ing</w:t>
      </w:r>
      <w:r w:rsidR="00B55D87">
        <w:rPr>
          <w:rFonts w:eastAsiaTheme="majorEastAsia" w:cs="Arial"/>
          <w:szCs w:val="24"/>
        </w:rPr>
        <w:t xml:space="preserve"> for affected customers</w:t>
      </w:r>
      <w:r w:rsidR="00E00F72">
        <w:rPr>
          <w:rFonts w:eastAsiaTheme="majorEastAsia" w:cs="Arial"/>
          <w:szCs w:val="24"/>
        </w:rPr>
        <w:t>, and taking financial responsibility for any double billing of network charges.</w:t>
      </w:r>
    </w:p>
    <w:p w14:paraId="7BE89FF7" w14:textId="77777777" w:rsidR="00CE6D49" w:rsidRDefault="00486178">
      <w:r w:rsidRPr="00051D5C">
        <w:rPr>
          <w:rFonts w:eastAsiaTheme="majorEastAsia" w:cs="Arial"/>
          <w:b/>
          <w:szCs w:val="24"/>
        </w:rPr>
        <w:t>Customer dispute resolution services</w:t>
      </w:r>
    </w:p>
    <w:p w14:paraId="264DC0A4" w14:textId="77777777" w:rsidR="00CE6D49" w:rsidRDefault="00E00F72" w:rsidP="00051D5C">
      <w:pPr>
        <w:pStyle w:val="ListParagraph"/>
        <w:numPr>
          <w:ilvl w:val="0"/>
          <w:numId w:val="18"/>
        </w:numPr>
        <w:contextualSpacing w:val="0"/>
      </w:pPr>
      <w:r w:rsidRPr="00051D5C">
        <w:rPr>
          <w:rFonts w:eastAsiaTheme="majorEastAsia" w:cs="Arial"/>
          <w:szCs w:val="24"/>
        </w:rPr>
        <w:t>Have</w:t>
      </w:r>
      <w:r w:rsidRPr="003F0B1E">
        <w:t xml:space="preserve"> </w:t>
      </w:r>
      <w:r w:rsidRPr="00051D5C">
        <w:rPr>
          <w:rFonts w:eastAsiaTheme="majorEastAsia" w:cs="Arial"/>
          <w:szCs w:val="24"/>
        </w:rPr>
        <w:t>you</w:t>
      </w:r>
      <w:r w:rsidRPr="003F0B1E">
        <w:t xml:space="preserve"> </w:t>
      </w:r>
      <w:r w:rsidRPr="00051D5C">
        <w:rPr>
          <w:rFonts w:eastAsiaTheme="majorEastAsia" w:cs="Arial"/>
          <w:szCs w:val="24"/>
        </w:rPr>
        <w:t>advised</w:t>
      </w:r>
      <w:r w:rsidRPr="003F0B1E">
        <w:t xml:space="preserve"> customers of your dispute resolution process and </w:t>
      </w:r>
      <w:r w:rsidR="00A556E6">
        <w:t>options for</w:t>
      </w:r>
      <w:r w:rsidRPr="003F0B1E">
        <w:t xml:space="preserve"> external dispute resolution, such as ombudsman schemes? </w:t>
      </w:r>
    </w:p>
    <w:p w14:paraId="0FE41B70" w14:textId="77777777" w:rsidR="00CE6D49" w:rsidRPr="00051D5C" w:rsidRDefault="00CE6D49" w:rsidP="00CE6D49">
      <w:pPr>
        <w:rPr>
          <w:b/>
        </w:rPr>
      </w:pPr>
      <w:r w:rsidRPr="00CE6D49">
        <w:rPr>
          <w:b/>
        </w:rPr>
        <w:t>AER Consult</w:t>
      </w:r>
      <w:r>
        <w:rPr>
          <w:b/>
        </w:rPr>
        <w:t>ati</w:t>
      </w:r>
      <w:r w:rsidRPr="00051D5C">
        <w:rPr>
          <w:b/>
        </w:rPr>
        <w:t>on</w:t>
      </w:r>
    </w:p>
    <w:p w14:paraId="3CFD5295" w14:textId="024224EE" w:rsidR="000E50EB" w:rsidRDefault="000E50EB" w:rsidP="000E50EB">
      <w:pPr>
        <w:pStyle w:val="ListParagraph"/>
        <w:numPr>
          <w:ilvl w:val="0"/>
          <w:numId w:val="18"/>
        </w:numPr>
        <w:rPr>
          <w:rFonts w:eastAsiaTheme="majorEastAsia" w:cs="Arial"/>
          <w:szCs w:val="24"/>
        </w:rPr>
      </w:pPr>
      <w:r>
        <w:t xml:space="preserve">You must confirm you have advised </w:t>
      </w:r>
      <w:r w:rsidR="00F72246">
        <w:t>consumer</w:t>
      </w:r>
      <w:r>
        <w:t xml:space="preserve">s of the AER’s consultation process. </w:t>
      </w:r>
      <w:r w:rsidRPr="000E50EB">
        <w:rPr>
          <w:rFonts w:eastAsiaTheme="majorEastAsia" w:cs="Arial"/>
          <w:szCs w:val="24"/>
        </w:rPr>
        <w:t xml:space="preserve">In particular, you must make </w:t>
      </w:r>
      <w:r w:rsidR="00F72246">
        <w:rPr>
          <w:rFonts w:eastAsiaTheme="majorEastAsia" w:cs="Arial"/>
          <w:szCs w:val="24"/>
        </w:rPr>
        <w:t>consumers</w:t>
      </w:r>
      <w:r w:rsidRPr="000E50EB">
        <w:rPr>
          <w:rFonts w:eastAsiaTheme="majorEastAsia" w:cs="Arial"/>
          <w:szCs w:val="24"/>
        </w:rPr>
        <w:t xml:space="preserve"> aware that the AER consults on individual exemption applications and will publish your application on its website and invite public submissions. </w:t>
      </w:r>
    </w:p>
    <w:p w14:paraId="5D55EF20" w14:textId="77777777" w:rsidR="0024012D" w:rsidRPr="000E50EB" w:rsidRDefault="0024012D" w:rsidP="00051D5C">
      <w:pPr>
        <w:pStyle w:val="ListParagraph"/>
        <w:ind w:left="340"/>
        <w:rPr>
          <w:rFonts w:eastAsiaTheme="majorEastAsia" w:cs="Arial"/>
          <w:szCs w:val="24"/>
        </w:rPr>
      </w:pPr>
    </w:p>
    <w:p w14:paraId="44C38607" w14:textId="77777777" w:rsidR="000E50EB" w:rsidRPr="00CE6D49" w:rsidRDefault="000E50EB" w:rsidP="00A2043E">
      <w:pPr>
        <w:pStyle w:val="ListParagraph"/>
        <w:ind w:left="340"/>
      </w:pPr>
      <w:r w:rsidRPr="000E50EB">
        <w:rPr>
          <w:rFonts w:eastAsiaTheme="majorEastAsia" w:cs="Arial"/>
          <w:szCs w:val="24"/>
        </w:rPr>
        <w:t xml:space="preserve">Information about the AER’s public consultation process is available on its website: </w:t>
      </w:r>
      <w:hyperlink r:id="rId26" w:history="1">
        <w:r w:rsidRPr="002B7E96">
          <w:rPr>
            <w:rStyle w:val="Hyperlink"/>
          </w:rPr>
          <w:t>https://www.aer.gov.au/retail-markets/retail-exemptions/making-a-submission-to-an-individual-retail-exemption-application</w:t>
        </w:r>
      </w:hyperlink>
      <w:r>
        <w:t xml:space="preserve">). </w:t>
      </w:r>
    </w:p>
    <w:p w14:paraId="1BF9877F" w14:textId="77777777" w:rsidR="003F7DA2" w:rsidRDefault="00C35D42" w:rsidP="002E0606">
      <w:pPr>
        <w:pStyle w:val="Heading1"/>
        <w:numPr>
          <w:ilvl w:val="0"/>
          <w:numId w:val="0"/>
        </w:numPr>
        <w:spacing w:line="240" w:lineRule="auto"/>
      </w:pPr>
      <w:bookmarkStart w:id="208" w:name="_Toc445886524"/>
      <w:bookmarkStart w:id="209" w:name="_Toc508963948"/>
      <w:r>
        <w:t>A</w:t>
      </w:r>
      <w:r w:rsidR="003F7DA2">
        <w:t xml:space="preserve">ppendix C: </w:t>
      </w:r>
      <w:r w:rsidR="00EC78EE">
        <w:t xml:space="preserve">Applying for an </w:t>
      </w:r>
      <w:r w:rsidR="003F7DA2">
        <w:t>individu</w:t>
      </w:r>
      <w:r w:rsidR="00997082">
        <w:t xml:space="preserve">al exemption </w:t>
      </w:r>
      <w:r w:rsidR="00EC78EE">
        <w:t>for</w:t>
      </w:r>
      <w:r w:rsidR="00997082">
        <w:t xml:space="preserve"> </w:t>
      </w:r>
      <w:r w:rsidR="00327589" w:rsidRPr="00C35D42">
        <w:t xml:space="preserve">power purchase </w:t>
      </w:r>
      <w:r w:rsidR="003F7DA2" w:rsidRPr="00C35D42">
        <w:t>providers</w:t>
      </w:r>
      <w:r w:rsidR="003F7DA2">
        <w:t xml:space="preserve"> only</w:t>
      </w:r>
      <w:bookmarkEnd w:id="208"/>
      <w:bookmarkEnd w:id="209"/>
    </w:p>
    <w:p w14:paraId="4ECFDB84" w14:textId="77777777" w:rsidR="00915126" w:rsidRDefault="00915126" w:rsidP="00327589">
      <w:pPr>
        <w:pStyle w:val="Heading4"/>
        <w:numPr>
          <w:ilvl w:val="0"/>
          <w:numId w:val="0"/>
        </w:numPr>
      </w:pPr>
      <w:r>
        <w:t>General information requirements</w:t>
      </w:r>
    </w:p>
    <w:p w14:paraId="172542A1" w14:textId="77777777" w:rsidR="00915126" w:rsidRDefault="00915126" w:rsidP="00915126">
      <w:r>
        <w:t>Please provide the following information in your application for the grant of an individual exemption:</w:t>
      </w:r>
    </w:p>
    <w:p w14:paraId="0B79CEA4" w14:textId="77777777" w:rsidR="00915126" w:rsidRDefault="00915126" w:rsidP="00A97E11">
      <w:pPr>
        <w:pStyle w:val="ListParagraph"/>
        <w:numPr>
          <w:ilvl w:val="0"/>
          <w:numId w:val="62"/>
        </w:numPr>
        <w:ind w:left="360"/>
        <w:contextualSpacing w:val="0"/>
      </w:pPr>
      <w:r>
        <w:t>Your legal name. If you are a body corporate or community corporation, please indicate this.</w:t>
      </w:r>
    </w:p>
    <w:p w14:paraId="5AF92D3D" w14:textId="77777777" w:rsidR="00915126" w:rsidRDefault="00915126" w:rsidP="00A97E11">
      <w:pPr>
        <w:pStyle w:val="ListParagraph"/>
        <w:numPr>
          <w:ilvl w:val="0"/>
          <w:numId w:val="62"/>
        </w:numPr>
        <w:ind w:left="360"/>
        <w:contextualSpacing w:val="0"/>
      </w:pPr>
      <w:r>
        <w:t>Your trading name if different to your legal name.</w:t>
      </w:r>
    </w:p>
    <w:p w14:paraId="244957D3" w14:textId="77777777" w:rsidR="00915126" w:rsidRDefault="00915126" w:rsidP="00A97E11">
      <w:pPr>
        <w:pStyle w:val="ListParagraph"/>
        <w:numPr>
          <w:ilvl w:val="0"/>
          <w:numId w:val="62"/>
        </w:numPr>
        <w:ind w:left="360"/>
        <w:contextualSpacing w:val="0"/>
      </w:pPr>
      <w:r>
        <w:t>Australian Business Number (ABN) or Australian Company Number (ACN).</w:t>
      </w:r>
    </w:p>
    <w:p w14:paraId="2CBB0B40" w14:textId="77777777" w:rsidR="00915126" w:rsidRDefault="00915126" w:rsidP="00A97E11">
      <w:pPr>
        <w:pStyle w:val="ListParagraph"/>
        <w:numPr>
          <w:ilvl w:val="0"/>
          <w:numId w:val="62"/>
        </w:numPr>
        <w:ind w:left="360"/>
        <w:contextualSpacing w:val="0"/>
      </w:pPr>
      <w:r>
        <w:t>Registered postal address for correspondence. We may verify this information with the Australian Securities and Investments Commission (ASIC) or other relevant agency.</w:t>
      </w:r>
    </w:p>
    <w:p w14:paraId="1EAB68AC" w14:textId="77777777" w:rsidR="00915126" w:rsidRDefault="00915126" w:rsidP="00A97E11">
      <w:pPr>
        <w:pStyle w:val="ListParagraph"/>
        <w:numPr>
          <w:ilvl w:val="0"/>
          <w:numId w:val="62"/>
        </w:numPr>
        <w:ind w:left="360"/>
        <w:contextualSpacing w:val="0"/>
      </w:pPr>
      <w:r>
        <w:t>Nominated contact person, including their position in the organisation and contact details.</w:t>
      </w:r>
    </w:p>
    <w:p w14:paraId="30DB60D5" w14:textId="77777777" w:rsidR="00915126" w:rsidRDefault="00915126" w:rsidP="00A97E11">
      <w:pPr>
        <w:pStyle w:val="ListParagraph"/>
        <w:numPr>
          <w:ilvl w:val="0"/>
          <w:numId w:val="62"/>
        </w:numPr>
        <w:ind w:left="360"/>
        <w:contextualSpacing w:val="0"/>
      </w:pPr>
      <w:r>
        <w:t>Why you are seeking an individual exemption, and why you believe that an exemption (rather than a retailer authorisation) is appropriate to your circumstances.</w:t>
      </w:r>
    </w:p>
    <w:p w14:paraId="6B1E96C1" w14:textId="77777777" w:rsidR="00915126" w:rsidRDefault="00915126" w:rsidP="00A97E11">
      <w:pPr>
        <w:pStyle w:val="ListParagraph"/>
        <w:numPr>
          <w:ilvl w:val="0"/>
          <w:numId w:val="62"/>
        </w:numPr>
        <w:ind w:left="360"/>
        <w:contextualSpacing w:val="0"/>
      </w:pPr>
      <w:r>
        <w:t>The primary activity of your business (for example, managing a shopping centre).</w:t>
      </w:r>
    </w:p>
    <w:p w14:paraId="0F8A5FFB" w14:textId="77777777" w:rsidR="00915126" w:rsidRDefault="004F63F4" w:rsidP="00A97E11">
      <w:pPr>
        <w:pStyle w:val="ListParagraph"/>
        <w:numPr>
          <w:ilvl w:val="0"/>
          <w:numId w:val="62"/>
        </w:numPr>
        <w:ind w:left="360"/>
        <w:contextualSpacing w:val="0"/>
      </w:pPr>
      <w:r w:rsidRPr="004F63F4">
        <w:t xml:space="preserve">Whether you intend to sell electricity to customers </w:t>
      </w:r>
      <w:r w:rsidR="00997082">
        <w:t>connected to the</w:t>
      </w:r>
      <w:r w:rsidRPr="004F63F4">
        <w:t xml:space="preserve"> grid or</w:t>
      </w:r>
      <w:r w:rsidR="00997082">
        <w:t xml:space="preserve"> who are</w:t>
      </w:r>
      <w:r w:rsidRPr="004F63F4">
        <w:t xml:space="preserve"> off</w:t>
      </w:r>
      <w:r w:rsidR="00997082">
        <w:t>-</w:t>
      </w:r>
      <w:r w:rsidRPr="004F63F4">
        <w:t>grid</w:t>
      </w:r>
      <w:r w:rsidR="00997082">
        <w:t xml:space="preserve">. </w:t>
      </w:r>
      <w:r w:rsidRPr="004F63F4">
        <w:t xml:space="preserve"> </w:t>
      </w:r>
    </w:p>
    <w:p w14:paraId="4A90C905" w14:textId="77777777" w:rsidR="00915126" w:rsidRDefault="00915126" w:rsidP="00A97E11">
      <w:pPr>
        <w:pStyle w:val="ListParagraph"/>
        <w:numPr>
          <w:ilvl w:val="0"/>
          <w:numId w:val="62"/>
        </w:numPr>
        <w:ind w:left="360"/>
        <w:contextualSpacing w:val="0"/>
      </w:pPr>
      <w:r>
        <w:t xml:space="preserve">The date from which you intend to commence selling energy. </w:t>
      </w:r>
    </w:p>
    <w:p w14:paraId="2F7C9E6F" w14:textId="77777777" w:rsidR="00915126" w:rsidRDefault="00915126" w:rsidP="00A97E11">
      <w:pPr>
        <w:pStyle w:val="ListParagraph"/>
        <w:numPr>
          <w:ilvl w:val="0"/>
          <w:numId w:val="62"/>
        </w:numPr>
        <w:ind w:left="360"/>
        <w:contextualSpacing w:val="0"/>
      </w:pPr>
      <w:r>
        <w:t xml:space="preserve">Details of any experience in selling energy, for example:  </w:t>
      </w:r>
    </w:p>
    <w:p w14:paraId="5AD6C517" w14:textId="77777777" w:rsidR="00915126" w:rsidRDefault="00915126" w:rsidP="00A97E11">
      <w:pPr>
        <w:pStyle w:val="ListParagraph"/>
        <w:numPr>
          <w:ilvl w:val="0"/>
          <w:numId w:val="64"/>
        </w:numPr>
        <w:ind w:left="720"/>
        <w:contextualSpacing w:val="0"/>
      </w:pPr>
      <w:r>
        <w:t>date/s and location/s of previous operations</w:t>
      </w:r>
    </w:p>
    <w:p w14:paraId="7C53E91B" w14:textId="77777777" w:rsidR="00915126" w:rsidRDefault="00915126" w:rsidP="00A97E11">
      <w:pPr>
        <w:pStyle w:val="ListParagraph"/>
        <w:numPr>
          <w:ilvl w:val="0"/>
          <w:numId w:val="64"/>
        </w:numPr>
        <w:ind w:left="720"/>
        <w:contextualSpacing w:val="0"/>
      </w:pPr>
      <w:r>
        <w:t>scale of operations (that is, the number, size and type of customers)</w:t>
      </w:r>
    </w:p>
    <w:p w14:paraId="3A22A446" w14:textId="77777777" w:rsidR="00915126" w:rsidRDefault="00915126" w:rsidP="00A97E11">
      <w:pPr>
        <w:pStyle w:val="ListParagraph"/>
        <w:numPr>
          <w:ilvl w:val="0"/>
          <w:numId w:val="64"/>
        </w:numPr>
        <w:ind w:left="720"/>
        <w:contextualSpacing w:val="0"/>
      </w:pPr>
      <w:r>
        <w:t>an explanation of which activities will be conducted in-house and which will be contracted out to third parties.</w:t>
      </w:r>
    </w:p>
    <w:p w14:paraId="5E04E7D2" w14:textId="77777777" w:rsidR="00915126" w:rsidRDefault="00915126" w:rsidP="00A97E11">
      <w:pPr>
        <w:pStyle w:val="ListParagraph"/>
        <w:numPr>
          <w:ilvl w:val="0"/>
          <w:numId w:val="62"/>
        </w:numPr>
        <w:ind w:left="360"/>
        <w:contextualSpacing w:val="0"/>
      </w:pPr>
      <w:r>
        <w:t>Whether you currently hold, or have previously held or been subject to, an energy selling exemption or a retail licence (retailer authorisation) in any state or territory. If so, please provide details.</w:t>
      </w:r>
    </w:p>
    <w:p w14:paraId="7D3E4DAF" w14:textId="77777777" w:rsidR="00915126" w:rsidRDefault="00915126" w:rsidP="00327589">
      <w:pPr>
        <w:pStyle w:val="Heading4"/>
        <w:numPr>
          <w:ilvl w:val="0"/>
          <w:numId w:val="0"/>
        </w:numPr>
      </w:pPr>
      <w:r>
        <w:t>Particulars relating to the nature and scope of the proposed operations</w:t>
      </w:r>
    </w:p>
    <w:p w14:paraId="5A373014" w14:textId="77777777" w:rsidR="00915126" w:rsidRDefault="00915126" w:rsidP="00C57D8C">
      <w:r>
        <w:t>To determine whether it is appropriate to exempt you from the requirement to hold a retailer authorisation, we need information on the nature and scope of the operations you propose to conduct. Please answer the following questions:</w:t>
      </w:r>
    </w:p>
    <w:p w14:paraId="123C52B3" w14:textId="1E5AE7FD" w:rsidR="00915126" w:rsidRDefault="00915126" w:rsidP="00A97E11">
      <w:pPr>
        <w:pStyle w:val="ListParagraph"/>
        <w:numPr>
          <w:ilvl w:val="0"/>
          <w:numId w:val="63"/>
        </w:numPr>
        <w:contextualSpacing w:val="0"/>
      </w:pPr>
      <w:r>
        <w:t>Are you providing other services (for example, accommodation/leasing of property) to persons on the site</w:t>
      </w:r>
      <w:r w:rsidR="00C43BD5">
        <w:t xml:space="preserve"> to </w:t>
      </w:r>
      <w:r>
        <w:t>who</w:t>
      </w:r>
      <w:r w:rsidR="00C43BD5">
        <w:t>m</w:t>
      </w:r>
      <w:r>
        <w:t xml:space="preserve"> you intend to sell energy? Or will your only commercial relationship to persons on the site be the sale of energy? If you are providing other services, please specify what these services are, and the contractual or leasing arrangements under which these services are being provided.</w:t>
      </w:r>
    </w:p>
    <w:p w14:paraId="2F3D51EE" w14:textId="77777777" w:rsidR="00915126" w:rsidRDefault="00915126" w:rsidP="00A97E11">
      <w:pPr>
        <w:pStyle w:val="ListParagraph"/>
        <w:numPr>
          <w:ilvl w:val="0"/>
          <w:numId w:val="63"/>
        </w:numPr>
        <w:contextualSpacing w:val="0"/>
      </w:pPr>
      <w:r>
        <w:t xml:space="preserve">In what form and how often will customers be billed? Will you be issuing bills yourself or through a billing agent? </w:t>
      </w:r>
    </w:p>
    <w:p w14:paraId="5E7CD414" w14:textId="77777777" w:rsidR="00915126" w:rsidRDefault="00915126" w:rsidP="00A97E11">
      <w:pPr>
        <w:pStyle w:val="ListParagraph"/>
        <w:numPr>
          <w:ilvl w:val="0"/>
          <w:numId w:val="63"/>
        </w:numPr>
        <w:contextualSpacing w:val="0"/>
      </w:pPr>
      <w:r>
        <w:t>What dispute resolution procedures do you intend to put in place to deal with energy related complaints and issues?</w:t>
      </w:r>
    </w:p>
    <w:p w14:paraId="75E0DB14" w14:textId="77777777" w:rsidR="00915126" w:rsidRPr="003C3CE2" w:rsidRDefault="00915126" w:rsidP="00A97E11">
      <w:pPr>
        <w:pStyle w:val="ListParagraph"/>
        <w:numPr>
          <w:ilvl w:val="0"/>
          <w:numId w:val="63"/>
        </w:numPr>
        <w:contextualSpacing w:val="0"/>
      </w:pPr>
      <w:r w:rsidRPr="003C3CE2">
        <w:t>Please provide any further information that you consider would assist us to assess your application.</w:t>
      </w:r>
    </w:p>
    <w:p w14:paraId="4E4189F9" w14:textId="77777777" w:rsidR="001B7306" w:rsidRPr="003C3CE2" w:rsidRDefault="001B7306" w:rsidP="00A97E11">
      <w:pPr>
        <w:pStyle w:val="ListParagraph"/>
        <w:numPr>
          <w:ilvl w:val="0"/>
          <w:numId w:val="63"/>
        </w:numPr>
        <w:contextualSpacing w:val="0"/>
      </w:pPr>
      <w:r w:rsidRPr="00327589">
        <w:rPr>
          <w:rFonts w:cs="Arial"/>
          <w:lang w:val="en"/>
        </w:rPr>
        <w:t>Please describe your business model in some detail, noting jurisdictions where you will be operating, and customer number forecasts for the first 3 years.</w:t>
      </w:r>
    </w:p>
    <w:p w14:paraId="4356EB1A" w14:textId="77777777" w:rsidR="001B7306" w:rsidRPr="00327589" w:rsidRDefault="001B7306" w:rsidP="00A97E11">
      <w:pPr>
        <w:numPr>
          <w:ilvl w:val="0"/>
          <w:numId w:val="63"/>
        </w:numPr>
        <w:shd w:val="clear" w:color="auto" w:fill="FFFFFF"/>
        <w:rPr>
          <w:rFonts w:cs="Arial"/>
          <w:lang w:val="en"/>
        </w:rPr>
      </w:pPr>
      <w:r w:rsidRPr="00327589">
        <w:rPr>
          <w:rFonts w:cs="Arial"/>
          <w:lang w:val="en"/>
        </w:rPr>
        <w:t>What is your pricing structure - will you charge for energy only or are there other fees? Will you charge only for energy consumed or</w:t>
      </w:r>
      <w:r w:rsidR="003425D9" w:rsidRPr="00327589">
        <w:rPr>
          <w:rFonts w:cs="Arial"/>
          <w:lang w:val="en"/>
        </w:rPr>
        <w:t xml:space="preserve"> for</w:t>
      </w:r>
      <w:r w:rsidRPr="00327589">
        <w:rPr>
          <w:rFonts w:cs="Arial"/>
          <w:lang w:val="en"/>
        </w:rPr>
        <w:t xml:space="preserve"> all energy generated?</w:t>
      </w:r>
    </w:p>
    <w:p w14:paraId="78860F85" w14:textId="13C2082E" w:rsidR="001B7306" w:rsidRPr="00327589" w:rsidRDefault="001B7306" w:rsidP="00A97E11">
      <w:pPr>
        <w:numPr>
          <w:ilvl w:val="0"/>
          <w:numId w:val="63"/>
        </w:numPr>
        <w:shd w:val="clear" w:color="auto" w:fill="FFFFFF"/>
        <w:rPr>
          <w:rFonts w:cs="Arial"/>
          <w:lang w:val="en"/>
        </w:rPr>
      </w:pPr>
      <w:r w:rsidRPr="00327589">
        <w:rPr>
          <w:rFonts w:cs="Arial"/>
          <w:lang w:val="en"/>
        </w:rPr>
        <w:t>Are there related companies and what is their function? Do you intend to transfer any functions to related companies and, if so, wh</w:t>
      </w:r>
      <w:r w:rsidR="0078414F">
        <w:rPr>
          <w:rFonts w:cs="Arial"/>
          <w:lang w:val="en"/>
        </w:rPr>
        <w:t>ich functions</w:t>
      </w:r>
      <w:r w:rsidRPr="00327589">
        <w:rPr>
          <w:rFonts w:cs="Arial"/>
          <w:lang w:val="en"/>
        </w:rPr>
        <w:t>?</w:t>
      </w:r>
    </w:p>
    <w:p w14:paraId="4A0E61AB" w14:textId="77777777" w:rsidR="001B7306" w:rsidRPr="00327589" w:rsidRDefault="001B7306" w:rsidP="00A97E11">
      <w:pPr>
        <w:numPr>
          <w:ilvl w:val="0"/>
          <w:numId w:val="63"/>
        </w:numPr>
        <w:shd w:val="clear" w:color="auto" w:fill="FFFFFF"/>
        <w:rPr>
          <w:rFonts w:cs="Arial"/>
          <w:lang w:val="en"/>
        </w:rPr>
      </w:pPr>
      <w:r w:rsidRPr="00327589">
        <w:rPr>
          <w:rFonts w:cs="Arial"/>
          <w:lang w:val="en"/>
        </w:rPr>
        <w:t>Do you intend to use fixed term contracts and, if so, how long will they be?</w:t>
      </w:r>
    </w:p>
    <w:p w14:paraId="24C5BCCE" w14:textId="77777777" w:rsidR="001B7306" w:rsidRPr="00327589" w:rsidRDefault="001B7306" w:rsidP="00A97E11">
      <w:pPr>
        <w:numPr>
          <w:ilvl w:val="0"/>
          <w:numId w:val="63"/>
        </w:numPr>
        <w:shd w:val="clear" w:color="auto" w:fill="FFFFFF"/>
        <w:rPr>
          <w:rFonts w:cs="Arial"/>
          <w:lang w:val="en"/>
        </w:rPr>
      </w:pPr>
      <w:r w:rsidRPr="00327589">
        <w:rPr>
          <w:rFonts w:cs="Arial"/>
          <w:lang w:val="en"/>
        </w:rPr>
        <w:t>Under what circumstances can the customer terminate the agreement and at what cost?</w:t>
      </w:r>
    </w:p>
    <w:p w14:paraId="50E902F3" w14:textId="77777777" w:rsidR="001B7306" w:rsidRPr="00327589" w:rsidRDefault="001B7306" w:rsidP="00A97E11">
      <w:pPr>
        <w:numPr>
          <w:ilvl w:val="0"/>
          <w:numId w:val="63"/>
        </w:numPr>
        <w:shd w:val="clear" w:color="auto" w:fill="FFFFFF"/>
        <w:rPr>
          <w:rFonts w:cs="Arial"/>
          <w:lang w:val="en"/>
        </w:rPr>
      </w:pPr>
      <w:r w:rsidRPr="00327589">
        <w:rPr>
          <w:rFonts w:cs="Arial"/>
          <w:lang w:val="en"/>
        </w:rPr>
        <w:t>What happens when the contract ends? Who owns the system?</w:t>
      </w:r>
    </w:p>
    <w:p w14:paraId="1623157F" w14:textId="77777777" w:rsidR="00974A11" w:rsidRPr="003C3CE2" w:rsidRDefault="00974A11" w:rsidP="00A97E11">
      <w:pPr>
        <w:numPr>
          <w:ilvl w:val="0"/>
          <w:numId w:val="63"/>
        </w:numPr>
        <w:shd w:val="clear" w:color="auto" w:fill="FFFFFF"/>
        <w:rPr>
          <w:rFonts w:cs="Arial"/>
          <w:lang w:val="en"/>
        </w:rPr>
      </w:pPr>
      <w:r w:rsidRPr="003C3CE2">
        <w:t xml:space="preserve">Who will own any green energy certificates or rebates, including feed-in tariffs, which </w:t>
      </w:r>
      <w:r w:rsidR="00997082" w:rsidRPr="003C3CE2">
        <w:t>apply to</w:t>
      </w:r>
      <w:r w:rsidRPr="003C3CE2">
        <w:t xml:space="preserve"> the </w:t>
      </w:r>
      <w:r w:rsidR="00997082" w:rsidRPr="003C3CE2">
        <w:t>generation</w:t>
      </w:r>
      <w:r w:rsidRPr="003C3CE2">
        <w:t xml:space="preserve"> system?</w:t>
      </w:r>
    </w:p>
    <w:p w14:paraId="5AFC6E38" w14:textId="77777777" w:rsidR="001B7306" w:rsidRDefault="001B7306" w:rsidP="00974A11"/>
    <w:p w14:paraId="211D4651" w14:textId="77777777" w:rsidR="001B7306" w:rsidRDefault="001B7306">
      <w:pPr>
        <w:rPr>
          <w:rFonts w:cs="Arial"/>
        </w:rPr>
      </w:pPr>
      <w:r>
        <w:rPr>
          <w:rFonts w:cs="Arial"/>
        </w:rPr>
        <w:br w:type="page"/>
      </w:r>
    </w:p>
    <w:p w14:paraId="7B1F6172" w14:textId="77777777" w:rsidR="001B7306" w:rsidRDefault="001B7306" w:rsidP="00327589">
      <w:pPr>
        <w:pStyle w:val="Heading1"/>
        <w:numPr>
          <w:ilvl w:val="0"/>
          <w:numId w:val="0"/>
        </w:numPr>
      </w:pPr>
      <w:bookmarkStart w:id="210" w:name="_Toc445886525"/>
      <w:bookmarkStart w:id="211" w:name="_Toc508963949"/>
      <w:r>
        <w:t xml:space="preserve">Appendix D: </w:t>
      </w:r>
      <w:r w:rsidR="00EC78EE">
        <w:t>A</w:t>
      </w:r>
      <w:r>
        <w:t>pplicants seeking to vary an individual exemption</w:t>
      </w:r>
      <w:bookmarkEnd w:id="210"/>
      <w:bookmarkEnd w:id="211"/>
    </w:p>
    <w:p w14:paraId="7DEA5250" w14:textId="77777777" w:rsidR="001B7306" w:rsidRDefault="001B7306" w:rsidP="001B7306">
      <w:r>
        <w:t xml:space="preserve">We recommend that you contact us before you submit an application for the variation of an individual exemption to help ensure that the information you include in your application is relevant and necessary. </w:t>
      </w:r>
    </w:p>
    <w:p w14:paraId="2164C9AA" w14:textId="77777777" w:rsidR="001B7306" w:rsidRDefault="001B7306" w:rsidP="001B7306">
      <w:r>
        <w:t>Please provide the following information in your application for the variation of an individual exemption:</w:t>
      </w:r>
    </w:p>
    <w:p w14:paraId="32994950" w14:textId="77777777" w:rsidR="001B7306" w:rsidRDefault="001B7306" w:rsidP="006E2231">
      <w:pPr>
        <w:pStyle w:val="ListParagraph"/>
        <w:numPr>
          <w:ilvl w:val="0"/>
          <w:numId w:val="19"/>
        </w:numPr>
        <w:contextualSpacing w:val="0"/>
      </w:pPr>
      <w:r>
        <w:t xml:space="preserve">An explanation of why you are seeking a variation to your individual exemption and an explanation of why you believe an exemption—rather than a retailer authorisation—remains appropriate for your changed circumstances. </w:t>
      </w:r>
    </w:p>
    <w:p w14:paraId="3D9E51A3" w14:textId="77777777" w:rsidR="001B7306" w:rsidRDefault="001B7306" w:rsidP="006E2231">
      <w:pPr>
        <w:pStyle w:val="ListParagraph"/>
        <w:numPr>
          <w:ilvl w:val="0"/>
          <w:numId w:val="19"/>
        </w:numPr>
        <w:contextualSpacing w:val="0"/>
      </w:pPr>
      <w:r>
        <w:t>Where relevant, a list of the conditions of exemption that you believe need to be varied.</w:t>
      </w:r>
    </w:p>
    <w:p w14:paraId="7DAEB04E" w14:textId="77777777" w:rsidR="001B7306" w:rsidRDefault="001B7306" w:rsidP="006E2231">
      <w:pPr>
        <w:pStyle w:val="ListParagraph"/>
        <w:numPr>
          <w:ilvl w:val="0"/>
          <w:numId w:val="19"/>
        </w:numPr>
        <w:contextualSpacing w:val="0"/>
      </w:pPr>
      <w:r>
        <w:t>A list of changes to any of the information that you provided us when you applied for your individual exemption. If you have an electronic copy of your original application, you may submit this with tracked changes. If your exemption was transitioned, a list of changes to the circumstances on which the exemption was based.</w:t>
      </w:r>
    </w:p>
    <w:p w14:paraId="31AE953A" w14:textId="77777777" w:rsidR="003F7DA2" w:rsidRPr="00915126" w:rsidRDefault="003F7DA2" w:rsidP="00915126">
      <w:pPr>
        <w:rPr>
          <w:rFonts w:eastAsiaTheme="majorEastAsia" w:cs="Arial"/>
          <w:b/>
        </w:rPr>
      </w:pPr>
      <w:r w:rsidRPr="00915126">
        <w:rPr>
          <w:rFonts w:cs="Arial"/>
        </w:rPr>
        <w:br w:type="page"/>
      </w:r>
    </w:p>
    <w:p w14:paraId="119F9356" w14:textId="77777777" w:rsidR="002E0606" w:rsidRDefault="002E0606" w:rsidP="0097560A">
      <w:pPr>
        <w:pStyle w:val="Heading1"/>
        <w:numPr>
          <w:ilvl w:val="0"/>
          <w:numId w:val="0"/>
        </w:numPr>
        <w:ind w:left="432" w:hanging="432"/>
        <w:jc w:val="both"/>
      </w:pPr>
      <w:bookmarkStart w:id="212" w:name="_Toc430776195"/>
      <w:bookmarkStart w:id="213" w:name="_Toc445886526"/>
      <w:bookmarkStart w:id="214" w:name="_Toc508963950"/>
      <w:r>
        <w:t xml:space="preserve">Appendix E: </w:t>
      </w:r>
      <w:bookmarkEnd w:id="212"/>
      <w:r>
        <w:t>How we assess</w:t>
      </w:r>
      <w:r w:rsidR="007D0F09">
        <w:t xml:space="preserve"> individual exemption</w:t>
      </w:r>
      <w:r>
        <w:t xml:space="preserve"> applications</w:t>
      </w:r>
      <w:bookmarkEnd w:id="213"/>
      <w:bookmarkEnd w:id="214"/>
      <w:r>
        <w:t xml:space="preserve"> </w:t>
      </w:r>
    </w:p>
    <w:p w14:paraId="31E405BD" w14:textId="77777777" w:rsidR="002E0606" w:rsidRDefault="002E0606" w:rsidP="002E0606">
      <w:r>
        <w:t xml:space="preserve">Our assessment of applications for exemptions, and the conditions that should be attached to them, are guided by:  </w:t>
      </w:r>
    </w:p>
    <w:p w14:paraId="13BCDFAE" w14:textId="47300377" w:rsidR="002E0606" w:rsidRDefault="005C1BB7" w:rsidP="0084490A">
      <w:pPr>
        <w:pStyle w:val="ListParagraph"/>
        <w:numPr>
          <w:ilvl w:val="0"/>
          <w:numId w:val="79"/>
        </w:numPr>
        <w:tabs>
          <w:tab w:val="left" w:pos="340"/>
        </w:tabs>
        <w:contextualSpacing w:val="0"/>
      </w:pPr>
      <w:r>
        <w:t xml:space="preserve">the </w:t>
      </w:r>
      <w:r w:rsidR="002E0606">
        <w:t>objective of the Retail Law</w:t>
      </w:r>
      <w:r w:rsidR="002E0606">
        <w:rPr>
          <w:rStyle w:val="FootnoteReference"/>
        </w:rPr>
        <w:footnoteReference w:id="50"/>
      </w:r>
    </w:p>
    <w:p w14:paraId="4FDDDCA5" w14:textId="1801C732" w:rsidR="002E0606" w:rsidRDefault="005C1BB7" w:rsidP="0084490A">
      <w:pPr>
        <w:pStyle w:val="ListParagraph"/>
        <w:numPr>
          <w:ilvl w:val="0"/>
          <w:numId w:val="79"/>
        </w:numPr>
        <w:tabs>
          <w:tab w:val="left" w:pos="340"/>
        </w:tabs>
        <w:contextualSpacing w:val="0"/>
      </w:pPr>
      <w:r>
        <w:t xml:space="preserve">the </w:t>
      </w:r>
      <w:r w:rsidR="002E0606">
        <w:t>exempt policy principles outlined in the Retail Law</w:t>
      </w:r>
      <w:r w:rsidR="002E0606">
        <w:rPr>
          <w:rStyle w:val="FootnoteReference"/>
        </w:rPr>
        <w:footnoteReference w:id="51"/>
      </w:r>
    </w:p>
    <w:p w14:paraId="0D6675E5" w14:textId="17439046" w:rsidR="002E0606" w:rsidRDefault="005C1BB7" w:rsidP="0084490A">
      <w:pPr>
        <w:pStyle w:val="ListParagraph"/>
        <w:numPr>
          <w:ilvl w:val="0"/>
          <w:numId w:val="79"/>
        </w:numPr>
        <w:tabs>
          <w:tab w:val="left" w:pos="340"/>
        </w:tabs>
        <w:contextualSpacing w:val="0"/>
      </w:pPr>
      <w:r>
        <w:t xml:space="preserve">the </w:t>
      </w:r>
      <w:r w:rsidR="002E0606">
        <w:t>exempt seller related factors outlined in the Retail Law</w:t>
      </w:r>
      <w:r w:rsidR="002E0606">
        <w:rPr>
          <w:rStyle w:val="FootnoteReference"/>
        </w:rPr>
        <w:footnoteReference w:id="52"/>
      </w:r>
      <w:r w:rsidR="0085327B">
        <w:t xml:space="preserve"> </w:t>
      </w:r>
      <w:r w:rsidR="002E0606">
        <w:t xml:space="preserve">and </w:t>
      </w:r>
    </w:p>
    <w:p w14:paraId="2EC57E67" w14:textId="16028F5F" w:rsidR="002E0606" w:rsidRDefault="005C1BB7" w:rsidP="0084490A">
      <w:pPr>
        <w:pStyle w:val="ListParagraph"/>
        <w:numPr>
          <w:ilvl w:val="0"/>
          <w:numId w:val="79"/>
        </w:numPr>
        <w:tabs>
          <w:tab w:val="left" w:pos="340"/>
        </w:tabs>
        <w:contextualSpacing w:val="0"/>
      </w:pPr>
      <w:r>
        <w:t xml:space="preserve">the </w:t>
      </w:r>
      <w:r w:rsidR="002E0606">
        <w:t>customer related factors outlined in the Retail Law</w:t>
      </w:r>
      <w:r w:rsidR="0085327B">
        <w:t>.</w:t>
      </w:r>
      <w:r w:rsidR="002E0606">
        <w:rPr>
          <w:rStyle w:val="FootnoteReference"/>
        </w:rPr>
        <w:footnoteReference w:id="53"/>
      </w:r>
      <w:r w:rsidR="002E0606">
        <w:t xml:space="preserve"> </w:t>
      </w:r>
    </w:p>
    <w:p w14:paraId="698EEF56" w14:textId="77777777" w:rsidR="002E0606" w:rsidRDefault="002E0606" w:rsidP="002E0606">
      <w:pPr>
        <w:rPr>
          <w:sz w:val="23"/>
          <w:szCs w:val="23"/>
        </w:rPr>
      </w:pPr>
      <w:r>
        <w:t>We discuss these considerations below. Our considerations are a guide only. In practice, we will take into account all the circumstances of each individual application and no single principle or factor is a defining consideration in all instances.</w:t>
      </w:r>
      <w:r w:rsidRPr="00645E75">
        <w:rPr>
          <w:sz w:val="23"/>
          <w:szCs w:val="23"/>
        </w:rPr>
        <w:t xml:space="preserve"> </w:t>
      </w:r>
    </w:p>
    <w:p w14:paraId="2B809FBE" w14:textId="77777777" w:rsidR="002E0606" w:rsidRPr="00284D31" w:rsidRDefault="002E0606" w:rsidP="002E0606">
      <w:r w:rsidRPr="004758F4">
        <w:t xml:space="preserve">We will also consider the nature of the service provided to the customer, whether the form of </w:t>
      </w:r>
      <w:r w:rsidRPr="00284D31">
        <w:t xml:space="preserve">regulation is appropriate and fit for purpose, and whether it duplicates existing regulation. </w:t>
      </w:r>
    </w:p>
    <w:p w14:paraId="007D0C47" w14:textId="77777777" w:rsidR="002E0606" w:rsidRPr="00284D31" w:rsidRDefault="002E0606" w:rsidP="002E0606">
      <w:r w:rsidRPr="00A2043E">
        <w:t xml:space="preserve">Whilst applications are considered on a case-by-case basis, we aim for consistency to the extent reasonable. </w:t>
      </w:r>
      <w:r w:rsidRPr="00284D31">
        <w:t xml:space="preserve">There may also be reasons not specified in the guideline that might cause us to refuse an application for an individual exemption or to treat two seemingly similar applications differently. </w:t>
      </w:r>
    </w:p>
    <w:p w14:paraId="584CA182" w14:textId="77777777" w:rsidR="002E0606" w:rsidRPr="00AD69E4" w:rsidRDefault="002E0606" w:rsidP="0084490A">
      <w:pPr>
        <w:pStyle w:val="Heading4"/>
        <w:keepNext w:val="0"/>
        <w:keepLines w:val="0"/>
        <w:numPr>
          <w:ilvl w:val="0"/>
          <w:numId w:val="78"/>
        </w:numPr>
      </w:pPr>
      <w:r>
        <w:t xml:space="preserve"> </w:t>
      </w:r>
      <w:r w:rsidRPr="00AD69E4">
        <w:rPr>
          <w:rFonts w:cstheme="majorBidi"/>
          <w:color w:val="51626F"/>
        </w:rPr>
        <w:t xml:space="preserve">The objective of the Retail Law </w:t>
      </w:r>
    </w:p>
    <w:p w14:paraId="0EDCEE65" w14:textId="72C5A818" w:rsidR="002E0606" w:rsidRDefault="002E0606" w:rsidP="002E0606">
      <w:r>
        <w:t xml:space="preserve">Our decisions, and the way we exercise our powers and functions, are guided by </w:t>
      </w:r>
      <w:r w:rsidR="005C1BB7">
        <w:t xml:space="preserve">the </w:t>
      </w:r>
      <w:r>
        <w:t>objective of the Retail Law:</w:t>
      </w:r>
    </w:p>
    <w:p w14:paraId="4CB2426D" w14:textId="77777777" w:rsidR="002E0606" w:rsidRDefault="002E0606" w:rsidP="002E0606">
      <w:pPr>
        <w:ind w:left="340"/>
      </w:pPr>
      <w:r w:rsidRPr="00B63E1A">
        <w:rPr>
          <w:i/>
        </w:rPr>
        <w:t>to promote efficient investment in, and efficient operation and use of, energy services for the long term interests of consumers of energy with respect to price, quality, safety, reliability and security of supply of energy</w:t>
      </w:r>
      <w:r>
        <w:t>.</w:t>
      </w:r>
      <w:r w:rsidR="00A47CE4">
        <w:rPr>
          <w:rStyle w:val="FootnoteReference"/>
        </w:rPr>
        <w:footnoteReference w:id="54"/>
      </w:r>
      <w:r>
        <w:t xml:space="preserve"> </w:t>
      </w:r>
    </w:p>
    <w:p w14:paraId="6DAB301A" w14:textId="709159C5" w:rsidR="002E0606" w:rsidRPr="00645E75" w:rsidRDefault="002E0606" w:rsidP="002E0606">
      <w:r w:rsidRPr="00645E75">
        <w:t xml:space="preserve">It means, for example, that we may refuse an exemption application if we consider that the proposed arrangements are not in the </w:t>
      </w:r>
      <w:r w:rsidR="00D62CB0" w:rsidRPr="00645E75">
        <w:t>long-term</w:t>
      </w:r>
      <w:r w:rsidRPr="00645E75">
        <w:t xml:space="preserve"> interests of the affected consumers in terms of price, quality or anything else specified in the objective. </w:t>
      </w:r>
    </w:p>
    <w:p w14:paraId="5B6153D9" w14:textId="77777777" w:rsidR="002E0606" w:rsidRPr="002B7458" w:rsidRDefault="002E0606" w:rsidP="0084490A">
      <w:pPr>
        <w:pStyle w:val="Heading4"/>
        <w:keepNext w:val="0"/>
        <w:keepLines w:val="0"/>
        <w:numPr>
          <w:ilvl w:val="0"/>
          <w:numId w:val="78"/>
        </w:numPr>
        <w:rPr>
          <w:i/>
        </w:rPr>
      </w:pPr>
      <w:r w:rsidRPr="002B7458">
        <w:t xml:space="preserve">Exempt selling policy principles </w:t>
      </w:r>
    </w:p>
    <w:p w14:paraId="3FDA9628" w14:textId="77777777" w:rsidR="002E0606" w:rsidRDefault="002E0606" w:rsidP="002E0606">
      <w:r>
        <w:t>The exempt selling policy</w:t>
      </w:r>
      <w:r w:rsidRPr="002B7458">
        <w:t xml:space="preserve"> principles </w:t>
      </w:r>
      <w:r>
        <w:t>help</w:t>
      </w:r>
      <w:r w:rsidRPr="002B7458">
        <w:t xml:space="preserve"> ensur</w:t>
      </w:r>
      <w:r>
        <w:t>e</w:t>
      </w:r>
      <w:r w:rsidRPr="002B7458">
        <w:t xml:space="preserve"> that </w:t>
      </w:r>
      <w:r>
        <w:t xml:space="preserve">customers of </w:t>
      </w:r>
      <w:r w:rsidRPr="002B7458">
        <w:t xml:space="preserve">exempt </w:t>
      </w:r>
      <w:r>
        <w:t xml:space="preserve">sellers are </w:t>
      </w:r>
      <w:r w:rsidRPr="002B7458">
        <w:t xml:space="preserve">not unreasonably disadvantaged compared to customers of authorised retailers. </w:t>
      </w:r>
      <w:r>
        <w:t>These principles, and how they inform our exemption decisions</w:t>
      </w:r>
      <w:r w:rsidR="00AD69E4">
        <w:t>,</w:t>
      </w:r>
      <w:r>
        <w:t xml:space="preserve"> are outlined below.  </w:t>
      </w:r>
    </w:p>
    <w:p w14:paraId="3FBF4CB4" w14:textId="77777777" w:rsidR="002E0606" w:rsidRPr="00C31D78" w:rsidRDefault="002E0606" w:rsidP="0085327B">
      <w:pPr>
        <w:pStyle w:val="Heading4"/>
        <w:keepLines w:val="0"/>
        <w:numPr>
          <w:ilvl w:val="1"/>
          <w:numId w:val="78"/>
        </w:numPr>
        <w:rPr>
          <w:rStyle w:val="Strong"/>
        </w:rPr>
      </w:pPr>
      <w:r w:rsidRPr="00C31D78">
        <w:rPr>
          <w:rStyle w:val="Strong"/>
        </w:rPr>
        <w:t xml:space="preserve">Divergence in regulatory arrangements </w:t>
      </w:r>
    </w:p>
    <w:p w14:paraId="28EE7CDE" w14:textId="77777777" w:rsidR="002E0606" w:rsidRDefault="002E0606" w:rsidP="0085327B">
      <w:pPr>
        <w:keepNext/>
      </w:pPr>
      <w:r>
        <w:t>Section 114(1)(a) of the Retail Law states that ‘</w:t>
      </w:r>
      <w:r w:rsidRPr="00B63E1A">
        <w:rPr>
          <w:i/>
        </w:rPr>
        <w:t>regulatory arrangements for exempt sellers should not unnecessarily diverge from those applying to retailers</w:t>
      </w:r>
      <w:r>
        <w:t>’.</w:t>
      </w:r>
    </w:p>
    <w:p w14:paraId="60392491" w14:textId="77777777" w:rsidR="002E0606" w:rsidRDefault="002E0606" w:rsidP="002E0606">
      <w:r>
        <w:t xml:space="preserve">The retail exemptions framework aims to give exempt customers protections equivalent to those of retail customers. </w:t>
      </w:r>
    </w:p>
    <w:p w14:paraId="0B3CB94D" w14:textId="77777777" w:rsidR="002E0606" w:rsidRDefault="002E0606" w:rsidP="002E0606">
      <w:r>
        <w:t>However, unlike authorised retailers, exempt sellers generally do not sell energy as their core business and may lack the economies of scale and scope from which retailers benefit.</w:t>
      </w:r>
    </w:p>
    <w:p w14:paraId="339D84A8" w14:textId="77777777" w:rsidR="002E0606" w:rsidRDefault="002E0606" w:rsidP="002E0606">
      <w:r>
        <w:t>Consequently, certain requirements under the Retail Law and Retail Rules may be more onerous or inappropriate for exempt persons (for example price disclosure requirements for retailers’ standing and market offer prices) and a degree of regulatory divergence is unavoidable.</w:t>
      </w:r>
      <w:r>
        <w:rPr>
          <w:rStyle w:val="FootnoteReference"/>
        </w:rPr>
        <w:footnoteReference w:id="55"/>
      </w:r>
      <w:r>
        <w:t xml:space="preserve">  </w:t>
      </w:r>
    </w:p>
    <w:p w14:paraId="3CF6F806" w14:textId="6E3F83B1" w:rsidR="002E0606" w:rsidRDefault="002E0606" w:rsidP="002E0606">
      <w:r>
        <w:t xml:space="preserve">An exempt seller whose energy sales are significant in terms of scale and/or scope should be subject to additional regulatory requirements </w:t>
      </w:r>
      <w:r w:rsidRPr="004A2032">
        <w:t>(see</w:t>
      </w:r>
      <w:r w:rsidR="0085327B">
        <w:t xml:space="preserve"> </w:t>
      </w:r>
      <w:r w:rsidR="00C867B0">
        <w:t xml:space="preserve">below </w:t>
      </w:r>
      <w:r w:rsidR="00C867B0" w:rsidRPr="00C867B0">
        <w:rPr>
          <w:b/>
        </w:rPr>
        <w:t>3.4</w:t>
      </w:r>
      <w:r w:rsidR="00D62CB0">
        <w:rPr>
          <w:b/>
        </w:rPr>
        <w:t xml:space="preserve">: </w:t>
      </w:r>
      <w:r w:rsidR="0085327B" w:rsidRPr="0085327B">
        <w:rPr>
          <w:b/>
        </w:rPr>
        <w:t>Amount of energy likely to be sold</w:t>
      </w:r>
      <w:r>
        <w:t xml:space="preserve">). </w:t>
      </w:r>
    </w:p>
    <w:p w14:paraId="6995D399" w14:textId="77777777" w:rsidR="002E0606" w:rsidRPr="00AD69E4" w:rsidRDefault="002E0606" w:rsidP="0084490A">
      <w:pPr>
        <w:pStyle w:val="Heading4"/>
        <w:keepNext w:val="0"/>
        <w:keepLines w:val="0"/>
        <w:numPr>
          <w:ilvl w:val="1"/>
          <w:numId w:val="78"/>
        </w:numPr>
        <w:rPr>
          <w:rStyle w:val="Strong"/>
        </w:rPr>
      </w:pPr>
      <w:r w:rsidRPr="00AD69E4">
        <w:rPr>
          <w:rStyle w:val="Strong"/>
        </w:rPr>
        <w:t>Choice of retailer</w:t>
      </w:r>
    </w:p>
    <w:p w14:paraId="33E3711F" w14:textId="77777777" w:rsidR="002E0606" w:rsidRDefault="002E0606" w:rsidP="002E0606">
      <w:r>
        <w:t>Section 114(1)(b) of the Retail Law states that ‘</w:t>
      </w:r>
      <w:r w:rsidRPr="00B63E1A">
        <w:rPr>
          <w:i/>
        </w:rPr>
        <w:t>exempt customers should, as far as practicable, be afforded the right to a choice of retailer in the same way as comparable retail customers in the same jurisdiction have that right</w:t>
      </w:r>
      <w:r>
        <w:t>’.</w:t>
      </w:r>
    </w:p>
    <w:p w14:paraId="37777240" w14:textId="77777777" w:rsidR="002E0606" w:rsidRDefault="002E0606" w:rsidP="002E0606">
      <w:r>
        <w:t xml:space="preserve">Access to retail competition is the best way to empower and protect electricity consumers. </w:t>
      </w:r>
    </w:p>
    <w:p w14:paraId="7C66DFBB" w14:textId="77777777" w:rsidR="002E0606" w:rsidRDefault="002E0606" w:rsidP="002E0606">
      <w:r>
        <w:t>We recognise choice can be limited in embedded networks and that this may be due to factors arising at the time a building is constructed—for example, network configuration, access to individual meters (where the customer has its own meter that can be read by a retailer other than the exempt seller), the type of meters in place at the premises, and the availability of “energy-only” offers. Reconfiguration may be unfeasible, meaning customers have little real choice.</w:t>
      </w:r>
    </w:p>
    <w:p w14:paraId="11A20B03" w14:textId="298899B8" w:rsidR="002E0606" w:rsidRPr="00760F94" w:rsidRDefault="002E0606" w:rsidP="002E0606">
      <w:pPr>
        <w:autoSpaceDE w:val="0"/>
        <w:autoSpaceDN w:val="0"/>
        <w:adjustRightInd w:val="0"/>
      </w:pPr>
      <w:r>
        <w:t xml:space="preserve">In addition, not all jurisdictions permit competition for embedded networks. </w:t>
      </w:r>
      <w:r w:rsidRPr="00760F94">
        <w:t>In Tasmania</w:t>
      </w:r>
      <w:r>
        <w:t>,</w:t>
      </w:r>
      <w:r w:rsidRPr="00760F94">
        <w:t xml:space="preserve"> embedded network customers</w:t>
      </w:r>
      <w:r>
        <w:t xml:space="preserve"> can usually only access retail market offers if they have</w:t>
      </w:r>
      <w:r w:rsidRPr="00760F94">
        <w:t xml:space="preserve"> a direct connection to the local distribution network</w:t>
      </w:r>
      <w:r>
        <w:t xml:space="preserve"> (that is, if they “leave” the embedded network</w:t>
      </w:r>
      <w:r w:rsidRPr="00760F94">
        <w:t>.</w:t>
      </w:r>
      <w:r>
        <w:t>)</w:t>
      </w:r>
      <w:r w:rsidRPr="00760F94">
        <w:t xml:space="preserve"> This may require significant changes to the wiring within the network, the costs of</w:t>
      </w:r>
      <w:r>
        <w:t xml:space="preserve"> </w:t>
      </w:r>
      <w:r w:rsidRPr="00760F94">
        <w:t xml:space="preserve">which would </w:t>
      </w:r>
      <w:r>
        <w:t xml:space="preserve">normally </w:t>
      </w:r>
      <w:r w:rsidRPr="00760F94">
        <w:t>be borne by the customer.</w:t>
      </w:r>
      <w:r w:rsidR="005341B1">
        <w:t xml:space="preserve"> No jurisdiction requires retail competition for gas.</w:t>
      </w:r>
    </w:p>
    <w:p w14:paraId="108D3228" w14:textId="77777777" w:rsidR="002E0606" w:rsidRDefault="002E0606" w:rsidP="002E0606">
      <w:r>
        <w:t>In jurisdictions that do allow choice, it is a condition of both deemed and registrable exemptions that the exempt person must advise customers that they have a choice and must not prevent them from exercising their choice. We may impose similar conditions on individual exemptions.</w:t>
      </w:r>
    </w:p>
    <w:p w14:paraId="13C9E7A0" w14:textId="77777777" w:rsidR="00CE6BEA" w:rsidRDefault="005341B1" w:rsidP="002E0606">
      <w:r>
        <w:t>We note the</w:t>
      </w:r>
      <w:r w:rsidR="00CE6BEA">
        <w:t xml:space="preserve"> recent </w:t>
      </w:r>
      <w:r>
        <w:t xml:space="preserve">growth in network conversions. </w:t>
      </w:r>
      <w:r w:rsidR="00031301">
        <w:t>In principle w</w:t>
      </w:r>
      <w:r w:rsidR="002E0606">
        <w:t>e do not support the creation of infrastructure that deliberately reduces a customer’s ability to exercise choice</w:t>
      </w:r>
      <w:r w:rsidR="00E11F74">
        <w:t>.</w:t>
      </w:r>
      <w:r w:rsidR="002E0606">
        <w:t xml:space="preserve"> </w:t>
      </w:r>
      <w:r w:rsidR="00E11F74">
        <w:t xml:space="preserve">However we recognise the potential for customers to benefit from selling arrangements in embedded networks </w:t>
      </w:r>
      <w:r>
        <w:t>and to be able to join an embedded network if they choose to</w:t>
      </w:r>
      <w:r w:rsidR="00CE6BEA">
        <w:t>.</w:t>
      </w:r>
    </w:p>
    <w:p w14:paraId="43C7965A" w14:textId="77777777" w:rsidR="002E0606" w:rsidDel="00CA73A4" w:rsidRDefault="002E0606" w:rsidP="002E0606">
      <w:r w:rsidDel="00CA73A4">
        <w:t>Property owners seeking to</w:t>
      </w:r>
      <w:r w:rsidRPr="00ED0C87" w:rsidDel="00CA73A4">
        <w:t xml:space="preserve"> retrofit</w:t>
      </w:r>
      <w:r w:rsidDel="00CA73A4">
        <w:t xml:space="preserve"> embedded networks</w:t>
      </w:r>
      <w:r w:rsidRPr="00ED0C87" w:rsidDel="00CA73A4">
        <w:t xml:space="preserve"> into a</w:t>
      </w:r>
      <w:r>
        <w:t xml:space="preserve">n </w:t>
      </w:r>
      <w:r w:rsidRPr="00ED0C87" w:rsidDel="00CA73A4">
        <w:t>existing retail</w:t>
      </w:r>
      <w:r w:rsidR="009821A6">
        <w:t xml:space="preserve"> or commercial</w:t>
      </w:r>
      <w:r w:rsidRPr="00ED0C87" w:rsidDel="00CA73A4">
        <w:t xml:space="preserve"> development </w:t>
      </w:r>
      <w:r w:rsidDel="00CA73A4">
        <w:t xml:space="preserve">will </w:t>
      </w:r>
      <w:r w:rsidR="00CE6BEA">
        <w:t xml:space="preserve">therefore </w:t>
      </w:r>
      <w:r w:rsidDel="00CA73A4">
        <w:t xml:space="preserve">only be eligible for deemed or registrable exemptions (classes D1 </w:t>
      </w:r>
      <w:r w:rsidR="00E11F74">
        <w:t>and</w:t>
      </w:r>
      <w:r w:rsidDel="00CA73A4">
        <w:t xml:space="preserve"> R1) if </w:t>
      </w:r>
      <w:r w:rsidRPr="00567EAE" w:rsidDel="00CA73A4">
        <w:rPr>
          <w:b/>
        </w:rPr>
        <w:t>all</w:t>
      </w:r>
      <w:r w:rsidDel="00CA73A4">
        <w:t xml:space="preserve"> affected customers give explicit informed consent to the network conversion. Otherwise the property owner must apply for an individual exemption. </w:t>
      </w:r>
      <w:r w:rsidR="00CE6BEA">
        <w:t xml:space="preserve">Similarly, property owners who want to retrofit an embedded network in a residential development must apply for an individual exemption. </w:t>
      </w:r>
    </w:p>
    <w:p w14:paraId="5ADFE17F" w14:textId="77777777" w:rsidR="002E0606" w:rsidRPr="007F3D68" w:rsidRDefault="002E0606" w:rsidP="0084490A">
      <w:pPr>
        <w:pStyle w:val="Heading4"/>
        <w:keepNext w:val="0"/>
        <w:keepLines w:val="0"/>
        <w:numPr>
          <w:ilvl w:val="1"/>
          <w:numId w:val="78"/>
        </w:numPr>
        <w:rPr>
          <w:rStyle w:val="Strong"/>
          <w:rFonts w:cstheme="majorBidi"/>
          <w:bCs/>
          <w:i/>
          <w:color w:val="51626F"/>
        </w:rPr>
      </w:pPr>
      <w:r w:rsidRPr="00C31D78">
        <w:rPr>
          <w:rStyle w:val="Strong"/>
        </w:rPr>
        <w:t>Access to customer protections</w:t>
      </w:r>
    </w:p>
    <w:p w14:paraId="59DAA711" w14:textId="77777777" w:rsidR="002E0606" w:rsidRDefault="002E0606" w:rsidP="002E0606">
      <w:pPr>
        <w:keepNext/>
        <w:keepLines/>
      </w:pPr>
      <w:r>
        <w:t>Section 114(1)(c) of the Retail Law states that ‘</w:t>
      </w:r>
      <w:r w:rsidRPr="00B63E1A">
        <w:rPr>
          <w:i/>
        </w:rPr>
        <w:t>exempt customers should, as far as practicable, not be denied customer protections afforded to retail customers under this Law and the Rules</w:t>
      </w:r>
      <w:r>
        <w:t>’.</w:t>
      </w:r>
    </w:p>
    <w:p w14:paraId="34482087" w14:textId="77777777" w:rsidR="002E0606" w:rsidRPr="00FE03D8" w:rsidRDefault="002E0606" w:rsidP="002E0606">
      <w:r>
        <w:t xml:space="preserve">As a matter of principle, exempt customers should receive the same protections as customers of authorised retailers. </w:t>
      </w:r>
    </w:p>
    <w:p w14:paraId="4E149D5B" w14:textId="77777777" w:rsidR="002E0606" w:rsidRDefault="002E0606" w:rsidP="002E0606">
      <w:r>
        <w:t xml:space="preserve">However, requiring exempt sellers to provide the full suite of protections may not always be practicable. We have therefore developed a set of general conditions for exempt persons based on the customer protections in the Retail Law. </w:t>
      </w:r>
    </w:p>
    <w:p w14:paraId="07E57C63" w14:textId="77777777" w:rsidR="002E0606" w:rsidRDefault="002E0606" w:rsidP="002E0606">
      <w:r>
        <w:t xml:space="preserve">The extent to which these apply to a particular class exemption depends largely on the nature of the energy sale and the customer type.  </w:t>
      </w:r>
    </w:p>
    <w:p w14:paraId="09E18AA8" w14:textId="77777777" w:rsidR="002E0606" w:rsidRDefault="002E0606" w:rsidP="002E0606">
      <w:r>
        <w:t xml:space="preserve">For example, residential exempt customers will receive the greatest level of protection and should receive such protections as flexible payment plans if they identify themselves as experiencing financial difficulty. </w:t>
      </w:r>
    </w:p>
    <w:p w14:paraId="2C90F459" w14:textId="77777777" w:rsidR="002E0606" w:rsidRDefault="002E0606" w:rsidP="002E0606">
      <w:r>
        <w:t>Conditions attached to an individual exemption may more closely resemble the obligations that apply to an authorised retailer, although the inclusion of hardship protections, flexible payment options and other customer protections will be considered on a case by case basis.</w:t>
      </w:r>
      <w:r>
        <w:rPr>
          <w:rStyle w:val="FootnoteReference"/>
        </w:rPr>
        <w:footnoteReference w:id="56"/>
      </w:r>
      <w:r>
        <w:t xml:space="preserve">  </w:t>
      </w:r>
    </w:p>
    <w:p w14:paraId="4FFABF57" w14:textId="77777777" w:rsidR="002E0606" w:rsidRDefault="002E0606" w:rsidP="002E0606">
      <w:r>
        <w:t>Under the Retail Law, retail customer protections are not generally extended to large business customers and this has been reflected in the exemptions framework.</w:t>
      </w:r>
    </w:p>
    <w:p w14:paraId="618B519B" w14:textId="77777777" w:rsidR="002E0606" w:rsidRPr="007F3D68" w:rsidRDefault="002E0606" w:rsidP="0084490A">
      <w:pPr>
        <w:pStyle w:val="Heading4"/>
        <w:keepNext w:val="0"/>
        <w:keepLines w:val="0"/>
        <w:numPr>
          <w:ilvl w:val="0"/>
          <w:numId w:val="78"/>
        </w:numPr>
      </w:pPr>
      <w:r w:rsidRPr="007F3D68">
        <w:t>Exempt seller related factors</w:t>
      </w:r>
    </w:p>
    <w:p w14:paraId="38C6A1D1" w14:textId="77777777" w:rsidR="002E0606" w:rsidRDefault="002E0606" w:rsidP="002E0606">
      <w:r>
        <w:t>Exempt seller related factors</w:t>
      </w:r>
      <w:r>
        <w:rPr>
          <w:rStyle w:val="FootnoteReference"/>
        </w:rPr>
        <w:footnoteReference w:id="57"/>
      </w:r>
      <w:r>
        <w:t xml:space="preserve"> are outlined below. This section also provides guidance on how these factors inform our exemption decisions, and on whether an exemption or a retailer authorisation would be more appropriate for an energy seller under various scenarios. </w:t>
      </w:r>
    </w:p>
    <w:p w14:paraId="373AA817" w14:textId="77777777" w:rsidR="002E0606" w:rsidRPr="00AD69E4" w:rsidRDefault="002E0606" w:rsidP="0084490A">
      <w:pPr>
        <w:pStyle w:val="Heading4"/>
        <w:keepNext w:val="0"/>
        <w:keepLines w:val="0"/>
        <w:numPr>
          <w:ilvl w:val="1"/>
          <w:numId w:val="78"/>
        </w:numPr>
        <w:rPr>
          <w:rStyle w:val="Strong"/>
        </w:rPr>
      </w:pPr>
      <w:r w:rsidRPr="00C31D78">
        <w:rPr>
          <w:rStyle w:val="Strong"/>
        </w:rPr>
        <w:t>Core versus incidental business</w:t>
      </w:r>
    </w:p>
    <w:p w14:paraId="604F5A0A" w14:textId="77777777" w:rsidR="002E0606" w:rsidRDefault="002E0606" w:rsidP="002E0606">
      <w:r>
        <w:t>Section 115(1)(a) of the Retail Law enables the AER to consider ‘</w:t>
      </w:r>
      <w:r w:rsidRPr="00B63E1A">
        <w:rPr>
          <w:i/>
        </w:rPr>
        <w:t>whether selling energy is or will be a core part of the exempt seller’s business or incidental to that business</w:t>
      </w:r>
      <w:r>
        <w:t>’.</w:t>
      </w:r>
    </w:p>
    <w:p w14:paraId="5F3E09BF" w14:textId="77777777" w:rsidR="002E0606" w:rsidRDefault="002E0606" w:rsidP="002E0606">
      <w:r>
        <w:t xml:space="preserve">Whether the sale of energy is incidental to an energy seller’s business will largely depend on the nature of the seller’s business and their relationship with customers. </w:t>
      </w:r>
    </w:p>
    <w:p w14:paraId="6A08D59A" w14:textId="77777777" w:rsidR="002E0606" w:rsidRDefault="002E0606" w:rsidP="0084490A">
      <w:pPr>
        <w:pStyle w:val="ListParagraph"/>
        <w:numPr>
          <w:ilvl w:val="0"/>
          <w:numId w:val="80"/>
        </w:numPr>
        <w:tabs>
          <w:tab w:val="left" w:pos="340"/>
        </w:tabs>
        <w:contextualSpacing w:val="0"/>
      </w:pPr>
      <w:r>
        <w:t>A sale of energy is not incidental where the seller’s sole or primary relationship with the customer is the sale of energy.</w:t>
      </w:r>
      <w:r>
        <w:rPr>
          <w:rStyle w:val="FootnoteReference"/>
        </w:rPr>
        <w:footnoteReference w:id="58"/>
      </w:r>
      <w:r>
        <w:t xml:space="preserve">  </w:t>
      </w:r>
    </w:p>
    <w:p w14:paraId="6FF76064" w14:textId="77777777" w:rsidR="002E0606" w:rsidRDefault="002E0606" w:rsidP="0084490A">
      <w:pPr>
        <w:pStyle w:val="ListParagraph"/>
        <w:numPr>
          <w:ilvl w:val="0"/>
          <w:numId w:val="80"/>
        </w:numPr>
        <w:tabs>
          <w:tab w:val="left" w:pos="340"/>
        </w:tabs>
        <w:contextualSpacing w:val="0"/>
      </w:pPr>
      <w:r>
        <w:t>A sale of energy may be incidental where the seller sells energy as part of a suite of services, and/or has another primary relationship with the customer. For example, a landlord who has a tenancy relationship with a small tenant (primary relationship) who also sells energy as a secondary component of the relationship.</w:t>
      </w:r>
    </w:p>
    <w:p w14:paraId="0039C84E" w14:textId="77777777" w:rsidR="002E0606" w:rsidRDefault="002E0606" w:rsidP="002E0606">
      <w:r>
        <w:t xml:space="preserve">If the energy sale is incidental, the seller is likely to be eligible for an exemption. Where it is not incidental an authorisation may be more appropriate. </w:t>
      </w:r>
    </w:p>
    <w:p w14:paraId="43C60212" w14:textId="4EE2DC2E" w:rsidR="002E0606" w:rsidRPr="007F3D68" w:rsidRDefault="002E0606" w:rsidP="002E0606">
      <w:pPr>
        <w:rPr>
          <w:sz w:val="23"/>
          <w:szCs w:val="23"/>
        </w:rPr>
      </w:pPr>
      <w:r>
        <w:t xml:space="preserve">An exception to this principle is where the energy sold is discretionary or supplementary (as opposed to </w:t>
      </w:r>
      <w:r w:rsidRPr="009821A6">
        <w:t>energy supplied by an authorised retailer, which we consider primary). Energy sold through solar power purchase agreements (SPPAs) is a good example.</w:t>
      </w:r>
      <w:r w:rsidRPr="00A2043E">
        <w:t xml:space="preserve"> Many of the Retail Law</w:t>
      </w:r>
      <w:r w:rsidRPr="00A2043E">
        <w:rPr>
          <w:i/>
        </w:rPr>
        <w:t xml:space="preserve"> </w:t>
      </w:r>
      <w:r w:rsidRPr="00A2043E">
        <w:t>obligations are inappropriate</w:t>
      </w:r>
      <w:r w:rsidR="00002104" w:rsidRPr="00A2043E">
        <w:t xml:space="preserve"> in this instance</w:t>
      </w:r>
      <w:r w:rsidRPr="00A2043E">
        <w:t>, for example participation in the Retailer of Last Resort scheme, and obligations to provi</w:t>
      </w:r>
      <w:r w:rsidR="00AD69E4" w:rsidRPr="00A2043E">
        <w:t xml:space="preserve">de standing offers. Exemptions, </w:t>
      </w:r>
      <w:r w:rsidRPr="00A2043E">
        <w:t>which can be tailor-made to suit the specifics of an energy sale</w:t>
      </w:r>
      <w:r w:rsidR="00AD69E4" w:rsidRPr="00A2043E">
        <w:t>,</w:t>
      </w:r>
      <w:r w:rsidRPr="00A2043E">
        <w:t xml:space="preserve"> are therefore a better regulatory fit for the sale of energy through SPPAs (and possibly other kinds of alternative energy selling).</w:t>
      </w:r>
      <w:r>
        <w:rPr>
          <w:sz w:val="23"/>
          <w:szCs w:val="23"/>
        </w:rPr>
        <w:t xml:space="preserve"> </w:t>
      </w:r>
    </w:p>
    <w:p w14:paraId="1E4A4D0D" w14:textId="77777777" w:rsidR="002E0606" w:rsidRPr="00C31D78" w:rsidRDefault="002E0606" w:rsidP="0084490A">
      <w:pPr>
        <w:pStyle w:val="Heading4"/>
        <w:keepNext w:val="0"/>
        <w:keepLines w:val="0"/>
        <w:numPr>
          <w:ilvl w:val="1"/>
          <w:numId w:val="78"/>
        </w:numPr>
        <w:rPr>
          <w:rStyle w:val="Strong"/>
        </w:rPr>
      </w:pPr>
      <w:r w:rsidRPr="00C31D78">
        <w:rPr>
          <w:rStyle w:val="Strong"/>
        </w:rPr>
        <w:t>Characteristics of the exempt seller</w:t>
      </w:r>
    </w:p>
    <w:p w14:paraId="237AABCA" w14:textId="77777777" w:rsidR="002E0606" w:rsidRDefault="002E0606" w:rsidP="002E0606">
      <w:r>
        <w:t>Section 115(1)(b) of the Retail Law enables the AER to consider ‘</w:t>
      </w:r>
      <w:r w:rsidRPr="00836940">
        <w:rPr>
          <w:i/>
        </w:rPr>
        <w:t>whether the exempt seller’s circumstances demonstrate specific characteristics that may warrant exemption</w:t>
      </w:r>
      <w:r>
        <w:t>’.</w:t>
      </w:r>
    </w:p>
    <w:p w14:paraId="341D2379" w14:textId="77777777" w:rsidR="002E0606" w:rsidRDefault="002E0606" w:rsidP="002E0606">
      <w:r>
        <w:t>Exemption classes have common features, which are shared by many sellers. Even if we do</w:t>
      </w:r>
      <w:r w:rsidR="00CE6BEA">
        <w:t xml:space="preserve"> </w:t>
      </w:r>
      <w:r>
        <w:t>n</w:t>
      </w:r>
      <w:r w:rsidR="00CE6BEA">
        <w:t>o</w:t>
      </w:r>
      <w:r>
        <w:t>t consider a person needs an authorisation to sell energy, they may not fall into a defined exemption class either. Where a person proposes to sell energy in a new or different way they may need to apply for an individual exemption, so that the exemption can be tailor</w:t>
      </w:r>
      <w:r w:rsidR="00CE6BEA">
        <w:t>ed</w:t>
      </w:r>
      <w:r>
        <w:t xml:space="preserve"> to suit the particulars of the arrangement. We will assess applications on a case by case basis and attach conditions as appropriate, taking into account the needs of customers as well as the effect any obligations would have on the seller. </w:t>
      </w:r>
    </w:p>
    <w:p w14:paraId="5CE6B08C" w14:textId="77777777" w:rsidR="002E0606" w:rsidRPr="00C31D78" w:rsidRDefault="002E0606" w:rsidP="0084490A">
      <w:pPr>
        <w:pStyle w:val="Heading4"/>
        <w:keepNext w:val="0"/>
        <w:keepLines w:val="0"/>
        <w:numPr>
          <w:ilvl w:val="1"/>
          <w:numId w:val="78"/>
        </w:numPr>
        <w:rPr>
          <w:rStyle w:val="Strong"/>
        </w:rPr>
      </w:pPr>
      <w:r w:rsidRPr="00C31D78">
        <w:rPr>
          <w:rStyle w:val="Strong"/>
        </w:rPr>
        <w:t>Profit intentions of the exempt seller</w:t>
      </w:r>
    </w:p>
    <w:p w14:paraId="190FD1AA" w14:textId="77777777" w:rsidR="002E0606" w:rsidRDefault="002E0606" w:rsidP="002E0606">
      <w:r>
        <w:t>Section 115(1)(c) of the Retail Law enables the AER to consider ‘</w:t>
      </w:r>
      <w:r w:rsidRPr="00836940">
        <w:rPr>
          <w:i/>
        </w:rPr>
        <w:t>whether the exempt seller is intending to profit from the exempt selling arrangement.</w:t>
      </w:r>
      <w:r>
        <w:t>’</w:t>
      </w:r>
    </w:p>
    <w:p w14:paraId="0EEB2254" w14:textId="77777777" w:rsidR="002E0606" w:rsidRDefault="002E0606" w:rsidP="002E0606">
      <w:r>
        <w:t xml:space="preserve">An energy seller’s profit motive can help determine whether energy selling is incidental, but it is not a defining feature and there is no prohibition on exempt sellers making a profit. </w:t>
      </w:r>
    </w:p>
    <w:p w14:paraId="6D90B380" w14:textId="77777777" w:rsidR="00CF3AFA" w:rsidRDefault="00E11F74" w:rsidP="002E0606">
      <w:r>
        <w:t xml:space="preserve">To ensure that small customers receive some price protection, </w:t>
      </w:r>
      <w:r w:rsidR="00F411C4">
        <w:t>c</w:t>
      </w:r>
      <w:r>
        <w:t>ondition 7 provides that an exempt seller must not charge small customers more than the local area retailer’s standing offer tariff rate for similar supply.</w:t>
      </w:r>
      <w:r w:rsidR="002E0606">
        <w:rPr>
          <w:rStyle w:val="FootnoteReference"/>
        </w:rPr>
        <w:footnoteReference w:id="59"/>
      </w:r>
      <w:r w:rsidR="002E0606">
        <w:t xml:space="preserve">  </w:t>
      </w:r>
      <w:r w:rsidR="00F411C4">
        <w:t>This applies separately to all components of the tariff. For example, the supply charge imposed by the exempt seller must not exceed the supply charge imposed by the local area retailer, and same for the usage charge.</w:t>
      </w:r>
    </w:p>
    <w:p w14:paraId="63431E2C" w14:textId="77777777" w:rsidR="002E0606" w:rsidRDefault="002E0606" w:rsidP="002E0606">
      <w:r>
        <w:t>The exempt person may not charge any other “administration” fees and may only recover the costs they incur as a result of a customer’s late payment (see condition 7).</w:t>
      </w:r>
      <w:r w:rsidR="00A47CE4">
        <w:rPr>
          <w:rStyle w:val="FootnoteReference"/>
        </w:rPr>
        <w:footnoteReference w:id="60"/>
      </w:r>
      <w:r w:rsidR="00A47CE4" w:rsidRPr="00A47CE4">
        <w:t xml:space="preserve"> </w:t>
      </w:r>
    </w:p>
    <w:p w14:paraId="20E974BF" w14:textId="77777777" w:rsidR="002E0606" w:rsidRPr="009E632A" w:rsidRDefault="002E0606" w:rsidP="0084490A">
      <w:pPr>
        <w:pStyle w:val="Heading4"/>
        <w:keepNext w:val="0"/>
        <w:keepLines w:val="0"/>
        <w:numPr>
          <w:ilvl w:val="1"/>
          <w:numId w:val="78"/>
        </w:numPr>
        <w:rPr>
          <w:rStyle w:val="Strong"/>
        </w:rPr>
      </w:pPr>
      <w:r w:rsidRPr="009E632A">
        <w:rPr>
          <w:rStyle w:val="Strong"/>
        </w:rPr>
        <w:t>Amount of energy likely to be sold</w:t>
      </w:r>
    </w:p>
    <w:p w14:paraId="37309968" w14:textId="77777777" w:rsidR="002E0606" w:rsidRDefault="002E0606" w:rsidP="002E0606">
      <w:pPr>
        <w:keepNext/>
      </w:pPr>
      <w:r>
        <w:t>Section 115(1)(d) of the Retail Law enables the AER to consider ‘</w:t>
      </w:r>
      <w:r w:rsidRPr="00836940">
        <w:rPr>
          <w:i/>
        </w:rPr>
        <w:t>whether the amount of energy likely to be sold by the exempt seller is significant in relation to national energy markets</w:t>
      </w:r>
      <w:r>
        <w:t>’.</w:t>
      </w:r>
    </w:p>
    <w:p w14:paraId="5E79F256" w14:textId="77777777" w:rsidR="002E0606" w:rsidRDefault="002E0606" w:rsidP="002E0606">
      <w:r>
        <w:t xml:space="preserve">Exemptions are generally appropriate for energy sellers who sell on a small scale and/or to one or a small number of sites. </w:t>
      </w:r>
    </w:p>
    <w:p w14:paraId="0752B8FE" w14:textId="77777777" w:rsidR="002E0606" w:rsidRDefault="002E0606" w:rsidP="002E0606">
      <w:r>
        <w:t>If the scale of a person’s energy sales increases (and their operations begin to resemble those of an authorised retailer), we may require them to obtain a retailer authorisation. If an individual exemption is granted for ‘significant’ operations, the conditions attached will likely be similar to those of an authorised retailer.</w:t>
      </w:r>
    </w:p>
    <w:p w14:paraId="0B8FA365" w14:textId="77777777" w:rsidR="002E0606" w:rsidRPr="009E632A" w:rsidRDefault="002E0606" w:rsidP="0084490A">
      <w:pPr>
        <w:pStyle w:val="Heading4"/>
        <w:keepNext w:val="0"/>
        <w:keepLines w:val="0"/>
        <w:numPr>
          <w:ilvl w:val="1"/>
          <w:numId w:val="78"/>
        </w:numPr>
        <w:rPr>
          <w:rStyle w:val="Strong"/>
        </w:rPr>
      </w:pPr>
      <w:r w:rsidRPr="009E632A">
        <w:rPr>
          <w:rStyle w:val="Strong"/>
        </w:rPr>
        <w:t>Appropriate obligations governing the applicant’s behaviour</w:t>
      </w:r>
    </w:p>
    <w:p w14:paraId="207C193C" w14:textId="77777777" w:rsidR="002E0606" w:rsidRDefault="002E0606" w:rsidP="002E0606">
      <w:r>
        <w:t>Section 115(1)(e) of the Retail Law enables the AER to consider ‘</w:t>
      </w:r>
      <w:r w:rsidRPr="00836940">
        <w:rPr>
          <w:i/>
        </w:rPr>
        <w:t>the extent to which the imposition of conditions on an exemption, or to which the requirements of other laws, would allow appropriate obligations to govern the applicant’s behaviour rather than requiring the applicant to obtain a retailer authorisation</w:t>
      </w:r>
      <w:r>
        <w:t>’.</w:t>
      </w:r>
    </w:p>
    <w:p w14:paraId="53E0C778" w14:textId="77777777" w:rsidR="002E0606" w:rsidRPr="00B820C7" w:rsidRDefault="002E0606" w:rsidP="002E0606">
      <w:pPr>
        <w:pStyle w:val="Default"/>
        <w:rPr>
          <w:rFonts w:ascii="Arial" w:hAnsi="Arial" w:cs="Arial"/>
          <w:sz w:val="22"/>
          <w:szCs w:val="22"/>
        </w:rPr>
      </w:pPr>
      <w:r>
        <w:rPr>
          <w:rFonts w:ascii="Arial" w:hAnsi="Arial" w:cs="Arial"/>
          <w:sz w:val="22"/>
          <w:szCs w:val="22"/>
        </w:rPr>
        <w:t>T</w:t>
      </w:r>
      <w:r w:rsidRPr="00B820C7">
        <w:rPr>
          <w:rFonts w:ascii="Arial" w:hAnsi="Arial" w:cs="Arial"/>
          <w:sz w:val="22"/>
          <w:szCs w:val="22"/>
        </w:rPr>
        <w:t xml:space="preserve">he level of regulation should be proportionate to the level of protection energy customers need. These needs vary according to the type of service they are receiving and their relationship with their energy seller. </w:t>
      </w:r>
    </w:p>
    <w:p w14:paraId="71513B08" w14:textId="77777777" w:rsidR="002E0606" w:rsidRDefault="002E0606" w:rsidP="002E0606">
      <w:r>
        <w:t>In general, the closer an energy seller’s operations are in scale and scope to those of an authorised retailer, the more closely their exemption conditions will resemble an authorised retailer’s</w:t>
      </w:r>
      <w:r w:rsidR="00C867B0">
        <w:t xml:space="preserve"> obligations</w:t>
      </w:r>
      <w:r>
        <w:t xml:space="preserve">. </w:t>
      </w:r>
    </w:p>
    <w:p w14:paraId="54528616" w14:textId="77777777" w:rsidR="002E0606" w:rsidRPr="00B820C7" w:rsidRDefault="002E0606" w:rsidP="002E0606">
      <w:pPr>
        <w:pStyle w:val="Default"/>
        <w:spacing w:before="120" w:after="120" w:line="276" w:lineRule="auto"/>
        <w:rPr>
          <w:rFonts w:ascii="Arial" w:hAnsi="Arial" w:cs="Arial"/>
          <w:sz w:val="22"/>
          <w:szCs w:val="22"/>
        </w:rPr>
      </w:pPr>
      <w:r w:rsidRPr="007C58C0">
        <w:rPr>
          <w:rFonts w:ascii="Arial" w:hAnsi="Arial" w:cs="Arial"/>
          <w:sz w:val="22"/>
          <w:szCs w:val="22"/>
        </w:rPr>
        <w:t>Co</w:t>
      </w:r>
      <w:r w:rsidRPr="00B820C7">
        <w:rPr>
          <w:rFonts w:ascii="Arial" w:hAnsi="Arial" w:cs="Arial"/>
          <w:sz w:val="22"/>
          <w:szCs w:val="22"/>
        </w:rPr>
        <w:t xml:space="preserve">nsumer protections </w:t>
      </w:r>
      <w:r w:rsidRPr="007C58C0">
        <w:rPr>
          <w:rFonts w:ascii="Arial" w:hAnsi="Arial" w:cs="Arial"/>
          <w:sz w:val="22"/>
          <w:szCs w:val="22"/>
        </w:rPr>
        <w:t xml:space="preserve">may also be </w:t>
      </w:r>
      <w:r w:rsidRPr="00B820C7">
        <w:rPr>
          <w:rFonts w:ascii="Arial" w:hAnsi="Arial" w:cs="Arial"/>
          <w:sz w:val="22"/>
          <w:szCs w:val="22"/>
        </w:rPr>
        <w:t>available under other legislative frameworks</w:t>
      </w:r>
      <w:r w:rsidRPr="007C58C0">
        <w:rPr>
          <w:rFonts w:ascii="Arial" w:hAnsi="Arial" w:cs="Arial"/>
          <w:sz w:val="22"/>
          <w:szCs w:val="22"/>
        </w:rPr>
        <w:t xml:space="preserve">, for example the Australian Consumer Law and </w:t>
      </w:r>
      <w:r w:rsidRPr="00B820C7">
        <w:rPr>
          <w:rFonts w:ascii="Arial" w:hAnsi="Arial" w:cs="Arial"/>
          <w:sz w:val="22"/>
          <w:szCs w:val="22"/>
        </w:rPr>
        <w:t xml:space="preserve">state or territory tenancy legislation. Exemption conditions are intended to provide energy-specific protections for exempt customers and not to duplicate protections </w:t>
      </w:r>
      <w:r w:rsidRPr="007C58C0">
        <w:rPr>
          <w:rFonts w:ascii="Arial" w:hAnsi="Arial" w:cs="Arial"/>
          <w:sz w:val="22"/>
          <w:szCs w:val="22"/>
        </w:rPr>
        <w:t xml:space="preserve">provided through other legislation </w:t>
      </w:r>
      <w:r w:rsidRPr="00B820C7">
        <w:rPr>
          <w:rFonts w:ascii="Arial" w:hAnsi="Arial" w:cs="Arial"/>
          <w:sz w:val="22"/>
          <w:szCs w:val="22"/>
        </w:rPr>
        <w:t>or to place additional obligations on sellers who are already bound by other legislati</w:t>
      </w:r>
      <w:r w:rsidR="00002104">
        <w:rPr>
          <w:rFonts w:ascii="Arial" w:hAnsi="Arial" w:cs="Arial"/>
          <w:sz w:val="22"/>
          <w:szCs w:val="22"/>
        </w:rPr>
        <w:t xml:space="preserve">on. </w:t>
      </w:r>
    </w:p>
    <w:p w14:paraId="7CEECE48" w14:textId="77777777" w:rsidR="002E0606" w:rsidRPr="009E632A" w:rsidRDefault="002E0606" w:rsidP="0084490A">
      <w:pPr>
        <w:pStyle w:val="Heading4"/>
        <w:keepNext w:val="0"/>
        <w:keepLines w:val="0"/>
        <w:numPr>
          <w:ilvl w:val="1"/>
          <w:numId w:val="78"/>
        </w:numPr>
        <w:rPr>
          <w:rStyle w:val="Strong"/>
        </w:rPr>
      </w:pPr>
      <w:r w:rsidRPr="009E632A">
        <w:rPr>
          <w:rStyle w:val="Strong"/>
        </w:rPr>
        <w:t>Costs and benefits of obtaining a retailer authorisation</w:t>
      </w:r>
    </w:p>
    <w:p w14:paraId="706CAD9E" w14:textId="77777777" w:rsidR="002E0606" w:rsidRDefault="002E0606" w:rsidP="002E0606">
      <w:r>
        <w:t>Section 115(1)(f) of the Retail Law enables the AER to consider ‘</w:t>
      </w:r>
      <w:r w:rsidRPr="00836940">
        <w:rPr>
          <w:i/>
        </w:rPr>
        <w:t>the likely cost of obtaining a retailer authorisation and of complying with this Law and Rules as a retailer compared to the likely benefits to the exempt customers of the exempt seller’</w:t>
      </w:r>
      <w:r>
        <w:t>.</w:t>
      </w:r>
    </w:p>
    <w:p w14:paraId="144D8435" w14:textId="77777777" w:rsidR="002E0606" w:rsidRDefault="002E0606" w:rsidP="002E0606">
      <w:r>
        <w:t>The AER has a range of tools available to regulate energy sellers—from retailer authorisations, to tailored (individual) exemptions and class exemptions. Our regulatory approach will depend on the particular circumstances of each seller</w:t>
      </w:r>
      <w:r w:rsidR="00C867B0">
        <w:t>.</w:t>
      </w:r>
    </w:p>
    <w:p w14:paraId="7CD597D4" w14:textId="737F2D30" w:rsidR="002E0606" w:rsidRDefault="002E0606" w:rsidP="002E0606">
      <w:r>
        <w:t xml:space="preserve">Applying for a retailer authorisation </w:t>
      </w:r>
      <w:r w:rsidR="00C51F2F">
        <w:t>requires a</w:t>
      </w:r>
      <w:r>
        <w:t xml:space="preserve"> person to meet three entry criteria:</w:t>
      </w:r>
      <w:r w:rsidRPr="00370716">
        <w:rPr>
          <w:rStyle w:val="FootnoteReference"/>
        </w:rPr>
        <w:t xml:space="preserve"> </w:t>
      </w:r>
      <w:r>
        <w:rPr>
          <w:rStyle w:val="FootnoteReference"/>
        </w:rPr>
        <w:footnoteReference w:id="61"/>
      </w:r>
    </w:p>
    <w:p w14:paraId="292E9129" w14:textId="77777777" w:rsidR="002E0606" w:rsidRDefault="002E0606" w:rsidP="0084490A">
      <w:pPr>
        <w:pStyle w:val="ListParagraph"/>
        <w:numPr>
          <w:ilvl w:val="0"/>
          <w:numId w:val="10"/>
        </w:numPr>
        <w:ind w:left="357" w:hanging="357"/>
        <w:contextualSpacing w:val="0"/>
      </w:pPr>
      <w:r>
        <w:t>organisational and technical capacity—the person must have the necessary organisational and technical capacity to meet the obligations of a retailer</w:t>
      </w:r>
    </w:p>
    <w:p w14:paraId="7A839002" w14:textId="77777777" w:rsidR="002E0606" w:rsidRDefault="002E0606" w:rsidP="0084490A">
      <w:pPr>
        <w:pStyle w:val="ListParagraph"/>
        <w:numPr>
          <w:ilvl w:val="0"/>
          <w:numId w:val="10"/>
        </w:numPr>
        <w:ind w:left="357" w:hanging="357"/>
        <w:contextualSpacing w:val="0"/>
      </w:pPr>
      <w:r>
        <w:t>financial resources—the person must have resources or access to resources so that it will have the financial viability and financial capacity to meet the obligations of a retailer</w:t>
      </w:r>
    </w:p>
    <w:p w14:paraId="24388CD2" w14:textId="77777777" w:rsidR="002E0606" w:rsidRDefault="002E0606" w:rsidP="0084490A">
      <w:pPr>
        <w:pStyle w:val="ListParagraph"/>
        <w:numPr>
          <w:ilvl w:val="0"/>
          <w:numId w:val="10"/>
        </w:numPr>
        <w:ind w:left="357" w:hanging="357"/>
        <w:contextualSpacing w:val="0"/>
      </w:pPr>
      <w:r>
        <w:t>suitability criterion—the person must be a suitable person to hold a retailer authorisation.</w:t>
      </w:r>
    </w:p>
    <w:p w14:paraId="287F23F1" w14:textId="77777777" w:rsidR="002E0606" w:rsidRDefault="002E0606" w:rsidP="002E0606">
      <w:r>
        <w:t xml:space="preserve">Authorised retailers must comply with all relevant regulatory obligations under the Retail Law and the Retail Rules. The regulatory costs of complying with the Retail Law and Rules can be substantial and could be prohibitive for some small energy sellers. Where we consider that the additional regulatory costs that would be imposed on an energy seller by an authorisation outweigh the costs to customers of receiving a lesser level of regulation, an exemption may be sufficient. </w:t>
      </w:r>
    </w:p>
    <w:p w14:paraId="30928B40" w14:textId="77777777" w:rsidR="002E0606" w:rsidRPr="007F3D68" w:rsidRDefault="002E0606" w:rsidP="0084490A">
      <w:pPr>
        <w:pStyle w:val="Heading4"/>
        <w:keepNext w:val="0"/>
        <w:keepLines w:val="0"/>
        <w:numPr>
          <w:ilvl w:val="0"/>
          <w:numId w:val="78"/>
        </w:numPr>
      </w:pPr>
      <w:r w:rsidRPr="007F3D68">
        <w:t>Customer related factors</w:t>
      </w:r>
    </w:p>
    <w:p w14:paraId="00F4E0A8" w14:textId="77777777" w:rsidR="002E0606" w:rsidRDefault="002E0606" w:rsidP="002E0606">
      <w:r>
        <w:t xml:space="preserve">Section 116 of the Retail Law sets out a number of customer related factors. These are outlined below, along with guidance on how we will apply these factors in our exemption decisions. </w:t>
      </w:r>
    </w:p>
    <w:p w14:paraId="4D5B4EAB" w14:textId="77777777" w:rsidR="002E0606" w:rsidRPr="00AD69E4" w:rsidRDefault="002E0606" w:rsidP="0084490A">
      <w:pPr>
        <w:pStyle w:val="Heading4"/>
        <w:keepNext w:val="0"/>
        <w:keepLines w:val="0"/>
        <w:numPr>
          <w:ilvl w:val="1"/>
          <w:numId w:val="78"/>
        </w:numPr>
        <w:rPr>
          <w:rStyle w:val="Strong"/>
          <w:rFonts w:cstheme="majorBidi"/>
          <w:bCs/>
          <w:iCs w:val="0"/>
          <w:color w:val="51626F"/>
        </w:rPr>
      </w:pPr>
      <w:r w:rsidRPr="00AD69E4">
        <w:rPr>
          <w:rStyle w:val="Strong"/>
        </w:rPr>
        <w:t>Characteristics of the exempt customers</w:t>
      </w:r>
    </w:p>
    <w:p w14:paraId="42E5D475" w14:textId="77777777" w:rsidR="002E0606" w:rsidRDefault="002E0606" w:rsidP="002E0606">
      <w:r>
        <w:t>Section 116(a) of the Retail Law enables the AER to consider ‘</w:t>
      </w:r>
      <w:r w:rsidRPr="00836940">
        <w:rPr>
          <w:i/>
        </w:rPr>
        <w:t>whether the characteristics of the exempt customers or the circumstances in which energy is to be sold to them by the applicant are such as to warrant exemption</w:t>
      </w:r>
      <w:r>
        <w:t>’.</w:t>
      </w:r>
    </w:p>
    <w:p w14:paraId="061465BF" w14:textId="77777777" w:rsidR="002E0606" w:rsidRDefault="002E0606" w:rsidP="002E0606">
      <w:r>
        <w:t xml:space="preserve">Residential customers need more protection than business customers, and for the same reasons, small exempt customers need a higher level of protection than large exempt customers (who we reasonably assume to have more bargaining power and a greater ability to protect their own interests). We consider that where energy is sold to large customers few conditions are necessary. </w:t>
      </w:r>
    </w:p>
    <w:p w14:paraId="579010AD" w14:textId="77777777" w:rsidR="002E0606" w:rsidRDefault="002E0606" w:rsidP="002E0606">
      <w:r>
        <w:t>Another characteristic we consider is whether the customer has access to another source of energy supply. In our view, a customer needs a greater level of protection where there is a possibility that a customer’s energy supply could be disconnected. In this case the seller will need to either be authorised, or if exempted, will be subject to conditions that mirror a retailer’s obligations. However, customers do not need the same level of protection where there is no risk of them being disconnected</w:t>
      </w:r>
      <w:r w:rsidR="00002104">
        <w:t xml:space="preserve"> from network distributed energy</w:t>
      </w:r>
      <w:r>
        <w:t xml:space="preserve">, for example where the seller is providing a supplementary, discretionary source of energy (as in the case of SPPA providers). </w:t>
      </w:r>
    </w:p>
    <w:p w14:paraId="4CDC90D8" w14:textId="77777777" w:rsidR="002E0606" w:rsidRPr="00AD69E4" w:rsidRDefault="002E0606" w:rsidP="0084490A">
      <w:pPr>
        <w:pStyle w:val="Heading4"/>
        <w:keepNext w:val="0"/>
        <w:keepLines w:val="0"/>
        <w:numPr>
          <w:ilvl w:val="1"/>
          <w:numId w:val="78"/>
        </w:numPr>
        <w:rPr>
          <w:rStyle w:val="Strong"/>
        </w:rPr>
      </w:pPr>
      <w:r w:rsidRPr="009E632A">
        <w:rPr>
          <w:rStyle w:val="Strong"/>
        </w:rPr>
        <w:t>Access to appropriate rights and protections</w:t>
      </w:r>
    </w:p>
    <w:p w14:paraId="44AD79B2" w14:textId="77777777" w:rsidR="002E0606" w:rsidRDefault="002E0606" w:rsidP="002E0606">
      <w:r>
        <w:t>Section 116(b) of the Retail Law enables the AER to consider ‘</w:t>
      </w:r>
      <w:r w:rsidRPr="00836940">
        <w:rPr>
          <w:i/>
        </w:rPr>
        <w:t>the extent to which the imposition of conditions on an exemption, or to which the requirements of other laws, would allow the exempt customers access to appropriate rights and protections rather than requiring the applicant to obtain a retailer authorisation</w:t>
      </w:r>
      <w:r>
        <w:t>’.</w:t>
      </w:r>
    </w:p>
    <w:p w14:paraId="4E228997" w14:textId="79AA0A64" w:rsidR="002E0606" w:rsidRDefault="002E0606" w:rsidP="002E0606">
      <w:r>
        <w:t xml:space="preserve">We can impose conditions on exempt persons to provide an appropriate level of protection for customers. The conditions that apply to most deemed and registrable exemptions are outlined at </w:t>
      </w:r>
      <w:r w:rsidRPr="00D62CB0">
        <w:rPr>
          <w:b/>
        </w:rPr>
        <w:t>Appendix A-1</w:t>
      </w:r>
      <w:r>
        <w:t xml:space="preserve">.  Conditions for individual exemptions will be based on retail customer protections but determined on a </w:t>
      </w:r>
      <w:r w:rsidR="00D62CB0">
        <w:t>case-by-case</w:t>
      </w:r>
      <w:r>
        <w:t xml:space="preserve"> basis.</w:t>
      </w:r>
    </w:p>
    <w:p w14:paraId="1E053D39" w14:textId="77777777" w:rsidR="002E0606" w:rsidRDefault="002E0606" w:rsidP="002E0606">
      <w:r>
        <w:t xml:space="preserve">Many residential and small business customers also have protections under their respective tenancy or equivalent legislation or agreements.  These protections, when complemented by exemption conditions, will go some way to matching the customer protections provided by the Retail Law. </w:t>
      </w:r>
    </w:p>
    <w:p w14:paraId="4A0A859A" w14:textId="77777777" w:rsidR="002E0606" w:rsidRPr="007F3D68" w:rsidRDefault="002E0606" w:rsidP="0084490A">
      <w:pPr>
        <w:pStyle w:val="Heading4"/>
        <w:numPr>
          <w:ilvl w:val="0"/>
          <w:numId w:val="78"/>
        </w:numPr>
      </w:pPr>
      <w:r w:rsidRPr="007F3D68">
        <w:t>Other relevant customer related matters</w:t>
      </w:r>
    </w:p>
    <w:p w14:paraId="10B4533E" w14:textId="77777777" w:rsidR="002E0606" w:rsidRDefault="002E0606" w:rsidP="00AD69E4">
      <w:pPr>
        <w:keepNext/>
        <w:keepLines/>
      </w:pPr>
      <w:r>
        <w:t>Section 116(c) of the Retail Law enables the AER to consider ‘</w:t>
      </w:r>
      <w:r w:rsidRPr="00836940">
        <w:rPr>
          <w:i/>
        </w:rPr>
        <w:t>any other customer related matter the AER considers relevant</w:t>
      </w:r>
      <w:r>
        <w:t>’.</w:t>
      </w:r>
    </w:p>
    <w:p w14:paraId="70EA3362" w14:textId="77777777" w:rsidR="002E0606" w:rsidRPr="00AD69E4" w:rsidRDefault="002E0606" w:rsidP="0084490A">
      <w:pPr>
        <w:pStyle w:val="Heading4"/>
        <w:keepNext w:val="0"/>
        <w:keepLines w:val="0"/>
        <w:numPr>
          <w:ilvl w:val="1"/>
          <w:numId w:val="78"/>
        </w:numPr>
        <w:rPr>
          <w:rStyle w:val="Strong"/>
          <w:rFonts w:cstheme="majorBidi"/>
          <w:bCs/>
          <w:iCs w:val="0"/>
          <w:color w:val="51626F"/>
        </w:rPr>
      </w:pPr>
      <w:r w:rsidRPr="00AD69E4">
        <w:rPr>
          <w:rStyle w:val="Strong"/>
        </w:rPr>
        <w:t>The nature of the service provided to customers</w:t>
      </w:r>
    </w:p>
    <w:p w14:paraId="63C229D7" w14:textId="77777777" w:rsidR="002E0606" w:rsidRDefault="002E0606" w:rsidP="002E0606">
      <w:r>
        <w:t xml:space="preserve">Energy is an essential service, regardless of its source or how it is supplied. However, this does not mean that all energy supply should be regulated the same way and, as noted earlier, regulation should be fit for purpose. </w:t>
      </w:r>
    </w:p>
    <w:p w14:paraId="2ACC04E2" w14:textId="77777777" w:rsidR="002E0606" w:rsidRDefault="002E0606" w:rsidP="002E0606">
      <w:r>
        <w:t xml:space="preserve">When determining how best to regulate energy supply, one of the questions we consider is whether a service is discretionary or non-discretionary and the effect disconnection would have on a customer’s ongoing energy supply. The impact on a customer of the disconnection of their primary source of energy supply (that is through the grid) is far greater than disconnection of a secondary source of supply. If a secondary source were disconnected the customer would still have access to network distributed energy and would still be supplied. </w:t>
      </w:r>
    </w:p>
    <w:p w14:paraId="6FE41B87" w14:textId="77777777" w:rsidR="002E0606" w:rsidRDefault="002E0606" w:rsidP="002E0606">
      <w:r>
        <w:t>Primary providers should be required to provide customers with the full suite of energy retail protections and therefore should be authorised. Where a customer is supplied by an energy source that is secondary to grid-distributed energy (for example, through an SPPA) the customer does not need the same level of protection for that service as for the primary source of electricity. In addition, the seller does not need to be as heavily regulated as an authorised retailer. An exemption may be appropriate in this instance and the conditions tailored to the nature of the energy sale. These will be considered on a case-by-case basis.</w:t>
      </w:r>
    </w:p>
    <w:p w14:paraId="1D010A8C" w14:textId="77777777" w:rsidR="002E0606" w:rsidRPr="007F3D68" w:rsidRDefault="002E0606" w:rsidP="0084490A">
      <w:pPr>
        <w:pStyle w:val="Heading4"/>
        <w:keepNext w:val="0"/>
        <w:keepLines w:val="0"/>
        <w:numPr>
          <w:ilvl w:val="0"/>
          <w:numId w:val="78"/>
        </w:numPr>
      </w:pPr>
      <w:r w:rsidRPr="007F3D68">
        <w:t>Other relevant seller related matters</w:t>
      </w:r>
    </w:p>
    <w:p w14:paraId="4BFE641E" w14:textId="77777777" w:rsidR="002E0606" w:rsidRDefault="002E0606" w:rsidP="002E0606">
      <w:r>
        <w:t>Section 115(1)(g) of the Retail Law enables the AER to consider ‘</w:t>
      </w:r>
      <w:r w:rsidRPr="00836940">
        <w:rPr>
          <w:i/>
        </w:rPr>
        <w:t>any other seller related matter the AER considers relevant</w:t>
      </w:r>
      <w:r>
        <w:t xml:space="preserve">’. </w:t>
      </w:r>
    </w:p>
    <w:p w14:paraId="7953A2C5" w14:textId="77777777" w:rsidR="002E0606" w:rsidRPr="00AD69E4" w:rsidRDefault="002E0606" w:rsidP="0084490A">
      <w:pPr>
        <w:pStyle w:val="Heading4"/>
        <w:keepNext w:val="0"/>
        <w:keepLines w:val="0"/>
        <w:numPr>
          <w:ilvl w:val="1"/>
          <w:numId w:val="78"/>
        </w:numPr>
        <w:rPr>
          <w:rStyle w:val="Strong"/>
        </w:rPr>
      </w:pPr>
      <w:r w:rsidRPr="009E632A">
        <w:rPr>
          <w:rStyle w:val="Strong"/>
        </w:rPr>
        <w:t>Unmetered supply</w:t>
      </w:r>
    </w:p>
    <w:p w14:paraId="18985189" w14:textId="77777777" w:rsidR="002E0606" w:rsidRDefault="002E0606" w:rsidP="002E0606">
      <w:r>
        <w:t>Some metering requirements are determined by state or territory legislation. The Retail Rules state that we can impose conditions on exempt persons for, or with respect to, installing, maintaining and reading meters of exempt customers in accordance with jurisdictional energy legislation.</w:t>
      </w:r>
      <w:r>
        <w:rPr>
          <w:rStyle w:val="FootnoteReference"/>
        </w:rPr>
        <w:footnoteReference w:id="62"/>
      </w:r>
      <w:r>
        <w:t xml:space="preserve">  </w:t>
      </w:r>
    </w:p>
    <w:p w14:paraId="267CB2E3" w14:textId="77777777" w:rsidR="002E0606" w:rsidRDefault="002E0606" w:rsidP="002E0606">
      <w:r>
        <w:t>Although we do not support unmetered energy selling, we will allow exemptions in some circumstances where, for example, it is permitted under jurisdictional legislation,</w:t>
      </w:r>
      <w:r>
        <w:rPr>
          <w:rStyle w:val="FootnoteReference"/>
        </w:rPr>
        <w:footnoteReference w:id="63"/>
      </w:r>
      <w:r>
        <w:t xml:space="preserve"> or where it is for negligible and specific use such as for gas cook tops, or in “legacy” arrangements,</w:t>
      </w:r>
      <w:r>
        <w:rPr>
          <w:rStyle w:val="FootnoteReference"/>
        </w:rPr>
        <w:footnoteReference w:id="64"/>
      </w:r>
      <w:r w:rsidR="00C867B0">
        <w:t xml:space="preserve"> or, </w:t>
      </w:r>
      <w:r>
        <w:t>in the case of large customers, where the parties have agreed to it.</w:t>
      </w:r>
    </w:p>
    <w:p w14:paraId="18E77832" w14:textId="77777777" w:rsidR="002E0606" w:rsidRPr="009E632A" w:rsidRDefault="002E0606" w:rsidP="0084490A">
      <w:pPr>
        <w:pStyle w:val="Heading4"/>
        <w:keepNext w:val="0"/>
        <w:keepLines w:val="0"/>
        <w:numPr>
          <w:ilvl w:val="1"/>
          <w:numId w:val="78"/>
        </w:numPr>
        <w:rPr>
          <w:rStyle w:val="Strong"/>
        </w:rPr>
      </w:pPr>
      <w:r w:rsidRPr="009E632A">
        <w:rPr>
          <w:rStyle w:val="Strong"/>
        </w:rPr>
        <w:t>Decentralised energy and the need for flexibility</w:t>
      </w:r>
    </w:p>
    <w:p w14:paraId="02FAE5D1" w14:textId="77777777" w:rsidR="002E0606" w:rsidRDefault="002E0606" w:rsidP="002E0606">
      <w:pPr>
        <w:keepNext/>
        <w:keepLines/>
      </w:pPr>
      <w:r>
        <w:t xml:space="preserve">The way energy is supplied to customers is changing with the emergence of new products and services that allow customers greater control over how their electricity is delivered and consumed. This has resulted in a range of distributed generation and storage options, demand management services and new business models for selling energy. Many of these new energy sellers do not sell energy under a ‘typical’ energy retailer model and are different from typical exempt sellers. </w:t>
      </w:r>
    </w:p>
    <w:p w14:paraId="6E4F399F" w14:textId="77777777" w:rsidR="002E0606" w:rsidRDefault="002E0606" w:rsidP="002E0606">
      <w:r>
        <w:t xml:space="preserve">Many of the new products emerging in the electricity supply market involve on-site generation which may be combined with storage. While this has broader implications for all levels of the energy market, it is already impacting on the way that energy is being retailed to customers. Increasingly, a customer’s energy supply will be drawn from various sources, including from alternative energy sellers. Not all new technologies involve the sale of energy (for example, battery storage) but where they do (for example, SPPAs) they fall under the Retail Law.  </w:t>
      </w:r>
    </w:p>
    <w:p w14:paraId="70627987" w14:textId="77777777" w:rsidR="002E0606" w:rsidRDefault="002E0606" w:rsidP="002E0606">
      <w:r>
        <w:t xml:space="preserve">The alternative energy market is evolving rapidly and our regulatory approach aims to support—not hinder—market innovation. Our approach to regulation will be flexible and pragmatic and the level of regulation applied to a business (obligations, as well as entry criteria) needs to be appropriate for the type of energy selling undertaken. </w:t>
      </w:r>
    </w:p>
    <w:p w14:paraId="0CDD2F0D" w14:textId="77777777" w:rsidR="002E0606" w:rsidRPr="006A2085" w:rsidRDefault="002E0606">
      <w:r>
        <w:t>We will seek to ensure that a customer has appropriate consumer protections under the conditions of their exemption. However we will not impose conditions on alternative energy sellers where another supplier already guarantees these protections or where they duplicate protections available through other legislation (for example, the Australian Consumer Law).</w:t>
      </w:r>
    </w:p>
    <w:sectPr w:rsidR="002E0606" w:rsidRPr="006A2085" w:rsidSect="0085327B">
      <w:pgSz w:w="11906" w:h="16838"/>
      <w:pgMar w:top="1440" w:right="1440" w:bottom="1440" w:left="1440" w:header="708" w:footer="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DEFB3" w14:textId="77777777" w:rsidR="004B3CB7" w:rsidRDefault="004B3CB7" w:rsidP="00B14A00">
      <w:pPr>
        <w:spacing w:line="240" w:lineRule="auto"/>
      </w:pPr>
      <w:r>
        <w:separator/>
      </w:r>
    </w:p>
  </w:endnote>
  <w:endnote w:type="continuationSeparator" w:id="0">
    <w:p w14:paraId="3B9EB8CE" w14:textId="77777777" w:rsidR="004B3CB7" w:rsidRDefault="004B3CB7" w:rsidP="00B14A00">
      <w:pPr>
        <w:spacing w:line="240" w:lineRule="auto"/>
      </w:pPr>
      <w:r>
        <w:continuationSeparator/>
      </w:r>
    </w:p>
  </w:endnote>
  <w:endnote w:type="continuationNotice" w:id="1">
    <w:p w14:paraId="5E5B0098" w14:textId="77777777" w:rsidR="004B3CB7" w:rsidRDefault="004B3CB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8BD7A" w14:textId="77777777" w:rsidR="004B3CB7" w:rsidRDefault="004B3CB7">
    <w:pPr>
      <w:pStyle w:val="Footer"/>
      <w:jc w:val="right"/>
    </w:pPr>
    <w:r>
      <w:t xml:space="preserve">AER (Retail) Exempt Selling Guideline - version 3 – April 2015 - Page </w:t>
    </w:r>
    <w:sdt>
      <w:sdtPr>
        <w:id w:val="-65837414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8D9A399" w14:textId="77777777" w:rsidR="004B3CB7" w:rsidRDefault="004B3CB7" w:rsidP="0084740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EEECC" w14:textId="77777777" w:rsidR="004B3CB7" w:rsidRDefault="004B3CB7">
    <w:pPr>
      <w:pStyle w:val="Footer"/>
    </w:pPr>
  </w:p>
  <w:p w14:paraId="2A8BD058" w14:textId="77777777" w:rsidR="004B3CB7" w:rsidRDefault="004B3C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322768"/>
      <w:docPartObj>
        <w:docPartGallery w:val="Page Numbers (Bottom of Page)"/>
        <w:docPartUnique/>
      </w:docPartObj>
    </w:sdtPr>
    <w:sdtEndPr>
      <w:rPr>
        <w:noProof/>
      </w:rPr>
    </w:sdtEndPr>
    <w:sdtContent>
      <w:p w14:paraId="1C23275D" w14:textId="2F280092" w:rsidR="004B3CB7" w:rsidRPr="00A066C0" w:rsidRDefault="004B3CB7" w:rsidP="00E54A98">
        <w:pPr>
          <w:pStyle w:val="Footer"/>
          <w:jc w:val="right"/>
        </w:pPr>
        <w:r w:rsidRPr="00935AAD">
          <w:t xml:space="preserve">AER (Retail) Exempt Selling Guideline – version </w:t>
        </w:r>
        <w:r>
          <w:t>5</w:t>
        </w:r>
        <w:r w:rsidRPr="00935AAD">
          <w:t xml:space="preserve"> – </w:t>
        </w:r>
        <w:r>
          <w:t>March 2018</w:t>
        </w:r>
        <w:r>
          <w:tab/>
        </w:r>
        <w:r>
          <w:fldChar w:fldCharType="begin"/>
        </w:r>
        <w:r>
          <w:instrText xml:space="preserve"> PAGE   \* MERGEFORMAT </w:instrText>
        </w:r>
        <w:r>
          <w:fldChar w:fldCharType="separate"/>
        </w:r>
        <w:r w:rsidR="0062758E">
          <w:rPr>
            <w:noProof/>
          </w:rPr>
          <w:t>3</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AD760" w14:textId="77777777" w:rsidR="004B3CB7" w:rsidRDefault="004B3CB7">
    <w:pPr>
      <w:pStyle w:val="Footer"/>
    </w:pPr>
  </w:p>
  <w:p w14:paraId="4B152BF5" w14:textId="77777777" w:rsidR="004B3CB7" w:rsidRDefault="004B3CB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458249"/>
      <w:docPartObj>
        <w:docPartGallery w:val="Page Numbers (Bottom of Page)"/>
        <w:docPartUnique/>
      </w:docPartObj>
    </w:sdtPr>
    <w:sdtEndPr>
      <w:rPr>
        <w:noProof/>
      </w:rPr>
    </w:sdtEndPr>
    <w:sdtContent>
      <w:p w14:paraId="5E803C9B" w14:textId="2CCBCB9B" w:rsidR="004B3CB7" w:rsidRDefault="004B3CB7" w:rsidP="00B837DC">
        <w:pPr>
          <w:pStyle w:val="Footer"/>
          <w:jc w:val="right"/>
        </w:pPr>
        <w:r w:rsidRPr="00935AAD">
          <w:t xml:space="preserve">AER (Retail) Exempt Selling Guideline – version </w:t>
        </w:r>
        <w:r>
          <w:t>5</w:t>
        </w:r>
        <w:r w:rsidRPr="00935AAD">
          <w:t xml:space="preserve"> – </w:t>
        </w:r>
        <w:r>
          <w:t>March 2018</w:t>
        </w:r>
        <w:r>
          <w:tab/>
        </w:r>
        <w:r>
          <w:fldChar w:fldCharType="begin"/>
        </w:r>
        <w:r>
          <w:instrText xml:space="preserve"> PAGE   \* MERGEFORMAT </w:instrText>
        </w:r>
        <w:r>
          <w:fldChar w:fldCharType="separate"/>
        </w:r>
        <w:r w:rsidR="0062758E">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9EEE9" w14:textId="603885DC" w:rsidR="004B3CB7" w:rsidRDefault="004B3CB7" w:rsidP="00E54A98">
    <w:pPr>
      <w:pStyle w:val="Footer"/>
      <w:rPr>
        <w:noProof/>
      </w:rPr>
    </w:pPr>
    <w:r w:rsidRPr="00935AAD">
      <w:t xml:space="preserve">AER (Retail) Exempt Selling Guideline – version </w:t>
    </w:r>
    <w:r>
      <w:t>5</w:t>
    </w:r>
    <w:r w:rsidRPr="00935AAD">
      <w:t xml:space="preserve"> – </w:t>
    </w:r>
    <w:r w:rsidR="00F54A6F">
      <w:t>April 2018</w:t>
    </w:r>
    <w:r>
      <w:tab/>
    </w:r>
    <w:r>
      <w:tab/>
    </w:r>
    <w:r>
      <w:fldChar w:fldCharType="begin"/>
    </w:r>
    <w:r>
      <w:instrText xml:space="preserve"> PAGE   \* MERGEFORMAT </w:instrText>
    </w:r>
    <w:r>
      <w:fldChar w:fldCharType="separate"/>
    </w:r>
    <w:r w:rsidR="00E72AE8">
      <w:rPr>
        <w:noProof/>
      </w:rPr>
      <w:t>57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88A79" w14:textId="77777777" w:rsidR="004B3CB7" w:rsidRDefault="004B3CB7" w:rsidP="00B14A00">
      <w:pPr>
        <w:spacing w:line="240" w:lineRule="auto"/>
      </w:pPr>
      <w:r>
        <w:separator/>
      </w:r>
    </w:p>
  </w:footnote>
  <w:footnote w:type="continuationSeparator" w:id="0">
    <w:p w14:paraId="3D8D162A" w14:textId="77777777" w:rsidR="004B3CB7" w:rsidRDefault="004B3CB7" w:rsidP="00B14A00">
      <w:pPr>
        <w:spacing w:line="240" w:lineRule="auto"/>
      </w:pPr>
      <w:r>
        <w:continuationSeparator/>
      </w:r>
    </w:p>
  </w:footnote>
  <w:footnote w:type="continuationNotice" w:id="1">
    <w:p w14:paraId="0F54F1FF" w14:textId="77777777" w:rsidR="004B3CB7" w:rsidRDefault="004B3CB7">
      <w:pPr>
        <w:spacing w:before="0" w:after="0" w:line="240" w:lineRule="auto"/>
      </w:pPr>
    </w:p>
  </w:footnote>
  <w:footnote w:id="2">
    <w:p w14:paraId="1C62B4B5" w14:textId="77777777" w:rsidR="004B3CB7" w:rsidRDefault="004B3CB7" w:rsidP="00D122F1">
      <w:pPr>
        <w:pStyle w:val="FootnoteText"/>
      </w:pPr>
      <w:r>
        <w:rPr>
          <w:rStyle w:val="FootnoteReference"/>
        </w:rPr>
        <w:footnoteRef/>
      </w:r>
      <w:r>
        <w:t xml:space="preserve"> Section 88 of the Retail Law. A breach of this provision attracts a civil penalty.</w:t>
      </w:r>
    </w:p>
  </w:footnote>
  <w:footnote w:id="3">
    <w:p w14:paraId="11BB32F6" w14:textId="77777777" w:rsidR="004B3CB7" w:rsidRDefault="004B3CB7" w:rsidP="00D122F1">
      <w:pPr>
        <w:pStyle w:val="FootnoteText"/>
      </w:pPr>
      <w:r>
        <w:rPr>
          <w:rStyle w:val="FootnoteReference"/>
        </w:rPr>
        <w:footnoteRef/>
      </w:r>
      <w:r>
        <w:t xml:space="preserve"> </w:t>
      </w:r>
      <w:r w:rsidRPr="007C0183">
        <w:t xml:space="preserve">The </w:t>
      </w:r>
      <w:r>
        <w:t>Retail Law</w:t>
      </w:r>
      <w:r w:rsidRPr="007C0183">
        <w:t xml:space="preserve"> does not apply to off-grid arrangements</w:t>
      </w:r>
      <w:r>
        <w:t xml:space="preserve"> in states or territories that have specifically excluded these arrangements under their adopting legislation. </w:t>
      </w:r>
    </w:p>
  </w:footnote>
  <w:footnote w:id="4">
    <w:p w14:paraId="559ECB7A" w14:textId="05B97267" w:rsidR="004B3CB7" w:rsidRDefault="004B3CB7" w:rsidP="0026461B">
      <w:pPr>
        <w:pStyle w:val="FootnoteText"/>
      </w:pPr>
      <w:r>
        <w:rPr>
          <w:rStyle w:val="FootnoteReference"/>
        </w:rPr>
        <w:footnoteRef/>
      </w:r>
      <w:r>
        <w:t xml:space="preserve"> The energy selling activities covered by class exemptions are described in our </w:t>
      </w:r>
      <w:r w:rsidRPr="006735EB">
        <w:rPr>
          <w:i/>
        </w:rPr>
        <w:t>Exempt Selling Guideline.</w:t>
      </w:r>
      <w:r>
        <w:t xml:space="preserve"> The </w:t>
      </w:r>
      <w:r w:rsidRPr="00012191">
        <w:rPr>
          <w:i/>
        </w:rPr>
        <w:t>Retail Law</w:t>
      </w:r>
      <w:r>
        <w:t xml:space="preserve"> empowers us to develop an Exempt Selling Guideline which sets out how we regulate exempt sellers. </w:t>
      </w:r>
    </w:p>
  </w:footnote>
  <w:footnote w:id="5">
    <w:p w14:paraId="47F0E56E" w14:textId="1628FBA9" w:rsidR="004B3CB7" w:rsidRDefault="004B3CB7" w:rsidP="008005A8">
      <w:pPr>
        <w:pStyle w:val="FootnoteText"/>
      </w:pPr>
      <w:r>
        <w:rPr>
          <w:rStyle w:val="FootnoteReference"/>
        </w:rPr>
        <w:footnoteRef/>
      </w:r>
      <w:r>
        <w:t xml:space="preserve"> </w:t>
      </w:r>
      <w:r w:rsidRPr="001C5AF3">
        <w:t>https://www.aer.gov.au/networks-pipelines/guidelines-schemes-models-reviews/network-service-provider-registration-exemption-guideline-march-2018</w:t>
      </w:r>
    </w:p>
  </w:footnote>
  <w:footnote w:id="6">
    <w:p w14:paraId="7F9E8C31" w14:textId="3DE97F81" w:rsidR="004B3CB7" w:rsidRDefault="004B3CB7" w:rsidP="00CF72AB">
      <w:pPr>
        <w:pStyle w:val="FootnoteText"/>
      </w:pPr>
      <w:r>
        <w:rPr>
          <w:rStyle w:val="FootnoteReference"/>
        </w:rPr>
        <w:footnoteRef/>
      </w:r>
      <w:r>
        <w:t xml:space="preserve"> We do not consider t</w:t>
      </w:r>
      <w:r w:rsidRPr="0006201F">
        <w:t>he sale of bulk hot water a ‘sale of energy’ under the Retail Law and Retail Rules.</w:t>
      </w:r>
    </w:p>
  </w:footnote>
  <w:footnote w:id="7">
    <w:p w14:paraId="00752ED6" w14:textId="77777777" w:rsidR="004B3CB7" w:rsidRDefault="004B3CB7" w:rsidP="002676A6">
      <w:pPr>
        <w:pStyle w:val="FootnoteText"/>
      </w:pPr>
      <w:r>
        <w:rPr>
          <w:rStyle w:val="FootnoteReference"/>
        </w:rPr>
        <w:footnoteRef/>
      </w:r>
      <w:r>
        <w:t xml:space="preserve">  In Tasmania, the exemptions framework does not apply to embedded networks, such as caravan parks, shopping centres, and apartment buildings but does allow for individual exemptions, for example, for solar power purchase agreement providers (section 23, the </w:t>
      </w:r>
      <w:r>
        <w:rPr>
          <w:i/>
          <w:iCs/>
        </w:rPr>
        <w:t>National Energy Retail Law (Tasmania) Act 2012</w:t>
      </w:r>
      <w:r>
        <w:t>).</w:t>
      </w:r>
    </w:p>
  </w:footnote>
  <w:footnote w:id="8">
    <w:p w14:paraId="2A9284F6" w14:textId="7F69F015" w:rsidR="004B3CB7" w:rsidRDefault="004B3CB7" w:rsidP="007109FE">
      <w:pPr>
        <w:pStyle w:val="FootnoteText"/>
      </w:pPr>
      <w:r>
        <w:rPr>
          <w:rStyle w:val="FootnoteReference"/>
        </w:rPr>
        <w:footnoteRef/>
      </w:r>
      <w:r>
        <w:t xml:space="preserve"> We </w:t>
      </w:r>
      <w:r w:rsidRPr="00EC27E4">
        <w:t xml:space="preserve">may issue an infringement notice (s 308 of the Retail Law). We may also apply to the Federal Court under section 44AAG of the Competition and Consumer Act 2010 (Cth) </w:t>
      </w:r>
      <w:r>
        <w:t xml:space="preserve">for an </w:t>
      </w:r>
      <w:r w:rsidRPr="00EC27E4">
        <w:t xml:space="preserve">order </w:t>
      </w:r>
      <w:r>
        <w:t xml:space="preserve">to pay a pecuniary penalty, and/or an order that the </w:t>
      </w:r>
      <w:r w:rsidRPr="00EC27E4">
        <w:t>person</w:t>
      </w:r>
      <w:r>
        <w:t xml:space="preserve"> </w:t>
      </w:r>
      <w:r w:rsidRPr="00EC27E4">
        <w:t>cease the activity that is in breach, or take action to remedy the breach, or implement a specified program for compliance with the Retail</w:t>
      </w:r>
      <w:r>
        <w:t xml:space="preserve"> Law.</w:t>
      </w:r>
    </w:p>
  </w:footnote>
  <w:footnote w:id="9">
    <w:p w14:paraId="52039434" w14:textId="77777777" w:rsidR="004B3CB7" w:rsidRDefault="004B3CB7" w:rsidP="005040FA">
      <w:pPr>
        <w:pStyle w:val="FootnoteText"/>
      </w:pPr>
      <w:r>
        <w:rPr>
          <w:rStyle w:val="FootnoteReference"/>
        </w:rPr>
        <w:footnoteRef/>
      </w:r>
      <w:r>
        <w:t xml:space="preserve"> </w:t>
      </w:r>
      <w:r w:rsidRPr="00D94D1A">
        <w:t>Except where limited by state or territory legislation</w:t>
      </w:r>
      <w:r>
        <w:t>.</w:t>
      </w:r>
    </w:p>
  </w:footnote>
  <w:footnote w:id="10">
    <w:p w14:paraId="6E597521" w14:textId="1E2C5F59" w:rsidR="004B3CB7" w:rsidRDefault="004B3CB7" w:rsidP="00353CD9">
      <w:pPr>
        <w:pStyle w:val="FootnoteText"/>
      </w:pPr>
      <w:r>
        <w:rPr>
          <w:rStyle w:val="FootnoteReference"/>
        </w:rPr>
        <w:footnoteRef/>
      </w:r>
      <w:r>
        <w:t xml:space="preserve"> </w:t>
      </w:r>
      <w:r w:rsidRPr="0006201F">
        <w:t xml:space="preserve">For further information on what the AER considers to be ‘core’ business, please see </w:t>
      </w:r>
      <w:r>
        <w:t>Appendix E section 3.1.</w:t>
      </w:r>
    </w:p>
  </w:footnote>
  <w:footnote w:id="11">
    <w:p w14:paraId="78EF5A3C" w14:textId="77777777" w:rsidR="004B3CB7" w:rsidRDefault="004B3CB7" w:rsidP="00353CD9">
      <w:pPr>
        <w:pStyle w:val="FootnoteText"/>
      </w:pPr>
      <w:r>
        <w:rPr>
          <w:rStyle w:val="FootnoteReference"/>
        </w:rPr>
        <w:footnoteRef/>
      </w:r>
      <w:r>
        <w:t xml:space="preserve"> </w:t>
      </w:r>
      <w:r w:rsidRPr="0006201F">
        <w:t>Further information on retailer authorisations is set out in the AER’s Retailer authorisation guideline (</w:t>
      </w:r>
      <w:hyperlink r:id="rId1" w:history="1">
        <w:r w:rsidRPr="00DC2FD0">
          <w:rPr>
            <w:rStyle w:val="Hyperlink"/>
          </w:rPr>
          <w:t>http://www.aer.gov.au/retail-markets/retail-guidelines/retailer-authorisation-guideline-december-2014</w:t>
        </w:r>
      </w:hyperlink>
      <w:r w:rsidRPr="0006201F">
        <w:t>).</w:t>
      </w:r>
    </w:p>
  </w:footnote>
  <w:footnote w:id="12">
    <w:p w14:paraId="1165BB8B" w14:textId="77777777" w:rsidR="004B3CB7" w:rsidRDefault="004B3CB7" w:rsidP="000850F1">
      <w:pPr>
        <w:pStyle w:val="FootnoteText"/>
      </w:pPr>
      <w:r>
        <w:rPr>
          <w:rStyle w:val="FootnoteReference"/>
        </w:rPr>
        <w:footnoteRef/>
      </w:r>
      <w:r>
        <w:t xml:space="preserve"> The </w:t>
      </w:r>
      <w:r w:rsidRPr="000816CC">
        <w:rPr>
          <w:rStyle w:val="Emphasis"/>
          <w:sz w:val="18"/>
          <w:szCs w:val="18"/>
        </w:rPr>
        <w:t>AER Retailer Authorisation Guideline</w:t>
      </w:r>
      <w:r>
        <w:rPr>
          <w:rStyle w:val="Emphasis"/>
          <w:sz w:val="18"/>
          <w:szCs w:val="18"/>
        </w:rPr>
        <w:t xml:space="preserve"> </w:t>
      </w:r>
      <w:r>
        <w:t xml:space="preserve">is available on the AER’s website: </w:t>
      </w:r>
      <w:hyperlink r:id="rId2" w:history="1">
        <w:r w:rsidRPr="002B7E96">
          <w:rPr>
            <w:rStyle w:val="Hyperlink"/>
          </w:rPr>
          <w:t>http://www.aer.gov.au/retail-markets/authorisations</w:t>
        </w:r>
      </w:hyperlink>
      <w:r>
        <w:t xml:space="preserve">. </w:t>
      </w:r>
    </w:p>
  </w:footnote>
  <w:footnote w:id="13">
    <w:p w14:paraId="06D86DD6" w14:textId="2752ADA1" w:rsidR="004B3CB7" w:rsidRDefault="004B3CB7" w:rsidP="00034197">
      <w:pPr>
        <w:pStyle w:val="FootnoteText"/>
      </w:pPr>
      <w:r>
        <w:rPr>
          <w:rStyle w:val="FootnoteReference"/>
        </w:rPr>
        <w:footnoteRef/>
      </w:r>
      <w:r>
        <w:t xml:space="preserve"> </w:t>
      </w:r>
      <w:r w:rsidRPr="0006201F">
        <w:t xml:space="preserve">For further information on what the AER considers to be ‘incidental’ selling, please see </w:t>
      </w:r>
      <w:r>
        <w:t>Appendix E section 3.1</w:t>
      </w:r>
      <w:r w:rsidRPr="0006201F">
        <w:t>.</w:t>
      </w:r>
    </w:p>
  </w:footnote>
  <w:footnote w:id="14">
    <w:p w14:paraId="37FA4FE8" w14:textId="1776E536" w:rsidR="004B3CB7" w:rsidRDefault="004B3CB7" w:rsidP="00F95A72">
      <w:pPr>
        <w:pStyle w:val="FootnoteText"/>
      </w:pPr>
      <w:r>
        <w:rPr>
          <w:rStyle w:val="FootnoteReference"/>
        </w:rPr>
        <w:footnoteRef/>
      </w:r>
      <w:r>
        <w:t xml:space="preserve"> An embedded network means a privately owned </w:t>
      </w:r>
      <w:r w:rsidRPr="0040032D">
        <w:rPr>
          <w:rStyle w:val="CommentReference"/>
          <w:sz w:val="18"/>
          <w:szCs w:val="18"/>
        </w:rPr>
        <w:t>electricity network</w:t>
      </w:r>
      <w:r>
        <w:rPr>
          <w:rStyle w:val="CommentReference"/>
          <w:sz w:val="18"/>
          <w:szCs w:val="18"/>
        </w:rPr>
        <w:t>, connected to the distribution network by one or more meters. Energy is delivered to customers via the private network.</w:t>
      </w:r>
      <w:r w:rsidRPr="0040032D">
        <w:rPr>
          <w:rStyle w:val="CommentReference"/>
          <w:sz w:val="18"/>
          <w:szCs w:val="18"/>
        </w:rPr>
        <w:t xml:space="preserve"> </w:t>
      </w:r>
      <w:r>
        <w:t>For the purposes of the retail exemption guideline, a private network connected to another private network is also considered an embedded network.</w:t>
      </w:r>
    </w:p>
  </w:footnote>
  <w:footnote w:id="15">
    <w:p w14:paraId="18D854B8" w14:textId="0E46912B" w:rsidR="004B3CB7" w:rsidRDefault="004B3CB7">
      <w:pPr>
        <w:pStyle w:val="FootnoteText"/>
      </w:pPr>
      <w:r w:rsidRPr="003E5EA4">
        <w:rPr>
          <w:rStyle w:val="FootnoteReference"/>
        </w:rPr>
        <w:footnoteRef/>
      </w:r>
      <w:r w:rsidRPr="003E5EA4">
        <w:t xml:space="preserve"> Unmetered on</w:t>
      </w:r>
      <w:r>
        <w:t>-</w:t>
      </w:r>
      <w:r w:rsidRPr="003E5EA4">
        <w:t>selling to residential customers is currently allowed in Queensland (provided certain conditions are met) under the Residential Tenancies and Rooming Accommodation Act 2008 (Qld), s</w:t>
      </w:r>
      <w:r>
        <w:t>ection</w:t>
      </w:r>
      <w:r w:rsidRPr="003E5EA4">
        <w:t>165.</w:t>
      </w:r>
    </w:p>
  </w:footnote>
  <w:footnote w:id="16">
    <w:p w14:paraId="3E36DDBA" w14:textId="77777777" w:rsidR="004B3CB7" w:rsidRDefault="004B3CB7">
      <w:pPr>
        <w:pStyle w:val="FootnoteText"/>
      </w:pPr>
      <w:r>
        <w:rPr>
          <w:rStyle w:val="FootnoteReference"/>
        </w:rPr>
        <w:footnoteRef/>
      </w:r>
      <w:r>
        <w:t xml:space="preserve"> </w:t>
      </w:r>
      <w:r w:rsidRPr="00480BB1">
        <w:t xml:space="preserve">The threshold for large electricity customers in New South Wales, the ACT, Queensland and Victoria is 100MWh per annum, </w:t>
      </w:r>
      <w:r>
        <w:t xml:space="preserve">150MWh per annum in Tasmania </w:t>
      </w:r>
      <w:r w:rsidRPr="00480BB1">
        <w:t>and 160MWh per annum in South Australia. For gas, the threshold in all jurisdictions is 1TJ per annum.</w:t>
      </w:r>
    </w:p>
  </w:footnote>
  <w:footnote w:id="17">
    <w:p w14:paraId="59E4FBF7" w14:textId="05CBE226" w:rsidR="004B3CB7" w:rsidRDefault="004B3CB7" w:rsidP="002F06B4">
      <w:pPr>
        <w:pStyle w:val="FootnoteText"/>
      </w:pPr>
      <w:r>
        <w:rPr>
          <w:rStyle w:val="FootnoteReference"/>
        </w:rPr>
        <w:footnoteRef/>
      </w:r>
      <w:r>
        <w:t xml:space="preserve"> The NSP Registration Exemption Guideline requires that at least 85 percent of tenants or residents consent to a network conversion to be eligible for a network exemption for residential, small business and large business customers. </w:t>
      </w:r>
    </w:p>
  </w:footnote>
  <w:footnote w:id="18">
    <w:p w14:paraId="40A312F0" w14:textId="2782ACBC" w:rsidR="004B3CB7" w:rsidRDefault="004B3CB7" w:rsidP="00515C80">
      <w:pPr>
        <w:pStyle w:val="FootnoteText"/>
      </w:pPr>
      <w:r w:rsidRPr="00523F8F">
        <w:rPr>
          <w:rStyle w:val="FootnoteReference"/>
        </w:rPr>
        <w:footnoteRef/>
      </w:r>
      <w:r w:rsidRPr="00523F8F">
        <w:t xml:space="preserve"> An exemption will continue to apply where a company has changed its </w:t>
      </w:r>
      <w:r>
        <w:t xml:space="preserve">trading </w:t>
      </w:r>
      <w:r w:rsidRPr="00523F8F">
        <w:t>name or ownership</w:t>
      </w:r>
      <w:r>
        <w:t xml:space="preserve"> structure as long as the legal entity remains the same. </w:t>
      </w:r>
    </w:p>
  </w:footnote>
  <w:footnote w:id="19">
    <w:p w14:paraId="4B1A63B8" w14:textId="77777777" w:rsidR="004B3CB7" w:rsidRDefault="004B3CB7">
      <w:pPr>
        <w:pStyle w:val="FootnoteText"/>
      </w:pPr>
      <w:r>
        <w:rPr>
          <w:rStyle w:val="FootnoteReference"/>
        </w:rPr>
        <w:footnoteRef/>
      </w:r>
      <w:r>
        <w:t xml:space="preserve"> </w:t>
      </w:r>
      <w:r w:rsidRPr="008E75F6">
        <w:t xml:space="preserve">A copy of our exemption registration form can be found here: </w:t>
      </w:r>
      <w:hyperlink r:id="rId3" w:history="1">
        <w:r w:rsidRPr="00DC2FD0">
          <w:rPr>
            <w:rStyle w:val="Hyperlink"/>
          </w:rPr>
          <w:t>http://www.aer.gov.au/retail-markets/retail-exemptions</w:t>
        </w:r>
      </w:hyperlink>
      <w:r>
        <w:t xml:space="preserve">  </w:t>
      </w:r>
    </w:p>
  </w:footnote>
  <w:footnote w:id="20">
    <w:p w14:paraId="4E705E36" w14:textId="77777777" w:rsidR="004B3CB7" w:rsidRDefault="004B3CB7">
      <w:pPr>
        <w:pStyle w:val="FootnoteText"/>
      </w:pPr>
      <w:r>
        <w:rPr>
          <w:rStyle w:val="FootnoteReference"/>
        </w:rPr>
        <w:footnoteRef/>
      </w:r>
      <w:r>
        <w:t xml:space="preserve"> </w:t>
      </w:r>
      <w:r w:rsidRPr="008E75F6">
        <w:t>For example, retail shopping centre, residential apartment building, caravan park or retirement village.</w:t>
      </w:r>
    </w:p>
  </w:footnote>
  <w:footnote w:id="21">
    <w:p w14:paraId="47DB2BB0" w14:textId="77777777" w:rsidR="004B3CB7" w:rsidRDefault="004B3CB7" w:rsidP="00961C81">
      <w:pPr>
        <w:pStyle w:val="FootnoteText"/>
      </w:pPr>
      <w:r>
        <w:rPr>
          <w:rStyle w:val="FootnoteReference"/>
        </w:rPr>
        <w:footnoteRef/>
      </w:r>
      <w:r>
        <w:t xml:space="preserve"> </w:t>
      </w:r>
      <w:r w:rsidRPr="00C35D42">
        <w:rPr>
          <w:rStyle w:val="Strong"/>
          <w:b w:val="0"/>
          <w:sz w:val="18"/>
          <w:szCs w:val="18"/>
        </w:rPr>
        <w:t xml:space="preserve">Please note that your exemption will only appear on the AER’s public register of exemptions when the Retail Law has commenced in your jurisdiction. </w:t>
      </w:r>
      <w:r w:rsidRPr="00C35D42">
        <w:rPr>
          <w:rStyle w:val="Strong"/>
          <w:b w:val="0"/>
          <w:sz w:val="18"/>
        </w:rPr>
        <w:t>The AER’s public register of exemptions can be found here</w:t>
      </w:r>
      <w:r w:rsidRPr="00C35D42">
        <w:rPr>
          <w:rStyle w:val="Strong"/>
          <w:b w:val="0"/>
          <w:sz w:val="18"/>
          <w:szCs w:val="18"/>
        </w:rPr>
        <w:t>:</w:t>
      </w:r>
      <w:r>
        <w:t xml:space="preserve">  </w:t>
      </w:r>
      <w:hyperlink r:id="rId4" w:history="1">
        <w:r w:rsidRPr="00DC2FD0">
          <w:rPr>
            <w:rStyle w:val="Hyperlink"/>
          </w:rPr>
          <w:t>http://www.aer.gov.au/retail-markets/retail-exemptions/public-register-of-retail-exemptions</w:t>
        </w:r>
      </w:hyperlink>
      <w:r>
        <w:t xml:space="preserve"> </w:t>
      </w:r>
    </w:p>
  </w:footnote>
  <w:footnote w:id="22">
    <w:p w14:paraId="3E27D242" w14:textId="5B29716D" w:rsidR="004B3CB7" w:rsidRDefault="004B3CB7">
      <w:pPr>
        <w:pStyle w:val="FootnoteText"/>
      </w:pPr>
      <w:r>
        <w:rPr>
          <w:rStyle w:val="FootnoteReference"/>
        </w:rPr>
        <w:footnoteRef/>
      </w:r>
      <w:r>
        <w:t xml:space="preserve"> Section 136.1 of the </w:t>
      </w:r>
      <w:r>
        <w:rPr>
          <w:i/>
          <w:iCs/>
        </w:rPr>
        <w:t>Criminal Code.</w:t>
      </w:r>
    </w:p>
  </w:footnote>
  <w:footnote w:id="23">
    <w:p w14:paraId="18BA0738" w14:textId="77777777" w:rsidR="004B3CB7" w:rsidRDefault="004B3CB7" w:rsidP="00ED7A8E">
      <w:pPr>
        <w:pStyle w:val="FootnoteText"/>
      </w:pPr>
      <w:r>
        <w:rPr>
          <w:rStyle w:val="FootnoteReference"/>
        </w:rPr>
        <w:footnoteRef/>
      </w:r>
      <w:r>
        <w:t xml:space="preserve"> </w:t>
      </w:r>
      <w:r w:rsidRPr="002D5E13">
        <w:rPr>
          <w:lang w:val="en"/>
        </w:rPr>
        <w:t>http://www.aer.gov.au/publications/corporate-documents/accc-aer-information-policy-collection-and-disclosure-of-information</w:t>
      </w:r>
    </w:p>
  </w:footnote>
  <w:footnote w:id="24">
    <w:p w14:paraId="33B3AFA2" w14:textId="77777777" w:rsidR="004B3CB7" w:rsidRDefault="004B3CB7" w:rsidP="00ED7A8E">
      <w:pPr>
        <w:pStyle w:val="FootnoteText"/>
      </w:pPr>
      <w:r>
        <w:rPr>
          <w:rStyle w:val="FootnoteReference"/>
        </w:rPr>
        <w:footnoteRef/>
      </w:r>
      <w:r>
        <w:t xml:space="preserve"> </w:t>
      </w:r>
      <w:r w:rsidRPr="008E75F6">
        <w:t>The AER may use the information for any purpose connected with the performance or exercise of its functions or powers.</w:t>
      </w:r>
    </w:p>
  </w:footnote>
  <w:footnote w:id="25">
    <w:p w14:paraId="0F65ADD9" w14:textId="77777777" w:rsidR="004B3CB7" w:rsidRDefault="004B3CB7" w:rsidP="007E44F6">
      <w:pPr>
        <w:pStyle w:val="FootnoteText"/>
      </w:pPr>
      <w:r>
        <w:rPr>
          <w:rStyle w:val="FootnoteReference"/>
        </w:rPr>
        <w:footnoteRef/>
      </w:r>
      <w:r>
        <w:t xml:space="preserve"> </w:t>
      </w:r>
      <w:r w:rsidRPr="008E75F6">
        <w:t xml:space="preserve">The Retail Consultation Procedures (set out at Rule 173 of the Retail Rules) states that the AER must consult for a minimum of 20 business days.  </w:t>
      </w:r>
    </w:p>
  </w:footnote>
  <w:footnote w:id="26">
    <w:p w14:paraId="4ACB290F" w14:textId="77777777" w:rsidR="004B3CB7" w:rsidRDefault="004B3CB7" w:rsidP="00E43B93">
      <w:pPr>
        <w:pStyle w:val="FootnoteText"/>
      </w:pPr>
      <w:r>
        <w:rPr>
          <w:rStyle w:val="FootnoteReference"/>
        </w:rPr>
        <w:footnoteRef/>
      </w:r>
      <w:r>
        <w:t xml:space="preserve"> </w:t>
      </w:r>
      <w:r w:rsidRPr="008E75F6">
        <w:t xml:space="preserve">Our exemption decisions are subject to judicial review (covering questions of law only) under the </w:t>
      </w:r>
      <w:r w:rsidRPr="008E75F6">
        <w:rPr>
          <w:i/>
        </w:rPr>
        <w:t>Administrative Decisions (Judicial Review) Act 1977 (Cth)</w:t>
      </w:r>
      <w:r w:rsidRPr="008E75F6">
        <w:t>.</w:t>
      </w:r>
    </w:p>
  </w:footnote>
  <w:footnote w:id="27">
    <w:p w14:paraId="6EF30C5F" w14:textId="29C85083" w:rsidR="004B3CB7" w:rsidRDefault="004B3CB7">
      <w:pPr>
        <w:pStyle w:val="FootnoteText"/>
      </w:pPr>
      <w:r>
        <w:rPr>
          <w:rStyle w:val="FootnoteReference"/>
        </w:rPr>
        <w:footnoteRef/>
      </w:r>
      <w:r>
        <w:t xml:space="preserve"> It is important that applicants ensure that customers who will be affected by the proposed embedded network are fully informed about the AER’s consultation process. </w:t>
      </w:r>
      <w:r w:rsidRPr="00540067">
        <w:rPr>
          <w:rStyle w:val="FootnoteTextChar"/>
        </w:rPr>
        <w:t xml:space="preserve">Customers should be advised that the AER consults on individual exemption applications and provided with information about how to make a submission to the AER’s consultation process (this information can be found on the AER website </w:t>
      </w:r>
      <w:hyperlink r:id="rId5" w:history="1">
        <w:r w:rsidRPr="00540067">
          <w:rPr>
            <w:rStyle w:val="FootnoteTextChar"/>
          </w:rPr>
          <w:t>https://www.aer.gov.au/retail-markets/retail-exemptions/making-a-submission-to-an-individual-retail-exemption-application</w:t>
        </w:r>
      </w:hyperlink>
      <w:r w:rsidRPr="00540067">
        <w:rPr>
          <w:rStyle w:val="FootnoteTextChar"/>
        </w:rPr>
        <w:t>)</w:t>
      </w:r>
      <w:r>
        <w:rPr>
          <w:rStyle w:val="FootnoteTextChar"/>
        </w:rPr>
        <w:t>.</w:t>
      </w:r>
    </w:p>
  </w:footnote>
  <w:footnote w:id="28">
    <w:p w14:paraId="7F469A6B" w14:textId="77777777" w:rsidR="004B3CB7" w:rsidRDefault="004B3CB7">
      <w:pPr>
        <w:pStyle w:val="FootnoteText"/>
      </w:pPr>
      <w:r>
        <w:rPr>
          <w:rStyle w:val="FootnoteReference"/>
        </w:rPr>
        <w:footnoteRef/>
      </w:r>
      <w:r>
        <w:t xml:space="preserve"> </w:t>
      </w:r>
      <w:r w:rsidRPr="008E75F6">
        <w:t>Rule 160 (approval) and rule 163 (refusal) of the Retail Rules.</w:t>
      </w:r>
    </w:p>
  </w:footnote>
  <w:footnote w:id="29">
    <w:p w14:paraId="529EE93D" w14:textId="77777777" w:rsidR="004B3CB7" w:rsidRDefault="004B3CB7">
      <w:pPr>
        <w:pStyle w:val="FootnoteText"/>
      </w:pPr>
      <w:r>
        <w:rPr>
          <w:rStyle w:val="FootnoteReference"/>
        </w:rPr>
        <w:footnoteRef/>
      </w:r>
      <w:r>
        <w:t xml:space="preserve"> Rule 160 of the Retail Rules.</w:t>
      </w:r>
    </w:p>
  </w:footnote>
  <w:footnote w:id="30">
    <w:p w14:paraId="3566B86E" w14:textId="77777777" w:rsidR="004B3CB7" w:rsidRDefault="004B3CB7" w:rsidP="00371EE3">
      <w:pPr>
        <w:pStyle w:val="FootnoteText"/>
      </w:pPr>
      <w:r>
        <w:rPr>
          <w:rStyle w:val="FootnoteReference"/>
        </w:rPr>
        <w:footnoteRef/>
      </w:r>
      <w:r>
        <w:t xml:space="preserve"> Unless your exemption specifically allows you to sell across multiple sites, for example, solar power purchase agreement sellers. </w:t>
      </w:r>
    </w:p>
  </w:footnote>
  <w:footnote w:id="31">
    <w:p w14:paraId="40BE23AF" w14:textId="77777777" w:rsidR="004B3CB7" w:rsidRDefault="004B3CB7">
      <w:pPr>
        <w:pStyle w:val="FootnoteText"/>
      </w:pPr>
      <w:r>
        <w:rPr>
          <w:rStyle w:val="FootnoteReference"/>
        </w:rPr>
        <w:footnoteRef/>
      </w:r>
      <w:r>
        <w:t xml:space="preserve"> </w:t>
      </w:r>
      <w:r w:rsidRPr="00284A98">
        <w:t>We will consider whether or not the granting of the exemption is compatible with the development and application of consumer protections for small customers, including protections relating to hardship customers, as required by section 205 of the Retail Law.</w:t>
      </w:r>
    </w:p>
  </w:footnote>
  <w:footnote w:id="32">
    <w:p w14:paraId="596BD49A" w14:textId="77777777" w:rsidR="004B3CB7" w:rsidRPr="00980257" w:rsidRDefault="004B3CB7">
      <w:pPr>
        <w:pStyle w:val="FootnoteText"/>
        <w:rPr>
          <w:szCs w:val="18"/>
        </w:rPr>
      </w:pPr>
      <w:r>
        <w:rPr>
          <w:rStyle w:val="FootnoteReference"/>
        </w:rPr>
        <w:footnoteRef/>
      </w:r>
      <w:r>
        <w:t xml:space="preserve"> </w:t>
      </w:r>
      <w:r w:rsidRPr="006B4688">
        <w:rPr>
          <w:rFonts w:cs="Arial"/>
          <w:color w:val="auto"/>
          <w:szCs w:val="18"/>
        </w:rPr>
        <w:t>Section 112 of the Retail Law.</w:t>
      </w:r>
    </w:p>
  </w:footnote>
  <w:footnote w:id="33">
    <w:p w14:paraId="18C80498" w14:textId="77777777" w:rsidR="004B3CB7" w:rsidRDefault="004B3CB7">
      <w:pPr>
        <w:pStyle w:val="FootnoteText"/>
      </w:pPr>
      <w:r>
        <w:rPr>
          <w:rStyle w:val="FootnoteReference"/>
        </w:rPr>
        <w:footnoteRef/>
      </w:r>
      <w:r>
        <w:t xml:space="preserve"> Section 308 of the Retail Law. The term ‘body corporate’ is not defined in the Retail Law but encompasses any office or group of people recognised at law as having separate legal personality. Corporates, whether incorporated under the Corporations Act 2001 or by special statute, come within the definition. This is in contrast to the use of this term as defined in the Glossary to this guideline. </w:t>
      </w:r>
    </w:p>
  </w:footnote>
  <w:footnote w:id="34">
    <w:p w14:paraId="4C64FD3B" w14:textId="77777777" w:rsidR="004B3CB7" w:rsidRDefault="004B3CB7" w:rsidP="006B4688">
      <w:pPr>
        <w:pStyle w:val="FootnoteText"/>
      </w:pPr>
      <w:r>
        <w:rPr>
          <w:rStyle w:val="FootnoteReference"/>
        </w:rPr>
        <w:footnoteRef/>
      </w:r>
      <w:r>
        <w:t xml:space="preserve"> Section 305 of the Retail Law.</w:t>
      </w:r>
    </w:p>
  </w:footnote>
  <w:footnote w:id="35">
    <w:p w14:paraId="59539B3F" w14:textId="77777777" w:rsidR="004B3CB7" w:rsidRDefault="004B3CB7" w:rsidP="00B10056">
      <w:pPr>
        <w:pStyle w:val="FootnoteText"/>
      </w:pPr>
      <w:r>
        <w:rPr>
          <w:rStyle w:val="FootnoteReference"/>
        </w:rPr>
        <w:footnoteRef/>
      </w:r>
      <w:r>
        <w:t xml:space="preserve"> A breach provision is defined by section 303 of the Retail Law as ‘an offence provision, a civil penalty provision or a conduct provision’. These terms are further defined in the Retail Law. </w:t>
      </w:r>
    </w:p>
  </w:footnote>
  <w:footnote w:id="36">
    <w:p w14:paraId="77779F6B" w14:textId="77777777" w:rsidR="004B3CB7" w:rsidRDefault="004B3CB7" w:rsidP="00B10056">
      <w:pPr>
        <w:pStyle w:val="FootnoteText"/>
      </w:pPr>
      <w:r>
        <w:rPr>
          <w:rStyle w:val="FootnoteReference"/>
        </w:rPr>
        <w:footnoteRef/>
      </w:r>
      <w:r>
        <w:t xml:space="preserve"> Section 304 of the Retail Law.</w:t>
      </w:r>
    </w:p>
  </w:footnote>
  <w:footnote w:id="37">
    <w:p w14:paraId="432BBC6A" w14:textId="77777777" w:rsidR="004B3CB7" w:rsidRDefault="004B3CB7" w:rsidP="00B10056">
      <w:pPr>
        <w:pStyle w:val="FootnoteText"/>
      </w:pPr>
      <w:r>
        <w:rPr>
          <w:rStyle w:val="FootnoteReference"/>
        </w:rPr>
        <w:footnoteRef/>
      </w:r>
      <w:r>
        <w:t xml:space="preserve"> Also see the AER’s </w:t>
      </w:r>
      <w:r w:rsidRPr="00224838">
        <w:rPr>
          <w:i/>
        </w:rPr>
        <w:t>Compliance Procedures and Guidelines: National Energy Retail Law, Retail Rules and Retail Regulations</w:t>
      </w:r>
      <w:r>
        <w:t xml:space="preserve">, which is available on the AER website - </w:t>
      </w:r>
      <w:hyperlink r:id="rId6" w:history="1">
        <w:r w:rsidRPr="00DC2FD0">
          <w:rPr>
            <w:rStyle w:val="Hyperlink"/>
          </w:rPr>
          <w:t>http://www.aer.gov.au/retail-markets/compliance/enforcement-matters</w:t>
        </w:r>
      </w:hyperlink>
      <w:r>
        <w:t>.</w:t>
      </w:r>
    </w:p>
  </w:footnote>
  <w:footnote w:id="38">
    <w:p w14:paraId="7FE8019A" w14:textId="77777777" w:rsidR="004B3CB7" w:rsidRDefault="004B3CB7">
      <w:pPr>
        <w:pStyle w:val="FootnoteText"/>
      </w:pPr>
      <w:r>
        <w:rPr>
          <w:rStyle w:val="FootnoteReference"/>
        </w:rPr>
        <w:footnoteRef/>
      </w:r>
      <w:r>
        <w:t xml:space="preserve"> The power to repeal an exemption is contained in section 20 of the National Gas Law, as applied to the Retail Law by section 8 of the Retail Law.</w:t>
      </w:r>
    </w:p>
  </w:footnote>
  <w:footnote w:id="39">
    <w:p w14:paraId="02925BA6" w14:textId="258A2439" w:rsidR="004B3CB7" w:rsidRDefault="004B3CB7">
      <w:pPr>
        <w:pStyle w:val="FootnoteText"/>
      </w:pPr>
      <w:r>
        <w:rPr>
          <w:rStyle w:val="FootnoteReference"/>
        </w:rPr>
        <w:footnoteRef/>
      </w:r>
      <w:r>
        <w:t xml:space="preserve"> </w:t>
      </w:r>
      <w:r w:rsidRPr="00D94D1A">
        <w:t>Section 1</w:t>
      </w:r>
      <w:r>
        <w:t>11</w:t>
      </w:r>
      <w:r w:rsidRPr="00D94D1A">
        <w:t xml:space="preserve"> of the Retail Law</w:t>
      </w:r>
      <w:r>
        <w:t xml:space="preserve"> empowers the AER to revoke exemptions.</w:t>
      </w:r>
    </w:p>
  </w:footnote>
  <w:footnote w:id="40">
    <w:p w14:paraId="43D29598" w14:textId="77777777" w:rsidR="004B3CB7" w:rsidRDefault="004B3CB7">
      <w:pPr>
        <w:pStyle w:val="FootnoteText"/>
      </w:pPr>
      <w:r>
        <w:rPr>
          <w:rStyle w:val="FootnoteReference"/>
        </w:rPr>
        <w:footnoteRef/>
      </w:r>
      <w:r>
        <w:t xml:space="preserve"> </w:t>
      </w:r>
      <w:r w:rsidRPr="00D94D1A">
        <w:t>Section 120 of the Retail Law.</w:t>
      </w:r>
    </w:p>
  </w:footnote>
  <w:footnote w:id="41">
    <w:p w14:paraId="00C1BB19" w14:textId="31C8BFA3" w:rsidR="004B3CB7" w:rsidRDefault="004B3CB7">
      <w:pPr>
        <w:pStyle w:val="FootnoteText"/>
      </w:pPr>
      <w:r>
        <w:rPr>
          <w:rStyle w:val="FootnoteReference"/>
        </w:rPr>
        <w:footnoteRef/>
      </w:r>
      <w:r>
        <w:t xml:space="preserve"> Section 120(8) of the Retail Law.</w:t>
      </w:r>
    </w:p>
  </w:footnote>
  <w:footnote w:id="42">
    <w:p w14:paraId="23334E27" w14:textId="77777777" w:rsidR="004B3CB7" w:rsidRDefault="004B3CB7">
      <w:pPr>
        <w:pStyle w:val="FootnoteText"/>
      </w:pPr>
      <w:r>
        <w:rPr>
          <w:rStyle w:val="FootnoteReference"/>
        </w:rPr>
        <w:footnoteRef/>
      </w:r>
      <w:r>
        <w:t xml:space="preserve"> </w:t>
      </w:r>
      <w:r w:rsidRPr="00D94D1A">
        <w:t>Network exemptions apply only to networks connected to the national electricity grid, and are not required for off-grid networks.</w:t>
      </w:r>
    </w:p>
  </w:footnote>
  <w:footnote w:id="43">
    <w:p w14:paraId="0249FE1F" w14:textId="77777777" w:rsidR="004B3CB7" w:rsidRDefault="004B3CB7">
      <w:pPr>
        <w:pStyle w:val="FootnoteText"/>
      </w:pPr>
      <w:r>
        <w:rPr>
          <w:rStyle w:val="FootnoteReference"/>
        </w:rPr>
        <w:footnoteRef/>
      </w:r>
      <w:r>
        <w:t xml:space="preserve"> </w:t>
      </w:r>
      <w:r w:rsidRPr="00D94D1A">
        <w:t>Section 11 of the National Electricity Law.</w:t>
      </w:r>
    </w:p>
  </w:footnote>
  <w:footnote w:id="44">
    <w:p w14:paraId="6BA6A2F8" w14:textId="77777777" w:rsidR="004B3CB7" w:rsidRDefault="004B3CB7">
      <w:pPr>
        <w:pStyle w:val="FootnoteText"/>
      </w:pPr>
      <w:r>
        <w:rPr>
          <w:rStyle w:val="FootnoteReference"/>
        </w:rPr>
        <w:footnoteRef/>
      </w:r>
      <w:r>
        <w:t xml:space="preserve"> </w:t>
      </w:r>
      <w:r w:rsidRPr="00D94D1A">
        <w:t xml:space="preserve">A copy of our exemption registration form can be found at: </w:t>
      </w:r>
      <w:hyperlink r:id="rId7" w:history="1">
        <w:r w:rsidRPr="00DC2FD0">
          <w:rPr>
            <w:rStyle w:val="Hyperlink"/>
          </w:rPr>
          <w:t>https://www.aer.gov.au/forms/exemption-registration-application</w:t>
        </w:r>
      </w:hyperlink>
      <w:r>
        <w:t xml:space="preserve">. </w:t>
      </w:r>
    </w:p>
  </w:footnote>
  <w:footnote w:id="45">
    <w:p w14:paraId="72C6F306" w14:textId="7F590E5A" w:rsidR="004B3CB7" w:rsidRDefault="004B3CB7">
      <w:pPr>
        <w:pStyle w:val="FootnoteText"/>
      </w:pPr>
      <w:r>
        <w:rPr>
          <w:rStyle w:val="FootnoteReference"/>
        </w:rPr>
        <w:footnoteRef/>
      </w:r>
      <w:r>
        <w:t xml:space="preserve"> </w:t>
      </w:r>
      <w:r w:rsidRPr="00D94D1A">
        <w:t xml:space="preserve">A copy of this guideline is available at </w:t>
      </w:r>
      <w:r w:rsidRPr="00305007">
        <w:t>https://www.aer.gov.au/networks-pipelines/guidelines-schemes-models-reviews/network-service-provider-registration-exemption-guideline-march-2018</w:t>
      </w:r>
      <w:r>
        <w:t xml:space="preserve">. </w:t>
      </w:r>
    </w:p>
  </w:footnote>
  <w:footnote w:id="46">
    <w:p w14:paraId="7E434366" w14:textId="4EA84BB9" w:rsidR="004B3CB7" w:rsidRDefault="004B3CB7">
      <w:pPr>
        <w:pStyle w:val="FootnoteText"/>
      </w:pPr>
      <w:r>
        <w:rPr>
          <w:rStyle w:val="FootnoteReference"/>
        </w:rPr>
        <w:footnoteRef/>
      </w:r>
      <w:r>
        <w:t xml:space="preserve"> The standing offer price includes the supply price and the usage price. Exempt sellers must ensure that the price they charge for each of these parts does not exceed the price charged for the equivalent part of the standing offer.</w:t>
      </w:r>
    </w:p>
  </w:footnote>
  <w:footnote w:id="47">
    <w:p w14:paraId="55662E21" w14:textId="12E0DA69" w:rsidR="004B3CB7" w:rsidRDefault="004B3CB7" w:rsidP="007628B1">
      <w:pPr>
        <w:pStyle w:val="FootnoteText"/>
      </w:pPr>
      <w:r>
        <w:rPr>
          <w:rStyle w:val="FootnoteReference"/>
        </w:rPr>
        <w:footnoteRef/>
      </w:r>
      <w:r>
        <w:t xml:space="preserve"> The fees and charges allowable under a standard retail contract are governed by Division 6 of the National Energy Retail Rules (which sets out the requirements for charging a security deposit under a standard retail contract) and may also be governed by jurisdictional legislation. </w:t>
      </w:r>
    </w:p>
  </w:footnote>
  <w:footnote w:id="48">
    <w:p w14:paraId="5FA2E6D4" w14:textId="0C41B938" w:rsidR="004B3CB7" w:rsidRDefault="004B3CB7">
      <w:pPr>
        <w:pStyle w:val="FootnoteText"/>
      </w:pPr>
      <w:r>
        <w:rPr>
          <w:rStyle w:val="FootnoteReference"/>
        </w:rPr>
        <w:footnoteRef/>
      </w:r>
      <w:r>
        <w:t xml:space="preserve"> The requirement for exempt customers to wait 10 days before requesting reconnection does not preclude an exempt seller from reconnecting prior to this date where it is directed to do so under jurisdictional legislation.</w:t>
      </w:r>
    </w:p>
  </w:footnote>
  <w:footnote w:id="49">
    <w:p w14:paraId="1D2B9027" w14:textId="77777777" w:rsidR="004B3CB7" w:rsidRDefault="004B3CB7" w:rsidP="00B12FED">
      <w:pPr>
        <w:pStyle w:val="FootnoteText"/>
      </w:pPr>
      <w:r>
        <w:rPr>
          <w:rStyle w:val="FootnoteReference"/>
        </w:rPr>
        <w:footnoteRef/>
      </w:r>
      <w:r>
        <w:t xml:space="preserve"> The AER recommends that exempt sellers consider the </w:t>
      </w:r>
      <w:hyperlink r:id="rId8" w:history="1">
        <w:r w:rsidRPr="00562434">
          <w:rPr>
            <w:rStyle w:val="Hyperlink"/>
          </w:rPr>
          <w:t>AER Sustainable Payment Plans Framework</w:t>
        </w:r>
      </w:hyperlink>
      <w:r>
        <w:t xml:space="preserve"> when agreeing a payment plan with an exempt customer. The framework can be found at </w:t>
      </w:r>
      <w:hyperlink r:id="rId9" w:history="1">
        <w:r w:rsidRPr="001054E4">
          <w:rPr>
            <w:rStyle w:val="Hyperlink"/>
          </w:rPr>
          <w:t>https://www.aer.gov.au/retail-markets/retail-guidelines-reviews/aer-sustainable-payment-plans-framework</w:t>
        </w:r>
      </w:hyperlink>
      <w:r>
        <w:t xml:space="preserve"> </w:t>
      </w:r>
    </w:p>
    <w:p w14:paraId="2B45E323" w14:textId="77777777" w:rsidR="004B3CB7" w:rsidRDefault="004B3CB7" w:rsidP="00B12FED">
      <w:pPr>
        <w:pStyle w:val="FootnoteText"/>
      </w:pPr>
    </w:p>
  </w:footnote>
  <w:footnote w:id="50">
    <w:p w14:paraId="67708B98" w14:textId="77777777" w:rsidR="004B3CB7" w:rsidRDefault="004B3CB7" w:rsidP="002E0606">
      <w:pPr>
        <w:pStyle w:val="FootnoteText"/>
      </w:pPr>
      <w:r>
        <w:rPr>
          <w:rStyle w:val="FootnoteReference"/>
        </w:rPr>
        <w:footnoteRef/>
      </w:r>
      <w:r>
        <w:t xml:space="preserve"> Section 13 of the Retail Law</w:t>
      </w:r>
    </w:p>
  </w:footnote>
  <w:footnote w:id="51">
    <w:p w14:paraId="63A83A6E" w14:textId="77777777" w:rsidR="004B3CB7" w:rsidRDefault="004B3CB7" w:rsidP="002E0606">
      <w:pPr>
        <w:pStyle w:val="FootnoteText"/>
      </w:pPr>
      <w:r>
        <w:rPr>
          <w:rStyle w:val="FootnoteReference"/>
        </w:rPr>
        <w:footnoteRef/>
      </w:r>
      <w:r>
        <w:t xml:space="preserve"> Section 114 of the Retail Law</w:t>
      </w:r>
    </w:p>
  </w:footnote>
  <w:footnote w:id="52">
    <w:p w14:paraId="47D68399" w14:textId="77777777" w:rsidR="004B3CB7" w:rsidRDefault="004B3CB7" w:rsidP="002E0606">
      <w:pPr>
        <w:pStyle w:val="FootnoteText"/>
      </w:pPr>
      <w:r>
        <w:rPr>
          <w:rStyle w:val="FootnoteReference"/>
        </w:rPr>
        <w:footnoteRef/>
      </w:r>
      <w:r>
        <w:t xml:space="preserve"> Section 115 of the Retail Law</w:t>
      </w:r>
    </w:p>
  </w:footnote>
  <w:footnote w:id="53">
    <w:p w14:paraId="0B83652B" w14:textId="77777777" w:rsidR="004B3CB7" w:rsidRDefault="004B3CB7" w:rsidP="002E0606">
      <w:pPr>
        <w:pStyle w:val="FootnoteText"/>
      </w:pPr>
      <w:r>
        <w:rPr>
          <w:rStyle w:val="FootnoteReference"/>
        </w:rPr>
        <w:footnoteRef/>
      </w:r>
      <w:r>
        <w:t xml:space="preserve"> </w:t>
      </w:r>
      <w:r w:rsidRPr="00D94D1A">
        <w:t xml:space="preserve">Section 116 of the </w:t>
      </w:r>
      <w:r w:rsidRPr="002E0606">
        <w:t>Retail</w:t>
      </w:r>
      <w:r>
        <w:t xml:space="preserve"> Law</w:t>
      </w:r>
    </w:p>
  </w:footnote>
  <w:footnote w:id="54">
    <w:p w14:paraId="4ACCDB44" w14:textId="77777777" w:rsidR="004B3CB7" w:rsidRDefault="004B3CB7" w:rsidP="00A47CE4">
      <w:pPr>
        <w:pStyle w:val="FootnoteText"/>
      </w:pPr>
      <w:r>
        <w:rPr>
          <w:rStyle w:val="FootnoteReference"/>
        </w:rPr>
        <w:footnoteRef/>
      </w:r>
      <w:r>
        <w:t xml:space="preserve"> </w:t>
      </w:r>
      <w:r w:rsidRPr="00B63E1A">
        <w:t>Section 13 of the Retail Law.</w:t>
      </w:r>
    </w:p>
  </w:footnote>
  <w:footnote w:id="55">
    <w:p w14:paraId="3004A5D5" w14:textId="77777777" w:rsidR="004B3CB7" w:rsidRDefault="004B3CB7" w:rsidP="002E0606">
      <w:pPr>
        <w:pStyle w:val="FootnoteText"/>
      </w:pPr>
      <w:r>
        <w:rPr>
          <w:rStyle w:val="FootnoteReference"/>
        </w:rPr>
        <w:footnoteRef/>
      </w:r>
      <w:r>
        <w:t xml:space="preserve"> </w:t>
      </w:r>
      <w:r w:rsidRPr="00B63E1A">
        <w:t>These requirements are set out in Division 11 of Part 2 of the Retail Law.</w:t>
      </w:r>
    </w:p>
  </w:footnote>
  <w:footnote w:id="56">
    <w:p w14:paraId="599D9014" w14:textId="346F25DC" w:rsidR="004B3CB7" w:rsidRDefault="004B3CB7" w:rsidP="002E0606">
      <w:pPr>
        <w:pStyle w:val="FootnoteText"/>
      </w:pPr>
      <w:r>
        <w:rPr>
          <w:rStyle w:val="FootnoteReference"/>
        </w:rPr>
        <w:footnoteRef/>
      </w:r>
      <w:r>
        <w:t xml:space="preserve"> </w:t>
      </w:r>
      <w:r w:rsidRPr="00B63E1A">
        <w:t xml:space="preserve">For example, an </w:t>
      </w:r>
      <w:r>
        <w:t>energy seller</w:t>
      </w:r>
      <w:r w:rsidRPr="00B63E1A">
        <w:t xml:space="preserve"> who </w:t>
      </w:r>
      <w:r>
        <w:t>sells energy</w:t>
      </w:r>
      <w:r w:rsidRPr="00B63E1A">
        <w:t xml:space="preserve"> across a number of sites is likely to have similar obligations </w:t>
      </w:r>
      <w:r>
        <w:t>to an</w:t>
      </w:r>
      <w:r w:rsidRPr="00B63E1A">
        <w:t xml:space="preserve"> authorised retailer, or may even be required to obtain a retailer authorisation.</w:t>
      </w:r>
    </w:p>
  </w:footnote>
  <w:footnote w:id="57">
    <w:p w14:paraId="0CAD3492" w14:textId="77777777" w:rsidR="004B3CB7" w:rsidRDefault="004B3CB7" w:rsidP="002E0606">
      <w:pPr>
        <w:pStyle w:val="FootnoteText"/>
      </w:pPr>
      <w:r>
        <w:rPr>
          <w:rStyle w:val="FootnoteReference"/>
        </w:rPr>
        <w:footnoteRef/>
      </w:r>
      <w:r>
        <w:t xml:space="preserve"> </w:t>
      </w:r>
      <w:r w:rsidRPr="00B63E1A">
        <w:t>Section 115 of the Retail Law.</w:t>
      </w:r>
    </w:p>
  </w:footnote>
  <w:footnote w:id="58">
    <w:p w14:paraId="6BC68EB1" w14:textId="77777777" w:rsidR="004B3CB7" w:rsidRDefault="004B3CB7" w:rsidP="002E0606">
      <w:pPr>
        <w:pStyle w:val="FootnoteText"/>
      </w:pPr>
      <w:r>
        <w:rPr>
          <w:rStyle w:val="FootnoteReference"/>
        </w:rPr>
        <w:footnoteRef/>
      </w:r>
      <w:r>
        <w:t xml:space="preserve"> </w:t>
      </w:r>
      <w:r w:rsidRPr="00B63E1A">
        <w:t>An exception might be where a person sells energy to an adjacent site for the sake of convenience or for legacy reasons.</w:t>
      </w:r>
    </w:p>
  </w:footnote>
  <w:footnote w:id="59">
    <w:p w14:paraId="3B5D0B58" w14:textId="77777777" w:rsidR="004B3CB7" w:rsidRDefault="004B3CB7" w:rsidP="002E0606">
      <w:pPr>
        <w:pStyle w:val="FootnoteText"/>
      </w:pPr>
      <w:r>
        <w:rPr>
          <w:rStyle w:val="FootnoteReference"/>
        </w:rPr>
        <w:footnoteRef/>
      </w:r>
      <w:r>
        <w:t xml:space="preserve"> </w:t>
      </w:r>
      <w:r w:rsidRPr="00836940">
        <w:t xml:space="preserve">A local area retailer is a retailer designated by a particular jurisdiction to take responsibility for new connections in that jurisdiction—for parts of, or the whole, jurisdiction; for specified premises or classes of premises; and specified customers or classes of customers.  </w:t>
      </w:r>
    </w:p>
  </w:footnote>
  <w:footnote w:id="60">
    <w:p w14:paraId="7B891026" w14:textId="77777777" w:rsidR="004B3CB7" w:rsidRDefault="004B3CB7">
      <w:pPr>
        <w:pStyle w:val="FootnoteText"/>
      </w:pPr>
      <w:r>
        <w:rPr>
          <w:rStyle w:val="FootnoteReference"/>
        </w:rPr>
        <w:footnoteRef/>
      </w:r>
      <w:r>
        <w:t xml:space="preserve"> There may be specific requirements in each jurisdiction that limit what the local area retailer can charge under a standard retail contract.</w:t>
      </w:r>
    </w:p>
  </w:footnote>
  <w:footnote w:id="61">
    <w:p w14:paraId="543D7232" w14:textId="77777777" w:rsidR="004B3CB7" w:rsidRDefault="004B3CB7" w:rsidP="002E0606">
      <w:pPr>
        <w:pStyle w:val="FootnoteText"/>
      </w:pPr>
      <w:r>
        <w:rPr>
          <w:rStyle w:val="FootnoteReference"/>
        </w:rPr>
        <w:footnoteRef/>
      </w:r>
      <w:r>
        <w:t xml:space="preserve"> </w:t>
      </w:r>
      <w:r w:rsidRPr="00836940">
        <w:t>Section 90 of the Retail Law.</w:t>
      </w:r>
    </w:p>
  </w:footnote>
  <w:footnote w:id="62">
    <w:p w14:paraId="5452D3AF" w14:textId="77777777" w:rsidR="004B3CB7" w:rsidRDefault="004B3CB7" w:rsidP="002E0606">
      <w:pPr>
        <w:pStyle w:val="FootnoteText"/>
      </w:pPr>
      <w:r>
        <w:rPr>
          <w:rStyle w:val="FootnoteReference"/>
        </w:rPr>
        <w:footnoteRef/>
      </w:r>
      <w:r>
        <w:t xml:space="preserve"> </w:t>
      </w:r>
      <w:r w:rsidRPr="00836940">
        <w:t>Rule 152(5) of the Retail Rules.</w:t>
      </w:r>
    </w:p>
  </w:footnote>
  <w:footnote w:id="63">
    <w:p w14:paraId="088FD385" w14:textId="77777777" w:rsidR="004B3CB7" w:rsidRDefault="004B3CB7" w:rsidP="002E0606">
      <w:pPr>
        <w:pStyle w:val="FootnoteText"/>
      </w:pPr>
      <w:r>
        <w:rPr>
          <w:rStyle w:val="FootnoteReference"/>
        </w:rPr>
        <w:footnoteRef/>
      </w:r>
      <w:r w:rsidRPr="00836940">
        <w:t xml:space="preserve">Most jurisdictions prohibit energy charges being passed on to residential tenants unless consumption is separately metered. </w:t>
      </w:r>
      <w:r>
        <w:t xml:space="preserve"> </w:t>
      </w:r>
    </w:p>
  </w:footnote>
  <w:footnote w:id="64">
    <w:p w14:paraId="10B23ADC" w14:textId="77777777" w:rsidR="004B3CB7" w:rsidRDefault="004B3CB7" w:rsidP="002E0606">
      <w:pPr>
        <w:pStyle w:val="FootnoteText"/>
      </w:pPr>
      <w:r>
        <w:rPr>
          <w:rStyle w:val="FootnoteReference"/>
        </w:rPr>
        <w:footnoteRef/>
      </w:r>
      <w:r>
        <w:t xml:space="preserve"> </w:t>
      </w:r>
      <w:r w:rsidRPr="00836940">
        <w:t>Legacy arrangements are arrangements that were made before the National Energy Retail Law and Rules commenced in a particular jurisdiction. That is, the AER will only support these arrangements where they are long-standing arrangements that are mutually convenient to the parties.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FF668" w14:textId="77777777" w:rsidR="004B3CB7" w:rsidRDefault="004B3C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660"/>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 w15:restartNumberingAfterBreak="0">
    <w:nsid w:val="04BF392F"/>
    <w:multiLevelType w:val="hybridMultilevel"/>
    <w:tmpl w:val="E53E2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4F234B"/>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3" w15:restartNumberingAfterBreak="0">
    <w:nsid w:val="07143AE5"/>
    <w:multiLevelType w:val="hybridMultilevel"/>
    <w:tmpl w:val="435220D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08247E15"/>
    <w:multiLevelType w:val="hybridMultilevel"/>
    <w:tmpl w:val="A5ECD4EA"/>
    <w:lvl w:ilvl="0" w:tplc="376444B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57239C"/>
    <w:multiLevelType w:val="hybridMultilevel"/>
    <w:tmpl w:val="AC629C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9507796"/>
    <w:multiLevelType w:val="multilevel"/>
    <w:tmpl w:val="0C09001D"/>
    <w:numStyleLink w:val="BulletedList"/>
  </w:abstractNum>
  <w:abstractNum w:abstractNumId="7" w15:restartNumberingAfterBreak="0">
    <w:nsid w:val="09E076D0"/>
    <w:multiLevelType w:val="hybridMultilevel"/>
    <w:tmpl w:val="CC6262B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B143257"/>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9" w15:restartNumberingAfterBreak="0">
    <w:nsid w:val="0B212801"/>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0" w15:restartNumberingAfterBreak="0">
    <w:nsid w:val="0C7469DA"/>
    <w:multiLevelType w:val="hybridMultilevel"/>
    <w:tmpl w:val="57AA77E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0CEC6128"/>
    <w:multiLevelType w:val="multilevel"/>
    <w:tmpl w:val="4BE033BA"/>
    <w:numStyleLink w:val="NumberedList"/>
  </w:abstractNum>
  <w:abstractNum w:abstractNumId="12" w15:restartNumberingAfterBreak="0">
    <w:nsid w:val="0DD2542B"/>
    <w:multiLevelType w:val="hybridMultilevel"/>
    <w:tmpl w:val="10723B4E"/>
    <w:lvl w:ilvl="0" w:tplc="89DC64D6">
      <w:start w:val="1"/>
      <w:numFmt w:val="decimal"/>
      <w:lvlText w:val="%1."/>
      <w:lvlJc w:val="left"/>
      <w:pPr>
        <w:ind w:left="680" w:hanging="340"/>
      </w:pPr>
      <w:rPr>
        <w:rFonts w:hint="default"/>
        <w:b w:val="0"/>
      </w:rPr>
    </w:lvl>
    <w:lvl w:ilvl="1" w:tplc="0C090019">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3" w15:restartNumberingAfterBreak="0">
    <w:nsid w:val="0EAF1341"/>
    <w:multiLevelType w:val="hybridMultilevel"/>
    <w:tmpl w:val="9BC202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FFC711D"/>
    <w:multiLevelType w:val="multilevel"/>
    <w:tmpl w:val="0C09001D"/>
    <w:numStyleLink w:val="BulletedList"/>
  </w:abstractNum>
  <w:abstractNum w:abstractNumId="15" w15:restartNumberingAfterBreak="0">
    <w:nsid w:val="116461C4"/>
    <w:multiLevelType w:val="hybridMultilevel"/>
    <w:tmpl w:val="AF4A5C16"/>
    <w:lvl w:ilvl="0" w:tplc="2D243766">
      <w:start w:val="1"/>
      <w:numFmt w:val="decimal"/>
      <w:lvlText w:val="%1"/>
      <w:lvlJc w:val="left"/>
      <w:pPr>
        <w:ind w:left="720" w:hanging="360"/>
      </w:pPr>
      <w:rPr>
        <w:rFonts w:ascii="Arial" w:eastAsiaTheme="minorHAnsi" w:hAnsi="Arial"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1797446"/>
    <w:multiLevelType w:val="hybridMultilevel"/>
    <w:tmpl w:val="6E40F79A"/>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18B2301"/>
    <w:multiLevelType w:val="hybridMultilevel"/>
    <w:tmpl w:val="40F0A80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11A2327E"/>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9" w15:restartNumberingAfterBreak="0">
    <w:nsid w:val="128E15E8"/>
    <w:multiLevelType w:val="hybridMultilevel"/>
    <w:tmpl w:val="2C3A0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2A61D22"/>
    <w:multiLevelType w:val="multilevel"/>
    <w:tmpl w:val="0C09001D"/>
    <w:numStyleLink w:val="BulletedList"/>
  </w:abstractNum>
  <w:abstractNum w:abstractNumId="21" w15:restartNumberingAfterBreak="0">
    <w:nsid w:val="139F751B"/>
    <w:multiLevelType w:val="multilevel"/>
    <w:tmpl w:val="5666D91E"/>
    <w:name w:val="Alphanumeric List2"/>
    <w:numStyleLink w:val="AlphanumericList"/>
  </w:abstractNum>
  <w:abstractNum w:abstractNumId="22" w15:restartNumberingAfterBreak="0">
    <w:nsid w:val="14220EB0"/>
    <w:multiLevelType w:val="hybridMultilevel"/>
    <w:tmpl w:val="210AFFB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3" w15:restartNumberingAfterBreak="0">
    <w:nsid w:val="143B5C28"/>
    <w:multiLevelType w:val="multilevel"/>
    <w:tmpl w:val="B79C522A"/>
    <w:lvl w:ilvl="0">
      <w:start w:val="1"/>
      <w:numFmt w:val="decimal"/>
      <w:lvlText w:val="%1"/>
      <w:lvlJc w:val="left"/>
      <w:pPr>
        <w:ind w:left="360" w:hanging="360"/>
      </w:pPr>
      <w:rPr>
        <w:rFonts w:ascii="Arial" w:hAnsi="Arial" w:hint="default"/>
        <w:sz w:val="22"/>
      </w:rPr>
    </w:lvl>
    <w:lvl w:ilvl="1">
      <w:start w:val="1"/>
      <w:numFmt w:val="lowerLetter"/>
      <w:lvlText w:val="%2."/>
      <w:lvlJc w:val="left"/>
      <w:pPr>
        <w:ind w:left="720" w:hanging="720"/>
      </w:pPr>
      <w:rPr>
        <w:rFonts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4BE045E"/>
    <w:multiLevelType w:val="multilevel"/>
    <w:tmpl w:val="4BE033BA"/>
    <w:name w:val="Alphanumeric List4"/>
    <w:numStyleLink w:val="NumberedList"/>
  </w:abstractNum>
  <w:abstractNum w:abstractNumId="25" w15:restartNumberingAfterBreak="0">
    <w:nsid w:val="15BE4729"/>
    <w:multiLevelType w:val="multilevel"/>
    <w:tmpl w:val="4BE033BA"/>
    <w:numStyleLink w:val="NumberedList"/>
  </w:abstractNum>
  <w:abstractNum w:abstractNumId="26" w15:restartNumberingAfterBreak="0">
    <w:nsid w:val="16737174"/>
    <w:multiLevelType w:val="hybridMultilevel"/>
    <w:tmpl w:val="DE18BE7E"/>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7" w15:restartNumberingAfterBreak="0">
    <w:nsid w:val="16E1649A"/>
    <w:multiLevelType w:val="hybridMultilevel"/>
    <w:tmpl w:val="69D805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17FA760A"/>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29" w15:restartNumberingAfterBreak="0">
    <w:nsid w:val="185D4E6D"/>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30" w15:restartNumberingAfterBreak="0">
    <w:nsid w:val="1A5C69E1"/>
    <w:multiLevelType w:val="hybridMultilevel"/>
    <w:tmpl w:val="5C3E3D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1A6D7161"/>
    <w:multiLevelType w:val="multilevel"/>
    <w:tmpl w:val="D74C068A"/>
    <w:lvl w:ilvl="0">
      <w:start w:val="4"/>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32" w15:restartNumberingAfterBreak="0">
    <w:nsid w:val="1B136A89"/>
    <w:multiLevelType w:val="multilevel"/>
    <w:tmpl w:val="4BE033BA"/>
    <w:numStyleLink w:val="NumberedList"/>
  </w:abstractNum>
  <w:abstractNum w:abstractNumId="33" w15:restartNumberingAfterBreak="0">
    <w:nsid w:val="1CAC39C1"/>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34" w15:restartNumberingAfterBreak="0">
    <w:nsid w:val="1DFB4C0C"/>
    <w:multiLevelType w:val="multilevel"/>
    <w:tmpl w:val="4BE033BA"/>
    <w:styleLink w:val="NumberedList"/>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522"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35" w15:restartNumberingAfterBreak="0">
    <w:nsid w:val="1E346AF3"/>
    <w:multiLevelType w:val="hybridMultilevel"/>
    <w:tmpl w:val="FCF26656"/>
    <w:lvl w:ilvl="0" w:tplc="4C1ADD22">
      <w:start w:val="1"/>
      <w:numFmt w:val="lowerLetter"/>
      <w:lvlText w:val="%1."/>
      <w:lvlJc w:val="left"/>
      <w:pPr>
        <w:ind w:left="700" w:hanging="360"/>
      </w:pPr>
      <w:rPr>
        <w:i w:val="0"/>
      </w:r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6" w15:restartNumberingAfterBreak="0">
    <w:nsid w:val="1E4C0F4E"/>
    <w:multiLevelType w:val="hybridMultilevel"/>
    <w:tmpl w:val="A0D81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E5D1E5A"/>
    <w:multiLevelType w:val="hybridMultilevel"/>
    <w:tmpl w:val="C4E2AA7E"/>
    <w:lvl w:ilvl="0" w:tplc="0C09000F">
      <w:start w:val="1"/>
      <w:numFmt w:val="decimal"/>
      <w:lvlText w:val="%1."/>
      <w:lvlJc w:val="left"/>
      <w:pPr>
        <w:ind w:left="720" w:hanging="360"/>
      </w:pPr>
    </w:lvl>
    <w:lvl w:ilvl="1" w:tplc="F9B8B1EA">
      <w:start w:val="1"/>
      <w:numFmt w:val="lowerLetter"/>
      <w:lvlText w:val="%2)"/>
      <w:lvlJc w:val="left"/>
      <w:pPr>
        <w:ind w:left="1440" w:hanging="360"/>
      </w:pPr>
      <w:rPr>
        <w:rFonts w:hint="default"/>
      </w:rPr>
    </w:lvl>
    <w:lvl w:ilvl="2" w:tplc="56685B88">
      <w:start w:val="21"/>
      <w:numFmt w:val="decimal"/>
      <w:lvlText w:val="%3"/>
      <w:lvlJc w:val="left"/>
      <w:pPr>
        <w:ind w:left="2340" w:hanging="360"/>
      </w:pPr>
      <w:rPr>
        <w:rFonts w:eastAsiaTheme="minorHAnsi" w:cstheme="minorBidi"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EF27218"/>
    <w:multiLevelType w:val="multilevel"/>
    <w:tmpl w:val="0136B40A"/>
    <w:styleLink w:val="NumberedList-Straight"/>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F2E5C7D"/>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40" w15:restartNumberingAfterBreak="0">
    <w:nsid w:val="1FD31346"/>
    <w:multiLevelType w:val="multilevel"/>
    <w:tmpl w:val="0C09001D"/>
    <w:styleLink w:val="RomanNumeralBulletedList"/>
    <w:lvl w:ilvl="0">
      <w:start w:val="1"/>
      <w:numFmt w:val="lowerRoman"/>
      <w:lvlText w:val="%1)"/>
      <w:lvlJc w:val="left"/>
      <w:pPr>
        <w:ind w:left="360" w:hanging="360"/>
      </w:pPr>
      <w:rPr>
        <w:rFonts w:ascii="Arial" w:hAnsi="Arial"/>
        <w:sz w:val="22"/>
      </w:rPr>
    </w:lvl>
    <w:lvl w:ilvl="1">
      <w:start w:val="2"/>
      <w:numFmt w:val="lowerRoman"/>
      <w:lvlText w:val="%2)"/>
      <w:lvlJc w:val="left"/>
      <w:pPr>
        <w:ind w:left="720" w:hanging="360"/>
      </w:pPr>
      <w:rPr>
        <w:rFonts w:ascii="Arial" w:hAnsi="Arial"/>
        <w:sz w:val="22"/>
      </w:rPr>
    </w:lvl>
    <w:lvl w:ilvl="2">
      <w:start w:val="3"/>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32A366C"/>
    <w:multiLevelType w:val="hybridMultilevel"/>
    <w:tmpl w:val="71984406"/>
    <w:lvl w:ilvl="0" w:tplc="0C09000F">
      <w:start w:val="1"/>
      <w:numFmt w:val="decimal"/>
      <w:lvlText w:val="%1."/>
      <w:lvlJc w:val="left"/>
      <w:pPr>
        <w:ind w:left="357" w:hanging="360"/>
      </w:pPr>
    </w:lvl>
    <w:lvl w:ilvl="1" w:tplc="0C090019">
      <w:start w:val="1"/>
      <w:numFmt w:val="lowerLetter"/>
      <w:lvlText w:val="%2."/>
      <w:lvlJc w:val="left"/>
      <w:pPr>
        <w:ind w:left="1077" w:hanging="360"/>
      </w:pPr>
    </w:lvl>
    <w:lvl w:ilvl="2" w:tplc="0C09001B">
      <w:start w:val="1"/>
      <w:numFmt w:val="lowerRoman"/>
      <w:lvlText w:val="%3."/>
      <w:lvlJc w:val="right"/>
      <w:pPr>
        <w:ind w:left="1797" w:hanging="180"/>
      </w:pPr>
    </w:lvl>
    <w:lvl w:ilvl="3" w:tplc="0C09000F" w:tentative="1">
      <w:start w:val="1"/>
      <w:numFmt w:val="decimal"/>
      <w:lvlText w:val="%4."/>
      <w:lvlJc w:val="left"/>
      <w:pPr>
        <w:ind w:left="2517" w:hanging="360"/>
      </w:pPr>
    </w:lvl>
    <w:lvl w:ilvl="4" w:tplc="0C090019" w:tentative="1">
      <w:start w:val="1"/>
      <w:numFmt w:val="lowerLetter"/>
      <w:lvlText w:val="%5."/>
      <w:lvlJc w:val="left"/>
      <w:pPr>
        <w:ind w:left="3237" w:hanging="360"/>
      </w:pPr>
    </w:lvl>
    <w:lvl w:ilvl="5" w:tplc="0C09001B" w:tentative="1">
      <w:start w:val="1"/>
      <w:numFmt w:val="lowerRoman"/>
      <w:lvlText w:val="%6."/>
      <w:lvlJc w:val="right"/>
      <w:pPr>
        <w:ind w:left="3957" w:hanging="180"/>
      </w:pPr>
    </w:lvl>
    <w:lvl w:ilvl="6" w:tplc="0C09000F" w:tentative="1">
      <w:start w:val="1"/>
      <w:numFmt w:val="decimal"/>
      <w:lvlText w:val="%7."/>
      <w:lvlJc w:val="left"/>
      <w:pPr>
        <w:ind w:left="4677" w:hanging="360"/>
      </w:pPr>
    </w:lvl>
    <w:lvl w:ilvl="7" w:tplc="0C090019" w:tentative="1">
      <w:start w:val="1"/>
      <w:numFmt w:val="lowerLetter"/>
      <w:lvlText w:val="%8."/>
      <w:lvlJc w:val="left"/>
      <w:pPr>
        <w:ind w:left="5397" w:hanging="360"/>
      </w:pPr>
    </w:lvl>
    <w:lvl w:ilvl="8" w:tplc="0C09001B" w:tentative="1">
      <w:start w:val="1"/>
      <w:numFmt w:val="lowerRoman"/>
      <w:lvlText w:val="%9."/>
      <w:lvlJc w:val="right"/>
      <w:pPr>
        <w:ind w:left="6117" w:hanging="180"/>
      </w:pPr>
    </w:lvl>
  </w:abstractNum>
  <w:abstractNum w:abstractNumId="42" w15:restartNumberingAfterBreak="0">
    <w:nsid w:val="2459252B"/>
    <w:multiLevelType w:val="multilevel"/>
    <w:tmpl w:val="A998CE28"/>
    <w:lvl w:ilvl="0">
      <w:start w:val="16"/>
      <w:numFmt w:val="decimal"/>
      <w:lvlText w:val="%1"/>
      <w:lvlJc w:val="left"/>
      <w:pPr>
        <w:ind w:left="340" w:hanging="340"/>
      </w:pPr>
      <w:rPr>
        <w:rFonts w:ascii="Arial" w:hAnsi="Arial" w:hint="default"/>
        <w:b w:val="0"/>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43" w15:restartNumberingAfterBreak="0">
    <w:nsid w:val="25304A34"/>
    <w:multiLevelType w:val="hybridMultilevel"/>
    <w:tmpl w:val="49966384"/>
    <w:lvl w:ilvl="0" w:tplc="2D243766">
      <w:start w:val="1"/>
      <w:numFmt w:val="decimal"/>
      <w:lvlText w:val="%1"/>
      <w:lvlJc w:val="left"/>
      <w:pPr>
        <w:ind w:left="720" w:hanging="360"/>
      </w:pPr>
      <w:rPr>
        <w:rFonts w:ascii="Arial" w:eastAsiaTheme="minorHAnsi" w:hAnsi="Arial" w:cstheme="minorBidi"/>
      </w:rPr>
    </w:lvl>
    <w:lvl w:ilvl="1" w:tplc="2B863580">
      <w:start w:val="1"/>
      <w:numFmt w:val="lowerRoman"/>
      <w:lvlText w:val="(%2)"/>
      <w:lvlJc w:val="left"/>
      <w:pPr>
        <w:ind w:left="1800" w:hanging="72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4" w15:restartNumberingAfterBreak="0">
    <w:nsid w:val="269E29AC"/>
    <w:multiLevelType w:val="hybridMultilevel"/>
    <w:tmpl w:val="01C65E44"/>
    <w:lvl w:ilvl="0" w:tplc="0C090019">
      <w:start w:val="1"/>
      <w:numFmt w:val="lowerLetter"/>
      <w:lvlText w:val="%1."/>
      <w:lvlJc w:val="left"/>
      <w:pPr>
        <w:ind w:left="700" w:hanging="360"/>
      </w:pPr>
    </w:lvl>
    <w:lvl w:ilvl="1" w:tplc="0C09001B">
      <w:start w:val="1"/>
      <w:numFmt w:val="lowerRoman"/>
      <w:lvlText w:val="%2."/>
      <w:lvlJc w:val="righ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45" w15:restartNumberingAfterBreak="0">
    <w:nsid w:val="27273AC9"/>
    <w:multiLevelType w:val="hybridMultilevel"/>
    <w:tmpl w:val="DE18BE7E"/>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46" w15:restartNumberingAfterBreak="0">
    <w:nsid w:val="27774645"/>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47" w15:restartNumberingAfterBreak="0">
    <w:nsid w:val="27BE5F95"/>
    <w:multiLevelType w:val="multilevel"/>
    <w:tmpl w:val="4524DCE4"/>
    <w:styleLink w:val="AlphanumericList-Straight"/>
    <w:lvl w:ilvl="0">
      <w:start w:val="1"/>
      <w:numFmt w:val="decimal"/>
      <w:lvlText w:val="A.%1"/>
      <w:lvlJc w:val="left"/>
      <w:pPr>
        <w:ind w:left="360" w:hanging="360"/>
      </w:pPr>
      <w:rPr>
        <w:rFonts w:ascii="Arial" w:hAnsi="Arial" w:hint="default"/>
        <w:sz w:val="22"/>
      </w:rPr>
    </w:lvl>
    <w:lvl w:ilvl="1">
      <w:start w:val="1"/>
      <w:numFmt w:val="decimal"/>
      <w:lvlText w:val="A.%1.%2"/>
      <w:lvlJc w:val="left"/>
      <w:pPr>
        <w:ind w:left="720" w:hanging="720"/>
      </w:pPr>
      <w:rPr>
        <w:rFonts w:ascii="Arial" w:hAnsi="Arial" w:hint="default"/>
        <w:sz w:val="22"/>
      </w:rPr>
    </w:lvl>
    <w:lvl w:ilvl="2">
      <w:start w:val="1"/>
      <w:numFmt w:val="decimal"/>
      <w:lvlText w:val="A.%1.%2.%3"/>
      <w:lvlJc w:val="left"/>
      <w:pPr>
        <w:ind w:left="1080" w:hanging="1080"/>
      </w:pPr>
      <w:rPr>
        <w:rFonts w:ascii="Arial" w:hAnsi="Arial" w:hint="default"/>
        <w:sz w:val="22"/>
      </w:rPr>
    </w:lvl>
    <w:lvl w:ilvl="3">
      <w:start w:val="1"/>
      <w:numFmt w:val="decimal"/>
      <w:lvlText w:val="A.%1.%2.%3.%4"/>
      <w:lvlJc w:val="left"/>
      <w:pPr>
        <w:ind w:left="1440" w:hanging="1440"/>
      </w:pPr>
      <w:rPr>
        <w:rFonts w:ascii="Arial" w:hAnsi="Aria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2B7B4385"/>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49" w15:restartNumberingAfterBreak="0">
    <w:nsid w:val="2DD047CE"/>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50" w15:restartNumberingAfterBreak="0">
    <w:nsid w:val="2E6D4446"/>
    <w:multiLevelType w:val="hybridMultilevel"/>
    <w:tmpl w:val="4522B662"/>
    <w:lvl w:ilvl="0" w:tplc="0980F5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2F0B01CB"/>
    <w:multiLevelType w:val="hybridMultilevel"/>
    <w:tmpl w:val="042E9800"/>
    <w:lvl w:ilvl="0" w:tplc="0980F5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2FB44E6E"/>
    <w:multiLevelType w:val="hybridMultilevel"/>
    <w:tmpl w:val="0DB42EC4"/>
    <w:lvl w:ilvl="0" w:tplc="0980F524">
      <w:start w:val="1"/>
      <w:numFmt w:val="lowerLetter"/>
      <w:lvlText w:val="%1)"/>
      <w:lvlJc w:val="left"/>
      <w:pPr>
        <w:ind w:left="113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0444CF5"/>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54" w15:restartNumberingAfterBreak="0">
    <w:nsid w:val="3072544D"/>
    <w:multiLevelType w:val="multilevel"/>
    <w:tmpl w:val="0C09001D"/>
    <w:numStyleLink w:val="BulletedList"/>
  </w:abstractNum>
  <w:abstractNum w:abstractNumId="55" w15:restartNumberingAfterBreak="0">
    <w:nsid w:val="3087746F"/>
    <w:multiLevelType w:val="hybridMultilevel"/>
    <w:tmpl w:val="604A850C"/>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B1942D40">
      <w:start w:val="1"/>
      <w:numFmt w:val="decimal"/>
      <w:lvlText w:val="%9"/>
      <w:lvlJc w:val="left"/>
      <w:pPr>
        <w:ind w:left="7000" w:hanging="720"/>
      </w:pPr>
      <w:rPr>
        <w:rFonts w:hint="default"/>
      </w:rPr>
    </w:lvl>
  </w:abstractNum>
  <w:abstractNum w:abstractNumId="56" w15:restartNumberingAfterBreak="0">
    <w:nsid w:val="319C5F29"/>
    <w:multiLevelType w:val="hybridMultilevel"/>
    <w:tmpl w:val="F8FA3A6E"/>
    <w:lvl w:ilvl="0" w:tplc="2D243766">
      <w:start w:val="1"/>
      <w:numFmt w:val="decimal"/>
      <w:lvlText w:val="%1"/>
      <w:lvlJc w:val="left"/>
      <w:pPr>
        <w:ind w:left="360" w:hanging="360"/>
      </w:pPr>
      <w:rPr>
        <w:rFonts w:ascii="Arial" w:eastAsiaTheme="minorHAnsi" w:hAnsi="Arial" w:cstheme="minorBid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31A118B1"/>
    <w:multiLevelType w:val="multilevel"/>
    <w:tmpl w:val="9B92D5E2"/>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1211"/>
        </w:tabs>
        <w:ind w:left="1211" w:hanging="360"/>
      </w:pPr>
      <w:rPr>
        <w:rFonts w:hint="default"/>
        <w:sz w:val="22"/>
      </w:rPr>
    </w:lvl>
    <w:lvl w:ilvl="2">
      <w:start w:val="1"/>
      <w:numFmt w:val="decimal"/>
      <w:lvlText w:val="%3."/>
      <w:lvlJc w:val="left"/>
      <w:pPr>
        <w:tabs>
          <w:tab w:val="num" w:pos="1800"/>
        </w:tabs>
        <w:ind w:left="1800" w:hanging="360"/>
      </w:pPr>
      <w:rPr>
        <w:rFonts w:hint="default"/>
        <w:sz w:val="22"/>
      </w:rPr>
    </w:lvl>
    <w:lvl w:ilvl="3">
      <w:start w:val="1"/>
      <w:numFmt w:val="decimal"/>
      <w:lvlText w:val="%4."/>
      <w:lvlJc w:val="left"/>
      <w:pPr>
        <w:tabs>
          <w:tab w:val="num" w:pos="2520"/>
        </w:tabs>
        <w:ind w:left="2520" w:hanging="360"/>
      </w:pPr>
      <w:rPr>
        <w:rFonts w:hint="default"/>
        <w:sz w:val="22"/>
      </w:rPr>
    </w:lvl>
    <w:lvl w:ilvl="4">
      <w:start w:val="1"/>
      <w:numFmt w:val="decimal"/>
      <w:lvlText w:val="%5."/>
      <w:lvlJc w:val="left"/>
      <w:pPr>
        <w:tabs>
          <w:tab w:val="num" w:pos="3240"/>
        </w:tabs>
        <w:ind w:left="3240" w:hanging="360"/>
      </w:pPr>
      <w:rPr>
        <w:rFonts w:hint="default"/>
        <w:sz w:val="22"/>
      </w:rPr>
    </w:lvl>
    <w:lvl w:ilvl="5">
      <w:start w:val="1"/>
      <w:numFmt w:val="decimal"/>
      <w:lvlText w:val="%6."/>
      <w:lvlJc w:val="left"/>
      <w:pPr>
        <w:tabs>
          <w:tab w:val="num" w:pos="3960"/>
        </w:tabs>
        <w:ind w:left="3960" w:hanging="360"/>
      </w:pPr>
      <w:rPr>
        <w:rFonts w:hint="default"/>
        <w:sz w:val="22"/>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8" w15:restartNumberingAfterBreak="0">
    <w:nsid w:val="320C3A36"/>
    <w:multiLevelType w:val="multilevel"/>
    <w:tmpl w:val="0136B40A"/>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25225D8"/>
    <w:multiLevelType w:val="hybridMultilevel"/>
    <w:tmpl w:val="F78C6E6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26510BA"/>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61" w15:restartNumberingAfterBreak="0">
    <w:nsid w:val="32C8574F"/>
    <w:multiLevelType w:val="multilevel"/>
    <w:tmpl w:val="0C09001D"/>
    <w:numStyleLink w:val="BulletedList"/>
  </w:abstractNum>
  <w:abstractNum w:abstractNumId="62" w15:restartNumberingAfterBreak="0">
    <w:nsid w:val="342B133D"/>
    <w:multiLevelType w:val="hybridMultilevel"/>
    <w:tmpl w:val="75C43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34375C4F"/>
    <w:multiLevelType w:val="hybridMultilevel"/>
    <w:tmpl w:val="F5788080"/>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352F064B"/>
    <w:multiLevelType w:val="hybridMultilevel"/>
    <w:tmpl w:val="AEDA905A"/>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47D413CA">
      <w:start w:val="1"/>
      <w:numFmt w:val="lowerLetter"/>
      <w:lvlText w:val="(%9)"/>
      <w:lvlJc w:val="left"/>
      <w:pPr>
        <w:ind w:left="6640" w:hanging="360"/>
      </w:pPr>
      <w:rPr>
        <w:rFonts w:hint="default"/>
      </w:rPr>
    </w:lvl>
  </w:abstractNum>
  <w:abstractNum w:abstractNumId="65" w15:restartNumberingAfterBreak="0">
    <w:nsid w:val="353617E6"/>
    <w:multiLevelType w:val="multilevel"/>
    <w:tmpl w:val="2D5CB16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367A292A"/>
    <w:multiLevelType w:val="multilevel"/>
    <w:tmpl w:val="0C09001D"/>
    <w:numStyleLink w:val="BulletedList"/>
  </w:abstractNum>
  <w:abstractNum w:abstractNumId="67" w15:restartNumberingAfterBreak="0">
    <w:nsid w:val="369478B5"/>
    <w:multiLevelType w:val="hybridMultilevel"/>
    <w:tmpl w:val="6E40F79A"/>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6E51E06"/>
    <w:multiLevelType w:val="hybridMultilevel"/>
    <w:tmpl w:val="7C60E1FC"/>
    <w:lvl w:ilvl="0" w:tplc="021E8868">
      <w:start w:val="1"/>
      <w:numFmt w:val="decimal"/>
      <w:lvlText w:val="%1."/>
      <w:lvlJc w:val="left"/>
      <w:pPr>
        <w:ind w:left="340" w:hanging="34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37277F4C"/>
    <w:multiLevelType w:val="hybridMultilevel"/>
    <w:tmpl w:val="DE18BE7E"/>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70" w15:restartNumberingAfterBreak="0">
    <w:nsid w:val="379D318B"/>
    <w:multiLevelType w:val="hybridMultilevel"/>
    <w:tmpl w:val="9EE4316E"/>
    <w:lvl w:ilvl="0" w:tplc="0C090019">
      <w:start w:val="1"/>
      <w:numFmt w:val="lowerLetter"/>
      <w:lvlText w:val="%1."/>
      <w:lvlJc w:val="left"/>
      <w:pPr>
        <w:ind w:left="1020" w:hanging="340"/>
      </w:pPr>
      <w:rPr>
        <w:rFonts w:hint="default"/>
        <w:b w:val="0"/>
      </w:r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71" w15:restartNumberingAfterBreak="0">
    <w:nsid w:val="388A35C3"/>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72" w15:restartNumberingAfterBreak="0">
    <w:nsid w:val="388D32AF"/>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73" w15:restartNumberingAfterBreak="0">
    <w:nsid w:val="38A006EF"/>
    <w:multiLevelType w:val="multilevel"/>
    <w:tmpl w:val="0C09001D"/>
    <w:numStyleLink w:val="BulletedList"/>
  </w:abstractNum>
  <w:abstractNum w:abstractNumId="74" w15:restartNumberingAfterBreak="0">
    <w:nsid w:val="3905420C"/>
    <w:multiLevelType w:val="hybridMultilevel"/>
    <w:tmpl w:val="1FBCD98C"/>
    <w:lvl w:ilvl="0" w:tplc="03760942">
      <w:start w:val="1"/>
      <w:numFmt w:val="lowerLetter"/>
      <w:lvlText w:val="(%1)"/>
      <w:lvlJc w:val="left"/>
      <w:pPr>
        <w:ind w:left="720" w:hanging="360"/>
      </w:pPr>
      <w:rPr>
        <w:rFonts w:hint="default"/>
      </w:rPr>
    </w:lvl>
    <w:lvl w:ilvl="1" w:tplc="634AAD0C">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394C52AC"/>
    <w:multiLevelType w:val="hybridMultilevel"/>
    <w:tmpl w:val="334417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3A300EFD"/>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77" w15:restartNumberingAfterBreak="0">
    <w:nsid w:val="3A7A20F1"/>
    <w:multiLevelType w:val="hybridMultilevel"/>
    <w:tmpl w:val="10B2D6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3B6D0218"/>
    <w:multiLevelType w:val="hybridMultilevel"/>
    <w:tmpl w:val="36F26736"/>
    <w:lvl w:ilvl="0" w:tplc="0C09000F">
      <w:start w:val="1"/>
      <w:numFmt w:val="decimal"/>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79" w15:restartNumberingAfterBreak="0">
    <w:nsid w:val="3C432973"/>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80" w15:restartNumberingAfterBreak="0">
    <w:nsid w:val="3C77671B"/>
    <w:multiLevelType w:val="multilevel"/>
    <w:tmpl w:val="0136B40A"/>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3C986177"/>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82" w15:restartNumberingAfterBreak="0">
    <w:nsid w:val="3E3830DE"/>
    <w:multiLevelType w:val="multilevel"/>
    <w:tmpl w:val="0C09001D"/>
    <w:numStyleLink w:val="BulletedList"/>
  </w:abstractNum>
  <w:abstractNum w:abstractNumId="83" w15:restartNumberingAfterBreak="0">
    <w:nsid w:val="3F380CCF"/>
    <w:multiLevelType w:val="multilevel"/>
    <w:tmpl w:val="6D109B10"/>
    <w:lvl w:ilvl="0">
      <w:start w:val="1"/>
      <w:numFmt w:val="decimal"/>
      <w:lvlText w:val="%1"/>
      <w:lvlJc w:val="left"/>
      <w:pPr>
        <w:ind w:left="360" w:hanging="360"/>
      </w:pPr>
      <w:rPr>
        <w:rFonts w:ascii="Arial" w:eastAsiaTheme="minorHAnsi" w:hAnsi="Arial" w:cstheme="minorBidi" w:hint="default"/>
        <w:sz w:val="22"/>
      </w:rPr>
    </w:lvl>
    <w:lvl w:ilvl="1">
      <w:start w:val="1"/>
      <w:numFmt w:val="lowerLetter"/>
      <w:lvlText w:val="%2."/>
      <w:lvlJc w:val="left"/>
      <w:pPr>
        <w:ind w:left="720" w:hanging="720"/>
      </w:pPr>
      <w:rPr>
        <w:rFonts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3F3F1E05"/>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85" w15:restartNumberingAfterBreak="0">
    <w:nsid w:val="3F555080"/>
    <w:multiLevelType w:val="hybridMultilevel"/>
    <w:tmpl w:val="12CC8C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404F66EF"/>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87" w15:restartNumberingAfterBreak="0">
    <w:nsid w:val="427F5482"/>
    <w:multiLevelType w:val="multilevel"/>
    <w:tmpl w:val="0C09001D"/>
    <w:numStyleLink w:val="BulletedList"/>
  </w:abstractNum>
  <w:abstractNum w:abstractNumId="88" w15:restartNumberingAfterBreak="0">
    <w:nsid w:val="4409535B"/>
    <w:multiLevelType w:val="hybridMultilevel"/>
    <w:tmpl w:val="130897B2"/>
    <w:lvl w:ilvl="0" w:tplc="0980F524">
      <w:start w:val="1"/>
      <w:numFmt w:val="lowerLetter"/>
      <w:lvlText w:val="%1)"/>
      <w:lvlJc w:val="left"/>
      <w:pPr>
        <w:ind w:left="340" w:hanging="34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487457B8"/>
    <w:multiLevelType w:val="multilevel"/>
    <w:tmpl w:val="0C09001D"/>
    <w:numStyleLink w:val="BulletedList"/>
  </w:abstractNum>
  <w:abstractNum w:abstractNumId="90" w15:restartNumberingAfterBreak="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4EE0217D"/>
    <w:multiLevelType w:val="hybridMultilevel"/>
    <w:tmpl w:val="E128698A"/>
    <w:lvl w:ilvl="0" w:tplc="0C090019">
      <w:start w:val="1"/>
      <w:numFmt w:val="lowerLetter"/>
      <w:lvlText w:val="%1."/>
      <w:lvlJc w:val="left"/>
      <w:pPr>
        <w:ind w:left="720" w:hanging="360"/>
      </w:pPr>
    </w:lvl>
    <w:lvl w:ilvl="1" w:tplc="2B863580">
      <w:start w:val="1"/>
      <w:numFmt w:val="lowerRoman"/>
      <w:lvlText w:val="(%2)"/>
      <w:lvlJc w:val="left"/>
      <w:pPr>
        <w:ind w:left="1800" w:hanging="72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2" w15:restartNumberingAfterBreak="0">
    <w:nsid w:val="4F901B3B"/>
    <w:multiLevelType w:val="hybridMultilevel"/>
    <w:tmpl w:val="938E1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FA53342"/>
    <w:multiLevelType w:val="hybridMultilevel"/>
    <w:tmpl w:val="314A4258"/>
    <w:lvl w:ilvl="0" w:tplc="0C09001B">
      <w:start w:val="1"/>
      <w:numFmt w:val="lowerRoman"/>
      <w:lvlText w:val="%1."/>
      <w:lvlJc w:val="right"/>
      <w:pPr>
        <w:ind w:left="1060" w:hanging="360"/>
      </w:pPr>
    </w:lvl>
    <w:lvl w:ilvl="1" w:tplc="0C09001B">
      <w:start w:val="1"/>
      <w:numFmt w:val="lowerRoman"/>
      <w:lvlText w:val="%2."/>
      <w:lvlJc w:val="right"/>
      <w:pPr>
        <w:ind w:left="1780" w:hanging="360"/>
      </w:pPr>
    </w:lvl>
    <w:lvl w:ilvl="2" w:tplc="0C09001B">
      <w:start w:val="1"/>
      <w:numFmt w:val="lowerRoman"/>
      <w:lvlText w:val="%3."/>
      <w:lvlJc w:val="right"/>
      <w:pPr>
        <w:ind w:left="2500" w:hanging="180"/>
      </w:pPr>
    </w:lvl>
    <w:lvl w:ilvl="3" w:tplc="0C09000F">
      <w:start w:val="1"/>
      <w:numFmt w:val="decimal"/>
      <w:lvlText w:val="%4."/>
      <w:lvlJc w:val="left"/>
      <w:pPr>
        <w:ind w:left="3220" w:hanging="360"/>
      </w:pPr>
    </w:lvl>
    <w:lvl w:ilvl="4" w:tplc="0C090019">
      <w:start w:val="1"/>
      <w:numFmt w:val="lowerLetter"/>
      <w:lvlText w:val="%5."/>
      <w:lvlJc w:val="left"/>
      <w:pPr>
        <w:ind w:left="3940" w:hanging="360"/>
      </w:pPr>
    </w:lvl>
    <w:lvl w:ilvl="5" w:tplc="0C09001B">
      <w:start w:val="1"/>
      <w:numFmt w:val="lowerRoman"/>
      <w:lvlText w:val="%6."/>
      <w:lvlJc w:val="right"/>
      <w:pPr>
        <w:ind w:left="4660" w:hanging="180"/>
      </w:pPr>
    </w:lvl>
    <w:lvl w:ilvl="6" w:tplc="0C09000F">
      <w:start w:val="1"/>
      <w:numFmt w:val="decimal"/>
      <w:lvlText w:val="%7."/>
      <w:lvlJc w:val="left"/>
      <w:pPr>
        <w:ind w:left="5380" w:hanging="360"/>
      </w:pPr>
    </w:lvl>
    <w:lvl w:ilvl="7" w:tplc="0C090019">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94" w15:restartNumberingAfterBreak="0">
    <w:nsid w:val="50EA608D"/>
    <w:multiLevelType w:val="multilevel"/>
    <w:tmpl w:val="0C09001D"/>
    <w:numStyleLink w:val="BulletedList"/>
  </w:abstractNum>
  <w:abstractNum w:abstractNumId="95" w15:restartNumberingAfterBreak="0">
    <w:nsid w:val="51A166D3"/>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96" w15:restartNumberingAfterBreak="0">
    <w:nsid w:val="51B01BE3"/>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7" w15:restartNumberingAfterBreak="0">
    <w:nsid w:val="51FC6F90"/>
    <w:multiLevelType w:val="hybridMultilevel"/>
    <w:tmpl w:val="743A3A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8" w15:restartNumberingAfterBreak="0">
    <w:nsid w:val="531A510E"/>
    <w:multiLevelType w:val="hybridMultilevel"/>
    <w:tmpl w:val="DE18BE7E"/>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99" w15:restartNumberingAfterBreak="0">
    <w:nsid w:val="538A1A25"/>
    <w:multiLevelType w:val="multilevel"/>
    <w:tmpl w:val="4BE033BA"/>
    <w:numStyleLink w:val="NumberedList"/>
  </w:abstractNum>
  <w:abstractNum w:abstractNumId="100" w15:restartNumberingAfterBreak="0">
    <w:nsid w:val="540A41E7"/>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01" w15:restartNumberingAfterBreak="0">
    <w:nsid w:val="54267AE6"/>
    <w:multiLevelType w:val="multilevel"/>
    <w:tmpl w:val="0C09001D"/>
    <w:styleLink w:val="BulletedLis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Symbol" w:hAnsi="Symbol" w:hint="default"/>
        <w:sz w:val="22"/>
      </w:rPr>
    </w:lvl>
    <w:lvl w:ilvl="3">
      <w:start w:val="1"/>
      <w:numFmt w:val="bullet"/>
      <w:lvlText w:val=""/>
      <w:lvlJc w:val="left"/>
      <w:pPr>
        <w:ind w:left="1440" w:hanging="360"/>
      </w:pPr>
      <w:rPr>
        <w:rFonts w:ascii="Symbol" w:hAnsi="Symbol" w:hint="default"/>
        <w:sz w:val="22"/>
      </w:rPr>
    </w:lvl>
    <w:lvl w:ilvl="4">
      <w:start w:val="1"/>
      <w:numFmt w:val="bullet"/>
      <w:lvlText w:val=""/>
      <w:lvlJc w:val="left"/>
      <w:pPr>
        <w:ind w:left="1800" w:hanging="360"/>
      </w:pPr>
      <w:rPr>
        <w:rFonts w:ascii="Symbol" w:hAnsi="Symbol" w:hint="default"/>
        <w:sz w:val="22"/>
      </w:rPr>
    </w:lvl>
    <w:lvl w:ilvl="5">
      <w:start w:val="1"/>
      <w:numFmt w:val="bullet"/>
      <w:lvlText w:val=""/>
      <w:lvlJc w:val="left"/>
      <w:pPr>
        <w:ind w:left="2160" w:hanging="360"/>
      </w:pPr>
      <w:rPr>
        <w:rFonts w:ascii="Symbol" w:hAnsi="Symbol" w:hint="default"/>
        <w:sz w:val="22"/>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555A2A1E"/>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03" w15:restartNumberingAfterBreak="0">
    <w:nsid w:val="56647D0D"/>
    <w:multiLevelType w:val="hybridMultilevel"/>
    <w:tmpl w:val="58B213D8"/>
    <w:lvl w:ilvl="0" w:tplc="2D243766">
      <w:start w:val="1"/>
      <w:numFmt w:val="decimal"/>
      <w:lvlText w:val="%1"/>
      <w:lvlJc w:val="left"/>
      <w:pPr>
        <w:ind w:left="360" w:hanging="360"/>
      </w:pPr>
      <w:rPr>
        <w:rFonts w:ascii="Arial" w:eastAsiaTheme="minorHAnsi" w:hAnsi="Arial" w:cstheme="minorBid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5674605A"/>
    <w:multiLevelType w:val="multilevel"/>
    <w:tmpl w:val="0C09001D"/>
    <w:numStyleLink w:val="BulletedList"/>
  </w:abstractNum>
  <w:abstractNum w:abstractNumId="105" w15:restartNumberingAfterBreak="0">
    <w:nsid w:val="57034863"/>
    <w:multiLevelType w:val="hybridMultilevel"/>
    <w:tmpl w:val="6E5A0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8DF1F7F"/>
    <w:multiLevelType w:val="hybridMultilevel"/>
    <w:tmpl w:val="1C2413B0"/>
    <w:lvl w:ilvl="0" w:tplc="81D44270">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5A6655AC"/>
    <w:multiLevelType w:val="hybridMultilevel"/>
    <w:tmpl w:val="DDE2BC90"/>
    <w:lvl w:ilvl="0" w:tplc="2D243766">
      <w:start w:val="1"/>
      <w:numFmt w:val="decimal"/>
      <w:lvlText w:val="%1"/>
      <w:lvlJc w:val="left"/>
      <w:pPr>
        <w:ind w:left="720" w:hanging="360"/>
      </w:pPr>
      <w:rPr>
        <w:rFonts w:ascii="Arial" w:eastAsiaTheme="minorHAnsi" w:hAnsi="Arial"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5C06123C"/>
    <w:multiLevelType w:val="hybridMultilevel"/>
    <w:tmpl w:val="C2A60E7C"/>
    <w:lvl w:ilvl="0" w:tplc="0980F52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9" w15:restartNumberingAfterBreak="0">
    <w:nsid w:val="5C3104CA"/>
    <w:multiLevelType w:val="hybridMultilevel"/>
    <w:tmpl w:val="E6B438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0" w15:restartNumberingAfterBreak="0">
    <w:nsid w:val="5C822998"/>
    <w:multiLevelType w:val="hybridMultilevel"/>
    <w:tmpl w:val="B2945D34"/>
    <w:lvl w:ilvl="0" w:tplc="0C090019">
      <w:start w:val="1"/>
      <w:numFmt w:val="lowerLetter"/>
      <w:lvlText w:val="%1."/>
      <w:lvlJc w:val="left"/>
      <w:pPr>
        <w:ind w:left="1060" w:hanging="360"/>
      </w:pPr>
    </w:lvl>
    <w:lvl w:ilvl="1" w:tplc="0C09001B">
      <w:start w:val="1"/>
      <w:numFmt w:val="lowerRoman"/>
      <w:lvlText w:val="%2."/>
      <w:lvlJc w:val="right"/>
      <w:pPr>
        <w:ind w:left="1780" w:hanging="360"/>
      </w:pPr>
    </w:lvl>
    <w:lvl w:ilvl="2" w:tplc="0C09001B">
      <w:start w:val="1"/>
      <w:numFmt w:val="lowerRoman"/>
      <w:lvlText w:val="%3."/>
      <w:lvlJc w:val="right"/>
      <w:pPr>
        <w:ind w:left="2500" w:hanging="180"/>
      </w:pPr>
    </w:lvl>
    <w:lvl w:ilvl="3" w:tplc="0C09000F">
      <w:start w:val="1"/>
      <w:numFmt w:val="decimal"/>
      <w:lvlText w:val="%4."/>
      <w:lvlJc w:val="left"/>
      <w:pPr>
        <w:ind w:left="3220" w:hanging="360"/>
      </w:pPr>
    </w:lvl>
    <w:lvl w:ilvl="4" w:tplc="0C090019">
      <w:start w:val="1"/>
      <w:numFmt w:val="lowerLetter"/>
      <w:lvlText w:val="%5."/>
      <w:lvlJc w:val="left"/>
      <w:pPr>
        <w:ind w:left="3940" w:hanging="360"/>
      </w:pPr>
    </w:lvl>
    <w:lvl w:ilvl="5" w:tplc="0C09001B">
      <w:start w:val="1"/>
      <w:numFmt w:val="lowerRoman"/>
      <w:lvlText w:val="%6."/>
      <w:lvlJc w:val="right"/>
      <w:pPr>
        <w:ind w:left="4660" w:hanging="180"/>
      </w:pPr>
    </w:lvl>
    <w:lvl w:ilvl="6" w:tplc="0C09000F">
      <w:start w:val="1"/>
      <w:numFmt w:val="decimal"/>
      <w:lvlText w:val="%7."/>
      <w:lvlJc w:val="left"/>
      <w:pPr>
        <w:ind w:left="5380" w:hanging="360"/>
      </w:pPr>
    </w:lvl>
    <w:lvl w:ilvl="7" w:tplc="0C090019">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11" w15:restartNumberingAfterBreak="0">
    <w:nsid w:val="5C8E770F"/>
    <w:multiLevelType w:val="hybridMultilevel"/>
    <w:tmpl w:val="DE18BE7E"/>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12" w15:restartNumberingAfterBreak="0">
    <w:nsid w:val="5E16408F"/>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13" w15:restartNumberingAfterBreak="0">
    <w:nsid w:val="5EC879D1"/>
    <w:multiLevelType w:val="hybridMultilevel"/>
    <w:tmpl w:val="40F0A80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4" w15:restartNumberingAfterBreak="0">
    <w:nsid w:val="603C2378"/>
    <w:multiLevelType w:val="hybridMultilevel"/>
    <w:tmpl w:val="C0565B56"/>
    <w:lvl w:ilvl="0" w:tplc="0C090001">
      <w:start w:val="1"/>
      <w:numFmt w:val="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115" w15:restartNumberingAfterBreak="0">
    <w:nsid w:val="610F451C"/>
    <w:multiLevelType w:val="hybridMultilevel"/>
    <w:tmpl w:val="FE081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61B5388F"/>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17" w15:restartNumberingAfterBreak="0">
    <w:nsid w:val="635E5612"/>
    <w:multiLevelType w:val="multilevel"/>
    <w:tmpl w:val="D762509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65720C92"/>
    <w:multiLevelType w:val="hybridMultilevel"/>
    <w:tmpl w:val="EC4254E2"/>
    <w:lvl w:ilvl="0" w:tplc="0C090019">
      <w:start w:val="1"/>
      <w:numFmt w:val="lowerLetter"/>
      <w:lvlText w:val="%1."/>
      <w:lvlJc w:val="left"/>
      <w:pPr>
        <w:ind w:left="720" w:hanging="360"/>
      </w:pPr>
    </w:lvl>
    <w:lvl w:ilvl="1" w:tplc="2B863580">
      <w:start w:val="1"/>
      <w:numFmt w:val="lowerRoman"/>
      <w:lvlText w:val="(%2)"/>
      <w:lvlJc w:val="left"/>
      <w:pPr>
        <w:ind w:left="1800" w:hanging="72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9" w15:restartNumberingAfterBreak="0">
    <w:nsid w:val="66AF1E21"/>
    <w:multiLevelType w:val="hybridMultilevel"/>
    <w:tmpl w:val="71984406"/>
    <w:lvl w:ilvl="0" w:tplc="0C09000F">
      <w:start w:val="1"/>
      <w:numFmt w:val="decimal"/>
      <w:lvlText w:val="%1."/>
      <w:lvlJc w:val="left"/>
      <w:pPr>
        <w:ind w:left="357" w:hanging="360"/>
      </w:pPr>
    </w:lvl>
    <w:lvl w:ilvl="1" w:tplc="0C090019">
      <w:start w:val="1"/>
      <w:numFmt w:val="lowerLetter"/>
      <w:lvlText w:val="%2."/>
      <w:lvlJc w:val="left"/>
      <w:pPr>
        <w:ind w:left="1077" w:hanging="360"/>
      </w:pPr>
    </w:lvl>
    <w:lvl w:ilvl="2" w:tplc="0C09001B">
      <w:start w:val="1"/>
      <w:numFmt w:val="lowerRoman"/>
      <w:lvlText w:val="%3."/>
      <w:lvlJc w:val="right"/>
      <w:pPr>
        <w:ind w:left="1797" w:hanging="180"/>
      </w:pPr>
    </w:lvl>
    <w:lvl w:ilvl="3" w:tplc="0C09000F" w:tentative="1">
      <w:start w:val="1"/>
      <w:numFmt w:val="decimal"/>
      <w:lvlText w:val="%4."/>
      <w:lvlJc w:val="left"/>
      <w:pPr>
        <w:ind w:left="2517" w:hanging="360"/>
      </w:pPr>
    </w:lvl>
    <w:lvl w:ilvl="4" w:tplc="0C090019" w:tentative="1">
      <w:start w:val="1"/>
      <w:numFmt w:val="lowerLetter"/>
      <w:lvlText w:val="%5."/>
      <w:lvlJc w:val="left"/>
      <w:pPr>
        <w:ind w:left="3237" w:hanging="360"/>
      </w:pPr>
    </w:lvl>
    <w:lvl w:ilvl="5" w:tplc="0C09001B" w:tentative="1">
      <w:start w:val="1"/>
      <w:numFmt w:val="lowerRoman"/>
      <w:lvlText w:val="%6."/>
      <w:lvlJc w:val="right"/>
      <w:pPr>
        <w:ind w:left="3957" w:hanging="180"/>
      </w:pPr>
    </w:lvl>
    <w:lvl w:ilvl="6" w:tplc="0C09000F" w:tentative="1">
      <w:start w:val="1"/>
      <w:numFmt w:val="decimal"/>
      <w:lvlText w:val="%7."/>
      <w:lvlJc w:val="left"/>
      <w:pPr>
        <w:ind w:left="4677" w:hanging="360"/>
      </w:pPr>
    </w:lvl>
    <w:lvl w:ilvl="7" w:tplc="0C090019" w:tentative="1">
      <w:start w:val="1"/>
      <w:numFmt w:val="lowerLetter"/>
      <w:lvlText w:val="%8."/>
      <w:lvlJc w:val="left"/>
      <w:pPr>
        <w:ind w:left="5397" w:hanging="360"/>
      </w:pPr>
    </w:lvl>
    <w:lvl w:ilvl="8" w:tplc="0C09001B" w:tentative="1">
      <w:start w:val="1"/>
      <w:numFmt w:val="lowerRoman"/>
      <w:lvlText w:val="%9."/>
      <w:lvlJc w:val="right"/>
      <w:pPr>
        <w:ind w:left="6117" w:hanging="180"/>
      </w:pPr>
    </w:lvl>
  </w:abstractNum>
  <w:abstractNum w:abstractNumId="120" w15:restartNumberingAfterBreak="0">
    <w:nsid w:val="67AD37A7"/>
    <w:multiLevelType w:val="hybridMultilevel"/>
    <w:tmpl w:val="6E40F79A"/>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683D2B22"/>
    <w:multiLevelType w:val="hybridMultilevel"/>
    <w:tmpl w:val="CCA2E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68D214FE"/>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23" w15:restartNumberingAfterBreak="0">
    <w:nsid w:val="69454B8E"/>
    <w:multiLevelType w:val="hybridMultilevel"/>
    <w:tmpl w:val="B648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4" w15:restartNumberingAfterBreak="0">
    <w:nsid w:val="6A382450"/>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25" w15:restartNumberingAfterBreak="0">
    <w:nsid w:val="6A6A22C8"/>
    <w:multiLevelType w:val="hybridMultilevel"/>
    <w:tmpl w:val="0B586D80"/>
    <w:lvl w:ilvl="0" w:tplc="0C090019">
      <w:start w:val="1"/>
      <w:numFmt w:val="lowerLetter"/>
      <w:lvlText w:val="%1."/>
      <w:lvlJc w:val="left"/>
      <w:pPr>
        <w:ind w:left="680" w:hanging="340"/>
      </w:pPr>
      <w:rPr>
        <w:rFonts w:hint="default"/>
      </w:rPr>
    </w:lvl>
    <w:lvl w:ilvl="1" w:tplc="0C090019">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26" w15:restartNumberingAfterBreak="0">
    <w:nsid w:val="6AC71BD6"/>
    <w:multiLevelType w:val="hybridMultilevel"/>
    <w:tmpl w:val="89DC4C9A"/>
    <w:lvl w:ilvl="0" w:tplc="2D243766">
      <w:start w:val="1"/>
      <w:numFmt w:val="decimal"/>
      <w:lvlText w:val="%1"/>
      <w:lvlJc w:val="left"/>
      <w:pPr>
        <w:ind w:left="720" w:hanging="360"/>
      </w:pPr>
      <w:rPr>
        <w:rFonts w:ascii="Arial" w:eastAsiaTheme="minorHAnsi" w:hAnsi="Arial" w:cstheme="minorBid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7" w15:restartNumberingAfterBreak="0">
    <w:nsid w:val="6B5264C3"/>
    <w:multiLevelType w:val="hybridMultilevel"/>
    <w:tmpl w:val="BBF2C83E"/>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28" w15:restartNumberingAfterBreak="0">
    <w:nsid w:val="6B944BA9"/>
    <w:multiLevelType w:val="hybridMultilevel"/>
    <w:tmpl w:val="D150A3D0"/>
    <w:lvl w:ilvl="0" w:tplc="89DC64D6">
      <w:start w:val="1"/>
      <w:numFmt w:val="decimal"/>
      <w:lvlText w:val="%1."/>
      <w:lvlJc w:val="left"/>
      <w:pPr>
        <w:ind w:left="340" w:hanging="34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9" w15:restartNumberingAfterBreak="0">
    <w:nsid w:val="6EAB6AE3"/>
    <w:multiLevelType w:val="multilevel"/>
    <w:tmpl w:val="0136B40A"/>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6EFA3141"/>
    <w:multiLevelType w:val="hybridMultilevel"/>
    <w:tmpl w:val="3502E132"/>
    <w:lvl w:ilvl="0" w:tplc="4D6697EE">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1" w15:restartNumberingAfterBreak="0">
    <w:nsid w:val="6FDF7CF8"/>
    <w:multiLevelType w:val="multilevel"/>
    <w:tmpl w:val="15A607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2" w15:restartNumberingAfterBreak="0">
    <w:nsid w:val="706E0031"/>
    <w:multiLevelType w:val="multilevel"/>
    <w:tmpl w:val="0136B40A"/>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70C867A8"/>
    <w:multiLevelType w:val="hybridMultilevel"/>
    <w:tmpl w:val="AB2E97D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71B570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7307288A"/>
    <w:multiLevelType w:val="hybridMultilevel"/>
    <w:tmpl w:val="DE18BE7E"/>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36" w15:restartNumberingAfterBreak="0">
    <w:nsid w:val="743C7135"/>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37" w15:restartNumberingAfterBreak="0">
    <w:nsid w:val="74E65DC2"/>
    <w:multiLevelType w:val="hybridMultilevel"/>
    <w:tmpl w:val="6CBA7EEE"/>
    <w:lvl w:ilvl="0" w:tplc="2D243766">
      <w:start w:val="1"/>
      <w:numFmt w:val="decimal"/>
      <w:lvlText w:val="%1"/>
      <w:lvlJc w:val="left"/>
      <w:pPr>
        <w:ind w:left="720" w:hanging="720"/>
      </w:pPr>
      <w:rPr>
        <w:rFonts w:ascii="Arial" w:eastAsiaTheme="minorHAnsi" w:hAnsi="Arial" w:cstheme="minorBid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752438AA"/>
    <w:multiLevelType w:val="hybridMultilevel"/>
    <w:tmpl w:val="2A2E75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9" w15:restartNumberingAfterBreak="0">
    <w:nsid w:val="76E61F4F"/>
    <w:multiLevelType w:val="hybridMultilevel"/>
    <w:tmpl w:val="40F0A80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0" w15:restartNumberingAfterBreak="0">
    <w:nsid w:val="776C3913"/>
    <w:multiLevelType w:val="multilevel"/>
    <w:tmpl w:val="D5B4DBC8"/>
    <w:lvl w:ilvl="0">
      <w:start w:val="1"/>
      <w:numFmt w:val="decimal"/>
      <w:pStyle w:val="NumberedListStyle"/>
      <w:lvlText w:val="%1."/>
      <w:lvlJc w:val="left"/>
      <w:pPr>
        <w:ind w:left="357" w:firstLine="0"/>
      </w:pPr>
      <w:rPr>
        <w:rFonts w:ascii="Arial" w:hAnsi="Arial" w:hint="default"/>
        <w:sz w:val="22"/>
      </w:rPr>
    </w:lvl>
    <w:lvl w:ilvl="1">
      <w:start w:val="1"/>
      <w:numFmt w:val="decimal"/>
      <w:lvlRestart w:val="0"/>
      <w:lvlText w:val="%1.%2."/>
      <w:lvlJc w:val="left"/>
      <w:pPr>
        <w:ind w:left="357" w:firstLine="0"/>
      </w:pPr>
      <w:rPr>
        <w:rFonts w:hint="default"/>
      </w:rPr>
    </w:lvl>
    <w:lvl w:ilvl="2">
      <w:start w:val="1"/>
      <w:numFmt w:val="decimal"/>
      <w:lvlRestart w:val="0"/>
      <w:lvlText w:val="%1.%2.%3."/>
      <w:lvlJc w:val="left"/>
      <w:pPr>
        <w:ind w:left="357" w:firstLine="0"/>
      </w:pPr>
      <w:rPr>
        <w:rFonts w:hint="default"/>
      </w:rPr>
    </w:lvl>
    <w:lvl w:ilvl="3">
      <w:start w:val="1"/>
      <w:numFmt w:val="decimal"/>
      <w:lvlText w:val="%1.%2.%3.%4."/>
      <w:lvlJc w:val="left"/>
      <w:pPr>
        <w:ind w:left="357" w:firstLine="0"/>
      </w:pPr>
      <w:rPr>
        <w:rFonts w:hint="default"/>
      </w:rPr>
    </w:lvl>
    <w:lvl w:ilvl="4">
      <w:start w:val="1"/>
      <w:numFmt w:val="decimal"/>
      <w:lvlText w:val="%1.%2.%3.%4.%5."/>
      <w:lvlJc w:val="left"/>
      <w:pPr>
        <w:ind w:left="357" w:firstLine="0"/>
      </w:pPr>
      <w:rPr>
        <w:rFonts w:hint="default"/>
      </w:rPr>
    </w:lvl>
    <w:lvl w:ilvl="5">
      <w:start w:val="1"/>
      <w:numFmt w:val="decimal"/>
      <w:lvlText w:val="%1.%2.%3.%4.%5.%6."/>
      <w:lvlJc w:val="left"/>
      <w:pPr>
        <w:ind w:left="357" w:firstLine="0"/>
      </w:pPr>
      <w:rPr>
        <w:rFonts w:hint="default"/>
      </w:rPr>
    </w:lvl>
    <w:lvl w:ilvl="6">
      <w:start w:val="1"/>
      <w:numFmt w:val="decimal"/>
      <w:lvlText w:val="%1.%2.%3.%4.%5.%6.%7."/>
      <w:lvlJc w:val="left"/>
      <w:pPr>
        <w:ind w:left="357" w:firstLine="0"/>
      </w:pPr>
      <w:rPr>
        <w:rFonts w:hint="default"/>
      </w:rPr>
    </w:lvl>
    <w:lvl w:ilvl="7">
      <w:start w:val="1"/>
      <w:numFmt w:val="decimal"/>
      <w:lvlText w:val="%1.%2.%3.%4.%5.%6.%7.%8."/>
      <w:lvlJc w:val="left"/>
      <w:pPr>
        <w:ind w:left="357" w:firstLine="0"/>
      </w:pPr>
      <w:rPr>
        <w:rFonts w:hint="default"/>
      </w:rPr>
    </w:lvl>
    <w:lvl w:ilvl="8">
      <w:start w:val="1"/>
      <w:numFmt w:val="decimal"/>
      <w:lvlText w:val="%1.%2.%3.%4.%5.%6.%7.%8.%9."/>
      <w:lvlJc w:val="left"/>
      <w:pPr>
        <w:ind w:left="357" w:firstLine="0"/>
      </w:pPr>
      <w:rPr>
        <w:rFonts w:hint="default"/>
      </w:rPr>
    </w:lvl>
  </w:abstractNum>
  <w:abstractNum w:abstractNumId="141" w15:restartNumberingAfterBreak="0">
    <w:nsid w:val="787578A5"/>
    <w:multiLevelType w:val="multilevel"/>
    <w:tmpl w:val="4BE033BA"/>
    <w:numStyleLink w:val="NumberedList"/>
  </w:abstractNum>
  <w:abstractNum w:abstractNumId="142" w15:restartNumberingAfterBreak="0">
    <w:nsid w:val="7A457200"/>
    <w:multiLevelType w:val="multilevel"/>
    <w:tmpl w:val="0C09001D"/>
    <w:numStyleLink w:val="BulletedList"/>
  </w:abstractNum>
  <w:abstractNum w:abstractNumId="143" w15:restartNumberingAfterBreak="0">
    <w:nsid w:val="7A9455E8"/>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44" w15:restartNumberingAfterBreak="0">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7F006A52"/>
    <w:multiLevelType w:val="hybridMultilevel"/>
    <w:tmpl w:val="DE18BE7E"/>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num w:numId="1">
    <w:abstractNumId w:val="34"/>
  </w:num>
  <w:num w:numId="2">
    <w:abstractNumId w:val="140"/>
  </w:num>
  <w:num w:numId="3">
    <w:abstractNumId w:val="101"/>
  </w:num>
  <w:num w:numId="4">
    <w:abstractNumId w:val="40"/>
  </w:num>
  <w:num w:numId="5">
    <w:abstractNumId w:val="90"/>
  </w:num>
  <w:num w:numId="6">
    <w:abstractNumId w:val="38"/>
  </w:num>
  <w:num w:numId="7">
    <w:abstractNumId w:val="47"/>
  </w:num>
  <w:num w:numId="8">
    <w:abstractNumId w:val="121"/>
  </w:num>
  <w:num w:numId="9">
    <w:abstractNumId w:val="114"/>
  </w:num>
  <w:num w:numId="10">
    <w:abstractNumId w:val="142"/>
  </w:num>
  <w:num w:numId="11">
    <w:abstractNumId w:val="66"/>
  </w:num>
  <w:num w:numId="12">
    <w:abstractNumId w:val="6"/>
  </w:num>
  <w:num w:numId="13">
    <w:abstractNumId w:val="89"/>
  </w:num>
  <w:num w:numId="14">
    <w:abstractNumId w:val="14"/>
  </w:num>
  <w:num w:numId="15">
    <w:abstractNumId w:val="87"/>
  </w:num>
  <w:num w:numId="16">
    <w:abstractNumId w:val="99"/>
  </w:num>
  <w:num w:numId="17">
    <w:abstractNumId w:val="73"/>
  </w:num>
  <w:num w:numId="18">
    <w:abstractNumId w:val="42"/>
  </w:num>
  <w:num w:numId="19">
    <w:abstractNumId w:val="25"/>
  </w:num>
  <w:num w:numId="20">
    <w:abstractNumId w:val="32"/>
  </w:num>
  <w:num w:numId="21">
    <w:abstractNumId w:val="39"/>
  </w:num>
  <w:num w:numId="22">
    <w:abstractNumId w:val="83"/>
  </w:num>
  <w:num w:numId="23">
    <w:abstractNumId w:val="80"/>
  </w:num>
  <w:num w:numId="24">
    <w:abstractNumId w:val="132"/>
  </w:num>
  <w:num w:numId="25">
    <w:abstractNumId w:val="129"/>
  </w:num>
  <w:num w:numId="26">
    <w:abstractNumId w:val="58"/>
  </w:num>
  <w:num w:numId="27">
    <w:abstractNumId w:val="141"/>
  </w:num>
  <w:num w:numId="28">
    <w:abstractNumId w:val="11"/>
  </w:num>
  <w:num w:numId="29">
    <w:abstractNumId w:val="53"/>
  </w:num>
  <w:num w:numId="30">
    <w:abstractNumId w:val="120"/>
  </w:num>
  <w:num w:numId="31">
    <w:abstractNumId w:val="33"/>
  </w:num>
  <w:num w:numId="32">
    <w:abstractNumId w:val="136"/>
  </w:num>
  <w:num w:numId="33">
    <w:abstractNumId w:val="60"/>
  </w:num>
  <w:num w:numId="34">
    <w:abstractNumId w:val="112"/>
  </w:num>
  <w:num w:numId="35">
    <w:abstractNumId w:val="18"/>
  </w:num>
  <w:num w:numId="36">
    <w:abstractNumId w:val="95"/>
  </w:num>
  <w:num w:numId="37">
    <w:abstractNumId w:val="76"/>
  </w:num>
  <w:num w:numId="38">
    <w:abstractNumId w:val="81"/>
  </w:num>
  <w:num w:numId="39">
    <w:abstractNumId w:val="64"/>
  </w:num>
  <w:num w:numId="40">
    <w:abstractNumId w:val="84"/>
  </w:num>
  <w:num w:numId="41">
    <w:abstractNumId w:val="29"/>
  </w:num>
  <w:num w:numId="42">
    <w:abstractNumId w:val="46"/>
  </w:num>
  <w:num w:numId="43">
    <w:abstractNumId w:val="143"/>
  </w:num>
  <w:num w:numId="44">
    <w:abstractNumId w:val="49"/>
  </w:num>
  <w:num w:numId="45">
    <w:abstractNumId w:val="35"/>
  </w:num>
  <w:num w:numId="46">
    <w:abstractNumId w:val="122"/>
  </w:num>
  <w:num w:numId="47">
    <w:abstractNumId w:val="67"/>
  </w:num>
  <w:num w:numId="48">
    <w:abstractNumId w:val="100"/>
  </w:num>
  <w:num w:numId="49">
    <w:abstractNumId w:val="16"/>
  </w:num>
  <w:num w:numId="50">
    <w:abstractNumId w:val="72"/>
  </w:num>
  <w:num w:numId="51">
    <w:abstractNumId w:val="79"/>
  </w:num>
  <w:num w:numId="52">
    <w:abstractNumId w:val="2"/>
  </w:num>
  <w:num w:numId="53">
    <w:abstractNumId w:val="48"/>
  </w:num>
  <w:num w:numId="54">
    <w:abstractNumId w:val="44"/>
  </w:num>
  <w:num w:numId="55">
    <w:abstractNumId w:val="116"/>
  </w:num>
  <w:num w:numId="56">
    <w:abstractNumId w:val="55"/>
  </w:num>
  <w:num w:numId="57">
    <w:abstractNumId w:val="124"/>
  </w:num>
  <w:num w:numId="58">
    <w:abstractNumId w:val="94"/>
  </w:num>
  <w:num w:numId="59">
    <w:abstractNumId w:val="82"/>
  </w:num>
  <w:num w:numId="60">
    <w:abstractNumId w:val="144"/>
  </w:num>
  <w:num w:numId="61">
    <w:abstractNumId w:val="63"/>
  </w:num>
  <w:num w:numId="62">
    <w:abstractNumId w:val="126"/>
  </w:num>
  <w:num w:numId="63">
    <w:abstractNumId w:val="8"/>
  </w:num>
  <w:num w:numId="64">
    <w:abstractNumId w:val="127"/>
  </w:num>
  <w:num w:numId="65">
    <w:abstractNumId w:val="71"/>
  </w:num>
  <w:num w:numId="66">
    <w:abstractNumId w:val="123"/>
  </w:num>
  <w:num w:numId="67">
    <w:abstractNumId w:val="13"/>
  </w:num>
  <w:num w:numId="68">
    <w:abstractNumId w:val="37"/>
  </w:num>
  <w:num w:numId="69">
    <w:abstractNumId w:val="78"/>
  </w:num>
  <w:num w:numId="70">
    <w:abstractNumId w:val="20"/>
  </w:num>
  <w:num w:numId="71">
    <w:abstractNumId w:val="104"/>
  </w:num>
  <w:num w:numId="72">
    <w:abstractNumId w:val="54"/>
  </w:num>
  <w:num w:numId="73">
    <w:abstractNumId w:val="61"/>
  </w:num>
  <w:num w:numId="74">
    <w:abstractNumId w:val="96"/>
  </w:num>
  <w:num w:numId="75">
    <w:abstractNumId w:val="77"/>
  </w:num>
  <w:num w:numId="76">
    <w:abstractNumId w:val="117"/>
  </w:num>
  <w:num w:numId="77">
    <w:abstractNumId w:val="85"/>
  </w:num>
  <w:num w:numId="78">
    <w:abstractNumId w:val="134"/>
  </w:num>
  <w:num w:numId="79">
    <w:abstractNumId w:val="36"/>
  </w:num>
  <w:num w:numId="80">
    <w:abstractNumId w:val="109"/>
  </w:num>
  <w:num w:numId="81">
    <w:abstractNumId w:val="131"/>
  </w:num>
  <w:num w:numId="8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2"/>
  </w:num>
  <w:num w:numId="85">
    <w:abstractNumId w:val="138"/>
  </w:num>
  <w:num w:numId="86">
    <w:abstractNumId w:val="97"/>
  </w:num>
  <w:num w:numId="87">
    <w:abstractNumId w:val="9"/>
  </w:num>
  <w:num w:numId="88">
    <w:abstractNumId w:val="12"/>
  </w:num>
  <w:num w:numId="89">
    <w:abstractNumId w:val="5"/>
  </w:num>
  <w:num w:numId="90">
    <w:abstractNumId w:val="30"/>
  </w:num>
  <w:num w:numId="91">
    <w:abstractNumId w:val="96"/>
  </w:num>
  <w:num w:numId="92">
    <w:abstractNumId w:val="65"/>
  </w:num>
  <w:num w:numId="93">
    <w:abstractNumId w:val="27"/>
  </w:num>
  <w:num w:numId="94">
    <w:abstractNumId w:val="19"/>
  </w:num>
  <w:num w:numId="95">
    <w:abstractNumId w:val="92"/>
  </w:num>
  <w:num w:numId="96">
    <w:abstractNumId w:val="105"/>
  </w:num>
  <w:num w:numId="97">
    <w:abstractNumId w:val="50"/>
  </w:num>
  <w:num w:numId="98">
    <w:abstractNumId w:val="52"/>
  </w:num>
  <w:num w:numId="99">
    <w:abstractNumId w:val="130"/>
  </w:num>
  <w:num w:numId="100">
    <w:abstractNumId w:val="137"/>
  </w:num>
  <w:num w:numId="1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8"/>
  </w:num>
  <w:num w:numId="104">
    <w:abstractNumId w:val="88"/>
  </w:num>
  <w:num w:numId="105">
    <w:abstractNumId w:val="125"/>
  </w:num>
  <w:num w:numId="106">
    <w:abstractNumId w:val="128"/>
  </w:num>
  <w:num w:numId="107">
    <w:abstractNumId w:val="70"/>
  </w:num>
  <w:num w:numId="108">
    <w:abstractNumId w:val="7"/>
  </w:num>
  <w:num w:numId="109">
    <w:abstractNumId w:val="103"/>
  </w:num>
  <w:num w:numId="110">
    <w:abstractNumId w:val="56"/>
  </w:num>
  <w:num w:numId="111">
    <w:abstractNumId w:val="74"/>
  </w:num>
  <w:num w:numId="112">
    <w:abstractNumId w:val="45"/>
  </w:num>
  <w:num w:numId="113">
    <w:abstractNumId w:val="10"/>
  </w:num>
  <w:num w:numId="114">
    <w:abstractNumId w:val="115"/>
  </w:num>
  <w:num w:numId="115">
    <w:abstractNumId w:val="108"/>
  </w:num>
  <w:num w:numId="116">
    <w:abstractNumId w:val="51"/>
  </w:num>
  <w:num w:numId="117">
    <w:abstractNumId w:val="107"/>
  </w:num>
  <w:num w:numId="118">
    <w:abstractNumId w:val="43"/>
  </w:num>
  <w:num w:numId="119">
    <w:abstractNumId w:val="118"/>
  </w:num>
  <w:num w:numId="120">
    <w:abstractNumId w:val="91"/>
  </w:num>
  <w:num w:numId="121">
    <w:abstractNumId w:val="15"/>
  </w:num>
  <w:num w:numId="122">
    <w:abstractNumId w:val="133"/>
  </w:num>
  <w:num w:numId="123">
    <w:abstractNumId w:val="57"/>
  </w:num>
  <w:num w:numId="124">
    <w:abstractNumId w:val="62"/>
  </w:num>
  <w:num w:numId="125">
    <w:abstractNumId w:val="1"/>
  </w:num>
  <w:num w:numId="126">
    <w:abstractNumId w:val="119"/>
  </w:num>
  <w:num w:numId="127">
    <w:abstractNumId w:val="98"/>
  </w:num>
  <w:num w:numId="128">
    <w:abstractNumId w:val="69"/>
  </w:num>
  <w:num w:numId="129">
    <w:abstractNumId w:val="111"/>
  </w:num>
  <w:num w:numId="130">
    <w:abstractNumId w:val="26"/>
  </w:num>
  <w:num w:numId="131">
    <w:abstractNumId w:val="135"/>
  </w:num>
  <w:num w:numId="13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86"/>
  </w:num>
  <w:num w:numId="134">
    <w:abstractNumId w:val="28"/>
  </w:num>
  <w:num w:numId="135">
    <w:abstractNumId w:val="113"/>
  </w:num>
  <w:num w:numId="136">
    <w:abstractNumId w:val="3"/>
  </w:num>
  <w:num w:numId="137">
    <w:abstractNumId w:val="17"/>
  </w:num>
  <w:num w:numId="138">
    <w:abstractNumId w:val="145"/>
  </w:num>
  <w:num w:numId="139">
    <w:abstractNumId w:val="41"/>
  </w:num>
  <w:num w:numId="140">
    <w:abstractNumId w:val="106"/>
  </w:num>
  <w:num w:numId="141">
    <w:abstractNumId w:val="75"/>
  </w:num>
  <w:num w:numId="142">
    <w:abstractNumId w:val="4"/>
  </w:num>
  <w:num w:numId="143">
    <w:abstractNumId w:val="23"/>
  </w:num>
  <w:num w:numId="144">
    <w:abstractNumId w:val="110"/>
  </w:num>
  <w:num w:numId="145">
    <w:abstractNumId w:val="93"/>
  </w:num>
  <w:num w:numId="146">
    <w:abstractNumId w:val="102"/>
  </w:num>
  <w:num w:numId="1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0"/>
  </w:num>
  <w:num w:numId="149">
    <w:abstractNumId w:val="59"/>
  </w:num>
  <w:num w:numId="150">
    <w:abstractNumId w:val="31"/>
  </w:num>
  <w:num w:numId="151">
    <w:abstractNumId w:val="139"/>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tgray\Desktop\Amendments to Exempt Selling Guideline\AER Retail Exempt Selling Guideline - version 4 - March 2016.docx"/>
  </w:docVars>
  <w:rsids>
    <w:rsidRoot w:val="00826CEE"/>
    <w:rsid w:val="00002104"/>
    <w:rsid w:val="00002D57"/>
    <w:rsid w:val="00006B9E"/>
    <w:rsid w:val="00011005"/>
    <w:rsid w:val="00011367"/>
    <w:rsid w:val="000113D6"/>
    <w:rsid w:val="00013711"/>
    <w:rsid w:val="00015120"/>
    <w:rsid w:val="000165CD"/>
    <w:rsid w:val="00016F37"/>
    <w:rsid w:val="00017894"/>
    <w:rsid w:val="000200A0"/>
    <w:rsid w:val="000231D1"/>
    <w:rsid w:val="00024478"/>
    <w:rsid w:val="000246C9"/>
    <w:rsid w:val="000249A2"/>
    <w:rsid w:val="00026709"/>
    <w:rsid w:val="00027B91"/>
    <w:rsid w:val="000301D3"/>
    <w:rsid w:val="00031301"/>
    <w:rsid w:val="0003395E"/>
    <w:rsid w:val="00034197"/>
    <w:rsid w:val="00034D47"/>
    <w:rsid w:val="00041D70"/>
    <w:rsid w:val="00044D8E"/>
    <w:rsid w:val="00044DA6"/>
    <w:rsid w:val="00045887"/>
    <w:rsid w:val="00045ECA"/>
    <w:rsid w:val="00046968"/>
    <w:rsid w:val="000517DA"/>
    <w:rsid w:val="00051D5C"/>
    <w:rsid w:val="000535F1"/>
    <w:rsid w:val="00053B07"/>
    <w:rsid w:val="000548EF"/>
    <w:rsid w:val="00056577"/>
    <w:rsid w:val="00056C0B"/>
    <w:rsid w:val="00060E48"/>
    <w:rsid w:val="0006201F"/>
    <w:rsid w:val="00063ECE"/>
    <w:rsid w:val="00064ADB"/>
    <w:rsid w:val="000664BE"/>
    <w:rsid w:val="00066CCD"/>
    <w:rsid w:val="00067039"/>
    <w:rsid w:val="00067DC0"/>
    <w:rsid w:val="000725FA"/>
    <w:rsid w:val="000731B8"/>
    <w:rsid w:val="00074BC5"/>
    <w:rsid w:val="00075CC4"/>
    <w:rsid w:val="000816CC"/>
    <w:rsid w:val="00082052"/>
    <w:rsid w:val="00082652"/>
    <w:rsid w:val="00082DF4"/>
    <w:rsid w:val="0008333F"/>
    <w:rsid w:val="000840CA"/>
    <w:rsid w:val="000850F1"/>
    <w:rsid w:val="00090946"/>
    <w:rsid w:val="0009156C"/>
    <w:rsid w:val="00091D62"/>
    <w:rsid w:val="000925ED"/>
    <w:rsid w:val="00095D3F"/>
    <w:rsid w:val="0009720D"/>
    <w:rsid w:val="000A06C3"/>
    <w:rsid w:val="000A0C86"/>
    <w:rsid w:val="000A0FF1"/>
    <w:rsid w:val="000A12D9"/>
    <w:rsid w:val="000A1D03"/>
    <w:rsid w:val="000A6F3E"/>
    <w:rsid w:val="000A7884"/>
    <w:rsid w:val="000B0CEB"/>
    <w:rsid w:val="000B551C"/>
    <w:rsid w:val="000B6222"/>
    <w:rsid w:val="000B637F"/>
    <w:rsid w:val="000B6888"/>
    <w:rsid w:val="000B77D7"/>
    <w:rsid w:val="000C0E09"/>
    <w:rsid w:val="000C2153"/>
    <w:rsid w:val="000C2D45"/>
    <w:rsid w:val="000C2F28"/>
    <w:rsid w:val="000C5FBF"/>
    <w:rsid w:val="000D06F2"/>
    <w:rsid w:val="000D0765"/>
    <w:rsid w:val="000D161C"/>
    <w:rsid w:val="000D2285"/>
    <w:rsid w:val="000D2389"/>
    <w:rsid w:val="000D2C46"/>
    <w:rsid w:val="000D344D"/>
    <w:rsid w:val="000D3B5D"/>
    <w:rsid w:val="000D3E83"/>
    <w:rsid w:val="000D7337"/>
    <w:rsid w:val="000E06D4"/>
    <w:rsid w:val="000E15C6"/>
    <w:rsid w:val="000E20D0"/>
    <w:rsid w:val="000E30BE"/>
    <w:rsid w:val="000E4923"/>
    <w:rsid w:val="000E50EB"/>
    <w:rsid w:val="000E61C6"/>
    <w:rsid w:val="000F0D54"/>
    <w:rsid w:val="000F0F72"/>
    <w:rsid w:val="000F420D"/>
    <w:rsid w:val="000F4A5F"/>
    <w:rsid w:val="000F4EA8"/>
    <w:rsid w:val="000F51B1"/>
    <w:rsid w:val="000F59CD"/>
    <w:rsid w:val="00100128"/>
    <w:rsid w:val="00101AD2"/>
    <w:rsid w:val="00101FF3"/>
    <w:rsid w:val="00102CC0"/>
    <w:rsid w:val="00103A40"/>
    <w:rsid w:val="00103DE0"/>
    <w:rsid w:val="00104C5E"/>
    <w:rsid w:val="0010694B"/>
    <w:rsid w:val="00107CE6"/>
    <w:rsid w:val="00107FDE"/>
    <w:rsid w:val="00110DD5"/>
    <w:rsid w:val="00111593"/>
    <w:rsid w:val="00112A74"/>
    <w:rsid w:val="001141C6"/>
    <w:rsid w:val="00114749"/>
    <w:rsid w:val="00115B3C"/>
    <w:rsid w:val="00117E14"/>
    <w:rsid w:val="00121B27"/>
    <w:rsid w:val="0012265F"/>
    <w:rsid w:val="001229BD"/>
    <w:rsid w:val="00126795"/>
    <w:rsid w:val="00127538"/>
    <w:rsid w:val="00130EA5"/>
    <w:rsid w:val="00132400"/>
    <w:rsid w:val="0013268C"/>
    <w:rsid w:val="00132FB5"/>
    <w:rsid w:val="001355E1"/>
    <w:rsid w:val="00135CBB"/>
    <w:rsid w:val="0013660A"/>
    <w:rsid w:val="001375AC"/>
    <w:rsid w:val="00137965"/>
    <w:rsid w:val="0014159A"/>
    <w:rsid w:val="00143945"/>
    <w:rsid w:val="0014451D"/>
    <w:rsid w:val="0014614C"/>
    <w:rsid w:val="00146592"/>
    <w:rsid w:val="00147056"/>
    <w:rsid w:val="00147BD4"/>
    <w:rsid w:val="00151175"/>
    <w:rsid w:val="00152F5C"/>
    <w:rsid w:val="00154459"/>
    <w:rsid w:val="00154E14"/>
    <w:rsid w:val="00155C93"/>
    <w:rsid w:val="00160A9D"/>
    <w:rsid w:val="00162856"/>
    <w:rsid w:val="00162A1C"/>
    <w:rsid w:val="00162F53"/>
    <w:rsid w:val="00164049"/>
    <w:rsid w:val="00166F28"/>
    <w:rsid w:val="00167CB4"/>
    <w:rsid w:val="0017048C"/>
    <w:rsid w:val="0017281C"/>
    <w:rsid w:val="001729A4"/>
    <w:rsid w:val="00172C74"/>
    <w:rsid w:val="00173E22"/>
    <w:rsid w:val="00173FE9"/>
    <w:rsid w:val="00175E60"/>
    <w:rsid w:val="001813AE"/>
    <w:rsid w:val="0018229B"/>
    <w:rsid w:val="001822DD"/>
    <w:rsid w:val="00183F33"/>
    <w:rsid w:val="00187683"/>
    <w:rsid w:val="001877FE"/>
    <w:rsid w:val="00187DC1"/>
    <w:rsid w:val="00192403"/>
    <w:rsid w:val="001939DE"/>
    <w:rsid w:val="00195488"/>
    <w:rsid w:val="001959DC"/>
    <w:rsid w:val="001974A9"/>
    <w:rsid w:val="00197B1D"/>
    <w:rsid w:val="001A2BBC"/>
    <w:rsid w:val="001A2F7A"/>
    <w:rsid w:val="001A36FB"/>
    <w:rsid w:val="001A3DE4"/>
    <w:rsid w:val="001A48A5"/>
    <w:rsid w:val="001A5F86"/>
    <w:rsid w:val="001A6495"/>
    <w:rsid w:val="001A6FD4"/>
    <w:rsid w:val="001A70DF"/>
    <w:rsid w:val="001A7FA1"/>
    <w:rsid w:val="001B05B6"/>
    <w:rsid w:val="001B48DA"/>
    <w:rsid w:val="001B5FE7"/>
    <w:rsid w:val="001B6455"/>
    <w:rsid w:val="001B6CD9"/>
    <w:rsid w:val="001B7306"/>
    <w:rsid w:val="001C1A48"/>
    <w:rsid w:val="001C3040"/>
    <w:rsid w:val="001C43F8"/>
    <w:rsid w:val="001C5AF3"/>
    <w:rsid w:val="001C6159"/>
    <w:rsid w:val="001C6DBA"/>
    <w:rsid w:val="001D0839"/>
    <w:rsid w:val="001D0A98"/>
    <w:rsid w:val="001D129B"/>
    <w:rsid w:val="001D200D"/>
    <w:rsid w:val="001D222D"/>
    <w:rsid w:val="001D39B6"/>
    <w:rsid w:val="001D432F"/>
    <w:rsid w:val="001D69C5"/>
    <w:rsid w:val="001D6A42"/>
    <w:rsid w:val="001E0A2E"/>
    <w:rsid w:val="001E6461"/>
    <w:rsid w:val="001F0867"/>
    <w:rsid w:val="001F1DE6"/>
    <w:rsid w:val="001F21FA"/>
    <w:rsid w:val="001F2EE7"/>
    <w:rsid w:val="001F3B67"/>
    <w:rsid w:val="001F40FF"/>
    <w:rsid w:val="001F4708"/>
    <w:rsid w:val="001F6AD9"/>
    <w:rsid w:val="001F6DE4"/>
    <w:rsid w:val="00200A76"/>
    <w:rsid w:val="00201059"/>
    <w:rsid w:val="00201CC9"/>
    <w:rsid w:val="00207D1E"/>
    <w:rsid w:val="0021075B"/>
    <w:rsid w:val="00211890"/>
    <w:rsid w:val="00212FB3"/>
    <w:rsid w:val="00213350"/>
    <w:rsid w:val="00214579"/>
    <w:rsid w:val="002167E4"/>
    <w:rsid w:val="002170FE"/>
    <w:rsid w:val="002205E4"/>
    <w:rsid w:val="00224CA1"/>
    <w:rsid w:val="0022628B"/>
    <w:rsid w:val="00227E0F"/>
    <w:rsid w:val="002302C7"/>
    <w:rsid w:val="00230EFB"/>
    <w:rsid w:val="00233865"/>
    <w:rsid w:val="002349FF"/>
    <w:rsid w:val="00236114"/>
    <w:rsid w:val="00237631"/>
    <w:rsid w:val="002400D8"/>
    <w:rsid w:val="0024012D"/>
    <w:rsid w:val="0024020D"/>
    <w:rsid w:val="002436CD"/>
    <w:rsid w:val="002472B3"/>
    <w:rsid w:val="00247536"/>
    <w:rsid w:val="002500B0"/>
    <w:rsid w:val="00250D1E"/>
    <w:rsid w:val="00251D8F"/>
    <w:rsid w:val="00254184"/>
    <w:rsid w:val="00255594"/>
    <w:rsid w:val="00255DDD"/>
    <w:rsid w:val="002608DB"/>
    <w:rsid w:val="0026247B"/>
    <w:rsid w:val="00262E1A"/>
    <w:rsid w:val="0026461B"/>
    <w:rsid w:val="00265B70"/>
    <w:rsid w:val="002676A6"/>
    <w:rsid w:val="002708C0"/>
    <w:rsid w:val="0027092D"/>
    <w:rsid w:val="0027126E"/>
    <w:rsid w:val="00272FE2"/>
    <w:rsid w:val="00275176"/>
    <w:rsid w:val="00275ACC"/>
    <w:rsid w:val="002763B8"/>
    <w:rsid w:val="00276E4C"/>
    <w:rsid w:val="0027752A"/>
    <w:rsid w:val="002818DF"/>
    <w:rsid w:val="00282288"/>
    <w:rsid w:val="00284A98"/>
    <w:rsid w:val="00284D31"/>
    <w:rsid w:val="00285904"/>
    <w:rsid w:val="00285E17"/>
    <w:rsid w:val="00293BA2"/>
    <w:rsid w:val="00294902"/>
    <w:rsid w:val="00294F7D"/>
    <w:rsid w:val="00295196"/>
    <w:rsid w:val="002956ED"/>
    <w:rsid w:val="002A0BA6"/>
    <w:rsid w:val="002A13CB"/>
    <w:rsid w:val="002A2EF4"/>
    <w:rsid w:val="002A46D6"/>
    <w:rsid w:val="002A539F"/>
    <w:rsid w:val="002A566D"/>
    <w:rsid w:val="002A75ED"/>
    <w:rsid w:val="002B035C"/>
    <w:rsid w:val="002B125D"/>
    <w:rsid w:val="002B27D0"/>
    <w:rsid w:val="002B3D9D"/>
    <w:rsid w:val="002B5C11"/>
    <w:rsid w:val="002C023D"/>
    <w:rsid w:val="002C0EC9"/>
    <w:rsid w:val="002C10A6"/>
    <w:rsid w:val="002C12AD"/>
    <w:rsid w:val="002C29CB"/>
    <w:rsid w:val="002C529A"/>
    <w:rsid w:val="002C6447"/>
    <w:rsid w:val="002C7822"/>
    <w:rsid w:val="002C7913"/>
    <w:rsid w:val="002D05D5"/>
    <w:rsid w:val="002D20DC"/>
    <w:rsid w:val="002D274B"/>
    <w:rsid w:val="002D4DAB"/>
    <w:rsid w:val="002D67C5"/>
    <w:rsid w:val="002D70B4"/>
    <w:rsid w:val="002D7682"/>
    <w:rsid w:val="002E0606"/>
    <w:rsid w:val="002E3A4D"/>
    <w:rsid w:val="002E4D07"/>
    <w:rsid w:val="002E5CA8"/>
    <w:rsid w:val="002E75BE"/>
    <w:rsid w:val="002F0511"/>
    <w:rsid w:val="002F06B4"/>
    <w:rsid w:val="002F096C"/>
    <w:rsid w:val="002F1039"/>
    <w:rsid w:val="002F1789"/>
    <w:rsid w:val="00305007"/>
    <w:rsid w:val="003062F9"/>
    <w:rsid w:val="00306C1F"/>
    <w:rsid w:val="00310738"/>
    <w:rsid w:val="00310A0A"/>
    <w:rsid w:val="00310F67"/>
    <w:rsid w:val="003136AE"/>
    <w:rsid w:val="00314C7E"/>
    <w:rsid w:val="00315F0C"/>
    <w:rsid w:val="00316E3D"/>
    <w:rsid w:val="003201FB"/>
    <w:rsid w:val="00323B0A"/>
    <w:rsid w:val="00323C12"/>
    <w:rsid w:val="0032593B"/>
    <w:rsid w:val="00325EE9"/>
    <w:rsid w:val="00326DEF"/>
    <w:rsid w:val="00327589"/>
    <w:rsid w:val="003320CF"/>
    <w:rsid w:val="003331E3"/>
    <w:rsid w:val="0033326B"/>
    <w:rsid w:val="00335396"/>
    <w:rsid w:val="00335907"/>
    <w:rsid w:val="00336EE7"/>
    <w:rsid w:val="003370FB"/>
    <w:rsid w:val="003376D6"/>
    <w:rsid w:val="00337F4A"/>
    <w:rsid w:val="00341541"/>
    <w:rsid w:val="003425D9"/>
    <w:rsid w:val="003459E1"/>
    <w:rsid w:val="00346199"/>
    <w:rsid w:val="0035011A"/>
    <w:rsid w:val="003506BB"/>
    <w:rsid w:val="00350F15"/>
    <w:rsid w:val="0035159A"/>
    <w:rsid w:val="00353255"/>
    <w:rsid w:val="00353CD9"/>
    <w:rsid w:val="003563F8"/>
    <w:rsid w:val="00357CC3"/>
    <w:rsid w:val="003638D7"/>
    <w:rsid w:val="00366C34"/>
    <w:rsid w:val="00370716"/>
    <w:rsid w:val="00371EE3"/>
    <w:rsid w:val="00373CA3"/>
    <w:rsid w:val="003740A1"/>
    <w:rsid w:val="00376230"/>
    <w:rsid w:val="00376AC2"/>
    <w:rsid w:val="00377538"/>
    <w:rsid w:val="00380FE6"/>
    <w:rsid w:val="00381153"/>
    <w:rsid w:val="00382E7D"/>
    <w:rsid w:val="00383942"/>
    <w:rsid w:val="00384842"/>
    <w:rsid w:val="00384B6B"/>
    <w:rsid w:val="003853B1"/>
    <w:rsid w:val="003873BD"/>
    <w:rsid w:val="00387432"/>
    <w:rsid w:val="003876DC"/>
    <w:rsid w:val="00387CEF"/>
    <w:rsid w:val="003906D2"/>
    <w:rsid w:val="00390F83"/>
    <w:rsid w:val="00391139"/>
    <w:rsid w:val="00391ED8"/>
    <w:rsid w:val="0039279F"/>
    <w:rsid w:val="003931C5"/>
    <w:rsid w:val="00393572"/>
    <w:rsid w:val="003A5164"/>
    <w:rsid w:val="003A59E1"/>
    <w:rsid w:val="003A5E1B"/>
    <w:rsid w:val="003B318F"/>
    <w:rsid w:val="003B5212"/>
    <w:rsid w:val="003B6E74"/>
    <w:rsid w:val="003C000B"/>
    <w:rsid w:val="003C0E33"/>
    <w:rsid w:val="003C155B"/>
    <w:rsid w:val="003C19B6"/>
    <w:rsid w:val="003C3CE2"/>
    <w:rsid w:val="003C54D5"/>
    <w:rsid w:val="003C5C30"/>
    <w:rsid w:val="003C74D6"/>
    <w:rsid w:val="003C7996"/>
    <w:rsid w:val="003D0E31"/>
    <w:rsid w:val="003D14E9"/>
    <w:rsid w:val="003D3974"/>
    <w:rsid w:val="003D4A6C"/>
    <w:rsid w:val="003D579C"/>
    <w:rsid w:val="003D605F"/>
    <w:rsid w:val="003D6740"/>
    <w:rsid w:val="003D6FDF"/>
    <w:rsid w:val="003D70E2"/>
    <w:rsid w:val="003D7CEC"/>
    <w:rsid w:val="003E0D7D"/>
    <w:rsid w:val="003E1FD7"/>
    <w:rsid w:val="003E2030"/>
    <w:rsid w:val="003E29D7"/>
    <w:rsid w:val="003E4198"/>
    <w:rsid w:val="003E4B66"/>
    <w:rsid w:val="003E5EA4"/>
    <w:rsid w:val="003E5FC1"/>
    <w:rsid w:val="003E6621"/>
    <w:rsid w:val="003F0B1E"/>
    <w:rsid w:val="003F13D2"/>
    <w:rsid w:val="003F4FCE"/>
    <w:rsid w:val="003F73E0"/>
    <w:rsid w:val="003F76FB"/>
    <w:rsid w:val="003F7DA2"/>
    <w:rsid w:val="0040032D"/>
    <w:rsid w:val="00400FF1"/>
    <w:rsid w:val="004045BB"/>
    <w:rsid w:val="00405FEF"/>
    <w:rsid w:val="004063BA"/>
    <w:rsid w:val="00406DCE"/>
    <w:rsid w:val="0040744C"/>
    <w:rsid w:val="004106B0"/>
    <w:rsid w:val="00413D52"/>
    <w:rsid w:val="00414B4C"/>
    <w:rsid w:val="00416370"/>
    <w:rsid w:val="004164CA"/>
    <w:rsid w:val="0041677A"/>
    <w:rsid w:val="004174B9"/>
    <w:rsid w:val="004203AE"/>
    <w:rsid w:val="0042479E"/>
    <w:rsid w:val="00424EEF"/>
    <w:rsid w:val="0042596C"/>
    <w:rsid w:val="0042628F"/>
    <w:rsid w:val="00426328"/>
    <w:rsid w:val="00426C20"/>
    <w:rsid w:val="004274EA"/>
    <w:rsid w:val="00431321"/>
    <w:rsid w:val="0043152E"/>
    <w:rsid w:val="00431CDB"/>
    <w:rsid w:val="00432744"/>
    <w:rsid w:val="00440753"/>
    <w:rsid w:val="004423EB"/>
    <w:rsid w:val="0044407F"/>
    <w:rsid w:val="0044562F"/>
    <w:rsid w:val="00446358"/>
    <w:rsid w:val="00447FD4"/>
    <w:rsid w:val="0045038C"/>
    <w:rsid w:val="00452734"/>
    <w:rsid w:val="0045298C"/>
    <w:rsid w:val="00453549"/>
    <w:rsid w:val="0045375D"/>
    <w:rsid w:val="0045491E"/>
    <w:rsid w:val="0045577A"/>
    <w:rsid w:val="0045579C"/>
    <w:rsid w:val="004568B7"/>
    <w:rsid w:val="004574FA"/>
    <w:rsid w:val="00460B39"/>
    <w:rsid w:val="0046345E"/>
    <w:rsid w:val="00465012"/>
    <w:rsid w:val="00465112"/>
    <w:rsid w:val="0047035A"/>
    <w:rsid w:val="00470E9B"/>
    <w:rsid w:val="0047258C"/>
    <w:rsid w:val="00473BA9"/>
    <w:rsid w:val="00474532"/>
    <w:rsid w:val="00480126"/>
    <w:rsid w:val="00480BB1"/>
    <w:rsid w:val="00480BBD"/>
    <w:rsid w:val="00482E15"/>
    <w:rsid w:val="00483C83"/>
    <w:rsid w:val="0048427C"/>
    <w:rsid w:val="00485C33"/>
    <w:rsid w:val="00486178"/>
    <w:rsid w:val="00486D37"/>
    <w:rsid w:val="0048756C"/>
    <w:rsid w:val="004910E9"/>
    <w:rsid w:val="0049338B"/>
    <w:rsid w:val="004958DA"/>
    <w:rsid w:val="0049764D"/>
    <w:rsid w:val="004A018A"/>
    <w:rsid w:val="004A09C5"/>
    <w:rsid w:val="004A2032"/>
    <w:rsid w:val="004A4997"/>
    <w:rsid w:val="004A6E6A"/>
    <w:rsid w:val="004A7005"/>
    <w:rsid w:val="004A7438"/>
    <w:rsid w:val="004A7BC6"/>
    <w:rsid w:val="004B1BE6"/>
    <w:rsid w:val="004B3789"/>
    <w:rsid w:val="004B3A84"/>
    <w:rsid w:val="004B3AA0"/>
    <w:rsid w:val="004B3CB7"/>
    <w:rsid w:val="004B47CF"/>
    <w:rsid w:val="004B5DB5"/>
    <w:rsid w:val="004B5E1C"/>
    <w:rsid w:val="004B78C1"/>
    <w:rsid w:val="004C1A42"/>
    <w:rsid w:val="004C1BD7"/>
    <w:rsid w:val="004C2A09"/>
    <w:rsid w:val="004C3723"/>
    <w:rsid w:val="004D0A21"/>
    <w:rsid w:val="004D1238"/>
    <w:rsid w:val="004D1699"/>
    <w:rsid w:val="004D1FB1"/>
    <w:rsid w:val="004D3CF6"/>
    <w:rsid w:val="004D6BB4"/>
    <w:rsid w:val="004D7FB1"/>
    <w:rsid w:val="004E0979"/>
    <w:rsid w:val="004E1880"/>
    <w:rsid w:val="004E274F"/>
    <w:rsid w:val="004E2CA7"/>
    <w:rsid w:val="004E51B0"/>
    <w:rsid w:val="004E5493"/>
    <w:rsid w:val="004E7E01"/>
    <w:rsid w:val="004F0E63"/>
    <w:rsid w:val="004F11CD"/>
    <w:rsid w:val="004F1A2E"/>
    <w:rsid w:val="004F2DC0"/>
    <w:rsid w:val="004F4953"/>
    <w:rsid w:val="004F63F4"/>
    <w:rsid w:val="00501E07"/>
    <w:rsid w:val="005029F3"/>
    <w:rsid w:val="005040FA"/>
    <w:rsid w:val="0050723A"/>
    <w:rsid w:val="0050778D"/>
    <w:rsid w:val="005100D3"/>
    <w:rsid w:val="00511340"/>
    <w:rsid w:val="0051324E"/>
    <w:rsid w:val="005143D7"/>
    <w:rsid w:val="005145D5"/>
    <w:rsid w:val="00515C80"/>
    <w:rsid w:val="00516E4B"/>
    <w:rsid w:val="00517DD5"/>
    <w:rsid w:val="005202DC"/>
    <w:rsid w:val="0052077D"/>
    <w:rsid w:val="00523F8F"/>
    <w:rsid w:val="005249D8"/>
    <w:rsid w:val="00525710"/>
    <w:rsid w:val="005306F4"/>
    <w:rsid w:val="005313E2"/>
    <w:rsid w:val="00532F8A"/>
    <w:rsid w:val="005341B1"/>
    <w:rsid w:val="00534CDD"/>
    <w:rsid w:val="00537F51"/>
    <w:rsid w:val="00540067"/>
    <w:rsid w:val="00543634"/>
    <w:rsid w:val="00544AEC"/>
    <w:rsid w:val="00544B2F"/>
    <w:rsid w:val="00546907"/>
    <w:rsid w:val="00552671"/>
    <w:rsid w:val="00553299"/>
    <w:rsid w:val="0055351D"/>
    <w:rsid w:val="00554210"/>
    <w:rsid w:val="005552BB"/>
    <w:rsid w:val="005557CC"/>
    <w:rsid w:val="00556232"/>
    <w:rsid w:val="00560101"/>
    <w:rsid w:val="0056214F"/>
    <w:rsid w:val="00562155"/>
    <w:rsid w:val="00562434"/>
    <w:rsid w:val="00565A33"/>
    <w:rsid w:val="00567EAE"/>
    <w:rsid w:val="005727F4"/>
    <w:rsid w:val="00574A4B"/>
    <w:rsid w:val="0057535D"/>
    <w:rsid w:val="005759BD"/>
    <w:rsid w:val="00580241"/>
    <w:rsid w:val="00580545"/>
    <w:rsid w:val="005820EB"/>
    <w:rsid w:val="005824AF"/>
    <w:rsid w:val="00582567"/>
    <w:rsid w:val="00583B86"/>
    <w:rsid w:val="00584152"/>
    <w:rsid w:val="00584728"/>
    <w:rsid w:val="005857D9"/>
    <w:rsid w:val="0058741C"/>
    <w:rsid w:val="005875FD"/>
    <w:rsid w:val="00591019"/>
    <w:rsid w:val="00591B2B"/>
    <w:rsid w:val="00593199"/>
    <w:rsid w:val="00593F76"/>
    <w:rsid w:val="005953F8"/>
    <w:rsid w:val="00595B8A"/>
    <w:rsid w:val="00595CA0"/>
    <w:rsid w:val="005A0E84"/>
    <w:rsid w:val="005A20D1"/>
    <w:rsid w:val="005A23F2"/>
    <w:rsid w:val="005A3348"/>
    <w:rsid w:val="005A35C5"/>
    <w:rsid w:val="005A38D2"/>
    <w:rsid w:val="005A3AE5"/>
    <w:rsid w:val="005B1483"/>
    <w:rsid w:val="005B350B"/>
    <w:rsid w:val="005B437E"/>
    <w:rsid w:val="005B66E4"/>
    <w:rsid w:val="005B7015"/>
    <w:rsid w:val="005B71F4"/>
    <w:rsid w:val="005B76DA"/>
    <w:rsid w:val="005C0F73"/>
    <w:rsid w:val="005C11AF"/>
    <w:rsid w:val="005C1BB7"/>
    <w:rsid w:val="005C2C45"/>
    <w:rsid w:val="005C3079"/>
    <w:rsid w:val="005C3C73"/>
    <w:rsid w:val="005C4A1E"/>
    <w:rsid w:val="005C57D7"/>
    <w:rsid w:val="005C58DA"/>
    <w:rsid w:val="005C5B16"/>
    <w:rsid w:val="005D17E8"/>
    <w:rsid w:val="005D2FB5"/>
    <w:rsid w:val="005D3DDB"/>
    <w:rsid w:val="005D4C93"/>
    <w:rsid w:val="005D5EA4"/>
    <w:rsid w:val="005D7BB4"/>
    <w:rsid w:val="005E1971"/>
    <w:rsid w:val="005E309B"/>
    <w:rsid w:val="005E37B3"/>
    <w:rsid w:val="005E4590"/>
    <w:rsid w:val="005E51F6"/>
    <w:rsid w:val="005E58F0"/>
    <w:rsid w:val="005E5C7E"/>
    <w:rsid w:val="005F02A9"/>
    <w:rsid w:val="005F0389"/>
    <w:rsid w:val="005F17BF"/>
    <w:rsid w:val="005F2928"/>
    <w:rsid w:val="005F3320"/>
    <w:rsid w:val="005F33BA"/>
    <w:rsid w:val="005F37E5"/>
    <w:rsid w:val="005F3B2D"/>
    <w:rsid w:val="005F4D40"/>
    <w:rsid w:val="005F590B"/>
    <w:rsid w:val="006001A7"/>
    <w:rsid w:val="00602554"/>
    <w:rsid w:val="00603667"/>
    <w:rsid w:val="00603D63"/>
    <w:rsid w:val="00606777"/>
    <w:rsid w:val="00606FA7"/>
    <w:rsid w:val="00607819"/>
    <w:rsid w:val="00611183"/>
    <w:rsid w:val="006144F8"/>
    <w:rsid w:val="00614889"/>
    <w:rsid w:val="00616AF3"/>
    <w:rsid w:val="0062521A"/>
    <w:rsid w:val="00626FE4"/>
    <w:rsid w:val="0062758E"/>
    <w:rsid w:val="0063150A"/>
    <w:rsid w:val="00632F45"/>
    <w:rsid w:val="00635ECD"/>
    <w:rsid w:val="00636935"/>
    <w:rsid w:val="00640310"/>
    <w:rsid w:val="006409A2"/>
    <w:rsid w:val="00641FD7"/>
    <w:rsid w:val="006446B6"/>
    <w:rsid w:val="00644D77"/>
    <w:rsid w:val="00645F1C"/>
    <w:rsid w:val="00645F25"/>
    <w:rsid w:val="006462DD"/>
    <w:rsid w:val="00646D0E"/>
    <w:rsid w:val="00653953"/>
    <w:rsid w:val="006550E6"/>
    <w:rsid w:val="00655794"/>
    <w:rsid w:val="00655B7C"/>
    <w:rsid w:val="00655BC8"/>
    <w:rsid w:val="00656082"/>
    <w:rsid w:val="00657792"/>
    <w:rsid w:val="00660250"/>
    <w:rsid w:val="00660CD7"/>
    <w:rsid w:val="0066419D"/>
    <w:rsid w:val="0066589E"/>
    <w:rsid w:val="00666591"/>
    <w:rsid w:val="00667EC8"/>
    <w:rsid w:val="00673405"/>
    <w:rsid w:val="00673DD3"/>
    <w:rsid w:val="006746F2"/>
    <w:rsid w:val="00674807"/>
    <w:rsid w:val="006767A5"/>
    <w:rsid w:val="006771C8"/>
    <w:rsid w:val="006801C9"/>
    <w:rsid w:val="006809D4"/>
    <w:rsid w:val="0068190D"/>
    <w:rsid w:val="00682B33"/>
    <w:rsid w:val="00683AA1"/>
    <w:rsid w:val="00684E86"/>
    <w:rsid w:val="00685AAE"/>
    <w:rsid w:val="006900ED"/>
    <w:rsid w:val="0069035F"/>
    <w:rsid w:val="00694AE4"/>
    <w:rsid w:val="00694E1F"/>
    <w:rsid w:val="00696483"/>
    <w:rsid w:val="006969F7"/>
    <w:rsid w:val="00696F40"/>
    <w:rsid w:val="00697CAE"/>
    <w:rsid w:val="006A2085"/>
    <w:rsid w:val="006A4232"/>
    <w:rsid w:val="006A43A5"/>
    <w:rsid w:val="006A5214"/>
    <w:rsid w:val="006A67AD"/>
    <w:rsid w:val="006A6E24"/>
    <w:rsid w:val="006A76EC"/>
    <w:rsid w:val="006A7830"/>
    <w:rsid w:val="006A7B8D"/>
    <w:rsid w:val="006B0A0E"/>
    <w:rsid w:val="006B150A"/>
    <w:rsid w:val="006B4688"/>
    <w:rsid w:val="006B723D"/>
    <w:rsid w:val="006B76D7"/>
    <w:rsid w:val="006C0AD2"/>
    <w:rsid w:val="006C12B7"/>
    <w:rsid w:val="006C333E"/>
    <w:rsid w:val="006C3727"/>
    <w:rsid w:val="006C71C1"/>
    <w:rsid w:val="006D0316"/>
    <w:rsid w:val="006D3AAF"/>
    <w:rsid w:val="006D4924"/>
    <w:rsid w:val="006E0793"/>
    <w:rsid w:val="006E1F1D"/>
    <w:rsid w:val="006E2231"/>
    <w:rsid w:val="006E2880"/>
    <w:rsid w:val="006E2EF3"/>
    <w:rsid w:val="006E3607"/>
    <w:rsid w:val="006E526B"/>
    <w:rsid w:val="006E7631"/>
    <w:rsid w:val="006F210B"/>
    <w:rsid w:val="006F244B"/>
    <w:rsid w:val="006F2C0F"/>
    <w:rsid w:val="006F2D65"/>
    <w:rsid w:val="006F2F70"/>
    <w:rsid w:val="006F45B5"/>
    <w:rsid w:val="006F4C87"/>
    <w:rsid w:val="007004A0"/>
    <w:rsid w:val="00701C37"/>
    <w:rsid w:val="0070263C"/>
    <w:rsid w:val="007039DD"/>
    <w:rsid w:val="007058EC"/>
    <w:rsid w:val="007107E0"/>
    <w:rsid w:val="007109FE"/>
    <w:rsid w:val="007116BE"/>
    <w:rsid w:val="00711FAC"/>
    <w:rsid w:val="00712972"/>
    <w:rsid w:val="00713547"/>
    <w:rsid w:val="00713FB0"/>
    <w:rsid w:val="00714404"/>
    <w:rsid w:val="007208C3"/>
    <w:rsid w:val="00721713"/>
    <w:rsid w:val="00721E3C"/>
    <w:rsid w:val="007236BC"/>
    <w:rsid w:val="00723DF5"/>
    <w:rsid w:val="00725058"/>
    <w:rsid w:val="00725E2A"/>
    <w:rsid w:val="0072606C"/>
    <w:rsid w:val="007265DC"/>
    <w:rsid w:val="00727BA8"/>
    <w:rsid w:val="00730478"/>
    <w:rsid w:val="00731EC9"/>
    <w:rsid w:val="007323A2"/>
    <w:rsid w:val="0073339F"/>
    <w:rsid w:val="0073357C"/>
    <w:rsid w:val="007347FE"/>
    <w:rsid w:val="00736B05"/>
    <w:rsid w:val="00737887"/>
    <w:rsid w:val="007378E9"/>
    <w:rsid w:val="00740A6F"/>
    <w:rsid w:val="00741402"/>
    <w:rsid w:val="00741A21"/>
    <w:rsid w:val="00742515"/>
    <w:rsid w:val="0074400E"/>
    <w:rsid w:val="00745AAE"/>
    <w:rsid w:val="00745BC9"/>
    <w:rsid w:val="00746D9A"/>
    <w:rsid w:val="00756C5D"/>
    <w:rsid w:val="00760156"/>
    <w:rsid w:val="00760F94"/>
    <w:rsid w:val="007612E8"/>
    <w:rsid w:val="00761F83"/>
    <w:rsid w:val="007628B1"/>
    <w:rsid w:val="007631F1"/>
    <w:rsid w:val="00765F88"/>
    <w:rsid w:val="00766C50"/>
    <w:rsid w:val="00766EA9"/>
    <w:rsid w:val="007674C2"/>
    <w:rsid w:val="00771388"/>
    <w:rsid w:val="00771963"/>
    <w:rsid w:val="00772A9C"/>
    <w:rsid w:val="00775191"/>
    <w:rsid w:val="00776752"/>
    <w:rsid w:val="00776BA0"/>
    <w:rsid w:val="00776EAE"/>
    <w:rsid w:val="007774C9"/>
    <w:rsid w:val="00780641"/>
    <w:rsid w:val="00782DAE"/>
    <w:rsid w:val="0078414F"/>
    <w:rsid w:val="0078432A"/>
    <w:rsid w:val="00786C44"/>
    <w:rsid w:val="00786D34"/>
    <w:rsid w:val="00787C3D"/>
    <w:rsid w:val="007907D7"/>
    <w:rsid w:val="00790ACC"/>
    <w:rsid w:val="00791E04"/>
    <w:rsid w:val="00793E74"/>
    <w:rsid w:val="00794CC6"/>
    <w:rsid w:val="0079503F"/>
    <w:rsid w:val="00796418"/>
    <w:rsid w:val="007A1558"/>
    <w:rsid w:val="007A1F7B"/>
    <w:rsid w:val="007A2DBE"/>
    <w:rsid w:val="007A437A"/>
    <w:rsid w:val="007A5AB7"/>
    <w:rsid w:val="007A7763"/>
    <w:rsid w:val="007B03AA"/>
    <w:rsid w:val="007B04FB"/>
    <w:rsid w:val="007B1B48"/>
    <w:rsid w:val="007B39E3"/>
    <w:rsid w:val="007B42FF"/>
    <w:rsid w:val="007B475E"/>
    <w:rsid w:val="007B4D70"/>
    <w:rsid w:val="007B52D0"/>
    <w:rsid w:val="007B5439"/>
    <w:rsid w:val="007B65B9"/>
    <w:rsid w:val="007B68CF"/>
    <w:rsid w:val="007B6FB9"/>
    <w:rsid w:val="007C0183"/>
    <w:rsid w:val="007C05E8"/>
    <w:rsid w:val="007C0BAE"/>
    <w:rsid w:val="007C2B13"/>
    <w:rsid w:val="007C370A"/>
    <w:rsid w:val="007C3917"/>
    <w:rsid w:val="007C4247"/>
    <w:rsid w:val="007C58C0"/>
    <w:rsid w:val="007C58F0"/>
    <w:rsid w:val="007C61AD"/>
    <w:rsid w:val="007C74F8"/>
    <w:rsid w:val="007D0B6D"/>
    <w:rsid w:val="007D0F09"/>
    <w:rsid w:val="007D17E4"/>
    <w:rsid w:val="007D1E23"/>
    <w:rsid w:val="007D2233"/>
    <w:rsid w:val="007D2390"/>
    <w:rsid w:val="007D306A"/>
    <w:rsid w:val="007D468A"/>
    <w:rsid w:val="007D694F"/>
    <w:rsid w:val="007D6E38"/>
    <w:rsid w:val="007E13A5"/>
    <w:rsid w:val="007E1EE9"/>
    <w:rsid w:val="007E38E4"/>
    <w:rsid w:val="007E3FF1"/>
    <w:rsid w:val="007E44F6"/>
    <w:rsid w:val="007E48A0"/>
    <w:rsid w:val="007E5505"/>
    <w:rsid w:val="007E6186"/>
    <w:rsid w:val="007E7558"/>
    <w:rsid w:val="007E7B17"/>
    <w:rsid w:val="007F077E"/>
    <w:rsid w:val="007F313D"/>
    <w:rsid w:val="007F4FFD"/>
    <w:rsid w:val="007F79B5"/>
    <w:rsid w:val="008005A8"/>
    <w:rsid w:val="0080115C"/>
    <w:rsid w:val="00801A9A"/>
    <w:rsid w:val="00801B58"/>
    <w:rsid w:val="00801DB9"/>
    <w:rsid w:val="008023ED"/>
    <w:rsid w:val="00802673"/>
    <w:rsid w:val="008040CE"/>
    <w:rsid w:val="00804482"/>
    <w:rsid w:val="00805A8E"/>
    <w:rsid w:val="00806815"/>
    <w:rsid w:val="00810D79"/>
    <w:rsid w:val="00811586"/>
    <w:rsid w:val="00812A08"/>
    <w:rsid w:val="00812CA9"/>
    <w:rsid w:val="008139AF"/>
    <w:rsid w:val="008163AF"/>
    <w:rsid w:val="00817EB1"/>
    <w:rsid w:val="00820705"/>
    <w:rsid w:val="0082284E"/>
    <w:rsid w:val="008235A5"/>
    <w:rsid w:val="00823AA0"/>
    <w:rsid w:val="008244B2"/>
    <w:rsid w:val="008248B0"/>
    <w:rsid w:val="00825379"/>
    <w:rsid w:val="00826CEE"/>
    <w:rsid w:val="008307A2"/>
    <w:rsid w:val="00831942"/>
    <w:rsid w:val="008325F0"/>
    <w:rsid w:val="00833639"/>
    <w:rsid w:val="0083381D"/>
    <w:rsid w:val="008340CD"/>
    <w:rsid w:val="00836940"/>
    <w:rsid w:val="00840775"/>
    <w:rsid w:val="00840DAD"/>
    <w:rsid w:val="00842612"/>
    <w:rsid w:val="00842E52"/>
    <w:rsid w:val="0084490A"/>
    <w:rsid w:val="00844A60"/>
    <w:rsid w:val="00845002"/>
    <w:rsid w:val="0084517B"/>
    <w:rsid w:val="008471EE"/>
    <w:rsid w:val="00847334"/>
    <w:rsid w:val="00847401"/>
    <w:rsid w:val="008475BB"/>
    <w:rsid w:val="00851049"/>
    <w:rsid w:val="0085327B"/>
    <w:rsid w:val="00853AF5"/>
    <w:rsid w:val="0085703B"/>
    <w:rsid w:val="00857142"/>
    <w:rsid w:val="008605E1"/>
    <w:rsid w:val="0086337F"/>
    <w:rsid w:val="00863CDF"/>
    <w:rsid w:val="00864055"/>
    <w:rsid w:val="00864944"/>
    <w:rsid w:val="008659A7"/>
    <w:rsid w:val="008669DD"/>
    <w:rsid w:val="008673C7"/>
    <w:rsid w:val="008677F3"/>
    <w:rsid w:val="008700A9"/>
    <w:rsid w:val="00870564"/>
    <w:rsid w:val="008709B4"/>
    <w:rsid w:val="00870E29"/>
    <w:rsid w:val="008729FA"/>
    <w:rsid w:val="008730CA"/>
    <w:rsid w:val="008745B2"/>
    <w:rsid w:val="00874DD6"/>
    <w:rsid w:val="00876240"/>
    <w:rsid w:val="00877949"/>
    <w:rsid w:val="00880633"/>
    <w:rsid w:val="00880C10"/>
    <w:rsid w:val="0088383E"/>
    <w:rsid w:val="0088478C"/>
    <w:rsid w:val="00885F59"/>
    <w:rsid w:val="00887DD4"/>
    <w:rsid w:val="008909BB"/>
    <w:rsid w:val="00891D48"/>
    <w:rsid w:val="008931BA"/>
    <w:rsid w:val="0089359C"/>
    <w:rsid w:val="00894A3F"/>
    <w:rsid w:val="00896861"/>
    <w:rsid w:val="00896A0E"/>
    <w:rsid w:val="008A1075"/>
    <w:rsid w:val="008A18AB"/>
    <w:rsid w:val="008A1ABD"/>
    <w:rsid w:val="008A1E46"/>
    <w:rsid w:val="008A2138"/>
    <w:rsid w:val="008A3DE9"/>
    <w:rsid w:val="008A55CC"/>
    <w:rsid w:val="008A6D03"/>
    <w:rsid w:val="008B0112"/>
    <w:rsid w:val="008B0B5B"/>
    <w:rsid w:val="008B2901"/>
    <w:rsid w:val="008B322C"/>
    <w:rsid w:val="008B38CC"/>
    <w:rsid w:val="008B3C78"/>
    <w:rsid w:val="008B3D45"/>
    <w:rsid w:val="008B52F9"/>
    <w:rsid w:val="008B6783"/>
    <w:rsid w:val="008B7122"/>
    <w:rsid w:val="008B7E0E"/>
    <w:rsid w:val="008C0573"/>
    <w:rsid w:val="008C3501"/>
    <w:rsid w:val="008C39F0"/>
    <w:rsid w:val="008C41AA"/>
    <w:rsid w:val="008C4348"/>
    <w:rsid w:val="008D007E"/>
    <w:rsid w:val="008D01A2"/>
    <w:rsid w:val="008D096B"/>
    <w:rsid w:val="008D0B2E"/>
    <w:rsid w:val="008D1A70"/>
    <w:rsid w:val="008D258E"/>
    <w:rsid w:val="008D457C"/>
    <w:rsid w:val="008D5A47"/>
    <w:rsid w:val="008D6A40"/>
    <w:rsid w:val="008D7275"/>
    <w:rsid w:val="008E0863"/>
    <w:rsid w:val="008E0908"/>
    <w:rsid w:val="008E1F32"/>
    <w:rsid w:val="008E26F8"/>
    <w:rsid w:val="008E39F0"/>
    <w:rsid w:val="008E3B62"/>
    <w:rsid w:val="008E4C94"/>
    <w:rsid w:val="008E6027"/>
    <w:rsid w:val="008E671D"/>
    <w:rsid w:val="008E75F6"/>
    <w:rsid w:val="008E7E3C"/>
    <w:rsid w:val="008F132A"/>
    <w:rsid w:val="008F2520"/>
    <w:rsid w:val="008F362A"/>
    <w:rsid w:val="008F766A"/>
    <w:rsid w:val="00900E73"/>
    <w:rsid w:val="0090394B"/>
    <w:rsid w:val="00904909"/>
    <w:rsid w:val="0090490A"/>
    <w:rsid w:val="0090672E"/>
    <w:rsid w:val="009068FB"/>
    <w:rsid w:val="00907A21"/>
    <w:rsid w:val="00910071"/>
    <w:rsid w:val="00911431"/>
    <w:rsid w:val="00911983"/>
    <w:rsid w:val="00912011"/>
    <w:rsid w:val="00913F40"/>
    <w:rsid w:val="00914B72"/>
    <w:rsid w:val="00915126"/>
    <w:rsid w:val="00915CA6"/>
    <w:rsid w:val="00915EDF"/>
    <w:rsid w:val="009160B2"/>
    <w:rsid w:val="00916495"/>
    <w:rsid w:val="009225C2"/>
    <w:rsid w:val="00924598"/>
    <w:rsid w:val="00924E76"/>
    <w:rsid w:val="009251DD"/>
    <w:rsid w:val="00925FF5"/>
    <w:rsid w:val="00930A29"/>
    <w:rsid w:val="009327A0"/>
    <w:rsid w:val="00933220"/>
    <w:rsid w:val="00935AAD"/>
    <w:rsid w:val="00936049"/>
    <w:rsid w:val="0093640F"/>
    <w:rsid w:val="00937021"/>
    <w:rsid w:val="0094250E"/>
    <w:rsid w:val="00945CC2"/>
    <w:rsid w:val="00951B84"/>
    <w:rsid w:val="00954F5E"/>
    <w:rsid w:val="00955346"/>
    <w:rsid w:val="009562E3"/>
    <w:rsid w:val="00957F3E"/>
    <w:rsid w:val="00961452"/>
    <w:rsid w:val="009616F6"/>
    <w:rsid w:val="00961C81"/>
    <w:rsid w:val="00961CD7"/>
    <w:rsid w:val="00963734"/>
    <w:rsid w:val="00963A3B"/>
    <w:rsid w:val="00963FE8"/>
    <w:rsid w:val="00967855"/>
    <w:rsid w:val="00967F26"/>
    <w:rsid w:val="00970A4D"/>
    <w:rsid w:val="009710E4"/>
    <w:rsid w:val="0097125A"/>
    <w:rsid w:val="00971F70"/>
    <w:rsid w:val="00973471"/>
    <w:rsid w:val="00974A11"/>
    <w:rsid w:val="0097560A"/>
    <w:rsid w:val="00975F5A"/>
    <w:rsid w:val="00980257"/>
    <w:rsid w:val="00981916"/>
    <w:rsid w:val="009821A6"/>
    <w:rsid w:val="009822FF"/>
    <w:rsid w:val="00982D9C"/>
    <w:rsid w:val="0098321E"/>
    <w:rsid w:val="00984C3E"/>
    <w:rsid w:val="00984D2D"/>
    <w:rsid w:val="009876B6"/>
    <w:rsid w:val="00987901"/>
    <w:rsid w:val="009942C4"/>
    <w:rsid w:val="00997082"/>
    <w:rsid w:val="00997326"/>
    <w:rsid w:val="009A0989"/>
    <w:rsid w:val="009A0B48"/>
    <w:rsid w:val="009A2FC6"/>
    <w:rsid w:val="009A46F9"/>
    <w:rsid w:val="009A73F8"/>
    <w:rsid w:val="009B01F6"/>
    <w:rsid w:val="009B4AD2"/>
    <w:rsid w:val="009B5183"/>
    <w:rsid w:val="009B5E7C"/>
    <w:rsid w:val="009B638B"/>
    <w:rsid w:val="009C0CE2"/>
    <w:rsid w:val="009C1CF6"/>
    <w:rsid w:val="009C2741"/>
    <w:rsid w:val="009C2818"/>
    <w:rsid w:val="009C3DC3"/>
    <w:rsid w:val="009C5AB4"/>
    <w:rsid w:val="009C613C"/>
    <w:rsid w:val="009C65C4"/>
    <w:rsid w:val="009C664A"/>
    <w:rsid w:val="009D0685"/>
    <w:rsid w:val="009D2209"/>
    <w:rsid w:val="009D528C"/>
    <w:rsid w:val="009D5D59"/>
    <w:rsid w:val="009D6846"/>
    <w:rsid w:val="009D71A7"/>
    <w:rsid w:val="009E632A"/>
    <w:rsid w:val="009E7709"/>
    <w:rsid w:val="009F2A23"/>
    <w:rsid w:val="009F58CE"/>
    <w:rsid w:val="009F5B7A"/>
    <w:rsid w:val="009F7429"/>
    <w:rsid w:val="00A06177"/>
    <w:rsid w:val="00A066C0"/>
    <w:rsid w:val="00A11AC2"/>
    <w:rsid w:val="00A120A5"/>
    <w:rsid w:val="00A1214D"/>
    <w:rsid w:val="00A1222B"/>
    <w:rsid w:val="00A13844"/>
    <w:rsid w:val="00A149E9"/>
    <w:rsid w:val="00A153B8"/>
    <w:rsid w:val="00A1738F"/>
    <w:rsid w:val="00A178CC"/>
    <w:rsid w:val="00A2010D"/>
    <w:rsid w:val="00A2043E"/>
    <w:rsid w:val="00A21831"/>
    <w:rsid w:val="00A218FF"/>
    <w:rsid w:val="00A21BEA"/>
    <w:rsid w:val="00A22D13"/>
    <w:rsid w:val="00A24EBD"/>
    <w:rsid w:val="00A25962"/>
    <w:rsid w:val="00A25DDD"/>
    <w:rsid w:val="00A26277"/>
    <w:rsid w:val="00A26ED5"/>
    <w:rsid w:val="00A2723E"/>
    <w:rsid w:val="00A27649"/>
    <w:rsid w:val="00A303EB"/>
    <w:rsid w:val="00A334B4"/>
    <w:rsid w:val="00A34D3F"/>
    <w:rsid w:val="00A363FB"/>
    <w:rsid w:val="00A4016A"/>
    <w:rsid w:val="00A47CE4"/>
    <w:rsid w:val="00A47EDD"/>
    <w:rsid w:val="00A50C03"/>
    <w:rsid w:val="00A5268E"/>
    <w:rsid w:val="00A526DD"/>
    <w:rsid w:val="00A52F89"/>
    <w:rsid w:val="00A534B4"/>
    <w:rsid w:val="00A54E81"/>
    <w:rsid w:val="00A5520E"/>
    <w:rsid w:val="00A556E6"/>
    <w:rsid w:val="00A562BE"/>
    <w:rsid w:val="00A60D1B"/>
    <w:rsid w:val="00A6405B"/>
    <w:rsid w:val="00A65902"/>
    <w:rsid w:val="00A669C1"/>
    <w:rsid w:val="00A679BA"/>
    <w:rsid w:val="00A67A66"/>
    <w:rsid w:val="00A7001D"/>
    <w:rsid w:val="00A753AD"/>
    <w:rsid w:val="00A76B9F"/>
    <w:rsid w:val="00A77080"/>
    <w:rsid w:val="00A851F5"/>
    <w:rsid w:val="00A86765"/>
    <w:rsid w:val="00A86E4F"/>
    <w:rsid w:val="00A94A4E"/>
    <w:rsid w:val="00A9524E"/>
    <w:rsid w:val="00A97112"/>
    <w:rsid w:val="00A971A5"/>
    <w:rsid w:val="00A97E11"/>
    <w:rsid w:val="00AA38B2"/>
    <w:rsid w:val="00AA3D74"/>
    <w:rsid w:val="00AA3EE2"/>
    <w:rsid w:val="00AA516B"/>
    <w:rsid w:val="00AA624E"/>
    <w:rsid w:val="00AB0E39"/>
    <w:rsid w:val="00AB3BE8"/>
    <w:rsid w:val="00AB451A"/>
    <w:rsid w:val="00AB4987"/>
    <w:rsid w:val="00AB6121"/>
    <w:rsid w:val="00AC0180"/>
    <w:rsid w:val="00AC1636"/>
    <w:rsid w:val="00AC2B3B"/>
    <w:rsid w:val="00AC2C07"/>
    <w:rsid w:val="00AC346F"/>
    <w:rsid w:val="00AC36AB"/>
    <w:rsid w:val="00AC4A22"/>
    <w:rsid w:val="00AC660E"/>
    <w:rsid w:val="00AC714A"/>
    <w:rsid w:val="00AD0474"/>
    <w:rsid w:val="00AD0968"/>
    <w:rsid w:val="00AD0B28"/>
    <w:rsid w:val="00AD0D13"/>
    <w:rsid w:val="00AD1A7A"/>
    <w:rsid w:val="00AD2C0A"/>
    <w:rsid w:val="00AD34E9"/>
    <w:rsid w:val="00AD4141"/>
    <w:rsid w:val="00AD4DB2"/>
    <w:rsid w:val="00AD69E4"/>
    <w:rsid w:val="00AD764A"/>
    <w:rsid w:val="00AE0D34"/>
    <w:rsid w:val="00AE15FD"/>
    <w:rsid w:val="00AE1795"/>
    <w:rsid w:val="00AE321F"/>
    <w:rsid w:val="00AE5F8E"/>
    <w:rsid w:val="00AE7E16"/>
    <w:rsid w:val="00AF1449"/>
    <w:rsid w:val="00AF1A72"/>
    <w:rsid w:val="00AF200F"/>
    <w:rsid w:val="00AF47BE"/>
    <w:rsid w:val="00AF483A"/>
    <w:rsid w:val="00AF4DBC"/>
    <w:rsid w:val="00AF6196"/>
    <w:rsid w:val="00AF793B"/>
    <w:rsid w:val="00B0129F"/>
    <w:rsid w:val="00B02796"/>
    <w:rsid w:val="00B036B5"/>
    <w:rsid w:val="00B03944"/>
    <w:rsid w:val="00B10056"/>
    <w:rsid w:val="00B115EF"/>
    <w:rsid w:val="00B12A74"/>
    <w:rsid w:val="00B12FED"/>
    <w:rsid w:val="00B14A00"/>
    <w:rsid w:val="00B14EDE"/>
    <w:rsid w:val="00B150BE"/>
    <w:rsid w:val="00B15DFC"/>
    <w:rsid w:val="00B16238"/>
    <w:rsid w:val="00B16E83"/>
    <w:rsid w:val="00B21F4C"/>
    <w:rsid w:val="00B220BC"/>
    <w:rsid w:val="00B24091"/>
    <w:rsid w:val="00B2492A"/>
    <w:rsid w:val="00B26BBB"/>
    <w:rsid w:val="00B27818"/>
    <w:rsid w:val="00B30B4E"/>
    <w:rsid w:val="00B30B92"/>
    <w:rsid w:val="00B3103B"/>
    <w:rsid w:val="00B34F22"/>
    <w:rsid w:val="00B34F94"/>
    <w:rsid w:val="00B366A6"/>
    <w:rsid w:val="00B36E02"/>
    <w:rsid w:val="00B37520"/>
    <w:rsid w:val="00B43DAF"/>
    <w:rsid w:val="00B450F4"/>
    <w:rsid w:val="00B46283"/>
    <w:rsid w:val="00B4673C"/>
    <w:rsid w:val="00B51279"/>
    <w:rsid w:val="00B51B46"/>
    <w:rsid w:val="00B52215"/>
    <w:rsid w:val="00B55015"/>
    <w:rsid w:val="00B55D87"/>
    <w:rsid w:val="00B56EC0"/>
    <w:rsid w:val="00B579CD"/>
    <w:rsid w:val="00B610EE"/>
    <w:rsid w:val="00B61C4F"/>
    <w:rsid w:val="00B63E1A"/>
    <w:rsid w:val="00B64D2C"/>
    <w:rsid w:val="00B65521"/>
    <w:rsid w:val="00B65DA8"/>
    <w:rsid w:val="00B65EDC"/>
    <w:rsid w:val="00B70541"/>
    <w:rsid w:val="00B70E55"/>
    <w:rsid w:val="00B71EF0"/>
    <w:rsid w:val="00B72EB0"/>
    <w:rsid w:val="00B73B70"/>
    <w:rsid w:val="00B747AE"/>
    <w:rsid w:val="00B767F8"/>
    <w:rsid w:val="00B801CA"/>
    <w:rsid w:val="00B80808"/>
    <w:rsid w:val="00B8209A"/>
    <w:rsid w:val="00B820C7"/>
    <w:rsid w:val="00B837DC"/>
    <w:rsid w:val="00B84156"/>
    <w:rsid w:val="00B84B17"/>
    <w:rsid w:val="00B8536E"/>
    <w:rsid w:val="00B863F9"/>
    <w:rsid w:val="00B9151F"/>
    <w:rsid w:val="00B91DDD"/>
    <w:rsid w:val="00B9212C"/>
    <w:rsid w:val="00B92B62"/>
    <w:rsid w:val="00B93A47"/>
    <w:rsid w:val="00B965A1"/>
    <w:rsid w:val="00B976AD"/>
    <w:rsid w:val="00BA0378"/>
    <w:rsid w:val="00BA3870"/>
    <w:rsid w:val="00BA72EB"/>
    <w:rsid w:val="00BB257B"/>
    <w:rsid w:val="00BB56E8"/>
    <w:rsid w:val="00BB59C3"/>
    <w:rsid w:val="00BC15C6"/>
    <w:rsid w:val="00BC1E7F"/>
    <w:rsid w:val="00BC21BE"/>
    <w:rsid w:val="00BC2C0C"/>
    <w:rsid w:val="00BC5ABE"/>
    <w:rsid w:val="00BD13A7"/>
    <w:rsid w:val="00BD2614"/>
    <w:rsid w:val="00BD4E2B"/>
    <w:rsid w:val="00BD5D05"/>
    <w:rsid w:val="00BD6AC3"/>
    <w:rsid w:val="00BD747E"/>
    <w:rsid w:val="00BE08AB"/>
    <w:rsid w:val="00BE0D61"/>
    <w:rsid w:val="00BE224E"/>
    <w:rsid w:val="00BE47A7"/>
    <w:rsid w:val="00BE4849"/>
    <w:rsid w:val="00BE4ECA"/>
    <w:rsid w:val="00BE55C7"/>
    <w:rsid w:val="00BE5706"/>
    <w:rsid w:val="00BF13DA"/>
    <w:rsid w:val="00BF189B"/>
    <w:rsid w:val="00BF2D86"/>
    <w:rsid w:val="00BF2E17"/>
    <w:rsid w:val="00BF34D2"/>
    <w:rsid w:val="00BF5BB9"/>
    <w:rsid w:val="00BF6E4F"/>
    <w:rsid w:val="00BF7A06"/>
    <w:rsid w:val="00C0262C"/>
    <w:rsid w:val="00C0318A"/>
    <w:rsid w:val="00C032C4"/>
    <w:rsid w:val="00C03707"/>
    <w:rsid w:val="00C03770"/>
    <w:rsid w:val="00C04146"/>
    <w:rsid w:val="00C04438"/>
    <w:rsid w:val="00C0598F"/>
    <w:rsid w:val="00C118BD"/>
    <w:rsid w:val="00C11A40"/>
    <w:rsid w:val="00C13B5E"/>
    <w:rsid w:val="00C16717"/>
    <w:rsid w:val="00C17441"/>
    <w:rsid w:val="00C17E92"/>
    <w:rsid w:val="00C208A9"/>
    <w:rsid w:val="00C21C5A"/>
    <w:rsid w:val="00C22405"/>
    <w:rsid w:val="00C228E0"/>
    <w:rsid w:val="00C2330C"/>
    <w:rsid w:val="00C2567C"/>
    <w:rsid w:val="00C25778"/>
    <w:rsid w:val="00C25E89"/>
    <w:rsid w:val="00C27026"/>
    <w:rsid w:val="00C27758"/>
    <w:rsid w:val="00C31D78"/>
    <w:rsid w:val="00C328C4"/>
    <w:rsid w:val="00C35D42"/>
    <w:rsid w:val="00C36AC5"/>
    <w:rsid w:val="00C373FD"/>
    <w:rsid w:val="00C40BDE"/>
    <w:rsid w:val="00C41E47"/>
    <w:rsid w:val="00C43BD5"/>
    <w:rsid w:val="00C440A8"/>
    <w:rsid w:val="00C44EE3"/>
    <w:rsid w:val="00C46CDE"/>
    <w:rsid w:val="00C47101"/>
    <w:rsid w:val="00C51F2F"/>
    <w:rsid w:val="00C555AB"/>
    <w:rsid w:val="00C56C82"/>
    <w:rsid w:val="00C57D8C"/>
    <w:rsid w:val="00C609DA"/>
    <w:rsid w:val="00C63C4E"/>
    <w:rsid w:val="00C722C2"/>
    <w:rsid w:val="00C7434E"/>
    <w:rsid w:val="00C75EC7"/>
    <w:rsid w:val="00C81AF4"/>
    <w:rsid w:val="00C82827"/>
    <w:rsid w:val="00C82CCF"/>
    <w:rsid w:val="00C854B0"/>
    <w:rsid w:val="00C867B0"/>
    <w:rsid w:val="00C86863"/>
    <w:rsid w:val="00C90954"/>
    <w:rsid w:val="00C90EF0"/>
    <w:rsid w:val="00C921A8"/>
    <w:rsid w:val="00C92DA8"/>
    <w:rsid w:val="00C93331"/>
    <w:rsid w:val="00C944E1"/>
    <w:rsid w:val="00C95315"/>
    <w:rsid w:val="00C95712"/>
    <w:rsid w:val="00C97C38"/>
    <w:rsid w:val="00CA0544"/>
    <w:rsid w:val="00CA0D56"/>
    <w:rsid w:val="00CA1489"/>
    <w:rsid w:val="00CA2328"/>
    <w:rsid w:val="00CA6FBD"/>
    <w:rsid w:val="00CB1C3B"/>
    <w:rsid w:val="00CB2A7A"/>
    <w:rsid w:val="00CB3BC1"/>
    <w:rsid w:val="00CB43C1"/>
    <w:rsid w:val="00CB758C"/>
    <w:rsid w:val="00CB76D0"/>
    <w:rsid w:val="00CB78CA"/>
    <w:rsid w:val="00CC063E"/>
    <w:rsid w:val="00CC5B16"/>
    <w:rsid w:val="00CC659E"/>
    <w:rsid w:val="00CC7E2B"/>
    <w:rsid w:val="00CD15E0"/>
    <w:rsid w:val="00CD161D"/>
    <w:rsid w:val="00CD1935"/>
    <w:rsid w:val="00CD2DA6"/>
    <w:rsid w:val="00CD3FD1"/>
    <w:rsid w:val="00CD40BE"/>
    <w:rsid w:val="00CD4462"/>
    <w:rsid w:val="00CD61EA"/>
    <w:rsid w:val="00CD6EE8"/>
    <w:rsid w:val="00CE0D2B"/>
    <w:rsid w:val="00CE4147"/>
    <w:rsid w:val="00CE45D0"/>
    <w:rsid w:val="00CE6354"/>
    <w:rsid w:val="00CE6BEA"/>
    <w:rsid w:val="00CE6D49"/>
    <w:rsid w:val="00CE781C"/>
    <w:rsid w:val="00CF1526"/>
    <w:rsid w:val="00CF2C72"/>
    <w:rsid w:val="00CF3AFA"/>
    <w:rsid w:val="00CF4346"/>
    <w:rsid w:val="00CF46B6"/>
    <w:rsid w:val="00CF4978"/>
    <w:rsid w:val="00CF5E0B"/>
    <w:rsid w:val="00CF72AB"/>
    <w:rsid w:val="00CF7F8A"/>
    <w:rsid w:val="00D00FB2"/>
    <w:rsid w:val="00D00FDB"/>
    <w:rsid w:val="00D0154E"/>
    <w:rsid w:val="00D04D84"/>
    <w:rsid w:val="00D122F1"/>
    <w:rsid w:val="00D124D0"/>
    <w:rsid w:val="00D13908"/>
    <w:rsid w:val="00D15C2D"/>
    <w:rsid w:val="00D15E2C"/>
    <w:rsid w:val="00D16CB1"/>
    <w:rsid w:val="00D21157"/>
    <w:rsid w:val="00D2156A"/>
    <w:rsid w:val="00D21737"/>
    <w:rsid w:val="00D21CFB"/>
    <w:rsid w:val="00D2442A"/>
    <w:rsid w:val="00D2586E"/>
    <w:rsid w:val="00D26FD7"/>
    <w:rsid w:val="00D27D52"/>
    <w:rsid w:val="00D30B36"/>
    <w:rsid w:val="00D40C8C"/>
    <w:rsid w:val="00D42025"/>
    <w:rsid w:val="00D43D11"/>
    <w:rsid w:val="00D44AE1"/>
    <w:rsid w:val="00D463C3"/>
    <w:rsid w:val="00D51A63"/>
    <w:rsid w:val="00D5310D"/>
    <w:rsid w:val="00D54565"/>
    <w:rsid w:val="00D55A92"/>
    <w:rsid w:val="00D55F32"/>
    <w:rsid w:val="00D621C3"/>
    <w:rsid w:val="00D629BB"/>
    <w:rsid w:val="00D62CB0"/>
    <w:rsid w:val="00D65C3D"/>
    <w:rsid w:val="00D66713"/>
    <w:rsid w:val="00D67B8E"/>
    <w:rsid w:val="00D70F41"/>
    <w:rsid w:val="00D71633"/>
    <w:rsid w:val="00D7772E"/>
    <w:rsid w:val="00D7788B"/>
    <w:rsid w:val="00D80216"/>
    <w:rsid w:val="00D8072E"/>
    <w:rsid w:val="00D81680"/>
    <w:rsid w:val="00D865AD"/>
    <w:rsid w:val="00D8688A"/>
    <w:rsid w:val="00D917A7"/>
    <w:rsid w:val="00D91CFD"/>
    <w:rsid w:val="00D933BD"/>
    <w:rsid w:val="00D94D1A"/>
    <w:rsid w:val="00D95603"/>
    <w:rsid w:val="00D95937"/>
    <w:rsid w:val="00D95E09"/>
    <w:rsid w:val="00D970F6"/>
    <w:rsid w:val="00D972A7"/>
    <w:rsid w:val="00DA37E6"/>
    <w:rsid w:val="00DA44A5"/>
    <w:rsid w:val="00DA6264"/>
    <w:rsid w:val="00DA76A2"/>
    <w:rsid w:val="00DB0714"/>
    <w:rsid w:val="00DB154A"/>
    <w:rsid w:val="00DB1D26"/>
    <w:rsid w:val="00DB2D13"/>
    <w:rsid w:val="00DB2E8C"/>
    <w:rsid w:val="00DB4E92"/>
    <w:rsid w:val="00DB6711"/>
    <w:rsid w:val="00DB6A2C"/>
    <w:rsid w:val="00DB7409"/>
    <w:rsid w:val="00DC1A94"/>
    <w:rsid w:val="00DC1FD9"/>
    <w:rsid w:val="00DC5DBE"/>
    <w:rsid w:val="00DD225E"/>
    <w:rsid w:val="00DD3F0B"/>
    <w:rsid w:val="00DD54AD"/>
    <w:rsid w:val="00DD572A"/>
    <w:rsid w:val="00DD661C"/>
    <w:rsid w:val="00DD6E8B"/>
    <w:rsid w:val="00DE060C"/>
    <w:rsid w:val="00DE19BE"/>
    <w:rsid w:val="00DE1FF6"/>
    <w:rsid w:val="00DE220A"/>
    <w:rsid w:val="00DE2C74"/>
    <w:rsid w:val="00DE376B"/>
    <w:rsid w:val="00DE49F7"/>
    <w:rsid w:val="00DE55B3"/>
    <w:rsid w:val="00DE5A55"/>
    <w:rsid w:val="00DE7BE0"/>
    <w:rsid w:val="00DF0710"/>
    <w:rsid w:val="00DF1D35"/>
    <w:rsid w:val="00DF28FB"/>
    <w:rsid w:val="00DF38E7"/>
    <w:rsid w:val="00DF43A2"/>
    <w:rsid w:val="00DF6DA8"/>
    <w:rsid w:val="00DF6EB2"/>
    <w:rsid w:val="00DF76CA"/>
    <w:rsid w:val="00E00F72"/>
    <w:rsid w:val="00E016E3"/>
    <w:rsid w:val="00E022CC"/>
    <w:rsid w:val="00E02317"/>
    <w:rsid w:val="00E02B65"/>
    <w:rsid w:val="00E02D3D"/>
    <w:rsid w:val="00E06865"/>
    <w:rsid w:val="00E06BA1"/>
    <w:rsid w:val="00E0791A"/>
    <w:rsid w:val="00E079FE"/>
    <w:rsid w:val="00E07C7D"/>
    <w:rsid w:val="00E07FAE"/>
    <w:rsid w:val="00E109B0"/>
    <w:rsid w:val="00E11F74"/>
    <w:rsid w:val="00E125DF"/>
    <w:rsid w:val="00E139E7"/>
    <w:rsid w:val="00E17824"/>
    <w:rsid w:val="00E20052"/>
    <w:rsid w:val="00E216D2"/>
    <w:rsid w:val="00E25878"/>
    <w:rsid w:val="00E26CE6"/>
    <w:rsid w:val="00E33C1F"/>
    <w:rsid w:val="00E33F5B"/>
    <w:rsid w:val="00E377E9"/>
    <w:rsid w:val="00E37C67"/>
    <w:rsid w:val="00E41674"/>
    <w:rsid w:val="00E423B5"/>
    <w:rsid w:val="00E43A0B"/>
    <w:rsid w:val="00E43B93"/>
    <w:rsid w:val="00E43C60"/>
    <w:rsid w:val="00E46FC6"/>
    <w:rsid w:val="00E50237"/>
    <w:rsid w:val="00E519DC"/>
    <w:rsid w:val="00E51D00"/>
    <w:rsid w:val="00E54796"/>
    <w:rsid w:val="00E54A98"/>
    <w:rsid w:val="00E616AE"/>
    <w:rsid w:val="00E61759"/>
    <w:rsid w:val="00E61C62"/>
    <w:rsid w:val="00E640AB"/>
    <w:rsid w:val="00E67D84"/>
    <w:rsid w:val="00E70764"/>
    <w:rsid w:val="00E715BB"/>
    <w:rsid w:val="00E71C7E"/>
    <w:rsid w:val="00E720EC"/>
    <w:rsid w:val="00E72AE8"/>
    <w:rsid w:val="00E72EF4"/>
    <w:rsid w:val="00E735A2"/>
    <w:rsid w:val="00E746B4"/>
    <w:rsid w:val="00E747B9"/>
    <w:rsid w:val="00E757B3"/>
    <w:rsid w:val="00E772CA"/>
    <w:rsid w:val="00E83FB2"/>
    <w:rsid w:val="00E86019"/>
    <w:rsid w:val="00E862A4"/>
    <w:rsid w:val="00E87986"/>
    <w:rsid w:val="00E90665"/>
    <w:rsid w:val="00E91314"/>
    <w:rsid w:val="00E91559"/>
    <w:rsid w:val="00E95C1F"/>
    <w:rsid w:val="00E95EAA"/>
    <w:rsid w:val="00EA0FEB"/>
    <w:rsid w:val="00EA13C9"/>
    <w:rsid w:val="00EA149B"/>
    <w:rsid w:val="00EA2314"/>
    <w:rsid w:val="00EA249E"/>
    <w:rsid w:val="00EA27D3"/>
    <w:rsid w:val="00EA4232"/>
    <w:rsid w:val="00EA56AF"/>
    <w:rsid w:val="00EB09B2"/>
    <w:rsid w:val="00EB2A5B"/>
    <w:rsid w:val="00EB2B2A"/>
    <w:rsid w:val="00EB30F5"/>
    <w:rsid w:val="00EB33AF"/>
    <w:rsid w:val="00EB3515"/>
    <w:rsid w:val="00EB3B67"/>
    <w:rsid w:val="00EB4888"/>
    <w:rsid w:val="00EB4A17"/>
    <w:rsid w:val="00EB4FE3"/>
    <w:rsid w:val="00EB53B5"/>
    <w:rsid w:val="00EB57C3"/>
    <w:rsid w:val="00EB73FD"/>
    <w:rsid w:val="00EB7980"/>
    <w:rsid w:val="00EC0D7B"/>
    <w:rsid w:val="00EC27E4"/>
    <w:rsid w:val="00EC37FD"/>
    <w:rsid w:val="00EC433B"/>
    <w:rsid w:val="00EC493D"/>
    <w:rsid w:val="00EC7220"/>
    <w:rsid w:val="00EC78EE"/>
    <w:rsid w:val="00ED0A9C"/>
    <w:rsid w:val="00ED260E"/>
    <w:rsid w:val="00ED2BFC"/>
    <w:rsid w:val="00ED617D"/>
    <w:rsid w:val="00ED6665"/>
    <w:rsid w:val="00ED692C"/>
    <w:rsid w:val="00ED6AD0"/>
    <w:rsid w:val="00ED7A8E"/>
    <w:rsid w:val="00EE1ECE"/>
    <w:rsid w:val="00EE239F"/>
    <w:rsid w:val="00EE268F"/>
    <w:rsid w:val="00EE3361"/>
    <w:rsid w:val="00EE436C"/>
    <w:rsid w:val="00EE7194"/>
    <w:rsid w:val="00EF22BF"/>
    <w:rsid w:val="00EF4421"/>
    <w:rsid w:val="00EF456F"/>
    <w:rsid w:val="00EF490C"/>
    <w:rsid w:val="00EF723A"/>
    <w:rsid w:val="00F00041"/>
    <w:rsid w:val="00F002EC"/>
    <w:rsid w:val="00F00A6E"/>
    <w:rsid w:val="00F03A9A"/>
    <w:rsid w:val="00F046DC"/>
    <w:rsid w:val="00F052C0"/>
    <w:rsid w:val="00F07DF0"/>
    <w:rsid w:val="00F10975"/>
    <w:rsid w:val="00F109A9"/>
    <w:rsid w:val="00F144D1"/>
    <w:rsid w:val="00F153D3"/>
    <w:rsid w:val="00F159E4"/>
    <w:rsid w:val="00F15AAE"/>
    <w:rsid w:val="00F20393"/>
    <w:rsid w:val="00F20820"/>
    <w:rsid w:val="00F20BBD"/>
    <w:rsid w:val="00F227AF"/>
    <w:rsid w:val="00F2373A"/>
    <w:rsid w:val="00F25A39"/>
    <w:rsid w:val="00F3470B"/>
    <w:rsid w:val="00F3474D"/>
    <w:rsid w:val="00F348F2"/>
    <w:rsid w:val="00F354D4"/>
    <w:rsid w:val="00F375CC"/>
    <w:rsid w:val="00F4016A"/>
    <w:rsid w:val="00F411C4"/>
    <w:rsid w:val="00F412C9"/>
    <w:rsid w:val="00F42794"/>
    <w:rsid w:val="00F43794"/>
    <w:rsid w:val="00F45FD7"/>
    <w:rsid w:val="00F52C5E"/>
    <w:rsid w:val="00F54A6F"/>
    <w:rsid w:val="00F54D4B"/>
    <w:rsid w:val="00F54E76"/>
    <w:rsid w:val="00F601DA"/>
    <w:rsid w:val="00F60213"/>
    <w:rsid w:val="00F60AEA"/>
    <w:rsid w:val="00F61F2B"/>
    <w:rsid w:val="00F620BC"/>
    <w:rsid w:val="00F66647"/>
    <w:rsid w:val="00F6674D"/>
    <w:rsid w:val="00F66BEE"/>
    <w:rsid w:val="00F674B8"/>
    <w:rsid w:val="00F71896"/>
    <w:rsid w:val="00F72246"/>
    <w:rsid w:val="00F73427"/>
    <w:rsid w:val="00F75D0A"/>
    <w:rsid w:val="00F75F8E"/>
    <w:rsid w:val="00F77811"/>
    <w:rsid w:val="00F8060A"/>
    <w:rsid w:val="00F80E8B"/>
    <w:rsid w:val="00F81B8F"/>
    <w:rsid w:val="00F8276E"/>
    <w:rsid w:val="00F85C20"/>
    <w:rsid w:val="00F8798B"/>
    <w:rsid w:val="00F87AEA"/>
    <w:rsid w:val="00F92516"/>
    <w:rsid w:val="00F92D02"/>
    <w:rsid w:val="00F94117"/>
    <w:rsid w:val="00F9509D"/>
    <w:rsid w:val="00F95A72"/>
    <w:rsid w:val="00F9791B"/>
    <w:rsid w:val="00FA0D51"/>
    <w:rsid w:val="00FA2C7B"/>
    <w:rsid w:val="00FA3140"/>
    <w:rsid w:val="00FA433D"/>
    <w:rsid w:val="00FA4F18"/>
    <w:rsid w:val="00FA57AE"/>
    <w:rsid w:val="00FB1244"/>
    <w:rsid w:val="00FB1F25"/>
    <w:rsid w:val="00FB2DC3"/>
    <w:rsid w:val="00FB2F77"/>
    <w:rsid w:val="00FB3452"/>
    <w:rsid w:val="00FB3486"/>
    <w:rsid w:val="00FB6CF6"/>
    <w:rsid w:val="00FB7F8B"/>
    <w:rsid w:val="00FB7FDA"/>
    <w:rsid w:val="00FC3E6B"/>
    <w:rsid w:val="00FC3FED"/>
    <w:rsid w:val="00FC5744"/>
    <w:rsid w:val="00FC74B9"/>
    <w:rsid w:val="00FD01FB"/>
    <w:rsid w:val="00FD1B63"/>
    <w:rsid w:val="00FD2E7F"/>
    <w:rsid w:val="00FD7BD6"/>
    <w:rsid w:val="00FE0832"/>
    <w:rsid w:val="00FE3C55"/>
    <w:rsid w:val="00FE53A3"/>
    <w:rsid w:val="00FE571B"/>
    <w:rsid w:val="00FE75EB"/>
    <w:rsid w:val="00FE7A59"/>
    <w:rsid w:val="00FF5536"/>
    <w:rsid w:val="00FF5702"/>
    <w:rsid w:val="00FF76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FFF9CC2"/>
  <w15:docId w15:val="{EC9DA7D8-6257-4BC5-86CD-D4845C6B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DE6"/>
    <w:rPr>
      <w:rFonts w:ascii="Arial" w:hAnsi="Arial"/>
    </w:rPr>
  </w:style>
  <w:style w:type="paragraph" w:styleId="Heading1">
    <w:name w:val="heading 1"/>
    <w:basedOn w:val="Normal"/>
    <w:next w:val="Normal"/>
    <w:link w:val="Heading1Char"/>
    <w:uiPriority w:val="9"/>
    <w:qFormat/>
    <w:rsid w:val="00A178CC"/>
    <w:pPr>
      <w:keepNext/>
      <w:keepLines/>
      <w:pageBreakBefore/>
      <w:numPr>
        <w:numId w:val="74"/>
      </w:numPr>
      <w:spacing w:before="240"/>
      <w:outlineLvl w:val="0"/>
    </w:pPr>
    <w:rPr>
      <w:rFonts w:eastAsiaTheme="majorEastAsia" w:cs="Arial"/>
      <w:b/>
      <w:bCs/>
      <w:color w:val="70635A"/>
      <w:sz w:val="36"/>
      <w:szCs w:val="36"/>
    </w:rPr>
  </w:style>
  <w:style w:type="paragraph" w:styleId="Heading2">
    <w:name w:val="heading 2"/>
    <w:aliases w:val="AER Heading 2"/>
    <w:basedOn w:val="Normal"/>
    <w:next w:val="Normal"/>
    <w:link w:val="Heading2Char"/>
    <w:unhideWhenUsed/>
    <w:qFormat/>
    <w:rsid w:val="00A178CC"/>
    <w:pPr>
      <w:keepNext/>
      <w:keepLines/>
      <w:numPr>
        <w:ilvl w:val="1"/>
        <w:numId w:val="74"/>
      </w:numPr>
      <w:spacing w:before="240"/>
      <w:outlineLvl w:val="1"/>
    </w:pPr>
    <w:rPr>
      <w:rFonts w:eastAsiaTheme="majorEastAsia" w:cs="Arial"/>
      <w:b/>
      <w:bCs/>
      <w:color w:val="70635A"/>
      <w:sz w:val="32"/>
      <w:szCs w:val="32"/>
    </w:rPr>
  </w:style>
  <w:style w:type="paragraph" w:styleId="Heading3">
    <w:name w:val="heading 3"/>
    <w:aliases w:val="AER Heading 3"/>
    <w:basedOn w:val="Normal"/>
    <w:next w:val="Normal"/>
    <w:link w:val="Heading3Char"/>
    <w:unhideWhenUsed/>
    <w:qFormat/>
    <w:rsid w:val="00A178CC"/>
    <w:pPr>
      <w:keepNext/>
      <w:keepLines/>
      <w:numPr>
        <w:ilvl w:val="2"/>
        <w:numId w:val="74"/>
      </w:numPr>
      <w:spacing w:before="240"/>
      <w:outlineLvl w:val="2"/>
    </w:pPr>
    <w:rPr>
      <w:rFonts w:eastAsiaTheme="majorEastAsia" w:cs="Arial"/>
      <w:b/>
      <w:bCs/>
      <w:color w:val="70635A"/>
      <w:sz w:val="28"/>
      <w:szCs w:val="28"/>
    </w:rPr>
  </w:style>
  <w:style w:type="paragraph" w:styleId="Heading4">
    <w:name w:val="heading 4"/>
    <w:aliases w:val="AER Heading 4"/>
    <w:basedOn w:val="Normal"/>
    <w:next w:val="Normal"/>
    <w:link w:val="Heading4Char"/>
    <w:unhideWhenUsed/>
    <w:qFormat/>
    <w:rsid w:val="00A178CC"/>
    <w:pPr>
      <w:keepNext/>
      <w:keepLines/>
      <w:numPr>
        <w:ilvl w:val="3"/>
        <w:numId w:val="74"/>
      </w:numPr>
      <w:spacing w:before="240"/>
      <w:outlineLvl w:val="3"/>
    </w:pPr>
    <w:rPr>
      <w:rFonts w:eastAsiaTheme="majorEastAsia" w:cs="Arial"/>
      <w:b/>
      <w:bCs/>
      <w:iCs/>
      <w:color w:val="70635A"/>
      <w:sz w:val="24"/>
      <w:szCs w:val="24"/>
    </w:rPr>
  </w:style>
  <w:style w:type="paragraph" w:styleId="Heading5">
    <w:name w:val="heading 5"/>
    <w:basedOn w:val="Normal"/>
    <w:next w:val="Normal"/>
    <w:link w:val="Heading5Char"/>
    <w:unhideWhenUsed/>
    <w:qFormat/>
    <w:rsid w:val="00A178CC"/>
    <w:pPr>
      <w:keepNext/>
      <w:keepLines/>
      <w:numPr>
        <w:ilvl w:val="4"/>
        <w:numId w:val="74"/>
      </w:numPr>
      <w:spacing w:before="240"/>
      <w:outlineLvl w:val="4"/>
    </w:pPr>
    <w:rPr>
      <w:rFonts w:eastAsiaTheme="majorEastAsia" w:cs="Arial"/>
      <w:b/>
      <w:szCs w:val="24"/>
    </w:rPr>
  </w:style>
  <w:style w:type="paragraph" w:styleId="Heading6">
    <w:name w:val="heading 6"/>
    <w:basedOn w:val="Normal"/>
    <w:next w:val="Normal"/>
    <w:link w:val="Heading6Char"/>
    <w:unhideWhenUsed/>
    <w:qFormat/>
    <w:rsid w:val="00A178CC"/>
    <w:pPr>
      <w:keepNext/>
      <w:keepLines/>
      <w:numPr>
        <w:ilvl w:val="5"/>
        <w:numId w:val="74"/>
      </w:numPr>
      <w:spacing w:before="240"/>
      <w:outlineLvl w:val="5"/>
    </w:pPr>
    <w:rPr>
      <w:rFonts w:eastAsiaTheme="majorEastAsia" w:cs="Arial"/>
      <w:b/>
      <w:i/>
      <w:iCs/>
      <w:color w:val="076A92"/>
      <w:szCs w:val="24"/>
    </w:rPr>
  </w:style>
  <w:style w:type="paragraph" w:styleId="Heading7">
    <w:name w:val="heading 7"/>
    <w:basedOn w:val="Normal"/>
    <w:next w:val="Normal"/>
    <w:link w:val="Heading7Char"/>
    <w:uiPriority w:val="9"/>
    <w:semiHidden/>
    <w:unhideWhenUsed/>
    <w:rsid w:val="00A94A4E"/>
    <w:pPr>
      <w:keepNext/>
      <w:keepLines/>
      <w:numPr>
        <w:ilvl w:val="6"/>
        <w:numId w:val="74"/>
      </w:numPr>
      <w:spacing w:before="200" w:after="0"/>
      <w:outlineLvl w:val="6"/>
    </w:pPr>
    <w:rPr>
      <w:rFonts w:asciiTheme="majorHAnsi" w:eastAsiaTheme="majorEastAsia" w:hAnsiTheme="majorHAnsi" w:cstheme="majorBidi"/>
      <w:i/>
      <w:iCs/>
      <w:color w:val="0BA7E7" w:themeColor="text1" w:themeTint="BF"/>
    </w:rPr>
  </w:style>
  <w:style w:type="paragraph" w:styleId="Heading8">
    <w:name w:val="heading 8"/>
    <w:basedOn w:val="Normal"/>
    <w:next w:val="Normal"/>
    <w:link w:val="Heading8Char"/>
    <w:uiPriority w:val="9"/>
    <w:semiHidden/>
    <w:unhideWhenUsed/>
    <w:qFormat/>
    <w:rsid w:val="00A94A4E"/>
    <w:pPr>
      <w:keepNext/>
      <w:keepLines/>
      <w:numPr>
        <w:ilvl w:val="7"/>
        <w:numId w:val="74"/>
      </w:numPr>
      <w:spacing w:before="200" w:after="0"/>
      <w:outlineLvl w:val="7"/>
    </w:pPr>
    <w:rPr>
      <w:rFonts w:asciiTheme="majorHAnsi" w:eastAsiaTheme="majorEastAsia" w:hAnsiTheme="majorHAnsi" w:cstheme="majorBidi"/>
      <w:color w:val="0BA7E7" w:themeColor="text1" w:themeTint="BF"/>
      <w:sz w:val="20"/>
      <w:szCs w:val="20"/>
    </w:rPr>
  </w:style>
  <w:style w:type="paragraph" w:styleId="Heading9">
    <w:name w:val="heading 9"/>
    <w:basedOn w:val="Normal"/>
    <w:next w:val="Normal"/>
    <w:link w:val="Heading9Char"/>
    <w:uiPriority w:val="9"/>
    <w:semiHidden/>
    <w:unhideWhenUsed/>
    <w:qFormat/>
    <w:rsid w:val="00A94A4E"/>
    <w:pPr>
      <w:keepNext/>
      <w:keepLines/>
      <w:numPr>
        <w:ilvl w:val="8"/>
        <w:numId w:val="74"/>
      </w:numPr>
      <w:spacing w:before="200" w:after="0"/>
      <w:outlineLvl w:val="8"/>
    </w:pPr>
    <w:rPr>
      <w:rFonts w:asciiTheme="majorHAnsi" w:eastAsiaTheme="majorEastAsia" w:hAnsiTheme="majorHAnsi" w:cstheme="majorBidi"/>
      <w:i/>
      <w:iCs/>
      <w:color w:val="0BA7E7"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right">
    <w:name w:val="Copyright"/>
    <w:basedOn w:val="Normal"/>
    <w:next w:val="Normal"/>
    <w:link w:val="CopyrightChar"/>
    <w:qFormat/>
    <w:rsid w:val="002D4DAB"/>
    <w:pPr>
      <w:spacing w:before="5680" w:line="288" w:lineRule="auto"/>
      <w:contextualSpacing/>
    </w:pPr>
    <w:rPr>
      <w:sz w:val="20"/>
      <w:szCs w:val="20"/>
    </w:rPr>
  </w:style>
  <w:style w:type="paragraph" w:customStyle="1" w:styleId="TOCText">
    <w:name w:val="TOC Text"/>
    <w:basedOn w:val="Normal"/>
    <w:next w:val="Normal"/>
    <w:rsid w:val="00B801CA"/>
  </w:style>
  <w:style w:type="paragraph" w:customStyle="1" w:styleId="ReportTitle">
    <w:name w:val="Report Title"/>
    <w:basedOn w:val="Normal"/>
    <w:next w:val="Normal"/>
    <w:link w:val="ReportTitleChar"/>
    <w:qFormat/>
    <w:rsid w:val="00FC3E6B"/>
    <w:pPr>
      <w:spacing w:before="6240"/>
      <w:contextualSpacing/>
      <w:jc w:val="center"/>
    </w:pPr>
    <w:rPr>
      <w:b/>
      <w:sz w:val="72"/>
      <w:szCs w:val="72"/>
    </w:rPr>
  </w:style>
  <w:style w:type="paragraph" w:customStyle="1" w:styleId="ChapterTitle">
    <w:name w:val="Chapter Title"/>
    <w:basedOn w:val="Heading1"/>
    <w:next w:val="Normal"/>
    <w:link w:val="ChapterTitleChar"/>
    <w:qFormat/>
    <w:rsid w:val="00CC659E"/>
    <w:rPr>
      <w:color w:val="070692"/>
      <w:sz w:val="52"/>
    </w:rPr>
  </w:style>
  <w:style w:type="character" w:customStyle="1" w:styleId="Heading1Char">
    <w:name w:val="Heading 1 Char"/>
    <w:basedOn w:val="DefaultParagraphFont"/>
    <w:link w:val="Heading1"/>
    <w:uiPriority w:val="9"/>
    <w:rsid w:val="00A178CC"/>
    <w:rPr>
      <w:rFonts w:ascii="Arial" w:eastAsiaTheme="majorEastAsia" w:hAnsi="Arial" w:cs="Arial"/>
      <w:b/>
      <w:bCs/>
      <w:color w:val="70635A"/>
      <w:sz w:val="36"/>
      <w:szCs w:val="36"/>
    </w:rPr>
  </w:style>
  <w:style w:type="character" w:customStyle="1" w:styleId="Heading2Char">
    <w:name w:val="Heading 2 Char"/>
    <w:aliases w:val="AER Heading 2 Char"/>
    <w:basedOn w:val="DefaultParagraphFont"/>
    <w:link w:val="Heading2"/>
    <w:rsid w:val="00A178CC"/>
    <w:rPr>
      <w:rFonts w:ascii="Arial" w:eastAsiaTheme="majorEastAsia" w:hAnsi="Arial" w:cs="Arial"/>
      <w:b/>
      <w:bCs/>
      <w:color w:val="70635A"/>
      <w:sz w:val="32"/>
      <w:szCs w:val="32"/>
    </w:rPr>
  </w:style>
  <w:style w:type="character" w:customStyle="1" w:styleId="Heading3Char">
    <w:name w:val="Heading 3 Char"/>
    <w:aliases w:val="AER Heading 3 Char"/>
    <w:basedOn w:val="DefaultParagraphFont"/>
    <w:link w:val="Heading3"/>
    <w:rsid w:val="00A178CC"/>
    <w:rPr>
      <w:rFonts w:ascii="Arial" w:eastAsiaTheme="majorEastAsia" w:hAnsi="Arial" w:cs="Arial"/>
      <w:b/>
      <w:bCs/>
      <w:color w:val="70635A"/>
      <w:sz w:val="28"/>
      <w:szCs w:val="28"/>
    </w:rPr>
  </w:style>
  <w:style w:type="character" w:customStyle="1" w:styleId="Heading4Char">
    <w:name w:val="Heading 4 Char"/>
    <w:aliases w:val="AER Heading 4 Char"/>
    <w:basedOn w:val="DefaultParagraphFont"/>
    <w:link w:val="Heading4"/>
    <w:rsid w:val="00A178CC"/>
    <w:rPr>
      <w:rFonts w:ascii="Arial" w:eastAsiaTheme="majorEastAsia" w:hAnsi="Arial" w:cs="Arial"/>
      <w:b/>
      <w:bCs/>
      <w:iCs/>
      <w:color w:val="70635A"/>
      <w:sz w:val="24"/>
      <w:szCs w:val="24"/>
    </w:rPr>
  </w:style>
  <w:style w:type="character" w:customStyle="1" w:styleId="Heading5Char">
    <w:name w:val="Heading 5 Char"/>
    <w:basedOn w:val="DefaultParagraphFont"/>
    <w:link w:val="Heading5"/>
    <w:rsid w:val="00A178CC"/>
    <w:rPr>
      <w:rFonts w:ascii="Arial" w:eastAsiaTheme="majorEastAsia" w:hAnsi="Arial" w:cs="Arial"/>
      <w:b/>
      <w:szCs w:val="24"/>
    </w:rPr>
  </w:style>
  <w:style w:type="character" w:customStyle="1" w:styleId="Heading6Char">
    <w:name w:val="Heading 6 Char"/>
    <w:basedOn w:val="DefaultParagraphFont"/>
    <w:link w:val="Heading6"/>
    <w:rsid w:val="00A178CC"/>
    <w:rPr>
      <w:rFonts w:ascii="Arial" w:eastAsiaTheme="majorEastAsia" w:hAnsi="Arial" w:cs="Arial"/>
      <w:b/>
      <w:i/>
      <w:iCs/>
      <w:color w:val="076A92"/>
      <w:szCs w:val="24"/>
    </w:rPr>
  </w:style>
  <w:style w:type="paragraph" w:styleId="ListParagraph">
    <w:name w:val="List Paragraph"/>
    <w:basedOn w:val="Normal"/>
    <w:link w:val="ListParagraphChar"/>
    <w:uiPriority w:val="34"/>
    <w:qFormat/>
    <w:rsid w:val="006A5214"/>
    <w:pPr>
      <w:ind w:left="720"/>
      <w:contextualSpacing/>
    </w:pPr>
  </w:style>
  <w:style w:type="paragraph" w:customStyle="1" w:styleId="NumberedListStyle">
    <w:name w:val="Numbered List Style"/>
    <w:basedOn w:val="ListParagraph"/>
    <w:link w:val="NumberedListStyleChar"/>
    <w:rsid w:val="006A5214"/>
    <w:pPr>
      <w:numPr>
        <w:numId w:val="2"/>
      </w:numPr>
    </w:pPr>
  </w:style>
  <w:style w:type="numbering" w:customStyle="1" w:styleId="NumberedList">
    <w:name w:val="Numbered List"/>
    <w:uiPriority w:val="99"/>
    <w:rsid w:val="00A21831"/>
    <w:pPr>
      <w:numPr>
        <w:numId w:val="1"/>
      </w:numPr>
    </w:pPr>
  </w:style>
  <w:style w:type="character" w:customStyle="1" w:styleId="ListParagraphChar">
    <w:name w:val="List Paragraph Char"/>
    <w:basedOn w:val="DefaultParagraphFont"/>
    <w:link w:val="ListParagraph"/>
    <w:uiPriority w:val="34"/>
    <w:rsid w:val="006A5214"/>
    <w:rPr>
      <w:rFonts w:ascii="Arial" w:hAnsi="Arial"/>
    </w:rPr>
  </w:style>
  <w:style w:type="character" w:customStyle="1" w:styleId="NumberedListStyleChar">
    <w:name w:val="Numbered List Style Char"/>
    <w:basedOn w:val="ListParagraphChar"/>
    <w:link w:val="NumberedListStyle"/>
    <w:rsid w:val="006A5214"/>
    <w:rPr>
      <w:rFonts w:ascii="Arial" w:hAnsi="Arial"/>
    </w:rPr>
  </w:style>
  <w:style w:type="numbering" w:customStyle="1" w:styleId="NumberedList-Straight">
    <w:name w:val="Numbered List - Straight"/>
    <w:uiPriority w:val="99"/>
    <w:rsid w:val="00C93331"/>
    <w:pPr>
      <w:numPr>
        <w:numId w:val="6"/>
      </w:numPr>
    </w:pPr>
  </w:style>
  <w:style w:type="numbering" w:customStyle="1" w:styleId="AlphanumericList-Straight">
    <w:name w:val="Alphanumeric List - Straight"/>
    <w:uiPriority w:val="99"/>
    <w:rsid w:val="00870E29"/>
    <w:pPr>
      <w:numPr>
        <w:numId w:val="7"/>
      </w:numPr>
    </w:pPr>
  </w:style>
  <w:style w:type="paragraph" w:customStyle="1" w:styleId="TableBodyFigurealignedright">
    <w:name w:val="Table Body Figure (aligned right)"/>
    <w:basedOn w:val="Normal"/>
    <w:link w:val="TableBodyFigurealignedrightChar"/>
    <w:qFormat/>
    <w:rsid w:val="008244B2"/>
    <w:pPr>
      <w:jc w:val="right"/>
    </w:pPr>
    <w:rPr>
      <w:sz w:val="20"/>
    </w:rPr>
  </w:style>
  <w:style w:type="paragraph" w:customStyle="1" w:styleId="ChartHeading">
    <w:name w:val="Chart Heading"/>
    <w:basedOn w:val="Normal"/>
    <w:next w:val="Normal"/>
    <w:link w:val="ChartHeadingChar"/>
    <w:qFormat/>
    <w:rsid w:val="001939DE"/>
    <w:pPr>
      <w:spacing w:before="240"/>
    </w:pPr>
    <w:rPr>
      <w:b/>
      <w:sz w:val="24"/>
      <w:szCs w:val="24"/>
    </w:rPr>
  </w:style>
  <w:style w:type="character" w:customStyle="1" w:styleId="TableBodyFigurealignedrightChar">
    <w:name w:val="Table Body Figure (aligned right) Char"/>
    <w:basedOn w:val="DefaultParagraphFont"/>
    <w:link w:val="TableBodyFigurealignedright"/>
    <w:rsid w:val="008244B2"/>
    <w:rPr>
      <w:rFonts w:ascii="Arial" w:hAnsi="Arial"/>
      <w:sz w:val="20"/>
    </w:rPr>
  </w:style>
  <w:style w:type="paragraph" w:customStyle="1" w:styleId="ChartText">
    <w:name w:val="Chart Text"/>
    <w:basedOn w:val="Normal"/>
    <w:next w:val="Normal"/>
    <w:link w:val="ChartTextChar"/>
    <w:qFormat/>
    <w:rsid w:val="002F1039"/>
    <w:rPr>
      <w:sz w:val="20"/>
    </w:rPr>
  </w:style>
  <w:style w:type="character" w:customStyle="1" w:styleId="ChartHeadingChar">
    <w:name w:val="Chart Heading Char"/>
    <w:basedOn w:val="DefaultParagraphFont"/>
    <w:link w:val="ChartHeading"/>
    <w:rsid w:val="001939DE"/>
    <w:rPr>
      <w:rFonts w:ascii="Arial" w:hAnsi="Arial"/>
      <w:b/>
      <w:sz w:val="24"/>
      <w:szCs w:val="24"/>
    </w:rPr>
  </w:style>
  <w:style w:type="paragraph" w:styleId="TOCHeading">
    <w:name w:val="TOC Heading"/>
    <w:aliases w:val="Table of Contents (TOC) Heading"/>
    <w:basedOn w:val="Normal"/>
    <w:next w:val="Normal"/>
    <w:link w:val="TOCHeadingChar"/>
    <w:uiPriority w:val="39"/>
    <w:unhideWhenUsed/>
    <w:qFormat/>
    <w:rsid w:val="002B5C11"/>
    <w:pPr>
      <w:pageBreakBefore/>
    </w:pPr>
    <w:rPr>
      <w:rFonts w:cstheme="majorBidi"/>
      <w:b/>
      <w:color w:val="076A92"/>
      <w:sz w:val="36"/>
      <w:szCs w:val="28"/>
    </w:rPr>
  </w:style>
  <w:style w:type="character" w:customStyle="1" w:styleId="ChartTextChar">
    <w:name w:val="Chart Text Char"/>
    <w:basedOn w:val="DefaultParagraphFont"/>
    <w:link w:val="ChartText"/>
    <w:rsid w:val="002F1039"/>
    <w:rPr>
      <w:rFonts w:ascii="Arial" w:hAnsi="Arial"/>
      <w:sz w:val="20"/>
    </w:rPr>
  </w:style>
  <w:style w:type="paragraph" w:styleId="Footer">
    <w:name w:val="footer"/>
    <w:basedOn w:val="Normal"/>
    <w:link w:val="FooterChar"/>
    <w:uiPriority w:val="99"/>
    <w:unhideWhenUsed/>
    <w:qFormat/>
    <w:rsid w:val="009A46F9"/>
    <w:pPr>
      <w:tabs>
        <w:tab w:val="center" w:pos="4513"/>
        <w:tab w:val="right" w:pos="9026"/>
      </w:tabs>
      <w:spacing w:after="0" w:line="240" w:lineRule="auto"/>
    </w:pPr>
    <w:rPr>
      <w:b/>
      <w:color w:val="076A92"/>
      <w:sz w:val="20"/>
    </w:rPr>
  </w:style>
  <w:style w:type="character" w:customStyle="1" w:styleId="FooterChar">
    <w:name w:val="Footer Char"/>
    <w:basedOn w:val="DefaultParagraphFont"/>
    <w:link w:val="Footer"/>
    <w:uiPriority w:val="99"/>
    <w:rsid w:val="009A46F9"/>
    <w:rPr>
      <w:rFonts w:ascii="Arial" w:hAnsi="Arial"/>
      <w:b/>
      <w:color w:val="076A92"/>
      <w:sz w:val="20"/>
    </w:rPr>
  </w:style>
  <w:style w:type="character" w:styleId="Hyperlink">
    <w:name w:val="Hyperlink"/>
    <w:basedOn w:val="DefaultParagraphFont"/>
    <w:uiPriority w:val="99"/>
    <w:unhideWhenUsed/>
    <w:qFormat/>
    <w:rsid w:val="001939DE"/>
    <w:rPr>
      <w:color w:val="076A92" w:themeColor="hyperlink"/>
      <w:u w:val="single"/>
    </w:rPr>
  </w:style>
  <w:style w:type="paragraph" w:styleId="FootnoteText">
    <w:name w:val="footnote text"/>
    <w:aliases w:val="Footnote"/>
    <w:basedOn w:val="Normal"/>
    <w:link w:val="FootnoteTextChar"/>
    <w:uiPriority w:val="99"/>
    <w:unhideWhenUsed/>
    <w:qFormat/>
    <w:rsid w:val="00F412C9"/>
    <w:pPr>
      <w:spacing w:line="240" w:lineRule="auto"/>
    </w:pPr>
    <w:rPr>
      <w:color w:val="000000" w:themeColor="accent5"/>
      <w:sz w:val="18"/>
      <w:szCs w:val="20"/>
    </w:rPr>
  </w:style>
  <w:style w:type="character" w:customStyle="1" w:styleId="FootnoteTextChar">
    <w:name w:val="Footnote Text Char"/>
    <w:aliases w:val="Footnote Char"/>
    <w:basedOn w:val="DefaultParagraphFont"/>
    <w:link w:val="FootnoteText"/>
    <w:uiPriority w:val="99"/>
    <w:rsid w:val="00F412C9"/>
    <w:rPr>
      <w:rFonts w:ascii="Arial" w:hAnsi="Arial"/>
      <w:color w:val="000000" w:themeColor="accent5"/>
      <w:sz w:val="18"/>
      <w:szCs w:val="20"/>
    </w:rPr>
  </w:style>
  <w:style w:type="paragraph" w:customStyle="1" w:styleId="Source">
    <w:name w:val="Source"/>
    <w:basedOn w:val="Normal"/>
    <w:link w:val="SourceChar"/>
    <w:qFormat/>
    <w:rsid w:val="00694E1F"/>
    <w:rPr>
      <w:sz w:val="18"/>
      <w:szCs w:val="18"/>
    </w:rPr>
  </w:style>
  <w:style w:type="paragraph" w:customStyle="1" w:styleId="Note">
    <w:name w:val="Note"/>
    <w:basedOn w:val="Source"/>
    <w:link w:val="NoteChar"/>
    <w:qFormat/>
    <w:rsid w:val="00694E1F"/>
  </w:style>
  <w:style w:type="character" w:customStyle="1" w:styleId="SourceChar">
    <w:name w:val="Source Char"/>
    <w:basedOn w:val="DefaultParagraphFont"/>
    <w:link w:val="Source"/>
    <w:rsid w:val="00694E1F"/>
    <w:rPr>
      <w:rFonts w:ascii="Arial" w:hAnsi="Arial"/>
      <w:sz w:val="18"/>
      <w:szCs w:val="18"/>
    </w:rPr>
  </w:style>
  <w:style w:type="character" w:customStyle="1" w:styleId="Heading7Char">
    <w:name w:val="Heading 7 Char"/>
    <w:basedOn w:val="DefaultParagraphFont"/>
    <w:link w:val="Heading7"/>
    <w:uiPriority w:val="9"/>
    <w:semiHidden/>
    <w:rsid w:val="00CC659E"/>
    <w:rPr>
      <w:rFonts w:asciiTheme="majorHAnsi" w:eastAsiaTheme="majorEastAsia" w:hAnsiTheme="majorHAnsi" w:cstheme="majorBidi"/>
      <w:i/>
      <w:iCs/>
      <w:color w:val="0BA7E7" w:themeColor="text1" w:themeTint="BF"/>
    </w:rPr>
  </w:style>
  <w:style w:type="character" w:customStyle="1" w:styleId="NoteChar">
    <w:name w:val="Note Char"/>
    <w:basedOn w:val="SourceChar"/>
    <w:link w:val="Note"/>
    <w:rsid w:val="00694E1F"/>
    <w:rPr>
      <w:rFonts w:ascii="Arial" w:hAnsi="Arial"/>
      <w:sz w:val="18"/>
      <w:szCs w:val="18"/>
    </w:rPr>
  </w:style>
  <w:style w:type="character" w:customStyle="1" w:styleId="Heading8Char">
    <w:name w:val="Heading 8 Char"/>
    <w:basedOn w:val="DefaultParagraphFont"/>
    <w:link w:val="Heading8"/>
    <w:uiPriority w:val="9"/>
    <w:semiHidden/>
    <w:rsid w:val="00CC659E"/>
    <w:rPr>
      <w:rFonts w:asciiTheme="majorHAnsi" w:eastAsiaTheme="majorEastAsia" w:hAnsiTheme="majorHAnsi" w:cstheme="majorBidi"/>
      <w:color w:val="0BA7E7" w:themeColor="text1" w:themeTint="BF"/>
      <w:sz w:val="20"/>
      <w:szCs w:val="20"/>
    </w:rPr>
  </w:style>
  <w:style w:type="character" w:customStyle="1" w:styleId="Heading9Char">
    <w:name w:val="Heading 9 Char"/>
    <w:basedOn w:val="DefaultParagraphFont"/>
    <w:link w:val="Heading9"/>
    <w:uiPriority w:val="9"/>
    <w:semiHidden/>
    <w:rsid w:val="00CC659E"/>
    <w:rPr>
      <w:rFonts w:asciiTheme="majorHAnsi" w:eastAsiaTheme="majorEastAsia" w:hAnsiTheme="majorHAnsi" w:cstheme="majorBidi"/>
      <w:i/>
      <w:iCs/>
      <w:color w:val="0BA7E7" w:themeColor="text1" w:themeTint="BF"/>
      <w:sz w:val="20"/>
      <w:szCs w:val="20"/>
    </w:rPr>
  </w:style>
  <w:style w:type="numbering" w:customStyle="1" w:styleId="AlphanumericList">
    <w:name w:val="Alphanumeric List"/>
    <w:uiPriority w:val="99"/>
    <w:rsid w:val="00A94A4E"/>
    <w:pPr>
      <w:numPr>
        <w:numId w:val="5"/>
      </w:numPr>
    </w:pPr>
  </w:style>
  <w:style w:type="paragraph" w:styleId="BalloonText">
    <w:name w:val="Balloon Text"/>
    <w:basedOn w:val="Normal"/>
    <w:link w:val="BalloonTextChar"/>
    <w:uiPriority w:val="99"/>
    <w:semiHidden/>
    <w:unhideWhenUsed/>
    <w:rsid w:val="00AE7E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E16"/>
    <w:rPr>
      <w:rFonts w:ascii="Tahoma" w:hAnsi="Tahoma" w:cs="Tahoma"/>
      <w:sz w:val="16"/>
      <w:szCs w:val="16"/>
    </w:rPr>
  </w:style>
  <w:style w:type="paragraph" w:styleId="Header">
    <w:name w:val="header"/>
    <w:basedOn w:val="Normal"/>
    <w:link w:val="HeaderChar"/>
    <w:uiPriority w:val="99"/>
    <w:unhideWhenUsed/>
    <w:rsid w:val="00B14A00"/>
    <w:pPr>
      <w:tabs>
        <w:tab w:val="center" w:pos="4513"/>
        <w:tab w:val="right" w:pos="9026"/>
      </w:tabs>
      <w:spacing w:line="240" w:lineRule="auto"/>
    </w:pPr>
  </w:style>
  <w:style w:type="character" w:customStyle="1" w:styleId="HeaderChar">
    <w:name w:val="Header Char"/>
    <w:basedOn w:val="DefaultParagraphFont"/>
    <w:link w:val="Header"/>
    <w:uiPriority w:val="99"/>
    <w:rsid w:val="00B14A00"/>
    <w:rPr>
      <w:rFonts w:ascii="Arial" w:hAnsi="Arial"/>
    </w:rPr>
  </w:style>
  <w:style w:type="paragraph" w:customStyle="1" w:styleId="DocumentReferenceTitle">
    <w:name w:val="Document Reference Title"/>
    <w:basedOn w:val="Normal"/>
    <w:link w:val="DocumentReferenceTitleChar"/>
    <w:qFormat/>
    <w:rsid w:val="00E67D84"/>
    <w:rPr>
      <w:i/>
    </w:rPr>
  </w:style>
  <w:style w:type="paragraph" w:customStyle="1" w:styleId="Subscript">
    <w:name w:val="Subscript"/>
    <w:basedOn w:val="Normal"/>
    <w:next w:val="Normal"/>
    <w:link w:val="SubscriptChar"/>
    <w:qFormat/>
    <w:rsid w:val="00192403"/>
    <w:rPr>
      <w:sz w:val="20"/>
      <w:vertAlign w:val="subscript"/>
    </w:rPr>
  </w:style>
  <w:style w:type="character" w:customStyle="1" w:styleId="DocumentReferenceTitleChar">
    <w:name w:val="Document Reference Title Char"/>
    <w:basedOn w:val="DefaultParagraphFont"/>
    <w:link w:val="DocumentReferenceTitle"/>
    <w:rsid w:val="00E67D84"/>
    <w:rPr>
      <w:rFonts w:ascii="Arial" w:hAnsi="Arial"/>
      <w:i/>
    </w:rPr>
  </w:style>
  <w:style w:type="paragraph" w:customStyle="1" w:styleId="Superscript">
    <w:name w:val="Superscript"/>
    <w:basedOn w:val="Normal"/>
    <w:next w:val="Normal"/>
    <w:link w:val="SuperscriptChar"/>
    <w:qFormat/>
    <w:rsid w:val="00192403"/>
    <w:rPr>
      <w:sz w:val="20"/>
      <w:vertAlign w:val="superscript"/>
    </w:rPr>
  </w:style>
  <w:style w:type="character" w:customStyle="1" w:styleId="SubscriptChar">
    <w:name w:val="Subscript Char"/>
    <w:basedOn w:val="DefaultParagraphFont"/>
    <w:link w:val="Subscript"/>
    <w:rsid w:val="00192403"/>
    <w:rPr>
      <w:rFonts w:ascii="Arial" w:hAnsi="Arial"/>
      <w:sz w:val="20"/>
      <w:vertAlign w:val="subscript"/>
    </w:rPr>
  </w:style>
  <w:style w:type="character" w:customStyle="1" w:styleId="SuperscriptChar">
    <w:name w:val="Superscript Char"/>
    <w:basedOn w:val="DefaultParagraphFont"/>
    <w:link w:val="Superscript"/>
    <w:rsid w:val="00192403"/>
    <w:rPr>
      <w:rFonts w:ascii="Arial" w:hAnsi="Arial"/>
      <w:sz w:val="20"/>
      <w:vertAlign w:val="superscript"/>
    </w:rPr>
  </w:style>
  <w:style w:type="paragraph" w:styleId="TOC1">
    <w:name w:val="toc 1"/>
    <w:basedOn w:val="Normal"/>
    <w:next w:val="Normal"/>
    <w:link w:val="TOC1Char"/>
    <w:uiPriority w:val="39"/>
    <w:unhideWhenUsed/>
    <w:qFormat/>
    <w:rsid w:val="001D222D"/>
    <w:pPr>
      <w:tabs>
        <w:tab w:val="left" w:pos="397"/>
        <w:tab w:val="left" w:leader="dot" w:pos="9072"/>
      </w:tabs>
      <w:spacing w:after="100"/>
      <w:jc w:val="center"/>
    </w:pPr>
    <w:rPr>
      <w:b/>
      <w:color w:val="70635A"/>
      <w:sz w:val="24"/>
    </w:rPr>
  </w:style>
  <w:style w:type="table" w:customStyle="1" w:styleId="AERTable-Text">
    <w:name w:val="AER Table - Text"/>
    <w:basedOn w:val="TableNormal"/>
    <w:uiPriority w:val="99"/>
    <w:rsid w:val="00C93331"/>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DF1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746F2"/>
    <w:pPr>
      <w:spacing w:before="240" w:line="240" w:lineRule="auto"/>
    </w:pPr>
    <w:rPr>
      <w:b/>
      <w:bCs/>
      <w:color w:val="076A92"/>
      <w:szCs w:val="18"/>
    </w:rPr>
  </w:style>
  <w:style w:type="paragraph" w:customStyle="1" w:styleId="Quotation">
    <w:name w:val="Quotation"/>
    <w:basedOn w:val="Normal"/>
    <w:next w:val="Normal"/>
    <w:link w:val="QuotationChar"/>
    <w:qFormat/>
    <w:rsid w:val="002D05D5"/>
    <w:rPr>
      <w:i/>
    </w:rPr>
  </w:style>
  <w:style w:type="paragraph" w:customStyle="1" w:styleId="BlockQuote">
    <w:name w:val="Block Quote"/>
    <w:basedOn w:val="Normal"/>
    <w:next w:val="Normal"/>
    <w:link w:val="BlockQuoteChar"/>
    <w:qFormat/>
    <w:rsid w:val="002D05D5"/>
    <w:pPr>
      <w:ind w:left="284"/>
    </w:pPr>
    <w:rPr>
      <w:sz w:val="20"/>
      <w:szCs w:val="20"/>
    </w:rPr>
  </w:style>
  <w:style w:type="paragraph" w:styleId="Quote">
    <w:name w:val="Quote"/>
    <w:basedOn w:val="Normal"/>
    <w:next w:val="Normal"/>
    <w:link w:val="QuoteChar"/>
    <w:uiPriority w:val="29"/>
    <w:rsid w:val="006A43A5"/>
    <w:rPr>
      <w:i/>
      <w:iCs/>
    </w:rPr>
  </w:style>
  <w:style w:type="paragraph" w:customStyle="1" w:styleId="BoxedText">
    <w:name w:val="Boxed Text"/>
    <w:basedOn w:val="Normal"/>
    <w:link w:val="BoxedTextChar"/>
    <w:qFormat/>
    <w:rsid w:val="0038743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C8C0BA" w:themeFill="text2" w:themeFillTint="66"/>
    </w:pPr>
  </w:style>
  <w:style w:type="character" w:customStyle="1" w:styleId="BoxedTextChar">
    <w:name w:val="Boxed Text Char"/>
    <w:basedOn w:val="DefaultParagraphFont"/>
    <w:link w:val="BoxedText"/>
    <w:rsid w:val="00387432"/>
    <w:rPr>
      <w:rFonts w:ascii="Arial" w:hAnsi="Arial"/>
      <w:shd w:val="clear" w:color="auto" w:fill="C8C0BA" w:themeFill="text2" w:themeFillTint="66"/>
    </w:rPr>
  </w:style>
  <w:style w:type="paragraph" w:customStyle="1" w:styleId="ReportDate">
    <w:name w:val="Report Date"/>
    <w:basedOn w:val="ReportTitle"/>
    <w:link w:val="ReportDateChar"/>
    <w:qFormat/>
    <w:rsid w:val="002956ED"/>
    <w:pPr>
      <w:tabs>
        <w:tab w:val="center" w:pos="4598"/>
        <w:tab w:val="right" w:pos="9026"/>
      </w:tabs>
    </w:pPr>
    <w:rPr>
      <w:b w:val="0"/>
      <w:noProof/>
      <w:sz w:val="36"/>
      <w:szCs w:val="36"/>
      <w:lang w:eastAsia="en-AU"/>
    </w:rPr>
  </w:style>
  <w:style w:type="paragraph" w:customStyle="1" w:styleId="ReportSubtitle">
    <w:name w:val="Report Subtitle"/>
    <w:basedOn w:val="ReportTitle"/>
    <w:link w:val="ReportSubtitleChar"/>
    <w:qFormat/>
    <w:rsid w:val="002956ED"/>
    <w:pPr>
      <w:tabs>
        <w:tab w:val="center" w:pos="4598"/>
        <w:tab w:val="right" w:pos="9026"/>
      </w:tabs>
    </w:pPr>
    <w:rPr>
      <w:noProof/>
      <w:sz w:val="56"/>
      <w:szCs w:val="56"/>
      <w:lang w:eastAsia="en-AU"/>
    </w:rPr>
  </w:style>
  <w:style w:type="character" w:customStyle="1" w:styleId="ReportTitleChar">
    <w:name w:val="Report Title Char"/>
    <w:basedOn w:val="Heading1Char"/>
    <w:link w:val="ReportTitle"/>
    <w:rsid w:val="00FC3E6B"/>
    <w:rPr>
      <w:rFonts w:ascii="Arial" w:eastAsiaTheme="majorEastAsia" w:hAnsi="Arial" w:cs="Arial"/>
      <w:b/>
      <w:bCs w:val="0"/>
      <w:color w:val="70635A"/>
      <w:sz w:val="72"/>
      <w:szCs w:val="72"/>
    </w:rPr>
  </w:style>
  <w:style w:type="character" w:customStyle="1" w:styleId="ReportDateChar">
    <w:name w:val="Report Date Char"/>
    <w:basedOn w:val="ReportTitleChar"/>
    <w:link w:val="ReportDate"/>
    <w:rsid w:val="002956ED"/>
    <w:rPr>
      <w:rFonts w:ascii="Arial" w:eastAsiaTheme="majorEastAsia" w:hAnsi="Arial" w:cs="Arial"/>
      <w:b w:val="0"/>
      <w:bCs w:val="0"/>
      <w:noProof/>
      <w:color w:val="70635A"/>
      <w:sz w:val="36"/>
      <w:szCs w:val="36"/>
      <w:lang w:eastAsia="en-AU"/>
    </w:rPr>
  </w:style>
  <w:style w:type="character" w:customStyle="1" w:styleId="ReportSubtitleChar">
    <w:name w:val="Report Subtitle Char"/>
    <w:basedOn w:val="ReportTitleChar"/>
    <w:link w:val="ReportSubtitle"/>
    <w:rsid w:val="002956ED"/>
    <w:rPr>
      <w:rFonts w:ascii="Arial" w:eastAsiaTheme="majorEastAsia" w:hAnsi="Arial" w:cs="Arial"/>
      <w:b/>
      <w:bCs w:val="0"/>
      <w:noProof/>
      <w:color w:val="70635A"/>
      <w:sz w:val="56"/>
      <w:szCs w:val="56"/>
      <w:lang w:eastAsia="en-AU"/>
    </w:rPr>
  </w:style>
  <w:style w:type="paragraph" w:styleId="TOC2">
    <w:name w:val="toc 2"/>
    <w:basedOn w:val="Normal"/>
    <w:next w:val="Normal"/>
    <w:link w:val="TOC2Char"/>
    <w:uiPriority w:val="39"/>
    <w:unhideWhenUsed/>
    <w:qFormat/>
    <w:rsid w:val="001D222D"/>
    <w:pPr>
      <w:tabs>
        <w:tab w:val="left" w:pos="907"/>
        <w:tab w:val="left" w:leader="dot" w:pos="9072"/>
      </w:tabs>
      <w:ind w:left="284"/>
    </w:pPr>
    <w:rPr>
      <w:sz w:val="24"/>
    </w:rPr>
  </w:style>
  <w:style w:type="paragraph" w:styleId="TOC3">
    <w:name w:val="toc 3"/>
    <w:basedOn w:val="Normal"/>
    <w:next w:val="Normal"/>
    <w:link w:val="TOC3Char"/>
    <w:uiPriority w:val="39"/>
    <w:unhideWhenUsed/>
    <w:qFormat/>
    <w:rsid w:val="001974A9"/>
    <w:pPr>
      <w:tabs>
        <w:tab w:val="left" w:pos="1134"/>
        <w:tab w:val="left" w:leader="dot" w:pos="9072"/>
      </w:tabs>
      <w:ind w:left="567"/>
    </w:pPr>
  </w:style>
  <w:style w:type="numbering" w:customStyle="1" w:styleId="BulletedList">
    <w:name w:val="Bulleted List"/>
    <w:uiPriority w:val="99"/>
    <w:rsid w:val="006E0793"/>
    <w:pPr>
      <w:numPr>
        <w:numId w:val="3"/>
      </w:numPr>
    </w:pPr>
  </w:style>
  <w:style w:type="numbering" w:customStyle="1" w:styleId="RomanNumeralBulletedList">
    <w:name w:val="Roman Numeral Bulleted List"/>
    <w:uiPriority w:val="99"/>
    <w:rsid w:val="006E0793"/>
    <w:pPr>
      <w:numPr>
        <w:numId w:val="4"/>
      </w:numPr>
    </w:pPr>
  </w:style>
  <w:style w:type="character" w:styleId="Strong">
    <w:name w:val="Strong"/>
    <w:basedOn w:val="DefaultParagraphFont"/>
    <w:uiPriority w:val="22"/>
    <w:qFormat/>
    <w:rsid w:val="008235A5"/>
    <w:rPr>
      <w:rFonts w:ascii="Arial" w:hAnsi="Arial"/>
      <w:b/>
      <w:bCs/>
      <w:sz w:val="22"/>
    </w:rPr>
  </w:style>
  <w:style w:type="character" w:styleId="Emphasis">
    <w:name w:val="Emphasis"/>
    <w:aliases w:val="Quotation Style"/>
    <w:basedOn w:val="DefaultParagraphFont"/>
    <w:uiPriority w:val="20"/>
    <w:qFormat/>
    <w:rsid w:val="008235A5"/>
    <w:rPr>
      <w:rFonts w:ascii="Arial" w:hAnsi="Arial"/>
      <w:i/>
      <w:iCs/>
      <w:sz w:val="22"/>
    </w:rPr>
  </w:style>
  <w:style w:type="paragraph" w:styleId="EndnoteText">
    <w:name w:val="endnote text"/>
    <w:basedOn w:val="Normal"/>
    <w:link w:val="EndnoteTextChar"/>
    <w:uiPriority w:val="99"/>
    <w:semiHidden/>
    <w:unhideWhenUsed/>
    <w:rsid w:val="00175E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E60"/>
    <w:rPr>
      <w:rFonts w:ascii="Arial" w:hAnsi="Arial"/>
      <w:sz w:val="20"/>
      <w:szCs w:val="20"/>
    </w:rPr>
  </w:style>
  <w:style w:type="character" w:styleId="EndnoteReference">
    <w:name w:val="endnote reference"/>
    <w:basedOn w:val="DefaultParagraphFont"/>
    <w:uiPriority w:val="99"/>
    <w:semiHidden/>
    <w:unhideWhenUsed/>
    <w:rsid w:val="00175E60"/>
    <w:rPr>
      <w:vertAlign w:val="superscript"/>
    </w:rPr>
  </w:style>
  <w:style w:type="character" w:styleId="FootnoteReference">
    <w:name w:val="footnote reference"/>
    <w:basedOn w:val="DefaultParagraphFont"/>
    <w:uiPriority w:val="99"/>
    <w:unhideWhenUsed/>
    <w:rsid w:val="00F412C9"/>
    <w:rPr>
      <w:color w:val="000000" w:themeColor="accent5"/>
      <w:vertAlign w:val="superscript"/>
    </w:rPr>
  </w:style>
  <w:style w:type="character" w:customStyle="1" w:styleId="ConfidentialText">
    <w:name w:val="Confidential Text"/>
    <w:basedOn w:val="DefaultParagraphFont"/>
    <w:uiPriority w:val="1"/>
    <w:qFormat/>
    <w:rsid w:val="006550E6"/>
    <w:rPr>
      <w:rFonts w:ascii="Arial" w:hAnsi="Arial"/>
      <w:sz w:val="22"/>
      <w:bdr w:val="none" w:sz="0" w:space="0" w:color="auto"/>
      <w:shd w:val="clear" w:color="auto" w:fill="FFFF00"/>
    </w:rPr>
  </w:style>
  <w:style w:type="character" w:customStyle="1" w:styleId="QuoteChar">
    <w:name w:val="Quote Char"/>
    <w:basedOn w:val="DefaultParagraphFont"/>
    <w:link w:val="Quote"/>
    <w:uiPriority w:val="29"/>
    <w:rsid w:val="006A43A5"/>
    <w:rPr>
      <w:rFonts w:ascii="Arial" w:hAnsi="Arial"/>
      <w:i/>
      <w:iCs/>
    </w:rPr>
  </w:style>
  <w:style w:type="character" w:styleId="IntenseEmphasis">
    <w:name w:val="Intense Emphasis"/>
    <w:basedOn w:val="DefaultParagraphFont"/>
    <w:uiPriority w:val="21"/>
    <w:qFormat/>
    <w:rsid w:val="009225C2"/>
    <w:rPr>
      <w:rFonts w:ascii="Arial" w:hAnsi="Arial"/>
      <w:b/>
      <w:bCs/>
      <w:i/>
      <w:iCs/>
      <w:color w:val="000000"/>
      <w:sz w:val="22"/>
    </w:rPr>
  </w:style>
  <w:style w:type="character" w:styleId="PlaceholderText">
    <w:name w:val="Placeholder Text"/>
    <w:basedOn w:val="DefaultParagraphFont"/>
    <w:uiPriority w:val="99"/>
    <w:semiHidden/>
    <w:rsid w:val="00847401"/>
    <w:rPr>
      <w:color w:val="808080"/>
    </w:rPr>
  </w:style>
  <w:style w:type="character" w:customStyle="1" w:styleId="BlockQuoteChar">
    <w:name w:val="Block Quote Char"/>
    <w:basedOn w:val="DefaultParagraphFont"/>
    <w:link w:val="BlockQuote"/>
    <w:rsid w:val="00ED2BFC"/>
    <w:rPr>
      <w:rFonts w:ascii="Arial" w:hAnsi="Arial"/>
      <w:sz w:val="20"/>
      <w:szCs w:val="20"/>
    </w:rPr>
  </w:style>
  <w:style w:type="character" w:customStyle="1" w:styleId="ChapterTitleChar">
    <w:name w:val="Chapter Title Char"/>
    <w:basedOn w:val="Heading1Char"/>
    <w:link w:val="ChapterTitle"/>
    <w:rsid w:val="00B2492A"/>
    <w:rPr>
      <w:rFonts w:ascii="Arial" w:eastAsiaTheme="majorEastAsia" w:hAnsi="Arial" w:cs="Arial"/>
      <w:b/>
      <w:bCs/>
      <w:color w:val="070692"/>
      <w:sz w:val="52"/>
      <w:szCs w:val="36"/>
    </w:rPr>
  </w:style>
  <w:style w:type="character" w:customStyle="1" w:styleId="CopyrightChar">
    <w:name w:val="Copyright Char"/>
    <w:basedOn w:val="DefaultParagraphFont"/>
    <w:link w:val="Copyright"/>
    <w:rsid w:val="002D4DAB"/>
    <w:rPr>
      <w:rFonts w:ascii="Arial" w:hAnsi="Arial"/>
      <w:sz w:val="20"/>
      <w:szCs w:val="20"/>
    </w:rPr>
  </w:style>
  <w:style w:type="character" w:customStyle="1" w:styleId="QuotationChar">
    <w:name w:val="Quotation Char"/>
    <w:basedOn w:val="DefaultParagraphFont"/>
    <w:link w:val="Quotation"/>
    <w:rsid w:val="00B2492A"/>
    <w:rPr>
      <w:rFonts w:ascii="Arial" w:hAnsi="Arial"/>
      <w:i/>
    </w:rPr>
  </w:style>
  <w:style w:type="character" w:customStyle="1" w:styleId="TOCHeadingChar">
    <w:name w:val="TOC Heading Char"/>
    <w:aliases w:val="Table of Contents (TOC) Heading Char"/>
    <w:basedOn w:val="DefaultParagraphFont"/>
    <w:link w:val="TOCHeading"/>
    <w:uiPriority w:val="39"/>
    <w:rsid w:val="00B46283"/>
    <w:rPr>
      <w:rFonts w:ascii="Arial" w:hAnsi="Arial" w:cstheme="majorBidi"/>
      <w:b/>
      <w:color w:val="076A92"/>
      <w:sz w:val="36"/>
      <w:szCs w:val="28"/>
    </w:rPr>
  </w:style>
  <w:style w:type="character" w:customStyle="1" w:styleId="TOC1Char">
    <w:name w:val="TOC 1 Char"/>
    <w:basedOn w:val="DefaultParagraphFont"/>
    <w:link w:val="TOC1"/>
    <w:uiPriority w:val="39"/>
    <w:rsid w:val="001D222D"/>
    <w:rPr>
      <w:rFonts w:ascii="Arial" w:hAnsi="Arial"/>
      <w:b/>
      <w:color w:val="70635A"/>
      <w:sz w:val="24"/>
    </w:rPr>
  </w:style>
  <w:style w:type="character" w:customStyle="1" w:styleId="TOC2Char">
    <w:name w:val="TOC 2 Char"/>
    <w:basedOn w:val="DefaultParagraphFont"/>
    <w:link w:val="TOC2"/>
    <w:uiPriority w:val="39"/>
    <w:rsid w:val="001D222D"/>
    <w:rPr>
      <w:rFonts w:ascii="Arial" w:hAnsi="Arial"/>
      <w:sz w:val="24"/>
    </w:rPr>
  </w:style>
  <w:style w:type="character" w:customStyle="1" w:styleId="TOC3Char">
    <w:name w:val="TOC 3 Char"/>
    <w:basedOn w:val="DefaultParagraphFont"/>
    <w:link w:val="TOC3"/>
    <w:uiPriority w:val="39"/>
    <w:rsid w:val="001974A9"/>
    <w:rPr>
      <w:rFonts w:ascii="Arial" w:hAnsi="Arial"/>
    </w:rPr>
  </w:style>
  <w:style w:type="character" w:styleId="CommentReference">
    <w:name w:val="annotation reference"/>
    <w:basedOn w:val="DefaultParagraphFont"/>
    <w:uiPriority w:val="99"/>
    <w:unhideWhenUsed/>
    <w:rsid w:val="008E75F6"/>
    <w:rPr>
      <w:sz w:val="16"/>
      <w:szCs w:val="16"/>
    </w:rPr>
  </w:style>
  <w:style w:type="paragraph" w:styleId="CommentText">
    <w:name w:val="annotation text"/>
    <w:basedOn w:val="Normal"/>
    <w:link w:val="CommentTextChar"/>
    <w:uiPriority w:val="99"/>
    <w:unhideWhenUsed/>
    <w:rsid w:val="008E75F6"/>
    <w:pPr>
      <w:spacing w:line="240" w:lineRule="auto"/>
    </w:pPr>
    <w:rPr>
      <w:sz w:val="20"/>
      <w:szCs w:val="20"/>
    </w:rPr>
  </w:style>
  <w:style w:type="character" w:customStyle="1" w:styleId="CommentTextChar">
    <w:name w:val="Comment Text Char"/>
    <w:basedOn w:val="DefaultParagraphFont"/>
    <w:link w:val="CommentText"/>
    <w:uiPriority w:val="99"/>
    <w:rsid w:val="008E75F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E75F6"/>
    <w:rPr>
      <w:b/>
      <w:bCs/>
    </w:rPr>
  </w:style>
  <w:style w:type="character" w:customStyle="1" w:styleId="CommentSubjectChar">
    <w:name w:val="Comment Subject Char"/>
    <w:basedOn w:val="CommentTextChar"/>
    <w:link w:val="CommentSubject"/>
    <w:uiPriority w:val="99"/>
    <w:semiHidden/>
    <w:rsid w:val="008E75F6"/>
    <w:rPr>
      <w:rFonts w:ascii="Arial" w:hAnsi="Arial"/>
      <w:b/>
      <w:bCs/>
      <w:sz w:val="20"/>
      <w:szCs w:val="20"/>
    </w:rPr>
  </w:style>
  <w:style w:type="character" w:styleId="FollowedHyperlink">
    <w:name w:val="FollowedHyperlink"/>
    <w:basedOn w:val="DefaultParagraphFont"/>
    <w:uiPriority w:val="99"/>
    <w:semiHidden/>
    <w:unhideWhenUsed/>
    <w:rsid w:val="00B51279"/>
    <w:rPr>
      <w:color w:val="800080" w:themeColor="followedHyperlink"/>
      <w:u w:val="single"/>
    </w:rPr>
  </w:style>
  <w:style w:type="paragraph" w:styleId="NormalWeb">
    <w:name w:val="Normal (Web)"/>
    <w:basedOn w:val="Normal"/>
    <w:uiPriority w:val="99"/>
    <w:semiHidden/>
    <w:unhideWhenUsed/>
    <w:rsid w:val="007C61AD"/>
    <w:pPr>
      <w:spacing w:before="0" w:after="240" w:line="240" w:lineRule="auto"/>
    </w:pPr>
    <w:rPr>
      <w:rFonts w:ascii="Times New Roman" w:eastAsia="Times New Roman" w:hAnsi="Times New Roman" w:cs="Times New Roman"/>
      <w:sz w:val="24"/>
      <w:szCs w:val="24"/>
      <w:lang w:eastAsia="en-AU"/>
    </w:rPr>
  </w:style>
  <w:style w:type="paragraph" w:customStyle="1" w:styleId="AERbodytext">
    <w:name w:val="AER body text"/>
    <w:link w:val="AERbodytextChar"/>
    <w:rsid w:val="008E3B62"/>
    <w:pPr>
      <w:spacing w:before="0" w:after="240" w:line="240" w:lineRule="auto"/>
    </w:pPr>
    <w:rPr>
      <w:rFonts w:ascii="Times New Roman" w:eastAsia="Times New Roman" w:hAnsi="Times New Roman" w:cs="Times New Roman"/>
      <w:sz w:val="24"/>
      <w:szCs w:val="24"/>
    </w:rPr>
  </w:style>
  <w:style w:type="character" w:customStyle="1" w:styleId="AERbodytextChar">
    <w:name w:val="AER body text Char"/>
    <w:link w:val="AERbodytext"/>
    <w:rsid w:val="008E3B62"/>
    <w:rPr>
      <w:rFonts w:ascii="Times New Roman" w:eastAsia="Times New Roman" w:hAnsi="Times New Roman" w:cs="Times New Roman"/>
      <w:sz w:val="24"/>
      <w:szCs w:val="24"/>
    </w:rPr>
  </w:style>
  <w:style w:type="paragraph" w:customStyle="1" w:styleId="AERbulletlistfirststyle">
    <w:name w:val="AER bullet list (first style)"/>
    <w:basedOn w:val="Normal"/>
    <w:link w:val="AERbulletlistfirststyleChar"/>
    <w:rsid w:val="008E3B62"/>
    <w:pPr>
      <w:numPr>
        <w:numId w:val="60"/>
      </w:numPr>
      <w:tabs>
        <w:tab w:val="left" w:pos="567"/>
      </w:tabs>
      <w:spacing w:before="0" w:after="240" w:line="240" w:lineRule="atLeast"/>
    </w:pPr>
    <w:rPr>
      <w:rFonts w:ascii="Times New Roman" w:eastAsia="Times New Roman" w:hAnsi="Times New Roman" w:cs="Times New Roman"/>
      <w:sz w:val="24"/>
      <w:szCs w:val="24"/>
    </w:rPr>
  </w:style>
  <w:style w:type="character" w:customStyle="1" w:styleId="AERbulletlistfirststyleChar">
    <w:name w:val="AER bullet list (first style) Char"/>
    <w:link w:val="AERbulletlistfirststyle"/>
    <w:rsid w:val="008E3B62"/>
    <w:rPr>
      <w:rFonts w:ascii="Times New Roman" w:eastAsia="Times New Roman" w:hAnsi="Times New Roman" w:cs="Times New Roman"/>
      <w:sz w:val="24"/>
      <w:szCs w:val="24"/>
    </w:rPr>
  </w:style>
  <w:style w:type="paragraph" w:customStyle="1" w:styleId="Style1">
    <w:name w:val="Style1"/>
    <w:basedOn w:val="Normal"/>
    <w:autoRedefine/>
    <w:rsid w:val="00FB6CF6"/>
    <w:pPr>
      <w:widowControl w:val="0"/>
      <w:tabs>
        <w:tab w:val="left" w:pos="1260"/>
        <w:tab w:val="num" w:pos="1584"/>
      </w:tabs>
      <w:spacing w:before="0" w:after="240" w:line="240" w:lineRule="auto"/>
      <w:ind w:left="1361" w:hanging="284"/>
    </w:pPr>
    <w:rPr>
      <w:rFonts w:ascii="Times New Roman" w:eastAsia="Times New Roman" w:hAnsi="Times New Roman" w:cs="Times New Roman"/>
      <w:color w:val="0000FF"/>
      <w:sz w:val="24"/>
      <w:szCs w:val="20"/>
    </w:rPr>
  </w:style>
  <w:style w:type="paragraph" w:customStyle="1" w:styleId="Default">
    <w:name w:val="Default"/>
    <w:rsid w:val="000B0CEB"/>
    <w:pPr>
      <w:autoSpaceDE w:val="0"/>
      <w:autoSpaceDN w:val="0"/>
      <w:adjustRightInd w:val="0"/>
      <w:spacing w:before="0" w:after="0" w:line="240" w:lineRule="auto"/>
    </w:pPr>
    <w:rPr>
      <w:rFonts w:ascii="Times New Roman" w:hAnsi="Times New Roman" w:cs="Times New Roman"/>
      <w:color w:val="000000"/>
      <w:sz w:val="24"/>
      <w:szCs w:val="24"/>
    </w:rPr>
  </w:style>
  <w:style w:type="paragraph" w:customStyle="1" w:styleId="subsection">
    <w:name w:val="subsection"/>
    <w:basedOn w:val="Normal"/>
    <w:rsid w:val="004274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4274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2">
    <w:name w:val="subsection2"/>
    <w:basedOn w:val="Normal"/>
    <w:rsid w:val="004274E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8">
    <w:name w:val="A8"/>
    <w:uiPriority w:val="99"/>
    <w:rsid w:val="00645F25"/>
    <w:rPr>
      <w:rFonts w:cs="HelveticaNeueLT Std Lt"/>
      <w:color w:val="000000"/>
      <w:sz w:val="11"/>
      <w:szCs w:val="11"/>
    </w:rPr>
  </w:style>
  <w:style w:type="paragraph" w:styleId="Revision">
    <w:name w:val="Revision"/>
    <w:hidden/>
    <w:uiPriority w:val="99"/>
    <w:semiHidden/>
    <w:rsid w:val="007D2390"/>
    <w:pPr>
      <w:spacing w:before="0" w:after="0" w:line="240" w:lineRule="auto"/>
    </w:pPr>
    <w:rPr>
      <w:rFonts w:ascii="Arial" w:hAnsi="Arial"/>
    </w:rPr>
  </w:style>
  <w:style w:type="paragraph" w:styleId="TOC8">
    <w:name w:val="toc 8"/>
    <w:basedOn w:val="Normal"/>
    <w:next w:val="Normal"/>
    <w:uiPriority w:val="39"/>
    <w:rsid w:val="00A334B4"/>
    <w:pPr>
      <w:tabs>
        <w:tab w:val="right" w:leader="dot" w:pos="9016"/>
      </w:tabs>
      <w:spacing w:after="100" w:line="240" w:lineRule="atLeast"/>
      <w:ind w:left="2977"/>
    </w:pPr>
    <w:rPr>
      <w:noProof/>
    </w:rPr>
  </w:style>
  <w:style w:type="paragraph" w:styleId="TOC9">
    <w:name w:val="toc 9"/>
    <w:basedOn w:val="Normal"/>
    <w:next w:val="Normal"/>
    <w:uiPriority w:val="39"/>
    <w:rsid w:val="00A334B4"/>
    <w:pPr>
      <w:tabs>
        <w:tab w:val="right" w:leader="dot" w:pos="9016"/>
      </w:tabs>
      <w:spacing w:after="100" w:line="240" w:lineRule="atLeast"/>
      <w:ind w:left="3402"/>
    </w:pPr>
    <w:rPr>
      <w:noProof/>
    </w:rPr>
  </w:style>
  <w:style w:type="paragraph" w:styleId="TOC4">
    <w:name w:val="toc 4"/>
    <w:basedOn w:val="Normal"/>
    <w:next w:val="Normal"/>
    <w:uiPriority w:val="39"/>
    <w:rsid w:val="00A334B4"/>
    <w:pPr>
      <w:tabs>
        <w:tab w:val="right" w:leader="dot" w:pos="9016"/>
      </w:tabs>
      <w:spacing w:after="100" w:line="240" w:lineRule="atLeast"/>
      <w:ind w:left="1276"/>
    </w:pPr>
    <w:rPr>
      <w:noProof/>
    </w:rPr>
  </w:style>
  <w:style w:type="paragraph" w:styleId="TOC5">
    <w:name w:val="toc 5"/>
    <w:basedOn w:val="Normal"/>
    <w:next w:val="Normal"/>
    <w:uiPriority w:val="39"/>
    <w:rsid w:val="00A334B4"/>
    <w:pPr>
      <w:tabs>
        <w:tab w:val="right" w:leader="dot" w:pos="9016"/>
      </w:tabs>
      <w:spacing w:after="100" w:line="240" w:lineRule="atLeast"/>
      <w:ind w:left="1701"/>
    </w:pPr>
    <w:rPr>
      <w:noProof/>
    </w:rPr>
  </w:style>
  <w:style w:type="paragraph" w:styleId="TOC6">
    <w:name w:val="toc 6"/>
    <w:basedOn w:val="Normal"/>
    <w:next w:val="Normal"/>
    <w:uiPriority w:val="39"/>
    <w:rsid w:val="00A334B4"/>
    <w:pPr>
      <w:tabs>
        <w:tab w:val="right" w:leader="dot" w:pos="9016"/>
      </w:tabs>
      <w:spacing w:after="100" w:line="240" w:lineRule="atLeast"/>
      <w:ind w:left="2127"/>
    </w:pPr>
    <w:rPr>
      <w:noProof/>
    </w:rPr>
  </w:style>
  <w:style w:type="paragraph" w:styleId="TOC7">
    <w:name w:val="toc 7"/>
    <w:basedOn w:val="Normal"/>
    <w:next w:val="Normal"/>
    <w:uiPriority w:val="39"/>
    <w:rsid w:val="00A334B4"/>
    <w:pPr>
      <w:tabs>
        <w:tab w:val="right" w:leader="dot" w:pos="9016"/>
      </w:tabs>
      <w:spacing w:after="100" w:line="240" w:lineRule="atLeast"/>
      <w:ind w:left="2552"/>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4337">
      <w:bodyDiv w:val="1"/>
      <w:marLeft w:val="0"/>
      <w:marRight w:val="0"/>
      <w:marTop w:val="0"/>
      <w:marBottom w:val="0"/>
      <w:divBdr>
        <w:top w:val="none" w:sz="0" w:space="0" w:color="auto"/>
        <w:left w:val="none" w:sz="0" w:space="0" w:color="auto"/>
        <w:bottom w:val="none" w:sz="0" w:space="0" w:color="auto"/>
        <w:right w:val="none" w:sz="0" w:space="0" w:color="auto"/>
      </w:divBdr>
    </w:div>
    <w:div w:id="226575487">
      <w:bodyDiv w:val="1"/>
      <w:marLeft w:val="0"/>
      <w:marRight w:val="0"/>
      <w:marTop w:val="0"/>
      <w:marBottom w:val="0"/>
      <w:divBdr>
        <w:top w:val="none" w:sz="0" w:space="0" w:color="auto"/>
        <w:left w:val="none" w:sz="0" w:space="0" w:color="auto"/>
        <w:bottom w:val="none" w:sz="0" w:space="0" w:color="auto"/>
        <w:right w:val="none" w:sz="0" w:space="0" w:color="auto"/>
      </w:divBdr>
    </w:div>
    <w:div w:id="746149321">
      <w:bodyDiv w:val="1"/>
      <w:marLeft w:val="0"/>
      <w:marRight w:val="0"/>
      <w:marTop w:val="0"/>
      <w:marBottom w:val="0"/>
      <w:divBdr>
        <w:top w:val="none" w:sz="0" w:space="0" w:color="auto"/>
        <w:left w:val="none" w:sz="0" w:space="0" w:color="auto"/>
        <w:bottom w:val="none" w:sz="0" w:space="0" w:color="auto"/>
        <w:right w:val="none" w:sz="0" w:space="0" w:color="auto"/>
      </w:divBdr>
      <w:divsChild>
        <w:div w:id="1485782512">
          <w:marLeft w:val="0"/>
          <w:marRight w:val="0"/>
          <w:marTop w:val="0"/>
          <w:marBottom w:val="0"/>
          <w:divBdr>
            <w:top w:val="none" w:sz="0" w:space="0" w:color="auto"/>
            <w:left w:val="none" w:sz="0" w:space="0" w:color="auto"/>
            <w:bottom w:val="none" w:sz="0" w:space="0" w:color="auto"/>
            <w:right w:val="none" w:sz="0" w:space="0" w:color="auto"/>
          </w:divBdr>
          <w:divsChild>
            <w:div w:id="356350860">
              <w:marLeft w:val="0"/>
              <w:marRight w:val="0"/>
              <w:marTop w:val="0"/>
              <w:marBottom w:val="0"/>
              <w:divBdr>
                <w:top w:val="none" w:sz="0" w:space="0" w:color="auto"/>
                <w:left w:val="none" w:sz="0" w:space="0" w:color="auto"/>
                <w:bottom w:val="none" w:sz="0" w:space="0" w:color="auto"/>
                <w:right w:val="none" w:sz="0" w:space="0" w:color="auto"/>
              </w:divBdr>
              <w:divsChild>
                <w:div w:id="1366103642">
                  <w:marLeft w:val="0"/>
                  <w:marRight w:val="0"/>
                  <w:marTop w:val="0"/>
                  <w:marBottom w:val="0"/>
                  <w:divBdr>
                    <w:top w:val="none" w:sz="0" w:space="0" w:color="auto"/>
                    <w:left w:val="none" w:sz="0" w:space="0" w:color="auto"/>
                    <w:bottom w:val="none" w:sz="0" w:space="0" w:color="auto"/>
                    <w:right w:val="none" w:sz="0" w:space="0" w:color="auto"/>
                  </w:divBdr>
                  <w:divsChild>
                    <w:div w:id="2020888737">
                      <w:marLeft w:val="0"/>
                      <w:marRight w:val="0"/>
                      <w:marTop w:val="0"/>
                      <w:marBottom w:val="0"/>
                      <w:divBdr>
                        <w:top w:val="none" w:sz="0" w:space="0" w:color="auto"/>
                        <w:left w:val="none" w:sz="0" w:space="0" w:color="auto"/>
                        <w:bottom w:val="none" w:sz="0" w:space="0" w:color="auto"/>
                        <w:right w:val="none" w:sz="0" w:space="0" w:color="auto"/>
                      </w:divBdr>
                      <w:divsChild>
                        <w:div w:id="186605067">
                          <w:marLeft w:val="0"/>
                          <w:marRight w:val="0"/>
                          <w:marTop w:val="0"/>
                          <w:marBottom w:val="0"/>
                          <w:divBdr>
                            <w:top w:val="none" w:sz="0" w:space="0" w:color="auto"/>
                            <w:left w:val="none" w:sz="0" w:space="0" w:color="auto"/>
                            <w:bottom w:val="none" w:sz="0" w:space="0" w:color="auto"/>
                            <w:right w:val="none" w:sz="0" w:space="0" w:color="auto"/>
                          </w:divBdr>
                          <w:divsChild>
                            <w:div w:id="2064983586">
                              <w:marLeft w:val="0"/>
                              <w:marRight w:val="0"/>
                              <w:marTop w:val="0"/>
                              <w:marBottom w:val="0"/>
                              <w:divBdr>
                                <w:top w:val="none" w:sz="0" w:space="0" w:color="auto"/>
                                <w:left w:val="none" w:sz="0" w:space="0" w:color="auto"/>
                                <w:bottom w:val="none" w:sz="0" w:space="0" w:color="auto"/>
                                <w:right w:val="none" w:sz="0" w:space="0" w:color="auto"/>
                              </w:divBdr>
                              <w:divsChild>
                                <w:div w:id="1527019305">
                                  <w:marLeft w:val="0"/>
                                  <w:marRight w:val="0"/>
                                  <w:marTop w:val="0"/>
                                  <w:marBottom w:val="0"/>
                                  <w:divBdr>
                                    <w:top w:val="none" w:sz="0" w:space="0" w:color="auto"/>
                                    <w:left w:val="none" w:sz="0" w:space="0" w:color="auto"/>
                                    <w:bottom w:val="none" w:sz="0" w:space="0" w:color="auto"/>
                                    <w:right w:val="none" w:sz="0" w:space="0" w:color="auto"/>
                                  </w:divBdr>
                                  <w:divsChild>
                                    <w:div w:id="1464687334">
                                      <w:marLeft w:val="240"/>
                                      <w:marRight w:val="240"/>
                                      <w:marTop w:val="240"/>
                                      <w:marBottom w:val="0"/>
                                      <w:divBdr>
                                        <w:top w:val="none" w:sz="0" w:space="0" w:color="auto"/>
                                        <w:left w:val="none" w:sz="0" w:space="0" w:color="auto"/>
                                        <w:bottom w:val="none" w:sz="0" w:space="0" w:color="auto"/>
                                        <w:right w:val="none" w:sz="0" w:space="0" w:color="auto"/>
                                      </w:divBdr>
                                      <w:divsChild>
                                        <w:div w:id="658965089">
                                          <w:marLeft w:val="0"/>
                                          <w:marRight w:val="0"/>
                                          <w:marTop w:val="0"/>
                                          <w:marBottom w:val="0"/>
                                          <w:divBdr>
                                            <w:top w:val="none" w:sz="0" w:space="0" w:color="auto"/>
                                            <w:left w:val="none" w:sz="0" w:space="0" w:color="auto"/>
                                            <w:bottom w:val="none" w:sz="0" w:space="0" w:color="auto"/>
                                            <w:right w:val="none" w:sz="0" w:space="0" w:color="auto"/>
                                          </w:divBdr>
                                          <w:divsChild>
                                            <w:div w:id="87045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112517">
      <w:bodyDiv w:val="1"/>
      <w:marLeft w:val="0"/>
      <w:marRight w:val="0"/>
      <w:marTop w:val="0"/>
      <w:marBottom w:val="0"/>
      <w:divBdr>
        <w:top w:val="none" w:sz="0" w:space="0" w:color="auto"/>
        <w:left w:val="none" w:sz="0" w:space="0" w:color="auto"/>
        <w:bottom w:val="none" w:sz="0" w:space="0" w:color="auto"/>
        <w:right w:val="none" w:sz="0" w:space="0" w:color="auto"/>
      </w:divBdr>
    </w:div>
    <w:div w:id="810633166">
      <w:bodyDiv w:val="1"/>
      <w:marLeft w:val="0"/>
      <w:marRight w:val="0"/>
      <w:marTop w:val="0"/>
      <w:marBottom w:val="0"/>
      <w:divBdr>
        <w:top w:val="none" w:sz="0" w:space="0" w:color="auto"/>
        <w:left w:val="none" w:sz="0" w:space="0" w:color="auto"/>
        <w:bottom w:val="none" w:sz="0" w:space="0" w:color="auto"/>
        <w:right w:val="none" w:sz="0" w:space="0" w:color="auto"/>
      </w:divBdr>
    </w:div>
    <w:div w:id="890725166">
      <w:bodyDiv w:val="1"/>
      <w:marLeft w:val="0"/>
      <w:marRight w:val="0"/>
      <w:marTop w:val="0"/>
      <w:marBottom w:val="0"/>
      <w:divBdr>
        <w:top w:val="none" w:sz="0" w:space="0" w:color="auto"/>
        <w:left w:val="none" w:sz="0" w:space="0" w:color="auto"/>
        <w:bottom w:val="none" w:sz="0" w:space="0" w:color="auto"/>
        <w:right w:val="none" w:sz="0" w:space="0" w:color="auto"/>
      </w:divBdr>
    </w:div>
    <w:div w:id="914783205">
      <w:bodyDiv w:val="1"/>
      <w:marLeft w:val="0"/>
      <w:marRight w:val="0"/>
      <w:marTop w:val="0"/>
      <w:marBottom w:val="0"/>
      <w:divBdr>
        <w:top w:val="none" w:sz="0" w:space="0" w:color="auto"/>
        <w:left w:val="none" w:sz="0" w:space="0" w:color="auto"/>
        <w:bottom w:val="none" w:sz="0" w:space="0" w:color="auto"/>
        <w:right w:val="none" w:sz="0" w:space="0" w:color="auto"/>
      </w:divBdr>
    </w:div>
    <w:div w:id="1357654886">
      <w:bodyDiv w:val="1"/>
      <w:marLeft w:val="0"/>
      <w:marRight w:val="0"/>
      <w:marTop w:val="0"/>
      <w:marBottom w:val="0"/>
      <w:divBdr>
        <w:top w:val="none" w:sz="0" w:space="0" w:color="auto"/>
        <w:left w:val="none" w:sz="0" w:space="0" w:color="auto"/>
        <w:bottom w:val="none" w:sz="0" w:space="0" w:color="auto"/>
        <w:right w:val="none" w:sz="0" w:space="0" w:color="auto"/>
      </w:divBdr>
    </w:div>
    <w:div w:id="1453474278">
      <w:bodyDiv w:val="1"/>
      <w:marLeft w:val="0"/>
      <w:marRight w:val="0"/>
      <w:marTop w:val="0"/>
      <w:marBottom w:val="0"/>
      <w:divBdr>
        <w:top w:val="none" w:sz="0" w:space="0" w:color="auto"/>
        <w:left w:val="none" w:sz="0" w:space="0" w:color="auto"/>
        <w:bottom w:val="none" w:sz="0" w:space="0" w:color="auto"/>
        <w:right w:val="none" w:sz="0" w:space="0" w:color="auto"/>
      </w:divBdr>
    </w:div>
    <w:div w:id="1470829943">
      <w:bodyDiv w:val="1"/>
      <w:marLeft w:val="0"/>
      <w:marRight w:val="0"/>
      <w:marTop w:val="0"/>
      <w:marBottom w:val="0"/>
      <w:divBdr>
        <w:top w:val="none" w:sz="0" w:space="0" w:color="auto"/>
        <w:left w:val="none" w:sz="0" w:space="0" w:color="auto"/>
        <w:bottom w:val="none" w:sz="0" w:space="0" w:color="auto"/>
        <w:right w:val="none" w:sz="0" w:space="0" w:color="auto"/>
      </w:divBdr>
    </w:div>
    <w:div w:id="1603338880">
      <w:bodyDiv w:val="1"/>
      <w:marLeft w:val="0"/>
      <w:marRight w:val="0"/>
      <w:marTop w:val="0"/>
      <w:marBottom w:val="0"/>
      <w:divBdr>
        <w:top w:val="none" w:sz="0" w:space="0" w:color="auto"/>
        <w:left w:val="none" w:sz="0" w:space="0" w:color="auto"/>
        <w:bottom w:val="none" w:sz="0" w:space="0" w:color="auto"/>
        <w:right w:val="none" w:sz="0" w:space="0" w:color="auto"/>
      </w:divBdr>
      <w:divsChild>
        <w:div w:id="49428713">
          <w:marLeft w:val="0"/>
          <w:marRight w:val="0"/>
          <w:marTop w:val="0"/>
          <w:marBottom w:val="0"/>
          <w:divBdr>
            <w:top w:val="none" w:sz="0" w:space="0" w:color="auto"/>
            <w:left w:val="none" w:sz="0" w:space="0" w:color="auto"/>
            <w:bottom w:val="none" w:sz="0" w:space="0" w:color="auto"/>
            <w:right w:val="none" w:sz="0" w:space="0" w:color="auto"/>
          </w:divBdr>
          <w:divsChild>
            <w:div w:id="1231235785">
              <w:marLeft w:val="0"/>
              <w:marRight w:val="0"/>
              <w:marTop w:val="0"/>
              <w:marBottom w:val="0"/>
              <w:divBdr>
                <w:top w:val="none" w:sz="0" w:space="0" w:color="auto"/>
                <w:left w:val="none" w:sz="0" w:space="0" w:color="auto"/>
                <w:bottom w:val="none" w:sz="0" w:space="0" w:color="auto"/>
                <w:right w:val="none" w:sz="0" w:space="0" w:color="auto"/>
              </w:divBdr>
              <w:divsChild>
                <w:div w:id="1488083713">
                  <w:marLeft w:val="0"/>
                  <w:marRight w:val="0"/>
                  <w:marTop w:val="0"/>
                  <w:marBottom w:val="0"/>
                  <w:divBdr>
                    <w:top w:val="none" w:sz="0" w:space="0" w:color="auto"/>
                    <w:left w:val="none" w:sz="0" w:space="0" w:color="auto"/>
                    <w:bottom w:val="none" w:sz="0" w:space="0" w:color="auto"/>
                    <w:right w:val="none" w:sz="0" w:space="0" w:color="auto"/>
                  </w:divBdr>
                  <w:divsChild>
                    <w:div w:id="1143813910">
                      <w:marLeft w:val="0"/>
                      <w:marRight w:val="0"/>
                      <w:marTop w:val="0"/>
                      <w:marBottom w:val="0"/>
                      <w:divBdr>
                        <w:top w:val="none" w:sz="0" w:space="0" w:color="auto"/>
                        <w:left w:val="none" w:sz="0" w:space="0" w:color="auto"/>
                        <w:bottom w:val="none" w:sz="0" w:space="0" w:color="auto"/>
                        <w:right w:val="none" w:sz="0" w:space="0" w:color="auto"/>
                      </w:divBdr>
                      <w:divsChild>
                        <w:div w:id="92871517">
                          <w:marLeft w:val="0"/>
                          <w:marRight w:val="0"/>
                          <w:marTop w:val="0"/>
                          <w:marBottom w:val="0"/>
                          <w:divBdr>
                            <w:top w:val="none" w:sz="0" w:space="0" w:color="auto"/>
                            <w:left w:val="none" w:sz="0" w:space="0" w:color="auto"/>
                            <w:bottom w:val="none" w:sz="0" w:space="0" w:color="auto"/>
                            <w:right w:val="none" w:sz="0" w:space="0" w:color="auto"/>
                          </w:divBdr>
                          <w:divsChild>
                            <w:div w:id="1362975677">
                              <w:marLeft w:val="0"/>
                              <w:marRight w:val="0"/>
                              <w:marTop w:val="0"/>
                              <w:marBottom w:val="0"/>
                              <w:divBdr>
                                <w:top w:val="none" w:sz="0" w:space="0" w:color="auto"/>
                                <w:left w:val="none" w:sz="0" w:space="0" w:color="auto"/>
                                <w:bottom w:val="none" w:sz="0" w:space="0" w:color="auto"/>
                                <w:right w:val="none" w:sz="0" w:space="0" w:color="auto"/>
                              </w:divBdr>
                              <w:divsChild>
                                <w:div w:id="297075681">
                                  <w:marLeft w:val="0"/>
                                  <w:marRight w:val="0"/>
                                  <w:marTop w:val="0"/>
                                  <w:marBottom w:val="0"/>
                                  <w:divBdr>
                                    <w:top w:val="none" w:sz="0" w:space="0" w:color="auto"/>
                                    <w:left w:val="none" w:sz="0" w:space="0" w:color="auto"/>
                                    <w:bottom w:val="none" w:sz="0" w:space="0" w:color="auto"/>
                                    <w:right w:val="none" w:sz="0" w:space="0" w:color="auto"/>
                                  </w:divBdr>
                                  <w:divsChild>
                                    <w:div w:id="201016352">
                                      <w:marLeft w:val="240"/>
                                      <w:marRight w:val="240"/>
                                      <w:marTop w:val="240"/>
                                      <w:marBottom w:val="0"/>
                                      <w:divBdr>
                                        <w:top w:val="none" w:sz="0" w:space="0" w:color="auto"/>
                                        <w:left w:val="none" w:sz="0" w:space="0" w:color="auto"/>
                                        <w:bottom w:val="none" w:sz="0" w:space="0" w:color="auto"/>
                                        <w:right w:val="none" w:sz="0" w:space="0" w:color="auto"/>
                                      </w:divBdr>
                                      <w:divsChild>
                                        <w:div w:id="162547233">
                                          <w:marLeft w:val="0"/>
                                          <w:marRight w:val="0"/>
                                          <w:marTop w:val="0"/>
                                          <w:marBottom w:val="0"/>
                                          <w:divBdr>
                                            <w:top w:val="none" w:sz="0" w:space="0" w:color="auto"/>
                                            <w:left w:val="none" w:sz="0" w:space="0" w:color="auto"/>
                                            <w:bottom w:val="none" w:sz="0" w:space="0" w:color="auto"/>
                                            <w:right w:val="none" w:sz="0" w:space="0" w:color="auto"/>
                                          </w:divBdr>
                                          <w:divsChild>
                                            <w:div w:id="205026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357002">
      <w:bodyDiv w:val="1"/>
      <w:marLeft w:val="0"/>
      <w:marRight w:val="0"/>
      <w:marTop w:val="0"/>
      <w:marBottom w:val="0"/>
      <w:divBdr>
        <w:top w:val="none" w:sz="0" w:space="0" w:color="auto"/>
        <w:left w:val="none" w:sz="0" w:space="0" w:color="auto"/>
        <w:bottom w:val="none" w:sz="0" w:space="0" w:color="auto"/>
        <w:right w:val="none" w:sz="0" w:space="0" w:color="auto"/>
      </w:divBdr>
    </w:div>
    <w:div w:id="206624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hyperlink" Target="http://www.aer.gov.au/node/11037" TargetMode="External"/><Relationship Id="rId26" Type="http://schemas.openxmlformats.org/officeDocument/2006/relationships/hyperlink" Target="https://www.aer.gov.au/node/44943" TargetMode="External"/><Relationship Id="rId3" Type="http://schemas.openxmlformats.org/officeDocument/2006/relationships/styles" Target="styles.xml"/><Relationship Id="rId21" Type="http://schemas.openxmlformats.org/officeDocument/2006/relationships/hyperlink" Target="http://www.aer.gov.au/node/471"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AERExemptions@aer.gov.au"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aer.gov.au/networks-pipelines/guidelines-schemes-models-reviews/network-service-provider-registration-exemption-guideline-march-2018" TargetMode="External"/><Relationship Id="rId20" Type="http://schemas.openxmlformats.org/officeDocument/2006/relationships/hyperlink" Target="mailto:AERExemptions@aer.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ERInquiry@aer.gov.au"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aer.gov.au/node/983"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AERExemptions@aer.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ERExemptions@aer.gov.au" TargetMode="External"/><Relationship Id="rId22" Type="http://schemas.openxmlformats.org/officeDocument/2006/relationships/hyperlink" Target="https://www.aer.gov.au/networks-pipelines/guidelines-schemes-models-reviews/network-service-provider-registration-exemption-guideline-march-2018"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aer.gov.au/retail-markets/retail-guidelines-reviews/aer-sustainable-payment-plans-framework" TargetMode="External"/><Relationship Id="rId3" Type="http://schemas.openxmlformats.org/officeDocument/2006/relationships/hyperlink" Target="http://www.aer.gov.au/retail-markets/retail-exemptions" TargetMode="External"/><Relationship Id="rId7" Type="http://schemas.openxmlformats.org/officeDocument/2006/relationships/hyperlink" Target="https://www.aer.gov.au/forms/exemption-registration-application" TargetMode="External"/><Relationship Id="rId2" Type="http://schemas.openxmlformats.org/officeDocument/2006/relationships/hyperlink" Target="http://www.aer.gov.au/retail-markets/authorisations" TargetMode="External"/><Relationship Id="rId1" Type="http://schemas.openxmlformats.org/officeDocument/2006/relationships/hyperlink" Target="http://www.aer.gov.au/retail-markets/retail-guidelines/retailer-authorisation-guideline-december-2014" TargetMode="External"/><Relationship Id="rId6" Type="http://schemas.openxmlformats.org/officeDocument/2006/relationships/hyperlink" Target="http://www.aer.gov.au/retail-markets/compliance/enforcement-matters" TargetMode="External"/><Relationship Id="rId5" Type="http://schemas.openxmlformats.org/officeDocument/2006/relationships/hyperlink" Target="https://www.aer.gov.au/retail-markets/retail-exemptions/making-a-submission-to-an-individual-retail-exemption-application" TargetMode="External"/><Relationship Id="rId4" Type="http://schemas.openxmlformats.org/officeDocument/2006/relationships/hyperlink" Target="http://www.aer.gov.au/retail-markets/retail-exemptions/public-register-of-retail-exemptions" TargetMode="External"/><Relationship Id="rId9" Type="http://schemas.openxmlformats.org/officeDocument/2006/relationships/hyperlink" Target="https://www.aer.gov.au/retail-markets/retail-guidelines-reviews/aer-sustainable-payment-plans-framework" TargetMode="External"/></Relationships>
</file>

<file path=word/theme/theme1.xml><?xml version="1.0" encoding="utf-8"?>
<a:theme xmlns:a="http://schemas.openxmlformats.org/drawingml/2006/main" name="Office Theme">
  <a:themeElements>
    <a:clrScheme name="AER">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76A92"/>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9FBF1-FD2A-477F-885F-28032F827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18200</Words>
  <Characters>103742</Characters>
  <Application>Microsoft Office Word</Application>
  <DocSecurity>4</DocSecurity>
  <Lines>864</Lines>
  <Paragraphs>243</Paragraphs>
  <ScaleCrop>false</ScaleCrop>
  <HeadingPairs>
    <vt:vector size="2" baseType="variant">
      <vt:variant>
        <vt:lpstr>Title</vt:lpstr>
      </vt:variant>
      <vt:variant>
        <vt:i4>1</vt:i4>
      </vt:variant>
    </vt:vector>
  </HeadingPairs>
  <TitlesOfParts>
    <vt:vector size="1" baseType="lpstr">
      <vt:lpstr>AER Final Retail Exempt Selling Guideline - March 2016</vt:lpstr>
    </vt:vector>
  </TitlesOfParts>
  <Company>ACCC</Company>
  <LinksUpToDate>false</LinksUpToDate>
  <CharactersWithSpaces>121699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Retail Exempt Selling Guideline - March 2016</dc:title>
  <dc:creator>Michelle Looi</dc:creator>
  <cp:lastModifiedBy>Coronel, Danielle</cp:lastModifiedBy>
  <cp:revision>2</cp:revision>
  <cp:lastPrinted>2018-03-05T23:14:00Z</cp:lastPrinted>
  <dcterms:created xsi:type="dcterms:W3CDTF">2018-03-16T01:48:00Z</dcterms:created>
  <dcterms:modified xsi:type="dcterms:W3CDTF">2018-03-16T01:48:00Z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8850389</vt:lpwstr>
  </property>
  <property fmtid="{D5CDD505-2E9C-101B-9397-08002B2CF9AE}" pid="3" name="currfile">
    <vt:lpwstr>\\cdchnas-evs02\home$\dcoro\20170224 - exempt selling guideline - revision for version 5 - track changes (D2017-00023924).docx</vt:lpwstr>
  </property>
</Properties>
</file>