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A4074" w:rsidRPr="00CA4074" w:rsidRDefault="00AC0236" w:rsidP="00C52D60">
      <w:pPr>
        <w:pStyle w:val="AERfactsheetsubtitle"/>
        <w:widowControl w:val="0"/>
        <w:spacing w:before="120"/>
      </w:pPr>
      <w:r w:rsidRPr="00B0183D">
        <w:rPr>
          <w:noProof/>
          <w:sz w:val="18"/>
          <w:lang w:eastAsia="en-AU"/>
        </w:rPr>
        <mc:AlternateContent>
          <mc:Choice Requires="wpg">
            <w:drawing>
              <wp:anchor distT="0" distB="0" distL="114300" distR="114300" simplePos="0" relativeHeight="251657216" behindDoc="0" locked="0" layoutInCell="1" allowOverlap="1" wp14:anchorId="33EF526D" wp14:editId="7F39F1B7">
                <wp:simplePos x="0" y="0"/>
                <wp:positionH relativeFrom="column">
                  <wp:posOffset>-457200</wp:posOffset>
                </wp:positionH>
                <wp:positionV relativeFrom="paragraph">
                  <wp:posOffset>-38100</wp:posOffset>
                </wp:positionV>
                <wp:extent cx="7631430" cy="1685925"/>
                <wp:effectExtent l="0" t="0" r="7620" b="9525"/>
                <wp:wrapTopAndBottom/>
                <wp:docPr id="5" name="Group 5"/>
                <wp:cNvGraphicFramePr/>
                <a:graphic xmlns:a="http://schemas.openxmlformats.org/drawingml/2006/main">
                  <a:graphicData uri="http://schemas.microsoft.com/office/word/2010/wordprocessingGroup">
                    <wpg:wgp>
                      <wpg:cNvGrpSpPr/>
                      <wpg:grpSpPr>
                        <a:xfrm>
                          <a:off x="0" y="0"/>
                          <a:ext cx="7631430" cy="1685925"/>
                          <a:chOff x="0" y="0"/>
                          <a:chExt cx="7632015" cy="1686080"/>
                        </a:xfrm>
                      </wpg:grpSpPr>
                      <wps:wsp>
                        <wps:cNvPr id="2" name="Text Box 2"/>
                        <wps:cNvSpPr txBox="1">
                          <a:spLocks noChangeArrowheads="1"/>
                        </wps:cNvSpPr>
                        <wps:spPr bwMode="auto">
                          <a:xfrm>
                            <a:off x="0" y="787180"/>
                            <a:ext cx="7632015" cy="8989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AD0" w:rsidRPr="00225391" w:rsidRDefault="00857A8E" w:rsidP="00236EC9">
                              <w:pPr>
                                <w:spacing w:before="120"/>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Ring-Fencing Guideline (electricity distribution)</w:t>
                              </w:r>
                              <w:r w:rsidR="002C5AD0" w:rsidRPr="00C52D60">
                                <w:rPr>
                                  <w:rFonts w:ascii="MS Reference Sans Serif" w:hAnsi="MS Reference Sans Serif" w:cs="Tunga"/>
                                  <w:color w:val="FFFFFF"/>
                                  <w:spacing w:val="10"/>
                                  <w:w w:val="99"/>
                                  <w:kern w:val="44"/>
                                  <w:sz w:val="40"/>
                                  <w:szCs w:val="40"/>
                                </w:rPr>
                                <w:t xml:space="preserve">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3pt;width:600.9pt;height:132.75pt;z-index:251657216;mso-width-relative:margin;mso-height-relative:margin" coordsize="76320,16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">
                <v:shapetype id="_x0000_t202" coordsize="21600,21600" o:spt="202" path="m,l,21600r21600,l21600,xe">
                  <v:stroke joinstyle="miter"/>
                  <v:path gradientshapeok="t" o:connecttype="rect"/>
                </v:shapetype>
                <v:shape id="Text Box 2" o:spid="_x0000_s1027" type="#_x0000_t202" style="position:absolute;top:7871;width:76320;height:898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2C5AD0" w:rsidRPr="00225391" w:rsidRDefault="00857A8E" w:rsidP="00236EC9">
                        <w:pPr>
                          <w:spacing w:before="120"/>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Ring-Fencing Guideline (electricity distribution)</w:t>
                        </w:r>
                        <w:r w:rsidR="002C5AD0" w:rsidRPr="00C52D60">
                          <w:rPr>
                            <w:rFonts w:ascii="MS Reference Sans Serif" w:hAnsi="MS Reference Sans Serif" w:cs="Tunga"/>
                            <w:color w:val="FFFFFF"/>
                            <w:spacing w:val="10"/>
                            <w:w w:val="99"/>
                            <w:kern w:val="44"/>
                            <w:sz w:val="40"/>
                            <w:szCs w:val="40"/>
                          </w:rPr>
                          <w:t xml:space="preserve">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r w:rsidR="00751069">
        <w:t xml:space="preserve">We have </w:t>
      </w:r>
      <w:r w:rsidR="002F247F">
        <w:t>published our Ring-Fencing Guideline (the “Guideline”) for electricity distribution</w:t>
      </w:r>
      <w:r w:rsidR="00751069">
        <w:t xml:space="preserve">. </w:t>
      </w:r>
      <w:r w:rsidR="002F247F">
        <w:t>Distribution network service providers (DNSPs) are required to comply with the guideline as soon as reasonably practicable, but no later than 1 January 2018</w:t>
      </w:r>
      <w:r w:rsidR="00C81134">
        <w:t xml:space="preserve">. </w:t>
      </w:r>
    </w:p>
    <w:p w:rsidR="00130DB2" w:rsidRPr="00130DB2" w:rsidRDefault="00130DB2" w:rsidP="000E1E87">
      <w:pPr>
        <w:jc w:val="both"/>
        <w:rPr>
          <w:lang w:val="en"/>
        </w:rPr>
        <w:sectPr w:rsidR="00130DB2" w:rsidRPr="00130DB2" w:rsidSect="00BE5A7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284"/>
          <w:docGrid w:linePitch="360"/>
        </w:sectPr>
      </w:pPr>
    </w:p>
    <w:p w:rsidR="00AC0236" w:rsidRPr="00697FF1" w:rsidRDefault="0057269F" w:rsidP="004A076A">
      <w:pPr>
        <w:pStyle w:val="AERFactsheetHeading1"/>
        <w:keepNext w:val="0"/>
        <w:widowControl w:val="0"/>
        <w:spacing w:before="0" w:after="0"/>
        <w:jc w:val="both"/>
      </w:pPr>
      <w:r>
        <w:lastRenderedPageBreak/>
        <w:t>Overview</w:t>
      </w:r>
    </w:p>
    <w:p w:rsidR="001D67B4" w:rsidRDefault="002013CA" w:rsidP="003F62E8">
      <w:pPr>
        <w:pStyle w:val="AERfactsheetbodytext"/>
        <w:widowControl w:val="0"/>
        <w:jc w:val="both"/>
      </w:pPr>
      <w:r>
        <w:t>T</w:t>
      </w:r>
      <w:r w:rsidRPr="0057178D">
        <w:t>he Australian Energy Regulator (AER</w:t>
      </w:r>
      <w:r>
        <w:t xml:space="preserve">) </w:t>
      </w:r>
      <w:r w:rsidR="001D67B4">
        <w:t>determines</w:t>
      </w:r>
      <w:r w:rsidRPr="0057178D">
        <w:t xml:space="preserve"> </w:t>
      </w:r>
      <w:r w:rsidR="00136B9B">
        <w:t xml:space="preserve">the revenues </w:t>
      </w:r>
      <w:r w:rsidR="002F247F">
        <w:t>that DNSPs</w:t>
      </w:r>
      <w:r w:rsidR="002F247F" w:rsidRPr="0057178D">
        <w:t xml:space="preserve"> </w:t>
      </w:r>
      <w:r w:rsidR="001D67B4">
        <w:t>may earn</w:t>
      </w:r>
      <w:r w:rsidR="002F247F">
        <w:t xml:space="preserve"> from providing </w:t>
      </w:r>
      <w:r w:rsidR="001D67B4">
        <w:t>regulated electricity</w:t>
      </w:r>
      <w:r w:rsidR="002F247F">
        <w:t xml:space="preserve"> services</w:t>
      </w:r>
      <w:r w:rsidR="001D67B4">
        <w:t xml:space="preserve"> or ‘direct control services’. </w:t>
      </w:r>
      <w:r w:rsidR="000B7333">
        <w:t>Direct control</w:t>
      </w:r>
      <w:r w:rsidR="006A55C6">
        <w:t xml:space="preserve"> services</w:t>
      </w:r>
      <w:r w:rsidR="002F247F">
        <w:t xml:space="preserve"> </w:t>
      </w:r>
      <w:r w:rsidR="001D67B4">
        <w:t xml:space="preserve">relate to the electricity distribution network </w:t>
      </w:r>
      <w:r w:rsidR="00863C0D">
        <w:t xml:space="preserve">operated </w:t>
      </w:r>
      <w:r w:rsidR="001D67B4">
        <w:t>by a DNSP. A DNSP is the monopoly provider of direct control services and is therefore</w:t>
      </w:r>
      <w:r w:rsidR="00AA47F1">
        <w:t xml:space="preserve"> subject to </w:t>
      </w:r>
      <w:r w:rsidR="0051690F">
        <w:t xml:space="preserve">economic </w:t>
      </w:r>
      <w:r w:rsidR="00AA47F1">
        <w:t>regulation</w:t>
      </w:r>
      <w:r w:rsidR="0051690F">
        <w:t xml:space="preserve"> by us</w:t>
      </w:r>
      <w:r w:rsidR="002F247F">
        <w:t xml:space="preserve">. </w:t>
      </w:r>
    </w:p>
    <w:p w:rsidR="00DF7D69" w:rsidRDefault="001D67B4" w:rsidP="003F62E8">
      <w:pPr>
        <w:pStyle w:val="AERfactsheetbodytext"/>
        <w:widowControl w:val="0"/>
        <w:jc w:val="both"/>
      </w:pPr>
      <w:r>
        <w:t xml:space="preserve">Aside from direct control services, </w:t>
      </w:r>
      <w:r w:rsidR="002F247F">
        <w:t xml:space="preserve">DNSPs may </w:t>
      </w:r>
      <w:r>
        <w:t xml:space="preserve">also </w:t>
      </w:r>
      <w:r w:rsidR="002F247F">
        <w:t xml:space="preserve">provide other </w:t>
      </w:r>
      <w:r w:rsidR="00AA47F1">
        <w:t xml:space="preserve">unregulated </w:t>
      </w:r>
      <w:r w:rsidR="002F247F">
        <w:t xml:space="preserve">services </w:t>
      </w:r>
      <w:r w:rsidR="0051690F">
        <w:t>that</w:t>
      </w:r>
      <w:r w:rsidR="002F247F">
        <w:t xml:space="preserve"> are </w:t>
      </w:r>
      <w:r w:rsidR="00AA47F1">
        <w:t>offered on a competitive basis</w:t>
      </w:r>
      <w:r>
        <w:t>—</w:t>
      </w:r>
      <w:r w:rsidR="00AA47F1">
        <w:t>we refer to these as ‘contestable’</w:t>
      </w:r>
      <w:r>
        <w:t xml:space="preserve"> services</w:t>
      </w:r>
      <w:r w:rsidR="002F247F">
        <w:t xml:space="preserve">. </w:t>
      </w:r>
      <w:r w:rsidR="00AA47F1">
        <w:t>This</w:t>
      </w:r>
      <w:r w:rsidR="006A55C6">
        <w:t xml:space="preserve"> Guideline </w:t>
      </w:r>
      <w:r w:rsidR="00AA47F1">
        <w:t>imposes obligations on DNSPs to separate</w:t>
      </w:r>
      <w:r w:rsidR="006A55C6">
        <w:t xml:space="preserve"> monopoly </w:t>
      </w:r>
      <w:r w:rsidR="00AA47F1">
        <w:t>from</w:t>
      </w:r>
      <w:r w:rsidR="006A55C6">
        <w:t xml:space="preserve"> contestable business</w:t>
      </w:r>
      <w:r w:rsidR="00AA47F1">
        <w:t xml:space="preserve"> activities</w:t>
      </w:r>
      <w:r w:rsidR="006A55C6">
        <w:t xml:space="preserve">. </w:t>
      </w:r>
      <w:r w:rsidR="00AA47F1">
        <w:t>The obligations set out in the Guideline include functional, accounting and legal separation</w:t>
      </w:r>
      <w:r w:rsidR="0001543F">
        <w:t xml:space="preserve">. The obligations applicable to a DNSP </w:t>
      </w:r>
      <w:r w:rsidR="000B7333">
        <w:t xml:space="preserve">largely </w:t>
      </w:r>
      <w:r w:rsidR="0001543F">
        <w:t>depend</w:t>
      </w:r>
      <w:r w:rsidR="00AA47F1">
        <w:t xml:space="preserve"> on the types of service</w:t>
      </w:r>
      <w:r w:rsidR="000B7333">
        <w:t>s</w:t>
      </w:r>
      <w:r w:rsidR="00AA47F1">
        <w:t xml:space="preserve"> offered by a DNSP or </w:t>
      </w:r>
      <w:r w:rsidR="0001543F">
        <w:t xml:space="preserve">one of </w:t>
      </w:r>
      <w:r w:rsidR="00AA47F1">
        <w:t xml:space="preserve">its affiliates </w:t>
      </w:r>
      <w:r w:rsidR="0045399E">
        <w:t>(see figure 1)</w:t>
      </w:r>
      <w:r w:rsidR="006A55C6">
        <w:t xml:space="preserve">. </w:t>
      </w:r>
    </w:p>
    <w:p w:rsidR="000B7333" w:rsidRDefault="000B7333" w:rsidP="003F62E8">
      <w:pPr>
        <w:pStyle w:val="AERfactsheetbodytext"/>
        <w:widowControl w:val="0"/>
        <w:jc w:val="both"/>
      </w:pPr>
      <w:r>
        <w:t xml:space="preserve">DNSPs are required to report to </w:t>
      </w:r>
      <w:r w:rsidR="0051690F">
        <w:t>us</w:t>
      </w:r>
      <w:r>
        <w:t xml:space="preserve"> on compliance with the Guideline each year.</w:t>
      </w:r>
    </w:p>
    <w:p w:rsidR="006D2986" w:rsidRDefault="006D2986" w:rsidP="006D2986">
      <w:pPr>
        <w:pStyle w:val="AERFactsheetHeading1"/>
        <w:keepNext w:val="0"/>
        <w:widowControl w:val="0"/>
        <w:spacing w:before="0" w:after="0"/>
        <w:jc w:val="both"/>
      </w:pPr>
      <w:r>
        <w:t>What is ring-fencing?</w:t>
      </w:r>
    </w:p>
    <w:p w:rsidR="00526FD6" w:rsidRDefault="000B7333" w:rsidP="003F62E8">
      <w:pPr>
        <w:pStyle w:val="AERfactsheetbodytext"/>
        <w:widowControl w:val="0"/>
        <w:jc w:val="both"/>
      </w:pPr>
      <w:r>
        <w:t>R</w:t>
      </w:r>
      <w:r w:rsidR="0001543F">
        <w:t xml:space="preserve">ing-fencing </w:t>
      </w:r>
      <w:r>
        <w:t xml:space="preserve">refers to the </w:t>
      </w:r>
      <w:r w:rsidR="005036D3">
        <w:t xml:space="preserve">separation of monopoly services and contestable services where </w:t>
      </w:r>
      <w:r>
        <w:t>a regulated business also offers services into a competitive market. The obligations DNSP</w:t>
      </w:r>
      <w:r w:rsidR="0051690F">
        <w:t>s</w:t>
      </w:r>
      <w:r>
        <w:t xml:space="preserve"> must abide by are </w:t>
      </w:r>
      <w:r w:rsidR="0001543F">
        <w:t xml:space="preserve">described in the </w:t>
      </w:r>
      <w:r w:rsidR="00526FD6" w:rsidRPr="00526FD6">
        <w:t>Guideline</w:t>
      </w:r>
      <w:r>
        <w:t>. The obligations</w:t>
      </w:r>
      <w:r w:rsidR="00526FD6" w:rsidRPr="00526FD6">
        <w:t xml:space="preserve"> </w:t>
      </w:r>
      <w:r>
        <w:t>target</w:t>
      </w:r>
      <w:r w:rsidR="00526FD6" w:rsidRPr="00526FD6">
        <w:t xml:space="preserve"> two potential harms </w:t>
      </w:r>
      <w:r>
        <w:t>that can occur if a DNSP</w:t>
      </w:r>
      <w:r w:rsidR="0001543F">
        <w:t xml:space="preserve"> </w:t>
      </w:r>
      <w:r>
        <w:t>decides to offer</w:t>
      </w:r>
      <w:r w:rsidR="0001543F">
        <w:t xml:space="preserve"> services into a contestable market. </w:t>
      </w:r>
    </w:p>
    <w:p w:rsidR="00526FD6" w:rsidRDefault="00526FD6" w:rsidP="003F62E8">
      <w:pPr>
        <w:pStyle w:val="AERfactsheetbodytext"/>
        <w:widowControl w:val="0"/>
        <w:jc w:val="both"/>
      </w:pPr>
      <w:r>
        <w:t>First, t</w:t>
      </w:r>
      <w:r w:rsidRPr="00526FD6">
        <w:t xml:space="preserve">he Guideline addresses the risk of DNSPs cross-subsidising </w:t>
      </w:r>
      <w:r w:rsidR="0001543F">
        <w:t>contestable</w:t>
      </w:r>
      <w:r w:rsidRPr="00526FD6">
        <w:t xml:space="preserve"> services with revenue earned from their provision of </w:t>
      </w:r>
      <w:r w:rsidR="0001543F">
        <w:t xml:space="preserve">regulated </w:t>
      </w:r>
      <w:r w:rsidRPr="00526FD6">
        <w:t xml:space="preserve">distribution (and transmission) services. </w:t>
      </w:r>
    </w:p>
    <w:p w:rsidR="00526FD6" w:rsidRDefault="00526FD6" w:rsidP="003F62E8">
      <w:pPr>
        <w:pStyle w:val="AERfactsheetbodytext"/>
        <w:widowControl w:val="0"/>
        <w:jc w:val="both"/>
      </w:pPr>
      <w:r w:rsidRPr="00526FD6">
        <w:t xml:space="preserve">Second, the Guideline addresses the risk of DNSPs discriminating in contestable markets in favour of </w:t>
      </w:r>
      <w:r w:rsidR="008944A3" w:rsidRPr="004B0495">
        <w:t xml:space="preserve">its own business units providing </w:t>
      </w:r>
      <w:r w:rsidR="0001543F">
        <w:t>contestable</w:t>
      </w:r>
      <w:r w:rsidR="008944A3" w:rsidRPr="004B0495">
        <w:t xml:space="preserve"> distribution services or </w:t>
      </w:r>
      <w:r w:rsidR="0001543F">
        <w:t xml:space="preserve">through one of </w:t>
      </w:r>
      <w:r w:rsidR="008944A3" w:rsidRPr="004B0495">
        <w:t xml:space="preserve">its affiliated entities providing </w:t>
      </w:r>
      <w:r w:rsidR="005036D3">
        <w:t>contestable</w:t>
      </w:r>
      <w:r w:rsidR="005036D3" w:rsidRPr="004B0495">
        <w:t xml:space="preserve"> </w:t>
      </w:r>
      <w:r w:rsidR="008944A3" w:rsidRPr="004B0495">
        <w:t>electricity services.</w:t>
      </w:r>
      <w:r w:rsidR="008944A3">
        <w:t xml:space="preserve"> </w:t>
      </w:r>
      <w:r w:rsidR="0001543F">
        <w:t>A DNSP has a significant amount of information about its electricity network and this information could provide it with an unfair advantage in a competitive market. Ring-fencing is designed to enable a DNSP or its affiliate</w:t>
      </w:r>
      <w:r w:rsidR="006D2986">
        <w:t>s</w:t>
      </w:r>
      <w:r w:rsidR="0001543F">
        <w:t xml:space="preserve"> to </w:t>
      </w:r>
      <w:r w:rsidR="006D2986">
        <w:t>participate</w:t>
      </w:r>
      <w:r w:rsidR="0001543F">
        <w:t xml:space="preserve"> in </w:t>
      </w:r>
      <w:r w:rsidR="006D2986">
        <w:t>a contestable</w:t>
      </w:r>
      <w:r w:rsidR="0001543F">
        <w:t xml:space="preserve"> market </w:t>
      </w:r>
      <w:r w:rsidR="006D2986">
        <w:t>on a fair basis.</w:t>
      </w:r>
      <w:r w:rsidR="0001543F">
        <w:t xml:space="preserve"> </w:t>
      </w:r>
    </w:p>
    <w:p w:rsidR="000E4972" w:rsidRPr="00236EC9" w:rsidRDefault="000E4972" w:rsidP="00236EC9">
      <w:pPr>
        <w:pStyle w:val="AERFactsheetHeading1"/>
        <w:keepNext w:val="0"/>
        <w:widowControl w:val="0"/>
        <w:spacing w:before="0" w:after="0"/>
        <w:jc w:val="both"/>
      </w:pPr>
      <w:r w:rsidRPr="00236EC9">
        <w:t>Framework</w:t>
      </w:r>
    </w:p>
    <w:p w:rsidR="000E4972" w:rsidRDefault="000E4972" w:rsidP="000E4972">
      <w:pPr>
        <w:pStyle w:val="AERfactsheetbodytext"/>
        <w:widowControl w:val="0"/>
        <w:jc w:val="both"/>
      </w:pPr>
      <w:r>
        <w:t xml:space="preserve">The National Electricity Rules (NER) </w:t>
      </w:r>
      <w:proofErr w:type="gramStart"/>
      <w:r>
        <w:t>provide</w:t>
      </w:r>
      <w:proofErr w:type="gramEnd"/>
      <w:r>
        <w:t xml:space="preserve"> a framework for </w:t>
      </w:r>
      <w:r>
        <w:lastRenderedPageBreak/>
        <w:t>implementing a national approach to</w:t>
      </w:r>
      <w:r w:rsidR="006B662E">
        <w:t xml:space="preserve"> electricity ring-fencing. The G</w:t>
      </w:r>
      <w:r>
        <w:t>uideline is legally binding, mean</w:t>
      </w:r>
      <w:r w:rsidR="006B662E">
        <w:t>ing DNSPs must comply with the G</w:t>
      </w:r>
      <w:r>
        <w:t>uideline.</w:t>
      </w:r>
    </w:p>
    <w:p w:rsidR="000E4972" w:rsidRDefault="000E4972" w:rsidP="000E4972">
      <w:pPr>
        <w:pStyle w:val="AERfactsheetbodytext"/>
        <w:widowControl w:val="0"/>
        <w:jc w:val="both"/>
      </w:pPr>
      <w:r>
        <w:t>The NER set</w:t>
      </w:r>
      <w:r w:rsidR="006B662E">
        <w:t>s</w:t>
      </w:r>
      <w:r>
        <w:t xml:space="preserve"> out mechanisms through which we can establish a 'ring-fence' around a DNSP from its other business activities. The mechanisms referred to in the NER </w:t>
      </w:r>
      <w:r w:rsidR="005036D3">
        <w:t xml:space="preserve">include </w:t>
      </w:r>
      <w:r>
        <w:t xml:space="preserve">legal, accounting and functional separation to limit information flows. </w:t>
      </w:r>
    </w:p>
    <w:p w:rsidR="003C0A1D" w:rsidRPr="00236EC9" w:rsidRDefault="003C0A1D" w:rsidP="00236EC9">
      <w:pPr>
        <w:pStyle w:val="AERFactsheetHeading1"/>
        <w:keepNext w:val="0"/>
        <w:widowControl w:val="0"/>
        <w:spacing w:before="0" w:after="0"/>
        <w:jc w:val="both"/>
      </w:pPr>
      <w:r w:rsidRPr="00236EC9">
        <w:t>Key components of the Guideline</w:t>
      </w:r>
    </w:p>
    <w:p w:rsidR="00797F9D" w:rsidRDefault="003C0A1D" w:rsidP="003C0A1D">
      <w:pPr>
        <w:pStyle w:val="AERfactsheetbodytext"/>
        <w:widowControl w:val="0"/>
        <w:jc w:val="both"/>
      </w:pPr>
      <w:r>
        <w:t xml:space="preserve">The ring-fencing guideline is made up of several components. These include </w:t>
      </w:r>
      <w:r w:rsidR="00EB486D">
        <w:t xml:space="preserve">provisions to mitigate risk of </w:t>
      </w:r>
      <w:r>
        <w:t>cross-subsidi</w:t>
      </w:r>
      <w:r w:rsidR="00EB486D">
        <w:t xml:space="preserve">es and </w:t>
      </w:r>
      <w:r>
        <w:t>discrimination, waivers, reporting and compliance, and transitional issues.</w:t>
      </w:r>
      <w:r w:rsidR="00797F9D">
        <w:t xml:space="preserve"> </w:t>
      </w:r>
      <w:r w:rsidR="00797F9D" w:rsidRPr="00797F9D">
        <w:t>We discuss each of these below.</w:t>
      </w:r>
    </w:p>
    <w:p w:rsidR="00797F9D" w:rsidRDefault="00EB486D" w:rsidP="003C0A1D">
      <w:pPr>
        <w:pStyle w:val="AERfactsheetbodytext"/>
        <w:widowControl w:val="0"/>
        <w:jc w:val="both"/>
      </w:pPr>
      <w:r>
        <w:rPr>
          <w:noProof/>
          <w:szCs w:val="18"/>
          <w:lang w:eastAsia="en-AU"/>
        </w:rPr>
        <mc:AlternateContent>
          <mc:Choice Requires="wps">
            <w:drawing>
              <wp:inline distT="0" distB="0" distL="0" distR="0" wp14:anchorId="72E8479C" wp14:editId="54102115">
                <wp:extent cx="3277870" cy="1971923"/>
                <wp:effectExtent l="0" t="0" r="17780" b="28575"/>
                <wp:docPr id="1" name="Text Box 1"/>
                <wp:cNvGraphicFramePr/>
                <a:graphic xmlns:a="http://schemas.openxmlformats.org/drawingml/2006/main">
                  <a:graphicData uri="http://schemas.microsoft.com/office/word/2010/wordprocessingShape">
                    <wps:wsp>
                      <wps:cNvSpPr txBox="1"/>
                      <wps:spPr>
                        <a:xfrm>
                          <a:off x="0" y="0"/>
                          <a:ext cx="3277870" cy="1971923"/>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486D" w:rsidRDefault="00EB486D" w:rsidP="00EB486D">
                            <w:pPr>
                              <w:spacing w:after="120"/>
                              <w:rPr>
                                <w:b/>
                              </w:rPr>
                            </w:pPr>
                            <w:r>
                              <w:rPr>
                                <w:b/>
                              </w:rPr>
                              <w:t>Consultation</w:t>
                            </w:r>
                          </w:p>
                          <w:p w:rsidR="00EB486D" w:rsidRDefault="00EB486D" w:rsidP="00EB486D">
                            <w:pPr>
                              <w:pStyle w:val="AERfactsheetbodytext"/>
                              <w:widowControl w:val="0"/>
                              <w:jc w:val="both"/>
                            </w:pPr>
                            <w:r w:rsidRPr="00DA55F8">
                              <w:t xml:space="preserve">In developing the Guideline we undertook extensive consultation with DNSPs, </w:t>
                            </w:r>
                            <w:r>
                              <w:t>retailers, consumer advocates</w:t>
                            </w:r>
                            <w:r w:rsidRPr="00DA55F8">
                              <w:t xml:space="preserve"> and other stakeholders. This included publishing a preliminary positions paper, a </w:t>
                            </w:r>
                            <w:r w:rsidR="006B662E">
                              <w:t>D</w:t>
                            </w:r>
                            <w:r w:rsidRPr="00DA55F8">
                              <w:t xml:space="preserve">raft </w:t>
                            </w:r>
                            <w:r w:rsidR="006B662E">
                              <w:t>G</w:t>
                            </w:r>
                            <w:r w:rsidRPr="00DA55F8">
                              <w:t>uideline, an information paper and an exposure draft of the Guideline. We received around</w:t>
                            </w:r>
                            <w:r w:rsidR="006B662E">
                              <w:t xml:space="preserve"> 80</w:t>
                            </w:r>
                            <w:r w:rsidRPr="00DA55F8">
                              <w:t xml:space="preserve"> written submissions overall. We also held workshops and public forums where all parties could express their views in-person. In addition, we held a large number of one-on-one discussions with various stakeholders, including DNSPs, third party providers of competitive services and consumer representatives.</w:t>
                            </w:r>
                          </w:p>
                          <w:p w:rsidR="00EB486D" w:rsidRPr="00C604E8" w:rsidRDefault="00EB486D" w:rsidP="00EB486D">
                            <w:pPr>
                              <w:spacing w:after="12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 o:spid="_x0000_s1029" type="#_x0000_t202" style="width:258.1pt;height:1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" fillcolor="#c6d9f1 [671]" strokeweight=".5pt">
                <v:textbox>
                  <w:txbxContent>
                    <w:p w:rsidR="00EB486D" w:rsidRDefault="00EB486D" w:rsidP="00EB486D">
                      <w:pPr>
                        <w:spacing w:after="120"/>
                        <w:rPr>
                          <w:b/>
                        </w:rPr>
                      </w:pPr>
                      <w:r>
                        <w:rPr>
                          <w:b/>
                        </w:rPr>
                        <w:t>Consultation</w:t>
                      </w:r>
                    </w:p>
                    <w:p w:rsidR="00EB486D" w:rsidRDefault="00EB486D" w:rsidP="00EB486D">
                      <w:pPr>
                        <w:pStyle w:val="AERfactsheetbodytext"/>
                        <w:widowControl w:val="0"/>
                        <w:jc w:val="both"/>
                      </w:pPr>
                      <w:r w:rsidRPr="00DA55F8">
                        <w:t xml:space="preserve">In developing the Guideline we undertook extensive consultation with DNSPs, </w:t>
                      </w:r>
                      <w:r>
                        <w:t>retailers, consumer advocates</w:t>
                      </w:r>
                      <w:r w:rsidRPr="00DA55F8">
                        <w:t xml:space="preserve"> and other stakeholders. This included publishing a preliminary positions paper, a </w:t>
                      </w:r>
                      <w:r w:rsidR="006B662E">
                        <w:t>D</w:t>
                      </w:r>
                      <w:r w:rsidRPr="00DA55F8">
                        <w:t xml:space="preserve">raft </w:t>
                      </w:r>
                      <w:r w:rsidR="006B662E">
                        <w:t>G</w:t>
                      </w:r>
                      <w:r w:rsidRPr="00DA55F8">
                        <w:t>uideline, an information paper and an exposure draft of the Guideline. We received around</w:t>
                      </w:r>
                      <w:r w:rsidR="006B662E">
                        <w:t xml:space="preserve"> 80</w:t>
                      </w:r>
                      <w:r w:rsidRPr="00DA55F8">
                        <w:t xml:space="preserve"> written submissions overall. We also held workshops and public forums where all parties could express their views in-person. In addition, we held a large number of one-on-one discussions with various stakeholders, including DNSPs, third party providers of competitive services and consumer representatives.</w:t>
                      </w:r>
                    </w:p>
                    <w:p w:rsidR="00EB486D" w:rsidRPr="00C604E8" w:rsidRDefault="00EB486D" w:rsidP="00EB486D">
                      <w:pPr>
                        <w:spacing w:after="120"/>
                        <w:rPr>
                          <w:b/>
                        </w:rPr>
                      </w:pPr>
                    </w:p>
                  </w:txbxContent>
                </v:textbox>
                <w10:anchorlock/>
              </v:shape>
            </w:pict>
          </mc:Fallback>
        </mc:AlternateContent>
      </w:r>
    </w:p>
    <w:p w:rsidR="006A55C6" w:rsidRDefault="006A55C6" w:rsidP="00236EC9">
      <w:pPr>
        <w:pStyle w:val="AERFactsheetHeading1"/>
        <w:keepNext w:val="0"/>
        <w:widowControl w:val="0"/>
        <w:spacing w:before="0" w:after="0"/>
        <w:jc w:val="both"/>
      </w:pPr>
      <w:r w:rsidRPr="00236EC9">
        <w:t>Measures targeted at cross-subsidisation</w:t>
      </w:r>
    </w:p>
    <w:p w:rsidR="00BF45DD" w:rsidRDefault="00D23270" w:rsidP="003F62E8">
      <w:pPr>
        <w:pStyle w:val="AERfactsheetbodytext"/>
        <w:widowControl w:val="0"/>
        <w:jc w:val="both"/>
      </w:pPr>
      <w:r w:rsidRPr="00D23270">
        <w:t xml:space="preserve">A DNSP </w:t>
      </w:r>
      <w:r w:rsidR="00EB486D">
        <w:t xml:space="preserve">receives regulated revenues for providing direct control services. There is a risk that a DNSP could use regulated revenues to </w:t>
      </w:r>
      <w:r w:rsidRPr="00D23270">
        <w:t>cross-subsidis</w:t>
      </w:r>
      <w:r w:rsidR="00EB486D">
        <w:t>e</w:t>
      </w:r>
      <w:r w:rsidRPr="00D23270">
        <w:t xml:space="preserve"> other services</w:t>
      </w:r>
      <w:r w:rsidR="00EB486D">
        <w:t xml:space="preserve"> provide</w:t>
      </w:r>
      <w:r w:rsidR="00F8025C">
        <w:t>d</w:t>
      </w:r>
      <w:r w:rsidR="00EB486D">
        <w:t xml:space="preserve"> in contestable markets</w:t>
      </w:r>
      <w:r w:rsidRPr="00D23270">
        <w:t>.</w:t>
      </w:r>
      <w:r w:rsidR="00BF45DD">
        <w:t xml:space="preserve"> </w:t>
      </w:r>
      <w:r w:rsidR="00BF45DD" w:rsidRPr="00BF45DD">
        <w:t xml:space="preserve">The Guideline includes a coordinated suite of measures to </w:t>
      </w:r>
      <w:r w:rsidR="005036D3">
        <w:t xml:space="preserve">address </w:t>
      </w:r>
      <w:r w:rsidR="008944A3">
        <w:t>this risk</w:t>
      </w:r>
      <w:r w:rsidR="00BF45DD" w:rsidRPr="00BF45DD">
        <w:t>. Th</w:t>
      </w:r>
      <w:r w:rsidR="00EB486D">
        <w:t>ose</w:t>
      </w:r>
      <w:r w:rsidR="00BF45DD" w:rsidRPr="00BF45DD">
        <w:t xml:space="preserve"> measures cover legal separation, separate accounting and cost allocation.</w:t>
      </w:r>
    </w:p>
    <w:p w:rsidR="008F08E2" w:rsidRPr="00236EC9" w:rsidRDefault="008F08E2" w:rsidP="003F62E8">
      <w:pPr>
        <w:pStyle w:val="AERfactsheetbodytext"/>
        <w:widowControl w:val="0"/>
        <w:jc w:val="both"/>
        <w:rPr>
          <w:rStyle w:val="AERtextitalic"/>
        </w:rPr>
      </w:pPr>
      <w:r w:rsidRPr="00236EC9">
        <w:rPr>
          <w:rStyle w:val="AERtextitalic"/>
        </w:rPr>
        <w:t>Legal separation</w:t>
      </w:r>
    </w:p>
    <w:p w:rsidR="006A55C6" w:rsidRDefault="006A55C6" w:rsidP="003F62E8">
      <w:pPr>
        <w:pStyle w:val="AERfactsheetbodytext"/>
        <w:widowControl w:val="0"/>
        <w:jc w:val="both"/>
      </w:pPr>
      <w:r w:rsidRPr="006A55C6">
        <w:t xml:space="preserve">The </w:t>
      </w:r>
      <w:r w:rsidR="00F8025C">
        <w:t xml:space="preserve">Guideline </w:t>
      </w:r>
      <w:r w:rsidR="004E164B">
        <w:t>requires that a</w:t>
      </w:r>
      <w:r w:rsidRPr="006A55C6">
        <w:t xml:space="preserve"> DNSP </w:t>
      </w:r>
      <w:r w:rsidR="00D9796F">
        <w:t>be a legal entity that</w:t>
      </w:r>
      <w:r w:rsidR="004E164B">
        <w:t xml:space="preserve"> </w:t>
      </w:r>
      <w:r w:rsidR="008F08E2">
        <w:t>only provide</w:t>
      </w:r>
      <w:r w:rsidR="004E164B">
        <w:t>s</w:t>
      </w:r>
      <w:r w:rsidR="008F08E2">
        <w:t xml:space="preserve"> </w:t>
      </w:r>
      <w:r w:rsidR="004E164B">
        <w:t xml:space="preserve">distribution </w:t>
      </w:r>
      <w:r w:rsidRPr="006A55C6">
        <w:t>services. Th</w:t>
      </w:r>
      <w:r w:rsidR="00D9796F">
        <w:t>is business separation will mitigate risk of</w:t>
      </w:r>
      <w:r w:rsidR="004E164B">
        <w:t xml:space="preserve"> cross subsidies. In particular, independent audit of a DNSP’s accounts will provide a greater level of scrutiny as a result of legal separation</w:t>
      </w:r>
      <w:r w:rsidRPr="006A55C6">
        <w:t>.</w:t>
      </w:r>
      <w:r w:rsidR="004E164B">
        <w:t xml:space="preserve"> Some limited exceptions to legal separation may be acceptable, for example, where a DNSP applies to the AER to undertake </w:t>
      </w:r>
      <w:r w:rsidR="004E164B">
        <w:lastRenderedPageBreak/>
        <w:t>another regulated activity, like gas distribution.</w:t>
      </w:r>
    </w:p>
    <w:p w:rsidR="008F08E2" w:rsidRPr="00236EC9" w:rsidRDefault="008F08E2" w:rsidP="003F62E8">
      <w:pPr>
        <w:pStyle w:val="AERfactsheetbodytext"/>
        <w:widowControl w:val="0"/>
        <w:jc w:val="both"/>
        <w:rPr>
          <w:rStyle w:val="AERtextitalic"/>
        </w:rPr>
      </w:pPr>
      <w:r w:rsidRPr="00236EC9">
        <w:rPr>
          <w:rStyle w:val="AERtextitalic"/>
        </w:rPr>
        <w:t>Separate accounting</w:t>
      </w:r>
    </w:p>
    <w:p w:rsidR="00BF45DD" w:rsidRDefault="00BF45DD" w:rsidP="003F62E8">
      <w:pPr>
        <w:pStyle w:val="AERfactsheetbodytext"/>
        <w:widowControl w:val="0"/>
        <w:jc w:val="both"/>
      </w:pPr>
      <w:r w:rsidRPr="00BF45DD">
        <w:t xml:space="preserve">The </w:t>
      </w:r>
      <w:r w:rsidR="00F8025C">
        <w:t xml:space="preserve">Guideline’s </w:t>
      </w:r>
      <w:r w:rsidRPr="00BF45DD">
        <w:t xml:space="preserve">separate accounting obligations require a DNSP to establish and maintain internal accounting procedures </w:t>
      </w:r>
      <w:r w:rsidR="000825BA">
        <w:t>which allow it to demonstrate the nature and</w:t>
      </w:r>
      <w:r w:rsidRPr="00BF45DD">
        <w:t xml:space="preserve"> extent of transactions between it and its </w:t>
      </w:r>
      <w:r w:rsidR="000825BA">
        <w:t>affiliated entities</w:t>
      </w:r>
      <w:r w:rsidRPr="00BF45DD">
        <w:t>.</w:t>
      </w:r>
    </w:p>
    <w:p w:rsidR="008F08E2" w:rsidRPr="00236EC9" w:rsidRDefault="008F08E2" w:rsidP="003F62E8">
      <w:pPr>
        <w:pStyle w:val="AERfactsheetbodytext"/>
        <w:widowControl w:val="0"/>
        <w:jc w:val="both"/>
        <w:rPr>
          <w:rStyle w:val="AERtextitalic"/>
        </w:rPr>
      </w:pPr>
      <w:r w:rsidRPr="00236EC9">
        <w:rPr>
          <w:rStyle w:val="AERtextitalic"/>
        </w:rPr>
        <w:t>Cost allocation</w:t>
      </w:r>
    </w:p>
    <w:p w:rsidR="00BF45DD" w:rsidRDefault="004E164B" w:rsidP="003F62E8">
      <w:pPr>
        <w:pStyle w:val="AERfactsheetbodytext"/>
        <w:widowControl w:val="0"/>
        <w:jc w:val="both"/>
      </w:pPr>
      <w:r>
        <w:t xml:space="preserve">In simple terms, </w:t>
      </w:r>
      <w:r w:rsidR="002A5140">
        <w:t>DNSPs</w:t>
      </w:r>
      <w:r>
        <w:t xml:space="preserve"> are permitted to earn </w:t>
      </w:r>
      <w:r w:rsidR="002A5140">
        <w:t xml:space="preserve">revenue from customers to recover </w:t>
      </w:r>
      <w:r>
        <w:t>the cost</w:t>
      </w:r>
      <w:r w:rsidR="002A5140">
        <w:t>s</w:t>
      </w:r>
      <w:r>
        <w:t xml:space="preserve"> they incur. </w:t>
      </w:r>
      <w:r w:rsidR="002A5140">
        <w:t xml:space="preserve">Hence, an accurate record of costs is critical. </w:t>
      </w:r>
      <w:r w:rsidR="00BF45DD" w:rsidRPr="00BF45DD">
        <w:t xml:space="preserve">The </w:t>
      </w:r>
      <w:r w:rsidR="00F8025C">
        <w:t xml:space="preserve">Guideline’s </w:t>
      </w:r>
      <w:r w:rsidR="00BF45DD" w:rsidRPr="00BF45DD">
        <w:t xml:space="preserve">cost allocation obligations strengthen existing cost allocation arrangements by explicitly preventing a DNSP allocating or attributing to distribution services costs that properly relate to other services. The allocation and attribution </w:t>
      </w:r>
      <w:r w:rsidR="00EB486D">
        <w:t xml:space="preserve">of costs to distribution services </w:t>
      </w:r>
      <w:r w:rsidR="00BF45DD" w:rsidRPr="00BF45DD">
        <w:t>must be consistent with the cost allocation principles in NER cl. 6.15.2.</w:t>
      </w:r>
    </w:p>
    <w:p w:rsidR="006A55C6" w:rsidRPr="00236EC9" w:rsidRDefault="006A55C6" w:rsidP="00236EC9">
      <w:pPr>
        <w:pStyle w:val="AERFactsheetHeading1"/>
        <w:keepNext w:val="0"/>
        <w:widowControl w:val="0"/>
        <w:spacing w:before="0" w:after="0"/>
        <w:jc w:val="both"/>
      </w:pPr>
      <w:r w:rsidRPr="00236EC9">
        <w:t>Measures targeted at discrimination</w:t>
      </w:r>
    </w:p>
    <w:p w:rsidR="006A55C6" w:rsidRDefault="004B0495" w:rsidP="003F62E8">
      <w:pPr>
        <w:pStyle w:val="AERfactsheetbodytext"/>
        <w:widowControl w:val="0"/>
        <w:jc w:val="both"/>
      </w:pPr>
      <w:r w:rsidRPr="004B0495">
        <w:t>The Guideline includes complementary sets of general and specific obligations on a DNSP not to favour</w:t>
      </w:r>
      <w:r w:rsidR="00EB486D">
        <w:t xml:space="preserve"> </w:t>
      </w:r>
      <w:r w:rsidR="00F8025C">
        <w:t xml:space="preserve">a DNSP’s </w:t>
      </w:r>
      <w:r w:rsidR="00F8025C" w:rsidRPr="00F570F2">
        <w:rPr>
          <w:i/>
        </w:rPr>
        <w:t>related electricity service providers</w:t>
      </w:r>
      <w:r w:rsidR="00F8025C">
        <w:t>.</w:t>
      </w:r>
      <w:r w:rsidR="008944A3">
        <w:t xml:space="preserve"> </w:t>
      </w:r>
      <w:r w:rsidR="00427414" w:rsidRPr="00CD79A2">
        <w:t xml:space="preserve">In the absence of these obligations we consider there is a risk of </w:t>
      </w:r>
      <w:r w:rsidR="00F8025C">
        <w:t>a DNSP’s related</w:t>
      </w:r>
      <w:r w:rsidR="00427414" w:rsidRPr="00CD79A2">
        <w:t xml:space="preserve"> electricity service</w:t>
      </w:r>
      <w:r w:rsidR="00F8025C">
        <w:t xml:space="preserve"> provider</w:t>
      </w:r>
      <w:r w:rsidR="00427414" w:rsidRPr="00CD79A2">
        <w:t xml:space="preserve"> gaining an advantage over competitors in contestable markets for energy-related services by reason of their relationship with the DNSP.</w:t>
      </w:r>
    </w:p>
    <w:p w:rsidR="004B0495" w:rsidRPr="00236EC9" w:rsidRDefault="004B0495" w:rsidP="00236EC9">
      <w:pPr>
        <w:pStyle w:val="AERfactsheetbodytext"/>
        <w:keepNext/>
        <w:widowControl w:val="0"/>
        <w:jc w:val="both"/>
        <w:rPr>
          <w:rStyle w:val="AERtextitalic"/>
        </w:rPr>
      </w:pPr>
      <w:r w:rsidRPr="00236EC9">
        <w:rPr>
          <w:rStyle w:val="AERtextitalic"/>
        </w:rPr>
        <w:t>General non-discrimination</w:t>
      </w:r>
      <w:r w:rsidR="00317385">
        <w:rPr>
          <w:rStyle w:val="AERtextitalic"/>
        </w:rPr>
        <w:t xml:space="preserve"> obligations</w:t>
      </w:r>
    </w:p>
    <w:p w:rsidR="004B0495" w:rsidRDefault="004B0495" w:rsidP="004B0495">
      <w:pPr>
        <w:pStyle w:val="AERfactsheetbodytext"/>
        <w:widowControl w:val="0"/>
        <w:jc w:val="both"/>
      </w:pPr>
      <w:r>
        <w:t xml:space="preserve">The general non-discrimination provisions require </w:t>
      </w:r>
      <w:r w:rsidR="008944A3">
        <w:t>a</w:t>
      </w:r>
      <w:r>
        <w:t xml:space="preserve"> DNSP to:</w:t>
      </w:r>
    </w:p>
    <w:p w:rsidR="004B0495" w:rsidRDefault="004B0495" w:rsidP="008944A3">
      <w:pPr>
        <w:pStyle w:val="AERfactsheetbulletlist"/>
        <w:ind w:left="284" w:hanging="284"/>
      </w:pPr>
      <w:r>
        <w:t xml:space="preserve">deal with its </w:t>
      </w:r>
      <w:r w:rsidR="00EC0604" w:rsidRPr="00EC0604">
        <w:t>relat</w:t>
      </w:r>
      <w:r w:rsidR="00EC0604">
        <w:t>ed electricity service provider</w:t>
      </w:r>
      <w:r w:rsidR="00EC0604" w:rsidRPr="00EC0604" w:rsidDel="00EC0604">
        <w:t xml:space="preserve"> </w:t>
      </w:r>
      <w:r>
        <w:t>on an arm</w:t>
      </w:r>
      <w:r w:rsidR="00F570F2">
        <w:t>’</w:t>
      </w:r>
      <w:r>
        <w:t>s length basis</w:t>
      </w:r>
    </w:p>
    <w:p w:rsidR="004B0495" w:rsidRDefault="004B0495" w:rsidP="008944A3">
      <w:pPr>
        <w:pStyle w:val="AERfactsheetbulletlist"/>
        <w:ind w:left="284" w:hanging="284"/>
      </w:pPr>
      <w:proofErr w:type="gramStart"/>
      <w:r>
        <w:t>deal</w:t>
      </w:r>
      <w:proofErr w:type="gramEnd"/>
      <w:r>
        <w:t xml:space="preserve"> with </w:t>
      </w:r>
      <w:r w:rsidR="00D971EE">
        <w:t xml:space="preserve">its </w:t>
      </w:r>
      <w:r w:rsidR="00EC0604" w:rsidRPr="00EC0604">
        <w:t>relat</w:t>
      </w:r>
      <w:r w:rsidR="00EC0604">
        <w:t>ed electricity service provider</w:t>
      </w:r>
      <w:r w:rsidR="00EC0604" w:rsidRPr="00EC0604" w:rsidDel="00EC0604">
        <w:t xml:space="preserve"> </w:t>
      </w:r>
      <w:r w:rsidR="00D971EE">
        <w:t xml:space="preserve">and their </w:t>
      </w:r>
      <w:r>
        <w:t>competitors, or customers of those competitors, on substantially the same terms and conditions</w:t>
      </w:r>
      <w:r w:rsidR="00D90FB9">
        <w:t xml:space="preserve"> and provide substantially the same quality, reliability and timeliness of service.</w:t>
      </w:r>
      <w:r>
        <w:t xml:space="preserve"> </w:t>
      </w:r>
    </w:p>
    <w:p w:rsidR="004B0495" w:rsidRDefault="004B0495" w:rsidP="008944A3">
      <w:pPr>
        <w:pStyle w:val="AERfactsheetbulletlist"/>
        <w:ind w:left="284" w:hanging="284"/>
      </w:pPr>
      <w:r>
        <w:t xml:space="preserve">avoid providing information to its </w:t>
      </w:r>
      <w:r w:rsidR="00EC0604" w:rsidRPr="00EC0604">
        <w:t>relat</w:t>
      </w:r>
      <w:r w:rsidR="00EC0604">
        <w:t>ed electricity service provider</w:t>
      </w:r>
      <w:r w:rsidR="00EC0604" w:rsidRPr="00EC0604" w:rsidDel="00EC0604">
        <w:t xml:space="preserve"> </w:t>
      </w:r>
      <w:r>
        <w:t>that the DNSP has obtained through its dealings with a competitor of that provider that may advantage the provider</w:t>
      </w:r>
    </w:p>
    <w:p w:rsidR="00CD79A2" w:rsidRPr="00236EC9" w:rsidRDefault="00CD79A2" w:rsidP="003F62E8">
      <w:pPr>
        <w:pStyle w:val="AERfactsheetbodytext"/>
        <w:widowControl w:val="0"/>
        <w:jc w:val="both"/>
        <w:rPr>
          <w:rStyle w:val="AERtextitalic"/>
        </w:rPr>
      </w:pPr>
      <w:r w:rsidRPr="00236EC9">
        <w:rPr>
          <w:rStyle w:val="AERtextitalic"/>
        </w:rPr>
        <w:t>Specific obligations: Offices, staff, branding and promotions</w:t>
      </w:r>
    </w:p>
    <w:p w:rsidR="00CD79A2" w:rsidRDefault="00CD79A2" w:rsidP="00CD79A2">
      <w:pPr>
        <w:pStyle w:val="AERfactsheetbodytext"/>
        <w:widowControl w:val="0"/>
        <w:jc w:val="both"/>
      </w:pPr>
      <w:r>
        <w:t xml:space="preserve">The Guideline includes </w:t>
      </w:r>
      <w:r w:rsidR="00A95777">
        <w:t xml:space="preserve">specific </w:t>
      </w:r>
      <w:r w:rsidR="005036D3">
        <w:t>functional</w:t>
      </w:r>
      <w:r w:rsidR="00A95777">
        <w:t xml:space="preserve"> </w:t>
      </w:r>
      <w:r>
        <w:t xml:space="preserve">obligations in </w:t>
      </w:r>
      <w:r w:rsidR="00A95777">
        <w:t>several</w:t>
      </w:r>
      <w:r>
        <w:t xml:space="preserve"> areas</w:t>
      </w:r>
      <w:r w:rsidR="00D90FB9">
        <w:t>.</w:t>
      </w:r>
    </w:p>
    <w:p w:rsidR="00CD79A2" w:rsidRPr="0045399E" w:rsidRDefault="0089210B" w:rsidP="008944A3">
      <w:pPr>
        <w:pStyle w:val="AERfactsheetbulletlist"/>
        <w:ind w:left="284" w:hanging="284"/>
      </w:pPr>
      <w:r w:rsidRPr="008944A3">
        <w:t>Office sharing</w:t>
      </w:r>
      <w:r w:rsidRPr="0045399E">
        <w:t xml:space="preserve"> — </w:t>
      </w:r>
      <w:r w:rsidR="00CD79A2" w:rsidRPr="0045399E">
        <w:t>DNSP</w:t>
      </w:r>
      <w:r w:rsidR="00D90FB9" w:rsidRPr="0045399E">
        <w:t>s should be physically separate</w:t>
      </w:r>
      <w:r w:rsidR="00CD79A2" w:rsidRPr="0045399E">
        <w:t xml:space="preserve"> from </w:t>
      </w:r>
      <w:r w:rsidR="00EC0604" w:rsidRPr="00EC0604">
        <w:t>related electricity service providers</w:t>
      </w:r>
      <w:r w:rsidR="00D90FB9" w:rsidRPr="0045399E">
        <w:t xml:space="preserve">, </w:t>
      </w:r>
      <w:r w:rsidR="00E5790E" w:rsidRPr="0045399E">
        <w:t>that is</w:t>
      </w:r>
      <w:r w:rsidR="00D90FB9" w:rsidRPr="0045399E">
        <w:t xml:space="preserve"> they should have different offices</w:t>
      </w:r>
    </w:p>
    <w:p w:rsidR="00CD79A2" w:rsidRPr="0045399E" w:rsidRDefault="0089210B" w:rsidP="008944A3">
      <w:pPr>
        <w:pStyle w:val="AERfactsheetbulletlist"/>
        <w:ind w:left="284" w:hanging="284"/>
      </w:pPr>
      <w:r w:rsidRPr="008944A3">
        <w:t>Staff sharing</w:t>
      </w:r>
      <w:r w:rsidRPr="0045399E">
        <w:t xml:space="preserve"> — </w:t>
      </w:r>
      <w:r w:rsidR="00D90FB9" w:rsidRPr="0045399E">
        <w:t xml:space="preserve">DNSPs should not share staff with </w:t>
      </w:r>
      <w:r w:rsidR="00EC0604" w:rsidRPr="00EC0604">
        <w:t>related electricity service providers</w:t>
      </w:r>
    </w:p>
    <w:p w:rsidR="00CD79A2" w:rsidRPr="0045399E" w:rsidRDefault="0089210B" w:rsidP="00236EC9">
      <w:pPr>
        <w:pStyle w:val="AERfactsheetbulletlist"/>
        <w:ind w:left="284" w:hanging="284"/>
      </w:pPr>
      <w:r w:rsidRPr="008944A3">
        <w:t>Branding</w:t>
      </w:r>
      <w:r w:rsidRPr="0045399E">
        <w:t xml:space="preserve"> — </w:t>
      </w:r>
      <w:r w:rsidR="00A95777" w:rsidRPr="0045399E">
        <w:t>DNSP</w:t>
      </w:r>
      <w:r w:rsidR="00D90FB9" w:rsidRPr="0045399E">
        <w:t>s</w:t>
      </w:r>
      <w:r w:rsidR="00A95777" w:rsidRPr="0045399E">
        <w:t xml:space="preserve"> </w:t>
      </w:r>
      <w:r w:rsidR="00D90FB9" w:rsidRPr="0045399E">
        <w:t>should</w:t>
      </w:r>
      <w:r w:rsidR="00A95777" w:rsidRPr="0045399E">
        <w:t xml:space="preserve"> use independent and separate branding for its direct control services</w:t>
      </w:r>
    </w:p>
    <w:p w:rsidR="00A95777" w:rsidRPr="0045399E" w:rsidRDefault="0089210B" w:rsidP="008944A3">
      <w:pPr>
        <w:pStyle w:val="AERfactsheetbulletlist"/>
        <w:ind w:left="284" w:hanging="284"/>
      </w:pPr>
      <w:r w:rsidRPr="008944A3">
        <w:t>Promotions</w:t>
      </w:r>
      <w:r w:rsidRPr="0045399E">
        <w:t xml:space="preserve"> — </w:t>
      </w:r>
      <w:r w:rsidR="00D90FB9" w:rsidRPr="0045399E">
        <w:t xml:space="preserve">DNSPs should </w:t>
      </w:r>
      <w:r w:rsidR="00A95777" w:rsidRPr="0045399E">
        <w:t xml:space="preserve">avoid advertising or promoting the services provided by its </w:t>
      </w:r>
      <w:r w:rsidR="00EC0604" w:rsidRPr="00EC0604">
        <w:t>related electricity service providers</w:t>
      </w:r>
      <w:r w:rsidR="00A95777" w:rsidRPr="0045399E">
        <w:t>.</w:t>
      </w:r>
    </w:p>
    <w:p w:rsidR="0089210B" w:rsidRDefault="0089210B" w:rsidP="003F62E8">
      <w:pPr>
        <w:pStyle w:val="AERfactsheetbodytext"/>
        <w:widowControl w:val="0"/>
        <w:jc w:val="both"/>
      </w:pPr>
      <w:r>
        <w:t>Some exemptions apply to these specific obligations. DNSPs can also apply for waivers from these obligations.</w:t>
      </w:r>
    </w:p>
    <w:p w:rsidR="00CD79A2" w:rsidRPr="00236EC9" w:rsidRDefault="00CD79A2" w:rsidP="003F62E8">
      <w:pPr>
        <w:pStyle w:val="AERfactsheetbodytext"/>
        <w:widowControl w:val="0"/>
        <w:jc w:val="both"/>
        <w:rPr>
          <w:rStyle w:val="AERtextitalic"/>
        </w:rPr>
      </w:pPr>
      <w:r w:rsidRPr="00236EC9">
        <w:rPr>
          <w:rStyle w:val="AERtextitalic"/>
        </w:rPr>
        <w:t>Specific obligations: Information access and disclosure</w:t>
      </w:r>
    </w:p>
    <w:p w:rsidR="007C4C1F" w:rsidRDefault="00DB17FC" w:rsidP="0045399E">
      <w:pPr>
        <w:pStyle w:val="AERfactsheetbodytext"/>
        <w:widowControl w:val="0"/>
        <w:jc w:val="both"/>
      </w:pPr>
      <w:r>
        <w:lastRenderedPageBreak/>
        <w:t xml:space="preserve">The Guideline imposes </w:t>
      </w:r>
      <w:r w:rsidR="005036D3">
        <w:t xml:space="preserve">specific </w:t>
      </w:r>
      <w:r>
        <w:t xml:space="preserve">obligations on a DNSP as to how it is to deal with electricity information acquired or generated by it in connection with its provision of direct control services </w:t>
      </w:r>
      <w:r w:rsidR="00F26FE8">
        <w:t>unless it is</w:t>
      </w:r>
      <w:r>
        <w:t xml:space="preserve"> publicly available. </w:t>
      </w:r>
    </w:p>
    <w:p w:rsidR="00DB17FC" w:rsidRDefault="00DB17FC" w:rsidP="0045399E">
      <w:pPr>
        <w:pStyle w:val="AERfactsheetbodytext"/>
        <w:widowControl w:val="0"/>
        <w:jc w:val="both"/>
      </w:pPr>
      <w:r>
        <w:t>The Guideline requires a DNSP</w:t>
      </w:r>
      <w:r w:rsidR="000E5C84">
        <w:t xml:space="preserve"> </w:t>
      </w:r>
      <w:r>
        <w:t xml:space="preserve">to keep </w:t>
      </w:r>
      <w:r w:rsidR="00F26FE8">
        <w:t xml:space="preserve">this </w:t>
      </w:r>
      <w:r>
        <w:t>information confidential and only use it for the purpose for which it was provided.</w:t>
      </w:r>
      <w:r w:rsidR="000E5C84">
        <w:t xml:space="preserve"> It also </w:t>
      </w:r>
      <w:r w:rsidR="00F26FE8">
        <w:t>prevents the DNSP from disclosing</w:t>
      </w:r>
      <w:r>
        <w:t xml:space="preserve"> </w:t>
      </w:r>
      <w:r w:rsidR="00F26FE8">
        <w:t xml:space="preserve">this </w:t>
      </w:r>
      <w:r>
        <w:t>information unless</w:t>
      </w:r>
      <w:r w:rsidR="00E5790E">
        <w:t xml:space="preserve"> it has the customer’s consen</w:t>
      </w:r>
      <w:r w:rsidR="00F26FE8">
        <w:t>t or is required to do so by law or to enable it to provide distribution services.</w:t>
      </w:r>
    </w:p>
    <w:p w:rsidR="00DB17FC" w:rsidRPr="00526FD6" w:rsidRDefault="00DB17FC" w:rsidP="000B2B89">
      <w:pPr>
        <w:pStyle w:val="AERfactsheetbodytext"/>
        <w:widowControl w:val="0"/>
        <w:jc w:val="both"/>
      </w:pPr>
      <w:r w:rsidRPr="00DB17FC">
        <w:t xml:space="preserve">Where </w:t>
      </w:r>
      <w:proofErr w:type="gramStart"/>
      <w:r w:rsidR="00F570F2">
        <w:t>a DNSP</w:t>
      </w:r>
      <w:proofErr w:type="gramEnd"/>
      <w:r w:rsidR="00F570F2" w:rsidRPr="00DB17FC">
        <w:t xml:space="preserve"> </w:t>
      </w:r>
      <w:r w:rsidRPr="00DB17FC">
        <w:t>shares electricity information with a</w:t>
      </w:r>
      <w:r w:rsidR="00F570F2">
        <w:t xml:space="preserve"> related electricity service provider</w:t>
      </w:r>
      <w:r w:rsidRPr="00DB17FC">
        <w:t xml:space="preserve">, that it acquires or generates in connection with providing regulated distribution services, it must provide access to that information on an equal basis with third parties who are competing with the </w:t>
      </w:r>
      <w:r w:rsidR="00F570F2">
        <w:t>related electricity service provider</w:t>
      </w:r>
      <w:r w:rsidRPr="00DB17FC">
        <w:t>.</w:t>
      </w:r>
    </w:p>
    <w:p w:rsidR="006A55C6" w:rsidRPr="00236EC9" w:rsidRDefault="006A55C6" w:rsidP="00236EC9">
      <w:pPr>
        <w:pStyle w:val="AERFactsheetHeading1"/>
        <w:keepNext w:val="0"/>
        <w:widowControl w:val="0"/>
        <w:spacing w:before="0" w:after="0"/>
        <w:jc w:val="both"/>
      </w:pPr>
      <w:r w:rsidRPr="00236EC9">
        <w:t>Waiver provisions</w:t>
      </w:r>
    </w:p>
    <w:p w:rsidR="00DF7D69" w:rsidRDefault="00DF7D69" w:rsidP="003F62E8">
      <w:pPr>
        <w:pStyle w:val="AERfactsheetbodytext"/>
        <w:widowControl w:val="0"/>
        <w:jc w:val="both"/>
      </w:pPr>
      <w:r w:rsidRPr="00DF7D69">
        <w:t xml:space="preserve">A waiver is a permission we may grant to a DNSP exempting it from having to satisfy one or more of the obligations in the Guideline’s provisions. </w:t>
      </w:r>
      <w:r w:rsidRPr="00DB17FC">
        <w:t xml:space="preserve">The Guideline </w:t>
      </w:r>
      <w:r w:rsidR="000B2B89">
        <w:t>allows</w:t>
      </w:r>
      <w:r w:rsidRPr="00DB17FC">
        <w:t xml:space="preserve"> </w:t>
      </w:r>
      <w:r w:rsidR="000B2B89">
        <w:t xml:space="preserve">DNSPs to apply for </w:t>
      </w:r>
      <w:r w:rsidRPr="00DB17FC">
        <w:t>waivers in relation to the functional separation of accommodation or employees, co-branding obligations and in respect of legal separation.</w:t>
      </w:r>
    </w:p>
    <w:p w:rsidR="006A55C6" w:rsidRDefault="00DF7D69">
      <w:pPr>
        <w:pStyle w:val="AERfactsheetbodytext"/>
        <w:widowControl w:val="0"/>
        <w:jc w:val="both"/>
      </w:pPr>
      <w:r w:rsidRPr="00DF7D69">
        <w:t>However, not all of the Guideline’s provisions are subject to waivers.</w:t>
      </w:r>
      <w:r>
        <w:t xml:space="preserve"> C</w:t>
      </w:r>
      <w:r w:rsidR="00DB17FC" w:rsidRPr="00DB17FC">
        <w:t>ore ring-fencing obligations for cost allocation, separate accounts, non-discrimination and information protection cannot be waived.</w:t>
      </w:r>
    </w:p>
    <w:p w:rsidR="00E527DF" w:rsidRDefault="00E527DF" w:rsidP="00E527DF">
      <w:pPr>
        <w:pStyle w:val="AERfactsheetbodytext"/>
        <w:widowControl w:val="0"/>
        <w:jc w:val="both"/>
      </w:pPr>
      <w:r>
        <w:t xml:space="preserve">There are two specific circumstances in which we are likely to grant a waiver from legal separation obligations. </w:t>
      </w:r>
      <w:proofErr w:type="gramStart"/>
      <w:r>
        <w:t>First, in relation to other services provided by a DNSP that are also regulated services, whether regulated by us or by another economic regulator.</w:t>
      </w:r>
      <w:proofErr w:type="gramEnd"/>
      <w:r>
        <w:t xml:space="preserve"> </w:t>
      </w:r>
      <w:proofErr w:type="gramStart"/>
      <w:r>
        <w:t>Second, in relation to services that a DNSP is required by law to provide.</w:t>
      </w:r>
      <w:proofErr w:type="gramEnd"/>
      <w:r>
        <w:t xml:space="preserve"> </w:t>
      </w:r>
      <w:r w:rsidR="00991413">
        <w:t>Of course, a DNSP will still be required to satisfy us that a waiver should be granted because doing so is in the long term interests of consumers. We may also consider</w:t>
      </w:r>
      <w:r>
        <w:t xml:space="preserve"> other circumstances </w:t>
      </w:r>
      <w:r w:rsidR="00991413">
        <w:t>and</w:t>
      </w:r>
      <w:r>
        <w:t xml:space="preserve"> will assess waiver applications on their merits.</w:t>
      </w:r>
    </w:p>
    <w:p w:rsidR="00E527DF" w:rsidRDefault="00E527DF" w:rsidP="00E527DF">
      <w:pPr>
        <w:pStyle w:val="AERfactsheetbodytext"/>
        <w:widowControl w:val="0"/>
        <w:jc w:val="both"/>
      </w:pPr>
      <w:r>
        <w:t>Where a waiver from legal separation obligations is granted it would be appropriate to also grant waivers from office and staff separation obligations and, potentially, obligations restricting co-branding. More generally, we will assess applications for waivers from the Guideline’s non-discrimination obligations on their merits.</w:t>
      </w:r>
    </w:p>
    <w:p w:rsidR="006A55C6" w:rsidRPr="00236EC9" w:rsidRDefault="00D23270" w:rsidP="00236EC9">
      <w:pPr>
        <w:pStyle w:val="AERFactsheetHeading1"/>
        <w:keepNext w:val="0"/>
        <w:widowControl w:val="0"/>
        <w:spacing w:before="0" w:after="0"/>
        <w:jc w:val="both"/>
      </w:pPr>
      <w:r w:rsidRPr="00236EC9">
        <w:t>Reporting compliance and enforcement</w:t>
      </w:r>
    </w:p>
    <w:p w:rsidR="0045399E" w:rsidRDefault="00660308" w:rsidP="000B2B89">
      <w:pPr>
        <w:pStyle w:val="AERfactsheetbodytext"/>
        <w:widowControl w:val="0"/>
        <w:jc w:val="both"/>
      </w:pPr>
      <w:r w:rsidRPr="00FC7080">
        <w:rPr>
          <w:noProof/>
          <w:lang w:eastAsia="en-AU"/>
        </w:rPr>
        <w:drawing>
          <wp:anchor distT="0" distB="0" distL="114300" distR="114300" simplePos="0" relativeHeight="251704320" behindDoc="0" locked="0" layoutInCell="1" allowOverlap="1" wp14:anchorId="584F3576" wp14:editId="71C2DBD6">
            <wp:simplePos x="0" y="0"/>
            <wp:positionH relativeFrom="column">
              <wp:posOffset>-499745</wp:posOffset>
            </wp:positionH>
            <wp:positionV relativeFrom="page">
              <wp:posOffset>10212070</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sidR="000B2B89">
        <w:t xml:space="preserve">The Guideline requires a DNSP to establish and maintain internal procedures to ensure compliance with its ring-fencing obligations. </w:t>
      </w:r>
      <w:r w:rsidR="0045399E">
        <w:t>This includes keeping a range of records as follows:</w:t>
      </w:r>
    </w:p>
    <w:p w:rsidR="000B2B89" w:rsidRDefault="0045399E" w:rsidP="0045399E">
      <w:pPr>
        <w:pStyle w:val="AERfactsheetbulletlist"/>
        <w:ind w:left="284" w:hanging="284"/>
      </w:pPr>
      <w:r>
        <w:t>to demonstrate compliance with cost allocation obligations and the requirement to maintain separate accounts</w:t>
      </w:r>
    </w:p>
    <w:p w:rsidR="0045399E" w:rsidRDefault="0045399E" w:rsidP="0045399E">
      <w:pPr>
        <w:pStyle w:val="AERfactsheetbulletlist"/>
        <w:ind w:left="284" w:hanging="284"/>
      </w:pPr>
      <w:r>
        <w:t>office and staff registers</w:t>
      </w:r>
    </w:p>
    <w:p w:rsidR="0045399E" w:rsidRDefault="0045399E" w:rsidP="0045399E">
      <w:pPr>
        <w:pStyle w:val="AERfactsheetbulletlist"/>
        <w:ind w:left="284" w:hanging="284"/>
      </w:pPr>
      <w:proofErr w:type="gramStart"/>
      <w:r>
        <w:t>information</w:t>
      </w:r>
      <w:proofErr w:type="gramEnd"/>
      <w:r>
        <w:t xml:space="preserve"> sharing protocol and information disclosure register.</w:t>
      </w:r>
    </w:p>
    <w:p w:rsidR="000B2B89" w:rsidRDefault="000B2B89" w:rsidP="000B2B89">
      <w:pPr>
        <w:pStyle w:val="AERfactsheetbodytext"/>
        <w:widowControl w:val="0"/>
        <w:jc w:val="both"/>
      </w:pPr>
      <w:r>
        <w:t xml:space="preserve">The Guideline requires a DNSP's compliance with ring-fencing obligations to be independently verified annually and a report submitted to us within four months of the end of a financial year. Also, a DNSP must self-report to us a material breach of </w:t>
      </w:r>
      <w:r>
        <w:lastRenderedPageBreak/>
        <w:t xml:space="preserve">its ring-fencing obligations within 5 business days of the breach occurring. We may seek enforcement of ring-fencing obligations by a court in the event of any breach of those obligations by a DNSP. </w:t>
      </w:r>
    </w:p>
    <w:p w:rsidR="004A076A" w:rsidRDefault="000B2B89" w:rsidP="000B2B89">
      <w:pPr>
        <w:pStyle w:val="AERfactsheetbodytext"/>
        <w:widowControl w:val="0"/>
        <w:jc w:val="both"/>
      </w:pPr>
      <w:r>
        <w:t>Any interested party may submit a complaint to us about a possible breach of ring-fencing obligations. We will investigate complaints in accordance with our compliance and enforcement policy.</w:t>
      </w:r>
    </w:p>
    <w:p w:rsidR="00595459" w:rsidRPr="00236EC9" w:rsidRDefault="00DB146D" w:rsidP="00236EC9">
      <w:pPr>
        <w:pStyle w:val="AERFactsheetHeading1"/>
        <w:keepNext w:val="0"/>
        <w:widowControl w:val="0"/>
        <w:spacing w:before="0" w:after="0"/>
        <w:jc w:val="both"/>
      </w:pPr>
      <w:r>
        <w:t>For m</w:t>
      </w:r>
      <w:r w:rsidR="00595459" w:rsidRPr="00595459">
        <w:t>ore information</w:t>
      </w:r>
      <w:r>
        <w:t>:</w:t>
      </w:r>
      <w:r w:rsidR="000A3CF4">
        <w:t xml:space="preserve"> </w:t>
      </w:r>
    </w:p>
    <w:p w:rsidR="00143660" w:rsidRDefault="00DB146D" w:rsidP="003F62E8">
      <w:pPr>
        <w:pStyle w:val="AERfactsheetbodytext"/>
        <w:jc w:val="both"/>
        <w:rPr>
          <w:rStyle w:val="Hyperlink"/>
          <w:color w:val="auto"/>
          <w:u w:val="none"/>
        </w:rPr>
      </w:pPr>
      <w:r>
        <w:rPr>
          <w:rStyle w:val="Hyperlink"/>
          <w:color w:val="auto"/>
          <w:u w:val="none"/>
        </w:rPr>
        <w:t xml:space="preserve">More information on our final decision can be found on our </w:t>
      </w:r>
      <w:r w:rsidR="002A3304">
        <w:rPr>
          <w:rStyle w:val="Hyperlink"/>
          <w:color w:val="auto"/>
          <w:u w:val="none"/>
        </w:rPr>
        <w:t>website</w:t>
      </w:r>
      <w:r>
        <w:rPr>
          <w:rStyle w:val="Hyperlink"/>
          <w:color w:val="auto"/>
          <w:u w:val="none"/>
        </w:rPr>
        <w:t xml:space="preserve">: </w:t>
      </w:r>
      <w:hyperlink r:id="rId18" w:history="1">
        <w:r w:rsidRPr="00F53595">
          <w:rPr>
            <w:rStyle w:val="Hyperlink"/>
          </w:rPr>
          <w:t>www.aer.gov.au</w:t>
        </w:r>
      </w:hyperlink>
      <w:r>
        <w:rPr>
          <w:rStyle w:val="Hyperlink"/>
          <w:color w:val="auto"/>
          <w:u w:val="none"/>
        </w:rPr>
        <w:t>.</w:t>
      </w:r>
    </w:p>
    <w:p w:rsidR="00143660" w:rsidRDefault="00143660" w:rsidP="003F62E8">
      <w:pPr>
        <w:pStyle w:val="AERfactsheetbodytext"/>
        <w:jc w:val="both"/>
        <w:rPr>
          <w:rStyle w:val="Hyperlink"/>
          <w:color w:val="auto"/>
          <w:u w:val="none"/>
        </w:rPr>
      </w:pPr>
    </w:p>
    <w:p w:rsidR="00143660" w:rsidRDefault="00143660">
      <w:pPr>
        <w:rPr>
          <w:rStyle w:val="Hyperlink"/>
          <w:rFonts w:ascii="MS Reference Sans Serif" w:hAnsi="MS Reference Sans Serif" w:cs="Shruti"/>
          <w:color w:val="auto"/>
          <w:spacing w:val="-10"/>
          <w:sz w:val="18"/>
          <w:szCs w:val="22"/>
          <w:u w:val="none"/>
        </w:rPr>
      </w:pPr>
      <w:r>
        <w:rPr>
          <w:rStyle w:val="Hyperlink"/>
          <w:color w:val="auto"/>
          <w:u w:val="none"/>
        </w:rPr>
        <w:br w:type="page"/>
      </w:r>
    </w:p>
    <w:p w:rsidR="00143660" w:rsidRDefault="00143660" w:rsidP="003F62E8">
      <w:pPr>
        <w:pStyle w:val="AERfactsheetbodytext"/>
        <w:jc w:val="both"/>
        <w:rPr>
          <w:rStyle w:val="Hyperlink"/>
          <w:color w:val="auto"/>
          <w:u w:val="none"/>
        </w:rPr>
        <w:sectPr w:rsidR="00143660" w:rsidSect="001152BD">
          <w:type w:val="continuous"/>
          <w:pgSz w:w="11906" w:h="16838"/>
          <w:pgMar w:top="993" w:right="720" w:bottom="851" w:left="720" w:header="709" w:footer="709" w:gutter="0"/>
          <w:cols w:num="2" w:space="340"/>
          <w:docGrid w:linePitch="360"/>
        </w:sectPr>
      </w:pPr>
    </w:p>
    <w:p w:rsidR="0089210B" w:rsidRPr="00143660" w:rsidRDefault="00143660" w:rsidP="003F62E8">
      <w:pPr>
        <w:pStyle w:val="AERfactsheetbodytext"/>
        <w:jc w:val="both"/>
        <w:rPr>
          <w:b/>
        </w:rPr>
      </w:pPr>
      <w:r w:rsidRPr="00143660">
        <w:rPr>
          <w:rFonts w:ascii="Calibri" w:hAnsi="Calibri" w:cs="Times New Roman"/>
          <w:noProof/>
          <w:spacing w:val="0"/>
          <w:sz w:val="20"/>
          <w:szCs w:val="20"/>
          <w:lang w:eastAsia="en-AU"/>
        </w:rPr>
        <mc:AlternateContent>
          <mc:Choice Requires="wpg">
            <w:drawing>
              <wp:anchor distT="0" distB="0" distL="114300" distR="114300" simplePos="0" relativeHeight="251706368" behindDoc="0" locked="0" layoutInCell="1" allowOverlap="1" wp14:anchorId="45E51384" wp14:editId="002A9755">
                <wp:simplePos x="0" y="0"/>
                <wp:positionH relativeFrom="column">
                  <wp:posOffset>-168910</wp:posOffset>
                </wp:positionH>
                <wp:positionV relativeFrom="paragraph">
                  <wp:posOffset>457200</wp:posOffset>
                </wp:positionV>
                <wp:extent cx="9086850" cy="5772150"/>
                <wp:effectExtent l="0" t="0" r="0" b="19050"/>
                <wp:wrapNone/>
                <wp:docPr id="79" name="Group 1"/>
                <wp:cNvGraphicFramePr/>
                <a:graphic xmlns:a="http://schemas.openxmlformats.org/drawingml/2006/main">
                  <a:graphicData uri="http://schemas.microsoft.com/office/word/2010/wordprocessingGroup">
                    <wpg:wgp>
                      <wpg:cNvGrpSpPr/>
                      <wpg:grpSpPr>
                        <a:xfrm>
                          <a:off x="0" y="0"/>
                          <a:ext cx="9086850" cy="5772150"/>
                          <a:chOff x="0" y="0"/>
                          <a:chExt cx="8183508" cy="5471911"/>
                        </a:xfrm>
                      </wpg:grpSpPr>
                      <wps:wsp>
                        <wps:cNvPr id="80" name="Rectangle 80"/>
                        <wps:cNvSpPr/>
                        <wps:spPr>
                          <a:xfrm>
                            <a:off x="5212337" y="1114791"/>
                            <a:ext cx="2713868" cy="4357120"/>
                          </a:xfrm>
                          <a:prstGeom prst="rect">
                            <a:avLst/>
                          </a:prstGeom>
                          <a:solidFill>
                            <a:srgbClr val="FDEADA"/>
                          </a:solidFill>
                          <a:ln w="12700">
                            <a:solidFill>
                              <a:srgbClr val="41719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1" name="Rectangle 81"/>
                        <wps:cNvSpPr/>
                        <wps:spPr>
                          <a:xfrm>
                            <a:off x="5309182" y="1421846"/>
                            <a:ext cx="2539690" cy="3929297"/>
                          </a:xfrm>
                          <a:prstGeom prst="rect">
                            <a:avLst/>
                          </a:prstGeom>
                          <a:pattFill prst="wdDnDiag">
                            <a:fgClr>
                              <a:schemeClr val="bg1">
                                <a:lumMod val="75000"/>
                              </a:schemeClr>
                            </a:fgClr>
                            <a:bgClr>
                              <a:schemeClr val="bg1"/>
                            </a:bgClr>
                          </a:pattFill>
                          <a:ln w="12700">
                            <a:solidFill>
                              <a:srgbClr val="41719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 name="Rectangle 82"/>
                        <wps:cNvSpPr/>
                        <wps:spPr>
                          <a:xfrm>
                            <a:off x="132585" y="1109788"/>
                            <a:ext cx="4833037" cy="4362123"/>
                          </a:xfrm>
                          <a:prstGeom prst="rect">
                            <a:avLst/>
                          </a:prstGeom>
                          <a:solidFill>
                            <a:srgbClr val="3BA0BB"/>
                          </a:solidFill>
                          <a:ln w="12700">
                            <a:solidFill>
                              <a:srgbClr val="41719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3" name="Rectangle 83"/>
                        <wps:cNvSpPr/>
                        <wps:spPr>
                          <a:xfrm>
                            <a:off x="2798871" y="3570660"/>
                            <a:ext cx="3903213" cy="1780484"/>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Rectangle 84"/>
                        <wps:cNvSpPr/>
                        <wps:spPr>
                          <a:xfrm>
                            <a:off x="287378" y="2428407"/>
                            <a:ext cx="2439847" cy="2289566"/>
                          </a:xfrm>
                          <a:prstGeom prst="rect">
                            <a:avLst/>
                          </a:prstGeom>
                          <a:solidFill>
                            <a:srgbClr val="FDEADA"/>
                          </a:solidFill>
                          <a:ln w="12700">
                            <a:solidFill>
                              <a:srgbClr val="AE5A21"/>
                            </a:solidFill>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85" name="Straight Arrow Connector 85"/>
                        <wps:cNvCnPr>
                          <a:endCxn id="111" idx="0"/>
                        </wps:cNvCnPr>
                        <wps:spPr>
                          <a:xfrm>
                            <a:off x="3311454" y="2166106"/>
                            <a:ext cx="544043" cy="47589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 name="TextBox 10"/>
                        <wps:cNvSpPr txBox="1"/>
                        <wps:spPr>
                          <a:xfrm>
                            <a:off x="0" y="2629337"/>
                            <a:ext cx="1941830" cy="548640"/>
                          </a:xfrm>
                          <a:prstGeom prst="rect">
                            <a:avLst/>
                          </a:prstGeom>
                          <a:noFill/>
                        </wps:spPr>
                        <wps:txbx>
                          <w:txbxContent>
                            <w:p w:rsidR="00143660" w:rsidRDefault="00143660" w:rsidP="00143660">
                              <w:pPr>
                                <w:pStyle w:val="NormalWeb"/>
                                <w:spacing w:before="0" w:beforeAutospacing="0" w:after="0" w:afterAutospacing="0"/>
                                <w:jc w:val="center"/>
                              </w:pPr>
                              <w:r>
                                <w:rPr>
                                  <w:rFonts w:ascii="Goudy Old Style" w:hAnsi="Goudy Old Style" w:cstheme="minorBidi"/>
                                  <w:b/>
                                  <w:bCs/>
                                  <w:color w:val="7030A0"/>
                                  <w:kern w:val="24"/>
                                  <w:sz w:val="20"/>
                                  <w:szCs w:val="20"/>
                                </w:rPr>
                                <w:t xml:space="preserve">Ring-fencing </w:t>
                              </w:r>
                            </w:p>
                            <w:p w:rsidR="00143660" w:rsidRDefault="00143660" w:rsidP="00143660">
                              <w:pPr>
                                <w:pStyle w:val="NormalWeb"/>
                                <w:spacing w:before="0" w:beforeAutospacing="0" w:after="0" w:afterAutospacing="0"/>
                                <w:jc w:val="center"/>
                              </w:pPr>
                              <w:r>
                                <w:rPr>
                                  <w:rFonts w:ascii="Goudy Old Style" w:hAnsi="Goudy Old Style" w:cstheme="minorBidi"/>
                                  <w:b/>
                                  <w:bCs/>
                                  <w:color w:val="7030A0"/>
                                  <w:kern w:val="24"/>
                                  <w:sz w:val="20"/>
                                  <w:szCs w:val="20"/>
                                </w:rPr>
                                <w:t>Guideline scope</w:t>
                              </w:r>
                            </w:p>
                            <w:p w:rsidR="00143660" w:rsidRDefault="00143660" w:rsidP="00143660">
                              <w:pPr>
                                <w:pStyle w:val="NormalWeb"/>
                                <w:spacing w:before="0" w:beforeAutospacing="0" w:after="0" w:afterAutospacing="0"/>
                                <w:jc w:val="center"/>
                              </w:pPr>
                              <w:r>
                                <w:rPr>
                                  <w:rFonts w:ascii="Goudy Old Style" w:hAnsi="Goudy Old Style" w:cstheme="minorBidi"/>
                                  <w:b/>
                                  <w:bCs/>
                                  <w:color w:val="7030A0"/>
                                  <w:kern w:val="24"/>
                                  <w:sz w:val="20"/>
                                  <w:szCs w:val="20"/>
                                </w:rPr>
                                <w:t>(</w:t>
                              </w:r>
                              <w:proofErr w:type="gramStart"/>
                              <w:r>
                                <w:rPr>
                                  <w:rFonts w:ascii="Goudy Old Style" w:hAnsi="Goudy Old Style" w:cstheme="minorBidi"/>
                                  <w:b/>
                                  <w:bCs/>
                                  <w:color w:val="7030A0"/>
                                  <w:kern w:val="24"/>
                                  <w:sz w:val="20"/>
                                  <w:szCs w:val="20"/>
                                </w:rPr>
                                <w:t>r.6.17.2(</w:t>
                              </w:r>
                              <w:proofErr w:type="gramEnd"/>
                              <w:r>
                                <w:rPr>
                                  <w:rFonts w:ascii="Goudy Old Style" w:hAnsi="Goudy Old Style" w:cstheme="minorBidi"/>
                                  <w:b/>
                                  <w:bCs/>
                                  <w:color w:val="7030A0"/>
                                  <w:kern w:val="24"/>
                                  <w:sz w:val="20"/>
                                  <w:szCs w:val="20"/>
                                </w:rPr>
                                <w:t>a))</w:t>
                              </w:r>
                            </w:p>
                          </w:txbxContent>
                        </wps:txbx>
                        <wps:bodyPr wrap="square" rtlCol="0">
                          <a:noAutofit/>
                        </wps:bodyPr>
                      </wps:wsp>
                      <wps:wsp>
                        <wps:cNvPr id="87" name="TextBox 11"/>
                        <wps:cNvSpPr txBox="1"/>
                        <wps:spPr>
                          <a:xfrm>
                            <a:off x="6939" y="1162293"/>
                            <a:ext cx="2710815" cy="243840"/>
                          </a:xfrm>
                          <a:prstGeom prst="rect">
                            <a:avLst/>
                          </a:prstGeom>
                          <a:noFill/>
                        </wps:spPr>
                        <wps:txbx>
                          <w:txbxContent>
                            <w:p w:rsidR="00143660" w:rsidRDefault="00143660" w:rsidP="00143660">
                              <w:pPr>
                                <w:pStyle w:val="NormalWeb"/>
                                <w:spacing w:before="0" w:beforeAutospacing="0" w:after="0" w:afterAutospacing="0"/>
                                <w:jc w:val="center"/>
                              </w:pPr>
                              <w:r>
                                <w:rPr>
                                  <w:rFonts w:ascii="Goudy Old Style" w:hAnsi="Goudy Old Style" w:cstheme="minorBidi"/>
                                  <w:b/>
                                  <w:bCs/>
                                  <w:color w:val="000000" w:themeColor="text1"/>
                                  <w:kern w:val="24"/>
                                  <w:sz w:val="20"/>
                                  <w:szCs w:val="20"/>
                                </w:rPr>
                                <w:t>Cost Allocation Guideline scope (</w:t>
                              </w:r>
                              <w:proofErr w:type="gramStart"/>
                              <w:r>
                                <w:rPr>
                                  <w:rFonts w:ascii="Goudy Old Style" w:hAnsi="Goudy Old Style" w:cstheme="minorBidi"/>
                                  <w:b/>
                                  <w:bCs/>
                                  <w:color w:val="000000" w:themeColor="text1"/>
                                  <w:kern w:val="24"/>
                                  <w:sz w:val="20"/>
                                  <w:szCs w:val="20"/>
                                </w:rPr>
                                <w:t>r.6.15.2(</w:t>
                              </w:r>
                              <w:proofErr w:type="gramEnd"/>
                              <w:r>
                                <w:rPr>
                                  <w:rFonts w:ascii="Goudy Old Style" w:hAnsi="Goudy Old Style" w:cstheme="minorBidi"/>
                                  <w:b/>
                                  <w:bCs/>
                                  <w:color w:val="000000" w:themeColor="text1"/>
                                  <w:kern w:val="24"/>
                                  <w:sz w:val="20"/>
                                  <w:szCs w:val="20"/>
                                </w:rPr>
                                <w:t>1))</w:t>
                              </w:r>
                            </w:p>
                          </w:txbxContent>
                        </wps:txbx>
                        <wps:bodyPr wrap="square" rtlCol="0">
                          <a:noAutofit/>
                        </wps:bodyPr>
                      </wps:wsp>
                      <wps:wsp>
                        <wps:cNvPr id="88" name="TextBox 12"/>
                        <wps:cNvSpPr txBox="1"/>
                        <wps:spPr>
                          <a:xfrm>
                            <a:off x="4944373" y="1156086"/>
                            <a:ext cx="3239135" cy="228600"/>
                          </a:xfrm>
                          <a:prstGeom prst="rect">
                            <a:avLst/>
                          </a:prstGeom>
                          <a:noFill/>
                        </wps:spPr>
                        <wps:txbx>
                          <w:txbxContent>
                            <w:p w:rsidR="00143660" w:rsidRDefault="00143660" w:rsidP="00143660">
                              <w:pPr>
                                <w:pStyle w:val="NormalWeb"/>
                                <w:spacing w:before="0" w:beforeAutospacing="0" w:after="0" w:afterAutospacing="0"/>
                                <w:jc w:val="center"/>
                              </w:pPr>
                              <w:r>
                                <w:rPr>
                                  <w:rFonts w:ascii="Goudy Old Style" w:hAnsi="Goudy Old Style" w:cstheme="minorBidi"/>
                                  <w:b/>
                                  <w:bCs/>
                                  <w:color w:val="002060"/>
                                  <w:kern w:val="24"/>
                                  <w:sz w:val="18"/>
                                  <w:szCs w:val="18"/>
                                </w:rPr>
                                <w:t>Scope of legal separation from DNSP (</w:t>
                              </w:r>
                              <w:proofErr w:type="gramStart"/>
                              <w:r>
                                <w:rPr>
                                  <w:rFonts w:ascii="Goudy Old Style" w:hAnsi="Goudy Old Style" w:cstheme="minorBidi"/>
                                  <w:b/>
                                  <w:bCs/>
                                  <w:color w:val="002060"/>
                                  <w:kern w:val="24"/>
                                  <w:sz w:val="18"/>
                                  <w:szCs w:val="18"/>
                                </w:rPr>
                                <w:t>r.6.17.2(</w:t>
                              </w:r>
                              <w:proofErr w:type="gramEnd"/>
                              <w:r>
                                <w:rPr>
                                  <w:rFonts w:ascii="Goudy Old Style" w:hAnsi="Goudy Old Style" w:cstheme="minorBidi"/>
                                  <w:b/>
                                  <w:bCs/>
                                  <w:color w:val="002060"/>
                                  <w:kern w:val="24"/>
                                  <w:sz w:val="18"/>
                                  <w:szCs w:val="18"/>
                                </w:rPr>
                                <w:t>b)(1)(</w:t>
                              </w:r>
                              <w:proofErr w:type="spellStart"/>
                              <w:r>
                                <w:rPr>
                                  <w:rFonts w:ascii="Goudy Old Style" w:hAnsi="Goudy Old Style" w:cstheme="minorBidi"/>
                                  <w:b/>
                                  <w:bCs/>
                                  <w:color w:val="002060"/>
                                  <w:kern w:val="24"/>
                                  <w:sz w:val="18"/>
                                  <w:szCs w:val="18"/>
                                </w:rPr>
                                <w:t>i</w:t>
                              </w:r>
                              <w:proofErr w:type="spellEnd"/>
                              <w:r>
                                <w:rPr>
                                  <w:rFonts w:ascii="Goudy Old Style" w:hAnsi="Goudy Old Style" w:cstheme="minorBidi"/>
                                  <w:b/>
                                  <w:bCs/>
                                  <w:color w:val="002060"/>
                                  <w:kern w:val="24"/>
                                  <w:sz w:val="18"/>
                                  <w:szCs w:val="18"/>
                                </w:rPr>
                                <w:t>))</w:t>
                              </w:r>
                            </w:p>
                          </w:txbxContent>
                        </wps:txbx>
                        <wps:bodyPr wrap="square" rtlCol="0">
                          <a:noAutofit/>
                        </wps:bodyPr>
                      </wps:wsp>
                      <wps:wsp>
                        <wps:cNvPr id="89" name="Rectangle 89"/>
                        <wps:cNvSpPr/>
                        <wps:spPr>
                          <a:xfrm>
                            <a:off x="575515" y="3958462"/>
                            <a:ext cx="835015" cy="618529"/>
                          </a:xfrm>
                          <a:prstGeom prst="rect">
                            <a:avLst/>
                          </a:prstGeom>
                          <a:solidFill>
                            <a:srgbClr val="026CB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3660" w:rsidRDefault="00143660" w:rsidP="00143660">
                              <w:pPr>
                                <w:pStyle w:val="NormalWeb"/>
                                <w:spacing w:before="0" w:beforeAutospacing="0" w:after="0" w:afterAutospacing="0"/>
                                <w:jc w:val="center"/>
                              </w:pPr>
                              <w:r>
                                <w:rPr>
                                  <w:rFonts w:ascii="Goudy Old Style" w:hAnsi="Goudy Old Style" w:cstheme="minorBidi"/>
                                  <w:color w:val="FFFFFF" w:themeColor="light1"/>
                                  <w:kern w:val="24"/>
                                  <w:sz w:val="18"/>
                                  <w:szCs w:val="18"/>
                                </w:rPr>
                                <w:t>Standard Control Services</w:t>
                              </w:r>
                            </w:p>
                          </w:txbxContent>
                        </wps:txbx>
                        <wps:bodyPr rtlCol="0" anchor="ctr"/>
                      </wps:wsp>
                      <wps:wsp>
                        <wps:cNvPr id="90" name="Rectangle 90"/>
                        <wps:cNvSpPr/>
                        <wps:spPr>
                          <a:xfrm>
                            <a:off x="1730045" y="3952026"/>
                            <a:ext cx="835015" cy="618529"/>
                          </a:xfrm>
                          <a:prstGeom prst="rect">
                            <a:avLst/>
                          </a:prstGeom>
                          <a:solidFill>
                            <a:srgbClr val="026CB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3660" w:rsidRDefault="00143660" w:rsidP="00143660">
                              <w:pPr>
                                <w:pStyle w:val="NormalWeb"/>
                                <w:spacing w:before="0" w:beforeAutospacing="0" w:after="0" w:afterAutospacing="0"/>
                                <w:jc w:val="center"/>
                              </w:pPr>
                              <w:r>
                                <w:rPr>
                                  <w:rFonts w:ascii="Goudy Old Style" w:hAnsi="Goudy Old Style" w:cstheme="minorBidi"/>
                                  <w:color w:val="FFFFFF" w:themeColor="light1"/>
                                  <w:kern w:val="24"/>
                                  <w:sz w:val="18"/>
                                  <w:szCs w:val="18"/>
                                </w:rPr>
                                <w:t>Alternative Control Services</w:t>
                              </w:r>
                            </w:p>
                          </w:txbxContent>
                        </wps:txbx>
                        <wps:bodyPr rtlCol="0" anchor="ctr"/>
                      </wps:wsp>
                      <wps:wsp>
                        <wps:cNvPr id="91" name="Rectangle 91"/>
                        <wps:cNvSpPr/>
                        <wps:spPr>
                          <a:xfrm>
                            <a:off x="2869611" y="1550479"/>
                            <a:ext cx="835015" cy="618529"/>
                          </a:xfrm>
                          <a:prstGeom prst="rect">
                            <a:avLst/>
                          </a:prstGeom>
                          <a:solidFill>
                            <a:srgbClr val="026CB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3660" w:rsidRDefault="00143660" w:rsidP="00143660">
                              <w:pPr>
                                <w:pStyle w:val="NormalWeb"/>
                                <w:spacing w:before="0" w:beforeAutospacing="0" w:after="0" w:afterAutospacing="0"/>
                                <w:jc w:val="center"/>
                              </w:pPr>
                              <w:r>
                                <w:rPr>
                                  <w:rFonts w:ascii="Goudy Old Style" w:hAnsi="Goudy Old Style" w:cstheme="minorBidi"/>
                                  <w:color w:val="FFFFFF" w:themeColor="light1"/>
                                  <w:kern w:val="24"/>
                                  <w:sz w:val="18"/>
                                  <w:szCs w:val="18"/>
                                </w:rPr>
                                <w:t xml:space="preserve">Distribution Services </w:t>
                              </w:r>
                            </w:p>
                          </w:txbxContent>
                        </wps:txbx>
                        <wps:bodyPr rtlCol="0" anchor="ctr"/>
                      </wps:wsp>
                      <wps:wsp>
                        <wps:cNvPr id="92" name="Rectangle 92"/>
                        <wps:cNvSpPr/>
                        <wps:spPr>
                          <a:xfrm>
                            <a:off x="6284577" y="1550479"/>
                            <a:ext cx="835015" cy="618529"/>
                          </a:xfrm>
                          <a:prstGeom prst="rect">
                            <a:avLst/>
                          </a:prstGeom>
                          <a:solidFill>
                            <a:srgbClr val="026CB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3660" w:rsidRDefault="00143660" w:rsidP="00143660">
                              <w:pPr>
                                <w:pStyle w:val="NormalWeb"/>
                                <w:spacing w:before="0" w:beforeAutospacing="0" w:after="0" w:afterAutospacing="0"/>
                                <w:jc w:val="center"/>
                              </w:pPr>
                              <w:r>
                                <w:rPr>
                                  <w:rFonts w:ascii="Goudy Old Style" w:hAnsi="Goudy Old Style" w:cstheme="minorBidi"/>
                                  <w:color w:val="FFFFFF" w:themeColor="light1"/>
                                  <w:kern w:val="24"/>
                                  <w:sz w:val="18"/>
                                  <w:szCs w:val="18"/>
                                </w:rPr>
                                <w:t xml:space="preserve">Other Services </w:t>
                              </w:r>
                            </w:p>
                          </w:txbxContent>
                        </wps:txbx>
                        <wps:bodyPr rtlCol="0" anchor="ctr"/>
                      </wps:wsp>
                      <wps:wsp>
                        <wps:cNvPr id="93" name="Rectangle 93"/>
                        <wps:cNvSpPr/>
                        <wps:spPr>
                          <a:xfrm>
                            <a:off x="3999517" y="0"/>
                            <a:ext cx="835015" cy="618529"/>
                          </a:xfrm>
                          <a:prstGeom prst="rect">
                            <a:avLst/>
                          </a:prstGeom>
                          <a:solidFill>
                            <a:srgbClr val="026CB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3660" w:rsidRDefault="00143660" w:rsidP="00143660">
                              <w:pPr>
                                <w:pStyle w:val="NormalWeb"/>
                                <w:spacing w:before="0" w:beforeAutospacing="0" w:after="0" w:afterAutospacing="0"/>
                                <w:jc w:val="center"/>
                              </w:pPr>
                              <w:r>
                                <w:rPr>
                                  <w:rFonts w:ascii="Goudy Old Style" w:hAnsi="Goudy Old Style" w:cstheme="minorBidi"/>
                                  <w:color w:val="FFFFFF" w:themeColor="light1"/>
                                  <w:kern w:val="24"/>
                                  <w:sz w:val="18"/>
                                  <w:szCs w:val="18"/>
                                </w:rPr>
                                <w:t>All Services</w:t>
                              </w:r>
                            </w:p>
                          </w:txbxContent>
                        </wps:txbx>
                        <wps:bodyPr rtlCol="0" anchor="ctr"/>
                      </wps:wsp>
                      <wps:wsp>
                        <wps:cNvPr id="94" name="Rectangle 94"/>
                        <wps:cNvSpPr/>
                        <wps:spPr>
                          <a:xfrm>
                            <a:off x="3844155" y="3863958"/>
                            <a:ext cx="1001950" cy="1373087"/>
                          </a:xfrm>
                          <a:prstGeom prst="rect">
                            <a:avLst/>
                          </a:prstGeom>
                          <a:solidFill>
                            <a:srgbClr val="DBEEF4"/>
                          </a:solidFill>
                          <a:ln w="12700">
                            <a:solidFill>
                              <a:srgbClr val="41719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 name="Rectangle 95"/>
                        <wps:cNvSpPr/>
                        <wps:spPr>
                          <a:xfrm>
                            <a:off x="2871553" y="3947679"/>
                            <a:ext cx="835015" cy="618529"/>
                          </a:xfrm>
                          <a:prstGeom prst="rect">
                            <a:avLst/>
                          </a:prstGeom>
                          <a:solidFill>
                            <a:srgbClr val="026CB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3660" w:rsidRDefault="00143660" w:rsidP="00143660">
                              <w:pPr>
                                <w:pStyle w:val="NormalWeb"/>
                                <w:spacing w:before="0" w:beforeAutospacing="0" w:after="0" w:afterAutospacing="0"/>
                                <w:jc w:val="center"/>
                              </w:pPr>
                              <w:r>
                                <w:rPr>
                                  <w:rFonts w:ascii="Goudy Old Style" w:hAnsi="Goudy Old Style" w:cstheme="minorBidi"/>
                                  <w:color w:val="FFFFFF" w:themeColor="light1"/>
                                  <w:kern w:val="24"/>
                                  <w:sz w:val="18"/>
                                  <w:szCs w:val="18"/>
                                </w:rPr>
                                <w:t>Negotiated Distribution Services</w:t>
                              </w:r>
                            </w:p>
                          </w:txbxContent>
                        </wps:txbx>
                        <wps:bodyPr rtlCol="0" anchor="ctr"/>
                      </wps:wsp>
                      <wps:wsp>
                        <wps:cNvPr id="96" name="Rectangle 96"/>
                        <wps:cNvSpPr/>
                        <wps:spPr>
                          <a:xfrm>
                            <a:off x="3946597" y="3947679"/>
                            <a:ext cx="835015" cy="618529"/>
                          </a:xfrm>
                          <a:prstGeom prst="rect">
                            <a:avLst/>
                          </a:prstGeom>
                          <a:solidFill>
                            <a:srgbClr val="026CB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3660" w:rsidRDefault="00143660" w:rsidP="00143660">
                              <w:pPr>
                                <w:pStyle w:val="NormalWeb"/>
                                <w:spacing w:before="0" w:beforeAutospacing="0" w:after="0" w:afterAutospacing="0"/>
                                <w:jc w:val="center"/>
                              </w:pPr>
                              <w:r>
                                <w:rPr>
                                  <w:rFonts w:ascii="Goudy Old Style" w:hAnsi="Goudy Old Style" w:cstheme="minorBidi"/>
                                  <w:color w:val="FFFFFF" w:themeColor="light1"/>
                                  <w:kern w:val="24"/>
                                  <w:sz w:val="18"/>
                                  <w:szCs w:val="18"/>
                                </w:rPr>
                                <w:t>Unregulated Distribution Services</w:t>
                              </w:r>
                            </w:p>
                          </w:txbxContent>
                        </wps:txbx>
                        <wps:bodyPr rtlCol="0" anchor="ctr"/>
                      </wps:wsp>
                      <wps:wsp>
                        <wps:cNvPr id="97" name="TextBox 22"/>
                        <wps:cNvSpPr txBox="1"/>
                        <wps:spPr>
                          <a:xfrm>
                            <a:off x="3413110" y="4624746"/>
                            <a:ext cx="1941830" cy="548640"/>
                          </a:xfrm>
                          <a:prstGeom prst="rect">
                            <a:avLst/>
                          </a:prstGeom>
                          <a:noFill/>
                        </wps:spPr>
                        <wps:txbx>
                          <w:txbxContent>
                            <w:p w:rsidR="00143660" w:rsidRDefault="00143660" w:rsidP="00143660">
                              <w:pPr>
                                <w:pStyle w:val="NormalWeb"/>
                                <w:spacing w:before="0" w:beforeAutospacing="0" w:after="0" w:afterAutospacing="0"/>
                                <w:jc w:val="center"/>
                              </w:pPr>
                              <w:r>
                                <w:rPr>
                                  <w:rFonts w:ascii="Goudy Old Style" w:hAnsi="Goudy Old Style" w:cstheme="minorBidi"/>
                                  <w:b/>
                                  <w:bCs/>
                                  <w:color w:val="7030A0"/>
                                  <w:kern w:val="24"/>
                                  <w:sz w:val="20"/>
                                  <w:szCs w:val="20"/>
                                </w:rPr>
                                <w:t xml:space="preserve">Shared Asset  </w:t>
                              </w:r>
                            </w:p>
                            <w:p w:rsidR="00143660" w:rsidRDefault="00143660" w:rsidP="00143660">
                              <w:pPr>
                                <w:pStyle w:val="NormalWeb"/>
                                <w:spacing w:before="0" w:beforeAutospacing="0" w:after="0" w:afterAutospacing="0"/>
                                <w:jc w:val="center"/>
                              </w:pPr>
                              <w:r>
                                <w:rPr>
                                  <w:rFonts w:ascii="Goudy Old Style" w:hAnsi="Goudy Old Style" w:cstheme="minorBidi"/>
                                  <w:b/>
                                  <w:bCs/>
                                  <w:color w:val="7030A0"/>
                                  <w:kern w:val="24"/>
                                  <w:sz w:val="20"/>
                                  <w:szCs w:val="20"/>
                                </w:rPr>
                                <w:t>Guideline scope</w:t>
                              </w:r>
                            </w:p>
                            <w:p w:rsidR="00143660" w:rsidRDefault="00143660" w:rsidP="00143660">
                              <w:pPr>
                                <w:pStyle w:val="NormalWeb"/>
                                <w:spacing w:before="0" w:beforeAutospacing="0" w:after="0" w:afterAutospacing="0"/>
                                <w:jc w:val="center"/>
                              </w:pPr>
                              <w:r>
                                <w:rPr>
                                  <w:rFonts w:ascii="Goudy Old Style" w:hAnsi="Goudy Old Style" w:cstheme="minorBidi"/>
                                  <w:b/>
                                  <w:bCs/>
                                  <w:color w:val="7030A0"/>
                                  <w:kern w:val="24"/>
                                  <w:sz w:val="20"/>
                                  <w:szCs w:val="20"/>
                                </w:rPr>
                                <w:t>(</w:t>
                              </w:r>
                              <w:proofErr w:type="gramStart"/>
                              <w:r>
                                <w:rPr>
                                  <w:rFonts w:ascii="Goudy Old Style" w:hAnsi="Goudy Old Style" w:cstheme="minorBidi"/>
                                  <w:b/>
                                  <w:bCs/>
                                  <w:color w:val="7030A0"/>
                                  <w:kern w:val="24"/>
                                  <w:sz w:val="20"/>
                                  <w:szCs w:val="20"/>
                                </w:rPr>
                                <w:t>r.6.4.4(</w:t>
                              </w:r>
                              <w:proofErr w:type="gramEnd"/>
                              <w:r>
                                <w:rPr>
                                  <w:rFonts w:ascii="Goudy Old Style" w:hAnsi="Goudy Old Style" w:cstheme="minorBidi"/>
                                  <w:b/>
                                  <w:bCs/>
                                  <w:color w:val="7030A0"/>
                                  <w:kern w:val="24"/>
                                  <w:sz w:val="20"/>
                                  <w:szCs w:val="20"/>
                                </w:rPr>
                                <w:t>d))</w:t>
                              </w:r>
                            </w:p>
                          </w:txbxContent>
                        </wps:txbx>
                        <wps:bodyPr wrap="square" rtlCol="0">
                          <a:noAutofit/>
                        </wps:bodyPr>
                      </wps:wsp>
                      <wps:wsp>
                        <wps:cNvPr id="98" name="TextBox 23"/>
                        <wps:cNvSpPr txBox="1"/>
                        <wps:spPr>
                          <a:xfrm>
                            <a:off x="5944010" y="832082"/>
                            <a:ext cx="1406525" cy="243840"/>
                          </a:xfrm>
                          <a:prstGeom prst="rect">
                            <a:avLst/>
                          </a:prstGeom>
                          <a:solidFill>
                            <a:schemeClr val="bg1">
                              <a:lumMod val="95000"/>
                            </a:schemeClr>
                          </a:solidFill>
                        </wps:spPr>
                        <wps:txbx>
                          <w:txbxContent>
                            <w:p w:rsidR="00143660" w:rsidRDefault="00143660" w:rsidP="00143660">
                              <w:pPr>
                                <w:pStyle w:val="NormalWeb"/>
                                <w:spacing w:before="0" w:beforeAutospacing="0" w:after="0" w:afterAutospacing="0"/>
                              </w:pPr>
                              <w:r>
                                <w:rPr>
                                  <w:rFonts w:ascii="Goudy Old Style" w:hAnsi="Goudy Old Style" w:cstheme="minorBidi"/>
                                  <w:b/>
                                  <w:bCs/>
                                  <w:i/>
                                  <w:iCs/>
                                  <w:color w:val="000000" w:themeColor="text1"/>
                                  <w:kern w:val="24"/>
                                  <w:sz w:val="20"/>
                                  <w:szCs w:val="20"/>
                                </w:rPr>
                                <w:t>Legally separate affiliate</w:t>
                              </w:r>
                            </w:p>
                          </w:txbxContent>
                        </wps:txbx>
                        <wps:bodyPr wrap="square" rtlCol="0">
                          <a:noAutofit/>
                        </wps:bodyPr>
                      </wps:wsp>
                      <wps:wsp>
                        <wps:cNvPr id="99" name="TextBox 24"/>
                        <wps:cNvSpPr txBox="1"/>
                        <wps:spPr>
                          <a:xfrm>
                            <a:off x="1509200" y="826140"/>
                            <a:ext cx="2132330" cy="243840"/>
                          </a:xfrm>
                          <a:prstGeom prst="rect">
                            <a:avLst/>
                          </a:prstGeom>
                          <a:solidFill>
                            <a:schemeClr val="bg1">
                              <a:lumMod val="95000"/>
                            </a:schemeClr>
                          </a:solidFill>
                        </wps:spPr>
                        <wps:txbx>
                          <w:txbxContent>
                            <w:p w:rsidR="00143660" w:rsidRDefault="00143660" w:rsidP="00143660">
                              <w:pPr>
                                <w:pStyle w:val="NormalWeb"/>
                                <w:spacing w:before="0" w:beforeAutospacing="0" w:after="0" w:afterAutospacing="0"/>
                              </w:pPr>
                              <w:r>
                                <w:rPr>
                                  <w:rFonts w:ascii="Goudy Old Style" w:hAnsi="Goudy Old Style" w:cstheme="minorBidi"/>
                                  <w:b/>
                                  <w:bCs/>
                                  <w:i/>
                                  <w:iCs/>
                                  <w:color w:val="000000" w:themeColor="text1"/>
                                  <w:kern w:val="24"/>
                                  <w:sz w:val="20"/>
                                  <w:szCs w:val="20"/>
                                </w:rPr>
                                <w:t>Distribution network service provider</w:t>
                              </w:r>
                            </w:p>
                          </w:txbxContent>
                        </wps:txbx>
                        <wps:bodyPr wrap="square" rtlCol="0">
                          <a:noAutofit/>
                        </wps:bodyPr>
                      </wps:wsp>
                      <wps:wsp>
                        <wps:cNvPr id="100" name="Straight Arrow Connector 100"/>
                        <wps:cNvCnPr>
                          <a:endCxn id="91" idx="0"/>
                        </wps:cNvCnPr>
                        <wps:spPr>
                          <a:xfrm flipH="1">
                            <a:off x="3287118" y="617449"/>
                            <a:ext cx="906689" cy="934789"/>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1" name="Straight Arrow Connector 101"/>
                        <wps:cNvCnPr>
                          <a:endCxn id="92" idx="0"/>
                        </wps:cNvCnPr>
                        <wps:spPr>
                          <a:xfrm>
                            <a:off x="4636803" y="617449"/>
                            <a:ext cx="2065281" cy="934789"/>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2" name="Straight Arrow Connector 102"/>
                        <wps:cNvCnPr>
                          <a:endCxn id="114" idx="0"/>
                        </wps:cNvCnPr>
                        <wps:spPr>
                          <a:xfrm flipH="1">
                            <a:off x="2157214" y="2169614"/>
                            <a:ext cx="1138753" cy="466084"/>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 name="Straight Arrow Connector 103"/>
                        <wps:cNvCnPr>
                          <a:stCxn id="114" idx="2"/>
                          <a:endCxn id="89" idx="0"/>
                        </wps:cNvCnPr>
                        <wps:spPr>
                          <a:xfrm flipH="1">
                            <a:off x="993023" y="3254226"/>
                            <a:ext cx="1164191" cy="704236"/>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4" name="Straight Arrow Connector 104"/>
                        <wps:cNvCnPr/>
                        <wps:spPr>
                          <a:xfrm flipH="1">
                            <a:off x="2168348" y="3170783"/>
                            <a:ext cx="9008" cy="776896"/>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5" name="Straight Arrow Connector 105"/>
                        <wps:cNvCnPr>
                          <a:stCxn id="111" idx="2"/>
                          <a:endCxn id="95" idx="0"/>
                        </wps:cNvCnPr>
                        <wps:spPr>
                          <a:xfrm flipH="1">
                            <a:off x="3289061" y="3260530"/>
                            <a:ext cx="566436" cy="687149"/>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 name="TextBox 31"/>
                        <wps:cNvSpPr txBox="1"/>
                        <wps:spPr>
                          <a:xfrm>
                            <a:off x="5369671" y="2675075"/>
                            <a:ext cx="1313815" cy="548640"/>
                          </a:xfrm>
                          <a:prstGeom prst="rect">
                            <a:avLst/>
                          </a:prstGeom>
                          <a:solidFill>
                            <a:schemeClr val="bg1"/>
                          </a:solidFill>
                        </wps:spPr>
                        <wps:txbx>
                          <w:txbxContent>
                            <w:p w:rsidR="00143660" w:rsidRDefault="00143660" w:rsidP="00143660">
                              <w:pPr>
                                <w:pStyle w:val="NormalWeb"/>
                                <w:spacing w:before="0" w:beforeAutospacing="0" w:after="0" w:afterAutospacing="0"/>
                                <w:jc w:val="center"/>
                              </w:pPr>
                              <w:r>
                                <w:rPr>
                                  <w:rFonts w:ascii="Goudy Old Style" w:hAnsi="Goudy Old Style" w:cstheme="minorBidi"/>
                                  <w:b/>
                                  <w:bCs/>
                                  <w:color w:val="7030A0"/>
                                  <w:kern w:val="24"/>
                                  <w:sz w:val="20"/>
                                  <w:szCs w:val="20"/>
                                </w:rPr>
                                <w:t xml:space="preserve">Shared Asset  </w:t>
                              </w:r>
                            </w:p>
                            <w:p w:rsidR="00143660" w:rsidRDefault="00143660" w:rsidP="00143660">
                              <w:pPr>
                                <w:pStyle w:val="NormalWeb"/>
                                <w:spacing w:before="0" w:beforeAutospacing="0" w:after="0" w:afterAutospacing="0"/>
                                <w:jc w:val="center"/>
                              </w:pPr>
                              <w:r>
                                <w:rPr>
                                  <w:rFonts w:ascii="Goudy Old Style" w:hAnsi="Goudy Old Style" w:cstheme="minorBidi"/>
                                  <w:b/>
                                  <w:bCs/>
                                  <w:color w:val="7030A0"/>
                                  <w:kern w:val="24"/>
                                  <w:sz w:val="20"/>
                                  <w:szCs w:val="20"/>
                                </w:rPr>
                                <w:t>Guideline not applicable</w:t>
                              </w:r>
                            </w:p>
                          </w:txbxContent>
                        </wps:txbx>
                        <wps:bodyPr wrap="square" rtlCol="0">
                          <a:noAutofit/>
                        </wps:bodyPr>
                      </wps:wsp>
                      <wps:wsp>
                        <wps:cNvPr id="107" name="Straight Arrow Connector 107"/>
                        <wps:cNvCnPr>
                          <a:stCxn id="92" idx="2"/>
                          <a:endCxn id="108" idx="0"/>
                        </wps:cNvCnPr>
                        <wps:spPr>
                          <a:xfrm flipH="1">
                            <a:off x="6146600" y="2169008"/>
                            <a:ext cx="555485" cy="175541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8" name="Rectangle 108"/>
                        <wps:cNvSpPr/>
                        <wps:spPr>
                          <a:xfrm>
                            <a:off x="5729092" y="3924418"/>
                            <a:ext cx="835015" cy="618529"/>
                          </a:xfrm>
                          <a:prstGeom prst="rect">
                            <a:avLst/>
                          </a:prstGeom>
                          <a:solidFill>
                            <a:srgbClr val="026CB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3660" w:rsidRDefault="00143660" w:rsidP="00143660">
                              <w:pPr>
                                <w:pStyle w:val="NormalWeb"/>
                                <w:spacing w:before="0" w:beforeAutospacing="0" w:after="0" w:afterAutospacing="0"/>
                                <w:jc w:val="center"/>
                              </w:pPr>
                              <w:r>
                                <w:rPr>
                                  <w:rFonts w:ascii="Goudy Old Style" w:hAnsi="Goudy Old Style" w:cstheme="minorBidi"/>
                                  <w:color w:val="FFFFFF" w:themeColor="light1"/>
                                  <w:kern w:val="24"/>
                                  <w:sz w:val="18"/>
                                  <w:szCs w:val="18"/>
                                </w:rPr>
                                <w:t xml:space="preserve">Other electricity services </w:t>
                              </w:r>
                            </w:p>
                          </w:txbxContent>
                        </wps:txbx>
                        <wps:bodyPr rtlCol="0" anchor="ctr"/>
                      </wps:wsp>
                      <wps:wsp>
                        <wps:cNvPr id="109" name="Rectangle 109"/>
                        <wps:cNvSpPr/>
                        <wps:spPr>
                          <a:xfrm>
                            <a:off x="6858997" y="3924416"/>
                            <a:ext cx="835015" cy="618529"/>
                          </a:xfrm>
                          <a:prstGeom prst="rect">
                            <a:avLst/>
                          </a:prstGeom>
                          <a:solidFill>
                            <a:srgbClr val="026CB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3660" w:rsidRDefault="00143660" w:rsidP="00143660">
                              <w:pPr>
                                <w:pStyle w:val="NormalWeb"/>
                                <w:spacing w:before="0" w:beforeAutospacing="0" w:after="0" w:afterAutospacing="0"/>
                                <w:jc w:val="center"/>
                              </w:pPr>
                              <w:r>
                                <w:rPr>
                                  <w:rFonts w:ascii="Goudy Old Style" w:hAnsi="Goudy Old Style" w:cstheme="minorBidi"/>
                                  <w:color w:val="FFFFFF" w:themeColor="light1"/>
                                  <w:kern w:val="24"/>
                                  <w:sz w:val="18"/>
                                  <w:szCs w:val="18"/>
                                </w:rPr>
                                <w:t xml:space="preserve">Other non-electricity services </w:t>
                              </w:r>
                            </w:p>
                          </w:txbxContent>
                        </wps:txbx>
                        <wps:bodyPr rtlCol="0" anchor="ctr"/>
                      </wps:wsp>
                      <wps:wsp>
                        <wps:cNvPr id="110" name="Straight Arrow Connector 110"/>
                        <wps:cNvCnPr>
                          <a:endCxn id="109" idx="0"/>
                        </wps:cNvCnPr>
                        <wps:spPr>
                          <a:xfrm>
                            <a:off x="6702084" y="2413321"/>
                            <a:ext cx="574421" cy="151109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 name="Rectangle 111"/>
                        <wps:cNvSpPr/>
                        <wps:spPr>
                          <a:xfrm>
                            <a:off x="3437989" y="2642001"/>
                            <a:ext cx="835015" cy="618529"/>
                          </a:xfrm>
                          <a:prstGeom prst="rect">
                            <a:avLst/>
                          </a:prstGeom>
                          <a:solidFill>
                            <a:srgbClr val="026CB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3660" w:rsidRDefault="00143660" w:rsidP="00143660">
                              <w:pPr>
                                <w:pStyle w:val="NormalWeb"/>
                                <w:spacing w:before="0" w:beforeAutospacing="0" w:after="0" w:afterAutospacing="0"/>
                                <w:jc w:val="center"/>
                              </w:pPr>
                              <w:r>
                                <w:rPr>
                                  <w:rFonts w:ascii="Goudy Old Style" w:hAnsi="Goudy Old Style" w:cstheme="minorBidi"/>
                                  <w:color w:val="FFFFFF" w:themeColor="light1"/>
                                  <w:kern w:val="24"/>
                                  <w:sz w:val="18"/>
                                  <w:szCs w:val="18"/>
                                </w:rPr>
                                <w:t>Other Distribution Services</w:t>
                              </w:r>
                            </w:p>
                          </w:txbxContent>
                        </wps:txbx>
                        <wps:bodyPr rtlCol="0" anchor="ctr"/>
                      </wps:wsp>
                      <wps:wsp>
                        <wps:cNvPr id="112" name="Straight Arrow Connector 112"/>
                        <wps:cNvCnPr>
                          <a:endCxn id="94" idx="0"/>
                        </wps:cNvCnPr>
                        <wps:spPr>
                          <a:xfrm>
                            <a:off x="3839154" y="3260376"/>
                            <a:ext cx="505976" cy="603582"/>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3" name="TextBox 44"/>
                        <wps:cNvSpPr txBox="1"/>
                        <wps:spPr>
                          <a:xfrm>
                            <a:off x="4255520" y="3594199"/>
                            <a:ext cx="1854056" cy="246221"/>
                          </a:xfrm>
                          <a:prstGeom prst="rect">
                            <a:avLst/>
                          </a:prstGeom>
                          <a:noFill/>
                        </wps:spPr>
                        <wps:txbx>
                          <w:txbxContent>
                            <w:p w:rsidR="00143660" w:rsidRDefault="00143660" w:rsidP="00143660">
                              <w:pPr>
                                <w:pStyle w:val="NormalWeb"/>
                                <w:spacing w:before="0" w:beforeAutospacing="0" w:after="0" w:afterAutospacing="0"/>
                                <w:jc w:val="center"/>
                              </w:pPr>
                              <w:r>
                                <w:rPr>
                                  <w:rFonts w:ascii="Goudy Old Style" w:hAnsi="Goudy Old Style" w:cstheme="minorBidi"/>
                                  <w:b/>
                                  <w:bCs/>
                                  <w:color w:val="7030A0"/>
                                  <w:kern w:val="24"/>
                                  <w:sz w:val="20"/>
                                  <w:szCs w:val="20"/>
                                </w:rPr>
                                <w:t>Contestable electricity services</w:t>
                              </w:r>
                            </w:p>
                          </w:txbxContent>
                        </wps:txbx>
                        <wps:bodyPr wrap="square" rtlCol="0">
                          <a:noAutofit/>
                        </wps:bodyPr>
                      </wps:wsp>
                      <wps:wsp>
                        <wps:cNvPr id="114" name="Rectangle 114"/>
                        <wps:cNvSpPr/>
                        <wps:spPr>
                          <a:xfrm>
                            <a:off x="1739706" y="2635697"/>
                            <a:ext cx="835015" cy="618529"/>
                          </a:xfrm>
                          <a:prstGeom prst="rect">
                            <a:avLst/>
                          </a:prstGeom>
                          <a:solidFill>
                            <a:srgbClr val="026CB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3660" w:rsidRDefault="00143660" w:rsidP="00143660">
                              <w:pPr>
                                <w:pStyle w:val="NormalWeb"/>
                                <w:spacing w:before="0" w:beforeAutospacing="0" w:after="0" w:afterAutospacing="0"/>
                                <w:jc w:val="center"/>
                              </w:pPr>
                              <w:r>
                                <w:rPr>
                                  <w:rFonts w:ascii="Goudy Old Style" w:hAnsi="Goudy Old Style" w:cstheme="minorBidi"/>
                                  <w:color w:val="FFFFFF" w:themeColor="light1"/>
                                  <w:kern w:val="24"/>
                                  <w:sz w:val="18"/>
                                  <w:szCs w:val="18"/>
                                </w:rPr>
                                <w:t>Direct Control Services</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id="Group 1" o:spid="_x0000_s1030" style="position:absolute;left:0;text-align:left;margin-left:-13.3pt;margin-top:36pt;width:715.5pt;height:454.5pt;z-index:251706368;mso-position-horizontal-relative:text;mso-position-vertical-relative:text;mso-width-relative:margin;mso-height-relative:margin" coordsize="81835,5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">
                <v:rect id="Rectangle 80" o:spid="_x0000_s1031" style="position:absolute;left:52123;top:11147;width:27139;height:43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7PU8AA&#10;AADbAAAADwAAAGRycy9kb3ducmV2LnhtbERPy2oCMRTdF/oP4RbcFM1UsMjUKEOpj632Ae4uk2sy&#10;7eRmSKIz/r1ZCF0eznuxGlwrLhRi41nBy6QAQVx73bBR8PW5Hs9BxISssfVMCq4UYbV8fFhgqX3P&#10;e7ockhE5hGOJCmxKXSllrC05jBPfEWfu5IPDlGEwUgfsc7hr5bQoXqXDhnODxY7eLdV/h7NT4Hr8&#10;PVUfVRdm35ufvt4ae3w2So2ehuoNRKIh/Yvv7p1WMM/r85f8A+T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7PU8AAAADbAAAADwAAAAAAAAAAAAAAAACYAgAAZHJzL2Rvd25y&#10;ZXYueG1sUEsFBgAAAAAEAAQA9QAAAIUDAAAAAA==&#10;" fillcolor="#fdeada" strokecolor="#41719c" strokeweight="1pt"/>
                <v:rect id="Rectangle 81" o:spid="_x0000_s1032" style="position:absolute;left:53091;top:14218;width:25397;height:39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s/KcMA&#10;AADbAAAADwAAAGRycy9kb3ducmV2LnhtbESPwWrDMBBE74X+g9hCb42cHkJwowQTCCQ0l6ah9Li1&#10;1paJtTLSOnH/vioUehxm5g2z2ky+V1eKqQtsYD4rQBHXwXbcGji/756WoJIgW+wDk4FvSrBZ39+t&#10;sLThxm90PUmrMoRTiQacyFBqnWpHHtMsDMTZa0L0KFnGVtuItwz3vX4uioX22HFecDjQ1lF9OY3e&#10;gBzOX69SbUf6OH5GZ6vG4tgY8/gwVS+ghCb5D/+199bAcg6/X/IP0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s/KcMAAADbAAAADwAAAAAAAAAAAAAAAACYAgAAZHJzL2Rv&#10;d25yZXYueG1sUEsFBgAAAAAEAAQA9QAAAIgDAAAAAA==&#10;" fillcolor="#bfbfbf [2412]" strokecolor="#41719c" strokeweight="1pt">
                  <v:fill r:id="rId19" o:title="" color2="white [3212]" type="pattern"/>
                </v:rect>
                <v:rect id="Rectangle 82" o:spid="_x0000_s1033" style="position:absolute;left:1325;top:11097;width:48331;height:43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8C4cUA&#10;AADbAAAADwAAAGRycy9kb3ducmV2LnhtbESPQWsCMRSE7wX/Q3hCL6Vm1bLIapSiLfTWqhX19tg8&#10;d0M3L0sSdf33TaHgcZiZb5jZorONuJAPxrGC4SADQVw6bbhS8L19f56ACBFZY+OYFNwowGLee5hh&#10;od2V13TZxEokCIcCFdQxtoWUoazJYhi4ljh5J+ctxiR9JbXHa4LbRo6yLJcWDaeFGlta1lT+bM5W&#10;wWf+MtxV+2C246/QHQ/+yazezko99rvXKYhIXbyH/9sfWsFkBH9f0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wLhxQAAANsAAAAPAAAAAAAAAAAAAAAAAJgCAABkcnMv&#10;ZG93bnJldi54bWxQSwUGAAAAAAQABAD1AAAAigMAAAAA&#10;" fillcolor="#3ba0bb" strokecolor="#41719c" strokeweight="1pt"/>
                <v:rect id="Rectangle 83" o:spid="_x0000_s1034" style="position:absolute;left:27988;top:35706;width:39032;height:178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8g68QA&#10;AADbAAAADwAAAGRycy9kb3ducmV2LnhtbESPQWvCQBSE74L/YXlCL6VuasHamFWkIM21NkqPj+xr&#10;EpJ9G7Nrkvrr3ULB4zAz3zDJdjSN6KlzlWUFz/MIBHFudcWFguxr/7QC4TyyxsYyKfglB9vNdJJg&#10;rO3An9QffCEChF2MCkrv21hKl5dk0M1tSxy8H9sZ9EF2hdQdDgFuGrmIoqU0WHFYKLGl95Ly+nAx&#10;gfKdvb3WxzT7OEdN6k+X5VU+npV6mI27NQhPo7+H/9upVrB6gb8v4Qf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fIOvEAAAA2wAAAA8AAAAAAAAAAAAAAAAAmAIAAGRycy9k&#10;b3ducmV2LnhtbFBLBQYAAAAABAAEAPUAAACJAwAAAAA=&#10;" fillcolor="#fbd4b4 [1305]" strokecolor="#243f60 [1604]" strokeweight="2pt"/>
                <v:rect id="Rectangle 84" o:spid="_x0000_s1035" style="position:absolute;left:2873;top:24284;width:24399;height:2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xt8QA&#10;AADbAAAADwAAAGRycy9kb3ducmV2LnhtbESPUWvCQBCE3wv+h2OFvpR6sbSSRk+RllbxRbT9AUtu&#10;TaLZvXB31fTf94SCj8PMfMPMFj236kw+NE4MjEcZKJLS2UYqA99fH485qBBRLLZOyMAvBVjMB3cz&#10;LKy7yI7O+1ipBJFQoIE6xq7QOpQ1MYaR60iSd3CeMSbpK209XhKcW/2UZRPN2EhaqLGjt5rK0/6H&#10;Dbx/+t6tVvzy8Mo8sVnYbPPjxpj7Yb+cgorUx1v4v722BvJnuH5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MbfEAAAA2wAAAA8AAAAAAAAAAAAAAAAAmAIAAGRycy9k&#10;b3ducmV2LnhtbFBLBQYAAAAABAAEAPUAAACJAwAAAAA=&#10;" fillcolor="#fdeada" strokecolor="#ae5a21" strokeweight="1pt"/>
                <v:shapetype id="_x0000_t32" coordsize="21600,21600" o:spt="32" o:oned="t" path="m,l21600,21600e" filled="f">
                  <v:path arrowok="t" fillok="f" o:connecttype="none"/>
                  <o:lock v:ext="edit" shapetype="t"/>
                </v:shapetype>
                <v:shape id="Straight Arrow Connector 85" o:spid="_x0000_s1036" type="#_x0000_t32" style="position:absolute;left:33114;top:21661;width:5440;height:47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6OhMQAAADbAAAADwAAAGRycy9kb3ducmV2LnhtbESPQWvCQBSE74L/YXlCL1I3ShVNXUUK&#10;LT2IYGIP3h7Z100w+zZkt5r8+64geBxm5htmve1sLa7U+sqxgukkAUFcOF2xUXDKP1+XIHxA1lg7&#10;JgU9edhuhoM1ptrd+EjXLBgRIexTVFCG0KRS+qIki37iGuLo/brWYoiyNVK3eItwW8tZkiykxYrj&#10;QokNfZRUXLI/q+Btb2T/1feHZHW+5DP74/Ox8Uq9jLrdO4hAXXiGH+1vrWA5h/uX+APk5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Do6ExAAAANsAAAAPAAAAAAAAAAAA&#10;AAAAAKECAABkcnMvZG93bnJldi54bWxQSwUGAAAAAAQABAD5AAAAkgMAAAAA&#10;" strokecolor="black [3213]" strokeweight=".25pt">
                  <v:stroke endarrow="block"/>
                </v:shape>
                <v:shape id="TextBox 10" o:spid="_x0000_s1037" type="#_x0000_t202" style="position:absolute;top:26293;width:19418;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143660" w:rsidRDefault="00143660" w:rsidP="00143660">
                        <w:pPr>
                          <w:pStyle w:val="NormalWeb"/>
                          <w:spacing w:before="0" w:beforeAutospacing="0" w:after="0" w:afterAutospacing="0"/>
                          <w:jc w:val="center"/>
                        </w:pPr>
                        <w:r>
                          <w:rPr>
                            <w:rFonts w:ascii="Goudy Old Style" w:hAnsi="Goudy Old Style" w:cstheme="minorBidi"/>
                            <w:b/>
                            <w:bCs/>
                            <w:color w:val="7030A0"/>
                            <w:kern w:val="24"/>
                            <w:sz w:val="20"/>
                            <w:szCs w:val="20"/>
                          </w:rPr>
                          <w:t xml:space="preserve">Ring-fencing </w:t>
                        </w:r>
                      </w:p>
                      <w:p w:rsidR="00143660" w:rsidRDefault="00143660" w:rsidP="00143660">
                        <w:pPr>
                          <w:pStyle w:val="NormalWeb"/>
                          <w:spacing w:before="0" w:beforeAutospacing="0" w:after="0" w:afterAutospacing="0"/>
                          <w:jc w:val="center"/>
                        </w:pPr>
                        <w:r>
                          <w:rPr>
                            <w:rFonts w:ascii="Goudy Old Style" w:hAnsi="Goudy Old Style" w:cstheme="minorBidi"/>
                            <w:b/>
                            <w:bCs/>
                            <w:color w:val="7030A0"/>
                            <w:kern w:val="24"/>
                            <w:sz w:val="20"/>
                            <w:szCs w:val="20"/>
                          </w:rPr>
                          <w:t>Guideline scope</w:t>
                        </w:r>
                      </w:p>
                      <w:p w:rsidR="00143660" w:rsidRDefault="00143660" w:rsidP="00143660">
                        <w:pPr>
                          <w:pStyle w:val="NormalWeb"/>
                          <w:spacing w:before="0" w:beforeAutospacing="0" w:after="0" w:afterAutospacing="0"/>
                          <w:jc w:val="center"/>
                        </w:pPr>
                        <w:r>
                          <w:rPr>
                            <w:rFonts w:ascii="Goudy Old Style" w:hAnsi="Goudy Old Style" w:cstheme="minorBidi"/>
                            <w:b/>
                            <w:bCs/>
                            <w:color w:val="7030A0"/>
                            <w:kern w:val="24"/>
                            <w:sz w:val="20"/>
                            <w:szCs w:val="20"/>
                          </w:rPr>
                          <w:t>(</w:t>
                        </w:r>
                        <w:proofErr w:type="gramStart"/>
                        <w:r>
                          <w:rPr>
                            <w:rFonts w:ascii="Goudy Old Style" w:hAnsi="Goudy Old Style" w:cstheme="minorBidi"/>
                            <w:b/>
                            <w:bCs/>
                            <w:color w:val="7030A0"/>
                            <w:kern w:val="24"/>
                            <w:sz w:val="20"/>
                            <w:szCs w:val="20"/>
                          </w:rPr>
                          <w:t>r.6.17.2(</w:t>
                        </w:r>
                        <w:proofErr w:type="gramEnd"/>
                        <w:r>
                          <w:rPr>
                            <w:rFonts w:ascii="Goudy Old Style" w:hAnsi="Goudy Old Style" w:cstheme="minorBidi"/>
                            <w:b/>
                            <w:bCs/>
                            <w:color w:val="7030A0"/>
                            <w:kern w:val="24"/>
                            <w:sz w:val="20"/>
                            <w:szCs w:val="20"/>
                          </w:rPr>
                          <w:t>a))</w:t>
                        </w:r>
                      </w:p>
                    </w:txbxContent>
                  </v:textbox>
                </v:shape>
                <v:shape id="TextBox 11" o:spid="_x0000_s1038" type="#_x0000_t202" style="position:absolute;left:69;top:11622;width:27108;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143660" w:rsidRDefault="00143660" w:rsidP="00143660">
                        <w:pPr>
                          <w:pStyle w:val="NormalWeb"/>
                          <w:spacing w:before="0" w:beforeAutospacing="0" w:after="0" w:afterAutospacing="0"/>
                          <w:jc w:val="center"/>
                        </w:pPr>
                        <w:r>
                          <w:rPr>
                            <w:rFonts w:ascii="Goudy Old Style" w:hAnsi="Goudy Old Style" w:cstheme="minorBidi"/>
                            <w:b/>
                            <w:bCs/>
                            <w:color w:val="000000" w:themeColor="text1"/>
                            <w:kern w:val="24"/>
                            <w:sz w:val="20"/>
                            <w:szCs w:val="20"/>
                          </w:rPr>
                          <w:t>Cost Allocation Guideline scope (</w:t>
                        </w:r>
                        <w:proofErr w:type="gramStart"/>
                        <w:r>
                          <w:rPr>
                            <w:rFonts w:ascii="Goudy Old Style" w:hAnsi="Goudy Old Style" w:cstheme="minorBidi"/>
                            <w:b/>
                            <w:bCs/>
                            <w:color w:val="000000" w:themeColor="text1"/>
                            <w:kern w:val="24"/>
                            <w:sz w:val="20"/>
                            <w:szCs w:val="20"/>
                          </w:rPr>
                          <w:t>r.6.15.2(</w:t>
                        </w:r>
                        <w:proofErr w:type="gramEnd"/>
                        <w:r>
                          <w:rPr>
                            <w:rFonts w:ascii="Goudy Old Style" w:hAnsi="Goudy Old Style" w:cstheme="minorBidi"/>
                            <w:b/>
                            <w:bCs/>
                            <w:color w:val="000000" w:themeColor="text1"/>
                            <w:kern w:val="24"/>
                            <w:sz w:val="20"/>
                            <w:szCs w:val="20"/>
                          </w:rPr>
                          <w:t>1))</w:t>
                        </w:r>
                      </w:p>
                    </w:txbxContent>
                  </v:textbox>
                </v:shape>
                <v:shape id="TextBox 12" o:spid="_x0000_s1039" type="#_x0000_t202" style="position:absolute;left:49443;top:11560;width:3239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143660" w:rsidRDefault="00143660" w:rsidP="00143660">
                        <w:pPr>
                          <w:pStyle w:val="NormalWeb"/>
                          <w:spacing w:before="0" w:beforeAutospacing="0" w:after="0" w:afterAutospacing="0"/>
                          <w:jc w:val="center"/>
                        </w:pPr>
                        <w:r>
                          <w:rPr>
                            <w:rFonts w:ascii="Goudy Old Style" w:hAnsi="Goudy Old Style" w:cstheme="minorBidi"/>
                            <w:b/>
                            <w:bCs/>
                            <w:color w:val="002060"/>
                            <w:kern w:val="24"/>
                            <w:sz w:val="18"/>
                            <w:szCs w:val="18"/>
                          </w:rPr>
                          <w:t>Scope of legal separation from DNSP (</w:t>
                        </w:r>
                        <w:proofErr w:type="gramStart"/>
                        <w:r>
                          <w:rPr>
                            <w:rFonts w:ascii="Goudy Old Style" w:hAnsi="Goudy Old Style" w:cstheme="minorBidi"/>
                            <w:b/>
                            <w:bCs/>
                            <w:color w:val="002060"/>
                            <w:kern w:val="24"/>
                            <w:sz w:val="18"/>
                            <w:szCs w:val="18"/>
                          </w:rPr>
                          <w:t>r.6.17.2(</w:t>
                        </w:r>
                        <w:proofErr w:type="gramEnd"/>
                        <w:r>
                          <w:rPr>
                            <w:rFonts w:ascii="Goudy Old Style" w:hAnsi="Goudy Old Style" w:cstheme="minorBidi"/>
                            <w:b/>
                            <w:bCs/>
                            <w:color w:val="002060"/>
                            <w:kern w:val="24"/>
                            <w:sz w:val="18"/>
                            <w:szCs w:val="18"/>
                          </w:rPr>
                          <w:t>b)(1)(</w:t>
                        </w:r>
                        <w:proofErr w:type="spellStart"/>
                        <w:r>
                          <w:rPr>
                            <w:rFonts w:ascii="Goudy Old Style" w:hAnsi="Goudy Old Style" w:cstheme="minorBidi"/>
                            <w:b/>
                            <w:bCs/>
                            <w:color w:val="002060"/>
                            <w:kern w:val="24"/>
                            <w:sz w:val="18"/>
                            <w:szCs w:val="18"/>
                          </w:rPr>
                          <w:t>i</w:t>
                        </w:r>
                        <w:proofErr w:type="spellEnd"/>
                        <w:r>
                          <w:rPr>
                            <w:rFonts w:ascii="Goudy Old Style" w:hAnsi="Goudy Old Style" w:cstheme="minorBidi"/>
                            <w:b/>
                            <w:bCs/>
                            <w:color w:val="002060"/>
                            <w:kern w:val="24"/>
                            <w:sz w:val="18"/>
                            <w:szCs w:val="18"/>
                          </w:rPr>
                          <w:t>))</w:t>
                        </w:r>
                      </w:p>
                    </w:txbxContent>
                  </v:textbox>
                </v:shape>
                <v:rect id="Rectangle 89" o:spid="_x0000_s1040" style="position:absolute;left:5755;top:39584;width:8350;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KqnsMA&#10;AADbAAAADwAAAGRycy9kb3ducmV2LnhtbESPQWsCMRSE70L/Q3iF3jRbqaKrUUSwtBSF2vX+2Dw3&#10;SzcvS5Ku679vBMHjMDPfMMt1bxvRkQ+1YwWvowwEcel0zZWC4mc3nIEIEVlj45gUXCnAevU0WGKu&#10;3YW/qTvGSiQIhxwVmBjbXMpQGrIYRq4lTt7ZeYsxSV9J7fGS4LaR4yybSos1pwWDLW0Nlb/HP6vg&#10;xJPt1+f7Zl8Uk4PxbirD27VT6uW53yxAROrjI3xvf2gFszncvq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KqnsMAAADbAAAADwAAAAAAAAAAAAAAAACYAgAAZHJzL2Rv&#10;d25yZXYueG1sUEsFBgAAAAAEAAQA9QAAAIgDAAAAAA==&#10;" fillcolor="#026cb6" stroked="f" strokeweight="2pt">
                  <v:textbox>
                    <w:txbxContent>
                      <w:p w:rsidR="00143660" w:rsidRDefault="00143660" w:rsidP="00143660">
                        <w:pPr>
                          <w:pStyle w:val="NormalWeb"/>
                          <w:spacing w:before="0" w:beforeAutospacing="0" w:after="0" w:afterAutospacing="0"/>
                          <w:jc w:val="center"/>
                        </w:pPr>
                        <w:r>
                          <w:rPr>
                            <w:rFonts w:ascii="Goudy Old Style" w:hAnsi="Goudy Old Style" w:cstheme="minorBidi"/>
                            <w:color w:val="FFFFFF" w:themeColor="light1"/>
                            <w:kern w:val="24"/>
                            <w:sz w:val="18"/>
                            <w:szCs w:val="18"/>
                          </w:rPr>
                          <w:t>Standard Control Services</w:t>
                        </w:r>
                      </w:p>
                    </w:txbxContent>
                  </v:textbox>
                </v:rect>
                <v:rect id="Rectangle 90" o:spid="_x0000_s1041" style="position:absolute;left:17300;top:39520;width:8350;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V3sAA&#10;AADbAAAADwAAAGRycy9kb3ducmV2LnhtbERPXWvCMBR9H/gfwhX2NlNFRatRRJhsjAlqfb8016bY&#10;3JQkq/XfLw+DPR7O93rb20Z05EPtWMF4lIEgLp2uuVJQXN7fFiBCRNbYOCYFTwqw3Qxe1phr9+AT&#10;dedYiRTCIUcFJsY2lzKUhiyGkWuJE3dz3mJM0FdSe3ykcNvISZbNpcWaU4PBlvaGyvv5xyq48mz/&#10;9XnYfRfF7Gi8m8swfXZKvQ773QpEpD7+i//cH1rBMq1PX9IP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GV3sAAAADbAAAADwAAAAAAAAAAAAAAAACYAgAAZHJzL2Rvd25y&#10;ZXYueG1sUEsFBgAAAAAEAAQA9QAAAIUDAAAAAA==&#10;" fillcolor="#026cb6" stroked="f" strokeweight="2pt">
                  <v:textbox>
                    <w:txbxContent>
                      <w:p w:rsidR="00143660" w:rsidRDefault="00143660" w:rsidP="00143660">
                        <w:pPr>
                          <w:pStyle w:val="NormalWeb"/>
                          <w:spacing w:before="0" w:beforeAutospacing="0" w:after="0" w:afterAutospacing="0"/>
                          <w:jc w:val="center"/>
                        </w:pPr>
                        <w:r>
                          <w:rPr>
                            <w:rFonts w:ascii="Goudy Old Style" w:hAnsi="Goudy Old Style" w:cstheme="minorBidi"/>
                            <w:color w:val="FFFFFF" w:themeColor="light1"/>
                            <w:kern w:val="24"/>
                            <w:sz w:val="18"/>
                            <w:szCs w:val="18"/>
                          </w:rPr>
                          <w:t>Alternative Control Services</w:t>
                        </w:r>
                      </w:p>
                    </w:txbxContent>
                  </v:textbox>
                </v:rect>
                <v:rect id="Rectangle 91" o:spid="_x0000_s1042" style="position:absolute;left:28696;top:15504;width:8350;height:6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0wRcMA&#10;AADbAAAADwAAAGRycy9kb3ducmV2LnhtbESPQWsCMRSE74L/ITyht5pVqtitUURQWkoF7fb+2Dw3&#10;i5uXJYnr+u+bQsHjMDPfMMt1bxvRkQ+1YwWTcQaCuHS65kpB8b17XoAIEVlj45gU3CnAejUcLDHX&#10;7sZH6k6xEgnCIUcFJsY2lzKUhiyGsWuJk3d23mJM0ldSe7wluG3kNMvm0mLNacFgS1tD5eV0tQp+&#10;eLb9/NhvvopidjDezWV4uXdKPY36zRuISH18hP/b71rB6wT+vq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0wRcMAAADbAAAADwAAAAAAAAAAAAAAAACYAgAAZHJzL2Rv&#10;d25yZXYueG1sUEsFBgAAAAAEAAQA9QAAAIgDAAAAAA==&#10;" fillcolor="#026cb6" stroked="f" strokeweight="2pt">
                  <v:textbox>
                    <w:txbxContent>
                      <w:p w:rsidR="00143660" w:rsidRDefault="00143660" w:rsidP="00143660">
                        <w:pPr>
                          <w:pStyle w:val="NormalWeb"/>
                          <w:spacing w:before="0" w:beforeAutospacing="0" w:after="0" w:afterAutospacing="0"/>
                          <w:jc w:val="center"/>
                        </w:pPr>
                        <w:r>
                          <w:rPr>
                            <w:rFonts w:ascii="Goudy Old Style" w:hAnsi="Goudy Old Style" w:cstheme="minorBidi"/>
                            <w:color w:val="FFFFFF" w:themeColor="light1"/>
                            <w:kern w:val="24"/>
                            <w:sz w:val="18"/>
                            <w:szCs w:val="18"/>
                          </w:rPr>
                          <w:t xml:space="preserve">Distribution Services </w:t>
                        </w:r>
                      </w:p>
                    </w:txbxContent>
                  </v:textbox>
                </v:rect>
                <v:rect id="Rectangle 92" o:spid="_x0000_s1043" style="position:absolute;left:62845;top:15504;width:8350;height:6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uMsMA&#10;AADbAAAADwAAAGRycy9kb3ducmV2LnhtbESPUWvCMBSF3wf7D+EKe5upMmVWo4iwsSETVuv7pblr&#10;ypqbkmS1/nsjCHs8nHO+w1ltBtuKnnxoHCuYjDMQxJXTDdcKyuPb8yuIEJE1to5JwYUCbNaPDyvM&#10;tTvzN/VFrEWCcMhRgYmxy6UMlSGLYew64uT9OG8xJulrqT2eE9y2cpplc2mx4bRgsKOdoeq3+LMK&#10;Tjzb7T/ft19lOTsY7+YyvFx6pZ5Gw3YJItIQ/8P39odWsJjC7Uv6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uMsMAAADbAAAADwAAAAAAAAAAAAAAAACYAgAAZHJzL2Rv&#10;d25yZXYueG1sUEsFBgAAAAAEAAQA9QAAAIgDAAAAAA==&#10;" fillcolor="#026cb6" stroked="f" strokeweight="2pt">
                  <v:textbox>
                    <w:txbxContent>
                      <w:p w:rsidR="00143660" w:rsidRDefault="00143660" w:rsidP="00143660">
                        <w:pPr>
                          <w:pStyle w:val="NormalWeb"/>
                          <w:spacing w:before="0" w:beforeAutospacing="0" w:after="0" w:afterAutospacing="0"/>
                          <w:jc w:val="center"/>
                        </w:pPr>
                        <w:r>
                          <w:rPr>
                            <w:rFonts w:ascii="Goudy Old Style" w:hAnsi="Goudy Old Style" w:cstheme="minorBidi"/>
                            <w:color w:val="FFFFFF" w:themeColor="light1"/>
                            <w:kern w:val="24"/>
                            <w:sz w:val="18"/>
                            <w:szCs w:val="18"/>
                          </w:rPr>
                          <w:t xml:space="preserve">Other Services </w:t>
                        </w:r>
                      </w:p>
                    </w:txbxContent>
                  </v:textbox>
                </v:rect>
                <v:rect id="Rectangle 93" o:spid="_x0000_s1044" style="position:absolute;left:39995;width:8350;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LqcMA&#10;AADbAAAADwAAAGRycy9kb3ducmV2LnhtbESPQWsCMRSE74X+h/AK3jRbraJbo4hgaSkK6np/bF43&#10;SzcvS5Ku679vCkKPw8x8wyzXvW1ERz7UjhU8jzIQxKXTNVcKivNuOAcRIrLGxjEpuFGA9erxYYm5&#10;dlc+UneKlUgQDjkqMDG2uZShNGQxjFxLnLwv5y3GJH0ltcdrgttGjrNsJi3WnBYMtrQ1VH6ffqyC&#10;C0+3nx9vm31RTA/Gu5kML7dOqcFTv3kFEamP/+F7+10rWEzg70v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MLqcMAAADbAAAADwAAAAAAAAAAAAAAAACYAgAAZHJzL2Rv&#10;d25yZXYueG1sUEsFBgAAAAAEAAQA9QAAAIgDAAAAAA==&#10;" fillcolor="#026cb6" stroked="f" strokeweight="2pt">
                  <v:textbox>
                    <w:txbxContent>
                      <w:p w:rsidR="00143660" w:rsidRDefault="00143660" w:rsidP="00143660">
                        <w:pPr>
                          <w:pStyle w:val="NormalWeb"/>
                          <w:spacing w:before="0" w:beforeAutospacing="0" w:after="0" w:afterAutospacing="0"/>
                          <w:jc w:val="center"/>
                        </w:pPr>
                        <w:r>
                          <w:rPr>
                            <w:rFonts w:ascii="Goudy Old Style" w:hAnsi="Goudy Old Style" w:cstheme="minorBidi"/>
                            <w:color w:val="FFFFFF" w:themeColor="light1"/>
                            <w:kern w:val="24"/>
                            <w:sz w:val="18"/>
                            <w:szCs w:val="18"/>
                          </w:rPr>
                          <w:t>All Services</w:t>
                        </w:r>
                      </w:p>
                    </w:txbxContent>
                  </v:textbox>
                </v:rect>
                <v:rect id="Rectangle 94" o:spid="_x0000_s1045" style="position:absolute;left:38441;top:38639;width:10020;height:13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hQRMIA&#10;AADbAAAADwAAAGRycy9kb3ducmV2LnhtbESPwWrDMBBE74H8g9hCb43cYELjWjYmEOipELeX3LbW&#10;xjaxVkZSHPvvq0Ihx2Fm3jB5OZtBTOR8b1nB6yYBQdxY3XOr4Pvr+PIGwgdkjYNlUrCQh7JYr3LM&#10;tL3ziaY6tCJC2GeooAthzKT0TUcG/caOxNG7WGcwROlaqR3eI9wMcpskO2mw57jQ4UiHjpprfTOR&#10;stSjO01bPn+2rtql5/1Pglqp56e5egcRaA6P8H/7QyvYp/D3Jf4A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uFBEwgAAANsAAAAPAAAAAAAAAAAAAAAAAJgCAABkcnMvZG93&#10;bnJldi54bWxQSwUGAAAAAAQABAD1AAAAhwMAAAAA&#10;" fillcolor="#dbeef4" strokecolor="#41719c" strokeweight="1pt"/>
                <v:rect id="Rectangle 95" o:spid="_x0000_s1046" style="position:absolute;left:28715;top:39476;width:8350;height:6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2RsMA&#10;AADbAAAADwAAAGRycy9kb3ducmV2LnhtbESPUWvCMBSF3wX/Q7jC3ma6scqsRhFhY2NM0NX3S3Nt&#10;ypqbkmS1/vtFEHw8nHO+w1muB9uKnnxoHCt4mmYgiCunG64VlD9vj68gQkTW2DomBRcKsF6NR0ss&#10;tDvznvpDrEWCcChQgYmxK6QMlSGLYeo64uSdnLcYk/S11B7PCW5b+ZxlM2mx4bRgsKOtoer38GcV&#10;HDnffn2+b77LMt8Z72YyvFx6pR4mw2YBItIQ7+Fb+0MrmOdw/Z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Y2RsMAAADbAAAADwAAAAAAAAAAAAAAAACYAgAAZHJzL2Rv&#10;d25yZXYueG1sUEsFBgAAAAAEAAQA9QAAAIgDAAAAAA==&#10;" fillcolor="#026cb6" stroked="f" strokeweight="2pt">
                  <v:textbox>
                    <w:txbxContent>
                      <w:p w:rsidR="00143660" w:rsidRDefault="00143660" w:rsidP="00143660">
                        <w:pPr>
                          <w:pStyle w:val="NormalWeb"/>
                          <w:spacing w:before="0" w:beforeAutospacing="0" w:after="0" w:afterAutospacing="0"/>
                          <w:jc w:val="center"/>
                        </w:pPr>
                        <w:r>
                          <w:rPr>
                            <w:rFonts w:ascii="Goudy Old Style" w:hAnsi="Goudy Old Style" w:cstheme="minorBidi"/>
                            <w:color w:val="FFFFFF" w:themeColor="light1"/>
                            <w:kern w:val="24"/>
                            <w:sz w:val="18"/>
                            <w:szCs w:val="18"/>
                          </w:rPr>
                          <w:t>Negotiated Distribution Services</w:t>
                        </w:r>
                      </w:p>
                    </w:txbxContent>
                  </v:textbox>
                </v:rect>
                <v:rect id="Rectangle 96" o:spid="_x0000_s1047" style="position:absolute;left:39465;top:39476;width:8351;height:6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SoMcMA&#10;AADbAAAADwAAAGRycy9kb3ducmV2LnhtbESPUWvCMBSF3wf+h3AF32Y60TKrUURwbIwN5ur7pbk2&#10;Zc1NSbJa//0iCHs8nHO+w1lvB9uKnnxoHCt4mmYgiCunG64VlN+Hx2cQISJrbB2TgisF2G5GD2ss&#10;tLvwF/XHWIsE4VCgAhNjV0gZKkMWw9R1xMk7O28xJulrqT1eEty2cpZlubTYcFow2NHeUPVz/LUK&#10;TrzYv7+97D7KcvFpvMtlmF97pSbjYbcCEWmI/+F7+1UrWOZw+5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SoMcMAAADbAAAADwAAAAAAAAAAAAAAAACYAgAAZHJzL2Rv&#10;d25yZXYueG1sUEsFBgAAAAAEAAQA9QAAAIgDAAAAAA==&#10;" fillcolor="#026cb6" stroked="f" strokeweight="2pt">
                  <v:textbox>
                    <w:txbxContent>
                      <w:p w:rsidR="00143660" w:rsidRDefault="00143660" w:rsidP="00143660">
                        <w:pPr>
                          <w:pStyle w:val="NormalWeb"/>
                          <w:spacing w:before="0" w:beforeAutospacing="0" w:after="0" w:afterAutospacing="0"/>
                          <w:jc w:val="center"/>
                        </w:pPr>
                        <w:r>
                          <w:rPr>
                            <w:rFonts w:ascii="Goudy Old Style" w:hAnsi="Goudy Old Style" w:cstheme="minorBidi"/>
                            <w:color w:val="FFFFFF" w:themeColor="light1"/>
                            <w:kern w:val="24"/>
                            <w:sz w:val="18"/>
                            <w:szCs w:val="18"/>
                          </w:rPr>
                          <w:t>Unregulated Distribution Services</w:t>
                        </w:r>
                      </w:p>
                    </w:txbxContent>
                  </v:textbox>
                </v:rect>
                <v:shape id="TextBox 22" o:spid="_x0000_s1048" type="#_x0000_t202" style="position:absolute;left:34131;top:46247;width:19418;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143660" w:rsidRDefault="00143660" w:rsidP="00143660">
                        <w:pPr>
                          <w:pStyle w:val="NormalWeb"/>
                          <w:spacing w:before="0" w:beforeAutospacing="0" w:after="0" w:afterAutospacing="0"/>
                          <w:jc w:val="center"/>
                        </w:pPr>
                        <w:r>
                          <w:rPr>
                            <w:rFonts w:ascii="Goudy Old Style" w:hAnsi="Goudy Old Style" w:cstheme="minorBidi"/>
                            <w:b/>
                            <w:bCs/>
                            <w:color w:val="7030A0"/>
                            <w:kern w:val="24"/>
                            <w:sz w:val="20"/>
                            <w:szCs w:val="20"/>
                          </w:rPr>
                          <w:t xml:space="preserve">Shared Asset  </w:t>
                        </w:r>
                      </w:p>
                      <w:p w:rsidR="00143660" w:rsidRDefault="00143660" w:rsidP="00143660">
                        <w:pPr>
                          <w:pStyle w:val="NormalWeb"/>
                          <w:spacing w:before="0" w:beforeAutospacing="0" w:after="0" w:afterAutospacing="0"/>
                          <w:jc w:val="center"/>
                        </w:pPr>
                        <w:r>
                          <w:rPr>
                            <w:rFonts w:ascii="Goudy Old Style" w:hAnsi="Goudy Old Style" w:cstheme="minorBidi"/>
                            <w:b/>
                            <w:bCs/>
                            <w:color w:val="7030A0"/>
                            <w:kern w:val="24"/>
                            <w:sz w:val="20"/>
                            <w:szCs w:val="20"/>
                          </w:rPr>
                          <w:t>Guideline scope</w:t>
                        </w:r>
                      </w:p>
                      <w:p w:rsidR="00143660" w:rsidRDefault="00143660" w:rsidP="00143660">
                        <w:pPr>
                          <w:pStyle w:val="NormalWeb"/>
                          <w:spacing w:before="0" w:beforeAutospacing="0" w:after="0" w:afterAutospacing="0"/>
                          <w:jc w:val="center"/>
                        </w:pPr>
                        <w:r>
                          <w:rPr>
                            <w:rFonts w:ascii="Goudy Old Style" w:hAnsi="Goudy Old Style" w:cstheme="minorBidi"/>
                            <w:b/>
                            <w:bCs/>
                            <w:color w:val="7030A0"/>
                            <w:kern w:val="24"/>
                            <w:sz w:val="20"/>
                            <w:szCs w:val="20"/>
                          </w:rPr>
                          <w:t>(</w:t>
                        </w:r>
                        <w:proofErr w:type="gramStart"/>
                        <w:r>
                          <w:rPr>
                            <w:rFonts w:ascii="Goudy Old Style" w:hAnsi="Goudy Old Style" w:cstheme="minorBidi"/>
                            <w:b/>
                            <w:bCs/>
                            <w:color w:val="7030A0"/>
                            <w:kern w:val="24"/>
                            <w:sz w:val="20"/>
                            <w:szCs w:val="20"/>
                          </w:rPr>
                          <w:t>r.6.4.4(</w:t>
                        </w:r>
                        <w:proofErr w:type="gramEnd"/>
                        <w:r>
                          <w:rPr>
                            <w:rFonts w:ascii="Goudy Old Style" w:hAnsi="Goudy Old Style" w:cstheme="minorBidi"/>
                            <w:b/>
                            <w:bCs/>
                            <w:color w:val="7030A0"/>
                            <w:kern w:val="24"/>
                            <w:sz w:val="20"/>
                            <w:szCs w:val="20"/>
                          </w:rPr>
                          <w:t>d))</w:t>
                        </w:r>
                      </w:p>
                    </w:txbxContent>
                  </v:textbox>
                </v:shape>
                <v:shape id="TextBox 23" o:spid="_x0000_s1049" type="#_x0000_t202" style="position:absolute;left:59440;top:8320;width:14065;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y98AA&#10;AADbAAAADwAAAGRycy9kb3ducmV2LnhtbERPPW/CMBDdK/EfrEPqVpwyVG3AiaJAK9YCEusRH3HU&#10;+JzYLqT8+nqo1PHpfa/LyfbiSj50jhU8LzIQxI3THbcKjof3p1cQISJr7B2Tgh8KUBazhzXm2t34&#10;k6772IoUwiFHBSbGIZcyNIYshoUbiBN3cd5iTNC3Unu8pXDby2WWvUiLHacGgwPVhpqv/bdV4Ld1&#10;ON/Hyiw38VR9YH8Yd91dqcf5VK1ARJriv/jPvdMK3tLY9CX9AF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mWy98AAAADbAAAADwAAAAAAAAAAAAAAAACYAgAAZHJzL2Rvd25y&#10;ZXYueG1sUEsFBgAAAAAEAAQA9QAAAIUDAAAAAA==&#10;" fillcolor="#f2f2f2 [3052]" stroked="f">
                  <v:textbox>
                    <w:txbxContent>
                      <w:p w:rsidR="00143660" w:rsidRDefault="00143660" w:rsidP="00143660">
                        <w:pPr>
                          <w:pStyle w:val="NormalWeb"/>
                          <w:spacing w:before="0" w:beforeAutospacing="0" w:after="0" w:afterAutospacing="0"/>
                        </w:pPr>
                        <w:r>
                          <w:rPr>
                            <w:rFonts w:ascii="Goudy Old Style" w:hAnsi="Goudy Old Style" w:cstheme="minorBidi"/>
                            <w:b/>
                            <w:bCs/>
                            <w:i/>
                            <w:iCs/>
                            <w:color w:val="000000" w:themeColor="text1"/>
                            <w:kern w:val="24"/>
                            <w:sz w:val="20"/>
                            <w:szCs w:val="20"/>
                          </w:rPr>
                          <w:t>Legally separate affiliate</w:t>
                        </w:r>
                      </w:p>
                    </w:txbxContent>
                  </v:textbox>
                </v:shape>
                <v:shape id="TextBox 24" o:spid="_x0000_s1050" type="#_x0000_t202" style="position:absolute;left:15092;top:8261;width:21323;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XbMMA&#10;AADbAAAADwAAAGRycy9kb3ducmV2LnhtbESPzW7CMBCE75V4B2uRuDUOHCpIMSgCWnHlR+p1G2/j&#10;iHgdbBcCT4+RKvU4mplvNPNlb1txIR8axwrGWQ6CuHK64VrB8fDxOgURIrLG1jEpuFGA5WLwMsdC&#10;uyvv6LKPtUgQDgUqMDF2hZShMmQxZK4jTt6P8xZjkr6W2uM1wW0rJ3n+Ji02nBYMdrQyVJ32v1aB&#10;36zC9/1cmsk6fpWf2B7O2+au1GjYl+8gIvXxP/zX3moFsxk8v6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kXbMMAAADbAAAADwAAAAAAAAAAAAAAAACYAgAAZHJzL2Rv&#10;d25yZXYueG1sUEsFBgAAAAAEAAQA9QAAAIgDAAAAAA==&#10;" fillcolor="#f2f2f2 [3052]" stroked="f">
                  <v:textbox>
                    <w:txbxContent>
                      <w:p w:rsidR="00143660" w:rsidRDefault="00143660" w:rsidP="00143660">
                        <w:pPr>
                          <w:pStyle w:val="NormalWeb"/>
                          <w:spacing w:before="0" w:beforeAutospacing="0" w:after="0" w:afterAutospacing="0"/>
                        </w:pPr>
                        <w:r>
                          <w:rPr>
                            <w:rFonts w:ascii="Goudy Old Style" w:hAnsi="Goudy Old Style" w:cstheme="minorBidi"/>
                            <w:b/>
                            <w:bCs/>
                            <w:i/>
                            <w:iCs/>
                            <w:color w:val="000000" w:themeColor="text1"/>
                            <w:kern w:val="24"/>
                            <w:sz w:val="20"/>
                            <w:szCs w:val="20"/>
                          </w:rPr>
                          <w:t>Distribution network service provider</w:t>
                        </w:r>
                      </w:p>
                    </w:txbxContent>
                  </v:textbox>
                </v:shape>
                <v:shape id="Straight Arrow Connector 100" o:spid="_x0000_s1051" type="#_x0000_t32" style="position:absolute;left:32871;top:6174;width:9067;height:93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C+NMEAAADcAAAADwAAAGRycy9kb3ducmV2LnhtbESPwcrCQAyE74LvsETwpls9SK2uIoJQ&#10;L8KvPkDoxrbazZbuqvXtzUH4bwkzmfmy3vauUS/qQu3ZwGyagCIuvK25NHC9HCYpqBCRLTaeycCH&#10;Amw3w8EaM+vf/EevcyyVhHDI0EAVY5tpHYqKHIapb4lFu/nOYZS1K7Xt8C3hrtHzJFlohzVLQ4Ut&#10;7SsqHuenM3C60eN0f86Xhc4v6eGY5vnn6I0Zj/rdClSkPv6bf9e5FfxE8OUZmUBv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IL40wQAAANwAAAAPAAAAAAAAAAAAAAAA&#10;AKECAABkcnMvZG93bnJldi54bWxQSwUGAAAAAAQABAD5AAAAjwMAAAAA&#10;" strokecolor="black [3213]" strokeweight=".25pt">
                  <v:stroke endarrow="block"/>
                </v:shape>
                <v:shape id="Straight Arrow Connector 101" o:spid="_x0000_s1052" type="#_x0000_t32" style="position:absolute;left:46368;top:6174;width:20652;height:93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5m9cIAAADcAAAADwAAAGRycy9kb3ducmV2LnhtbERPTWsCMRC9C/6HMIIXqYlSpG6NIoLi&#10;oRR066G3YTPNLm4myybq7r83hUJv83ifs9p0rhZ3akPlWcNsqkAQF95UbDV85fuXNxAhIhusPZOG&#10;ngJs1sPBCjPjH3yi+zlakUI4ZKihjLHJpAxFSQ7D1DfEifvxrcOYYGulafGRwl0t50otpMOKU0OJ&#10;De1KKq7nm9Pw+mFlf+j7T7X8vuZzdwn5xAatx6Nu+w4iUhf/xX/uo0nz1Qx+n0kXyP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5m9cIAAADcAAAADwAAAAAAAAAAAAAA&#10;AAChAgAAZHJzL2Rvd25yZXYueG1sUEsFBgAAAAAEAAQA+QAAAJADAAAAAA==&#10;" strokecolor="black [3213]" strokeweight=".25pt">
                  <v:stroke endarrow="block"/>
                </v:shape>
                <v:shape id="Straight Arrow Connector 102" o:spid="_x0000_s1053" type="#_x0000_t32" style="position:absolute;left:21572;top:21696;width:11387;height:46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6F2L0AAADcAAAADwAAAGRycy9kb3ducmV2LnhtbERPSwrCMBDdC94hjODOpnYhtRpFBKFu&#10;BD8HGJqxrTaT0kSttzeC4G4e7zvLdW8a8aTO1ZYVTKMYBHFhdc2lgst5N0lBOI+ssbFMCt7kYL0a&#10;DpaYafviIz1PvhQhhF2GCirv20xKV1Rk0EW2JQ7c1XYGfYBdKXWHrxBuGpnE8UwarDk0VNjStqLi&#10;fnoYBYcr3Q+3RzIvZH5Od/s0z997q9R41G8WIDz1/i/+uXMd5scJfJ8JF8jV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q+hdi9AAAA3AAAAA8AAAAAAAAAAAAAAAAAoQIA&#10;AGRycy9kb3ducmV2LnhtbFBLBQYAAAAABAAEAPkAAACLAwAAAAA=&#10;" strokecolor="black [3213]" strokeweight=".25pt">
                  <v:stroke endarrow="block"/>
                </v:shape>
                <v:shape id="Straight Arrow Connector 103" o:spid="_x0000_s1054" type="#_x0000_t32" style="position:absolute;left:9930;top:32542;width:11642;height:70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IgQ74AAADcAAAADwAAAGRycy9kb3ducmV2LnhtbERPSwrCMBDdC94hjODOpipIrUYRQagb&#10;wc8BhmZsq82kNFHr7Y0guJvH+85y3ZlaPKl1lWUF4ygGQZxbXXGh4HLejRIQziNrrC2Tgjc5WK/6&#10;vSWm2r74SM+TL0QIYZeigtL7JpXS5SUZdJFtiAN3ta1BH2BbSN3iK4SbWk7ieCYNVhwaSmxoW1J+&#10;Pz2MgsOV7ofbYzLPZXZOdvsky957q9Rw0G0WIDx1/i/+uTMd5sd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8iBDvgAAANwAAAAPAAAAAAAAAAAAAAAAAKEC&#10;AABkcnMvZG93bnJldi54bWxQSwUGAAAAAAQABAD5AAAAjAMAAAAA&#10;" strokecolor="black [3213]" strokeweight=".25pt">
                  <v:stroke endarrow="block"/>
                </v:shape>
                <v:shape id="Straight Arrow Connector 104" o:spid="_x0000_s1055" type="#_x0000_t32" style="position:absolute;left:21683;top:31707;width:90;height:77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u4N74AAADcAAAADwAAAGRycy9kb3ducmV2LnhtbERPSwrCMBDdC94hjODOpopIrUYRQagb&#10;wc8BhmZsq82kNFHr7Y0guJvH+85y3ZlaPKl1lWUF4ygGQZxbXXGh4HLejRIQziNrrC2Tgjc5WK/6&#10;vSWm2r74SM+TL0QIYZeigtL7JpXS5SUZdJFtiAN3ta1BH2BbSN3iK4SbWk7ieCYNVhwaSmxoW1J+&#10;Pz2MgsOV7ofbYzLPZXZOdvsky957q9Rw0G0WIDx1/i/+uTMd5sd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G7g3vgAAANwAAAAPAAAAAAAAAAAAAAAAAKEC&#10;AABkcnMvZG93bnJldi54bWxQSwUGAAAAAAQABAD5AAAAjAMAAAAA&#10;" strokecolor="black [3213]" strokeweight=".25pt">
                  <v:stroke endarrow="block"/>
                </v:shape>
                <v:shape id="Straight Arrow Connector 105" o:spid="_x0000_s1056" type="#_x0000_t32" style="position:absolute;left:32890;top:32605;width:5664;height:68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cdrL4AAADcAAAADwAAAGRycy9kb3ducmV2LnhtbERPSwrCMBDdC94hjODOpgpKrUYRQagb&#10;wc8BhmZsq82kNFHr7Y0guJvH+85y3ZlaPKl1lWUF4ygGQZxbXXGh4HLejRIQziNrrC2Tgjc5WK/6&#10;vSWm2r74SM+TL0QIYZeigtL7JpXS5SUZdJFtiAN3ta1BH2BbSN3iK4SbWk7ieCYNVhwaSmxoW1J+&#10;Pz2MgsOV7ofbYzLPZXZOdvsky957q9Rw0G0WIDx1/i/+uTMd5sd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1Vx2svgAAANwAAAAPAAAAAAAAAAAAAAAAAKEC&#10;AABkcnMvZG93bnJldi54bWxQSwUGAAAAAAQABAD5AAAAjAMAAAAA&#10;" strokecolor="black [3213]" strokeweight=".25pt">
                  <v:stroke endarrow="block"/>
                </v:shape>
                <v:shape id="TextBox 31" o:spid="_x0000_s1057" type="#_x0000_t202" style="position:absolute;left:53696;top:26750;width:13138;height: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4AzMEA&#10;AADcAAAADwAAAGRycy9kb3ducmV2LnhtbERPTWsCMRC9F/wPYQRvNbEHK6tRVBBKL6KVnqebcbO6&#10;mSxJ6q7++qZQ6G0e73MWq9414kYh1p41TMYKBHHpTc2VhtPH7nkGIiZkg41n0nCnCKvl4GmBhfEd&#10;H+h2TJXIIRwL1GBTagspY2nJYRz7ljhzZx8cpgxDJU3ALoe7Rr4oNZUOa84NFlvaWiqvx2+n4bO6&#10;0KZ+Dw+1l6q7zvzh9PVqtR4N+/UcRKI+/Yv/3G8mz1dT+H0mXy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eAMzBAAAA3AAAAA8AAAAAAAAAAAAAAAAAmAIAAGRycy9kb3du&#10;cmV2LnhtbFBLBQYAAAAABAAEAPUAAACGAwAAAAA=&#10;" fillcolor="white [3212]" stroked="f">
                  <v:textbox>
                    <w:txbxContent>
                      <w:p w:rsidR="00143660" w:rsidRDefault="00143660" w:rsidP="00143660">
                        <w:pPr>
                          <w:pStyle w:val="NormalWeb"/>
                          <w:spacing w:before="0" w:beforeAutospacing="0" w:after="0" w:afterAutospacing="0"/>
                          <w:jc w:val="center"/>
                        </w:pPr>
                        <w:r>
                          <w:rPr>
                            <w:rFonts w:ascii="Goudy Old Style" w:hAnsi="Goudy Old Style" w:cstheme="minorBidi"/>
                            <w:b/>
                            <w:bCs/>
                            <w:color w:val="7030A0"/>
                            <w:kern w:val="24"/>
                            <w:sz w:val="20"/>
                            <w:szCs w:val="20"/>
                          </w:rPr>
                          <w:t xml:space="preserve">Shared Asset  </w:t>
                        </w:r>
                      </w:p>
                      <w:p w:rsidR="00143660" w:rsidRDefault="00143660" w:rsidP="00143660">
                        <w:pPr>
                          <w:pStyle w:val="NormalWeb"/>
                          <w:spacing w:before="0" w:beforeAutospacing="0" w:after="0" w:afterAutospacing="0"/>
                          <w:jc w:val="center"/>
                        </w:pPr>
                        <w:r>
                          <w:rPr>
                            <w:rFonts w:ascii="Goudy Old Style" w:hAnsi="Goudy Old Style" w:cstheme="minorBidi"/>
                            <w:b/>
                            <w:bCs/>
                            <w:color w:val="7030A0"/>
                            <w:kern w:val="24"/>
                            <w:sz w:val="20"/>
                            <w:szCs w:val="20"/>
                          </w:rPr>
                          <w:t>Guideline not applicable</w:t>
                        </w:r>
                      </w:p>
                    </w:txbxContent>
                  </v:textbox>
                </v:shape>
                <v:shape id="Straight Arrow Connector 107" o:spid="_x0000_s1058" type="#_x0000_t32" style="position:absolute;left:61466;top:21690;width:5554;height:175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mQL4AAADcAAAADwAAAGRycy9kb3ducmV2LnhtbERPSwrCMBDdC94hjODOprrQWo0iglA3&#10;gp8DDM3YVptJaaLW2xtBcDeP953lujO1eFLrKssKxlEMgji3uuJCweW8GyUgnEfWWFsmBW9ysF71&#10;e0tMtX3xkZ4nX4gQwi5FBaX3TSqly0sy6CLbEAfualuDPsC2kLrFVwg3tZzE8VQarDg0lNjQtqT8&#10;fnoYBYcr3Q+3x2Sey+yc7PZJlr33VqnhoNssQHjq/F/8c2c6zI9n8H0mXC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qySZAvgAAANwAAAAPAAAAAAAAAAAAAAAAAKEC&#10;AABkcnMvZG93bnJldi54bWxQSwUGAAAAAAQABAD5AAAAjAMAAAAA&#10;" strokecolor="black [3213]" strokeweight=".25pt">
                  <v:stroke endarrow="block"/>
                </v:shape>
                <v:rect id="Rectangle 108" o:spid="_x0000_s1059" style="position:absolute;left:57290;top:39244;width:8351;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Tb3MQA&#10;AADcAAAADwAAAGRycy9kb3ducmV2LnhtbESPQWvDMAyF74X9B6PBbq2zsZaS1S2lsLFROmiX3UWs&#10;xWGxHGwvTf99dSjsJvGe3vu02oy+UwPF1AY28DgrQBHXwbbcGKi+XqdLUCkjW+wCk4ELJdis7yYr&#10;LG0485GGU26UhHAq0YDLuS+1TrUjj2kWemLRfkL0mGWNjbYRzxLuO/1UFAvtsWVpcNjTzlH9e/rz&#10;Br55vtt/vG0PVTX/dDEsdHq+DMY83I/bF1CZxvxvvl2/W8EvhFaekQn0+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029zEAAAA3AAAAA8AAAAAAAAAAAAAAAAAmAIAAGRycy9k&#10;b3ducmV2LnhtbFBLBQYAAAAABAAEAPUAAACJAwAAAAA=&#10;" fillcolor="#026cb6" stroked="f" strokeweight="2pt">
                  <v:textbox>
                    <w:txbxContent>
                      <w:p w:rsidR="00143660" w:rsidRDefault="00143660" w:rsidP="00143660">
                        <w:pPr>
                          <w:pStyle w:val="NormalWeb"/>
                          <w:spacing w:before="0" w:beforeAutospacing="0" w:after="0" w:afterAutospacing="0"/>
                          <w:jc w:val="center"/>
                        </w:pPr>
                        <w:r>
                          <w:rPr>
                            <w:rFonts w:ascii="Goudy Old Style" w:hAnsi="Goudy Old Style" w:cstheme="minorBidi"/>
                            <w:color w:val="FFFFFF" w:themeColor="light1"/>
                            <w:kern w:val="24"/>
                            <w:sz w:val="18"/>
                            <w:szCs w:val="18"/>
                          </w:rPr>
                          <w:t xml:space="preserve">Other electricity services </w:t>
                        </w:r>
                      </w:p>
                    </w:txbxContent>
                  </v:textbox>
                </v:rect>
                <v:rect id="Rectangle 109" o:spid="_x0000_s1060" style="position:absolute;left:68589;top:39244;width:8351;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h+R8EA&#10;AADcAAAADwAAAGRycy9kb3ducmV2LnhtbERP32vCMBB+F/Y/hBv4NtOJilajiODYGBPU+n40Z1PW&#10;XEqS1frfL4OBb/fx/bzVpreN6MiH2rGC11EGgrh0uuZKQXHev8xBhIissXFMCu4UYLN+Gqww1+7G&#10;R+pOsRIphEOOCkyMbS5lKA1ZDCPXEifu6rzFmKCvpPZ4S+G2keMsm0mLNacGgy3tDJXfpx+r4MLT&#10;3efH2/arKKYH491Mhsm9U2r43G+XICL18SH+d7/rND9bwN8z6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4fkfBAAAA3AAAAA8AAAAAAAAAAAAAAAAAmAIAAGRycy9kb3du&#10;cmV2LnhtbFBLBQYAAAAABAAEAPUAAACGAwAAAAA=&#10;" fillcolor="#026cb6" stroked="f" strokeweight="2pt">
                  <v:textbox>
                    <w:txbxContent>
                      <w:p w:rsidR="00143660" w:rsidRDefault="00143660" w:rsidP="00143660">
                        <w:pPr>
                          <w:pStyle w:val="NormalWeb"/>
                          <w:spacing w:before="0" w:beforeAutospacing="0" w:after="0" w:afterAutospacing="0"/>
                          <w:jc w:val="center"/>
                        </w:pPr>
                        <w:r>
                          <w:rPr>
                            <w:rFonts w:ascii="Goudy Old Style" w:hAnsi="Goudy Old Style" w:cstheme="minorBidi"/>
                            <w:color w:val="FFFFFF" w:themeColor="light1"/>
                            <w:kern w:val="24"/>
                            <w:sz w:val="18"/>
                            <w:szCs w:val="18"/>
                          </w:rPr>
                          <w:t xml:space="preserve">Other non-electricity services </w:t>
                        </w:r>
                      </w:p>
                    </w:txbxContent>
                  </v:textbox>
                </v:rect>
                <v:shape id="Straight Arrow Connector 110" o:spid="_x0000_s1061" type="#_x0000_t32" style="position:absolute;left:67020;top:24133;width:5745;height:15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tVs8YAAADcAAAADwAAAGRycy9kb3ducmV2LnhtbESPQWvCQBCF7wX/wzJCL0U3ihRNXUUK&#10;LT0UoUYPvQ3ZcRPMzobsVpN/3zkI3mZ4b977Zr3tfaOu1MU6sIHZNANFXAZbszNwLD4mS1AxIVts&#10;ApOBgSJsN6OnNeY23PiHrofklIRwzNFAlVKbax3LijzGaWiJRTuHzmOStXPadniTcN/oeZa9ao81&#10;S0OFLb1XVF4Of97A4tvp4XMY9tnq91LM/SkWLy4a8zzud2+gEvXpYb5ff1nBnwm+PCMT6M0/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LVbPGAAAA3AAAAA8AAAAAAAAA&#10;AAAAAAAAoQIAAGRycy9kb3ducmV2LnhtbFBLBQYAAAAABAAEAPkAAACUAwAAAAA=&#10;" strokecolor="black [3213]" strokeweight=".25pt">
                  <v:stroke endarrow="block"/>
                </v:shape>
                <v:rect id="Rectangle 111" o:spid="_x0000_s1062" style="position:absolute;left:34379;top:26420;width:8351;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knMEA&#10;AADcAAAADwAAAGRycy9kb3ducmV2LnhtbERP32vCMBB+F/Y/hBP2pmnHlFGNIsKGYyjMde9HczbF&#10;5lKSWOt/vwwE3+7j+3nL9WBb0ZMPjWMF+TQDQVw53XCtoPx5n7yBCBFZY+uYFNwowHr1NFpiod2V&#10;v6k/xlqkEA4FKjAxdoWUoTJkMUxdR5y4k/MWY4K+ltrjNYXbVr5k2VxabDg1GOxoa6g6Hy9WwS/P&#10;tl+fH5t9Wc4Oxru5DK+3Xqnn8bBZgIg0xIf47t7pND/P4f+ZdIF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X5JzBAAAA3AAAAA8AAAAAAAAAAAAAAAAAmAIAAGRycy9kb3du&#10;cmV2LnhtbFBLBQYAAAAABAAEAPUAAACGAwAAAAA=&#10;" fillcolor="#026cb6" stroked="f" strokeweight="2pt">
                  <v:textbox>
                    <w:txbxContent>
                      <w:p w:rsidR="00143660" w:rsidRDefault="00143660" w:rsidP="00143660">
                        <w:pPr>
                          <w:pStyle w:val="NormalWeb"/>
                          <w:spacing w:before="0" w:beforeAutospacing="0" w:after="0" w:afterAutospacing="0"/>
                          <w:jc w:val="center"/>
                        </w:pPr>
                        <w:r>
                          <w:rPr>
                            <w:rFonts w:ascii="Goudy Old Style" w:hAnsi="Goudy Old Style" w:cstheme="minorBidi"/>
                            <w:color w:val="FFFFFF" w:themeColor="light1"/>
                            <w:kern w:val="24"/>
                            <w:sz w:val="18"/>
                            <w:szCs w:val="18"/>
                          </w:rPr>
                          <w:t>Other Distribution Services</w:t>
                        </w:r>
                      </w:p>
                    </w:txbxContent>
                  </v:textbox>
                </v:rect>
                <v:shape id="Straight Arrow Connector 112" o:spid="_x0000_s1063" type="#_x0000_t32" style="position:absolute;left:38391;top:32603;width:5060;height:60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uX8MAAADcAAAADwAAAGRycy9kb3ducmV2LnhtbERPTWvCQBC9F/wPywi9FN0YRNroRkqh&#10;pQcRNO3B25AdNyHZ2ZDdavLvu4LgbR7vczbbwbbiQr2vHStYzBMQxKXTNRsFP8Xn7BWED8gaW8ek&#10;YCQP23zytMFMuysf6HIMRsQQ9hkqqELoMil9WZFFP3cdceTOrrcYIuyN1D1eY7htZZokK2mx5thQ&#10;YUcfFZXN8c8qWO6MHL/GcZ+8nZoitb++eDFeqefp8L4GEWgID/Hd/a3j/EUKt2fiBT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Vbl/DAAAA3AAAAA8AAAAAAAAAAAAA&#10;AAAAoQIAAGRycy9kb3ducmV2LnhtbFBLBQYAAAAABAAEAPkAAACRAwAAAAA=&#10;" strokecolor="black [3213]" strokeweight=".25pt">
                  <v:stroke endarrow="block"/>
                </v:shape>
                <v:shape id="TextBox 44" o:spid="_x0000_s1064" type="#_x0000_t202" style="position:absolute;left:42555;top:35941;width:1854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143660" w:rsidRDefault="00143660" w:rsidP="00143660">
                        <w:pPr>
                          <w:pStyle w:val="NormalWeb"/>
                          <w:spacing w:before="0" w:beforeAutospacing="0" w:after="0" w:afterAutospacing="0"/>
                          <w:jc w:val="center"/>
                        </w:pPr>
                        <w:r>
                          <w:rPr>
                            <w:rFonts w:ascii="Goudy Old Style" w:hAnsi="Goudy Old Style" w:cstheme="minorBidi"/>
                            <w:b/>
                            <w:bCs/>
                            <w:color w:val="7030A0"/>
                            <w:kern w:val="24"/>
                            <w:sz w:val="20"/>
                            <w:szCs w:val="20"/>
                          </w:rPr>
                          <w:t>Contestable electricity services</w:t>
                        </w:r>
                      </w:p>
                    </w:txbxContent>
                  </v:textbox>
                </v:shape>
                <v:rect id="Rectangle 114" o:spid="_x0000_s1065" style="position:absolute;left:17397;top:26356;width:8350;height:6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BHBMEA&#10;AADcAAAADwAAAGRycy9kb3ducmV2LnhtbERP32vCMBB+F/wfwgm+aaqoSGcUERyO4UDt3o/m1pQ1&#10;l5Jktf73y0DY2318P2+z620jOvKhdqxgNs1AEJdO11wpKG7HyRpEiMgaG8ek4EEBdtvhYIO5dne+&#10;UHeNlUghHHJUYGJscylDachimLqWOHFfzluMCfpKao/3FG4bOc+ylbRYc2ow2NLBUPl9/bEKPnl5&#10;eH973Z+LYvlhvFvJsHh0So1H/f4FRKQ+/ouf7pNO82cL+HsmXS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gRwTBAAAA3AAAAA8AAAAAAAAAAAAAAAAAmAIAAGRycy9kb3du&#10;cmV2LnhtbFBLBQYAAAAABAAEAPUAAACGAwAAAAA=&#10;" fillcolor="#026cb6" stroked="f" strokeweight="2pt">
                  <v:textbox>
                    <w:txbxContent>
                      <w:p w:rsidR="00143660" w:rsidRDefault="00143660" w:rsidP="00143660">
                        <w:pPr>
                          <w:pStyle w:val="NormalWeb"/>
                          <w:spacing w:before="0" w:beforeAutospacing="0" w:after="0" w:afterAutospacing="0"/>
                          <w:jc w:val="center"/>
                        </w:pPr>
                        <w:r>
                          <w:rPr>
                            <w:rFonts w:ascii="Goudy Old Style" w:hAnsi="Goudy Old Style" w:cstheme="minorBidi"/>
                            <w:color w:val="FFFFFF" w:themeColor="light1"/>
                            <w:kern w:val="24"/>
                            <w:sz w:val="18"/>
                            <w:szCs w:val="18"/>
                          </w:rPr>
                          <w:t>Direct Control Services</w:t>
                        </w:r>
                      </w:p>
                    </w:txbxContent>
                  </v:textbox>
                </v:rect>
              </v:group>
            </w:pict>
          </mc:Fallback>
        </mc:AlternateContent>
      </w:r>
      <w:r w:rsidR="0089210B" w:rsidRPr="0045399E">
        <w:rPr>
          <w:rStyle w:val="AERtextbold"/>
        </w:rPr>
        <w:t xml:space="preserve">Figure 1 </w:t>
      </w:r>
      <w:r w:rsidR="0089210B" w:rsidRPr="0045399E">
        <w:rPr>
          <w:rStyle w:val="AERtextbold"/>
        </w:rPr>
        <w:tab/>
        <w:t>Distribution services linkage to ring-fencing</w:t>
      </w:r>
    </w:p>
    <w:sectPr w:rsidR="0089210B" w:rsidRPr="00143660" w:rsidSect="00143660">
      <w:pgSz w:w="16838" w:h="11906" w:orient="landscape"/>
      <w:pgMar w:top="720" w:right="993" w:bottom="720" w:left="851" w:header="709" w:footer="709"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D0" w:rsidRDefault="002C5AD0" w:rsidP="00A24D2E">
      <w:r>
        <w:separator/>
      </w:r>
    </w:p>
  </w:endnote>
  <w:endnote w:type="continuationSeparator" w:id="0">
    <w:p w:rsidR="002C5AD0" w:rsidRDefault="002C5AD0"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CC" w:rsidRDefault="00214F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547258"/>
      <w:docPartObj>
        <w:docPartGallery w:val="Page Numbers (Bottom of Page)"/>
        <w:docPartUnique/>
      </w:docPartObj>
    </w:sdtPr>
    <w:sdtEndPr>
      <w:rPr>
        <w:noProof/>
      </w:rPr>
    </w:sdtEndPr>
    <w:sdtContent>
      <w:p w:rsidR="0045399E" w:rsidRDefault="0045399E">
        <w:pPr>
          <w:pStyle w:val="Footer"/>
          <w:jc w:val="right"/>
        </w:pPr>
        <w:r>
          <w:fldChar w:fldCharType="begin"/>
        </w:r>
        <w:r>
          <w:instrText xml:space="preserve"> PAGE   \* MERGEFORMAT </w:instrText>
        </w:r>
        <w:r>
          <w:fldChar w:fldCharType="separate"/>
        </w:r>
        <w:r w:rsidR="00214FCC">
          <w:rPr>
            <w:noProof/>
          </w:rPr>
          <w:t>1</w:t>
        </w:r>
        <w:r>
          <w:rPr>
            <w:noProof/>
          </w:rPr>
          <w:fldChar w:fldCharType="end"/>
        </w:r>
      </w:p>
    </w:sdtContent>
  </w:sdt>
  <w:p w:rsidR="0045399E" w:rsidRDefault="004539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CC" w:rsidRDefault="00214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D0" w:rsidRDefault="002C5AD0" w:rsidP="00A24D2E">
      <w:r>
        <w:separator/>
      </w:r>
    </w:p>
  </w:footnote>
  <w:footnote w:type="continuationSeparator" w:id="0">
    <w:p w:rsidR="002C5AD0" w:rsidRDefault="002C5AD0"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CC" w:rsidRDefault="00214F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CC" w:rsidRDefault="00214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CC" w:rsidRDefault="00214F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386215F"/>
    <w:multiLevelType w:val="hybridMultilevel"/>
    <w:tmpl w:val="780E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D14182"/>
    <w:multiLevelType w:val="hybridMultilevel"/>
    <w:tmpl w:val="7BA0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D271BCA"/>
    <w:multiLevelType w:val="hybridMultilevel"/>
    <w:tmpl w:val="710A2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 w:numId="11">
    <w:abstractNumId w:val="11"/>
  </w:num>
  <w:num w:numId="12">
    <w:abstractNumId w:val="8"/>
  </w:num>
  <w:num w:numId="13">
    <w:abstractNumId w:val="9"/>
  </w:num>
  <w:num w:numId="14">
    <w:abstractNumId w:val="10"/>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removePersonalInformation/>
  <w:removeDateAndTime/>
  <w:proofState w:spelling="clean" w:grammar="clean"/>
  <w:trackRevisions/>
  <w:defaultTabStop w:val="720"/>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164\AER16 213  AER - Final decision Jemena distribution determination - Fact sheet - May 2016.DOCX"/>
  </w:docVars>
  <w:rsids>
    <w:rsidRoot w:val="00021F03"/>
    <w:rsid w:val="00012AC9"/>
    <w:rsid w:val="00014437"/>
    <w:rsid w:val="0001543F"/>
    <w:rsid w:val="000173D5"/>
    <w:rsid w:val="000175A4"/>
    <w:rsid w:val="000211A7"/>
    <w:rsid w:val="00021F03"/>
    <w:rsid w:val="00022077"/>
    <w:rsid w:val="00025FB1"/>
    <w:rsid w:val="00027076"/>
    <w:rsid w:val="00033439"/>
    <w:rsid w:val="00035993"/>
    <w:rsid w:val="000437AC"/>
    <w:rsid w:val="000454A0"/>
    <w:rsid w:val="000466AF"/>
    <w:rsid w:val="00057D2B"/>
    <w:rsid w:val="00063B98"/>
    <w:rsid w:val="00064272"/>
    <w:rsid w:val="00073789"/>
    <w:rsid w:val="000742B2"/>
    <w:rsid w:val="0007657B"/>
    <w:rsid w:val="000825BA"/>
    <w:rsid w:val="00082625"/>
    <w:rsid w:val="00084C36"/>
    <w:rsid w:val="000864DB"/>
    <w:rsid w:val="00097937"/>
    <w:rsid w:val="000A13A8"/>
    <w:rsid w:val="000A3CF4"/>
    <w:rsid w:val="000B05F7"/>
    <w:rsid w:val="000B2B89"/>
    <w:rsid w:val="000B7333"/>
    <w:rsid w:val="000C025A"/>
    <w:rsid w:val="000C07AD"/>
    <w:rsid w:val="000C3F3C"/>
    <w:rsid w:val="000C712D"/>
    <w:rsid w:val="000D3B8F"/>
    <w:rsid w:val="000D4524"/>
    <w:rsid w:val="000D4877"/>
    <w:rsid w:val="000D5AD6"/>
    <w:rsid w:val="000E1E87"/>
    <w:rsid w:val="000E2D55"/>
    <w:rsid w:val="000E4972"/>
    <w:rsid w:val="000E4995"/>
    <w:rsid w:val="000E50A8"/>
    <w:rsid w:val="000E5C84"/>
    <w:rsid w:val="000F4E95"/>
    <w:rsid w:val="000F75F1"/>
    <w:rsid w:val="0010059A"/>
    <w:rsid w:val="00100E7B"/>
    <w:rsid w:val="0010549E"/>
    <w:rsid w:val="00112B1B"/>
    <w:rsid w:val="00113361"/>
    <w:rsid w:val="00114F21"/>
    <w:rsid w:val="0011527B"/>
    <w:rsid w:val="001152BD"/>
    <w:rsid w:val="001152E2"/>
    <w:rsid w:val="00117167"/>
    <w:rsid w:val="001233E2"/>
    <w:rsid w:val="00124754"/>
    <w:rsid w:val="00124804"/>
    <w:rsid w:val="00130988"/>
    <w:rsid w:val="00130DB2"/>
    <w:rsid w:val="00131C78"/>
    <w:rsid w:val="00134644"/>
    <w:rsid w:val="001364E9"/>
    <w:rsid w:val="00136B9B"/>
    <w:rsid w:val="00140E1A"/>
    <w:rsid w:val="00140E62"/>
    <w:rsid w:val="00143660"/>
    <w:rsid w:val="0014418F"/>
    <w:rsid w:val="001501EF"/>
    <w:rsid w:val="0016071A"/>
    <w:rsid w:val="00161050"/>
    <w:rsid w:val="00161423"/>
    <w:rsid w:val="00163E50"/>
    <w:rsid w:val="0016401A"/>
    <w:rsid w:val="00177190"/>
    <w:rsid w:val="00180ECE"/>
    <w:rsid w:val="00193770"/>
    <w:rsid w:val="00193867"/>
    <w:rsid w:val="00194A45"/>
    <w:rsid w:val="001A041D"/>
    <w:rsid w:val="001A132D"/>
    <w:rsid w:val="001A231A"/>
    <w:rsid w:val="001A23C5"/>
    <w:rsid w:val="001A3711"/>
    <w:rsid w:val="001A3D6B"/>
    <w:rsid w:val="001A49DA"/>
    <w:rsid w:val="001A5BC1"/>
    <w:rsid w:val="001B10C7"/>
    <w:rsid w:val="001B2A48"/>
    <w:rsid w:val="001B5680"/>
    <w:rsid w:val="001B5D44"/>
    <w:rsid w:val="001C00E4"/>
    <w:rsid w:val="001C0E10"/>
    <w:rsid w:val="001C6507"/>
    <w:rsid w:val="001C7EA5"/>
    <w:rsid w:val="001D3D87"/>
    <w:rsid w:val="001D49FD"/>
    <w:rsid w:val="001D67B4"/>
    <w:rsid w:val="001D6C94"/>
    <w:rsid w:val="001D6E6F"/>
    <w:rsid w:val="001D71FF"/>
    <w:rsid w:val="001E42DA"/>
    <w:rsid w:val="001F15F8"/>
    <w:rsid w:val="001F2550"/>
    <w:rsid w:val="002013CA"/>
    <w:rsid w:val="00205E25"/>
    <w:rsid w:val="00206513"/>
    <w:rsid w:val="002106B5"/>
    <w:rsid w:val="00211FD6"/>
    <w:rsid w:val="00214FCC"/>
    <w:rsid w:val="00216967"/>
    <w:rsid w:val="00221E6A"/>
    <w:rsid w:val="00223084"/>
    <w:rsid w:val="00225391"/>
    <w:rsid w:val="0022594B"/>
    <w:rsid w:val="00225CB0"/>
    <w:rsid w:val="00231A75"/>
    <w:rsid w:val="0023200B"/>
    <w:rsid w:val="0023442A"/>
    <w:rsid w:val="00234EA7"/>
    <w:rsid w:val="00235775"/>
    <w:rsid w:val="00235852"/>
    <w:rsid w:val="00235EBD"/>
    <w:rsid w:val="002365E1"/>
    <w:rsid w:val="00236E3C"/>
    <w:rsid w:val="00236EC9"/>
    <w:rsid w:val="00240C5B"/>
    <w:rsid w:val="002425E7"/>
    <w:rsid w:val="002426F1"/>
    <w:rsid w:val="00244D7A"/>
    <w:rsid w:val="00245AD1"/>
    <w:rsid w:val="0024600E"/>
    <w:rsid w:val="002544F5"/>
    <w:rsid w:val="00257B6D"/>
    <w:rsid w:val="00260768"/>
    <w:rsid w:val="00263811"/>
    <w:rsid w:val="00266275"/>
    <w:rsid w:val="00285C21"/>
    <w:rsid w:val="00287243"/>
    <w:rsid w:val="002942E5"/>
    <w:rsid w:val="002952EB"/>
    <w:rsid w:val="002A3304"/>
    <w:rsid w:val="002A391F"/>
    <w:rsid w:val="002A473F"/>
    <w:rsid w:val="002A5140"/>
    <w:rsid w:val="002B1F46"/>
    <w:rsid w:val="002B5A61"/>
    <w:rsid w:val="002B6AB0"/>
    <w:rsid w:val="002B7BBC"/>
    <w:rsid w:val="002C0A83"/>
    <w:rsid w:val="002C4380"/>
    <w:rsid w:val="002C451E"/>
    <w:rsid w:val="002C5AD0"/>
    <w:rsid w:val="002C6409"/>
    <w:rsid w:val="002D0A13"/>
    <w:rsid w:val="002D6A6B"/>
    <w:rsid w:val="002E328E"/>
    <w:rsid w:val="002E3F5B"/>
    <w:rsid w:val="002E57B4"/>
    <w:rsid w:val="002E7F4D"/>
    <w:rsid w:val="002F247F"/>
    <w:rsid w:val="002F5CD2"/>
    <w:rsid w:val="002F62A0"/>
    <w:rsid w:val="00302FC9"/>
    <w:rsid w:val="00305687"/>
    <w:rsid w:val="003118DF"/>
    <w:rsid w:val="0031269F"/>
    <w:rsid w:val="003171C2"/>
    <w:rsid w:val="00317385"/>
    <w:rsid w:val="00320979"/>
    <w:rsid w:val="003224AC"/>
    <w:rsid w:val="00326141"/>
    <w:rsid w:val="00327E8A"/>
    <w:rsid w:val="00333650"/>
    <w:rsid w:val="003408CD"/>
    <w:rsid w:val="003424B1"/>
    <w:rsid w:val="00342DB1"/>
    <w:rsid w:val="00346F63"/>
    <w:rsid w:val="00346F85"/>
    <w:rsid w:val="00354991"/>
    <w:rsid w:val="00355463"/>
    <w:rsid w:val="00356833"/>
    <w:rsid w:val="00360C93"/>
    <w:rsid w:val="00363D63"/>
    <w:rsid w:val="00365A4D"/>
    <w:rsid w:val="003851C0"/>
    <w:rsid w:val="00385BB9"/>
    <w:rsid w:val="00385E2A"/>
    <w:rsid w:val="003861C5"/>
    <w:rsid w:val="003870D8"/>
    <w:rsid w:val="003876E1"/>
    <w:rsid w:val="00390127"/>
    <w:rsid w:val="0039070F"/>
    <w:rsid w:val="00391B7D"/>
    <w:rsid w:val="00392D55"/>
    <w:rsid w:val="003A2EB7"/>
    <w:rsid w:val="003A683A"/>
    <w:rsid w:val="003A6EF1"/>
    <w:rsid w:val="003B202F"/>
    <w:rsid w:val="003B2359"/>
    <w:rsid w:val="003B46EA"/>
    <w:rsid w:val="003C0A1D"/>
    <w:rsid w:val="003F527A"/>
    <w:rsid w:val="003F62E8"/>
    <w:rsid w:val="00404570"/>
    <w:rsid w:val="0040653E"/>
    <w:rsid w:val="00412EB9"/>
    <w:rsid w:val="00420648"/>
    <w:rsid w:val="00422BE8"/>
    <w:rsid w:val="0042329B"/>
    <w:rsid w:val="00424125"/>
    <w:rsid w:val="00424F8A"/>
    <w:rsid w:val="00427414"/>
    <w:rsid w:val="004310E5"/>
    <w:rsid w:val="00431C84"/>
    <w:rsid w:val="00437D50"/>
    <w:rsid w:val="004407B3"/>
    <w:rsid w:val="00441A76"/>
    <w:rsid w:val="004429B7"/>
    <w:rsid w:val="00446186"/>
    <w:rsid w:val="0045172C"/>
    <w:rsid w:val="0045399E"/>
    <w:rsid w:val="004548EF"/>
    <w:rsid w:val="004579EB"/>
    <w:rsid w:val="00457E3A"/>
    <w:rsid w:val="004609FA"/>
    <w:rsid w:val="00466975"/>
    <w:rsid w:val="00474754"/>
    <w:rsid w:val="00483901"/>
    <w:rsid w:val="004842F6"/>
    <w:rsid w:val="004971B8"/>
    <w:rsid w:val="004A076A"/>
    <w:rsid w:val="004A08FC"/>
    <w:rsid w:val="004A271F"/>
    <w:rsid w:val="004A56BB"/>
    <w:rsid w:val="004A5A86"/>
    <w:rsid w:val="004A6F3A"/>
    <w:rsid w:val="004B0368"/>
    <w:rsid w:val="004B0495"/>
    <w:rsid w:val="004B2EDB"/>
    <w:rsid w:val="004B40E2"/>
    <w:rsid w:val="004B680E"/>
    <w:rsid w:val="004B682E"/>
    <w:rsid w:val="004C029B"/>
    <w:rsid w:val="004C0E3D"/>
    <w:rsid w:val="004C1027"/>
    <w:rsid w:val="004C19B8"/>
    <w:rsid w:val="004C2E85"/>
    <w:rsid w:val="004C3EF6"/>
    <w:rsid w:val="004C5F9A"/>
    <w:rsid w:val="004D0450"/>
    <w:rsid w:val="004D1DC0"/>
    <w:rsid w:val="004D1FEB"/>
    <w:rsid w:val="004D52BB"/>
    <w:rsid w:val="004E03D0"/>
    <w:rsid w:val="004E0C30"/>
    <w:rsid w:val="004E0FF6"/>
    <w:rsid w:val="004E1208"/>
    <w:rsid w:val="004E164B"/>
    <w:rsid w:val="004E1E2E"/>
    <w:rsid w:val="004E4F29"/>
    <w:rsid w:val="004E5204"/>
    <w:rsid w:val="004F139D"/>
    <w:rsid w:val="00502E7D"/>
    <w:rsid w:val="005036D3"/>
    <w:rsid w:val="0050430D"/>
    <w:rsid w:val="005064D7"/>
    <w:rsid w:val="00511B82"/>
    <w:rsid w:val="00513058"/>
    <w:rsid w:val="00513FFD"/>
    <w:rsid w:val="0051690F"/>
    <w:rsid w:val="00522DD1"/>
    <w:rsid w:val="00526663"/>
    <w:rsid w:val="00526C37"/>
    <w:rsid w:val="00526FD6"/>
    <w:rsid w:val="005324C6"/>
    <w:rsid w:val="00544345"/>
    <w:rsid w:val="00545A8C"/>
    <w:rsid w:val="00547E18"/>
    <w:rsid w:val="005524C5"/>
    <w:rsid w:val="00554698"/>
    <w:rsid w:val="00554E14"/>
    <w:rsid w:val="0055584F"/>
    <w:rsid w:val="00555919"/>
    <w:rsid w:val="00566B12"/>
    <w:rsid w:val="0057178D"/>
    <w:rsid w:val="0057269F"/>
    <w:rsid w:val="005746F0"/>
    <w:rsid w:val="0057606C"/>
    <w:rsid w:val="005844C1"/>
    <w:rsid w:val="00585B4E"/>
    <w:rsid w:val="005936A7"/>
    <w:rsid w:val="00595459"/>
    <w:rsid w:val="005A1CBA"/>
    <w:rsid w:val="005A2688"/>
    <w:rsid w:val="005A26FD"/>
    <w:rsid w:val="005A468C"/>
    <w:rsid w:val="005A5E2A"/>
    <w:rsid w:val="005B07A5"/>
    <w:rsid w:val="005B6DAC"/>
    <w:rsid w:val="005C144C"/>
    <w:rsid w:val="005C2225"/>
    <w:rsid w:val="005C5ADA"/>
    <w:rsid w:val="005D2EBB"/>
    <w:rsid w:val="005D66B5"/>
    <w:rsid w:val="005D69ED"/>
    <w:rsid w:val="005E0762"/>
    <w:rsid w:val="005E1E92"/>
    <w:rsid w:val="005E3842"/>
    <w:rsid w:val="005E4018"/>
    <w:rsid w:val="005E530B"/>
    <w:rsid w:val="005F239E"/>
    <w:rsid w:val="005F2DC5"/>
    <w:rsid w:val="005F4DFA"/>
    <w:rsid w:val="006030C0"/>
    <w:rsid w:val="00607318"/>
    <w:rsid w:val="0061155D"/>
    <w:rsid w:val="00617335"/>
    <w:rsid w:val="00617C6D"/>
    <w:rsid w:val="006204C6"/>
    <w:rsid w:val="00622206"/>
    <w:rsid w:val="006246A9"/>
    <w:rsid w:val="006265AD"/>
    <w:rsid w:val="0062748E"/>
    <w:rsid w:val="00637A50"/>
    <w:rsid w:val="0064571A"/>
    <w:rsid w:val="00650D15"/>
    <w:rsid w:val="00651ED2"/>
    <w:rsid w:val="00652BED"/>
    <w:rsid w:val="006564F0"/>
    <w:rsid w:val="00660308"/>
    <w:rsid w:val="00661A9B"/>
    <w:rsid w:val="00662BB4"/>
    <w:rsid w:val="00664010"/>
    <w:rsid w:val="0066415A"/>
    <w:rsid w:val="006658A5"/>
    <w:rsid w:val="006710DB"/>
    <w:rsid w:val="006721DC"/>
    <w:rsid w:val="00677DA8"/>
    <w:rsid w:val="00684BCF"/>
    <w:rsid w:val="0069021E"/>
    <w:rsid w:val="00697FF1"/>
    <w:rsid w:val="006A07F6"/>
    <w:rsid w:val="006A55C6"/>
    <w:rsid w:val="006B1A2B"/>
    <w:rsid w:val="006B322A"/>
    <w:rsid w:val="006B39DB"/>
    <w:rsid w:val="006B52B4"/>
    <w:rsid w:val="006B6050"/>
    <w:rsid w:val="006B662E"/>
    <w:rsid w:val="006B73DD"/>
    <w:rsid w:val="006C4CC5"/>
    <w:rsid w:val="006D0E7F"/>
    <w:rsid w:val="006D137A"/>
    <w:rsid w:val="006D2986"/>
    <w:rsid w:val="006D59E9"/>
    <w:rsid w:val="006D5C4C"/>
    <w:rsid w:val="006D6030"/>
    <w:rsid w:val="006D63E8"/>
    <w:rsid w:val="006D77A8"/>
    <w:rsid w:val="006E2F2F"/>
    <w:rsid w:val="006F2E4F"/>
    <w:rsid w:val="006F47BA"/>
    <w:rsid w:val="006F4A86"/>
    <w:rsid w:val="00701628"/>
    <w:rsid w:val="00702500"/>
    <w:rsid w:val="00704EDA"/>
    <w:rsid w:val="00705299"/>
    <w:rsid w:val="007059D4"/>
    <w:rsid w:val="007101C1"/>
    <w:rsid w:val="007132F5"/>
    <w:rsid w:val="0071669F"/>
    <w:rsid w:val="0071791A"/>
    <w:rsid w:val="00726CCA"/>
    <w:rsid w:val="00727AE4"/>
    <w:rsid w:val="00731173"/>
    <w:rsid w:val="007325CC"/>
    <w:rsid w:val="00742DF1"/>
    <w:rsid w:val="00747F9D"/>
    <w:rsid w:val="00751069"/>
    <w:rsid w:val="0075318C"/>
    <w:rsid w:val="00753DF7"/>
    <w:rsid w:val="00754FD0"/>
    <w:rsid w:val="00761697"/>
    <w:rsid w:val="00776ACC"/>
    <w:rsid w:val="00777750"/>
    <w:rsid w:val="007853FF"/>
    <w:rsid w:val="00785986"/>
    <w:rsid w:val="00792075"/>
    <w:rsid w:val="00792091"/>
    <w:rsid w:val="00792BC5"/>
    <w:rsid w:val="00794A3A"/>
    <w:rsid w:val="007952B3"/>
    <w:rsid w:val="00797F9D"/>
    <w:rsid w:val="007A0EEB"/>
    <w:rsid w:val="007A6497"/>
    <w:rsid w:val="007A6E32"/>
    <w:rsid w:val="007B591B"/>
    <w:rsid w:val="007B6947"/>
    <w:rsid w:val="007B72F3"/>
    <w:rsid w:val="007C2B2C"/>
    <w:rsid w:val="007C3C57"/>
    <w:rsid w:val="007C4C1F"/>
    <w:rsid w:val="007C5329"/>
    <w:rsid w:val="007C54FB"/>
    <w:rsid w:val="007D4099"/>
    <w:rsid w:val="007E0179"/>
    <w:rsid w:val="007E35F0"/>
    <w:rsid w:val="007F0E7B"/>
    <w:rsid w:val="007F1DB9"/>
    <w:rsid w:val="007F292B"/>
    <w:rsid w:val="007F437A"/>
    <w:rsid w:val="007F7B29"/>
    <w:rsid w:val="00807259"/>
    <w:rsid w:val="00815B7E"/>
    <w:rsid w:val="00823290"/>
    <w:rsid w:val="0082631D"/>
    <w:rsid w:val="008343B5"/>
    <w:rsid w:val="008472A8"/>
    <w:rsid w:val="00847F79"/>
    <w:rsid w:val="00850635"/>
    <w:rsid w:val="0085345D"/>
    <w:rsid w:val="008535C7"/>
    <w:rsid w:val="00856D44"/>
    <w:rsid w:val="00856EC2"/>
    <w:rsid w:val="00857A8E"/>
    <w:rsid w:val="00863C0D"/>
    <w:rsid w:val="008665CD"/>
    <w:rsid w:val="0087003A"/>
    <w:rsid w:val="00871903"/>
    <w:rsid w:val="00877259"/>
    <w:rsid w:val="00877A69"/>
    <w:rsid w:val="00880946"/>
    <w:rsid w:val="0089210B"/>
    <w:rsid w:val="00893B2B"/>
    <w:rsid w:val="008944A3"/>
    <w:rsid w:val="008A049C"/>
    <w:rsid w:val="008A1608"/>
    <w:rsid w:val="008A2314"/>
    <w:rsid w:val="008A7F44"/>
    <w:rsid w:val="008B28DF"/>
    <w:rsid w:val="008B33C3"/>
    <w:rsid w:val="008B3DF3"/>
    <w:rsid w:val="008B4DBF"/>
    <w:rsid w:val="008C1F3B"/>
    <w:rsid w:val="008C32AF"/>
    <w:rsid w:val="008C5689"/>
    <w:rsid w:val="008C5C62"/>
    <w:rsid w:val="008D1861"/>
    <w:rsid w:val="008D2A86"/>
    <w:rsid w:val="008D722A"/>
    <w:rsid w:val="008E0A6B"/>
    <w:rsid w:val="008E1DEB"/>
    <w:rsid w:val="008F08E2"/>
    <w:rsid w:val="008F3C8F"/>
    <w:rsid w:val="008F6C14"/>
    <w:rsid w:val="009032EB"/>
    <w:rsid w:val="009052BC"/>
    <w:rsid w:val="00916002"/>
    <w:rsid w:val="0092057B"/>
    <w:rsid w:val="00921442"/>
    <w:rsid w:val="00922AE8"/>
    <w:rsid w:val="00930D72"/>
    <w:rsid w:val="0093250A"/>
    <w:rsid w:val="00935936"/>
    <w:rsid w:val="00935CAA"/>
    <w:rsid w:val="00937101"/>
    <w:rsid w:val="009462FA"/>
    <w:rsid w:val="009463E9"/>
    <w:rsid w:val="00952757"/>
    <w:rsid w:val="00960E54"/>
    <w:rsid w:val="009612A1"/>
    <w:rsid w:val="00961CCC"/>
    <w:rsid w:val="00963F5A"/>
    <w:rsid w:val="00974FE1"/>
    <w:rsid w:val="00975746"/>
    <w:rsid w:val="00982D35"/>
    <w:rsid w:val="00983E79"/>
    <w:rsid w:val="00991413"/>
    <w:rsid w:val="00992390"/>
    <w:rsid w:val="00993D60"/>
    <w:rsid w:val="009A202A"/>
    <w:rsid w:val="009A2BB4"/>
    <w:rsid w:val="009A702D"/>
    <w:rsid w:val="009B2454"/>
    <w:rsid w:val="009B26BA"/>
    <w:rsid w:val="009B3201"/>
    <w:rsid w:val="009B4D12"/>
    <w:rsid w:val="009B60B7"/>
    <w:rsid w:val="009B6398"/>
    <w:rsid w:val="009B6DEB"/>
    <w:rsid w:val="009B70DD"/>
    <w:rsid w:val="009C0036"/>
    <w:rsid w:val="009C7308"/>
    <w:rsid w:val="009D246A"/>
    <w:rsid w:val="009D28AE"/>
    <w:rsid w:val="009D2CBF"/>
    <w:rsid w:val="009D3F78"/>
    <w:rsid w:val="009D52E7"/>
    <w:rsid w:val="009E0E68"/>
    <w:rsid w:val="009E7CD2"/>
    <w:rsid w:val="009F2A09"/>
    <w:rsid w:val="009F4672"/>
    <w:rsid w:val="009F4C58"/>
    <w:rsid w:val="009F664C"/>
    <w:rsid w:val="009F6F78"/>
    <w:rsid w:val="009F6FCF"/>
    <w:rsid w:val="009F7619"/>
    <w:rsid w:val="00A002D6"/>
    <w:rsid w:val="00A02015"/>
    <w:rsid w:val="00A02437"/>
    <w:rsid w:val="00A0352C"/>
    <w:rsid w:val="00A13058"/>
    <w:rsid w:val="00A1351A"/>
    <w:rsid w:val="00A16F47"/>
    <w:rsid w:val="00A17707"/>
    <w:rsid w:val="00A20119"/>
    <w:rsid w:val="00A20962"/>
    <w:rsid w:val="00A20B7E"/>
    <w:rsid w:val="00A2351C"/>
    <w:rsid w:val="00A244AB"/>
    <w:rsid w:val="00A24D2E"/>
    <w:rsid w:val="00A24D5C"/>
    <w:rsid w:val="00A2725A"/>
    <w:rsid w:val="00A274AF"/>
    <w:rsid w:val="00A30414"/>
    <w:rsid w:val="00A313B3"/>
    <w:rsid w:val="00A32825"/>
    <w:rsid w:val="00A372B2"/>
    <w:rsid w:val="00A427A5"/>
    <w:rsid w:val="00A43B3F"/>
    <w:rsid w:val="00A43FE2"/>
    <w:rsid w:val="00A45346"/>
    <w:rsid w:val="00A5063D"/>
    <w:rsid w:val="00A50ACB"/>
    <w:rsid w:val="00A51CCA"/>
    <w:rsid w:val="00A54BB1"/>
    <w:rsid w:val="00A603AC"/>
    <w:rsid w:val="00A62140"/>
    <w:rsid w:val="00A62E9C"/>
    <w:rsid w:val="00A805D8"/>
    <w:rsid w:val="00A85BD3"/>
    <w:rsid w:val="00A91C5F"/>
    <w:rsid w:val="00A93E42"/>
    <w:rsid w:val="00A940F1"/>
    <w:rsid w:val="00A946DF"/>
    <w:rsid w:val="00A95777"/>
    <w:rsid w:val="00A95A1E"/>
    <w:rsid w:val="00A95AD6"/>
    <w:rsid w:val="00A964D1"/>
    <w:rsid w:val="00A97D1A"/>
    <w:rsid w:val="00AA1677"/>
    <w:rsid w:val="00AA3341"/>
    <w:rsid w:val="00AA408F"/>
    <w:rsid w:val="00AA4694"/>
    <w:rsid w:val="00AA47F1"/>
    <w:rsid w:val="00AA4D6F"/>
    <w:rsid w:val="00AA7208"/>
    <w:rsid w:val="00AB2954"/>
    <w:rsid w:val="00AB4AEB"/>
    <w:rsid w:val="00AB6AEC"/>
    <w:rsid w:val="00AC0236"/>
    <w:rsid w:val="00AC2166"/>
    <w:rsid w:val="00AC5FBF"/>
    <w:rsid w:val="00AD2EBC"/>
    <w:rsid w:val="00AD53EF"/>
    <w:rsid w:val="00AD5597"/>
    <w:rsid w:val="00AD7419"/>
    <w:rsid w:val="00AE4C05"/>
    <w:rsid w:val="00AE5222"/>
    <w:rsid w:val="00AE5F05"/>
    <w:rsid w:val="00AF076F"/>
    <w:rsid w:val="00AF4D31"/>
    <w:rsid w:val="00B0183D"/>
    <w:rsid w:val="00B2084F"/>
    <w:rsid w:val="00B221EC"/>
    <w:rsid w:val="00B237E5"/>
    <w:rsid w:val="00B23CB8"/>
    <w:rsid w:val="00B26737"/>
    <w:rsid w:val="00B31FA9"/>
    <w:rsid w:val="00B3667B"/>
    <w:rsid w:val="00B36F51"/>
    <w:rsid w:val="00B37E40"/>
    <w:rsid w:val="00B4272E"/>
    <w:rsid w:val="00B44E20"/>
    <w:rsid w:val="00B45334"/>
    <w:rsid w:val="00B464E6"/>
    <w:rsid w:val="00B52C4B"/>
    <w:rsid w:val="00B54743"/>
    <w:rsid w:val="00B54816"/>
    <w:rsid w:val="00B608C6"/>
    <w:rsid w:val="00B64AAB"/>
    <w:rsid w:val="00B65284"/>
    <w:rsid w:val="00B671F0"/>
    <w:rsid w:val="00B67DC5"/>
    <w:rsid w:val="00B73353"/>
    <w:rsid w:val="00B74064"/>
    <w:rsid w:val="00B74543"/>
    <w:rsid w:val="00B74C3C"/>
    <w:rsid w:val="00B770FE"/>
    <w:rsid w:val="00B77430"/>
    <w:rsid w:val="00B77BFA"/>
    <w:rsid w:val="00B80182"/>
    <w:rsid w:val="00B805D0"/>
    <w:rsid w:val="00B847CF"/>
    <w:rsid w:val="00B87130"/>
    <w:rsid w:val="00B87A04"/>
    <w:rsid w:val="00B932CF"/>
    <w:rsid w:val="00BA0682"/>
    <w:rsid w:val="00BA3177"/>
    <w:rsid w:val="00BA42E7"/>
    <w:rsid w:val="00BA4CBB"/>
    <w:rsid w:val="00BB5A5D"/>
    <w:rsid w:val="00BB6ACB"/>
    <w:rsid w:val="00BB7E86"/>
    <w:rsid w:val="00BB7E90"/>
    <w:rsid w:val="00BC450B"/>
    <w:rsid w:val="00BC47A9"/>
    <w:rsid w:val="00BC47C6"/>
    <w:rsid w:val="00BD076A"/>
    <w:rsid w:val="00BE470F"/>
    <w:rsid w:val="00BE5708"/>
    <w:rsid w:val="00BE5A7F"/>
    <w:rsid w:val="00BE7864"/>
    <w:rsid w:val="00BF14B8"/>
    <w:rsid w:val="00BF24CD"/>
    <w:rsid w:val="00BF45DD"/>
    <w:rsid w:val="00BF463A"/>
    <w:rsid w:val="00BF5D39"/>
    <w:rsid w:val="00C0165F"/>
    <w:rsid w:val="00C034EE"/>
    <w:rsid w:val="00C039EB"/>
    <w:rsid w:val="00C059E5"/>
    <w:rsid w:val="00C11E06"/>
    <w:rsid w:val="00C12C1F"/>
    <w:rsid w:val="00C13A11"/>
    <w:rsid w:val="00C162C3"/>
    <w:rsid w:val="00C258B0"/>
    <w:rsid w:val="00C34B06"/>
    <w:rsid w:val="00C35BCD"/>
    <w:rsid w:val="00C410E6"/>
    <w:rsid w:val="00C410F4"/>
    <w:rsid w:val="00C52D60"/>
    <w:rsid w:val="00C5335F"/>
    <w:rsid w:val="00C66475"/>
    <w:rsid w:val="00C70125"/>
    <w:rsid w:val="00C71947"/>
    <w:rsid w:val="00C722CD"/>
    <w:rsid w:val="00C73523"/>
    <w:rsid w:val="00C76528"/>
    <w:rsid w:val="00C81134"/>
    <w:rsid w:val="00C81213"/>
    <w:rsid w:val="00C866CD"/>
    <w:rsid w:val="00C87AC3"/>
    <w:rsid w:val="00C919E6"/>
    <w:rsid w:val="00C92E99"/>
    <w:rsid w:val="00C938FC"/>
    <w:rsid w:val="00C93C9E"/>
    <w:rsid w:val="00C93D3E"/>
    <w:rsid w:val="00C949E3"/>
    <w:rsid w:val="00C95BF3"/>
    <w:rsid w:val="00C97E4C"/>
    <w:rsid w:val="00CA0863"/>
    <w:rsid w:val="00CA171E"/>
    <w:rsid w:val="00CA3879"/>
    <w:rsid w:val="00CA4074"/>
    <w:rsid w:val="00CA4673"/>
    <w:rsid w:val="00CB3718"/>
    <w:rsid w:val="00CB3B02"/>
    <w:rsid w:val="00CC17C9"/>
    <w:rsid w:val="00CD3EA8"/>
    <w:rsid w:val="00CD4560"/>
    <w:rsid w:val="00CD79A2"/>
    <w:rsid w:val="00CE16B5"/>
    <w:rsid w:val="00CF1342"/>
    <w:rsid w:val="00CF228C"/>
    <w:rsid w:val="00CF3FBE"/>
    <w:rsid w:val="00CF44C4"/>
    <w:rsid w:val="00CF5427"/>
    <w:rsid w:val="00D015A2"/>
    <w:rsid w:val="00D02EF5"/>
    <w:rsid w:val="00D0448D"/>
    <w:rsid w:val="00D04E24"/>
    <w:rsid w:val="00D068AD"/>
    <w:rsid w:val="00D0705E"/>
    <w:rsid w:val="00D113E9"/>
    <w:rsid w:val="00D17FF1"/>
    <w:rsid w:val="00D202AC"/>
    <w:rsid w:val="00D22A87"/>
    <w:rsid w:val="00D23092"/>
    <w:rsid w:val="00D23270"/>
    <w:rsid w:val="00D23CBD"/>
    <w:rsid w:val="00D243F1"/>
    <w:rsid w:val="00D25A56"/>
    <w:rsid w:val="00D25B65"/>
    <w:rsid w:val="00D30B52"/>
    <w:rsid w:val="00D403E1"/>
    <w:rsid w:val="00D40BE7"/>
    <w:rsid w:val="00D421A7"/>
    <w:rsid w:val="00D52BA7"/>
    <w:rsid w:val="00D53B60"/>
    <w:rsid w:val="00D53ED7"/>
    <w:rsid w:val="00D5558F"/>
    <w:rsid w:val="00D61CE8"/>
    <w:rsid w:val="00D67257"/>
    <w:rsid w:val="00D71B40"/>
    <w:rsid w:val="00D74296"/>
    <w:rsid w:val="00D80C2B"/>
    <w:rsid w:val="00D876DB"/>
    <w:rsid w:val="00D90FB9"/>
    <w:rsid w:val="00D94B4D"/>
    <w:rsid w:val="00D967D8"/>
    <w:rsid w:val="00D971EE"/>
    <w:rsid w:val="00D9796F"/>
    <w:rsid w:val="00DA03CB"/>
    <w:rsid w:val="00DA1E63"/>
    <w:rsid w:val="00DA2F78"/>
    <w:rsid w:val="00DA34C6"/>
    <w:rsid w:val="00DA4F7E"/>
    <w:rsid w:val="00DA55F8"/>
    <w:rsid w:val="00DA63BC"/>
    <w:rsid w:val="00DA69C9"/>
    <w:rsid w:val="00DB146D"/>
    <w:rsid w:val="00DB17FC"/>
    <w:rsid w:val="00DB3619"/>
    <w:rsid w:val="00DB4D62"/>
    <w:rsid w:val="00DB6646"/>
    <w:rsid w:val="00DB74EF"/>
    <w:rsid w:val="00DC20AA"/>
    <w:rsid w:val="00DC27B8"/>
    <w:rsid w:val="00DC5603"/>
    <w:rsid w:val="00DC5F2B"/>
    <w:rsid w:val="00DC7296"/>
    <w:rsid w:val="00DD18BD"/>
    <w:rsid w:val="00DD5448"/>
    <w:rsid w:val="00DD7D2E"/>
    <w:rsid w:val="00DE12B1"/>
    <w:rsid w:val="00DE54CB"/>
    <w:rsid w:val="00DE5EEE"/>
    <w:rsid w:val="00DF0ABD"/>
    <w:rsid w:val="00DF28BC"/>
    <w:rsid w:val="00DF58E0"/>
    <w:rsid w:val="00DF61F2"/>
    <w:rsid w:val="00DF7134"/>
    <w:rsid w:val="00DF7D69"/>
    <w:rsid w:val="00E02013"/>
    <w:rsid w:val="00E0500A"/>
    <w:rsid w:val="00E0551D"/>
    <w:rsid w:val="00E10FF6"/>
    <w:rsid w:val="00E1275F"/>
    <w:rsid w:val="00E16101"/>
    <w:rsid w:val="00E2470B"/>
    <w:rsid w:val="00E26825"/>
    <w:rsid w:val="00E273E5"/>
    <w:rsid w:val="00E32544"/>
    <w:rsid w:val="00E342E9"/>
    <w:rsid w:val="00E3457B"/>
    <w:rsid w:val="00E36170"/>
    <w:rsid w:val="00E36E47"/>
    <w:rsid w:val="00E37344"/>
    <w:rsid w:val="00E410C4"/>
    <w:rsid w:val="00E41E24"/>
    <w:rsid w:val="00E43302"/>
    <w:rsid w:val="00E472EA"/>
    <w:rsid w:val="00E51A4A"/>
    <w:rsid w:val="00E527DF"/>
    <w:rsid w:val="00E54B7A"/>
    <w:rsid w:val="00E551B1"/>
    <w:rsid w:val="00E55E88"/>
    <w:rsid w:val="00E5790E"/>
    <w:rsid w:val="00E61AE2"/>
    <w:rsid w:val="00E63B8E"/>
    <w:rsid w:val="00E67143"/>
    <w:rsid w:val="00E673A3"/>
    <w:rsid w:val="00E674FC"/>
    <w:rsid w:val="00E679DD"/>
    <w:rsid w:val="00E86ED3"/>
    <w:rsid w:val="00E8783E"/>
    <w:rsid w:val="00E87878"/>
    <w:rsid w:val="00E91EBB"/>
    <w:rsid w:val="00E939E0"/>
    <w:rsid w:val="00EA61F6"/>
    <w:rsid w:val="00EB3637"/>
    <w:rsid w:val="00EB486D"/>
    <w:rsid w:val="00EC0604"/>
    <w:rsid w:val="00EC0CD5"/>
    <w:rsid w:val="00EC1F29"/>
    <w:rsid w:val="00EC43B5"/>
    <w:rsid w:val="00EC50E9"/>
    <w:rsid w:val="00EC627C"/>
    <w:rsid w:val="00EC7179"/>
    <w:rsid w:val="00ED6886"/>
    <w:rsid w:val="00EE1BA4"/>
    <w:rsid w:val="00EE2768"/>
    <w:rsid w:val="00EE2A87"/>
    <w:rsid w:val="00EF1802"/>
    <w:rsid w:val="00EF2D77"/>
    <w:rsid w:val="00EF4789"/>
    <w:rsid w:val="00EF5B47"/>
    <w:rsid w:val="00EF68F5"/>
    <w:rsid w:val="00F06269"/>
    <w:rsid w:val="00F06A11"/>
    <w:rsid w:val="00F0776A"/>
    <w:rsid w:val="00F1050B"/>
    <w:rsid w:val="00F12886"/>
    <w:rsid w:val="00F12DB4"/>
    <w:rsid w:val="00F13827"/>
    <w:rsid w:val="00F17869"/>
    <w:rsid w:val="00F209E0"/>
    <w:rsid w:val="00F21BD7"/>
    <w:rsid w:val="00F26297"/>
    <w:rsid w:val="00F26FE8"/>
    <w:rsid w:val="00F27ABE"/>
    <w:rsid w:val="00F27CA7"/>
    <w:rsid w:val="00F31EAA"/>
    <w:rsid w:val="00F41812"/>
    <w:rsid w:val="00F4399C"/>
    <w:rsid w:val="00F44A65"/>
    <w:rsid w:val="00F4505F"/>
    <w:rsid w:val="00F51620"/>
    <w:rsid w:val="00F52FF0"/>
    <w:rsid w:val="00F5532A"/>
    <w:rsid w:val="00F56BC0"/>
    <w:rsid w:val="00F56E65"/>
    <w:rsid w:val="00F570F2"/>
    <w:rsid w:val="00F62290"/>
    <w:rsid w:val="00F675D7"/>
    <w:rsid w:val="00F7252E"/>
    <w:rsid w:val="00F73642"/>
    <w:rsid w:val="00F762F3"/>
    <w:rsid w:val="00F8025C"/>
    <w:rsid w:val="00F815B2"/>
    <w:rsid w:val="00F821BB"/>
    <w:rsid w:val="00F833BC"/>
    <w:rsid w:val="00F85337"/>
    <w:rsid w:val="00F9096F"/>
    <w:rsid w:val="00F91200"/>
    <w:rsid w:val="00F924B4"/>
    <w:rsid w:val="00F943EE"/>
    <w:rsid w:val="00F963B1"/>
    <w:rsid w:val="00FA406F"/>
    <w:rsid w:val="00FB1910"/>
    <w:rsid w:val="00FB7D9A"/>
    <w:rsid w:val="00FC5AB0"/>
    <w:rsid w:val="00FC7080"/>
    <w:rsid w:val="00FD34FF"/>
    <w:rsid w:val="00FD6465"/>
    <w:rsid w:val="00FE03E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2242">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aer.gov.a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4.gif"/><Relationship Id="rId4"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1856A75</Template>
  <TotalTime>0</TotalTime>
  <Pages>4</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2016-11-16T04:05:00Z</dcterms:created>
  <dcterms:modified xsi:type="dcterms:W3CDTF">2016-11-29T22:54:00Z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