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4F" w:rsidRPr="007F5E5E" w:rsidRDefault="00D9414F" w:rsidP="00D9414F">
      <w:pPr>
        <w:jc w:val="center"/>
        <w:rPr>
          <w:rFonts w:ascii="Times New Roman" w:hAnsi="Times New Roman"/>
          <w:b/>
          <w:szCs w:val="24"/>
        </w:rPr>
      </w:pPr>
      <w:bookmarkStart w:id="0" w:name="_Toc179106796"/>
      <w:bookmarkStart w:id="1" w:name="_GoBack"/>
      <w:bookmarkEnd w:id="1"/>
      <w:r w:rsidRPr="007F5E5E">
        <w:rPr>
          <w:rFonts w:ascii="Times New Roman" w:hAnsi="Times New Roman"/>
          <w:b/>
          <w:szCs w:val="24"/>
        </w:rPr>
        <w:t>NATIONAL E</w:t>
      </w:r>
      <w:r>
        <w:rPr>
          <w:rFonts w:ascii="Times New Roman" w:hAnsi="Times New Roman"/>
          <w:b/>
          <w:szCs w:val="24"/>
        </w:rPr>
        <w:t xml:space="preserve">NERGY RETAIL </w:t>
      </w:r>
      <w:r w:rsidRPr="007F5E5E">
        <w:rPr>
          <w:rFonts w:ascii="Times New Roman" w:hAnsi="Times New Roman"/>
          <w:b/>
          <w:szCs w:val="24"/>
        </w:rPr>
        <w:t>LAW</w:t>
      </w:r>
    </w:p>
    <w:p w:rsidR="00D9414F" w:rsidRPr="007F5E5E" w:rsidRDefault="00D9414F" w:rsidP="00D9414F">
      <w:pPr>
        <w:jc w:val="center"/>
        <w:rPr>
          <w:rFonts w:ascii="Times New Roman" w:hAnsi="Times New Roman"/>
          <w:b/>
          <w:szCs w:val="24"/>
        </w:rPr>
      </w:pPr>
    </w:p>
    <w:p w:rsidR="00D9414F" w:rsidRPr="007F5E5E" w:rsidRDefault="00D9414F" w:rsidP="00D9414F">
      <w:pPr>
        <w:jc w:val="center"/>
        <w:rPr>
          <w:rFonts w:ascii="Times New Roman" w:hAnsi="Times New Roman"/>
          <w:b/>
          <w:szCs w:val="24"/>
        </w:rPr>
      </w:pPr>
      <w:r w:rsidRPr="007F5E5E">
        <w:rPr>
          <w:rFonts w:ascii="Times New Roman" w:hAnsi="Times New Roman"/>
          <w:b/>
          <w:szCs w:val="24"/>
        </w:rPr>
        <w:t xml:space="preserve">DIVISION </w:t>
      </w:r>
      <w:r>
        <w:rPr>
          <w:rFonts w:ascii="Times New Roman" w:hAnsi="Times New Roman"/>
          <w:b/>
          <w:szCs w:val="24"/>
        </w:rPr>
        <w:t>5</w:t>
      </w:r>
      <w:r w:rsidRPr="007F5E5E">
        <w:rPr>
          <w:rFonts w:ascii="Times New Roman" w:hAnsi="Times New Roman"/>
          <w:b/>
          <w:szCs w:val="24"/>
        </w:rPr>
        <w:t xml:space="preserve"> OF PART </w:t>
      </w:r>
      <w:r>
        <w:rPr>
          <w:rFonts w:ascii="Times New Roman" w:hAnsi="Times New Roman"/>
          <w:b/>
          <w:szCs w:val="24"/>
        </w:rPr>
        <w:t>6</w:t>
      </w:r>
    </w:p>
    <w:p w:rsidR="00D9414F" w:rsidRDefault="00D9414F" w:rsidP="00D9414F">
      <w:pPr>
        <w:jc w:val="center"/>
        <w:rPr>
          <w:rFonts w:ascii="Times New Roman" w:hAnsi="Times New Roman"/>
          <w:b/>
          <w:szCs w:val="24"/>
        </w:rPr>
      </w:pPr>
    </w:p>
    <w:p w:rsidR="00D9414F" w:rsidRPr="007F5E5E" w:rsidRDefault="00D9414F" w:rsidP="00D9414F">
      <w:pPr>
        <w:jc w:val="center"/>
        <w:rPr>
          <w:rFonts w:ascii="Times New Roman" w:hAnsi="Times New Roman"/>
          <w:b/>
          <w:szCs w:val="24"/>
        </w:rPr>
      </w:pPr>
    </w:p>
    <w:p w:rsidR="00D9414F" w:rsidRPr="00154539" w:rsidRDefault="00D9414F" w:rsidP="00D9414F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35E3">
        <w:rPr>
          <w:rFonts w:ascii="Times New Roman" w:hAnsi="Times New Roman"/>
          <w:b/>
          <w:sz w:val="28"/>
          <w:szCs w:val="28"/>
          <w:u w:val="single"/>
        </w:rPr>
        <w:t>ROLR NOTICE</w:t>
      </w:r>
    </w:p>
    <w:p w:rsidR="008B6CFD" w:rsidRDefault="008B6CFD" w:rsidP="00D9414F">
      <w:pPr>
        <w:spacing w:before="240" w:after="240"/>
        <w:jc w:val="both"/>
        <w:rPr>
          <w:rFonts w:ascii="Times New Roman" w:hAnsi="Times New Roman"/>
          <w:szCs w:val="24"/>
        </w:rPr>
      </w:pPr>
      <w:bookmarkStart w:id="2" w:name="Appendix_9a_Directions_ID"/>
      <w:bookmarkStart w:id="3" w:name="OLE_LINK5"/>
      <w:bookmarkStart w:id="4" w:name="OLE_LINK6"/>
      <w:bookmarkEnd w:id="0"/>
      <w:bookmarkEnd w:id="2"/>
    </w:p>
    <w:p w:rsidR="00D9414F" w:rsidRDefault="00D9414F" w:rsidP="00D9414F">
      <w:pPr>
        <w:spacing w:before="240" w:after="240"/>
        <w:jc w:val="both"/>
        <w:rPr>
          <w:rFonts w:ascii="Times New Roman" w:hAnsi="Times New Roman"/>
          <w:szCs w:val="24"/>
        </w:rPr>
      </w:pPr>
      <w:r w:rsidRPr="007F5E5E">
        <w:rPr>
          <w:rFonts w:ascii="Times New Roman" w:hAnsi="Times New Roman"/>
          <w:szCs w:val="24"/>
        </w:rPr>
        <w:t>The Australian Energy Regulator (</w:t>
      </w:r>
      <w:r w:rsidRPr="004235E3">
        <w:rPr>
          <w:rFonts w:ascii="Times New Roman" w:hAnsi="Times New Roman"/>
          <w:szCs w:val="24"/>
        </w:rPr>
        <w:t>AER</w:t>
      </w:r>
      <w:r w:rsidRPr="007F5E5E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has issued this Notice under section 136 of the National Energy Retail Law (NERL).  </w:t>
      </w:r>
    </w:p>
    <w:bookmarkEnd w:id="3"/>
    <w:bookmarkEnd w:id="4"/>
    <w:p w:rsidR="00D9414F" w:rsidRDefault="00D9414F" w:rsidP="00D9414F">
      <w:pPr>
        <w:pStyle w:val="AERbodytext"/>
        <w:jc w:val="both"/>
        <w:rPr>
          <w:b/>
          <w:szCs w:val="24"/>
        </w:rPr>
      </w:pPr>
      <w:r>
        <w:rPr>
          <w:b/>
          <w:szCs w:val="24"/>
        </w:rPr>
        <w:t>RoLR Event</w:t>
      </w:r>
    </w:p>
    <w:p w:rsidR="00F039C7" w:rsidRDefault="00D9414F" w:rsidP="00D9414F">
      <w:pPr>
        <w:pStyle w:val="AERbodytext"/>
        <w:jc w:val="both"/>
        <w:rPr>
          <w:szCs w:val="24"/>
        </w:rPr>
      </w:pPr>
      <w:r w:rsidRPr="00444984">
        <w:rPr>
          <w:szCs w:val="24"/>
        </w:rPr>
        <w:t xml:space="preserve">A </w:t>
      </w:r>
      <w:r w:rsidR="00E751B0" w:rsidRPr="00444984">
        <w:rPr>
          <w:szCs w:val="24"/>
        </w:rPr>
        <w:t xml:space="preserve">Retailer of Last Resort </w:t>
      </w:r>
      <w:r w:rsidR="004E2EFC" w:rsidRPr="00444984">
        <w:rPr>
          <w:szCs w:val="24"/>
        </w:rPr>
        <w:t xml:space="preserve">(RoLR) </w:t>
      </w:r>
      <w:r w:rsidR="00E751B0" w:rsidRPr="00444984">
        <w:rPr>
          <w:szCs w:val="24"/>
        </w:rPr>
        <w:t xml:space="preserve">event </w:t>
      </w:r>
      <w:r w:rsidRPr="00444984">
        <w:rPr>
          <w:szCs w:val="24"/>
        </w:rPr>
        <w:t xml:space="preserve">has occurred in relation to </w:t>
      </w:r>
      <w:r w:rsidR="00F65090" w:rsidRPr="00350594">
        <w:rPr>
          <w:color w:val="000000" w:themeColor="text1"/>
          <w:szCs w:val="24"/>
        </w:rPr>
        <w:t xml:space="preserve">Urth Energy Pty Ltd </w:t>
      </w:r>
      <w:r w:rsidR="00350594">
        <w:rPr>
          <w:color w:val="000000" w:themeColor="text1"/>
          <w:szCs w:val="24"/>
        </w:rPr>
        <w:t>(</w:t>
      </w:r>
      <w:r w:rsidR="00444984" w:rsidRPr="00350594">
        <w:rPr>
          <w:color w:val="000000" w:themeColor="text1"/>
          <w:szCs w:val="24"/>
          <w:lang w:val="en"/>
        </w:rPr>
        <w:t>ABN 52 601 693 109</w:t>
      </w:r>
      <w:r w:rsidR="00350594">
        <w:rPr>
          <w:color w:val="000000" w:themeColor="text1"/>
          <w:szCs w:val="24"/>
          <w:lang w:val="en"/>
        </w:rPr>
        <w:t>)</w:t>
      </w:r>
      <w:r w:rsidR="00444984">
        <w:t xml:space="preserve"> </w:t>
      </w:r>
      <w:r w:rsidR="00462F14" w:rsidRPr="00350594">
        <w:t xml:space="preserve">with the registered participant identification </w:t>
      </w:r>
      <w:r w:rsidR="00462F14" w:rsidRPr="00350594">
        <w:rPr>
          <w:color w:val="000000" w:themeColor="text1"/>
        </w:rPr>
        <w:t>“</w:t>
      </w:r>
      <w:r w:rsidR="004C0195" w:rsidRPr="00350594">
        <w:rPr>
          <w:color w:val="000000" w:themeColor="text1"/>
        </w:rPr>
        <w:t>URTH</w:t>
      </w:r>
      <w:r w:rsidR="00462F14" w:rsidRPr="00350594">
        <w:rPr>
          <w:color w:val="000000" w:themeColor="text1"/>
        </w:rPr>
        <w:t>”</w:t>
      </w:r>
      <w:r w:rsidR="00462F14" w:rsidRPr="00350594">
        <w:t xml:space="preserve"> in the National Electricity Market</w:t>
      </w:r>
      <w:r w:rsidR="00460E0B" w:rsidRPr="00350594">
        <w:t>. P</w:t>
      </w:r>
      <w:r w:rsidR="00462F14" w:rsidRPr="00350594">
        <w:rPr>
          <w:szCs w:val="24"/>
        </w:rPr>
        <w:t>rior to the issue of this notice</w:t>
      </w:r>
      <w:r w:rsidR="00460E0B" w:rsidRPr="00350594">
        <w:rPr>
          <w:szCs w:val="24"/>
        </w:rPr>
        <w:t xml:space="preserve">, </w:t>
      </w:r>
      <w:r w:rsidR="00444984" w:rsidRPr="00B33B1B">
        <w:rPr>
          <w:color w:val="000000"/>
          <w:szCs w:val="24"/>
        </w:rPr>
        <w:t>Urth Energy Pty Ltd</w:t>
      </w:r>
      <w:r w:rsidR="00460E0B" w:rsidRPr="00350594">
        <w:rPr>
          <w:szCs w:val="24"/>
        </w:rPr>
        <w:t xml:space="preserve"> </w:t>
      </w:r>
      <w:r w:rsidR="00460E0B" w:rsidRPr="00B33B1B">
        <w:rPr>
          <w:szCs w:val="24"/>
        </w:rPr>
        <w:t>was</w:t>
      </w:r>
      <w:r w:rsidR="00462F14" w:rsidRPr="00350594">
        <w:rPr>
          <w:szCs w:val="24"/>
        </w:rPr>
        <w:t xml:space="preserve"> </w:t>
      </w:r>
      <w:r w:rsidRPr="00B33B1B">
        <w:rPr>
          <w:szCs w:val="24"/>
        </w:rPr>
        <w:t xml:space="preserve">an authorised </w:t>
      </w:r>
      <w:r w:rsidR="006A2881" w:rsidRPr="00B33B1B">
        <w:rPr>
          <w:szCs w:val="24"/>
        </w:rPr>
        <w:t xml:space="preserve">electricity </w:t>
      </w:r>
      <w:r w:rsidRPr="00B33B1B">
        <w:rPr>
          <w:szCs w:val="24"/>
        </w:rPr>
        <w:t>retailer for the purposes of Part 5 of the NERL</w:t>
      </w:r>
      <w:r w:rsidR="00462F14" w:rsidRPr="00B33B1B">
        <w:rPr>
          <w:szCs w:val="24"/>
        </w:rPr>
        <w:t xml:space="preserve"> </w:t>
      </w:r>
      <w:r w:rsidR="00462F14" w:rsidRPr="00B33B1B">
        <w:t xml:space="preserve">with the authorisation identification </w:t>
      </w:r>
      <w:r w:rsidR="00444984" w:rsidRPr="00350594">
        <w:rPr>
          <w:color w:val="000000" w:themeColor="text1"/>
        </w:rPr>
        <w:t>E15003</w:t>
      </w:r>
      <w:r w:rsidRPr="00350594">
        <w:rPr>
          <w:szCs w:val="24"/>
        </w:rPr>
        <w:t xml:space="preserve">. </w:t>
      </w:r>
    </w:p>
    <w:p w:rsidR="00297E77" w:rsidRPr="00350594" w:rsidRDefault="00297E77" w:rsidP="00D9414F">
      <w:pPr>
        <w:pStyle w:val="AERbodytext"/>
        <w:jc w:val="both"/>
        <w:rPr>
          <w:szCs w:val="24"/>
        </w:rPr>
      </w:pPr>
      <w:r>
        <w:rPr>
          <w:szCs w:val="24"/>
        </w:rPr>
        <w:t>On 1 February 2017, Urth Energy Pty Ltd appointed an external administrator.  The appointment of an administrator constitutes a RoLR event under section 122 of the NERL.</w:t>
      </w:r>
    </w:p>
    <w:p w:rsidR="0020359B" w:rsidRDefault="00297E77" w:rsidP="00294594">
      <w:pPr>
        <w:pStyle w:val="AERbodytext"/>
        <w:jc w:val="both"/>
        <w:rPr>
          <w:szCs w:val="24"/>
        </w:rPr>
      </w:pPr>
      <w:r>
        <w:rPr>
          <w:szCs w:val="24"/>
        </w:rPr>
        <w:t>On 1 February 2017, t</w:t>
      </w:r>
      <w:r w:rsidR="0020359B" w:rsidRPr="009B5AEA">
        <w:rPr>
          <w:szCs w:val="24"/>
        </w:rPr>
        <w:t xml:space="preserve">he Australian Energy Market Operator (AEMO) suspended </w:t>
      </w:r>
      <w:r w:rsidR="00444984" w:rsidRPr="00444984">
        <w:rPr>
          <w:color w:val="000000"/>
          <w:szCs w:val="24"/>
        </w:rPr>
        <w:t>Urth Energy Pty Ltd</w:t>
      </w:r>
      <w:r w:rsidR="0020359B" w:rsidRPr="009B5AEA">
        <w:rPr>
          <w:szCs w:val="24"/>
        </w:rPr>
        <w:t xml:space="preserve"> from the</w:t>
      </w:r>
      <w:r w:rsidR="0020359B" w:rsidRPr="009B5AEA">
        <w:rPr>
          <w:b/>
          <w:i/>
          <w:szCs w:val="24"/>
        </w:rPr>
        <w:t xml:space="preserve"> </w:t>
      </w:r>
      <w:r w:rsidR="0020359B" w:rsidRPr="0020359B">
        <w:rPr>
          <w:szCs w:val="24"/>
        </w:rPr>
        <w:t>National Electricity Market</w:t>
      </w:r>
      <w:r w:rsidR="0020359B">
        <w:rPr>
          <w:b/>
          <w:i/>
          <w:szCs w:val="24"/>
        </w:rPr>
        <w:t xml:space="preserve"> </w:t>
      </w:r>
      <w:r w:rsidR="0020359B" w:rsidRPr="009B5AEA">
        <w:rPr>
          <w:szCs w:val="24"/>
        </w:rPr>
        <w:t>with effect from</w:t>
      </w:r>
      <w:r w:rsidR="0020359B">
        <w:rPr>
          <w:szCs w:val="24"/>
        </w:rPr>
        <w:t xml:space="preserve"> </w:t>
      </w:r>
      <w:r w:rsidR="00444984" w:rsidRPr="00350594">
        <w:rPr>
          <w:color w:val="000000" w:themeColor="text1"/>
          <w:szCs w:val="24"/>
        </w:rPr>
        <w:t>24:00 hours</w:t>
      </w:r>
      <w:r w:rsidR="00CC1DE2" w:rsidRPr="00350594">
        <w:rPr>
          <w:color w:val="000000" w:themeColor="text1"/>
          <w:szCs w:val="24"/>
        </w:rPr>
        <w:t xml:space="preserve"> Australian Eastern Standard Time</w:t>
      </w:r>
      <w:r w:rsidR="0020359B" w:rsidRPr="00350594">
        <w:rPr>
          <w:color w:val="000000" w:themeColor="text1"/>
          <w:szCs w:val="24"/>
        </w:rPr>
        <w:t xml:space="preserve"> on </w:t>
      </w:r>
      <w:r w:rsidR="004C0195" w:rsidRPr="00350594">
        <w:rPr>
          <w:color w:val="000000" w:themeColor="text1"/>
          <w:szCs w:val="24"/>
        </w:rPr>
        <w:t>1 February 2017</w:t>
      </w:r>
      <w:r w:rsidR="005C6150">
        <w:rPr>
          <w:color w:val="000000" w:themeColor="text1"/>
          <w:szCs w:val="24"/>
        </w:rPr>
        <w:t xml:space="preserve">. </w:t>
      </w:r>
      <w:r w:rsidR="0020359B" w:rsidRPr="009B5AEA">
        <w:rPr>
          <w:szCs w:val="24"/>
        </w:rPr>
        <w:t xml:space="preserve">The suspension of a retailer’s right to acquire </w:t>
      </w:r>
      <w:r w:rsidR="003647B7">
        <w:rPr>
          <w:szCs w:val="24"/>
        </w:rPr>
        <w:t xml:space="preserve">electricity </w:t>
      </w:r>
      <w:r w:rsidR="0020359B" w:rsidRPr="009B5AEA">
        <w:rPr>
          <w:szCs w:val="24"/>
        </w:rPr>
        <w:t xml:space="preserve">from the </w:t>
      </w:r>
      <w:r w:rsidR="003647B7">
        <w:rPr>
          <w:szCs w:val="24"/>
        </w:rPr>
        <w:t xml:space="preserve">wholesale market </w:t>
      </w:r>
      <w:r w:rsidR="0020359B" w:rsidRPr="009B5AEA">
        <w:rPr>
          <w:szCs w:val="24"/>
        </w:rPr>
        <w:t>constitutes a RoLR event under section 122 of the NERL.</w:t>
      </w:r>
    </w:p>
    <w:p w:rsidR="00D9414F" w:rsidRDefault="00D9414F" w:rsidP="00D9414F">
      <w:pPr>
        <w:pStyle w:val="AERbodytext"/>
        <w:jc w:val="both"/>
        <w:rPr>
          <w:b/>
          <w:szCs w:val="24"/>
        </w:rPr>
      </w:pPr>
      <w:r>
        <w:rPr>
          <w:b/>
          <w:szCs w:val="24"/>
        </w:rPr>
        <w:t>Affected Fuels and Markets</w:t>
      </w:r>
    </w:p>
    <w:p w:rsidR="007D404D" w:rsidRDefault="00D9414F" w:rsidP="00D9414F">
      <w:pPr>
        <w:pStyle w:val="AERbodytext"/>
        <w:jc w:val="both"/>
        <w:rPr>
          <w:color w:val="0033CC"/>
          <w:szCs w:val="24"/>
        </w:rPr>
      </w:pPr>
      <w:r w:rsidRPr="004235E3">
        <w:rPr>
          <w:szCs w:val="24"/>
        </w:rPr>
        <w:t>T</w:t>
      </w:r>
      <w:r w:rsidR="00460E0B">
        <w:rPr>
          <w:szCs w:val="24"/>
        </w:rPr>
        <w:t xml:space="preserve">his Notice affects electricity customers in </w:t>
      </w:r>
      <w:r w:rsidR="007D404D">
        <w:rPr>
          <w:szCs w:val="24"/>
        </w:rPr>
        <w:t xml:space="preserve">Queensland, New South Wales and South Australia who purchased electricity from </w:t>
      </w:r>
      <w:r w:rsidR="007D404D" w:rsidRPr="00444984">
        <w:rPr>
          <w:color w:val="000000"/>
          <w:szCs w:val="24"/>
        </w:rPr>
        <w:t>Urth Energy Pty Ltd</w:t>
      </w:r>
      <w:r w:rsidR="007D404D">
        <w:rPr>
          <w:szCs w:val="24"/>
        </w:rPr>
        <w:t xml:space="preserve">. </w:t>
      </w:r>
      <w:r w:rsidR="00835CF3">
        <w:rPr>
          <w:szCs w:val="24"/>
        </w:rPr>
        <w:t>Customers in other jurisdictions are not affected</w:t>
      </w:r>
      <w:r w:rsidR="007D404D">
        <w:rPr>
          <w:szCs w:val="24"/>
        </w:rPr>
        <w:t xml:space="preserve">. </w:t>
      </w:r>
    </w:p>
    <w:p w:rsidR="003B4E3D" w:rsidRDefault="004E2EFC" w:rsidP="006628D5">
      <w:pPr>
        <w:pStyle w:val="AERbodytext"/>
        <w:jc w:val="both"/>
        <w:rPr>
          <w:szCs w:val="24"/>
        </w:rPr>
      </w:pPr>
      <w:r w:rsidRPr="004E730C">
        <w:rPr>
          <w:b/>
          <w:szCs w:val="24"/>
        </w:rPr>
        <w:t>Registered RoLRs Appointed as Designated RoLRs by operation of section 132(1) of the NERL</w:t>
      </w:r>
    </w:p>
    <w:p w:rsidR="004E730C" w:rsidRDefault="004E730C" w:rsidP="004E730C">
      <w:pPr>
        <w:rPr>
          <w:rFonts w:ascii="Times New Roman" w:hAnsi="Times New Roman"/>
          <w:szCs w:val="24"/>
        </w:rPr>
      </w:pPr>
      <w:r w:rsidRPr="0005743E">
        <w:rPr>
          <w:rFonts w:ascii="Times New Roman" w:hAnsi="Times New Roman"/>
          <w:szCs w:val="24"/>
        </w:rPr>
        <w:t>Pursuant to section 13</w:t>
      </w:r>
      <w:r>
        <w:rPr>
          <w:rFonts w:ascii="Times New Roman" w:hAnsi="Times New Roman"/>
          <w:szCs w:val="24"/>
        </w:rPr>
        <w:t>2(1)</w:t>
      </w:r>
      <w:r w:rsidRPr="0005743E">
        <w:rPr>
          <w:rFonts w:ascii="Times New Roman" w:hAnsi="Times New Roman"/>
          <w:szCs w:val="24"/>
        </w:rPr>
        <w:t xml:space="preserve"> of the NERL, the </w:t>
      </w:r>
      <w:r>
        <w:rPr>
          <w:rFonts w:ascii="Times New Roman" w:hAnsi="Times New Roman"/>
          <w:szCs w:val="24"/>
        </w:rPr>
        <w:t xml:space="preserve">default RoLRs specified in Schedule 1 were taken to be appointed as the </w:t>
      </w:r>
      <w:r w:rsidRPr="0005743E">
        <w:rPr>
          <w:rFonts w:ascii="Times New Roman" w:hAnsi="Times New Roman"/>
          <w:szCs w:val="24"/>
        </w:rPr>
        <w:t xml:space="preserve">designated </w:t>
      </w:r>
      <w:r>
        <w:rPr>
          <w:rFonts w:ascii="Times New Roman" w:hAnsi="Times New Roman"/>
          <w:szCs w:val="24"/>
        </w:rPr>
        <w:t xml:space="preserve">RoLRs for this RoLR event.   </w:t>
      </w:r>
    </w:p>
    <w:p w:rsidR="004E730C" w:rsidRPr="004E730C" w:rsidRDefault="004E730C" w:rsidP="00D9414F">
      <w:pPr>
        <w:rPr>
          <w:rFonts w:ascii="Times New Roman" w:hAnsi="Times New Roman"/>
          <w:i/>
          <w:szCs w:val="24"/>
        </w:rPr>
      </w:pPr>
    </w:p>
    <w:p w:rsidR="00D9414F" w:rsidRDefault="00D9414F" w:rsidP="00D9414F">
      <w:pPr>
        <w:pStyle w:val="AERbodytext"/>
        <w:jc w:val="both"/>
        <w:rPr>
          <w:b/>
          <w:szCs w:val="24"/>
        </w:rPr>
      </w:pPr>
      <w:r w:rsidRPr="0005743E">
        <w:rPr>
          <w:b/>
          <w:szCs w:val="24"/>
        </w:rPr>
        <w:t>Transfer date</w:t>
      </w:r>
    </w:p>
    <w:p w:rsidR="00C1271F" w:rsidRDefault="00D9414F" w:rsidP="00D9414F">
      <w:pPr>
        <w:pStyle w:val="AERbodytext"/>
        <w:jc w:val="both"/>
        <w:rPr>
          <w:color w:val="000000"/>
          <w:szCs w:val="24"/>
        </w:rPr>
      </w:pPr>
      <w:r w:rsidRPr="00350594">
        <w:rPr>
          <w:color w:val="000000"/>
          <w:szCs w:val="24"/>
        </w:rPr>
        <w:t xml:space="preserve">In accordance with section 140 of the NERL, customers of </w:t>
      </w:r>
      <w:r w:rsidR="00696CA3" w:rsidRPr="00444984">
        <w:rPr>
          <w:color w:val="000000"/>
          <w:szCs w:val="24"/>
        </w:rPr>
        <w:t>Urth Energy Pty Ltd</w:t>
      </w:r>
      <w:r w:rsidR="00460E0B" w:rsidRPr="00350594">
        <w:rPr>
          <w:color w:val="000000"/>
          <w:szCs w:val="24"/>
        </w:rPr>
        <w:t xml:space="preserve"> </w:t>
      </w:r>
      <w:r w:rsidR="00344C32" w:rsidRPr="00350594">
        <w:rPr>
          <w:color w:val="000000"/>
          <w:szCs w:val="24"/>
        </w:rPr>
        <w:t>will be deemed to have been transferre</w:t>
      </w:r>
      <w:r w:rsidR="00C1271F" w:rsidRPr="00350594">
        <w:rPr>
          <w:color w:val="000000"/>
          <w:szCs w:val="24"/>
        </w:rPr>
        <w:t xml:space="preserve">d </w:t>
      </w:r>
      <w:r w:rsidRPr="00350594">
        <w:rPr>
          <w:color w:val="000000"/>
          <w:szCs w:val="24"/>
        </w:rPr>
        <w:t>to</w:t>
      </w:r>
      <w:r w:rsidRPr="004235E3">
        <w:rPr>
          <w:szCs w:val="24"/>
        </w:rPr>
        <w:t xml:space="preserve"> the designated RoLR</w:t>
      </w:r>
      <w:r>
        <w:rPr>
          <w:szCs w:val="24"/>
        </w:rPr>
        <w:t xml:space="preserve">(s) </w:t>
      </w:r>
      <w:r w:rsidR="00EF2A50">
        <w:rPr>
          <w:szCs w:val="24"/>
        </w:rPr>
        <w:t>set out in schedule 1 with effect from</w:t>
      </w:r>
      <w:r w:rsidR="005C6150">
        <w:rPr>
          <w:szCs w:val="24"/>
        </w:rPr>
        <w:t xml:space="preserve"> </w:t>
      </w:r>
      <w:r w:rsidR="00835CF3">
        <w:rPr>
          <w:szCs w:val="24"/>
        </w:rPr>
        <w:t>24</w:t>
      </w:r>
      <w:r w:rsidR="005C6150">
        <w:rPr>
          <w:szCs w:val="24"/>
        </w:rPr>
        <w:t xml:space="preserve">:00 </w:t>
      </w:r>
      <w:r w:rsidR="00C1271F" w:rsidRPr="006D38AE">
        <w:rPr>
          <w:color w:val="000000"/>
          <w:szCs w:val="24"/>
        </w:rPr>
        <w:t>Australian Eastern Standard Time</w:t>
      </w:r>
      <w:r w:rsidR="00C1271F" w:rsidRPr="006D38AE">
        <w:rPr>
          <w:b/>
          <w:color w:val="000000"/>
          <w:szCs w:val="24"/>
        </w:rPr>
        <w:t xml:space="preserve"> </w:t>
      </w:r>
      <w:r w:rsidR="00C1271F" w:rsidRPr="006D38AE">
        <w:rPr>
          <w:color w:val="000000"/>
          <w:szCs w:val="24"/>
        </w:rPr>
        <w:t>on</w:t>
      </w:r>
      <w:r w:rsidR="00C1271F" w:rsidRPr="006D38AE">
        <w:rPr>
          <w:b/>
          <w:color w:val="000000"/>
          <w:szCs w:val="24"/>
        </w:rPr>
        <w:t xml:space="preserve"> </w:t>
      </w:r>
      <w:r w:rsidR="00835CF3" w:rsidRPr="00835CF3">
        <w:rPr>
          <w:color w:val="000000"/>
          <w:szCs w:val="24"/>
        </w:rPr>
        <w:t>1</w:t>
      </w:r>
      <w:r w:rsidR="00C1271F" w:rsidRPr="006D38AE">
        <w:rPr>
          <w:color w:val="000000"/>
          <w:szCs w:val="24"/>
        </w:rPr>
        <w:t xml:space="preserve"> February 2017</w:t>
      </w:r>
      <w:r w:rsidR="00C1271F">
        <w:rPr>
          <w:color w:val="000000"/>
          <w:szCs w:val="24"/>
        </w:rPr>
        <w:t>.</w:t>
      </w:r>
    </w:p>
    <w:p w:rsidR="00BF4621" w:rsidRDefault="005C6150" w:rsidP="00D9414F">
      <w:pPr>
        <w:pStyle w:val="AERbodytext"/>
        <w:jc w:val="both"/>
        <w:rPr>
          <w:b/>
          <w:szCs w:val="24"/>
        </w:rPr>
      </w:pPr>
      <w:r>
        <w:rPr>
          <w:b/>
          <w:szCs w:val="24"/>
        </w:rPr>
        <w:br w:type="page"/>
      </w:r>
      <w:r w:rsidR="00113513">
        <w:rPr>
          <w:b/>
          <w:szCs w:val="24"/>
        </w:rPr>
        <w:lastRenderedPageBreak/>
        <w:t>R</w:t>
      </w:r>
      <w:r w:rsidR="00D9414F" w:rsidRPr="0005743E">
        <w:rPr>
          <w:b/>
          <w:szCs w:val="24"/>
        </w:rPr>
        <w:t xml:space="preserve">evocation </w:t>
      </w:r>
      <w:r w:rsidR="00D9414F" w:rsidRPr="00460E0B">
        <w:rPr>
          <w:b/>
          <w:szCs w:val="24"/>
        </w:rPr>
        <w:t xml:space="preserve">of </w:t>
      </w:r>
      <w:r w:rsidR="00696CA3" w:rsidRPr="00350594">
        <w:rPr>
          <w:b/>
          <w:szCs w:val="24"/>
        </w:rPr>
        <w:t>Urth Energy Pty Ltd</w:t>
      </w:r>
      <w:r w:rsidR="006628D5">
        <w:rPr>
          <w:b/>
          <w:szCs w:val="24"/>
        </w:rPr>
        <w:t>’s</w:t>
      </w:r>
      <w:r w:rsidR="00460E0B" w:rsidRPr="00350594">
        <w:rPr>
          <w:b/>
          <w:szCs w:val="24"/>
        </w:rPr>
        <w:t xml:space="preserve"> </w:t>
      </w:r>
      <w:r w:rsidR="00A11B10" w:rsidRPr="00C26BBE">
        <w:rPr>
          <w:b/>
          <w:szCs w:val="24"/>
        </w:rPr>
        <w:t xml:space="preserve">electricity </w:t>
      </w:r>
      <w:r w:rsidR="00A11B10">
        <w:rPr>
          <w:b/>
          <w:szCs w:val="24"/>
        </w:rPr>
        <w:t xml:space="preserve">retailer </w:t>
      </w:r>
      <w:r w:rsidR="00D9414F" w:rsidRPr="0005743E">
        <w:rPr>
          <w:b/>
          <w:szCs w:val="24"/>
        </w:rPr>
        <w:t>authorisation</w:t>
      </w:r>
      <w:r w:rsidR="00D12201">
        <w:rPr>
          <w:b/>
          <w:szCs w:val="24"/>
        </w:rPr>
        <w:t xml:space="preserve"> </w:t>
      </w:r>
    </w:p>
    <w:p w:rsidR="00696CA3" w:rsidRDefault="00D9414F" w:rsidP="00547BE2">
      <w:pPr>
        <w:pStyle w:val="AERbodytext"/>
        <w:jc w:val="both"/>
        <w:rPr>
          <w:szCs w:val="24"/>
        </w:rPr>
      </w:pPr>
      <w:r>
        <w:rPr>
          <w:szCs w:val="24"/>
        </w:rPr>
        <w:t xml:space="preserve">Under section 142 of the NERL, the AER revokes </w:t>
      </w:r>
      <w:r w:rsidR="00696CA3" w:rsidRPr="00444984">
        <w:rPr>
          <w:color w:val="000000"/>
          <w:szCs w:val="24"/>
        </w:rPr>
        <w:t>Urth Energy Pty Ltd</w:t>
      </w:r>
      <w:r w:rsidR="00366AF2">
        <w:rPr>
          <w:szCs w:val="24"/>
        </w:rPr>
        <w:t xml:space="preserve"> </w:t>
      </w:r>
      <w:r w:rsidR="00AE6AC2" w:rsidRPr="00C26BBE">
        <w:rPr>
          <w:szCs w:val="24"/>
        </w:rPr>
        <w:t>electricity</w:t>
      </w:r>
      <w:r w:rsidR="00AE6AC2">
        <w:rPr>
          <w:i/>
          <w:szCs w:val="24"/>
        </w:rPr>
        <w:t xml:space="preserve"> </w:t>
      </w:r>
      <w:r>
        <w:rPr>
          <w:szCs w:val="24"/>
        </w:rPr>
        <w:t>retailer authorisation</w:t>
      </w:r>
      <w:r w:rsidR="004D3E82">
        <w:rPr>
          <w:szCs w:val="24"/>
        </w:rPr>
        <w:t xml:space="preserve"> </w:t>
      </w:r>
      <w:r w:rsidR="00366AF2">
        <w:rPr>
          <w:szCs w:val="24"/>
        </w:rPr>
        <w:t>(</w:t>
      </w:r>
      <w:r w:rsidR="004D3E82">
        <w:rPr>
          <w:szCs w:val="24"/>
        </w:rPr>
        <w:t>AER reference</w:t>
      </w:r>
      <w:r>
        <w:rPr>
          <w:szCs w:val="24"/>
        </w:rPr>
        <w:t xml:space="preserve"> </w:t>
      </w:r>
      <w:r w:rsidR="00696CA3">
        <w:rPr>
          <w:szCs w:val="24"/>
        </w:rPr>
        <w:t>E15003)</w:t>
      </w:r>
      <w:r w:rsidR="00ED135B">
        <w:rPr>
          <w:i/>
          <w:szCs w:val="24"/>
        </w:rPr>
        <w:t xml:space="preserve"> </w:t>
      </w:r>
      <w:r w:rsidR="00AE6AC2">
        <w:rPr>
          <w:szCs w:val="24"/>
        </w:rPr>
        <w:t xml:space="preserve">with </w:t>
      </w:r>
      <w:r>
        <w:rPr>
          <w:szCs w:val="24"/>
        </w:rPr>
        <w:t>effect from the transfer date specified above.</w:t>
      </w:r>
      <w:r w:rsidR="00113513">
        <w:rPr>
          <w:szCs w:val="24"/>
        </w:rPr>
        <w:t xml:space="preserve">  This means that, for the purposes of s</w:t>
      </w:r>
      <w:r w:rsidR="00F86667">
        <w:rPr>
          <w:szCs w:val="24"/>
        </w:rPr>
        <w:t>ection</w:t>
      </w:r>
      <w:r w:rsidR="00113513">
        <w:rPr>
          <w:szCs w:val="24"/>
        </w:rPr>
        <w:t xml:space="preserve"> 88 of the NERL, </w:t>
      </w:r>
      <w:r w:rsidR="00696CA3" w:rsidRPr="00444984">
        <w:rPr>
          <w:color w:val="000000"/>
          <w:szCs w:val="24"/>
        </w:rPr>
        <w:t>Urth Energy Pty Ltd</w:t>
      </w:r>
      <w:r w:rsidR="00366AF2">
        <w:rPr>
          <w:szCs w:val="24"/>
        </w:rPr>
        <w:t xml:space="preserve"> </w:t>
      </w:r>
      <w:r w:rsidR="00113513" w:rsidRPr="00BF4621">
        <w:rPr>
          <w:szCs w:val="24"/>
        </w:rPr>
        <w:t>must not engage in the activity of selling</w:t>
      </w:r>
      <w:r w:rsidR="00113513">
        <w:rPr>
          <w:i/>
          <w:szCs w:val="24"/>
        </w:rPr>
        <w:t xml:space="preserve"> </w:t>
      </w:r>
      <w:r w:rsidR="00113513" w:rsidRPr="00C26BBE">
        <w:rPr>
          <w:szCs w:val="24"/>
        </w:rPr>
        <w:t>electricity</w:t>
      </w:r>
      <w:r w:rsidR="00C26BBE" w:rsidRPr="00C26BBE">
        <w:rPr>
          <w:szCs w:val="24"/>
        </w:rPr>
        <w:t xml:space="preserve"> </w:t>
      </w:r>
      <w:r w:rsidR="00113513" w:rsidRPr="00BF4621">
        <w:rPr>
          <w:szCs w:val="24"/>
        </w:rPr>
        <w:t>to a person for premises</w:t>
      </w:r>
      <w:r w:rsidR="00547BE2">
        <w:rPr>
          <w:szCs w:val="24"/>
        </w:rPr>
        <w:t xml:space="preserve"> in</w:t>
      </w:r>
      <w:r w:rsidR="00AE6AC2">
        <w:rPr>
          <w:szCs w:val="24"/>
        </w:rPr>
        <w:t xml:space="preserve"> </w:t>
      </w:r>
      <w:r w:rsidR="00547BE2">
        <w:rPr>
          <w:szCs w:val="24"/>
        </w:rPr>
        <w:t xml:space="preserve">New South Wales, Queensland, the Australian Capital Territory, South Australia and Tasmania. </w:t>
      </w:r>
    </w:p>
    <w:p w:rsidR="00D9414F" w:rsidRPr="00B9589D" w:rsidRDefault="00D9414F" w:rsidP="00D9414F">
      <w:pPr>
        <w:spacing w:after="240"/>
        <w:ind w:left="567" w:hanging="567"/>
        <w:rPr>
          <w:rFonts w:ascii="Times New Roman" w:hAnsi="Times New Roman"/>
          <w:b/>
          <w:i/>
          <w:color w:val="0033CC"/>
        </w:rPr>
      </w:pPr>
      <w:r>
        <w:rPr>
          <w:rFonts w:ascii="Times New Roman" w:hAnsi="Times New Roman"/>
          <w:b/>
        </w:rPr>
        <w:t xml:space="preserve">Requirements on </w:t>
      </w:r>
      <w:r w:rsidR="00EA754D" w:rsidRPr="00350594">
        <w:rPr>
          <w:rFonts w:ascii="Times New Roman" w:hAnsi="Times New Roman"/>
          <w:b/>
          <w:color w:val="000000"/>
          <w:szCs w:val="24"/>
        </w:rPr>
        <w:t>Urth Energy Pty Ltd</w:t>
      </w:r>
      <w:r w:rsidR="00B9589D" w:rsidRPr="00696CA3">
        <w:rPr>
          <w:rFonts w:ascii="Times New Roman" w:hAnsi="Times New Roman"/>
          <w:b/>
        </w:rPr>
        <w:t xml:space="preserve"> </w:t>
      </w:r>
      <w:r w:rsidR="00FC77B0" w:rsidRPr="00696CA3">
        <w:rPr>
          <w:rFonts w:ascii="Times New Roman" w:hAnsi="Times New Roman"/>
          <w:b/>
        </w:rPr>
        <w:t>re provision</w:t>
      </w:r>
      <w:r w:rsidR="00FC77B0">
        <w:rPr>
          <w:rFonts w:ascii="Times New Roman" w:hAnsi="Times New Roman"/>
          <w:b/>
          <w:szCs w:val="24"/>
        </w:rPr>
        <w:t xml:space="preserve"> of customer data to RoLRs</w:t>
      </w:r>
    </w:p>
    <w:p w:rsidR="005C6150" w:rsidRDefault="0027293B" w:rsidP="00350594">
      <w:pPr>
        <w:pStyle w:val="AERbodytext"/>
        <w:jc w:val="both"/>
        <w:rPr>
          <w:szCs w:val="24"/>
        </w:rPr>
      </w:pPr>
      <w:r w:rsidRPr="002E7F34">
        <w:t xml:space="preserve">Pursuant to section 136(3) of the NERL, the AER requires </w:t>
      </w:r>
      <w:r w:rsidR="00EA754D" w:rsidRPr="00444984">
        <w:rPr>
          <w:color w:val="000000"/>
          <w:szCs w:val="24"/>
        </w:rPr>
        <w:t>Urth Energy Pty Ltd</w:t>
      </w:r>
      <w:r w:rsidR="00B9589D" w:rsidRPr="002B238A">
        <w:rPr>
          <w:b/>
          <w:szCs w:val="24"/>
        </w:rPr>
        <w:t xml:space="preserve"> </w:t>
      </w:r>
      <w:r w:rsidRPr="002E7F34">
        <w:t xml:space="preserve">to provide the designated RoLRs specified in </w:t>
      </w:r>
      <w:r>
        <w:t>s</w:t>
      </w:r>
      <w:r w:rsidRPr="002E7F34">
        <w:t>chedule 1 with</w:t>
      </w:r>
      <w:r w:rsidR="00B91AE6">
        <w:t xml:space="preserve"> the personal contact details (namely </w:t>
      </w:r>
      <w:r w:rsidR="00B91AE6" w:rsidRPr="00EA754D">
        <w:t>email addresses and</w:t>
      </w:r>
      <w:r w:rsidR="00B91AE6">
        <w:rPr>
          <w:szCs w:val="24"/>
        </w:rPr>
        <w:t xml:space="preserve"> mobile phone numbers) for </w:t>
      </w:r>
      <w:r w:rsidR="0058284B">
        <w:rPr>
          <w:szCs w:val="24"/>
        </w:rPr>
        <w:t xml:space="preserve">all </w:t>
      </w:r>
      <w:r w:rsidR="00B91AE6">
        <w:rPr>
          <w:szCs w:val="24"/>
        </w:rPr>
        <w:t>customers held by Urth Energy Pty Ltd</w:t>
      </w:r>
      <w:r w:rsidR="0058284B">
        <w:rPr>
          <w:szCs w:val="24"/>
        </w:rPr>
        <w:t xml:space="preserve"> immediately prior to the transfer date</w:t>
      </w:r>
      <w:r w:rsidR="005C6150">
        <w:rPr>
          <w:szCs w:val="24"/>
        </w:rPr>
        <w:t>.</w:t>
      </w:r>
      <w:r w:rsidR="00B91AE6">
        <w:rPr>
          <w:szCs w:val="24"/>
        </w:rPr>
        <w:t xml:space="preserve"> </w:t>
      </w:r>
    </w:p>
    <w:p w:rsidR="00291F92" w:rsidRDefault="0058284B" w:rsidP="0058284B">
      <w:pPr>
        <w:pStyle w:val="AERbodytext"/>
        <w:jc w:val="both"/>
      </w:pPr>
      <w:r>
        <w:rPr>
          <w:szCs w:val="24"/>
        </w:rPr>
        <w:t xml:space="preserve">Urth Energy Pty Ltd must provide this information </w:t>
      </w:r>
      <w:r w:rsidRPr="002E7F34">
        <w:t xml:space="preserve">electronically </w:t>
      </w:r>
      <w:r>
        <w:rPr>
          <w:szCs w:val="24"/>
        </w:rPr>
        <w:t xml:space="preserve">to the designated RoLRs in the same format and at the same time it provides them with </w:t>
      </w:r>
      <w:r w:rsidR="00291F92" w:rsidRPr="00EA754D">
        <w:t xml:space="preserve">customer and site details </w:t>
      </w:r>
      <w:r>
        <w:t xml:space="preserve">as required by </w:t>
      </w:r>
      <w:r w:rsidR="00291F92" w:rsidRPr="00EA754D">
        <w:t>clause 102.3 of the NEM RoLR processes</w:t>
      </w:r>
      <w:r>
        <w:t xml:space="preserve">. This requirement to provide email addresses and mobile phone numbers is additional to the information required under the NEM RoLR processes. </w:t>
      </w:r>
    </w:p>
    <w:p w:rsidR="00FC77B0" w:rsidRDefault="0058284B" w:rsidP="0027293B">
      <w:pPr>
        <w:pStyle w:val="AERbodytext"/>
        <w:jc w:val="both"/>
        <w:rPr>
          <w:b/>
          <w:szCs w:val="24"/>
        </w:rPr>
      </w:pPr>
      <w:r w:rsidRPr="0058284B">
        <w:t xml:space="preserve"> </w:t>
      </w:r>
      <w:r w:rsidR="00FC77B0">
        <w:rPr>
          <w:b/>
        </w:rPr>
        <w:t xml:space="preserve">Requirements on </w:t>
      </w:r>
      <w:r w:rsidR="00696CA3" w:rsidRPr="00C90E1F">
        <w:rPr>
          <w:b/>
          <w:color w:val="000000"/>
          <w:szCs w:val="24"/>
        </w:rPr>
        <w:t>Urth Energy Pty Ltd</w:t>
      </w:r>
      <w:r w:rsidR="00FC77B0" w:rsidRPr="002B238A">
        <w:rPr>
          <w:b/>
          <w:szCs w:val="24"/>
        </w:rPr>
        <w:t xml:space="preserve"> </w:t>
      </w:r>
      <w:r w:rsidR="00FC77B0">
        <w:rPr>
          <w:b/>
          <w:szCs w:val="24"/>
        </w:rPr>
        <w:t>re provision of customer data to AER</w:t>
      </w:r>
    </w:p>
    <w:p w:rsidR="00FC77B0" w:rsidRPr="00DC79B7" w:rsidRDefault="00DC79B7" w:rsidP="0027293B">
      <w:pPr>
        <w:pStyle w:val="AERbodytext"/>
        <w:jc w:val="both"/>
      </w:pPr>
      <w:r>
        <w:rPr>
          <w:szCs w:val="24"/>
        </w:rPr>
        <w:t xml:space="preserve">Pursuant to section 136(3) of the NERL, the AER requires </w:t>
      </w:r>
      <w:r w:rsidR="009742A0" w:rsidRPr="00444984">
        <w:rPr>
          <w:color w:val="000000"/>
          <w:szCs w:val="24"/>
        </w:rPr>
        <w:t>Urth Energy Pty Ltd</w:t>
      </w:r>
      <w:r>
        <w:rPr>
          <w:color w:val="0033CC"/>
          <w:szCs w:val="24"/>
        </w:rPr>
        <w:t xml:space="preserve"> </w:t>
      </w:r>
      <w:r>
        <w:rPr>
          <w:szCs w:val="24"/>
        </w:rPr>
        <w:t>to provide the AER with</w:t>
      </w:r>
      <w:r w:rsidR="00DE5123">
        <w:rPr>
          <w:szCs w:val="24"/>
        </w:rPr>
        <w:t xml:space="preserve"> a copy of all customer </w:t>
      </w:r>
      <w:r w:rsidR="0058284B">
        <w:rPr>
          <w:szCs w:val="24"/>
        </w:rPr>
        <w:t xml:space="preserve">information </w:t>
      </w:r>
      <w:r w:rsidR="00DE5123">
        <w:rPr>
          <w:szCs w:val="24"/>
        </w:rPr>
        <w:t xml:space="preserve">provided to each of the designated </w:t>
      </w:r>
      <w:r w:rsidRPr="002E7F34">
        <w:t>RoLRs</w:t>
      </w:r>
      <w:r w:rsidR="00DE5123">
        <w:t xml:space="preserve"> in accordance with clause 102.3 of the NEM RoLR processes</w:t>
      </w:r>
      <w:r w:rsidR="0058284B">
        <w:t xml:space="preserve"> and this RoLR Notice</w:t>
      </w:r>
      <w:r w:rsidR="00DE5123">
        <w:t xml:space="preserve">.  The AER requires </w:t>
      </w:r>
      <w:r w:rsidR="009742A0" w:rsidRPr="00444984">
        <w:rPr>
          <w:color w:val="000000"/>
          <w:szCs w:val="24"/>
        </w:rPr>
        <w:t>Urth Energy Pty Ltd</w:t>
      </w:r>
      <w:r w:rsidR="00DE5123">
        <w:rPr>
          <w:color w:val="0033CC"/>
          <w:szCs w:val="24"/>
        </w:rPr>
        <w:t xml:space="preserve"> </w:t>
      </w:r>
      <w:r w:rsidR="00DE5123">
        <w:rPr>
          <w:szCs w:val="24"/>
        </w:rPr>
        <w:t>to provide the AER with this data</w:t>
      </w:r>
      <w:r w:rsidR="0058284B">
        <w:rPr>
          <w:szCs w:val="24"/>
        </w:rPr>
        <w:t xml:space="preserve"> at the same time or within one business day of providing it to the designated RoLRs</w:t>
      </w:r>
      <w:r w:rsidR="00C1271F">
        <w:t>.</w:t>
      </w:r>
      <w:r w:rsidR="00D710A6">
        <w:t xml:space="preserve"> The AER requires this information to assist customers contacting its call centre.</w:t>
      </w:r>
    </w:p>
    <w:p w:rsidR="0027293B" w:rsidRPr="0022580C" w:rsidRDefault="0027293B" w:rsidP="0027293B">
      <w:pPr>
        <w:pStyle w:val="AERbodytext"/>
        <w:jc w:val="both"/>
      </w:pPr>
      <w:r w:rsidRPr="00EB403E">
        <w:t xml:space="preserve">Failure by </w:t>
      </w:r>
      <w:r w:rsidR="00C1271F" w:rsidRPr="00444984">
        <w:rPr>
          <w:color w:val="000000"/>
          <w:szCs w:val="24"/>
        </w:rPr>
        <w:t>Urth Energy Pty Ltd</w:t>
      </w:r>
      <w:r w:rsidR="00366AF2">
        <w:rPr>
          <w:szCs w:val="24"/>
        </w:rPr>
        <w:t xml:space="preserve"> </w:t>
      </w:r>
      <w:r w:rsidRPr="00EB403E">
        <w:t xml:space="preserve">or any insolvency official of </w:t>
      </w:r>
      <w:r w:rsidR="00C1271F" w:rsidRPr="00444984">
        <w:rPr>
          <w:color w:val="000000"/>
          <w:szCs w:val="24"/>
        </w:rPr>
        <w:t>Urth Energy Pty Ltd</w:t>
      </w:r>
      <w:r w:rsidR="00366AF2">
        <w:rPr>
          <w:szCs w:val="24"/>
        </w:rPr>
        <w:t xml:space="preserve"> </w:t>
      </w:r>
      <w:r w:rsidRPr="00EB403E">
        <w:t xml:space="preserve">to comply with this RoLR Notice, the requirements of Part 6 of the </w:t>
      </w:r>
      <w:r w:rsidR="00AC22EA">
        <w:t xml:space="preserve">NERL </w:t>
      </w:r>
      <w:r w:rsidRPr="00EB403E">
        <w:t xml:space="preserve">or the requirements of the RoLR Procedures made by AEMO pursuant to the </w:t>
      </w:r>
      <w:r w:rsidRPr="00C26BBE">
        <w:t>National Electricity Law</w:t>
      </w:r>
      <w:r w:rsidRPr="00EB403E">
        <w:t xml:space="preserve"> is a breach of section 143(2)(a) of the NERL and may attract civil penalties. The maximum civil penalty for a natural person is $20 000, and $2</w:t>
      </w:r>
      <w:r w:rsidR="00366AF2">
        <w:t xml:space="preserve"> </w:t>
      </w:r>
      <w:r w:rsidRPr="00EB403E">
        <w:t>000 for every day during</w:t>
      </w:r>
      <w:r w:rsidRPr="00AF1D9F">
        <w:t xml:space="preserve"> which the breach continues. For a corporation, the penalties are $100 000, and $10 000 for every day during which the breach continues</w:t>
      </w:r>
      <w:r w:rsidR="00596B98">
        <w:t>.</w:t>
      </w:r>
    </w:p>
    <w:p w:rsidR="00D9414F" w:rsidRDefault="00D9414F" w:rsidP="00D9414F">
      <w:pPr>
        <w:pStyle w:val="AERbulletlistfirststyle"/>
        <w:numPr>
          <w:ilvl w:val="0"/>
          <w:numId w:val="0"/>
        </w:numPr>
        <w:jc w:val="both"/>
      </w:pPr>
    </w:p>
    <w:p w:rsidR="00D9414F" w:rsidRPr="007F5E5E" w:rsidRDefault="00D9414F" w:rsidP="00D9414F">
      <w:pPr>
        <w:pStyle w:val="AERbulletlistfirststyle"/>
        <w:numPr>
          <w:ilvl w:val="0"/>
          <w:numId w:val="0"/>
        </w:numPr>
        <w:jc w:val="both"/>
      </w:pPr>
      <w:r w:rsidRPr="003B3BA7">
        <w:t xml:space="preserve">DATED: </w:t>
      </w:r>
      <w:r w:rsidR="0058284B" w:rsidRPr="003B3BA7">
        <w:t xml:space="preserve">2 February </w:t>
      </w:r>
      <w:r w:rsidRPr="003B3BA7">
        <w:t>201</w:t>
      </w:r>
      <w:r w:rsidR="00C1271F" w:rsidRPr="003B3BA7">
        <w:t>7</w:t>
      </w:r>
    </w:p>
    <w:p w:rsidR="00D9414F" w:rsidRDefault="00D9414F" w:rsidP="00D9414F">
      <w:pPr>
        <w:rPr>
          <w:rFonts w:ascii="Times New Roman" w:hAnsi="Times New Roman"/>
        </w:rPr>
      </w:pPr>
    </w:p>
    <w:p w:rsidR="00D710A6" w:rsidRDefault="00D710A6" w:rsidP="00D9414F">
      <w:pPr>
        <w:rPr>
          <w:rFonts w:ascii="Times New Roman" w:hAnsi="Times New Roman"/>
        </w:rPr>
      </w:pPr>
    </w:p>
    <w:p w:rsidR="00D9414F" w:rsidRPr="00D710A6" w:rsidRDefault="00D9414F" w:rsidP="00D9414F">
      <w:pPr>
        <w:rPr>
          <w:rFonts w:ascii="Times New Roman" w:hAnsi="Times New Roman"/>
        </w:rPr>
      </w:pPr>
      <w:r w:rsidRPr="00D710A6">
        <w:rPr>
          <w:rFonts w:ascii="Times New Roman" w:hAnsi="Times New Roman"/>
        </w:rPr>
        <w:t>………………………………….</w:t>
      </w:r>
    </w:p>
    <w:p w:rsidR="00D9414F" w:rsidRPr="00D710A6" w:rsidRDefault="0058284B" w:rsidP="00D9414F">
      <w:pPr>
        <w:rPr>
          <w:rFonts w:ascii="Times New Roman" w:hAnsi="Times New Roman"/>
        </w:rPr>
      </w:pPr>
      <w:r w:rsidRPr="00D710A6">
        <w:rPr>
          <w:rFonts w:ascii="Times New Roman" w:hAnsi="Times New Roman"/>
        </w:rPr>
        <w:t>Cristina Cifuentes</w:t>
      </w:r>
    </w:p>
    <w:p w:rsidR="00D9414F" w:rsidRPr="00D710A6" w:rsidRDefault="0058284B" w:rsidP="00D9414F">
      <w:pPr>
        <w:rPr>
          <w:rFonts w:ascii="Times New Roman" w:hAnsi="Times New Roman"/>
        </w:rPr>
      </w:pPr>
      <w:r w:rsidRPr="00D710A6">
        <w:rPr>
          <w:rFonts w:ascii="Times New Roman" w:hAnsi="Times New Roman"/>
        </w:rPr>
        <w:t xml:space="preserve">Acting </w:t>
      </w:r>
      <w:r w:rsidR="00D9414F" w:rsidRPr="00D710A6">
        <w:rPr>
          <w:rFonts w:ascii="Times New Roman" w:hAnsi="Times New Roman"/>
        </w:rPr>
        <w:t>Chair</w:t>
      </w:r>
    </w:p>
    <w:p w:rsidR="00193657" w:rsidRDefault="00D9414F" w:rsidP="00D9414F">
      <w:pPr>
        <w:rPr>
          <w:rFonts w:ascii="Times New Roman" w:hAnsi="Times New Roman"/>
        </w:rPr>
      </w:pPr>
      <w:r w:rsidRPr="00D710A6">
        <w:rPr>
          <w:rFonts w:ascii="Times New Roman" w:hAnsi="Times New Roman"/>
        </w:rPr>
        <w:t>Australian Energy Regulator</w:t>
      </w:r>
    </w:p>
    <w:tbl>
      <w:tblPr>
        <w:tblW w:w="8522" w:type="dxa"/>
        <w:tblLook w:val="01E0" w:firstRow="1" w:lastRow="1" w:firstColumn="1" w:lastColumn="1" w:noHBand="0" w:noVBand="0"/>
      </w:tblPr>
      <w:tblGrid>
        <w:gridCol w:w="8522"/>
      </w:tblGrid>
      <w:tr w:rsidR="0044726C" w:rsidRPr="007F5E5E" w:rsidTr="00340ACB">
        <w:tc>
          <w:tcPr>
            <w:tcW w:w="8522" w:type="dxa"/>
          </w:tcPr>
          <w:p w:rsidR="0044726C" w:rsidRDefault="0044726C" w:rsidP="0044726C">
            <w:pPr>
              <w:pStyle w:val="Heading1"/>
              <w:numPr>
                <w:ilvl w:val="0"/>
                <w:numId w:val="0"/>
              </w:numPr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5" w:name="_Toc243075678"/>
            <w:bookmarkStart w:id="6" w:name="_Ref307479370"/>
            <w:bookmarkStart w:id="7" w:name="_Ref307479394"/>
            <w:bookmarkStart w:id="8" w:name="_Ref307479439"/>
            <w:bookmarkStart w:id="9" w:name="_Toc309973931"/>
            <w:r w:rsidRPr="007F5E5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SCHEDULE 1</w:t>
            </w:r>
            <w:bookmarkEnd w:id="5"/>
            <w:bookmarkEnd w:id="6"/>
            <w:bookmarkEnd w:id="7"/>
            <w:bookmarkEnd w:id="8"/>
            <w:bookmarkEnd w:id="9"/>
            <w:r w:rsidR="009C37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Designated RoLRs and allocation of customers</w:t>
            </w:r>
          </w:p>
          <w:p w:rsidR="009376D3" w:rsidRDefault="009376D3" w:rsidP="009376D3">
            <w:pPr>
              <w:rPr>
                <w:rFonts w:ascii="Times New Roman" w:hAnsi="Times New Roman"/>
              </w:rPr>
            </w:pPr>
          </w:p>
          <w:p w:rsidR="009836E2" w:rsidRDefault="00D710A6" w:rsidP="0027293B">
            <w:r>
              <w:rPr>
                <w:rFonts w:ascii="Times New Roman" w:hAnsi="Times New Roman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0"/>
              <w:gridCol w:w="1417"/>
              <w:gridCol w:w="37"/>
              <w:gridCol w:w="4364"/>
            </w:tblGrid>
            <w:tr w:rsidR="009836E2" w:rsidTr="006628D5">
              <w:trPr>
                <w:cantSplit/>
              </w:trPr>
              <w:tc>
                <w:tcPr>
                  <w:tcW w:w="8038" w:type="dxa"/>
                  <w:gridSpan w:val="4"/>
                </w:tcPr>
                <w:p w:rsidR="009836E2" w:rsidRPr="006628D5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 xml:space="preserve">Electricity Default RoLRs </w:t>
                  </w:r>
                </w:p>
              </w:tc>
            </w:tr>
            <w:tr w:rsidR="009836E2" w:rsidTr="006628D5">
              <w:trPr>
                <w:cantSplit/>
                <w:trHeight w:val="345"/>
              </w:trPr>
              <w:tc>
                <w:tcPr>
                  <w:tcW w:w="2220" w:type="dxa"/>
                  <w:vMerge w:val="restart"/>
                </w:tcPr>
                <w:p w:rsidR="009836E2" w:rsidRPr="006628D5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>Default RoLR (ACN)</w:t>
                  </w:r>
                </w:p>
              </w:tc>
              <w:tc>
                <w:tcPr>
                  <w:tcW w:w="5818" w:type="dxa"/>
                  <w:gridSpan w:val="3"/>
                </w:tcPr>
                <w:p w:rsidR="009836E2" w:rsidRPr="006628D5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 xml:space="preserve">Responsible Area </w:t>
                  </w:r>
                </w:p>
              </w:tc>
            </w:tr>
            <w:tr w:rsidR="009836E2" w:rsidTr="006628D5">
              <w:trPr>
                <w:cantSplit/>
                <w:trHeight w:val="233"/>
              </w:trPr>
              <w:tc>
                <w:tcPr>
                  <w:tcW w:w="2220" w:type="dxa"/>
                  <w:vMerge/>
                </w:tcPr>
                <w:p w:rsidR="009836E2" w:rsidRPr="00D710A6" w:rsidRDefault="009836E2" w:rsidP="0084578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9836E2" w:rsidRPr="00D710A6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D710A6">
                    <w:rPr>
                      <w:rFonts w:ascii="Times New Roman" w:hAnsi="Times New Roman"/>
                    </w:rPr>
                    <w:t xml:space="preserve">Jurisdiction where customers are located  </w:t>
                  </w:r>
                </w:p>
              </w:tc>
              <w:tc>
                <w:tcPr>
                  <w:tcW w:w="4401" w:type="dxa"/>
                  <w:gridSpan w:val="2"/>
                </w:tcPr>
                <w:p w:rsidR="009836E2" w:rsidRPr="00D710A6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D710A6">
                    <w:rPr>
                      <w:rFonts w:ascii="Times New Roman" w:hAnsi="Times New Roman"/>
                    </w:rPr>
                    <w:t xml:space="preserve">Description of responsible connection points   </w:t>
                  </w:r>
                </w:p>
              </w:tc>
            </w:tr>
            <w:tr w:rsidR="006628D5" w:rsidTr="00DD6043">
              <w:trPr>
                <w:cantSplit/>
                <w:trHeight w:val="1517"/>
              </w:trPr>
              <w:tc>
                <w:tcPr>
                  <w:tcW w:w="2220" w:type="dxa"/>
                  <w:vMerge w:val="restart"/>
                </w:tcPr>
                <w:p w:rsidR="006628D5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 xml:space="preserve">Origin Energy Electricity Limited (071 052 287)  </w:t>
                  </w:r>
                </w:p>
                <w:p w:rsidR="006628D5" w:rsidRPr="006628D5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  <w:p w:rsidR="006628D5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>Retailer authorisation: TE12028</w:t>
                  </w:r>
                </w:p>
                <w:p w:rsidR="006628D5" w:rsidRPr="006628D5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  <w:p w:rsidR="006628D5" w:rsidRPr="006628D5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>Participant ID: POWERCOR</w:t>
                  </w:r>
                </w:p>
                <w:p w:rsidR="006628D5" w:rsidRPr="006628D5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6628D5" w:rsidRPr="006628D5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>NSW</w:t>
                  </w:r>
                </w:p>
              </w:tc>
              <w:tc>
                <w:tcPr>
                  <w:tcW w:w="4401" w:type="dxa"/>
                  <w:gridSpan w:val="2"/>
                </w:tcPr>
                <w:p w:rsidR="006628D5" w:rsidRPr="006628D5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6628D5">
                    <w:rPr>
                      <w:rFonts w:ascii="Times New Roman" w:hAnsi="Times New Roman"/>
                    </w:rPr>
                    <w:t>Customers connected to the electricity distribution network of Essential Energy (ABN 37 428 185 226; established under the Energy Services Corporation Act 1995 (NSW)).</w:t>
                  </w:r>
                </w:p>
              </w:tc>
            </w:tr>
            <w:tr w:rsidR="006628D5" w:rsidTr="00D710A6">
              <w:trPr>
                <w:cantSplit/>
                <w:trHeight w:val="1389"/>
              </w:trPr>
              <w:tc>
                <w:tcPr>
                  <w:tcW w:w="2220" w:type="dxa"/>
                  <w:vMerge/>
                </w:tcPr>
                <w:p w:rsidR="006628D5" w:rsidRPr="00D710A6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6628D5" w:rsidRPr="00D710A6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D710A6">
                    <w:rPr>
                      <w:rFonts w:ascii="Times New Roman" w:hAnsi="Times New Roman"/>
                    </w:rPr>
                    <w:t>NSW</w:t>
                  </w:r>
                </w:p>
              </w:tc>
              <w:tc>
                <w:tcPr>
                  <w:tcW w:w="4401" w:type="dxa"/>
                  <w:gridSpan w:val="2"/>
                </w:tcPr>
                <w:p w:rsidR="006628D5" w:rsidRPr="00D710A6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D710A6">
                    <w:rPr>
                      <w:rFonts w:ascii="Times New Roman" w:hAnsi="Times New Roman"/>
                    </w:rPr>
                    <w:t>Customers connected to the electricity distribution system of Endeavour Energy (ABN 59 253 130 878; established under the Energy Services Corporation Act 1995 (NSW)).</w:t>
                  </w:r>
                </w:p>
              </w:tc>
            </w:tr>
            <w:tr w:rsidR="006628D5" w:rsidTr="00D710A6">
              <w:trPr>
                <w:cantSplit/>
                <w:trHeight w:val="832"/>
              </w:trPr>
              <w:tc>
                <w:tcPr>
                  <w:tcW w:w="2220" w:type="dxa"/>
                  <w:vMerge/>
                </w:tcPr>
                <w:p w:rsidR="006628D5" w:rsidRPr="00D710A6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6628D5" w:rsidRPr="00C90E1F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0E3E7E">
                    <w:rPr>
                      <w:rFonts w:ascii="Times New Roman" w:hAnsi="Times New Roman"/>
                    </w:rPr>
                    <w:t>QLD</w:t>
                  </w:r>
                </w:p>
              </w:tc>
              <w:tc>
                <w:tcPr>
                  <w:tcW w:w="4401" w:type="dxa"/>
                  <w:gridSpan w:val="2"/>
                </w:tcPr>
                <w:p w:rsidR="006628D5" w:rsidRPr="00C90E1F" w:rsidRDefault="006628D5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>Customers connected to the electricity distribution system of Energex Ltd (ACN 078 849 055)</w:t>
                  </w:r>
                </w:p>
              </w:tc>
            </w:tr>
            <w:tr w:rsidR="009836E2" w:rsidTr="006628D5">
              <w:trPr>
                <w:cantSplit/>
                <w:trHeight w:val="948"/>
              </w:trPr>
              <w:tc>
                <w:tcPr>
                  <w:tcW w:w="2220" w:type="dxa"/>
                </w:tcPr>
                <w:p w:rsidR="009836E2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>AGL South Australia Pty Limited (091 105 092)</w:t>
                  </w:r>
                </w:p>
                <w:p w:rsidR="006628D5" w:rsidRPr="00C90E1F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>Retailer authorisation: TE12007</w:t>
                  </w:r>
                </w:p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</w:p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 xml:space="preserve">Participant ID: </w:t>
                  </w:r>
                </w:p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 xml:space="preserve">AGLE </w:t>
                  </w:r>
                </w:p>
              </w:tc>
              <w:tc>
                <w:tcPr>
                  <w:tcW w:w="1454" w:type="dxa"/>
                  <w:gridSpan w:val="2"/>
                </w:tcPr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 xml:space="preserve">SA </w:t>
                  </w:r>
                </w:p>
              </w:tc>
              <w:tc>
                <w:tcPr>
                  <w:tcW w:w="4364" w:type="dxa"/>
                </w:tcPr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 xml:space="preserve">Customers connected to the electricity distribution network of SA Power Networks (ABN 13 332 330 749). </w:t>
                  </w:r>
                </w:p>
              </w:tc>
            </w:tr>
            <w:tr w:rsidR="009836E2" w:rsidTr="006628D5">
              <w:trPr>
                <w:cantSplit/>
              </w:trPr>
              <w:tc>
                <w:tcPr>
                  <w:tcW w:w="2220" w:type="dxa"/>
                </w:tcPr>
                <w:p w:rsidR="009836E2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 xml:space="preserve">EnergyAustralia Pty Ltd (086 014 968) </w:t>
                  </w:r>
                </w:p>
                <w:p w:rsidR="006628D5" w:rsidRPr="00C90E1F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  <w:p w:rsidR="009836E2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>Retailer authorisation: TE12040</w:t>
                  </w:r>
                </w:p>
                <w:p w:rsidR="006628D5" w:rsidRPr="00C90E1F" w:rsidRDefault="006628D5" w:rsidP="0084578C">
                  <w:pPr>
                    <w:rPr>
                      <w:rFonts w:ascii="Times New Roman" w:hAnsi="Times New Roman"/>
                    </w:rPr>
                  </w:pPr>
                </w:p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>Participant ID: ENGYAUST</w:t>
                  </w:r>
                </w:p>
              </w:tc>
              <w:tc>
                <w:tcPr>
                  <w:tcW w:w="1454" w:type="dxa"/>
                  <w:gridSpan w:val="2"/>
                </w:tcPr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>NSW</w:t>
                  </w:r>
                </w:p>
              </w:tc>
              <w:tc>
                <w:tcPr>
                  <w:tcW w:w="4364" w:type="dxa"/>
                </w:tcPr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  <w:r w:rsidRPr="00C90E1F">
                    <w:rPr>
                      <w:rFonts w:ascii="Times New Roman" w:hAnsi="Times New Roman"/>
                    </w:rPr>
                    <w:t xml:space="preserve">Customers connected to the electricity distribution system of </w:t>
                  </w:r>
                  <w:r w:rsidRPr="002215F5">
                    <w:rPr>
                      <w:rFonts w:ascii="Times New Roman" w:hAnsi="Times New Roman"/>
                    </w:rPr>
                    <w:t xml:space="preserve">Ausgrid (ABN </w:t>
                  </w:r>
                  <w:r w:rsidR="002215F5" w:rsidRPr="002215F5">
                    <w:rPr>
                      <w:rFonts w:ascii="Times New Roman" w:hAnsi="Times New Roman"/>
                      <w:lang w:val="en"/>
                    </w:rPr>
                    <w:t>78 508 211 731</w:t>
                  </w:r>
                  <w:r w:rsidRPr="002215F5">
                    <w:rPr>
                      <w:rFonts w:ascii="Times New Roman" w:hAnsi="Times New Roman"/>
                    </w:rPr>
                    <w:t>)</w:t>
                  </w:r>
                  <w:r w:rsidR="00530D0A">
                    <w:rPr>
                      <w:rFonts w:ascii="Times New Roman" w:hAnsi="Times New Roman"/>
                    </w:rPr>
                    <w:t xml:space="preserve">.  </w:t>
                  </w:r>
                </w:p>
                <w:p w:rsidR="009836E2" w:rsidRPr="00C90E1F" w:rsidRDefault="009836E2" w:rsidP="0084578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7293B" w:rsidRDefault="0027293B" w:rsidP="0027293B"/>
          <w:p w:rsidR="0027293B" w:rsidRPr="0027293B" w:rsidRDefault="0027293B" w:rsidP="0027293B"/>
        </w:tc>
      </w:tr>
    </w:tbl>
    <w:p w:rsidR="00A64249" w:rsidRDefault="00A64249" w:rsidP="00340ACB">
      <w:pPr>
        <w:pStyle w:val="AERbodytext"/>
      </w:pPr>
    </w:p>
    <w:p w:rsidR="001D2E48" w:rsidRPr="00252829" w:rsidRDefault="001D2E48" w:rsidP="00C26BBE">
      <w:pPr>
        <w:pStyle w:val="AERbodytext"/>
      </w:pPr>
    </w:p>
    <w:sectPr w:rsidR="001D2E48" w:rsidRPr="00252829" w:rsidSect="00456F60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90" w:rsidRDefault="00F65090">
      <w:r>
        <w:separator/>
      </w:r>
    </w:p>
  </w:endnote>
  <w:endnote w:type="continuationSeparator" w:id="0">
    <w:p w:rsidR="00F65090" w:rsidRDefault="00F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90" w:rsidRDefault="00F65090" w:rsidP="003B39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090" w:rsidRDefault="00F65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90" w:rsidRPr="009D7B6E" w:rsidRDefault="00F65090" w:rsidP="002C690E">
    <w:pPr>
      <w:pStyle w:val="Footer"/>
      <w:tabs>
        <w:tab w:val="clear" w:pos="4819"/>
        <w:tab w:val="center" w:pos="4962"/>
        <w:tab w:val="left" w:pos="6946"/>
        <w:tab w:val="left" w:pos="8505"/>
      </w:tabs>
      <w:ind w:right="-1192" w:hanging="851"/>
    </w:pPr>
    <w:r>
      <w:t xml:space="preserve">  </w:t>
    </w:r>
  </w:p>
  <w:p w:rsidR="00F65090" w:rsidRPr="009D7B6E" w:rsidRDefault="00F65090" w:rsidP="002C690E">
    <w:pPr>
      <w:pStyle w:val="Footer"/>
    </w:pPr>
  </w:p>
  <w:p w:rsidR="00F65090" w:rsidRDefault="00F650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081">
      <w:rPr>
        <w:noProof/>
      </w:rPr>
      <w:t>1</w:t>
    </w:r>
    <w:r>
      <w:rPr>
        <w:noProof/>
      </w:rPr>
      <w:fldChar w:fldCharType="end"/>
    </w:r>
  </w:p>
  <w:p w:rsidR="00F65090" w:rsidRPr="009D7B6E" w:rsidRDefault="00F65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90" w:rsidRDefault="00F65090">
      <w:r>
        <w:separator/>
      </w:r>
    </w:p>
  </w:footnote>
  <w:footnote w:type="continuationSeparator" w:id="0">
    <w:p w:rsidR="00F65090" w:rsidRDefault="00F6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5CD"/>
    <w:multiLevelType w:val="multilevel"/>
    <w:tmpl w:val="1AB4B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  <w:sz w:val="24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52F65"/>
    <w:multiLevelType w:val="hybridMultilevel"/>
    <w:tmpl w:val="F23697D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3061"/>
    <w:multiLevelType w:val="hybridMultilevel"/>
    <w:tmpl w:val="4482C3B8"/>
    <w:lvl w:ilvl="0" w:tplc="1826D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75CBC"/>
    <w:multiLevelType w:val="hybridMultilevel"/>
    <w:tmpl w:val="AEE642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643966"/>
    <w:multiLevelType w:val="hybridMultilevel"/>
    <w:tmpl w:val="8DC2C988"/>
    <w:lvl w:ilvl="0" w:tplc="1826D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975E2"/>
    <w:multiLevelType w:val="multilevel"/>
    <w:tmpl w:val="2AEC18EA"/>
    <w:lvl w:ilvl="0">
      <w:start w:val="1"/>
      <w:numFmt w:val="none"/>
      <w:pStyle w:val="Heading1"/>
      <w:lvlText w:val="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Heading2"/>
      <w:lvlText w:val="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Heading3"/>
      <w:lvlText w:val="%3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3.%4.%5"/>
      <w:lvlJc w:val="left"/>
      <w:pPr>
        <w:tabs>
          <w:tab w:val="num" w:pos="1107"/>
        </w:tabs>
        <w:ind w:left="1107" w:hanging="567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6">
    <w:nsid w:val="1C203467"/>
    <w:multiLevelType w:val="hybridMultilevel"/>
    <w:tmpl w:val="8DC2C988"/>
    <w:lvl w:ilvl="0" w:tplc="1826D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133F9"/>
    <w:multiLevelType w:val="hybridMultilevel"/>
    <w:tmpl w:val="1D86F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DE226A"/>
    <w:multiLevelType w:val="hybridMultilevel"/>
    <w:tmpl w:val="8DC2C988"/>
    <w:lvl w:ilvl="0" w:tplc="1826D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5B70DA"/>
    <w:multiLevelType w:val="hybridMultilevel"/>
    <w:tmpl w:val="4DC4B78C"/>
    <w:lvl w:ilvl="0" w:tplc="2A485F2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AD0C22"/>
    <w:multiLevelType w:val="hybridMultilevel"/>
    <w:tmpl w:val="3648C82A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746286"/>
    <w:multiLevelType w:val="hybridMultilevel"/>
    <w:tmpl w:val="07F6BBF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72943"/>
    <w:multiLevelType w:val="hybridMultilevel"/>
    <w:tmpl w:val="7714A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90D05"/>
    <w:multiLevelType w:val="hybridMultilevel"/>
    <w:tmpl w:val="5AA4C0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607554"/>
    <w:multiLevelType w:val="hybridMultilevel"/>
    <w:tmpl w:val="C0EA63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F21859"/>
    <w:multiLevelType w:val="hybridMultilevel"/>
    <w:tmpl w:val="6DA485E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2593678"/>
    <w:multiLevelType w:val="hybridMultilevel"/>
    <w:tmpl w:val="AFEED17E"/>
    <w:lvl w:ilvl="0" w:tplc="597075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D1C92"/>
    <w:multiLevelType w:val="hybridMultilevel"/>
    <w:tmpl w:val="7CBCCD4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AF4FA6"/>
    <w:multiLevelType w:val="hybridMultilevel"/>
    <w:tmpl w:val="6DA485E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F47381B"/>
    <w:multiLevelType w:val="hybridMultilevel"/>
    <w:tmpl w:val="4F1437A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BE0103"/>
    <w:multiLevelType w:val="hybridMultilevel"/>
    <w:tmpl w:val="F1CE2F3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16CED"/>
    <w:multiLevelType w:val="hybridMultilevel"/>
    <w:tmpl w:val="8DC2C988"/>
    <w:lvl w:ilvl="0" w:tplc="1826D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EF67FF"/>
    <w:multiLevelType w:val="multilevel"/>
    <w:tmpl w:val="908A831A"/>
    <w:lvl w:ilvl="0">
      <w:start w:val="1"/>
      <w:numFmt w:val="bullet"/>
      <w:pStyle w:val="AERbulletlistfirststyle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7516F2"/>
    <w:multiLevelType w:val="hybridMultilevel"/>
    <w:tmpl w:val="068A1C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F45B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9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23"/>
  </w:num>
  <w:num w:numId="14">
    <w:abstractNumId w:val="13"/>
  </w:num>
  <w:num w:numId="15">
    <w:abstractNumId w:val="16"/>
  </w:num>
  <w:num w:numId="16">
    <w:abstractNumId w:val="2"/>
  </w:num>
  <w:num w:numId="17">
    <w:abstractNumId w:val="4"/>
  </w:num>
  <w:num w:numId="18">
    <w:abstractNumId w:val="21"/>
  </w:num>
  <w:num w:numId="19">
    <w:abstractNumId w:val="8"/>
  </w:num>
  <w:num w:numId="20">
    <w:abstractNumId w:val="15"/>
  </w:num>
  <w:num w:numId="21">
    <w:abstractNumId w:val="18"/>
  </w:num>
  <w:num w:numId="22">
    <w:abstractNumId w:val="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C:\Users\tpits\AppData\Local\Microsoft\Windows\Temporary Internet Files\Content.Outlook\MJWHYDXG\Out of session resolution 1 2017 - Attachment 1 - RoLR notice - Urth Ene....docx"/>
  </w:docVars>
  <w:rsids>
    <w:rsidRoot w:val="00076FB1"/>
    <w:rsid w:val="00001226"/>
    <w:rsid w:val="00001D49"/>
    <w:rsid w:val="00010AEA"/>
    <w:rsid w:val="00011FC2"/>
    <w:rsid w:val="000138F0"/>
    <w:rsid w:val="00013BA2"/>
    <w:rsid w:val="000260E3"/>
    <w:rsid w:val="00032B1D"/>
    <w:rsid w:val="000342B8"/>
    <w:rsid w:val="00046497"/>
    <w:rsid w:val="00047A42"/>
    <w:rsid w:val="0005743E"/>
    <w:rsid w:val="00064B4F"/>
    <w:rsid w:val="00067206"/>
    <w:rsid w:val="00075F65"/>
    <w:rsid w:val="000764D6"/>
    <w:rsid w:val="00076FB1"/>
    <w:rsid w:val="0008051F"/>
    <w:rsid w:val="00086A98"/>
    <w:rsid w:val="00087093"/>
    <w:rsid w:val="000B272E"/>
    <w:rsid w:val="000B4B42"/>
    <w:rsid w:val="000B4FC8"/>
    <w:rsid w:val="000B6A42"/>
    <w:rsid w:val="000B743C"/>
    <w:rsid w:val="000C0120"/>
    <w:rsid w:val="000C63F2"/>
    <w:rsid w:val="000C7A6E"/>
    <w:rsid w:val="000E3E7E"/>
    <w:rsid w:val="000F1A74"/>
    <w:rsid w:val="000F23C8"/>
    <w:rsid w:val="000F4CF6"/>
    <w:rsid w:val="00100D8D"/>
    <w:rsid w:val="00101448"/>
    <w:rsid w:val="00106423"/>
    <w:rsid w:val="00113513"/>
    <w:rsid w:val="00115397"/>
    <w:rsid w:val="00115B62"/>
    <w:rsid w:val="00124C78"/>
    <w:rsid w:val="00137220"/>
    <w:rsid w:val="001443C6"/>
    <w:rsid w:val="001544E6"/>
    <w:rsid w:val="00166DAA"/>
    <w:rsid w:val="00176ACF"/>
    <w:rsid w:val="00176CB7"/>
    <w:rsid w:val="00185244"/>
    <w:rsid w:val="00193049"/>
    <w:rsid w:val="00193657"/>
    <w:rsid w:val="001A127C"/>
    <w:rsid w:val="001A3001"/>
    <w:rsid w:val="001A3D54"/>
    <w:rsid w:val="001A517B"/>
    <w:rsid w:val="001A6053"/>
    <w:rsid w:val="001B41C3"/>
    <w:rsid w:val="001B48D7"/>
    <w:rsid w:val="001B617D"/>
    <w:rsid w:val="001B661D"/>
    <w:rsid w:val="001B6A73"/>
    <w:rsid w:val="001C40D3"/>
    <w:rsid w:val="001C7063"/>
    <w:rsid w:val="001D02A9"/>
    <w:rsid w:val="001D1D0F"/>
    <w:rsid w:val="001D2E48"/>
    <w:rsid w:val="001D4743"/>
    <w:rsid w:val="001D5A53"/>
    <w:rsid w:val="001D5B69"/>
    <w:rsid w:val="001E0745"/>
    <w:rsid w:val="001E612A"/>
    <w:rsid w:val="001F3902"/>
    <w:rsid w:val="0020323A"/>
    <w:rsid w:val="0020354C"/>
    <w:rsid w:val="0020359B"/>
    <w:rsid w:val="00211D5A"/>
    <w:rsid w:val="002125DC"/>
    <w:rsid w:val="0021456F"/>
    <w:rsid w:val="002215F5"/>
    <w:rsid w:val="00223873"/>
    <w:rsid w:val="002241B7"/>
    <w:rsid w:val="00241AC6"/>
    <w:rsid w:val="00251FB0"/>
    <w:rsid w:val="00252829"/>
    <w:rsid w:val="00255B14"/>
    <w:rsid w:val="00262A15"/>
    <w:rsid w:val="00270238"/>
    <w:rsid w:val="00270A70"/>
    <w:rsid w:val="0027293B"/>
    <w:rsid w:val="002748C6"/>
    <w:rsid w:val="00276EC2"/>
    <w:rsid w:val="0027716F"/>
    <w:rsid w:val="00281FB9"/>
    <w:rsid w:val="002841A4"/>
    <w:rsid w:val="00285078"/>
    <w:rsid w:val="00290DFA"/>
    <w:rsid w:val="00291AE2"/>
    <w:rsid w:val="00291F92"/>
    <w:rsid w:val="00293CAB"/>
    <w:rsid w:val="00294594"/>
    <w:rsid w:val="00294887"/>
    <w:rsid w:val="00294CBA"/>
    <w:rsid w:val="002954A0"/>
    <w:rsid w:val="00297E77"/>
    <w:rsid w:val="002A046C"/>
    <w:rsid w:val="002A2332"/>
    <w:rsid w:val="002B2817"/>
    <w:rsid w:val="002B4DF9"/>
    <w:rsid w:val="002C00D2"/>
    <w:rsid w:val="002C2372"/>
    <w:rsid w:val="002C690E"/>
    <w:rsid w:val="002D4875"/>
    <w:rsid w:val="002D73BB"/>
    <w:rsid w:val="002E6F07"/>
    <w:rsid w:val="002F2740"/>
    <w:rsid w:val="002F6629"/>
    <w:rsid w:val="002F6754"/>
    <w:rsid w:val="00304D95"/>
    <w:rsid w:val="0031161E"/>
    <w:rsid w:val="00316022"/>
    <w:rsid w:val="0032049D"/>
    <w:rsid w:val="003253E9"/>
    <w:rsid w:val="00332571"/>
    <w:rsid w:val="00340ACB"/>
    <w:rsid w:val="00341612"/>
    <w:rsid w:val="00341E7D"/>
    <w:rsid w:val="0034489B"/>
    <w:rsid w:val="003449EA"/>
    <w:rsid w:val="00344C32"/>
    <w:rsid w:val="00346D3D"/>
    <w:rsid w:val="00347D0E"/>
    <w:rsid w:val="00347F47"/>
    <w:rsid w:val="00350594"/>
    <w:rsid w:val="003556DD"/>
    <w:rsid w:val="003647B7"/>
    <w:rsid w:val="00366AF2"/>
    <w:rsid w:val="00371664"/>
    <w:rsid w:val="003725D4"/>
    <w:rsid w:val="00375F87"/>
    <w:rsid w:val="00375FEB"/>
    <w:rsid w:val="00387481"/>
    <w:rsid w:val="00394951"/>
    <w:rsid w:val="003974EA"/>
    <w:rsid w:val="003B39DA"/>
    <w:rsid w:val="003B3BA7"/>
    <w:rsid w:val="003B4718"/>
    <w:rsid w:val="003B4E3D"/>
    <w:rsid w:val="003B7DD9"/>
    <w:rsid w:val="003C14CB"/>
    <w:rsid w:val="003C516F"/>
    <w:rsid w:val="003D19AF"/>
    <w:rsid w:val="003D2940"/>
    <w:rsid w:val="003E183D"/>
    <w:rsid w:val="003F4E6E"/>
    <w:rsid w:val="003F5F72"/>
    <w:rsid w:val="004010DB"/>
    <w:rsid w:val="0040296F"/>
    <w:rsid w:val="00414294"/>
    <w:rsid w:val="0041550F"/>
    <w:rsid w:val="00417AED"/>
    <w:rsid w:val="00420692"/>
    <w:rsid w:val="004210E9"/>
    <w:rsid w:val="00426081"/>
    <w:rsid w:val="00426A3B"/>
    <w:rsid w:val="00441D22"/>
    <w:rsid w:val="00444984"/>
    <w:rsid w:val="0044726C"/>
    <w:rsid w:val="00452E75"/>
    <w:rsid w:val="00453F12"/>
    <w:rsid w:val="00456F60"/>
    <w:rsid w:val="00460E0B"/>
    <w:rsid w:val="00462F14"/>
    <w:rsid w:val="00467991"/>
    <w:rsid w:val="00470C48"/>
    <w:rsid w:val="004718F1"/>
    <w:rsid w:val="00473F50"/>
    <w:rsid w:val="00475085"/>
    <w:rsid w:val="00476025"/>
    <w:rsid w:val="00483E27"/>
    <w:rsid w:val="004861C9"/>
    <w:rsid w:val="0049276A"/>
    <w:rsid w:val="004951F9"/>
    <w:rsid w:val="0049598F"/>
    <w:rsid w:val="004965CD"/>
    <w:rsid w:val="004B15DE"/>
    <w:rsid w:val="004C0195"/>
    <w:rsid w:val="004C5EF5"/>
    <w:rsid w:val="004D029B"/>
    <w:rsid w:val="004D3E82"/>
    <w:rsid w:val="004D5CE4"/>
    <w:rsid w:val="004E2EFC"/>
    <w:rsid w:val="004E4DC1"/>
    <w:rsid w:val="004E730C"/>
    <w:rsid w:val="004E765C"/>
    <w:rsid w:val="004F1F25"/>
    <w:rsid w:val="0050266A"/>
    <w:rsid w:val="00502A39"/>
    <w:rsid w:val="00505CEE"/>
    <w:rsid w:val="00507C4B"/>
    <w:rsid w:val="00511835"/>
    <w:rsid w:val="00512DE4"/>
    <w:rsid w:val="00513B4D"/>
    <w:rsid w:val="00516A1F"/>
    <w:rsid w:val="005216A2"/>
    <w:rsid w:val="00521B8F"/>
    <w:rsid w:val="005226A3"/>
    <w:rsid w:val="005279DB"/>
    <w:rsid w:val="00530D0A"/>
    <w:rsid w:val="00532AFE"/>
    <w:rsid w:val="00542048"/>
    <w:rsid w:val="00547BE2"/>
    <w:rsid w:val="0055095F"/>
    <w:rsid w:val="0056421C"/>
    <w:rsid w:val="00566B3E"/>
    <w:rsid w:val="0057182B"/>
    <w:rsid w:val="005750CE"/>
    <w:rsid w:val="005751D0"/>
    <w:rsid w:val="00576851"/>
    <w:rsid w:val="0058284B"/>
    <w:rsid w:val="005834C1"/>
    <w:rsid w:val="00596B98"/>
    <w:rsid w:val="005979B3"/>
    <w:rsid w:val="005A5089"/>
    <w:rsid w:val="005A7155"/>
    <w:rsid w:val="005A748A"/>
    <w:rsid w:val="005B29F5"/>
    <w:rsid w:val="005C126D"/>
    <w:rsid w:val="005C501A"/>
    <w:rsid w:val="005C6150"/>
    <w:rsid w:val="005D04D2"/>
    <w:rsid w:val="005D2524"/>
    <w:rsid w:val="005D4444"/>
    <w:rsid w:val="005D51D6"/>
    <w:rsid w:val="005E08FF"/>
    <w:rsid w:val="005E302C"/>
    <w:rsid w:val="005E6FF4"/>
    <w:rsid w:val="005F2E16"/>
    <w:rsid w:val="005F338A"/>
    <w:rsid w:val="006049B3"/>
    <w:rsid w:val="00605EBB"/>
    <w:rsid w:val="006109C4"/>
    <w:rsid w:val="006110CE"/>
    <w:rsid w:val="00620042"/>
    <w:rsid w:val="006211E4"/>
    <w:rsid w:val="00625173"/>
    <w:rsid w:val="00631A8F"/>
    <w:rsid w:val="00633A8B"/>
    <w:rsid w:val="006359DE"/>
    <w:rsid w:val="00640326"/>
    <w:rsid w:val="00643B33"/>
    <w:rsid w:val="00644FEF"/>
    <w:rsid w:val="006509BE"/>
    <w:rsid w:val="006522EF"/>
    <w:rsid w:val="0065481E"/>
    <w:rsid w:val="006628D5"/>
    <w:rsid w:val="0066547F"/>
    <w:rsid w:val="00665548"/>
    <w:rsid w:val="00671404"/>
    <w:rsid w:val="00671D6B"/>
    <w:rsid w:val="0067324E"/>
    <w:rsid w:val="006913EA"/>
    <w:rsid w:val="0069327C"/>
    <w:rsid w:val="006958D9"/>
    <w:rsid w:val="00696CA3"/>
    <w:rsid w:val="006A13A5"/>
    <w:rsid w:val="006A2881"/>
    <w:rsid w:val="006B5BA0"/>
    <w:rsid w:val="006B62F9"/>
    <w:rsid w:val="006D0C2B"/>
    <w:rsid w:val="006D1C91"/>
    <w:rsid w:val="006D38AE"/>
    <w:rsid w:val="006D390C"/>
    <w:rsid w:val="00712BD6"/>
    <w:rsid w:val="00722A88"/>
    <w:rsid w:val="00727CCE"/>
    <w:rsid w:val="00736312"/>
    <w:rsid w:val="007418F6"/>
    <w:rsid w:val="00750605"/>
    <w:rsid w:val="0075480E"/>
    <w:rsid w:val="00761070"/>
    <w:rsid w:val="00761DED"/>
    <w:rsid w:val="007634EC"/>
    <w:rsid w:val="00764169"/>
    <w:rsid w:val="00764622"/>
    <w:rsid w:val="00764F79"/>
    <w:rsid w:val="0076544A"/>
    <w:rsid w:val="00765B7B"/>
    <w:rsid w:val="0076663D"/>
    <w:rsid w:val="00770CA7"/>
    <w:rsid w:val="00772C06"/>
    <w:rsid w:val="00787A83"/>
    <w:rsid w:val="00794C31"/>
    <w:rsid w:val="007A4C10"/>
    <w:rsid w:val="007B1374"/>
    <w:rsid w:val="007B260E"/>
    <w:rsid w:val="007B56B2"/>
    <w:rsid w:val="007C3141"/>
    <w:rsid w:val="007C6A8D"/>
    <w:rsid w:val="007D404D"/>
    <w:rsid w:val="007E161A"/>
    <w:rsid w:val="007E5A89"/>
    <w:rsid w:val="007E64AA"/>
    <w:rsid w:val="007E67E2"/>
    <w:rsid w:val="007F0ABA"/>
    <w:rsid w:val="007F2850"/>
    <w:rsid w:val="007F5DFC"/>
    <w:rsid w:val="00801071"/>
    <w:rsid w:val="00802E18"/>
    <w:rsid w:val="00806E60"/>
    <w:rsid w:val="00812A57"/>
    <w:rsid w:val="008132C5"/>
    <w:rsid w:val="008214EF"/>
    <w:rsid w:val="00826D54"/>
    <w:rsid w:val="008279DA"/>
    <w:rsid w:val="00835CF3"/>
    <w:rsid w:val="00850D24"/>
    <w:rsid w:val="00857C9E"/>
    <w:rsid w:val="00861100"/>
    <w:rsid w:val="00865F51"/>
    <w:rsid w:val="00870C2B"/>
    <w:rsid w:val="0087242A"/>
    <w:rsid w:val="00876026"/>
    <w:rsid w:val="00877923"/>
    <w:rsid w:val="008957E2"/>
    <w:rsid w:val="008B0714"/>
    <w:rsid w:val="008B2AC5"/>
    <w:rsid w:val="008B34A8"/>
    <w:rsid w:val="008B6CFD"/>
    <w:rsid w:val="008C194E"/>
    <w:rsid w:val="008C416F"/>
    <w:rsid w:val="008C5766"/>
    <w:rsid w:val="008C73A4"/>
    <w:rsid w:val="008D7481"/>
    <w:rsid w:val="008E3F90"/>
    <w:rsid w:val="008E7EEC"/>
    <w:rsid w:val="008F279E"/>
    <w:rsid w:val="008F555F"/>
    <w:rsid w:val="008F6920"/>
    <w:rsid w:val="00900422"/>
    <w:rsid w:val="00907DD2"/>
    <w:rsid w:val="009142F6"/>
    <w:rsid w:val="00915247"/>
    <w:rsid w:val="0091707C"/>
    <w:rsid w:val="009201A6"/>
    <w:rsid w:val="009207B6"/>
    <w:rsid w:val="00920D86"/>
    <w:rsid w:val="009236E1"/>
    <w:rsid w:val="00932D15"/>
    <w:rsid w:val="00932EF3"/>
    <w:rsid w:val="00933C56"/>
    <w:rsid w:val="009372BF"/>
    <w:rsid w:val="009376D3"/>
    <w:rsid w:val="00945742"/>
    <w:rsid w:val="009553D7"/>
    <w:rsid w:val="0095576D"/>
    <w:rsid w:val="00960F00"/>
    <w:rsid w:val="00967735"/>
    <w:rsid w:val="009742A0"/>
    <w:rsid w:val="009744B7"/>
    <w:rsid w:val="00975356"/>
    <w:rsid w:val="00981B6F"/>
    <w:rsid w:val="0098290A"/>
    <w:rsid w:val="009836E2"/>
    <w:rsid w:val="00990121"/>
    <w:rsid w:val="009926FA"/>
    <w:rsid w:val="00996C70"/>
    <w:rsid w:val="00997B0A"/>
    <w:rsid w:val="009A344A"/>
    <w:rsid w:val="009A7A2B"/>
    <w:rsid w:val="009B307A"/>
    <w:rsid w:val="009B60F5"/>
    <w:rsid w:val="009C2726"/>
    <w:rsid w:val="009C377D"/>
    <w:rsid w:val="009D2C0D"/>
    <w:rsid w:val="009D3A5C"/>
    <w:rsid w:val="009D4497"/>
    <w:rsid w:val="009D5ADB"/>
    <w:rsid w:val="009D7B6E"/>
    <w:rsid w:val="009E2269"/>
    <w:rsid w:val="009E5221"/>
    <w:rsid w:val="009E5BB2"/>
    <w:rsid w:val="009F2FD7"/>
    <w:rsid w:val="00A00B5D"/>
    <w:rsid w:val="00A03A3C"/>
    <w:rsid w:val="00A11B10"/>
    <w:rsid w:val="00A13072"/>
    <w:rsid w:val="00A1368A"/>
    <w:rsid w:val="00A200B1"/>
    <w:rsid w:val="00A21E0F"/>
    <w:rsid w:val="00A225AB"/>
    <w:rsid w:val="00A364BA"/>
    <w:rsid w:val="00A454E0"/>
    <w:rsid w:val="00A47636"/>
    <w:rsid w:val="00A57615"/>
    <w:rsid w:val="00A64249"/>
    <w:rsid w:val="00A65BDC"/>
    <w:rsid w:val="00A76669"/>
    <w:rsid w:val="00A77910"/>
    <w:rsid w:val="00A80E0B"/>
    <w:rsid w:val="00A845B7"/>
    <w:rsid w:val="00A94B90"/>
    <w:rsid w:val="00AA3DE4"/>
    <w:rsid w:val="00AA51A0"/>
    <w:rsid w:val="00AB215C"/>
    <w:rsid w:val="00AB31CD"/>
    <w:rsid w:val="00AB4921"/>
    <w:rsid w:val="00AB71E1"/>
    <w:rsid w:val="00AB7B0D"/>
    <w:rsid w:val="00AC22EA"/>
    <w:rsid w:val="00AC314F"/>
    <w:rsid w:val="00AC52CC"/>
    <w:rsid w:val="00AC6D50"/>
    <w:rsid w:val="00AD135F"/>
    <w:rsid w:val="00AE1DE1"/>
    <w:rsid w:val="00AE381F"/>
    <w:rsid w:val="00AE3E8E"/>
    <w:rsid w:val="00AE6AC2"/>
    <w:rsid w:val="00AE77B7"/>
    <w:rsid w:val="00AF1AA0"/>
    <w:rsid w:val="00AF51AF"/>
    <w:rsid w:val="00B00AA0"/>
    <w:rsid w:val="00B10825"/>
    <w:rsid w:val="00B12960"/>
    <w:rsid w:val="00B16257"/>
    <w:rsid w:val="00B16D9E"/>
    <w:rsid w:val="00B171C0"/>
    <w:rsid w:val="00B26D5C"/>
    <w:rsid w:val="00B332B5"/>
    <w:rsid w:val="00B33B1B"/>
    <w:rsid w:val="00B3772C"/>
    <w:rsid w:val="00B40B92"/>
    <w:rsid w:val="00B41CE5"/>
    <w:rsid w:val="00B4677E"/>
    <w:rsid w:val="00B47CD6"/>
    <w:rsid w:val="00B5335F"/>
    <w:rsid w:val="00B6114C"/>
    <w:rsid w:val="00B614E0"/>
    <w:rsid w:val="00B61921"/>
    <w:rsid w:val="00B70865"/>
    <w:rsid w:val="00B7177F"/>
    <w:rsid w:val="00B83A2E"/>
    <w:rsid w:val="00B91AE6"/>
    <w:rsid w:val="00B949F8"/>
    <w:rsid w:val="00B9589D"/>
    <w:rsid w:val="00BA2091"/>
    <w:rsid w:val="00BA4EF4"/>
    <w:rsid w:val="00BA5DC1"/>
    <w:rsid w:val="00BA5F99"/>
    <w:rsid w:val="00BC09C7"/>
    <w:rsid w:val="00BC12D4"/>
    <w:rsid w:val="00BC4941"/>
    <w:rsid w:val="00BC4D36"/>
    <w:rsid w:val="00BC65D0"/>
    <w:rsid w:val="00BC673D"/>
    <w:rsid w:val="00BD6605"/>
    <w:rsid w:val="00BE362C"/>
    <w:rsid w:val="00BE526F"/>
    <w:rsid w:val="00BF3106"/>
    <w:rsid w:val="00BF4621"/>
    <w:rsid w:val="00C00323"/>
    <w:rsid w:val="00C022E8"/>
    <w:rsid w:val="00C04AB5"/>
    <w:rsid w:val="00C04B13"/>
    <w:rsid w:val="00C06EA4"/>
    <w:rsid w:val="00C10A10"/>
    <w:rsid w:val="00C118F2"/>
    <w:rsid w:val="00C1271F"/>
    <w:rsid w:val="00C1452A"/>
    <w:rsid w:val="00C17D69"/>
    <w:rsid w:val="00C23D71"/>
    <w:rsid w:val="00C24219"/>
    <w:rsid w:val="00C24F3C"/>
    <w:rsid w:val="00C26BBE"/>
    <w:rsid w:val="00C31689"/>
    <w:rsid w:val="00C34C9B"/>
    <w:rsid w:val="00C356BC"/>
    <w:rsid w:val="00C44822"/>
    <w:rsid w:val="00C450E6"/>
    <w:rsid w:val="00C51400"/>
    <w:rsid w:val="00C537DA"/>
    <w:rsid w:val="00C5537B"/>
    <w:rsid w:val="00C55AED"/>
    <w:rsid w:val="00C61FCC"/>
    <w:rsid w:val="00C67B90"/>
    <w:rsid w:val="00C75BE3"/>
    <w:rsid w:val="00C7683E"/>
    <w:rsid w:val="00C90E1F"/>
    <w:rsid w:val="00C915BB"/>
    <w:rsid w:val="00C93857"/>
    <w:rsid w:val="00C95B8F"/>
    <w:rsid w:val="00C96B91"/>
    <w:rsid w:val="00CA1AF1"/>
    <w:rsid w:val="00CA2F0A"/>
    <w:rsid w:val="00CA459A"/>
    <w:rsid w:val="00CA71C2"/>
    <w:rsid w:val="00CC0DF8"/>
    <w:rsid w:val="00CC1DE2"/>
    <w:rsid w:val="00CC6D03"/>
    <w:rsid w:val="00CD4833"/>
    <w:rsid w:val="00CD7F34"/>
    <w:rsid w:val="00CE4B3E"/>
    <w:rsid w:val="00CF095D"/>
    <w:rsid w:val="00CF290C"/>
    <w:rsid w:val="00CF7E5B"/>
    <w:rsid w:val="00D0066A"/>
    <w:rsid w:val="00D02610"/>
    <w:rsid w:val="00D02A33"/>
    <w:rsid w:val="00D04501"/>
    <w:rsid w:val="00D0545D"/>
    <w:rsid w:val="00D06EFD"/>
    <w:rsid w:val="00D12201"/>
    <w:rsid w:val="00D12D44"/>
    <w:rsid w:val="00D17AE3"/>
    <w:rsid w:val="00D20068"/>
    <w:rsid w:val="00D20313"/>
    <w:rsid w:val="00D210F6"/>
    <w:rsid w:val="00D2568F"/>
    <w:rsid w:val="00D37755"/>
    <w:rsid w:val="00D41808"/>
    <w:rsid w:val="00D42DF5"/>
    <w:rsid w:val="00D50C1E"/>
    <w:rsid w:val="00D52B59"/>
    <w:rsid w:val="00D52D39"/>
    <w:rsid w:val="00D57327"/>
    <w:rsid w:val="00D575E0"/>
    <w:rsid w:val="00D57BF2"/>
    <w:rsid w:val="00D65834"/>
    <w:rsid w:val="00D702E8"/>
    <w:rsid w:val="00D710A6"/>
    <w:rsid w:val="00D726CA"/>
    <w:rsid w:val="00D77D9D"/>
    <w:rsid w:val="00D8138E"/>
    <w:rsid w:val="00D9414F"/>
    <w:rsid w:val="00DC0288"/>
    <w:rsid w:val="00DC5A15"/>
    <w:rsid w:val="00DC79B7"/>
    <w:rsid w:val="00DD08E9"/>
    <w:rsid w:val="00DD0F9C"/>
    <w:rsid w:val="00DD2A31"/>
    <w:rsid w:val="00DE00B6"/>
    <w:rsid w:val="00DE0841"/>
    <w:rsid w:val="00DE323C"/>
    <w:rsid w:val="00DE5123"/>
    <w:rsid w:val="00DE56B2"/>
    <w:rsid w:val="00DE6232"/>
    <w:rsid w:val="00DE7AF5"/>
    <w:rsid w:val="00DF3855"/>
    <w:rsid w:val="00E126FB"/>
    <w:rsid w:val="00E223D5"/>
    <w:rsid w:val="00E22EA6"/>
    <w:rsid w:val="00E3050C"/>
    <w:rsid w:val="00E32C5D"/>
    <w:rsid w:val="00E33620"/>
    <w:rsid w:val="00E3576A"/>
    <w:rsid w:val="00E423C1"/>
    <w:rsid w:val="00E55D8F"/>
    <w:rsid w:val="00E7360E"/>
    <w:rsid w:val="00E751B0"/>
    <w:rsid w:val="00E75A85"/>
    <w:rsid w:val="00E75F3F"/>
    <w:rsid w:val="00E76B1E"/>
    <w:rsid w:val="00E7731A"/>
    <w:rsid w:val="00E810A8"/>
    <w:rsid w:val="00E83154"/>
    <w:rsid w:val="00E921EF"/>
    <w:rsid w:val="00E932CE"/>
    <w:rsid w:val="00E96572"/>
    <w:rsid w:val="00EA03E3"/>
    <w:rsid w:val="00EA19F1"/>
    <w:rsid w:val="00EA1C59"/>
    <w:rsid w:val="00EA754D"/>
    <w:rsid w:val="00EB02A3"/>
    <w:rsid w:val="00EB542A"/>
    <w:rsid w:val="00EB6DE2"/>
    <w:rsid w:val="00EC0117"/>
    <w:rsid w:val="00EC2E74"/>
    <w:rsid w:val="00EC6FBC"/>
    <w:rsid w:val="00ED135B"/>
    <w:rsid w:val="00ED3C65"/>
    <w:rsid w:val="00ED6D3C"/>
    <w:rsid w:val="00ED7648"/>
    <w:rsid w:val="00EE280D"/>
    <w:rsid w:val="00EE351F"/>
    <w:rsid w:val="00EE6408"/>
    <w:rsid w:val="00EE67BF"/>
    <w:rsid w:val="00EF2A50"/>
    <w:rsid w:val="00EF3076"/>
    <w:rsid w:val="00F039C7"/>
    <w:rsid w:val="00F06D7F"/>
    <w:rsid w:val="00F10066"/>
    <w:rsid w:val="00F1074A"/>
    <w:rsid w:val="00F3124E"/>
    <w:rsid w:val="00F32CB7"/>
    <w:rsid w:val="00F45A62"/>
    <w:rsid w:val="00F53296"/>
    <w:rsid w:val="00F53DB4"/>
    <w:rsid w:val="00F61054"/>
    <w:rsid w:val="00F61332"/>
    <w:rsid w:val="00F65090"/>
    <w:rsid w:val="00F81C9D"/>
    <w:rsid w:val="00F853B3"/>
    <w:rsid w:val="00F85B6E"/>
    <w:rsid w:val="00F86667"/>
    <w:rsid w:val="00F91B23"/>
    <w:rsid w:val="00F93876"/>
    <w:rsid w:val="00F956C9"/>
    <w:rsid w:val="00F97926"/>
    <w:rsid w:val="00FA3DB9"/>
    <w:rsid w:val="00FA5891"/>
    <w:rsid w:val="00FA63FF"/>
    <w:rsid w:val="00FB40FF"/>
    <w:rsid w:val="00FC0ADC"/>
    <w:rsid w:val="00FC10ED"/>
    <w:rsid w:val="00FC147D"/>
    <w:rsid w:val="00FC72EC"/>
    <w:rsid w:val="00FC77B0"/>
    <w:rsid w:val="00FD1842"/>
    <w:rsid w:val="00FD2D8C"/>
    <w:rsid w:val="00FE1E69"/>
    <w:rsid w:val="00FE3020"/>
    <w:rsid w:val="00FE380D"/>
    <w:rsid w:val="00FE6EB0"/>
    <w:rsid w:val="00FE7AE8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397"/>
    <w:rPr>
      <w:rFonts w:ascii="Helvetica" w:hAnsi="Helvetica"/>
      <w:sz w:val="24"/>
      <w:lang w:val="en-GB"/>
    </w:rPr>
  </w:style>
  <w:style w:type="paragraph" w:styleId="Heading1">
    <w:name w:val="heading 1"/>
    <w:basedOn w:val="Normal"/>
    <w:next w:val="Normal"/>
    <w:qFormat/>
    <w:rsid w:val="00115397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15397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5397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AERbodytext"/>
    <w:qFormat/>
    <w:rsid w:val="00115397"/>
    <w:pPr>
      <w:numPr>
        <w:ilvl w:val="3"/>
        <w:numId w:val="5"/>
      </w:numPr>
      <w:outlineLvl w:val="3"/>
    </w:pPr>
  </w:style>
  <w:style w:type="paragraph" w:styleId="Heading5">
    <w:name w:val="heading 5"/>
    <w:basedOn w:val="AERbodytext"/>
    <w:next w:val="Normal"/>
    <w:qFormat/>
    <w:rsid w:val="00115397"/>
    <w:pPr>
      <w:numPr>
        <w:ilvl w:val="4"/>
        <w:numId w:val="5"/>
      </w:numPr>
      <w:outlineLvl w:val="4"/>
    </w:pPr>
  </w:style>
  <w:style w:type="paragraph" w:styleId="Heading6">
    <w:name w:val="heading 6"/>
    <w:basedOn w:val="AERbodytext"/>
    <w:next w:val="Normal"/>
    <w:qFormat/>
    <w:rsid w:val="00115397"/>
    <w:pPr>
      <w:numPr>
        <w:ilvl w:val="5"/>
        <w:numId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39DA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3B39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39DA"/>
  </w:style>
  <w:style w:type="paragraph" w:customStyle="1" w:styleId="AERbodytext">
    <w:name w:val="AER body text"/>
    <w:basedOn w:val="Normal"/>
    <w:link w:val="AERbodytextChar"/>
    <w:rsid w:val="003B39DA"/>
    <w:pPr>
      <w:spacing w:after="240"/>
    </w:pPr>
    <w:rPr>
      <w:rFonts w:ascii="Times New Roman" w:hAnsi="Times New Roman"/>
      <w:lang w:val="en-AU"/>
    </w:rPr>
  </w:style>
  <w:style w:type="character" w:customStyle="1" w:styleId="AERbodytextChar">
    <w:name w:val="AER body text Char"/>
    <w:basedOn w:val="DefaultParagraphFont"/>
    <w:link w:val="AERbodytext"/>
    <w:rsid w:val="003B39DA"/>
    <w:rPr>
      <w:sz w:val="24"/>
      <w:lang w:val="en-AU" w:eastAsia="en-AU" w:bidi="ar-SA"/>
    </w:rPr>
  </w:style>
  <w:style w:type="character" w:styleId="CommentReference">
    <w:name w:val="annotation reference"/>
    <w:basedOn w:val="DefaultParagraphFont"/>
    <w:semiHidden/>
    <w:rsid w:val="00D702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02E8"/>
    <w:rPr>
      <w:sz w:val="20"/>
    </w:rPr>
  </w:style>
  <w:style w:type="paragraph" w:styleId="CommentSubject">
    <w:name w:val="annotation subject"/>
    <w:basedOn w:val="CommentText"/>
    <w:next w:val="CommentText"/>
    <w:semiHidden/>
    <w:rsid w:val="00D702E8"/>
    <w:rPr>
      <w:b/>
      <w:bCs/>
    </w:rPr>
  </w:style>
  <w:style w:type="paragraph" w:styleId="BalloonText">
    <w:name w:val="Balloon Text"/>
    <w:basedOn w:val="Normal"/>
    <w:semiHidden/>
    <w:rsid w:val="00D702E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52829"/>
    <w:pPr>
      <w:jc w:val="center"/>
    </w:pPr>
    <w:rPr>
      <w:rFonts w:ascii="Times New Roman" w:hAnsi="Times New Roman"/>
      <w:b/>
      <w:sz w:val="28"/>
    </w:rPr>
  </w:style>
  <w:style w:type="character" w:customStyle="1" w:styleId="CharSectno">
    <w:name w:val="CharSectno"/>
    <w:basedOn w:val="DefaultParagraphFont"/>
    <w:rsid w:val="00252829"/>
  </w:style>
  <w:style w:type="paragraph" w:customStyle="1" w:styleId="paragraph">
    <w:name w:val="paragraph"/>
    <w:aliases w:val="a"/>
    <w:rsid w:val="00252829"/>
    <w:pPr>
      <w:tabs>
        <w:tab w:val="right" w:pos="1531"/>
      </w:tabs>
      <w:spacing w:before="40"/>
      <w:ind w:left="1644" w:hanging="1644"/>
    </w:pPr>
    <w:rPr>
      <w:rFonts w:eastAsia="SimSun"/>
      <w:sz w:val="22"/>
      <w:szCs w:val="22"/>
    </w:rPr>
  </w:style>
  <w:style w:type="paragraph" w:customStyle="1" w:styleId="paragraphsub">
    <w:name w:val="paragraph(sub)"/>
    <w:aliases w:val="aa"/>
    <w:basedOn w:val="paragraph"/>
    <w:rsid w:val="00252829"/>
    <w:pPr>
      <w:tabs>
        <w:tab w:val="clear" w:pos="1531"/>
        <w:tab w:val="right" w:pos="1985"/>
      </w:tabs>
      <w:ind w:left="2098" w:hanging="2098"/>
    </w:pPr>
  </w:style>
  <w:style w:type="paragraph" w:customStyle="1" w:styleId="subsection">
    <w:name w:val="subsection"/>
    <w:aliases w:val="ss"/>
    <w:rsid w:val="00252829"/>
    <w:pPr>
      <w:tabs>
        <w:tab w:val="right" w:pos="1021"/>
      </w:tabs>
      <w:spacing w:before="180"/>
      <w:ind w:left="1134" w:hanging="1134"/>
    </w:pPr>
    <w:rPr>
      <w:rFonts w:eastAsia="SimSun"/>
      <w:sz w:val="22"/>
      <w:szCs w:val="22"/>
    </w:rPr>
  </w:style>
  <w:style w:type="paragraph" w:customStyle="1" w:styleId="notetext">
    <w:name w:val="note(text)"/>
    <w:aliases w:val="n"/>
    <w:rsid w:val="00252829"/>
    <w:pPr>
      <w:spacing w:before="122" w:line="198" w:lineRule="exact"/>
      <w:ind w:left="1985" w:hanging="851"/>
    </w:pPr>
    <w:rPr>
      <w:rFonts w:eastAsia="SimSun"/>
      <w:sz w:val="18"/>
      <w:szCs w:val="18"/>
    </w:rPr>
  </w:style>
  <w:style w:type="paragraph" w:customStyle="1" w:styleId="subsection2">
    <w:name w:val="subsection2"/>
    <w:aliases w:val="ss2"/>
    <w:basedOn w:val="subsection"/>
    <w:next w:val="subsection"/>
    <w:rsid w:val="0025282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25282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ActHead5">
    <w:name w:val="ActHead 5"/>
    <w:aliases w:val="s"/>
    <w:basedOn w:val="Normal"/>
    <w:next w:val="Normal"/>
    <w:rsid w:val="00252829"/>
    <w:pPr>
      <w:keepNext/>
      <w:keepLines/>
      <w:spacing w:before="280"/>
      <w:ind w:left="1134" w:hanging="1134"/>
      <w:outlineLvl w:val="4"/>
    </w:pPr>
    <w:rPr>
      <w:rFonts w:ascii="Times New Roman" w:eastAsia="SimSun" w:hAnsi="Times New Roman"/>
      <w:b/>
      <w:bCs/>
      <w:kern w:val="28"/>
      <w:szCs w:val="24"/>
      <w:lang w:val="en-AU"/>
    </w:rPr>
  </w:style>
  <w:style w:type="paragraph" w:customStyle="1" w:styleId="Default">
    <w:name w:val="Default"/>
    <w:rsid w:val="001153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15397"/>
    <w:rPr>
      <w:color w:val="0000FF"/>
      <w:u w:val="single"/>
    </w:rPr>
  </w:style>
  <w:style w:type="paragraph" w:customStyle="1" w:styleId="AERheading2">
    <w:name w:val="AER heading 2"/>
    <w:basedOn w:val="Heading2"/>
    <w:next w:val="AERbodytext"/>
    <w:rsid w:val="00115397"/>
    <w:pPr>
      <w:spacing w:after="240"/>
    </w:pPr>
    <w:rPr>
      <w:rFonts w:ascii="Times New Roman" w:hAnsi="Times New Roman" w:cs="Times New Roman"/>
      <w:bCs w:val="0"/>
      <w:i w:val="0"/>
      <w:iCs w:val="0"/>
      <w:sz w:val="30"/>
      <w:lang w:val="en-AU"/>
    </w:rPr>
  </w:style>
  <w:style w:type="paragraph" w:customStyle="1" w:styleId="NormalTimesNewRoman">
    <w:name w:val="Normal + Times New Roman"/>
    <w:basedOn w:val="Normal"/>
    <w:rsid w:val="0044726C"/>
    <w:rPr>
      <w:rFonts w:ascii="Times New Roman" w:hAnsi="Times New Roman"/>
    </w:rPr>
  </w:style>
  <w:style w:type="paragraph" w:customStyle="1" w:styleId="AERbulletlistfirststyle">
    <w:name w:val="AER bullet list (first style)"/>
    <w:basedOn w:val="Normal"/>
    <w:rsid w:val="0044726C"/>
    <w:pPr>
      <w:numPr>
        <w:numId w:val="6"/>
      </w:numPr>
      <w:tabs>
        <w:tab w:val="left" w:pos="567"/>
      </w:tabs>
      <w:spacing w:after="240" w:line="240" w:lineRule="atLeast"/>
    </w:pPr>
    <w:rPr>
      <w:rFonts w:ascii="Times New Roman" w:hAnsi="Times New Roman"/>
      <w:szCs w:val="24"/>
      <w:lang w:val="en-AU" w:eastAsia="en-US"/>
    </w:rPr>
  </w:style>
  <w:style w:type="paragraph" w:customStyle="1" w:styleId="Normal10pt">
    <w:name w:val="Normal + 10 pt"/>
    <w:basedOn w:val="Normal"/>
    <w:rsid w:val="0044726C"/>
    <w:pPr>
      <w:ind w:left="253"/>
      <w:jc w:val="both"/>
    </w:pPr>
    <w:rPr>
      <w:rFonts w:ascii="Arial" w:hAnsi="Arial"/>
      <w:color w:val="201D1E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06E60"/>
    <w:rPr>
      <w:rFonts w:ascii="Helvetica" w:hAnsi="Helvetica"/>
      <w:lang w:val="en-GB"/>
    </w:rPr>
  </w:style>
  <w:style w:type="table" w:styleId="TableGrid">
    <w:name w:val="Table Grid"/>
    <w:basedOn w:val="TableNormal"/>
    <w:rsid w:val="00B4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D7B6E"/>
    <w:rPr>
      <w:rFonts w:ascii="Helvetica" w:hAnsi="Helvetica"/>
      <w:sz w:val="24"/>
      <w:lang w:val="en-GB"/>
    </w:rPr>
  </w:style>
  <w:style w:type="paragraph" w:styleId="FootnoteText">
    <w:name w:val="footnote text"/>
    <w:basedOn w:val="Normal"/>
    <w:link w:val="FootnoteTextChar"/>
    <w:unhideWhenUsed/>
    <w:rsid w:val="00E810A8"/>
    <w:pPr>
      <w:widowControl w:val="0"/>
      <w:tabs>
        <w:tab w:val="left" w:pos="340"/>
      </w:tabs>
      <w:spacing w:line="240" w:lineRule="exact"/>
      <w:ind w:left="340" w:hanging="340"/>
    </w:pPr>
    <w:rPr>
      <w:rFonts w:ascii="Arial" w:eastAsia="Arial" w:hAnsi="Arial"/>
      <w:sz w:val="16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rsid w:val="00E810A8"/>
    <w:rPr>
      <w:rFonts w:ascii="Arial" w:eastAsia="Arial" w:hAnsi="Arial"/>
      <w:sz w:val="16"/>
      <w:lang w:eastAsia="en-US"/>
    </w:rPr>
  </w:style>
  <w:style w:type="character" w:styleId="FootnoteReference">
    <w:name w:val="footnote reference"/>
    <w:unhideWhenUsed/>
    <w:rsid w:val="00E810A8"/>
    <w:rPr>
      <w:sz w:val="24"/>
      <w:vertAlign w:val="superscript"/>
    </w:rPr>
  </w:style>
  <w:style w:type="table" w:customStyle="1" w:styleId="AERTable-Text">
    <w:name w:val="AER Table - Text"/>
    <w:basedOn w:val="TableNormal"/>
    <w:uiPriority w:val="99"/>
    <w:rsid w:val="00E810A8"/>
    <w:pPr>
      <w:spacing w:before="120" w:after="120"/>
    </w:pPr>
    <w:rPr>
      <w:rFonts w:ascii="Arial" w:eastAsia="Arial" w:hAnsi="Arial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styleId="Revision">
    <w:name w:val="Revision"/>
    <w:hidden/>
    <w:uiPriority w:val="99"/>
    <w:semiHidden/>
    <w:rsid w:val="00B33B1B"/>
    <w:rPr>
      <w:rFonts w:ascii="Helvetica" w:hAnsi="Helvetica"/>
      <w:sz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9836E2"/>
    <w:pPr>
      <w:spacing w:before="240" w:after="120" w:line="276" w:lineRule="auto"/>
    </w:pPr>
    <w:rPr>
      <w:rFonts w:ascii="Arial" w:eastAsia="Arial" w:hAnsi="Arial"/>
      <w:b/>
      <w:bCs/>
      <w:color w:val="076A92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172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0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0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2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9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6EB5D-CD67-45EA-98EE-FCC55D0E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77A89912</Template>
  <TotalTime>1</TotalTime>
  <Pages>3</Pages>
  <Words>872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5496</CharactersWithSpaces>
  <SharedDoc>false</SharedDoc>
  <HLinks>
    <vt:vector size="90" baseType="variant">
      <vt:variant>
        <vt:i4>589933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id49251f3e_fdd0_4dfd_a200_857bd7f320dc_1</vt:lpwstr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id49251f3e_fdd0_4dfd_a200_857bd7f320dc_1</vt:lpwstr>
      </vt:variant>
      <vt:variant>
        <vt:i4>327776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idd73bbf1b_af83_4332_a185_adafc44563e0_1</vt:lpwstr>
      </vt:variant>
      <vt:variant>
        <vt:i4>327740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id9db7d28d_4b29_4d00_93b2_5ee0a814cf0e_7</vt:lpwstr>
      </vt:variant>
      <vt:variant>
        <vt:i4>131170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id3913c6a2_da02_4281_a27d_19e01384c7ca_1</vt:lpwstr>
      </vt:variant>
      <vt:variant>
        <vt:i4>5308468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id0de4a8c5_22b0_41ec_9004_dec9ef3153f8_c</vt:lpwstr>
      </vt:variant>
      <vt:variant>
        <vt:i4>5308468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id0de4a8c5_22b0_41ec_9004_dec9ef3153f8_c</vt:lpwstr>
      </vt:variant>
      <vt:variant>
        <vt:i4>721005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id2a7bddd0_2185_44bd_a243_97591a0b7478_6</vt:lpwstr>
      </vt:variant>
      <vt:variant>
        <vt:i4>5963838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id43258f54_a1c4_412c_9e92_98cd46425c8c_c</vt:lpwstr>
      </vt:variant>
      <vt:variant>
        <vt:i4>6094904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idc82ed1e7_be29_4237_a07a_55b1e36fe550_5</vt:lpwstr>
      </vt:variant>
      <vt:variant>
        <vt:i4>131128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ida5c4df49_6f07_438c_8637_c7f108fcf951_0</vt:lpwstr>
      </vt:variant>
      <vt:variant>
        <vt:i4>524337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id385e957b_13d4_4898_b8b2_9ea647aa6d47_e</vt:lpwstr>
      </vt:variant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id94e0c177_0778_41c6_9f8f_ce5a8ce74453_9</vt:lpwstr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id1adf7e47_300a_4198_a445_cb69647bab91_b</vt:lpwstr>
      </vt:variant>
      <vt:variant>
        <vt:i4>5308519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id6055e1ae_d59e_433b_b68c_56e04a44bef1_5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fwalk</dc:creator>
  <cp:lastModifiedBy>Pitsakos, Trinas</cp:lastModifiedBy>
  <cp:revision>2</cp:revision>
  <cp:lastPrinted>2017-02-02T00:46:00Z</cp:lastPrinted>
  <dcterms:created xsi:type="dcterms:W3CDTF">2017-02-02T03:44:00Z</dcterms:created>
  <dcterms:modified xsi:type="dcterms:W3CDTF">2017-02-02T03:44:00Z</dcterms:modified>
</cp:coreProperties>
</file>