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1AF3" w:rsidRPr="00EE1AF3" w:rsidRDefault="00757D5F" w:rsidP="00060840">
      <w:pPr>
        <w:pStyle w:val="Heading1"/>
        <w:jc w:val="center"/>
      </w:pPr>
      <w:bookmarkStart w:id="0" w:name="_GoBack"/>
      <w:bookmarkEnd w:id="0"/>
      <w:r>
        <w:t xml:space="preserve">Australian Energy Regulator – </w:t>
      </w:r>
      <w:r w:rsidR="00EE1AF3" w:rsidRPr="00EE1AF3">
        <w:t>Sustainable Payment Plans Framework</w:t>
      </w:r>
    </w:p>
    <w:p w:rsidR="00EE1AF3" w:rsidRDefault="00EE1AF3" w:rsidP="00060840">
      <w:pPr>
        <w:pStyle w:val="Heading3"/>
        <w:jc w:val="center"/>
      </w:pPr>
      <w:r>
        <w:t>Stakeholder workshop</w:t>
      </w:r>
      <w:r w:rsidR="00757D5F">
        <w:t xml:space="preserve"> – meeting summary</w:t>
      </w:r>
    </w:p>
    <w:p w:rsidR="00EE1AF3" w:rsidRDefault="00EE1AF3" w:rsidP="00060840">
      <w:pPr>
        <w:pStyle w:val="Heading3"/>
        <w:jc w:val="center"/>
      </w:pPr>
      <w:r>
        <w:t>Thursday, 28 January 2016, 11.30am-1pm AEDT</w:t>
      </w:r>
    </w:p>
    <w:p w:rsidR="00757D5F" w:rsidRDefault="00757D5F" w:rsidP="00EE1AF3">
      <w:pPr>
        <w:jc w:val="center"/>
        <w:rPr>
          <w:b/>
          <w:bCs/>
        </w:rPr>
      </w:pPr>
    </w:p>
    <w:p w:rsidR="00EE1AF3" w:rsidRPr="00402C02" w:rsidRDefault="00B619C2" w:rsidP="008A7234">
      <w:pPr>
        <w:pStyle w:val="Heading2"/>
      </w:pPr>
      <w:r>
        <w:t xml:space="preserve">Key </w:t>
      </w:r>
      <w:r w:rsidR="00402C02">
        <w:t>updates to</w:t>
      </w:r>
      <w:r w:rsidR="00EE1AF3" w:rsidRPr="00402C02">
        <w:t xml:space="preserve"> current draft (v0.3, 8 January 2016)</w:t>
      </w:r>
    </w:p>
    <w:p w:rsidR="00EE1AF3" w:rsidRPr="00943931" w:rsidRDefault="00EE1AF3" w:rsidP="0057095F">
      <w:pPr>
        <w:pStyle w:val="Heading3"/>
        <w:numPr>
          <w:ilvl w:val="0"/>
          <w:numId w:val="44"/>
        </w:numPr>
      </w:pPr>
      <w:r w:rsidRPr="00943931">
        <w:t>Commencing conversations with customers and testing what’s affordable</w:t>
      </w:r>
    </w:p>
    <w:p w:rsidR="0052795A" w:rsidRPr="00D5092B" w:rsidRDefault="00D5092B" w:rsidP="00060840">
      <w:pPr>
        <w:pStyle w:val="Heading4"/>
        <w:ind w:left="340"/>
      </w:pPr>
      <w:r w:rsidRPr="00D5092B">
        <w:t>Centrelink, C</w:t>
      </w:r>
      <w:r w:rsidR="0052795A" w:rsidRPr="00D5092B">
        <w:t>entrepay</w:t>
      </w:r>
      <w:r w:rsidRPr="00D5092B">
        <w:t xml:space="preserve"> &amp; concessions</w:t>
      </w:r>
    </w:p>
    <w:p w:rsidR="00D5092B" w:rsidRDefault="00D5092B" w:rsidP="00D5092B">
      <w:pPr>
        <w:ind w:left="360"/>
      </w:pPr>
      <w:r>
        <w:t>Stakeholders commented that</w:t>
      </w:r>
      <w:r w:rsidR="00885370">
        <w:t xml:space="preserve"> while the Framework states that </w:t>
      </w:r>
      <w:r>
        <w:t xml:space="preserve">Centrepay should be offered to customers receiving income support, </w:t>
      </w:r>
      <w:r w:rsidR="00B51587">
        <w:t>it does not indicate</w:t>
      </w:r>
      <w:r w:rsidR="003A7B52">
        <w:t xml:space="preserve"> that this</w:t>
      </w:r>
      <w:r w:rsidR="00D47F35">
        <w:t xml:space="preserve"> customer group is</w:t>
      </w:r>
      <w:r w:rsidR="00885370">
        <w:t xml:space="preserve"> also eligible for energy concessions. They considered</w:t>
      </w:r>
      <w:r w:rsidR="00D47F35">
        <w:t xml:space="preserve"> the Framework should include that is good practice for retailers to check</w:t>
      </w:r>
      <w:r w:rsidR="00885370">
        <w:t xml:space="preserve"> whether Centrepay/Centrelink customers were receiving eligible concessions.</w:t>
      </w:r>
    </w:p>
    <w:p w:rsidR="00D5092B" w:rsidRPr="00885370" w:rsidRDefault="00885370" w:rsidP="00885370">
      <w:pPr>
        <w:ind w:left="360"/>
        <w:rPr>
          <w:color w:val="0070C0"/>
        </w:rPr>
      </w:pPr>
      <w:r>
        <w:rPr>
          <w:color w:val="0070C0"/>
        </w:rPr>
        <w:t xml:space="preserve">We </w:t>
      </w:r>
      <w:r w:rsidR="003A7B52">
        <w:rPr>
          <w:color w:val="0070C0"/>
        </w:rPr>
        <w:t>have amended draft Framework to include a reference to retailers checking Centrelink/Centrepay customers’ concession status.</w:t>
      </w:r>
    </w:p>
    <w:p w:rsidR="0052795A" w:rsidRPr="00885370" w:rsidRDefault="00885370" w:rsidP="00060840">
      <w:pPr>
        <w:pStyle w:val="Heading4"/>
        <w:ind w:left="340"/>
      </w:pPr>
      <w:r>
        <w:t>Retailers suggesting</w:t>
      </w:r>
      <w:r w:rsidR="0052795A" w:rsidRPr="00885370">
        <w:t xml:space="preserve"> customers</w:t>
      </w:r>
      <w:r>
        <w:t xml:space="preserve"> go to another retailer</w:t>
      </w:r>
    </w:p>
    <w:p w:rsidR="00885370" w:rsidRDefault="00885370" w:rsidP="00D5092B">
      <w:pPr>
        <w:ind w:left="360"/>
      </w:pPr>
      <w:r>
        <w:t>A number of consumer stakeholders commented that</w:t>
      </w:r>
      <w:r w:rsidR="001F1098">
        <w:t xml:space="preserve">, in their experience, they </w:t>
      </w:r>
      <w:r w:rsidR="00415336">
        <w:t xml:space="preserve">are often </w:t>
      </w:r>
      <w:r w:rsidR="001F1098">
        <w:t xml:space="preserve">advised </w:t>
      </w:r>
      <w:r w:rsidR="00415336">
        <w:t xml:space="preserve">of </w:t>
      </w:r>
      <w:r>
        <w:t>some retailers suggest</w:t>
      </w:r>
      <w:r w:rsidR="00415336">
        <w:t>ing</w:t>
      </w:r>
      <w:r>
        <w:t xml:space="preserve"> </w:t>
      </w:r>
      <w:r w:rsidR="003A7B52">
        <w:t xml:space="preserve">to </w:t>
      </w:r>
      <w:r>
        <w:t>existing customers with financial issues</w:t>
      </w:r>
      <w:r w:rsidR="003A7B52">
        <w:t xml:space="preserve"> that they</w:t>
      </w:r>
      <w:r>
        <w:t xml:space="preserve"> </w:t>
      </w:r>
      <w:r w:rsidR="00415336">
        <w:t xml:space="preserve">should </w:t>
      </w:r>
      <w:r w:rsidR="001F1098">
        <w:t>switch</w:t>
      </w:r>
      <w:r>
        <w:t xml:space="preserve"> to another retailer.</w:t>
      </w:r>
    </w:p>
    <w:p w:rsidR="00885370" w:rsidRPr="004C6112" w:rsidRDefault="001F1098" w:rsidP="00D5092B">
      <w:pPr>
        <w:ind w:left="360"/>
      </w:pPr>
      <w:r>
        <w:t>Some r</w:t>
      </w:r>
      <w:r w:rsidR="00885370">
        <w:t xml:space="preserve">etailers responded that </w:t>
      </w:r>
      <w:r>
        <w:t xml:space="preserve">this can be in </w:t>
      </w:r>
      <w:r w:rsidR="00885370">
        <w:t xml:space="preserve">the customer’s best interests </w:t>
      </w:r>
      <w:r>
        <w:t xml:space="preserve">if another retailer has a more suitable offer. Retailers also acknowledged that this should not be done to avoid their responsibility to assist their customers experiencing financial </w:t>
      </w:r>
      <w:r w:rsidRPr="004C6112">
        <w:t>difficulties</w:t>
      </w:r>
      <w:r w:rsidR="00AF33A3" w:rsidRPr="004C6112">
        <w:t>.</w:t>
      </w:r>
    </w:p>
    <w:p w:rsidR="00052EF6" w:rsidRPr="00455C47" w:rsidRDefault="006823D1" w:rsidP="006823D1">
      <w:pPr>
        <w:ind w:left="360"/>
        <w:rPr>
          <w:color w:val="0070C0"/>
        </w:rPr>
      </w:pPr>
      <w:r w:rsidRPr="00455C47">
        <w:rPr>
          <w:color w:val="0070C0"/>
        </w:rPr>
        <w:t xml:space="preserve">We note that the principle of </w:t>
      </w:r>
      <w:r w:rsidRPr="00455C47">
        <w:rPr>
          <w:i/>
          <w:color w:val="0070C0"/>
        </w:rPr>
        <w:t>Empathy and Respect</w:t>
      </w:r>
      <w:r w:rsidRPr="00455C47">
        <w:rPr>
          <w:color w:val="0070C0"/>
        </w:rPr>
        <w:t xml:space="preserve"> includes </w:t>
      </w:r>
      <w:r w:rsidR="000031DD" w:rsidRPr="00455C47">
        <w:rPr>
          <w:color w:val="0070C0"/>
        </w:rPr>
        <w:t>acting</w:t>
      </w:r>
      <w:r w:rsidRPr="00455C47">
        <w:rPr>
          <w:color w:val="0070C0"/>
        </w:rPr>
        <w:t xml:space="preserve"> </w:t>
      </w:r>
      <w:r w:rsidR="000031DD" w:rsidRPr="00455C47">
        <w:rPr>
          <w:color w:val="0070C0"/>
        </w:rPr>
        <w:t>‘</w:t>
      </w:r>
      <w:r w:rsidRPr="00455C47">
        <w:rPr>
          <w:color w:val="0070C0"/>
        </w:rPr>
        <w:t>in good faith’.</w:t>
      </w:r>
      <w:r w:rsidR="00052EF6" w:rsidRPr="00455C47">
        <w:rPr>
          <w:color w:val="0070C0"/>
        </w:rPr>
        <w:t xml:space="preserve"> Our view is that </w:t>
      </w:r>
      <w:r w:rsidR="00940B1A">
        <w:rPr>
          <w:color w:val="0070C0"/>
        </w:rPr>
        <w:t xml:space="preserve">retailers should </w:t>
      </w:r>
      <w:r w:rsidR="00052EF6" w:rsidRPr="00455C47">
        <w:rPr>
          <w:color w:val="0070C0"/>
        </w:rPr>
        <w:t>act</w:t>
      </w:r>
      <w:r w:rsidR="00007F67" w:rsidRPr="00455C47">
        <w:rPr>
          <w:color w:val="0070C0"/>
        </w:rPr>
        <w:t xml:space="preserve"> in good faith </w:t>
      </w:r>
      <w:r w:rsidR="00940B1A">
        <w:rPr>
          <w:color w:val="0070C0"/>
        </w:rPr>
        <w:t xml:space="preserve">in all their interactions with their customers, particularly those experiencing financial stress. Retailers must comply with their obligations to assist their customers in hardship and with payment difficulties. </w:t>
      </w:r>
    </w:p>
    <w:p w:rsidR="0052795A" w:rsidRPr="00A35391" w:rsidRDefault="00AF33A3" w:rsidP="00060840">
      <w:pPr>
        <w:pStyle w:val="Heading4"/>
        <w:ind w:left="340"/>
      </w:pPr>
      <w:r w:rsidRPr="00A35391">
        <w:t>Cu</w:t>
      </w:r>
      <w:r w:rsidR="00A35391" w:rsidRPr="00A35391">
        <w:t>stomer-</w:t>
      </w:r>
      <w:r w:rsidRPr="00A35391">
        <w:t xml:space="preserve">nominated </w:t>
      </w:r>
      <w:r w:rsidR="00A35391" w:rsidRPr="00A35391">
        <w:t xml:space="preserve">repayment </w:t>
      </w:r>
      <w:r w:rsidRPr="00A35391">
        <w:t xml:space="preserve">amounts </w:t>
      </w:r>
    </w:p>
    <w:p w:rsidR="00AD5228" w:rsidRPr="00AD5228" w:rsidRDefault="00AF33A3" w:rsidP="00AD5228">
      <w:pPr>
        <w:ind w:left="360"/>
      </w:pPr>
      <w:r>
        <w:t xml:space="preserve">Financial counselling stakeholders commented that </w:t>
      </w:r>
      <w:r w:rsidR="00A35391">
        <w:t>customers nominating what they could a</w:t>
      </w:r>
      <w:r w:rsidR="00C720D7">
        <w:t xml:space="preserve">fford as a repayment amounts usually </w:t>
      </w:r>
      <w:r w:rsidR="00A35391">
        <w:t xml:space="preserve">led to unsustainable and broken repayment plans as customers typically did not have a </w:t>
      </w:r>
      <w:r w:rsidR="00C720D7">
        <w:t xml:space="preserve">clear understanding of their financial commitments and </w:t>
      </w:r>
      <w:r w:rsidR="001F1098">
        <w:t xml:space="preserve">typically </w:t>
      </w:r>
      <w:r w:rsidR="00A35391">
        <w:t xml:space="preserve">overestimated </w:t>
      </w:r>
      <w:r w:rsidR="00C720D7">
        <w:t>what they could afford</w:t>
      </w:r>
      <w:r w:rsidR="00A35391">
        <w:t>.</w:t>
      </w:r>
      <w:r w:rsidR="005D074F">
        <w:t xml:space="preserve"> Similarly, we received feedback that customers </w:t>
      </w:r>
      <w:r w:rsidR="001F1098">
        <w:t xml:space="preserve">may </w:t>
      </w:r>
      <w:r w:rsidR="005D074F">
        <w:t>respond</w:t>
      </w:r>
      <w:r w:rsidR="001F1098">
        <w:t xml:space="preserve"> with</w:t>
      </w:r>
      <w:r w:rsidR="005D074F">
        <w:t xml:space="preserve"> ‘nothing’ to the question ‘what can you afford?’</w:t>
      </w:r>
      <w:r w:rsidR="001F1098">
        <w:t xml:space="preserve"> particularly if they do not have a clear budget or understanding of their household income and expenses.</w:t>
      </w:r>
    </w:p>
    <w:p w:rsidR="002E2D2D" w:rsidRDefault="002826DB" w:rsidP="002E2D2D">
      <w:pPr>
        <w:ind w:left="340"/>
      </w:pPr>
      <w:r>
        <w:t>T</w:t>
      </w:r>
      <w:r w:rsidR="00F31FFA">
        <w:t>he Framework</w:t>
      </w:r>
      <w:r w:rsidR="00A61602">
        <w:t xml:space="preserve"> suggests </w:t>
      </w:r>
      <w:r w:rsidR="00F31FFA">
        <w:t xml:space="preserve">retailers can take additional steps to </w:t>
      </w:r>
      <w:r>
        <w:t>clarify and check</w:t>
      </w:r>
      <w:r w:rsidR="00F31FFA">
        <w:t xml:space="preserve"> what is affordable for a customer</w:t>
      </w:r>
      <w:r w:rsidR="00940B1A">
        <w:t>. W</w:t>
      </w:r>
      <w:r w:rsidR="00A61602">
        <w:t xml:space="preserve">e </w:t>
      </w:r>
      <w:r w:rsidR="00F31FFA">
        <w:t>consider it is good practice to do this</w:t>
      </w:r>
      <w:r w:rsidR="00940B1A">
        <w:t xml:space="preserve"> and that it is more likely payment arrangements will be sustainable and successful when this step is undertaken.</w:t>
      </w:r>
    </w:p>
    <w:p w:rsidR="00DC6704" w:rsidRDefault="00DC6704">
      <w:pPr>
        <w:ind w:left="340"/>
      </w:pPr>
      <w:r w:rsidRPr="00DC6704">
        <w:lastRenderedPageBreak/>
        <w:t xml:space="preserve">Some consumer stakeholders commented that building rapport between a customer and retailer was important </w:t>
      </w:r>
      <w:r w:rsidR="002826DB">
        <w:t xml:space="preserve">and necessary to have a constructive discussion about what </w:t>
      </w:r>
      <w:r w:rsidR="00940B1A">
        <w:t xml:space="preserve">customers </w:t>
      </w:r>
      <w:r w:rsidR="002826DB">
        <w:t>c</w:t>
      </w:r>
      <w:r w:rsidR="00940B1A">
        <w:t>an</w:t>
      </w:r>
      <w:r w:rsidR="002826DB">
        <w:t xml:space="preserve"> afford and their usage patterns. This can also positively </w:t>
      </w:r>
      <w:r w:rsidRPr="00DC6704">
        <w:t>influence the way customers engage</w:t>
      </w:r>
      <w:r w:rsidR="002826DB">
        <w:t xml:space="preserve"> with their retailers after the initial contact</w:t>
      </w:r>
      <w:r w:rsidRPr="00DC6704">
        <w:t>.</w:t>
      </w:r>
      <w:r w:rsidR="00D2233C" w:rsidRPr="00D2233C">
        <w:t xml:space="preserve"> </w:t>
      </w:r>
    </w:p>
    <w:p w:rsidR="0052795A" w:rsidRDefault="00A35391" w:rsidP="00060840">
      <w:pPr>
        <w:pStyle w:val="Heading4"/>
        <w:ind w:left="340"/>
      </w:pPr>
      <w:r>
        <w:t>Non-English speaking customers</w:t>
      </w:r>
    </w:p>
    <w:p w:rsidR="00A35391" w:rsidRDefault="000B6295" w:rsidP="00A35391">
      <w:pPr>
        <w:ind w:left="340"/>
      </w:pPr>
      <w:r>
        <w:t xml:space="preserve">One </w:t>
      </w:r>
      <w:r w:rsidR="00BD2820">
        <w:t>c</w:t>
      </w:r>
      <w:r w:rsidR="00A35391">
        <w:t xml:space="preserve">onsumer stakeholder commented that the Framework should require retailers to </w:t>
      </w:r>
      <w:r w:rsidR="001F1098">
        <w:t xml:space="preserve">use </w:t>
      </w:r>
      <w:r w:rsidR="00A35391">
        <w:t xml:space="preserve">interpreters as </w:t>
      </w:r>
      <w:r w:rsidR="007B7E1B">
        <w:t>non-English speaking customers</w:t>
      </w:r>
      <w:r w:rsidR="001F1098">
        <w:t xml:space="preserve"> would find</w:t>
      </w:r>
      <w:r w:rsidR="007B7E1B">
        <w:t xml:space="preserve"> it difficult to </w:t>
      </w:r>
      <w:r w:rsidR="001F1098">
        <w:t xml:space="preserve">discuss </w:t>
      </w:r>
      <w:r w:rsidR="002F72A8">
        <w:t xml:space="preserve">their energy usage and what they could afford to pay, particularly if it was not </w:t>
      </w:r>
      <w:r w:rsidR="007B7E1B">
        <w:t xml:space="preserve">in their own language. Referring these customers to financial counsellors </w:t>
      </w:r>
      <w:r w:rsidR="00940B1A">
        <w:t xml:space="preserve">may be less </w:t>
      </w:r>
      <w:r w:rsidR="007B7E1B">
        <w:t>effective, with migrant resource centres more appropriate avenues of referral</w:t>
      </w:r>
      <w:r w:rsidR="006C74F8">
        <w:t xml:space="preserve"> to get in language assistance</w:t>
      </w:r>
      <w:r w:rsidR="007B7E1B">
        <w:t xml:space="preserve">. </w:t>
      </w:r>
    </w:p>
    <w:p w:rsidR="007B7E1B" w:rsidRDefault="007B7E1B" w:rsidP="00A35391">
      <w:pPr>
        <w:ind w:left="340"/>
      </w:pPr>
      <w:r>
        <w:t>Retailers respond</w:t>
      </w:r>
      <w:r w:rsidR="00BD2820">
        <w:t>ed</w:t>
      </w:r>
      <w:r>
        <w:t xml:space="preserve"> that they already use</w:t>
      </w:r>
      <w:r w:rsidR="002C51E4">
        <w:t>d</w:t>
      </w:r>
      <w:r>
        <w:t xml:space="preserve"> interpreter services but </w:t>
      </w:r>
      <w:r w:rsidR="00BD2820">
        <w:t>some noted there may be opportunities for them to m</w:t>
      </w:r>
      <w:r>
        <w:t>ore proactive</w:t>
      </w:r>
      <w:r w:rsidR="00BD2820">
        <w:t>ly promote</w:t>
      </w:r>
      <w:r>
        <w:t xml:space="preserve"> t</w:t>
      </w:r>
      <w:r w:rsidR="00BD2820">
        <w:t>he existence of these services.</w:t>
      </w:r>
    </w:p>
    <w:p w:rsidR="007B7E1B" w:rsidRPr="007B7E1B" w:rsidRDefault="00BD2820" w:rsidP="00B54B9E">
      <w:pPr>
        <w:ind w:left="340"/>
        <w:rPr>
          <w:color w:val="0070C0"/>
        </w:rPr>
      </w:pPr>
      <w:r>
        <w:rPr>
          <w:color w:val="0070C0"/>
        </w:rPr>
        <w:t xml:space="preserve">We agree that it is good practice for retailers to </w:t>
      </w:r>
      <w:r w:rsidR="002F72A8">
        <w:rPr>
          <w:color w:val="0070C0"/>
        </w:rPr>
        <w:t xml:space="preserve">more </w:t>
      </w:r>
      <w:r>
        <w:rPr>
          <w:color w:val="0070C0"/>
        </w:rPr>
        <w:t xml:space="preserve">actively promote the existence of interpreter services </w:t>
      </w:r>
      <w:r w:rsidR="002F72A8">
        <w:rPr>
          <w:color w:val="0070C0"/>
        </w:rPr>
        <w:t>particularly where customers have previously used this service. T</w:t>
      </w:r>
      <w:r w:rsidR="00B54B9E">
        <w:rPr>
          <w:color w:val="0070C0"/>
        </w:rPr>
        <w:t xml:space="preserve">he principle </w:t>
      </w:r>
      <w:r w:rsidR="00B54B9E" w:rsidRPr="00B54B9E">
        <w:rPr>
          <w:i/>
          <w:color w:val="0070C0"/>
        </w:rPr>
        <w:t>‘Be flexible and supportive when communicating with customers’</w:t>
      </w:r>
      <w:r w:rsidR="00B54B9E">
        <w:rPr>
          <w:color w:val="0070C0"/>
        </w:rPr>
        <w:t xml:space="preserve"> </w:t>
      </w:r>
      <w:r w:rsidR="006C74F8">
        <w:rPr>
          <w:color w:val="0070C0"/>
        </w:rPr>
        <w:t xml:space="preserve">has been updated to </w:t>
      </w:r>
      <w:r w:rsidR="00B54B9E">
        <w:rPr>
          <w:color w:val="0070C0"/>
        </w:rPr>
        <w:t xml:space="preserve">include </w:t>
      </w:r>
      <w:r w:rsidR="00AD1E7E">
        <w:rPr>
          <w:color w:val="0070C0"/>
        </w:rPr>
        <w:t>a reference t</w:t>
      </w:r>
      <w:r w:rsidR="002C51E4">
        <w:rPr>
          <w:color w:val="0070C0"/>
        </w:rPr>
        <w:t>hat retailers ‘</w:t>
      </w:r>
      <w:r w:rsidR="00AD1E7E">
        <w:rPr>
          <w:color w:val="0070C0"/>
        </w:rPr>
        <w:t>offer</w:t>
      </w:r>
      <w:r w:rsidR="002C51E4">
        <w:rPr>
          <w:color w:val="0070C0"/>
        </w:rPr>
        <w:t xml:space="preserve"> and promote</w:t>
      </w:r>
      <w:r w:rsidR="00AD1E7E">
        <w:rPr>
          <w:color w:val="0070C0"/>
        </w:rPr>
        <w:t xml:space="preserve"> translation services to customers from non-English backgrounds</w:t>
      </w:r>
      <w:r w:rsidR="002C51E4">
        <w:rPr>
          <w:color w:val="0070C0"/>
        </w:rPr>
        <w:t>’</w:t>
      </w:r>
      <w:r w:rsidR="00B54B9E">
        <w:rPr>
          <w:color w:val="0070C0"/>
        </w:rPr>
        <w:t xml:space="preserve">. </w:t>
      </w:r>
    </w:p>
    <w:p w:rsidR="0057095F" w:rsidRPr="0057095F" w:rsidRDefault="0052795A" w:rsidP="00060840">
      <w:pPr>
        <w:pStyle w:val="Heading4"/>
        <w:ind w:left="340"/>
      </w:pPr>
      <w:r w:rsidRPr="0057095F">
        <w:t>Consistency</w:t>
      </w:r>
    </w:p>
    <w:p w:rsidR="0052795A" w:rsidRDefault="00983CDB" w:rsidP="0057095F">
      <w:pPr>
        <w:ind w:left="340"/>
      </w:pPr>
      <w:r>
        <w:t>Retailer stakeholder</w:t>
      </w:r>
      <w:r w:rsidR="002F72A8">
        <w:t>s</w:t>
      </w:r>
      <w:r>
        <w:t xml:space="preserve"> commented that the Framework</w:t>
      </w:r>
      <w:r w:rsidR="00282549">
        <w:t>’</w:t>
      </w:r>
      <w:r>
        <w:t>s principle that retailers should provide a consistent co</w:t>
      </w:r>
      <w:r w:rsidR="00282549">
        <w:t>ntact person wherever possible</w:t>
      </w:r>
      <w:r w:rsidR="005C465E">
        <w:t>—</w:t>
      </w:r>
      <w:r>
        <w:t xml:space="preserve">while practical for </w:t>
      </w:r>
      <w:r w:rsidR="00282549">
        <w:t xml:space="preserve">customers in hardship programs </w:t>
      </w:r>
      <w:r w:rsidR="002F72A8">
        <w:t>who are typically individually case managed</w:t>
      </w:r>
      <w:r w:rsidR="005C465E">
        <w:t>—</w:t>
      </w:r>
      <w:r>
        <w:t xml:space="preserve">was not practical for </w:t>
      </w:r>
      <w:r w:rsidR="002F72A8">
        <w:t xml:space="preserve">all </w:t>
      </w:r>
      <w:r>
        <w:t>customers</w:t>
      </w:r>
      <w:r w:rsidR="002F72A8">
        <w:t xml:space="preserve"> who </w:t>
      </w:r>
      <w:r w:rsidR="006C74F8">
        <w:t>may</w:t>
      </w:r>
      <w:r w:rsidR="002F72A8">
        <w:t xml:space="preserve"> make contact through call centres</w:t>
      </w:r>
      <w:r w:rsidR="002C51E4">
        <w:t>.</w:t>
      </w:r>
    </w:p>
    <w:p w:rsidR="00C04B29" w:rsidRDefault="00F31FFA" w:rsidP="00983CDB">
      <w:pPr>
        <w:ind w:left="340"/>
      </w:pPr>
      <w:r>
        <w:t>There was agreement from retailers and stakeholders that it was good practice for retailers not to require customers to have repeat their situation, history and circumstances with multiple agents.</w:t>
      </w:r>
      <w:r w:rsidR="006C74F8">
        <w:t xml:space="preserve"> This is particularly the case for customers where English is not their first language.</w:t>
      </w:r>
    </w:p>
    <w:p w:rsidR="00282549" w:rsidRDefault="00282549" w:rsidP="00282549">
      <w:pPr>
        <w:ind w:left="340"/>
      </w:pPr>
      <w:r>
        <w:t>Stakeholder examples of practices that meet this principle</w:t>
      </w:r>
      <w:r w:rsidR="00983CDB">
        <w:t xml:space="preserve"> included: </w:t>
      </w:r>
    </w:p>
    <w:p w:rsidR="00282549" w:rsidRDefault="00983CDB" w:rsidP="00282549">
      <w:pPr>
        <w:pStyle w:val="ListParagraph"/>
        <w:numPr>
          <w:ilvl w:val="0"/>
          <w:numId w:val="45"/>
        </w:numPr>
      </w:pPr>
      <w:r>
        <w:t>‘warm transfers’ (where a retailer agen</w:t>
      </w:r>
      <w:r w:rsidR="00282549">
        <w:t>t introduces the details of a customer’s case when transferring to another operator)</w:t>
      </w:r>
    </w:p>
    <w:p w:rsidR="00282549" w:rsidRDefault="00983CDB" w:rsidP="00282549">
      <w:pPr>
        <w:pStyle w:val="ListParagraph"/>
        <w:numPr>
          <w:ilvl w:val="0"/>
          <w:numId w:val="45"/>
        </w:numPr>
      </w:pPr>
      <w:r>
        <w:t xml:space="preserve">the use of case </w:t>
      </w:r>
      <w:r w:rsidR="00282549">
        <w:t>managers for hardship customers</w:t>
      </w:r>
    </w:p>
    <w:p w:rsidR="00282549" w:rsidRDefault="00983CDB" w:rsidP="00282549">
      <w:pPr>
        <w:pStyle w:val="ListParagraph"/>
        <w:numPr>
          <w:ilvl w:val="0"/>
          <w:numId w:val="45"/>
        </w:numPr>
      </w:pPr>
      <w:r>
        <w:t xml:space="preserve">making appropriately detailed notes on a customer’s account </w:t>
      </w:r>
      <w:r w:rsidR="00C04B29">
        <w:t>for future reference and context.</w:t>
      </w:r>
    </w:p>
    <w:p w:rsidR="00282549" w:rsidRPr="00455C47" w:rsidRDefault="00DC6704" w:rsidP="00282549">
      <w:pPr>
        <w:ind w:left="340"/>
        <w:rPr>
          <w:color w:val="0070C0"/>
        </w:rPr>
      </w:pPr>
      <w:r>
        <w:rPr>
          <w:color w:val="0070C0"/>
        </w:rPr>
        <w:t xml:space="preserve">We </w:t>
      </w:r>
      <w:r w:rsidR="003A4D62">
        <w:rPr>
          <w:color w:val="0070C0"/>
        </w:rPr>
        <w:t xml:space="preserve">will include the above examples under the </w:t>
      </w:r>
      <w:r w:rsidR="003A4D62" w:rsidRPr="00455C47">
        <w:rPr>
          <w:i/>
          <w:color w:val="0070C0"/>
        </w:rPr>
        <w:t>Consistency</w:t>
      </w:r>
      <w:r w:rsidR="00A31103" w:rsidRPr="00A31103">
        <w:rPr>
          <w:color w:val="0070C0"/>
        </w:rPr>
        <w:t xml:space="preserve"> </w:t>
      </w:r>
      <w:r w:rsidR="00A31103">
        <w:rPr>
          <w:color w:val="0070C0"/>
        </w:rPr>
        <w:t>principle</w:t>
      </w:r>
      <w:r w:rsidR="003A4D62">
        <w:rPr>
          <w:color w:val="0070C0"/>
        </w:rPr>
        <w:t>.</w:t>
      </w:r>
    </w:p>
    <w:p w:rsidR="00EE1AF3" w:rsidRPr="00943931" w:rsidRDefault="00EE1AF3" w:rsidP="0057095F">
      <w:pPr>
        <w:pStyle w:val="Heading3"/>
        <w:numPr>
          <w:ilvl w:val="0"/>
          <w:numId w:val="44"/>
        </w:numPr>
      </w:pPr>
      <w:r w:rsidRPr="00943931">
        <w:t>Increasing repayment amounts</w:t>
      </w:r>
      <w:r w:rsidR="00943931" w:rsidRPr="00943931">
        <w:t xml:space="preserve"> &amp; Processes around missed payments</w:t>
      </w:r>
    </w:p>
    <w:p w:rsidR="00282549" w:rsidRPr="0057095F" w:rsidRDefault="00C04B29">
      <w:pPr>
        <w:ind w:left="680" w:hanging="340"/>
      </w:pPr>
      <w:r>
        <w:t xml:space="preserve">Stakeholders had no </w:t>
      </w:r>
      <w:r w:rsidR="00D5092B">
        <w:t>comments on</w:t>
      </w:r>
      <w:r>
        <w:t xml:space="preserve"> the changes to these elements of the Framework. </w:t>
      </w:r>
    </w:p>
    <w:p w:rsidR="00EE1AF3" w:rsidRDefault="00EE1AF3" w:rsidP="0057095F">
      <w:pPr>
        <w:pStyle w:val="Heading3"/>
        <w:numPr>
          <w:ilvl w:val="0"/>
          <w:numId w:val="44"/>
        </w:numPr>
      </w:pPr>
      <w:r w:rsidRPr="00943931">
        <w:t xml:space="preserve">Inactive accounts </w:t>
      </w:r>
    </w:p>
    <w:p w:rsidR="00C04B29" w:rsidRDefault="00C04B29" w:rsidP="0057095F">
      <w:pPr>
        <w:ind w:left="340"/>
      </w:pPr>
      <w:r>
        <w:t xml:space="preserve">Stakeholders gave a range of feedback on whether the Framework should apply to customers who had a debt with a retailer but </w:t>
      </w:r>
      <w:r w:rsidR="006C74F8">
        <w:t xml:space="preserve">were </w:t>
      </w:r>
      <w:r>
        <w:t xml:space="preserve">no longer an active </w:t>
      </w:r>
      <w:r w:rsidR="006C74F8">
        <w:t>customer of that retailer</w:t>
      </w:r>
      <w:r>
        <w:t>.</w:t>
      </w:r>
    </w:p>
    <w:p w:rsidR="00455C47" w:rsidRPr="00455C47" w:rsidRDefault="004E61D0" w:rsidP="00455C47">
      <w:pPr>
        <w:ind w:left="340"/>
      </w:pPr>
      <w:r>
        <w:lastRenderedPageBreak/>
        <w:t xml:space="preserve">There was general support for our current position that </w:t>
      </w:r>
      <w:r w:rsidR="00A66B1A">
        <w:t xml:space="preserve">the principles of flexibility, empathy and respect should extend to retailers’ discussions with </w:t>
      </w:r>
      <w:r w:rsidR="002F72A8">
        <w:t xml:space="preserve">inactive </w:t>
      </w:r>
      <w:r w:rsidR="00A66B1A">
        <w:t>customers</w:t>
      </w:r>
      <w:r w:rsidR="00455C47">
        <w:t xml:space="preserve"> and that </w:t>
      </w:r>
      <w:r w:rsidR="00E24741">
        <w:t xml:space="preserve">it was </w:t>
      </w:r>
      <w:r w:rsidR="00455C47" w:rsidRPr="00455C47">
        <w:t>good practice for retailers to give inactive account customers with a debt a reasonable opportunity to repay the amount owed, taking into account what a customer can reasonably afford, and apply the principles of flexibility, consistency, empathy and respect when negotiating these repayment plans.</w:t>
      </w:r>
    </w:p>
    <w:p w:rsidR="00455C47" w:rsidRDefault="00A66B1A">
      <w:pPr>
        <w:ind w:left="340"/>
      </w:pPr>
      <w:r>
        <w:t xml:space="preserve">Some consumer stakeholders suggested </w:t>
      </w:r>
      <w:r w:rsidR="00E24741">
        <w:t>there was a role for the</w:t>
      </w:r>
      <w:r>
        <w:t xml:space="preserve"> Framework</w:t>
      </w:r>
      <w:r w:rsidR="00E24741">
        <w:t xml:space="preserve">’s principles to cover debt collection agencies’ interaction with inactive customers, once a retailer referred a debt to an external agency. This was because </w:t>
      </w:r>
      <w:r>
        <w:t xml:space="preserve">retailers </w:t>
      </w:r>
      <w:r w:rsidR="00E24741">
        <w:t>often had little control over debt agencies practices in dealing with these customers.</w:t>
      </w:r>
    </w:p>
    <w:p w:rsidR="00A66B1A" w:rsidRDefault="00A66B1A" w:rsidP="0057095F">
      <w:pPr>
        <w:ind w:left="340"/>
      </w:pPr>
      <w:r>
        <w:t xml:space="preserve">Financial counsellors commented while some debt collection agencies dealt fairly with debtors, a number of agencies did not. Some retailer stakeholders </w:t>
      </w:r>
      <w:r w:rsidR="00232FF7">
        <w:t xml:space="preserve">said </w:t>
      </w:r>
      <w:r>
        <w:t xml:space="preserve">they would be interested to know which agencies used poor practices. Some retailers discussed approaches to ensure debt agencies dealt with customers fairly, such as through contract KPIs. </w:t>
      </w:r>
    </w:p>
    <w:p w:rsidR="00A66B1A" w:rsidRDefault="00A66B1A" w:rsidP="0057095F">
      <w:pPr>
        <w:ind w:left="340"/>
      </w:pPr>
      <w:r>
        <w:t xml:space="preserve">This discussion </w:t>
      </w:r>
      <w:r w:rsidR="004E61D0">
        <w:t xml:space="preserve">suggested that there may be </w:t>
      </w:r>
      <w:r w:rsidR="002F72A8">
        <w:t xml:space="preserve">further work </w:t>
      </w:r>
      <w:r w:rsidR="006C74F8">
        <w:t xml:space="preserve">that could be undertaken </w:t>
      </w:r>
      <w:r w:rsidR="002F72A8">
        <w:t xml:space="preserve">to look at what may constitute </w:t>
      </w:r>
      <w:r w:rsidR="004E61D0">
        <w:t xml:space="preserve">good practice </w:t>
      </w:r>
      <w:r w:rsidR="002F72A8">
        <w:t xml:space="preserve">when </w:t>
      </w:r>
      <w:r w:rsidR="004E61D0">
        <w:t>retailers</w:t>
      </w:r>
      <w:r w:rsidR="002F72A8">
        <w:t xml:space="preserve"> use debt </w:t>
      </w:r>
      <w:r w:rsidR="004E61D0">
        <w:t>collection agencies</w:t>
      </w:r>
      <w:r w:rsidR="000B6295">
        <w:t xml:space="preserve"> </w:t>
      </w:r>
      <w:r w:rsidR="006C74F8">
        <w:t xml:space="preserve">outside of </w:t>
      </w:r>
      <w:r w:rsidR="000B6295">
        <w:t>this project</w:t>
      </w:r>
      <w:r w:rsidR="004E61D0">
        <w:t>.</w:t>
      </w:r>
    </w:p>
    <w:p w:rsidR="008A7234" w:rsidRPr="004E61D0" w:rsidRDefault="00232FF7" w:rsidP="0057095F">
      <w:pPr>
        <w:ind w:left="340"/>
        <w:rPr>
          <w:color w:val="0070C0"/>
        </w:rPr>
      </w:pPr>
      <w:r>
        <w:rPr>
          <w:color w:val="0070C0"/>
        </w:rPr>
        <w:t>The AER w</w:t>
      </w:r>
      <w:r w:rsidR="00856394">
        <w:rPr>
          <w:color w:val="0070C0"/>
        </w:rPr>
        <w:t xml:space="preserve">ill further </w:t>
      </w:r>
      <w:r w:rsidR="000B6295">
        <w:rPr>
          <w:color w:val="0070C0"/>
        </w:rPr>
        <w:t xml:space="preserve">explore </w:t>
      </w:r>
      <w:r w:rsidR="00856394">
        <w:rPr>
          <w:color w:val="0070C0"/>
        </w:rPr>
        <w:t xml:space="preserve">with retailers whether they </w:t>
      </w:r>
      <w:r w:rsidR="000B6295">
        <w:rPr>
          <w:color w:val="0070C0"/>
        </w:rPr>
        <w:t>w</w:t>
      </w:r>
      <w:r w:rsidR="00856394">
        <w:rPr>
          <w:color w:val="0070C0"/>
        </w:rPr>
        <w:t xml:space="preserve">ould use this </w:t>
      </w:r>
      <w:r>
        <w:rPr>
          <w:color w:val="0070C0"/>
        </w:rPr>
        <w:t xml:space="preserve">Framework </w:t>
      </w:r>
      <w:r w:rsidR="00856394">
        <w:rPr>
          <w:color w:val="0070C0"/>
        </w:rPr>
        <w:t xml:space="preserve">to </w:t>
      </w:r>
      <w:r w:rsidR="00282549">
        <w:rPr>
          <w:color w:val="0070C0"/>
        </w:rPr>
        <w:t>guide discussions with inactive account customers</w:t>
      </w:r>
      <w:r w:rsidR="00856394">
        <w:rPr>
          <w:color w:val="0070C0"/>
        </w:rPr>
        <w:t>.</w:t>
      </w:r>
    </w:p>
    <w:p w:rsidR="004E61D0" w:rsidRPr="008A7234" w:rsidRDefault="00282549" w:rsidP="00060840">
      <w:pPr>
        <w:pStyle w:val="Heading4"/>
        <w:ind w:left="340"/>
      </w:pPr>
      <w:r>
        <w:t>C</w:t>
      </w:r>
      <w:r w:rsidR="00712F68" w:rsidRPr="008A7234">
        <w:t>ustomers with seasonal incomes</w:t>
      </w:r>
    </w:p>
    <w:p w:rsidR="00712F68" w:rsidRDefault="00282549" w:rsidP="0057095F">
      <w:pPr>
        <w:ind w:left="340"/>
      </w:pPr>
      <w:r>
        <w:t>One</w:t>
      </w:r>
      <w:r w:rsidR="00712F68">
        <w:t xml:space="preserve"> stakeholder commented that the Framework did not appear to apply to primary producers, whose incomes often varied seasonally and who consequently were late in paying at particular times of year.</w:t>
      </w:r>
      <w:r w:rsidR="000B6295">
        <w:t xml:space="preserve"> </w:t>
      </w:r>
      <w:r w:rsidR="00712F68">
        <w:t>Financial counsellors noted that this was a situation common to many small business customers.</w:t>
      </w:r>
    </w:p>
    <w:p w:rsidR="00282549" w:rsidRDefault="00712F68" w:rsidP="0057095F">
      <w:pPr>
        <w:ind w:left="340"/>
      </w:pPr>
      <w:r>
        <w:t xml:space="preserve">The AER </w:t>
      </w:r>
      <w:r w:rsidR="006C74F8">
        <w:t xml:space="preserve">noted </w:t>
      </w:r>
      <w:r>
        <w:t>that the Framework was intended to be a principles-based document</w:t>
      </w:r>
      <w:r w:rsidR="000B6295">
        <w:t xml:space="preserve"> that could be applied to customers in a range of circumstances</w:t>
      </w:r>
      <w:r>
        <w:t xml:space="preserve">, </w:t>
      </w:r>
      <w:r w:rsidR="000B6295">
        <w:t xml:space="preserve">rather than explicitly addressing </w:t>
      </w:r>
      <w:r w:rsidR="006C74F8">
        <w:t xml:space="preserve">all </w:t>
      </w:r>
      <w:r>
        <w:t xml:space="preserve">specific </w:t>
      </w:r>
      <w:r w:rsidR="000B6295">
        <w:t>customer scenarios</w:t>
      </w:r>
      <w:r>
        <w:t xml:space="preserve">. </w:t>
      </w:r>
    </w:p>
    <w:p w:rsidR="00712F68" w:rsidRPr="00712F68" w:rsidRDefault="006C74F8" w:rsidP="0057095F">
      <w:pPr>
        <w:ind w:left="340"/>
      </w:pPr>
      <w:r>
        <w:t>T</w:t>
      </w:r>
      <w:r w:rsidR="00712F68">
        <w:t xml:space="preserve">he principle of Empathy and Respect (“Listen to what the customer is telling you about what they can afford to pay”) </w:t>
      </w:r>
      <w:r w:rsidR="006C5D08">
        <w:t>cover</w:t>
      </w:r>
      <w:r>
        <w:t>s</w:t>
      </w:r>
      <w:r w:rsidR="00282549">
        <w:t xml:space="preserve"> customers in th</w:t>
      </w:r>
      <w:r>
        <w:t>ese types of</w:t>
      </w:r>
      <w:r w:rsidR="00282549">
        <w:t xml:space="preserve"> situation</w:t>
      </w:r>
      <w:r>
        <w:t>s</w:t>
      </w:r>
      <w:r w:rsidR="00282549">
        <w:t>.</w:t>
      </w:r>
    </w:p>
    <w:p w:rsidR="008A7234" w:rsidRPr="0057095F" w:rsidRDefault="006C5D08" w:rsidP="000B6295">
      <w:pPr>
        <w:ind w:left="340"/>
        <w:rPr>
          <w:color w:val="0070C0"/>
        </w:rPr>
      </w:pPr>
      <w:r w:rsidRPr="008A7234">
        <w:rPr>
          <w:color w:val="0070C0"/>
        </w:rPr>
        <w:t xml:space="preserve">This </w:t>
      </w:r>
      <w:r w:rsidR="003D0A50" w:rsidRPr="008A7234">
        <w:rPr>
          <w:color w:val="0070C0"/>
        </w:rPr>
        <w:t>discuss</w:t>
      </w:r>
      <w:r w:rsidR="003D0A50">
        <w:rPr>
          <w:color w:val="0070C0"/>
        </w:rPr>
        <w:t>ion</w:t>
      </w:r>
      <w:r w:rsidR="003D0A50" w:rsidRPr="008A7234">
        <w:rPr>
          <w:color w:val="0070C0"/>
        </w:rPr>
        <w:t xml:space="preserve"> </w:t>
      </w:r>
      <w:r w:rsidRPr="008A7234">
        <w:rPr>
          <w:color w:val="0070C0"/>
        </w:rPr>
        <w:t xml:space="preserve">raised the question of whether the Framework should apply to small business customers, which </w:t>
      </w:r>
      <w:r w:rsidR="00232FF7">
        <w:rPr>
          <w:color w:val="0070C0"/>
        </w:rPr>
        <w:t>the</w:t>
      </w:r>
      <w:r w:rsidR="00232FF7" w:rsidRPr="008A7234">
        <w:rPr>
          <w:color w:val="0070C0"/>
        </w:rPr>
        <w:t xml:space="preserve"> </w:t>
      </w:r>
      <w:r w:rsidR="00232FF7">
        <w:rPr>
          <w:color w:val="0070C0"/>
        </w:rPr>
        <w:t xml:space="preserve">AER </w:t>
      </w:r>
      <w:r w:rsidR="000B6295">
        <w:rPr>
          <w:color w:val="0070C0"/>
        </w:rPr>
        <w:t xml:space="preserve">will explore further with </w:t>
      </w:r>
      <w:r w:rsidRPr="008A7234">
        <w:rPr>
          <w:color w:val="0070C0"/>
        </w:rPr>
        <w:t xml:space="preserve">retailers. </w:t>
      </w:r>
    </w:p>
    <w:p w:rsidR="00303837" w:rsidRPr="00D5092B" w:rsidRDefault="00EE1AF3" w:rsidP="0057095F">
      <w:pPr>
        <w:pStyle w:val="Heading3"/>
        <w:numPr>
          <w:ilvl w:val="0"/>
          <w:numId w:val="44"/>
        </w:numPr>
      </w:pPr>
      <w:r w:rsidRPr="00D5092B">
        <w:t xml:space="preserve">Timeframes for option 1 and 2 </w:t>
      </w:r>
    </w:p>
    <w:p w:rsidR="00D5092B" w:rsidRDefault="006C5D08" w:rsidP="0057095F">
      <w:pPr>
        <w:ind w:left="340"/>
      </w:pPr>
      <w:r>
        <w:t>These issues were not discussed due to lack of time. We will seek feedback on the revised timeframes during the formal consultation period.</w:t>
      </w:r>
    </w:p>
    <w:p w:rsidR="002E2D2D" w:rsidRDefault="002E2D2D" w:rsidP="00455C47"/>
    <w:p w:rsidR="00E24741" w:rsidRDefault="00E24741" w:rsidP="00455C47"/>
    <w:p w:rsidR="00EE1AF3" w:rsidRPr="008A7234" w:rsidRDefault="00B619C2" w:rsidP="008A7234">
      <w:pPr>
        <w:pStyle w:val="Heading2"/>
      </w:pPr>
      <w:r w:rsidRPr="008A7234">
        <w:t>Preliminary d</w:t>
      </w:r>
      <w:r w:rsidR="00EE1AF3" w:rsidRPr="008A7234">
        <w:t xml:space="preserve">iscussion </w:t>
      </w:r>
      <w:r w:rsidR="00402C02" w:rsidRPr="008A7234">
        <w:t>–</w:t>
      </w:r>
      <w:r w:rsidR="00EE1AF3" w:rsidRPr="008A7234">
        <w:t xml:space="preserve"> </w:t>
      </w:r>
      <w:r w:rsidRPr="008A7234">
        <w:t xml:space="preserve">Implementing the </w:t>
      </w:r>
      <w:r w:rsidR="00EE1AF3" w:rsidRPr="008A7234">
        <w:t>Framework</w:t>
      </w:r>
    </w:p>
    <w:p w:rsidR="006451AA" w:rsidRDefault="006451AA" w:rsidP="00455C47">
      <w:r>
        <w:t xml:space="preserve">There was limited time to discuss issues of </w:t>
      </w:r>
      <w:r w:rsidR="0059055A">
        <w:t xml:space="preserve">the Framework’s </w:t>
      </w:r>
      <w:r>
        <w:t>implementation</w:t>
      </w:r>
      <w:r w:rsidR="001A6D97">
        <w:t xml:space="preserve"> at the forum.</w:t>
      </w:r>
    </w:p>
    <w:p w:rsidR="00856394" w:rsidRDefault="006451AA" w:rsidP="00455C47">
      <w:r>
        <w:t xml:space="preserve">While we will be seeking further views </w:t>
      </w:r>
      <w:r w:rsidR="001A6D97">
        <w:t>on these issues during the formal consul</w:t>
      </w:r>
      <w:r w:rsidR="0059055A">
        <w:t xml:space="preserve">tation phase </w:t>
      </w:r>
      <w:r w:rsidR="00E71E56">
        <w:t xml:space="preserve">we invite stakeholders to provide </w:t>
      </w:r>
      <w:r w:rsidR="0059055A">
        <w:t xml:space="preserve">feedback </w:t>
      </w:r>
      <w:r w:rsidR="00E71E56">
        <w:t>in advance of th</w:t>
      </w:r>
      <w:r w:rsidR="00052EF6">
        <w:t>is process</w:t>
      </w:r>
      <w:r w:rsidR="006C74F8">
        <w:t xml:space="preserve"> to </w:t>
      </w:r>
      <w:r w:rsidR="00052EF6">
        <w:t xml:space="preserve">inform the </w:t>
      </w:r>
      <w:r w:rsidR="00E71E56">
        <w:t>options we put forward for consultation.</w:t>
      </w:r>
    </w:p>
    <w:p w:rsidR="00E71E56" w:rsidRDefault="00E71E56" w:rsidP="00060840">
      <w:pPr>
        <w:pStyle w:val="Heading4"/>
      </w:pPr>
      <w:r>
        <w:t>Publi</w:t>
      </w:r>
      <w:r w:rsidR="00313DB1">
        <w:t>shed list of</w:t>
      </w:r>
      <w:r>
        <w:t xml:space="preserve"> retailer</w:t>
      </w:r>
      <w:r w:rsidR="00313DB1">
        <w:t>s who have agreed to adopt and implement the Framework</w:t>
      </w:r>
    </w:p>
    <w:p w:rsidR="00E71E56" w:rsidRDefault="00E71E56" w:rsidP="002B2B04">
      <w:r w:rsidRPr="00E71E56">
        <w:t>Throughout the project we have emphasised that the Framework would be voluntary for retailers.</w:t>
      </w:r>
    </w:p>
    <w:p w:rsidR="00856394" w:rsidRDefault="00E71E56" w:rsidP="002B2B04">
      <w:r>
        <w:t xml:space="preserve">During the early phase of the project we asked retailers if they were comfortable with the </w:t>
      </w:r>
      <w:r w:rsidR="00455C47">
        <w:t xml:space="preserve">concept </w:t>
      </w:r>
      <w:r>
        <w:t>of</w:t>
      </w:r>
      <w:r w:rsidRPr="00E71E56">
        <w:t xml:space="preserve"> </w:t>
      </w:r>
      <w:r>
        <w:t xml:space="preserve">being included a public list of </w:t>
      </w:r>
      <w:r w:rsidR="006C74F8">
        <w:t>retailers</w:t>
      </w:r>
      <w:r>
        <w:t xml:space="preserve"> that had </w:t>
      </w:r>
      <w:r w:rsidR="006C74F8">
        <w:t xml:space="preserve">agreed to </w:t>
      </w:r>
      <w:r>
        <w:t>adopt the Framework</w:t>
      </w:r>
      <w:r w:rsidR="0022353F">
        <w:t>, and whether they</w:t>
      </w:r>
      <w:r>
        <w:t xml:space="preserve"> saw any impediments to publicly signing-up </w:t>
      </w:r>
      <w:r w:rsidR="006C74F8">
        <w:t xml:space="preserve">to </w:t>
      </w:r>
      <w:r>
        <w:t>the Framework. Most indicated they were comfortable and saw no significant issues with this approach.</w:t>
      </w:r>
    </w:p>
    <w:p w:rsidR="0022353F" w:rsidRDefault="0022353F" w:rsidP="003936CE">
      <w:r w:rsidRPr="0022353F">
        <w:t>In this context, we are interested in stakeholders’ feedback on</w:t>
      </w:r>
      <w:r>
        <w:t>:</w:t>
      </w:r>
    </w:p>
    <w:p w:rsidR="0022353F" w:rsidRPr="00687525" w:rsidRDefault="004C6112" w:rsidP="00455C47">
      <w:pPr>
        <w:pStyle w:val="ListParagraph"/>
        <w:numPr>
          <w:ilvl w:val="0"/>
          <w:numId w:val="49"/>
        </w:numPr>
      </w:pPr>
      <w:r>
        <w:t>w</w:t>
      </w:r>
      <w:r w:rsidR="00052EF6" w:rsidRPr="00687525">
        <w:t>hether there are benefits in</w:t>
      </w:r>
      <w:r w:rsidR="0022353F" w:rsidRPr="00D2233C">
        <w:t xml:space="preserve"> consumers </w:t>
      </w:r>
      <w:r w:rsidR="006C74F8">
        <w:t xml:space="preserve">or their representatives </w:t>
      </w:r>
      <w:r w:rsidR="0022353F" w:rsidRPr="00D2233C">
        <w:t>know</w:t>
      </w:r>
      <w:r w:rsidR="00052EF6" w:rsidRPr="00455C47">
        <w:t>ing</w:t>
      </w:r>
      <w:r w:rsidR="0022353F" w:rsidRPr="00687525">
        <w:t xml:space="preserve"> which retailers had adopted the Framework</w:t>
      </w:r>
      <w:r w:rsidR="00BC661B">
        <w:t>—</w:t>
      </w:r>
      <w:r w:rsidR="00052EF6" w:rsidRPr="00455C47">
        <w:t xml:space="preserve">for example, would it </w:t>
      </w:r>
      <w:r w:rsidR="006C74F8">
        <w:t xml:space="preserve">help to know what to expect when dealing with retailers? </w:t>
      </w:r>
    </w:p>
    <w:p w:rsidR="0022353F" w:rsidRPr="00687525" w:rsidRDefault="0022353F" w:rsidP="00455C47">
      <w:pPr>
        <w:pStyle w:val="ListParagraph"/>
        <w:numPr>
          <w:ilvl w:val="0"/>
          <w:numId w:val="49"/>
        </w:numPr>
      </w:pPr>
      <w:r w:rsidRPr="00687525">
        <w:t xml:space="preserve">if so, </w:t>
      </w:r>
      <w:r w:rsidR="00052EF6" w:rsidRPr="00455C47">
        <w:t xml:space="preserve">would </w:t>
      </w:r>
      <w:r w:rsidRPr="00687525">
        <w:t>a public list</w:t>
      </w:r>
      <w:r w:rsidR="003417D1">
        <w:t>, for example,</w:t>
      </w:r>
      <w:r w:rsidRPr="00687525">
        <w:t xml:space="preserve"> </w:t>
      </w:r>
      <w:r w:rsidR="00052EF6" w:rsidRPr="00455C47">
        <w:t xml:space="preserve">hosted </w:t>
      </w:r>
      <w:r w:rsidR="003417D1">
        <w:t xml:space="preserve">on </w:t>
      </w:r>
      <w:r w:rsidR="00052EF6" w:rsidRPr="00455C47">
        <w:t xml:space="preserve">the AER’s website </w:t>
      </w:r>
      <w:r w:rsidR="003417D1">
        <w:t xml:space="preserve">be </w:t>
      </w:r>
      <w:r w:rsidRPr="00687525">
        <w:t xml:space="preserve">an effective </w:t>
      </w:r>
      <w:r w:rsidR="00052EF6" w:rsidRPr="00455C47">
        <w:t xml:space="preserve">method of recognising retailers who have </w:t>
      </w:r>
      <w:r w:rsidR="003417D1">
        <w:t xml:space="preserve">adopted and implemented </w:t>
      </w:r>
      <w:r w:rsidR="00052EF6" w:rsidRPr="00455C47">
        <w:t>the Framework?</w:t>
      </w:r>
    </w:p>
    <w:p w:rsidR="00BC661B" w:rsidRDefault="00BC661B" w:rsidP="00B4365C">
      <w:pPr>
        <w:pStyle w:val="ListParagraph"/>
        <w:numPr>
          <w:ilvl w:val="0"/>
          <w:numId w:val="0"/>
        </w:numPr>
      </w:pPr>
      <w:r>
        <w:t>As t</w:t>
      </w:r>
      <w:r w:rsidR="003417D1">
        <w:t xml:space="preserve">he Framework is a voluntary </w:t>
      </w:r>
      <w:r w:rsidR="00313DB1">
        <w:t>one</w:t>
      </w:r>
      <w:r>
        <w:t>,</w:t>
      </w:r>
      <w:r w:rsidR="00313DB1">
        <w:t xml:space="preserve"> it will be up to individual retailers to sign up to adopting and implementing it as well as to be responsible for monitoring their own operational processes and procedures to ensure these meet the standards articulated in the Framework. </w:t>
      </w:r>
      <w:r w:rsidR="0049454F" w:rsidRPr="00455C47">
        <w:t xml:space="preserve">This would include, for instance, re-checking </w:t>
      </w:r>
      <w:r w:rsidR="00BF37AB" w:rsidRPr="00455C47">
        <w:t xml:space="preserve">whether changes in </w:t>
      </w:r>
      <w:r w:rsidR="00313DB1">
        <w:t xml:space="preserve">any policies or procedures </w:t>
      </w:r>
      <w:r w:rsidR="00BF37AB" w:rsidRPr="00455C47">
        <w:t>affected their ability to meet the Framework</w:t>
      </w:r>
      <w:r w:rsidR="00313DB1">
        <w:t xml:space="preserve"> and periodic monitoring to ensure that the standards in the Framework were still being met</w:t>
      </w:r>
      <w:r w:rsidR="00BF37AB" w:rsidRPr="00455C47">
        <w:t>.</w:t>
      </w:r>
      <w:r w:rsidR="00313DB1" w:rsidRPr="00313DB1">
        <w:t xml:space="preserve"> </w:t>
      </w:r>
    </w:p>
    <w:p w:rsidR="00211276" w:rsidRDefault="00313DB1" w:rsidP="00211276">
      <w:pPr>
        <w:pStyle w:val="ListParagraph"/>
        <w:numPr>
          <w:ilvl w:val="0"/>
          <w:numId w:val="0"/>
        </w:numPr>
        <w:rPr>
          <w:color w:val="0070C0"/>
        </w:rPr>
      </w:pPr>
      <w:r>
        <w:t xml:space="preserve">The AER will not have a formal </w:t>
      </w:r>
      <w:r w:rsidR="00BC661B">
        <w:t xml:space="preserve">monitoring, </w:t>
      </w:r>
      <w:r>
        <w:t>compliance or enforcement role.</w:t>
      </w:r>
      <w:r w:rsidR="00BC661B">
        <w:t xml:space="preserve"> In the event that </w:t>
      </w:r>
      <w:r w:rsidR="00BC661B" w:rsidRPr="00191694">
        <w:t xml:space="preserve">we receive feedback from </w:t>
      </w:r>
      <w:r w:rsidR="00BC661B">
        <w:t xml:space="preserve">stakeholders </w:t>
      </w:r>
      <w:r w:rsidR="00BC661B" w:rsidRPr="00191694">
        <w:t xml:space="preserve">that </w:t>
      </w:r>
      <w:r w:rsidR="00BC661B">
        <w:t xml:space="preserve">a </w:t>
      </w:r>
      <w:r w:rsidR="00BC661B" w:rsidRPr="00191694">
        <w:t xml:space="preserve">retailer </w:t>
      </w:r>
      <w:r w:rsidR="00BC661B">
        <w:t xml:space="preserve">is </w:t>
      </w:r>
      <w:r w:rsidR="00BC661B" w:rsidRPr="00191694">
        <w:t>systemically not meeting their commitment</w:t>
      </w:r>
      <w:r w:rsidR="00BC661B">
        <w:t>s under the framework, one approach would be to raise this with the retailer for their investigation and seek confirmation that their processes and practices are consistent with the Framework and that any issues have been addresses. If not, we could remove them from the published list.</w:t>
      </w:r>
      <w:r w:rsidR="00211276" w:rsidRPr="00211276">
        <w:rPr>
          <w:color w:val="0070C0"/>
        </w:rPr>
        <w:t xml:space="preserve"> </w:t>
      </w:r>
    </w:p>
    <w:p w:rsidR="00BC661B" w:rsidRDefault="00211276" w:rsidP="00B4365C">
      <w:pPr>
        <w:pStyle w:val="ListParagraph"/>
        <w:numPr>
          <w:ilvl w:val="0"/>
          <w:numId w:val="0"/>
        </w:numPr>
      </w:pPr>
      <w:r>
        <w:rPr>
          <w:color w:val="0070C0"/>
        </w:rPr>
        <w:t>We are interested in stakeholders’ views on this approach and other options that could be explored to implement the framework, including any key benefits or drawbacks.</w:t>
      </w:r>
    </w:p>
    <w:p w:rsidR="002B2B04" w:rsidRPr="00974E89" w:rsidRDefault="00816D5F" w:rsidP="00060840">
      <w:pPr>
        <w:pStyle w:val="Heading4"/>
      </w:pPr>
      <w:r>
        <w:t>Measuring the impact</w:t>
      </w:r>
    </w:p>
    <w:p w:rsidR="00856394" w:rsidRPr="00455C47" w:rsidRDefault="00211276" w:rsidP="00455C47">
      <w:r>
        <w:t>Whilst we do not propose a formal monitoring role, t</w:t>
      </w:r>
      <w:r w:rsidR="00816D5F" w:rsidRPr="00455C47">
        <w:t xml:space="preserve">he AER would like to understand whether the Framework has had an impact </w:t>
      </w:r>
      <w:r w:rsidR="00455C47">
        <w:t xml:space="preserve">on </w:t>
      </w:r>
      <w:r w:rsidR="00816D5F" w:rsidRPr="00455C47">
        <w:t>retailers</w:t>
      </w:r>
      <w:r>
        <w:t>’</w:t>
      </w:r>
      <w:r w:rsidR="00816D5F" w:rsidRPr="00455C47">
        <w:t xml:space="preserve"> practices and c</w:t>
      </w:r>
      <w:r>
        <w:t>ustomer</w:t>
      </w:r>
      <w:r w:rsidR="00816D5F" w:rsidRPr="00455C47">
        <w:t xml:space="preserve"> outcomes. </w:t>
      </w:r>
      <w:r>
        <w:t>Data on a</w:t>
      </w:r>
      <w:r w:rsidR="00816D5F" w:rsidRPr="00455C47">
        <w:t xml:space="preserve"> range of indicators around hardship programs and payment plans </w:t>
      </w:r>
      <w:r>
        <w:t>is</w:t>
      </w:r>
      <w:r w:rsidR="00816D5F" w:rsidRPr="00455C47">
        <w:t xml:space="preserve"> already available through retailers’ existing performance reports, and the AER will review these </w:t>
      </w:r>
      <w:r>
        <w:t xml:space="preserve">to see if the introduction of the framework has any demonstrable impact on these measures </w:t>
      </w:r>
      <w:r w:rsidR="00816D5F" w:rsidRPr="00455C47">
        <w:t>over time.</w:t>
      </w:r>
    </w:p>
    <w:p w:rsidR="00816D5F" w:rsidRPr="00455C47" w:rsidRDefault="00816D5F" w:rsidP="00455C47">
      <w:r w:rsidRPr="00455C47">
        <w:t xml:space="preserve">A further option would be to </w:t>
      </w:r>
      <w:r w:rsidR="00211276">
        <w:t xml:space="preserve">seek information from retailers and consumer representatives about the impact of the Framework, once it has been in effect for a period of time. The AER could </w:t>
      </w:r>
      <w:r w:rsidRPr="00455C47">
        <w:t xml:space="preserve">conduct a survey around six months after the launch of the Framework, seeking </w:t>
      </w:r>
      <w:r w:rsidR="00211276">
        <w:t xml:space="preserve">views for example </w:t>
      </w:r>
      <w:r w:rsidRPr="00455C47">
        <w:t>on perceptions of wh</w:t>
      </w:r>
      <w:r w:rsidR="00211276">
        <w:t xml:space="preserve">at </w:t>
      </w:r>
      <w:r w:rsidR="00C02066" w:rsidRPr="00455C47">
        <w:t>ha</w:t>
      </w:r>
      <w:r w:rsidR="00211276">
        <w:t>s</w:t>
      </w:r>
      <w:r w:rsidR="00C02066" w:rsidRPr="00455C47">
        <w:t xml:space="preserve"> changed and in what way.</w:t>
      </w:r>
    </w:p>
    <w:p w:rsidR="00211276" w:rsidRDefault="00F31FFA" w:rsidP="00211276">
      <w:pPr>
        <w:pStyle w:val="ListParagraph"/>
        <w:numPr>
          <w:ilvl w:val="0"/>
          <w:numId w:val="0"/>
        </w:numPr>
        <w:rPr>
          <w:color w:val="0070C0"/>
        </w:rPr>
      </w:pPr>
      <w:r>
        <w:rPr>
          <w:color w:val="0070C0"/>
        </w:rPr>
        <w:t>We are interested in stakeholders' views about whether this approach would provide useful information about the impact of the Framework.</w:t>
      </w:r>
      <w:r w:rsidR="0022353F">
        <w:rPr>
          <w:color w:val="0070C0"/>
        </w:rPr>
        <w:t xml:space="preserve"> </w:t>
      </w:r>
      <w:r w:rsidR="0022353F" w:rsidRPr="00455C47">
        <w:rPr>
          <w:color w:val="2272A3" w:themeColor="accent4" w:themeShade="80"/>
        </w:rPr>
        <w:t>What other information could retailers or financial counsellors provide to help assess whether a retailer’s adoption of the Framework has improved outcomes for consumers?</w:t>
      </w:r>
      <w:r w:rsidR="00211276" w:rsidRPr="00211276">
        <w:rPr>
          <w:color w:val="0070C0"/>
        </w:rPr>
        <w:t xml:space="preserve"> </w:t>
      </w:r>
    </w:p>
    <w:p w:rsidR="004962C4" w:rsidRPr="00455C47" w:rsidRDefault="004962C4" w:rsidP="003936CE">
      <w:pPr>
        <w:rPr>
          <w:color w:val="2272A3" w:themeColor="accent4" w:themeShade="80"/>
        </w:rPr>
      </w:pPr>
    </w:p>
    <w:sectPr w:rsidR="004962C4" w:rsidRPr="00455C47" w:rsidSect="00691616">
      <w:footerReference w:type="default" r:id="rId10"/>
      <w:footerReference w:type="first" r:id="rId11"/>
      <w:pgSz w:w="11906" w:h="16838"/>
      <w:pgMar w:top="1276"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1AF3" w:rsidRDefault="00EE1AF3" w:rsidP="004B4412">
      <w:pPr>
        <w:spacing w:before="0"/>
      </w:pPr>
      <w:r>
        <w:separator/>
      </w:r>
    </w:p>
  </w:endnote>
  <w:endnote w:type="continuationSeparator" w:id="0">
    <w:p w:rsidR="00EE1AF3" w:rsidRDefault="00EE1AF3" w:rsidP="004B4412">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Fax">
    <w:panose1 w:val="02060602050505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74422932"/>
      <w:docPartObj>
        <w:docPartGallery w:val="Page Numbers (Bottom of Page)"/>
        <w:docPartUnique/>
      </w:docPartObj>
    </w:sdtPr>
    <w:sdtEndPr>
      <w:rPr>
        <w:noProof/>
      </w:rPr>
    </w:sdtEndPr>
    <w:sdtContent>
      <w:p w:rsidR="00282549" w:rsidRDefault="00282549">
        <w:pPr>
          <w:pStyle w:val="Footer"/>
          <w:jc w:val="center"/>
        </w:pPr>
        <w:r>
          <w:fldChar w:fldCharType="begin"/>
        </w:r>
        <w:r>
          <w:instrText xml:space="preserve"> PAGE   \* MERGEFORMAT </w:instrText>
        </w:r>
        <w:r>
          <w:fldChar w:fldCharType="separate"/>
        </w:r>
        <w:r w:rsidR="001443FC">
          <w:rPr>
            <w:noProof/>
          </w:rPr>
          <w:t>1</w:t>
        </w:r>
        <w:r>
          <w:rPr>
            <w:noProof/>
          </w:rPr>
          <w:fldChar w:fldCharType="end"/>
        </w:r>
      </w:p>
    </w:sdtContent>
  </w:sdt>
  <w:p w:rsidR="00282549" w:rsidRDefault="0028254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66934326"/>
      <w:docPartObj>
        <w:docPartGallery w:val="Page Numbers (Bottom of Page)"/>
        <w:docPartUnique/>
      </w:docPartObj>
    </w:sdtPr>
    <w:sdtEndPr>
      <w:rPr>
        <w:noProof/>
      </w:rPr>
    </w:sdtEndPr>
    <w:sdtContent>
      <w:p w:rsidR="00691616" w:rsidRDefault="00691616">
        <w:pPr>
          <w:pStyle w:val="Footer"/>
        </w:pPr>
        <w:r>
          <w:fldChar w:fldCharType="begin"/>
        </w:r>
        <w:r>
          <w:instrText xml:space="preserve"> PAGE   \* MERGEFORMAT </w:instrText>
        </w:r>
        <w:r>
          <w:fldChar w:fldCharType="separate"/>
        </w:r>
        <w:r>
          <w:rPr>
            <w:noProof/>
          </w:rPr>
          <w:t>1</w:t>
        </w:r>
        <w:r>
          <w:rPr>
            <w:noProof/>
          </w:rPr>
          <w:fldChar w:fldCharType="end"/>
        </w:r>
      </w:p>
    </w:sdtContent>
  </w:sdt>
  <w:p w:rsidR="00691616" w:rsidRDefault="0069161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1AF3" w:rsidRDefault="00EE1AF3" w:rsidP="004B4412">
      <w:pPr>
        <w:spacing w:before="0"/>
      </w:pPr>
      <w:r>
        <w:separator/>
      </w:r>
    </w:p>
  </w:footnote>
  <w:footnote w:type="continuationSeparator" w:id="0">
    <w:p w:rsidR="00EE1AF3" w:rsidRDefault="00EE1AF3" w:rsidP="004B4412">
      <w:pPr>
        <w:spacing w:before="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34BEAAD6"/>
    <w:lvl w:ilvl="0">
      <w:start w:val="1"/>
      <w:numFmt w:val="decimal"/>
      <w:pStyle w:val="ListNumber5"/>
      <w:lvlText w:val="%1."/>
      <w:lvlJc w:val="left"/>
      <w:pPr>
        <w:ind w:left="1701" w:hanging="340"/>
      </w:pPr>
      <w:rPr>
        <w:rFonts w:hint="default"/>
      </w:rPr>
    </w:lvl>
  </w:abstractNum>
  <w:abstractNum w:abstractNumId="1">
    <w:nsid w:val="FFFFFF7D"/>
    <w:multiLevelType w:val="singleLevel"/>
    <w:tmpl w:val="33EA20A0"/>
    <w:lvl w:ilvl="0">
      <w:start w:val="1"/>
      <w:numFmt w:val="decimal"/>
      <w:pStyle w:val="ListNumber4"/>
      <w:lvlText w:val="%1."/>
      <w:lvlJc w:val="left"/>
      <w:pPr>
        <w:ind w:left="1361" w:hanging="340"/>
      </w:pPr>
      <w:rPr>
        <w:rFonts w:hint="default"/>
      </w:rPr>
    </w:lvl>
  </w:abstractNum>
  <w:abstractNum w:abstractNumId="2">
    <w:nsid w:val="FFFFFF7E"/>
    <w:multiLevelType w:val="singleLevel"/>
    <w:tmpl w:val="91FCDF1E"/>
    <w:lvl w:ilvl="0">
      <w:start w:val="1"/>
      <w:numFmt w:val="decimal"/>
      <w:pStyle w:val="ListNumber3"/>
      <w:lvlText w:val="%1."/>
      <w:lvlJc w:val="left"/>
      <w:pPr>
        <w:ind w:left="1021" w:hanging="341"/>
      </w:pPr>
      <w:rPr>
        <w:rFonts w:hint="default"/>
      </w:rPr>
    </w:lvl>
  </w:abstractNum>
  <w:abstractNum w:abstractNumId="3">
    <w:nsid w:val="FFFFFF7F"/>
    <w:multiLevelType w:val="singleLevel"/>
    <w:tmpl w:val="C1DEEDE0"/>
    <w:lvl w:ilvl="0">
      <w:start w:val="1"/>
      <w:numFmt w:val="decimal"/>
      <w:pStyle w:val="ListNumber2"/>
      <w:lvlText w:val="%1."/>
      <w:lvlJc w:val="left"/>
      <w:pPr>
        <w:ind w:left="680" w:hanging="340"/>
      </w:pPr>
      <w:rPr>
        <w:rFonts w:hint="default"/>
      </w:r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E46A7DC6"/>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E262730C"/>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42BC9528"/>
    <w:lvl w:ilvl="0">
      <w:start w:val="1"/>
      <w:numFmt w:val="decimal"/>
      <w:pStyle w:val="ListNumber"/>
      <w:lvlText w:val="%1."/>
      <w:lvlJc w:val="left"/>
      <w:pPr>
        <w:tabs>
          <w:tab w:val="num" w:pos="340"/>
        </w:tabs>
        <w:ind w:left="340" w:hanging="340"/>
      </w:pPr>
      <w:rPr>
        <w:rFonts w:hint="default"/>
      </w:rPr>
    </w:lvl>
  </w:abstractNum>
  <w:abstractNum w:abstractNumId="9">
    <w:nsid w:val="05AB19DC"/>
    <w:multiLevelType w:val="hybridMultilevel"/>
    <w:tmpl w:val="5AD6552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06261FF1"/>
    <w:multiLevelType w:val="hybridMultilevel"/>
    <w:tmpl w:val="1EB8FB9A"/>
    <w:lvl w:ilvl="0" w:tplc="0C090001">
      <w:start w:val="1"/>
      <w:numFmt w:val="bullet"/>
      <w:lvlText w:val=""/>
      <w:lvlJc w:val="left"/>
      <w:pPr>
        <w:ind w:left="700" w:hanging="360"/>
      </w:pPr>
      <w:rPr>
        <w:rFonts w:ascii="Symbol" w:hAnsi="Symbol" w:hint="default"/>
      </w:rPr>
    </w:lvl>
    <w:lvl w:ilvl="1" w:tplc="0C090003" w:tentative="1">
      <w:start w:val="1"/>
      <w:numFmt w:val="bullet"/>
      <w:lvlText w:val="o"/>
      <w:lvlJc w:val="left"/>
      <w:pPr>
        <w:ind w:left="1420" w:hanging="360"/>
      </w:pPr>
      <w:rPr>
        <w:rFonts w:ascii="Courier New" w:hAnsi="Courier New" w:cs="Courier New" w:hint="default"/>
      </w:rPr>
    </w:lvl>
    <w:lvl w:ilvl="2" w:tplc="0C090005" w:tentative="1">
      <w:start w:val="1"/>
      <w:numFmt w:val="bullet"/>
      <w:lvlText w:val=""/>
      <w:lvlJc w:val="left"/>
      <w:pPr>
        <w:ind w:left="2140" w:hanging="360"/>
      </w:pPr>
      <w:rPr>
        <w:rFonts w:ascii="Wingdings" w:hAnsi="Wingdings" w:hint="default"/>
      </w:rPr>
    </w:lvl>
    <w:lvl w:ilvl="3" w:tplc="0C090001" w:tentative="1">
      <w:start w:val="1"/>
      <w:numFmt w:val="bullet"/>
      <w:lvlText w:val=""/>
      <w:lvlJc w:val="left"/>
      <w:pPr>
        <w:ind w:left="2860" w:hanging="360"/>
      </w:pPr>
      <w:rPr>
        <w:rFonts w:ascii="Symbol" w:hAnsi="Symbol" w:hint="default"/>
      </w:rPr>
    </w:lvl>
    <w:lvl w:ilvl="4" w:tplc="0C090003" w:tentative="1">
      <w:start w:val="1"/>
      <w:numFmt w:val="bullet"/>
      <w:lvlText w:val="o"/>
      <w:lvlJc w:val="left"/>
      <w:pPr>
        <w:ind w:left="3580" w:hanging="360"/>
      </w:pPr>
      <w:rPr>
        <w:rFonts w:ascii="Courier New" w:hAnsi="Courier New" w:cs="Courier New" w:hint="default"/>
      </w:rPr>
    </w:lvl>
    <w:lvl w:ilvl="5" w:tplc="0C090005" w:tentative="1">
      <w:start w:val="1"/>
      <w:numFmt w:val="bullet"/>
      <w:lvlText w:val=""/>
      <w:lvlJc w:val="left"/>
      <w:pPr>
        <w:ind w:left="4300" w:hanging="360"/>
      </w:pPr>
      <w:rPr>
        <w:rFonts w:ascii="Wingdings" w:hAnsi="Wingdings" w:hint="default"/>
      </w:rPr>
    </w:lvl>
    <w:lvl w:ilvl="6" w:tplc="0C090001" w:tentative="1">
      <w:start w:val="1"/>
      <w:numFmt w:val="bullet"/>
      <w:lvlText w:val=""/>
      <w:lvlJc w:val="left"/>
      <w:pPr>
        <w:ind w:left="5020" w:hanging="360"/>
      </w:pPr>
      <w:rPr>
        <w:rFonts w:ascii="Symbol" w:hAnsi="Symbol" w:hint="default"/>
      </w:rPr>
    </w:lvl>
    <w:lvl w:ilvl="7" w:tplc="0C090003" w:tentative="1">
      <w:start w:val="1"/>
      <w:numFmt w:val="bullet"/>
      <w:lvlText w:val="o"/>
      <w:lvlJc w:val="left"/>
      <w:pPr>
        <w:ind w:left="5740" w:hanging="360"/>
      </w:pPr>
      <w:rPr>
        <w:rFonts w:ascii="Courier New" w:hAnsi="Courier New" w:cs="Courier New" w:hint="default"/>
      </w:rPr>
    </w:lvl>
    <w:lvl w:ilvl="8" w:tplc="0C090005" w:tentative="1">
      <w:start w:val="1"/>
      <w:numFmt w:val="bullet"/>
      <w:lvlText w:val=""/>
      <w:lvlJc w:val="left"/>
      <w:pPr>
        <w:ind w:left="6460" w:hanging="360"/>
      </w:pPr>
      <w:rPr>
        <w:rFonts w:ascii="Wingdings" w:hAnsi="Wingdings" w:hint="default"/>
      </w:rPr>
    </w:lvl>
  </w:abstractNum>
  <w:abstractNum w:abstractNumId="11">
    <w:nsid w:val="07BC5D1B"/>
    <w:multiLevelType w:val="hybridMultilevel"/>
    <w:tmpl w:val="1DBE51C4"/>
    <w:lvl w:ilvl="0" w:tplc="0C090001">
      <w:start w:val="1"/>
      <w:numFmt w:val="bullet"/>
      <w:lvlText w:val=""/>
      <w:lvlJc w:val="left"/>
      <w:pPr>
        <w:ind w:left="700" w:hanging="360"/>
      </w:pPr>
      <w:rPr>
        <w:rFonts w:ascii="Symbol" w:hAnsi="Symbol" w:hint="default"/>
      </w:rPr>
    </w:lvl>
    <w:lvl w:ilvl="1" w:tplc="0C090001">
      <w:start w:val="1"/>
      <w:numFmt w:val="bullet"/>
      <w:lvlText w:val=""/>
      <w:lvlJc w:val="left"/>
      <w:pPr>
        <w:ind w:left="1420" w:hanging="360"/>
      </w:pPr>
      <w:rPr>
        <w:rFonts w:ascii="Symbol" w:hAnsi="Symbol" w:hint="default"/>
      </w:rPr>
    </w:lvl>
    <w:lvl w:ilvl="2" w:tplc="0C09001B">
      <w:start w:val="1"/>
      <w:numFmt w:val="lowerRoman"/>
      <w:lvlText w:val="%3."/>
      <w:lvlJc w:val="right"/>
      <w:pPr>
        <w:ind w:left="2140" w:hanging="180"/>
      </w:pPr>
    </w:lvl>
    <w:lvl w:ilvl="3" w:tplc="0C09000F">
      <w:start w:val="1"/>
      <w:numFmt w:val="decimal"/>
      <w:lvlText w:val="%4."/>
      <w:lvlJc w:val="left"/>
      <w:pPr>
        <w:ind w:left="2860" w:hanging="360"/>
      </w:pPr>
    </w:lvl>
    <w:lvl w:ilvl="4" w:tplc="0C090019">
      <w:start w:val="1"/>
      <w:numFmt w:val="lowerLetter"/>
      <w:lvlText w:val="%5."/>
      <w:lvlJc w:val="left"/>
      <w:pPr>
        <w:ind w:left="3580" w:hanging="360"/>
      </w:pPr>
    </w:lvl>
    <w:lvl w:ilvl="5" w:tplc="0C09001B">
      <w:start w:val="1"/>
      <w:numFmt w:val="lowerRoman"/>
      <w:lvlText w:val="%6."/>
      <w:lvlJc w:val="right"/>
      <w:pPr>
        <w:ind w:left="4300" w:hanging="180"/>
      </w:pPr>
    </w:lvl>
    <w:lvl w:ilvl="6" w:tplc="0C09000F">
      <w:start w:val="1"/>
      <w:numFmt w:val="decimal"/>
      <w:lvlText w:val="%7."/>
      <w:lvlJc w:val="left"/>
      <w:pPr>
        <w:ind w:left="5020" w:hanging="360"/>
      </w:pPr>
    </w:lvl>
    <w:lvl w:ilvl="7" w:tplc="0C090019">
      <w:start w:val="1"/>
      <w:numFmt w:val="lowerLetter"/>
      <w:lvlText w:val="%8."/>
      <w:lvlJc w:val="left"/>
      <w:pPr>
        <w:ind w:left="5740" w:hanging="360"/>
      </w:pPr>
    </w:lvl>
    <w:lvl w:ilvl="8" w:tplc="0C09001B">
      <w:start w:val="1"/>
      <w:numFmt w:val="lowerRoman"/>
      <w:lvlText w:val="%9."/>
      <w:lvlJc w:val="right"/>
      <w:pPr>
        <w:ind w:left="6460" w:hanging="180"/>
      </w:pPr>
    </w:lvl>
  </w:abstractNum>
  <w:abstractNum w:abstractNumId="12">
    <w:nsid w:val="07F859D9"/>
    <w:multiLevelType w:val="hybridMultilevel"/>
    <w:tmpl w:val="24065AD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nsid w:val="0DD2542B"/>
    <w:multiLevelType w:val="hybridMultilevel"/>
    <w:tmpl w:val="7C60E1FC"/>
    <w:lvl w:ilvl="0" w:tplc="021E8868">
      <w:start w:val="1"/>
      <w:numFmt w:val="decimal"/>
      <w:pStyle w:val="ListParagraph"/>
      <w:lvlText w:val="%1."/>
      <w:lvlJc w:val="left"/>
      <w:pPr>
        <w:ind w:left="340" w:hanging="34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nsid w:val="0ED827FB"/>
    <w:multiLevelType w:val="hybridMultilevel"/>
    <w:tmpl w:val="8372547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5">
    <w:nsid w:val="0F72485B"/>
    <w:multiLevelType w:val="hybridMultilevel"/>
    <w:tmpl w:val="13109D6A"/>
    <w:lvl w:ilvl="0" w:tplc="0C09000F">
      <w:start w:val="1"/>
      <w:numFmt w:val="decimal"/>
      <w:lvlText w:val="%1."/>
      <w:lvlJc w:val="left"/>
      <w:pPr>
        <w:ind w:left="360" w:hanging="360"/>
      </w:pPr>
      <w:rPr>
        <w:rFonts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6">
    <w:nsid w:val="10D85EB9"/>
    <w:multiLevelType w:val="hybridMultilevel"/>
    <w:tmpl w:val="6A34DA46"/>
    <w:lvl w:ilvl="0" w:tplc="0C090001">
      <w:start w:val="1"/>
      <w:numFmt w:val="bullet"/>
      <w:lvlText w:val=""/>
      <w:lvlJc w:val="left"/>
      <w:pPr>
        <w:ind w:left="1060" w:hanging="360"/>
      </w:pPr>
      <w:rPr>
        <w:rFonts w:ascii="Symbol" w:hAnsi="Symbol" w:hint="default"/>
      </w:rPr>
    </w:lvl>
    <w:lvl w:ilvl="1" w:tplc="0C090003" w:tentative="1">
      <w:start w:val="1"/>
      <w:numFmt w:val="bullet"/>
      <w:lvlText w:val="o"/>
      <w:lvlJc w:val="left"/>
      <w:pPr>
        <w:ind w:left="1780" w:hanging="360"/>
      </w:pPr>
      <w:rPr>
        <w:rFonts w:ascii="Courier New" w:hAnsi="Courier New" w:cs="Courier New" w:hint="default"/>
      </w:rPr>
    </w:lvl>
    <w:lvl w:ilvl="2" w:tplc="0C090005" w:tentative="1">
      <w:start w:val="1"/>
      <w:numFmt w:val="bullet"/>
      <w:lvlText w:val=""/>
      <w:lvlJc w:val="left"/>
      <w:pPr>
        <w:ind w:left="2500" w:hanging="360"/>
      </w:pPr>
      <w:rPr>
        <w:rFonts w:ascii="Wingdings" w:hAnsi="Wingdings" w:hint="default"/>
      </w:rPr>
    </w:lvl>
    <w:lvl w:ilvl="3" w:tplc="0C090001" w:tentative="1">
      <w:start w:val="1"/>
      <w:numFmt w:val="bullet"/>
      <w:lvlText w:val=""/>
      <w:lvlJc w:val="left"/>
      <w:pPr>
        <w:ind w:left="3220" w:hanging="360"/>
      </w:pPr>
      <w:rPr>
        <w:rFonts w:ascii="Symbol" w:hAnsi="Symbol" w:hint="default"/>
      </w:rPr>
    </w:lvl>
    <w:lvl w:ilvl="4" w:tplc="0C090003" w:tentative="1">
      <w:start w:val="1"/>
      <w:numFmt w:val="bullet"/>
      <w:lvlText w:val="o"/>
      <w:lvlJc w:val="left"/>
      <w:pPr>
        <w:ind w:left="3940" w:hanging="360"/>
      </w:pPr>
      <w:rPr>
        <w:rFonts w:ascii="Courier New" w:hAnsi="Courier New" w:cs="Courier New" w:hint="default"/>
      </w:rPr>
    </w:lvl>
    <w:lvl w:ilvl="5" w:tplc="0C090005" w:tentative="1">
      <w:start w:val="1"/>
      <w:numFmt w:val="bullet"/>
      <w:lvlText w:val=""/>
      <w:lvlJc w:val="left"/>
      <w:pPr>
        <w:ind w:left="4660" w:hanging="360"/>
      </w:pPr>
      <w:rPr>
        <w:rFonts w:ascii="Wingdings" w:hAnsi="Wingdings" w:hint="default"/>
      </w:rPr>
    </w:lvl>
    <w:lvl w:ilvl="6" w:tplc="0C090001" w:tentative="1">
      <w:start w:val="1"/>
      <w:numFmt w:val="bullet"/>
      <w:lvlText w:val=""/>
      <w:lvlJc w:val="left"/>
      <w:pPr>
        <w:ind w:left="5380" w:hanging="360"/>
      </w:pPr>
      <w:rPr>
        <w:rFonts w:ascii="Symbol" w:hAnsi="Symbol" w:hint="default"/>
      </w:rPr>
    </w:lvl>
    <w:lvl w:ilvl="7" w:tplc="0C090003" w:tentative="1">
      <w:start w:val="1"/>
      <w:numFmt w:val="bullet"/>
      <w:lvlText w:val="o"/>
      <w:lvlJc w:val="left"/>
      <w:pPr>
        <w:ind w:left="6100" w:hanging="360"/>
      </w:pPr>
      <w:rPr>
        <w:rFonts w:ascii="Courier New" w:hAnsi="Courier New" w:cs="Courier New" w:hint="default"/>
      </w:rPr>
    </w:lvl>
    <w:lvl w:ilvl="8" w:tplc="0C090005" w:tentative="1">
      <w:start w:val="1"/>
      <w:numFmt w:val="bullet"/>
      <w:lvlText w:val=""/>
      <w:lvlJc w:val="left"/>
      <w:pPr>
        <w:ind w:left="6820" w:hanging="360"/>
      </w:pPr>
      <w:rPr>
        <w:rFonts w:ascii="Wingdings" w:hAnsi="Wingdings" w:hint="default"/>
      </w:rPr>
    </w:lvl>
  </w:abstractNum>
  <w:abstractNum w:abstractNumId="17">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8">
    <w:nsid w:val="154A6A3B"/>
    <w:multiLevelType w:val="hybridMultilevel"/>
    <w:tmpl w:val="36943DC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9">
    <w:nsid w:val="16C66F44"/>
    <w:multiLevelType w:val="hybridMultilevel"/>
    <w:tmpl w:val="4ED4762C"/>
    <w:lvl w:ilvl="0" w:tplc="78E8CC60">
      <w:start w:val="1"/>
      <w:numFmt w:val="lowerRoman"/>
      <w:pStyle w:val="ListLegal5"/>
      <w:lvlText w:val="%1."/>
      <w:lvlJc w:val="right"/>
      <w:pPr>
        <w:ind w:left="2041" w:hanging="340"/>
      </w:pPr>
      <w:rPr>
        <w:rFonts w:hint="default"/>
      </w:rPr>
    </w:lvl>
    <w:lvl w:ilvl="1" w:tplc="0C090019" w:tentative="1">
      <w:start w:val="1"/>
      <w:numFmt w:val="lowerLetter"/>
      <w:lvlText w:val="%2."/>
      <w:lvlJc w:val="left"/>
      <w:pPr>
        <w:ind w:left="2781" w:hanging="360"/>
      </w:pPr>
    </w:lvl>
    <w:lvl w:ilvl="2" w:tplc="0C09001B" w:tentative="1">
      <w:start w:val="1"/>
      <w:numFmt w:val="lowerRoman"/>
      <w:lvlText w:val="%3."/>
      <w:lvlJc w:val="right"/>
      <w:pPr>
        <w:ind w:left="3501" w:hanging="180"/>
      </w:pPr>
    </w:lvl>
    <w:lvl w:ilvl="3" w:tplc="0C09000F" w:tentative="1">
      <w:start w:val="1"/>
      <w:numFmt w:val="decimal"/>
      <w:lvlText w:val="%4."/>
      <w:lvlJc w:val="left"/>
      <w:pPr>
        <w:ind w:left="4221" w:hanging="360"/>
      </w:pPr>
    </w:lvl>
    <w:lvl w:ilvl="4" w:tplc="0C090019" w:tentative="1">
      <w:start w:val="1"/>
      <w:numFmt w:val="lowerLetter"/>
      <w:lvlText w:val="%5."/>
      <w:lvlJc w:val="left"/>
      <w:pPr>
        <w:ind w:left="4941" w:hanging="360"/>
      </w:pPr>
    </w:lvl>
    <w:lvl w:ilvl="5" w:tplc="0C09001B" w:tentative="1">
      <w:start w:val="1"/>
      <w:numFmt w:val="lowerRoman"/>
      <w:lvlText w:val="%6."/>
      <w:lvlJc w:val="right"/>
      <w:pPr>
        <w:ind w:left="5661" w:hanging="180"/>
      </w:pPr>
    </w:lvl>
    <w:lvl w:ilvl="6" w:tplc="0C09000F" w:tentative="1">
      <w:start w:val="1"/>
      <w:numFmt w:val="decimal"/>
      <w:lvlText w:val="%7."/>
      <w:lvlJc w:val="left"/>
      <w:pPr>
        <w:ind w:left="6381" w:hanging="360"/>
      </w:pPr>
    </w:lvl>
    <w:lvl w:ilvl="7" w:tplc="0C090019" w:tentative="1">
      <w:start w:val="1"/>
      <w:numFmt w:val="lowerLetter"/>
      <w:lvlText w:val="%8."/>
      <w:lvlJc w:val="left"/>
      <w:pPr>
        <w:ind w:left="7101" w:hanging="360"/>
      </w:pPr>
    </w:lvl>
    <w:lvl w:ilvl="8" w:tplc="0C09001B" w:tentative="1">
      <w:start w:val="1"/>
      <w:numFmt w:val="lowerRoman"/>
      <w:lvlText w:val="%9."/>
      <w:lvlJc w:val="right"/>
      <w:pPr>
        <w:ind w:left="7821" w:hanging="180"/>
      </w:pPr>
    </w:lvl>
  </w:abstractNum>
  <w:abstractNum w:abstractNumId="20">
    <w:nsid w:val="1C4F441B"/>
    <w:multiLevelType w:val="hybridMultilevel"/>
    <w:tmpl w:val="CAF23188"/>
    <w:lvl w:ilvl="0" w:tplc="0C090001">
      <w:start w:val="1"/>
      <w:numFmt w:val="bullet"/>
      <w:lvlText w:val=""/>
      <w:lvlJc w:val="left"/>
      <w:pPr>
        <w:ind w:left="700" w:hanging="360"/>
      </w:pPr>
      <w:rPr>
        <w:rFonts w:ascii="Symbol" w:hAnsi="Symbol" w:hint="default"/>
      </w:rPr>
    </w:lvl>
    <w:lvl w:ilvl="1" w:tplc="0C090003">
      <w:start w:val="1"/>
      <w:numFmt w:val="bullet"/>
      <w:lvlText w:val="o"/>
      <w:lvlJc w:val="left"/>
      <w:pPr>
        <w:ind w:left="1420" w:hanging="360"/>
      </w:pPr>
      <w:rPr>
        <w:rFonts w:ascii="Courier New" w:hAnsi="Courier New" w:cs="Courier New" w:hint="default"/>
      </w:rPr>
    </w:lvl>
    <w:lvl w:ilvl="2" w:tplc="0C090005">
      <w:start w:val="1"/>
      <w:numFmt w:val="bullet"/>
      <w:lvlText w:val=""/>
      <w:lvlJc w:val="left"/>
      <w:pPr>
        <w:ind w:left="2140" w:hanging="360"/>
      </w:pPr>
      <w:rPr>
        <w:rFonts w:ascii="Wingdings" w:hAnsi="Wingdings" w:hint="default"/>
      </w:rPr>
    </w:lvl>
    <w:lvl w:ilvl="3" w:tplc="0C090001">
      <w:start w:val="1"/>
      <w:numFmt w:val="bullet"/>
      <w:lvlText w:val=""/>
      <w:lvlJc w:val="left"/>
      <w:pPr>
        <w:ind w:left="2860" w:hanging="360"/>
      </w:pPr>
      <w:rPr>
        <w:rFonts w:ascii="Symbol" w:hAnsi="Symbol" w:hint="default"/>
      </w:rPr>
    </w:lvl>
    <w:lvl w:ilvl="4" w:tplc="0C090003">
      <w:start w:val="1"/>
      <w:numFmt w:val="bullet"/>
      <w:lvlText w:val="o"/>
      <w:lvlJc w:val="left"/>
      <w:pPr>
        <w:ind w:left="3580" w:hanging="360"/>
      </w:pPr>
      <w:rPr>
        <w:rFonts w:ascii="Courier New" w:hAnsi="Courier New" w:cs="Courier New" w:hint="default"/>
      </w:rPr>
    </w:lvl>
    <w:lvl w:ilvl="5" w:tplc="0C090005">
      <w:start w:val="1"/>
      <w:numFmt w:val="bullet"/>
      <w:lvlText w:val=""/>
      <w:lvlJc w:val="left"/>
      <w:pPr>
        <w:ind w:left="4300" w:hanging="360"/>
      </w:pPr>
      <w:rPr>
        <w:rFonts w:ascii="Wingdings" w:hAnsi="Wingdings" w:hint="default"/>
      </w:rPr>
    </w:lvl>
    <w:lvl w:ilvl="6" w:tplc="0C090001">
      <w:start w:val="1"/>
      <w:numFmt w:val="bullet"/>
      <w:lvlText w:val=""/>
      <w:lvlJc w:val="left"/>
      <w:pPr>
        <w:ind w:left="5020" w:hanging="360"/>
      </w:pPr>
      <w:rPr>
        <w:rFonts w:ascii="Symbol" w:hAnsi="Symbol" w:hint="default"/>
      </w:rPr>
    </w:lvl>
    <w:lvl w:ilvl="7" w:tplc="0C090003">
      <w:start w:val="1"/>
      <w:numFmt w:val="bullet"/>
      <w:lvlText w:val="o"/>
      <w:lvlJc w:val="left"/>
      <w:pPr>
        <w:ind w:left="5740" w:hanging="360"/>
      </w:pPr>
      <w:rPr>
        <w:rFonts w:ascii="Courier New" w:hAnsi="Courier New" w:cs="Courier New" w:hint="default"/>
      </w:rPr>
    </w:lvl>
    <w:lvl w:ilvl="8" w:tplc="0C090005">
      <w:start w:val="1"/>
      <w:numFmt w:val="bullet"/>
      <w:lvlText w:val=""/>
      <w:lvlJc w:val="left"/>
      <w:pPr>
        <w:ind w:left="6460" w:hanging="360"/>
      </w:pPr>
      <w:rPr>
        <w:rFonts w:ascii="Wingdings" w:hAnsi="Wingdings" w:hint="default"/>
      </w:rPr>
    </w:lvl>
  </w:abstractNum>
  <w:abstractNum w:abstractNumId="21">
    <w:nsid w:val="1CF519CE"/>
    <w:multiLevelType w:val="multilevel"/>
    <w:tmpl w:val="3AD8CB48"/>
    <w:lvl w:ilvl="0">
      <w:start w:val="1"/>
      <w:numFmt w:val="decimal"/>
      <w:pStyle w:val="Numbered1"/>
      <w:lvlText w:val="%1."/>
      <w:lvlJc w:val="left"/>
      <w:pPr>
        <w:ind w:left="360" w:hanging="360"/>
      </w:pPr>
    </w:lvl>
    <w:lvl w:ilvl="1">
      <w:start w:val="1"/>
      <w:numFmt w:val="decimal"/>
      <w:pStyle w:val="Numbered11"/>
      <w:lvlText w:val="%1.%2."/>
      <w:lvlJc w:val="left"/>
      <w:pPr>
        <w:ind w:left="792" w:hanging="432"/>
      </w:pPr>
    </w:lvl>
    <w:lvl w:ilvl="2">
      <w:start w:val="1"/>
      <w:numFmt w:val="decimal"/>
      <w:pStyle w:val="Numbered111"/>
      <w:lvlText w:val="%1.%2.%3."/>
      <w:lvlJc w:val="left"/>
      <w:pPr>
        <w:ind w:left="1224" w:hanging="504"/>
      </w:pPr>
    </w:lvl>
    <w:lvl w:ilvl="3">
      <w:start w:val="1"/>
      <w:numFmt w:val="decimal"/>
      <w:pStyle w:val="Numbered1111"/>
      <w:lvlText w:val="%1.%2.%3.%4."/>
      <w:lvlJc w:val="left"/>
      <w:pPr>
        <w:ind w:left="1728" w:hanging="648"/>
      </w:pPr>
    </w:lvl>
    <w:lvl w:ilvl="4">
      <w:start w:val="1"/>
      <w:numFmt w:val="decimal"/>
      <w:pStyle w:val="Numbered11111"/>
      <w:lvlText w:val="%1.%2.%3.%4.%5."/>
      <w:lvlJc w:val="left"/>
      <w:pPr>
        <w:ind w:left="2232" w:hanging="792"/>
      </w:pPr>
    </w:lvl>
    <w:lvl w:ilvl="5">
      <w:start w:val="1"/>
      <w:numFmt w:val="decimal"/>
      <w:pStyle w:val="Numbered111111"/>
      <w:lvlText w:val="%1.%2.%3.%4.%5.%6."/>
      <w:lvlJc w:val="left"/>
      <w:pPr>
        <w:ind w:left="2736" w:hanging="936"/>
      </w:pPr>
    </w:lvl>
    <w:lvl w:ilvl="6">
      <w:start w:val="1"/>
      <w:numFmt w:val="decimal"/>
      <w:pStyle w:val="Numbered1111111"/>
      <w:lvlText w:val="%1.%2.%3.%4.%5.%6.%7."/>
      <w:lvlJc w:val="left"/>
      <w:pPr>
        <w:ind w:left="3240" w:hanging="1080"/>
      </w:pPr>
    </w:lvl>
    <w:lvl w:ilvl="7">
      <w:start w:val="1"/>
      <w:numFmt w:val="decimal"/>
      <w:pStyle w:val="Numbered11111111"/>
      <w:lvlText w:val="%1.%2.%3.%4.%5.%6.%7.%8."/>
      <w:lvlJc w:val="left"/>
      <w:pPr>
        <w:ind w:left="3744" w:hanging="1224"/>
      </w:pPr>
    </w:lvl>
    <w:lvl w:ilvl="8">
      <w:start w:val="1"/>
      <w:numFmt w:val="decimal"/>
      <w:pStyle w:val="Numbered111111111"/>
      <w:lvlText w:val="%1.%2.%3.%4.%5.%6.%7.%8.%9."/>
      <w:lvlJc w:val="left"/>
      <w:pPr>
        <w:ind w:left="4320" w:hanging="1440"/>
      </w:pPr>
    </w:lvl>
  </w:abstractNum>
  <w:abstractNum w:abstractNumId="22">
    <w:nsid w:val="22350154"/>
    <w:multiLevelType w:val="hybridMultilevel"/>
    <w:tmpl w:val="4F3C4AA4"/>
    <w:lvl w:ilvl="0" w:tplc="0C09000F">
      <w:start w:val="1"/>
      <w:numFmt w:val="decimal"/>
      <w:lvlText w:val="%1."/>
      <w:lvlJc w:val="left"/>
      <w:pPr>
        <w:ind w:left="360" w:hanging="360"/>
      </w:pPr>
      <w:rPr>
        <w:rFonts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3">
    <w:nsid w:val="2D125073"/>
    <w:multiLevelType w:val="hybridMultilevel"/>
    <w:tmpl w:val="3508C2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95" w:hanging="360"/>
      </w:pPr>
      <w:rPr>
        <w:rFonts w:ascii="Courier New" w:hAnsi="Courier New" w:cs="Courier New" w:hint="default"/>
      </w:rPr>
    </w:lvl>
    <w:lvl w:ilvl="2" w:tplc="0C090003">
      <w:start w:val="1"/>
      <w:numFmt w:val="bullet"/>
      <w:lvlText w:val="o"/>
      <w:lvlJc w:val="left"/>
      <w:pPr>
        <w:ind w:left="2160" w:hanging="360"/>
      </w:pPr>
      <w:rPr>
        <w:rFonts w:ascii="Courier New" w:hAnsi="Courier New" w:cs="Courier New"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34B82394"/>
    <w:multiLevelType w:val="hybridMultilevel"/>
    <w:tmpl w:val="546ADF06"/>
    <w:lvl w:ilvl="0" w:tplc="403EE442">
      <w:start w:val="1"/>
      <w:numFmt w:val="lowerLetter"/>
      <w:pStyle w:val="Listalphabet3"/>
      <w:lvlText w:val="(%1)"/>
      <w:lvlJc w:val="left"/>
      <w:pPr>
        <w:ind w:left="1021" w:hanging="341"/>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25">
    <w:nsid w:val="36AB0989"/>
    <w:multiLevelType w:val="hybridMultilevel"/>
    <w:tmpl w:val="4DF62DEA"/>
    <w:lvl w:ilvl="0" w:tplc="83689BEE">
      <w:start w:val="1"/>
      <w:numFmt w:val="lowerLetter"/>
      <w:pStyle w:val="Listalphabet2"/>
      <w:lvlText w:val="(%1)"/>
      <w:lvlJc w:val="left"/>
      <w:pPr>
        <w:ind w:left="680" w:hanging="340"/>
      </w:pPr>
      <w:rPr>
        <w:rFonts w:hint="default"/>
      </w:rPr>
    </w:lvl>
    <w:lvl w:ilvl="1" w:tplc="0C090019" w:tentative="1">
      <w:start w:val="1"/>
      <w:numFmt w:val="lowerLetter"/>
      <w:lvlText w:val="%2."/>
      <w:lvlJc w:val="left"/>
      <w:pPr>
        <w:ind w:left="1420" w:hanging="360"/>
      </w:pPr>
    </w:lvl>
    <w:lvl w:ilvl="2" w:tplc="0C09001B" w:tentative="1">
      <w:start w:val="1"/>
      <w:numFmt w:val="lowerRoman"/>
      <w:lvlText w:val="%3."/>
      <w:lvlJc w:val="right"/>
      <w:pPr>
        <w:ind w:left="2140" w:hanging="180"/>
      </w:pPr>
    </w:lvl>
    <w:lvl w:ilvl="3" w:tplc="0C09000F" w:tentative="1">
      <w:start w:val="1"/>
      <w:numFmt w:val="decimal"/>
      <w:lvlText w:val="%4."/>
      <w:lvlJc w:val="left"/>
      <w:pPr>
        <w:ind w:left="2860" w:hanging="360"/>
      </w:pPr>
    </w:lvl>
    <w:lvl w:ilvl="4" w:tplc="0C090019" w:tentative="1">
      <w:start w:val="1"/>
      <w:numFmt w:val="lowerLetter"/>
      <w:lvlText w:val="%5."/>
      <w:lvlJc w:val="left"/>
      <w:pPr>
        <w:ind w:left="3580" w:hanging="360"/>
      </w:pPr>
    </w:lvl>
    <w:lvl w:ilvl="5" w:tplc="0C09001B" w:tentative="1">
      <w:start w:val="1"/>
      <w:numFmt w:val="lowerRoman"/>
      <w:lvlText w:val="%6."/>
      <w:lvlJc w:val="right"/>
      <w:pPr>
        <w:ind w:left="4300" w:hanging="180"/>
      </w:pPr>
    </w:lvl>
    <w:lvl w:ilvl="6" w:tplc="0C09000F" w:tentative="1">
      <w:start w:val="1"/>
      <w:numFmt w:val="decimal"/>
      <w:lvlText w:val="%7."/>
      <w:lvlJc w:val="left"/>
      <w:pPr>
        <w:ind w:left="5020" w:hanging="360"/>
      </w:pPr>
    </w:lvl>
    <w:lvl w:ilvl="7" w:tplc="0C090019" w:tentative="1">
      <w:start w:val="1"/>
      <w:numFmt w:val="lowerLetter"/>
      <w:lvlText w:val="%8."/>
      <w:lvlJc w:val="left"/>
      <w:pPr>
        <w:ind w:left="5740" w:hanging="360"/>
      </w:pPr>
    </w:lvl>
    <w:lvl w:ilvl="8" w:tplc="0C09001B" w:tentative="1">
      <w:start w:val="1"/>
      <w:numFmt w:val="lowerRoman"/>
      <w:lvlText w:val="%9."/>
      <w:lvlJc w:val="right"/>
      <w:pPr>
        <w:ind w:left="6460" w:hanging="180"/>
      </w:pPr>
    </w:lvl>
  </w:abstractNum>
  <w:abstractNum w:abstractNumId="26">
    <w:nsid w:val="3923347D"/>
    <w:multiLevelType w:val="hybridMultilevel"/>
    <w:tmpl w:val="D45C48E2"/>
    <w:lvl w:ilvl="0" w:tplc="D66A534E">
      <w:start w:val="1"/>
      <w:numFmt w:val="bullet"/>
      <w:pStyle w:val="List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3C5709BC"/>
    <w:multiLevelType w:val="hybridMultilevel"/>
    <w:tmpl w:val="A9C8E91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nsid w:val="3CF07D5F"/>
    <w:multiLevelType w:val="hybridMultilevel"/>
    <w:tmpl w:val="D6DC675A"/>
    <w:lvl w:ilvl="0" w:tplc="6C6CF7F2">
      <w:start w:val="1"/>
      <w:numFmt w:val="lowerLetter"/>
      <w:pStyle w:val="Listalphabet4"/>
      <w:lvlText w:val="(%1)"/>
      <w:lvlJc w:val="left"/>
      <w:pPr>
        <w:ind w:left="1361" w:hanging="340"/>
      </w:pPr>
      <w:rPr>
        <w:rFonts w:hint="default"/>
      </w:rPr>
    </w:lvl>
    <w:lvl w:ilvl="1" w:tplc="0C090019" w:tentative="1">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29">
    <w:nsid w:val="44D1390E"/>
    <w:multiLevelType w:val="hybridMultilevel"/>
    <w:tmpl w:val="2D0A5E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49E52C90"/>
    <w:multiLevelType w:val="hybridMultilevel"/>
    <w:tmpl w:val="CBAC43EA"/>
    <w:lvl w:ilvl="0" w:tplc="F8C681F8">
      <w:start w:val="1"/>
      <w:numFmt w:val="lowerRoman"/>
      <w:pStyle w:val="ListLegal"/>
      <w:lvlText w:val="%1."/>
      <w:lvlJc w:val="right"/>
      <w:pPr>
        <w:ind w:left="680" w:hanging="34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nsid w:val="4F746901"/>
    <w:multiLevelType w:val="hybridMultilevel"/>
    <w:tmpl w:val="124AF7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33">
    <w:nsid w:val="61124A8F"/>
    <w:multiLevelType w:val="hybridMultilevel"/>
    <w:tmpl w:val="65447B5C"/>
    <w:lvl w:ilvl="0" w:tplc="F77037F0">
      <w:start w:val="1"/>
      <w:numFmt w:val="lowerLetter"/>
      <w:pStyle w:val="Listalphabet"/>
      <w:lvlText w:val="(%1)"/>
      <w:lvlJc w:val="left"/>
      <w:pPr>
        <w:ind w:left="340" w:hanging="34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nsid w:val="632B2657"/>
    <w:multiLevelType w:val="hybridMultilevel"/>
    <w:tmpl w:val="12A47130"/>
    <w:lvl w:ilvl="0" w:tplc="0C090003">
      <w:start w:val="1"/>
      <w:numFmt w:val="bullet"/>
      <w:lvlText w:val="o"/>
      <w:lvlJc w:val="left"/>
      <w:pPr>
        <w:ind w:left="360" w:hanging="360"/>
      </w:pPr>
      <w:rPr>
        <w:rFonts w:ascii="Courier New" w:hAnsi="Courier New" w:cs="Courier New"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nsid w:val="659D7335"/>
    <w:multiLevelType w:val="hybridMultilevel"/>
    <w:tmpl w:val="0908F424"/>
    <w:lvl w:ilvl="0" w:tplc="0C090001">
      <w:start w:val="1"/>
      <w:numFmt w:val="bullet"/>
      <w:lvlText w:val=""/>
      <w:lvlJc w:val="left"/>
      <w:pPr>
        <w:ind w:left="700" w:hanging="360"/>
      </w:pPr>
      <w:rPr>
        <w:rFonts w:ascii="Symbol" w:hAnsi="Symbol" w:hint="default"/>
      </w:rPr>
    </w:lvl>
    <w:lvl w:ilvl="1" w:tplc="0C090003">
      <w:start w:val="1"/>
      <w:numFmt w:val="bullet"/>
      <w:lvlText w:val="o"/>
      <w:lvlJc w:val="left"/>
      <w:pPr>
        <w:ind w:left="1420" w:hanging="360"/>
      </w:pPr>
      <w:rPr>
        <w:rFonts w:ascii="Courier New" w:hAnsi="Courier New" w:cs="Courier New" w:hint="default"/>
      </w:rPr>
    </w:lvl>
    <w:lvl w:ilvl="2" w:tplc="0C09001B">
      <w:start w:val="1"/>
      <w:numFmt w:val="lowerRoman"/>
      <w:lvlText w:val="%3."/>
      <w:lvlJc w:val="right"/>
      <w:pPr>
        <w:ind w:left="2140" w:hanging="180"/>
      </w:pPr>
    </w:lvl>
    <w:lvl w:ilvl="3" w:tplc="0C09000F">
      <w:start w:val="1"/>
      <w:numFmt w:val="decimal"/>
      <w:lvlText w:val="%4."/>
      <w:lvlJc w:val="left"/>
      <w:pPr>
        <w:ind w:left="2860" w:hanging="360"/>
      </w:pPr>
    </w:lvl>
    <w:lvl w:ilvl="4" w:tplc="0C090019">
      <w:start w:val="1"/>
      <w:numFmt w:val="lowerLetter"/>
      <w:lvlText w:val="%5."/>
      <w:lvlJc w:val="left"/>
      <w:pPr>
        <w:ind w:left="3580" w:hanging="360"/>
      </w:pPr>
    </w:lvl>
    <w:lvl w:ilvl="5" w:tplc="0C09001B">
      <w:start w:val="1"/>
      <w:numFmt w:val="lowerRoman"/>
      <w:lvlText w:val="%6."/>
      <w:lvlJc w:val="right"/>
      <w:pPr>
        <w:ind w:left="4300" w:hanging="180"/>
      </w:pPr>
    </w:lvl>
    <w:lvl w:ilvl="6" w:tplc="0C09000F">
      <w:start w:val="1"/>
      <w:numFmt w:val="decimal"/>
      <w:lvlText w:val="%7."/>
      <w:lvlJc w:val="left"/>
      <w:pPr>
        <w:ind w:left="5020" w:hanging="360"/>
      </w:pPr>
    </w:lvl>
    <w:lvl w:ilvl="7" w:tplc="0C090019">
      <w:start w:val="1"/>
      <w:numFmt w:val="lowerLetter"/>
      <w:lvlText w:val="%8."/>
      <w:lvlJc w:val="left"/>
      <w:pPr>
        <w:ind w:left="5740" w:hanging="360"/>
      </w:pPr>
    </w:lvl>
    <w:lvl w:ilvl="8" w:tplc="0C09001B">
      <w:start w:val="1"/>
      <w:numFmt w:val="lowerRoman"/>
      <w:lvlText w:val="%9."/>
      <w:lvlJc w:val="right"/>
      <w:pPr>
        <w:ind w:left="6460" w:hanging="180"/>
      </w:pPr>
    </w:lvl>
  </w:abstractNum>
  <w:abstractNum w:abstractNumId="36">
    <w:nsid w:val="66DC52CE"/>
    <w:multiLevelType w:val="hybridMultilevel"/>
    <w:tmpl w:val="05ACFE50"/>
    <w:lvl w:ilvl="0" w:tplc="5CD829E8">
      <w:start w:val="1"/>
      <w:numFmt w:val="decimal"/>
      <w:pStyle w:val="Heading9"/>
      <w:lvlText w:val="Table %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nsid w:val="6726588A"/>
    <w:multiLevelType w:val="hybridMultilevel"/>
    <w:tmpl w:val="CC927964"/>
    <w:lvl w:ilvl="0" w:tplc="0C09000F">
      <w:start w:val="1"/>
      <w:numFmt w:val="bullet"/>
      <w:pStyle w:val="Bulletpoint2"/>
      <w:lvlText w:val="o"/>
      <w:lvlJc w:val="left"/>
      <w:pPr>
        <w:ind w:left="1003" w:hanging="360"/>
      </w:pPr>
      <w:rPr>
        <w:rFonts w:ascii="Courier New" w:hAnsi="Courier New" w:cs="Courier New" w:hint="default"/>
      </w:rPr>
    </w:lvl>
    <w:lvl w:ilvl="1" w:tplc="0C090019" w:tentative="1">
      <w:start w:val="1"/>
      <w:numFmt w:val="bullet"/>
      <w:lvlText w:val="o"/>
      <w:lvlJc w:val="left"/>
      <w:pPr>
        <w:ind w:left="1723" w:hanging="360"/>
      </w:pPr>
      <w:rPr>
        <w:rFonts w:ascii="Courier New" w:hAnsi="Courier New" w:cs="Courier New" w:hint="default"/>
      </w:rPr>
    </w:lvl>
    <w:lvl w:ilvl="2" w:tplc="0C09001B" w:tentative="1">
      <w:start w:val="1"/>
      <w:numFmt w:val="bullet"/>
      <w:lvlText w:val=""/>
      <w:lvlJc w:val="left"/>
      <w:pPr>
        <w:ind w:left="2443" w:hanging="360"/>
      </w:pPr>
      <w:rPr>
        <w:rFonts w:ascii="Wingdings" w:hAnsi="Wingdings" w:hint="default"/>
      </w:rPr>
    </w:lvl>
    <w:lvl w:ilvl="3" w:tplc="0C09000F" w:tentative="1">
      <w:start w:val="1"/>
      <w:numFmt w:val="bullet"/>
      <w:lvlText w:val=""/>
      <w:lvlJc w:val="left"/>
      <w:pPr>
        <w:ind w:left="3163" w:hanging="360"/>
      </w:pPr>
      <w:rPr>
        <w:rFonts w:ascii="Symbol" w:hAnsi="Symbol" w:hint="default"/>
      </w:rPr>
    </w:lvl>
    <w:lvl w:ilvl="4" w:tplc="0C090019" w:tentative="1">
      <w:start w:val="1"/>
      <w:numFmt w:val="bullet"/>
      <w:lvlText w:val="o"/>
      <w:lvlJc w:val="left"/>
      <w:pPr>
        <w:ind w:left="3883" w:hanging="360"/>
      </w:pPr>
      <w:rPr>
        <w:rFonts w:ascii="Courier New" w:hAnsi="Courier New" w:cs="Courier New" w:hint="default"/>
      </w:rPr>
    </w:lvl>
    <w:lvl w:ilvl="5" w:tplc="0C09001B" w:tentative="1">
      <w:start w:val="1"/>
      <w:numFmt w:val="bullet"/>
      <w:lvlText w:val=""/>
      <w:lvlJc w:val="left"/>
      <w:pPr>
        <w:ind w:left="4603" w:hanging="360"/>
      </w:pPr>
      <w:rPr>
        <w:rFonts w:ascii="Wingdings" w:hAnsi="Wingdings" w:hint="default"/>
      </w:rPr>
    </w:lvl>
    <w:lvl w:ilvl="6" w:tplc="0C09000F" w:tentative="1">
      <w:start w:val="1"/>
      <w:numFmt w:val="bullet"/>
      <w:lvlText w:val=""/>
      <w:lvlJc w:val="left"/>
      <w:pPr>
        <w:ind w:left="5323" w:hanging="360"/>
      </w:pPr>
      <w:rPr>
        <w:rFonts w:ascii="Symbol" w:hAnsi="Symbol" w:hint="default"/>
      </w:rPr>
    </w:lvl>
    <w:lvl w:ilvl="7" w:tplc="0C090019" w:tentative="1">
      <w:start w:val="1"/>
      <w:numFmt w:val="bullet"/>
      <w:lvlText w:val="o"/>
      <w:lvlJc w:val="left"/>
      <w:pPr>
        <w:ind w:left="6043" w:hanging="360"/>
      </w:pPr>
      <w:rPr>
        <w:rFonts w:ascii="Courier New" w:hAnsi="Courier New" w:cs="Courier New" w:hint="default"/>
      </w:rPr>
    </w:lvl>
    <w:lvl w:ilvl="8" w:tplc="0C09001B" w:tentative="1">
      <w:start w:val="1"/>
      <w:numFmt w:val="bullet"/>
      <w:lvlText w:val=""/>
      <w:lvlJc w:val="left"/>
      <w:pPr>
        <w:ind w:left="6763" w:hanging="360"/>
      </w:pPr>
      <w:rPr>
        <w:rFonts w:ascii="Wingdings" w:hAnsi="Wingdings" w:hint="default"/>
      </w:rPr>
    </w:lvl>
  </w:abstractNum>
  <w:abstractNum w:abstractNumId="38">
    <w:nsid w:val="6AE46E53"/>
    <w:multiLevelType w:val="hybridMultilevel"/>
    <w:tmpl w:val="49A24F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nsid w:val="71052EFE"/>
    <w:multiLevelType w:val="hybridMultilevel"/>
    <w:tmpl w:val="638C8810"/>
    <w:lvl w:ilvl="0" w:tplc="E1922DFC">
      <w:start w:val="1"/>
      <w:numFmt w:val="lowerRoman"/>
      <w:pStyle w:val="ListLegal3"/>
      <w:lvlText w:val="%1."/>
      <w:lvlJc w:val="right"/>
      <w:pPr>
        <w:ind w:left="1361" w:hanging="341"/>
      </w:pPr>
      <w:rPr>
        <w:rFonts w:hint="default"/>
      </w:rPr>
    </w:lvl>
    <w:lvl w:ilvl="1" w:tplc="0C090019">
      <w:start w:val="1"/>
      <w:numFmt w:val="lowerLetter"/>
      <w:lvlText w:val="%2."/>
      <w:lvlJc w:val="left"/>
      <w:pPr>
        <w:ind w:left="2100" w:hanging="360"/>
      </w:pPr>
    </w:lvl>
    <w:lvl w:ilvl="2" w:tplc="0C09001B" w:tentative="1">
      <w:start w:val="1"/>
      <w:numFmt w:val="lowerRoman"/>
      <w:lvlText w:val="%3."/>
      <w:lvlJc w:val="right"/>
      <w:pPr>
        <w:ind w:left="2820" w:hanging="180"/>
      </w:pPr>
    </w:lvl>
    <w:lvl w:ilvl="3" w:tplc="0C09000F" w:tentative="1">
      <w:start w:val="1"/>
      <w:numFmt w:val="decimal"/>
      <w:lvlText w:val="%4."/>
      <w:lvlJc w:val="left"/>
      <w:pPr>
        <w:ind w:left="3540" w:hanging="360"/>
      </w:pPr>
    </w:lvl>
    <w:lvl w:ilvl="4" w:tplc="0C090019" w:tentative="1">
      <w:start w:val="1"/>
      <w:numFmt w:val="lowerLetter"/>
      <w:lvlText w:val="%5."/>
      <w:lvlJc w:val="left"/>
      <w:pPr>
        <w:ind w:left="4260" w:hanging="360"/>
      </w:pPr>
    </w:lvl>
    <w:lvl w:ilvl="5" w:tplc="0C09001B" w:tentative="1">
      <w:start w:val="1"/>
      <w:numFmt w:val="lowerRoman"/>
      <w:lvlText w:val="%6."/>
      <w:lvlJc w:val="right"/>
      <w:pPr>
        <w:ind w:left="4980" w:hanging="180"/>
      </w:pPr>
    </w:lvl>
    <w:lvl w:ilvl="6" w:tplc="0C09000F" w:tentative="1">
      <w:start w:val="1"/>
      <w:numFmt w:val="decimal"/>
      <w:lvlText w:val="%7."/>
      <w:lvlJc w:val="left"/>
      <w:pPr>
        <w:ind w:left="5700" w:hanging="360"/>
      </w:pPr>
    </w:lvl>
    <w:lvl w:ilvl="7" w:tplc="0C090019" w:tentative="1">
      <w:start w:val="1"/>
      <w:numFmt w:val="lowerLetter"/>
      <w:lvlText w:val="%8."/>
      <w:lvlJc w:val="left"/>
      <w:pPr>
        <w:ind w:left="6420" w:hanging="360"/>
      </w:pPr>
    </w:lvl>
    <w:lvl w:ilvl="8" w:tplc="0C09001B" w:tentative="1">
      <w:start w:val="1"/>
      <w:numFmt w:val="lowerRoman"/>
      <w:lvlText w:val="%9."/>
      <w:lvlJc w:val="right"/>
      <w:pPr>
        <w:ind w:left="7140" w:hanging="180"/>
      </w:pPr>
    </w:lvl>
  </w:abstractNum>
  <w:abstractNum w:abstractNumId="40">
    <w:nsid w:val="73F84B72"/>
    <w:multiLevelType w:val="hybridMultilevel"/>
    <w:tmpl w:val="CDC0D9C4"/>
    <w:lvl w:ilvl="0" w:tplc="6C5C8C5A">
      <w:start w:val="1"/>
      <w:numFmt w:val="lowerLetter"/>
      <w:pStyle w:val="Listalphabet5"/>
      <w:lvlText w:val="(%1)"/>
      <w:lvlJc w:val="left"/>
      <w:pPr>
        <w:ind w:left="1701" w:hanging="341"/>
      </w:pPr>
      <w:rPr>
        <w:rFonts w:hint="default"/>
      </w:rPr>
    </w:lvl>
    <w:lvl w:ilvl="1" w:tplc="0C090019" w:tentative="1">
      <w:start w:val="1"/>
      <w:numFmt w:val="lowerLetter"/>
      <w:lvlText w:val="%2."/>
      <w:lvlJc w:val="left"/>
      <w:pPr>
        <w:ind w:left="2440" w:hanging="360"/>
      </w:pPr>
    </w:lvl>
    <w:lvl w:ilvl="2" w:tplc="0C09001B" w:tentative="1">
      <w:start w:val="1"/>
      <w:numFmt w:val="lowerRoman"/>
      <w:lvlText w:val="%3."/>
      <w:lvlJc w:val="right"/>
      <w:pPr>
        <w:ind w:left="3160" w:hanging="180"/>
      </w:pPr>
    </w:lvl>
    <w:lvl w:ilvl="3" w:tplc="0C09000F" w:tentative="1">
      <w:start w:val="1"/>
      <w:numFmt w:val="decimal"/>
      <w:lvlText w:val="%4."/>
      <w:lvlJc w:val="left"/>
      <w:pPr>
        <w:ind w:left="3880" w:hanging="360"/>
      </w:pPr>
    </w:lvl>
    <w:lvl w:ilvl="4" w:tplc="0C090019" w:tentative="1">
      <w:start w:val="1"/>
      <w:numFmt w:val="lowerLetter"/>
      <w:lvlText w:val="%5."/>
      <w:lvlJc w:val="left"/>
      <w:pPr>
        <w:ind w:left="4600" w:hanging="360"/>
      </w:pPr>
    </w:lvl>
    <w:lvl w:ilvl="5" w:tplc="0C09001B" w:tentative="1">
      <w:start w:val="1"/>
      <w:numFmt w:val="lowerRoman"/>
      <w:lvlText w:val="%6."/>
      <w:lvlJc w:val="right"/>
      <w:pPr>
        <w:ind w:left="5320" w:hanging="180"/>
      </w:pPr>
    </w:lvl>
    <w:lvl w:ilvl="6" w:tplc="0C09000F" w:tentative="1">
      <w:start w:val="1"/>
      <w:numFmt w:val="decimal"/>
      <w:lvlText w:val="%7."/>
      <w:lvlJc w:val="left"/>
      <w:pPr>
        <w:ind w:left="6040" w:hanging="360"/>
      </w:pPr>
    </w:lvl>
    <w:lvl w:ilvl="7" w:tplc="0C090019" w:tentative="1">
      <w:start w:val="1"/>
      <w:numFmt w:val="lowerLetter"/>
      <w:lvlText w:val="%8."/>
      <w:lvlJc w:val="left"/>
      <w:pPr>
        <w:ind w:left="6760" w:hanging="360"/>
      </w:pPr>
    </w:lvl>
    <w:lvl w:ilvl="8" w:tplc="0C09001B" w:tentative="1">
      <w:start w:val="1"/>
      <w:numFmt w:val="lowerRoman"/>
      <w:lvlText w:val="%9."/>
      <w:lvlJc w:val="right"/>
      <w:pPr>
        <w:ind w:left="7480" w:hanging="180"/>
      </w:pPr>
    </w:lvl>
  </w:abstractNum>
  <w:abstractNum w:abstractNumId="41">
    <w:nsid w:val="760C7082"/>
    <w:multiLevelType w:val="hybridMultilevel"/>
    <w:tmpl w:val="C9D6B284"/>
    <w:lvl w:ilvl="0" w:tplc="A9080AEA">
      <w:start w:val="1"/>
      <w:numFmt w:val="lowerRoman"/>
      <w:pStyle w:val="ListLegal4"/>
      <w:lvlText w:val="%1."/>
      <w:lvlJc w:val="right"/>
      <w:pPr>
        <w:ind w:left="1701" w:hanging="340"/>
      </w:pPr>
      <w:rPr>
        <w:rFonts w:hint="default"/>
      </w:rPr>
    </w:lvl>
    <w:lvl w:ilvl="1" w:tplc="0C090019" w:tentative="1">
      <w:start w:val="1"/>
      <w:numFmt w:val="lowerLetter"/>
      <w:lvlText w:val="%2."/>
      <w:lvlJc w:val="left"/>
      <w:pPr>
        <w:ind w:left="2441" w:hanging="360"/>
      </w:pPr>
    </w:lvl>
    <w:lvl w:ilvl="2" w:tplc="0C09001B" w:tentative="1">
      <w:start w:val="1"/>
      <w:numFmt w:val="lowerRoman"/>
      <w:lvlText w:val="%3."/>
      <w:lvlJc w:val="right"/>
      <w:pPr>
        <w:ind w:left="3161" w:hanging="180"/>
      </w:pPr>
    </w:lvl>
    <w:lvl w:ilvl="3" w:tplc="0C09000F" w:tentative="1">
      <w:start w:val="1"/>
      <w:numFmt w:val="decimal"/>
      <w:lvlText w:val="%4."/>
      <w:lvlJc w:val="left"/>
      <w:pPr>
        <w:ind w:left="3881" w:hanging="360"/>
      </w:pPr>
    </w:lvl>
    <w:lvl w:ilvl="4" w:tplc="0C090019" w:tentative="1">
      <w:start w:val="1"/>
      <w:numFmt w:val="lowerLetter"/>
      <w:lvlText w:val="%5."/>
      <w:lvlJc w:val="left"/>
      <w:pPr>
        <w:ind w:left="4601" w:hanging="360"/>
      </w:pPr>
    </w:lvl>
    <w:lvl w:ilvl="5" w:tplc="0C09001B" w:tentative="1">
      <w:start w:val="1"/>
      <w:numFmt w:val="lowerRoman"/>
      <w:lvlText w:val="%6."/>
      <w:lvlJc w:val="right"/>
      <w:pPr>
        <w:ind w:left="5321" w:hanging="180"/>
      </w:pPr>
    </w:lvl>
    <w:lvl w:ilvl="6" w:tplc="0C09000F" w:tentative="1">
      <w:start w:val="1"/>
      <w:numFmt w:val="decimal"/>
      <w:lvlText w:val="%7."/>
      <w:lvlJc w:val="left"/>
      <w:pPr>
        <w:ind w:left="6041" w:hanging="360"/>
      </w:pPr>
    </w:lvl>
    <w:lvl w:ilvl="7" w:tplc="0C090019" w:tentative="1">
      <w:start w:val="1"/>
      <w:numFmt w:val="lowerLetter"/>
      <w:lvlText w:val="%8."/>
      <w:lvlJc w:val="left"/>
      <w:pPr>
        <w:ind w:left="6761" w:hanging="360"/>
      </w:pPr>
    </w:lvl>
    <w:lvl w:ilvl="8" w:tplc="0C09001B" w:tentative="1">
      <w:start w:val="1"/>
      <w:numFmt w:val="lowerRoman"/>
      <w:lvlText w:val="%9."/>
      <w:lvlJc w:val="right"/>
      <w:pPr>
        <w:ind w:left="7481" w:hanging="180"/>
      </w:pPr>
    </w:lvl>
  </w:abstractNum>
  <w:abstractNum w:abstractNumId="42">
    <w:nsid w:val="7A304973"/>
    <w:multiLevelType w:val="hybridMultilevel"/>
    <w:tmpl w:val="24A2E0B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3">
    <w:nsid w:val="7ACB7F6B"/>
    <w:multiLevelType w:val="hybridMultilevel"/>
    <w:tmpl w:val="0F2A3F9A"/>
    <w:lvl w:ilvl="0" w:tplc="1038B32C">
      <w:start w:val="1"/>
      <w:numFmt w:val="lowerRoman"/>
      <w:pStyle w:val="ListLegal2"/>
      <w:lvlText w:val="%1."/>
      <w:lvlJc w:val="right"/>
      <w:pPr>
        <w:ind w:left="1021" w:hanging="341"/>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44">
    <w:nsid w:val="7E2819EC"/>
    <w:multiLevelType w:val="multilevel"/>
    <w:tmpl w:val="1250F310"/>
    <w:lvl w:ilvl="0">
      <w:start w:val="1"/>
      <w:numFmt w:val="bullet"/>
      <w:pStyle w:val="Bulletpoin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5">
    <w:nsid w:val="7E304EE6"/>
    <w:multiLevelType w:val="hybridMultilevel"/>
    <w:tmpl w:val="0DDE756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nsid w:val="7ED618D0"/>
    <w:multiLevelType w:val="hybridMultilevel"/>
    <w:tmpl w:val="4478FA9E"/>
    <w:lvl w:ilvl="0" w:tplc="0C090003">
      <w:start w:val="1"/>
      <w:numFmt w:val="bullet"/>
      <w:lvlText w:val="o"/>
      <w:lvlJc w:val="left"/>
      <w:pPr>
        <w:ind w:left="360" w:hanging="360"/>
      </w:pPr>
      <w:rPr>
        <w:rFonts w:ascii="Courier New" w:hAnsi="Courier New" w:cs="Courier New"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7"/>
  </w:num>
  <w:num w:numId="2">
    <w:abstractNumId w:val="44"/>
  </w:num>
  <w:num w:numId="3">
    <w:abstractNumId w:val="7"/>
  </w:num>
  <w:num w:numId="4">
    <w:abstractNumId w:val="6"/>
  </w:num>
  <w:num w:numId="5">
    <w:abstractNumId w:val="5"/>
  </w:num>
  <w:num w:numId="6">
    <w:abstractNumId w:val="4"/>
  </w:num>
  <w:num w:numId="7">
    <w:abstractNumId w:val="1"/>
  </w:num>
  <w:num w:numId="8">
    <w:abstractNumId w:val="0"/>
  </w:num>
  <w:num w:numId="9">
    <w:abstractNumId w:val="37"/>
  </w:num>
  <w:num w:numId="10">
    <w:abstractNumId w:val="26"/>
  </w:num>
  <w:num w:numId="11">
    <w:abstractNumId w:val="13"/>
  </w:num>
  <w:num w:numId="12">
    <w:abstractNumId w:val="21"/>
  </w:num>
  <w:num w:numId="13">
    <w:abstractNumId w:val="25"/>
  </w:num>
  <w:num w:numId="14">
    <w:abstractNumId w:val="2"/>
  </w:num>
  <w:num w:numId="15">
    <w:abstractNumId w:val="39"/>
  </w:num>
  <w:num w:numId="16">
    <w:abstractNumId w:val="43"/>
  </w:num>
  <w:num w:numId="17">
    <w:abstractNumId w:val="41"/>
  </w:num>
  <w:num w:numId="18">
    <w:abstractNumId w:val="32"/>
  </w:num>
  <w:num w:numId="19">
    <w:abstractNumId w:val="24"/>
  </w:num>
  <w:num w:numId="20">
    <w:abstractNumId w:val="28"/>
  </w:num>
  <w:num w:numId="21">
    <w:abstractNumId w:val="40"/>
  </w:num>
  <w:num w:numId="22">
    <w:abstractNumId w:val="33"/>
  </w:num>
  <w:num w:numId="23">
    <w:abstractNumId w:val="8"/>
  </w:num>
  <w:num w:numId="24">
    <w:abstractNumId w:val="3"/>
  </w:num>
  <w:num w:numId="25">
    <w:abstractNumId w:val="30"/>
  </w:num>
  <w:num w:numId="26">
    <w:abstractNumId w:val="19"/>
  </w:num>
  <w:num w:numId="27">
    <w:abstractNumId w:val="36"/>
  </w:num>
  <w:num w:numId="28">
    <w:abstractNumId w:val="15"/>
  </w:num>
  <w:num w:numId="29">
    <w:abstractNumId w:val="1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0"/>
  </w:num>
  <w:num w:numId="32">
    <w:abstractNumId w:val="18"/>
  </w:num>
  <w:num w:numId="33">
    <w:abstractNumId w:val="11"/>
  </w:num>
  <w:num w:numId="34">
    <w:abstractNumId w:val="15"/>
  </w:num>
  <w:num w:numId="35">
    <w:abstractNumId w:val="22"/>
  </w:num>
  <w:num w:numId="36">
    <w:abstractNumId w:val="14"/>
  </w:num>
  <w:num w:numId="37">
    <w:abstractNumId w:val="45"/>
  </w:num>
  <w:num w:numId="38">
    <w:abstractNumId w:val="38"/>
  </w:num>
  <w:num w:numId="39">
    <w:abstractNumId w:val="12"/>
  </w:num>
  <w:num w:numId="40">
    <w:abstractNumId w:val="46"/>
  </w:num>
  <w:num w:numId="41">
    <w:abstractNumId w:val="9"/>
  </w:num>
  <w:num w:numId="42">
    <w:abstractNumId w:val="42"/>
  </w:num>
  <w:num w:numId="43">
    <w:abstractNumId w:val="34"/>
  </w:num>
  <w:num w:numId="44">
    <w:abstractNumId w:val="27"/>
  </w:num>
  <w:num w:numId="45">
    <w:abstractNumId w:val="16"/>
  </w:num>
  <w:num w:numId="46">
    <w:abstractNumId w:val="29"/>
  </w:num>
  <w:num w:numId="47">
    <w:abstractNumId w:val="10"/>
  </w:num>
  <w:num w:numId="48">
    <w:abstractNumId w:val="23"/>
  </w:num>
  <w:num w:numId="49">
    <w:abstractNumId w:val="31"/>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stylePaneFormatFilter w:val="9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efaultTabStop w:val="34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8400\D16 20608  C2P Summary of 28 Jan stakeholder meeting (accessible format).DOCX"/>
  </w:docVars>
  <w:rsids>
    <w:rsidRoot w:val="00EE1AF3"/>
    <w:rsid w:val="000031DD"/>
    <w:rsid w:val="00007F67"/>
    <w:rsid w:val="0002115F"/>
    <w:rsid w:val="00021202"/>
    <w:rsid w:val="000225C4"/>
    <w:rsid w:val="0003578C"/>
    <w:rsid w:val="00052EF6"/>
    <w:rsid w:val="00060840"/>
    <w:rsid w:val="00063247"/>
    <w:rsid w:val="00070F9F"/>
    <w:rsid w:val="0007137B"/>
    <w:rsid w:val="00085663"/>
    <w:rsid w:val="00085EBF"/>
    <w:rsid w:val="000B6295"/>
    <w:rsid w:val="000D122C"/>
    <w:rsid w:val="000E1819"/>
    <w:rsid w:val="000E6C72"/>
    <w:rsid w:val="000F1836"/>
    <w:rsid w:val="000F2368"/>
    <w:rsid w:val="00116EB2"/>
    <w:rsid w:val="00124609"/>
    <w:rsid w:val="001443FC"/>
    <w:rsid w:val="001573E4"/>
    <w:rsid w:val="00160756"/>
    <w:rsid w:val="0017232E"/>
    <w:rsid w:val="00174102"/>
    <w:rsid w:val="00180157"/>
    <w:rsid w:val="00181223"/>
    <w:rsid w:val="00186F77"/>
    <w:rsid w:val="001926A4"/>
    <w:rsid w:val="001A3A19"/>
    <w:rsid w:val="001A6D97"/>
    <w:rsid w:val="001B246B"/>
    <w:rsid w:val="001B45A0"/>
    <w:rsid w:val="001C18EE"/>
    <w:rsid w:val="001D055E"/>
    <w:rsid w:val="001F1098"/>
    <w:rsid w:val="001F492E"/>
    <w:rsid w:val="001F6DA3"/>
    <w:rsid w:val="00211276"/>
    <w:rsid w:val="00212737"/>
    <w:rsid w:val="0022353F"/>
    <w:rsid w:val="00224DB9"/>
    <w:rsid w:val="00232FF7"/>
    <w:rsid w:val="00251745"/>
    <w:rsid w:val="00263AC0"/>
    <w:rsid w:val="0026772D"/>
    <w:rsid w:val="00276BA4"/>
    <w:rsid w:val="00282549"/>
    <w:rsid w:val="002826DB"/>
    <w:rsid w:val="00286874"/>
    <w:rsid w:val="00296B65"/>
    <w:rsid w:val="002A7DEF"/>
    <w:rsid w:val="002B2B04"/>
    <w:rsid w:val="002C4388"/>
    <w:rsid w:val="002C51E4"/>
    <w:rsid w:val="002E2D2D"/>
    <w:rsid w:val="002F72A8"/>
    <w:rsid w:val="002F7986"/>
    <w:rsid w:val="00303837"/>
    <w:rsid w:val="00303C4A"/>
    <w:rsid w:val="00307F6D"/>
    <w:rsid w:val="00313DB1"/>
    <w:rsid w:val="003177A2"/>
    <w:rsid w:val="003271B5"/>
    <w:rsid w:val="003301BA"/>
    <w:rsid w:val="00330CA0"/>
    <w:rsid w:val="00331264"/>
    <w:rsid w:val="00334C8D"/>
    <w:rsid w:val="00340655"/>
    <w:rsid w:val="003417D1"/>
    <w:rsid w:val="003459E6"/>
    <w:rsid w:val="003518B3"/>
    <w:rsid w:val="00371641"/>
    <w:rsid w:val="00375C73"/>
    <w:rsid w:val="003846F1"/>
    <w:rsid w:val="00387891"/>
    <w:rsid w:val="003936CE"/>
    <w:rsid w:val="003A4D62"/>
    <w:rsid w:val="003A673F"/>
    <w:rsid w:val="003A7B52"/>
    <w:rsid w:val="003B5A70"/>
    <w:rsid w:val="003D0A50"/>
    <w:rsid w:val="00402C02"/>
    <w:rsid w:val="00412CD9"/>
    <w:rsid w:val="00414B23"/>
    <w:rsid w:val="00415336"/>
    <w:rsid w:val="00455C47"/>
    <w:rsid w:val="00475DDE"/>
    <w:rsid w:val="00480B4B"/>
    <w:rsid w:val="00485DC4"/>
    <w:rsid w:val="0049454F"/>
    <w:rsid w:val="004962C4"/>
    <w:rsid w:val="004B4412"/>
    <w:rsid w:val="004C348C"/>
    <w:rsid w:val="004C6112"/>
    <w:rsid w:val="004D55BA"/>
    <w:rsid w:val="004E61D0"/>
    <w:rsid w:val="005038DB"/>
    <w:rsid w:val="0051706A"/>
    <w:rsid w:val="0052379B"/>
    <w:rsid w:val="00525BB2"/>
    <w:rsid w:val="0052795A"/>
    <w:rsid w:val="00530128"/>
    <w:rsid w:val="00532467"/>
    <w:rsid w:val="00541CA7"/>
    <w:rsid w:val="00547BA2"/>
    <w:rsid w:val="00547CCF"/>
    <w:rsid w:val="00564A4D"/>
    <w:rsid w:val="0057095F"/>
    <w:rsid w:val="00571B35"/>
    <w:rsid w:val="00571C9F"/>
    <w:rsid w:val="00577A09"/>
    <w:rsid w:val="00580B78"/>
    <w:rsid w:val="00584D8F"/>
    <w:rsid w:val="0059055A"/>
    <w:rsid w:val="00596D42"/>
    <w:rsid w:val="005A404D"/>
    <w:rsid w:val="005B1E3C"/>
    <w:rsid w:val="005C24AC"/>
    <w:rsid w:val="005C26CC"/>
    <w:rsid w:val="005C465E"/>
    <w:rsid w:val="005D074F"/>
    <w:rsid w:val="005E6C0E"/>
    <w:rsid w:val="006047EA"/>
    <w:rsid w:val="00615C6B"/>
    <w:rsid w:val="00632D6D"/>
    <w:rsid w:val="00641966"/>
    <w:rsid w:val="00642C3E"/>
    <w:rsid w:val="006451AA"/>
    <w:rsid w:val="00646025"/>
    <w:rsid w:val="00663DAD"/>
    <w:rsid w:val="00676679"/>
    <w:rsid w:val="006823D1"/>
    <w:rsid w:val="00687525"/>
    <w:rsid w:val="00691616"/>
    <w:rsid w:val="006B0451"/>
    <w:rsid w:val="006B4CF9"/>
    <w:rsid w:val="006B7AC8"/>
    <w:rsid w:val="006C5D08"/>
    <w:rsid w:val="006C74F8"/>
    <w:rsid w:val="006D550F"/>
    <w:rsid w:val="006D77F3"/>
    <w:rsid w:val="00701CAB"/>
    <w:rsid w:val="00707563"/>
    <w:rsid w:val="00712F68"/>
    <w:rsid w:val="0072348C"/>
    <w:rsid w:val="00724A37"/>
    <w:rsid w:val="007303C3"/>
    <w:rsid w:val="00743223"/>
    <w:rsid w:val="00746E01"/>
    <w:rsid w:val="00757D5F"/>
    <w:rsid w:val="00763E5D"/>
    <w:rsid w:val="00767740"/>
    <w:rsid w:val="00777EE6"/>
    <w:rsid w:val="00782EEA"/>
    <w:rsid w:val="007B2C72"/>
    <w:rsid w:val="007B7E1B"/>
    <w:rsid w:val="007C1C53"/>
    <w:rsid w:val="007E26A9"/>
    <w:rsid w:val="007E4904"/>
    <w:rsid w:val="007E4CB5"/>
    <w:rsid w:val="007F066B"/>
    <w:rsid w:val="008033C4"/>
    <w:rsid w:val="00806C88"/>
    <w:rsid w:val="0081034E"/>
    <w:rsid w:val="00816D5F"/>
    <w:rsid w:val="008344F6"/>
    <w:rsid w:val="0083510F"/>
    <w:rsid w:val="00851209"/>
    <w:rsid w:val="00856394"/>
    <w:rsid w:val="0088007E"/>
    <w:rsid w:val="008837AC"/>
    <w:rsid w:val="00885370"/>
    <w:rsid w:val="008945B4"/>
    <w:rsid w:val="008A587D"/>
    <w:rsid w:val="008A7234"/>
    <w:rsid w:val="008C5486"/>
    <w:rsid w:val="008E7031"/>
    <w:rsid w:val="00900FC0"/>
    <w:rsid w:val="00922C95"/>
    <w:rsid w:val="009233EE"/>
    <w:rsid w:val="00940B1A"/>
    <w:rsid w:val="00943931"/>
    <w:rsid w:val="009661DE"/>
    <w:rsid w:val="00974E89"/>
    <w:rsid w:val="00983CDB"/>
    <w:rsid w:val="009856B7"/>
    <w:rsid w:val="0098602B"/>
    <w:rsid w:val="00991B3B"/>
    <w:rsid w:val="009962BA"/>
    <w:rsid w:val="0099790C"/>
    <w:rsid w:val="009B74B0"/>
    <w:rsid w:val="009D4414"/>
    <w:rsid w:val="009D6B46"/>
    <w:rsid w:val="009F4940"/>
    <w:rsid w:val="00A1665B"/>
    <w:rsid w:val="00A31103"/>
    <w:rsid w:val="00A35391"/>
    <w:rsid w:val="00A4478A"/>
    <w:rsid w:val="00A44852"/>
    <w:rsid w:val="00A57D04"/>
    <w:rsid w:val="00A60A26"/>
    <w:rsid w:val="00A61598"/>
    <w:rsid w:val="00A61602"/>
    <w:rsid w:val="00A66B1A"/>
    <w:rsid w:val="00A84F46"/>
    <w:rsid w:val="00A871F4"/>
    <w:rsid w:val="00AC1B2C"/>
    <w:rsid w:val="00AC3264"/>
    <w:rsid w:val="00AC6F01"/>
    <w:rsid w:val="00AD1E7E"/>
    <w:rsid w:val="00AD5228"/>
    <w:rsid w:val="00AE0FE2"/>
    <w:rsid w:val="00AE1BF1"/>
    <w:rsid w:val="00AF0DD2"/>
    <w:rsid w:val="00AF33A3"/>
    <w:rsid w:val="00B10314"/>
    <w:rsid w:val="00B13048"/>
    <w:rsid w:val="00B15998"/>
    <w:rsid w:val="00B1716D"/>
    <w:rsid w:val="00B17A1D"/>
    <w:rsid w:val="00B207A0"/>
    <w:rsid w:val="00B4365C"/>
    <w:rsid w:val="00B51587"/>
    <w:rsid w:val="00B54B9E"/>
    <w:rsid w:val="00B56E03"/>
    <w:rsid w:val="00B60F5D"/>
    <w:rsid w:val="00B619C2"/>
    <w:rsid w:val="00B67E91"/>
    <w:rsid w:val="00B8080B"/>
    <w:rsid w:val="00B87C39"/>
    <w:rsid w:val="00BA4665"/>
    <w:rsid w:val="00BB2FB2"/>
    <w:rsid w:val="00BB3304"/>
    <w:rsid w:val="00BC661B"/>
    <w:rsid w:val="00BD2820"/>
    <w:rsid w:val="00BD3446"/>
    <w:rsid w:val="00BE1F1B"/>
    <w:rsid w:val="00BE47B5"/>
    <w:rsid w:val="00BE4C99"/>
    <w:rsid w:val="00BF37AB"/>
    <w:rsid w:val="00C02066"/>
    <w:rsid w:val="00C04B29"/>
    <w:rsid w:val="00C058AB"/>
    <w:rsid w:val="00C05C22"/>
    <w:rsid w:val="00C06739"/>
    <w:rsid w:val="00C538A9"/>
    <w:rsid w:val="00C53B5A"/>
    <w:rsid w:val="00C54F5A"/>
    <w:rsid w:val="00C642DD"/>
    <w:rsid w:val="00C720D7"/>
    <w:rsid w:val="00C755AD"/>
    <w:rsid w:val="00C86679"/>
    <w:rsid w:val="00CB666B"/>
    <w:rsid w:val="00CF799E"/>
    <w:rsid w:val="00D01CF0"/>
    <w:rsid w:val="00D0442A"/>
    <w:rsid w:val="00D203E1"/>
    <w:rsid w:val="00D2233C"/>
    <w:rsid w:val="00D47F35"/>
    <w:rsid w:val="00D5092B"/>
    <w:rsid w:val="00D544B8"/>
    <w:rsid w:val="00D61388"/>
    <w:rsid w:val="00D61A54"/>
    <w:rsid w:val="00D64DEA"/>
    <w:rsid w:val="00D80893"/>
    <w:rsid w:val="00D92CF1"/>
    <w:rsid w:val="00D92D38"/>
    <w:rsid w:val="00D950F5"/>
    <w:rsid w:val="00DB0F93"/>
    <w:rsid w:val="00DC542F"/>
    <w:rsid w:val="00DC6704"/>
    <w:rsid w:val="00DC7981"/>
    <w:rsid w:val="00DE4EFA"/>
    <w:rsid w:val="00DE5520"/>
    <w:rsid w:val="00E04818"/>
    <w:rsid w:val="00E06442"/>
    <w:rsid w:val="00E10AC5"/>
    <w:rsid w:val="00E23993"/>
    <w:rsid w:val="00E24741"/>
    <w:rsid w:val="00E25B8C"/>
    <w:rsid w:val="00E4674F"/>
    <w:rsid w:val="00E65C85"/>
    <w:rsid w:val="00E66199"/>
    <w:rsid w:val="00E71E56"/>
    <w:rsid w:val="00E755EC"/>
    <w:rsid w:val="00E7624D"/>
    <w:rsid w:val="00EA3D42"/>
    <w:rsid w:val="00EA6B1B"/>
    <w:rsid w:val="00EE1AF3"/>
    <w:rsid w:val="00EE28F3"/>
    <w:rsid w:val="00EF5110"/>
    <w:rsid w:val="00F15882"/>
    <w:rsid w:val="00F20BD3"/>
    <w:rsid w:val="00F240F6"/>
    <w:rsid w:val="00F31FFA"/>
    <w:rsid w:val="00F373A5"/>
    <w:rsid w:val="00F47559"/>
    <w:rsid w:val="00F53DAA"/>
    <w:rsid w:val="00F60BE4"/>
    <w:rsid w:val="00F61B84"/>
    <w:rsid w:val="00F64C7B"/>
    <w:rsid w:val="00F676DD"/>
    <w:rsid w:val="00F75A26"/>
    <w:rsid w:val="00F83FAD"/>
    <w:rsid w:val="00F91DC6"/>
    <w:rsid w:val="00F952A0"/>
    <w:rsid w:val="00FA3C7F"/>
    <w:rsid w:val="00FB4E8E"/>
    <w:rsid w:val="00FB52D7"/>
    <w:rsid w:val="00FB74E2"/>
    <w:rsid w:val="00FD5614"/>
    <w:rsid w:val="00FE0BE1"/>
    <w:rsid w:val="00FE1DE9"/>
    <w:rsid w:val="00FE39C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2"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qFormat/>
    <w:rsid w:val="003B5A70"/>
    <w:rPr>
      <w:rFonts w:ascii="Arial" w:hAnsi="Arial"/>
    </w:rPr>
  </w:style>
  <w:style w:type="paragraph" w:styleId="Heading1">
    <w:name w:val="heading 1"/>
    <w:basedOn w:val="Normal"/>
    <w:next w:val="Normal"/>
    <w:link w:val="Heading1Char"/>
    <w:qFormat/>
    <w:rsid w:val="009D6B46"/>
    <w:pPr>
      <w:spacing w:before="240"/>
      <w:outlineLvl w:val="0"/>
    </w:pPr>
    <w:rPr>
      <w:rFonts w:ascii="Lucida Fax" w:eastAsiaTheme="majorEastAsia" w:hAnsi="Lucida Fax" w:cstheme="majorBidi"/>
      <w:bCs/>
      <w:color w:val="51626F"/>
      <w:sz w:val="32"/>
      <w:szCs w:val="28"/>
    </w:rPr>
  </w:style>
  <w:style w:type="paragraph" w:styleId="Heading2">
    <w:name w:val="heading 2"/>
    <w:next w:val="Normal"/>
    <w:link w:val="Heading2Char"/>
    <w:qFormat/>
    <w:rsid w:val="009D6B46"/>
    <w:pPr>
      <w:spacing w:line="240" w:lineRule="atLeast"/>
      <w:outlineLvl w:val="1"/>
    </w:pPr>
    <w:rPr>
      <w:rFonts w:ascii="Arial" w:eastAsiaTheme="majorEastAsia" w:hAnsi="Arial" w:cstheme="majorBidi"/>
      <w:b/>
      <w:bCs/>
      <w:color w:val="51626F"/>
      <w:sz w:val="28"/>
      <w:szCs w:val="26"/>
    </w:rPr>
  </w:style>
  <w:style w:type="paragraph" w:styleId="Heading3">
    <w:name w:val="heading 3"/>
    <w:basedOn w:val="Normal"/>
    <w:next w:val="Normal"/>
    <w:link w:val="Heading3Char"/>
    <w:qFormat/>
    <w:rsid w:val="009D6B46"/>
    <w:pPr>
      <w:spacing w:before="240"/>
      <w:outlineLvl w:val="2"/>
    </w:pPr>
    <w:rPr>
      <w:rFonts w:eastAsiaTheme="majorEastAsia" w:cstheme="majorBidi"/>
      <w:b/>
      <w:bCs/>
      <w:color w:val="000000" w:themeColor="text1" w:themeShade="BF"/>
      <w:sz w:val="24"/>
    </w:rPr>
  </w:style>
  <w:style w:type="paragraph" w:styleId="Heading4">
    <w:name w:val="heading 4"/>
    <w:basedOn w:val="Normal"/>
    <w:next w:val="Normal"/>
    <w:link w:val="Heading4Char"/>
    <w:qFormat/>
    <w:rsid w:val="009D6B46"/>
    <w:pPr>
      <w:spacing w:before="240"/>
      <w:outlineLvl w:val="3"/>
    </w:pPr>
    <w:rPr>
      <w:rFonts w:eastAsiaTheme="majorEastAsia" w:cstheme="majorBidi"/>
      <w:b/>
      <w:bCs/>
      <w:i/>
      <w:iCs/>
      <w:color w:val="51626F"/>
      <w:sz w:val="24"/>
    </w:rPr>
  </w:style>
  <w:style w:type="paragraph" w:styleId="Heading5">
    <w:name w:val="heading 5"/>
    <w:next w:val="Normal"/>
    <w:link w:val="Heading5Char"/>
    <w:uiPriority w:val="2"/>
    <w:qFormat/>
    <w:rsid w:val="009D6B46"/>
    <w:pPr>
      <w:spacing w:line="240" w:lineRule="atLeast"/>
      <w:outlineLvl w:val="4"/>
    </w:pPr>
    <w:rPr>
      <w:rFonts w:ascii="Arial" w:eastAsiaTheme="majorEastAsia" w:hAnsi="Arial" w:cstheme="majorBidi"/>
      <w:b/>
      <w:color w:val="283037" w:themeColor="accent1" w:themeShade="7F"/>
    </w:rPr>
  </w:style>
  <w:style w:type="paragraph" w:styleId="Heading6">
    <w:name w:val="heading 6"/>
    <w:basedOn w:val="Normal"/>
    <w:next w:val="Normal"/>
    <w:link w:val="Heading6Char"/>
    <w:uiPriority w:val="2"/>
    <w:qFormat/>
    <w:rsid w:val="009D6B46"/>
    <w:pPr>
      <w:spacing w:before="240"/>
      <w:outlineLvl w:val="5"/>
    </w:pPr>
    <w:rPr>
      <w:rFonts w:eastAsiaTheme="majorEastAsia" w:cstheme="majorBidi"/>
      <w:b/>
      <w:i/>
      <w:iCs/>
    </w:rPr>
  </w:style>
  <w:style w:type="paragraph" w:styleId="Heading7">
    <w:name w:val="heading 7"/>
    <w:basedOn w:val="Normal"/>
    <w:next w:val="Normal"/>
    <w:link w:val="Heading7Char"/>
    <w:uiPriority w:val="2"/>
    <w:qFormat/>
    <w:rsid w:val="009D6B46"/>
    <w:pPr>
      <w:spacing w:before="240"/>
      <w:outlineLvl w:val="6"/>
    </w:pPr>
    <w:rPr>
      <w:rFonts w:eastAsiaTheme="majorEastAsia" w:cstheme="majorBidi"/>
      <w:i/>
      <w:iCs/>
      <w:color w:val="404040" w:themeColor="text1" w:themeTint="BF"/>
    </w:rPr>
  </w:style>
  <w:style w:type="paragraph" w:styleId="Heading8">
    <w:name w:val="heading 8"/>
    <w:basedOn w:val="Normal"/>
    <w:next w:val="Normal"/>
    <w:link w:val="Heading8Char"/>
    <w:uiPriority w:val="2"/>
    <w:qFormat/>
    <w:rsid w:val="009D6B46"/>
    <w:pPr>
      <w:spacing w:before="240"/>
      <w:outlineLvl w:val="7"/>
    </w:pPr>
    <w:rPr>
      <w:rFonts w:eastAsiaTheme="majorEastAsia" w:cstheme="majorBidi"/>
      <w:color w:val="51626F" w:themeColor="accent1"/>
      <w:szCs w:val="20"/>
    </w:rPr>
  </w:style>
  <w:style w:type="paragraph" w:styleId="Heading9">
    <w:name w:val="heading 9"/>
    <w:aliases w:val="Numbered Table"/>
    <w:basedOn w:val="Normal"/>
    <w:next w:val="Normal"/>
    <w:link w:val="Heading9Char"/>
    <w:uiPriority w:val="2"/>
    <w:qFormat/>
    <w:rsid w:val="00646025"/>
    <w:pPr>
      <w:numPr>
        <w:numId w:val="27"/>
      </w:numPr>
      <w:tabs>
        <w:tab w:val="left" w:pos="340"/>
      </w:tabs>
      <w:spacing w:before="240" w:after="120"/>
      <w:outlineLvl w:val="8"/>
    </w:pPr>
    <w:rPr>
      <w:rFonts w:eastAsiaTheme="majorEastAsia" w:cstheme="majorBidi"/>
      <w:b/>
      <w:iCs/>
      <w:color w:val="000000" w:themeColor="text1"/>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D6B46"/>
    <w:rPr>
      <w:rFonts w:ascii="Lucida Fax" w:eastAsiaTheme="majorEastAsia" w:hAnsi="Lucida Fax" w:cstheme="majorBidi"/>
      <w:bCs/>
      <w:color w:val="51626F"/>
      <w:sz w:val="32"/>
      <w:szCs w:val="28"/>
    </w:rPr>
  </w:style>
  <w:style w:type="character" w:customStyle="1" w:styleId="Heading2Char">
    <w:name w:val="Heading 2 Char"/>
    <w:basedOn w:val="DefaultParagraphFont"/>
    <w:link w:val="Heading2"/>
    <w:rsid w:val="009D6B46"/>
    <w:rPr>
      <w:rFonts w:ascii="Arial" w:eastAsiaTheme="majorEastAsia" w:hAnsi="Arial" w:cstheme="majorBidi"/>
      <w:b/>
      <w:bCs/>
      <w:color w:val="51626F"/>
      <w:sz w:val="28"/>
      <w:szCs w:val="26"/>
    </w:rPr>
  </w:style>
  <w:style w:type="character" w:customStyle="1" w:styleId="Heading3Char">
    <w:name w:val="Heading 3 Char"/>
    <w:basedOn w:val="DefaultParagraphFont"/>
    <w:link w:val="Heading3"/>
    <w:rsid w:val="009D6B46"/>
    <w:rPr>
      <w:rFonts w:ascii="Arial" w:eastAsiaTheme="majorEastAsia" w:hAnsi="Arial" w:cstheme="majorBidi"/>
      <w:b/>
      <w:bCs/>
      <w:color w:val="000000" w:themeColor="text1" w:themeShade="BF"/>
      <w:sz w:val="24"/>
    </w:rPr>
  </w:style>
  <w:style w:type="character" w:customStyle="1" w:styleId="Heading4Char">
    <w:name w:val="Heading 4 Char"/>
    <w:basedOn w:val="DefaultParagraphFont"/>
    <w:link w:val="Heading4"/>
    <w:rsid w:val="009D6B46"/>
    <w:rPr>
      <w:rFonts w:ascii="Arial" w:eastAsiaTheme="majorEastAsia" w:hAnsi="Arial" w:cstheme="majorBidi"/>
      <w:b/>
      <w:bCs/>
      <w:i/>
      <w:iCs/>
      <w:color w:val="51626F"/>
      <w:sz w:val="24"/>
    </w:rPr>
  </w:style>
  <w:style w:type="character" w:customStyle="1" w:styleId="Heading5Char">
    <w:name w:val="Heading 5 Char"/>
    <w:basedOn w:val="DefaultParagraphFont"/>
    <w:link w:val="Heading5"/>
    <w:uiPriority w:val="2"/>
    <w:rsid w:val="009D6B46"/>
    <w:rPr>
      <w:rFonts w:ascii="Arial" w:eastAsiaTheme="majorEastAsia" w:hAnsi="Arial" w:cstheme="majorBidi"/>
      <w:b/>
      <w:color w:val="283037" w:themeColor="accent1" w:themeShade="7F"/>
    </w:rPr>
  </w:style>
  <w:style w:type="character" w:customStyle="1" w:styleId="Heading6Char">
    <w:name w:val="Heading 6 Char"/>
    <w:basedOn w:val="DefaultParagraphFont"/>
    <w:link w:val="Heading6"/>
    <w:uiPriority w:val="2"/>
    <w:rsid w:val="009D6B46"/>
    <w:rPr>
      <w:rFonts w:ascii="Arial" w:eastAsiaTheme="majorEastAsia" w:hAnsi="Arial" w:cstheme="majorBidi"/>
      <w:b/>
      <w:i/>
      <w:iCs/>
    </w:rPr>
  </w:style>
  <w:style w:type="paragraph" w:customStyle="1" w:styleId="Chaptertitle">
    <w:name w:val="Chapter title"/>
    <w:basedOn w:val="Normal"/>
    <w:link w:val="ChaptertitleChar"/>
    <w:rsid w:val="0088007E"/>
    <w:pPr>
      <w:spacing w:before="520" w:after="120"/>
    </w:pPr>
    <w:rPr>
      <w:rFonts w:ascii="Lucida Fax" w:hAnsi="Lucida Fax"/>
      <w:color w:val="4F2D7F"/>
      <w:sz w:val="52"/>
      <w:szCs w:val="52"/>
    </w:rPr>
  </w:style>
  <w:style w:type="character" w:customStyle="1" w:styleId="ChaptertitleChar">
    <w:name w:val="Chapter title Char"/>
    <w:basedOn w:val="DefaultParagraphFont"/>
    <w:link w:val="Chaptertitle"/>
    <w:rsid w:val="0088007E"/>
    <w:rPr>
      <w:rFonts w:ascii="Lucida Fax" w:hAnsi="Lucida Fax"/>
      <w:color w:val="4F2D7F"/>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customStyle="1" w:styleId="Copyrighttext">
    <w:name w:val="Copyright text"/>
    <w:basedOn w:val="Normal"/>
    <w:link w:val="CopyrighttextChar"/>
    <w:uiPriority w:val="2"/>
    <w:qFormat/>
    <w:rsid w:val="00F952A0"/>
    <w:pPr>
      <w:spacing w:line="360" w:lineRule="auto"/>
      <w:contextualSpacing/>
    </w:pPr>
    <w:rPr>
      <w:color w:val="51626F" w:themeColor="accent1"/>
      <w:sz w:val="16"/>
      <w:szCs w:val="16"/>
    </w:rPr>
  </w:style>
  <w:style w:type="character" w:customStyle="1" w:styleId="CopyrighttextChar">
    <w:name w:val="Copyright text Char"/>
    <w:basedOn w:val="DefaultParagraphFont"/>
    <w:link w:val="Copyrighttext"/>
    <w:uiPriority w:val="2"/>
    <w:rsid w:val="00724A37"/>
    <w:rPr>
      <w:rFonts w:ascii="Arial" w:hAnsi="Arial"/>
      <w:color w:val="51626F" w:themeColor="accent1"/>
      <w:sz w:val="16"/>
      <w:szCs w:val="16"/>
    </w:rPr>
  </w:style>
  <w:style w:type="paragraph" w:styleId="TOC8">
    <w:name w:val="toc 8"/>
    <w:basedOn w:val="Normal"/>
    <w:next w:val="Normal"/>
    <w:uiPriority w:val="39"/>
    <w:rsid w:val="009F4940"/>
    <w:pPr>
      <w:tabs>
        <w:tab w:val="right" w:leader="dot" w:pos="9016"/>
      </w:tabs>
      <w:spacing w:after="100"/>
      <w:ind w:left="2977"/>
    </w:pPr>
    <w:rPr>
      <w:noProof/>
    </w:rPr>
  </w:style>
  <w:style w:type="paragraph" w:styleId="TOC9">
    <w:name w:val="toc 9"/>
    <w:basedOn w:val="Normal"/>
    <w:next w:val="Normal"/>
    <w:uiPriority w:val="39"/>
    <w:rsid w:val="009F4940"/>
    <w:pPr>
      <w:tabs>
        <w:tab w:val="right" w:leader="dot" w:pos="9016"/>
      </w:tabs>
      <w:spacing w:after="100"/>
      <w:ind w:left="3402"/>
    </w:pPr>
    <w:rPr>
      <w:noProof/>
    </w:rPr>
  </w:style>
  <w:style w:type="paragraph" w:customStyle="1" w:styleId="Numbered1">
    <w:name w:val="Numbered 1"/>
    <w:basedOn w:val="Heading1"/>
    <w:next w:val="Normal"/>
    <w:link w:val="Numbered1Char"/>
    <w:qFormat/>
    <w:rsid w:val="00F61B84"/>
    <w:pPr>
      <w:numPr>
        <w:numId w:val="12"/>
      </w:numPr>
      <w:tabs>
        <w:tab w:val="left" w:pos="680"/>
      </w:tabs>
      <w:ind w:left="680" w:hanging="680"/>
    </w:pPr>
  </w:style>
  <w:style w:type="paragraph" w:customStyle="1" w:styleId="Numbered11">
    <w:name w:val="Numbered 1.1"/>
    <w:basedOn w:val="Heading2"/>
    <w:next w:val="Normal"/>
    <w:qFormat/>
    <w:rsid w:val="00F61B84"/>
    <w:pPr>
      <w:numPr>
        <w:ilvl w:val="1"/>
        <w:numId w:val="12"/>
      </w:numPr>
      <w:tabs>
        <w:tab w:val="left" w:pos="1021"/>
      </w:tabs>
      <w:ind w:left="1021" w:hanging="1021"/>
    </w:pPr>
    <w:rPr>
      <w:rFonts w:cs="Arial"/>
      <w:b w:val="0"/>
    </w:rPr>
  </w:style>
  <w:style w:type="paragraph" w:customStyle="1" w:styleId="Numbered111">
    <w:name w:val="Numbered 1.1.1"/>
    <w:basedOn w:val="Heading3"/>
    <w:next w:val="Normal"/>
    <w:qFormat/>
    <w:rsid w:val="00F61B84"/>
    <w:pPr>
      <w:numPr>
        <w:ilvl w:val="2"/>
        <w:numId w:val="12"/>
      </w:numPr>
      <w:tabs>
        <w:tab w:val="left" w:pos="1361"/>
      </w:tabs>
      <w:ind w:left="1361" w:hanging="1361"/>
      <w:contextualSpacing/>
    </w:pPr>
  </w:style>
  <w:style w:type="paragraph" w:customStyle="1" w:styleId="Numbered1111">
    <w:name w:val="Numbered 1.1.1.1"/>
    <w:basedOn w:val="Heading4"/>
    <w:next w:val="Normal"/>
    <w:rsid w:val="00F61B84"/>
    <w:pPr>
      <w:numPr>
        <w:ilvl w:val="3"/>
        <w:numId w:val="12"/>
      </w:numPr>
      <w:tabs>
        <w:tab w:val="left" w:pos="1361"/>
      </w:tabs>
      <w:ind w:left="1361" w:hanging="1361"/>
    </w:pPr>
  </w:style>
  <w:style w:type="paragraph" w:customStyle="1" w:styleId="Numbered11111">
    <w:name w:val="Numbered 1.1.1.1.1"/>
    <w:basedOn w:val="Heading5"/>
    <w:next w:val="Normal"/>
    <w:uiPriority w:val="2"/>
    <w:rsid w:val="00F61B84"/>
    <w:pPr>
      <w:numPr>
        <w:ilvl w:val="4"/>
        <w:numId w:val="12"/>
      </w:numPr>
      <w:tabs>
        <w:tab w:val="left" w:pos="1701"/>
      </w:tabs>
      <w:ind w:left="1701" w:hanging="1701"/>
    </w:pPr>
  </w:style>
  <w:style w:type="paragraph" w:customStyle="1" w:styleId="Numbered111111">
    <w:name w:val="Numbered 1.1.1.1.1.1"/>
    <w:basedOn w:val="Heading6"/>
    <w:next w:val="Normal"/>
    <w:uiPriority w:val="2"/>
    <w:rsid w:val="00F61B84"/>
    <w:pPr>
      <w:numPr>
        <w:ilvl w:val="5"/>
        <w:numId w:val="12"/>
      </w:numPr>
      <w:tabs>
        <w:tab w:val="left" w:pos="1701"/>
      </w:tabs>
      <w:ind w:left="1701" w:hanging="1701"/>
    </w:pPr>
  </w:style>
  <w:style w:type="paragraph" w:styleId="Header">
    <w:name w:val="header"/>
    <w:basedOn w:val="Normal"/>
    <w:link w:val="HeaderChar"/>
    <w:uiPriority w:val="99"/>
    <w:unhideWhenUsed/>
    <w:qFormat/>
    <w:rsid w:val="008344F6"/>
    <w:pPr>
      <w:tabs>
        <w:tab w:val="center" w:pos="4513"/>
        <w:tab w:val="right" w:pos="9026"/>
      </w:tabs>
      <w:spacing w:after="120"/>
    </w:pPr>
    <w:rPr>
      <w:color w:val="51626F" w:themeColor="accent1"/>
      <w:sz w:val="18"/>
    </w:rPr>
  </w:style>
  <w:style w:type="character" w:customStyle="1" w:styleId="HeaderChar">
    <w:name w:val="Header Char"/>
    <w:basedOn w:val="DefaultParagraphFont"/>
    <w:link w:val="Header"/>
    <w:uiPriority w:val="99"/>
    <w:rsid w:val="008344F6"/>
    <w:rPr>
      <w:rFonts w:ascii="Arial" w:hAnsi="Arial"/>
      <w:color w:val="51626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584D8F"/>
    <w:pPr>
      <w:spacing w:before="240" w:after="120"/>
    </w:pPr>
    <w:rPr>
      <w:b/>
      <w:szCs w:val="20"/>
    </w:rPr>
  </w:style>
  <w:style w:type="character" w:customStyle="1" w:styleId="TabletitleChar">
    <w:name w:val="Table title Char"/>
    <w:basedOn w:val="DefaultParagraphFont"/>
    <w:link w:val="Tabletitle"/>
    <w:rsid w:val="00584D8F"/>
    <w:rPr>
      <w:rFonts w:ascii="Arial" w:hAnsi="Arial"/>
      <w:b/>
      <w:szCs w:val="20"/>
    </w:rPr>
  </w:style>
  <w:style w:type="paragraph" w:customStyle="1" w:styleId="Charttitle">
    <w:name w:val="Chart title"/>
    <w:basedOn w:val="Tabletitle"/>
    <w:rsid w:val="005C26CC"/>
    <w:rPr>
      <w:sz w:val="24"/>
    </w:rPr>
  </w:style>
  <w:style w:type="paragraph" w:styleId="EndnoteText">
    <w:name w:val="endnote text"/>
    <w:basedOn w:val="Normal"/>
    <w:link w:val="EndnoteTextChar"/>
    <w:uiPriority w:val="99"/>
    <w:rsid w:val="00263AC0"/>
    <w:pPr>
      <w:spacing w:before="0"/>
    </w:pPr>
    <w:rPr>
      <w:sz w:val="20"/>
      <w:szCs w:val="20"/>
    </w:rPr>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EA3D42"/>
    <w:pPr>
      <w:spacing w:after="120"/>
      <w:contextualSpacing/>
    </w:pPr>
    <w:rPr>
      <w:rFonts w:ascii="Lucida Fax" w:hAnsi="Lucida Fax"/>
      <w:b/>
      <w:color w:val="DC5034"/>
      <w:sz w:val="24"/>
      <w:szCs w:val="24"/>
    </w:rPr>
  </w:style>
  <w:style w:type="character" w:customStyle="1" w:styleId="PullquoteheadingChar">
    <w:name w:val="Pull quote heading Char"/>
    <w:basedOn w:val="DefaultParagraphFont"/>
    <w:link w:val="Pullquoteheading"/>
    <w:uiPriority w:val="1"/>
    <w:rsid w:val="00AE1BF1"/>
    <w:rPr>
      <w:rFonts w:ascii="Lucida Fax" w:hAnsi="Lucida Fax"/>
      <w:b/>
      <w:color w:val="DC5034"/>
      <w:sz w:val="24"/>
      <w:szCs w:val="24"/>
    </w:rPr>
  </w:style>
  <w:style w:type="paragraph" w:customStyle="1" w:styleId="Pullquotetext">
    <w:name w:val="Pull quote text"/>
    <w:link w:val="PullquotetextChar"/>
    <w:uiPriority w:val="1"/>
    <w:rsid w:val="00AF0DD2"/>
    <w:pPr>
      <w:spacing w:before="120"/>
    </w:pPr>
    <w:rPr>
      <w:rFonts w:ascii="Lucida Fax" w:hAnsi="Lucida Fax"/>
      <w:color w:val="DC5034"/>
      <w:szCs w:val="24"/>
    </w:rPr>
  </w:style>
  <w:style w:type="character" w:customStyle="1" w:styleId="PullquotetextChar">
    <w:name w:val="Pull quote text Char"/>
    <w:basedOn w:val="PullquoteheadingChar"/>
    <w:link w:val="Pullquotetext"/>
    <w:uiPriority w:val="1"/>
    <w:rsid w:val="00AE1BF1"/>
    <w:rPr>
      <w:rFonts w:ascii="Lucida Fax" w:hAnsi="Lucida Fax"/>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customStyle="1" w:styleId="Footnotes">
    <w:name w:val="Footnotes"/>
    <w:basedOn w:val="FootnoteText"/>
    <w:link w:val="FootnotesChar"/>
    <w:uiPriority w:val="4"/>
    <w:semiHidden/>
    <w:qFormat/>
    <w:rsid w:val="00B8080B"/>
  </w:style>
  <w:style w:type="character" w:customStyle="1" w:styleId="FootnotesChar">
    <w:name w:val="Footnotes Char"/>
    <w:basedOn w:val="DefaultParagraphFont"/>
    <w:link w:val="Footnotes"/>
    <w:uiPriority w:val="4"/>
    <w:semiHidden/>
    <w:rsid w:val="00FE39C2"/>
    <w:rPr>
      <w:rFonts w:ascii="Arial" w:hAnsi="Arial"/>
      <w:sz w:val="20"/>
      <w:szCs w:val="20"/>
    </w:rPr>
  </w:style>
  <w:style w:type="paragraph" w:styleId="Quote">
    <w:name w:val="Quote"/>
    <w:basedOn w:val="Normal"/>
    <w:next w:val="Normal"/>
    <w:link w:val="QuoteChar"/>
    <w:uiPriority w:val="29"/>
    <w:rsid w:val="001D055E"/>
    <w:pPr>
      <w:ind w:left="737"/>
    </w:pPr>
    <w:rPr>
      <w:i/>
      <w:iCs/>
      <w:color w:val="000000" w:themeColor="text1"/>
    </w:rPr>
  </w:style>
  <w:style w:type="character" w:customStyle="1" w:styleId="QuoteChar">
    <w:name w:val="Quote Char"/>
    <w:basedOn w:val="DefaultParagraphFont"/>
    <w:link w:val="Quote"/>
    <w:uiPriority w:val="29"/>
    <w:rsid w:val="001D055E"/>
    <w:rPr>
      <w:rFonts w:ascii="Arial" w:hAnsi="Arial"/>
      <w:i/>
      <w:iCs/>
      <w:color w:val="000000" w:themeColor="text1"/>
    </w:rPr>
  </w:style>
  <w:style w:type="paragraph" w:customStyle="1" w:styleId="Bulletpoint">
    <w:name w:val="Bullet point"/>
    <w:basedOn w:val="ListBullet"/>
    <w:qFormat/>
    <w:rsid w:val="00E4674F"/>
    <w:pPr>
      <w:numPr>
        <w:numId w:val="2"/>
      </w:numPr>
      <w:ind w:left="340" w:hanging="340"/>
    </w:pPr>
    <w:rPr>
      <w:rFonts w:cs="Times New Roman"/>
    </w:rPr>
  </w:style>
  <w:style w:type="paragraph" w:styleId="ListBullet">
    <w:name w:val="List Bullet"/>
    <w:basedOn w:val="Normal"/>
    <w:uiPriority w:val="99"/>
    <w:rsid w:val="00DC542F"/>
    <w:pPr>
      <w:numPr>
        <w:numId w:val="10"/>
      </w:numPr>
      <w:tabs>
        <w:tab w:val="left" w:pos="340"/>
      </w:tabs>
      <w:spacing w:before="120"/>
      <w:ind w:left="340" w:hanging="340"/>
    </w:pPr>
  </w:style>
  <w:style w:type="paragraph" w:customStyle="1" w:styleId="Bulletpoint2">
    <w:name w:val="Bullet point 2"/>
    <w:basedOn w:val="ListBullet2"/>
    <w:uiPriority w:val="1"/>
    <w:qFormat/>
    <w:rsid w:val="00E4674F"/>
    <w:pPr>
      <w:numPr>
        <w:numId w:val="9"/>
      </w:numPr>
      <w:tabs>
        <w:tab w:val="left" w:pos="680"/>
      </w:tabs>
      <w:ind w:left="680" w:hanging="340"/>
    </w:pPr>
  </w:style>
  <w:style w:type="paragraph" w:styleId="ListNumber">
    <w:name w:val="List Number"/>
    <w:basedOn w:val="Normal"/>
    <w:uiPriority w:val="99"/>
    <w:rsid w:val="000F2368"/>
    <w:pPr>
      <w:numPr>
        <w:numId w:val="23"/>
      </w:numPr>
      <w:spacing w:before="120"/>
    </w:pPr>
    <w:rPr>
      <w:color w:val="000000" w:themeColor="text1" w:themeShade="BF"/>
    </w:rPr>
  </w:style>
  <w:style w:type="paragraph" w:styleId="ListBullet2">
    <w:name w:val="List Bullet 2"/>
    <w:basedOn w:val="Normal"/>
    <w:uiPriority w:val="99"/>
    <w:rsid w:val="00DC542F"/>
    <w:pPr>
      <w:numPr>
        <w:numId w:val="3"/>
      </w:numPr>
      <w:tabs>
        <w:tab w:val="clear" w:pos="643"/>
        <w:tab w:val="num" w:pos="680"/>
      </w:tabs>
      <w:spacing w:before="120"/>
      <w:ind w:left="680" w:hanging="340"/>
    </w:pPr>
  </w:style>
  <w:style w:type="paragraph" w:styleId="TOCHeading">
    <w:name w:val="TOC Heading"/>
    <w:basedOn w:val="Normal"/>
    <w:next w:val="Normal"/>
    <w:uiPriority w:val="39"/>
    <w:qFormat/>
    <w:rsid w:val="00E04818"/>
    <w:pPr>
      <w:spacing w:before="480" w:after="120" w:line="276" w:lineRule="auto"/>
    </w:pPr>
    <w:rPr>
      <w:rFonts w:ascii="Lucida Fax" w:eastAsiaTheme="majorEastAsia" w:hAnsi="Lucida Fax" w:cstheme="majorBidi"/>
      <w:bCs/>
      <w:color w:val="51626F"/>
      <w:sz w:val="32"/>
      <w:szCs w:val="28"/>
      <w:lang w:val="en-US" w:eastAsia="ja-JP"/>
    </w:rPr>
  </w:style>
  <w:style w:type="paragraph" w:styleId="ListNumber2">
    <w:name w:val="List Number 2"/>
    <w:next w:val="Normal"/>
    <w:uiPriority w:val="99"/>
    <w:rsid w:val="00BE4C99"/>
    <w:pPr>
      <w:numPr>
        <w:numId w:val="24"/>
      </w:numPr>
      <w:tabs>
        <w:tab w:val="left" w:pos="680"/>
      </w:tabs>
      <w:spacing w:before="120"/>
    </w:pPr>
    <w:rPr>
      <w:rFonts w:ascii="Arial" w:hAnsi="Arial"/>
    </w:r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semiHidden/>
    <w:unhideWhenUsed/>
    <w:rsid w:val="003518B3"/>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A57D04"/>
    <w:pPr>
      <w:tabs>
        <w:tab w:val="center" w:pos="4513"/>
        <w:tab w:val="right" w:pos="9026"/>
      </w:tabs>
      <w:spacing w:after="120"/>
    </w:pPr>
    <w:rPr>
      <w:color w:val="51626F" w:themeColor="accent1"/>
      <w:sz w:val="18"/>
    </w:rPr>
  </w:style>
  <w:style w:type="character" w:customStyle="1" w:styleId="FooterChar">
    <w:name w:val="Footer Char"/>
    <w:basedOn w:val="DefaultParagraphFont"/>
    <w:link w:val="Footer"/>
    <w:uiPriority w:val="99"/>
    <w:rsid w:val="00A57D04"/>
    <w:rPr>
      <w:rFonts w:ascii="Arial" w:hAnsi="Arial"/>
      <w:color w:val="51626F" w:themeColor="accent1"/>
      <w:sz w:val="18"/>
    </w:rPr>
  </w:style>
  <w:style w:type="paragraph" w:styleId="ListParagraph">
    <w:name w:val="List Paragraph"/>
    <w:basedOn w:val="Normal"/>
    <w:uiPriority w:val="34"/>
    <w:qFormat/>
    <w:rsid w:val="00F61B84"/>
    <w:pPr>
      <w:numPr>
        <w:numId w:val="11"/>
      </w:numPr>
      <w:tabs>
        <w:tab w:val="left" w:pos="340"/>
      </w:tabs>
      <w:spacing w:before="120"/>
    </w:pPr>
  </w:style>
  <w:style w:type="character" w:customStyle="1" w:styleId="Heading7Char">
    <w:name w:val="Heading 7 Char"/>
    <w:basedOn w:val="DefaultParagraphFont"/>
    <w:link w:val="Heading7"/>
    <w:uiPriority w:val="2"/>
    <w:rsid w:val="009D6B46"/>
    <w:rPr>
      <w:rFonts w:ascii="Arial" w:eastAsiaTheme="majorEastAsia" w:hAnsi="Arial" w:cstheme="majorBidi"/>
      <w:i/>
      <w:iCs/>
      <w:color w:val="404040" w:themeColor="text1" w:themeTint="BF"/>
    </w:rPr>
  </w:style>
  <w:style w:type="character" w:customStyle="1" w:styleId="Heading8Char">
    <w:name w:val="Heading 8 Char"/>
    <w:basedOn w:val="DefaultParagraphFont"/>
    <w:link w:val="Heading8"/>
    <w:uiPriority w:val="2"/>
    <w:rsid w:val="009D6B46"/>
    <w:rPr>
      <w:rFonts w:ascii="Arial" w:eastAsiaTheme="majorEastAsia" w:hAnsi="Arial" w:cstheme="majorBidi"/>
      <w:color w:val="51626F" w:themeColor="accent1"/>
      <w:szCs w:val="20"/>
    </w:rPr>
  </w:style>
  <w:style w:type="character" w:customStyle="1" w:styleId="Heading9Char">
    <w:name w:val="Heading 9 Char"/>
    <w:aliases w:val="Numbered Table Char"/>
    <w:basedOn w:val="DefaultParagraphFont"/>
    <w:link w:val="Heading9"/>
    <w:uiPriority w:val="2"/>
    <w:rsid w:val="00646025"/>
    <w:rPr>
      <w:rFonts w:ascii="Arial" w:eastAsiaTheme="majorEastAsia" w:hAnsi="Arial" w:cstheme="majorBidi"/>
      <w:b/>
      <w:iCs/>
      <w:color w:val="000000" w:themeColor="text1"/>
      <w:sz w:val="24"/>
      <w:szCs w:val="20"/>
    </w:rPr>
  </w:style>
  <w:style w:type="paragraph" w:customStyle="1" w:styleId="Numbered1111111">
    <w:name w:val="Numbered 1.1.1.1.1.1.1"/>
    <w:basedOn w:val="Heading7"/>
    <w:next w:val="Normal"/>
    <w:uiPriority w:val="2"/>
    <w:rsid w:val="00F61B84"/>
    <w:pPr>
      <w:numPr>
        <w:ilvl w:val="6"/>
        <w:numId w:val="12"/>
      </w:numPr>
      <w:tabs>
        <w:tab w:val="left" w:pos="2041"/>
      </w:tabs>
      <w:ind w:left="2041" w:hanging="2041"/>
    </w:pPr>
  </w:style>
  <w:style w:type="paragraph" w:customStyle="1" w:styleId="Numbered11111111">
    <w:name w:val="Numbered 1.1.1.1.1.1.1.1"/>
    <w:basedOn w:val="Heading8"/>
    <w:next w:val="Normal"/>
    <w:uiPriority w:val="2"/>
    <w:rsid w:val="00F61B84"/>
    <w:pPr>
      <w:numPr>
        <w:ilvl w:val="7"/>
        <w:numId w:val="12"/>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A871F4"/>
    <w:pPr>
      <w:spacing w:before="0"/>
    </w:pPr>
    <w:rPr>
      <w:color w:val="3C4953" w:themeColor="accent1" w:themeShade="BF"/>
    </w:rPr>
    <w:tblPr>
      <w:tblStyleRowBandSize w:val="1"/>
      <w:tblStyleColBandSize w:val="1"/>
      <w:tblBorders>
        <w:top w:val="single" w:sz="8" w:space="0" w:color="51626F" w:themeColor="accent1"/>
        <w:bottom w:val="single" w:sz="8" w:space="0" w:color="51626F" w:themeColor="accent1"/>
      </w:tblBorders>
    </w:tblPr>
    <w:tblStylePr w:type="fir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la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1D8DD" w:themeFill="accent1" w:themeFillTint="3F"/>
      </w:tcPr>
    </w:tblStylePr>
    <w:tblStylePr w:type="band1Horz">
      <w:tblPr/>
      <w:tcPr>
        <w:tcBorders>
          <w:left w:val="nil"/>
          <w:right w:val="nil"/>
          <w:insideH w:val="nil"/>
          <w:insideV w:val="nil"/>
        </w:tcBorders>
        <w:shd w:val="clear" w:color="auto" w:fill="D1D8DD"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blBorders>
    </w:tblPr>
    <w:tcPr>
      <w:vAlign w:val="center"/>
    </w:tcPr>
    <w:tblStylePr w:type="fir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l2br w:val="nil"/>
          <w:tr2bl w:val="nil"/>
        </w:tcBorders>
      </w:tcPr>
    </w:tblStylePr>
    <w:tblStylePr w:type="la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7192" w:themeColor="accent3" w:themeShade="BF"/>
    </w:rPr>
    <w:tblPr>
      <w:tblStyleRowBandSize w:val="1"/>
      <w:tblStyleColBandSize w:val="1"/>
      <w:tblBorders>
        <w:top w:val="single" w:sz="8" w:space="0" w:color="0098C3" w:themeColor="accent3"/>
        <w:bottom w:val="single" w:sz="8" w:space="0" w:color="0098C3" w:themeColor="accent3"/>
      </w:tblBorders>
    </w:tblPr>
    <w:tblStylePr w:type="fir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la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1EDFF" w:themeFill="accent3" w:themeFillTint="3F"/>
      </w:tcPr>
    </w:tblStylePr>
    <w:tblStylePr w:type="band1Horz">
      <w:tblPr/>
      <w:tcPr>
        <w:tcBorders>
          <w:left w:val="nil"/>
          <w:right w:val="nil"/>
          <w:insideH w:val="nil"/>
          <w:insideV w:val="nil"/>
        </w:tcBorders>
        <w:shd w:val="clear" w:color="auto" w:fill="B1ED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DC5034" w:themeColor="accent6"/>
        <w:left w:val="single" w:sz="8" w:space="0" w:color="DC5034" w:themeColor="accent6"/>
        <w:bottom w:val="single" w:sz="8" w:space="0" w:color="DC5034" w:themeColor="accent6"/>
        <w:right w:val="single" w:sz="8" w:space="0" w:color="DC5034" w:themeColor="accent6"/>
        <w:insideH w:val="single" w:sz="8" w:space="0" w:color="DC5034" w:themeColor="accent6"/>
        <w:insideV w:val="single" w:sz="8" w:space="0" w:color="DC5034"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18" w:space="0" w:color="DC5034" w:themeColor="accent6"/>
          <w:right w:val="single" w:sz="8" w:space="0" w:color="DC5034" w:themeColor="accent6"/>
          <w:insideH w:val="nil"/>
          <w:insideV w:val="single" w:sz="8" w:space="0" w:color="DC5034"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insideH w:val="nil"/>
          <w:insideV w:val="single" w:sz="8" w:space="0" w:color="DC5034"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shd w:val="clear" w:color="auto" w:fill="F6D3CC" w:themeFill="accent6" w:themeFillTint="3F"/>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shd w:val="clear" w:color="auto" w:fill="F6D3CC" w:themeFill="accent6" w:themeFillTint="3F"/>
      </w:tcPr>
    </w:tblStylePr>
    <w:tblStylePr w:type="band2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single" w:sz="8" w:space="0" w:color="758A9A" w:themeColor="accent1" w:themeTint="BF"/>
      </w:tblBorders>
    </w:tblPr>
    <w:tblStylePr w:type="firstRow">
      <w:pPr>
        <w:spacing w:before="0" w:after="0" w:line="240" w:lineRule="auto"/>
      </w:pPr>
      <w:rPr>
        <w:b/>
        <w:bCs/>
        <w:color w:val="FFFFFF" w:themeColor="background1"/>
      </w:rPr>
      <w:tblPr/>
      <w:tcPr>
        <w:tc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shd w:val="clear" w:color="auto" w:fill="51626F" w:themeFill="accent1"/>
      </w:tcPr>
    </w:tblStylePr>
    <w:tblStylePr w:type="lastRow">
      <w:pPr>
        <w:spacing w:before="0" w:after="0" w:line="240" w:lineRule="auto"/>
      </w:pPr>
      <w:rPr>
        <w:b/>
        <w:bCs/>
      </w:rPr>
      <w:tblPr/>
      <w:tcPr>
        <w:tcBorders>
          <w:top w:val="double" w:sz="6"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tcPr>
    </w:tblStylePr>
    <w:tblStylePr w:type="firstCol">
      <w:rPr>
        <w:b/>
        <w:bCs/>
      </w:rPr>
    </w:tblStylePr>
    <w:tblStylePr w:type="lastCol">
      <w:rPr>
        <w:b/>
        <w:bCs/>
      </w:rPr>
    </w:tblStylePr>
    <w:tblStylePr w:type="band1Vert">
      <w:tblPr/>
      <w:tcPr>
        <w:shd w:val="clear" w:color="auto" w:fill="D1D8DD" w:themeFill="accent1" w:themeFillTint="3F"/>
      </w:tcPr>
    </w:tblStylePr>
    <w:tblStylePr w:type="band1Horz">
      <w:tblPr/>
      <w:tcPr>
        <w:tcBorders>
          <w:insideH w:val="nil"/>
          <w:insideV w:val="nil"/>
        </w:tcBorders>
        <w:shd w:val="clear" w:color="auto" w:fill="D1D8DD"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single" w:sz="8" w:space="0" w:color="7643BB" w:themeColor="accent2" w:themeTint="BF"/>
      </w:tblBorders>
    </w:tblPr>
    <w:tblStylePr w:type="firstRow">
      <w:pPr>
        <w:spacing w:before="0" w:after="0" w:line="240" w:lineRule="auto"/>
      </w:pPr>
      <w:rPr>
        <w:b/>
        <w:bCs/>
        <w:color w:val="FFFFFF" w:themeColor="background1"/>
      </w:rPr>
      <w:tblPr/>
      <w:tcPr>
        <w:tc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shd w:val="clear" w:color="auto" w:fill="4F2D7D" w:themeFill="accent2"/>
      </w:tcPr>
    </w:tblStylePr>
    <w:tblStylePr w:type="lastRow">
      <w:pPr>
        <w:spacing w:before="0" w:after="0" w:line="240" w:lineRule="auto"/>
      </w:pPr>
      <w:rPr>
        <w:b/>
        <w:bCs/>
      </w:rPr>
      <w:tblPr/>
      <w:tcPr>
        <w:tcBorders>
          <w:top w:val="double" w:sz="6"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tcPr>
    </w:tblStylePr>
    <w:tblStylePr w:type="firstCol">
      <w:rPr>
        <w:b/>
        <w:bCs/>
      </w:rPr>
    </w:tblStylePr>
    <w:tblStylePr w:type="lastCol">
      <w:rPr>
        <w:b/>
        <w:bCs/>
      </w:rPr>
    </w:tblStylePr>
    <w:tblStylePr w:type="band1Vert">
      <w:tblPr/>
      <w:tcPr>
        <w:shd w:val="clear" w:color="auto" w:fill="D1C1E8" w:themeFill="accent2" w:themeFillTint="3F"/>
      </w:tcPr>
    </w:tblStylePr>
    <w:tblStylePr w:type="band1Horz">
      <w:tblPr/>
      <w:tcPr>
        <w:tcBorders>
          <w:insideH w:val="nil"/>
          <w:insideV w:val="nil"/>
        </w:tcBorders>
        <w:shd w:val="clear" w:color="auto" w:fill="D1C1E8"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single" w:sz="8" w:space="0" w:color="13CAFF" w:themeColor="accent3" w:themeTint="BF"/>
      </w:tblBorders>
    </w:tblPr>
    <w:tblStylePr w:type="firstRow">
      <w:pPr>
        <w:spacing w:before="0" w:after="0" w:line="240" w:lineRule="auto"/>
      </w:pPr>
      <w:rPr>
        <w:b/>
        <w:bCs/>
        <w:color w:val="FFFFFF" w:themeColor="background1"/>
      </w:rPr>
      <w:tblPr/>
      <w:tcPr>
        <w:tc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shd w:val="clear" w:color="auto" w:fill="0098C3" w:themeFill="accent3"/>
      </w:tcPr>
    </w:tblStylePr>
    <w:tblStylePr w:type="lastRow">
      <w:pPr>
        <w:spacing w:before="0" w:after="0" w:line="240" w:lineRule="auto"/>
      </w:pPr>
      <w:rPr>
        <w:b/>
        <w:bCs/>
      </w:rPr>
      <w:tblPr/>
      <w:tcPr>
        <w:tcBorders>
          <w:top w:val="double" w:sz="6"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tcPr>
    </w:tblStylePr>
    <w:tblStylePr w:type="firstCol">
      <w:rPr>
        <w:b/>
        <w:bCs/>
      </w:rPr>
    </w:tblStylePr>
    <w:tblStylePr w:type="lastCol">
      <w:rPr>
        <w:b/>
        <w:bCs/>
      </w:rPr>
    </w:tblStylePr>
    <w:tblStylePr w:type="band1Vert">
      <w:tblPr/>
      <w:tcPr>
        <w:shd w:val="clear" w:color="auto" w:fill="B1EDFF" w:themeFill="accent3" w:themeFillTint="3F"/>
      </w:tcPr>
    </w:tblStylePr>
    <w:tblStylePr w:type="band1Horz">
      <w:tblPr/>
      <w:tcPr>
        <w:tcBorders>
          <w:insideH w:val="nil"/>
          <w:insideV w:val="nil"/>
        </w:tcBorders>
        <w:shd w:val="clear" w:color="auto" w:fill="B1ED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single" w:sz="8" w:space="0" w:color="B7DAF0" w:themeColor="accent4" w:themeTint="BF"/>
      </w:tblBorders>
    </w:tblPr>
    <w:tblStylePr w:type="firstRow">
      <w:pPr>
        <w:spacing w:before="0" w:after="0" w:line="240" w:lineRule="auto"/>
      </w:pPr>
      <w:rPr>
        <w:b/>
        <w:bCs/>
        <w:color w:val="FFFFFF" w:themeColor="background1"/>
      </w:rPr>
      <w:tblPr/>
      <w:tcPr>
        <w:tc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shd w:val="clear" w:color="auto" w:fill="A0CFEB" w:themeFill="accent4"/>
      </w:tcPr>
    </w:tblStylePr>
    <w:tblStylePr w:type="lastRow">
      <w:pPr>
        <w:spacing w:before="0" w:after="0" w:line="240" w:lineRule="auto"/>
      </w:pPr>
      <w:rPr>
        <w:b/>
        <w:bCs/>
      </w:rPr>
      <w:tblPr/>
      <w:tcPr>
        <w:tcBorders>
          <w:top w:val="double" w:sz="6"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tcPr>
    </w:tblStylePr>
    <w:tblStylePr w:type="firstCol">
      <w:rPr>
        <w:b/>
        <w:bCs/>
      </w:rPr>
    </w:tblStylePr>
    <w:tblStylePr w:type="lastCol">
      <w:rPr>
        <w:b/>
        <w:bCs/>
      </w:rPr>
    </w:tblStylePr>
    <w:tblStylePr w:type="band1Vert">
      <w:tblPr/>
      <w:tcPr>
        <w:shd w:val="clear" w:color="auto" w:fill="E7F3FA" w:themeFill="accent4" w:themeFillTint="3F"/>
      </w:tcPr>
    </w:tblStylePr>
    <w:tblStylePr w:type="band1Horz">
      <w:tblPr/>
      <w:tcPr>
        <w:tcBorders>
          <w:insideH w:val="nil"/>
          <w:insideV w:val="nil"/>
        </w:tcBorders>
        <w:shd w:val="clear" w:color="auto" w:fill="E7F3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single" w:sz="8" w:space="0" w:color="FC220E" w:themeColor="accent5" w:themeTint="BF"/>
      </w:tblBorders>
    </w:tblPr>
    <w:tblStylePr w:type="firstRow">
      <w:pPr>
        <w:spacing w:before="0" w:after="0" w:line="240" w:lineRule="auto"/>
      </w:pPr>
      <w:rPr>
        <w:b/>
        <w:bCs/>
        <w:color w:val="FFFFFF" w:themeColor="background1"/>
      </w:rPr>
      <w:tblPr/>
      <w:tcPr>
        <w:tc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shd w:val="clear" w:color="auto" w:fill="B71202" w:themeFill="accent5"/>
      </w:tcPr>
    </w:tblStylePr>
    <w:tblStylePr w:type="lastRow">
      <w:pPr>
        <w:spacing w:before="0" w:after="0" w:line="240" w:lineRule="auto"/>
      </w:pPr>
      <w:rPr>
        <w:b/>
        <w:bCs/>
      </w:rPr>
      <w:tblPr/>
      <w:tcPr>
        <w:tcBorders>
          <w:top w:val="double" w:sz="6"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tcPr>
    </w:tblStylePr>
    <w:tblStylePr w:type="firstCol">
      <w:rPr>
        <w:b/>
        <w:bCs/>
      </w:rPr>
    </w:tblStylePr>
    <w:tblStylePr w:type="lastCol">
      <w:rPr>
        <w:b/>
        <w:bCs/>
      </w:rPr>
    </w:tblStylePr>
    <w:tblStylePr w:type="band1Vert">
      <w:tblPr/>
      <w:tcPr>
        <w:shd w:val="clear" w:color="auto" w:fill="FEB6AF" w:themeFill="accent5" w:themeFillTint="3F"/>
      </w:tcPr>
    </w:tblStylePr>
    <w:tblStylePr w:type="band1Horz">
      <w:tblPr/>
      <w:tcPr>
        <w:tcBorders>
          <w:insideH w:val="nil"/>
          <w:insideV w:val="nil"/>
        </w:tcBorders>
        <w:shd w:val="clear" w:color="auto" w:fill="FEB6AF"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Shading-Accent5">
    <w:name w:val="Light Shading Accent 5"/>
    <w:basedOn w:val="TableNormal"/>
    <w:uiPriority w:val="60"/>
    <w:rsid w:val="00A871F4"/>
    <w:pPr>
      <w:spacing w:before="0"/>
    </w:pPr>
    <w:rPr>
      <w:color w:val="880D01" w:themeColor="accent5" w:themeShade="BF"/>
    </w:rPr>
    <w:tblPr>
      <w:tblStyleRowBandSize w:val="1"/>
      <w:tblStyleColBandSize w:val="1"/>
      <w:tblBorders>
        <w:top w:val="single" w:sz="8" w:space="0" w:color="B71202" w:themeColor="accent5"/>
        <w:bottom w:val="single" w:sz="8" w:space="0" w:color="B71202" w:themeColor="accent5"/>
      </w:tblBorders>
    </w:tblPr>
    <w:tblStylePr w:type="fir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la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EB6AF" w:themeFill="accent5" w:themeFillTint="3F"/>
      </w:tcPr>
    </w:tblStylePr>
    <w:tblStylePr w:type="band1Horz">
      <w:tblPr/>
      <w:tcPr>
        <w:tcBorders>
          <w:left w:val="nil"/>
          <w:right w:val="nil"/>
          <w:insideH w:val="nil"/>
          <w:insideV w:val="nil"/>
        </w:tcBorders>
        <w:shd w:val="clear" w:color="auto" w:fill="FEB6AF"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98C3" w:themeColor="accent3"/>
        <w:left w:val="single" w:sz="8" w:space="0" w:color="0098C3" w:themeColor="accent3"/>
        <w:bottom w:val="single" w:sz="8" w:space="0" w:color="0098C3" w:themeColor="accent3"/>
        <w:right w:val="single" w:sz="8" w:space="0" w:color="0098C3" w:themeColor="accent3"/>
        <w:insideH w:val="single" w:sz="8" w:space="0" w:color="0098C3" w:themeColor="accent3"/>
        <w:insideV w:val="single" w:sz="8" w:space="0" w:color="0098C3"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18" w:space="0" w:color="0098C3" w:themeColor="accent3"/>
          <w:right w:val="single" w:sz="8" w:space="0" w:color="0098C3" w:themeColor="accent3"/>
          <w:insideH w:val="nil"/>
          <w:insideV w:val="single" w:sz="8" w:space="0" w:color="0098C3"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insideH w:val="nil"/>
          <w:insideV w:val="single" w:sz="8" w:space="0" w:color="0098C3"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shd w:val="clear" w:color="auto" w:fill="B1EDFF" w:themeFill="accent3" w:themeFillTint="3F"/>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shd w:val="clear" w:color="auto" w:fill="B1EDFF" w:themeFill="accent3" w:themeFillTint="3F"/>
      </w:tcPr>
    </w:tblStylePr>
    <w:tblStylePr w:type="band2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semiHidden/>
    <w:unhideWhenUsed/>
    <w:rsid w:val="005C26CC"/>
    <w:pPr>
      <w:spacing w:after="120"/>
    </w:pPr>
    <w:rPr>
      <w:szCs w:val="16"/>
    </w:rPr>
  </w:style>
  <w:style w:type="character" w:customStyle="1" w:styleId="BodyText3Char">
    <w:name w:val="Body Text 3 Char"/>
    <w:basedOn w:val="DefaultParagraphFont"/>
    <w:link w:val="BodyText3"/>
    <w:uiPriority w:val="99"/>
    <w:semiHidden/>
    <w:rsid w:val="005C26CC"/>
    <w:rPr>
      <w:rFonts w:ascii="Arial" w:hAnsi="Arial"/>
      <w:szCs w:val="16"/>
    </w:rPr>
  </w:style>
  <w:style w:type="paragraph" w:styleId="TOC1">
    <w:name w:val="toc 1"/>
    <w:basedOn w:val="Normal"/>
    <w:next w:val="Normal"/>
    <w:autoRedefine/>
    <w:uiPriority w:val="39"/>
    <w:qFormat/>
    <w:rsid w:val="009F4940"/>
    <w:pPr>
      <w:tabs>
        <w:tab w:val="left" w:pos="426"/>
        <w:tab w:val="right" w:leader="dot" w:pos="9016"/>
      </w:tabs>
      <w:spacing w:after="100"/>
    </w:pPr>
    <w:rPr>
      <w:noProof/>
      <w:lang w:val="en-US" w:eastAsia="ja-JP"/>
    </w:rPr>
  </w:style>
  <w:style w:type="paragraph" w:styleId="TOC2">
    <w:name w:val="toc 2"/>
    <w:basedOn w:val="Normal"/>
    <w:next w:val="Normal"/>
    <w:uiPriority w:val="39"/>
    <w:qFormat/>
    <w:rsid w:val="009F4940"/>
    <w:pPr>
      <w:tabs>
        <w:tab w:val="left" w:pos="880"/>
        <w:tab w:val="right" w:leader="dot" w:pos="9016"/>
      </w:tabs>
      <w:spacing w:after="100"/>
      <w:ind w:left="425"/>
    </w:pPr>
    <w:rPr>
      <w:noProof/>
    </w:rPr>
  </w:style>
  <w:style w:type="paragraph" w:styleId="TOC3">
    <w:name w:val="toc 3"/>
    <w:basedOn w:val="Normal"/>
    <w:next w:val="Normal"/>
    <w:uiPriority w:val="39"/>
    <w:qFormat/>
    <w:rsid w:val="009F4940"/>
    <w:pPr>
      <w:tabs>
        <w:tab w:val="left" w:pos="1760"/>
        <w:tab w:val="right" w:leader="dot" w:pos="9016"/>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4F2D7D"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4F2D7D" w:themeColor="accent2"/>
      <w:spacing w:val="5"/>
      <w:kern w:val="28"/>
      <w:sz w:val="72"/>
      <w:szCs w:val="52"/>
    </w:rPr>
  </w:style>
  <w:style w:type="paragraph" w:customStyle="1" w:styleId="CoverDate">
    <w:name w:val="Cover Date"/>
    <w:rsid w:val="00E4674F"/>
    <w:rPr>
      <w:rFonts w:ascii="Lucida Fax" w:hAnsi="Lucida Fax"/>
      <w:color w:val="DC5034"/>
      <w:sz w:val="24"/>
      <w:szCs w:val="24"/>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51626F" w:themeColor="accent1"/>
        <w:left w:val="single" w:sz="8" w:space="0" w:color="51626F" w:themeColor="accent1"/>
        <w:bottom w:val="single" w:sz="8" w:space="0" w:color="51626F" w:themeColor="accent1"/>
        <w:right w:val="single" w:sz="8" w:space="0" w:color="51626F" w:themeColor="accent1"/>
      </w:tblBorders>
    </w:tblPr>
    <w:tblStylePr w:type="firstRow">
      <w:pPr>
        <w:spacing w:before="0" w:after="0" w:line="240" w:lineRule="auto"/>
      </w:pPr>
      <w:rPr>
        <w:b/>
        <w:bCs/>
        <w:color w:val="FFFFFF" w:themeColor="background1"/>
      </w:rPr>
      <w:tblPr/>
      <w:tcPr>
        <w:shd w:val="clear" w:color="auto" w:fill="51626F" w:themeFill="accent1"/>
      </w:tcPr>
    </w:tblStylePr>
    <w:tblStylePr w:type="lastRow">
      <w:pPr>
        <w:spacing w:before="0" w:after="0" w:line="240" w:lineRule="auto"/>
      </w:pPr>
      <w:rPr>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tcBorders>
      </w:tcPr>
    </w:tblStylePr>
    <w:tblStylePr w:type="firstCol">
      <w:rPr>
        <w:b/>
        <w:bCs/>
      </w:rPr>
    </w:tblStylePr>
    <w:tblStylePr w:type="lastCol">
      <w:rPr>
        <w:b/>
        <w:bCs/>
      </w:r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98C3" w:themeColor="accent3"/>
        <w:left w:val="single" w:sz="8" w:space="0" w:color="0098C3" w:themeColor="accent3"/>
        <w:bottom w:val="single" w:sz="8" w:space="0" w:color="0098C3" w:themeColor="accent3"/>
        <w:right w:val="single" w:sz="8" w:space="0" w:color="0098C3" w:themeColor="accent3"/>
      </w:tblBorders>
    </w:tblPr>
    <w:tblStylePr w:type="firstRow">
      <w:pPr>
        <w:spacing w:before="0" w:after="0" w:line="240" w:lineRule="auto"/>
      </w:pPr>
      <w:rPr>
        <w:b/>
        <w:bCs/>
        <w:color w:val="FFFFFF" w:themeColor="background1"/>
      </w:rPr>
      <w:tblPr/>
      <w:tcPr>
        <w:shd w:val="clear" w:color="auto" w:fill="0098C3" w:themeFill="accent3"/>
      </w:tcPr>
    </w:tblStylePr>
    <w:tblStylePr w:type="lastRow">
      <w:pPr>
        <w:spacing w:before="0" w:after="0" w:line="240" w:lineRule="auto"/>
      </w:pPr>
      <w:rPr>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tcBorders>
      </w:tcPr>
    </w:tblStylePr>
    <w:tblStylePr w:type="firstCol">
      <w:rPr>
        <w:b/>
        <w:bCs/>
      </w:rPr>
    </w:tblStylePr>
    <w:tblStylePr w:type="lastCol">
      <w:rPr>
        <w:b/>
        <w:bCs/>
      </w:r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B71202" w:themeColor="accent5"/>
        <w:left w:val="single" w:sz="8" w:space="0" w:color="B71202" w:themeColor="accent5"/>
        <w:bottom w:val="single" w:sz="8" w:space="0" w:color="B71202" w:themeColor="accent5"/>
        <w:right w:val="single" w:sz="8" w:space="0" w:color="B71202" w:themeColor="accent5"/>
      </w:tblBorders>
    </w:tblPr>
    <w:tblStylePr w:type="firstRow">
      <w:pPr>
        <w:spacing w:before="0" w:after="0" w:line="240" w:lineRule="auto"/>
      </w:pPr>
      <w:rPr>
        <w:b/>
        <w:bCs/>
        <w:color w:val="auto"/>
      </w:rPr>
      <w:tblPr/>
      <w:tcPr>
        <w:shd w:val="clear" w:color="auto" w:fill="B71202" w:themeFill="accent5"/>
      </w:tcPr>
    </w:tblStylePr>
    <w:tblStylePr w:type="lastRow">
      <w:pPr>
        <w:spacing w:before="0" w:after="0" w:line="240" w:lineRule="auto"/>
      </w:pPr>
      <w:rPr>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tcBorders>
      </w:tcPr>
    </w:tblStylePr>
    <w:tblStylePr w:type="firstCol">
      <w:rPr>
        <w:b/>
        <w:bCs/>
      </w:rPr>
    </w:tblStylePr>
    <w:tblStylePr w:type="lastCol">
      <w:rPr>
        <w:b/>
        <w:bCs/>
      </w:r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085663"/>
    <w:pPr>
      <w:ind w:left="720"/>
    </w:pPr>
  </w:style>
  <w:style w:type="paragraph" w:styleId="FootnoteText">
    <w:name w:val="footnote text"/>
    <w:basedOn w:val="Normal"/>
    <w:link w:val="FootnoteTextChar"/>
    <w:uiPriority w:val="2"/>
    <w:rsid w:val="003A673F"/>
    <w:pPr>
      <w:tabs>
        <w:tab w:val="left" w:pos="340"/>
      </w:tabs>
      <w:spacing w:before="60"/>
      <w:ind w:left="340" w:hanging="340"/>
    </w:pPr>
    <w:rPr>
      <w:sz w:val="16"/>
      <w:szCs w:val="20"/>
    </w:rPr>
  </w:style>
  <w:style w:type="character" w:customStyle="1" w:styleId="FootnoteTextChar">
    <w:name w:val="Footnote Text Char"/>
    <w:basedOn w:val="DefaultParagraphFont"/>
    <w:link w:val="FootnoteText"/>
    <w:uiPriority w:val="2"/>
    <w:rsid w:val="003A673F"/>
    <w:rPr>
      <w:rFonts w:ascii="Arial" w:hAnsi="Arial"/>
      <w:sz w:val="16"/>
      <w:szCs w:val="20"/>
    </w:rPr>
  </w:style>
  <w:style w:type="character" w:styleId="FootnoteReference">
    <w:name w:val="footnote reference"/>
    <w:basedOn w:val="DefaultParagraphFont"/>
    <w:uiPriority w:val="99"/>
    <w:semiHidden/>
    <w:unhideWhenUsed/>
    <w:rsid w:val="00701CAB"/>
    <w:rPr>
      <w:vertAlign w:val="superscript"/>
    </w:rPr>
  </w:style>
  <w:style w:type="character" w:styleId="Strong">
    <w:name w:val="Strong"/>
    <w:basedOn w:val="DefaultParagraphFont"/>
    <w:uiPriority w:val="22"/>
    <w:qFormat/>
    <w:rsid w:val="00EF5110"/>
    <w:rPr>
      <w:b/>
      <w:bCs/>
    </w:rPr>
  </w:style>
  <w:style w:type="paragraph" w:styleId="Subtitle">
    <w:name w:val="Subtitle"/>
    <w:next w:val="Normal"/>
    <w:link w:val="SubtitleChar"/>
    <w:uiPriority w:val="11"/>
    <w:qFormat/>
    <w:rsid w:val="008344F6"/>
    <w:pPr>
      <w:spacing w:before="360" w:after="120"/>
    </w:pPr>
    <w:rPr>
      <w:rFonts w:ascii="Lucida Fax" w:hAnsi="Lucida Fax"/>
      <w:color w:val="4F2D7F"/>
      <w:sz w:val="52"/>
      <w:szCs w:val="52"/>
    </w:rPr>
  </w:style>
  <w:style w:type="character" w:customStyle="1" w:styleId="SubtitleChar">
    <w:name w:val="Subtitle Char"/>
    <w:basedOn w:val="DefaultParagraphFont"/>
    <w:link w:val="Subtitle"/>
    <w:uiPriority w:val="11"/>
    <w:rsid w:val="008344F6"/>
    <w:rPr>
      <w:rFonts w:ascii="Lucida Fax" w:hAnsi="Lucida Fax"/>
      <w:color w:val="4F2D7F"/>
      <w:sz w:val="52"/>
      <w:szCs w:val="52"/>
    </w:rPr>
  </w:style>
  <w:style w:type="table" w:styleId="LightShading-Accent4">
    <w:name w:val="Light Shading Accent 4"/>
    <w:basedOn w:val="TableNormal"/>
    <w:uiPriority w:val="60"/>
    <w:rsid w:val="00746E01"/>
    <w:pPr>
      <w:spacing w:before="0"/>
    </w:pPr>
    <w:rPr>
      <w:color w:val="4DA5D9" w:themeColor="accent4" w:themeShade="BF"/>
    </w:rPr>
    <w:tblPr>
      <w:tblStyleRowBandSize w:val="1"/>
      <w:tblStyleColBandSize w:val="1"/>
      <w:tblBorders>
        <w:top w:val="single" w:sz="8" w:space="0" w:color="A0CFEB" w:themeColor="accent4"/>
        <w:bottom w:val="single" w:sz="8" w:space="0" w:color="A0CFEB" w:themeColor="accent4"/>
      </w:tblBorders>
    </w:tblPr>
    <w:tblStylePr w:type="fir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la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7F3FA" w:themeFill="accent4" w:themeFillTint="3F"/>
      </w:tcPr>
    </w:tblStylePr>
    <w:tblStylePr w:type="band1Horz">
      <w:tblPr/>
      <w:tcPr>
        <w:tcBorders>
          <w:left w:val="nil"/>
          <w:right w:val="nil"/>
          <w:insideH w:val="nil"/>
          <w:insideV w:val="nil"/>
        </w:tcBorders>
        <w:shd w:val="clear" w:color="auto" w:fill="E7F3FA" w:themeFill="accent4" w:themeFillTint="3F"/>
      </w:tcPr>
    </w:tblStylePr>
  </w:style>
  <w:style w:type="table" w:styleId="LightShading-Accent6">
    <w:name w:val="Light Shading Accent 6"/>
    <w:basedOn w:val="TableNormal"/>
    <w:uiPriority w:val="60"/>
    <w:rsid w:val="00746E01"/>
    <w:pPr>
      <w:spacing w:before="0"/>
    </w:pPr>
    <w:rPr>
      <w:color w:val="AD351E" w:themeColor="accent6" w:themeShade="BF"/>
    </w:rPr>
    <w:tblPr>
      <w:tblStyleRowBandSize w:val="1"/>
      <w:tblStyleColBandSize w:val="1"/>
      <w:tblBorders>
        <w:top w:val="single" w:sz="8" w:space="0" w:color="DC5034" w:themeColor="accent6"/>
        <w:bottom w:val="single" w:sz="8" w:space="0" w:color="DC5034" w:themeColor="accent6"/>
      </w:tblBorders>
    </w:tblPr>
    <w:tblStylePr w:type="fir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la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6D3CC" w:themeFill="accent6" w:themeFillTint="3F"/>
      </w:tcPr>
    </w:tblStylePr>
    <w:tblStylePr w:type="band1Horz">
      <w:tblPr/>
      <w:tcPr>
        <w:tcBorders>
          <w:left w:val="nil"/>
          <w:right w:val="nil"/>
          <w:insideH w:val="nil"/>
          <w:insideV w:val="nil"/>
        </w:tcBorders>
        <w:shd w:val="clear" w:color="auto" w:fill="F6D3CC" w:themeFill="accent6" w:themeFillTint="3F"/>
      </w:tcPr>
    </w:tblStylePr>
  </w:style>
  <w:style w:type="paragraph" w:styleId="TOC4">
    <w:name w:val="toc 4"/>
    <w:basedOn w:val="Normal"/>
    <w:next w:val="Normal"/>
    <w:uiPriority w:val="39"/>
    <w:rsid w:val="009F4940"/>
    <w:pPr>
      <w:tabs>
        <w:tab w:val="right" w:leader="dot" w:pos="9016"/>
      </w:tabs>
      <w:spacing w:after="100"/>
      <w:ind w:left="1276"/>
    </w:pPr>
    <w:rPr>
      <w:noProof/>
    </w:rPr>
  </w:style>
  <w:style w:type="paragraph" w:styleId="TOC5">
    <w:name w:val="toc 5"/>
    <w:basedOn w:val="Normal"/>
    <w:next w:val="Normal"/>
    <w:uiPriority w:val="39"/>
    <w:rsid w:val="009F4940"/>
    <w:pPr>
      <w:tabs>
        <w:tab w:val="right" w:leader="dot" w:pos="9016"/>
      </w:tabs>
      <w:spacing w:after="100"/>
      <w:ind w:left="1701"/>
    </w:pPr>
    <w:rPr>
      <w:noProof/>
    </w:rPr>
  </w:style>
  <w:style w:type="paragraph" w:styleId="TOC6">
    <w:name w:val="toc 6"/>
    <w:basedOn w:val="Normal"/>
    <w:next w:val="Normal"/>
    <w:uiPriority w:val="39"/>
    <w:rsid w:val="009F4940"/>
    <w:pPr>
      <w:tabs>
        <w:tab w:val="right" w:leader="dot" w:pos="9016"/>
      </w:tabs>
      <w:spacing w:after="100"/>
      <w:ind w:left="2127"/>
    </w:pPr>
    <w:rPr>
      <w:noProof/>
    </w:rPr>
  </w:style>
  <w:style w:type="paragraph" w:styleId="TOC7">
    <w:name w:val="toc 7"/>
    <w:basedOn w:val="Normal"/>
    <w:next w:val="Normal"/>
    <w:uiPriority w:val="39"/>
    <w:rsid w:val="009F4940"/>
    <w:pPr>
      <w:tabs>
        <w:tab w:val="right" w:leader="dot" w:pos="9016"/>
      </w:tabs>
      <w:spacing w:after="100"/>
      <w:ind w:left="2552"/>
    </w:pPr>
    <w:rPr>
      <w:noProof/>
    </w:rPr>
  </w:style>
  <w:style w:type="paragraph" w:styleId="TableofAuthorities">
    <w:name w:val="table of authorities"/>
    <w:basedOn w:val="Normal"/>
    <w:next w:val="Normal"/>
    <w:uiPriority w:val="99"/>
    <w:unhideWhenUsed/>
    <w:rsid w:val="00B60F5D"/>
    <w:pPr>
      <w:ind w:left="220" w:hanging="220"/>
    </w:pPr>
  </w:style>
  <w:style w:type="table" w:customStyle="1" w:styleId="LightShading1">
    <w:name w:val="Light Shading1"/>
    <w:basedOn w:val="TableNormal"/>
    <w:next w:val="LightShading"/>
    <w:uiPriority w:val="60"/>
    <w:rsid w:val="00C53B5A"/>
    <w:pPr>
      <w:spacing w:before="120" w:after="120"/>
    </w:pPr>
    <w:rPr>
      <w:color w:val="000000" w:themeColor="text1" w:themeShade="BF"/>
      <w:sz w:val="20"/>
    </w:rPr>
    <w:tblPr>
      <w:tblBorders>
        <w:top w:val="single" w:sz="4" w:space="0" w:color="D5D6D2" w:themeColor="background2"/>
        <w:bottom w:val="single" w:sz="4" w:space="0" w:color="D5D6D2" w:themeColor="background2"/>
        <w:insideH w:val="single" w:sz="4" w:space="0" w:color="D5D6D2"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4F2D7D" w:themeColor="accent2"/>
        <w:left w:val="single" w:sz="8" w:space="0" w:color="4F2D7D" w:themeColor="accent2"/>
        <w:bottom w:val="single" w:sz="8" w:space="0" w:color="4F2D7D" w:themeColor="accent2"/>
        <w:right w:val="single" w:sz="8" w:space="0" w:color="4F2D7D" w:themeColor="accent2"/>
      </w:tblBorders>
    </w:tblPr>
    <w:tblStylePr w:type="firstRow">
      <w:pPr>
        <w:spacing w:before="0" w:after="0" w:line="240" w:lineRule="auto"/>
      </w:pPr>
      <w:rPr>
        <w:b/>
        <w:bCs/>
        <w:color w:val="FFFFFF" w:themeColor="background1"/>
      </w:rPr>
      <w:tblPr/>
      <w:tcPr>
        <w:shd w:val="clear" w:color="auto" w:fill="4F2D7D" w:themeFill="accent2"/>
      </w:tcPr>
    </w:tblStylePr>
    <w:tblStylePr w:type="lastRow">
      <w:pPr>
        <w:spacing w:before="0" w:after="0" w:line="240" w:lineRule="auto"/>
      </w:pPr>
      <w:rPr>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tcBorders>
      </w:tcPr>
    </w:tblStylePr>
    <w:tblStylePr w:type="firstCol">
      <w:rPr>
        <w:b/>
        <w:bCs/>
      </w:rPr>
    </w:tblStylePr>
    <w:tblStylePr w:type="lastCol">
      <w:rPr>
        <w:b/>
        <w:bCs/>
      </w:r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A0CFEB" w:themeColor="accent4"/>
        <w:left w:val="single" w:sz="8" w:space="0" w:color="A0CFEB" w:themeColor="accent4"/>
        <w:bottom w:val="single" w:sz="8" w:space="0" w:color="A0CFEB" w:themeColor="accent4"/>
        <w:right w:val="single" w:sz="8" w:space="0" w:color="A0CFEB" w:themeColor="accent4"/>
      </w:tblBorders>
    </w:tblPr>
    <w:tblStylePr w:type="firstRow">
      <w:pPr>
        <w:spacing w:before="0" w:after="0" w:line="240" w:lineRule="auto"/>
      </w:pPr>
      <w:rPr>
        <w:b/>
        <w:bCs/>
        <w:color w:val="FFFFFF" w:themeColor="background1"/>
      </w:rPr>
      <w:tblPr/>
      <w:tcPr>
        <w:shd w:val="clear" w:color="auto" w:fill="A0CFEB" w:themeFill="accent4"/>
      </w:tcPr>
    </w:tblStylePr>
    <w:tblStylePr w:type="lastRow">
      <w:pPr>
        <w:spacing w:before="0" w:after="0" w:line="240" w:lineRule="auto"/>
      </w:pPr>
      <w:rPr>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tcBorders>
      </w:tcPr>
    </w:tblStylePr>
    <w:tblStylePr w:type="firstCol">
      <w:rPr>
        <w:b/>
        <w:bCs/>
      </w:rPr>
    </w:tblStylePr>
    <w:tblStylePr w:type="lastCol">
      <w:rPr>
        <w:b/>
        <w:bCs/>
      </w:r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DC5034" w:themeColor="accent6"/>
        <w:left w:val="single" w:sz="8" w:space="0" w:color="DC5034" w:themeColor="accent6"/>
        <w:bottom w:val="single" w:sz="8" w:space="0" w:color="DC5034" w:themeColor="accent6"/>
        <w:right w:val="single" w:sz="8" w:space="0" w:color="DC5034" w:themeColor="accent6"/>
      </w:tblBorders>
    </w:tblPr>
    <w:tblStylePr w:type="firstRow">
      <w:pPr>
        <w:spacing w:before="0" w:after="0" w:line="240" w:lineRule="auto"/>
      </w:pPr>
      <w:rPr>
        <w:b/>
        <w:bCs/>
        <w:color w:val="FFFFFF" w:themeColor="background1"/>
      </w:rPr>
      <w:tblPr/>
      <w:tcPr>
        <w:shd w:val="clear" w:color="auto" w:fill="DC5034" w:themeFill="accent6"/>
      </w:tcPr>
    </w:tblStylePr>
    <w:tblStylePr w:type="lastRow">
      <w:pPr>
        <w:spacing w:before="0" w:after="0" w:line="240" w:lineRule="auto"/>
      </w:pPr>
      <w:rPr>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tcBorders>
      </w:tcPr>
    </w:tblStylePr>
    <w:tblStylePr w:type="firstCol">
      <w:rPr>
        <w:b/>
        <w:bCs/>
      </w:rPr>
    </w:tblStylePr>
    <w:tblStylePr w:type="lastCol">
      <w:rPr>
        <w:b/>
        <w:bCs/>
      </w:r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51626F" w:themeColor="accent1"/>
        <w:left w:val="single" w:sz="8" w:space="0" w:color="51626F" w:themeColor="accent1"/>
        <w:bottom w:val="single" w:sz="8" w:space="0" w:color="51626F" w:themeColor="accent1"/>
        <w:right w:val="single" w:sz="8" w:space="0" w:color="51626F" w:themeColor="accent1"/>
        <w:insideH w:val="single" w:sz="8" w:space="0" w:color="51626F" w:themeColor="accent1"/>
        <w:insideV w:val="single" w:sz="8" w:space="0" w:color="51626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18" w:space="0" w:color="51626F" w:themeColor="accent1"/>
          <w:right w:val="single" w:sz="8" w:space="0" w:color="51626F" w:themeColor="accent1"/>
          <w:insideH w:val="nil"/>
          <w:insideV w:val="single" w:sz="8" w:space="0" w:color="51626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insideH w:val="nil"/>
          <w:insideV w:val="single" w:sz="8" w:space="0" w:color="51626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shd w:val="clear" w:color="auto" w:fill="D1D8DD" w:themeFill="accent1" w:themeFillTint="3F"/>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shd w:val="clear" w:color="auto" w:fill="D1D8DD" w:themeFill="accent1" w:themeFillTint="3F"/>
      </w:tcPr>
    </w:tblStylePr>
    <w:tblStylePr w:type="band2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4F2D7D" w:themeColor="accent2"/>
        <w:left w:val="single" w:sz="8" w:space="0" w:color="4F2D7D" w:themeColor="accent2"/>
        <w:bottom w:val="single" w:sz="8" w:space="0" w:color="4F2D7D" w:themeColor="accent2"/>
        <w:right w:val="single" w:sz="8" w:space="0" w:color="4F2D7D" w:themeColor="accent2"/>
        <w:insideH w:val="single" w:sz="8" w:space="0" w:color="4F2D7D" w:themeColor="accent2"/>
        <w:insideV w:val="single" w:sz="8" w:space="0" w:color="4F2D7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18" w:space="0" w:color="4F2D7D" w:themeColor="accent2"/>
          <w:right w:val="single" w:sz="8" w:space="0" w:color="4F2D7D" w:themeColor="accent2"/>
          <w:insideH w:val="nil"/>
          <w:insideV w:val="single" w:sz="8" w:space="0" w:color="4F2D7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insideH w:val="nil"/>
          <w:insideV w:val="single" w:sz="8" w:space="0" w:color="4F2D7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shd w:val="clear" w:color="auto" w:fill="D1C1E8" w:themeFill="accent2" w:themeFillTint="3F"/>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shd w:val="clear" w:color="auto" w:fill="D1C1E8" w:themeFill="accent2" w:themeFillTint="3F"/>
      </w:tcPr>
    </w:tblStylePr>
    <w:tblStylePr w:type="band2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A0CFEB" w:themeColor="accent4"/>
        <w:left w:val="single" w:sz="8" w:space="0" w:color="A0CFEB" w:themeColor="accent4"/>
        <w:bottom w:val="single" w:sz="8" w:space="0" w:color="A0CFEB" w:themeColor="accent4"/>
        <w:right w:val="single" w:sz="8" w:space="0" w:color="A0CFEB" w:themeColor="accent4"/>
        <w:insideH w:val="single" w:sz="8" w:space="0" w:color="A0CFEB" w:themeColor="accent4"/>
        <w:insideV w:val="single" w:sz="8" w:space="0" w:color="A0CFEB"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18" w:space="0" w:color="A0CFEB" w:themeColor="accent4"/>
          <w:right w:val="single" w:sz="8" w:space="0" w:color="A0CFEB" w:themeColor="accent4"/>
          <w:insideH w:val="nil"/>
          <w:insideV w:val="single" w:sz="8" w:space="0" w:color="A0CFEB"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insideH w:val="nil"/>
          <w:insideV w:val="single" w:sz="8" w:space="0" w:color="A0CFEB"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shd w:val="clear" w:color="auto" w:fill="E7F3FA" w:themeFill="accent4" w:themeFillTint="3F"/>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shd w:val="clear" w:color="auto" w:fill="E7F3FA" w:themeFill="accent4" w:themeFillTint="3F"/>
      </w:tcPr>
    </w:tblStylePr>
    <w:tblStylePr w:type="band2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B71202" w:themeColor="accent5"/>
        <w:left w:val="single" w:sz="8" w:space="0" w:color="B71202" w:themeColor="accent5"/>
        <w:bottom w:val="single" w:sz="8" w:space="0" w:color="B71202" w:themeColor="accent5"/>
        <w:right w:val="single" w:sz="8" w:space="0" w:color="B71202" w:themeColor="accent5"/>
        <w:insideH w:val="single" w:sz="8" w:space="0" w:color="B71202" w:themeColor="accent5"/>
        <w:insideV w:val="single" w:sz="8" w:space="0" w:color="B71202"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18" w:space="0" w:color="B71202" w:themeColor="accent5"/>
          <w:right w:val="single" w:sz="8" w:space="0" w:color="B71202" w:themeColor="accent5"/>
          <w:insideH w:val="nil"/>
          <w:insideV w:val="single" w:sz="8" w:space="0" w:color="B71202"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insideH w:val="nil"/>
          <w:insideV w:val="single" w:sz="8" w:space="0" w:color="B71202"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shd w:val="clear" w:color="auto" w:fill="FEB6AF" w:themeFill="accent5" w:themeFillTint="3F"/>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shd w:val="clear" w:color="auto" w:fill="FEB6AF" w:themeFill="accent5" w:themeFillTint="3F"/>
      </w:tcPr>
    </w:tblStylePr>
    <w:tblStylePr w:type="band2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B60F5D"/>
    <w:pPr>
      <w:numPr>
        <w:ilvl w:val="8"/>
        <w:numId w:val="12"/>
      </w:numPr>
      <w:tabs>
        <w:tab w:val="left" w:pos="2381"/>
      </w:tabs>
      <w:ind w:left="2381" w:hanging="2381"/>
    </w:pPr>
  </w:style>
  <w:style w:type="paragraph" w:styleId="Caption">
    <w:name w:val="caption"/>
    <w:basedOn w:val="Normal"/>
    <w:next w:val="Normal"/>
    <w:uiPriority w:val="35"/>
    <w:unhideWhenUsed/>
    <w:qFormat/>
    <w:rsid w:val="00B1716D"/>
    <w:pPr>
      <w:spacing w:before="240" w:after="120"/>
    </w:pPr>
    <w:rPr>
      <w:b/>
      <w:bCs/>
      <w:sz w:val="24"/>
      <w:szCs w:val="18"/>
    </w:rPr>
  </w:style>
  <w:style w:type="paragraph" w:styleId="List">
    <w:name w:val="List"/>
    <w:basedOn w:val="Normal"/>
    <w:uiPriority w:val="99"/>
    <w:rsid w:val="00E4674F"/>
    <w:pPr>
      <w:tabs>
        <w:tab w:val="left" w:pos="340"/>
      </w:tabs>
      <w:spacing w:before="120"/>
      <w:ind w:left="340" w:hanging="340"/>
    </w:pPr>
  </w:style>
  <w:style w:type="paragraph" w:styleId="List2">
    <w:name w:val="List 2"/>
    <w:basedOn w:val="Normal"/>
    <w:uiPriority w:val="99"/>
    <w:rsid w:val="00E4674F"/>
    <w:pPr>
      <w:tabs>
        <w:tab w:val="left" w:pos="680"/>
      </w:tabs>
      <w:spacing w:before="120"/>
      <w:ind w:left="680" w:hanging="340"/>
    </w:pPr>
  </w:style>
  <w:style w:type="paragraph" w:styleId="List3">
    <w:name w:val="List 3"/>
    <w:basedOn w:val="Normal"/>
    <w:uiPriority w:val="99"/>
    <w:rsid w:val="00E4674F"/>
    <w:pPr>
      <w:tabs>
        <w:tab w:val="left" w:pos="1021"/>
      </w:tabs>
      <w:spacing w:before="120"/>
      <w:ind w:left="1020" w:hanging="340"/>
    </w:pPr>
  </w:style>
  <w:style w:type="paragraph" w:styleId="List4">
    <w:name w:val="List 4"/>
    <w:basedOn w:val="Normal"/>
    <w:uiPriority w:val="99"/>
    <w:rsid w:val="00E4674F"/>
    <w:pPr>
      <w:tabs>
        <w:tab w:val="left" w:pos="1361"/>
      </w:tabs>
      <w:spacing w:before="120"/>
      <w:ind w:left="1361" w:hanging="340"/>
    </w:pPr>
  </w:style>
  <w:style w:type="paragraph" w:styleId="List5">
    <w:name w:val="List 5"/>
    <w:basedOn w:val="Normal"/>
    <w:uiPriority w:val="99"/>
    <w:rsid w:val="00547CCF"/>
    <w:pPr>
      <w:tabs>
        <w:tab w:val="left" w:pos="1701"/>
      </w:tabs>
      <w:spacing w:before="120"/>
      <w:ind w:left="1701" w:hanging="340"/>
    </w:pPr>
  </w:style>
  <w:style w:type="paragraph" w:styleId="ListBullet3">
    <w:name w:val="List Bullet 3"/>
    <w:basedOn w:val="Normal"/>
    <w:uiPriority w:val="99"/>
    <w:rsid w:val="00181223"/>
    <w:pPr>
      <w:numPr>
        <w:numId w:val="4"/>
      </w:numPr>
      <w:tabs>
        <w:tab w:val="clear" w:pos="926"/>
        <w:tab w:val="num" w:pos="1021"/>
      </w:tabs>
      <w:spacing w:before="120"/>
      <w:ind w:left="1020" w:hanging="340"/>
    </w:pPr>
  </w:style>
  <w:style w:type="paragraph" w:styleId="ListBullet4">
    <w:name w:val="List Bullet 4"/>
    <w:basedOn w:val="Normal"/>
    <w:uiPriority w:val="99"/>
    <w:rsid w:val="00547CCF"/>
    <w:pPr>
      <w:numPr>
        <w:numId w:val="5"/>
      </w:numPr>
      <w:tabs>
        <w:tab w:val="clear" w:pos="1209"/>
        <w:tab w:val="num" w:pos="1361"/>
      </w:tabs>
      <w:spacing w:before="120"/>
      <w:ind w:left="1361" w:hanging="340"/>
    </w:pPr>
  </w:style>
  <w:style w:type="paragraph" w:styleId="ListBullet5">
    <w:name w:val="List Bullet 5"/>
    <w:basedOn w:val="Normal"/>
    <w:uiPriority w:val="99"/>
    <w:rsid w:val="00547CCF"/>
    <w:pPr>
      <w:numPr>
        <w:numId w:val="6"/>
      </w:numPr>
      <w:tabs>
        <w:tab w:val="clear" w:pos="1492"/>
        <w:tab w:val="num" w:pos="1701"/>
      </w:tabs>
      <w:spacing w:before="120"/>
      <w:ind w:left="1701" w:hanging="340"/>
    </w:pPr>
  </w:style>
  <w:style w:type="paragraph" w:styleId="ListContinue">
    <w:name w:val="List Continue"/>
    <w:basedOn w:val="Normal"/>
    <w:uiPriority w:val="99"/>
    <w:rsid w:val="00547CCF"/>
    <w:pPr>
      <w:tabs>
        <w:tab w:val="left" w:pos="340"/>
      </w:tabs>
      <w:spacing w:before="120"/>
      <w:ind w:left="340"/>
    </w:pPr>
  </w:style>
  <w:style w:type="paragraph" w:styleId="ListContinue2">
    <w:name w:val="List Continue 2"/>
    <w:basedOn w:val="Normal"/>
    <w:uiPriority w:val="99"/>
    <w:rsid w:val="00547CCF"/>
    <w:pPr>
      <w:tabs>
        <w:tab w:val="left" w:pos="680"/>
      </w:tabs>
      <w:spacing w:before="120"/>
      <w:ind w:left="680"/>
    </w:pPr>
  </w:style>
  <w:style w:type="paragraph" w:styleId="ListContinue3">
    <w:name w:val="List Continue 3"/>
    <w:basedOn w:val="Normal"/>
    <w:uiPriority w:val="99"/>
    <w:rsid w:val="00547CCF"/>
    <w:pPr>
      <w:tabs>
        <w:tab w:val="left" w:pos="1021"/>
      </w:tabs>
      <w:spacing w:before="120"/>
      <w:ind w:left="1021"/>
    </w:pPr>
  </w:style>
  <w:style w:type="paragraph" w:styleId="ListContinue4">
    <w:name w:val="List Continue 4"/>
    <w:basedOn w:val="Normal"/>
    <w:uiPriority w:val="99"/>
    <w:rsid w:val="00DC542F"/>
    <w:pPr>
      <w:tabs>
        <w:tab w:val="left" w:pos="1361"/>
      </w:tabs>
      <w:spacing w:before="120"/>
      <w:ind w:left="1361"/>
    </w:pPr>
  </w:style>
  <w:style w:type="paragraph" w:styleId="ListNumber3">
    <w:name w:val="List Number 3"/>
    <w:basedOn w:val="Normal"/>
    <w:uiPriority w:val="99"/>
    <w:rsid w:val="00BE4C99"/>
    <w:pPr>
      <w:numPr>
        <w:numId w:val="14"/>
      </w:numPr>
      <w:tabs>
        <w:tab w:val="left" w:pos="1021"/>
      </w:tabs>
      <w:spacing w:before="120"/>
    </w:pPr>
  </w:style>
  <w:style w:type="paragraph" w:styleId="ListNumber4">
    <w:name w:val="List Number 4"/>
    <w:basedOn w:val="Normal"/>
    <w:uiPriority w:val="99"/>
    <w:rsid w:val="00BE4C99"/>
    <w:pPr>
      <w:numPr>
        <w:numId w:val="7"/>
      </w:numPr>
      <w:tabs>
        <w:tab w:val="left" w:pos="1701"/>
      </w:tabs>
      <w:spacing w:before="120"/>
    </w:pPr>
  </w:style>
  <w:style w:type="paragraph" w:styleId="ListNumber5">
    <w:name w:val="List Number 5"/>
    <w:basedOn w:val="Normal"/>
    <w:uiPriority w:val="99"/>
    <w:rsid w:val="00BE4C99"/>
    <w:pPr>
      <w:numPr>
        <w:numId w:val="8"/>
      </w:numPr>
      <w:spacing w:before="120"/>
    </w:pPr>
  </w:style>
  <w:style w:type="paragraph" w:customStyle="1" w:styleId="TableHeading">
    <w:name w:val="Table Heading"/>
    <w:basedOn w:val="Tabletext"/>
    <w:link w:val="TableHeadingChar"/>
    <w:qFormat/>
    <w:rsid w:val="00584D8F"/>
    <w:pPr>
      <w:spacing w:before="60"/>
    </w:pPr>
    <w:rPr>
      <w:b/>
      <w:sz w:val="22"/>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584D8F"/>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584D8F"/>
    <w:rPr>
      <w:rFonts w:ascii="Arial" w:hAnsi="Arial"/>
      <w:b/>
      <w:sz w:val="20"/>
    </w:rPr>
  </w:style>
  <w:style w:type="character" w:customStyle="1" w:styleId="TableHeading-rightChar">
    <w:name w:val="Table Heading - right Char"/>
    <w:basedOn w:val="TableHeadingChar"/>
    <w:link w:val="TableHeading-right"/>
    <w:rsid w:val="00584D8F"/>
    <w:rPr>
      <w:rFonts w:ascii="Arial" w:eastAsia="Times New Roman" w:hAnsi="Arial" w:cs="Times New Roman"/>
      <w:b/>
      <w:bCs/>
      <w:sz w:val="20"/>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584D8F"/>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D5D6D2"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E4674F"/>
    <w:rPr>
      <w:rFonts w:ascii="Arial" w:hAnsi="Arial"/>
      <w:sz w:val="16"/>
      <w:vertAlign w:val="superscript"/>
    </w:rPr>
  </w:style>
  <w:style w:type="paragraph" w:customStyle="1" w:styleId="Numberedparagraph11">
    <w:name w:val="Numbered paragraph 1.1"/>
    <w:basedOn w:val="Numbered11"/>
    <w:qFormat/>
    <w:rsid w:val="00340655"/>
    <w:pPr>
      <w:ind w:left="680" w:hanging="680"/>
      <w:outlineLvl w:val="9"/>
    </w:pPr>
    <w:rPr>
      <w:bCs w:val="0"/>
      <w:color w:val="auto"/>
      <w:sz w:val="22"/>
    </w:rPr>
  </w:style>
  <w:style w:type="character" w:customStyle="1" w:styleId="Numbered1Char">
    <w:name w:val="Numbered 1 Char"/>
    <w:basedOn w:val="Heading1Char"/>
    <w:link w:val="Numbered1"/>
    <w:rsid w:val="00F61B84"/>
    <w:rPr>
      <w:rFonts w:ascii="Lucida Fax" w:eastAsiaTheme="majorEastAsia" w:hAnsi="Lucida Fax" w:cstheme="majorBidi"/>
      <w:bCs/>
      <w:color w:val="51626F"/>
      <w:sz w:val="32"/>
      <w:szCs w:val="28"/>
    </w:rPr>
  </w:style>
  <w:style w:type="paragraph" w:customStyle="1" w:styleId="Numberedparagraph">
    <w:name w:val="Numbered paragraph"/>
    <w:basedOn w:val="Normal"/>
    <w:rsid w:val="00B60F5D"/>
    <w:pPr>
      <w:numPr>
        <w:numId w:val="1"/>
      </w:numPr>
      <w:ind w:left="680" w:hanging="680"/>
    </w:pPr>
    <w:rPr>
      <w:rFonts w:eastAsia="Times New Roman" w:cs="Times New Roman"/>
      <w:color w:val="000000" w:themeColor="text1" w:themeShade="BF"/>
      <w:szCs w:val="20"/>
    </w:rPr>
  </w:style>
  <w:style w:type="paragraph" w:customStyle="1" w:styleId="Listalphabet2">
    <w:name w:val="List alphabet 2"/>
    <w:rsid w:val="00CF799E"/>
    <w:pPr>
      <w:numPr>
        <w:numId w:val="13"/>
      </w:numPr>
      <w:tabs>
        <w:tab w:val="left" w:pos="680"/>
      </w:tabs>
      <w:spacing w:before="120"/>
    </w:pPr>
    <w:rPr>
      <w:rFonts w:ascii="Arial" w:hAnsi="Arial"/>
    </w:rPr>
  </w:style>
  <w:style w:type="paragraph" w:customStyle="1" w:styleId="Listalphabet3">
    <w:name w:val="List alphabet 3"/>
    <w:rsid w:val="00CF799E"/>
    <w:pPr>
      <w:numPr>
        <w:numId w:val="19"/>
      </w:numPr>
      <w:tabs>
        <w:tab w:val="left" w:pos="1021"/>
      </w:tabs>
      <w:spacing w:before="120"/>
    </w:pPr>
    <w:rPr>
      <w:rFonts w:ascii="Arial" w:hAnsi="Arial"/>
    </w:rPr>
  </w:style>
  <w:style w:type="paragraph" w:customStyle="1" w:styleId="Listalphabet4">
    <w:name w:val="List alphabet 4"/>
    <w:rsid w:val="00CF799E"/>
    <w:pPr>
      <w:numPr>
        <w:numId w:val="20"/>
      </w:numPr>
      <w:tabs>
        <w:tab w:val="left" w:pos="1361"/>
      </w:tabs>
      <w:spacing w:before="120"/>
    </w:pPr>
    <w:rPr>
      <w:rFonts w:ascii="Arial" w:hAnsi="Arial"/>
    </w:rPr>
  </w:style>
  <w:style w:type="paragraph" w:customStyle="1" w:styleId="Listalphabet5">
    <w:name w:val="List alphabet 5"/>
    <w:rsid w:val="00CF799E"/>
    <w:pPr>
      <w:numPr>
        <w:numId w:val="21"/>
      </w:numPr>
      <w:tabs>
        <w:tab w:val="left" w:pos="1701"/>
      </w:tabs>
      <w:spacing w:before="120"/>
    </w:pPr>
    <w:rPr>
      <w:rFonts w:ascii="Arial" w:hAnsi="Arial"/>
    </w:rPr>
  </w:style>
  <w:style w:type="paragraph" w:styleId="ListContinue5">
    <w:name w:val="List Continue 5"/>
    <w:basedOn w:val="Normal"/>
    <w:uiPriority w:val="99"/>
    <w:rsid w:val="00DC542F"/>
    <w:pPr>
      <w:tabs>
        <w:tab w:val="left" w:pos="1701"/>
      </w:tabs>
      <w:spacing w:before="120"/>
      <w:ind w:left="1701"/>
    </w:pPr>
  </w:style>
  <w:style w:type="paragraph" w:customStyle="1" w:styleId="Listalphabet">
    <w:name w:val="List alphabet"/>
    <w:qFormat/>
    <w:rsid w:val="003459E6"/>
    <w:pPr>
      <w:numPr>
        <w:numId w:val="22"/>
      </w:numPr>
      <w:tabs>
        <w:tab w:val="left" w:pos="340"/>
      </w:tabs>
      <w:spacing w:before="120"/>
    </w:pPr>
    <w:rPr>
      <w:rFonts w:ascii="Arial" w:hAnsi="Arial"/>
    </w:rPr>
  </w:style>
  <w:style w:type="paragraph" w:styleId="NoteHeading">
    <w:name w:val="Note Heading"/>
    <w:basedOn w:val="Normal"/>
    <w:next w:val="Normal"/>
    <w:link w:val="NoteHeadingChar"/>
    <w:uiPriority w:val="99"/>
    <w:semiHidden/>
    <w:unhideWhenUsed/>
    <w:rsid w:val="00F61B84"/>
    <w:pPr>
      <w:spacing w:before="0"/>
    </w:pPr>
  </w:style>
  <w:style w:type="character" w:customStyle="1" w:styleId="NoteHeadingChar">
    <w:name w:val="Note Heading Char"/>
    <w:basedOn w:val="DefaultParagraphFont"/>
    <w:link w:val="NoteHeading"/>
    <w:uiPriority w:val="99"/>
    <w:semiHidden/>
    <w:rsid w:val="00F61B84"/>
    <w:rPr>
      <w:rFonts w:ascii="Arial" w:hAnsi="Arial"/>
    </w:rPr>
  </w:style>
  <w:style w:type="character" w:styleId="SubtleReference">
    <w:name w:val="Subtle Reference"/>
    <w:basedOn w:val="DefaultParagraphFont"/>
    <w:uiPriority w:val="31"/>
    <w:unhideWhenUsed/>
    <w:rsid w:val="00B60F5D"/>
    <w:rPr>
      <w:smallCaps/>
      <w:color w:val="4F2D7D" w:themeColor="accent2"/>
      <w:u w:val="single"/>
    </w:rPr>
  </w:style>
  <w:style w:type="paragraph" w:customStyle="1" w:styleId="ListLegal">
    <w:name w:val="List Legal"/>
    <w:basedOn w:val="ListParagraph"/>
    <w:rsid w:val="00CF799E"/>
    <w:pPr>
      <w:numPr>
        <w:numId w:val="25"/>
      </w:numPr>
      <w:tabs>
        <w:tab w:val="clear" w:pos="340"/>
        <w:tab w:val="left" w:pos="680"/>
      </w:tabs>
    </w:pPr>
  </w:style>
  <w:style w:type="paragraph" w:customStyle="1" w:styleId="ListLegal2">
    <w:name w:val="List Legal 2"/>
    <w:basedOn w:val="ListLegal"/>
    <w:rsid w:val="00C06739"/>
    <w:pPr>
      <w:numPr>
        <w:numId w:val="16"/>
      </w:numPr>
      <w:tabs>
        <w:tab w:val="clear" w:pos="680"/>
        <w:tab w:val="left" w:pos="1021"/>
      </w:tabs>
    </w:pPr>
  </w:style>
  <w:style w:type="paragraph" w:customStyle="1" w:styleId="ListLegal3">
    <w:name w:val="List Legal 3"/>
    <w:basedOn w:val="ListNumber3"/>
    <w:rsid w:val="00CF799E"/>
    <w:pPr>
      <w:numPr>
        <w:numId w:val="15"/>
      </w:numPr>
      <w:tabs>
        <w:tab w:val="clear" w:pos="1021"/>
        <w:tab w:val="left" w:pos="1361"/>
      </w:tabs>
    </w:pPr>
  </w:style>
  <w:style w:type="paragraph" w:customStyle="1" w:styleId="ListLegal4">
    <w:name w:val="List Legal 4"/>
    <w:basedOn w:val="ListLegal3"/>
    <w:rsid w:val="00CF799E"/>
    <w:pPr>
      <w:numPr>
        <w:numId w:val="17"/>
      </w:numPr>
      <w:tabs>
        <w:tab w:val="clear" w:pos="1361"/>
        <w:tab w:val="left" w:pos="1701"/>
      </w:tabs>
    </w:pPr>
  </w:style>
  <w:style w:type="paragraph" w:customStyle="1" w:styleId="ListLegal5">
    <w:name w:val="List Legal 5"/>
    <w:basedOn w:val="ListLegal4"/>
    <w:rsid w:val="000F2368"/>
    <w:pPr>
      <w:numPr>
        <w:numId w:val="26"/>
      </w:numPr>
      <w:tabs>
        <w:tab w:val="clear" w:pos="1701"/>
        <w:tab w:val="left" w:pos="2041"/>
      </w:tabs>
    </w:pPr>
  </w:style>
  <w:style w:type="paragraph" w:customStyle="1" w:styleId="LegalNumbering">
    <w:name w:val="Legal Numbering"/>
    <w:basedOn w:val="Normal"/>
    <w:qFormat/>
    <w:rsid w:val="0002115F"/>
    <w:pPr>
      <w:numPr>
        <w:numId w:val="18"/>
      </w:numPr>
      <w:tabs>
        <w:tab w:val="left" w:pos="340"/>
        <w:tab w:val="left" w:pos="680"/>
        <w:tab w:val="left" w:pos="1021"/>
        <w:tab w:val="left" w:pos="1361"/>
      </w:tabs>
    </w:pPr>
  </w:style>
  <w:style w:type="character" w:styleId="CommentReference">
    <w:name w:val="annotation reference"/>
    <w:basedOn w:val="DefaultParagraphFont"/>
    <w:uiPriority w:val="99"/>
    <w:semiHidden/>
    <w:unhideWhenUsed/>
    <w:rsid w:val="00BD2820"/>
    <w:rPr>
      <w:sz w:val="16"/>
      <w:szCs w:val="16"/>
    </w:rPr>
  </w:style>
  <w:style w:type="paragraph" w:styleId="CommentText">
    <w:name w:val="annotation text"/>
    <w:basedOn w:val="Normal"/>
    <w:link w:val="CommentTextChar"/>
    <w:uiPriority w:val="99"/>
    <w:semiHidden/>
    <w:unhideWhenUsed/>
    <w:rsid w:val="00BD2820"/>
    <w:rPr>
      <w:sz w:val="20"/>
      <w:szCs w:val="20"/>
    </w:rPr>
  </w:style>
  <w:style w:type="character" w:customStyle="1" w:styleId="CommentTextChar">
    <w:name w:val="Comment Text Char"/>
    <w:basedOn w:val="DefaultParagraphFont"/>
    <w:link w:val="CommentText"/>
    <w:uiPriority w:val="99"/>
    <w:semiHidden/>
    <w:rsid w:val="00BD2820"/>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BD2820"/>
    <w:rPr>
      <w:b/>
      <w:bCs/>
    </w:rPr>
  </w:style>
  <w:style w:type="character" w:customStyle="1" w:styleId="CommentSubjectChar">
    <w:name w:val="Comment Subject Char"/>
    <w:basedOn w:val="CommentTextChar"/>
    <w:link w:val="CommentSubject"/>
    <w:uiPriority w:val="99"/>
    <w:semiHidden/>
    <w:rsid w:val="00BD2820"/>
    <w:rPr>
      <w:rFonts w:ascii="Arial" w:hAnsi="Arial"/>
      <w:b/>
      <w:bCs/>
      <w:sz w:val="20"/>
      <w:szCs w:val="20"/>
    </w:rPr>
  </w:style>
  <w:style w:type="paragraph" w:styleId="Revision">
    <w:name w:val="Revision"/>
    <w:hidden/>
    <w:uiPriority w:val="99"/>
    <w:semiHidden/>
    <w:rsid w:val="00211276"/>
    <w:pPr>
      <w:spacing w:before="0"/>
    </w:pPr>
    <w:rPr>
      <w:rFonts w:ascii="Arial" w:hAnsi="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2"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qFormat/>
    <w:rsid w:val="003B5A70"/>
    <w:rPr>
      <w:rFonts w:ascii="Arial" w:hAnsi="Arial"/>
    </w:rPr>
  </w:style>
  <w:style w:type="paragraph" w:styleId="Heading1">
    <w:name w:val="heading 1"/>
    <w:basedOn w:val="Normal"/>
    <w:next w:val="Normal"/>
    <w:link w:val="Heading1Char"/>
    <w:qFormat/>
    <w:rsid w:val="009D6B46"/>
    <w:pPr>
      <w:spacing w:before="240"/>
      <w:outlineLvl w:val="0"/>
    </w:pPr>
    <w:rPr>
      <w:rFonts w:ascii="Lucida Fax" w:eastAsiaTheme="majorEastAsia" w:hAnsi="Lucida Fax" w:cstheme="majorBidi"/>
      <w:bCs/>
      <w:color w:val="51626F"/>
      <w:sz w:val="32"/>
      <w:szCs w:val="28"/>
    </w:rPr>
  </w:style>
  <w:style w:type="paragraph" w:styleId="Heading2">
    <w:name w:val="heading 2"/>
    <w:next w:val="Normal"/>
    <w:link w:val="Heading2Char"/>
    <w:qFormat/>
    <w:rsid w:val="009D6B46"/>
    <w:pPr>
      <w:spacing w:line="240" w:lineRule="atLeast"/>
      <w:outlineLvl w:val="1"/>
    </w:pPr>
    <w:rPr>
      <w:rFonts w:ascii="Arial" w:eastAsiaTheme="majorEastAsia" w:hAnsi="Arial" w:cstheme="majorBidi"/>
      <w:b/>
      <w:bCs/>
      <w:color w:val="51626F"/>
      <w:sz w:val="28"/>
      <w:szCs w:val="26"/>
    </w:rPr>
  </w:style>
  <w:style w:type="paragraph" w:styleId="Heading3">
    <w:name w:val="heading 3"/>
    <w:basedOn w:val="Normal"/>
    <w:next w:val="Normal"/>
    <w:link w:val="Heading3Char"/>
    <w:qFormat/>
    <w:rsid w:val="009D6B46"/>
    <w:pPr>
      <w:spacing w:before="240"/>
      <w:outlineLvl w:val="2"/>
    </w:pPr>
    <w:rPr>
      <w:rFonts w:eastAsiaTheme="majorEastAsia" w:cstheme="majorBidi"/>
      <w:b/>
      <w:bCs/>
      <w:color w:val="000000" w:themeColor="text1" w:themeShade="BF"/>
      <w:sz w:val="24"/>
    </w:rPr>
  </w:style>
  <w:style w:type="paragraph" w:styleId="Heading4">
    <w:name w:val="heading 4"/>
    <w:basedOn w:val="Normal"/>
    <w:next w:val="Normal"/>
    <w:link w:val="Heading4Char"/>
    <w:qFormat/>
    <w:rsid w:val="009D6B46"/>
    <w:pPr>
      <w:spacing w:before="240"/>
      <w:outlineLvl w:val="3"/>
    </w:pPr>
    <w:rPr>
      <w:rFonts w:eastAsiaTheme="majorEastAsia" w:cstheme="majorBidi"/>
      <w:b/>
      <w:bCs/>
      <w:i/>
      <w:iCs/>
      <w:color w:val="51626F"/>
      <w:sz w:val="24"/>
    </w:rPr>
  </w:style>
  <w:style w:type="paragraph" w:styleId="Heading5">
    <w:name w:val="heading 5"/>
    <w:next w:val="Normal"/>
    <w:link w:val="Heading5Char"/>
    <w:uiPriority w:val="2"/>
    <w:qFormat/>
    <w:rsid w:val="009D6B46"/>
    <w:pPr>
      <w:spacing w:line="240" w:lineRule="atLeast"/>
      <w:outlineLvl w:val="4"/>
    </w:pPr>
    <w:rPr>
      <w:rFonts w:ascii="Arial" w:eastAsiaTheme="majorEastAsia" w:hAnsi="Arial" w:cstheme="majorBidi"/>
      <w:b/>
      <w:color w:val="283037" w:themeColor="accent1" w:themeShade="7F"/>
    </w:rPr>
  </w:style>
  <w:style w:type="paragraph" w:styleId="Heading6">
    <w:name w:val="heading 6"/>
    <w:basedOn w:val="Normal"/>
    <w:next w:val="Normal"/>
    <w:link w:val="Heading6Char"/>
    <w:uiPriority w:val="2"/>
    <w:qFormat/>
    <w:rsid w:val="009D6B46"/>
    <w:pPr>
      <w:spacing w:before="240"/>
      <w:outlineLvl w:val="5"/>
    </w:pPr>
    <w:rPr>
      <w:rFonts w:eastAsiaTheme="majorEastAsia" w:cstheme="majorBidi"/>
      <w:b/>
      <w:i/>
      <w:iCs/>
    </w:rPr>
  </w:style>
  <w:style w:type="paragraph" w:styleId="Heading7">
    <w:name w:val="heading 7"/>
    <w:basedOn w:val="Normal"/>
    <w:next w:val="Normal"/>
    <w:link w:val="Heading7Char"/>
    <w:uiPriority w:val="2"/>
    <w:qFormat/>
    <w:rsid w:val="009D6B46"/>
    <w:pPr>
      <w:spacing w:before="240"/>
      <w:outlineLvl w:val="6"/>
    </w:pPr>
    <w:rPr>
      <w:rFonts w:eastAsiaTheme="majorEastAsia" w:cstheme="majorBidi"/>
      <w:i/>
      <w:iCs/>
      <w:color w:val="404040" w:themeColor="text1" w:themeTint="BF"/>
    </w:rPr>
  </w:style>
  <w:style w:type="paragraph" w:styleId="Heading8">
    <w:name w:val="heading 8"/>
    <w:basedOn w:val="Normal"/>
    <w:next w:val="Normal"/>
    <w:link w:val="Heading8Char"/>
    <w:uiPriority w:val="2"/>
    <w:qFormat/>
    <w:rsid w:val="009D6B46"/>
    <w:pPr>
      <w:spacing w:before="240"/>
      <w:outlineLvl w:val="7"/>
    </w:pPr>
    <w:rPr>
      <w:rFonts w:eastAsiaTheme="majorEastAsia" w:cstheme="majorBidi"/>
      <w:color w:val="51626F" w:themeColor="accent1"/>
      <w:szCs w:val="20"/>
    </w:rPr>
  </w:style>
  <w:style w:type="paragraph" w:styleId="Heading9">
    <w:name w:val="heading 9"/>
    <w:aliases w:val="Numbered Table"/>
    <w:basedOn w:val="Normal"/>
    <w:next w:val="Normal"/>
    <w:link w:val="Heading9Char"/>
    <w:uiPriority w:val="2"/>
    <w:qFormat/>
    <w:rsid w:val="00646025"/>
    <w:pPr>
      <w:numPr>
        <w:numId w:val="27"/>
      </w:numPr>
      <w:tabs>
        <w:tab w:val="left" w:pos="340"/>
      </w:tabs>
      <w:spacing w:before="240" w:after="120"/>
      <w:outlineLvl w:val="8"/>
    </w:pPr>
    <w:rPr>
      <w:rFonts w:eastAsiaTheme="majorEastAsia" w:cstheme="majorBidi"/>
      <w:b/>
      <w:iCs/>
      <w:color w:val="000000" w:themeColor="text1"/>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D6B46"/>
    <w:rPr>
      <w:rFonts w:ascii="Lucida Fax" w:eastAsiaTheme="majorEastAsia" w:hAnsi="Lucida Fax" w:cstheme="majorBidi"/>
      <w:bCs/>
      <w:color w:val="51626F"/>
      <w:sz w:val="32"/>
      <w:szCs w:val="28"/>
    </w:rPr>
  </w:style>
  <w:style w:type="character" w:customStyle="1" w:styleId="Heading2Char">
    <w:name w:val="Heading 2 Char"/>
    <w:basedOn w:val="DefaultParagraphFont"/>
    <w:link w:val="Heading2"/>
    <w:rsid w:val="009D6B46"/>
    <w:rPr>
      <w:rFonts w:ascii="Arial" w:eastAsiaTheme="majorEastAsia" w:hAnsi="Arial" w:cstheme="majorBidi"/>
      <w:b/>
      <w:bCs/>
      <w:color w:val="51626F"/>
      <w:sz w:val="28"/>
      <w:szCs w:val="26"/>
    </w:rPr>
  </w:style>
  <w:style w:type="character" w:customStyle="1" w:styleId="Heading3Char">
    <w:name w:val="Heading 3 Char"/>
    <w:basedOn w:val="DefaultParagraphFont"/>
    <w:link w:val="Heading3"/>
    <w:rsid w:val="009D6B46"/>
    <w:rPr>
      <w:rFonts w:ascii="Arial" w:eastAsiaTheme="majorEastAsia" w:hAnsi="Arial" w:cstheme="majorBidi"/>
      <w:b/>
      <w:bCs/>
      <w:color w:val="000000" w:themeColor="text1" w:themeShade="BF"/>
      <w:sz w:val="24"/>
    </w:rPr>
  </w:style>
  <w:style w:type="character" w:customStyle="1" w:styleId="Heading4Char">
    <w:name w:val="Heading 4 Char"/>
    <w:basedOn w:val="DefaultParagraphFont"/>
    <w:link w:val="Heading4"/>
    <w:rsid w:val="009D6B46"/>
    <w:rPr>
      <w:rFonts w:ascii="Arial" w:eastAsiaTheme="majorEastAsia" w:hAnsi="Arial" w:cstheme="majorBidi"/>
      <w:b/>
      <w:bCs/>
      <w:i/>
      <w:iCs/>
      <w:color w:val="51626F"/>
      <w:sz w:val="24"/>
    </w:rPr>
  </w:style>
  <w:style w:type="character" w:customStyle="1" w:styleId="Heading5Char">
    <w:name w:val="Heading 5 Char"/>
    <w:basedOn w:val="DefaultParagraphFont"/>
    <w:link w:val="Heading5"/>
    <w:uiPriority w:val="2"/>
    <w:rsid w:val="009D6B46"/>
    <w:rPr>
      <w:rFonts w:ascii="Arial" w:eastAsiaTheme="majorEastAsia" w:hAnsi="Arial" w:cstheme="majorBidi"/>
      <w:b/>
      <w:color w:val="283037" w:themeColor="accent1" w:themeShade="7F"/>
    </w:rPr>
  </w:style>
  <w:style w:type="character" w:customStyle="1" w:styleId="Heading6Char">
    <w:name w:val="Heading 6 Char"/>
    <w:basedOn w:val="DefaultParagraphFont"/>
    <w:link w:val="Heading6"/>
    <w:uiPriority w:val="2"/>
    <w:rsid w:val="009D6B46"/>
    <w:rPr>
      <w:rFonts w:ascii="Arial" w:eastAsiaTheme="majorEastAsia" w:hAnsi="Arial" w:cstheme="majorBidi"/>
      <w:b/>
      <w:i/>
      <w:iCs/>
    </w:rPr>
  </w:style>
  <w:style w:type="paragraph" w:customStyle="1" w:styleId="Chaptertitle">
    <w:name w:val="Chapter title"/>
    <w:basedOn w:val="Normal"/>
    <w:link w:val="ChaptertitleChar"/>
    <w:rsid w:val="0088007E"/>
    <w:pPr>
      <w:spacing w:before="520" w:after="120"/>
    </w:pPr>
    <w:rPr>
      <w:rFonts w:ascii="Lucida Fax" w:hAnsi="Lucida Fax"/>
      <w:color w:val="4F2D7F"/>
      <w:sz w:val="52"/>
      <w:szCs w:val="52"/>
    </w:rPr>
  </w:style>
  <w:style w:type="character" w:customStyle="1" w:styleId="ChaptertitleChar">
    <w:name w:val="Chapter title Char"/>
    <w:basedOn w:val="DefaultParagraphFont"/>
    <w:link w:val="Chaptertitle"/>
    <w:rsid w:val="0088007E"/>
    <w:rPr>
      <w:rFonts w:ascii="Lucida Fax" w:hAnsi="Lucida Fax"/>
      <w:color w:val="4F2D7F"/>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customStyle="1" w:styleId="Copyrighttext">
    <w:name w:val="Copyright text"/>
    <w:basedOn w:val="Normal"/>
    <w:link w:val="CopyrighttextChar"/>
    <w:uiPriority w:val="2"/>
    <w:qFormat/>
    <w:rsid w:val="00F952A0"/>
    <w:pPr>
      <w:spacing w:line="360" w:lineRule="auto"/>
      <w:contextualSpacing/>
    </w:pPr>
    <w:rPr>
      <w:color w:val="51626F" w:themeColor="accent1"/>
      <w:sz w:val="16"/>
      <w:szCs w:val="16"/>
    </w:rPr>
  </w:style>
  <w:style w:type="character" w:customStyle="1" w:styleId="CopyrighttextChar">
    <w:name w:val="Copyright text Char"/>
    <w:basedOn w:val="DefaultParagraphFont"/>
    <w:link w:val="Copyrighttext"/>
    <w:uiPriority w:val="2"/>
    <w:rsid w:val="00724A37"/>
    <w:rPr>
      <w:rFonts w:ascii="Arial" w:hAnsi="Arial"/>
      <w:color w:val="51626F" w:themeColor="accent1"/>
      <w:sz w:val="16"/>
      <w:szCs w:val="16"/>
    </w:rPr>
  </w:style>
  <w:style w:type="paragraph" w:styleId="TOC8">
    <w:name w:val="toc 8"/>
    <w:basedOn w:val="Normal"/>
    <w:next w:val="Normal"/>
    <w:uiPriority w:val="39"/>
    <w:rsid w:val="009F4940"/>
    <w:pPr>
      <w:tabs>
        <w:tab w:val="right" w:leader="dot" w:pos="9016"/>
      </w:tabs>
      <w:spacing w:after="100"/>
      <w:ind w:left="2977"/>
    </w:pPr>
    <w:rPr>
      <w:noProof/>
    </w:rPr>
  </w:style>
  <w:style w:type="paragraph" w:styleId="TOC9">
    <w:name w:val="toc 9"/>
    <w:basedOn w:val="Normal"/>
    <w:next w:val="Normal"/>
    <w:uiPriority w:val="39"/>
    <w:rsid w:val="009F4940"/>
    <w:pPr>
      <w:tabs>
        <w:tab w:val="right" w:leader="dot" w:pos="9016"/>
      </w:tabs>
      <w:spacing w:after="100"/>
      <w:ind w:left="3402"/>
    </w:pPr>
    <w:rPr>
      <w:noProof/>
    </w:rPr>
  </w:style>
  <w:style w:type="paragraph" w:customStyle="1" w:styleId="Numbered1">
    <w:name w:val="Numbered 1"/>
    <w:basedOn w:val="Heading1"/>
    <w:next w:val="Normal"/>
    <w:link w:val="Numbered1Char"/>
    <w:qFormat/>
    <w:rsid w:val="00F61B84"/>
    <w:pPr>
      <w:numPr>
        <w:numId w:val="12"/>
      </w:numPr>
      <w:tabs>
        <w:tab w:val="left" w:pos="680"/>
      </w:tabs>
      <w:ind w:left="680" w:hanging="680"/>
    </w:pPr>
  </w:style>
  <w:style w:type="paragraph" w:customStyle="1" w:styleId="Numbered11">
    <w:name w:val="Numbered 1.1"/>
    <w:basedOn w:val="Heading2"/>
    <w:next w:val="Normal"/>
    <w:qFormat/>
    <w:rsid w:val="00F61B84"/>
    <w:pPr>
      <w:numPr>
        <w:ilvl w:val="1"/>
        <w:numId w:val="12"/>
      </w:numPr>
      <w:tabs>
        <w:tab w:val="left" w:pos="1021"/>
      </w:tabs>
      <w:ind w:left="1021" w:hanging="1021"/>
    </w:pPr>
    <w:rPr>
      <w:rFonts w:cs="Arial"/>
      <w:b w:val="0"/>
    </w:rPr>
  </w:style>
  <w:style w:type="paragraph" w:customStyle="1" w:styleId="Numbered111">
    <w:name w:val="Numbered 1.1.1"/>
    <w:basedOn w:val="Heading3"/>
    <w:next w:val="Normal"/>
    <w:qFormat/>
    <w:rsid w:val="00F61B84"/>
    <w:pPr>
      <w:numPr>
        <w:ilvl w:val="2"/>
        <w:numId w:val="12"/>
      </w:numPr>
      <w:tabs>
        <w:tab w:val="left" w:pos="1361"/>
      </w:tabs>
      <w:ind w:left="1361" w:hanging="1361"/>
      <w:contextualSpacing/>
    </w:pPr>
  </w:style>
  <w:style w:type="paragraph" w:customStyle="1" w:styleId="Numbered1111">
    <w:name w:val="Numbered 1.1.1.1"/>
    <w:basedOn w:val="Heading4"/>
    <w:next w:val="Normal"/>
    <w:rsid w:val="00F61B84"/>
    <w:pPr>
      <w:numPr>
        <w:ilvl w:val="3"/>
        <w:numId w:val="12"/>
      </w:numPr>
      <w:tabs>
        <w:tab w:val="left" w:pos="1361"/>
      </w:tabs>
      <w:ind w:left="1361" w:hanging="1361"/>
    </w:pPr>
  </w:style>
  <w:style w:type="paragraph" w:customStyle="1" w:styleId="Numbered11111">
    <w:name w:val="Numbered 1.1.1.1.1"/>
    <w:basedOn w:val="Heading5"/>
    <w:next w:val="Normal"/>
    <w:uiPriority w:val="2"/>
    <w:rsid w:val="00F61B84"/>
    <w:pPr>
      <w:numPr>
        <w:ilvl w:val="4"/>
        <w:numId w:val="12"/>
      </w:numPr>
      <w:tabs>
        <w:tab w:val="left" w:pos="1701"/>
      </w:tabs>
      <w:ind w:left="1701" w:hanging="1701"/>
    </w:pPr>
  </w:style>
  <w:style w:type="paragraph" w:customStyle="1" w:styleId="Numbered111111">
    <w:name w:val="Numbered 1.1.1.1.1.1"/>
    <w:basedOn w:val="Heading6"/>
    <w:next w:val="Normal"/>
    <w:uiPriority w:val="2"/>
    <w:rsid w:val="00F61B84"/>
    <w:pPr>
      <w:numPr>
        <w:ilvl w:val="5"/>
        <w:numId w:val="12"/>
      </w:numPr>
      <w:tabs>
        <w:tab w:val="left" w:pos="1701"/>
      </w:tabs>
      <w:ind w:left="1701" w:hanging="1701"/>
    </w:pPr>
  </w:style>
  <w:style w:type="paragraph" w:styleId="Header">
    <w:name w:val="header"/>
    <w:basedOn w:val="Normal"/>
    <w:link w:val="HeaderChar"/>
    <w:uiPriority w:val="99"/>
    <w:unhideWhenUsed/>
    <w:qFormat/>
    <w:rsid w:val="008344F6"/>
    <w:pPr>
      <w:tabs>
        <w:tab w:val="center" w:pos="4513"/>
        <w:tab w:val="right" w:pos="9026"/>
      </w:tabs>
      <w:spacing w:after="120"/>
    </w:pPr>
    <w:rPr>
      <w:color w:val="51626F" w:themeColor="accent1"/>
      <w:sz w:val="18"/>
    </w:rPr>
  </w:style>
  <w:style w:type="character" w:customStyle="1" w:styleId="HeaderChar">
    <w:name w:val="Header Char"/>
    <w:basedOn w:val="DefaultParagraphFont"/>
    <w:link w:val="Header"/>
    <w:uiPriority w:val="99"/>
    <w:rsid w:val="008344F6"/>
    <w:rPr>
      <w:rFonts w:ascii="Arial" w:hAnsi="Arial"/>
      <w:color w:val="51626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584D8F"/>
    <w:pPr>
      <w:spacing w:before="240" w:after="120"/>
    </w:pPr>
    <w:rPr>
      <w:b/>
      <w:szCs w:val="20"/>
    </w:rPr>
  </w:style>
  <w:style w:type="character" w:customStyle="1" w:styleId="TabletitleChar">
    <w:name w:val="Table title Char"/>
    <w:basedOn w:val="DefaultParagraphFont"/>
    <w:link w:val="Tabletitle"/>
    <w:rsid w:val="00584D8F"/>
    <w:rPr>
      <w:rFonts w:ascii="Arial" w:hAnsi="Arial"/>
      <w:b/>
      <w:szCs w:val="20"/>
    </w:rPr>
  </w:style>
  <w:style w:type="paragraph" w:customStyle="1" w:styleId="Charttitle">
    <w:name w:val="Chart title"/>
    <w:basedOn w:val="Tabletitle"/>
    <w:rsid w:val="005C26CC"/>
    <w:rPr>
      <w:sz w:val="24"/>
    </w:rPr>
  </w:style>
  <w:style w:type="paragraph" w:styleId="EndnoteText">
    <w:name w:val="endnote text"/>
    <w:basedOn w:val="Normal"/>
    <w:link w:val="EndnoteTextChar"/>
    <w:uiPriority w:val="99"/>
    <w:rsid w:val="00263AC0"/>
    <w:pPr>
      <w:spacing w:before="0"/>
    </w:pPr>
    <w:rPr>
      <w:sz w:val="20"/>
      <w:szCs w:val="20"/>
    </w:rPr>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EA3D42"/>
    <w:pPr>
      <w:spacing w:after="120"/>
      <w:contextualSpacing/>
    </w:pPr>
    <w:rPr>
      <w:rFonts w:ascii="Lucida Fax" w:hAnsi="Lucida Fax"/>
      <w:b/>
      <w:color w:val="DC5034"/>
      <w:sz w:val="24"/>
      <w:szCs w:val="24"/>
    </w:rPr>
  </w:style>
  <w:style w:type="character" w:customStyle="1" w:styleId="PullquoteheadingChar">
    <w:name w:val="Pull quote heading Char"/>
    <w:basedOn w:val="DefaultParagraphFont"/>
    <w:link w:val="Pullquoteheading"/>
    <w:uiPriority w:val="1"/>
    <w:rsid w:val="00AE1BF1"/>
    <w:rPr>
      <w:rFonts w:ascii="Lucida Fax" w:hAnsi="Lucida Fax"/>
      <w:b/>
      <w:color w:val="DC5034"/>
      <w:sz w:val="24"/>
      <w:szCs w:val="24"/>
    </w:rPr>
  </w:style>
  <w:style w:type="paragraph" w:customStyle="1" w:styleId="Pullquotetext">
    <w:name w:val="Pull quote text"/>
    <w:link w:val="PullquotetextChar"/>
    <w:uiPriority w:val="1"/>
    <w:rsid w:val="00AF0DD2"/>
    <w:pPr>
      <w:spacing w:before="120"/>
    </w:pPr>
    <w:rPr>
      <w:rFonts w:ascii="Lucida Fax" w:hAnsi="Lucida Fax"/>
      <w:color w:val="DC5034"/>
      <w:szCs w:val="24"/>
    </w:rPr>
  </w:style>
  <w:style w:type="character" w:customStyle="1" w:styleId="PullquotetextChar">
    <w:name w:val="Pull quote text Char"/>
    <w:basedOn w:val="PullquoteheadingChar"/>
    <w:link w:val="Pullquotetext"/>
    <w:uiPriority w:val="1"/>
    <w:rsid w:val="00AE1BF1"/>
    <w:rPr>
      <w:rFonts w:ascii="Lucida Fax" w:hAnsi="Lucida Fax"/>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customStyle="1" w:styleId="Footnotes">
    <w:name w:val="Footnotes"/>
    <w:basedOn w:val="FootnoteText"/>
    <w:link w:val="FootnotesChar"/>
    <w:uiPriority w:val="4"/>
    <w:semiHidden/>
    <w:qFormat/>
    <w:rsid w:val="00B8080B"/>
  </w:style>
  <w:style w:type="character" w:customStyle="1" w:styleId="FootnotesChar">
    <w:name w:val="Footnotes Char"/>
    <w:basedOn w:val="DefaultParagraphFont"/>
    <w:link w:val="Footnotes"/>
    <w:uiPriority w:val="4"/>
    <w:semiHidden/>
    <w:rsid w:val="00FE39C2"/>
    <w:rPr>
      <w:rFonts w:ascii="Arial" w:hAnsi="Arial"/>
      <w:sz w:val="20"/>
      <w:szCs w:val="20"/>
    </w:rPr>
  </w:style>
  <w:style w:type="paragraph" w:styleId="Quote">
    <w:name w:val="Quote"/>
    <w:basedOn w:val="Normal"/>
    <w:next w:val="Normal"/>
    <w:link w:val="QuoteChar"/>
    <w:uiPriority w:val="29"/>
    <w:rsid w:val="001D055E"/>
    <w:pPr>
      <w:ind w:left="737"/>
    </w:pPr>
    <w:rPr>
      <w:i/>
      <w:iCs/>
      <w:color w:val="000000" w:themeColor="text1"/>
    </w:rPr>
  </w:style>
  <w:style w:type="character" w:customStyle="1" w:styleId="QuoteChar">
    <w:name w:val="Quote Char"/>
    <w:basedOn w:val="DefaultParagraphFont"/>
    <w:link w:val="Quote"/>
    <w:uiPriority w:val="29"/>
    <w:rsid w:val="001D055E"/>
    <w:rPr>
      <w:rFonts w:ascii="Arial" w:hAnsi="Arial"/>
      <w:i/>
      <w:iCs/>
      <w:color w:val="000000" w:themeColor="text1"/>
    </w:rPr>
  </w:style>
  <w:style w:type="paragraph" w:customStyle="1" w:styleId="Bulletpoint">
    <w:name w:val="Bullet point"/>
    <w:basedOn w:val="ListBullet"/>
    <w:qFormat/>
    <w:rsid w:val="00E4674F"/>
    <w:pPr>
      <w:numPr>
        <w:numId w:val="2"/>
      </w:numPr>
      <w:ind w:left="340" w:hanging="340"/>
    </w:pPr>
    <w:rPr>
      <w:rFonts w:cs="Times New Roman"/>
    </w:rPr>
  </w:style>
  <w:style w:type="paragraph" w:styleId="ListBullet">
    <w:name w:val="List Bullet"/>
    <w:basedOn w:val="Normal"/>
    <w:uiPriority w:val="99"/>
    <w:rsid w:val="00DC542F"/>
    <w:pPr>
      <w:numPr>
        <w:numId w:val="10"/>
      </w:numPr>
      <w:tabs>
        <w:tab w:val="left" w:pos="340"/>
      </w:tabs>
      <w:spacing w:before="120"/>
      <w:ind w:left="340" w:hanging="340"/>
    </w:pPr>
  </w:style>
  <w:style w:type="paragraph" w:customStyle="1" w:styleId="Bulletpoint2">
    <w:name w:val="Bullet point 2"/>
    <w:basedOn w:val="ListBullet2"/>
    <w:uiPriority w:val="1"/>
    <w:qFormat/>
    <w:rsid w:val="00E4674F"/>
    <w:pPr>
      <w:numPr>
        <w:numId w:val="9"/>
      </w:numPr>
      <w:tabs>
        <w:tab w:val="left" w:pos="680"/>
      </w:tabs>
      <w:ind w:left="680" w:hanging="340"/>
    </w:pPr>
  </w:style>
  <w:style w:type="paragraph" w:styleId="ListNumber">
    <w:name w:val="List Number"/>
    <w:basedOn w:val="Normal"/>
    <w:uiPriority w:val="99"/>
    <w:rsid w:val="000F2368"/>
    <w:pPr>
      <w:numPr>
        <w:numId w:val="23"/>
      </w:numPr>
      <w:spacing w:before="120"/>
    </w:pPr>
    <w:rPr>
      <w:color w:val="000000" w:themeColor="text1" w:themeShade="BF"/>
    </w:rPr>
  </w:style>
  <w:style w:type="paragraph" w:styleId="ListBullet2">
    <w:name w:val="List Bullet 2"/>
    <w:basedOn w:val="Normal"/>
    <w:uiPriority w:val="99"/>
    <w:rsid w:val="00DC542F"/>
    <w:pPr>
      <w:numPr>
        <w:numId w:val="3"/>
      </w:numPr>
      <w:tabs>
        <w:tab w:val="clear" w:pos="643"/>
        <w:tab w:val="num" w:pos="680"/>
      </w:tabs>
      <w:spacing w:before="120"/>
      <w:ind w:left="680" w:hanging="340"/>
    </w:pPr>
  </w:style>
  <w:style w:type="paragraph" w:styleId="TOCHeading">
    <w:name w:val="TOC Heading"/>
    <w:basedOn w:val="Normal"/>
    <w:next w:val="Normal"/>
    <w:uiPriority w:val="39"/>
    <w:qFormat/>
    <w:rsid w:val="00E04818"/>
    <w:pPr>
      <w:spacing w:before="480" w:after="120" w:line="276" w:lineRule="auto"/>
    </w:pPr>
    <w:rPr>
      <w:rFonts w:ascii="Lucida Fax" w:eastAsiaTheme="majorEastAsia" w:hAnsi="Lucida Fax" w:cstheme="majorBidi"/>
      <w:bCs/>
      <w:color w:val="51626F"/>
      <w:sz w:val="32"/>
      <w:szCs w:val="28"/>
      <w:lang w:val="en-US" w:eastAsia="ja-JP"/>
    </w:rPr>
  </w:style>
  <w:style w:type="paragraph" w:styleId="ListNumber2">
    <w:name w:val="List Number 2"/>
    <w:next w:val="Normal"/>
    <w:uiPriority w:val="99"/>
    <w:rsid w:val="00BE4C99"/>
    <w:pPr>
      <w:numPr>
        <w:numId w:val="24"/>
      </w:numPr>
      <w:tabs>
        <w:tab w:val="left" w:pos="680"/>
      </w:tabs>
      <w:spacing w:before="120"/>
    </w:pPr>
    <w:rPr>
      <w:rFonts w:ascii="Arial" w:hAnsi="Arial"/>
    </w:r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semiHidden/>
    <w:unhideWhenUsed/>
    <w:rsid w:val="003518B3"/>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A57D04"/>
    <w:pPr>
      <w:tabs>
        <w:tab w:val="center" w:pos="4513"/>
        <w:tab w:val="right" w:pos="9026"/>
      </w:tabs>
      <w:spacing w:after="120"/>
    </w:pPr>
    <w:rPr>
      <w:color w:val="51626F" w:themeColor="accent1"/>
      <w:sz w:val="18"/>
    </w:rPr>
  </w:style>
  <w:style w:type="character" w:customStyle="1" w:styleId="FooterChar">
    <w:name w:val="Footer Char"/>
    <w:basedOn w:val="DefaultParagraphFont"/>
    <w:link w:val="Footer"/>
    <w:uiPriority w:val="99"/>
    <w:rsid w:val="00A57D04"/>
    <w:rPr>
      <w:rFonts w:ascii="Arial" w:hAnsi="Arial"/>
      <w:color w:val="51626F" w:themeColor="accent1"/>
      <w:sz w:val="18"/>
    </w:rPr>
  </w:style>
  <w:style w:type="paragraph" w:styleId="ListParagraph">
    <w:name w:val="List Paragraph"/>
    <w:basedOn w:val="Normal"/>
    <w:uiPriority w:val="34"/>
    <w:qFormat/>
    <w:rsid w:val="00F61B84"/>
    <w:pPr>
      <w:numPr>
        <w:numId w:val="11"/>
      </w:numPr>
      <w:tabs>
        <w:tab w:val="left" w:pos="340"/>
      </w:tabs>
      <w:spacing w:before="120"/>
    </w:pPr>
  </w:style>
  <w:style w:type="character" w:customStyle="1" w:styleId="Heading7Char">
    <w:name w:val="Heading 7 Char"/>
    <w:basedOn w:val="DefaultParagraphFont"/>
    <w:link w:val="Heading7"/>
    <w:uiPriority w:val="2"/>
    <w:rsid w:val="009D6B46"/>
    <w:rPr>
      <w:rFonts w:ascii="Arial" w:eastAsiaTheme="majorEastAsia" w:hAnsi="Arial" w:cstheme="majorBidi"/>
      <w:i/>
      <w:iCs/>
      <w:color w:val="404040" w:themeColor="text1" w:themeTint="BF"/>
    </w:rPr>
  </w:style>
  <w:style w:type="character" w:customStyle="1" w:styleId="Heading8Char">
    <w:name w:val="Heading 8 Char"/>
    <w:basedOn w:val="DefaultParagraphFont"/>
    <w:link w:val="Heading8"/>
    <w:uiPriority w:val="2"/>
    <w:rsid w:val="009D6B46"/>
    <w:rPr>
      <w:rFonts w:ascii="Arial" w:eastAsiaTheme="majorEastAsia" w:hAnsi="Arial" w:cstheme="majorBidi"/>
      <w:color w:val="51626F" w:themeColor="accent1"/>
      <w:szCs w:val="20"/>
    </w:rPr>
  </w:style>
  <w:style w:type="character" w:customStyle="1" w:styleId="Heading9Char">
    <w:name w:val="Heading 9 Char"/>
    <w:aliases w:val="Numbered Table Char"/>
    <w:basedOn w:val="DefaultParagraphFont"/>
    <w:link w:val="Heading9"/>
    <w:uiPriority w:val="2"/>
    <w:rsid w:val="00646025"/>
    <w:rPr>
      <w:rFonts w:ascii="Arial" w:eastAsiaTheme="majorEastAsia" w:hAnsi="Arial" w:cstheme="majorBidi"/>
      <w:b/>
      <w:iCs/>
      <w:color w:val="000000" w:themeColor="text1"/>
      <w:sz w:val="24"/>
      <w:szCs w:val="20"/>
    </w:rPr>
  </w:style>
  <w:style w:type="paragraph" w:customStyle="1" w:styleId="Numbered1111111">
    <w:name w:val="Numbered 1.1.1.1.1.1.1"/>
    <w:basedOn w:val="Heading7"/>
    <w:next w:val="Normal"/>
    <w:uiPriority w:val="2"/>
    <w:rsid w:val="00F61B84"/>
    <w:pPr>
      <w:numPr>
        <w:ilvl w:val="6"/>
        <w:numId w:val="12"/>
      </w:numPr>
      <w:tabs>
        <w:tab w:val="left" w:pos="2041"/>
      </w:tabs>
      <w:ind w:left="2041" w:hanging="2041"/>
    </w:pPr>
  </w:style>
  <w:style w:type="paragraph" w:customStyle="1" w:styleId="Numbered11111111">
    <w:name w:val="Numbered 1.1.1.1.1.1.1.1"/>
    <w:basedOn w:val="Heading8"/>
    <w:next w:val="Normal"/>
    <w:uiPriority w:val="2"/>
    <w:rsid w:val="00F61B84"/>
    <w:pPr>
      <w:numPr>
        <w:ilvl w:val="7"/>
        <w:numId w:val="12"/>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A871F4"/>
    <w:pPr>
      <w:spacing w:before="0"/>
    </w:pPr>
    <w:rPr>
      <w:color w:val="3C4953" w:themeColor="accent1" w:themeShade="BF"/>
    </w:rPr>
    <w:tblPr>
      <w:tblStyleRowBandSize w:val="1"/>
      <w:tblStyleColBandSize w:val="1"/>
      <w:tblBorders>
        <w:top w:val="single" w:sz="8" w:space="0" w:color="51626F" w:themeColor="accent1"/>
        <w:bottom w:val="single" w:sz="8" w:space="0" w:color="51626F" w:themeColor="accent1"/>
      </w:tblBorders>
    </w:tblPr>
    <w:tblStylePr w:type="fir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la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1D8DD" w:themeFill="accent1" w:themeFillTint="3F"/>
      </w:tcPr>
    </w:tblStylePr>
    <w:tblStylePr w:type="band1Horz">
      <w:tblPr/>
      <w:tcPr>
        <w:tcBorders>
          <w:left w:val="nil"/>
          <w:right w:val="nil"/>
          <w:insideH w:val="nil"/>
          <w:insideV w:val="nil"/>
        </w:tcBorders>
        <w:shd w:val="clear" w:color="auto" w:fill="D1D8DD"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blBorders>
    </w:tblPr>
    <w:tcPr>
      <w:vAlign w:val="center"/>
    </w:tcPr>
    <w:tblStylePr w:type="fir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l2br w:val="nil"/>
          <w:tr2bl w:val="nil"/>
        </w:tcBorders>
      </w:tcPr>
    </w:tblStylePr>
    <w:tblStylePr w:type="la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7192" w:themeColor="accent3" w:themeShade="BF"/>
    </w:rPr>
    <w:tblPr>
      <w:tblStyleRowBandSize w:val="1"/>
      <w:tblStyleColBandSize w:val="1"/>
      <w:tblBorders>
        <w:top w:val="single" w:sz="8" w:space="0" w:color="0098C3" w:themeColor="accent3"/>
        <w:bottom w:val="single" w:sz="8" w:space="0" w:color="0098C3" w:themeColor="accent3"/>
      </w:tblBorders>
    </w:tblPr>
    <w:tblStylePr w:type="fir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la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1EDFF" w:themeFill="accent3" w:themeFillTint="3F"/>
      </w:tcPr>
    </w:tblStylePr>
    <w:tblStylePr w:type="band1Horz">
      <w:tblPr/>
      <w:tcPr>
        <w:tcBorders>
          <w:left w:val="nil"/>
          <w:right w:val="nil"/>
          <w:insideH w:val="nil"/>
          <w:insideV w:val="nil"/>
        </w:tcBorders>
        <w:shd w:val="clear" w:color="auto" w:fill="B1ED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DC5034" w:themeColor="accent6"/>
        <w:left w:val="single" w:sz="8" w:space="0" w:color="DC5034" w:themeColor="accent6"/>
        <w:bottom w:val="single" w:sz="8" w:space="0" w:color="DC5034" w:themeColor="accent6"/>
        <w:right w:val="single" w:sz="8" w:space="0" w:color="DC5034" w:themeColor="accent6"/>
        <w:insideH w:val="single" w:sz="8" w:space="0" w:color="DC5034" w:themeColor="accent6"/>
        <w:insideV w:val="single" w:sz="8" w:space="0" w:color="DC5034"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18" w:space="0" w:color="DC5034" w:themeColor="accent6"/>
          <w:right w:val="single" w:sz="8" w:space="0" w:color="DC5034" w:themeColor="accent6"/>
          <w:insideH w:val="nil"/>
          <w:insideV w:val="single" w:sz="8" w:space="0" w:color="DC5034"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insideH w:val="nil"/>
          <w:insideV w:val="single" w:sz="8" w:space="0" w:color="DC5034"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shd w:val="clear" w:color="auto" w:fill="F6D3CC" w:themeFill="accent6" w:themeFillTint="3F"/>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shd w:val="clear" w:color="auto" w:fill="F6D3CC" w:themeFill="accent6" w:themeFillTint="3F"/>
      </w:tcPr>
    </w:tblStylePr>
    <w:tblStylePr w:type="band2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single" w:sz="8" w:space="0" w:color="758A9A" w:themeColor="accent1" w:themeTint="BF"/>
      </w:tblBorders>
    </w:tblPr>
    <w:tblStylePr w:type="firstRow">
      <w:pPr>
        <w:spacing w:before="0" w:after="0" w:line="240" w:lineRule="auto"/>
      </w:pPr>
      <w:rPr>
        <w:b/>
        <w:bCs/>
        <w:color w:val="FFFFFF" w:themeColor="background1"/>
      </w:rPr>
      <w:tblPr/>
      <w:tcPr>
        <w:tc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shd w:val="clear" w:color="auto" w:fill="51626F" w:themeFill="accent1"/>
      </w:tcPr>
    </w:tblStylePr>
    <w:tblStylePr w:type="lastRow">
      <w:pPr>
        <w:spacing w:before="0" w:after="0" w:line="240" w:lineRule="auto"/>
      </w:pPr>
      <w:rPr>
        <w:b/>
        <w:bCs/>
      </w:rPr>
      <w:tblPr/>
      <w:tcPr>
        <w:tcBorders>
          <w:top w:val="double" w:sz="6"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tcPr>
    </w:tblStylePr>
    <w:tblStylePr w:type="firstCol">
      <w:rPr>
        <w:b/>
        <w:bCs/>
      </w:rPr>
    </w:tblStylePr>
    <w:tblStylePr w:type="lastCol">
      <w:rPr>
        <w:b/>
        <w:bCs/>
      </w:rPr>
    </w:tblStylePr>
    <w:tblStylePr w:type="band1Vert">
      <w:tblPr/>
      <w:tcPr>
        <w:shd w:val="clear" w:color="auto" w:fill="D1D8DD" w:themeFill="accent1" w:themeFillTint="3F"/>
      </w:tcPr>
    </w:tblStylePr>
    <w:tblStylePr w:type="band1Horz">
      <w:tblPr/>
      <w:tcPr>
        <w:tcBorders>
          <w:insideH w:val="nil"/>
          <w:insideV w:val="nil"/>
        </w:tcBorders>
        <w:shd w:val="clear" w:color="auto" w:fill="D1D8DD"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single" w:sz="8" w:space="0" w:color="7643BB" w:themeColor="accent2" w:themeTint="BF"/>
      </w:tblBorders>
    </w:tblPr>
    <w:tblStylePr w:type="firstRow">
      <w:pPr>
        <w:spacing w:before="0" w:after="0" w:line="240" w:lineRule="auto"/>
      </w:pPr>
      <w:rPr>
        <w:b/>
        <w:bCs/>
        <w:color w:val="FFFFFF" w:themeColor="background1"/>
      </w:rPr>
      <w:tblPr/>
      <w:tcPr>
        <w:tc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shd w:val="clear" w:color="auto" w:fill="4F2D7D" w:themeFill="accent2"/>
      </w:tcPr>
    </w:tblStylePr>
    <w:tblStylePr w:type="lastRow">
      <w:pPr>
        <w:spacing w:before="0" w:after="0" w:line="240" w:lineRule="auto"/>
      </w:pPr>
      <w:rPr>
        <w:b/>
        <w:bCs/>
      </w:rPr>
      <w:tblPr/>
      <w:tcPr>
        <w:tcBorders>
          <w:top w:val="double" w:sz="6"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tcPr>
    </w:tblStylePr>
    <w:tblStylePr w:type="firstCol">
      <w:rPr>
        <w:b/>
        <w:bCs/>
      </w:rPr>
    </w:tblStylePr>
    <w:tblStylePr w:type="lastCol">
      <w:rPr>
        <w:b/>
        <w:bCs/>
      </w:rPr>
    </w:tblStylePr>
    <w:tblStylePr w:type="band1Vert">
      <w:tblPr/>
      <w:tcPr>
        <w:shd w:val="clear" w:color="auto" w:fill="D1C1E8" w:themeFill="accent2" w:themeFillTint="3F"/>
      </w:tcPr>
    </w:tblStylePr>
    <w:tblStylePr w:type="band1Horz">
      <w:tblPr/>
      <w:tcPr>
        <w:tcBorders>
          <w:insideH w:val="nil"/>
          <w:insideV w:val="nil"/>
        </w:tcBorders>
        <w:shd w:val="clear" w:color="auto" w:fill="D1C1E8"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single" w:sz="8" w:space="0" w:color="13CAFF" w:themeColor="accent3" w:themeTint="BF"/>
      </w:tblBorders>
    </w:tblPr>
    <w:tblStylePr w:type="firstRow">
      <w:pPr>
        <w:spacing w:before="0" w:after="0" w:line="240" w:lineRule="auto"/>
      </w:pPr>
      <w:rPr>
        <w:b/>
        <w:bCs/>
        <w:color w:val="FFFFFF" w:themeColor="background1"/>
      </w:rPr>
      <w:tblPr/>
      <w:tcPr>
        <w:tc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shd w:val="clear" w:color="auto" w:fill="0098C3" w:themeFill="accent3"/>
      </w:tcPr>
    </w:tblStylePr>
    <w:tblStylePr w:type="lastRow">
      <w:pPr>
        <w:spacing w:before="0" w:after="0" w:line="240" w:lineRule="auto"/>
      </w:pPr>
      <w:rPr>
        <w:b/>
        <w:bCs/>
      </w:rPr>
      <w:tblPr/>
      <w:tcPr>
        <w:tcBorders>
          <w:top w:val="double" w:sz="6"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tcPr>
    </w:tblStylePr>
    <w:tblStylePr w:type="firstCol">
      <w:rPr>
        <w:b/>
        <w:bCs/>
      </w:rPr>
    </w:tblStylePr>
    <w:tblStylePr w:type="lastCol">
      <w:rPr>
        <w:b/>
        <w:bCs/>
      </w:rPr>
    </w:tblStylePr>
    <w:tblStylePr w:type="band1Vert">
      <w:tblPr/>
      <w:tcPr>
        <w:shd w:val="clear" w:color="auto" w:fill="B1EDFF" w:themeFill="accent3" w:themeFillTint="3F"/>
      </w:tcPr>
    </w:tblStylePr>
    <w:tblStylePr w:type="band1Horz">
      <w:tblPr/>
      <w:tcPr>
        <w:tcBorders>
          <w:insideH w:val="nil"/>
          <w:insideV w:val="nil"/>
        </w:tcBorders>
        <w:shd w:val="clear" w:color="auto" w:fill="B1ED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single" w:sz="8" w:space="0" w:color="B7DAF0" w:themeColor="accent4" w:themeTint="BF"/>
      </w:tblBorders>
    </w:tblPr>
    <w:tblStylePr w:type="firstRow">
      <w:pPr>
        <w:spacing w:before="0" w:after="0" w:line="240" w:lineRule="auto"/>
      </w:pPr>
      <w:rPr>
        <w:b/>
        <w:bCs/>
        <w:color w:val="FFFFFF" w:themeColor="background1"/>
      </w:rPr>
      <w:tblPr/>
      <w:tcPr>
        <w:tc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shd w:val="clear" w:color="auto" w:fill="A0CFEB" w:themeFill="accent4"/>
      </w:tcPr>
    </w:tblStylePr>
    <w:tblStylePr w:type="lastRow">
      <w:pPr>
        <w:spacing w:before="0" w:after="0" w:line="240" w:lineRule="auto"/>
      </w:pPr>
      <w:rPr>
        <w:b/>
        <w:bCs/>
      </w:rPr>
      <w:tblPr/>
      <w:tcPr>
        <w:tcBorders>
          <w:top w:val="double" w:sz="6"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tcPr>
    </w:tblStylePr>
    <w:tblStylePr w:type="firstCol">
      <w:rPr>
        <w:b/>
        <w:bCs/>
      </w:rPr>
    </w:tblStylePr>
    <w:tblStylePr w:type="lastCol">
      <w:rPr>
        <w:b/>
        <w:bCs/>
      </w:rPr>
    </w:tblStylePr>
    <w:tblStylePr w:type="band1Vert">
      <w:tblPr/>
      <w:tcPr>
        <w:shd w:val="clear" w:color="auto" w:fill="E7F3FA" w:themeFill="accent4" w:themeFillTint="3F"/>
      </w:tcPr>
    </w:tblStylePr>
    <w:tblStylePr w:type="band1Horz">
      <w:tblPr/>
      <w:tcPr>
        <w:tcBorders>
          <w:insideH w:val="nil"/>
          <w:insideV w:val="nil"/>
        </w:tcBorders>
        <w:shd w:val="clear" w:color="auto" w:fill="E7F3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single" w:sz="8" w:space="0" w:color="FC220E" w:themeColor="accent5" w:themeTint="BF"/>
      </w:tblBorders>
    </w:tblPr>
    <w:tblStylePr w:type="firstRow">
      <w:pPr>
        <w:spacing w:before="0" w:after="0" w:line="240" w:lineRule="auto"/>
      </w:pPr>
      <w:rPr>
        <w:b/>
        <w:bCs/>
        <w:color w:val="FFFFFF" w:themeColor="background1"/>
      </w:rPr>
      <w:tblPr/>
      <w:tcPr>
        <w:tc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shd w:val="clear" w:color="auto" w:fill="B71202" w:themeFill="accent5"/>
      </w:tcPr>
    </w:tblStylePr>
    <w:tblStylePr w:type="lastRow">
      <w:pPr>
        <w:spacing w:before="0" w:after="0" w:line="240" w:lineRule="auto"/>
      </w:pPr>
      <w:rPr>
        <w:b/>
        <w:bCs/>
      </w:rPr>
      <w:tblPr/>
      <w:tcPr>
        <w:tcBorders>
          <w:top w:val="double" w:sz="6"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tcPr>
    </w:tblStylePr>
    <w:tblStylePr w:type="firstCol">
      <w:rPr>
        <w:b/>
        <w:bCs/>
      </w:rPr>
    </w:tblStylePr>
    <w:tblStylePr w:type="lastCol">
      <w:rPr>
        <w:b/>
        <w:bCs/>
      </w:rPr>
    </w:tblStylePr>
    <w:tblStylePr w:type="band1Vert">
      <w:tblPr/>
      <w:tcPr>
        <w:shd w:val="clear" w:color="auto" w:fill="FEB6AF" w:themeFill="accent5" w:themeFillTint="3F"/>
      </w:tcPr>
    </w:tblStylePr>
    <w:tblStylePr w:type="band1Horz">
      <w:tblPr/>
      <w:tcPr>
        <w:tcBorders>
          <w:insideH w:val="nil"/>
          <w:insideV w:val="nil"/>
        </w:tcBorders>
        <w:shd w:val="clear" w:color="auto" w:fill="FEB6AF"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Shading-Accent5">
    <w:name w:val="Light Shading Accent 5"/>
    <w:basedOn w:val="TableNormal"/>
    <w:uiPriority w:val="60"/>
    <w:rsid w:val="00A871F4"/>
    <w:pPr>
      <w:spacing w:before="0"/>
    </w:pPr>
    <w:rPr>
      <w:color w:val="880D01" w:themeColor="accent5" w:themeShade="BF"/>
    </w:rPr>
    <w:tblPr>
      <w:tblStyleRowBandSize w:val="1"/>
      <w:tblStyleColBandSize w:val="1"/>
      <w:tblBorders>
        <w:top w:val="single" w:sz="8" w:space="0" w:color="B71202" w:themeColor="accent5"/>
        <w:bottom w:val="single" w:sz="8" w:space="0" w:color="B71202" w:themeColor="accent5"/>
      </w:tblBorders>
    </w:tblPr>
    <w:tblStylePr w:type="fir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la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EB6AF" w:themeFill="accent5" w:themeFillTint="3F"/>
      </w:tcPr>
    </w:tblStylePr>
    <w:tblStylePr w:type="band1Horz">
      <w:tblPr/>
      <w:tcPr>
        <w:tcBorders>
          <w:left w:val="nil"/>
          <w:right w:val="nil"/>
          <w:insideH w:val="nil"/>
          <w:insideV w:val="nil"/>
        </w:tcBorders>
        <w:shd w:val="clear" w:color="auto" w:fill="FEB6AF"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98C3" w:themeColor="accent3"/>
        <w:left w:val="single" w:sz="8" w:space="0" w:color="0098C3" w:themeColor="accent3"/>
        <w:bottom w:val="single" w:sz="8" w:space="0" w:color="0098C3" w:themeColor="accent3"/>
        <w:right w:val="single" w:sz="8" w:space="0" w:color="0098C3" w:themeColor="accent3"/>
        <w:insideH w:val="single" w:sz="8" w:space="0" w:color="0098C3" w:themeColor="accent3"/>
        <w:insideV w:val="single" w:sz="8" w:space="0" w:color="0098C3"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18" w:space="0" w:color="0098C3" w:themeColor="accent3"/>
          <w:right w:val="single" w:sz="8" w:space="0" w:color="0098C3" w:themeColor="accent3"/>
          <w:insideH w:val="nil"/>
          <w:insideV w:val="single" w:sz="8" w:space="0" w:color="0098C3"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insideH w:val="nil"/>
          <w:insideV w:val="single" w:sz="8" w:space="0" w:color="0098C3"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shd w:val="clear" w:color="auto" w:fill="B1EDFF" w:themeFill="accent3" w:themeFillTint="3F"/>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shd w:val="clear" w:color="auto" w:fill="B1EDFF" w:themeFill="accent3" w:themeFillTint="3F"/>
      </w:tcPr>
    </w:tblStylePr>
    <w:tblStylePr w:type="band2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semiHidden/>
    <w:unhideWhenUsed/>
    <w:rsid w:val="005C26CC"/>
    <w:pPr>
      <w:spacing w:after="120"/>
    </w:pPr>
    <w:rPr>
      <w:szCs w:val="16"/>
    </w:rPr>
  </w:style>
  <w:style w:type="character" w:customStyle="1" w:styleId="BodyText3Char">
    <w:name w:val="Body Text 3 Char"/>
    <w:basedOn w:val="DefaultParagraphFont"/>
    <w:link w:val="BodyText3"/>
    <w:uiPriority w:val="99"/>
    <w:semiHidden/>
    <w:rsid w:val="005C26CC"/>
    <w:rPr>
      <w:rFonts w:ascii="Arial" w:hAnsi="Arial"/>
      <w:szCs w:val="16"/>
    </w:rPr>
  </w:style>
  <w:style w:type="paragraph" w:styleId="TOC1">
    <w:name w:val="toc 1"/>
    <w:basedOn w:val="Normal"/>
    <w:next w:val="Normal"/>
    <w:autoRedefine/>
    <w:uiPriority w:val="39"/>
    <w:qFormat/>
    <w:rsid w:val="009F4940"/>
    <w:pPr>
      <w:tabs>
        <w:tab w:val="left" w:pos="426"/>
        <w:tab w:val="right" w:leader="dot" w:pos="9016"/>
      </w:tabs>
      <w:spacing w:after="100"/>
    </w:pPr>
    <w:rPr>
      <w:noProof/>
      <w:lang w:val="en-US" w:eastAsia="ja-JP"/>
    </w:rPr>
  </w:style>
  <w:style w:type="paragraph" w:styleId="TOC2">
    <w:name w:val="toc 2"/>
    <w:basedOn w:val="Normal"/>
    <w:next w:val="Normal"/>
    <w:uiPriority w:val="39"/>
    <w:qFormat/>
    <w:rsid w:val="009F4940"/>
    <w:pPr>
      <w:tabs>
        <w:tab w:val="left" w:pos="880"/>
        <w:tab w:val="right" w:leader="dot" w:pos="9016"/>
      </w:tabs>
      <w:spacing w:after="100"/>
      <w:ind w:left="425"/>
    </w:pPr>
    <w:rPr>
      <w:noProof/>
    </w:rPr>
  </w:style>
  <w:style w:type="paragraph" w:styleId="TOC3">
    <w:name w:val="toc 3"/>
    <w:basedOn w:val="Normal"/>
    <w:next w:val="Normal"/>
    <w:uiPriority w:val="39"/>
    <w:qFormat/>
    <w:rsid w:val="009F4940"/>
    <w:pPr>
      <w:tabs>
        <w:tab w:val="left" w:pos="1760"/>
        <w:tab w:val="right" w:leader="dot" w:pos="9016"/>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4F2D7D"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4F2D7D" w:themeColor="accent2"/>
      <w:spacing w:val="5"/>
      <w:kern w:val="28"/>
      <w:sz w:val="72"/>
      <w:szCs w:val="52"/>
    </w:rPr>
  </w:style>
  <w:style w:type="paragraph" w:customStyle="1" w:styleId="CoverDate">
    <w:name w:val="Cover Date"/>
    <w:rsid w:val="00E4674F"/>
    <w:rPr>
      <w:rFonts w:ascii="Lucida Fax" w:hAnsi="Lucida Fax"/>
      <w:color w:val="DC5034"/>
      <w:sz w:val="24"/>
      <w:szCs w:val="24"/>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51626F" w:themeColor="accent1"/>
        <w:left w:val="single" w:sz="8" w:space="0" w:color="51626F" w:themeColor="accent1"/>
        <w:bottom w:val="single" w:sz="8" w:space="0" w:color="51626F" w:themeColor="accent1"/>
        <w:right w:val="single" w:sz="8" w:space="0" w:color="51626F" w:themeColor="accent1"/>
      </w:tblBorders>
    </w:tblPr>
    <w:tblStylePr w:type="firstRow">
      <w:pPr>
        <w:spacing w:before="0" w:after="0" w:line="240" w:lineRule="auto"/>
      </w:pPr>
      <w:rPr>
        <w:b/>
        <w:bCs/>
        <w:color w:val="FFFFFF" w:themeColor="background1"/>
      </w:rPr>
      <w:tblPr/>
      <w:tcPr>
        <w:shd w:val="clear" w:color="auto" w:fill="51626F" w:themeFill="accent1"/>
      </w:tcPr>
    </w:tblStylePr>
    <w:tblStylePr w:type="lastRow">
      <w:pPr>
        <w:spacing w:before="0" w:after="0" w:line="240" w:lineRule="auto"/>
      </w:pPr>
      <w:rPr>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tcBorders>
      </w:tcPr>
    </w:tblStylePr>
    <w:tblStylePr w:type="firstCol">
      <w:rPr>
        <w:b/>
        <w:bCs/>
      </w:rPr>
    </w:tblStylePr>
    <w:tblStylePr w:type="lastCol">
      <w:rPr>
        <w:b/>
        <w:bCs/>
      </w:r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98C3" w:themeColor="accent3"/>
        <w:left w:val="single" w:sz="8" w:space="0" w:color="0098C3" w:themeColor="accent3"/>
        <w:bottom w:val="single" w:sz="8" w:space="0" w:color="0098C3" w:themeColor="accent3"/>
        <w:right w:val="single" w:sz="8" w:space="0" w:color="0098C3" w:themeColor="accent3"/>
      </w:tblBorders>
    </w:tblPr>
    <w:tblStylePr w:type="firstRow">
      <w:pPr>
        <w:spacing w:before="0" w:after="0" w:line="240" w:lineRule="auto"/>
      </w:pPr>
      <w:rPr>
        <w:b/>
        <w:bCs/>
        <w:color w:val="FFFFFF" w:themeColor="background1"/>
      </w:rPr>
      <w:tblPr/>
      <w:tcPr>
        <w:shd w:val="clear" w:color="auto" w:fill="0098C3" w:themeFill="accent3"/>
      </w:tcPr>
    </w:tblStylePr>
    <w:tblStylePr w:type="lastRow">
      <w:pPr>
        <w:spacing w:before="0" w:after="0" w:line="240" w:lineRule="auto"/>
      </w:pPr>
      <w:rPr>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tcBorders>
      </w:tcPr>
    </w:tblStylePr>
    <w:tblStylePr w:type="firstCol">
      <w:rPr>
        <w:b/>
        <w:bCs/>
      </w:rPr>
    </w:tblStylePr>
    <w:tblStylePr w:type="lastCol">
      <w:rPr>
        <w:b/>
        <w:bCs/>
      </w:r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B71202" w:themeColor="accent5"/>
        <w:left w:val="single" w:sz="8" w:space="0" w:color="B71202" w:themeColor="accent5"/>
        <w:bottom w:val="single" w:sz="8" w:space="0" w:color="B71202" w:themeColor="accent5"/>
        <w:right w:val="single" w:sz="8" w:space="0" w:color="B71202" w:themeColor="accent5"/>
      </w:tblBorders>
    </w:tblPr>
    <w:tblStylePr w:type="firstRow">
      <w:pPr>
        <w:spacing w:before="0" w:after="0" w:line="240" w:lineRule="auto"/>
      </w:pPr>
      <w:rPr>
        <w:b/>
        <w:bCs/>
        <w:color w:val="auto"/>
      </w:rPr>
      <w:tblPr/>
      <w:tcPr>
        <w:shd w:val="clear" w:color="auto" w:fill="B71202" w:themeFill="accent5"/>
      </w:tcPr>
    </w:tblStylePr>
    <w:tblStylePr w:type="lastRow">
      <w:pPr>
        <w:spacing w:before="0" w:after="0" w:line="240" w:lineRule="auto"/>
      </w:pPr>
      <w:rPr>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tcBorders>
      </w:tcPr>
    </w:tblStylePr>
    <w:tblStylePr w:type="firstCol">
      <w:rPr>
        <w:b/>
        <w:bCs/>
      </w:rPr>
    </w:tblStylePr>
    <w:tblStylePr w:type="lastCol">
      <w:rPr>
        <w:b/>
        <w:bCs/>
      </w:r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085663"/>
    <w:pPr>
      <w:ind w:left="720"/>
    </w:pPr>
  </w:style>
  <w:style w:type="paragraph" w:styleId="FootnoteText">
    <w:name w:val="footnote text"/>
    <w:basedOn w:val="Normal"/>
    <w:link w:val="FootnoteTextChar"/>
    <w:uiPriority w:val="2"/>
    <w:rsid w:val="003A673F"/>
    <w:pPr>
      <w:tabs>
        <w:tab w:val="left" w:pos="340"/>
      </w:tabs>
      <w:spacing w:before="60"/>
      <w:ind w:left="340" w:hanging="340"/>
    </w:pPr>
    <w:rPr>
      <w:sz w:val="16"/>
      <w:szCs w:val="20"/>
    </w:rPr>
  </w:style>
  <w:style w:type="character" w:customStyle="1" w:styleId="FootnoteTextChar">
    <w:name w:val="Footnote Text Char"/>
    <w:basedOn w:val="DefaultParagraphFont"/>
    <w:link w:val="FootnoteText"/>
    <w:uiPriority w:val="2"/>
    <w:rsid w:val="003A673F"/>
    <w:rPr>
      <w:rFonts w:ascii="Arial" w:hAnsi="Arial"/>
      <w:sz w:val="16"/>
      <w:szCs w:val="20"/>
    </w:rPr>
  </w:style>
  <w:style w:type="character" w:styleId="FootnoteReference">
    <w:name w:val="footnote reference"/>
    <w:basedOn w:val="DefaultParagraphFont"/>
    <w:uiPriority w:val="99"/>
    <w:semiHidden/>
    <w:unhideWhenUsed/>
    <w:rsid w:val="00701CAB"/>
    <w:rPr>
      <w:vertAlign w:val="superscript"/>
    </w:rPr>
  </w:style>
  <w:style w:type="character" w:styleId="Strong">
    <w:name w:val="Strong"/>
    <w:basedOn w:val="DefaultParagraphFont"/>
    <w:uiPriority w:val="22"/>
    <w:qFormat/>
    <w:rsid w:val="00EF5110"/>
    <w:rPr>
      <w:b/>
      <w:bCs/>
    </w:rPr>
  </w:style>
  <w:style w:type="paragraph" w:styleId="Subtitle">
    <w:name w:val="Subtitle"/>
    <w:next w:val="Normal"/>
    <w:link w:val="SubtitleChar"/>
    <w:uiPriority w:val="11"/>
    <w:qFormat/>
    <w:rsid w:val="008344F6"/>
    <w:pPr>
      <w:spacing w:before="360" w:after="120"/>
    </w:pPr>
    <w:rPr>
      <w:rFonts w:ascii="Lucida Fax" w:hAnsi="Lucida Fax"/>
      <w:color w:val="4F2D7F"/>
      <w:sz w:val="52"/>
      <w:szCs w:val="52"/>
    </w:rPr>
  </w:style>
  <w:style w:type="character" w:customStyle="1" w:styleId="SubtitleChar">
    <w:name w:val="Subtitle Char"/>
    <w:basedOn w:val="DefaultParagraphFont"/>
    <w:link w:val="Subtitle"/>
    <w:uiPriority w:val="11"/>
    <w:rsid w:val="008344F6"/>
    <w:rPr>
      <w:rFonts w:ascii="Lucida Fax" w:hAnsi="Lucida Fax"/>
      <w:color w:val="4F2D7F"/>
      <w:sz w:val="52"/>
      <w:szCs w:val="52"/>
    </w:rPr>
  </w:style>
  <w:style w:type="table" w:styleId="LightShading-Accent4">
    <w:name w:val="Light Shading Accent 4"/>
    <w:basedOn w:val="TableNormal"/>
    <w:uiPriority w:val="60"/>
    <w:rsid w:val="00746E01"/>
    <w:pPr>
      <w:spacing w:before="0"/>
    </w:pPr>
    <w:rPr>
      <w:color w:val="4DA5D9" w:themeColor="accent4" w:themeShade="BF"/>
    </w:rPr>
    <w:tblPr>
      <w:tblStyleRowBandSize w:val="1"/>
      <w:tblStyleColBandSize w:val="1"/>
      <w:tblBorders>
        <w:top w:val="single" w:sz="8" w:space="0" w:color="A0CFEB" w:themeColor="accent4"/>
        <w:bottom w:val="single" w:sz="8" w:space="0" w:color="A0CFEB" w:themeColor="accent4"/>
      </w:tblBorders>
    </w:tblPr>
    <w:tblStylePr w:type="fir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la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7F3FA" w:themeFill="accent4" w:themeFillTint="3F"/>
      </w:tcPr>
    </w:tblStylePr>
    <w:tblStylePr w:type="band1Horz">
      <w:tblPr/>
      <w:tcPr>
        <w:tcBorders>
          <w:left w:val="nil"/>
          <w:right w:val="nil"/>
          <w:insideH w:val="nil"/>
          <w:insideV w:val="nil"/>
        </w:tcBorders>
        <w:shd w:val="clear" w:color="auto" w:fill="E7F3FA" w:themeFill="accent4" w:themeFillTint="3F"/>
      </w:tcPr>
    </w:tblStylePr>
  </w:style>
  <w:style w:type="table" w:styleId="LightShading-Accent6">
    <w:name w:val="Light Shading Accent 6"/>
    <w:basedOn w:val="TableNormal"/>
    <w:uiPriority w:val="60"/>
    <w:rsid w:val="00746E01"/>
    <w:pPr>
      <w:spacing w:before="0"/>
    </w:pPr>
    <w:rPr>
      <w:color w:val="AD351E" w:themeColor="accent6" w:themeShade="BF"/>
    </w:rPr>
    <w:tblPr>
      <w:tblStyleRowBandSize w:val="1"/>
      <w:tblStyleColBandSize w:val="1"/>
      <w:tblBorders>
        <w:top w:val="single" w:sz="8" w:space="0" w:color="DC5034" w:themeColor="accent6"/>
        <w:bottom w:val="single" w:sz="8" w:space="0" w:color="DC5034" w:themeColor="accent6"/>
      </w:tblBorders>
    </w:tblPr>
    <w:tblStylePr w:type="fir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la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6D3CC" w:themeFill="accent6" w:themeFillTint="3F"/>
      </w:tcPr>
    </w:tblStylePr>
    <w:tblStylePr w:type="band1Horz">
      <w:tblPr/>
      <w:tcPr>
        <w:tcBorders>
          <w:left w:val="nil"/>
          <w:right w:val="nil"/>
          <w:insideH w:val="nil"/>
          <w:insideV w:val="nil"/>
        </w:tcBorders>
        <w:shd w:val="clear" w:color="auto" w:fill="F6D3CC" w:themeFill="accent6" w:themeFillTint="3F"/>
      </w:tcPr>
    </w:tblStylePr>
  </w:style>
  <w:style w:type="paragraph" w:styleId="TOC4">
    <w:name w:val="toc 4"/>
    <w:basedOn w:val="Normal"/>
    <w:next w:val="Normal"/>
    <w:uiPriority w:val="39"/>
    <w:rsid w:val="009F4940"/>
    <w:pPr>
      <w:tabs>
        <w:tab w:val="right" w:leader="dot" w:pos="9016"/>
      </w:tabs>
      <w:spacing w:after="100"/>
      <w:ind w:left="1276"/>
    </w:pPr>
    <w:rPr>
      <w:noProof/>
    </w:rPr>
  </w:style>
  <w:style w:type="paragraph" w:styleId="TOC5">
    <w:name w:val="toc 5"/>
    <w:basedOn w:val="Normal"/>
    <w:next w:val="Normal"/>
    <w:uiPriority w:val="39"/>
    <w:rsid w:val="009F4940"/>
    <w:pPr>
      <w:tabs>
        <w:tab w:val="right" w:leader="dot" w:pos="9016"/>
      </w:tabs>
      <w:spacing w:after="100"/>
      <w:ind w:left="1701"/>
    </w:pPr>
    <w:rPr>
      <w:noProof/>
    </w:rPr>
  </w:style>
  <w:style w:type="paragraph" w:styleId="TOC6">
    <w:name w:val="toc 6"/>
    <w:basedOn w:val="Normal"/>
    <w:next w:val="Normal"/>
    <w:uiPriority w:val="39"/>
    <w:rsid w:val="009F4940"/>
    <w:pPr>
      <w:tabs>
        <w:tab w:val="right" w:leader="dot" w:pos="9016"/>
      </w:tabs>
      <w:spacing w:after="100"/>
      <w:ind w:left="2127"/>
    </w:pPr>
    <w:rPr>
      <w:noProof/>
    </w:rPr>
  </w:style>
  <w:style w:type="paragraph" w:styleId="TOC7">
    <w:name w:val="toc 7"/>
    <w:basedOn w:val="Normal"/>
    <w:next w:val="Normal"/>
    <w:uiPriority w:val="39"/>
    <w:rsid w:val="009F4940"/>
    <w:pPr>
      <w:tabs>
        <w:tab w:val="right" w:leader="dot" w:pos="9016"/>
      </w:tabs>
      <w:spacing w:after="100"/>
      <w:ind w:left="2552"/>
    </w:pPr>
    <w:rPr>
      <w:noProof/>
    </w:rPr>
  </w:style>
  <w:style w:type="paragraph" w:styleId="TableofAuthorities">
    <w:name w:val="table of authorities"/>
    <w:basedOn w:val="Normal"/>
    <w:next w:val="Normal"/>
    <w:uiPriority w:val="99"/>
    <w:unhideWhenUsed/>
    <w:rsid w:val="00B60F5D"/>
    <w:pPr>
      <w:ind w:left="220" w:hanging="220"/>
    </w:pPr>
  </w:style>
  <w:style w:type="table" w:customStyle="1" w:styleId="LightShading1">
    <w:name w:val="Light Shading1"/>
    <w:basedOn w:val="TableNormal"/>
    <w:next w:val="LightShading"/>
    <w:uiPriority w:val="60"/>
    <w:rsid w:val="00C53B5A"/>
    <w:pPr>
      <w:spacing w:before="120" w:after="120"/>
    </w:pPr>
    <w:rPr>
      <w:color w:val="000000" w:themeColor="text1" w:themeShade="BF"/>
      <w:sz w:val="20"/>
    </w:rPr>
    <w:tblPr>
      <w:tblBorders>
        <w:top w:val="single" w:sz="4" w:space="0" w:color="D5D6D2" w:themeColor="background2"/>
        <w:bottom w:val="single" w:sz="4" w:space="0" w:color="D5D6D2" w:themeColor="background2"/>
        <w:insideH w:val="single" w:sz="4" w:space="0" w:color="D5D6D2"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4F2D7D" w:themeColor="accent2"/>
        <w:left w:val="single" w:sz="8" w:space="0" w:color="4F2D7D" w:themeColor="accent2"/>
        <w:bottom w:val="single" w:sz="8" w:space="0" w:color="4F2D7D" w:themeColor="accent2"/>
        <w:right w:val="single" w:sz="8" w:space="0" w:color="4F2D7D" w:themeColor="accent2"/>
      </w:tblBorders>
    </w:tblPr>
    <w:tblStylePr w:type="firstRow">
      <w:pPr>
        <w:spacing w:before="0" w:after="0" w:line="240" w:lineRule="auto"/>
      </w:pPr>
      <w:rPr>
        <w:b/>
        <w:bCs/>
        <w:color w:val="FFFFFF" w:themeColor="background1"/>
      </w:rPr>
      <w:tblPr/>
      <w:tcPr>
        <w:shd w:val="clear" w:color="auto" w:fill="4F2D7D" w:themeFill="accent2"/>
      </w:tcPr>
    </w:tblStylePr>
    <w:tblStylePr w:type="lastRow">
      <w:pPr>
        <w:spacing w:before="0" w:after="0" w:line="240" w:lineRule="auto"/>
      </w:pPr>
      <w:rPr>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tcBorders>
      </w:tcPr>
    </w:tblStylePr>
    <w:tblStylePr w:type="firstCol">
      <w:rPr>
        <w:b/>
        <w:bCs/>
      </w:rPr>
    </w:tblStylePr>
    <w:tblStylePr w:type="lastCol">
      <w:rPr>
        <w:b/>
        <w:bCs/>
      </w:r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A0CFEB" w:themeColor="accent4"/>
        <w:left w:val="single" w:sz="8" w:space="0" w:color="A0CFEB" w:themeColor="accent4"/>
        <w:bottom w:val="single" w:sz="8" w:space="0" w:color="A0CFEB" w:themeColor="accent4"/>
        <w:right w:val="single" w:sz="8" w:space="0" w:color="A0CFEB" w:themeColor="accent4"/>
      </w:tblBorders>
    </w:tblPr>
    <w:tblStylePr w:type="firstRow">
      <w:pPr>
        <w:spacing w:before="0" w:after="0" w:line="240" w:lineRule="auto"/>
      </w:pPr>
      <w:rPr>
        <w:b/>
        <w:bCs/>
        <w:color w:val="FFFFFF" w:themeColor="background1"/>
      </w:rPr>
      <w:tblPr/>
      <w:tcPr>
        <w:shd w:val="clear" w:color="auto" w:fill="A0CFEB" w:themeFill="accent4"/>
      </w:tcPr>
    </w:tblStylePr>
    <w:tblStylePr w:type="lastRow">
      <w:pPr>
        <w:spacing w:before="0" w:after="0" w:line="240" w:lineRule="auto"/>
      </w:pPr>
      <w:rPr>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tcBorders>
      </w:tcPr>
    </w:tblStylePr>
    <w:tblStylePr w:type="firstCol">
      <w:rPr>
        <w:b/>
        <w:bCs/>
      </w:rPr>
    </w:tblStylePr>
    <w:tblStylePr w:type="lastCol">
      <w:rPr>
        <w:b/>
        <w:bCs/>
      </w:r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DC5034" w:themeColor="accent6"/>
        <w:left w:val="single" w:sz="8" w:space="0" w:color="DC5034" w:themeColor="accent6"/>
        <w:bottom w:val="single" w:sz="8" w:space="0" w:color="DC5034" w:themeColor="accent6"/>
        <w:right w:val="single" w:sz="8" w:space="0" w:color="DC5034" w:themeColor="accent6"/>
      </w:tblBorders>
    </w:tblPr>
    <w:tblStylePr w:type="firstRow">
      <w:pPr>
        <w:spacing w:before="0" w:after="0" w:line="240" w:lineRule="auto"/>
      </w:pPr>
      <w:rPr>
        <w:b/>
        <w:bCs/>
        <w:color w:val="FFFFFF" w:themeColor="background1"/>
      </w:rPr>
      <w:tblPr/>
      <w:tcPr>
        <w:shd w:val="clear" w:color="auto" w:fill="DC5034" w:themeFill="accent6"/>
      </w:tcPr>
    </w:tblStylePr>
    <w:tblStylePr w:type="lastRow">
      <w:pPr>
        <w:spacing w:before="0" w:after="0" w:line="240" w:lineRule="auto"/>
      </w:pPr>
      <w:rPr>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tcBorders>
      </w:tcPr>
    </w:tblStylePr>
    <w:tblStylePr w:type="firstCol">
      <w:rPr>
        <w:b/>
        <w:bCs/>
      </w:rPr>
    </w:tblStylePr>
    <w:tblStylePr w:type="lastCol">
      <w:rPr>
        <w:b/>
        <w:bCs/>
      </w:r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51626F" w:themeColor="accent1"/>
        <w:left w:val="single" w:sz="8" w:space="0" w:color="51626F" w:themeColor="accent1"/>
        <w:bottom w:val="single" w:sz="8" w:space="0" w:color="51626F" w:themeColor="accent1"/>
        <w:right w:val="single" w:sz="8" w:space="0" w:color="51626F" w:themeColor="accent1"/>
        <w:insideH w:val="single" w:sz="8" w:space="0" w:color="51626F" w:themeColor="accent1"/>
        <w:insideV w:val="single" w:sz="8" w:space="0" w:color="51626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18" w:space="0" w:color="51626F" w:themeColor="accent1"/>
          <w:right w:val="single" w:sz="8" w:space="0" w:color="51626F" w:themeColor="accent1"/>
          <w:insideH w:val="nil"/>
          <w:insideV w:val="single" w:sz="8" w:space="0" w:color="51626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insideH w:val="nil"/>
          <w:insideV w:val="single" w:sz="8" w:space="0" w:color="51626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shd w:val="clear" w:color="auto" w:fill="D1D8DD" w:themeFill="accent1" w:themeFillTint="3F"/>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shd w:val="clear" w:color="auto" w:fill="D1D8DD" w:themeFill="accent1" w:themeFillTint="3F"/>
      </w:tcPr>
    </w:tblStylePr>
    <w:tblStylePr w:type="band2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4F2D7D" w:themeColor="accent2"/>
        <w:left w:val="single" w:sz="8" w:space="0" w:color="4F2D7D" w:themeColor="accent2"/>
        <w:bottom w:val="single" w:sz="8" w:space="0" w:color="4F2D7D" w:themeColor="accent2"/>
        <w:right w:val="single" w:sz="8" w:space="0" w:color="4F2D7D" w:themeColor="accent2"/>
        <w:insideH w:val="single" w:sz="8" w:space="0" w:color="4F2D7D" w:themeColor="accent2"/>
        <w:insideV w:val="single" w:sz="8" w:space="0" w:color="4F2D7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18" w:space="0" w:color="4F2D7D" w:themeColor="accent2"/>
          <w:right w:val="single" w:sz="8" w:space="0" w:color="4F2D7D" w:themeColor="accent2"/>
          <w:insideH w:val="nil"/>
          <w:insideV w:val="single" w:sz="8" w:space="0" w:color="4F2D7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insideH w:val="nil"/>
          <w:insideV w:val="single" w:sz="8" w:space="0" w:color="4F2D7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shd w:val="clear" w:color="auto" w:fill="D1C1E8" w:themeFill="accent2" w:themeFillTint="3F"/>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shd w:val="clear" w:color="auto" w:fill="D1C1E8" w:themeFill="accent2" w:themeFillTint="3F"/>
      </w:tcPr>
    </w:tblStylePr>
    <w:tblStylePr w:type="band2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A0CFEB" w:themeColor="accent4"/>
        <w:left w:val="single" w:sz="8" w:space="0" w:color="A0CFEB" w:themeColor="accent4"/>
        <w:bottom w:val="single" w:sz="8" w:space="0" w:color="A0CFEB" w:themeColor="accent4"/>
        <w:right w:val="single" w:sz="8" w:space="0" w:color="A0CFEB" w:themeColor="accent4"/>
        <w:insideH w:val="single" w:sz="8" w:space="0" w:color="A0CFEB" w:themeColor="accent4"/>
        <w:insideV w:val="single" w:sz="8" w:space="0" w:color="A0CFEB"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18" w:space="0" w:color="A0CFEB" w:themeColor="accent4"/>
          <w:right w:val="single" w:sz="8" w:space="0" w:color="A0CFEB" w:themeColor="accent4"/>
          <w:insideH w:val="nil"/>
          <w:insideV w:val="single" w:sz="8" w:space="0" w:color="A0CFEB"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insideH w:val="nil"/>
          <w:insideV w:val="single" w:sz="8" w:space="0" w:color="A0CFEB"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shd w:val="clear" w:color="auto" w:fill="E7F3FA" w:themeFill="accent4" w:themeFillTint="3F"/>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shd w:val="clear" w:color="auto" w:fill="E7F3FA" w:themeFill="accent4" w:themeFillTint="3F"/>
      </w:tcPr>
    </w:tblStylePr>
    <w:tblStylePr w:type="band2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B71202" w:themeColor="accent5"/>
        <w:left w:val="single" w:sz="8" w:space="0" w:color="B71202" w:themeColor="accent5"/>
        <w:bottom w:val="single" w:sz="8" w:space="0" w:color="B71202" w:themeColor="accent5"/>
        <w:right w:val="single" w:sz="8" w:space="0" w:color="B71202" w:themeColor="accent5"/>
        <w:insideH w:val="single" w:sz="8" w:space="0" w:color="B71202" w:themeColor="accent5"/>
        <w:insideV w:val="single" w:sz="8" w:space="0" w:color="B71202"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18" w:space="0" w:color="B71202" w:themeColor="accent5"/>
          <w:right w:val="single" w:sz="8" w:space="0" w:color="B71202" w:themeColor="accent5"/>
          <w:insideH w:val="nil"/>
          <w:insideV w:val="single" w:sz="8" w:space="0" w:color="B71202"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insideH w:val="nil"/>
          <w:insideV w:val="single" w:sz="8" w:space="0" w:color="B71202"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shd w:val="clear" w:color="auto" w:fill="FEB6AF" w:themeFill="accent5" w:themeFillTint="3F"/>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shd w:val="clear" w:color="auto" w:fill="FEB6AF" w:themeFill="accent5" w:themeFillTint="3F"/>
      </w:tcPr>
    </w:tblStylePr>
    <w:tblStylePr w:type="band2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B60F5D"/>
    <w:pPr>
      <w:numPr>
        <w:ilvl w:val="8"/>
        <w:numId w:val="12"/>
      </w:numPr>
      <w:tabs>
        <w:tab w:val="left" w:pos="2381"/>
      </w:tabs>
      <w:ind w:left="2381" w:hanging="2381"/>
    </w:pPr>
  </w:style>
  <w:style w:type="paragraph" w:styleId="Caption">
    <w:name w:val="caption"/>
    <w:basedOn w:val="Normal"/>
    <w:next w:val="Normal"/>
    <w:uiPriority w:val="35"/>
    <w:unhideWhenUsed/>
    <w:qFormat/>
    <w:rsid w:val="00B1716D"/>
    <w:pPr>
      <w:spacing w:before="240" w:after="120"/>
    </w:pPr>
    <w:rPr>
      <w:b/>
      <w:bCs/>
      <w:sz w:val="24"/>
      <w:szCs w:val="18"/>
    </w:rPr>
  </w:style>
  <w:style w:type="paragraph" w:styleId="List">
    <w:name w:val="List"/>
    <w:basedOn w:val="Normal"/>
    <w:uiPriority w:val="99"/>
    <w:rsid w:val="00E4674F"/>
    <w:pPr>
      <w:tabs>
        <w:tab w:val="left" w:pos="340"/>
      </w:tabs>
      <w:spacing w:before="120"/>
      <w:ind w:left="340" w:hanging="340"/>
    </w:pPr>
  </w:style>
  <w:style w:type="paragraph" w:styleId="List2">
    <w:name w:val="List 2"/>
    <w:basedOn w:val="Normal"/>
    <w:uiPriority w:val="99"/>
    <w:rsid w:val="00E4674F"/>
    <w:pPr>
      <w:tabs>
        <w:tab w:val="left" w:pos="680"/>
      </w:tabs>
      <w:spacing w:before="120"/>
      <w:ind w:left="680" w:hanging="340"/>
    </w:pPr>
  </w:style>
  <w:style w:type="paragraph" w:styleId="List3">
    <w:name w:val="List 3"/>
    <w:basedOn w:val="Normal"/>
    <w:uiPriority w:val="99"/>
    <w:rsid w:val="00E4674F"/>
    <w:pPr>
      <w:tabs>
        <w:tab w:val="left" w:pos="1021"/>
      </w:tabs>
      <w:spacing w:before="120"/>
      <w:ind w:left="1020" w:hanging="340"/>
    </w:pPr>
  </w:style>
  <w:style w:type="paragraph" w:styleId="List4">
    <w:name w:val="List 4"/>
    <w:basedOn w:val="Normal"/>
    <w:uiPriority w:val="99"/>
    <w:rsid w:val="00E4674F"/>
    <w:pPr>
      <w:tabs>
        <w:tab w:val="left" w:pos="1361"/>
      </w:tabs>
      <w:spacing w:before="120"/>
      <w:ind w:left="1361" w:hanging="340"/>
    </w:pPr>
  </w:style>
  <w:style w:type="paragraph" w:styleId="List5">
    <w:name w:val="List 5"/>
    <w:basedOn w:val="Normal"/>
    <w:uiPriority w:val="99"/>
    <w:rsid w:val="00547CCF"/>
    <w:pPr>
      <w:tabs>
        <w:tab w:val="left" w:pos="1701"/>
      </w:tabs>
      <w:spacing w:before="120"/>
      <w:ind w:left="1701" w:hanging="340"/>
    </w:pPr>
  </w:style>
  <w:style w:type="paragraph" w:styleId="ListBullet3">
    <w:name w:val="List Bullet 3"/>
    <w:basedOn w:val="Normal"/>
    <w:uiPriority w:val="99"/>
    <w:rsid w:val="00181223"/>
    <w:pPr>
      <w:numPr>
        <w:numId w:val="4"/>
      </w:numPr>
      <w:tabs>
        <w:tab w:val="clear" w:pos="926"/>
        <w:tab w:val="num" w:pos="1021"/>
      </w:tabs>
      <w:spacing w:before="120"/>
      <w:ind w:left="1020" w:hanging="340"/>
    </w:pPr>
  </w:style>
  <w:style w:type="paragraph" w:styleId="ListBullet4">
    <w:name w:val="List Bullet 4"/>
    <w:basedOn w:val="Normal"/>
    <w:uiPriority w:val="99"/>
    <w:rsid w:val="00547CCF"/>
    <w:pPr>
      <w:numPr>
        <w:numId w:val="5"/>
      </w:numPr>
      <w:tabs>
        <w:tab w:val="clear" w:pos="1209"/>
        <w:tab w:val="num" w:pos="1361"/>
      </w:tabs>
      <w:spacing w:before="120"/>
      <w:ind w:left="1361" w:hanging="340"/>
    </w:pPr>
  </w:style>
  <w:style w:type="paragraph" w:styleId="ListBullet5">
    <w:name w:val="List Bullet 5"/>
    <w:basedOn w:val="Normal"/>
    <w:uiPriority w:val="99"/>
    <w:rsid w:val="00547CCF"/>
    <w:pPr>
      <w:numPr>
        <w:numId w:val="6"/>
      </w:numPr>
      <w:tabs>
        <w:tab w:val="clear" w:pos="1492"/>
        <w:tab w:val="num" w:pos="1701"/>
      </w:tabs>
      <w:spacing w:before="120"/>
      <w:ind w:left="1701" w:hanging="340"/>
    </w:pPr>
  </w:style>
  <w:style w:type="paragraph" w:styleId="ListContinue">
    <w:name w:val="List Continue"/>
    <w:basedOn w:val="Normal"/>
    <w:uiPriority w:val="99"/>
    <w:rsid w:val="00547CCF"/>
    <w:pPr>
      <w:tabs>
        <w:tab w:val="left" w:pos="340"/>
      </w:tabs>
      <w:spacing w:before="120"/>
      <w:ind w:left="340"/>
    </w:pPr>
  </w:style>
  <w:style w:type="paragraph" w:styleId="ListContinue2">
    <w:name w:val="List Continue 2"/>
    <w:basedOn w:val="Normal"/>
    <w:uiPriority w:val="99"/>
    <w:rsid w:val="00547CCF"/>
    <w:pPr>
      <w:tabs>
        <w:tab w:val="left" w:pos="680"/>
      </w:tabs>
      <w:spacing w:before="120"/>
      <w:ind w:left="680"/>
    </w:pPr>
  </w:style>
  <w:style w:type="paragraph" w:styleId="ListContinue3">
    <w:name w:val="List Continue 3"/>
    <w:basedOn w:val="Normal"/>
    <w:uiPriority w:val="99"/>
    <w:rsid w:val="00547CCF"/>
    <w:pPr>
      <w:tabs>
        <w:tab w:val="left" w:pos="1021"/>
      </w:tabs>
      <w:spacing w:before="120"/>
      <w:ind w:left="1021"/>
    </w:pPr>
  </w:style>
  <w:style w:type="paragraph" w:styleId="ListContinue4">
    <w:name w:val="List Continue 4"/>
    <w:basedOn w:val="Normal"/>
    <w:uiPriority w:val="99"/>
    <w:rsid w:val="00DC542F"/>
    <w:pPr>
      <w:tabs>
        <w:tab w:val="left" w:pos="1361"/>
      </w:tabs>
      <w:spacing w:before="120"/>
      <w:ind w:left="1361"/>
    </w:pPr>
  </w:style>
  <w:style w:type="paragraph" w:styleId="ListNumber3">
    <w:name w:val="List Number 3"/>
    <w:basedOn w:val="Normal"/>
    <w:uiPriority w:val="99"/>
    <w:rsid w:val="00BE4C99"/>
    <w:pPr>
      <w:numPr>
        <w:numId w:val="14"/>
      </w:numPr>
      <w:tabs>
        <w:tab w:val="left" w:pos="1021"/>
      </w:tabs>
      <w:spacing w:before="120"/>
    </w:pPr>
  </w:style>
  <w:style w:type="paragraph" w:styleId="ListNumber4">
    <w:name w:val="List Number 4"/>
    <w:basedOn w:val="Normal"/>
    <w:uiPriority w:val="99"/>
    <w:rsid w:val="00BE4C99"/>
    <w:pPr>
      <w:numPr>
        <w:numId w:val="7"/>
      </w:numPr>
      <w:tabs>
        <w:tab w:val="left" w:pos="1701"/>
      </w:tabs>
      <w:spacing w:before="120"/>
    </w:pPr>
  </w:style>
  <w:style w:type="paragraph" w:styleId="ListNumber5">
    <w:name w:val="List Number 5"/>
    <w:basedOn w:val="Normal"/>
    <w:uiPriority w:val="99"/>
    <w:rsid w:val="00BE4C99"/>
    <w:pPr>
      <w:numPr>
        <w:numId w:val="8"/>
      </w:numPr>
      <w:spacing w:before="120"/>
    </w:pPr>
  </w:style>
  <w:style w:type="paragraph" w:customStyle="1" w:styleId="TableHeading">
    <w:name w:val="Table Heading"/>
    <w:basedOn w:val="Tabletext"/>
    <w:link w:val="TableHeadingChar"/>
    <w:qFormat/>
    <w:rsid w:val="00584D8F"/>
    <w:pPr>
      <w:spacing w:before="60"/>
    </w:pPr>
    <w:rPr>
      <w:b/>
      <w:sz w:val="22"/>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584D8F"/>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584D8F"/>
    <w:rPr>
      <w:rFonts w:ascii="Arial" w:hAnsi="Arial"/>
      <w:b/>
      <w:sz w:val="20"/>
    </w:rPr>
  </w:style>
  <w:style w:type="character" w:customStyle="1" w:styleId="TableHeading-rightChar">
    <w:name w:val="Table Heading - right Char"/>
    <w:basedOn w:val="TableHeadingChar"/>
    <w:link w:val="TableHeading-right"/>
    <w:rsid w:val="00584D8F"/>
    <w:rPr>
      <w:rFonts w:ascii="Arial" w:eastAsia="Times New Roman" w:hAnsi="Arial" w:cs="Times New Roman"/>
      <w:b/>
      <w:bCs/>
      <w:sz w:val="20"/>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584D8F"/>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D5D6D2"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E4674F"/>
    <w:rPr>
      <w:rFonts w:ascii="Arial" w:hAnsi="Arial"/>
      <w:sz w:val="16"/>
      <w:vertAlign w:val="superscript"/>
    </w:rPr>
  </w:style>
  <w:style w:type="paragraph" w:customStyle="1" w:styleId="Numberedparagraph11">
    <w:name w:val="Numbered paragraph 1.1"/>
    <w:basedOn w:val="Numbered11"/>
    <w:qFormat/>
    <w:rsid w:val="00340655"/>
    <w:pPr>
      <w:ind w:left="680" w:hanging="680"/>
      <w:outlineLvl w:val="9"/>
    </w:pPr>
    <w:rPr>
      <w:bCs w:val="0"/>
      <w:color w:val="auto"/>
      <w:sz w:val="22"/>
    </w:rPr>
  </w:style>
  <w:style w:type="character" w:customStyle="1" w:styleId="Numbered1Char">
    <w:name w:val="Numbered 1 Char"/>
    <w:basedOn w:val="Heading1Char"/>
    <w:link w:val="Numbered1"/>
    <w:rsid w:val="00F61B84"/>
    <w:rPr>
      <w:rFonts w:ascii="Lucida Fax" w:eastAsiaTheme="majorEastAsia" w:hAnsi="Lucida Fax" w:cstheme="majorBidi"/>
      <w:bCs/>
      <w:color w:val="51626F"/>
      <w:sz w:val="32"/>
      <w:szCs w:val="28"/>
    </w:rPr>
  </w:style>
  <w:style w:type="paragraph" w:customStyle="1" w:styleId="Numberedparagraph">
    <w:name w:val="Numbered paragraph"/>
    <w:basedOn w:val="Normal"/>
    <w:rsid w:val="00B60F5D"/>
    <w:pPr>
      <w:numPr>
        <w:numId w:val="1"/>
      </w:numPr>
      <w:ind w:left="680" w:hanging="680"/>
    </w:pPr>
    <w:rPr>
      <w:rFonts w:eastAsia="Times New Roman" w:cs="Times New Roman"/>
      <w:color w:val="000000" w:themeColor="text1" w:themeShade="BF"/>
      <w:szCs w:val="20"/>
    </w:rPr>
  </w:style>
  <w:style w:type="paragraph" w:customStyle="1" w:styleId="Listalphabet2">
    <w:name w:val="List alphabet 2"/>
    <w:rsid w:val="00CF799E"/>
    <w:pPr>
      <w:numPr>
        <w:numId w:val="13"/>
      </w:numPr>
      <w:tabs>
        <w:tab w:val="left" w:pos="680"/>
      </w:tabs>
      <w:spacing w:before="120"/>
    </w:pPr>
    <w:rPr>
      <w:rFonts w:ascii="Arial" w:hAnsi="Arial"/>
    </w:rPr>
  </w:style>
  <w:style w:type="paragraph" w:customStyle="1" w:styleId="Listalphabet3">
    <w:name w:val="List alphabet 3"/>
    <w:rsid w:val="00CF799E"/>
    <w:pPr>
      <w:numPr>
        <w:numId w:val="19"/>
      </w:numPr>
      <w:tabs>
        <w:tab w:val="left" w:pos="1021"/>
      </w:tabs>
      <w:spacing w:before="120"/>
    </w:pPr>
    <w:rPr>
      <w:rFonts w:ascii="Arial" w:hAnsi="Arial"/>
    </w:rPr>
  </w:style>
  <w:style w:type="paragraph" w:customStyle="1" w:styleId="Listalphabet4">
    <w:name w:val="List alphabet 4"/>
    <w:rsid w:val="00CF799E"/>
    <w:pPr>
      <w:numPr>
        <w:numId w:val="20"/>
      </w:numPr>
      <w:tabs>
        <w:tab w:val="left" w:pos="1361"/>
      </w:tabs>
      <w:spacing w:before="120"/>
    </w:pPr>
    <w:rPr>
      <w:rFonts w:ascii="Arial" w:hAnsi="Arial"/>
    </w:rPr>
  </w:style>
  <w:style w:type="paragraph" w:customStyle="1" w:styleId="Listalphabet5">
    <w:name w:val="List alphabet 5"/>
    <w:rsid w:val="00CF799E"/>
    <w:pPr>
      <w:numPr>
        <w:numId w:val="21"/>
      </w:numPr>
      <w:tabs>
        <w:tab w:val="left" w:pos="1701"/>
      </w:tabs>
      <w:spacing w:before="120"/>
    </w:pPr>
    <w:rPr>
      <w:rFonts w:ascii="Arial" w:hAnsi="Arial"/>
    </w:rPr>
  </w:style>
  <w:style w:type="paragraph" w:styleId="ListContinue5">
    <w:name w:val="List Continue 5"/>
    <w:basedOn w:val="Normal"/>
    <w:uiPriority w:val="99"/>
    <w:rsid w:val="00DC542F"/>
    <w:pPr>
      <w:tabs>
        <w:tab w:val="left" w:pos="1701"/>
      </w:tabs>
      <w:spacing w:before="120"/>
      <w:ind w:left="1701"/>
    </w:pPr>
  </w:style>
  <w:style w:type="paragraph" w:customStyle="1" w:styleId="Listalphabet">
    <w:name w:val="List alphabet"/>
    <w:qFormat/>
    <w:rsid w:val="003459E6"/>
    <w:pPr>
      <w:numPr>
        <w:numId w:val="22"/>
      </w:numPr>
      <w:tabs>
        <w:tab w:val="left" w:pos="340"/>
      </w:tabs>
      <w:spacing w:before="120"/>
    </w:pPr>
    <w:rPr>
      <w:rFonts w:ascii="Arial" w:hAnsi="Arial"/>
    </w:rPr>
  </w:style>
  <w:style w:type="paragraph" w:styleId="NoteHeading">
    <w:name w:val="Note Heading"/>
    <w:basedOn w:val="Normal"/>
    <w:next w:val="Normal"/>
    <w:link w:val="NoteHeadingChar"/>
    <w:uiPriority w:val="99"/>
    <w:semiHidden/>
    <w:unhideWhenUsed/>
    <w:rsid w:val="00F61B84"/>
    <w:pPr>
      <w:spacing w:before="0"/>
    </w:pPr>
  </w:style>
  <w:style w:type="character" w:customStyle="1" w:styleId="NoteHeadingChar">
    <w:name w:val="Note Heading Char"/>
    <w:basedOn w:val="DefaultParagraphFont"/>
    <w:link w:val="NoteHeading"/>
    <w:uiPriority w:val="99"/>
    <w:semiHidden/>
    <w:rsid w:val="00F61B84"/>
    <w:rPr>
      <w:rFonts w:ascii="Arial" w:hAnsi="Arial"/>
    </w:rPr>
  </w:style>
  <w:style w:type="character" w:styleId="SubtleReference">
    <w:name w:val="Subtle Reference"/>
    <w:basedOn w:val="DefaultParagraphFont"/>
    <w:uiPriority w:val="31"/>
    <w:unhideWhenUsed/>
    <w:rsid w:val="00B60F5D"/>
    <w:rPr>
      <w:smallCaps/>
      <w:color w:val="4F2D7D" w:themeColor="accent2"/>
      <w:u w:val="single"/>
    </w:rPr>
  </w:style>
  <w:style w:type="paragraph" w:customStyle="1" w:styleId="ListLegal">
    <w:name w:val="List Legal"/>
    <w:basedOn w:val="ListParagraph"/>
    <w:rsid w:val="00CF799E"/>
    <w:pPr>
      <w:numPr>
        <w:numId w:val="25"/>
      </w:numPr>
      <w:tabs>
        <w:tab w:val="clear" w:pos="340"/>
        <w:tab w:val="left" w:pos="680"/>
      </w:tabs>
    </w:pPr>
  </w:style>
  <w:style w:type="paragraph" w:customStyle="1" w:styleId="ListLegal2">
    <w:name w:val="List Legal 2"/>
    <w:basedOn w:val="ListLegal"/>
    <w:rsid w:val="00C06739"/>
    <w:pPr>
      <w:numPr>
        <w:numId w:val="16"/>
      </w:numPr>
      <w:tabs>
        <w:tab w:val="clear" w:pos="680"/>
        <w:tab w:val="left" w:pos="1021"/>
      </w:tabs>
    </w:pPr>
  </w:style>
  <w:style w:type="paragraph" w:customStyle="1" w:styleId="ListLegal3">
    <w:name w:val="List Legal 3"/>
    <w:basedOn w:val="ListNumber3"/>
    <w:rsid w:val="00CF799E"/>
    <w:pPr>
      <w:numPr>
        <w:numId w:val="15"/>
      </w:numPr>
      <w:tabs>
        <w:tab w:val="clear" w:pos="1021"/>
        <w:tab w:val="left" w:pos="1361"/>
      </w:tabs>
    </w:pPr>
  </w:style>
  <w:style w:type="paragraph" w:customStyle="1" w:styleId="ListLegal4">
    <w:name w:val="List Legal 4"/>
    <w:basedOn w:val="ListLegal3"/>
    <w:rsid w:val="00CF799E"/>
    <w:pPr>
      <w:numPr>
        <w:numId w:val="17"/>
      </w:numPr>
      <w:tabs>
        <w:tab w:val="clear" w:pos="1361"/>
        <w:tab w:val="left" w:pos="1701"/>
      </w:tabs>
    </w:pPr>
  </w:style>
  <w:style w:type="paragraph" w:customStyle="1" w:styleId="ListLegal5">
    <w:name w:val="List Legal 5"/>
    <w:basedOn w:val="ListLegal4"/>
    <w:rsid w:val="000F2368"/>
    <w:pPr>
      <w:numPr>
        <w:numId w:val="26"/>
      </w:numPr>
      <w:tabs>
        <w:tab w:val="clear" w:pos="1701"/>
        <w:tab w:val="left" w:pos="2041"/>
      </w:tabs>
    </w:pPr>
  </w:style>
  <w:style w:type="paragraph" w:customStyle="1" w:styleId="LegalNumbering">
    <w:name w:val="Legal Numbering"/>
    <w:basedOn w:val="Normal"/>
    <w:qFormat/>
    <w:rsid w:val="0002115F"/>
    <w:pPr>
      <w:numPr>
        <w:numId w:val="18"/>
      </w:numPr>
      <w:tabs>
        <w:tab w:val="left" w:pos="340"/>
        <w:tab w:val="left" w:pos="680"/>
        <w:tab w:val="left" w:pos="1021"/>
        <w:tab w:val="left" w:pos="1361"/>
      </w:tabs>
    </w:pPr>
  </w:style>
  <w:style w:type="character" w:styleId="CommentReference">
    <w:name w:val="annotation reference"/>
    <w:basedOn w:val="DefaultParagraphFont"/>
    <w:uiPriority w:val="99"/>
    <w:semiHidden/>
    <w:unhideWhenUsed/>
    <w:rsid w:val="00BD2820"/>
    <w:rPr>
      <w:sz w:val="16"/>
      <w:szCs w:val="16"/>
    </w:rPr>
  </w:style>
  <w:style w:type="paragraph" w:styleId="CommentText">
    <w:name w:val="annotation text"/>
    <w:basedOn w:val="Normal"/>
    <w:link w:val="CommentTextChar"/>
    <w:uiPriority w:val="99"/>
    <w:semiHidden/>
    <w:unhideWhenUsed/>
    <w:rsid w:val="00BD2820"/>
    <w:rPr>
      <w:sz w:val="20"/>
      <w:szCs w:val="20"/>
    </w:rPr>
  </w:style>
  <w:style w:type="character" w:customStyle="1" w:styleId="CommentTextChar">
    <w:name w:val="Comment Text Char"/>
    <w:basedOn w:val="DefaultParagraphFont"/>
    <w:link w:val="CommentText"/>
    <w:uiPriority w:val="99"/>
    <w:semiHidden/>
    <w:rsid w:val="00BD2820"/>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BD2820"/>
    <w:rPr>
      <w:b/>
      <w:bCs/>
    </w:rPr>
  </w:style>
  <w:style w:type="character" w:customStyle="1" w:styleId="CommentSubjectChar">
    <w:name w:val="Comment Subject Char"/>
    <w:basedOn w:val="CommentTextChar"/>
    <w:link w:val="CommentSubject"/>
    <w:uiPriority w:val="99"/>
    <w:semiHidden/>
    <w:rsid w:val="00BD2820"/>
    <w:rPr>
      <w:rFonts w:ascii="Arial" w:hAnsi="Arial"/>
      <w:b/>
      <w:bCs/>
      <w:sz w:val="20"/>
      <w:szCs w:val="20"/>
    </w:rPr>
  </w:style>
  <w:style w:type="paragraph" w:styleId="Revision">
    <w:name w:val="Revision"/>
    <w:hidden/>
    <w:uiPriority w:val="99"/>
    <w:semiHidden/>
    <w:rsid w:val="00211276"/>
    <w:pPr>
      <w:spacing w:before="0"/>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5647201">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069424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003591"/>
      </a:dk2>
      <a:lt2>
        <a:srgbClr val="D5D6D2"/>
      </a:lt2>
      <a:accent1>
        <a:srgbClr val="51626F"/>
      </a:accent1>
      <a:accent2>
        <a:srgbClr val="4F2D7D"/>
      </a:accent2>
      <a:accent3>
        <a:srgbClr val="0098C3"/>
      </a:accent3>
      <a:accent4>
        <a:srgbClr val="A0CFEB"/>
      </a:accent4>
      <a:accent5>
        <a:srgbClr val="B71202"/>
      </a:accent5>
      <a:accent6>
        <a:srgbClr val="DC5034"/>
      </a:accent6>
      <a:hlink>
        <a:srgbClr val="0000FF"/>
      </a:hlink>
      <a:folHlink>
        <a:srgbClr val="800080"/>
      </a:folHlink>
    </a:clrScheme>
    <a:fontScheme name="ACCC">
      <a:majorFont>
        <a:latin typeface="Lucida Fax"/>
        <a:ea typeface=""/>
        <a:cs typeface=""/>
      </a:majorFont>
      <a:minorFont>
        <a:latin typeface="Arial"/>
        <a:ea typeface=""/>
        <a:cs typeface=""/>
      </a:minorFont>
    </a:fontScheme>
    <a:fmtScheme name="Apex">
      <a:fillStyleLst>
        <a:solidFill>
          <a:schemeClr val="phClr"/>
        </a:solidFill>
        <a:gradFill rotWithShape="1">
          <a:gsLst>
            <a:gs pos="20000">
              <a:schemeClr val="phClr">
                <a:tint val="9000"/>
              </a:schemeClr>
            </a:gs>
            <a:gs pos="100000">
              <a:schemeClr val="phClr">
                <a:tint val="70000"/>
                <a:satMod val="100000"/>
              </a:schemeClr>
            </a:gs>
          </a:gsLst>
          <a:path path="circle">
            <a:fillToRect l="-15000" t="-15000" r="115000" b="115000"/>
          </a:path>
        </a:gradFill>
        <a:gradFill rotWithShape="1">
          <a:gsLst>
            <a:gs pos="0">
              <a:schemeClr val="phClr">
                <a:shade val="60000"/>
              </a:schemeClr>
            </a:gs>
            <a:gs pos="33000">
              <a:schemeClr val="phClr">
                <a:tint val="86500"/>
              </a:schemeClr>
            </a:gs>
            <a:gs pos="46750">
              <a:schemeClr val="phClr">
                <a:tint val="71000"/>
                <a:satMod val="112000"/>
              </a:schemeClr>
            </a:gs>
            <a:gs pos="53000">
              <a:schemeClr val="phClr">
                <a:tint val="71000"/>
                <a:satMod val="112000"/>
              </a:schemeClr>
            </a:gs>
            <a:gs pos="68000">
              <a:schemeClr val="phClr">
                <a:tint val="86000"/>
              </a:schemeClr>
            </a:gs>
            <a:gs pos="100000">
              <a:schemeClr val="phClr">
                <a:shade val="60000"/>
              </a:schemeClr>
            </a:gs>
          </a:gsLst>
          <a:lin ang="8350000" scaled="1"/>
        </a:gradFill>
      </a:fillStyleLst>
      <a:lnStyleLst>
        <a:ln w="9525" cap="flat" cmpd="sng" algn="ctr">
          <a:solidFill>
            <a:schemeClr val="phClr">
              <a:shade val="48000"/>
              <a:satMod val="110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130000" dist="101600" dir="2700000" algn="tl" rotWithShape="0">
              <a:srgbClr val="000000">
                <a:alpha val="35000"/>
              </a:srgbClr>
            </a:outerShdw>
          </a:effectLst>
        </a:effectStyle>
        <a:effectStyle>
          <a:effectLst>
            <a:outerShdw blurRad="190500" dist="228600" dir="2700000" sy="90000" rotWithShape="0">
              <a:srgbClr val="000000">
                <a:alpha val="25500"/>
              </a:srgbClr>
            </a:outerShdw>
          </a:effectLst>
        </a:effectStyle>
        <a:effectStyle>
          <a:effectLst>
            <a:outerShdw blurRad="190500" dist="228600" dir="2700000" sy="90000" rotWithShape="0">
              <a:srgbClr val="000000">
                <a:alpha val="25500"/>
              </a:srgbClr>
            </a:outerShdw>
          </a:effectLst>
          <a:scene3d>
            <a:camera prst="orthographicFront" fov="0">
              <a:rot lat="0" lon="0" rev="0"/>
            </a:camera>
            <a:lightRig rig="soft" dir="tl">
              <a:rot lat="0" lon="0" rev="20100000"/>
            </a:lightRig>
          </a:scene3d>
          <a:sp3d>
            <a:bevelT w="50800" h="508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[pick the date]</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99B7723-F01F-4029-9FAC-817E3626BB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23BECE0C</Template>
  <TotalTime>0</TotalTime>
  <Pages>5</Pages>
  <Words>1709</Words>
  <Characters>9644</Characters>
  <Application>Microsoft Office Word</Application>
  <DocSecurity>4</DocSecurity>
  <Lines>166</Lines>
  <Paragraphs>70</Paragraphs>
  <ScaleCrop>false</ScaleCrop>
  <HeadingPairs>
    <vt:vector size="2" baseType="variant">
      <vt:variant>
        <vt:lpstr>Title</vt:lpstr>
      </vt:variant>
      <vt:variant>
        <vt:i4>1</vt:i4>
      </vt:variant>
    </vt:vector>
  </HeadingPairs>
  <TitlesOfParts>
    <vt:vector size="1" baseType="lpstr">
      <vt:lpstr>[Document title]</vt:lpstr>
    </vt:vector>
  </TitlesOfParts>
  <Company>ACCC</Company>
  <LinksUpToDate>false</LinksUpToDate>
  <CharactersWithSpaces>11283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title]</dc:title>
  <dc:subject>[subtitle]</dc:subject>
  <dc:creator>Kidd, Simon</dc:creator>
  <cp:lastModifiedBy>Kidd, Simon</cp:lastModifiedBy>
  <cp:revision>2</cp:revision>
  <cp:lastPrinted>2016-02-18T04:06:00Z</cp:lastPrinted>
  <dcterms:created xsi:type="dcterms:W3CDTF">2016-02-18T04:10:00Z</dcterms:created>
  <dcterms:modified xsi:type="dcterms:W3CDTF">2016-02-18T04:10:00Z</dcterms:modified>
</cp:coreProperties>
</file>