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21D" w:rsidRDefault="004635FA" w:rsidP="001D027A">
      <w:bookmarkStart w:id="0" w:name="_GoBack"/>
      <w:bookmarkEnd w:id="0"/>
      <w:r w:rsidRPr="00DB723B">
        <w:rPr>
          <w:noProof/>
          <w:lang w:eastAsia="en-AU"/>
        </w:rPr>
        <w:drawing>
          <wp:anchor distT="0" distB="0" distL="114300" distR="114300" simplePos="0" relativeHeight="251659264" behindDoc="1" locked="0" layoutInCell="1" allowOverlap="1" wp14:anchorId="4676514D" wp14:editId="4419D4B5">
            <wp:simplePos x="0" y="0"/>
            <wp:positionH relativeFrom="column">
              <wp:posOffset>-1107341</wp:posOffset>
            </wp:positionH>
            <wp:positionV relativeFrom="paragraph">
              <wp:posOffset>-917351</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sdt>
      <w:sdtPr>
        <w:id w:val="1099676627"/>
        <w:docPartObj>
          <w:docPartGallery w:val="Cover Pages"/>
          <w:docPartUnique/>
        </w:docPartObj>
      </w:sdtPr>
      <w:sdtEndPr>
        <w:rPr>
          <w:rFonts w:eastAsiaTheme="majorEastAsia" w:cstheme="majorBidi"/>
          <w:b/>
          <w:noProof/>
          <w:sz w:val="72"/>
          <w:szCs w:val="72"/>
          <w:lang w:eastAsia="en-AU"/>
        </w:rPr>
      </w:sdtEndPr>
      <w:sdtContent>
        <w:p w:rsidR="001D027A" w:rsidRPr="00DB723B" w:rsidRDefault="001D027A" w:rsidP="00AE321D">
          <w:pPr>
            <w:spacing w:after="960"/>
          </w:pPr>
        </w:p>
        <w:p w:rsidR="00AE321D" w:rsidRDefault="00AE321D" w:rsidP="00AE321D">
          <w:pPr>
            <w:pStyle w:val="ReportTitle"/>
            <w:spacing w:before="1680"/>
            <w:contextualSpacing w:val="0"/>
          </w:pPr>
        </w:p>
        <w:p w:rsidR="001D027A" w:rsidRPr="00DB723B" w:rsidRDefault="001D027A" w:rsidP="00AE321D">
          <w:pPr>
            <w:pStyle w:val="ReportTitle"/>
            <w:spacing w:before="1680"/>
            <w:contextualSpacing w:val="0"/>
          </w:pPr>
          <w:r>
            <w:t xml:space="preserve">Sustainable Payment Plans </w:t>
          </w:r>
          <w:r w:rsidR="003A59E4">
            <w:t>Framework</w:t>
          </w:r>
        </w:p>
        <w:p w:rsidR="001D027A" w:rsidRDefault="004635FA" w:rsidP="001D027A">
          <w:pPr>
            <w:pStyle w:val="ReportDate"/>
          </w:pPr>
          <w:r>
            <w:t>AER response to consultation issues</w:t>
          </w:r>
        </w:p>
        <w:p w:rsidR="001D027A" w:rsidRPr="00AB260E" w:rsidRDefault="001D027A" w:rsidP="001D027A">
          <w:pPr>
            <w:pStyle w:val="ReportDate"/>
          </w:pPr>
        </w:p>
        <w:p w:rsidR="001D027A" w:rsidRPr="00DB723B" w:rsidRDefault="001D027A" w:rsidP="001D027A">
          <w:pPr>
            <w:pStyle w:val="ReportDate"/>
          </w:pPr>
          <w:r>
            <w:t>July 2016</w:t>
          </w:r>
        </w:p>
        <w:p w:rsidR="001D027A" w:rsidRDefault="001D027A" w:rsidP="001D027A">
          <w:pPr>
            <w:rPr>
              <w:rFonts w:eastAsiaTheme="majorEastAsia" w:cstheme="majorBidi"/>
              <w:b/>
              <w:noProof/>
              <w:sz w:val="72"/>
              <w:szCs w:val="72"/>
              <w:lang w:eastAsia="en-AU"/>
            </w:rPr>
          </w:pPr>
          <w:r>
            <w:rPr>
              <w:rFonts w:eastAsiaTheme="majorEastAsia" w:cstheme="majorBidi"/>
              <w:b/>
              <w:noProof/>
              <w:sz w:val="72"/>
              <w:szCs w:val="72"/>
              <w:lang w:eastAsia="en-AU"/>
            </w:rPr>
            <w:br w:type="page"/>
          </w:r>
        </w:p>
      </w:sdtContent>
    </w:sdt>
    <w:p w:rsidR="001D027A" w:rsidRPr="00FE3C32" w:rsidRDefault="001D027A" w:rsidP="001D027A">
      <w:pPr>
        <w:spacing w:line="240" w:lineRule="auto"/>
      </w:pPr>
    </w:p>
    <w:p w:rsidR="001D027A" w:rsidRDefault="001D027A" w:rsidP="001D027A">
      <w:pPr>
        <w:pStyle w:val="Copyright"/>
      </w:pPr>
      <w:r>
        <w:t>© Commonwealth of Australia 2016</w:t>
      </w:r>
    </w:p>
    <w:p w:rsidR="001D027A" w:rsidRDefault="001D027A" w:rsidP="001D027A">
      <w:pPr>
        <w:pStyle w:val="Copyright"/>
      </w:pPr>
      <w:r>
        <w:t>This work is copyright. In addition to any use permitted under the Copyright Act 1968, all material contained within this work is provided under a Creative Commons Attributions 3.0 Australia licence, with the exception of:</w:t>
      </w:r>
    </w:p>
    <w:p w:rsidR="001D027A" w:rsidRDefault="001D027A" w:rsidP="001D027A">
      <w:pPr>
        <w:pStyle w:val="StyleCopyrightBefore0pt"/>
        <w:numPr>
          <w:ilvl w:val="0"/>
          <w:numId w:val="36"/>
        </w:numPr>
      </w:pPr>
      <w:r>
        <w:t>the Commonwealth Coat of Arms</w:t>
      </w:r>
    </w:p>
    <w:p w:rsidR="001D027A" w:rsidRDefault="001D027A" w:rsidP="001D027A">
      <w:pPr>
        <w:pStyle w:val="StyleCopyrightBefore0pt"/>
        <w:numPr>
          <w:ilvl w:val="0"/>
          <w:numId w:val="36"/>
        </w:numPr>
      </w:pPr>
      <w:r>
        <w:t>the ACCC and AER logos</w:t>
      </w:r>
    </w:p>
    <w:p w:rsidR="001D027A" w:rsidRPr="00B927D8" w:rsidRDefault="001D027A" w:rsidP="001D027A">
      <w:pPr>
        <w:pStyle w:val="ListBullet"/>
        <w:numPr>
          <w:ilvl w:val="0"/>
          <w:numId w:val="36"/>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1D027A" w:rsidRDefault="001D027A" w:rsidP="001D027A">
      <w:pPr>
        <w:pStyle w:val="Copyrigh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t xml:space="preserve">Canberra ACT 2601 </w:t>
      </w:r>
      <w:r>
        <w:br/>
        <w:t>or publishing.unit@accc.gov.au.</w:t>
      </w:r>
    </w:p>
    <w:p w:rsidR="001D027A" w:rsidRDefault="001D027A" w:rsidP="001D027A">
      <w:pPr>
        <w:pStyle w:val="Copyright"/>
      </w:pPr>
      <w:r>
        <w:t>Inquiries about this publication should be addressed to:</w:t>
      </w:r>
    </w:p>
    <w:p w:rsidR="001D027A" w:rsidRDefault="001D027A" w:rsidP="001D027A">
      <w:pPr>
        <w:pStyle w:val="Copyright"/>
      </w:pPr>
      <w:r>
        <w:t xml:space="preserve">Australian Energy </w:t>
      </w:r>
      <w:r w:rsidRPr="00F171E0">
        <w:t>Regulator</w:t>
      </w:r>
      <w:r>
        <w:br/>
        <w:t>GPO Box 520</w:t>
      </w:r>
      <w:r>
        <w:br/>
        <w:t>Melbourne Vic  3001</w:t>
      </w:r>
    </w:p>
    <w:p w:rsidR="001D027A" w:rsidRDefault="001D027A" w:rsidP="001D027A">
      <w:pPr>
        <w:pStyle w:val="Copyright"/>
      </w:pPr>
      <w:r>
        <w:t>Tel: (03) 9290 1444</w:t>
      </w:r>
      <w:r>
        <w:br/>
        <w:t>Fax: (03) 9290 1457</w:t>
      </w:r>
    </w:p>
    <w:p w:rsidR="001D027A" w:rsidRPr="00951978" w:rsidRDefault="001D027A" w:rsidP="001D027A">
      <w:pPr>
        <w:pStyle w:val="Copyright"/>
        <w:rPr>
          <w:color w:val="0000FF"/>
          <w:sz w:val="22"/>
          <w:u w:val="single"/>
        </w:rPr>
      </w:pPr>
      <w:r>
        <w:t xml:space="preserve">Email: </w:t>
      </w:r>
      <w:hyperlink r:id="rId11" w:history="1">
        <w:r w:rsidRPr="00D64888">
          <w:rPr>
            <w:rStyle w:val="Hyperlink"/>
          </w:rPr>
          <w:t>AERInquiry@aer.gov.au</w:t>
        </w:r>
      </w:hyperlink>
      <w:r>
        <w:rPr>
          <w:rStyle w:val="Hyperlink"/>
        </w:rPr>
        <w:br/>
      </w:r>
      <w:r>
        <w:t>AER Reference: 58462</w:t>
      </w:r>
    </w:p>
    <w:p w:rsidR="001D027A" w:rsidRDefault="001D027A" w:rsidP="001D027A"/>
    <w:p w:rsidR="001D027A" w:rsidRPr="00C569B4" w:rsidRDefault="001D027A" w:rsidP="001D027A">
      <w:r w:rsidRPr="00C569B4">
        <w:t>Amendment Record</w:t>
      </w:r>
    </w:p>
    <w:tbl>
      <w:tblPr>
        <w:tblStyle w:val="AERTable-Text"/>
        <w:tblW w:w="0" w:type="auto"/>
        <w:tblLook w:val="04A0" w:firstRow="1" w:lastRow="0" w:firstColumn="1" w:lastColumn="0" w:noHBand="0" w:noVBand="1"/>
      </w:tblPr>
      <w:tblGrid>
        <w:gridCol w:w="2909"/>
        <w:gridCol w:w="2888"/>
        <w:gridCol w:w="2896"/>
      </w:tblGrid>
      <w:tr w:rsidR="001D027A" w:rsidTr="00B10344">
        <w:trPr>
          <w:cnfStyle w:val="100000000000" w:firstRow="1" w:lastRow="0" w:firstColumn="0" w:lastColumn="0" w:oddVBand="0" w:evenVBand="0" w:oddHBand="0" w:evenHBand="0" w:firstRowFirstColumn="0" w:firstRowLastColumn="0" w:lastRowFirstColumn="0" w:lastRowLastColumn="0"/>
        </w:trPr>
        <w:tc>
          <w:tcPr>
            <w:tcW w:w="2909" w:type="dxa"/>
          </w:tcPr>
          <w:p w:rsidR="001D027A" w:rsidRDefault="001D027A" w:rsidP="007D1335">
            <w:r>
              <w:t>Version</w:t>
            </w:r>
          </w:p>
        </w:tc>
        <w:tc>
          <w:tcPr>
            <w:tcW w:w="2888" w:type="dxa"/>
          </w:tcPr>
          <w:p w:rsidR="001D027A" w:rsidRDefault="001D027A" w:rsidP="007D1335">
            <w:r>
              <w:t>Date</w:t>
            </w:r>
          </w:p>
        </w:tc>
        <w:tc>
          <w:tcPr>
            <w:tcW w:w="2896" w:type="dxa"/>
          </w:tcPr>
          <w:p w:rsidR="001D027A" w:rsidRDefault="001D027A" w:rsidP="007D1335">
            <w:r>
              <w:t>Pages</w:t>
            </w:r>
          </w:p>
        </w:tc>
      </w:tr>
      <w:tr w:rsidR="001D027A" w:rsidTr="00B10344">
        <w:tc>
          <w:tcPr>
            <w:tcW w:w="2909" w:type="dxa"/>
          </w:tcPr>
          <w:p w:rsidR="001D027A" w:rsidRDefault="001D027A" w:rsidP="007D1335">
            <w:pPr>
              <w:spacing w:before="0" w:after="200"/>
            </w:pPr>
            <w:r>
              <w:t>1.0</w:t>
            </w:r>
          </w:p>
        </w:tc>
        <w:tc>
          <w:tcPr>
            <w:tcW w:w="2888" w:type="dxa"/>
          </w:tcPr>
          <w:p w:rsidR="001D027A" w:rsidRDefault="00062DE4" w:rsidP="007D1335">
            <w:pPr>
              <w:spacing w:before="0" w:after="200"/>
            </w:pPr>
            <w:r w:rsidRPr="00062DE4">
              <w:t>11</w:t>
            </w:r>
            <w:r w:rsidR="001D027A" w:rsidRPr="00062DE4">
              <w:t xml:space="preserve"> July 2016</w:t>
            </w:r>
          </w:p>
        </w:tc>
        <w:tc>
          <w:tcPr>
            <w:tcW w:w="2896" w:type="dxa"/>
          </w:tcPr>
          <w:p w:rsidR="001D027A" w:rsidRDefault="00B930DA" w:rsidP="007D1335">
            <w:pPr>
              <w:spacing w:before="0" w:after="200"/>
            </w:pPr>
            <w:r>
              <w:t>23</w:t>
            </w:r>
          </w:p>
        </w:tc>
      </w:tr>
    </w:tbl>
    <w:p w:rsidR="001D027A" w:rsidRDefault="001D027A" w:rsidP="001D027A"/>
    <w:p w:rsidR="001D027A" w:rsidRDefault="001D027A" w:rsidP="001D027A">
      <w:pPr>
        <w:spacing w:line="240" w:lineRule="auto"/>
      </w:pPr>
      <w:r>
        <w:br w:type="page"/>
      </w:r>
    </w:p>
    <w:p w:rsidR="001D027A" w:rsidRDefault="001D027A" w:rsidP="001D027A">
      <w:pPr>
        <w:pStyle w:val="TOCHeading"/>
      </w:pPr>
      <w:r>
        <w:lastRenderedPageBreak/>
        <w:t>Contents</w:t>
      </w:r>
    </w:p>
    <w:p w:rsidR="000467FE" w:rsidRDefault="001D027A">
      <w:pPr>
        <w:pStyle w:val="TOC1"/>
        <w:rPr>
          <w:rFonts w:asciiTheme="minorHAnsi" w:eastAsiaTheme="minorEastAsia" w:hAnsiTheme="minorHAnsi"/>
          <w:lang w:val="en-AU" w:eastAsia="en-AU"/>
        </w:rPr>
      </w:pPr>
      <w:r>
        <w:fldChar w:fldCharType="begin"/>
      </w:r>
      <w:r>
        <w:instrText xml:space="preserve"> TOC \o "1-3" \h \z \u </w:instrText>
      </w:r>
      <w:r>
        <w:fldChar w:fldCharType="separate"/>
      </w:r>
      <w:hyperlink w:anchor="_Toc455748893" w:history="1">
        <w:r w:rsidR="000467FE" w:rsidRPr="00EA2757">
          <w:rPr>
            <w:rStyle w:val="Hyperlink"/>
          </w:rPr>
          <w:t>1</w:t>
        </w:r>
        <w:r w:rsidR="000467FE">
          <w:rPr>
            <w:rFonts w:asciiTheme="minorHAnsi" w:eastAsiaTheme="minorEastAsia" w:hAnsiTheme="minorHAnsi"/>
            <w:lang w:val="en-AU" w:eastAsia="en-AU"/>
          </w:rPr>
          <w:tab/>
        </w:r>
        <w:r w:rsidR="000467FE" w:rsidRPr="00EA2757">
          <w:rPr>
            <w:rStyle w:val="Hyperlink"/>
          </w:rPr>
          <w:t>Overview</w:t>
        </w:r>
        <w:r w:rsidR="000467FE">
          <w:rPr>
            <w:webHidden/>
          </w:rPr>
          <w:tab/>
        </w:r>
        <w:r w:rsidR="000467FE">
          <w:rPr>
            <w:webHidden/>
          </w:rPr>
          <w:fldChar w:fldCharType="begin"/>
        </w:r>
        <w:r w:rsidR="000467FE">
          <w:rPr>
            <w:webHidden/>
          </w:rPr>
          <w:instrText xml:space="preserve"> PAGEREF _Toc455748893 \h </w:instrText>
        </w:r>
        <w:r w:rsidR="000467FE">
          <w:rPr>
            <w:webHidden/>
          </w:rPr>
        </w:r>
        <w:r w:rsidR="000467FE">
          <w:rPr>
            <w:webHidden/>
          </w:rPr>
          <w:fldChar w:fldCharType="separate"/>
        </w:r>
        <w:r w:rsidR="000467FE">
          <w:rPr>
            <w:webHidden/>
          </w:rPr>
          <w:t>4</w:t>
        </w:r>
        <w:r w:rsidR="000467FE">
          <w:rPr>
            <w:webHidden/>
          </w:rPr>
          <w:fldChar w:fldCharType="end"/>
        </w:r>
      </w:hyperlink>
    </w:p>
    <w:p w:rsidR="000467FE" w:rsidRDefault="00215B82">
      <w:pPr>
        <w:pStyle w:val="TOC1"/>
        <w:rPr>
          <w:rFonts w:asciiTheme="minorHAnsi" w:eastAsiaTheme="minorEastAsia" w:hAnsiTheme="minorHAnsi"/>
          <w:lang w:val="en-AU" w:eastAsia="en-AU"/>
        </w:rPr>
      </w:pPr>
      <w:hyperlink w:anchor="_Toc455748894" w:history="1">
        <w:r w:rsidR="000467FE" w:rsidRPr="00EA2757">
          <w:rPr>
            <w:rStyle w:val="Hyperlink"/>
          </w:rPr>
          <w:t>2</w:t>
        </w:r>
        <w:r w:rsidR="000467FE">
          <w:rPr>
            <w:rFonts w:asciiTheme="minorHAnsi" w:eastAsiaTheme="minorEastAsia" w:hAnsiTheme="minorHAnsi"/>
            <w:lang w:val="en-AU" w:eastAsia="en-AU"/>
          </w:rPr>
          <w:tab/>
        </w:r>
        <w:r w:rsidR="000467FE" w:rsidRPr="00EA2757">
          <w:rPr>
            <w:rStyle w:val="Hyperlink"/>
          </w:rPr>
          <w:t>Background</w:t>
        </w:r>
        <w:r w:rsidR="000467FE">
          <w:rPr>
            <w:webHidden/>
          </w:rPr>
          <w:tab/>
        </w:r>
        <w:r w:rsidR="000467FE">
          <w:rPr>
            <w:webHidden/>
          </w:rPr>
          <w:fldChar w:fldCharType="begin"/>
        </w:r>
        <w:r w:rsidR="000467FE">
          <w:rPr>
            <w:webHidden/>
          </w:rPr>
          <w:instrText xml:space="preserve"> PAGEREF _Toc455748894 \h </w:instrText>
        </w:r>
        <w:r w:rsidR="000467FE">
          <w:rPr>
            <w:webHidden/>
          </w:rPr>
        </w:r>
        <w:r w:rsidR="000467FE">
          <w:rPr>
            <w:webHidden/>
          </w:rPr>
          <w:fldChar w:fldCharType="separate"/>
        </w:r>
        <w:r w:rsidR="000467FE">
          <w:rPr>
            <w:webHidden/>
          </w:rPr>
          <w:t>5</w:t>
        </w:r>
        <w:r w:rsidR="000467FE">
          <w:rPr>
            <w:webHidden/>
          </w:rPr>
          <w:fldChar w:fldCharType="end"/>
        </w:r>
      </w:hyperlink>
    </w:p>
    <w:p w:rsidR="000467FE" w:rsidRDefault="00215B82">
      <w:pPr>
        <w:pStyle w:val="TOC2"/>
        <w:rPr>
          <w:rFonts w:asciiTheme="minorHAnsi" w:eastAsiaTheme="minorEastAsia" w:hAnsiTheme="minorHAnsi"/>
          <w:lang w:eastAsia="en-AU"/>
        </w:rPr>
      </w:pPr>
      <w:hyperlink w:anchor="_Toc455748895" w:history="1">
        <w:r w:rsidR="000467FE" w:rsidRPr="00EA2757">
          <w:rPr>
            <w:rStyle w:val="Hyperlink"/>
          </w:rPr>
          <w:t>2.1</w:t>
        </w:r>
        <w:r w:rsidR="000467FE">
          <w:rPr>
            <w:rFonts w:asciiTheme="minorHAnsi" w:eastAsiaTheme="minorEastAsia" w:hAnsiTheme="minorHAnsi"/>
            <w:lang w:eastAsia="en-AU"/>
          </w:rPr>
          <w:tab/>
        </w:r>
        <w:r w:rsidR="000467FE" w:rsidRPr="00EA2757">
          <w:rPr>
            <w:rStyle w:val="Hyperlink"/>
          </w:rPr>
          <w:t>AER hardship review</w:t>
        </w:r>
        <w:r w:rsidR="000467FE">
          <w:rPr>
            <w:webHidden/>
          </w:rPr>
          <w:tab/>
        </w:r>
        <w:r w:rsidR="000467FE">
          <w:rPr>
            <w:webHidden/>
          </w:rPr>
          <w:fldChar w:fldCharType="begin"/>
        </w:r>
        <w:r w:rsidR="000467FE">
          <w:rPr>
            <w:webHidden/>
          </w:rPr>
          <w:instrText xml:space="preserve"> PAGEREF _Toc455748895 \h </w:instrText>
        </w:r>
        <w:r w:rsidR="000467FE">
          <w:rPr>
            <w:webHidden/>
          </w:rPr>
        </w:r>
        <w:r w:rsidR="000467FE">
          <w:rPr>
            <w:webHidden/>
          </w:rPr>
          <w:fldChar w:fldCharType="separate"/>
        </w:r>
        <w:r w:rsidR="000467FE">
          <w:rPr>
            <w:webHidden/>
          </w:rPr>
          <w:t>5</w:t>
        </w:r>
        <w:r w:rsidR="000467FE">
          <w:rPr>
            <w:webHidden/>
          </w:rPr>
          <w:fldChar w:fldCharType="end"/>
        </w:r>
      </w:hyperlink>
    </w:p>
    <w:p w:rsidR="000467FE" w:rsidRDefault="00215B82">
      <w:pPr>
        <w:pStyle w:val="TOC2"/>
        <w:rPr>
          <w:rFonts w:asciiTheme="minorHAnsi" w:eastAsiaTheme="minorEastAsia" w:hAnsiTheme="minorHAnsi"/>
          <w:lang w:eastAsia="en-AU"/>
        </w:rPr>
      </w:pPr>
      <w:hyperlink w:anchor="_Toc455748896" w:history="1">
        <w:r w:rsidR="000467FE" w:rsidRPr="00EA2757">
          <w:rPr>
            <w:rStyle w:val="Hyperlink"/>
          </w:rPr>
          <w:t>2.2</w:t>
        </w:r>
        <w:r w:rsidR="000467FE">
          <w:rPr>
            <w:rFonts w:asciiTheme="minorHAnsi" w:eastAsiaTheme="minorEastAsia" w:hAnsiTheme="minorHAnsi"/>
            <w:lang w:eastAsia="en-AU"/>
          </w:rPr>
          <w:tab/>
        </w:r>
        <w:r w:rsidR="000467FE" w:rsidRPr="00EA2757">
          <w:rPr>
            <w:rStyle w:val="Hyperlink"/>
          </w:rPr>
          <w:t>Framework development</w:t>
        </w:r>
        <w:r w:rsidR="000467FE">
          <w:rPr>
            <w:webHidden/>
          </w:rPr>
          <w:tab/>
        </w:r>
        <w:r w:rsidR="000467FE">
          <w:rPr>
            <w:webHidden/>
          </w:rPr>
          <w:fldChar w:fldCharType="begin"/>
        </w:r>
        <w:r w:rsidR="000467FE">
          <w:rPr>
            <w:webHidden/>
          </w:rPr>
          <w:instrText xml:space="preserve"> PAGEREF _Toc455748896 \h </w:instrText>
        </w:r>
        <w:r w:rsidR="000467FE">
          <w:rPr>
            <w:webHidden/>
          </w:rPr>
        </w:r>
        <w:r w:rsidR="000467FE">
          <w:rPr>
            <w:webHidden/>
          </w:rPr>
          <w:fldChar w:fldCharType="separate"/>
        </w:r>
        <w:r w:rsidR="000467FE">
          <w:rPr>
            <w:webHidden/>
          </w:rPr>
          <w:t>5</w:t>
        </w:r>
        <w:r w:rsidR="000467FE">
          <w:rPr>
            <w:webHidden/>
          </w:rPr>
          <w:fldChar w:fldCharType="end"/>
        </w:r>
      </w:hyperlink>
    </w:p>
    <w:p w:rsidR="000467FE" w:rsidRDefault="00215B82">
      <w:pPr>
        <w:pStyle w:val="TOC2"/>
        <w:rPr>
          <w:rFonts w:asciiTheme="minorHAnsi" w:eastAsiaTheme="minorEastAsia" w:hAnsiTheme="minorHAnsi"/>
          <w:lang w:eastAsia="en-AU"/>
        </w:rPr>
      </w:pPr>
      <w:hyperlink w:anchor="_Toc455748897" w:history="1">
        <w:r w:rsidR="000467FE" w:rsidRPr="00EA2757">
          <w:rPr>
            <w:rStyle w:val="Hyperlink"/>
          </w:rPr>
          <w:t>2.3</w:t>
        </w:r>
        <w:r w:rsidR="000467FE">
          <w:rPr>
            <w:rFonts w:asciiTheme="minorHAnsi" w:eastAsiaTheme="minorEastAsia" w:hAnsiTheme="minorHAnsi"/>
            <w:lang w:eastAsia="en-AU"/>
          </w:rPr>
          <w:tab/>
        </w:r>
        <w:r w:rsidR="000467FE" w:rsidRPr="00EA2757">
          <w:rPr>
            <w:rStyle w:val="Hyperlink"/>
          </w:rPr>
          <w:t>Objectives of the Framework</w:t>
        </w:r>
        <w:r w:rsidR="000467FE">
          <w:rPr>
            <w:webHidden/>
          </w:rPr>
          <w:tab/>
        </w:r>
        <w:r w:rsidR="000467FE">
          <w:rPr>
            <w:webHidden/>
          </w:rPr>
          <w:fldChar w:fldCharType="begin"/>
        </w:r>
        <w:r w:rsidR="000467FE">
          <w:rPr>
            <w:webHidden/>
          </w:rPr>
          <w:instrText xml:space="preserve"> PAGEREF _Toc455748897 \h </w:instrText>
        </w:r>
        <w:r w:rsidR="000467FE">
          <w:rPr>
            <w:webHidden/>
          </w:rPr>
        </w:r>
        <w:r w:rsidR="000467FE">
          <w:rPr>
            <w:webHidden/>
          </w:rPr>
          <w:fldChar w:fldCharType="separate"/>
        </w:r>
        <w:r w:rsidR="000467FE">
          <w:rPr>
            <w:webHidden/>
          </w:rPr>
          <w:t>7</w:t>
        </w:r>
        <w:r w:rsidR="000467FE">
          <w:rPr>
            <w:webHidden/>
          </w:rPr>
          <w:fldChar w:fldCharType="end"/>
        </w:r>
      </w:hyperlink>
    </w:p>
    <w:p w:rsidR="000467FE" w:rsidRDefault="00215B82">
      <w:pPr>
        <w:pStyle w:val="TOC1"/>
        <w:rPr>
          <w:rFonts w:asciiTheme="minorHAnsi" w:eastAsiaTheme="minorEastAsia" w:hAnsiTheme="minorHAnsi"/>
          <w:lang w:val="en-AU" w:eastAsia="en-AU"/>
        </w:rPr>
      </w:pPr>
      <w:hyperlink w:anchor="_Toc455748898" w:history="1">
        <w:r w:rsidR="000467FE" w:rsidRPr="00EA2757">
          <w:rPr>
            <w:rStyle w:val="Hyperlink"/>
          </w:rPr>
          <w:t>3</w:t>
        </w:r>
        <w:r w:rsidR="000467FE">
          <w:rPr>
            <w:rFonts w:asciiTheme="minorHAnsi" w:eastAsiaTheme="minorEastAsia" w:hAnsiTheme="minorHAnsi"/>
            <w:lang w:val="en-AU" w:eastAsia="en-AU"/>
          </w:rPr>
          <w:tab/>
        </w:r>
        <w:r w:rsidR="000467FE" w:rsidRPr="00EA2757">
          <w:rPr>
            <w:rStyle w:val="Hyperlink"/>
          </w:rPr>
          <w:t>Issues raised during consultation</w:t>
        </w:r>
        <w:r w:rsidR="000467FE">
          <w:rPr>
            <w:webHidden/>
          </w:rPr>
          <w:tab/>
        </w:r>
        <w:r w:rsidR="000467FE">
          <w:rPr>
            <w:webHidden/>
          </w:rPr>
          <w:fldChar w:fldCharType="begin"/>
        </w:r>
        <w:r w:rsidR="000467FE">
          <w:rPr>
            <w:webHidden/>
          </w:rPr>
          <w:instrText xml:space="preserve"> PAGEREF _Toc455748898 \h </w:instrText>
        </w:r>
        <w:r w:rsidR="000467FE">
          <w:rPr>
            <w:webHidden/>
          </w:rPr>
        </w:r>
        <w:r w:rsidR="000467FE">
          <w:rPr>
            <w:webHidden/>
          </w:rPr>
          <w:fldChar w:fldCharType="separate"/>
        </w:r>
        <w:r w:rsidR="000467FE">
          <w:rPr>
            <w:webHidden/>
          </w:rPr>
          <w:t>8</w:t>
        </w:r>
        <w:r w:rsidR="000467FE">
          <w:rPr>
            <w:webHidden/>
          </w:rPr>
          <w:fldChar w:fldCharType="end"/>
        </w:r>
      </w:hyperlink>
    </w:p>
    <w:p w:rsidR="000467FE" w:rsidRDefault="00215B82">
      <w:pPr>
        <w:pStyle w:val="TOC2"/>
        <w:rPr>
          <w:rFonts w:asciiTheme="minorHAnsi" w:eastAsiaTheme="minorEastAsia" w:hAnsiTheme="minorHAnsi"/>
          <w:lang w:eastAsia="en-AU"/>
        </w:rPr>
      </w:pPr>
      <w:hyperlink w:anchor="_Toc455748899" w:history="1">
        <w:r w:rsidR="000467FE" w:rsidRPr="00EA2757">
          <w:rPr>
            <w:rStyle w:val="Hyperlink"/>
          </w:rPr>
          <w:t>3.1</w:t>
        </w:r>
        <w:r w:rsidR="000467FE">
          <w:rPr>
            <w:rFonts w:asciiTheme="minorHAnsi" w:eastAsiaTheme="minorEastAsia" w:hAnsiTheme="minorHAnsi"/>
            <w:lang w:eastAsia="en-AU"/>
          </w:rPr>
          <w:tab/>
        </w:r>
        <w:r w:rsidR="000467FE" w:rsidRPr="00EA2757">
          <w:rPr>
            <w:rStyle w:val="Hyperlink"/>
          </w:rPr>
          <w:t>Issue one: Framework principles</w:t>
        </w:r>
        <w:r w:rsidR="000467FE">
          <w:rPr>
            <w:webHidden/>
          </w:rPr>
          <w:tab/>
        </w:r>
        <w:r w:rsidR="000467FE">
          <w:rPr>
            <w:webHidden/>
          </w:rPr>
          <w:fldChar w:fldCharType="begin"/>
        </w:r>
        <w:r w:rsidR="000467FE">
          <w:rPr>
            <w:webHidden/>
          </w:rPr>
          <w:instrText xml:space="preserve"> PAGEREF _Toc455748899 \h </w:instrText>
        </w:r>
        <w:r w:rsidR="000467FE">
          <w:rPr>
            <w:webHidden/>
          </w:rPr>
        </w:r>
        <w:r w:rsidR="000467FE">
          <w:rPr>
            <w:webHidden/>
          </w:rPr>
          <w:fldChar w:fldCharType="separate"/>
        </w:r>
        <w:r w:rsidR="000467FE">
          <w:rPr>
            <w:webHidden/>
          </w:rPr>
          <w:t>8</w:t>
        </w:r>
        <w:r w:rsidR="000467FE">
          <w:rPr>
            <w:webHidden/>
          </w:rPr>
          <w:fldChar w:fldCharType="end"/>
        </w:r>
      </w:hyperlink>
    </w:p>
    <w:p w:rsidR="000467FE" w:rsidRDefault="00215B82">
      <w:pPr>
        <w:pStyle w:val="TOC3"/>
        <w:rPr>
          <w:rFonts w:asciiTheme="minorHAnsi" w:eastAsiaTheme="minorEastAsia" w:hAnsiTheme="minorHAnsi"/>
          <w:lang w:eastAsia="en-AU"/>
        </w:rPr>
      </w:pPr>
      <w:hyperlink w:anchor="_Toc455748900" w:history="1">
        <w:r w:rsidR="000467FE" w:rsidRPr="00EA2757">
          <w:rPr>
            <w:rStyle w:val="Hyperlink"/>
            <w14:scene3d>
              <w14:camera w14:prst="orthographicFront"/>
              <w14:lightRig w14:rig="threePt" w14:dir="t">
                <w14:rot w14:lat="0" w14:lon="0" w14:rev="0"/>
              </w14:lightRig>
            </w14:scene3d>
          </w:rPr>
          <w:t>3.1.1</w:t>
        </w:r>
        <w:r w:rsidR="000467FE">
          <w:rPr>
            <w:rFonts w:asciiTheme="minorHAnsi" w:eastAsiaTheme="minorEastAsia" w:hAnsiTheme="minorHAnsi"/>
            <w:lang w:eastAsia="en-AU"/>
          </w:rPr>
          <w:tab/>
        </w:r>
        <w:r w:rsidR="000467FE" w:rsidRPr="00EA2757">
          <w:rPr>
            <w:rStyle w:val="Hyperlink"/>
          </w:rPr>
          <w:t>General approach</w:t>
        </w:r>
        <w:r w:rsidR="000467FE">
          <w:rPr>
            <w:webHidden/>
          </w:rPr>
          <w:tab/>
        </w:r>
        <w:r w:rsidR="000467FE">
          <w:rPr>
            <w:webHidden/>
          </w:rPr>
          <w:fldChar w:fldCharType="begin"/>
        </w:r>
        <w:r w:rsidR="000467FE">
          <w:rPr>
            <w:webHidden/>
          </w:rPr>
          <w:instrText xml:space="preserve"> PAGEREF _Toc455748900 \h </w:instrText>
        </w:r>
        <w:r w:rsidR="000467FE">
          <w:rPr>
            <w:webHidden/>
          </w:rPr>
        </w:r>
        <w:r w:rsidR="000467FE">
          <w:rPr>
            <w:webHidden/>
          </w:rPr>
          <w:fldChar w:fldCharType="separate"/>
        </w:r>
        <w:r w:rsidR="000467FE">
          <w:rPr>
            <w:webHidden/>
          </w:rPr>
          <w:t>8</w:t>
        </w:r>
        <w:r w:rsidR="000467FE">
          <w:rPr>
            <w:webHidden/>
          </w:rPr>
          <w:fldChar w:fldCharType="end"/>
        </w:r>
      </w:hyperlink>
    </w:p>
    <w:p w:rsidR="000467FE" w:rsidRDefault="00215B82">
      <w:pPr>
        <w:pStyle w:val="TOC3"/>
        <w:rPr>
          <w:rFonts w:asciiTheme="minorHAnsi" w:eastAsiaTheme="minorEastAsia" w:hAnsiTheme="minorHAnsi"/>
          <w:lang w:eastAsia="en-AU"/>
        </w:rPr>
      </w:pPr>
      <w:hyperlink w:anchor="_Toc455748901" w:history="1">
        <w:r w:rsidR="000467FE" w:rsidRPr="00EA2757">
          <w:rPr>
            <w:rStyle w:val="Hyperlink"/>
            <w14:scene3d>
              <w14:camera w14:prst="orthographicFront"/>
              <w14:lightRig w14:rig="threePt" w14:dir="t">
                <w14:rot w14:lat="0" w14:lon="0" w14:rev="0"/>
              </w14:lightRig>
            </w14:scene3d>
          </w:rPr>
          <w:t>3.1.2</w:t>
        </w:r>
        <w:r w:rsidR="000467FE">
          <w:rPr>
            <w:rFonts w:asciiTheme="minorHAnsi" w:eastAsiaTheme="minorEastAsia" w:hAnsiTheme="minorHAnsi"/>
            <w:lang w:eastAsia="en-AU"/>
          </w:rPr>
          <w:tab/>
        </w:r>
        <w:r w:rsidR="000467FE" w:rsidRPr="00EA2757">
          <w:rPr>
            <w:rStyle w:val="Hyperlink"/>
          </w:rPr>
          <w:t>Flexibility</w:t>
        </w:r>
        <w:r w:rsidR="000467FE">
          <w:rPr>
            <w:webHidden/>
          </w:rPr>
          <w:tab/>
        </w:r>
        <w:r w:rsidR="000467FE">
          <w:rPr>
            <w:webHidden/>
          </w:rPr>
          <w:fldChar w:fldCharType="begin"/>
        </w:r>
        <w:r w:rsidR="000467FE">
          <w:rPr>
            <w:webHidden/>
          </w:rPr>
          <w:instrText xml:space="preserve"> PAGEREF _Toc455748901 \h </w:instrText>
        </w:r>
        <w:r w:rsidR="000467FE">
          <w:rPr>
            <w:webHidden/>
          </w:rPr>
        </w:r>
        <w:r w:rsidR="000467FE">
          <w:rPr>
            <w:webHidden/>
          </w:rPr>
          <w:fldChar w:fldCharType="separate"/>
        </w:r>
        <w:r w:rsidR="000467FE">
          <w:rPr>
            <w:webHidden/>
          </w:rPr>
          <w:t>9</w:t>
        </w:r>
        <w:r w:rsidR="000467FE">
          <w:rPr>
            <w:webHidden/>
          </w:rPr>
          <w:fldChar w:fldCharType="end"/>
        </w:r>
      </w:hyperlink>
    </w:p>
    <w:p w:rsidR="000467FE" w:rsidRDefault="00215B82">
      <w:pPr>
        <w:pStyle w:val="TOC3"/>
        <w:rPr>
          <w:rFonts w:asciiTheme="minorHAnsi" w:eastAsiaTheme="minorEastAsia" w:hAnsiTheme="minorHAnsi"/>
          <w:lang w:eastAsia="en-AU"/>
        </w:rPr>
      </w:pPr>
      <w:hyperlink w:anchor="_Toc455748902" w:history="1">
        <w:r w:rsidR="000467FE" w:rsidRPr="00EA2757">
          <w:rPr>
            <w:rStyle w:val="Hyperlink"/>
            <w14:scene3d>
              <w14:camera w14:prst="orthographicFront"/>
              <w14:lightRig w14:rig="threePt" w14:dir="t">
                <w14:rot w14:lat="0" w14:lon="0" w14:rev="0"/>
              </w14:lightRig>
            </w14:scene3d>
          </w:rPr>
          <w:t>3.1.3</w:t>
        </w:r>
        <w:r w:rsidR="000467FE">
          <w:rPr>
            <w:rFonts w:asciiTheme="minorHAnsi" w:eastAsiaTheme="minorEastAsia" w:hAnsiTheme="minorHAnsi"/>
            <w:lang w:eastAsia="en-AU"/>
          </w:rPr>
          <w:tab/>
        </w:r>
        <w:r w:rsidR="000467FE" w:rsidRPr="00EA2757">
          <w:rPr>
            <w:rStyle w:val="Hyperlink"/>
          </w:rPr>
          <w:t>Rural and regional customers</w:t>
        </w:r>
        <w:r w:rsidR="000467FE">
          <w:rPr>
            <w:webHidden/>
          </w:rPr>
          <w:tab/>
        </w:r>
        <w:r w:rsidR="000467FE">
          <w:rPr>
            <w:webHidden/>
          </w:rPr>
          <w:fldChar w:fldCharType="begin"/>
        </w:r>
        <w:r w:rsidR="000467FE">
          <w:rPr>
            <w:webHidden/>
          </w:rPr>
          <w:instrText xml:space="preserve"> PAGEREF _Toc455748902 \h </w:instrText>
        </w:r>
        <w:r w:rsidR="000467FE">
          <w:rPr>
            <w:webHidden/>
          </w:rPr>
        </w:r>
        <w:r w:rsidR="000467FE">
          <w:rPr>
            <w:webHidden/>
          </w:rPr>
          <w:fldChar w:fldCharType="separate"/>
        </w:r>
        <w:r w:rsidR="000467FE">
          <w:rPr>
            <w:webHidden/>
          </w:rPr>
          <w:t>10</w:t>
        </w:r>
        <w:r w:rsidR="000467FE">
          <w:rPr>
            <w:webHidden/>
          </w:rPr>
          <w:fldChar w:fldCharType="end"/>
        </w:r>
      </w:hyperlink>
    </w:p>
    <w:p w:rsidR="000467FE" w:rsidRDefault="00215B82">
      <w:pPr>
        <w:pStyle w:val="TOC3"/>
        <w:rPr>
          <w:rFonts w:asciiTheme="minorHAnsi" w:eastAsiaTheme="minorEastAsia" w:hAnsiTheme="minorHAnsi"/>
          <w:lang w:eastAsia="en-AU"/>
        </w:rPr>
      </w:pPr>
      <w:hyperlink w:anchor="_Toc455748903" w:history="1">
        <w:r w:rsidR="000467FE" w:rsidRPr="00EA2757">
          <w:rPr>
            <w:rStyle w:val="Hyperlink"/>
            <w14:scene3d>
              <w14:camera w14:prst="orthographicFront"/>
              <w14:lightRig w14:rig="threePt" w14:dir="t">
                <w14:rot w14:lat="0" w14:lon="0" w14:rev="0"/>
              </w14:lightRig>
            </w14:scene3d>
          </w:rPr>
          <w:t>3.1.4</w:t>
        </w:r>
        <w:r w:rsidR="000467FE">
          <w:rPr>
            <w:rFonts w:asciiTheme="minorHAnsi" w:eastAsiaTheme="minorEastAsia" w:hAnsiTheme="minorHAnsi"/>
            <w:lang w:eastAsia="en-AU"/>
          </w:rPr>
          <w:tab/>
        </w:r>
        <w:r w:rsidR="000467FE" w:rsidRPr="00EA2757">
          <w:rPr>
            <w:rStyle w:val="Hyperlink"/>
          </w:rPr>
          <w:t>Accountability</w:t>
        </w:r>
        <w:r w:rsidR="000467FE">
          <w:rPr>
            <w:webHidden/>
          </w:rPr>
          <w:tab/>
        </w:r>
        <w:r w:rsidR="000467FE">
          <w:rPr>
            <w:webHidden/>
          </w:rPr>
          <w:fldChar w:fldCharType="begin"/>
        </w:r>
        <w:r w:rsidR="000467FE">
          <w:rPr>
            <w:webHidden/>
          </w:rPr>
          <w:instrText xml:space="preserve"> PAGEREF _Toc455748903 \h </w:instrText>
        </w:r>
        <w:r w:rsidR="000467FE">
          <w:rPr>
            <w:webHidden/>
          </w:rPr>
        </w:r>
        <w:r w:rsidR="000467FE">
          <w:rPr>
            <w:webHidden/>
          </w:rPr>
          <w:fldChar w:fldCharType="separate"/>
        </w:r>
        <w:r w:rsidR="000467FE">
          <w:rPr>
            <w:webHidden/>
          </w:rPr>
          <w:t>11</w:t>
        </w:r>
        <w:r w:rsidR="000467FE">
          <w:rPr>
            <w:webHidden/>
          </w:rPr>
          <w:fldChar w:fldCharType="end"/>
        </w:r>
      </w:hyperlink>
    </w:p>
    <w:p w:rsidR="000467FE" w:rsidRDefault="00215B82">
      <w:pPr>
        <w:pStyle w:val="TOC2"/>
        <w:rPr>
          <w:rFonts w:asciiTheme="minorHAnsi" w:eastAsiaTheme="minorEastAsia" w:hAnsiTheme="minorHAnsi"/>
          <w:lang w:eastAsia="en-AU"/>
        </w:rPr>
      </w:pPr>
      <w:hyperlink w:anchor="_Toc455748904" w:history="1">
        <w:r w:rsidR="000467FE" w:rsidRPr="00EA2757">
          <w:rPr>
            <w:rStyle w:val="Hyperlink"/>
          </w:rPr>
          <w:t>3.2</w:t>
        </w:r>
        <w:r w:rsidR="000467FE">
          <w:rPr>
            <w:rFonts w:asciiTheme="minorHAnsi" w:eastAsiaTheme="minorEastAsia" w:hAnsiTheme="minorHAnsi"/>
            <w:lang w:eastAsia="en-AU"/>
          </w:rPr>
          <w:tab/>
        </w:r>
        <w:r w:rsidR="000467FE" w:rsidRPr="00EA2757">
          <w:rPr>
            <w:rStyle w:val="Hyperlink"/>
          </w:rPr>
          <w:t>Issue two: Framework flow chart</w:t>
        </w:r>
        <w:r w:rsidR="000467FE">
          <w:rPr>
            <w:webHidden/>
          </w:rPr>
          <w:tab/>
        </w:r>
        <w:r w:rsidR="000467FE">
          <w:rPr>
            <w:webHidden/>
          </w:rPr>
          <w:fldChar w:fldCharType="begin"/>
        </w:r>
        <w:r w:rsidR="000467FE">
          <w:rPr>
            <w:webHidden/>
          </w:rPr>
          <w:instrText xml:space="preserve"> PAGEREF _Toc455748904 \h </w:instrText>
        </w:r>
        <w:r w:rsidR="000467FE">
          <w:rPr>
            <w:webHidden/>
          </w:rPr>
        </w:r>
        <w:r w:rsidR="000467FE">
          <w:rPr>
            <w:webHidden/>
          </w:rPr>
          <w:fldChar w:fldCharType="separate"/>
        </w:r>
        <w:r w:rsidR="000467FE">
          <w:rPr>
            <w:webHidden/>
          </w:rPr>
          <w:t>11</w:t>
        </w:r>
        <w:r w:rsidR="000467FE">
          <w:rPr>
            <w:webHidden/>
          </w:rPr>
          <w:fldChar w:fldCharType="end"/>
        </w:r>
      </w:hyperlink>
    </w:p>
    <w:p w:rsidR="000467FE" w:rsidRDefault="00215B82">
      <w:pPr>
        <w:pStyle w:val="TOC3"/>
        <w:rPr>
          <w:rFonts w:asciiTheme="minorHAnsi" w:eastAsiaTheme="minorEastAsia" w:hAnsiTheme="minorHAnsi"/>
          <w:lang w:eastAsia="en-AU"/>
        </w:rPr>
      </w:pPr>
      <w:hyperlink w:anchor="_Toc455748905" w:history="1">
        <w:r w:rsidR="000467FE" w:rsidRPr="00EA2757">
          <w:rPr>
            <w:rStyle w:val="Hyperlink"/>
            <w14:scene3d>
              <w14:camera w14:prst="orthographicFront"/>
              <w14:lightRig w14:rig="threePt" w14:dir="t">
                <w14:rot w14:lat="0" w14:lon="0" w14:rev="0"/>
              </w14:lightRig>
            </w14:scene3d>
          </w:rPr>
          <w:t>3.2.1</w:t>
        </w:r>
        <w:r w:rsidR="000467FE">
          <w:rPr>
            <w:rFonts w:asciiTheme="minorHAnsi" w:eastAsiaTheme="minorEastAsia" w:hAnsiTheme="minorHAnsi"/>
            <w:lang w:eastAsia="en-AU"/>
          </w:rPr>
          <w:tab/>
        </w:r>
        <w:r w:rsidR="000467FE" w:rsidRPr="00EA2757">
          <w:rPr>
            <w:rStyle w:val="Hyperlink"/>
          </w:rPr>
          <w:t>Opening conversation: 'What can you afford?'</w:t>
        </w:r>
        <w:r w:rsidR="000467FE">
          <w:rPr>
            <w:webHidden/>
          </w:rPr>
          <w:tab/>
        </w:r>
        <w:r w:rsidR="000467FE">
          <w:rPr>
            <w:webHidden/>
          </w:rPr>
          <w:fldChar w:fldCharType="begin"/>
        </w:r>
        <w:r w:rsidR="000467FE">
          <w:rPr>
            <w:webHidden/>
          </w:rPr>
          <w:instrText xml:space="preserve"> PAGEREF _Toc455748905 \h </w:instrText>
        </w:r>
        <w:r w:rsidR="000467FE">
          <w:rPr>
            <w:webHidden/>
          </w:rPr>
        </w:r>
        <w:r w:rsidR="000467FE">
          <w:rPr>
            <w:webHidden/>
          </w:rPr>
          <w:fldChar w:fldCharType="separate"/>
        </w:r>
        <w:r w:rsidR="000467FE">
          <w:rPr>
            <w:webHidden/>
          </w:rPr>
          <w:t>11</w:t>
        </w:r>
        <w:r w:rsidR="000467FE">
          <w:rPr>
            <w:webHidden/>
          </w:rPr>
          <w:fldChar w:fldCharType="end"/>
        </w:r>
      </w:hyperlink>
    </w:p>
    <w:p w:rsidR="000467FE" w:rsidRDefault="00215B82">
      <w:pPr>
        <w:pStyle w:val="TOC3"/>
        <w:rPr>
          <w:rFonts w:asciiTheme="minorHAnsi" w:eastAsiaTheme="minorEastAsia" w:hAnsiTheme="minorHAnsi"/>
          <w:lang w:eastAsia="en-AU"/>
        </w:rPr>
      </w:pPr>
      <w:hyperlink w:anchor="_Toc455748906" w:history="1">
        <w:r w:rsidR="000467FE" w:rsidRPr="00EA2757">
          <w:rPr>
            <w:rStyle w:val="Hyperlink"/>
            <w14:scene3d>
              <w14:camera w14:prst="orthographicFront"/>
              <w14:lightRig w14:rig="threePt" w14:dir="t">
                <w14:rot w14:lat="0" w14:lon="0" w14:rev="0"/>
              </w14:lightRig>
            </w14:scene3d>
          </w:rPr>
          <w:t>3.2.2</w:t>
        </w:r>
        <w:r w:rsidR="000467FE">
          <w:rPr>
            <w:rFonts w:asciiTheme="minorHAnsi" w:eastAsiaTheme="minorEastAsia" w:hAnsiTheme="minorHAnsi"/>
            <w:lang w:eastAsia="en-AU"/>
          </w:rPr>
          <w:tab/>
        </w:r>
        <w:r w:rsidR="000467FE" w:rsidRPr="00EA2757">
          <w:rPr>
            <w:rStyle w:val="Hyperlink"/>
          </w:rPr>
          <w:t>Clarifying questions</w:t>
        </w:r>
        <w:r w:rsidR="000467FE">
          <w:rPr>
            <w:webHidden/>
          </w:rPr>
          <w:tab/>
        </w:r>
        <w:r w:rsidR="000467FE">
          <w:rPr>
            <w:webHidden/>
          </w:rPr>
          <w:fldChar w:fldCharType="begin"/>
        </w:r>
        <w:r w:rsidR="000467FE">
          <w:rPr>
            <w:webHidden/>
          </w:rPr>
          <w:instrText xml:space="preserve"> PAGEREF _Toc455748906 \h </w:instrText>
        </w:r>
        <w:r w:rsidR="000467FE">
          <w:rPr>
            <w:webHidden/>
          </w:rPr>
        </w:r>
        <w:r w:rsidR="000467FE">
          <w:rPr>
            <w:webHidden/>
          </w:rPr>
          <w:fldChar w:fldCharType="separate"/>
        </w:r>
        <w:r w:rsidR="000467FE">
          <w:rPr>
            <w:webHidden/>
          </w:rPr>
          <w:t>13</w:t>
        </w:r>
        <w:r w:rsidR="000467FE">
          <w:rPr>
            <w:webHidden/>
          </w:rPr>
          <w:fldChar w:fldCharType="end"/>
        </w:r>
      </w:hyperlink>
    </w:p>
    <w:p w:rsidR="000467FE" w:rsidRDefault="00215B82">
      <w:pPr>
        <w:pStyle w:val="TOC3"/>
        <w:rPr>
          <w:rFonts w:asciiTheme="minorHAnsi" w:eastAsiaTheme="minorEastAsia" w:hAnsiTheme="minorHAnsi"/>
          <w:lang w:eastAsia="en-AU"/>
        </w:rPr>
      </w:pPr>
      <w:hyperlink w:anchor="_Toc455748907" w:history="1">
        <w:r w:rsidR="000467FE" w:rsidRPr="00EA2757">
          <w:rPr>
            <w:rStyle w:val="Hyperlink"/>
            <w14:scene3d>
              <w14:camera w14:prst="orthographicFront"/>
              <w14:lightRig w14:rig="threePt" w14:dir="t">
                <w14:rot w14:lat="0" w14:lon="0" w14:rev="0"/>
              </w14:lightRig>
            </w14:scene3d>
          </w:rPr>
          <w:t>3.2.3</w:t>
        </w:r>
        <w:r w:rsidR="000467FE">
          <w:rPr>
            <w:rFonts w:asciiTheme="minorHAnsi" w:eastAsiaTheme="minorEastAsia" w:hAnsiTheme="minorHAnsi"/>
            <w:lang w:eastAsia="en-AU"/>
          </w:rPr>
          <w:tab/>
        </w:r>
        <w:r w:rsidR="000467FE" w:rsidRPr="00EA2757">
          <w:rPr>
            <w:rStyle w:val="Hyperlink"/>
          </w:rPr>
          <w:t>Early intervention and types of hardship assistance</w:t>
        </w:r>
        <w:r w:rsidR="000467FE">
          <w:rPr>
            <w:webHidden/>
          </w:rPr>
          <w:tab/>
        </w:r>
        <w:r w:rsidR="000467FE">
          <w:rPr>
            <w:webHidden/>
          </w:rPr>
          <w:fldChar w:fldCharType="begin"/>
        </w:r>
        <w:r w:rsidR="000467FE">
          <w:rPr>
            <w:webHidden/>
          </w:rPr>
          <w:instrText xml:space="preserve"> PAGEREF _Toc455748907 \h </w:instrText>
        </w:r>
        <w:r w:rsidR="000467FE">
          <w:rPr>
            <w:webHidden/>
          </w:rPr>
        </w:r>
        <w:r w:rsidR="000467FE">
          <w:rPr>
            <w:webHidden/>
          </w:rPr>
          <w:fldChar w:fldCharType="separate"/>
        </w:r>
        <w:r w:rsidR="000467FE">
          <w:rPr>
            <w:webHidden/>
          </w:rPr>
          <w:t>14</w:t>
        </w:r>
        <w:r w:rsidR="000467FE">
          <w:rPr>
            <w:webHidden/>
          </w:rPr>
          <w:fldChar w:fldCharType="end"/>
        </w:r>
      </w:hyperlink>
    </w:p>
    <w:p w:rsidR="000467FE" w:rsidRDefault="00215B82">
      <w:pPr>
        <w:pStyle w:val="TOC3"/>
        <w:rPr>
          <w:rFonts w:asciiTheme="minorHAnsi" w:eastAsiaTheme="minorEastAsia" w:hAnsiTheme="minorHAnsi"/>
          <w:lang w:eastAsia="en-AU"/>
        </w:rPr>
      </w:pPr>
      <w:hyperlink w:anchor="_Toc455748908" w:history="1">
        <w:r w:rsidR="000467FE" w:rsidRPr="00EA2757">
          <w:rPr>
            <w:rStyle w:val="Hyperlink"/>
            <w14:scene3d>
              <w14:camera w14:prst="orthographicFront"/>
              <w14:lightRig w14:rig="threePt" w14:dir="t">
                <w14:rot w14:lat="0" w14:lon="0" w14:rev="0"/>
              </w14:lightRig>
            </w14:scene3d>
          </w:rPr>
          <w:t>3.2.4</w:t>
        </w:r>
        <w:r w:rsidR="000467FE">
          <w:rPr>
            <w:rFonts w:asciiTheme="minorHAnsi" w:eastAsiaTheme="minorEastAsia" w:hAnsiTheme="minorHAnsi"/>
            <w:lang w:eastAsia="en-AU"/>
          </w:rPr>
          <w:tab/>
        </w:r>
        <w:r w:rsidR="000467FE" w:rsidRPr="00EA2757">
          <w:rPr>
            <w:rStyle w:val="Hyperlink"/>
          </w:rPr>
          <w:t>Levels of assistance – options A, B and C</w:t>
        </w:r>
        <w:r w:rsidR="000467FE">
          <w:rPr>
            <w:webHidden/>
          </w:rPr>
          <w:tab/>
        </w:r>
        <w:r w:rsidR="000467FE">
          <w:rPr>
            <w:webHidden/>
          </w:rPr>
          <w:fldChar w:fldCharType="begin"/>
        </w:r>
        <w:r w:rsidR="000467FE">
          <w:rPr>
            <w:webHidden/>
          </w:rPr>
          <w:instrText xml:space="preserve"> PAGEREF _Toc455748908 \h </w:instrText>
        </w:r>
        <w:r w:rsidR="000467FE">
          <w:rPr>
            <w:webHidden/>
          </w:rPr>
        </w:r>
        <w:r w:rsidR="000467FE">
          <w:rPr>
            <w:webHidden/>
          </w:rPr>
          <w:fldChar w:fldCharType="separate"/>
        </w:r>
        <w:r w:rsidR="000467FE">
          <w:rPr>
            <w:webHidden/>
          </w:rPr>
          <w:t>14</w:t>
        </w:r>
        <w:r w:rsidR="000467FE">
          <w:rPr>
            <w:webHidden/>
          </w:rPr>
          <w:fldChar w:fldCharType="end"/>
        </w:r>
      </w:hyperlink>
    </w:p>
    <w:p w:rsidR="000467FE" w:rsidRDefault="00215B82">
      <w:pPr>
        <w:pStyle w:val="TOC3"/>
        <w:rPr>
          <w:rFonts w:asciiTheme="minorHAnsi" w:eastAsiaTheme="minorEastAsia" w:hAnsiTheme="minorHAnsi"/>
          <w:lang w:eastAsia="en-AU"/>
        </w:rPr>
      </w:pPr>
      <w:hyperlink w:anchor="_Toc455748909" w:history="1">
        <w:r w:rsidR="000467FE" w:rsidRPr="00EA2757">
          <w:rPr>
            <w:rStyle w:val="Hyperlink"/>
            <w14:scene3d>
              <w14:camera w14:prst="orthographicFront"/>
              <w14:lightRig w14:rig="threePt" w14:dir="t">
                <w14:rot w14:lat="0" w14:lon="0" w14:rev="0"/>
              </w14:lightRig>
            </w14:scene3d>
          </w:rPr>
          <w:t>3.2.5</w:t>
        </w:r>
        <w:r w:rsidR="000467FE">
          <w:rPr>
            <w:rFonts w:asciiTheme="minorHAnsi" w:eastAsiaTheme="minorEastAsia" w:hAnsiTheme="minorHAnsi"/>
            <w:lang w:eastAsia="en-AU"/>
          </w:rPr>
          <w:tab/>
        </w:r>
        <w:r w:rsidR="000467FE" w:rsidRPr="00EA2757">
          <w:rPr>
            <w:rStyle w:val="Hyperlink"/>
          </w:rPr>
          <w:t>Financial counsellors</w:t>
        </w:r>
        <w:r w:rsidR="000467FE">
          <w:rPr>
            <w:webHidden/>
          </w:rPr>
          <w:tab/>
        </w:r>
        <w:r w:rsidR="000467FE">
          <w:rPr>
            <w:webHidden/>
          </w:rPr>
          <w:fldChar w:fldCharType="begin"/>
        </w:r>
        <w:r w:rsidR="000467FE">
          <w:rPr>
            <w:webHidden/>
          </w:rPr>
          <w:instrText xml:space="preserve"> PAGEREF _Toc455748909 \h </w:instrText>
        </w:r>
        <w:r w:rsidR="000467FE">
          <w:rPr>
            <w:webHidden/>
          </w:rPr>
        </w:r>
        <w:r w:rsidR="000467FE">
          <w:rPr>
            <w:webHidden/>
          </w:rPr>
          <w:fldChar w:fldCharType="separate"/>
        </w:r>
        <w:r w:rsidR="000467FE">
          <w:rPr>
            <w:webHidden/>
          </w:rPr>
          <w:t>15</w:t>
        </w:r>
        <w:r w:rsidR="000467FE">
          <w:rPr>
            <w:webHidden/>
          </w:rPr>
          <w:fldChar w:fldCharType="end"/>
        </w:r>
      </w:hyperlink>
    </w:p>
    <w:p w:rsidR="000467FE" w:rsidRDefault="00215B82">
      <w:pPr>
        <w:pStyle w:val="TOC2"/>
        <w:rPr>
          <w:rFonts w:asciiTheme="minorHAnsi" w:eastAsiaTheme="minorEastAsia" w:hAnsiTheme="minorHAnsi"/>
          <w:lang w:eastAsia="en-AU"/>
        </w:rPr>
      </w:pPr>
      <w:hyperlink w:anchor="_Toc455748910" w:history="1">
        <w:r w:rsidR="000467FE" w:rsidRPr="00EA2757">
          <w:rPr>
            <w:rStyle w:val="Hyperlink"/>
          </w:rPr>
          <w:t>3.3</w:t>
        </w:r>
        <w:r w:rsidR="000467FE">
          <w:rPr>
            <w:rFonts w:asciiTheme="minorHAnsi" w:eastAsiaTheme="minorEastAsia" w:hAnsiTheme="minorHAnsi"/>
            <w:lang w:eastAsia="en-AU"/>
          </w:rPr>
          <w:tab/>
        </w:r>
        <w:r w:rsidR="000467FE" w:rsidRPr="00EA2757">
          <w:rPr>
            <w:rStyle w:val="Hyperlink"/>
          </w:rPr>
          <w:t>Issue three: Inactive account customers</w:t>
        </w:r>
        <w:r w:rsidR="000467FE">
          <w:rPr>
            <w:webHidden/>
          </w:rPr>
          <w:tab/>
        </w:r>
        <w:r w:rsidR="000467FE">
          <w:rPr>
            <w:webHidden/>
          </w:rPr>
          <w:fldChar w:fldCharType="begin"/>
        </w:r>
        <w:r w:rsidR="000467FE">
          <w:rPr>
            <w:webHidden/>
          </w:rPr>
          <w:instrText xml:space="preserve"> PAGEREF _Toc455748910 \h </w:instrText>
        </w:r>
        <w:r w:rsidR="000467FE">
          <w:rPr>
            <w:webHidden/>
          </w:rPr>
        </w:r>
        <w:r w:rsidR="000467FE">
          <w:rPr>
            <w:webHidden/>
          </w:rPr>
          <w:fldChar w:fldCharType="separate"/>
        </w:r>
        <w:r w:rsidR="000467FE">
          <w:rPr>
            <w:webHidden/>
          </w:rPr>
          <w:t>15</w:t>
        </w:r>
        <w:r w:rsidR="000467FE">
          <w:rPr>
            <w:webHidden/>
          </w:rPr>
          <w:fldChar w:fldCharType="end"/>
        </w:r>
      </w:hyperlink>
    </w:p>
    <w:p w:rsidR="000467FE" w:rsidRDefault="00215B82">
      <w:pPr>
        <w:pStyle w:val="TOC2"/>
        <w:rPr>
          <w:rFonts w:asciiTheme="minorHAnsi" w:eastAsiaTheme="minorEastAsia" w:hAnsiTheme="minorHAnsi"/>
          <w:lang w:eastAsia="en-AU"/>
        </w:rPr>
      </w:pPr>
      <w:hyperlink w:anchor="_Toc455748911" w:history="1">
        <w:r w:rsidR="000467FE" w:rsidRPr="00EA2757">
          <w:rPr>
            <w:rStyle w:val="Hyperlink"/>
          </w:rPr>
          <w:t>3.4</w:t>
        </w:r>
        <w:r w:rsidR="000467FE">
          <w:rPr>
            <w:rFonts w:asciiTheme="minorHAnsi" w:eastAsiaTheme="minorEastAsia" w:hAnsiTheme="minorHAnsi"/>
            <w:lang w:eastAsia="en-AU"/>
          </w:rPr>
          <w:tab/>
        </w:r>
        <w:r w:rsidR="000467FE" w:rsidRPr="00EA2757">
          <w:rPr>
            <w:rStyle w:val="Hyperlink"/>
          </w:rPr>
          <w:t>Issue four: Small business customers</w:t>
        </w:r>
        <w:r w:rsidR="000467FE">
          <w:rPr>
            <w:webHidden/>
          </w:rPr>
          <w:tab/>
        </w:r>
        <w:r w:rsidR="000467FE">
          <w:rPr>
            <w:webHidden/>
          </w:rPr>
          <w:fldChar w:fldCharType="begin"/>
        </w:r>
        <w:r w:rsidR="000467FE">
          <w:rPr>
            <w:webHidden/>
          </w:rPr>
          <w:instrText xml:space="preserve"> PAGEREF _Toc455748911 \h </w:instrText>
        </w:r>
        <w:r w:rsidR="000467FE">
          <w:rPr>
            <w:webHidden/>
          </w:rPr>
        </w:r>
        <w:r w:rsidR="000467FE">
          <w:rPr>
            <w:webHidden/>
          </w:rPr>
          <w:fldChar w:fldCharType="separate"/>
        </w:r>
        <w:r w:rsidR="000467FE">
          <w:rPr>
            <w:webHidden/>
          </w:rPr>
          <w:t>16</w:t>
        </w:r>
        <w:r w:rsidR="000467FE">
          <w:rPr>
            <w:webHidden/>
          </w:rPr>
          <w:fldChar w:fldCharType="end"/>
        </w:r>
      </w:hyperlink>
    </w:p>
    <w:p w:rsidR="000467FE" w:rsidRDefault="00215B82">
      <w:pPr>
        <w:pStyle w:val="TOC2"/>
        <w:rPr>
          <w:rFonts w:asciiTheme="minorHAnsi" w:eastAsiaTheme="minorEastAsia" w:hAnsiTheme="minorHAnsi"/>
          <w:lang w:eastAsia="en-AU"/>
        </w:rPr>
      </w:pPr>
      <w:hyperlink w:anchor="_Toc455748912" w:history="1">
        <w:r w:rsidR="000467FE" w:rsidRPr="00EA2757">
          <w:rPr>
            <w:rStyle w:val="Hyperlink"/>
          </w:rPr>
          <w:t>3.5</w:t>
        </w:r>
        <w:r w:rsidR="000467FE">
          <w:rPr>
            <w:rFonts w:asciiTheme="minorHAnsi" w:eastAsiaTheme="minorEastAsia" w:hAnsiTheme="minorHAnsi"/>
            <w:lang w:eastAsia="en-AU"/>
          </w:rPr>
          <w:tab/>
        </w:r>
        <w:r w:rsidR="000467FE" w:rsidRPr="00EA2757">
          <w:rPr>
            <w:rStyle w:val="Hyperlink"/>
          </w:rPr>
          <w:t>Issue five: Published list of retailers</w:t>
        </w:r>
        <w:r w:rsidR="000467FE">
          <w:rPr>
            <w:webHidden/>
          </w:rPr>
          <w:tab/>
        </w:r>
        <w:r w:rsidR="000467FE">
          <w:rPr>
            <w:webHidden/>
          </w:rPr>
          <w:fldChar w:fldCharType="begin"/>
        </w:r>
        <w:r w:rsidR="000467FE">
          <w:rPr>
            <w:webHidden/>
          </w:rPr>
          <w:instrText xml:space="preserve"> PAGEREF _Toc455748912 \h </w:instrText>
        </w:r>
        <w:r w:rsidR="000467FE">
          <w:rPr>
            <w:webHidden/>
          </w:rPr>
        </w:r>
        <w:r w:rsidR="000467FE">
          <w:rPr>
            <w:webHidden/>
          </w:rPr>
          <w:fldChar w:fldCharType="separate"/>
        </w:r>
        <w:r w:rsidR="000467FE">
          <w:rPr>
            <w:webHidden/>
          </w:rPr>
          <w:t>18</w:t>
        </w:r>
        <w:r w:rsidR="000467FE">
          <w:rPr>
            <w:webHidden/>
          </w:rPr>
          <w:fldChar w:fldCharType="end"/>
        </w:r>
      </w:hyperlink>
    </w:p>
    <w:p w:rsidR="000467FE" w:rsidRDefault="00215B82">
      <w:pPr>
        <w:pStyle w:val="TOC2"/>
        <w:rPr>
          <w:rFonts w:asciiTheme="minorHAnsi" w:eastAsiaTheme="minorEastAsia" w:hAnsiTheme="minorHAnsi"/>
          <w:lang w:eastAsia="en-AU"/>
        </w:rPr>
      </w:pPr>
      <w:hyperlink w:anchor="_Toc455748913" w:history="1">
        <w:r w:rsidR="000467FE" w:rsidRPr="00EA2757">
          <w:rPr>
            <w:rStyle w:val="Hyperlink"/>
          </w:rPr>
          <w:t>3.6</w:t>
        </w:r>
        <w:r w:rsidR="000467FE">
          <w:rPr>
            <w:rFonts w:asciiTheme="minorHAnsi" w:eastAsiaTheme="minorEastAsia" w:hAnsiTheme="minorHAnsi"/>
            <w:lang w:eastAsia="en-AU"/>
          </w:rPr>
          <w:tab/>
        </w:r>
        <w:r w:rsidR="000467FE" w:rsidRPr="00EA2757">
          <w:rPr>
            <w:rStyle w:val="Hyperlink"/>
          </w:rPr>
          <w:t>Issue six: Retailer implementation</w:t>
        </w:r>
        <w:r w:rsidR="000467FE">
          <w:rPr>
            <w:webHidden/>
          </w:rPr>
          <w:tab/>
        </w:r>
        <w:r w:rsidR="000467FE">
          <w:rPr>
            <w:webHidden/>
          </w:rPr>
          <w:fldChar w:fldCharType="begin"/>
        </w:r>
        <w:r w:rsidR="000467FE">
          <w:rPr>
            <w:webHidden/>
          </w:rPr>
          <w:instrText xml:space="preserve"> PAGEREF _Toc455748913 \h </w:instrText>
        </w:r>
        <w:r w:rsidR="000467FE">
          <w:rPr>
            <w:webHidden/>
          </w:rPr>
        </w:r>
        <w:r w:rsidR="000467FE">
          <w:rPr>
            <w:webHidden/>
          </w:rPr>
          <w:fldChar w:fldCharType="separate"/>
        </w:r>
        <w:r w:rsidR="000467FE">
          <w:rPr>
            <w:webHidden/>
          </w:rPr>
          <w:t>20</w:t>
        </w:r>
        <w:r w:rsidR="000467FE">
          <w:rPr>
            <w:webHidden/>
          </w:rPr>
          <w:fldChar w:fldCharType="end"/>
        </w:r>
      </w:hyperlink>
    </w:p>
    <w:p w:rsidR="000467FE" w:rsidRDefault="00215B82">
      <w:pPr>
        <w:pStyle w:val="TOC2"/>
        <w:rPr>
          <w:rFonts w:asciiTheme="minorHAnsi" w:eastAsiaTheme="minorEastAsia" w:hAnsiTheme="minorHAnsi"/>
          <w:lang w:eastAsia="en-AU"/>
        </w:rPr>
      </w:pPr>
      <w:hyperlink w:anchor="_Toc455748914" w:history="1">
        <w:r w:rsidR="000467FE" w:rsidRPr="00EA2757">
          <w:rPr>
            <w:rStyle w:val="Hyperlink"/>
          </w:rPr>
          <w:t>3.7</w:t>
        </w:r>
        <w:r w:rsidR="000467FE">
          <w:rPr>
            <w:rFonts w:asciiTheme="minorHAnsi" w:eastAsiaTheme="minorEastAsia" w:hAnsiTheme="minorHAnsi"/>
            <w:lang w:eastAsia="en-AU"/>
          </w:rPr>
          <w:tab/>
        </w:r>
        <w:r w:rsidR="000467FE" w:rsidRPr="00EA2757">
          <w:rPr>
            <w:rStyle w:val="Hyperlink"/>
          </w:rPr>
          <w:t>Issue seven: Processes for retailers not meeting Framework standards</w:t>
        </w:r>
        <w:r w:rsidR="000467FE">
          <w:rPr>
            <w:webHidden/>
          </w:rPr>
          <w:tab/>
        </w:r>
        <w:r w:rsidR="000467FE">
          <w:rPr>
            <w:webHidden/>
          </w:rPr>
          <w:fldChar w:fldCharType="begin"/>
        </w:r>
        <w:r w:rsidR="000467FE">
          <w:rPr>
            <w:webHidden/>
          </w:rPr>
          <w:instrText xml:space="preserve"> PAGEREF _Toc455748914 \h </w:instrText>
        </w:r>
        <w:r w:rsidR="000467FE">
          <w:rPr>
            <w:webHidden/>
          </w:rPr>
        </w:r>
        <w:r w:rsidR="000467FE">
          <w:rPr>
            <w:webHidden/>
          </w:rPr>
          <w:fldChar w:fldCharType="separate"/>
        </w:r>
        <w:r w:rsidR="000467FE">
          <w:rPr>
            <w:webHidden/>
          </w:rPr>
          <w:t>21</w:t>
        </w:r>
        <w:r w:rsidR="000467FE">
          <w:rPr>
            <w:webHidden/>
          </w:rPr>
          <w:fldChar w:fldCharType="end"/>
        </w:r>
      </w:hyperlink>
    </w:p>
    <w:p w:rsidR="000467FE" w:rsidRDefault="00215B82">
      <w:pPr>
        <w:pStyle w:val="TOC2"/>
        <w:rPr>
          <w:rFonts w:asciiTheme="minorHAnsi" w:eastAsiaTheme="minorEastAsia" w:hAnsiTheme="minorHAnsi"/>
          <w:lang w:eastAsia="en-AU"/>
        </w:rPr>
      </w:pPr>
      <w:hyperlink w:anchor="_Toc455748915" w:history="1">
        <w:r w:rsidR="000467FE" w:rsidRPr="00EA2757">
          <w:rPr>
            <w:rStyle w:val="Hyperlink"/>
          </w:rPr>
          <w:t>3.8</w:t>
        </w:r>
        <w:r w:rsidR="000467FE">
          <w:rPr>
            <w:rFonts w:asciiTheme="minorHAnsi" w:eastAsiaTheme="minorEastAsia" w:hAnsiTheme="minorHAnsi"/>
            <w:lang w:eastAsia="en-AU"/>
          </w:rPr>
          <w:tab/>
        </w:r>
        <w:r w:rsidR="000467FE" w:rsidRPr="00EA2757">
          <w:rPr>
            <w:rStyle w:val="Hyperlink"/>
          </w:rPr>
          <w:t>Issue eight: Measuring the impact</w:t>
        </w:r>
        <w:r w:rsidR="000467FE">
          <w:rPr>
            <w:webHidden/>
          </w:rPr>
          <w:tab/>
        </w:r>
        <w:r w:rsidR="000467FE">
          <w:rPr>
            <w:webHidden/>
          </w:rPr>
          <w:fldChar w:fldCharType="begin"/>
        </w:r>
        <w:r w:rsidR="000467FE">
          <w:rPr>
            <w:webHidden/>
          </w:rPr>
          <w:instrText xml:space="preserve"> PAGEREF _Toc455748915 \h </w:instrText>
        </w:r>
        <w:r w:rsidR="000467FE">
          <w:rPr>
            <w:webHidden/>
          </w:rPr>
        </w:r>
        <w:r w:rsidR="000467FE">
          <w:rPr>
            <w:webHidden/>
          </w:rPr>
          <w:fldChar w:fldCharType="separate"/>
        </w:r>
        <w:r w:rsidR="000467FE">
          <w:rPr>
            <w:webHidden/>
          </w:rPr>
          <w:t>22</w:t>
        </w:r>
        <w:r w:rsidR="000467FE">
          <w:rPr>
            <w:webHidden/>
          </w:rPr>
          <w:fldChar w:fldCharType="end"/>
        </w:r>
      </w:hyperlink>
    </w:p>
    <w:p w:rsidR="000467FE" w:rsidRDefault="00215B82">
      <w:pPr>
        <w:pStyle w:val="TOC2"/>
        <w:rPr>
          <w:rFonts w:asciiTheme="minorHAnsi" w:eastAsiaTheme="minorEastAsia" w:hAnsiTheme="minorHAnsi"/>
          <w:lang w:eastAsia="en-AU"/>
        </w:rPr>
      </w:pPr>
      <w:hyperlink w:anchor="_Toc455748916" w:history="1">
        <w:r w:rsidR="000467FE" w:rsidRPr="00EA2757">
          <w:rPr>
            <w:rStyle w:val="Hyperlink"/>
          </w:rPr>
          <w:t>3.9</w:t>
        </w:r>
        <w:r w:rsidR="000467FE">
          <w:rPr>
            <w:rFonts w:asciiTheme="minorHAnsi" w:eastAsiaTheme="minorEastAsia" w:hAnsiTheme="minorHAnsi"/>
            <w:lang w:eastAsia="en-AU"/>
          </w:rPr>
          <w:tab/>
        </w:r>
        <w:r w:rsidR="000467FE" w:rsidRPr="00EA2757">
          <w:rPr>
            <w:rStyle w:val="Hyperlink"/>
          </w:rPr>
          <w:t>Issue nine: Public release and commencement date</w:t>
        </w:r>
        <w:r w:rsidR="000467FE">
          <w:rPr>
            <w:webHidden/>
          </w:rPr>
          <w:tab/>
        </w:r>
        <w:r w:rsidR="000467FE">
          <w:rPr>
            <w:webHidden/>
          </w:rPr>
          <w:fldChar w:fldCharType="begin"/>
        </w:r>
        <w:r w:rsidR="000467FE">
          <w:rPr>
            <w:webHidden/>
          </w:rPr>
          <w:instrText xml:space="preserve"> PAGEREF _Toc455748916 \h </w:instrText>
        </w:r>
        <w:r w:rsidR="000467FE">
          <w:rPr>
            <w:webHidden/>
          </w:rPr>
        </w:r>
        <w:r w:rsidR="000467FE">
          <w:rPr>
            <w:webHidden/>
          </w:rPr>
          <w:fldChar w:fldCharType="separate"/>
        </w:r>
        <w:r w:rsidR="000467FE">
          <w:rPr>
            <w:webHidden/>
          </w:rPr>
          <w:t>22</w:t>
        </w:r>
        <w:r w:rsidR="000467FE">
          <w:rPr>
            <w:webHidden/>
          </w:rPr>
          <w:fldChar w:fldCharType="end"/>
        </w:r>
      </w:hyperlink>
    </w:p>
    <w:p w:rsidR="001D027A" w:rsidRDefault="001D027A" w:rsidP="001D027A">
      <w:pPr>
        <w:sectPr w:rsidR="001D027A" w:rsidSect="00B10344">
          <w:footerReference w:type="default" r:id="rId12"/>
          <w:pgSz w:w="11906" w:h="16838" w:code="9"/>
          <w:pgMar w:top="1440" w:right="1700" w:bottom="1582" w:left="1729" w:header="720" w:footer="1009" w:gutter="0"/>
          <w:pgNumType w:fmt="lowerRoman"/>
          <w:cols w:space="720"/>
          <w:docGrid w:linePitch="326"/>
        </w:sectPr>
      </w:pPr>
      <w:r>
        <w:fldChar w:fldCharType="end"/>
      </w:r>
      <w:bookmarkStart w:id="1" w:name="_Toc213047617"/>
    </w:p>
    <w:p w:rsidR="001D027A" w:rsidRDefault="001D027A" w:rsidP="001D027A">
      <w:pPr>
        <w:pStyle w:val="Heading1"/>
        <w:pageBreakBefore/>
        <w:numPr>
          <w:ilvl w:val="0"/>
          <w:numId w:val="38"/>
        </w:numPr>
        <w:tabs>
          <w:tab w:val="left" w:pos="680"/>
        </w:tabs>
      </w:pPr>
      <w:bookmarkStart w:id="2" w:name="_Toc455748893"/>
      <w:bookmarkEnd w:id="1"/>
      <w:r>
        <w:lastRenderedPageBreak/>
        <w:t>Overview</w:t>
      </w:r>
      <w:bookmarkEnd w:id="2"/>
    </w:p>
    <w:p w:rsidR="001D027A" w:rsidRPr="007E4300" w:rsidRDefault="001D027A" w:rsidP="001D027A">
      <w:r w:rsidRPr="007E4300">
        <w:t xml:space="preserve">Payment plans are one of the main ways </w:t>
      </w:r>
      <w:r w:rsidR="00EF763F">
        <w:t xml:space="preserve">energy </w:t>
      </w:r>
      <w:r w:rsidRPr="007E4300">
        <w:t xml:space="preserve">retailers can help customers who are experiencing financial difficulties to better manage their energy bills. Under the National Energy Retail Law </w:t>
      </w:r>
      <w:r>
        <w:t xml:space="preserve">(NERL) </w:t>
      </w:r>
      <w:r w:rsidRPr="007E4300">
        <w:t xml:space="preserve">and </w:t>
      </w:r>
      <w:r>
        <w:t xml:space="preserve">National Energy Retail </w:t>
      </w:r>
      <w:r w:rsidRPr="007E4300">
        <w:t>Rules</w:t>
      </w:r>
      <w:r>
        <w:t xml:space="preserve"> (NERR)</w:t>
      </w:r>
      <w:r w:rsidRPr="007E4300">
        <w:t xml:space="preserve">, energy retailers must </w:t>
      </w:r>
      <w:r>
        <w:t xml:space="preserve">have </w:t>
      </w:r>
      <w:r w:rsidRPr="007E4300">
        <w:t>regard to a customer’s capacity to pay</w:t>
      </w:r>
      <w:r>
        <w:t>,</w:t>
      </w:r>
      <w:r w:rsidRPr="007E4300">
        <w:t xml:space="preserve"> any amount they owe, and how much energy they expect to use over the next year</w:t>
      </w:r>
      <w:r>
        <w:t xml:space="preserve"> when </w:t>
      </w:r>
      <w:r w:rsidRPr="007E4300">
        <w:t>establish</w:t>
      </w:r>
      <w:r>
        <w:t>ing a</w:t>
      </w:r>
      <w:r w:rsidRPr="007E4300">
        <w:t xml:space="preserve"> payment plans.</w:t>
      </w:r>
    </w:p>
    <w:p w:rsidR="001D027A" w:rsidRPr="007E4300" w:rsidRDefault="001D027A" w:rsidP="001D027A">
      <w:r w:rsidRPr="007E4300">
        <w:t>The A</w:t>
      </w:r>
      <w:r>
        <w:t xml:space="preserve">ustralian Energy </w:t>
      </w:r>
      <w:r w:rsidRPr="007E4300">
        <w:t>R</w:t>
      </w:r>
      <w:r>
        <w:t>egulator (AER)</w:t>
      </w:r>
      <w:r w:rsidRPr="007E4300">
        <w:t xml:space="preserve"> has worked collaboratively with a wide range of stakeholders</w:t>
      </w:r>
      <w:r>
        <w:t>, including retailers, financial counsellors and other consumer representatives,</w:t>
      </w:r>
      <w:r w:rsidRPr="007E4300">
        <w:t xml:space="preserve"> to develop this good practice </w:t>
      </w:r>
      <w:r w:rsidR="003A59E4">
        <w:t>Framework</w:t>
      </w:r>
      <w:r w:rsidRPr="007E4300">
        <w:t xml:space="preserve"> for assessing customers’ capacity to pay</w:t>
      </w:r>
      <w:r>
        <w:t>.</w:t>
      </w:r>
      <w:r w:rsidRPr="007E4300">
        <w:t xml:space="preserve"> </w:t>
      </w:r>
    </w:p>
    <w:p w:rsidR="001D027A" w:rsidRDefault="001D027A" w:rsidP="001D027A">
      <w:r w:rsidRPr="007E4300">
        <w:t xml:space="preserve">The </w:t>
      </w:r>
      <w:r>
        <w:t xml:space="preserve">Sustainable Payment Plans </w:t>
      </w:r>
      <w:r w:rsidR="003A59E4">
        <w:t>Framework</w:t>
      </w:r>
      <w:r w:rsidRPr="007E4300">
        <w:t xml:space="preserve"> </w:t>
      </w:r>
      <w:r>
        <w:t>(</w:t>
      </w:r>
      <w:r w:rsidR="003A59E4">
        <w:t>Framework</w:t>
      </w:r>
      <w:r>
        <w:t xml:space="preserve">) </w:t>
      </w:r>
      <w:r w:rsidRPr="007E4300">
        <w:t>is intended to improve the quality of capacity to pay conversations while still allowing flexibility</w:t>
      </w:r>
      <w:r w:rsidR="00EF763F">
        <w:t xml:space="preserve"> of approach</w:t>
      </w:r>
      <w:r w:rsidRPr="007E4300">
        <w:t xml:space="preserve"> and encouraging retailers to offer extra assistance to customers. Its aim is to achieve better outcomes by helping customers and retailers agree to payment plans that are affordable and sustainable.</w:t>
      </w:r>
    </w:p>
    <w:p w:rsidR="001D027A" w:rsidRDefault="001D027A" w:rsidP="001D027A">
      <w:pPr>
        <w:pStyle w:val="Heading1"/>
        <w:pageBreakBefore/>
        <w:numPr>
          <w:ilvl w:val="0"/>
          <w:numId w:val="38"/>
        </w:numPr>
        <w:tabs>
          <w:tab w:val="left" w:pos="680"/>
        </w:tabs>
      </w:pPr>
      <w:bookmarkStart w:id="3" w:name="_Toc455748894"/>
      <w:r>
        <w:lastRenderedPageBreak/>
        <w:t>Background</w:t>
      </w:r>
      <w:bookmarkEnd w:id="3"/>
    </w:p>
    <w:p w:rsidR="001D027A" w:rsidRPr="00C52A2F" w:rsidRDefault="001D027A" w:rsidP="001D027A">
      <w:pPr>
        <w:pStyle w:val="Heading2"/>
        <w:numPr>
          <w:ilvl w:val="1"/>
          <w:numId w:val="38"/>
        </w:numPr>
        <w:tabs>
          <w:tab w:val="left" w:pos="680"/>
        </w:tabs>
      </w:pPr>
      <w:bookmarkStart w:id="4" w:name="_Toc455748895"/>
      <w:r>
        <w:t>AER hardship review</w:t>
      </w:r>
      <w:bookmarkEnd w:id="4"/>
    </w:p>
    <w:p w:rsidR="001D027A" w:rsidRPr="00DE07E3" w:rsidRDefault="001D027A" w:rsidP="001D027A">
      <w:r w:rsidRPr="00DE07E3">
        <w:t xml:space="preserve">In January 2015, </w:t>
      </w:r>
      <w:r>
        <w:t>we</w:t>
      </w:r>
      <w:r w:rsidRPr="00DE07E3">
        <w:t xml:space="preserve"> published a </w:t>
      </w:r>
      <w:r w:rsidRPr="002C3C22">
        <w:t>review</w:t>
      </w:r>
      <w:r w:rsidRPr="00DE07E3">
        <w:t xml:space="preserve"> of energy retailers’ customer hardship policies and practices</w:t>
      </w:r>
      <w:r>
        <w:t>.</w:t>
      </w:r>
      <w:r>
        <w:rPr>
          <w:rStyle w:val="FootnoteReference"/>
        </w:rPr>
        <w:footnoteReference w:id="1"/>
      </w:r>
    </w:p>
    <w:p w:rsidR="001D027A" w:rsidRPr="00DE07E3" w:rsidRDefault="001D027A" w:rsidP="001D027A">
      <w:r w:rsidRPr="00DE07E3">
        <w:t>The review made a number of findings and observations about energy retailers’ approach</w:t>
      </w:r>
      <w:r>
        <w:t>es</w:t>
      </w:r>
      <w:r w:rsidRPr="00DE07E3">
        <w:t xml:space="preserve"> to dealing with customers experiencing payment difficulties, including how they approached establishing payment plans with customers.</w:t>
      </w:r>
    </w:p>
    <w:p w:rsidR="001D027A" w:rsidRDefault="001D027A" w:rsidP="001D027A">
      <w:r w:rsidRPr="00DE07E3">
        <w:t>These included numerous examples of good practice in regard to some retailers’ approaches to negotiating affordable repayment amounts with customers, but also practices and attitudes that contributed to poor consumer outcomes.</w:t>
      </w:r>
    </w:p>
    <w:p w:rsidR="001D027A" w:rsidRDefault="001D027A" w:rsidP="001D027A">
      <w:r w:rsidRPr="00EA2F5B">
        <w:t xml:space="preserve">The review identified a </w:t>
      </w:r>
      <w:r>
        <w:t xml:space="preserve">range </w:t>
      </w:r>
      <w:r w:rsidRPr="00EA2F5B">
        <w:t xml:space="preserve">of </w:t>
      </w:r>
      <w:r w:rsidR="009F6400">
        <w:t xml:space="preserve">issues </w:t>
      </w:r>
      <w:r>
        <w:t>that had a negative</w:t>
      </w:r>
      <w:r w:rsidRPr="00EA2F5B">
        <w:t xml:space="preserve"> impact on outcomes for consumers</w:t>
      </w:r>
      <w:r>
        <w:t>, including:</w:t>
      </w:r>
    </w:p>
    <w:p w:rsidR="001D027A" w:rsidRPr="0062553E" w:rsidRDefault="001D027A" w:rsidP="001D027A">
      <w:pPr>
        <w:pStyle w:val="Bulletpoint"/>
        <w:ind w:left="357" w:hanging="357"/>
      </w:pPr>
      <w:r>
        <w:t>customers feeling pressured to agree to</w:t>
      </w:r>
      <w:r w:rsidRPr="0062553E">
        <w:t xml:space="preserve"> retailers’ proposed repayment amounts, even if they could not afford them</w:t>
      </w:r>
    </w:p>
    <w:p w:rsidR="001D027A" w:rsidRPr="0062553E" w:rsidRDefault="001D027A" w:rsidP="001D027A">
      <w:pPr>
        <w:pStyle w:val="Bulletpoint"/>
        <w:ind w:left="357" w:hanging="357"/>
      </w:pPr>
      <w:r>
        <w:t xml:space="preserve">retailers pushing customers to meet their current consumption </w:t>
      </w:r>
      <w:r w:rsidRPr="0062553E">
        <w:t>costs even if the customer said they could not afford that amount</w:t>
      </w:r>
      <w:r>
        <w:t>, and</w:t>
      </w:r>
    </w:p>
    <w:p w:rsidR="001D027A" w:rsidRPr="0062553E" w:rsidRDefault="001D027A" w:rsidP="001D027A">
      <w:pPr>
        <w:pStyle w:val="Bulletpoint"/>
        <w:ind w:left="357" w:hanging="357"/>
      </w:pPr>
      <w:r>
        <w:t>retailer uncertainty about processes for dealing with payment plan customers, such as requiring customers to see a financial counsellor as a pre-condition of accessing a payment plan.</w:t>
      </w:r>
    </w:p>
    <w:p w:rsidR="001D027A" w:rsidRPr="002C6E92" w:rsidRDefault="001D027A" w:rsidP="001D027A">
      <w:r w:rsidRPr="00DE07E3">
        <w:t xml:space="preserve">The report noted that </w:t>
      </w:r>
      <w:r>
        <w:t xml:space="preserve">we </w:t>
      </w:r>
      <w:r w:rsidRPr="00DE07E3">
        <w:t>would work collaboratively with retailers and other stakeholders to develop and implement strategies to improve outcomes for c</w:t>
      </w:r>
      <w:r>
        <w:t>ustomers</w:t>
      </w:r>
      <w:r w:rsidRPr="00DE07E3">
        <w:t xml:space="preserve"> </w:t>
      </w:r>
      <w:r>
        <w:t>experiencing financial difficulties.</w:t>
      </w:r>
    </w:p>
    <w:p w:rsidR="001D027A" w:rsidRDefault="003A59E4" w:rsidP="001D027A">
      <w:pPr>
        <w:pStyle w:val="Heading2"/>
        <w:numPr>
          <w:ilvl w:val="1"/>
          <w:numId w:val="38"/>
        </w:numPr>
        <w:tabs>
          <w:tab w:val="left" w:pos="680"/>
        </w:tabs>
      </w:pPr>
      <w:bookmarkStart w:id="5" w:name="_Toc455748896"/>
      <w:r>
        <w:t>Framework</w:t>
      </w:r>
      <w:r w:rsidR="001D027A">
        <w:t xml:space="preserve"> development</w:t>
      </w:r>
      <w:bookmarkEnd w:id="5"/>
    </w:p>
    <w:p w:rsidR="001D027A" w:rsidRPr="00573F5A" w:rsidRDefault="001D027A" w:rsidP="001D027A">
      <w:pPr>
        <w:pStyle w:val="Bulletpoint"/>
        <w:numPr>
          <w:ilvl w:val="0"/>
          <w:numId w:val="0"/>
        </w:numPr>
      </w:pPr>
      <w:r w:rsidRPr="00573F5A">
        <w:t xml:space="preserve">In October 2015, </w:t>
      </w:r>
      <w:r>
        <w:t>we</w:t>
      </w:r>
      <w:r w:rsidRPr="00573F5A">
        <w:t xml:space="preserve"> commenced preliminary discussions with stakeholders about developing a practical </w:t>
      </w:r>
      <w:r w:rsidR="003A59E4">
        <w:t>Framework</w:t>
      </w:r>
      <w:r w:rsidRPr="00573F5A">
        <w:t xml:space="preserve">, based on </w:t>
      </w:r>
      <w:r>
        <w:t xml:space="preserve">identified and agreed </w:t>
      </w:r>
      <w:r w:rsidRPr="00573F5A">
        <w:t xml:space="preserve">good practice, which retailers could adopt to guide their engagement with customers when </w:t>
      </w:r>
      <w:r>
        <w:t xml:space="preserve">having conversations about a customer's capacity to pay in the context of </w:t>
      </w:r>
      <w:r w:rsidRPr="00573F5A">
        <w:t>setting up payment arrangements.</w:t>
      </w:r>
    </w:p>
    <w:p w:rsidR="001D027A" w:rsidRDefault="001D027A" w:rsidP="001D027A">
      <w:r w:rsidRPr="00DE07E3">
        <w:t xml:space="preserve">Over the past months, </w:t>
      </w:r>
      <w:r>
        <w:t>we have</w:t>
      </w:r>
      <w:r w:rsidRPr="00DE07E3">
        <w:t xml:space="preserve"> engaged with large, medium and small energy retailers, financial counsellors, consumer </w:t>
      </w:r>
      <w:r w:rsidR="00EF763F">
        <w:t>representatives</w:t>
      </w:r>
      <w:r w:rsidRPr="00DE07E3">
        <w:t xml:space="preserve">, </w:t>
      </w:r>
      <w:r>
        <w:t xml:space="preserve">energy </w:t>
      </w:r>
      <w:r w:rsidRPr="00DE07E3">
        <w:t>Ombudsm</w:t>
      </w:r>
      <w:r>
        <w:t>a</w:t>
      </w:r>
      <w:r w:rsidRPr="00DE07E3">
        <w:t>n</w:t>
      </w:r>
      <w:r>
        <w:t xml:space="preserve"> schemes</w:t>
      </w:r>
      <w:r w:rsidRPr="00DE07E3">
        <w:t xml:space="preserve"> and other interested </w:t>
      </w:r>
      <w:r>
        <w:t>stakeholders</w:t>
      </w:r>
      <w:r w:rsidRPr="00DE07E3">
        <w:t xml:space="preserve"> to develop the </w:t>
      </w:r>
      <w:r w:rsidR="003A59E4">
        <w:t>Framework</w:t>
      </w:r>
      <w:r w:rsidRPr="00DE07E3">
        <w:t xml:space="preserve">. Many of these stakeholders provided feedback to inform specific aspects of the </w:t>
      </w:r>
      <w:r w:rsidR="003A59E4">
        <w:t>Framework</w:t>
      </w:r>
      <w:r>
        <w:t xml:space="preserve">. </w:t>
      </w:r>
    </w:p>
    <w:p w:rsidR="001D027A" w:rsidRPr="00DE07E3" w:rsidRDefault="001D027A" w:rsidP="001D027A">
      <w:r>
        <w:t xml:space="preserve">The final </w:t>
      </w:r>
      <w:r w:rsidR="003A59E4">
        <w:t>Framework</w:t>
      </w:r>
      <w:r>
        <w:t xml:space="preserve"> is included as </w:t>
      </w:r>
      <w:r w:rsidRPr="00635B50">
        <w:rPr>
          <w:rStyle w:val="Strong"/>
        </w:rPr>
        <w:t>Attachment 1.</w:t>
      </w:r>
    </w:p>
    <w:p w:rsidR="00E60BDF" w:rsidRPr="00DE07E3" w:rsidRDefault="001D027A" w:rsidP="001D027A">
      <w:r w:rsidRPr="00DE07E3">
        <w:t xml:space="preserve">Key milestones in </w:t>
      </w:r>
      <w:r>
        <w:t>our engagement</w:t>
      </w:r>
      <w:r w:rsidRPr="00DE07E3">
        <w:t xml:space="preserve"> process </w:t>
      </w:r>
      <w:r>
        <w:t>are detailed below.</w:t>
      </w:r>
    </w:p>
    <w:p w:rsidR="001D027A" w:rsidRDefault="001D027A" w:rsidP="000467FE">
      <w:pPr>
        <w:pStyle w:val="Heading6"/>
        <w:keepNext/>
        <w:ind w:left="1361" w:hanging="1361"/>
      </w:pPr>
      <w:r>
        <w:lastRenderedPageBreak/>
        <w:t>Initial discussions with stakeholders</w:t>
      </w:r>
    </w:p>
    <w:p w:rsidR="001D027A" w:rsidRDefault="001D027A" w:rsidP="000467FE">
      <w:pPr>
        <w:pStyle w:val="Bulletpoint"/>
        <w:keepNext/>
        <w:numPr>
          <w:ilvl w:val="0"/>
          <w:numId w:val="0"/>
        </w:numPr>
      </w:pPr>
      <w:r>
        <w:t xml:space="preserve">In October 2015 we advised a number stakeholder groups, including energy retailers, </w:t>
      </w:r>
      <w:r w:rsidRPr="00BB18F2">
        <w:t>financial counsellors</w:t>
      </w:r>
      <w:r>
        <w:t xml:space="preserve"> and consumer </w:t>
      </w:r>
      <w:r w:rsidR="003A6BF4">
        <w:t>representatives</w:t>
      </w:r>
      <w:r>
        <w:t xml:space="preserve">, of our intention to develop a good practice </w:t>
      </w:r>
      <w:r w:rsidR="003A59E4">
        <w:t>Framework</w:t>
      </w:r>
      <w:r>
        <w:t xml:space="preserve"> for undertaking capacity to pay discussions when establishing payment plans. </w:t>
      </w:r>
    </w:p>
    <w:p w:rsidR="001D027A" w:rsidRDefault="001D027A" w:rsidP="001D027A">
      <w:pPr>
        <w:pStyle w:val="Bulletpoint"/>
        <w:numPr>
          <w:ilvl w:val="0"/>
          <w:numId w:val="0"/>
        </w:numPr>
      </w:pPr>
      <w:r>
        <w:t xml:space="preserve">We invited them to provide preliminary comments about the scope and approach before we started drafting the </w:t>
      </w:r>
      <w:r w:rsidR="003A59E4">
        <w:t>Framework</w:t>
      </w:r>
      <w:r>
        <w:t xml:space="preserve">. These discussions led to us developing a preliminary outline of the </w:t>
      </w:r>
      <w:r w:rsidR="003A59E4">
        <w:t>Framework</w:t>
      </w:r>
      <w:r>
        <w:t xml:space="preserve"> for further discussion with stakeholders.</w:t>
      </w:r>
    </w:p>
    <w:p w:rsidR="001D027A" w:rsidRDefault="001D027A" w:rsidP="001D027A">
      <w:pPr>
        <w:pStyle w:val="Heading6"/>
        <w:ind w:left="1361" w:hanging="1361"/>
      </w:pPr>
      <w:r w:rsidRPr="00DE07E3">
        <w:t>Discussion with the AER’s Customer Consultative Group</w:t>
      </w:r>
      <w:r>
        <w:t xml:space="preserve"> </w:t>
      </w:r>
    </w:p>
    <w:p w:rsidR="001D027A" w:rsidRPr="00FD3AEC" w:rsidRDefault="001D027A" w:rsidP="001D027A">
      <w:pPr>
        <w:pStyle w:val="Bulletpoint"/>
        <w:numPr>
          <w:ilvl w:val="0"/>
          <w:numId w:val="0"/>
        </w:numPr>
      </w:pPr>
      <w:r w:rsidRPr="00FD3AEC">
        <w:t>We sought feedback from our Customer Consultative Group</w:t>
      </w:r>
      <w:r>
        <w:t xml:space="preserve"> (CCG)</w:t>
      </w:r>
      <w:r w:rsidRPr="00FD3AEC">
        <w:t xml:space="preserve"> members on an early </w:t>
      </w:r>
      <w:r>
        <w:t>d</w:t>
      </w:r>
      <w:r w:rsidRPr="00FD3AEC">
        <w:t xml:space="preserve">raft </w:t>
      </w:r>
      <w:r w:rsidR="003A59E4">
        <w:t>Framework</w:t>
      </w:r>
      <w:r w:rsidRPr="00FD3AEC">
        <w:t xml:space="preserve"> at the group’s </w:t>
      </w:r>
      <w:r>
        <w:t xml:space="preserve">meeting on </w:t>
      </w:r>
      <w:r w:rsidRPr="00FD3AEC">
        <w:t>10 November 2015</w:t>
      </w:r>
      <w:r>
        <w:t>.</w:t>
      </w:r>
    </w:p>
    <w:p w:rsidR="001D027A" w:rsidRPr="00055A33" w:rsidRDefault="001D027A" w:rsidP="001D027A">
      <w:pPr>
        <w:pStyle w:val="BodyText"/>
      </w:pPr>
      <w:r w:rsidRPr="00FD3AEC">
        <w:t>CCG members were supportive of the project and approach</w:t>
      </w:r>
      <w:r>
        <w:t xml:space="preserve"> and provided feedback and input to assist us to further develop the </w:t>
      </w:r>
      <w:r w:rsidR="003A59E4">
        <w:t>Framework</w:t>
      </w:r>
      <w:r w:rsidRPr="00FD3AEC">
        <w:t>.</w:t>
      </w:r>
    </w:p>
    <w:p w:rsidR="001D027A" w:rsidRDefault="001D027A" w:rsidP="001D027A">
      <w:pPr>
        <w:pStyle w:val="Heading6"/>
        <w:ind w:left="1361" w:hanging="1361"/>
      </w:pPr>
      <w:r>
        <w:t>National retailer workshop</w:t>
      </w:r>
    </w:p>
    <w:p w:rsidR="001D027A" w:rsidRPr="00FD3AEC" w:rsidRDefault="001D027A" w:rsidP="001D027A">
      <w:pPr>
        <w:pStyle w:val="Bulletpoint"/>
        <w:numPr>
          <w:ilvl w:val="0"/>
          <w:numId w:val="0"/>
        </w:numPr>
      </w:pPr>
      <w:r w:rsidRPr="00FD3AEC">
        <w:t>On 17 November 2015 we hosted a national workshop with more th</w:t>
      </w:r>
      <w:r>
        <w:t xml:space="preserve">an 30 retailer representatives to discuss the draft </w:t>
      </w:r>
      <w:r w:rsidR="003A59E4">
        <w:t>Framework</w:t>
      </w:r>
      <w:r w:rsidRPr="00FD3AEC">
        <w:t xml:space="preserve">. </w:t>
      </w:r>
    </w:p>
    <w:p w:rsidR="001D027A" w:rsidRDefault="001D027A" w:rsidP="001D027A">
      <w:pPr>
        <w:pStyle w:val="Heading6"/>
        <w:ind w:left="1361" w:hanging="1361"/>
      </w:pPr>
      <w:r w:rsidRPr="00DE07E3">
        <w:t xml:space="preserve">Individual discussions with </w:t>
      </w:r>
      <w:r>
        <w:t>stakeholders</w:t>
      </w:r>
    </w:p>
    <w:p w:rsidR="001D027A" w:rsidRDefault="001D027A" w:rsidP="001D027A">
      <w:pPr>
        <w:pStyle w:val="Bulletpoint"/>
        <w:numPr>
          <w:ilvl w:val="0"/>
          <w:numId w:val="0"/>
        </w:numPr>
      </w:pPr>
      <w:r>
        <w:t xml:space="preserve">Between November 2015 and January 2016 we conducted discussions with individual retailers and other stakeholders to further explore issues raised in the earlier forums, concerns or questions about aspects of the </w:t>
      </w:r>
      <w:r w:rsidR="003A59E4">
        <w:t>Framework</w:t>
      </w:r>
      <w:r>
        <w:t>.</w:t>
      </w:r>
    </w:p>
    <w:p w:rsidR="001D027A" w:rsidRDefault="001D027A" w:rsidP="001D027A">
      <w:pPr>
        <w:pStyle w:val="Heading6"/>
        <w:ind w:left="1361" w:hanging="1361"/>
      </w:pPr>
      <w:r>
        <w:t>National</w:t>
      </w:r>
      <w:r w:rsidRPr="00DE07E3">
        <w:t xml:space="preserve"> stakeholder</w:t>
      </w:r>
      <w:r>
        <w:t xml:space="preserve"> forum</w:t>
      </w:r>
    </w:p>
    <w:p w:rsidR="001D027A" w:rsidRDefault="001D027A" w:rsidP="001D027A">
      <w:pPr>
        <w:pStyle w:val="Bulletpoint"/>
        <w:numPr>
          <w:ilvl w:val="0"/>
          <w:numId w:val="0"/>
        </w:numPr>
      </w:pPr>
      <w:r>
        <w:t>O</w:t>
      </w:r>
      <w:r w:rsidRPr="00DE07E3">
        <w:t>n 28 January 2016</w:t>
      </w:r>
      <w:r>
        <w:t xml:space="preserve"> we held a national stakeholder forum that was attended by retailers, financial counsellors, government departments, energy ombudsmen schemes, consumer representatives and other interested stakeholders. This forum provided an opportunity to discuss an updated draft of the </w:t>
      </w:r>
      <w:r w:rsidR="003A59E4">
        <w:t>Framework</w:t>
      </w:r>
      <w:r>
        <w:t xml:space="preserve"> that we circulated in January informed by the stakeholder feedback we had received to date.</w:t>
      </w:r>
    </w:p>
    <w:p w:rsidR="001D027A" w:rsidRDefault="001D027A" w:rsidP="001D027A">
      <w:pPr>
        <w:pStyle w:val="Heading6"/>
      </w:pPr>
      <w:r>
        <w:t xml:space="preserve">Formal consultation </w:t>
      </w:r>
    </w:p>
    <w:p w:rsidR="001D027A" w:rsidRDefault="001D027A" w:rsidP="001D027A">
      <w:r>
        <w:t xml:space="preserve">On 11 March 2016 we released the draft </w:t>
      </w:r>
      <w:r w:rsidR="003A59E4">
        <w:t>Framework</w:t>
      </w:r>
      <w:r>
        <w:t xml:space="preserve"> for formal consultation. Twenty submissions were received from a wide range of stakeholders, and </w:t>
      </w:r>
      <w:r w:rsidR="001F7132">
        <w:t>these have been published on our website</w:t>
      </w:r>
      <w:r>
        <w:t>.</w:t>
      </w:r>
      <w:r>
        <w:rPr>
          <w:rStyle w:val="FootnoteReference"/>
        </w:rPr>
        <w:footnoteReference w:id="2"/>
      </w:r>
      <w:r>
        <w:t xml:space="preserve"> We also released a consultation paper outlining the background to the project and the key issues</w:t>
      </w:r>
      <w:r w:rsidR="00E60BDF">
        <w:t xml:space="preserve"> </w:t>
      </w:r>
      <w:r>
        <w:t xml:space="preserve">at this time. </w:t>
      </w:r>
    </w:p>
    <w:p w:rsidR="001D027A" w:rsidRDefault="00EF763F" w:rsidP="001D027A">
      <w:pPr>
        <w:pStyle w:val="Heading6"/>
      </w:pPr>
      <w:r>
        <w:t>Targeted</w:t>
      </w:r>
      <w:r w:rsidR="001D027A">
        <w:t xml:space="preserve"> additional consultation</w:t>
      </w:r>
    </w:p>
    <w:p w:rsidR="001D027A" w:rsidRPr="00CC5AEC" w:rsidRDefault="001D027A" w:rsidP="001D027A">
      <w:r>
        <w:t xml:space="preserve">On 26 April 2016, </w:t>
      </w:r>
      <w:r w:rsidR="001F7132">
        <w:t>we</w:t>
      </w:r>
      <w:r>
        <w:t xml:space="preserve"> contacted stakeholders who had provided a written submission and offered the opportunity to provide additional comment on three issues: o</w:t>
      </w:r>
      <w:r w:rsidRPr="00CC5AEC">
        <w:t>ur proposal to publish a list of retailers that have adopted t</w:t>
      </w:r>
      <w:r>
        <w:t xml:space="preserve">he </w:t>
      </w:r>
      <w:r w:rsidR="003A59E4">
        <w:t>Framework</w:t>
      </w:r>
      <w:r>
        <w:t xml:space="preserve"> on </w:t>
      </w:r>
      <w:r w:rsidR="001F7132">
        <w:t>our website</w:t>
      </w:r>
      <w:r>
        <w:t>; a</w:t>
      </w:r>
      <w:r w:rsidRPr="00CC5AEC">
        <w:t xml:space="preserve"> transitional </w:t>
      </w:r>
      <w:r w:rsidRPr="00CC5AEC">
        <w:lastRenderedPageBreak/>
        <w:t xml:space="preserve">period before </w:t>
      </w:r>
      <w:r w:rsidR="001F7132">
        <w:t>we publish</w:t>
      </w:r>
      <w:r>
        <w:t xml:space="preserve"> a list of retailers; and c</w:t>
      </w:r>
      <w:r w:rsidRPr="00CC5AEC">
        <w:t>ommencing conversations with payment plan customers.</w:t>
      </w:r>
      <w:r>
        <w:t xml:space="preserve"> Seven additional submissions were received.</w:t>
      </w:r>
    </w:p>
    <w:p w:rsidR="001D027A" w:rsidRDefault="001D027A" w:rsidP="001D027A">
      <w:pPr>
        <w:pStyle w:val="Heading2"/>
        <w:numPr>
          <w:ilvl w:val="1"/>
          <w:numId w:val="38"/>
        </w:numPr>
        <w:tabs>
          <w:tab w:val="left" w:pos="680"/>
        </w:tabs>
      </w:pPr>
      <w:bookmarkStart w:id="6" w:name="_Toc455748897"/>
      <w:r>
        <w:t xml:space="preserve">Objectives of the </w:t>
      </w:r>
      <w:r w:rsidR="003A59E4">
        <w:t>Framework</w:t>
      </w:r>
      <w:bookmarkEnd w:id="6"/>
    </w:p>
    <w:p w:rsidR="001D027A" w:rsidRPr="003D2713" w:rsidRDefault="001D027A" w:rsidP="001D027A">
      <w:r w:rsidRPr="003D2713">
        <w:t xml:space="preserve">The </w:t>
      </w:r>
      <w:r w:rsidR="003A59E4">
        <w:t>Framework</w:t>
      </w:r>
      <w:r>
        <w:t xml:space="preserve"> comprises two elements:</w:t>
      </w:r>
    </w:p>
    <w:p w:rsidR="001D027A" w:rsidRPr="003D2713" w:rsidRDefault="001D027A" w:rsidP="001D027A">
      <w:pPr>
        <w:pStyle w:val="Bulletpoint"/>
        <w:ind w:left="357" w:hanging="357"/>
      </w:pPr>
      <w:r>
        <w:t>a</w:t>
      </w:r>
      <w:r w:rsidRPr="003D2713">
        <w:t xml:space="preserve"> set of principles to guide retailers’ conversations with customer</w:t>
      </w:r>
      <w:r>
        <w:t>s about their ‘capacity to pay’, and</w:t>
      </w:r>
    </w:p>
    <w:p w:rsidR="001D027A" w:rsidRDefault="001D027A" w:rsidP="001D027A">
      <w:pPr>
        <w:pStyle w:val="Bulletpoint"/>
        <w:ind w:left="357" w:hanging="357"/>
      </w:pPr>
      <w:r>
        <w:t>a</w:t>
      </w:r>
      <w:r w:rsidRPr="003D2713">
        <w:t xml:space="preserve"> flow chart that sets out good practice</w:t>
      </w:r>
      <w:r>
        <w:t xml:space="preserve"> actions and considerations</w:t>
      </w:r>
      <w:r w:rsidRPr="003D2713">
        <w:t xml:space="preserve"> at different stages of a payment plan</w:t>
      </w:r>
      <w:r>
        <w:t>.</w:t>
      </w:r>
    </w:p>
    <w:p w:rsidR="001D027A" w:rsidRDefault="001D027A" w:rsidP="001D027A">
      <w:r>
        <w:t xml:space="preserve">The </w:t>
      </w:r>
      <w:r w:rsidR="003A59E4">
        <w:t>Framework</w:t>
      </w:r>
      <w:r>
        <w:t xml:space="preserve"> aims to improve outcomes for energy customers who </w:t>
      </w:r>
      <w:r w:rsidRPr="00E153D2">
        <w:t>are experiencing finan</w:t>
      </w:r>
      <w:r>
        <w:t>cial issues and/or have a debt with their energy retailer. Its key objectives are to:</w:t>
      </w:r>
    </w:p>
    <w:p w:rsidR="001D027A" w:rsidRDefault="001D027A" w:rsidP="001D027A">
      <w:pPr>
        <w:pStyle w:val="Bulletpoint"/>
        <w:ind w:left="357" w:hanging="357"/>
      </w:pPr>
      <w:r>
        <w:t xml:space="preserve">improve </w:t>
      </w:r>
      <w:r w:rsidRPr="00C456A9">
        <w:t xml:space="preserve">retailers' </w:t>
      </w:r>
      <w:r>
        <w:t>ability</w:t>
      </w:r>
      <w:r w:rsidRPr="00C456A9">
        <w:t xml:space="preserve"> to negotiate sustainable and affordable payment plans that</w:t>
      </w:r>
      <w:r>
        <w:t>:</w:t>
      </w:r>
    </w:p>
    <w:p w:rsidR="001D027A" w:rsidRDefault="001D027A" w:rsidP="001D027A">
      <w:pPr>
        <w:pStyle w:val="Bulletpoint2"/>
        <w:tabs>
          <w:tab w:val="clear" w:pos="680"/>
        </w:tabs>
        <w:ind w:left="998" w:hanging="357"/>
      </w:pPr>
      <w:r>
        <w:t>take account of a customer's capacity to pay</w:t>
      </w:r>
    </w:p>
    <w:p w:rsidR="001D027A" w:rsidRDefault="001D027A" w:rsidP="001D027A">
      <w:pPr>
        <w:pStyle w:val="Bulletpoint2"/>
        <w:tabs>
          <w:tab w:val="clear" w:pos="680"/>
        </w:tabs>
        <w:ind w:left="998" w:hanging="357"/>
      </w:pPr>
      <w:r w:rsidRPr="00C456A9">
        <w:t>customers can successfully</w:t>
      </w:r>
      <w:r>
        <w:t xml:space="preserve"> manage and ultimately complete, and</w:t>
      </w:r>
    </w:p>
    <w:p w:rsidR="001D027A" w:rsidRDefault="001D027A" w:rsidP="001D027A">
      <w:pPr>
        <w:pStyle w:val="Bulletpoint2"/>
        <w:tabs>
          <w:tab w:val="clear" w:pos="680"/>
        </w:tabs>
        <w:ind w:left="998" w:hanging="357"/>
      </w:pPr>
      <w:r>
        <w:t>reduce the likelihood a customer's debt will grow more than necessary.</w:t>
      </w:r>
    </w:p>
    <w:p w:rsidR="001D027A" w:rsidRDefault="001D027A" w:rsidP="001D027A">
      <w:pPr>
        <w:pStyle w:val="Bulletpoint"/>
        <w:ind w:left="357" w:hanging="357"/>
      </w:pPr>
      <w:r>
        <w:t>highlight good practice alternatives to</w:t>
      </w:r>
      <w:r w:rsidRPr="005370DB">
        <w:t xml:space="preserve"> </w:t>
      </w:r>
      <w:r>
        <w:t>some of the concerns</w:t>
      </w:r>
      <w:r w:rsidRPr="005370DB">
        <w:t xml:space="preserve"> identifi</w:t>
      </w:r>
      <w:r>
        <w:t>ed in our hardship report</w:t>
      </w:r>
    </w:p>
    <w:p w:rsidR="001D027A" w:rsidRDefault="001D027A" w:rsidP="001D027A">
      <w:pPr>
        <w:pStyle w:val="Bulletpoint"/>
        <w:ind w:left="357" w:hanging="357"/>
      </w:pPr>
      <w:r>
        <w:t>enhance the quality of retailers' engagement with customers by encouraging</w:t>
      </w:r>
      <w:r w:rsidRPr="005370DB">
        <w:t xml:space="preserve"> open, clear and ongoing engagement based on trust, respect and empathy.</w:t>
      </w:r>
    </w:p>
    <w:p w:rsidR="001D027A" w:rsidRDefault="001D027A" w:rsidP="001D027A">
      <w:r>
        <w:t xml:space="preserve">Outcomes we would expect from retailers adopting the </w:t>
      </w:r>
      <w:r w:rsidR="003A59E4">
        <w:t>Framework</w:t>
      </w:r>
      <w:r>
        <w:t xml:space="preserve"> are:</w:t>
      </w:r>
    </w:p>
    <w:p w:rsidR="001D027A" w:rsidRDefault="001D027A" w:rsidP="001D027A">
      <w:pPr>
        <w:pStyle w:val="Bulletpoint"/>
        <w:ind w:left="357" w:hanging="357"/>
      </w:pPr>
      <w:r>
        <w:t>an increase in customers successfully completing payment plans</w:t>
      </w:r>
    </w:p>
    <w:p w:rsidR="001D027A" w:rsidRDefault="001D027A" w:rsidP="001D027A">
      <w:pPr>
        <w:pStyle w:val="Bulletpoint"/>
        <w:ind w:left="357" w:hanging="357"/>
      </w:pPr>
      <w:r>
        <w:t>a reduction in customers failing payment plans</w:t>
      </w:r>
    </w:p>
    <w:p w:rsidR="001D027A" w:rsidRDefault="001D027A" w:rsidP="001D027A">
      <w:pPr>
        <w:pStyle w:val="Bulletpoint"/>
        <w:ind w:left="357" w:hanging="357"/>
      </w:pPr>
      <w:r>
        <w:t>an increase in customers who proactively take steps to contact and discuss problems or changed circumstances with their retailer.</w:t>
      </w:r>
    </w:p>
    <w:p w:rsidR="001D027A" w:rsidRPr="00E153D2" w:rsidRDefault="001D027A" w:rsidP="001D027A">
      <w:r>
        <w:t>We</w:t>
      </w:r>
      <w:r w:rsidRPr="00E153D2">
        <w:t xml:space="preserve"> believe this approach </w:t>
      </w:r>
      <w:r>
        <w:t xml:space="preserve">will </w:t>
      </w:r>
      <w:r w:rsidRPr="00E153D2">
        <w:t>benefit customers, as it increases the likelihood a payment plan will achieve the important goal of preventing a customer’s debt from growing</w:t>
      </w:r>
      <w:r>
        <w:t xml:space="preserve"> more than necessary</w:t>
      </w:r>
      <w:r w:rsidRPr="00E153D2">
        <w:t>, without causing an unsustainable financial burden</w:t>
      </w:r>
      <w:r>
        <w:t>.</w:t>
      </w:r>
    </w:p>
    <w:p w:rsidR="001D027A" w:rsidRPr="00DE07E3" w:rsidRDefault="001D027A" w:rsidP="001D027A">
      <w:r w:rsidRPr="00E153D2">
        <w:t xml:space="preserve">It also benefits retailers by increasing the likelihood a customer will successfully make their agreed repayments, and take steps to proactively engage with </w:t>
      </w:r>
      <w:r>
        <w:t xml:space="preserve">their </w:t>
      </w:r>
      <w:r w:rsidRPr="00E153D2">
        <w:t xml:space="preserve">retailer </w:t>
      </w:r>
      <w:r>
        <w:t>in the event</w:t>
      </w:r>
      <w:r w:rsidRPr="00E153D2">
        <w:t xml:space="preserve"> their circumstances change.</w:t>
      </w:r>
    </w:p>
    <w:p w:rsidR="001D027A" w:rsidRDefault="001D027A" w:rsidP="001D027A">
      <w:pPr>
        <w:pStyle w:val="Heading1"/>
        <w:pageBreakBefore/>
        <w:numPr>
          <w:ilvl w:val="0"/>
          <w:numId w:val="38"/>
        </w:numPr>
        <w:tabs>
          <w:tab w:val="left" w:pos="680"/>
        </w:tabs>
      </w:pPr>
      <w:bookmarkStart w:id="7" w:name="_Toc455748898"/>
      <w:r>
        <w:lastRenderedPageBreak/>
        <w:t>Issues raised during consultation</w:t>
      </w:r>
      <w:bookmarkEnd w:id="7"/>
    </w:p>
    <w:p w:rsidR="001D027A" w:rsidRDefault="001D027A" w:rsidP="00E60BDF">
      <w:pPr>
        <w:pStyle w:val="Heading2"/>
        <w:numPr>
          <w:ilvl w:val="1"/>
          <w:numId w:val="38"/>
        </w:numPr>
        <w:tabs>
          <w:tab w:val="left" w:pos="680"/>
        </w:tabs>
      </w:pPr>
      <w:bookmarkStart w:id="8" w:name="_Toc448238340"/>
      <w:bookmarkStart w:id="9" w:name="_Toc448238461"/>
      <w:bookmarkStart w:id="10" w:name="_Toc448238582"/>
      <w:bookmarkStart w:id="11" w:name="_Toc448238995"/>
      <w:bookmarkStart w:id="12" w:name="_Toc448238341"/>
      <w:bookmarkStart w:id="13" w:name="_Toc448238462"/>
      <w:bookmarkStart w:id="14" w:name="_Toc448238583"/>
      <w:bookmarkStart w:id="15" w:name="_Toc448238996"/>
      <w:bookmarkStart w:id="16" w:name="_Toc448238342"/>
      <w:bookmarkStart w:id="17" w:name="_Toc448238463"/>
      <w:bookmarkStart w:id="18" w:name="_Toc448238584"/>
      <w:bookmarkStart w:id="19" w:name="_Toc448238997"/>
      <w:bookmarkStart w:id="20" w:name="_Toc448238343"/>
      <w:bookmarkStart w:id="21" w:name="_Toc448238464"/>
      <w:bookmarkStart w:id="22" w:name="_Toc448238585"/>
      <w:bookmarkStart w:id="23" w:name="_Toc448238998"/>
      <w:bookmarkStart w:id="24" w:name="_Toc448238348"/>
      <w:bookmarkStart w:id="25" w:name="_Toc448238469"/>
      <w:bookmarkStart w:id="26" w:name="_Toc448238590"/>
      <w:bookmarkStart w:id="27" w:name="_Toc448239003"/>
      <w:bookmarkStart w:id="28" w:name="_Toc448238349"/>
      <w:bookmarkStart w:id="29" w:name="_Toc448238470"/>
      <w:bookmarkStart w:id="30" w:name="_Toc448238591"/>
      <w:bookmarkStart w:id="31" w:name="_Toc448239004"/>
      <w:bookmarkStart w:id="32" w:name="_Toc448238350"/>
      <w:bookmarkStart w:id="33" w:name="_Toc448238471"/>
      <w:bookmarkStart w:id="34" w:name="_Toc448238592"/>
      <w:bookmarkStart w:id="35" w:name="_Toc448239005"/>
      <w:bookmarkStart w:id="36" w:name="_Toc448238351"/>
      <w:bookmarkStart w:id="37" w:name="_Toc448238472"/>
      <w:bookmarkStart w:id="38" w:name="_Toc448238593"/>
      <w:bookmarkStart w:id="39" w:name="_Toc448239006"/>
      <w:bookmarkStart w:id="40" w:name="_Toc448238354"/>
      <w:bookmarkStart w:id="41" w:name="_Toc448238475"/>
      <w:bookmarkStart w:id="42" w:name="_Toc448238596"/>
      <w:bookmarkStart w:id="43" w:name="_Toc448239009"/>
      <w:bookmarkStart w:id="44" w:name="_Toc448238355"/>
      <w:bookmarkStart w:id="45" w:name="_Toc448238476"/>
      <w:bookmarkStart w:id="46" w:name="_Toc448238597"/>
      <w:bookmarkStart w:id="47" w:name="_Toc448239010"/>
      <w:bookmarkStart w:id="48" w:name="_Toc448238356"/>
      <w:bookmarkStart w:id="49" w:name="_Toc448238477"/>
      <w:bookmarkStart w:id="50" w:name="_Toc448238598"/>
      <w:bookmarkStart w:id="51" w:name="_Toc448239011"/>
      <w:bookmarkStart w:id="52" w:name="_Toc455748899"/>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t xml:space="preserve">Issue one: </w:t>
      </w:r>
      <w:r w:rsidR="003A59E4">
        <w:t>Framework</w:t>
      </w:r>
      <w:r>
        <w:t xml:space="preserve"> principles</w:t>
      </w:r>
      <w:bookmarkEnd w:id="52"/>
    </w:p>
    <w:p w:rsidR="009F6400" w:rsidRPr="00E60BDF" w:rsidRDefault="009F6400" w:rsidP="00E60BDF">
      <w:pPr>
        <w:pStyle w:val="Numbered111"/>
        <w:numPr>
          <w:ilvl w:val="2"/>
          <w:numId w:val="38"/>
        </w:numPr>
      </w:pPr>
      <w:bookmarkStart w:id="53" w:name="_Toc455748900"/>
      <w:r>
        <w:t>General approach</w:t>
      </w:r>
      <w:bookmarkEnd w:id="53"/>
    </w:p>
    <w:p w:rsidR="009F6400" w:rsidRPr="00E60BDF" w:rsidRDefault="009F6400" w:rsidP="00E60BDF">
      <w:pPr>
        <w:pStyle w:val="Heading4"/>
      </w:pPr>
      <w:r>
        <w:t>Our preliminary position</w:t>
      </w:r>
    </w:p>
    <w:p w:rsidR="001D027A" w:rsidRDefault="001D027A" w:rsidP="001D027A">
      <w:r>
        <w:t xml:space="preserve">We consider that retailers should have the flexibility to develop and implement their own approaches to customers experiencing financial issues informed by the good practices identified in the </w:t>
      </w:r>
      <w:r w:rsidR="003A59E4">
        <w:t>Framework</w:t>
      </w:r>
      <w:r>
        <w:t>.</w:t>
      </w:r>
    </w:p>
    <w:p w:rsidR="001D027A" w:rsidRDefault="001D027A" w:rsidP="001D027A">
      <w:r>
        <w:t>To achieve this, we have adopted</w:t>
      </w:r>
      <w:r w:rsidRPr="00897034">
        <w:t xml:space="preserve"> a principles-based, rather than a prescriptive approach</w:t>
      </w:r>
      <w:r>
        <w:t>.</w:t>
      </w:r>
    </w:p>
    <w:p w:rsidR="001D027A" w:rsidRPr="00DC742C" w:rsidRDefault="001D027A" w:rsidP="001D027A">
      <w:r>
        <w:t xml:space="preserve">The principles we consider </w:t>
      </w:r>
      <w:r w:rsidRPr="005E6BFF">
        <w:t>should guide all retailers’</w:t>
      </w:r>
      <w:r>
        <w:t xml:space="preserve"> engagement</w:t>
      </w:r>
      <w:r w:rsidRPr="005E6BFF">
        <w:t xml:space="preserve"> with customers when discussing payment plans</w:t>
      </w:r>
      <w:r>
        <w:t xml:space="preserve"> and a customer's capacity to pay are</w:t>
      </w:r>
      <w:r w:rsidRPr="00DC742C">
        <w:t>:</w:t>
      </w:r>
    </w:p>
    <w:p w:rsidR="001D027A" w:rsidRPr="00DC742C" w:rsidRDefault="001D027A" w:rsidP="001D027A">
      <w:pPr>
        <w:pStyle w:val="Bulletpoint"/>
        <w:ind w:left="357" w:hanging="357"/>
      </w:pPr>
      <w:r w:rsidRPr="00635B50">
        <w:rPr>
          <w:rStyle w:val="Strong"/>
        </w:rPr>
        <w:t>Empathy and respect</w:t>
      </w:r>
      <w:r>
        <w:t xml:space="preserve"> – including that retailers should avoid blame and judgement, and act in good faith towards customers</w:t>
      </w:r>
    </w:p>
    <w:p w:rsidR="001D027A" w:rsidRPr="00DC742C" w:rsidRDefault="001D027A" w:rsidP="001D027A">
      <w:pPr>
        <w:pStyle w:val="Bulletpoint"/>
        <w:ind w:left="357" w:hanging="357"/>
      </w:pPr>
      <w:r w:rsidRPr="00635B50">
        <w:rPr>
          <w:rStyle w:val="Strong"/>
        </w:rPr>
        <w:t>Flexibility</w:t>
      </w:r>
      <w:r>
        <w:t xml:space="preserve"> – including accepting that customers' circumstances vary, and that financial issues may be short or long-term</w:t>
      </w:r>
    </w:p>
    <w:p w:rsidR="001D027A" w:rsidRDefault="001D027A" w:rsidP="001D027A">
      <w:pPr>
        <w:pStyle w:val="Bulletpoint"/>
        <w:ind w:left="357" w:hanging="357"/>
      </w:pPr>
      <w:r w:rsidRPr="00635B50">
        <w:rPr>
          <w:rStyle w:val="Strong"/>
        </w:rPr>
        <w:t xml:space="preserve">Consistency </w:t>
      </w:r>
      <w:r>
        <w:t xml:space="preserve">– including that retailers consistently apply the </w:t>
      </w:r>
      <w:r w:rsidR="003A59E4">
        <w:t>Framework</w:t>
      </w:r>
      <w:r>
        <w:t>'s principles to their engagement with payment plan customers, so that those with the same circumstances will receive the same standard of assistance.</w:t>
      </w:r>
    </w:p>
    <w:p w:rsidR="001D027A" w:rsidRDefault="001D027A" w:rsidP="005C3301">
      <w:pPr>
        <w:pStyle w:val="Bulletpoint"/>
        <w:numPr>
          <w:ilvl w:val="0"/>
          <w:numId w:val="0"/>
        </w:numPr>
      </w:pPr>
      <w:r>
        <w:t>Over the course of the project</w:t>
      </w:r>
      <w:r w:rsidRPr="00C86760">
        <w:t xml:space="preserve"> </w:t>
      </w:r>
      <w:r>
        <w:t>we made a number of refinements and additions to this section to clarify the intent and to address specific issues raised by stakeholders.</w:t>
      </w:r>
    </w:p>
    <w:p w:rsidR="009F6400" w:rsidRDefault="009F6400" w:rsidP="004635FA">
      <w:pPr>
        <w:pStyle w:val="Heading4"/>
      </w:pPr>
      <w:r>
        <w:t>Stakeholder feedback</w:t>
      </w:r>
    </w:p>
    <w:p w:rsidR="001D027A" w:rsidRDefault="001D027A" w:rsidP="001D027A">
      <w:r>
        <w:t>During the consultation, we sought feedback on the broad principles as well as the illustrative examples included under each.</w:t>
      </w:r>
      <w:r w:rsidRPr="007364D8">
        <w:t xml:space="preserve"> </w:t>
      </w:r>
    </w:p>
    <w:p w:rsidR="001D027A" w:rsidRDefault="001D027A" w:rsidP="001D027A">
      <w:r>
        <w:t xml:space="preserve">Retailer, consumer and ombudsman stakeholders were </w:t>
      </w:r>
      <w:r w:rsidR="00EF763F">
        <w:t xml:space="preserve">all </w:t>
      </w:r>
      <w:r>
        <w:t xml:space="preserve">supportive of the </w:t>
      </w:r>
      <w:r w:rsidR="003A59E4">
        <w:t>Framework</w:t>
      </w:r>
      <w:r>
        <w:t>'s principles-based approach, and of the principles themselves. One consumer submission considered the principles "comprise good practice for retailers dealing with customers experiencing financial difficulty, and customers in general".</w:t>
      </w:r>
      <w:r>
        <w:rPr>
          <w:rStyle w:val="FootnoteReference"/>
        </w:rPr>
        <w:footnoteReference w:id="3"/>
      </w:r>
      <w:r>
        <w:t xml:space="preserve"> </w:t>
      </w:r>
    </w:p>
    <w:p w:rsidR="001D027A" w:rsidRDefault="001D027A" w:rsidP="001D027A">
      <w:r>
        <w:t xml:space="preserve">Similarly, retailer representatives supported the principles as "as a strong basis on which to develop a payment plan </w:t>
      </w:r>
      <w:r w:rsidR="003A59E4">
        <w:t>Framework</w:t>
      </w:r>
      <w:r>
        <w:t>".</w:t>
      </w:r>
      <w:r>
        <w:rPr>
          <w:rStyle w:val="FootnoteReference"/>
        </w:rPr>
        <w:footnoteReference w:id="4"/>
      </w:r>
    </w:p>
    <w:p w:rsidR="001D027A" w:rsidRDefault="001D027A" w:rsidP="001D027A">
      <w:r>
        <w:t xml:space="preserve">EnergyAustralia </w:t>
      </w:r>
      <w:r w:rsidR="009F6400">
        <w:t xml:space="preserve">additionally </w:t>
      </w:r>
      <w:r>
        <w:t>stated that energy retailers were "</w:t>
      </w:r>
      <w:r w:rsidRPr="00793C6D">
        <w:t xml:space="preserve">acutely aware of a level of </w:t>
      </w:r>
      <w:r>
        <w:t xml:space="preserve">mistrust" of the energy industry that saw </w:t>
      </w:r>
      <w:r w:rsidRPr="00793C6D">
        <w:t>many consumers avoid engaging with their retailers when experiencing payment difficulties</w:t>
      </w:r>
      <w:r>
        <w:t xml:space="preserve">. EnergyAustralia considered </w:t>
      </w:r>
      <w:r w:rsidRPr="00793C6D">
        <w:t xml:space="preserve">the </w:t>
      </w:r>
      <w:r>
        <w:t xml:space="preserve">application of the </w:t>
      </w:r>
      <w:r>
        <w:lastRenderedPageBreak/>
        <w:t>principles would "</w:t>
      </w:r>
      <w:r w:rsidRPr="00793C6D">
        <w:t>assist in providing consumers with confidence that they will be treated fairly by their retailer.</w:t>
      </w:r>
      <w:r>
        <w:t>"</w:t>
      </w:r>
      <w:r>
        <w:rPr>
          <w:rStyle w:val="FootnoteReference"/>
        </w:rPr>
        <w:footnoteReference w:id="5"/>
      </w:r>
    </w:p>
    <w:p w:rsidR="001D027A" w:rsidRDefault="001D027A" w:rsidP="006B5D14">
      <w:pPr>
        <w:pStyle w:val="Bulletpoint"/>
        <w:numPr>
          <w:ilvl w:val="0"/>
          <w:numId w:val="0"/>
        </w:numPr>
      </w:pPr>
      <w:r>
        <w:t>Specific issues raised by stakeholders during the consultation relating to the principles</w:t>
      </w:r>
      <w:r w:rsidR="009F6400">
        <w:t>, and our response to these</w:t>
      </w:r>
      <w:r w:rsidR="00E60BDF">
        <w:t>,</w:t>
      </w:r>
      <w:r>
        <w:t xml:space="preserve"> are discussed below.</w:t>
      </w:r>
    </w:p>
    <w:p w:rsidR="001D027A" w:rsidRDefault="001D027A" w:rsidP="001D027A">
      <w:pPr>
        <w:pStyle w:val="Heading3"/>
        <w:numPr>
          <w:ilvl w:val="2"/>
          <w:numId w:val="38"/>
        </w:numPr>
        <w:tabs>
          <w:tab w:val="left" w:pos="1021"/>
        </w:tabs>
      </w:pPr>
      <w:bookmarkStart w:id="54" w:name="_Toc455748901"/>
      <w:r>
        <w:t>Flexibility</w:t>
      </w:r>
      <w:bookmarkEnd w:id="54"/>
    </w:p>
    <w:p w:rsidR="001D027A" w:rsidRPr="00E60BDF" w:rsidRDefault="001D027A">
      <w:pPr>
        <w:pStyle w:val="Heading4"/>
        <w:rPr>
          <w:rStyle w:val="Strong"/>
          <w:b/>
          <w:bCs/>
        </w:rPr>
      </w:pPr>
      <w:r w:rsidRPr="009F6400">
        <w:rPr>
          <w:rStyle w:val="Strong"/>
          <w:b/>
          <w:bCs/>
        </w:rPr>
        <w:t>Trial and error</w:t>
      </w:r>
    </w:p>
    <w:p w:rsidR="00834F8B" w:rsidRDefault="00834F8B" w:rsidP="001D027A">
      <w:r>
        <w:t>Throughout the development of the Framework, consumer representatives</w:t>
      </w:r>
      <w:r w:rsidR="00D247AB">
        <w:t xml:space="preserve"> </w:t>
      </w:r>
      <w:r>
        <w:t xml:space="preserve">highlighted </w:t>
      </w:r>
      <w:r w:rsidR="001D027A">
        <w:t xml:space="preserve">it could take time for a customer to adjust their budget </w:t>
      </w:r>
      <w:r>
        <w:t xml:space="preserve">and behaviours </w:t>
      </w:r>
      <w:r w:rsidR="001D027A">
        <w:t xml:space="preserve">to meet the </w:t>
      </w:r>
      <w:r w:rsidR="00E60BDF">
        <w:t xml:space="preserve">ongoing </w:t>
      </w:r>
      <w:r w:rsidR="001D027A">
        <w:t>commitment</w:t>
      </w:r>
      <w:r>
        <w:t xml:space="preserve"> of a new payment plan</w:t>
      </w:r>
      <w:r w:rsidR="001D027A">
        <w:t xml:space="preserve">, </w:t>
      </w:r>
      <w:r w:rsidR="00E60BDF">
        <w:t>and</w:t>
      </w:r>
      <w:r w:rsidR="001D027A">
        <w:t xml:space="preserve"> that amounts</w:t>
      </w:r>
      <w:r>
        <w:t xml:space="preserve"> and timeframes</w:t>
      </w:r>
      <w:r w:rsidR="001D027A">
        <w:t xml:space="preserve"> agreed in the initial conversation </w:t>
      </w:r>
      <w:r>
        <w:t>will often need to be adjusted to become sustainable and realistically affordable.</w:t>
      </w:r>
    </w:p>
    <w:p w:rsidR="00834F8B" w:rsidRDefault="00834F8B" w:rsidP="001D027A">
      <w:r>
        <w:t xml:space="preserve">Some submissions noted that the Framework’s flexibility principle should more explicitly recognise this reality. </w:t>
      </w:r>
    </w:p>
    <w:p w:rsidR="00834F8B" w:rsidRDefault="00834F8B" w:rsidP="001D027A">
      <w:r>
        <w:t>For ex</w:t>
      </w:r>
      <w:r w:rsidR="00C42527">
        <w:t>ample, Energy and Water Ombudsman</w:t>
      </w:r>
      <w:r>
        <w:t xml:space="preserve"> Victoria (EWOV) noted that </w:t>
      </w:r>
      <w:r w:rsidR="0041012E">
        <w:t xml:space="preserve">in its experience, </w:t>
      </w:r>
      <w:r w:rsidR="00C363DC">
        <w:t xml:space="preserve">revisiting payment plans for </w:t>
      </w:r>
      <w:r w:rsidR="0041012E">
        <w:t xml:space="preserve">hardship assistance </w:t>
      </w:r>
      <w:r w:rsidR="00C363DC">
        <w:t xml:space="preserve">customers </w:t>
      </w:r>
      <w:r w:rsidR="0041012E">
        <w:t>after</w:t>
      </w:r>
      <w:r w:rsidR="00C363DC">
        <w:t xml:space="preserve"> three months provided an opportunity for customers to adjust behaviours, after which opportunit</w:t>
      </w:r>
      <w:r w:rsidR="00C42527">
        <w:t>i</w:t>
      </w:r>
      <w:r w:rsidR="00C363DC">
        <w:t>es to increase payments could be explored.</w:t>
      </w:r>
      <w:r w:rsidR="00C363DC">
        <w:rPr>
          <w:rStyle w:val="FootnoteReference"/>
        </w:rPr>
        <w:footnoteReference w:id="6"/>
      </w:r>
    </w:p>
    <w:p w:rsidR="00C363DC" w:rsidRPr="00C42527" w:rsidRDefault="00C363DC" w:rsidP="00C363DC">
      <w:r>
        <w:t xml:space="preserve">Similarly, Financial Rights Legal Centre (FRLC) said the </w:t>
      </w:r>
      <w:r w:rsidR="003A59E4">
        <w:t>Framework</w:t>
      </w:r>
      <w:r w:rsidR="001D027A">
        <w:t xml:space="preserve">'s flexibility principle should be expanded to highlight that </w:t>
      </w:r>
      <w:r>
        <w:t xml:space="preserve">once a payment plan is agreed, a customer </w:t>
      </w:r>
      <w:r w:rsidR="00C42527">
        <w:t xml:space="preserve">should </w:t>
      </w:r>
      <w:r>
        <w:t xml:space="preserve">have a reasonable opportunity to </w:t>
      </w:r>
      <w:r w:rsidR="00C42527">
        <w:t>make it work, including amending the payment plan if required.</w:t>
      </w:r>
      <w:r w:rsidR="00C42527">
        <w:rPr>
          <w:rStyle w:val="FootnoteReference"/>
        </w:rPr>
        <w:footnoteReference w:id="7"/>
      </w:r>
    </w:p>
    <w:p w:rsidR="001D027A" w:rsidRDefault="000B42EA" w:rsidP="00AE69B7">
      <w:r>
        <w:t>While t</w:t>
      </w:r>
      <w:r w:rsidR="001D027A" w:rsidRPr="003D0FB4">
        <w:t xml:space="preserve">he </w:t>
      </w:r>
      <w:r w:rsidR="003A59E4">
        <w:t>Framework</w:t>
      </w:r>
      <w:r w:rsidR="001D027A" w:rsidRPr="003D0FB4">
        <w:t xml:space="preserve"> acknowledges that </w:t>
      </w:r>
      <w:r>
        <w:t xml:space="preserve">a missed payment </w:t>
      </w:r>
      <w:r w:rsidR="001D027A" w:rsidRPr="003D0FB4">
        <w:t xml:space="preserve">does not necessarily mean </w:t>
      </w:r>
      <w:r>
        <w:t xml:space="preserve">a </w:t>
      </w:r>
      <w:r w:rsidR="001D027A" w:rsidRPr="003D0FB4">
        <w:t>customer is not engaging or is not trying to honour their commitments</w:t>
      </w:r>
      <w:r>
        <w:t xml:space="preserve">, we agree that it is good practice for retailers to recognise there may be a period of adjustment to a new plan and work with customers to make adjustments before </w:t>
      </w:r>
      <w:r w:rsidR="00CA19EE">
        <w:t>concluding a</w:t>
      </w:r>
      <w:r>
        <w:t xml:space="preserve"> plan has failed. </w:t>
      </w:r>
    </w:p>
    <w:p w:rsidR="00E60BDF" w:rsidRPr="004635FA" w:rsidRDefault="00E60BDF" w:rsidP="00E60BDF">
      <w:pPr>
        <w:pStyle w:val="Bulletpoint"/>
        <w:numPr>
          <w:ilvl w:val="0"/>
          <w:numId w:val="0"/>
        </w:numPr>
        <w:rPr>
          <w:b/>
        </w:rPr>
      </w:pPr>
      <w:r w:rsidRPr="004635FA">
        <w:rPr>
          <w:b/>
        </w:rPr>
        <w:t xml:space="preserve">We have updated the flexibility principle to </w:t>
      </w:r>
      <w:r w:rsidR="000B42EA" w:rsidRPr="004635FA">
        <w:rPr>
          <w:b/>
        </w:rPr>
        <w:t>include that retailers should</w:t>
      </w:r>
      <w:r w:rsidR="000B42EA">
        <w:rPr>
          <w:b/>
        </w:rPr>
        <w:t>:</w:t>
      </w:r>
      <w:r w:rsidR="000B42EA" w:rsidRPr="004635FA">
        <w:rPr>
          <w:b/>
        </w:rPr>
        <w:t xml:space="preserve"> </w:t>
      </w:r>
      <w:r w:rsidR="00DB232F">
        <w:rPr>
          <w:b/>
        </w:rPr>
        <w:t>“</w:t>
      </w:r>
      <w:r w:rsidRPr="004635FA">
        <w:rPr>
          <w:b/>
        </w:rPr>
        <w:t>Work with the customer to find a solution acceptable to both parties, and recognise that despite the best efforts of both parties, some trial and error may occur before that solution is found.</w:t>
      </w:r>
      <w:r w:rsidR="00DB232F">
        <w:rPr>
          <w:b/>
        </w:rPr>
        <w:t>”</w:t>
      </w:r>
    </w:p>
    <w:p w:rsidR="001D027A" w:rsidRDefault="00EF763F" w:rsidP="00E60BDF">
      <w:pPr>
        <w:pStyle w:val="Bulletpoint"/>
        <w:numPr>
          <w:ilvl w:val="0"/>
          <w:numId w:val="0"/>
        </w:numPr>
      </w:pPr>
      <w:r>
        <w:t>W</w:t>
      </w:r>
      <w:r w:rsidR="001D027A" w:rsidRPr="003D0FB4">
        <w:t>e also acknowledge</w:t>
      </w:r>
      <w:r>
        <w:t>, however,</w:t>
      </w:r>
      <w:r w:rsidR="001D027A" w:rsidRPr="003D0FB4">
        <w:t xml:space="preserve"> that customers have the obligation to engage with their retailer and that continuing non-engagement puts a customer at risk of disconnection, and this is reflected in the </w:t>
      </w:r>
      <w:r w:rsidR="003A59E4">
        <w:t>Framework</w:t>
      </w:r>
      <w:r w:rsidR="001D027A" w:rsidRPr="003D0FB4">
        <w:t>'s principles and good practice chart.</w:t>
      </w:r>
    </w:p>
    <w:p w:rsidR="001D027A" w:rsidRDefault="001D027A" w:rsidP="001D027A">
      <w:pPr>
        <w:pStyle w:val="Heading4"/>
        <w:ind w:left="864" w:hanging="864"/>
      </w:pPr>
      <w:r>
        <w:t>Flexible payment arrangements</w:t>
      </w:r>
    </w:p>
    <w:p w:rsidR="00DB232F" w:rsidRDefault="001D027A" w:rsidP="001D027A">
      <w:r w:rsidRPr="00D247AB">
        <w:t xml:space="preserve">We received feedback that the </w:t>
      </w:r>
      <w:r w:rsidR="003A59E4" w:rsidRPr="00D247AB">
        <w:t>Framework</w:t>
      </w:r>
      <w:r w:rsidRPr="00D247AB">
        <w:t>'s flexibility principle include that retailers be flexible about payment methods and frequency.</w:t>
      </w:r>
    </w:p>
    <w:p w:rsidR="001D027A" w:rsidRPr="004635FA" w:rsidRDefault="00DB232F" w:rsidP="001D027A">
      <w:pPr>
        <w:rPr>
          <w:b/>
        </w:rPr>
      </w:pPr>
      <w:r w:rsidRPr="00DB232F">
        <w:rPr>
          <w:b/>
        </w:rPr>
        <w:lastRenderedPageBreak/>
        <w:t xml:space="preserve">We agree that it is good practice for retailers to be flexible about these things and </w:t>
      </w:r>
      <w:r w:rsidR="00CA19EE" w:rsidRPr="004635FA">
        <w:rPr>
          <w:b/>
        </w:rPr>
        <w:t>have</w:t>
      </w:r>
      <w:r w:rsidR="001D027A" w:rsidRPr="004635FA">
        <w:rPr>
          <w:b/>
        </w:rPr>
        <w:t xml:space="preserve"> added th</w:t>
      </w:r>
      <w:r w:rsidRPr="004635FA">
        <w:rPr>
          <w:b/>
        </w:rPr>
        <w:t>e</w:t>
      </w:r>
      <w:r w:rsidR="001D027A" w:rsidRPr="004635FA">
        <w:rPr>
          <w:b/>
        </w:rPr>
        <w:t xml:space="preserve"> statement</w:t>
      </w:r>
      <w:r w:rsidRPr="004635FA">
        <w:rPr>
          <w:b/>
        </w:rPr>
        <w:t xml:space="preserve"> under flexibility</w:t>
      </w:r>
      <w:r w:rsidR="001D027A" w:rsidRPr="004635FA">
        <w:rPr>
          <w:b/>
        </w:rPr>
        <w:t>: "Offer customers a choice of payment method and payment frequency whenever possible."</w:t>
      </w:r>
    </w:p>
    <w:p w:rsidR="001D027A" w:rsidRDefault="001D027A" w:rsidP="001D027A">
      <w:pPr>
        <w:pStyle w:val="Heading4"/>
        <w:ind w:left="864" w:hanging="864"/>
      </w:pPr>
      <w:r>
        <w:t>'Small payments'</w:t>
      </w:r>
    </w:p>
    <w:p w:rsidR="001D027A" w:rsidRDefault="001D027A" w:rsidP="001D027A">
      <w:r>
        <w:t>Some retailer</w:t>
      </w:r>
      <w:r w:rsidR="00DB232F">
        <w:t>s</w:t>
      </w:r>
      <w:r>
        <w:t xml:space="preserve"> had concerns about the </w:t>
      </w:r>
      <w:r w:rsidRPr="00557661">
        <w:t xml:space="preserve">statement under the flexibility principle: "in most cases, small payments are better than no payments". </w:t>
      </w:r>
      <w:r>
        <w:t>In their view, this statement</w:t>
      </w:r>
      <w:r w:rsidRPr="00557661">
        <w:t xml:space="preserve"> suggested retailers </w:t>
      </w:r>
      <w:r w:rsidR="00DB232F">
        <w:t>would be obliged to</w:t>
      </w:r>
      <w:r w:rsidRPr="00557661">
        <w:t xml:space="preserve"> carry customer</w:t>
      </w:r>
      <w:r w:rsidR="00DB232F">
        <w:t>s on</w:t>
      </w:r>
      <w:r w:rsidRPr="00557661">
        <w:t xml:space="preserve"> </w:t>
      </w:r>
      <w:r>
        <w:t>'below-consumption' payment plans in the</w:t>
      </w:r>
      <w:r w:rsidRPr="00557661">
        <w:t xml:space="preserve"> long-term.</w:t>
      </w:r>
      <w:r>
        <w:t xml:space="preserve"> </w:t>
      </w:r>
    </w:p>
    <w:p w:rsidR="001D027A" w:rsidRPr="007D3A86" w:rsidRDefault="001D027A" w:rsidP="001D027A">
      <w:pPr>
        <w:rPr>
          <w:rStyle w:val="AERtextsize8"/>
        </w:rPr>
      </w:pPr>
      <w:r>
        <w:t>For instance, Red/Lumo</w:t>
      </w:r>
      <w:r w:rsidR="00D247AB">
        <w:t xml:space="preserve"> Energy</w:t>
      </w:r>
      <w:r>
        <w:t xml:space="preserve">'s submission stated: </w:t>
      </w:r>
      <w:r w:rsidR="006B5D14">
        <w:t>“</w:t>
      </w:r>
      <w:r w:rsidRPr="006B5D14">
        <w:t xml:space="preserve">The suggestion that retailers should carry these customer debts in the long term, or offer incentive payments to bridge the gap between payment and usage, is not within the remit of the AER and should not be included in a best practice </w:t>
      </w:r>
      <w:r w:rsidR="003A59E4">
        <w:t>Framework</w:t>
      </w:r>
      <w:r w:rsidRPr="006B5D14">
        <w:t xml:space="preserve"> going forward."</w:t>
      </w:r>
      <w:r>
        <w:rPr>
          <w:rStyle w:val="FootnoteReference"/>
        </w:rPr>
        <w:footnoteReference w:id="8"/>
      </w:r>
    </w:p>
    <w:p w:rsidR="001D027A" w:rsidRDefault="001D027A" w:rsidP="001D027A">
      <w:r w:rsidRPr="00557661">
        <w:t>This statement</w:t>
      </w:r>
      <w:r>
        <w:t xml:space="preserve"> that 'small payments are better than no payments',</w:t>
      </w:r>
      <w:r w:rsidRPr="00557661">
        <w:t xml:space="preserve"> does not </w:t>
      </w:r>
      <w:r w:rsidR="00EF763F">
        <w:t>oblige retailers to accept ‘small payments’</w:t>
      </w:r>
      <w:r>
        <w:t xml:space="preserve">, but </w:t>
      </w:r>
      <w:r w:rsidRPr="00557661">
        <w:t>simply reflects the reality that some energy customers will not be able to cover their usage and pay off debt quickly, either in the sho</w:t>
      </w:r>
      <w:r>
        <w:t xml:space="preserve">rt-term or for a longer period. The </w:t>
      </w:r>
      <w:r w:rsidR="003A59E4">
        <w:t>Framework</w:t>
      </w:r>
      <w:r>
        <w:t xml:space="preserve"> encourages retailers to work with customers in these situations to 'close the gap', but is not prescriptive about what steps retailers take to do so.</w:t>
      </w:r>
    </w:p>
    <w:p w:rsidR="001D027A" w:rsidRPr="00F34E61" w:rsidRDefault="001D027A" w:rsidP="001D027A">
      <w:r w:rsidRPr="00557661">
        <w:t>We are aware that some customers are likely to struggle to afford their usage indefinitely despite the</w:t>
      </w:r>
      <w:r w:rsidR="00EF763F">
        <w:t>ir</w:t>
      </w:r>
      <w:r w:rsidRPr="00557661">
        <w:t xml:space="preserve"> best efforts. We consider this a broader affordability issue and that it is not appropriate for the </w:t>
      </w:r>
      <w:r w:rsidR="003A59E4">
        <w:t>Framework</w:t>
      </w:r>
      <w:r w:rsidRPr="00557661">
        <w:t xml:space="preserve"> to mandate how the retailer should handle these situations. Rather, the </w:t>
      </w:r>
      <w:r w:rsidR="003A59E4">
        <w:t>Framework</w:t>
      </w:r>
      <w:r w:rsidRPr="00557661">
        <w:t xml:space="preserve">'s principles simply require an acknowledgement and understanding that these situations do occur.     </w:t>
      </w:r>
    </w:p>
    <w:p w:rsidR="001D027A" w:rsidRDefault="00DB232F" w:rsidP="001D027A">
      <w:pPr>
        <w:pStyle w:val="Heading3"/>
        <w:numPr>
          <w:ilvl w:val="2"/>
          <w:numId w:val="38"/>
        </w:numPr>
        <w:tabs>
          <w:tab w:val="left" w:pos="1021"/>
        </w:tabs>
      </w:pPr>
      <w:bookmarkStart w:id="55" w:name="_Toc455748902"/>
      <w:r>
        <w:t>Rural and regional customers</w:t>
      </w:r>
      <w:bookmarkEnd w:id="55"/>
    </w:p>
    <w:p w:rsidR="001D027A" w:rsidRDefault="001D027A" w:rsidP="001D027A">
      <w:r>
        <w:t>In its submission, E</w:t>
      </w:r>
      <w:r w:rsidR="00FE1E1C">
        <w:t xml:space="preserve">nergy and </w:t>
      </w:r>
      <w:r>
        <w:t>W</w:t>
      </w:r>
      <w:r w:rsidR="00FE1E1C">
        <w:t xml:space="preserve">ater </w:t>
      </w:r>
      <w:r>
        <w:t>O</w:t>
      </w:r>
      <w:r w:rsidR="00FE1E1C">
        <w:t xml:space="preserve">mbudsman </w:t>
      </w:r>
      <w:r>
        <w:t>N</w:t>
      </w:r>
      <w:r w:rsidR="00FE1E1C">
        <w:t>ew South Wales (EWON)</w:t>
      </w:r>
      <w:r>
        <w:t xml:space="preserve"> considered that </w:t>
      </w:r>
      <w:r w:rsidRPr="00143C65">
        <w:t>the particular needs and vulnerabilities of customers l</w:t>
      </w:r>
      <w:r>
        <w:t xml:space="preserve">iving in rural and remote areas </w:t>
      </w:r>
      <w:r w:rsidR="00211C14">
        <w:t xml:space="preserve">should </w:t>
      </w:r>
      <w:r>
        <w:t>be recognised – f</w:t>
      </w:r>
      <w:r w:rsidRPr="00143C65">
        <w:t xml:space="preserve">or example, </w:t>
      </w:r>
      <w:r>
        <w:t>that customer</w:t>
      </w:r>
      <w:r w:rsidRPr="00143C65">
        <w:t>s living in rural and remote areas will have more limited access to services, such as financial counsellors, compared to those customers in metropolitan areas.</w:t>
      </w:r>
      <w:r>
        <w:rPr>
          <w:rStyle w:val="FootnoteReference"/>
        </w:rPr>
        <w:footnoteReference w:id="9"/>
      </w:r>
    </w:p>
    <w:p w:rsidR="001D027A" w:rsidRDefault="001D027A" w:rsidP="001D027A">
      <w:r w:rsidRPr="00557661">
        <w:t xml:space="preserve">Our intention is that the </w:t>
      </w:r>
      <w:r w:rsidR="003A59E4">
        <w:t>Framework</w:t>
      </w:r>
      <w:r w:rsidRPr="00557661">
        <w:t xml:space="preserve"> be a principles-based document that can be applied to customers in a range of circumstances, and so in our view it is not necessary to specifically address all customer types. We consider that under the existing principles, retailers should take reasonable steps to accommodate customers with particular needs or limitations, including </w:t>
      </w:r>
      <w:r w:rsidR="00FE1E1C">
        <w:t>culturally and linguistically diverse</w:t>
      </w:r>
      <w:r w:rsidRPr="00557661">
        <w:t xml:space="preserve"> and regional customers.</w:t>
      </w:r>
    </w:p>
    <w:p w:rsidR="001D027A" w:rsidRDefault="001D027A" w:rsidP="001D027A">
      <w:r>
        <w:t xml:space="preserve">In regard to the availability of financial counsellors, we note that the </w:t>
      </w:r>
      <w:r w:rsidR="003A59E4">
        <w:t>Framework</w:t>
      </w:r>
      <w:r>
        <w:t xml:space="preserve"> recommends retailers agree to a temporary payment arrangement while a customer seeks advice from a financial counsellor. </w:t>
      </w:r>
    </w:p>
    <w:p w:rsidR="009F6400" w:rsidRDefault="009F6400" w:rsidP="000467FE">
      <w:pPr>
        <w:pStyle w:val="Heading3"/>
        <w:keepNext/>
        <w:numPr>
          <w:ilvl w:val="2"/>
          <w:numId w:val="38"/>
        </w:numPr>
        <w:tabs>
          <w:tab w:val="left" w:pos="1021"/>
        </w:tabs>
      </w:pPr>
      <w:bookmarkStart w:id="56" w:name="_Toc455748903"/>
      <w:r>
        <w:lastRenderedPageBreak/>
        <w:t>Accountability</w:t>
      </w:r>
      <w:bookmarkEnd w:id="56"/>
    </w:p>
    <w:p w:rsidR="009F6400" w:rsidRDefault="00DB232F" w:rsidP="000467FE">
      <w:pPr>
        <w:keepNext/>
      </w:pPr>
      <w:r>
        <w:t>Powershop</w:t>
      </w:r>
      <w:r w:rsidR="009F6400" w:rsidRPr="00557661">
        <w:t xml:space="preserve"> suggested including an accountability principle </w:t>
      </w:r>
      <w:r>
        <w:t>would</w:t>
      </w:r>
      <w:r w:rsidR="009F6400" w:rsidRPr="00557661">
        <w:t xml:space="preserve"> ensure retailers honour</w:t>
      </w:r>
      <w:r>
        <w:t>ed</w:t>
      </w:r>
      <w:r w:rsidR="009F6400" w:rsidRPr="00557661">
        <w:t xml:space="preserve"> their commitment to help customers in difficulty and </w:t>
      </w:r>
      <w:r>
        <w:t>also</w:t>
      </w:r>
      <w:r w:rsidR="009F6400" w:rsidRPr="00557661">
        <w:t xml:space="preserve"> </w:t>
      </w:r>
      <w:r>
        <w:t>drive</w:t>
      </w:r>
      <w:r w:rsidR="009F6400" w:rsidRPr="00557661">
        <w:t xml:space="preserve"> customers to adhere to their payment plan.</w:t>
      </w:r>
      <w:r w:rsidR="009F6400">
        <w:rPr>
          <w:rStyle w:val="FootnoteReference"/>
        </w:rPr>
        <w:footnoteReference w:id="10"/>
      </w:r>
      <w:r w:rsidR="009F6400" w:rsidRPr="00557661">
        <w:t xml:space="preserve"> </w:t>
      </w:r>
    </w:p>
    <w:p w:rsidR="009F6400" w:rsidRDefault="009F6400" w:rsidP="009F6400">
      <w:r w:rsidRPr="00557661">
        <w:t>We consider</w:t>
      </w:r>
      <w:r w:rsidR="00DB232F">
        <w:t xml:space="preserve"> the </w:t>
      </w:r>
      <w:r w:rsidR="003A59E4">
        <w:t>Framework</w:t>
      </w:r>
      <w:r w:rsidR="00DB232F">
        <w:t xml:space="preserve"> already has adequate mechanisms achieve customer and retailer accountability. </w:t>
      </w:r>
      <w:r w:rsidR="00EF763F">
        <w:t>M</w:t>
      </w:r>
      <w:r>
        <w:t>aking the</w:t>
      </w:r>
      <w:r w:rsidR="00DB232F">
        <w:t xml:space="preserve"> public</w:t>
      </w:r>
      <w:r>
        <w:t xml:space="preserve"> commitment to adopt the </w:t>
      </w:r>
      <w:r w:rsidR="003A59E4">
        <w:t>Framework</w:t>
      </w:r>
      <w:r>
        <w:t xml:space="preserve"> creates accountability for retailers</w:t>
      </w:r>
      <w:r w:rsidR="00DB232F">
        <w:t>.</w:t>
      </w:r>
    </w:p>
    <w:p w:rsidR="00B10344" w:rsidRPr="00F34E61" w:rsidRDefault="009F6400" w:rsidP="001D027A">
      <w:r w:rsidRPr="00557661">
        <w:t xml:space="preserve">Additionally, the </w:t>
      </w:r>
      <w:r w:rsidR="003A59E4">
        <w:t>Framework</w:t>
      </w:r>
      <w:r w:rsidR="008971F9">
        <w:t xml:space="preserve"> specifically</w:t>
      </w:r>
      <w:r w:rsidRPr="00557661">
        <w:t xml:space="preserve"> acknowledges</w:t>
      </w:r>
      <w:r>
        <w:t xml:space="preserve"> customer accountability, stating:</w:t>
      </w:r>
      <w:r w:rsidRPr="00557661">
        <w:t xml:space="preserve"> </w:t>
      </w:r>
      <w:r>
        <w:t>"</w:t>
      </w:r>
      <w:r w:rsidRPr="00F34E61">
        <w:t>The relationship between a customer and their retailer involves mutual rights and responsibilities, including a customer’s responsibility to engage with their retailer throughout a payment plan.</w:t>
      </w:r>
      <w:r>
        <w:t>"</w:t>
      </w:r>
    </w:p>
    <w:p w:rsidR="001D027A" w:rsidRDefault="001D027A" w:rsidP="001D027A">
      <w:pPr>
        <w:pStyle w:val="Heading2"/>
        <w:numPr>
          <w:ilvl w:val="1"/>
          <w:numId w:val="38"/>
        </w:numPr>
        <w:tabs>
          <w:tab w:val="left" w:pos="680"/>
        </w:tabs>
      </w:pPr>
      <w:bookmarkStart w:id="57" w:name="_Toc448238360"/>
      <w:bookmarkStart w:id="58" w:name="_Toc448238481"/>
      <w:bookmarkStart w:id="59" w:name="_Toc448238602"/>
      <w:bookmarkStart w:id="60" w:name="_Toc448239015"/>
      <w:bookmarkStart w:id="61" w:name="_Toc448238361"/>
      <w:bookmarkStart w:id="62" w:name="_Toc448238482"/>
      <w:bookmarkStart w:id="63" w:name="_Toc448238603"/>
      <w:bookmarkStart w:id="64" w:name="_Toc448239016"/>
      <w:bookmarkStart w:id="65" w:name="_Toc448238362"/>
      <w:bookmarkStart w:id="66" w:name="_Toc448238483"/>
      <w:bookmarkStart w:id="67" w:name="_Toc448238604"/>
      <w:bookmarkStart w:id="68" w:name="_Toc448239017"/>
      <w:bookmarkStart w:id="69" w:name="_Toc448238363"/>
      <w:bookmarkStart w:id="70" w:name="_Toc448238484"/>
      <w:bookmarkStart w:id="71" w:name="_Toc448238605"/>
      <w:bookmarkStart w:id="72" w:name="_Toc448239018"/>
      <w:bookmarkStart w:id="73" w:name="_Toc448238364"/>
      <w:bookmarkStart w:id="74" w:name="_Toc448238485"/>
      <w:bookmarkStart w:id="75" w:name="_Toc448238606"/>
      <w:bookmarkStart w:id="76" w:name="_Toc448239019"/>
      <w:bookmarkStart w:id="77" w:name="_Toc443397881"/>
      <w:bookmarkStart w:id="78" w:name="_Toc443317303"/>
      <w:bookmarkStart w:id="79" w:name="_Toc455748904"/>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t xml:space="preserve">Issue two: </w:t>
      </w:r>
      <w:r w:rsidR="003A59E4">
        <w:t>Framework</w:t>
      </w:r>
      <w:r>
        <w:t xml:space="preserve"> flow chart</w:t>
      </w:r>
      <w:bookmarkEnd w:id="79"/>
    </w:p>
    <w:p w:rsidR="001D027A" w:rsidRDefault="001D027A" w:rsidP="001D027A">
      <w:pPr>
        <w:pStyle w:val="Heading3"/>
        <w:numPr>
          <w:ilvl w:val="2"/>
          <w:numId w:val="38"/>
        </w:numPr>
        <w:tabs>
          <w:tab w:val="left" w:pos="1021"/>
        </w:tabs>
      </w:pPr>
      <w:bookmarkStart w:id="80" w:name="_Toc455748905"/>
      <w:r>
        <w:t>Opening conversation: 'What can you afford?'</w:t>
      </w:r>
      <w:bookmarkEnd w:id="80"/>
    </w:p>
    <w:p w:rsidR="001D027A" w:rsidRDefault="004A3EAB" w:rsidP="001D027A">
      <w:pPr>
        <w:pStyle w:val="Heading4"/>
        <w:ind w:left="864" w:hanging="864"/>
      </w:pPr>
      <w:r>
        <w:t>Our preliminary position</w:t>
      </w:r>
    </w:p>
    <w:p w:rsidR="001D027A" w:rsidRDefault="001D027A" w:rsidP="001D027A">
      <w:pPr>
        <w:pStyle w:val="Bulletpoint"/>
        <w:numPr>
          <w:ilvl w:val="0"/>
          <w:numId w:val="0"/>
        </w:numPr>
      </w:pPr>
      <w:r w:rsidRPr="0036794E">
        <w:t xml:space="preserve">The </w:t>
      </w:r>
      <w:r>
        <w:t>d</w:t>
      </w:r>
      <w:r w:rsidRPr="00394C15">
        <w:t xml:space="preserve">raft </w:t>
      </w:r>
      <w:r w:rsidR="003A59E4">
        <w:t>Framework</w:t>
      </w:r>
      <w:r w:rsidRPr="00394C15">
        <w:t xml:space="preserve"> recommend</w:t>
      </w:r>
      <w:r>
        <w:t>ed</w:t>
      </w:r>
      <w:r w:rsidRPr="00394C15">
        <w:t xml:space="preserve"> retailers start capacity to pay conversations by asking the customer the open question 'What can you afford to pay?' </w:t>
      </w:r>
    </w:p>
    <w:p w:rsidR="001D027A" w:rsidRDefault="001D027A" w:rsidP="001D027A">
      <w:pPr>
        <w:pStyle w:val="Bulletpoint"/>
        <w:numPr>
          <w:ilvl w:val="0"/>
          <w:numId w:val="0"/>
        </w:numPr>
      </w:pPr>
      <w:r w:rsidRPr="00394C15">
        <w:t>The intention of this starting question was to prompt a customer to consider their circumstances, household budget and expenses when nominating an amount.</w:t>
      </w:r>
    </w:p>
    <w:p w:rsidR="001D027A" w:rsidRDefault="001D027A" w:rsidP="005C3301">
      <w:pPr>
        <w:pStyle w:val="Bulletpoint"/>
        <w:numPr>
          <w:ilvl w:val="0"/>
          <w:numId w:val="0"/>
        </w:numPr>
      </w:pPr>
      <w:r>
        <w:t>Our rationale for starting the conversation in this way was to highlight that retailers commencing a capacity to pay conversation with a closed statement such as 'Can you afford $x per fortnight?' increases the risk a payment plan will be not be realistically affordable for a customer.</w:t>
      </w:r>
    </w:p>
    <w:p w:rsidR="004A3EAB" w:rsidRDefault="001D027A" w:rsidP="001D027A">
      <w:r>
        <w:t>This was because customers</w:t>
      </w:r>
      <w:r w:rsidR="004A3EAB">
        <w:t xml:space="preserve"> often</w:t>
      </w:r>
      <w:r>
        <w:t xml:space="preserve"> feel pressured to agree to </w:t>
      </w:r>
      <w:r w:rsidR="004A3EAB">
        <w:t>a retailer-</w:t>
      </w:r>
      <w:r>
        <w:t>nominated amount</w:t>
      </w:r>
      <w:r w:rsidR="004A3EAB">
        <w:t>, for example because they fear disagreement</w:t>
      </w:r>
      <w:r w:rsidR="00211C14">
        <w:t>,</w:t>
      </w:r>
      <w:r w:rsidR="004A3EAB">
        <w:t xml:space="preserve"> disconnection or are uncomfortable discussing their situation further.</w:t>
      </w:r>
    </w:p>
    <w:p w:rsidR="001D027A" w:rsidRDefault="008971F9" w:rsidP="001D027A">
      <w:r>
        <w:t xml:space="preserve">Where a customer does this, it </w:t>
      </w:r>
      <w:r w:rsidR="001D027A">
        <w:t xml:space="preserve">can increase the risk of </w:t>
      </w:r>
      <w:r w:rsidR="007A316C">
        <w:t>them</w:t>
      </w:r>
      <w:r w:rsidR="001D027A">
        <w:t xml:space="preserve"> falling behind in payments, being excluded from hardship programs and being more vulnerable to disconnection.</w:t>
      </w:r>
    </w:p>
    <w:p w:rsidR="001D027A" w:rsidRDefault="001D027A" w:rsidP="001D027A">
      <w:r>
        <w:t xml:space="preserve">Throughout the development of the </w:t>
      </w:r>
      <w:r w:rsidR="003A59E4">
        <w:t>Framework</w:t>
      </w:r>
      <w:r>
        <w:t>, we received feedback from a number of stakeholders, including financial counsellors</w:t>
      </w:r>
      <w:r w:rsidRPr="00D60820">
        <w:t xml:space="preserve"> </w:t>
      </w:r>
      <w:r>
        <w:t xml:space="preserve">and </w:t>
      </w:r>
      <w:r w:rsidRPr="00D60820">
        <w:t>retailers</w:t>
      </w:r>
      <w:r>
        <w:t xml:space="preserve">, </w:t>
      </w:r>
      <w:r w:rsidRPr="00D60820">
        <w:t xml:space="preserve">that </w:t>
      </w:r>
      <w:r w:rsidR="004A3EAB">
        <w:t>while t</w:t>
      </w:r>
      <w:r w:rsidR="007D1335">
        <w:t>he question was a good starting</w:t>
      </w:r>
      <w:r w:rsidR="004A3EAB">
        <w:t xml:space="preserve"> point, it </w:t>
      </w:r>
      <w:r w:rsidRPr="00D60820">
        <w:t xml:space="preserve">was not sufficient </w:t>
      </w:r>
      <w:r w:rsidR="004A3EAB">
        <w:t xml:space="preserve">on its own </w:t>
      </w:r>
      <w:r w:rsidRPr="00D60820">
        <w:t>as many customers would not immediately un</w:t>
      </w:r>
      <w:r>
        <w:t>derstand what they could afford.</w:t>
      </w:r>
    </w:p>
    <w:p w:rsidR="001D027A" w:rsidRDefault="001D027A" w:rsidP="001D027A">
      <w:r>
        <w:t xml:space="preserve">In response to this, the draft </w:t>
      </w:r>
      <w:r w:rsidR="003A59E4">
        <w:t>Framework</w:t>
      </w:r>
      <w:r>
        <w:t xml:space="preserve"> emphasised that in addition to the starting question of 'what can you afford?', retailers take additional steps to clarify and check what is affordable for a customer. Such conversations would include providing a customer with context about their usage, likely timeframes to repay a debt, and prompting them to think about their other financial commitments.</w:t>
      </w:r>
    </w:p>
    <w:p w:rsidR="001D027A" w:rsidRDefault="00B10344" w:rsidP="000467FE">
      <w:pPr>
        <w:pStyle w:val="Heading4"/>
        <w:keepNext/>
        <w:ind w:left="864" w:hanging="864"/>
      </w:pPr>
      <w:r>
        <w:lastRenderedPageBreak/>
        <w:t>Stakeholder feedback</w:t>
      </w:r>
    </w:p>
    <w:p w:rsidR="001D027A" w:rsidRPr="00F52408" w:rsidRDefault="001D027A" w:rsidP="000467FE">
      <w:pPr>
        <w:keepNext/>
      </w:pPr>
      <w:r w:rsidRPr="00F52408">
        <w:t>A number of submissions raised concerns about the prescriptiveness of ‘What can you afford?’ as the starting point for all payment plan conversations.</w:t>
      </w:r>
    </w:p>
    <w:p w:rsidR="001D027A" w:rsidRDefault="001D027A" w:rsidP="001D027A">
      <w:r w:rsidRPr="00F52408">
        <w:t xml:space="preserve">Some consumer submissions </w:t>
      </w:r>
      <w:r w:rsidR="007D1335">
        <w:t>considered that requiring this as a starting point</w:t>
      </w:r>
      <w:r w:rsidRPr="00F52408">
        <w:t xml:space="preserve"> closed down the possibility of retailers building rapport with a customer by asking questions about their particular circumstances before asking what they could afford.</w:t>
      </w:r>
    </w:p>
    <w:p w:rsidR="001D027A" w:rsidRPr="00CF1F9C" w:rsidRDefault="001D027A" w:rsidP="001D027A">
      <w:r>
        <w:t>For example, S</w:t>
      </w:r>
      <w:r w:rsidR="00865627">
        <w:t xml:space="preserve">outh </w:t>
      </w:r>
      <w:r>
        <w:t>A</w:t>
      </w:r>
      <w:r w:rsidR="00865627">
        <w:t xml:space="preserve">ustralian </w:t>
      </w:r>
      <w:r>
        <w:t>F</w:t>
      </w:r>
      <w:r w:rsidR="00865627">
        <w:t xml:space="preserve">inancial </w:t>
      </w:r>
      <w:r>
        <w:t>C</w:t>
      </w:r>
      <w:r w:rsidR="00865627">
        <w:t xml:space="preserve">ounsellors </w:t>
      </w:r>
      <w:r>
        <w:t>A</w:t>
      </w:r>
      <w:r w:rsidR="00865627">
        <w:t>ssociation (SAFCA)</w:t>
      </w:r>
      <w:r>
        <w:t xml:space="preserve"> </w:t>
      </w:r>
      <w:r w:rsidR="005C3301">
        <w:t xml:space="preserve">said it would </w:t>
      </w:r>
      <w:r w:rsidRPr="00CF1F9C">
        <w:t>prefer to</w:t>
      </w:r>
      <w:r w:rsidR="005C3301">
        <w:t xml:space="preserve"> see retailers </w:t>
      </w:r>
      <w:r w:rsidR="007D1335">
        <w:t xml:space="preserve">initially </w:t>
      </w:r>
      <w:r w:rsidR="005C3301">
        <w:t xml:space="preserve">establish </w:t>
      </w:r>
      <w:r w:rsidRPr="00CF1F9C">
        <w:t>a level of rapport with the customer</w:t>
      </w:r>
      <w:r w:rsidR="007D1335">
        <w:t xml:space="preserve">, </w:t>
      </w:r>
      <w:r w:rsidR="005C3301">
        <w:t xml:space="preserve">for example by inquiring about </w:t>
      </w:r>
      <w:r w:rsidRPr="00CF1F9C">
        <w:t>customer’s circumstances including whether or not they are receiving any concessions to which they might be entitled.</w:t>
      </w:r>
      <w:r w:rsidR="00865627">
        <w:rPr>
          <w:rStyle w:val="FootnoteReference"/>
        </w:rPr>
        <w:footnoteReference w:id="11"/>
      </w:r>
      <w:r w:rsidRPr="00CF1F9C">
        <w:t xml:space="preserve"> </w:t>
      </w:r>
    </w:p>
    <w:p w:rsidR="001D027A" w:rsidRPr="00F52408" w:rsidRDefault="001D027A" w:rsidP="001D027A">
      <w:r w:rsidRPr="00F52408">
        <w:t>Some retailers considered that it was important to frame payment plan conversations by explaining a customer’s usage and debt status, before asking them what they could afford.</w:t>
      </w:r>
    </w:p>
    <w:p w:rsidR="001D027A" w:rsidRDefault="001D027A" w:rsidP="006B5D14">
      <w:pPr>
        <w:pStyle w:val="Bulletpoint"/>
        <w:numPr>
          <w:ilvl w:val="0"/>
          <w:numId w:val="0"/>
        </w:numPr>
      </w:pPr>
      <w:r>
        <w:t xml:space="preserve">For instance, </w:t>
      </w:r>
      <w:r w:rsidR="004B4153">
        <w:t>Momentum Energy</w:t>
      </w:r>
      <w:r w:rsidRPr="00CF1F9C">
        <w:t xml:space="preserve"> suggested the </w:t>
      </w:r>
      <w:r w:rsidR="003A59E4">
        <w:t>Framework</w:t>
      </w:r>
      <w:r w:rsidRPr="00CF1F9C">
        <w:t>'s approach would lead to customers paying less than they can truly afford, either intentionally or inadvertently</w:t>
      </w:r>
      <w:r w:rsidR="004B4153">
        <w:t>, stating: “While this is often the appropriate way to start such a conversation, this is not always the case. For example, there will be instances where they customers’ response to that question will be a larger amount if the question is asked after some discussion of the customer’s circumstances, and where that larger amount is more appropriate because it is closer to, while still being within, the customer’s actual capacity to pay”.</w:t>
      </w:r>
      <w:r w:rsidR="004B4153">
        <w:rPr>
          <w:rStyle w:val="FootnoteReference"/>
        </w:rPr>
        <w:footnoteReference w:id="12"/>
      </w:r>
      <w:r w:rsidRPr="00CF1F9C">
        <w:t xml:space="preserve"> </w:t>
      </w:r>
    </w:p>
    <w:p w:rsidR="007D1335" w:rsidRDefault="003741ED" w:rsidP="004635FA">
      <w:pPr>
        <w:pStyle w:val="Bulletpoint"/>
        <w:numPr>
          <w:ilvl w:val="0"/>
          <w:numId w:val="0"/>
        </w:numPr>
      </w:pPr>
      <w:r>
        <w:t>However o</w:t>
      </w:r>
      <w:r w:rsidR="001D027A">
        <w:t xml:space="preserve">ther submissions still highlighted that the opening conversation must give customers an opportunity to consider what they can afford. </w:t>
      </w:r>
      <w:r w:rsidR="004B4153">
        <w:rPr>
          <w:sz w:val="23"/>
          <w:szCs w:val="23"/>
        </w:rPr>
        <w:t>For example, EWON’s supplementary submissions noted: “</w:t>
      </w:r>
      <w:r w:rsidR="00134BE9">
        <w:rPr>
          <w:sz w:val="23"/>
          <w:szCs w:val="23"/>
        </w:rPr>
        <w:t xml:space="preserve">The </w:t>
      </w:r>
      <w:r w:rsidR="004B4153">
        <w:rPr>
          <w:sz w:val="23"/>
          <w:szCs w:val="23"/>
        </w:rPr>
        <w:t>good practice guide chart must still prompt retailers to ask the customer ‘What can you afford?’, and allow the customer an appropriate amount of time to consider their response, before a particular level of assistance is discussed.</w:t>
      </w:r>
      <w:r w:rsidR="00134BE9">
        <w:rPr>
          <w:sz w:val="23"/>
          <w:szCs w:val="23"/>
        </w:rPr>
        <w:t>”</w:t>
      </w:r>
    </w:p>
    <w:p w:rsidR="00D849D3" w:rsidRDefault="007D1335" w:rsidP="004635FA">
      <w:pPr>
        <w:pStyle w:val="Bulletpoint"/>
        <w:numPr>
          <w:ilvl w:val="0"/>
          <w:numId w:val="0"/>
        </w:numPr>
      </w:pPr>
      <w:r>
        <w:t xml:space="preserve">Having considered the feedback on this issue, our view is that it is reasonable for the </w:t>
      </w:r>
      <w:r w:rsidR="003A59E4">
        <w:t>Framework</w:t>
      </w:r>
      <w:r>
        <w:t xml:space="preserve"> to provide more flexibility in how the initial conversation can take place, and specifically not require that conversations start with ‘what can you afford?’</w:t>
      </w:r>
      <w:r w:rsidR="00D849D3">
        <w:t xml:space="preserve"> This is consistent with our overall </w:t>
      </w:r>
      <w:r w:rsidR="008971F9">
        <w:t xml:space="preserve">objective </w:t>
      </w:r>
      <w:r w:rsidR="00D849D3">
        <w:t xml:space="preserve">of </w:t>
      </w:r>
      <w:r w:rsidR="00D849D3" w:rsidRPr="00E7146D">
        <w:t xml:space="preserve">creating a </w:t>
      </w:r>
      <w:r w:rsidR="003A59E4">
        <w:t>Framework</w:t>
      </w:r>
      <w:r w:rsidR="00D849D3" w:rsidRPr="00E7146D">
        <w:t xml:space="preserve"> that provides retailers with flexibility to adopt their own approaches</w:t>
      </w:r>
      <w:r w:rsidR="00D849D3">
        <w:t>.</w:t>
      </w:r>
    </w:p>
    <w:p w:rsidR="007D1335" w:rsidRDefault="00CA19EE" w:rsidP="004635FA">
      <w:pPr>
        <w:pStyle w:val="Bulletpoint"/>
        <w:numPr>
          <w:ilvl w:val="0"/>
          <w:numId w:val="0"/>
        </w:numPr>
      </w:pPr>
      <w:r>
        <w:t>However, we consider the Framework must still emphasise the key good practice principles that should apply to this conversation, specifically that:</w:t>
      </w:r>
    </w:p>
    <w:p w:rsidR="001D027A" w:rsidRPr="00F52408" w:rsidRDefault="001D027A" w:rsidP="001D027A">
      <w:pPr>
        <w:pStyle w:val="Bulletpoint"/>
        <w:ind w:left="357" w:hanging="357"/>
      </w:pPr>
      <w:r w:rsidRPr="00F52408">
        <w:t>customers have an opportunity to consider what they can realistically afford without feeling pressured to accept an amount suggested by a retailer</w:t>
      </w:r>
    </w:p>
    <w:p w:rsidR="00550D87" w:rsidRDefault="001D027A" w:rsidP="001D027A">
      <w:pPr>
        <w:pStyle w:val="Bulletpoint"/>
        <w:ind w:left="357" w:hanging="357"/>
      </w:pPr>
      <w:r w:rsidRPr="00F52408">
        <w:t>it is good practice to clarify and check what is affordable for a customer.</w:t>
      </w:r>
    </w:p>
    <w:p w:rsidR="001D027A" w:rsidRDefault="001D027A" w:rsidP="004635FA">
      <w:pPr>
        <w:pStyle w:val="Bulletpoint"/>
        <w:numPr>
          <w:ilvl w:val="0"/>
          <w:numId w:val="0"/>
        </w:numPr>
      </w:pPr>
      <w:bookmarkStart w:id="81" w:name="_Toc448238369"/>
      <w:bookmarkStart w:id="82" w:name="_Toc448238490"/>
      <w:bookmarkStart w:id="83" w:name="_Toc448238611"/>
      <w:bookmarkStart w:id="84" w:name="_Toc448239024"/>
      <w:bookmarkStart w:id="85" w:name="_Toc448238372"/>
      <w:bookmarkStart w:id="86" w:name="_Toc448238493"/>
      <w:bookmarkStart w:id="87" w:name="_Toc448238614"/>
      <w:bookmarkStart w:id="88" w:name="_Toc448239027"/>
      <w:bookmarkStart w:id="89" w:name="_Toc448238373"/>
      <w:bookmarkStart w:id="90" w:name="_Toc448238494"/>
      <w:bookmarkStart w:id="91" w:name="_Toc448238615"/>
      <w:bookmarkStart w:id="92" w:name="_Toc448239028"/>
      <w:bookmarkStart w:id="93" w:name="_Toc448238374"/>
      <w:bookmarkStart w:id="94" w:name="_Toc448238495"/>
      <w:bookmarkStart w:id="95" w:name="_Toc448238616"/>
      <w:bookmarkStart w:id="96" w:name="_Toc448239029"/>
      <w:bookmarkStart w:id="97" w:name="_Toc448238375"/>
      <w:bookmarkStart w:id="98" w:name="_Toc448238496"/>
      <w:bookmarkStart w:id="99" w:name="_Toc448238617"/>
      <w:bookmarkStart w:id="100" w:name="_Toc448239030"/>
      <w:bookmarkStart w:id="101" w:name="_Toc448238377"/>
      <w:bookmarkStart w:id="102" w:name="_Toc448238498"/>
      <w:bookmarkStart w:id="103" w:name="_Toc448238619"/>
      <w:bookmarkStart w:id="104" w:name="_Toc448239032"/>
      <w:bookmarkStart w:id="105" w:name="_Toc448238378"/>
      <w:bookmarkStart w:id="106" w:name="_Toc448238499"/>
      <w:bookmarkStart w:id="107" w:name="_Toc448238620"/>
      <w:bookmarkStart w:id="108" w:name="_Toc448239033"/>
      <w:bookmarkStart w:id="109" w:name="_Toc448238379"/>
      <w:bookmarkStart w:id="110" w:name="_Toc448238500"/>
      <w:bookmarkStart w:id="111" w:name="_Toc448238621"/>
      <w:bookmarkStart w:id="112" w:name="_Toc448239034"/>
      <w:bookmarkStart w:id="113" w:name="_Toc448238380"/>
      <w:bookmarkStart w:id="114" w:name="_Toc443397884"/>
      <w:bookmarkStart w:id="115" w:name="_Toc443397885"/>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012E94">
        <w:t xml:space="preserve">While the </w:t>
      </w:r>
      <w:r w:rsidR="003A59E4">
        <w:t>Framework</w:t>
      </w:r>
      <w:r w:rsidRPr="00012E94">
        <w:t xml:space="preserve"> recommends that 'what can you afford to pay?' is the ideal starting point for a conversation between the customer and retailer (for reasons that are explained in </w:t>
      </w:r>
      <w:r w:rsidRPr="00012E94">
        <w:lastRenderedPageBreak/>
        <w:t xml:space="preserve">the </w:t>
      </w:r>
      <w:r w:rsidR="003A59E4">
        <w:t>Framework</w:t>
      </w:r>
      <w:r w:rsidRPr="00012E94">
        <w:t xml:space="preserve">), it also encourages retailers to ask further questions to prompt the customer to think further about their circumstances. </w:t>
      </w:r>
    </w:p>
    <w:p w:rsidR="00B10344" w:rsidRPr="004635FA" w:rsidRDefault="001D027A" w:rsidP="001D027A">
      <w:pPr>
        <w:rPr>
          <w:b/>
        </w:rPr>
      </w:pPr>
      <w:r w:rsidRPr="004635FA">
        <w:rPr>
          <w:b/>
        </w:rPr>
        <w:t xml:space="preserve">The revised text in the good practice chart reflects our position that prompting the customer by asking whether they can pay the retailer's preferred amount puts undue pressure on a customer to accept the amount regardless of whether it is affordable. </w:t>
      </w:r>
    </w:p>
    <w:p w:rsidR="00D849D3" w:rsidRPr="00012E94" w:rsidRDefault="001D027A" w:rsidP="001D027A">
      <w:r w:rsidRPr="00012E94">
        <w:t xml:space="preserve">While we continue to consider that "what can you afford to pay?" is a key question that should be asked, we have removed the requirement that the conversation begins with this question. </w:t>
      </w:r>
    </w:p>
    <w:p w:rsidR="001D027A" w:rsidRPr="007D3A86" w:rsidRDefault="001D027A" w:rsidP="001D027A">
      <w:pPr>
        <w:rPr>
          <w:rStyle w:val="Strong"/>
        </w:rPr>
      </w:pPr>
      <w:r w:rsidRPr="007D3A86">
        <w:rPr>
          <w:rStyle w:val="Strong"/>
        </w:rPr>
        <w:t>Accepting customer-nominated amounts</w:t>
      </w:r>
    </w:p>
    <w:p w:rsidR="00D849D3" w:rsidRDefault="00D849D3" w:rsidP="001D027A">
      <w:r>
        <w:t>We received</w:t>
      </w:r>
      <w:r w:rsidR="008F797F">
        <w:t xml:space="preserve"> retailer</w:t>
      </w:r>
      <w:r>
        <w:t xml:space="preserve"> feedback that</w:t>
      </w:r>
      <w:r w:rsidR="001D027A">
        <w:t xml:space="preserve"> the </w:t>
      </w:r>
      <w:r w:rsidR="003A59E4">
        <w:t>Framework</w:t>
      </w:r>
      <w:r w:rsidR="001D027A">
        <w:t xml:space="preserve"> should be clearer about situations when a retailer considers an amount nominated</w:t>
      </w:r>
      <w:r w:rsidR="006B5D14">
        <w:t xml:space="preserve"> by a customer is not realistic or </w:t>
      </w:r>
      <w:r w:rsidR="001D027A">
        <w:t xml:space="preserve">appropriate, as the </w:t>
      </w:r>
      <w:r w:rsidR="003A59E4">
        <w:t>Framework</w:t>
      </w:r>
      <w:r w:rsidR="001D027A">
        <w:t xml:space="preserve"> could be interpreted as requiring retailers to accept any amount nominated by a customer, even when it was not appropriate.</w:t>
      </w:r>
      <w:r w:rsidR="001D027A">
        <w:rPr>
          <w:rStyle w:val="FootnoteReference"/>
        </w:rPr>
        <w:footnoteReference w:id="13"/>
      </w:r>
      <w:r w:rsidR="001D027A">
        <w:t xml:space="preserve"> </w:t>
      </w:r>
    </w:p>
    <w:p w:rsidR="001D027A" w:rsidRDefault="00D849D3" w:rsidP="001D027A">
      <w:r>
        <w:t xml:space="preserve">It was </w:t>
      </w:r>
      <w:r w:rsidR="001D027A">
        <w:t xml:space="preserve">suggested merging 'opening conversation' box with the 'If it's not clear what a customer can afford?' as a way to clarify that both elements may form part of the single conversation aimed at building a holistic picture of the customer's circumstances. </w:t>
      </w:r>
    </w:p>
    <w:p w:rsidR="001D027A" w:rsidRDefault="001D027A" w:rsidP="001D027A">
      <w:r>
        <w:t xml:space="preserve">The </w:t>
      </w:r>
      <w:r w:rsidR="003A59E4">
        <w:t>Framework</w:t>
      </w:r>
      <w:r>
        <w:t xml:space="preserve"> does </w:t>
      </w:r>
      <w:r w:rsidR="008971F9">
        <w:t xml:space="preserve">not </w:t>
      </w:r>
      <w:r>
        <w:t xml:space="preserve">require retailers to accept any customer-nominated amount. Where a retailer considers a customer-nominated amount is not realistic, </w:t>
      </w:r>
      <w:r w:rsidR="008971F9">
        <w:t xml:space="preserve">they may choose to follow the </w:t>
      </w:r>
      <w:r w:rsidR="005C3301">
        <w:t>'I</w:t>
      </w:r>
      <w:r>
        <w:t xml:space="preserve">f it’s not clear' path. </w:t>
      </w:r>
    </w:p>
    <w:p w:rsidR="001D027A" w:rsidRDefault="001D027A" w:rsidP="004635FA">
      <w:pPr>
        <w:pStyle w:val="Numbered111"/>
        <w:numPr>
          <w:ilvl w:val="2"/>
          <w:numId w:val="38"/>
        </w:numPr>
      </w:pPr>
      <w:bookmarkStart w:id="116" w:name="_Toc455748906"/>
      <w:r>
        <w:t>Clarifying questions</w:t>
      </w:r>
      <w:bookmarkEnd w:id="116"/>
    </w:p>
    <w:p w:rsidR="00B10344" w:rsidRDefault="00B10344" w:rsidP="001D027A">
      <w:r>
        <w:t xml:space="preserve">An early draft of the </w:t>
      </w:r>
      <w:r w:rsidR="003A59E4">
        <w:t>Framework</w:t>
      </w:r>
      <w:r>
        <w:t xml:space="preserve"> included a list of questions that retailers could ask to gain more information about a customer’s circumstances, and whether they may benefit from hardship assistance, including </w:t>
      </w:r>
      <w:r w:rsidR="001D027A" w:rsidRPr="00012E94">
        <w:t>'do you rent?' and 'do you live in public housing?'</w:t>
      </w:r>
    </w:p>
    <w:p w:rsidR="00B10344" w:rsidRDefault="00B10344" w:rsidP="001D027A">
      <w:r>
        <w:t xml:space="preserve">We removed these as we considered these questions risked creating a </w:t>
      </w:r>
      <w:r w:rsidR="003741ED">
        <w:t>stigma of being considered disadvantaged or vulnerable</w:t>
      </w:r>
      <w:r w:rsidR="0041012E">
        <w:t>,</w:t>
      </w:r>
      <w:r>
        <w:t xml:space="preserve"> that may </w:t>
      </w:r>
      <w:r w:rsidR="003741ED">
        <w:t xml:space="preserve">discourage </w:t>
      </w:r>
      <w:r>
        <w:t xml:space="preserve">customers </w:t>
      </w:r>
      <w:r w:rsidR="003741ED">
        <w:t>from</w:t>
      </w:r>
      <w:r>
        <w:t xml:space="preserve"> engage with their retailer.</w:t>
      </w:r>
    </w:p>
    <w:p w:rsidR="00134BE9" w:rsidRDefault="00B10344" w:rsidP="00134BE9">
      <w:r>
        <w:t xml:space="preserve">Some submissions considered we should </w:t>
      </w:r>
      <w:r w:rsidR="008971F9">
        <w:t xml:space="preserve">again </w:t>
      </w:r>
      <w:r>
        <w:t>include these questions</w:t>
      </w:r>
      <w:r w:rsidR="00134BE9">
        <w:t>. C</w:t>
      </w:r>
      <w:r w:rsidR="007A316C">
        <w:t xml:space="preserve">onsumer </w:t>
      </w:r>
      <w:r w:rsidR="00134BE9">
        <w:t>A</w:t>
      </w:r>
      <w:r w:rsidR="007A316C">
        <w:t xml:space="preserve">ction </w:t>
      </w:r>
      <w:r w:rsidR="00134BE9">
        <w:t>L</w:t>
      </w:r>
      <w:r w:rsidR="007A316C">
        <w:t xml:space="preserve">aw </w:t>
      </w:r>
      <w:r w:rsidR="00134BE9">
        <w:t>C</w:t>
      </w:r>
      <w:r w:rsidR="007A316C">
        <w:t>entre (CALC)</w:t>
      </w:r>
      <w:r w:rsidR="00134BE9">
        <w:t>, for instance, stated: “</w:t>
      </w:r>
      <w:r w:rsidR="00134BE9" w:rsidRPr="00550D87">
        <w:t>We consider that these questions are less intrusive and should be reinstated and prescribed</w:t>
      </w:r>
      <w:r w:rsidR="00134BE9">
        <w:t xml:space="preserve"> </w:t>
      </w:r>
      <w:r w:rsidR="00134BE9" w:rsidRPr="00550D87">
        <w:t>as a requirement before asking a customer what they can afford, this will prevent customers</w:t>
      </w:r>
      <w:r w:rsidR="00134BE9">
        <w:t xml:space="preserve"> </w:t>
      </w:r>
      <w:r w:rsidR="00134BE9" w:rsidRPr="00550D87">
        <w:t>from over committing to payment plans, and will prevent retailers from failing to understand</w:t>
      </w:r>
      <w:r w:rsidR="00134BE9">
        <w:t xml:space="preserve"> </w:t>
      </w:r>
      <w:r w:rsidR="00134BE9" w:rsidRPr="00550D87">
        <w:t>the customer's</w:t>
      </w:r>
      <w:r w:rsidR="00134BE9">
        <w:rPr>
          <w:rFonts w:cs="Arial"/>
        </w:rPr>
        <w:t xml:space="preserve"> circumstances (and subsequently promoting an unaffordable payment plan).”</w:t>
      </w:r>
      <w:r w:rsidR="007A316C">
        <w:rPr>
          <w:rStyle w:val="FootnoteReference"/>
          <w:rFonts w:cs="Arial"/>
        </w:rPr>
        <w:footnoteReference w:id="14"/>
      </w:r>
    </w:p>
    <w:p w:rsidR="003741ED" w:rsidRDefault="00B10344" w:rsidP="001D027A">
      <w:r>
        <w:t xml:space="preserve">We are aware that there are a range of risk factors that may indicate a customer is more likely to require higher levels of </w:t>
      </w:r>
      <w:r w:rsidR="00CA19EE">
        <w:t>support,</w:t>
      </w:r>
      <w:r>
        <w:t xml:space="preserve"> such as unemployment, illness, history of payment problems and family circumstances. </w:t>
      </w:r>
    </w:p>
    <w:p w:rsidR="00B10344" w:rsidRDefault="00B10344" w:rsidP="001D027A">
      <w:r>
        <w:lastRenderedPageBreak/>
        <w:t xml:space="preserve">We consider it is good practice for retailers to be attuned to these risk factors, some of which may be evident from a customer’s account history. We also </w:t>
      </w:r>
      <w:r w:rsidR="0057599C">
        <w:t>consider that retailers should seek more information from a customer about these</w:t>
      </w:r>
      <w:r w:rsidR="00831F62">
        <w:t xml:space="preserve"> if desired, provided this is</w:t>
      </w:r>
      <w:r w:rsidR="0041012E">
        <w:t xml:space="preserve"> </w:t>
      </w:r>
      <w:r w:rsidR="0057599C">
        <w:t>done in sensitive and respectful way</w:t>
      </w:r>
      <w:r w:rsidR="00831F62">
        <w:t>.</w:t>
      </w:r>
    </w:p>
    <w:p w:rsidR="003741ED" w:rsidRPr="005821CE" w:rsidRDefault="0057599C" w:rsidP="001D027A">
      <w:r>
        <w:t>However, we do</w:t>
      </w:r>
      <w:r w:rsidR="00831F62">
        <w:t xml:space="preserve"> not</w:t>
      </w:r>
      <w:r>
        <w:t xml:space="preserve"> consider these</w:t>
      </w:r>
      <w:r w:rsidR="001D027A" w:rsidRPr="00012E94">
        <w:t xml:space="preserve"> need to</w:t>
      </w:r>
      <w:r w:rsidR="001D027A">
        <w:t xml:space="preserve"> be specified in the </w:t>
      </w:r>
      <w:r w:rsidR="003A59E4">
        <w:t>Framework</w:t>
      </w:r>
      <w:r w:rsidR="001D027A">
        <w:t>.</w:t>
      </w:r>
      <w:r>
        <w:t xml:space="preserve"> </w:t>
      </w:r>
      <w:r w:rsidR="001D027A" w:rsidRPr="00012E94">
        <w:t>Each situation is unique, and retailers should retain some flexibility in relation to how and when they ask these additiona</w:t>
      </w:r>
      <w:r w:rsidR="00B10344">
        <w:t xml:space="preserve">l questions. </w:t>
      </w:r>
    </w:p>
    <w:p w:rsidR="001D027A" w:rsidRDefault="001D027A" w:rsidP="00C64F72">
      <w:pPr>
        <w:pStyle w:val="Numbered111"/>
        <w:keepNext/>
        <w:numPr>
          <w:ilvl w:val="2"/>
          <w:numId w:val="38"/>
        </w:numPr>
      </w:pPr>
      <w:bookmarkStart w:id="117" w:name="_Toc455748907"/>
      <w:r>
        <w:t>Early intervention and types of hardship assistance</w:t>
      </w:r>
      <w:bookmarkEnd w:id="117"/>
    </w:p>
    <w:p w:rsidR="0057599C" w:rsidRDefault="001D027A" w:rsidP="00C64F72">
      <w:pPr>
        <w:pStyle w:val="Bulletpoint"/>
        <w:keepNext/>
        <w:numPr>
          <w:ilvl w:val="0"/>
          <w:numId w:val="0"/>
        </w:numPr>
      </w:pPr>
      <w:r>
        <w:t xml:space="preserve">Some submissions commented on the importance of early intervention, and suggested that the </w:t>
      </w:r>
      <w:r w:rsidR="003A59E4">
        <w:t>Framework</w:t>
      </w:r>
      <w:r>
        <w:t xml:space="preserve"> should </w:t>
      </w:r>
      <w:r w:rsidR="0057599C">
        <w:t>require retailers to more proactively identify customers at risk of payment difficulties</w:t>
      </w:r>
      <w:r>
        <w:t xml:space="preserve">. </w:t>
      </w:r>
    </w:p>
    <w:p w:rsidR="0057599C" w:rsidRDefault="0057599C" w:rsidP="005C3301">
      <w:pPr>
        <w:pStyle w:val="Bulletpoint"/>
        <w:numPr>
          <w:ilvl w:val="0"/>
          <w:numId w:val="0"/>
        </w:numPr>
      </w:pPr>
      <w:r>
        <w:t>T</w:t>
      </w:r>
      <w:r w:rsidR="001D027A" w:rsidRPr="00012E94">
        <w:t xml:space="preserve">he </w:t>
      </w:r>
      <w:r>
        <w:t>focus</w:t>
      </w:r>
      <w:r w:rsidR="001D027A" w:rsidRPr="00012E94">
        <w:t xml:space="preserve"> the </w:t>
      </w:r>
      <w:r w:rsidR="003A59E4">
        <w:t>Framework</w:t>
      </w:r>
      <w:r w:rsidR="001D027A" w:rsidRPr="00012E94">
        <w:t xml:space="preserve"> is to</w:t>
      </w:r>
      <w:r>
        <w:t xml:space="preserve"> provide</w:t>
      </w:r>
      <w:r w:rsidR="001D027A" w:rsidRPr="00012E94">
        <w:t xml:space="preserve"> good practice </w:t>
      </w:r>
      <w:r>
        <w:t>guidance to retailers when establishing customers’ capacity to pay when negotiating payment plans. R</w:t>
      </w:r>
      <w:r w:rsidRPr="00012E94">
        <w:t>etailers are</w:t>
      </w:r>
      <w:r>
        <w:t xml:space="preserve"> already</w:t>
      </w:r>
      <w:r w:rsidRPr="00012E94">
        <w:t xml:space="preserve"> obliged, under their hardship policies, to have processes in place to identify custom</w:t>
      </w:r>
      <w:r w:rsidR="00A16FF6">
        <w:t xml:space="preserve">ers with payment difficulties. We also note that the </w:t>
      </w:r>
      <w:r w:rsidR="003A59E4">
        <w:t>Framework</w:t>
      </w:r>
      <w:r w:rsidR="00A16FF6">
        <w:t xml:space="preserve"> encourages retailers to be aware of the factors that can increase the risk of a customer requiring more intensive support.</w:t>
      </w:r>
    </w:p>
    <w:p w:rsidR="0057599C" w:rsidRDefault="008971F9" w:rsidP="0057599C">
      <w:pPr>
        <w:pStyle w:val="Bulletpoint"/>
        <w:numPr>
          <w:ilvl w:val="0"/>
          <w:numId w:val="0"/>
        </w:numPr>
      </w:pPr>
      <w:r>
        <w:t>W</w:t>
      </w:r>
      <w:r w:rsidR="0057599C">
        <w:t>e</w:t>
      </w:r>
      <w:r w:rsidR="0057599C" w:rsidRPr="00012E94">
        <w:t xml:space="preserve"> agree that early intervention is vital to ensuring that de</w:t>
      </w:r>
      <w:r w:rsidR="0057599C">
        <w:t>bts do not become unmanageable</w:t>
      </w:r>
      <w:r>
        <w:t>. However</w:t>
      </w:r>
      <w:r w:rsidR="0057599C">
        <w:t xml:space="preserve">, we do not consider </w:t>
      </w:r>
      <w:r w:rsidR="00A16FF6">
        <w:t xml:space="preserve">it is appropriate for the </w:t>
      </w:r>
      <w:r w:rsidR="003A59E4">
        <w:t>Framework</w:t>
      </w:r>
      <w:r w:rsidR="00A16FF6">
        <w:t xml:space="preserve"> to provide more prescriptive guidance about how retailers should seek to proactively identify customers with payment difficulties</w:t>
      </w:r>
      <w:r>
        <w:t xml:space="preserve">, particularly given existing obligations </w:t>
      </w:r>
      <w:r w:rsidR="00873D79">
        <w:t>under hardship policies</w:t>
      </w:r>
      <w:r w:rsidR="00A16FF6">
        <w:t xml:space="preserve">. </w:t>
      </w:r>
    </w:p>
    <w:p w:rsidR="0057599C" w:rsidRDefault="0057599C" w:rsidP="0057599C">
      <w:pPr>
        <w:pStyle w:val="Bulletpoint"/>
        <w:numPr>
          <w:ilvl w:val="0"/>
          <w:numId w:val="0"/>
        </w:numPr>
      </w:pPr>
      <w:r>
        <w:t xml:space="preserve">We also received feedback that particular types of assistance should be required by the </w:t>
      </w:r>
      <w:r w:rsidR="003A59E4">
        <w:t>Framework</w:t>
      </w:r>
      <w:r>
        <w:t xml:space="preserve">, including home energy audits and debt waivers. </w:t>
      </w:r>
    </w:p>
    <w:p w:rsidR="001D027A" w:rsidRDefault="001D027A" w:rsidP="001D027A">
      <w:pPr>
        <w:pStyle w:val="Bulletpoint"/>
        <w:numPr>
          <w:ilvl w:val="0"/>
          <w:numId w:val="0"/>
        </w:numPr>
      </w:pPr>
      <w:r w:rsidRPr="00012E94">
        <w:t>We also agr</w:t>
      </w:r>
      <w:r w:rsidR="0057599C">
        <w:t xml:space="preserve">ee that hardship assistance, such as </w:t>
      </w:r>
      <w:r w:rsidRPr="00012E94">
        <w:t>home energy audits and debt waivers</w:t>
      </w:r>
      <w:r w:rsidR="0057599C">
        <w:t>,</w:t>
      </w:r>
      <w:r w:rsidRPr="00012E94">
        <w:t xml:space="preserve"> can be very helpful. The </w:t>
      </w:r>
      <w:r w:rsidR="003A59E4">
        <w:t>Framework</w:t>
      </w:r>
      <w:r w:rsidRPr="00012E94">
        <w:t xml:space="preserve"> encourages retailers to offer assistance like this wherever possible, particularly for Option C customers and other customers who appear to be at high risk for further payment difficulties. The </w:t>
      </w:r>
      <w:r w:rsidR="003A59E4">
        <w:t>Framework</w:t>
      </w:r>
      <w:r w:rsidRPr="00012E94">
        <w:t xml:space="preserve"> also states that retailers should offer Centrepay and conduct concession checks to every customer who receives income from Centrelink, as this is a very easy way to assist this particular group of vulnerable customers. However, beyond this, we consider that each retailer should retain some flexibility to decide what assistance is most appropriate in each individual situation.     </w:t>
      </w:r>
    </w:p>
    <w:p w:rsidR="001D027A" w:rsidRDefault="001D027A" w:rsidP="004635FA">
      <w:pPr>
        <w:pStyle w:val="Numbered111"/>
        <w:numPr>
          <w:ilvl w:val="2"/>
          <w:numId w:val="38"/>
        </w:numPr>
      </w:pPr>
      <w:bookmarkStart w:id="118" w:name="_Toc455748908"/>
      <w:r>
        <w:t>Levels of assistance</w:t>
      </w:r>
      <w:r w:rsidR="003741ED">
        <w:t xml:space="preserve"> – options A, B and C</w:t>
      </w:r>
      <w:bookmarkEnd w:id="118"/>
    </w:p>
    <w:p w:rsidR="00A16FF6" w:rsidRDefault="00A16FF6" w:rsidP="001D027A">
      <w:pPr>
        <w:pStyle w:val="Bulletpoint"/>
        <w:numPr>
          <w:ilvl w:val="0"/>
          <w:numId w:val="0"/>
        </w:numPr>
      </w:pPr>
      <w:r>
        <w:t>Some</w:t>
      </w:r>
      <w:r w:rsidR="001D027A" w:rsidRPr="00C37B36">
        <w:t xml:space="preserve"> submissions noted the change in timeframes for Option A and Option B, and argued that longer timeframes make payment plans more affordable.</w:t>
      </w:r>
    </w:p>
    <w:p w:rsidR="001D027A" w:rsidRDefault="001D027A" w:rsidP="001D027A">
      <w:pPr>
        <w:pStyle w:val="Bulletpoint"/>
        <w:numPr>
          <w:ilvl w:val="0"/>
          <w:numId w:val="0"/>
        </w:numPr>
      </w:pPr>
      <w:r>
        <w:t>One retailer suggested that the "commercial reality of Option A does not lend itself to a period of 12 months, but that a period of between 6 and 12 months would be viable".</w:t>
      </w:r>
      <w:r>
        <w:rPr>
          <w:rStyle w:val="FootnoteReference"/>
        </w:rPr>
        <w:footnoteReference w:id="15"/>
      </w:r>
    </w:p>
    <w:p w:rsidR="00A16FF6" w:rsidRDefault="003741ED" w:rsidP="001D027A">
      <w:r>
        <w:t>To clarify our position</w:t>
      </w:r>
      <w:r w:rsidR="001D027A" w:rsidRPr="00C37B36">
        <w:t>, the</w:t>
      </w:r>
      <w:r w:rsidR="001D027A">
        <w:t xml:space="preserve"> timeframes under Options A, B and C</w:t>
      </w:r>
      <w:r w:rsidR="001D027A" w:rsidRPr="00C37B36">
        <w:t xml:space="preserve"> are</w:t>
      </w:r>
      <w:r w:rsidR="001D027A">
        <w:t xml:space="preserve"> </w:t>
      </w:r>
      <w:r w:rsidR="00A16FF6">
        <w:t xml:space="preserve">intended to indicate the </w:t>
      </w:r>
      <w:r w:rsidR="00A16FF6" w:rsidRPr="00A16FF6">
        <w:rPr>
          <w:rStyle w:val="Emphasis"/>
        </w:rPr>
        <w:t>level of assistance</w:t>
      </w:r>
      <w:r w:rsidR="00A16FF6">
        <w:t xml:space="preserve"> a customer is likely to require, rather than a fixed repayment period. </w:t>
      </w:r>
    </w:p>
    <w:p w:rsidR="00A16FF6" w:rsidRDefault="00373366" w:rsidP="001D027A">
      <w:r>
        <w:t>In summary</w:t>
      </w:r>
      <w:r w:rsidR="003741ED">
        <w:t xml:space="preserve">, the </w:t>
      </w:r>
      <w:r w:rsidR="003A59E4">
        <w:t>Framework</w:t>
      </w:r>
      <w:r>
        <w:t xml:space="preserve"> highlights that:</w:t>
      </w:r>
    </w:p>
    <w:p w:rsidR="00A16FF6" w:rsidRDefault="00A16FF6" w:rsidP="00A16FF6">
      <w:pPr>
        <w:pStyle w:val="ListParagraph"/>
        <w:numPr>
          <w:ilvl w:val="0"/>
          <w:numId w:val="47"/>
        </w:numPr>
      </w:pPr>
      <w:r>
        <w:lastRenderedPageBreak/>
        <w:t>a customer who can pay of their debt in less than 12 months (Option A) is unlikely to require a high level of additional support</w:t>
      </w:r>
    </w:p>
    <w:p w:rsidR="00A16FF6" w:rsidRDefault="003556FE" w:rsidP="00A16FF6">
      <w:pPr>
        <w:pStyle w:val="ListParagraph"/>
        <w:numPr>
          <w:ilvl w:val="0"/>
          <w:numId w:val="47"/>
        </w:numPr>
      </w:pPr>
      <w:r>
        <w:t>a customer who will need 12-18</w:t>
      </w:r>
      <w:r w:rsidR="00A16FF6">
        <w:t xml:space="preserve"> months to </w:t>
      </w:r>
      <w:r>
        <w:t>repay their debt (Option B) is likely to require assistance and retailers should consider what would help in the circumstance</w:t>
      </w:r>
    </w:p>
    <w:p w:rsidR="003556FE" w:rsidRDefault="003556FE" w:rsidP="00A16FF6">
      <w:pPr>
        <w:pStyle w:val="ListParagraph"/>
        <w:numPr>
          <w:ilvl w:val="0"/>
          <w:numId w:val="47"/>
        </w:numPr>
      </w:pPr>
      <w:r>
        <w:t>a customer who requires more than 18 months to repay their debt or who can’t pay their ongoing consumption (Option C) will require more intensive retailer assistance</w:t>
      </w:r>
      <w:r w:rsidR="00373366">
        <w:t>.</w:t>
      </w:r>
    </w:p>
    <w:p w:rsidR="003741ED" w:rsidRDefault="003741ED" w:rsidP="00C64F72">
      <w:pPr>
        <w:pStyle w:val="Numbered111"/>
        <w:keepNext/>
        <w:numPr>
          <w:ilvl w:val="2"/>
          <w:numId w:val="38"/>
        </w:numPr>
      </w:pPr>
      <w:bookmarkStart w:id="119" w:name="_Toc455748909"/>
      <w:r>
        <w:t>Financial counsellors</w:t>
      </w:r>
      <w:bookmarkStart w:id="120" w:name="_Toc451336729"/>
      <w:bookmarkEnd w:id="120"/>
      <w:bookmarkEnd w:id="119"/>
    </w:p>
    <w:p w:rsidR="00CA19EE" w:rsidRPr="005B71AD" w:rsidRDefault="005B71AD" w:rsidP="00C64F72">
      <w:pPr>
        <w:keepNext/>
      </w:pPr>
      <w:r w:rsidRPr="005B71AD">
        <w:t>Financial counsellors and their representatives emphasised that a retailer referring a customer to their services should be seen as a step to be taken only after a retailer has made a genuine attempt to reach an acceptable outcome with a customer. They also stated that customers should not be compelled to see financial counsellors.</w:t>
      </w:r>
    </w:p>
    <w:p w:rsidR="00373366" w:rsidRPr="005B71AD" w:rsidRDefault="005B71AD" w:rsidP="004635FA">
      <w:r w:rsidRPr="005B71AD">
        <w:t xml:space="preserve">In this context, Kildonan </w:t>
      </w:r>
      <w:r w:rsidR="00173F1B">
        <w:t xml:space="preserve">UnitingCare (Kildonan) </w:t>
      </w:r>
      <w:r w:rsidR="008061FA" w:rsidRPr="005B71AD">
        <w:t>recommend</w:t>
      </w:r>
      <w:r w:rsidR="00173F1B">
        <w:t>ed</w:t>
      </w:r>
      <w:r w:rsidR="008061FA" w:rsidRPr="005B71AD">
        <w:t xml:space="preserve"> </w:t>
      </w:r>
      <w:r w:rsidRPr="005B71AD">
        <w:t>we amend the framework to state</w:t>
      </w:r>
      <w:r w:rsidR="008061FA" w:rsidRPr="005B71AD">
        <w:t xml:space="preserve"> referral to a financial counsellor must not be a prerequisite to starting </w:t>
      </w:r>
      <w:r w:rsidRPr="005B71AD">
        <w:t>‘</w:t>
      </w:r>
      <w:r w:rsidR="008061FA" w:rsidRPr="005B71AD">
        <w:rPr>
          <w:rStyle w:val="Emphasis"/>
        </w:rPr>
        <w:t>or continuing on</w:t>
      </w:r>
      <w:r w:rsidRPr="005B71AD">
        <w:rPr>
          <w:rStyle w:val="Emphasis"/>
        </w:rPr>
        <w:t>’</w:t>
      </w:r>
      <w:r w:rsidR="008061FA" w:rsidRPr="005B71AD">
        <w:rPr>
          <w:rStyle w:val="Emphasis"/>
        </w:rPr>
        <w:t xml:space="preserve"> </w:t>
      </w:r>
      <w:r w:rsidR="008061FA" w:rsidRPr="005B71AD">
        <w:t>a payment plan</w:t>
      </w:r>
      <w:bookmarkStart w:id="121" w:name="_Toc451336730"/>
      <w:bookmarkEnd w:id="121"/>
      <w:r w:rsidRPr="005B71AD">
        <w:t>, stating: “</w:t>
      </w:r>
      <w:r w:rsidR="008061FA" w:rsidRPr="005B71AD">
        <w:t>We believe this is a necessary and important distinction to recognise that financial counselling services (and</w:t>
      </w:r>
      <w:r w:rsidR="00CA19EE" w:rsidRPr="005B71AD">
        <w:t xml:space="preserve"> </w:t>
      </w:r>
      <w:r w:rsidR="008061FA" w:rsidRPr="005B71AD">
        <w:t>other community supports) should be seen by energy retailers as supplementary options to assist customers in</w:t>
      </w:r>
      <w:r w:rsidR="00CA19EE" w:rsidRPr="005B71AD">
        <w:t xml:space="preserve"> </w:t>
      </w:r>
      <w:r w:rsidR="008061FA" w:rsidRPr="005B71AD">
        <w:t>difficulty and not as mandatory obligations on them.</w:t>
      </w:r>
      <w:bookmarkStart w:id="122" w:name="_Toc451336731"/>
      <w:bookmarkEnd w:id="122"/>
      <w:r w:rsidRPr="005B71AD">
        <w:t>”</w:t>
      </w:r>
      <w:r>
        <w:rPr>
          <w:rStyle w:val="FootnoteReference"/>
        </w:rPr>
        <w:footnoteReference w:id="16"/>
      </w:r>
    </w:p>
    <w:p w:rsidR="005B71AD" w:rsidRPr="005B71AD" w:rsidRDefault="005B71AD" w:rsidP="004635FA">
      <w:pPr>
        <w:rPr>
          <w:highlight w:val="yellow"/>
        </w:rPr>
      </w:pPr>
      <w:r w:rsidRPr="005B71AD">
        <w:t>Our view is that this recommendation is a logical extension of our initial position, and represents a good practice approach. We have updated the Framework in line with Kildonan’s recommendation.</w:t>
      </w:r>
      <w:bookmarkStart w:id="123" w:name="_Toc451336732"/>
      <w:bookmarkEnd w:id="123"/>
    </w:p>
    <w:p w:rsidR="001D027A" w:rsidRDefault="001D027A" w:rsidP="001D027A">
      <w:pPr>
        <w:pStyle w:val="Heading2"/>
        <w:numPr>
          <w:ilvl w:val="1"/>
          <w:numId w:val="38"/>
        </w:numPr>
        <w:tabs>
          <w:tab w:val="left" w:pos="680"/>
        </w:tabs>
      </w:pPr>
      <w:bookmarkStart w:id="124" w:name="_Toc455748910"/>
      <w:r>
        <w:t>Issue three: Inactive account customers</w:t>
      </w:r>
      <w:bookmarkEnd w:id="124"/>
    </w:p>
    <w:p w:rsidR="003741ED" w:rsidRDefault="003741ED" w:rsidP="00CA19EE">
      <w:pPr>
        <w:pStyle w:val="Heading4"/>
      </w:pPr>
      <w:r>
        <w:t>Our preliminary position</w:t>
      </w:r>
    </w:p>
    <w:p w:rsidR="001D027A" w:rsidRDefault="00373366" w:rsidP="001D027A">
      <w:r>
        <w:t>During early discussions,</w:t>
      </w:r>
      <w:r w:rsidR="001D027A">
        <w:t xml:space="preserve"> consumer stakeholders commented that the </w:t>
      </w:r>
      <w:r w:rsidR="003A59E4">
        <w:t>Framework</w:t>
      </w:r>
      <w:r w:rsidR="001D027A">
        <w:t xml:space="preserve"> should apply to retailers' engagement customers who no longer had an energy supply with a retailer (e.g. had moved to another retailer), but still had a debt with them that had not yet been referred to a debt collection agency.</w:t>
      </w:r>
      <w:r>
        <w:t xml:space="preserve"> </w:t>
      </w:r>
    </w:p>
    <w:p w:rsidR="001D027A" w:rsidRDefault="001D027A" w:rsidP="001D027A">
      <w:r>
        <w:t xml:space="preserve">Overall, retailers saw no issues applying the </w:t>
      </w:r>
      <w:r w:rsidR="003A59E4">
        <w:t>Framework</w:t>
      </w:r>
      <w:r>
        <w:t xml:space="preserve">'s broader principles to their engagement with these customers. However some retailers noted that applying the </w:t>
      </w:r>
      <w:r w:rsidR="003A59E4">
        <w:t>Framework</w:t>
      </w:r>
      <w:r>
        <w:t>'s processes for this group of customers could increase administration costs as they would have to put additional resources into managing this group</w:t>
      </w:r>
      <w:r w:rsidR="00373366">
        <w:t>.</w:t>
      </w:r>
    </w:p>
    <w:p w:rsidR="0041012E" w:rsidRDefault="001D027A" w:rsidP="001D027A">
      <w:r>
        <w:t xml:space="preserve">Our view is that </w:t>
      </w:r>
      <w:r w:rsidRPr="00A11A52">
        <w:t xml:space="preserve">it is good practice for retailers to give inactive account customers with a debt a reasonable opportunity to repay the amount owed, taking into account what a customer can reasonably afford, and apply the </w:t>
      </w:r>
      <w:r w:rsidR="003A59E4">
        <w:t>Framework</w:t>
      </w:r>
      <w:r w:rsidRPr="00A11A52">
        <w:t>’s principles of flexibility, consistency, empathy and respect when negotiating these repayment plans.</w:t>
      </w:r>
      <w:r w:rsidR="00373366" w:rsidRPr="00373366">
        <w:t xml:space="preserve"> </w:t>
      </w:r>
    </w:p>
    <w:p w:rsidR="00373366" w:rsidRDefault="00373366" w:rsidP="00373366">
      <w:r>
        <w:lastRenderedPageBreak/>
        <w:t>We also note that existing guidelines for the debt collection industry</w:t>
      </w:r>
      <w:r>
        <w:rPr>
          <w:rStyle w:val="FootnoteReference"/>
        </w:rPr>
        <w:footnoteReference w:id="17"/>
      </w:r>
      <w:r>
        <w:t xml:space="preserve"> highlight that it is good practice for debt agencies to adopt a '</w:t>
      </w:r>
      <w:r w:rsidRPr="000D5875">
        <w:t>flexible and</w:t>
      </w:r>
      <w:r>
        <w:t xml:space="preserve"> realistic approach to repayment </w:t>
      </w:r>
      <w:r w:rsidRPr="000D5875">
        <w:t>arrangements</w:t>
      </w:r>
      <w:r>
        <w:t>'.</w:t>
      </w:r>
    </w:p>
    <w:p w:rsidR="001D027A" w:rsidRDefault="00373366" w:rsidP="001D027A">
      <w:r>
        <w:t xml:space="preserve">While we recognise stakeholders' concerns about retailer's use of debt collection agencies, and the </w:t>
      </w:r>
      <w:r w:rsidRPr="00EA1C1F">
        <w:t>practices of some agencies</w:t>
      </w:r>
      <w:r>
        <w:t xml:space="preserve"> in particular, our view is this </w:t>
      </w:r>
      <w:r w:rsidR="003A59E4">
        <w:t>Framework</w:t>
      </w:r>
      <w:r>
        <w:t xml:space="preserve"> is not the appropriate means to address these issues.</w:t>
      </w:r>
    </w:p>
    <w:p w:rsidR="00373366" w:rsidRDefault="004635FA" w:rsidP="00CA19EE">
      <w:pPr>
        <w:pStyle w:val="Heading4"/>
      </w:pPr>
      <w:r>
        <w:t>Stakeholder feedback</w:t>
      </w:r>
    </w:p>
    <w:p w:rsidR="00F25B8E" w:rsidRDefault="001D027A" w:rsidP="001D027A">
      <w:r>
        <w:t xml:space="preserve">The majority of submissions were supportive of applying the </w:t>
      </w:r>
      <w:r w:rsidR="003A59E4">
        <w:t>Framework</w:t>
      </w:r>
      <w:r>
        <w:t xml:space="preserve">'s principles to inactive account customers. </w:t>
      </w:r>
      <w:r w:rsidR="00173F1B">
        <w:t>FRLC,</w:t>
      </w:r>
      <w:r>
        <w:t xml:space="preserve"> for example, noted that there are many reasons why a customer may switch retailers and leave a debt behind, including family breakdown, homelessness or not being aware of the debt.</w:t>
      </w:r>
      <w:r>
        <w:rPr>
          <w:rStyle w:val="FootnoteReference"/>
        </w:rPr>
        <w:footnoteReference w:id="18"/>
      </w:r>
      <w:r>
        <w:t xml:space="preserve"> </w:t>
      </w:r>
    </w:p>
    <w:p w:rsidR="001D027A" w:rsidRDefault="001D027A" w:rsidP="001D027A">
      <w:r>
        <w:t xml:space="preserve">FRLC argued that the entire </w:t>
      </w:r>
      <w:r w:rsidR="003A59E4">
        <w:t>Framework</w:t>
      </w:r>
      <w:r>
        <w:t xml:space="preserve"> should apply to inactive account customers, and noted that the ASIC/ACCC Debt Collection Guidelines applies to both active and inactive customers.</w:t>
      </w:r>
    </w:p>
    <w:p w:rsidR="001D027A" w:rsidRDefault="001D027A" w:rsidP="001D027A">
      <w:r>
        <w:t>One retailer submission suggested that applying the principles to inactive accounts would not be sustainable for longer term management</w:t>
      </w:r>
      <w:r w:rsidR="00195064">
        <w:t>.</w:t>
      </w:r>
    </w:p>
    <w:p w:rsidR="004635FA" w:rsidRPr="00D61DDC" w:rsidRDefault="004635FA" w:rsidP="00CA19EE">
      <w:pPr>
        <w:pStyle w:val="Heading4"/>
      </w:pPr>
      <w:r>
        <w:t xml:space="preserve">Our </w:t>
      </w:r>
      <w:r w:rsidR="0041012E">
        <w:t>response</w:t>
      </w:r>
    </w:p>
    <w:p w:rsidR="00195064" w:rsidRDefault="001D027A" w:rsidP="001D027A">
      <w:r>
        <w:t xml:space="preserve">We continue to believe that the </w:t>
      </w:r>
      <w:r w:rsidR="003A59E4">
        <w:t>Framework</w:t>
      </w:r>
      <w:r>
        <w:t xml:space="preserve">'s </w:t>
      </w:r>
      <w:r w:rsidRPr="00F0778B">
        <w:rPr>
          <w:rStyle w:val="Emphasis"/>
          <w:i w:val="0"/>
        </w:rPr>
        <w:t>principles</w:t>
      </w:r>
      <w:r>
        <w:t xml:space="preserve"> should be applied to inactive account customers. While the good practice </w:t>
      </w:r>
      <w:r w:rsidRPr="00F0778B">
        <w:rPr>
          <w:rStyle w:val="Emphasis"/>
          <w:i w:val="0"/>
        </w:rPr>
        <w:t>chart</w:t>
      </w:r>
      <w:r w:rsidRPr="00B930DA">
        <w:rPr>
          <w:i/>
        </w:rPr>
        <w:t xml:space="preserve"> </w:t>
      </w:r>
      <w:r>
        <w:t xml:space="preserve">contains elements that may be helpful when dealing with inactive customers, it also contains numerous references to ongoing usage that make it inappropriate for the </w:t>
      </w:r>
      <w:r w:rsidR="003A59E4">
        <w:t>Framework</w:t>
      </w:r>
      <w:r>
        <w:t xml:space="preserve"> to apply in full to these types of customers. </w:t>
      </w:r>
    </w:p>
    <w:p w:rsidR="00F25B8E" w:rsidRDefault="001D027A" w:rsidP="001D027A">
      <w:r>
        <w:t xml:space="preserve">We </w:t>
      </w:r>
      <w:r w:rsidR="00195064">
        <w:t xml:space="preserve">recognise, however, </w:t>
      </w:r>
      <w:r>
        <w:t xml:space="preserve">that it is beneficial that the </w:t>
      </w:r>
      <w:r w:rsidR="003A59E4">
        <w:t>Framework</w:t>
      </w:r>
      <w:r>
        <w:t xml:space="preserve"> include a statement to clarify this position. </w:t>
      </w:r>
    </w:p>
    <w:p w:rsidR="00195064" w:rsidRDefault="00F25B8E" w:rsidP="001D027A">
      <w:pPr>
        <w:rPr>
          <w:b/>
          <w:bCs/>
        </w:rPr>
      </w:pPr>
      <w:r w:rsidRPr="00F25B8E">
        <w:rPr>
          <w:b/>
          <w:bCs/>
        </w:rPr>
        <w:t xml:space="preserve">We have </w:t>
      </w:r>
      <w:r w:rsidR="00195064">
        <w:rPr>
          <w:b/>
          <w:bCs/>
        </w:rPr>
        <w:t>updated</w:t>
      </w:r>
      <w:r w:rsidRPr="00F25B8E">
        <w:rPr>
          <w:b/>
          <w:bCs/>
        </w:rPr>
        <w:t xml:space="preserve"> the </w:t>
      </w:r>
      <w:r w:rsidR="003A59E4">
        <w:rPr>
          <w:b/>
          <w:bCs/>
        </w:rPr>
        <w:t>Framework</w:t>
      </w:r>
      <w:r w:rsidRPr="00F25B8E">
        <w:rPr>
          <w:b/>
          <w:bCs/>
        </w:rPr>
        <w:t xml:space="preserve">’s Introduction to clarify how the </w:t>
      </w:r>
      <w:r w:rsidR="003A59E4">
        <w:rPr>
          <w:b/>
          <w:bCs/>
        </w:rPr>
        <w:t>Framework</w:t>
      </w:r>
      <w:r w:rsidRPr="00F25B8E">
        <w:rPr>
          <w:b/>
          <w:bCs/>
        </w:rPr>
        <w:t xml:space="preserve"> should apply to this customer group.</w:t>
      </w:r>
    </w:p>
    <w:p w:rsidR="001D027A" w:rsidRDefault="001D027A" w:rsidP="004635FA">
      <w:pPr>
        <w:pStyle w:val="Heading2"/>
        <w:numPr>
          <w:ilvl w:val="1"/>
          <w:numId w:val="38"/>
        </w:numPr>
        <w:tabs>
          <w:tab w:val="left" w:pos="680"/>
        </w:tabs>
      </w:pPr>
      <w:bookmarkStart w:id="125" w:name="_Toc455748911"/>
      <w:r>
        <w:t>Issue four: Small business customers</w:t>
      </w:r>
      <w:bookmarkStart w:id="126" w:name="_Toc448238388"/>
      <w:bookmarkStart w:id="127" w:name="_Toc448238509"/>
      <w:bookmarkStart w:id="128" w:name="_Toc448238389"/>
      <w:bookmarkStart w:id="129" w:name="_Toc448238510"/>
      <w:bookmarkStart w:id="130" w:name="_Toc448238390"/>
      <w:bookmarkStart w:id="131" w:name="_Toc448238511"/>
      <w:bookmarkStart w:id="132" w:name="_Toc448238391"/>
      <w:bookmarkStart w:id="133" w:name="_Toc448238512"/>
      <w:bookmarkStart w:id="134" w:name="_Toc448238392"/>
      <w:bookmarkStart w:id="135" w:name="_Toc448238513"/>
      <w:bookmarkStart w:id="136" w:name="_Toc448238395"/>
      <w:bookmarkStart w:id="137" w:name="_Toc448238516"/>
      <w:bookmarkStart w:id="138" w:name="_Toc448238397"/>
      <w:bookmarkStart w:id="139" w:name="_Toc448238518"/>
      <w:bookmarkStart w:id="140" w:name="_Toc448238398"/>
      <w:bookmarkStart w:id="141" w:name="_Toc448238519"/>
      <w:bookmarkStart w:id="142" w:name="_Toc448238399"/>
      <w:bookmarkStart w:id="143" w:name="_Toc448238520"/>
      <w:bookmarkStart w:id="144" w:name="_Toc448238400"/>
      <w:bookmarkStart w:id="145" w:name="_Toc448238521"/>
      <w:bookmarkStart w:id="146" w:name="_Toc448238401"/>
      <w:bookmarkStart w:id="147" w:name="_Toc448238522"/>
      <w:bookmarkStart w:id="148" w:name="_Toc448238403"/>
      <w:bookmarkStart w:id="149" w:name="_Toc448238524"/>
      <w:bookmarkStart w:id="150" w:name="_Toc448238406"/>
      <w:bookmarkStart w:id="151" w:name="_Toc448238527"/>
      <w:bookmarkStart w:id="152" w:name="_Toc448238407"/>
      <w:bookmarkStart w:id="153" w:name="_Toc448238528"/>
      <w:bookmarkStart w:id="154" w:name="_Toc448238408"/>
      <w:bookmarkStart w:id="155" w:name="_Toc448238529"/>
      <w:bookmarkStart w:id="156" w:name="_Toc448238409"/>
      <w:bookmarkStart w:id="157" w:name="_Toc448238530"/>
      <w:bookmarkStart w:id="158" w:name="_Toc448238412"/>
      <w:bookmarkStart w:id="159" w:name="_Toc448238533"/>
      <w:bookmarkStart w:id="160" w:name="_Toc448238414"/>
      <w:bookmarkStart w:id="161" w:name="_Toc448238535"/>
      <w:bookmarkStart w:id="162" w:name="_Toc448238415"/>
      <w:bookmarkStart w:id="163" w:name="_Toc448238536"/>
      <w:bookmarkStart w:id="164" w:name="_Toc448238417"/>
      <w:bookmarkStart w:id="165" w:name="_Toc448238538"/>
      <w:bookmarkStart w:id="166" w:name="_Toc448238418"/>
      <w:bookmarkStart w:id="167" w:name="_Toc448238539"/>
      <w:bookmarkStart w:id="168" w:name="_Toc443317311"/>
      <w:bookmarkStart w:id="169" w:name="_Toc443381022"/>
      <w:bookmarkStart w:id="170" w:name="_Toc443317312"/>
      <w:bookmarkStart w:id="171" w:name="_Toc443381023"/>
      <w:bookmarkStart w:id="172" w:name="_Toc443317313"/>
      <w:bookmarkStart w:id="173" w:name="_Toc443381024"/>
      <w:bookmarkStart w:id="174" w:name="_Toc443317314"/>
      <w:bookmarkStart w:id="175" w:name="_Toc443381025"/>
      <w:bookmarkStart w:id="176" w:name="_Toc448238419"/>
      <w:bookmarkStart w:id="177" w:name="_Toc448238540"/>
      <w:bookmarkStart w:id="178" w:name="_Toc448238423"/>
      <w:bookmarkStart w:id="179" w:name="_Toc448238544"/>
      <w:bookmarkStart w:id="180" w:name="_Toc448238424"/>
      <w:bookmarkStart w:id="181" w:name="_Toc448238545"/>
      <w:bookmarkStart w:id="182" w:name="_Toc448238425"/>
      <w:bookmarkStart w:id="183" w:name="_Toc448238546"/>
      <w:bookmarkStart w:id="184" w:name="_Toc44331731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25"/>
    </w:p>
    <w:p w:rsidR="004635FA" w:rsidRDefault="004635FA" w:rsidP="00CA19EE">
      <w:pPr>
        <w:pStyle w:val="Heading4"/>
      </w:pPr>
      <w:r>
        <w:t>Our preliminary position</w:t>
      </w:r>
    </w:p>
    <w:p w:rsidR="001D027A" w:rsidRPr="00277FDF" w:rsidRDefault="001D027A" w:rsidP="001D027A">
      <w:r w:rsidRPr="00277FDF">
        <w:t xml:space="preserve">The sections of the </w:t>
      </w:r>
      <w:r>
        <w:t>NERL and NERR</w:t>
      </w:r>
      <w:r w:rsidRPr="00277FDF">
        <w:t xml:space="preserve"> that deal with payment plans</w:t>
      </w:r>
      <w:r>
        <w:rPr>
          <w:rStyle w:val="FootnoteReference"/>
        </w:rPr>
        <w:footnoteReference w:id="19"/>
      </w:r>
      <w:r w:rsidRPr="00277FDF">
        <w:t xml:space="preserve"> apply </w:t>
      </w:r>
      <w:r w:rsidR="00873D79">
        <w:t>only</w:t>
      </w:r>
      <w:r w:rsidR="0041012E">
        <w:t xml:space="preserve"> </w:t>
      </w:r>
      <w:r w:rsidRPr="00277FDF">
        <w:t>to residential customers</w:t>
      </w:r>
      <w:r>
        <w:t>, including hardship customers and customers experiencing financial difficulties</w:t>
      </w:r>
      <w:r w:rsidRPr="00277FDF">
        <w:t>.</w:t>
      </w:r>
    </w:p>
    <w:p w:rsidR="001D027A" w:rsidRDefault="001D027A" w:rsidP="001D027A">
      <w:r w:rsidRPr="00277FDF">
        <w:t xml:space="preserve">During our initial discussions, some stakeholders commented that small business customers (including </w:t>
      </w:r>
      <w:r>
        <w:t>farmers</w:t>
      </w:r>
      <w:r w:rsidRPr="00277FDF">
        <w:t xml:space="preserve">) commonly have incomes that vary by season, meaning it may be more difficult for them to meet payments at certain times of year. They commented that this </w:t>
      </w:r>
      <w:r w:rsidRPr="00277FDF">
        <w:lastRenderedPageBreak/>
        <w:t xml:space="preserve">customer group would benefit from having the </w:t>
      </w:r>
      <w:r w:rsidR="003A59E4">
        <w:t>Framework</w:t>
      </w:r>
      <w:r w:rsidRPr="00277FDF">
        <w:t xml:space="preserve">’s principles and </w:t>
      </w:r>
      <w:r>
        <w:t>guidance</w:t>
      </w:r>
      <w:r w:rsidRPr="00277FDF">
        <w:t xml:space="preserve"> apply to them.</w:t>
      </w:r>
    </w:p>
    <w:p w:rsidR="001D027A" w:rsidRDefault="001D027A" w:rsidP="001D027A">
      <w:r>
        <w:t>However, retailers</w:t>
      </w:r>
      <w:r w:rsidRPr="007B1DD4">
        <w:t xml:space="preserve"> </w:t>
      </w:r>
      <w:r>
        <w:t>said their</w:t>
      </w:r>
      <w:r w:rsidRPr="007B1DD4">
        <w:t xml:space="preserve"> processes for dealing with payment plans for residential customers</w:t>
      </w:r>
      <w:r>
        <w:t xml:space="preserve"> </w:t>
      </w:r>
      <w:r w:rsidRPr="007B1DD4">
        <w:t xml:space="preserve">should continue to be dealt with separately from small business debt, and that it would be inappropriate for the </w:t>
      </w:r>
      <w:r w:rsidR="003A59E4">
        <w:t>Framework</w:t>
      </w:r>
      <w:r w:rsidRPr="007B1DD4">
        <w:t xml:space="preserve"> to be extended to small business customers.</w:t>
      </w:r>
      <w:r w:rsidR="00195064">
        <w:t xml:space="preserve"> In particular, they noted legal risks to retailers related to assisting insolvent businesses</w:t>
      </w:r>
    </w:p>
    <w:p w:rsidR="001D027A" w:rsidRDefault="001D027A" w:rsidP="001D027A">
      <w:r>
        <w:t>While there is no formal obligation under the NERL or NERR for retailers to offer payment plans to small business customers experiencing payment difficulties, we recognise that many retailers already have existing processes in place to allow small business customers a level of flexibility</w:t>
      </w:r>
      <w:r w:rsidRPr="00B77660">
        <w:t xml:space="preserve"> </w:t>
      </w:r>
      <w:r>
        <w:t xml:space="preserve">when negotiating the repayment of arrears. </w:t>
      </w:r>
    </w:p>
    <w:p w:rsidR="004635FA" w:rsidRDefault="004635FA" w:rsidP="00CA19EE">
      <w:pPr>
        <w:pStyle w:val="Heading4"/>
      </w:pPr>
      <w:r>
        <w:t>Stakeholder feedback</w:t>
      </w:r>
    </w:p>
    <w:p w:rsidR="00195064" w:rsidRDefault="00195064" w:rsidP="001D027A">
      <w:r>
        <w:t xml:space="preserve">In the consultation we sought feedback on our preliminary position that the </w:t>
      </w:r>
      <w:r w:rsidR="003A59E4">
        <w:t>Framework</w:t>
      </w:r>
      <w:r>
        <w:t xml:space="preserve"> not cover small business customers, but that:</w:t>
      </w:r>
    </w:p>
    <w:p w:rsidR="00195064" w:rsidRDefault="001D027A" w:rsidP="004635FA">
      <w:pPr>
        <w:pStyle w:val="Bulletpoint"/>
      </w:pPr>
      <w:r>
        <w:t xml:space="preserve">the </w:t>
      </w:r>
      <w:r w:rsidR="003A59E4">
        <w:t>Framework</w:t>
      </w:r>
      <w:r>
        <w:t>'s broader principles of fairness, empathy, respect and consistency, create a foundation for an effective standard of engagement that c</w:t>
      </w:r>
      <w:r w:rsidR="00195064">
        <w:t>an</w:t>
      </w:r>
      <w:r>
        <w:t xml:space="preserve"> be applied to any group of customers</w:t>
      </w:r>
    </w:p>
    <w:p w:rsidR="001D027A" w:rsidRDefault="001D027A" w:rsidP="004635FA">
      <w:pPr>
        <w:pStyle w:val="Bulletpoint"/>
      </w:pPr>
      <w:r>
        <w:t>retailers</w:t>
      </w:r>
      <w:r w:rsidR="00195064">
        <w:t xml:space="preserve"> should</w:t>
      </w:r>
      <w:r>
        <w:t xml:space="preserve"> consider ways to reflect these principles in their engagement with small business customers experiencing payment difficulties.</w:t>
      </w:r>
    </w:p>
    <w:p w:rsidR="001D027A" w:rsidRDefault="001D027A" w:rsidP="001D027A">
      <w:r>
        <w:t xml:space="preserve">There was wide support for </w:t>
      </w:r>
      <w:r w:rsidR="001F7132">
        <w:t>our</w:t>
      </w:r>
      <w:r>
        <w:t xml:space="preserve"> position that the principles in the </w:t>
      </w:r>
      <w:r w:rsidR="003A59E4">
        <w:t>Framework</w:t>
      </w:r>
      <w:r>
        <w:t xml:space="preserve"> can be applied to any group of customers, including small business customers. However, one retailer did suggest that while the high level principles are appropriate for dealings with small business customers, some of the dot point examples were not.</w:t>
      </w:r>
      <w:r>
        <w:rPr>
          <w:rStyle w:val="FootnoteReference"/>
        </w:rPr>
        <w:footnoteReference w:id="20"/>
      </w:r>
    </w:p>
    <w:p w:rsidR="00195064" w:rsidRDefault="001D027A" w:rsidP="001D027A">
      <w:r>
        <w:t xml:space="preserve">A small number of submissions noted that the draft </w:t>
      </w:r>
      <w:r w:rsidR="003A59E4">
        <w:t>Framework</w:t>
      </w:r>
      <w:r>
        <w:t xml:space="preserve"> has been written with residential customers in mind, and does not clearly state the different rights that apply to each type of customer. It was argued that this could lead to small business customers being misinformed of their rights, and that the </w:t>
      </w:r>
      <w:r w:rsidR="003A59E4">
        <w:t>Framework</w:t>
      </w:r>
      <w:r>
        <w:t xml:space="preserve"> and associated documents should clearly state that it applies only to residential customers. </w:t>
      </w:r>
    </w:p>
    <w:p w:rsidR="001D027A" w:rsidRDefault="001D027A" w:rsidP="004635FA">
      <w:r>
        <w:t xml:space="preserve">One stakeholder suggested that it would be unfair for a retailer with no residential customers to be perceived more negatively as a result of not </w:t>
      </w:r>
      <w:r w:rsidR="00195064">
        <w:t>being present of a published list of retailers who had adopted</w:t>
      </w:r>
      <w:r>
        <w:t xml:space="preserve"> the </w:t>
      </w:r>
      <w:r w:rsidR="003A59E4">
        <w:t>Framework</w:t>
      </w:r>
      <w:r>
        <w:t>.</w:t>
      </w:r>
      <w:r w:rsidR="00195064">
        <w:rPr>
          <w:rStyle w:val="FootnoteReference"/>
        </w:rPr>
        <w:footnoteReference w:id="21"/>
      </w:r>
    </w:p>
    <w:p w:rsidR="004635FA" w:rsidRDefault="004635FA" w:rsidP="00CA19EE">
      <w:pPr>
        <w:pStyle w:val="Heading4"/>
      </w:pPr>
      <w:r>
        <w:t>Our response</w:t>
      </w:r>
    </w:p>
    <w:p w:rsidR="003A59E4" w:rsidRDefault="001D027A" w:rsidP="001D027A">
      <w:r>
        <w:t xml:space="preserve">We continue to believe that it is appropriate to encourage retailers to consider ways to reflect the </w:t>
      </w:r>
      <w:r w:rsidR="003A59E4">
        <w:t>Framework</w:t>
      </w:r>
      <w:r>
        <w:t xml:space="preserve">'s principles in their engagement with small business customers experiencing payment difficulties. </w:t>
      </w:r>
    </w:p>
    <w:p w:rsidR="001D027A" w:rsidRDefault="001D027A" w:rsidP="001D027A">
      <w:r>
        <w:lastRenderedPageBreak/>
        <w:t>We</w:t>
      </w:r>
      <w:r w:rsidR="00FB513E">
        <w:t xml:space="preserve"> also</w:t>
      </w:r>
      <w:r>
        <w:t xml:space="preserve"> agree with suggestions that the </w:t>
      </w:r>
      <w:r w:rsidR="003A59E4">
        <w:t>Framework</w:t>
      </w:r>
      <w:r>
        <w:t xml:space="preserve"> document should include a statement </w:t>
      </w:r>
      <w:r w:rsidR="003A59E4">
        <w:t>clarifying that a retailer who adopts the Framework is committing to apply the principles and good practice actions to residential customers only.</w:t>
      </w:r>
    </w:p>
    <w:p w:rsidR="00505B88" w:rsidRDefault="00505B88" w:rsidP="00505B88">
      <w:pPr>
        <w:rPr>
          <w:b/>
          <w:bCs/>
        </w:rPr>
      </w:pPr>
      <w:r w:rsidRPr="00F25B8E">
        <w:rPr>
          <w:b/>
          <w:bCs/>
        </w:rPr>
        <w:t xml:space="preserve">We have </w:t>
      </w:r>
      <w:r>
        <w:rPr>
          <w:b/>
          <w:bCs/>
        </w:rPr>
        <w:t>updated</w:t>
      </w:r>
      <w:r w:rsidRPr="00F25B8E">
        <w:rPr>
          <w:b/>
          <w:bCs/>
        </w:rPr>
        <w:t xml:space="preserve"> the </w:t>
      </w:r>
      <w:r w:rsidR="003A59E4">
        <w:rPr>
          <w:b/>
          <w:bCs/>
        </w:rPr>
        <w:t>Framework</w:t>
      </w:r>
      <w:r w:rsidRPr="00F25B8E">
        <w:rPr>
          <w:b/>
          <w:bCs/>
        </w:rPr>
        <w:t xml:space="preserve">’s Introduction to clarify how the </w:t>
      </w:r>
      <w:r w:rsidR="003A59E4">
        <w:rPr>
          <w:b/>
          <w:bCs/>
        </w:rPr>
        <w:t>Framework</w:t>
      </w:r>
      <w:r w:rsidRPr="00F25B8E">
        <w:rPr>
          <w:b/>
          <w:bCs/>
        </w:rPr>
        <w:t xml:space="preserve"> should apply to </w:t>
      </w:r>
      <w:r>
        <w:rPr>
          <w:b/>
          <w:bCs/>
        </w:rPr>
        <w:t>small business customers.</w:t>
      </w:r>
    </w:p>
    <w:p w:rsidR="001D027A" w:rsidRDefault="001D027A" w:rsidP="001D027A">
      <w:pPr>
        <w:pStyle w:val="Heading2"/>
        <w:numPr>
          <w:ilvl w:val="1"/>
          <w:numId w:val="38"/>
        </w:numPr>
        <w:tabs>
          <w:tab w:val="left" w:pos="680"/>
        </w:tabs>
      </w:pPr>
      <w:bookmarkStart w:id="185" w:name="_Toc455748912"/>
      <w:r>
        <w:t>Issue five: Published list of retailers</w:t>
      </w:r>
      <w:bookmarkEnd w:id="185"/>
    </w:p>
    <w:p w:rsidR="001D027A" w:rsidRPr="00022909" w:rsidRDefault="004635FA" w:rsidP="004635FA">
      <w:pPr>
        <w:pStyle w:val="Heading4"/>
      </w:pPr>
      <w:r>
        <w:t>Our preliminary position</w:t>
      </w:r>
    </w:p>
    <w:p w:rsidR="00550D87" w:rsidRDefault="00550D87" w:rsidP="00550D87">
      <w:r>
        <w:t xml:space="preserve">In our consultation document, we sought comments on </w:t>
      </w:r>
      <w:r w:rsidR="00FE5D49">
        <w:t>our preliminary position</w:t>
      </w:r>
      <w:r w:rsidR="006D7F8A">
        <w:t xml:space="preserve"> that publishing a list of retailers who had adopted the </w:t>
      </w:r>
      <w:r w:rsidR="003A59E4">
        <w:t>Framework</w:t>
      </w:r>
      <w:r w:rsidR="006D7F8A">
        <w:t xml:space="preserve"> would:</w:t>
      </w:r>
    </w:p>
    <w:p w:rsidR="006D7F8A" w:rsidRDefault="003A59E4" w:rsidP="004635FA">
      <w:pPr>
        <w:pStyle w:val="Bulletpoint"/>
      </w:pPr>
      <w:r>
        <w:t>h</w:t>
      </w:r>
      <w:r w:rsidR="0076575B">
        <w:t xml:space="preserve">elp </w:t>
      </w:r>
      <w:r w:rsidR="006D7F8A">
        <w:t>customers and their representatives</w:t>
      </w:r>
      <w:r w:rsidR="0076575B">
        <w:t xml:space="preserve"> know what to expect when dealing with a retailer</w:t>
      </w:r>
    </w:p>
    <w:p w:rsidR="006D7F8A" w:rsidRDefault="006D7F8A" w:rsidP="004635FA">
      <w:pPr>
        <w:pStyle w:val="Bulletpoint"/>
      </w:pPr>
      <w:r>
        <w:t>provide positive recognition for retailers who ado</w:t>
      </w:r>
      <w:r w:rsidR="003A59E4">
        <w:t>pted the Framework</w:t>
      </w:r>
    </w:p>
    <w:p w:rsidR="006D7F8A" w:rsidRDefault="006D7F8A" w:rsidP="004635FA">
      <w:pPr>
        <w:pStyle w:val="Bulletpoint"/>
      </w:pPr>
      <w:r>
        <w:t>promote transparency and accountability</w:t>
      </w:r>
    </w:p>
    <w:p w:rsidR="006D7F8A" w:rsidRDefault="006D7F8A" w:rsidP="004635FA">
      <w:pPr>
        <w:pStyle w:val="Bulletpoint"/>
      </w:pPr>
      <w:r>
        <w:t xml:space="preserve">be more effective in improving standards across the sector than alternative approaches such as releasing the </w:t>
      </w:r>
      <w:r w:rsidR="003A59E4">
        <w:t>Framework</w:t>
      </w:r>
      <w:r>
        <w:t xml:space="preserve"> as a general guideline.</w:t>
      </w:r>
    </w:p>
    <w:p w:rsidR="007E779F" w:rsidRDefault="004635FA" w:rsidP="004635FA">
      <w:pPr>
        <w:pStyle w:val="Heading4"/>
      </w:pPr>
      <w:r>
        <w:t>Stakeholder feedback</w:t>
      </w:r>
    </w:p>
    <w:p w:rsidR="00550D87" w:rsidRDefault="00550D87" w:rsidP="00550D87">
      <w:r>
        <w:t>Stakeholders had a range of views on this issue.</w:t>
      </w:r>
    </w:p>
    <w:p w:rsidR="0076575B" w:rsidRDefault="00550D87" w:rsidP="004635FA">
      <w:r>
        <w:t xml:space="preserve">Consumer stakeholders overwhelmingly supported </w:t>
      </w:r>
      <w:r w:rsidR="003A59E4">
        <w:t>us publishing a list</w:t>
      </w:r>
      <w:r w:rsidR="0076575B" w:rsidRPr="00B60F97">
        <w:t xml:space="preserve"> as </w:t>
      </w:r>
      <w:r w:rsidR="0076575B">
        <w:t xml:space="preserve">an effective way to hold retailers to the standard in the </w:t>
      </w:r>
      <w:r w:rsidR="003A59E4">
        <w:t>Framework</w:t>
      </w:r>
      <w:r w:rsidR="0076575B" w:rsidRPr="00B60F97">
        <w:t>.</w:t>
      </w:r>
      <w:r w:rsidR="0076575B">
        <w:t xml:space="preserve"> In particular, a number of stakeholders commented that as the </w:t>
      </w:r>
      <w:r w:rsidR="003A59E4">
        <w:t>Framework</w:t>
      </w:r>
      <w:r w:rsidR="0076575B">
        <w:t xml:space="preserve"> is voluntary, a public list is necessary to provide accountability to retailers to genuinely adopt the </w:t>
      </w:r>
      <w:r w:rsidR="003A59E4">
        <w:t>Framework</w:t>
      </w:r>
      <w:r w:rsidR="0076575B">
        <w:t xml:space="preserve">. </w:t>
      </w:r>
    </w:p>
    <w:p w:rsidR="006D7F8A" w:rsidRDefault="0076575B" w:rsidP="004635FA">
      <w:pPr>
        <w:pStyle w:val="Bulletpoint"/>
        <w:numPr>
          <w:ilvl w:val="0"/>
          <w:numId w:val="0"/>
        </w:numPr>
      </w:pPr>
      <w:r>
        <w:t xml:space="preserve">Some </w:t>
      </w:r>
      <w:r w:rsidR="003A59E4">
        <w:t xml:space="preserve">consumer </w:t>
      </w:r>
      <w:r>
        <w:t xml:space="preserve">stakeholders recommended that </w:t>
      </w:r>
      <w:r w:rsidR="001F7132">
        <w:t>we</w:t>
      </w:r>
      <w:r>
        <w:t xml:space="preserve"> should also publish a list of retailers who have not </w:t>
      </w:r>
      <w:r w:rsidR="002922E2">
        <w:t>adopted</w:t>
      </w:r>
      <w:r>
        <w:t xml:space="preserve"> the </w:t>
      </w:r>
      <w:r w:rsidR="003A59E4">
        <w:t>Framework</w:t>
      </w:r>
      <w:r>
        <w:t xml:space="preserve"> or who </w:t>
      </w:r>
      <w:r w:rsidR="001F7132">
        <w:t xml:space="preserve">we have </w:t>
      </w:r>
      <w:r>
        <w:t>removed from the list.</w:t>
      </w:r>
      <w:r>
        <w:rPr>
          <w:rStyle w:val="FootnoteReference"/>
        </w:rPr>
        <w:footnoteReference w:id="22"/>
      </w:r>
      <w:r w:rsidR="00FE5D49">
        <w:t xml:space="preserve"> </w:t>
      </w:r>
      <w:r>
        <w:t xml:space="preserve">We consider that a list of retailers who are not signed up, or a list of retailers who were removed from the list, would not be appropriate for a voluntary </w:t>
      </w:r>
      <w:r w:rsidR="003A59E4">
        <w:t>Framework</w:t>
      </w:r>
      <w:r w:rsidR="00FB513E">
        <w:t>. Our</w:t>
      </w:r>
      <w:r>
        <w:t xml:space="preserve"> objective </w:t>
      </w:r>
      <w:r w:rsidR="00FB513E">
        <w:t>is to</w:t>
      </w:r>
      <w:r>
        <w:t xml:space="preserve"> encourage good practice, rather than punishing non-participation. </w:t>
      </w:r>
    </w:p>
    <w:p w:rsidR="00550D87" w:rsidRDefault="00550D87" w:rsidP="00550D87">
      <w:r>
        <w:t xml:space="preserve">Retailers expressed a range of views about the list. Some saw benefits for customers and their representatives in knowing what to expect from a retailer, and noted that they should be free to publish the </w:t>
      </w:r>
      <w:r w:rsidR="003A59E4">
        <w:t>Framework</w:t>
      </w:r>
      <w:r>
        <w:t xml:space="preserve"> on their own websites</w:t>
      </w:r>
      <w:r>
        <w:rPr>
          <w:rStyle w:val="FootnoteReference"/>
        </w:rPr>
        <w:footnoteReference w:id="23"/>
      </w:r>
      <w:r>
        <w:t xml:space="preserve">. </w:t>
      </w:r>
    </w:p>
    <w:p w:rsidR="00FE5D49" w:rsidRDefault="00FE5D49" w:rsidP="001D027A">
      <w:r>
        <w:t xml:space="preserve">Conversely, some retailers did not support the list approach or expressed reservations about it. </w:t>
      </w:r>
      <w:r w:rsidR="007E779F">
        <w:t>The main retailer concerns and our response are discussed below.</w:t>
      </w:r>
    </w:p>
    <w:p w:rsidR="007E779F" w:rsidRDefault="007E779F" w:rsidP="004635FA">
      <w:pPr>
        <w:pStyle w:val="Bulletpoint"/>
      </w:pPr>
      <w:r w:rsidRPr="004635FA">
        <w:rPr>
          <w:rStyle w:val="Emphasis"/>
        </w:rPr>
        <w:t>T</w:t>
      </w:r>
      <w:r w:rsidR="001D027A" w:rsidRPr="004635FA">
        <w:rPr>
          <w:rStyle w:val="Emphasis"/>
        </w:rPr>
        <w:t xml:space="preserve">hey were not clear </w:t>
      </w:r>
      <w:r w:rsidR="00FE5D49" w:rsidRPr="004635FA">
        <w:rPr>
          <w:rStyle w:val="Emphasis"/>
        </w:rPr>
        <w:t>about</w:t>
      </w:r>
      <w:r w:rsidR="001D027A" w:rsidRPr="004635FA">
        <w:rPr>
          <w:rStyle w:val="Emphasis"/>
        </w:rPr>
        <w:t xml:space="preserve"> the benefits of the </w:t>
      </w:r>
      <w:r w:rsidR="00FE5D49" w:rsidRPr="004635FA">
        <w:rPr>
          <w:rStyle w:val="Emphasis"/>
        </w:rPr>
        <w:t>published list</w:t>
      </w:r>
      <w:r w:rsidR="002922E2">
        <w:t>.</w:t>
      </w:r>
      <w:r>
        <w:rPr>
          <w:rStyle w:val="FootnoteReference"/>
        </w:rPr>
        <w:footnoteReference w:id="24"/>
      </w:r>
    </w:p>
    <w:p w:rsidR="007E779F" w:rsidRDefault="007E779F" w:rsidP="004635FA">
      <w:pPr>
        <w:pStyle w:val="Bulletpoint"/>
        <w:numPr>
          <w:ilvl w:val="0"/>
          <w:numId w:val="0"/>
        </w:numPr>
        <w:ind w:left="360"/>
      </w:pPr>
      <w:r>
        <w:lastRenderedPageBreak/>
        <w:t>As noted at the start of this section, we consider there are clear benefits to customers and industry in a</w:t>
      </w:r>
      <w:r w:rsidR="00F609F9">
        <w:t xml:space="preserve"> published list of retailers. Consumer stakeholders overwhelmingly agreed with this view, as did a number of retailers.</w:t>
      </w:r>
    </w:p>
    <w:p w:rsidR="00F609F9" w:rsidRPr="004635FA" w:rsidRDefault="007E779F">
      <w:pPr>
        <w:pStyle w:val="Bulletpoint"/>
        <w:rPr>
          <w:rStyle w:val="Emphasis"/>
        </w:rPr>
      </w:pPr>
      <w:r w:rsidRPr="004635FA">
        <w:rPr>
          <w:rStyle w:val="Emphasis"/>
        </w:rPr>
        <w:t>T</w:t>
      </w:r>
      <w:r w:rsidR="006D7F8A" w:rsidRPr="004635FA">
        <w:rPr>
          <w:rStyle w:val="Emphasis"/>
        </w:rPr>
        <w:t>he p</w:t>
      </w:r>
      <w:r w:rsidR="00F609F9">
        <w:rPr>
          <w:rStyle w:val="Emphasis"/>
        </w:rPr>
        <w:t>ublished list would not achieve</w:t>
      </w:r>
      <w:r w:rsidR="006D7F8A" w:rsidRPr="004635FA">
        <w:rPr>
          <w:rStyle w:val="Emphasis"/>
        </w:rPr>
        <w:t xml:space="preserve"> any additional changes in retailer behaviour above what would be achieved if the </w:t>
      </w:r>
      <w:r w:rsidR="003A59E4" w:rsidRPr="004635FA">
        <w:rPr>
          <w:rStyle w:val="Emphasis"/>
        </w:rPr>
        <w:t>Framework</w:t>
      </w:r>
      <w:r w:rsidR="006D7F8A" w:rsidRPr="004635FA">
        <w:rPr>
          <w:rStyle w:val="Emphasis"/>
        </w:rPr>
        <w:t xml:space="preserve"> was released as general guidance with no retailer commitment.</w:t>
      </w:r>
      <w:r w:rsidR="00BF0EF4" w:rsidRPr="004635FA">
        <w:rPr>
          <w:rStyle w:val="Emphasis"/>
        </w:rPr>
        <w:t xml:space="preserve"> They suggested</w:t>
      </w:r>
      <w:r w:rsidR="003A59E4" w:rsidRPr="004635FA">
        <w:rPr>
          <w:rStyle w:val="Emphasis"/>
        </w:rPr>
        <w:t xml:space="preserve"> we publish the Framework as a general guidance document.</w:t>
      </w:r>
      <w:r w:rsidR="002922E2">
        <w:rPr>
          <w:rStyle w:val="FootnoteReference"/>
          <w:i/>
          <w:iCs/>
        </w:rPr>
        <w:footnoteReference w:id="25"/>
      </w:r>
    </w:p>
    <w:p w:rsidR="00F609F9" w:rsidRDefault="00F609F9" w:rsidP="004635FA">
      <w:pPr>
        <w:pStyle w:val="Bulletpoint"/>
        <w:numPr>
          <w:ilvl w:val="0"/>
          <w:numId w:val="0"/>
        </w:numPr>
        <w:ind w:left="360"/>
        <w:rPr>
          <w:rStyle w:val="Emphasis"/>
          <w:i w:val="0"/>
        </w:rPr>
      </w:pPr>
      <w:r>
        <w:rPr>
          <w:rStyle w:val="Emphasis"/>
          <w:i w:val="0"/>
        </w:rPr>
        <w:t>Our view is that for some retailers who</w:t>
      </w:r>
      <w:r w:rsidR="00FB513E">
        <w:rPr>
          <w:rStyle w:val="Emphasis"/>
          <w:i w:val="0"/>
        </w:rPr>
        <w:t>se</w:t>
      </w:r>
      <w:r>
        <w:rPr>
          <w:rStyle w:val="Emphasis"/>
          <w:i w:val="0"/>
        </w:rPr>
        <w:t xml:space="preserve"> standards currently do not meet those in the Framework, the </w:t>
      </w:r>
      <w:r w:rsidR="00FB513E">
        <w:rPr>
          <w:rStyle w:val="Emphasis"/>
          <w:i w:val="0"/>
        </w:rPr>
        <w:t xml:space="preserve">potential for </w:t>
      </w:r>
      <w:r>
        <w:rPr>
          <w:rStyle w:val="Emphasis"/>
          <w:i w:val="0"/>
        </w:rPr>
        <w:t xml:space="preserve">positive recognition </w:t>
      </w:r>
      <w:r w:rsidR="00FB513E">
        <w:rPr>
          <w:rStyle w:val="Emphasis"/>
          <w:i w:val="0"/>
        </w:rPr>
        <w:t xml:space="preserve">through </w:t>
      </w:r>
      <w:r>
        <w:rPr>
          <w:rStyle w:val="Emphasis"/>
          <w:i w:val="0"/>
        </w:rPr>
        <w:t xml:space="preserve">being included on a list of retailers who are applying good practice principles, will provide an incentive to improve their processes. </w:t>
      </w:r>
    </w:p>
    <w:p w:rsidR="00F609F9" w:rsidRPr="004635FA" w:rsidRDefault="00F609F9" w:rsidP="004635FA">
      <w:pPr>
        <w:pStyle w:val="Bulletpoint"/>
        <w:numPr>
          <w:ilvl w:val="0"/>
          <w:numId w:val="0"/>
        </w:numPr>
        <w:ind w:left="360"/>
        <w:rPr>
          <w:rStyle w:val="Emphasis"/>
          <w:i w:val="0"/>
        </w:rPr>
      </w:pPr>
      <w:r>
        <w:rPr>
          <w:rStyle w:val="Emphasis"/>
          <w:i w:val="0"/>
        </w:rPr>
        <w:t>Additionally, we consider a public commitment creates a strong incentive for retailers to maintain the standards in the Framework.</w:t>
      </w:r>
    </w:p>
    <w:p w:rsidR="00F609F9" w:rsidRDefault="00F609F9" w:rsidP="00F609F9">
      <w:pPr>
        <w:pStyle w:val="Bulletpoint"/>
        <w:rPr>
          <w:rStyle w:val="Emphasis"/>
        </w:rPr>
      </w:pPr>
      <w:r w:rsidRPr="00D64B90">
        <w:rPr>
          <w:rStyle w:val="Emphasis"/>
        </w:rPr>
        <w:t>The list would create the impression that those not on the list offered a lower standard of service, when this may not be the case if they had other reasons for not adopting the Framework.</w:t>
      </w:r>
      <w:r w:rsidR="00131C5E">
        <w:rPr>
          <w:rStyle w:val="FootnoteReference"/>
          <w:i/>
          <w:iCs/>
        </w:rPr>
        <w:footnoteReference w:id="26"/>
      </w:r>
    </w:p>
    <w:p w:rsidR="002A6A32" w:rsidRDefault="002A6A32" w:rsidP="00CA19EE">
      <w:pPr>
        <w:pStyle w:val="Bulletpoint"/>
        <w:numPr>
          <w:ilvl w:val="0"/>
          <w:numId w:val="0"/>
        </w:numPr>
        <w:ind w:left="360"/>
      </w:pPr>
      <w:r>
        <w:rPr>
          <w:rStyle w:val="Emphasis"/>
          <w:i w:val="0"/>
        </w:rPr>
        <w:t xml:space="preserve">The introduction to the Framework provides background and context about how the Framework was developed, it purpose and scope. Our intention is to include this information on the website where the list is published so that customers can understand what a retailer’s presence on the list means. We will not make any further representations about retailers who are or are not present on the list. </w:t>
      </w:r>
    </w:p>
    <w:p w:rsidR="006D7F8A" w:rsidRPr="004635FA" w:rsidRDefault="002A6A32" w:rsidP="006D7F8A">
      <w:pPr>
        <w:pStyle w:val="Bulletpoint"/>
        <w:rPr>
          <w:rStyle w:val="Emphasis"/>
        </w:rPr>
      </w:pPr>
      <w:r w:rsidRPr="004635FA">
        <w:rPr>
          <w:rStyle w:val="Emphasis"/>
        </w:rPr>
        <w:t>W</w:t>
      </w:r>
      <w:r w:rsidR="007E779F" w:rsidRPr="004635FA">
        <w:rPr>
          <w:rStyle w:val="Emphasis"/>
        </w:rPr>
        <w:t>e</w:t>
      </w:r>
      <w:r w:rsidR="006D7F8A" w:rsidRPr="004635FA">
        <w:rPr>
          <w:rStyle w:val="Emphasis"/>
        </w:rPr>
        <w:t xml:space="preserve"> would be engaged in influencing consumer perceptions of retailers</w:t>
      </w:r>
      <w:r w:rsidR="00131C5E">
        <w:rPr>
          <w:rStyle w:val="Emphasis"/>
        </w:rPr>
        <w:t xml:space="preserve"> service standards</w:t>
      </w:r>
      <w:r w:rsidR="006D7F8A" w:rsidRPr="004635FA">
        <w:rPr>
          <w:rStyle w:val="Emphasis"/>
        </w:rPr>
        <w:t xml:space="preserve">, which </w:t>
      </w:r>
      <w:r w:rsidR="00BF0EF4" w:rsidRPr="004635FA">
        <w:rPr>
          <w:rStyle w:val="Emphasis"/>
        </w:rPr>
        <w:t xml:space="preserve">was beyond </w:t>
      </w:r>
      <w:r w:rsidR="007E779F" w:rsidRPr="004635FA">
        <w:rPr>
          <w:rStyle w:val="Emphasis"/>
        </w:rPr>
        <w:t>our</w:t>
      </w:r>
      <w:r w:rsidR="00BF0EF4" w:rsidRPr="004635FA">
        <w:rPr>
          <w:rStyle w:val="Emphasis"/>
        </w:rPr>
        <w:t xml:space="preserve"> regulatory remit</w:t>
      </w:r>
      <w:r w:rsidR="004B3ADA" w:rsidRPr="004635FA">
        <w:rPr>
          <w:rStyle w:val="Emphasis"/>
        </w:rPr>
        <w:t>.</w:t>
      </w:r>
      <w:r w:rsidR="009D2D69">
        <w:rPr>
          <w:rStyle w:val="FootnoteReference"/>
          <w:i/>
          <w:iCs/>
        </w:rPr>
        <w:footnoteReference w:id="27"/>
      </w:r>
    </w:p>
    <w:p w:rsidR="009D2D69" w:rsidRDefault="002A6A32" w:rsidP="004635FA">
      <w:pPr>
        <w:pStyle w:val="Bulletpoint"/>
        <w:numPr>
          <w:ilvl w:val="0"/>
          <w:numId w:val="0"/>
        </w:numPr>
        <w:ind w:left="360"/>
      </w:pPr>
      <w:r>
        <w:t xml:space="preserve">Our role in the retail energy market is broad. While it includes traditional </w:t>
      </w:r>
      <w:r w:rsidR="009D2D69">
        <w:t xml:space="preserve">regulatory </w:t>
      </w:r>
      <w:r>
        <w:t xml:space="preserve">roles such as monitoring and reporting on retailers’ performance and compliance with the law and rules, it also includes a range of activities </w:t>
      </w:r>
      <w:r w:rsidR="00304D82">
        <w:t>aimed at meeting</w:t>
      </w:r>
      <w:r w:rsidR="001F7132">
        <w:t xml:space="preserve"> our</w:t>
      </w:r>
      <w:r>
        <w:t xml:space="preserve"> strategic objective of increasing customers’ confidence in the </w:t>
      </w:r>
      <w:r w:rsidR="00304D82">
        <w:t xml:space="preserve">retail </w:t>
      </w:r>
      <w:r>
        <w:t xml:space="preserve">energy market. These include </w:t>
      </w:r>
      <w:r w:rsidR="009D2D69">
        <w:t xml:space="preserve">managing the Energy Made Easy </w:t>
      </w:r>
      <w:r w:rsidR="00304D82">
        <w:t xml:space="preserve">price </w:t>
      </w:r>
      <w:r w:rsidR="009D2D69">
        <w:t>comparator website, which uses customer’s usage date to rank</w:t>
      </w:r>
      <w:r w:rsidR="00304D82">
        <w:t xml:space="preserve"> energy</w:t>
      </w:r>
      <w:r w:rsidR="009D2D69">
        <w:t xml:space="preserve"> offers according to the cheapest estimated bill</w:t>
      </w:r>
      <w:r w:rsidR="00304D82">
        <w:t xml:space="preserve"> and providing other information to energy customers on their rights and obligations and other energy market issues</w:t>
      </w:r>
      <w:r w:rsidR="009D2D69">
        <w:t>.</w:t>
      </w:r>
    </w:p>
    <w:p w:rsidR="002A6A32" w:rsidRDefault="009D2D69" w:rsidP="004635FA">
      <w:pPr>
        <w:pStyle w:val="Bulletpoint"/>
        <w:numPr>
          <w:ilvl w:val="0"/>
          <w:numId w:val="0"/>
        </w:numPr>
        <w:ind w:left="360"/>
      </w:pPr>
      <w:r>
        <w:t>We consider that facilitating and publishing list of retailers who adopt a voluntary framework developed with extensive industry</w:t>
      </w:r>
      <w:r w:rsidR="00304D82">
        <w:t xml:space="preserve"> and consumer</w:t>
      </w:r>
      <w:r>
        <w:t xml:space="preserve"> input is consistent with our objective of improving customer confidence.</w:t>
      </w:r>
    </w:p>
    <w:p w:rsidR="00BF0EF4" w:rsidRDefault="00BF0EF4" w:rsidP="006D7F8A">
      <w:pPr>
        <w:pStyle w:val="Bulletpoint"/>
      </w:pPr>
      <w:r w:rsidRPr="004635FA">
        <w:rPr>
          <w:rStyle w:val="Emphasis"/>
        </w:rPr>
        <w:t xml:space="preserve">Retailers who adopted the </w:t>
      </w:r>
      <w:r w:rsidR="003A59E4" w:rsidRPr="004635FA">
        <w:rPr>
          <w:rStyle w:val="Emphasis"/>
        </w:rPr>
        <w:t>Framework</w:t>
      </w:r>
      <w:r w:rsidRPr="004635FA">
        <w:rPr>
          <w:rStyle w:val="Emphasis"/>
        </w:rPr>
        <w:t xml:space="preserve"> would be subject to greater scrutiny </w:t>
      </w:r>
      <w:r w:rsidR="00CB6179">
        <w:rPr>
          <w:rStyle w:val="Emphasis"/>
        </w:rPr>
        <w:t>from ombudsman schemes and consumer groups</w:t>
      </w:r>
      <w:r w:rsidR="002922E2">
        <w:rPr>
          <w:rStyle w:val="Emphasis"/>
        </w:rPr>
        <w:t>.</w:t>
      </w:r>
    </w:p>
    <w:p w:rsidR="00131C5E" w:rsidRDefault="00F0778B" w:rsidP="004635FA">
      <w:pPr>
        <w:pStyle w:val="Bulletpoint"/>
        <w:numPr>
          <w:ilvl w:val="0"/>
          <w:numId w:val="0"/>
        </w:numPr>
        <w:ind w:left="340"/>
      </w:pPr>
      <w:r>
        <w:t xml:space="preserve">While this issue was not specifically addressed in any submissions, it </w:t>
      </w:r>
      <w:r w:rsidR="00131C5E">
        <w:t>was raised during early discussions</w:t>
      </w:r>
      <w:r w:rsidR="00E04A74">
        <w:t>.</w:t>
      </w:r>
      <w:r w:rsidR="00131C5E">
        <w:t xml:space="preserve"> </w:t>
      </w:r>
    </w:p>
    <w:p w:rsidR="00131C5E" w:rsidRDefault="00131C5E" w:rsidP="004635FA">
      <w:pPr>
        <w:pStyle w:val="Bulletpoint"/>
        <w:numPr>
          <w:ilvl w:val="0"/>
          <w:numId w:val="0"/>
        </w:numPr>
        <w:ind w:left="340"/>
      </w:pPr>
    </w:p>
    <w:p w:rsidR="00131C5E" w:rsidRDefault="00F0778B" w:rsidP="004635FA">
      <w:pPr>
        <w:pStyle w:val="Bulletpoint"/>
        <w:numPr>
          <w:ilvl w:val="0"/>
          <w:numId w:val="0"/>
        </w:numPr>
        <w:ind w:left="340"/>
      </w:pPr>
      <w:r>
        <w:lastRenderedPageBreak/>
        <w:t>We agree i</w:t>
      </w:r>
      <w:r w:rsidR="00BB693B">
        <w:t>t is possible that retailers who adopt the Framework may be subject to more scrutiny that those who do not – for example if external parties such as customers, their representatives or ombudsman schemes want to understand how a retailer applying the Framework in practice.</w:t>
      </w:r>
    </w:p>
    <w:p w:rsidR="00F0778B" w:rsidRDefault="00BB693B" w:rsidP="00F0778B">
      <w:pPr>
        <w:pStyle w:val="Bulletpoint"/>
        <w:numPr>
          <w:ilvl w:val="0"/>
          <w:numId w:val="0"/>
        </w:numPr>
        <w:ind w:left="340"/>
      </w:pPr>
      <w:r>
        <w:t>We consider stakeholder interest in how a retailer is practically applying the Framework would be a reasonable outcome of publicly committing to meet the Framework’s standard.</w:t>
      </w:r>
      <w:r w:rsidR="00F0778B">
        <w:t xml:space="preserve"> Our view is that accepting accountability for meeting the standards forms part of that commitment. </w:t>
      </w:r>
    </w:p>
    <w:p w:rsidR="00CB6179" w:rsidRDefault="00CB6179" w:rsidP="004635FA">
      <w:pPr>
        <w:pStyle w:val="Heading4"/>
      </w:pPr>
      <w:r>
        <w:t>Our response</w:t>
      </w:r>
    </w:p>
    <w:p w:rsidR="007E779F" w:rsidRDefault="004B3ADA" w:rsidP="001D027A">
      <w:r>
        <w:t>T</w:t>
      </w:r>
      <w:r w:rsidR="0076575B" w:rsidRPr="0076575B">
        <w:t>hese submissions did not raise any issues</w:t>
      </w:r>
      <w:r w:rsidR="0076575B">
        <w:t>, or demonstrate any</w:t>
      </w:r>
      <w:r w:rsidR="00FE5D49">
        <w:t xml:space="preserve"> substantive</w:t>
      </w:r>
      <w:r w:rsidR="0076575B">
        <w:t xml:space="preserve"> costs or impacts,</w:t>
      </w:r>
      <w:r w:rsidR="0076575B" w:rsidRPr="0076575B">
        <w:t xml:space="preserve"> </w:t>
      </w:r>
      <w:r w:rsidR="00304D82">
        <w:t xml:space="preserve">that would </w:t>
      </w:r>
      <w:r w:rsidR="0076575B" w:rsidRPr="0076575B">
        <w:t>cause us to change our initial view about th</w:t>
      </w:r>
      <w:r w:rsidR="0076575B">
        <w:t>e benefits of a published list.</w:t>
      </w:r>
    </w:p>
    <w:p w:rsidR="001D027A" w:rsidRDefault="001D027A" w:rsidP="001D027A">
      <w:pPr>
        <w:pStyle w:val="Heading2"/>
        <w:numPr>
          <w:ilvl w:val="1"/>
          <w:numId w:val="38"/>
        </w:numPr>
        <w:tabs>
          <w:tab w:val="left" w:pos="680"/>
        </w:tabs>
      </w:pPr>
      <w:bookmarkStart w:id="186" w:name="_Toc455748913"/>
      <w:r>
        <w:t>Issue six: Retailer implementation</w:t>
      </w:r>
      <w:bookmarkEnd w:id="186"/>
    </w:p>
    <w:p w:rsidR="00634B60" w:rsidRDefault="00634B60" w:rsidP="004635FA">
      <w:pPr>
        <w:pStyle w:val="Heading4"/>
      </w:pPr>
      <w:bookmarkStart w:id="187" w:name="_Toc451326839"/>
      <w:r>
        <w:t>Our preliminary position</w:t>
      </w:r>
    </w:p>
    <w:bookmarkEnd w:id="187"/>
    <w:p w:rsidR="001D027A" w:rsidRDefault="001D027A" w:rsidP="001D027A">
      <w:r w:rsidRPr="00063BFC">
        <w:t xml:space="preserve">As the </w:t>
      </w:r>
      <w:r w:rsidR="003A59E4">
        <w:t>Framework</w:t>
      </w:r>
      <w:r w:rsidRPr="00063BFC">
        <w:t xml:space="preserve"> will be a voluntary one, it will be up to individual retailers to </w:t>
      </w:r>
      <w:r w:rsidR="00FE5D49">
        <w:t xml:space="preserve">commit to </w:t>
      </w:r>
      <w:r w:rsidRPr="00063BFC">
        <w:t>adopt</w:t>
      </w:r>
      <w:r w:rsidR="00FE5D49">
        <w:t xml:space="preserve"> the </w:t>
      </w:r>
      <w:r w:rsidR="003A59E4">
        <w:t>Framework</w:t>
      </w:r>
      <w:r w:rsidRPr="00063BFC">
        <w:t xml:space="preserve"> and implement it</w:t>
      </w:r>
      <w:r w:rsidR="00FE5D49">
        <w:t xml:space="preserve">. This will include </w:t>
      </w:r>
      <w:r>
        <w:t>accept</w:t>
      </w:r>
      <w:r w:rsidR="00634B60">
        <w:t>ing</w:t>
      </w:r>
      <w:r w:rsidRPr="00063BFC">
        <w:t xml:space="preserve"> responsib</w:t>
      </w:r>
      <w:r>
        <w:t>ility</w:t>
      </w:r>
      <w:r w:rsidRPr="00063BFC">
        <w:t xml:space="preserve"> for monitoring their own operational processes and procedures to ensure these meet the standards articulated in the </w:t>
      </w:r>
      <w:r w:rsidR="003A59E4">
        <w:t>Framework</w:t>
      </w:r>
      <w:r w:rsidRPr="00063BFC">
        <w:t xml:space="preserve">. </w:t>
      </w:r>
    </w:p>
    <w:p w:rsidR="001D027A" w:rsidRDefault="001D027A" w:rsidP="001D027A">
      <w:r w:rsidRPr="00063BFC">
        <w:t xml:space="preserve">This would include, for instance, re-checking whether changes in any policies or procedures affected their ability to meet the </w:t>
      </w:r>
      <w:r w:rsidR="003A59E4">
        <w:t>Framework</w:t>
      </w:r>
      <w:r w:rsidRPr="00395C89">
        <w:t xml:space="preserve">, and periodically self-assessing to ensure that the standards in the </w:t>
      </w:r>
      <w:r w:rsidR="003A59E4">
        <w:t>Framework</w:t>
      </w:r>
      <w:r w:rsidRPr="00395C89">
        <w:t xml:space="preserve"> were still being met.</w:t>
      </w:r>
    </w:p>
    <w:p w:rsidR="00634B60" w:rsidRPr="00395C89" w:rsidRDefault="00634B60" w:rsidP="004635FA">
      <w:pPr>
        <w:pStyle w:val="Heading4"/>
      </w:pPr>
      <w:r>
        <w:t>Stakeholder feedback</w:t>
      </w:r>
    </w:p>
    <w:p w:rsidR="00FE5D49" w:rsidRDefault="00FE5D49" w:rsidP="001D027A">
      <w:r>
        <w:t xml:space="preserve">While retailers were generally supportive of this position, several consumer submissions raised concerns about how seriously retailers would treat their commitment to meet and maintain the </w:t>
      </w:r>
      <w:r w:rsidR="003A59E4">
        <w:t>Framework</w:t>
      </w:r>
      <w:r>
        <w:t xml:space="preserve"> standards without any external monitoring. </w:t>
      </w:r>
    </w:p>
    <w:p w:rsidR="00FE5D49" w:rsidRDefault="00FE5D49" w:rsidP="001D027A">
      <w:r>
        <w:t>For example, o</w:t>
      </w:r>
      <w:r w:rsidR="001D027A">
        <w:t xml:space="preserve">ne consumer stakeholder expressed the opinion that without monitoring, "it is likely that the </w:t>
      </w:r>
      <w:r w:rsidR="003A59E4">
        <w:t>Framework</w:t>
      </w:r>
      <w:r w:rsidR="001D027A">
        <w:t xml:space="preserve"> will fail to be taken up and will have minimal ongoing and effective impact".</w:t>
      </w:r>
      <w:r w:rsidR="001D027A">
        <w:rPr>
          <w:rStyle w:val="FootnoteReference"/>
        </w:rPr>
        <w:footnoteReference w:id="28"/>
      </w:r>
      <w:r w:rsidR="001D027A">
        <w:t xml:space="preserve"> </w:t>
      </w:r>
    </w:p>
    <w:p w:rsidR="00FE5D49" w:rsidRDefault="008061FA" w:rsidP="008061FA">
      <w:r>
        <w:t xml:space="preserve">Similarly, Kildonan said </w:t>
      </w:r>
      <w:r w:rsidRPr="008061FA">
        <w:t xml:space="preserve">retailers </w:t>
      </w:r>
      <w:r>
        <w:t>may pay</w:t>
      </w:r>
      <w:r w:rsidRPr="008061FA">
        <w:t xml:space="preserve"> </w:t>
      </w:r>
      <w:r>
        <w:t>“</w:t>
      </w:r>
      <w:r w:rsidRPr="008061FA">
        <w:t xml:space="preserve">lip service to the principles of the </w:t>
      </w:r>
      <w:r w:rsidR="003A59E4">
        <w:t>Framework</w:t>
      </w:r>
      <w:r w:rsidRPr="008061FA">
        <w:t xml:space="preserve"> if they are</w:t>
      </w:r>
      <w:r>
        <w:t xml:space="preserve"> </w:t>
      </w:r>
      <w:r w:rsidRPr="008061FA">
        <w:t>not consistently meeting or exceeding the standards expected.</w:t>
      </w:r>
      <w:r>
        <w:t xml:space="preserve">” They </w:t>
      </w:r>
      <w:r w:rsidR="00F0778B">
        <w:t xml:space="preserve">also </w:t>
      </w:r>
      <w:r>
        <w:t xml:space="preserve">noted </w:t>
      </w:r>
      <w:r w:rsidR="00634B60">
        <w:t xml:space="preserve">reputational </w:t>
      </w:r>
      <w:r>
        <w:t xml:space="preserve">risks for </w:t>
      </w:r>
      <w:r w:rsidR="001F7132">
        <w:t>us</w:t>
      </w:r>
      <w:r>
        <w:t xml:space="preserve"> relying on a self-monitoring approach, saying:</w:t>
      </w:r>
      <w:r w:rsidRPr="008061FA">
        <w:t xml:space="preserve"> </w:t>
      </w:r>
      <w:r>
        <w:t>“</w:t>
      </w:r>
      <w:r w:rsidRPr="008061FA">
        <w:t>The lack of enforcement is an inherent</w:t>
      </w:r>
      <w:r>
        <w:t xml:space="preserve"> </w:t>
      </w:r>
      <w:r w:rsidRPr="008061FA">
        <w:t xml:space="preserve">weakness in the </w:t>
      </w:r>
      <w:r w:rsidR="003A59E4">
        <w:t>Framework</w:t>
      </w:r>
      <w:r w:rsidRPr="008061FA">
        <w:t>.</w:t>
      </w:r>
      <w:r w:rsidR="00F0778B">
        <w:rPr>
          <w:rStyle w:val="FootnoteReference"/>
        </w:rPr>
        <w:footnoteReference w:id="29"/>
      </w:r>
      <w:r w:rsidRPr="008061FA">
        <w:t xml:space="preserve"> </w:t>
      </w:r>
    </w:p>
    <w:p w:rsidR="00657F05" w:rsidRDefault="00657F05" w:rsidP="008061FA">
      <w:r>
        <w:t xml:space="preserve">EWON’s submission commented that monitoring of retailer performance was necessary to ensure retailers were meeting the </w:t>
      </w:r>
      <w:r w:rsidR="003A59E4">
        <w:t>Framework</w:t>
      </w:r>
      <w:r>
        <w:t xml:space="preserve">’s standards, and that without this monitoring would fall to consumer </w:t>
      </w:r>
      <w:r w:rsidR="003A6BF4">
        <w:t xml:space="preserve">representatives </w:t>
      </w:r>
      <w:r>
        <w:t>and energy ombudsman schemes, which were not funded to undertake that work.</w:t>
      </w:r>
      <w:r>
        <w:rPr>
          <w:rStyle w:val="FootnoteReference"/>
        </w:rPr>
        <w:footnoteReference w:id="30"/>
      </w:r>
    </w:p>
    <w:p w:rsidR="00634B60" w:rsidRDefault="00634B60" w:rsidP="004635FA">
      <w:pPr>
        <w:pStyle w:val="Heading4"/>
      </w:pPr>
      <w:r>
        <w:lastRenderedPageBreak/>
        <w:t>Our response</w:t>
      </w:r>
    </w:p>
    <w:p w:rsidR="00634B60" w:rsidRDefault="001D027A" w:rsidP="001D027A">
      <w:r>
        <w:t xml:space="preserve">We consider that the processes proposed </w:t>
      </w:r>
      <w:r w:rsidR="0054381C">
        <w:t xml:space="preserve">for </w:t>
      </w:r>
      <w:r>
        <w:t xml:space="preserve">publishing and managing the list, and evaluating the </w:t>
      </w:r>
      <w:r w:rsidR="003A59E4">
        <w:t>Framework</w:t>
      </w:r>
      <w:r>
        <w:t>'s impact</w:t>
      </w:r>
      <w:r w:rsidR="00657F05">
        <w:t>,</w:t>
      </w:r>
      <w:r>
        <w:t xml:space="preserve"> </w:t>
      </w:r>
      <w:r w:rsidR="0054381C">
        <w:t xml:space="preserve">together with some of our existing mechanisms, </w:t>
      </w:r>
      <w:r w:rsidR="00917957">
        <w:t>will be effective in</w:t>
      </w:r>
      <w:r>
        <w:t xml:space="preserve"> identify</w:t>
      </w:r>
      <w:r w:rsidR="00917957">
        <w:t>ing</w:t>
      </w:r>
      <w:r>
        <w:t xml:space="preserve"> retailers who have signed up to the </w:t>
      </w:r>
      <w:r w:rsidR="003A59E4">
        <w:t>Framework</w:t>
      </w:r>
      <w:r>
        <w:t xml:space="preserve"> but are </w:t>
      </w:r>
      <w:r w:rsidR="00657F05">
        <w:t xml:space="preserve">not meeting </w:t>
      </w:r>
      <w:r>
        <w:t xml:space="preserve">its </w:t>
      </w:r>
      <w:r w:rsidR="00657F05">
        <w:t>standards.</w:t>
      </w:r>
    </w:p>
    <w:p w:rsidR="009E6697" w:rsidRDefault="0054381C" w:rsidP="001D027A">
      <w:r>
        <w:t>W</w:t>
      </w:r>
      <w:r w:rsidR="00634B60">
        <w:t xml:space="preserve">e have a range of existing </w:t>
      </w:r>
      <w:r>
        <w:t xml:space="preserve">means </w:t>
      </w:r>
      <w:r w:rsidR="00657F05">
        <w:t xml:space="preserve">through which we receive </w:t>
      </w:r>
      <w:r>
        <w:t xml:space="preserve">information and </w:t>
      </w:r>
      <w:r w:rsidR="00657F05">
        <w:t>feedback about</w:t>
      </w:r>
      <w:r w:rsidR="00634B60">
        <w:t xml:space="preserve"> retail market </w:t>
      </w:r>
      <w:r w:rsidR="00CA19EE">
        <w:t>issues that</w:t>
      </w:r>
      <w:r w:rsidR="00657F05">
        <w:t xml:space="preserve"> we </w:t>
      </w:r>
      <w:r>
        <w:t>expect will</w:t>
      </w:r>
      <w:r w:rsidR="00657F05">
        <w:t xml:space="preserve"> identify underlying issues with how retailers are meeting the </w:t>
      </w:r>
      <w:r w:rsidR="003A59E4">
        <w:t>Framework</w:t>
      </w:r>
      <w:r w:rsidR="00657F05">
        <w:t>’s standards, including</w:t>
      </w:r>
      <w:r w:rsidR="009E6697">
        <w:t>:</w:t>
      </w:r>
    </w:p>
    <w:p w:rsidR="009E6697" w:rsidRDefault="0054381C" w:rsidP="004635FA">
      <w:pPr>
        <w:pStyle w:val="ListParagraph"/>
        <w:numPr>
          <w:ilvl w:val="0"/>
          <w:numId w:val="49"/>
        </w:numPr>
      </w:pPr>
      <w:r>
        <w:t xml:space="preserve">the Retail Law </w:t>
      </w:r>
      <w:r w:rsidR="009E6697">
        <w:t>performance monitoring</w:t>
      </w:r>
      <w:r>
        <w:t xml:space="preserve"> framework</w:t>
      </w:r>
    </w:p>
    <w:p w:rsidR="009E6697" w:rsidRDefault="001F7132" w:rsidP="004635FA">
      <w:pPr>
        <w:pStyle w:val="ListParagraph"/>
        <w:numPr>
          <w:ilvl w:val="0"/>
          <w:numId w:val="49"/>
        </w:numPr>
      </w:pPr>
      <w:r>
        <w:t>our</w:t>
      </w:r>
      <w:r w:rsidR="009E6697">
        <w:t xml:space="preserve"> Customer Consultative Group</w:t>
      </w:r>
    </w:p>
    <w:p w:rsidR="009E6697" w:rsidRDefault="00657F05" w:rsidP="004635FA">
      <w:pPr>
        <w:pStyle w:val="ListParagraph"/>
        <w:numPr>
          <w:ilvl w:val="0"/>
          <w:numId w:val="49"/>
        </w:numPr>
      </w:pPr>
      <w:r>
        <w:t xml:space="preserve">regular </w:t>
      </w:r>
      <w:r w:rsidR="009E6697">
        <w:t>liaison with ombudsman schemes</w:t>
      </w:r>
    </w:p>
    <w:p w:rsidR="00657F05" w:rsidRPr="00895CCC" w:rsidRDefault="009E6697" w:rsidP="00C64F72">
      <w:pPr>
        <w:pStyle w:val="ListParagraph"/>
        <w:numPr>
          <w:ilvl w:val="0"/>
          <w:numId w:val="49"/>
        </w:numPr>
      </w:pPr>
      <w:r>
        <w:t xml:space="preserve">feedback from other retailers and industry participants. </w:t>
      </w:r>
      <w:r w:rsidR="00657F05">
        <w:t xml:space="preserve"> </w:t>
      </w:r>
    </w:p>
    <w:p w:rsidR="001D027A" w:rsidRDefault="001D027A" w:rsidP="00C64F72">
      <w:pPr>
        <w:pStyle w:val="Heading2"/>
        <w:keepNext/>
        <w:numPr>
          <w:ilvl w:val="1"/>
          <w:numId w:val="38"/>
        </w:numPr>
        <w:tabs>
          <w:tab w:val="left" w:pos="680"/>
        </w:tabs>
      </w:pPr>
      <w:bookmarkStart w:id="188" w:name="_Toc455748914"/>
      <w:r>
        <w:t xml:space="preserve">Issue seven: </w:t>
      </w:r>
      <w:r w:rsidRPr="00D962CF">
        <w:t xml:space="preserve">Processes for retailers not meeting </w:t>
      </w:r>
      <w:r w:rsidR="003A59E4">
        <w:t>Framework</w:t>
      </w:r>
      <w:r w:rsidRPr="00D962CF">
        <w:t xml:space="preserve"> standards</w:t>
      </w:r>
      <w:bookmarkEnd w:id="188"/>
    </w:p>
    <w:p w:rsidR="001D027A" w:rsidRDefault="004635FA" w:rsidP="00C64F72">
      <w:pPr>
        <w:pStyle w:val="Heading4"/>
        <w:keepNext/>
      </w:pPr>
      <w:r>
        <w:t>Our preliminary position</w:t>
      </w:r>
    </w:p>
    <w:p w:rsidR="001D027A" w:rsidRDefault="001D027A" w:rsidP="00C64F72">
      <w:pPr>
        <w:keepNext/>
      </w:pPr>
      <w:r w:rsidRPr="00063BFC">
        <w:t xml:space="preserve">In the event that we receive feedback from stakeholders that a retailer </w:t>
      </w:r>
      <w:r>
        <w:t xml:space="preserve">who had adopted the </w:t>
      </w:r>
      <w:r w:rsidR="003A59E4">
        <w:t>Framework</w:t>
      </w:r>
      <w:r>
        <w:t xml:space="preserve"> was </w:t>
      </w:r>
      <w:r w:rsidRPr="00063BFC">
        <w:t xml:space="preserve">systemically not meeting </w:t>
      </w:r>
      <w:r>
        <w:t>the standards of</w:t>
      </w:r>
      <w:r w:rsidRPr="00063BFC">
        <w:t xml:space="preserve"> the </w:t>
      </w:r>
      <w:r w:rsidR="003A59E4">
        <w:t>Framework</w:t>
      </w:r>
      <w:r w:rsidRPr="00063BFC">
        <w:t xml:space="preserve">, </w:t>
      </w:r>
      <w:r>
        <w:t>our proposed</w:t>
      </w:r>
      <w:r w:rsidRPr="00063BFC">
        <w:t xml:space="preserve"> approach would be to raise th</w:t>
      </w:r>
      <w:r>
        <w:t>e</w:t>
      </w:r>
      <w:r w:rsidRPr="00063BFC">
        <w:t xml:space="preserve"> </w:t>
      </w:r>
      <w:r>
        <w:t xml:space="preserve">issue </w:t>
      </w:r>
      <w:r w:rsidRPr="00063BFC">
        <w:t xml:space="preserve">with the retailer and seek confirmation that their processes and practices </w:t>
      </w:r>
      <w:r>
        <w:t>we</w:t>
      </w:r>
      <w:r w:rsidRPr="00063BFC">
        <w:t xml:space="preserve">re consistent with the </w:t>
      </w:r>
      <w:r w:rsidR="003A59E4">
        <w:t>Framework</w:t>
      </w:r>
      <w:r w:rsidRPr="00063BFC">
        <w:t xml:space="preserve"> and that any issues have been addresse</w:t>
      </w:r>
      <w:r>
        <w:t>d</w:t>
      </w:r>
      <w:r w:rsidRPr="00063BFC">
        <w:t>.</w:t>
      </w:r>
    </w:p>
    <w:p w:rsidR="001D027A" w:rsidRDefault="001D027A" w:rsidP="001D027A">
      <w:r w:rsidRPr="00063BFC">
        <w:t>If</w:t>
      </w:r>
      <w:r>
        <w:t xml:space="preserve"> we were not satisfied with the response</w:t>
      </w:r>
      <w:r w:rsidRPr="00063BFC">
        <w:t xml:space="preserve">, </w:t>
      </w:r>
      <w:r>
        <w:t>we</w:t>
      </w:r>
      <w:r w:rsidRPr="00063BFC">
        <w:t xml:space="preserve"> could</w:t>
      </w:r>
      <w:r>
        <w:t xml:space="preserve"> </w:t>
      </w:r>
      <w:r w:rsidRPr="00063BFC">
        <w:t xml:space="preserve">remove </w:t>
      </w:r>
      <w:r>
        <w:t>that retailer</w:t>
      </w:r>
      <w:r w:rsidRPr="00063BFC">
        <w:t xml:space="preserve"> from </w:t>
      </w:r>
      <w:r>
        <w:t>any</w:t>
      </w:r>
      <w:r w:rsidRPr="00063BFC">
        <w:t xml:space="preserve"> published list</w:t>
      </w:r>
      <w:r>
        <w:t>.</w:t>
      </w:r>
    </w:p>
    <w:p w:rsidR="001D027A" w:rsidRDefault="001D027A" w:rsidP="001D027A">
      <w:r>
        <w:t xml:space="preserve">We will not consider individual complaints about retailers not meeting the standards of the </w:t>
      </w:r>
      <w:r w:rsidR="003A59E4">
        <w:t>Framework</w:t>
      </w:r>
      <w:r>
        <w:t xml:space="preserve"> and consider that customers should contact their</w:t>
      </w:r>
      <w:r w:rsidRPr="00535B76">
        <w:t xml:space="preserve"> retailer and</w:t>
      </w:r>
      <w:r>
        <w:t xml:space="preserve"> follow usual dispute resolution processes if required.</w:t>
      </w:r>
    </w:p>
    <w:p w:rsidR="001D027A" w:rsidRDefault="00634B60" w:rsidP="004635FA">
      <w:pPr>
        <w:pStyle w:val="Heading4"/>
      </w:pPr>
      <w:r>
        <w:t>Stakeholder feedback</w:t>
      </w:r>
    </w:p>
    <w:p w:rsidR="001D027A" w:rsidRDefault="00917957" w:rsidP="001D027A">
      <w:r>
        <w:t>While t</w:t>
      </w:r>
      <w:r w:rsidR="001D027A">
        <w:t>here was broad support for the proposed approach to maintaining the list of retailers</w:t>
      </w:r>
      <w:r>
        <w:t xml:space="preserve">, Kildonan </w:t>
      </w:r>
      <w:r w:rsidR="001D027A">
        <w:t xml:space="preserve">noted the reputational risk to </w:t>
      </w:r>
      <w:r w:rsidR="001F7132">
        <w:t>us</w:t>
      </w:r>
      <w:r w:rsidR="001D027A">
        <w:t xml:space="preserve"> if a retailer who is widely perceived as consistently not applying the </w:t>
      </w:r>
      <w:r w:rsidR="003A59E4">
        <w:t>Framework</w:t>
      </w:r>
      <w:r w:rsidR="001D027A">
        <w:t xml:space="preserve"> were to remain on the list</w:t>
      </w:r>
      <w:r>
        <w:t xml:space="preserve">. Their submission stated: </w:t>
      </w:r>
      <w:r w:rsidR="001D027A">
        <w:t xml:space="preserve"> </w:t>
      </w:r>
      <w:r>
        <w:t>“</w:t>
      </w:r>
      <w:r w:rsidRPr="00917957">
        <w:t>If the perception of advocates is that one retailer is consistently failing to adhere to the principles, but that retailer continues to remain on the published list of participating retailers, then the AER is risking its reputation and credibility in standing up for these guiding principles.”</w:t>
      </w:r>
      <w:r w:rsidR="00F0778B">
        <w:rPr>
          <w:rStyle w:val="FootnoteReference"/>
        </w:rPr>
        <w:footnoteReference w:id="31"/>
      </w:r>
    </w:p>
    <w:p w:rsidR="00917957" w:rsidRPr="000767C9" w:rsidRDefault="001D027A" w:rsidP="001D027A">
      <w:r>
        <w:t>One retailer highlighted th</w:t>
      </w:r>
      <w:r w:rsidR="00917957">
        <w:t>at there was a</w:t>
      </w:r>
      <w:r>
        <w:t xml:space="preserve"> difference between isolated cases and systemic issues, and argued that a retailer should be afforded the right to review procedures before a determination is made on whether an issue is systemic.</w:t>
      </w:r>
    </w:p>
    <w:p w:rsidR="00634B60" w:rsidRDefault="00634B60" w:rsidP="004635FA">
      <w:pPr>
        <w:pStyle w:val="Heading4"/>
      </w:pPr>
      <w:r>
        <w:lastRenderedPageBreak/>
        <w:t>Our response</w:t>
      </w:r>
    </w:p>
    <w:p w:rsidR="00917957" w:rsidRDefault="001D027A" w:rsidP="001D027A">
      <w:r>
        <w:t xml:space="preserve">We maintain the view that our proposed approach to managing the list is appropriate. We agree that an isolated case of behaviour not consistent with the </w:t>
      </w:r>
      <w:r w:rsidR="003A59E4">
        <w:t>Framework</w:t>
      </w:r>
      <w:r>
        <w:t xml:space="preserve"> should not lead to the retailer being removed from the list and have not proposed such a response</w:t>
      </w:r>
      <w:r w:rsidR="00917957">
        <w:t>.</w:t>
      </w:r>
    </w:p>
    <w:p w:rsidR="001D027A" w:rsidRDefault="00917957" w:rsidP="001D027A">
      <w:r>
        <w:t>We</w:t>
      </w:r>
      <w:r w:rsidR="001D027A">
        <w:t xml:space="preserve"> will undertake discussions with the retailer and any other relevant stakeholders before making a determination on whether the conduct is systemic and warrants removal from the list.</w:t>
      </w:r>
    </w:p>
    <w:p w:rsidR="00634B60" w:rsidRPr="00395C89" w:rsidRDefault="001D027A" w:rsidP="001D027A">
      <w:r>
        <w:t xml:space="preserve">As discussed in the consultation paper, individual complaints </w:t>
      </w:r>
      <w:r w:rsidR="0054381C">
        <w:t xml:space="preserve">between a customer and retailer </w:t>
      </w:r>
      <w:r>
        <w:t>should be resolved by following the retailer's usual dispute resolution processes.</w:t>
      </w:r>
    </w:p>
    <w:p w:rsidR="001D027A" w:rsidRDefault="001D027A" w:rsidP="00C64F72">
      <w:pPr>
        <w:pStyle w:val="Heading2"/>
        <w:keepNext/>
        <w:numPr>
          <w:ilvl w:val="1"/>
          <w:numId w:val="38"/>
        </w:numPr>
        <w:tabs>
          <w:tab w:val="left" w:pos="680"/>
        </w:tabs>
      </w:pPr>
      <w:bookmarkStart w:id="189" w:name="_Toc448238447"/>
      <w:bookmarkStart w:id="190" w:name="_Toc448238568"/>
      <w:bookmarkStart w:id="191" w:name="_Toc448238644"/>
      <w:bookmarkStart w:id="192" w:name="_Toc448239057"/>
      <w:bookmarkStart w:id="193" w:name="_Toc455748915"/>
      <w:bookmarkEnd w:id="189"/>
      <w:bookmarkEnd w:id="190"/>
      <w:bookmarkEnd w:id="191"/>
      <w:bookmarkEnd w:id="192"/>
      <w:r>
        <w:t>Issue eight: Measuring the impact</w:t>
      </w:r>
      <w:bookmarkEnd w:id="193"/>
    </w:p>
    <w:p w:rsidR="001D027A" w:rsidRDefault="00634B60" w:rsidP="00C64F72">
      <w:pPr>
        <w:pStyle w:val="Heading4"/>
        <w:keepNext/>
      </w:pPr>
      <w:r>
        <w:t>Our preliminary position</w:t>
      </w:r>
    </w:p>
    <w:p w:rsidR="001D027A" w:rsidRPr="00063BFC" w:rsidRDefault="001D027A" w:rsidP="00C64F72">
      <w:pPr>
        <w:keepNext/>
      </w:pPr>
      <w:r w:rsidRPr="00063BFC">
        <w:t xml:space="preserve">Data on a range of indicators around hardship programs and payment plans is already available through retailers’ existing performance reports, and </w:t>
      </w:r>
      <w:r>
        <w:t>we</w:t>
      </w:r>
      <w:r w:rsidRPr="00063BFC">
        <w:t xml:space="preserve"> will review these to see if the introduction of the </w:t>
      </w:r>
      <w:r w:rsidR="003A59E4">
        <w:t>Framework</w:t>
      </w:r>
      <w:r w:rsidRPr="00063BFC">
        <w:t xml:space="preserve"> has any demonstrable impact on these measures over time.</w:t>
      </w:r>
    </w:p>
    <w:p w:rsidR="001D027A" w:rsidRPr="00395C89" w:rsidRDefault="001D027A" w:rsidP="001D027A">
      <w:r>
        <w:t xml:space="preserve">We also raised the possibility that we </w:t>
      </w:r>
      <w:r w:rsidRPr="00063BFC">
        <w:t xml:space="preserve">would seek information from retailers and consumer representatives about the impact of the </w:t>
      </w:r>
      <w:r w:rsidR="003A59E4">
        <w:t>Framework</w:t>
      </w:r>
      <w:r w:rsidRPr="00063BFC">
        <w:t xml:space="preserve">, once it has been in effect for a period of time. </w:t>
      </w:r>
      <w:r>
        <w:t>We</w:t>
      </w:r>
      <w:r w:rsidRPr="00063BFC">
        <w:t xml:space="preserve"> could conduct a survey around six months after the launch of the </w:t>
      </w:r>
      <w:r w:rsidR="003A59E4">
        <w:t>Framework</w:t>
      </w:r>
      <w:r w:rsidRPr="00063BFC">
        <w:t>, seeking views for example on perceptions of what has changed and in what way.</w:t>
      </w:r>
    </w:p>
    <w:p w:rsidR="00634B60" w:rsidRDefault="00634B60" w:rsidP="004635FA">
      <w:pPr>
        <w:pStyle w:val="Heading4"/>
      </w:pPr>
      <w:r>
        <w:t>Stakeholder feedback</w:t>
      </w:r>
    </w:p>
    <w:p w:rsidR="001D027A" w:rsidRDefault="001D027A" w:rsidP="001D027A">
      <w:r>
        <w:t xml:space="preserve">Submissions that discussed this issue were in favour of a survey approximately six months after the launch of the </w:t>
      </w:r>
      <w:r w:rsidR="003A59E4">
        <w:t>Framework</w:t>
      </w:r>
      <w:r>
        <w:t xml:space="preserve">. Some submissions discussed other methods </w:t>
      </w:r>
      <w:r w:rsidR="001F7132">
        <w:t>we</w:t>
      </w:r>
      <w:r>
        <w:t xml:space="preserve"> might adopt, for example:</w:t>
      </w:r>
    </w:p>
    <w:p w:rsidR="001D027A" w:rsidRDefault="001D027A" w:rsidP="001D027A">
      <w:pPr>
        <w:pStyle w:val="Bulletpoint"/>
        <w:ind w:left="357" w:hanging="357"/>
      </w:pPr>
      <w:r>
        <w:t>a review and report once or twice a year</w:t>
      </w:r>
    </w:p>
    <w:p w:rsidR="001D027A" w:rsidRDefault="001D027A" w:rsidP="001D027A">
      <w:pPr>
        <w:pStyle w:val="Bulletpoint"/>
        <w:ind w:left="357" w:hanging="357"/>
      </w:pPr>
      <w:r>
        <w:t>retailers voluntarily providing relevant in-house data</w:t>
      </w:r>
    </w:p>
    <w:p w:rsidR="001D027A" w:rsidRDefault="001D027A" w:rsidP="001D027A">
      <w:pPr>
        <w:pStyle w:val="Bulletpoint"/>
        <w:ind w:left="357" w:hanging="357"/>
      </w:pPr>
      <w:r>
        <w:t xml:space="preserve">a stakeholder forum at least one year after the </w:t>
      </w:r>
      <w:r w:rsidR="003A59E4">
        <w:t>Framework</w:t>
      </w:r>
      <w:r>
        <w:t>'s launch</w:t>
      </w:r>
    </w:p>
    <w:p w:rsidR="001D027A" w:rsidRDefault="004635FA" w:rsidP="004635FA">
      <w:pPr>
        <w:pStyle w:val="Heading4"/>
      </w:pPr>
      <w:r>
        <w:t>Our response</w:t>
      </w:r>
    </w:p>
    <w:p w:rsidR="0054381C" w:rsidRDefault="0054381C" w:rsidP="0054381C">
      <w:r>
        <w:t xml:space="preserve">We are mindful of the need to ensure that </w:t>
      </w:r>
      <w:r w:rsidR="001F7132">
        <w:t>we</w:t>
      </w:r>
      <w:r>
        <w:t xml:space="preserve">, retailers and other stakeholders are not unnecessarily burdened by our evaluation approach. </w:t>
      </w:r>
    </w:p>
    <w:p w:rsidR="009952A1" w:rsidRDefault="001D027A" w:rsidP="001D027A">
      <w:r>
        <w:t xml:space="preserve">We consider that the performance data already collected by </w:t>
      </w:r>
      <w:r w:rsidR="00634B60">
        <w:t>us</w:t>
      </w:r>
      <w:r>
        <w:t xml:space="preserve"> will provide sufficient insight into the impact of the </w:t>
      </w:r>
      <w:r w:rsidR="003A59E4">
        <w:t>Framework</w:t>
      </w:r>
      <w:r>
        <w:t xml:space="preserve">. </w:t>
      </w:r>
    </w:p>
    <w:p w:rsidR="001D027A" w:rsidRDefault="001D027A" w:rsidP="001D027A">
      <w:r>
        <w:t xml:space="preserve">We consider a stakeholder survey a suitable method for assessing stakeholder views on the operation of the </w:t>
      </w:r>
      <w:r w:rsidR="003A59E4">
        <w:t>Framework</w:t>
      </w:r>
      <w:r w:rsidR="0054381C">
        <w:t xml:space="preserve"> and </w:t>
      </w:r>
      <w:r>
        <w:t xml:space="preserve">remain open to considering other methods that may come to light following the launch of the </w:t>
      </w:r>
      <w:r w:rsidR="003A59E4">
        <w:t>Framework</w:t>
      </w:r>
      <w:r>
        <w:t>.</w:t>
      </w:r>
    </w:p>
    <w:p w:rsidR="001D027A" w:rsidRDefault="001D027A" w:rsidP="004635FA">
      <w:pPr>
        <w:pStyle w:val="Heading2"/>
        <w:numPr>
          <w:ilvl w:val="1"/>
          <w:numId w:val="38"/>
        </w:numPr>
        <w:tabs>
          <w:tab w:val="left" w:pos="680"/>
        </w:tabs>
      </w:pPr>
      <w:bookmarkStart w:id="194" w:name="_Toc455748916"/>
      <w:r>
        <w:t>Issue nine: Public release and commencement date</w:t>
      </w:r>
      <w:bookmarkEnd w:id="194"/>
    </w:p>
    <w:p w:rsidR="00917957" w:rsidRPr="00055A33" w:rsidRDefault="001D027A" w:rsidP="001D027A">
      <w:r>
        <w:lastRenderedPageBreak/>
        <w:t>We</w:t>
      </w:r>
      <w:r w:rsidRPr="00055A33">
        <w:t xml:space="preserve"> </w:t>
      </w:r>
      <w:r w:rsidR="00917957">
        <w:t xml:space="preserve">asked stakeholders’ views on an appropriate commencement date for the </w:t>
      </w:r>
      <w:r w:rsidR="003A59E4">
        <w:t>Framework</w:t>
      </w:r>
      <w:r w:rsidR="00917957">
        <w:t xml:space="preserve">. </w:t>
      </w:r>
    </w:p>
    <w:p w:rsidR="00917957" w:rsidRDefault="001D027A" w:rsidP="001D027A">
      <w:r>
        <w:t xml:space="preserve">A number of </w:t>
      </w:r>
      <w:r w:rsidR="00917957">
        <w:t xml:space="preserve">consumer and retailer </w:t>
      </w:r>
      <w:r>
        <w:t xml:space="preserve">stakeholders suggested that there should be a delay between the finalisation of the </w:t>
      </w:r>
      <w:r w:rsidR="003A59E4">
        <w:t>Framework</w:t>
      </w:r>
      <w:r>
        <w:t xml:space="preserve"> and its commencement</w:t>
      </w:r>
      <w:r w:rsidR="00917957">
        <w:t xml:space="preserve">, with periods ranging from three to </w:t>
      </w:r>
      <w:r w:rsidR="00257E7E">
        <w:t xml:space="preserve">12 </w:t>
      </w:r>
      <w:r w:rsidR="00917957">
        <w:t>months.</w:t>
      </w:r>
    </w:p>
    <w:p w:rsidR="009952A1" w:rsidRDefault="001D027A">
      <w:r>
        <w:t xml:space="preserve">In our additional consultation, we </w:t>
      </w:r>
      <w:r w:rsidR="00917957">
        <w:t xml:space="preserve">sought feedback on </w:t>
      </w:r>
      <w:r w:rsidR="00634B60">
        <w:t xml:space="preserve">a </w:t>
      </w:r>
      <w:r w:rsidR="00917957">
        <w:t>proposed implementation timeline</w:t>
      </w:r>
      <w:r w:rsidR="00634B60">
        <w:t xml:space="preserve"> of </w:t>
      </w:r>
      <w:r w:rsidR="009952A1">
        <w:t xml:space="preserve">publicly releasing the </w:t>
      </w:r>
      <w:r w:rsidR="003A59E4">
        <w:t>Framework</w:t>
      </w:r>
      <w:r w:rsidR="009952A1">
        <w:t xml:space="preserve"> </w:t>
      </w:r>
      <w:r w:rsidR="00F23C2B">
        <w:t>in July</w:t>
      </w:r>
      <w:r w:rsidR="00634B60">
        <w:t xml:space="preserve"> then proceeding to publish the list of retailers around October. </w:t>
      </w:r>
    </w:p>
    <w:p w:rsidR="009952A1" w:rsidRPr="008030F9" w:rsidRDefault="009952A1" w:rsidP="00C64F72">
      <w:pPr>
        <w:keepNext/>
      </w:pPr>
      <w:r>
        <w:t>S</w:t>
      </w:r>
      <w:r w:rsidR="001D027A">
        <w:t>takeholders who responded were supportive of this approach.</w:t>
      </w:r>
    </w:p>
    <w:p w:rsidR="00E55240" w:rsidRDefault="001D027A" w:rsidP="00C64F72">
      <w:pPr>
        <w:keepNext/>
        <w:rPr>
          <w:rStyle w:val="Strong"/>
        </w:rPr>
      </w:pPr>
      <w:r w:rsidRPr="00B4345C">
        <w:rPr>
          <w:rStyle w:val="Strong"/>
        </w:rPr>
        <w:t xml:space="preserve">In order to offer </w:t>
      </w:r>
      <w:r w:rsidR="00CA19EE" w:rsidRPr="00B4345C">
        <w:rPr>
          <w:rStyle w:val="Strong"/>
        </w:rPr>
        <w:t>retailers time</w:t>
      </w:r>
      <w:r w:rsidRPr="00B4345C">
        <w:rPr>
          <w:rStyle w:val="Strong"/>
        </w:rPr>
        <w:t xml:space="preserve"> to </w:t>
      </w:r>
      <w:r w:rsidR="00634B60">
        <w:rPr>
          <w:rStyle w:val="Strong"/>
        </w:rPr>
        <w:t xml:space="preserve">make </w:t>
      </w:r>
      <w:r w:rsidRPr="00B4345C">
        <w:rPr>
          <w:rStyle w:val="Strong"/>
        </w:rPr>
        <w:t xml:space="preserve">their processes consistent with the </w:t>
      </w:r>
      <w:r w:rsidR="003A59E4">
        <w:rPr>
          <w:rStyle w:val="Strong"/>
        </w:rPr>
        <w:t>Framework</w:t>
      </w:r>
      <w:r w:rsidRPr="00B4345C">
        <w:rPr>
          <w:rStyle w:val="Strong"/>
        </w:rPr>
        <w:t xml:space="preserve">, </w:t>
      </w:r>
      <w:r w:rsidR="00E55240">
        <w:rPr>
          <w:rStyle w:val="Strong"/>
        </w:rPr>
        <w:t>we will:</w:t>
      </w:r>
    </w:p>
    <w:p w:rsidR="00E55240" w:rsidRDefault="00E55240" w:rsidP="00C64F72">
      <w:pPr>
        <w:pStyle w:val="Bulletpoint"/>
        <w:keepNext/>
        <w:rPr>
          <w:rStyle w:val="Strong"/>
          <w:b w:val="0"/>
          <w:bCs w:val="0"/>
        </w:rPr>
      </w:pPr>
      <w:r>
        <w:rPr>
          <w:rStyle w:val="Strong"/>
        </w:rPr>
        <w:t xml:space="preserve">Publicly release </w:t>
      </w:r>
      <w:r w:rsidR="001D027A" w:rsidRPr="00B4345C">
        <w:rPr>
          <w:rStyle w:val="Strong"/>
        </w:rPr>
        <w:t xml:space="preserve">the </w:t>
      </w:r>
      <w:r w:rsidR="003A59E4">
        <w:rPr>
          <w:rStyle w:val="Strong"/>
        </w:rPr>
        <w:t>Framework</w:t>
      </w:r>
      <w:r w:rsidR="001D027A" w:rsidRPr="00B4345C">
        <w:rPr>
          <w:rStyle w:val="Strong"/>
        </w:rPr>
        <w:t xml:space="preserve"> </w:t>
      </w:r>
      <w:r w:rsidR="00E04A74">
        <w:rPr>
          <w:rStyle w:val="Strong"/>
        </w:rPr>
        <w:t>in</w:t>
      </w:r>
      <w:r w:rsidR="00F23C2B">
        <w:rPr>
          <w:rStyle w:val="Strong"/>
        </w:rPr>
        <w:t xml:space="preserve"> </w:t>
      </w:r>
      <w:r>
        <w:rPr>
          <w:rStyle w:val="Strong"/>
        </w:rPr>
        <w:t>July 2016</w:t>
      </w:r>
    </w:p>
    <w:p w:rsidR="00E55240" w:rsidRPr="004635FA" w:rsidRDefault="00E55240" w:rsidP="00C64F72">
      <w:pPr>
        <w:pStyle w:val="Bulletpoint"/>
        <w:keepNext/>
        <w:rPr>
          <w:rStyle w:val="Strong"/>
          <w:bCs w:val="0"/>
        </w:rPr>
      </w:pPr>
      <w:r w:rsidRPr="004635FA">
        <w:rPr>
          <w:rStyle w:val="Strong"/>
          <w:bCs w:val="0"/>
        </w:rPr>
        <w:t>Ask retailers to indicate whether they will adopt the Framework</w:t>
      </w:r>
    </w:p>
    <w:p w:rsidR="00303C4A" w:rsidRPr="00C64F72" w:rsidRDefault="00E55240" w:rsidP="00C64F72">
      <w:pPr>
        <w:pStyle w:val="Bulletpoint"/>
        <w:rPr>
          <w:b/>
        </w:rPr>
      </w:pPr>
      <w:r w:rsidRPr="004635FA">
        <w:rPr>
          <w:rStyle w:val="Strong"/>
          <w:bCs w:val="0"/>
        </w:rPr>
        <w:t>Publish a list of retailers who have adopted the Framework in November 2016.</w:t>
      </w:r>
      <w:bookmarkStart w:id="195" w:name="_Toc443317320"/>
      <w:bookmarkStart w:id="196" w:name="_Toc443381028"/>
      <w:bookmarkStart w:id="197" w:name="_Toc443317325"/>
      <w:bookmarkStart w:id="198" w:name="_Toc443381034"/>
      <w:bookmarkStart w:id="199" w:name="_Toc443317327"/>
      <w:bookmarkStart w:id="200" w:name="_Toc443381036"/>
      <w:bookmarkStart w:id="201" w:name="_Toc443317328"/>
      <w:bookmarkStart w:id="202" w:name="_Toc443381037"/>
      <w:bookmarkEnd w:id="195"/>
      <w:bookmarkEnd w:id="196"/>
      <w:bookmarkEnd w:id="197"/>
      <w:bookmarkEnd w:id="198"/>
      <w:bookmarkEnd w:id="199"/>
      <w:bookmarkEnd w:id="200"/>
      <w:bookmarkEnd w:id="201"/>
      <w:bookmarkEnd w:id="202"/>
    </w:p>
    <w:sectPr w:rsidR="00303C4A" w:rsidRPr="00C64F72" w:rsidSect="00691616">
      <w:footerReference w:type="first" r:id="rId13"/>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3DC" w:rsidRDefault="00C363DC" w:rsidP="004B4412">
      <w:pPr>
        <w:spacing w:before="0"/>
      </w:pPr>
      <w:r>
        <w:separator/>
      </w:r>
    </w:p>
  </w:endnote>
  <w:endnote w:type="continuationSeparator" w:id="0">
    <w:p w:rsidR="00C363DC" w:rsidRDefault="00C363DC"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3DC" w:rsidRDefault="00C363DC" w:rsidP="00C64F72">
    <w:pPr>
      <w:tabs>
        <w:tab w:val="left" w:pos="1623"/>
        <w:tab w:val="center" w:pos="4513"/>
        <w:tab w:val="right" w:pos="9026"/>
      </w:tabs>
      <w:spacing w:after="120"/>
      <w:rPr>
        <w:rFonts w:eastAsia="Arial" w:cs="Times New Roman"/>
        <w:color w:val="000000" w:themeColor="text1"/>
        <w:sz w:val="18"/>
      </w:rPr>
    </w:pPr>
    <w:r w:rsidRPr="00211C14">
      <w:rPr>
        <w:rFonts w:eastAsia="Arial" w:cs="Times New Roman"/>
        <w:color w:val="000000" w:themeColor="text1"/>
        <w:sz w:val="18"/>
      </w:rPr>
      <w:fldChar w:fldCharType="begin"/>
    </w:r>
    <w:r w:rsidRPr="00211C14">
      <w:rPr>
        <w:rFonts w:eastAsia="Arial" w:cs="Times New Roman"/>
        <w:color w:val="000000" w:themeColor="text1"/>
        <w:sz w:val="18"/>
      </w:rPr>
      <w:instrText xml:space="preserve"> STYLEREF  "Report Title"  \* MERGEFORMAT </w:instrText>
    </w:r>
    <w:r w:rsidRPr="00211C14">
      <w:rPr>
        <w:rFonts w:eastAsia="Arial" w:cs="Times New Roman"/>
        <w:color w:val="000000" w:themeColor="text1"/>
        <w:sz w:val="18"/>
      </w:rPr>
      <w:fldChar w:fldCharType="end"/>
    </w:r>
    <w:r w:rsidRPr="007A4D1F">
      <w:rPr>
        <w:rFonts w:eastAsia="Arial" w:cs="Times New Roman"/>
        <w:color w:val="000000" w:themeColor="text1"/>
        <w:sz w:val="18"/>
      </w:rPr>
      <w:tab/>
    </w:r>
    <w:r w:rsidRPr="007A4D1F">
      <w:rPr>
        <w:rFonts w:eastAsia="Arial" w:cs="Times New Roman"/>
        <w:color w:val="000000" w:themeColor="text1"/>
        <w:sz w:val="18"/>
      </w:rPr>
      <w:tab/>
    </w:r>
    <w:r w:rsidRPr="007A4D1F">
      <w:rPr>
        <w:rFonts w:eastAsia="Arial" w:cs="Times New Roman"/>
        <w:color w:val="000000" w:themeColor="text1"/>
        <w:sz w:val="18"/>
      </w:rPr>
      <w:tab/>
    </w:r>
    <w:r w:rsidRPr="007A4D1F">
      <w:rPr>
        <w:rFonts w:eastAsia="Arial" w:cs="Times New Roman"/>
        <w:color w:val="000000" w:themeColor="text1"/>
        <w:sz w:val="18"/>
      </w:rPr>
      <w:fldChar w:fldCharType="begin"/>
    </w:r>
    <w:r w:rsidRPr="007A4D1F">
      <w:rPr>
        <w:rFonts w:eastAsia="Arial" w:cs="Times New Roman"/>
        <w:color w:val="000000" w:themeColor="text1"/>
        <w:sz w:val="18"/>
      </w:rPr>
      <w:instrText xml:space="preserve"> PAGE   \* MERGEFORMAT </w:instrText>
    </w:r>
    <w:r w:rsidRPr="007A4D1F">
      <w:rPr>
        <w:rFonts w:eastAsia="Arial" w:cs="Times New Roman"/>
        <w:color w:val="000000" w:themeColor="text1"/>
        <w:sz w:val="18"/>
      </w:rPr>
      <w:fldChar w:fldCharType="separate"/>
    </w:r>
    <w:r w:rsidR="00215B82">
      <w:rPr>
        <w:rFonts w:eastAsia="Arial" w:cs="Times New Roman"/>
        <w:noProof/>
        <w:color w:val="000000" w:themeColor="text1"/>
        <w:sz w:val="18"/>
      </w:rPr>
      <w:t>i</w:t>
    </w:r>
    <w:r w:rsidRPr="007A4D1F">
      <w:rPr>
        <w:rFonts w:eastAsia="Arial" w:cs="Times New Roman"/>
        <w:noProof/>
        <w:color w:val="000000" w:themeColor="text1"/>
        <w:sz w:val="18"/>
      </w:rPr>
      <w:fldChar w:fldCharType="end"/>
    </w:r>
    <w:r w:rsidRPr="007A4D1F">
      <w:rPr>
        <w:rFonts w:eastAsia="Arial" w:cs="Times New Roman"/>
        <w:color w:val="000000" w:themeColor="text1"/>
        <w:sz w:val="18"/>
      </w:rPr>
      <w:tab/>
    </w:r>
  </w:p>
  <w:p w:rsidR="000467FE" w:rsidRPr="00C64F72" w:rsidRDefault="000467FE" w:rsidP="00C64F72">
    <w:pPr>
      <w:tabs>
        <w:tab w:val="left" w:pos="1623"/>
        <w:tab w:val="center" w:pos="4513"/>
        <w:tab w:val="right" w:pos="9026"/>
      </w:tabs>
      <w:spacing w:after="120"/>
      <w:rPr>
        <w:rFonts w:eastAsia="Arial" w:cs="Times New Roman"/>
        <w:color w:val="000000" w:themeColor="text1"/>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rsidR="00C363DC" w:rsidRDefault="00C363DC">
        <w:pPr>
          <w:pStyle w:val="Footer"/>
        </w:pPr>
        <w:r>
          <w:fldChar w:fldCharType="begin"/>
        </w:r>
        <w:r>
          <w:instrText xml:space="preserve"> PAGE   \* MERGEFORMAT </w:instrText>
        </w:r>
        <w:r>
          <w:fldChar w:fldCharType="separate"/>
        </w:r>
        <w:r>
          <w:rPr>
            <w:noProof/>
          </w:rPr>
          <w:t>1</w:t>
        </w:r>
        <w:r>
          <w:rPr>
            <w:noProof/>
          </w:rPr>
          <w:fldChar w:fldCharType="end"/>
        </w:r>
      </w:p>
    </w:sdtContent>
  </w:sdt>
  <w:p w:rsidR="00C363DC" w:rsidRDefault="00C363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3DC" w:rsidRDefault="00C363DC" w:rsidP="004B4412">
      <w:pPr>
        <w:spacing w:before="0"/>
      </w:pPr>
      <w:r>
        <w:separator/>
      </w:r>
    </w:p>
  </w:footnote>
  <w:footnote w:type="continuationSeparator" w:id="0">
    <w:p w:rsidR="00C363DC" w:rsidRDefault="00C363DC" w:rsidP="004B4412">
      <w:pPr>
        <w:spacing w:before="0"/>
      </w:pPr>
      <w:r>
        <w:continuationSeparator/>
      </w:r>
    </w:p>
  </w:footnote>
  <w:footnote w:id="1">
    <w:p w:rsidR="00C363DC" w:rsidRDefault="00C363DC" w:rsidP="001D027A">
      <w:pPr>
        <w:pStyle w:val="FootnoteText"/>
      </w:pPr>
      <w:r>
        <w:rPr>
          <w:rStyle w:val="FootnoteReference"/>
        </w:rPr>
        <w:footnoteRef/>
      </w:r>
      <w:r>
        <w:t xml:space="preserve"> </w:t>
      </w:r>
      <w:r>
        <w:tab/>
      </w:r>
      <w:r w:rsidRPr="00E60BDF">
        <w:rPr>
          <w:szCs w:val="16"/>
        </w:rPr>
        <w:t>AER review of energy retailers' customer hardship policies and practices, January 2015—</w:t>
      </w:r>
      <w:hyperlink r:id="rId1" w:history="1">
        <w:r w:rsidRPr="00E60BDF">
          <w:rPr>
            <w:rStyle w:val="Hyperlink"/>
            <w:sz w:val="16"/>
            <w:szCs w:val="16"/>
          </w:rPr>
          <w:t>http://www.aer.gov.au/retail-markets/compliance/aer-review-of-energy-retailers-customer-hardship-policies-and-practices-2015</w:t>
        </w:r>
      </w:hyperlink>
      <w:r>
        <w:t xml:space="preserve"> </w:t>
      </w:r>
    </w:p>
  </w:footnote>
  <w:footnote w:id="2">
    <w:p w:rsidR="00C363DC" w:rsidRDefault="00C363DC" w:rsidP="001D027A">
      <w:pPr>
        <w:pStyle w:val="FootnoteText"/>
      </w:pPr>
      <w:r>
        <w:rPr>
          <w:rStyle w:val="FootnoteReference"/>
        </w:rPr>
        <w:footnoteRef/>
      </w:r>
      <w:r>
        <w:t xml:space="preserve"> </w:t>
      </w:r>
      <w:r>
        <w:tab/>
      </w:r>
      <w:hyperlink r:id="rId2" w:history="1">
        <w:r w:rsidRPr="00D849D3">
          <w:rPr>
            <w:rStyle w:val="Hyperlink"/>
            <w:sz w:val="16"/>
            <w:szCs w:val="16"/>
          </w:rPr>
          <w:t>https://www.aer.gov.au/retail-markets/retail-guidelines/aer-sustainable-payment-plans-</w:t>
        </w:r>
        <w:r>
          <w:rPr>
            <w:rStyle w:val="Hyperlink"/>
            <w:sz w:val="16"/>
            <w:szCs w:val="16"/>
          </w:rPr>
          <w:t>Framework</w:t>
        </w:r>
      </w:hyperlink>
    </w:p>
  </w:footnote>
  <w:footnote w:id="3">
    <w:p w:rsidR="00C363DC" w:rsidRDefault="00C363DC" w:rsidP="001D027A">
      <w:pPr>
        <w:pStyle w:val="FootnoteText"/>
      </w:pPr>
      <w:r>
        <w:rPr>
          <w:rStyle w:val="FootnoteReference"/>
        </w:rPr>
        <w:footnoteRef/>
      </w:r>
      <w:r>
        <w:t xml:space="preserve"> </w:t>
      </w:r>
      <w:r>
        <w:tab/>
      </w:r>
      <w:r w:rsidRPr="009F6400">
        <w:rPr>
          <w:szCs w:val="16"/>
        </w:rPr>
        <w:t>Consumer Action Law Centre</w:t>
      </w:r>
      <w:r>
        <w:rPr>
          <w:szCs w:val="16"/>
        </w:rPr>
        <w:t xml:space="preserve"> (CALC) submission</w:t>
      </w:r>
      <w:r w:rsidRPr="009F6400">
        <w:rPr>
          <w:szCs w:val="16"/>
        </w:rPr>
        <w:t>, p1</w:t>
      </w:r>
      <w:r w:rsidRPr="009F6400" w:rsidDel="009F6400">
        <w:rPr>
          <w:szCs w:val="16"/>
        </w:rPr>
        <w:t xml:space="preserve"> </w:t>
      </w:r>
    </w:p>
  </w:footnote>
  <w:footnote w:id="4">
    <w:p w:rsidR="00C363DC" w:rsidRDefault="00C363DC" w:rsidP="001D027A">
      <w:pPr>
        <w:pStyle w:val="FootnoteText"/>
      </w:pPr>
      <w:r>
        <w:rPr>
          <w:rStyle w:val="FootnoteReference"/>
        </w:rPr>
        <w:footnoteRef/>
      </w:r>
      <w:r>
        <w:t xml:space="preserve"> </w:t>
      </w:r>
      <w:r>
        <w:tab/>
      </w:r>
      <w:r w:rsidRPr="003A6BF4">
        <w:t>Australian Energy Council (AEC) submission, p1</w:t>
      </w:r>
    </w:p>
  </w:footnote>
  <w:footnote w:id="5">
    <w:p w:rsidR="00C363DC" w:rsidRDefault="00C363DC" w:rsidP="001D027A">
      <w:pPr>
        <w:pStyle w:val="FootnoteText"/>
      </w:pPr>
      <w:r>
        <w:rPr>
          <w:rStyle w:val="FootnoteReference"/>
        </w:rPr>
        <w:footnoteRef/>
      </w:r>
      <w:r>
        <w:t xml:space="preserve"> </w:t>
      </w:r>
      <w:r w:rsidR="00C64F72">
        <w:tab/>
      </w:r>
      <w:r>
        <w:t>EnergyAustralia submission, p2</w:t>
      </w:r>
    </w:p>
  </w:footnote>
  <w:footnote w:id="6">
    <w:p w:rsidR="00C363DC" w:rsidRDefault="00C363DC">
      <w:pPr>
        <w:pStyle w:val="FootnoteText"/>
      </w:pPr>
      <w:r>
        <w:rPr>
          <w:rStyle w:val="FootnoteReference"/>
        </w:rPr>
        <w:footnoteRef/>
      </w:r>
      <w:r>
        <w:t xml:space="preserve"> </w:t>
      </w:r>
      <w:r w:rsidR="00C64F72">
        <w:tab/>
      </w:r>
      <w:r>
        <w:t>EWOV submission, p3</w:t>
      </w:r>
    </w:p>
  </w:footnote>
  <w:footnote w:id="7">
    <w:p w:rsidR="00C42527" w:rsidRDefault="00C42527">
      <w:pPr>
        <w:pStyle w:val="FootnoteText"/>
      </w:pPr>
      <w:r>
        <w:rPr>
          <w:rStyle w:val="FootnoteReference"/>
        </w:rPr>
        <w:footnoteRef/>
      </w:r>
      <w:r>
        <w:t xml:space="preserve"> </w:t>
      </w:r>
      <w:r w:rsidR="00C64F72">
        <w:tab/>
      </w:r>
      <w:r>
        <w:t>FRLC submission, p4</w:t>
      </w:r>
    </w:p>
  </w:footnote>
  <w:footnote w:id="8">
    <w:p w:rsidR="00C363DC" w:rsidRDefault="00C363DC" w:rsidP="001D027A">
      <w:pPr>
        <w:pStyle w:val="FootnoteText"/>
      </w:pPr>
      <w:r>
        <w:rPr>
          <w:rStyle w:val="FootnoteReference"/>
        </w:rPr>
        <w:footnoteRef/>
      </w:r>
      <w:r>
        <w:t xml:space="preserve"> </w:t>
      </w:r>
      <w:r w:rsidR="00C64F72">
        <w:tab/>
      </w:r>
      <w:r>
        <w:t>Red/Lumo Energy submission, p2</w:t>
      </w:r>
    </w:p>
  </w:footnote>
  <w:footnote w:id="9">
    <w:p w:rsidR="00C363DC" w:rsidRDefault="00C363DC" w:rsidP="001D027A">
      <w:pPr>
        <w:pStyle w:val="FootnoteText"/>
      </w:pPr>
      <w:r>
        <w:rPr>
          <w:rStyle w:val="FootnoteReference"/>
        </w:rPr>
        <w:footnoteRef/>
      </w:r>
      <w:r>
        <w:t xml:space="preserve"> </w:t>
      </w:r>
      <w:r w:rsidR="00C64F72">
        <w:tab/>
      </w:r>
      <w:r>
        <w:t>EWON submission, p2</w:t>
      </w:r>
    </w:p>
  </w:footnote>
  <w:footnote w:id="10">
    <w:p w:rsidR="00C363DC" w:rsidRDefault="00C363DC" w:rsidP="009F6400">
      <w:pPr>
        <w:pStyle w:val="FootnoteText"/>
      </w:pPr>
      <w:r>
        <w:rPr>
          <w:rStyle w:val="FootnoteReference"/>
        </w:rPr>
        <w:footnoteRef/>
      </w:r>
      <w:r>
        <w:t xml:space="preserve"> </w:t>
      </w:r>
      <w:r w:rsidR="00C64F72">
        <w:tab/>
      </w:r>
      <w:r>
        <w:t>Powershop submission, p1</w:t>
      </w:r>
    </w:p>
  </w:footnote>
  <w:footnote w:id="11">
    <w:p w:rsidR="00C363DC" w:rsidRDefault="00C363DC">
      <w:pPr>
        <w:pStyle w:val="FootnoteText"/>
      </w:pPr>
      <w:r>
        <w:rPr>
          <w:rStyle w:val="FootnoteReference"/>
        </w:rPr>
        <w:footnoteRef/>
      </w:r>
      <w:r>
        <w:t xml:space="preserve"> </w:t>
      </w:r>
      <w:r w:rsidR="00C64F72">
        <w:tab/>
      </w:r>
      <w:r>
        <w:t>SAFCA submission, p1</w:t>
      </w:r>
    </w:p>
  </w:footnote>
  <w:footnote w:id="12">
    <w:p w:rsidR="00C363DC" w:rsidRDefault="00C363DC">
      <w:pPr>
        <w:pStyle w:val="FootnoteText"/>
      </w:pPr>
      <w:r>
        <w:rPr>
          <w:rStyle w:val="FootnoteReference"/>
        </w:rPr>
        <w:footnoteRef/>
      </w:r>
      <w:r>
        <w:t xml:space="preserve"> </w:t>
      </w:r>
      <w:r w:rsidR="00C64F72">
        <w:tab/>
      </w:r>
      <w:r>
        <w:t>Momentum Energy submission, p2</w:t>
      </w:r>
    </w:p>
  </w:footnote>
  <w:footnote w:id="13">
    <w:p w:rsidR="00C363DC" w:rsidRDefault="00C363DC" w:rsidP="001D027A">
      <w:pPr>
        <w:pStyle w:val="FootnoteText"/>
      </w:pPr>
      <w:r>
        <w:rPr>
          <w:rStyle w:val="FootnoteReference"/>
        </w:rPr>
        <w:footnoteRef/>
      </w:r>
      <w:r>
        <w:t xml:space="preserve"> Red/Lumo Energy</w:t>
      </w:r>
      <w:r w:rsidRPr="007A316C">
        <w:t xml:space="preserve"> submission to further targeted </w:t>
      </w:r>
      <w:r>
        <w:t>consultation on draft framework, p1</w:t>
      </w:r>
    </w:p>
  </w:footnote>
  <w:footnote w:id="14">
    <w:p w:rsidR="00C363DC" w:rsidRDefault="00C363DC">
      <w:pPr>
        <w:pStyle w:val="FootnoteText"/>
      </w:pPr>
      <w:r>
        <w:rPr>
          <w:rStyle w:val="FootnoteReference"/>
        </w:rPr>
        <w:footnoteRef/>
      </w:r>
      <w:r>
        <w:t xml:space="preserve"> CALC submission, p3</w:t>
      </w:r>
    </w:p>
  </w:footnote>
  <w:footnote w:id="15">
    <w:p w:rsidR="00C363DC" w:rsidRDefault="00C363DC" w:rsidP="001D027A">
      <w:pPr>
        <w:pStyle w:val="FootnoteText"/>
      </w:pPr>
      <w:r w:rsidRPr="00B930DA">
        <w:rPr>
          <w:szCs w:val="16"/>
          <w:vertAlign w:val="superscript"/>
        </w:rPr>
        <w:footnoteRef/>
      </w:r>
      <w:r w:rsidRPr="00B930DA">
        <w:rPr>
          <w:szCs w:val="16"/>
          <w:vertAlign w:val="superscript"/>
        </w:rPr>
        <w:t xml:space="preserve"> </w:t>
      </w:r>
      <w:r w:rsidRPr="004635FA">
        <w:rPr>
          <w:szCs w:val="16"/>
        </w:rPr>
        <w:tab/>
        <w:t>Ergon Energy Queensland submission, p3</w:t>
      </w:r>
    </w:p>
  </w:footnote>
  <w:footnote w:id="16">
    <w:p w:rsidR="00C363DC" w:rsidRDefault="00C363DC">
      <w:pPr>
        <w:pStyle w:val="FootnoteText"/>
      </w:pPr>
      <w:r>
        <w:rPr>
          <w:rStyle w:val="FootnoteReference"/>
        </w:rPr>
        <w:footnoteRef/>
      </w:r>
      <w:r>
        <w:t xml:space="preserve"> </w:t>
      </w:r>
      <w:r w:rsidR="00C64F72">
        <w:tab/>
      </w:r>
      <w:r>
        <w:t>Kildonan UnitingCare submission, p2</w:t>
      </w:r>
    </w:p>
  </w:footnote>
  <w:footnote w:id="17">
    <w:p w:rsidR="00C363DC" w:rsidRPr="00CE0A38" w:rsidRDefault="00C363DC">
      <w:pPr>
        <w:pStyle w:val="FootnoteText"/>
        <w:rPr>
          <w:rStyle w:val="Superscript"/>
          <w:sz w:val="18"/>
          <w:szCs w:val="18"/>
        </w:rPr>
      </w:pPr>
      <w:r w:rsidRPr="00B930DA">
        <w:rPr>
          <w:szCs w:val="16"/>
          <w:vertAlign w:val="superscript"/>
        </w:rPr>
        <w:footnoteRef/>
      </w:r>
      <w:r w:rsidRPr="00B930DA">
        <w:rPr>
          <w:szCs w:val="16"/>
          <w:vertAlign w:val="superscript"/>
        </w:rPr>
        <w:t xml:space="preserve"> </w:t>
      </w:r>
      <w:r w:rsidRPr="004635FA">
        <w:rPr>
          <w:szCs w:val="16"/>
        </w:rPr>
        <w:tab/>
        <w:t>Debt collection guideline for collectors &amp; creditors, Australian Competition and Consumer Commission and Australian Securities and Investments Commission, 2015—</w:t>
      </w:r>
      <w:hyperlink r:id="rId3" w:history="1">
        <w:r w:rsidRPr="00B930DA">
          <w:rPr>
            <w:color w:val="4DA5D9" w:themeColor="accent4" w:themeShade="BF"/>
            <w:szCs w:val="16"/>
            <w:u w:val="single"/>
          </w:rPr>
          <w:t>https://www.accc.gov.au/publications/debt-collection-guideline-for-collectors-creditors</w:t>
        </w:r>
      </w:hyperlink>
    </w:p>
  </w:footnote>
  <w:footnote w:id="18">
    <w:p w:rsidR="00C363DC" w:rsidRPr="004635FA" w:rsidRDefault="00C363DC" w:rsidP="001D027A">
      <w:pPr>
        <w:pStyle w:val="FootnoteText"/>
        <w:rPr>
          <w:szCs w:val="16"/>
        </w:rPr>
      </w:pPr>
      <w:r w:rsidRPr="004635FA">
        <w:rPr>
          <w:rStyle w:val="Superscript"/>
        </w:rPr>
        <w:footnoteRef/>
      </w:r>
      <w:r w:rsidRPr="004635FA">
        <w:rPr>
          <w:rStyle w:val="Superscript"/>
        </w:rPr>
        <w:t xml:space="preserve"> </w:t>
      </w:r>
      <w:r w:rsidRPr="004635FA">
        <w:rPr>
          <w:szCs w:val="16"/>
        </w:rPr>
        <w:tab/>
      </w:r>
      <w:r>
        <w:rPr>
          <w:szCs w:val="16"/>
        </w:rPr>
        <w:t>FRLC</w:t>
      </w:r>
      <w:r w:rsidRPr="004635FA">
        <w:rPr>
          <w:szCs w:val="16"/>
        </w:rPr>
        <w:t xml:space="preserve"> submission, p7</w:t>
      </w:r>
      <w:r w:rsidRPr="004635FA" w:rsidDel="00173F1B">
        <w:rPr>
          <w:szCs w:val="16"/>
        </w:rPr>
        <w:t xml:space="preserve"> </w:t>
      </w:r>
    </w:p>
  </w:footnote>
  <w:footnote w:id="19">
    <w:p w:rsidR="00C363DC" w:rsidRDefault="00C363DC" w:rsidP="001D027A">
      <w:pPr>
        <w:pStyle w:val="FootnoteText"/>
      </w:pPr>
      <w:r w:rsidRPr="004635FA">
        <w:rPr>
          <w:szCs w:val="16"/>
        </w:rPr>
        <w:footnoteRef/>
      </w:r>
      <w:r w:rsidRPr="004635FA">
        <w:rPr>
          <w:szCs w:val="16"/>
        </w:rPr>
        <w:t xml:space="preserve"> </w:t>
      </w:r>
      <w:r w:rsidRPr="004635FA">
        <w:rPr>
          <w:szCs w:val="16"/>
        </w:rPr>
        <w:tab/>
        <w:t>National Energy Retail Rules, r 72; National Energy Retail Law, s 50.</w:t>
      </w:r>
    </w:p>
  </w:footnote>
  <w:footnote w:id="20">
    <w:p w:rsidR="00C363DC" w:rsidRDefault="00C363DC" w:rsidP="001D027A">
      <w:pPr>
        <w:pStyle w:val="FootnoteText"/>
      </w:pPr>
      <w:r>
        <w:rPr>
          <w:rStyle w:val="FootnoteReference"/>
        </w:rPr>
        <w:footnoteRef/>
      </w:r>
      <w:r>
        <w:t xml:space="preserve"> </w:t>
      </w:r>
      <w:r>
        <w:tab/>
      </w:r>
      <w:r w:rsidRPr="004635FA">
        <w:rPr>
          <w:szCs w:val="16"/>
        </w:rPr>
        <w:t>Momentum</w:t>
      </w:r>
      <w:r w:rsidR="002D4E02">
        <w:rPr>
          <w:szCs w:val="16"/>
        </w:rPr>
        <w:t>,</w:t>
      </w:r>
      <w:r w:rsidR="00B930DA">
        <w:rPr>
          <w:szCs w:val="16"/>
        </w:rPr>
        <w:t xml:space="preserve"> </w:t>
      </w:r>
      <w:r w:rsidR="00D247AB">
        <w:rPr>
          <w:szCs w:val="16"/>
        </w:rPr>
        <w:t>p2</w:t>
      </w:r>
    </w:p>
  </w:footnote>
  <w:footnote w:id="21">
    <w:p w:rsidR="00C363DC" w:rsidRDefault="00C363DC">
      <w:pPr>
        <w:pStyle w:val="FootnoteText"/>
      </w:pPr>
      <w:r>
        <w:rPr>
          <w:rStyle w:val="FootnoteReference"/>
        </w:rPr>
        <w:footnoteRef/>
      </w:r>
      <w:r>
        <w:t xml:space="preserve"> </w:t>
      </w:r>
      <w:r>
        <w:tab/>
        <w:t>ERM</w:t>
      </w:r>
      <w:r w:rsidR="002D4E02">
        <w:t>,</w:t>
      </w:r>
      <w:r>
        <w:t xml:space="preserve"> p2</w:t>
      </w:r>
    </w:p>
  </w:footnote>
  <w:footnote w:id="22">
    <w:p w:rsidR="00C363DC" w:rsidRDefault="00C363DC" w:rsidP="0076575B">
      <w:pPr>
        <w:pStyle w:val="FootnoteText"/>
      </w:pPr>
      <w:r>
        <w:rPr>
          <w:rStyle w:val="FootnoteReference"/>
        </w:rPr>
        <w:footnoteRef/>
      </w:r>
      <w:r>
        <w:t xml:space="preserve"> </w:t>
      </w:r>
      <w:r w:rsidR="00C64F72">
        <w:tab/>
      </w:r>
      <w:r>
        <w:t>CALC</w:t>
      </w:r>
      <w:r w:rsidR="002D4E02">
        <w:t>,</w:t>
      </w:r>
      <w:r>
        <w:t xml:space="preserve"> p2; FRLC</w:t>
      </w:r>
      <w:r w:rsidR="002D4E02">
        <w:t>,</w:t>
      </w:r>
      <w:r>
        <w:t xml:space="preserve"> p8</w:t>
      </w:r>
    </w:p>
  </w:footnote>
  <w:footnote w:id="23">
    <w:p w:rsidR="00C363DC" w:rsidRDefault="00C363DC">
      <w:pPr>
        <w:pStyle w:val="FootnoteText"/>
      </w:pPr>
      <w:r>
        <w:rPr>
          <w:rStyle w:val="FootnoteReference"/>
        </w:rPr>
        <w:footnoteRef/>
      </w:r>
      <w:r>
        <w:t xml:space="preserve"> </w:t>
      </w:r>
      <w:r w:rsidR="00C64F72">
        <w:tab/>
      </w:r>
      <w:r>
        <w:t xml:space="preserve">Origin </w:t>
      </w:r>
      <w:r w:rsidR="00D247AB">
        <w:t xml:space="preserve">Energy </w:t>
      </w:r>
      <w:r>
        <w:t>submission, p2</w:t>
      </w:r>
    </w:p>
  </w:footnote>
  <w:footnote w:id="24">
    <w:p w:rsidR="00C363DC" w:rsidRDefault="00C363DC">
      <w:pPr>
        <w:pStyle w:val="FootnoteText"/>
      </w:pPr>
      <w:r>
        <w:rPr>
          <w:rStyle w:val="FootnoteReference"/>
        </w:rPr>
        <w:footnoteRef/>
      </w:r>
      <w:r>
        <w:t xml:space="preserve"> </w:t>
      </w:r>
      <w:r w:rsidR="00C64F72">
        <w:tab/>
      </w:r>
      <w:r>
        <w:t>AEC</w:t>
      </w:r>
      <w:r w:rsidR="002D4E02">
        <w:t>,</w:t>
      </w:r>
      <w:r w:rsidR="00D247AB">
        <w:t xml:space="preserve"> p1</w:t>
      </w:r>
    </w:p>
  </w:footnote>
  <w:footnote w:id="25">
    <w:p w:rsidR="00C363DC" w:rsidRDefault="00C363DC">
      <w:pPr>
        <w:pStyle w:val="FootnoteText"/>
      </w:pPr>
      <w:r>
        <w:rPr>
          <w:rStyle w:val="FootnoteReference"/>
        </w:rPr>
        <w:footnoteRef/>
      </w:r>
      <w:r>
        <w:t xml:space="preserve"> </w:t>
      </w:r>
      <w:r w:rsidR="00C64F72">
        <w:tab/>
      </w:r>
      <w:r>
        <w:t>Momentum</w:t>
      </w:r>
      <w:r w:rsidR="002D4E02">
        <w:t xml:space="preserve">, </w:t>
      </w:r>
      <w:r>
        <w:t>p3; AEC</w:t>
      </w:r>
      <w:r w:rsidR="002D4E02">
        <w:t>,</w:t>
      </w:r>
      <w:r>
        <w:t xml:space="preserve"> p1</w:t>
      </w:r>
    </w:p>
  </w:footnote>
  <w:footnote w:id="26">
    <w:p w:rsidR="00C363DC" w:rsidRDefault="00C363DC">
      <w:pPr>
        <w:pStyle w:val="FootnoteText"/>
      </w:pPr>
      <w:r>
        <w:rPr>
          <w:rStyle w:val="FootnoteReference"/>
        </w:rPr>
        <w:footnoteRef/>
      </w:r>
      <w:r>
        <w:t xml:space="preserve"> </w:t>
      </w:r>
      <w:r w:rsidR="00C64F72">
        <w:tab/>
      </w:r>
      <w:r>
        <w:t>ERM</w:t>
      </w:r>
      <w:r w:rsidR="002D4E02">
        <w:t>,</w:t>
      </w:r>
      <w:r>
        <w:t xml:space="preserve"> p2</w:t>
      </w:r>
    </w:p>
  </w:footnote>
  <w:footnote w:id="27">
    <w:p w:rsidR="00C363DC" w:rsidRDefault="00C363DC">
      <w:pPr>
        <w:pStyle w:val="FootnoteText"/>
      </w:pPr>
      <w:r>
        <w:rPr>
          <w:rStyle w:val="FootnoteReference"/>
        </w:rPr>
        <w:footnoteRef/>
      </w:r>
      <w:r>
        <w:t xml:space="preserve"> </w:t>
      </w:r>
      <w:r w:rsidR="00C64F72">
        <w:tab/>
      </w:r>
      <w:r>
        <w:t>Red/Lumo</w:t>
      </w:r>
      <w:r w:rsidR="002D4E02">
        <w:t>,</w:t>
      </w:r>
      <w:r w:rsidR="00D247AB">
        <w:t xml:space="preserve"> </w:t>
      </w:r>
      <w:r>
        <w:t>p2; AEC</w:t>
      </w:r>
      <w:r w:rsidR="002D4E02">
        <w:t>,</w:t>
      </w:r>
      <w:r>
        <w:t xml:space="preserve"> p1</w:t>
      </w:r>
    </w:p>
  </w:footnote>
  <w:footnote w:id="28">
    <w:p w:rsidR="00C363DC" w:rsidRDefault="00C363DC" w:rsidP="001D027A">
      <w:pPr>
        <w:pStyle w:val="FootnoteText"/>
      </w:pPr>
      <w:r w:rsidRPr="004635FA">
        <w:rPr>
          <w:rStyle w:val="Superscript"/>
        </w:rPr>
        <w:footnoteRef/>
      </w:r>
      <w:r>
        <w:t xml:space="preserve"> </w:t>
      </w:r>
      <w:r w:rsidR="00C64F72">
        <w:tab/>
      </w:r>
      <w:r w:rsidRPr="00C64F72">
        <w:t>FRLC</w:t>
      </w:r>
      <w:r w:rsidR="00C64F72">
        <w:t>,</w:t>
      </w:r>
      <w:r w:rsidRPr="00C64F72">
        <w:t xml:space="preserve"> p8</w:t>
      </w:r>
    </w:p>
  </w:footnote>
  <w:footnote w:id="29">
    <w:p w:rsidR="00C363DC" w:rsidRDefault="00C363DC">
      <w:pPr>
        <w:pStyle w:val="FootnoteText"/>
      </w:pPr>
      <w:r>
        <w:rPr>
          <w:rStyle w:val="FootnoteReference"/>
        </w:rPr>
        <w:footnoteRef/>
      </w:r>
      <w:r>
        <w:t xml:space="preserve"> </w:t>
      </w:r>
      <w:r w:rsidR="00C64F72">
        <w:tab/>
      </w:r>
      <w:r>
        <w:t>Kildonan</w:t>
      </w:r>
      <w:r w:rsidR="002D4E02">
        <w:t>,</w:t>
      </w:r>
      <w:r>
        <w:t xml:space="preserve"> p3</w:t>
      </w:r>
    </w:p>
  </w:footnote>
  <w:footnote w:id="30">
    <w:p w:rsidR="00C363DC" w:rsidRDefault="00C363DC">
      <w:pPr>
        <w:pStyle w:val="FootnoteText"/>
      </w:pPr>
      <w:r>
        <w:rPr>
          <w:rStyle w:val="FootnoteReference"/>
        </w:rPr>
        <w:footnoteRef/>
      </w:r>
      <w:r>
        <w:t xml:space="preserve"> </w:t>
      </w:r>
      <w:r w:rsidR="00C64F72">
        <w:tab/>
      </w:r>
      <w:r>
        <w:t>EWON</w:t>
      </w:r>
      <w:r w:rsidR="002D4E02">
        <w:t>,</w:t>
      </w:r>
      <w:r>
        <w:t xml:space="preserve"> p4</w:t>
      </w:r>
    </w:p>
  </w:footnote>
  <w:footnote w:id="31">
    <w:p w:rsidR="00C363DC" w:rsidRDefault="00C363DC">
      <w:pPr>
        <w:pStyle w:val="FootnoteText"/>
      </w:pPr>
      <w:r>
        <w:rPr>
          <w:rStyle w:val="FootnoteReference"/>
        </w:rPr>
        <w:footnoteRef/>
      </w:r>
      <w:r>
        <w:t xml:space="preserve"> </w:t>
      </w:r>
      <w:r w:rsidR="00C64F72">
        <w:tab/>
      </w:r>
      <w:r>
        <w:t>Kildonan</w:t>
      </w:r>
      <w:r w:rsidR="00257E7E">
        <w:t xml:space="preserve">, </w:t>
      </w:r>
      <w:r>
        <w:t>p3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FFFFFF89"/>
    <w:multiLevelType w:val="singleLevel"/>
    <w:tmpl w:val="896C97D0"/>
    <w:lvl w:ilvl="0">
      <w:start w:val="1"/>
      <w:numFmt w:val="bullet"/>
      <w:lvlText w:val=""/>
      <w:lvlJc w:val="left"/>
      <w:pPr>
        <w:tabs>
          <w:tab w:val="num" w:pos="360"/>
        </w:tabs>
        <w:ind w:left="360" w:hanging="360"/>
      </w:pPr>
      <w:rPr>
        <w:rFonts w:ascii="Symbol" w:hAnsi="Symbol" w:hint="default"/>
      </w:rPr>
    </w:lvl>
  </w:abstractNum>
  <w:abstractNum w:abstractNumId="10">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41F530A"/>
    <w:multiLevelType w:val="multilevel"/>
    <w:tmpl w:val="855E0B4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C4312B0"/>
    <w:multiLevelType w:val="hybridMultilevel"/>
    <w:tmpl w:val="C1266B52"/>
    <w:lvl w:ilvl="0" w:tplc="990A9FAA">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5674CAF"/>
    <w:multiLevelType w:val="hybridMultilevel"/>
    <w:tmpl w:val="2578C472"/>
    <w:lvl w:ilvl="0" w:tplc="0C090001">
      <w:start w:val="1"/>
      <w:numFmt w:val="bullet"/>
      <w:lvlText w:val=""/>
      <w:lvlJc w:val="left"/>
      <w:pPr>
        <w:ind w:left="731" w:hanging="360"/>
      </w:pPr>
      <w:rPr>
        <w:rFonts w:ascii="Symbol" w:hAnsi="Symbol" w:hint="default"/>
      </w:rPr>
    </w:lvl>
    <w:lvl w:ilvl="1" w:tplc="0C090003" w:tentative="1">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17">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8">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0">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64447C7"/>
    <w:multiLevelType w:val="hybridMultilevel"/>
    <w:tmpl w:val="C6622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8865DF8"/>
    <w:multiLevelType w:val="hybridMultilevel"/>
    <w:tmpl w:val="EC0E5568"/>
    <w:lvl w:ilvl="0" w:tplc="D90E7D7A">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3">
    <w:nsid w:val="28F0471C"/>
    <w:multiLevelType w:val="hybridMultilevel"/>
    <w:tmpl w:val="6F98BE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5">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6">
    <w:nsid w:val="38125376"/>
    <w:multiLevelType w:val="hybridMultilevel"/>
    <w:tmpl w:val="44EEBC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9">
    <w:nsid w:val="3D935F5F"/>
    <w:multiLevelType w:val="hybridMultilevel"/>
    <w:tmpl w:val="11AE8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58F4ACA"/>
    <w:multiLevelType w:val="hybridMultilevel"/>
    <w:tmpl w:val="DB3645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BF66505"/>
    <w:multiLevelType w:val="hybridMultilevel"/>
    <w:tmpl w:val="5CDAB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D4757D5"/>
    <w:multiLevelType w:val="hybridMultilevel"/>
    <w:tmpl w:val="C226A1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8">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41">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42">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43">
    <w:nsid w:val="74970C10"/>
    <w:multiLevelType w:val="hybridMultilevel"/>
    <w:tmpl w:val="8C02B6A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45">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46">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46"/>
  </w:num>
  <w:num w:numId="3">
    <w:abstractNumId w:val="7"/>
  </w:num>
  <w:num w:numId="4">
    <w:abstractNumId w:val="6"/>
  </w:num>
  <w:num w:numId="5">
    <w:abstractNumId w:val="5"/>
  </w:num>
  <w:num w:numId="6">
    <w:abstractNumId w:val="4"/>
  </w:num>
  <w:num w:numId="7">
    <w:abstractNumId w:val="1"/>
  </w:num>
  <w:num w:numId="8">
    <w:abstractNumId w:val="0"/>
  </w:num>
  <w:num w:numId="9">
    <w:abstractNumId w:val="40"/>
  </w:num>
  <w:num w:numId="10">
    <w:abstractNumId w:val="27"/>
  </w:num>
  <w:num w:numId="11">
    <w:abstractNumId w:val="14"/>
  </w:num>
  <w:num w:numId="12">
    <w:abstractNumId w:val="19"/>
  </w:num>
  <w:num w:numId="13">
    <w:abstractNumId w:val="25"/>
  </w:num>
  <w:num w:numId="14">
    <w:abstractNumId w:val="2"/>
  </w:num>
  <w:num w:numId="15">
    <w:abstractNumId w:val="41"/>
  </w:num>
  <w:num w:numId="16">
    <w:abstractNumId w:val="45"/>
  </w:num>
  <w:num w:numId="17">
    <w:abstractNumId w:val="44"/>
  </w:num>
  <w:num w:numId="18">
    <w:abstractNumId w:val="37"/>
  </w:num>
  <w:num w:numId="19">
    <w:abstractNumId w:val="24"/>
  </w:num>
  <w:num w:numId="20">
    <w:abstractNumId w:val="28"/>
  </w:num>
  <w:num w:numId="21">
    <w:abstractNumId w:val="42"/>
  </w:num>
  <w:num w:numId="22">
    <w:abstractNumId w:val="38"/>
  </w:num>
  <w:num w:numId="23">
    <w:abstractNumId w:val="8"/>
  </w:num>
  <w:num w:numId="24">
    <w:abstractNumId w:val="3"/>
  </w:num>
  <w:num w:numId="25">
    <w:abstractNumId w:val="33"/>
  </w:num>
  <w:num w:numId="26">
    <w:abstractNumId w:val="17"/>
  </w:num>
  <w:num w:numId="27">
    <w:abstractNumId w:val="39"/>
  </w:num>
  <w:num w:numId="28">
    <w:abstractNumId w:val="32"/>
  </w:num>
  <w:num w:numId="29">
    <w:abstractNumId w:val="13"/>
  </w:num>
  <w:num w:numId="30">
    <w:abstractNumId w:val="22"/>
  </w:num>
  <w:num w:numId="31">
    <w:abstractNumId w:val="12"/>
  </w:num>
  <w:num w:numId="32">
    <w:abstractNumId w:val="20"/>
  </w:num>
  <w:num w:numId="33">
    <w:abstractNumId w:val="2"/>
    <w:lvlOverride w:ilvl="0">
      <w:startOverride w:val="1"/>
    </w:lvlOverride>
  </w:num>
  <w:num w:numId="34">
    <w:abstractNumId w:val="22"/>
    <w:lvlOverride w:ilvl="0">
      <w:startOverride w:val="1"/>
    </w:lvlOverride>
  </w:num>
  <w:num w:numId="35">
    <w:abstractNumId w:val="31"/>
  </w:num>
  <w:num w:numId="36">
    <w:abstractNumId w:val="10"/>
  </w:num>
  <w:num w:numId="37">
    <w:abstractNumId w:val="18"/>
  </w:num>
  <w:num w:numId="38">
    <w:abstractNumId w:val="11"/>
  </w:num>
  <w:num w:numId="39">
    <w:abstractNumId w:val="36"/>
  </w:num>
  <w:num w:numId="40">
    <w:abstractNumId w:val="9"/>
  </w:num>
  <w:num w:numId="41">
    <w:abstractNumId w:val="23"/>
  </w:num>
  <w:num w:numId="42">
    <w:abstractNumId w:val="43"/>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34"/>
  </w:num>
  <w:num w:numId="46">
    <w:abstractNumId w:val="26"/>
  </w:num>
  <w:num w:numId="47">
    <w:abstractNumId w:val="30"/>
  </w:num>
  <w:num w:numId="48">
    <w:abstractNumId w:val="35"/>
  </w:num>
  <w:num w:numId="49">
    <w:abstractNumId w:val="29"/>
  </w:num>
  <w:num w:numId="50">
    <w:abstractNumId w:val="21"/>
  </w:num>
  <w:num w:numId="51">
    <w:abstractNumId w:val="46"/>
  </w:num>
  <w:num w:numId="52">
    <w:abstractNumId w:val="19"/>
  </w:num>
  <w:num w:numId="53">
    <w:abstractNumId w:val="19"/>
  </w:num>
  <w:num w:numId="54">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tps://www.aer.gov.au/system/files/AER Sustainable payments framework - AER response to consultation issues FINAL.docx"/>
  </w:docVars>
  <w:rsids>
    <w:rsidRoot w:val="001D027A"/>
    <w:rsid w:val="0002115F"/>
    <w:rsid w:val="00021202"/>
    <w:rsid w:val="000225C4"/>
    <w:rsid w:val="0003578C"/>
    <w:rsid w:val="000467FE"/>
    <w:rsid w:val="00062DE4"/>
    <w:rsid w:val="00063247"/>
    <w:rsid w:val="00070F9F"/>
    <w:rsid w:val="0007137B"/>
    <w:rsid w:val="00085663"/>
    <w:rsid w:val="00085EBF"/>
    <w:rsid w:val="000B42EA"/>
    <w:rsid w:val="000C6E95"/>
    <w:rsid w:val="000D122C"/>
    <w:rsid w:val="000E1819"/>
    <w:rsid w:val="000E6C72"/>
    <w:rsid w:val="000F2368"/>
    <w:rsid w:val="00111A1E"/>
    <w:rsid w:val="00116EB2"/>
    <w:rsid w:val="00124609"/>
    <w:rsid w:val="00131C5E"/>
    <w:rsid w:val="00132F28"/>
    <w:rsid w:val="00134BE9"/>
    <w:rsid w:val="001573E4"/>
    <w:rsid w:val="0016042D"/>
    <w:rsid w:val="00160756"/>
    <w:rsid w:val="0017232E"/>
    <w:rsid w:val="00173F1B"/>
    <w:rsid w:val="00174102"/>
    <w:rsid w:val="00180157"/>
    <w:rsid w:val="00181223"/>
    <w:rsid w:val="00186F77"/>
    <w:rsid w:val="001926A4"/>
    <w:rsid w:val="00195064"/>
    <w:rsid w:val="001A3A19"/>
    <w:rsid w:val="001B246B"/>
    <w:rsid w:val="001B45A0"/>
    <w:rsid w:val="001C18EE"/>
    <w:rsid w:val="001D027A"/>
    <w:rsid w:val="001D055E"/>
    <w:rsid w:val="001F492E"/>
    <w:rsid w:val="001F6DA3"/>
    <w:rsid w:val="001F7132"/>
    <w:rsid w:val="00211C14"/>
    <w:rsid w:val="00212737"/>
    <w:rsid w:val="00215B82"/>
    <w:rsid w:val="00224DB9"/>
    <w:rsid w:val="00251745"/>
    <w:rsid w:val="00257E7E"/>
    <w:rsid w:val="00263AC0"/>
    <w:rsid w:val="0026772D"/>
    <w:rsid w:val="00286874"/>
    <w:rsid w:val="002922E2"/>
    <w:rsid w:val="00296B65"/>
    <w:rsid w:val="002A6A32"/>
    <w:rsid w:val="002A7DEF"/>
    <w:rsid w:val="002D4E02"/>
    <w:rsid w:val="002F7986"/>
    <w:rsid w:val="00303C4A"/>
    <w:rsid w:val="00304D82"/>
    <w:rsid w:val="00307F6D"/>
    <w:rsid w:val="003177A2"/>
    <w:rsid w:val="00320340"/>
    <w:rsid w:val="003271B5"/>
    <w:rsid w:val="003301BA"/>
    <w:rsid w:val="00330CA0"/>
    <w:rsid w:val="00331264"/>
    <w:rsid w:val="00334C8D"/>
    <w:rsid w:val="00340655"/>
    <w:rsid w:val="003459E6"/>
    <w:rsid w:val="003518B3"/>
    <w:rsid w:val="003556FE"/>
    <w:rsid w:val="00363BC9"/>
    <w:rsid w:val="00371641"/>
    <w:rsid w:val="00373366"/>
    <w:rsid w:val="003741ED"/>
    <w:rsid w:val="003846F1"/>
    <w:rsid w:val="003A59E4"/>
    <w:rsid w:val="003A673F"/>
    <w:rsid w:val="003A6BF4"/>
    <w:rsid w:val="003B5A70"/>
    <w:rsid w:val="0041012E"/>
    <w:rsid w:val="004635FA"/>
    <w:rsid w:val="00475DDE"/>
    <w:rsid w:val="00480B4B"/>
    <w:rsid w:val="00485DC4"/>
    <w:rsid w:val="004A3EAB"/>
    <w:rsid w:val="004B3ADA"/>
    <w:rsid w:val="004B4153"/>
    <w:rsid w:val="004B4412"/>
    <w:rsid w:val="004C348C"/>
    <w:rsid w:val="004D55BA"/>
    <w:rsid w:val="005038DB"/>
    <w:rsid w:val="00505B88"/>
    <w:rsid w:val="0052379B"/>
    <w:rsid w:val="00530128"/>
    <w:rsid w:val="00532467"/>
    <w:rsid w:val="0054381C"/>
    <w:rsid w:val="00547BA2"/>
    <w:rsid w:val="00547CCF"/>
    <w:rsid w:val="00550D87"/>
    <w:rsid w:val="00564A4D"/>
    <w:rsid w:val="005713A1"/>
    <w:rsid w:val="00571B35"/>
    <w:rsid w:val="00571C9F"/>
    <w:rsid w:val="0057599C"/>
    <w:rsid w:val="00577A09"/>
    <w:rsid w:val="00580B78"/>
    <w:rsid w:val="00584D8F"/>
    <w:rsid w:val="00596D42"/>
    <w:rsid w:val="005A404D"/>
    <w:rsid w:val="005B1E3C"/>
    <w:rsid w:val="005B71AD"/>
    <w:rsid w:val="005C24AC"/>
    <w:rsid w:val="005C26CC"/>
    <w:rsid w:val="005C3301"/>
    <w:rsid w:val="005E6C0E"/>
    <w:rsid w:val="00615C6B"/>
    <w:rsid w:val="00632D6D"/>
    <w:rsid w:val="00634B60"/>
    <w:rsid w:val="00642C3E"/>
    <w:rsid w:val="00646025"/>
    <w:rsid w:val="00657F05"/>
    <w:rsid w:val="00663DAD"/>
    <w:rsid w:val="00676679"/>
    <w:rsid w:val="00691616"/>
    <w:rsid w:val="006B4CF9"/>
    <w:rsid w:val="006B5D14"/>
    <w:rsid w:val="006B7AC8"/>
    <w:rsid w:val="006D550F"/>
    <w:rsid w:val="006D77F3"/>
    <w:rsid w:val="006D7F8A"/>
    <w:rsid w:val="00701CAB"/>
    <w:rsid w:val="00707563"/>
    <w:rsid w:val="0072348C"/>
    <w:rsid w:val="00724A37"/>
    <w:rsid w:val="007303C3"/>
    <w:rsid w:val="00743223"/>
    <w:rsid w:val="00746E01"/>
    <w:rsid w:val="00763E5D"/>
    <w:rsid w:val="0076575B"/>
    <w:rsid w:val="00767740"/>
    <w:rsid w:val="00777EE6"/>
    <w:rsid w:val="00782EEA"/>
    <w:rsid w:val="007A316C"/>
    <w:rsid w:val="007A788D"/>
    <w:rsid w:val="007B2C72"/>
    <w:rsid w:val="007C1C53"/>
    <w:rsid w:val="007D1335"/>
    <w:rsid w:val="007E26A9"/>
    <w:rsid w:val="007E4904"/>
    <w:rsid w:val="007E4CB5"/>
    <w:rsid w:val="007E779F"/>
    <w:rsid w:val="007F066B"/>
    <w:rsid w:val="008033C4"/>
    <w:rsid w:val="008061FA"/>
    <w:rsid w:val="00806C88"/>
    <w:rsid w:val="0081034E"/>
    <w:rsid w:val="00825CDB"/>
    <w:rsid w:val="00831F62"/>
    <w:rsid w:val="008344F6"/>
    <w:rsid w:val="00834F8B"/>
    <w:rsid w:val="0083510F"/>
    <w:rsid w:val="00851209"/>
    <w:rsid w:val="00865627"/>
    <w:rsid w:val="00873D79"/>
    <w:rsid w:val="0088007E"/>
    <w:rsid w:val="008837AC"/>
    <w:rsid w:val="008945B4"/>
    <w:rsid w:val="008971F9"/>
    <w:rsid w:val="008A587D"/>
    <w:rsid w:val="008C5486"/>
    <w:rsid w:val="008E7031"/>
    <w:rsid w:val="008F797F"/>
    <w:rsid w:val="00917957"/>
    <w:rsid w:val="00922C95"/>
    <w:rsid w:val="009233EE"/>
    <w:rsid w:val="009661DE"/>
    <w:rsid w:val="009856B7"/>
    <w:rsid w:val="0098602B"/>
    <w:rsid w:val="00991B3B"/>
    <w:rsid w:val="009952A1"/>
    <w:rsid w:val="009962BA"/>
    <w:rsid w:val="009B74B0"/>
    <w:rsid w:val="009D2D69"/>
    <w:rsid w:val="009D4414"/>
    <w:rsid w:val="009D6B46"/>
    <w:rsid w:val="009E6697"/>
    <w:rsid w:val="009F4940"/>
    <w:rsid w:val="009F6400"/>
    <w:rsid w:val="00A1665B"/>
    <w:rsid w:val="00A16FF6"/>
    <w:rsid w:val="00A4478A"/>
    <w:rsid w:val="00A44852"/>
    <w:rsid w:val="00A57D04"/>
    <w:rsid w:val="00A60A26"/>
    <w:rsid w:val="00A61598"/>
    <w:rsid w:val="00A84F46"/>
    <w:rsid w:val="00A871F4"/>
    <w:rsid w:val="00AC1B2C"/>
    <w:rsid w:val="00AC3264"/>
    <w:rsid w:val="00AC6F01"/>
    <w:rsid w:val="00AE0FE2"/>
    <w:rsid w:val="00AE1BF1"/>
    <w:rsid w:val="00AE321D"/>
    <w:rsid w:val="00AE69B7"/>
    <w:rsid w:val="00AF0DD2"/>
    <w:rsid w:val="00B10314"/>
    <w:rsid w:val="00B10344"/>
    <w:rsid w:val="00B13048"/>
    <w:rsid w:val="00B15998"/>
    <w:rsid w:val="00B1716D"/>
    <w:rsid w:val="00B17A1D"/>
    <w:rsid w:val="00B207A0"/>
    <w:rsid w:val="00B56E03"/>
    <w:rsid w:val="00B60F5D"/>
    <w:rsid w:val="00B67E91"/>
    <w:rsid w:val="00B8080B"/>
    <w:rsid w:val="00B87C39"/>
    <w:rsid w:val="00B930DA"/>
    <w:rsid w:val="00BA4665"/>
    <w:rsid w:val="00BB2FB2"/>
    <w:rsid w:val="00BB3304"/>
    <w:rsid w:val="00BB693B"/>
    <w:rsid w:val="00BD3446"/>
    <w:rsid w:val="00BE1F1B"/>
    <w:rsid w:val="00BE47B5"/>
    <w:rsid w:val="00BE4C99"/>
    <w:rsid w:val="00BF0EF4"/>
    <w:rsid w:val="00C058AB"/>
    <w:rsid w:val="00C06739"/>
    <w:rsid w:val="00C363DC"/>
    <w:rsid w:val="00C42527"/>
    <w:rsid w:val="00C538A9"/>
    <w:rsid w:val="00C53B5A"/>
    <w:rsid w:val="00C54F5A"/>
    <w:rsid w:val="00C64F72"/>
    <w:rsid w:val="00C755AD"/>
    <w:rsid w:val="00C86679"/>
    <w:rsid w:val="00CA19EE"/>
    <w:rsid w:val="00CB6179"/>
    <w:rsid w:val="00CB666B"/>
    <w:rsid w:val="00CF799E"/>
    <w:rsid w:val="00D01CF0"/>
    <w:rsid w:val="00D0442A"/>
    <w:rsid w:val="00D203E1"/>
    <w:rsid w:val="00D247AB"/>
    <w:rsid w:val="00D24DB7"/>
    <w:rsid w:val="00D37309"/>
    <w:rsid w:val="00D544B8"/>
    <w:rsid w:val="00D61388"/>
    <w:rsid w:val="00D61A54"/>
    <w:rsid w:val="00D64DEA"/>
    <w:rsid w:val="00D80893"/>
    <w:rsid w:val="00D849D3"/>
    <w:rsid w:val="00D92CF1"/>
    <w:rsid w:val="00D92D38"/>
    <w:rsid w:val="00D950F5"/>
    <w:rsid w:val="00DB0F93"/>
    <w:rsid w:val="00DB232F"/>
    <w:rsid w:val="00DC542F"/>
    <w:rsid w:val="00DC7981"/>
    <w:rsid w:val="00DE4EFA"/>
    <w:rsid w:val="00DE5520"/>
    <w:rsid w:val="00E04818"/>
    <w:rsid w:val="00E04A74"/>
    <w:rsid w:val="00E06442"/>
    <w:rsid w:val="00E23993"/>
    <w:rsid w:val="00E25B8C"/>
    <w:rsid w:val="00E4674F"/>
    <w:rsid w:val="00E55240"/>
    <w:rsid w:val="00E60BDF"/>
    <w:rsid w:val="00E65C85"/>
    <w:rsid w:val="00E66199"/>
    <w:rsid w:val="00E755EC"/>
    <w:rsid w:val="00E7624D"/>
    <w:rsid w:val="00EA3D42"/>
    <w:rsid w:val="00EA6B1B"/>
    <w:rsid w:val="00EE28F3"/>
    <w:rsid w:val="00EF5110"/>
    <w:rsid w:val="00EF763F"/>
    <w:rsid w:val="00F0778B"/>
    <w:rsid w:val="00F15882"/>
    <w:rsid w:val="00F20BD3"/>
    <w:rsid w:val="00F23C2B"/>
    <w:rsid w:val="00F25B8E"/>
    <w:rsid w:val="00F373A5"/>
    <w:rsid w:val="00F47559"/>
    <w:rsid w:val="00F609F9"/>
    <w:rsid w:val="00F60BE4"/>
    <w:rsid w:val="00F61B84"/>
    <w:rsid w:val="00F64C7B"/>
    <w:rsid w:val="00F676DD"/>
    <w:rsid w:val="00F75A26"/>
    <w:rsid w:val="00F83FAD"/>
    <w:rsid w:val="00F91DC6"/>
    <w:rsid w:val="00F952A0"/>
    <w:rsid w:val="00FA3C7F"/>
    <w:rsid w:val="00FB3283"/>
    <w:rsid w:val="00FB513E"/>
    <w:rsid w:val="00FB52D7"/>
    <w:rsid w:val="00FB74E2"/>
    <w:rsid w:val="00FD5614"/>
    <w:rsid w:val="00FE0BE1"/>
    <w:rsid w:val="00FE1DE9"/>
    <w:rsid w:val="00FE1E1C"/>
    <w:rsid w:val="00FE39C2"/>
    <w:rsid w:val="00FE5D49"/>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qFormat="1"/>
    <w:lsdException w:name="Default Paragraph Font" w:uiPriority="1"/>
    <w:lsdException w:name="List Continue"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505B88"/>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qFormat/>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rsid w:val="003A673F"/>
    <w:rPr>
      <w:rFonts w:ascii="Arial" w:hAnsi="Arial"/>
      <w:sz w:val="16"/>
      <w:szCs w:val="20"/>
    </w:rPr>
  </w:style>
  <w:style w:type="character" w:styleId="FootnoteReference">
    <w:name w:val="footnote reference"/>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qFormat/>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qFormat/>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Heading1notnumber">
    <w:name w:val="Heading 1 not number"/>
    <w:basedOn w:val="Heading1"/>
    <w:qFormat/>
    <w:rsid w:val="001D027A"/>
    <w:pPr>
      <w:pageBreakBefore/>
      <w:tabs>
        <w:tab w:val="left" w:pos="680"/>
      </w:tabs>
    </w:pPr>
    <w:rPr>
      <w:rFonts w:ascii="Arial" w:hAnsi="Arial"/>
      <w:b/>
      <w:color w:val="70635A"/>
      <w:sz w:val="36"/>
    </w:rPr>
  </w:style>
  <w:style w:type="paragraph" w:customStyle="1" w:styleId="Heading2notnumbered">
    <w:name w:val="Heading 2 not numbered"/>
    <w:basedOn w:val="Heading2"/>
    <w:rsid w:val="001D027A"/>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1D027A"/>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rsid w:val="001D027A"/>
    <w:pPr>
      <w:tabs>
        <w:tab w:val="left" w:pos="1021"/>
      </w:tabs>
    </w:pPr>
    <w:rPr>
      <w:rFonts w:eastAsia="Times New Roman" w:cs="Times New Roman"/>
      <w:i w:val="0"/>
      <w:iCs w:val="0"/>
      <w:szCs w:val="20"/>
    </w:rPr>
  </w:style>
  <w:style w:type="paragraph" w:customStyle="1" w:styleId="Heading5notnumbered">
    <w:name w:val="Heading 5 not numbered"/>
    <w:basedOn w:val="Heading5"/>
    <w:rsid w:val="001D027A"/>
    <w:pPr>
      <w:tabs>
        <w:tab w:val="left" w:pos="1361"/>
      </w:tabs>
    </w:pPr>
    <w:rPr>
      <w:rFonts w:eastAsia="Times New Roman" w:cs="Times New Roman"/>
      <w:bCs/>
      <w:szCs w:val="20"/>
    </w:rPr>
  </w:style>
  <w:style w:type="paragraph" w:customStyle="1" w:styleId="Heading6notnumbered">
    <w:name w:val="Heading 6 not numbered"/>
    <w:basedOn w:val="Heading6"/>
    <w:rsid w:val="001D027A"/>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1D027A"/>
    <w:pPr>
      <w:spacing w:before="0" w:line="240" w:lineRule="auto"/>
      <w:ind w:left="220" w:hanging="220"/>
    </w:pPr>
  </w:style>
  <w:style w:type="paragraph" w:styleId="Index2">
    <w:name w:val="index 2"/>
    <w:basedOn w:val="Normal"/>
    <w:next w:val="Normal"/>
    <w:autoRedefine/>
    <w:uiPriority w:val="99"/>
    <w:unhideWhenUsed/>
    <w:rsid w:val="001D027A"/>
    <w:pPr>
      <w:spacing w:before="0" w:line="240" w:lineRule="auto"/>
      <w:ind w:left="440" w:hanging="220"/>
    </w:pPr>
  </w:style>
  <w:style w:type="paragraph" w:customStyle="1" w:styleId="Heading7notnumbered">
    <w:name w:val="Heading 7 not numbered"/>
    <w:basedOn w:val="Heading7"/>
    <w:rsid w:val="001D027A"/>
    <w:pPr>
      <w:tabs>
        <w:tab w:val="left" w:pos="1701"/>
      </w:tabs>
    </w:pPr>
    <w:rPr>
      <w:rFonts w:eastAsia="Times New Roman" w:cs="Times New Roman"/>
      <w:color w:val="auto"/>
      <w:szCs w:val="20"/>
    </w:rPr>
  </w:style>
  <w:style w:type="paragraph" w:customStyle="1" w:styleId="Heading8notnumbered">
    <w:name w:val="Heading 8 not numbered"/>
    <w:basedOn w:val="Heading8"/>
    <w:rsid w:val="001D027A"/>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1D027A"/>
  </w:style>
  <w:style w:type="character" w:customStyle="1" w:styleId="SalutationChar">
    <w:name w:val="Salutation Char"/>
    <w:basedOn w:val="DefaultParagraphFont"/>
    <w:link w:val="Salutation"/>
    <w:uiPriority w:val="99"/>
    <w:rsid w:val="001D027A"/>
    <w:rPr>
      <w:rFonts w:ascii="Arial" w:hAnsi="Arial"/>
    </w:rPr>
  </w:style>
  <w:style w:type="paragraph" w:customStyle="1" w:styleId="Heading9notnumbered">
    <w:name w:val="Heading 9 not numbered"/>
    <w:basedOn w:val="Heading9"/>
    <w:rsid w:val="001D027A"/>
    <w:pPr>
      <w:numPr>
        <w:numId w:val="0"/>
      </w:numPr>
      <w:tabs>
        <w:tab w:val="clear" w:pos="340"/>
        <w:tab w:val="left" w:pos="1701"/>
      </w:tabs>
      <w:spacing w:after="0"/>
    </w:pPr>
    <w:rPr>
      <w:rFonts w:eastAsia="Times New Roman" w:cs="Times New Roman"/>
      <w:b w:val="0"/>
      <w:i/>
      <w:color w:val="auto"/>
      <w:sz w:val="22"/>
    </w:rPr>
  </w:style>
  <w:style w:type="paragraph" w:customStyle="1" w:styleId="Copyright">
    <w:name w:val="Copyright"/>
    <w:basedOn w:val="Normal"/>
    <w:next w:val="Normal"/>
    <w:link w:val="CopyrightChar"/>
    <w:rsid w:val="001D027A"/>
    <w:pPr>
      <w:spacing w:line="288" w:lineRule="auto"/>
    </w:pPr>
    <w:rPr>
      <w:sz w:val="20"/>
      <w:szCs w:val="20"/>
    </w:rPr>
  </w:style>
  <w:style w:type="paragraph" w:customStyle="1" w:styleId="ReportTitle">
    <w:name w:val="Report Title"/>
    <w:basedOn w:val="Normal"/>
    <w:next w:val="Normal"/>
    <w:link w:val="ReportTitleChar"/>
    <w:rsid w:val="001D027A"/>
    <w:pPr>
      <w:tabs>
        <w:tab w:val="center" w:pos="4598"/>
        <w:tab w:val="right" w:pos="9026"/>
      </w:tabs>
      <w:spacing w:before="240"/>
      <w:contextualSpacing/>
      <w:jc w:val="center"/>
    </w:pPr>
    <w:rPr>
      <w:rFonts w:eastAsiaTheme="majorEastAsia" w:cstheme="majorBidi"/>
      <w:b/>
      <w:noProof/>
      <w:color w:val="70635A"/>
      <w:sz w:val="72"/>
      <w:szCs w:val="72"/>
      <w:lang w:eastAsia="en-AU"/>
    </w:rPr>
  </w:style>
  <w:style w:type="numbering" w:customStyle="1" w:styleId="AlphanumericList">
    <w:name w:val="Alphanumeric List"/>
    <w:uiPriority w:val="99"/>
    <w:rsid w:val="001D027A"/>
    <w:pPr>
      <w:numPr>
        <w:numId w:val="28"/>
      </w:numPr>
    </w:pPr>
  </w:style>
  <w:style w:type="table" w:customStyle="1" w:styleId="AERTable-Text">
    <w:name w:val="AER Table - Text"/>
    <w:basedOn w:val="TableNormal"/>
    <w:uiPriority w:val="99"/>
    <w:rsid w:val="001D027A"/>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1D027A"/>
    <w:rPr>
      <w:b w:val="0"/>
      <w:sz w:val="36"/>
      <w:szCs w:val="36"/>
    </w:rPr>
  </w:style>
  <w:style w:type="paragraph" w:customStyle="1" w:styleId="ReportSubtitle">
    <w:name w:val="Report Subtitle"/>
    <w:basedOn w:val="ReportTitle"/>
    <w:link w:val="ReportSubtitleChar"/>
    <w:rsid w:val="001D027A"/>
    <w:rPr>
      <w:sz w:val="56"/>
      <w:szCs w:val="56"/>
    </w:rPr>
  </w:style>
  <w:style w:type="character" w:customStyle="1" w:styleId="ReportTitleChar">
    <w:name w:val="Report Title Char"/>
    <w:basedOn w:val="Heading1Char"/>
    <w:link w:val="ReportTitle"/>
    <w:rsid w:val="001D027A"/>
    <w:rPr>
      <w:rFonts w:ascii="Arial" w:eastAsiaTheme="majorEastAsia" w:hAnsi="Arial" w:cstheme="majorBidi"/>
      <w:b/>
      <w:bCs w:val="0"/>
      <w:noProof/>
      <w:color w:val="70635A"/>
      <w:sz w:val="72"/>
      <w:szCs w:val="72"/>
      <w:lang w:eastAsia="en-AU"/>
    </w:rPr>
  </w:style>
  <w:style w:type="character" w:customStyle="1" w:styleId="ReportDateChar">
    <w:name w:val="Report Date Char"/>
    <w:basedOn w:val="ReportTitleChar"/>
    <w:link w:val="ReportDate"/>
    <w:rsid w:val="001D027A"/>
    <w:rPr>
      <w:rFonts w:ascii="Arial" w:eastAsiaTheme="majorEastAsia" w:hAnsi="Arial" w:cstheme="majorBidi"/>
      <w:b w:val="0"/>
      <w:bCs w:val="0"/>
      <w:noProof/>
      <w:color w:val="70635A"/>
      <w:sz w:val="36"/>
      <w:szCs w:val="36"/>
      <w:lang w:eastAsia="en-AU"/>
    </w:rPr>
  </w:style>
  <w:style w:type="character" w:customStyle="1" w:styleId="ReportSubtitleChar">
    <w:name w:val="Report Subtitle Char"/>
    <w:basedOn w:val="ReportTitleChar"/>
    <w:link w:val="ReportSubtitle"/>
    <w:rsid w:val="001D027A"/>
    <w:rPr>
      <w:rFonts w:ascii="Arial" w:eastAsiaTheme="majorEastAsia" w:hAnsi="Arial" w:cstheme="majorBidi"/>
      <w:b/>
      <w:bCs w:val="0"/>
      <w:noProof/>
      <w:color w:val="70635A"/>
      <w:sz w:val="56"/>
      <w:szCs w:val="56"/>
      <w:lang w:eastAsia="en-AU"/>
    </w:rPr>
  </w:style>
  <w:style w:type="character" w:customStyle="1" w:styleId="CopyrightChar">
    <w:name w:val="Copyright Char"/>
    <w:basedOn w:val="DefaultParagraphFont"/>
    <w:link w:val="Copyright"/>
    <w:rsid w:val="001D027A"/>
    <w:rPr>
      <w:rFonts w:ascii="Arial" w:hAnsi="Arial"/>
      <w:sz w:val="20"/>
      <w:szCs w:val="20"/>
    </w:rPr>
  </w:style>
  <w:style w:type="paragraph" w:styleId="BodyTextIndent">
    <w:name w:val="Body Text Indent"/>
    <w:basedOn w:val="Normal"/>
    <w:link w:val="BodyTextIndentChar"/>
    <w:uiPriority w:val="99"/>
    <w:semiHidden/>
    <w:unhideWhenUsed/>
    <w:rsid w:val="001D027A"/>
    <w:pPr>
      <w:spacing w:after="120"/>
      <w:ind w:left="283"/>
    </w:pPr>
  </w:style>
  <w:style w:type="character" w:customStyle="1" w:styleId="BodyTextIndentChar">
    <w:name w:val="Body Text Indent Char"/>
    <w:basedOn w:val="DefaultParagraphFont"/>
    <w:link w:val="BodyTextIndent"/>
    <w:uiPriority w:val="99"/>
    <w:semiHidden/>
    <w:rsid w:val="001D027A"/>
    <w:rPr>
      <w:rFonts w:ascii="Arial" w:hAnsi="Arial"/>
    </w:rPr>
  </w:style>
  <w:style w:type="paragraph" w:styleId="BodyTextFirstIndent2">
    <w:name w:val="Body Text First Indent 2"/>
    <w:basedOn w:val="BodyTextIndent"/>
    <w:link w:val="BodyTextFirstIndent2Char"/>
    <w:uiPriority w:val="99"/>
    <w:unhideWhenUsed/>
    <w:rsid w:val="001D027A"/>
    <w:pPr>
      <w:spacing w:after="0"/>
      <w:ind w:left="360" w:firstLine="360"/>
    </w:pPr>
  </w:style>
  <w:style w:type="character" w:customStyle="1" w:styleId="BodyTextFirstIndent2Char">
    <w:name w:val="Body Text First Indent 2 Char"/>
    <w:basedOn w:val="BodyTextIndentChar"/>
    <w:link w:val="BodyTextFirstIndent2"/>
    <w:uiPriority w:val="99"/>
    <w:rsid w:val="001D027A"/>
    <w:rPr>
      <w:rFonts w:ascii="Arial" w:hAnsi="Arial"/>
    </w:rPr>
  </w:style>
  <w:style w:type="paragraph" w:styleId="Closing">
    <w:name w:val="Closing"/>
    <w:basedOn w:val="Normal"/>
    <w:link w:val="ClosingChar"/>
    <w:uiPriority w:val="99"/>
    <w:unhideWhenUsed/>
    <w:rsid w:val="001D027A"/>
    <w:pPr>
      <w:spacing w:before="0" w:line="240" w:lineRule="auto"/>
      <w:ind w:left="4252"/>
    </w:pPr>
  </w:style>
  <w:style w:type="character" w:customStyle="1" w:styleId="ClosingChar">
    <w:name w:val="Closing Char"/>
    <w:basedOn w:val="DefaultParagraphFont"/>
    <w:link w:val="Closing"/>
    <w:uiPriority w:val="99"/>
    <w:rsid w:val="001D027A"/>
    <w:rPr>
      <w:rFonts w:ascii="Arial" w:hAnsi="Arial"/>
    </w:rPr>
  </w:style>
  <w:style w:type="paragraph" w:styleId="BodyText">
    <w:name w:val="Body Text"/>
    <w:basedOn w:val="Normal"/>
    <w:link w:val="BodyTextChar"/>
    <w:uiPriority w:val="99"/>
    <w:unhideWhenUsed/>
    <w:rsid w:val="001D027A"/>
    <w:pPr>
      <w:spacing w:after="120"/>
    </w:pPr>
  </w:style>
  <w:style w:type="character" w:customStyle="1" w:styleId="BodyTextChar">
    <w:name w:val="Body Text Char"/>
    <w:basedOn w:val="DefaultParagraphFont"/>
    <w:link w:val="BodyText"/>
    <w:uiPriority w:val="99"/>
    <w:rsid w:val="001D027A"/>
    <w:rPr>
      <w:rFonts w:ascii="Arial" w:hAnsi="Arial"/>
    </w:rPr>
  </w:style>
  <w:style w:type="paragraph" w:styleId="BodyTextFirstIndent">
    <w:name w:val="Body Text First Indent"/>
    <w:basedOn w:val="Normal"/>
    <w:link w:val="BodyTextFirstIndentChar"/>
    <w:uiPriority w:val="99"/>
    <w:unhideWhenUsed/>
    <w:rsid w:val="001D027A"/>
    <w:pPr>
      <w:ind w:firstLine="360"/>
    </w:pPr>
  </w:style>
  <w:style w:type="character" w:customStyle="1" w:styleId="BodyTextFirstIndentChar">
    <w:name w:val="Body Text First Indent Char"/>
    <w:basedOn w:val="BodyTextChar"/>
    <w:link w:val="BodyTextFirstIndent"/>
    <w:uiPriority w:val="99"/>
    <w:rsid w:val="001D027A"/>
    <w:rPr>
      <w:rFonts w:ascii="Arial" w:hAnsi="Arial"/>
    </w:rPr>
  </w:style>
  <w:style w:type="paragraph" w:styleId="BodyText2">
    <w:name w:val="Body Text 2"/>
    <w:basedOn w:val="Normal"/>
    <w:link w:val="BodyText2Char"/>
    <w:uiPriority w:val="99"/>
    <w:unhideWhenUsed/>
    <w:rsid w:val="001D027A"/>
    <w:pPr>
      <w:spacing w:after="120" w:line="480" w:lineRule="auto"/>
    </w:pPr>
  </w:style>
  <w:style w:type="character" w:customStyle="1" w:styleId="BodyText2Char">
    <w:name w:val="Body Text 2 Char"/>
    <w:basedOn w:val="DefaultParagraphFont"/>
    <w:link w:val="BodyText2"/>
    <w:uiPriority w:val="99"/>
    <w:rsid w:val="001D027A"/>
    <w:rPr>
      <w:rFonts w:ascii="Arial" w:hAnsi="Arial"/>
    </w:rPr>
  </w:style>
  <w:style w:type="character" w:styleId="CommentReference">
    <w:name w:val="annotation reference"/>
    <w:basedOn w:val="DefaultParagraphFont"/>
    <w:uiPriority w:val="99"/>
    <w:unhideWhenUsed/>
    <w:rsid w:val="001D027A"/>
    <w:rPr>
      <w:sz w:val="16"/>
      <w:szCs w:val="16"/>
    </w:rPr>
  </w:style>
  <w:style w:type="paragraph" w:styleId="Date">
    <w:name w:val="Date"/>
    <w:basedOn w:val="Normal"/>
    <w:next w:val="Normal"/>
    <w:link w:val="DateChar"/>
    <w:uiPriority w:val="99"/>
    <w:unhideWhenUsed/>
    <w:rsid w:val="001D027A"/>
  </w:style>
  <w:style w:type="character" w:customStyle="1" w:styleId="DateChar">
    <w:name w:val="Date Char"/>
    <w:basedOn w:val="DefaultParagraphFont"/>
    <w:link w:val="Date"/>
    <w:uiPriority w:val="99"/>
    <w:rsid w:val="001D027A"/>
    <w:rPr>
      <w:rFonts w:ascii="Arial" w:hAnsi="Arial"/>
    </w:rPr>
  </w:style>
  <w:style w:type="paragraph" w:styleId="DocumentMap">
    <w:name w:val="Document Map"/>
    <w:basedOn w:val="Normal"/>
    <w:link w:val="DocumentMapChar"/>
    <w:uiPriority w:val="99"/>
    <w:unhideWhenUsed/>
    <w:rsid w:val="001D027A"/>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1D027A"/>
    <w:rPr>
      <w:rFonts w:ascii="Tahoma" w:hAnsi="Tahoma" w:cs="Tahoma"/>
      <w:sz w:val="16"/>
      <w:szCs w:val="16"/>
    </w:rPr>
  </w:style>
  <w:style w:type="paragraph" w:styleId="E-mailSignature">
    <w:name w:val="E-mail Signature"/>
    <w:basedOn w:val="Normal"/>
    <w:link w:val="E-mailSignatureChar"/>
    <w:uiPriority w:val="99"/>
    <w:unhideWhenUsed/>
    <w:rsid w:val="001D027A"/>
    <w:pPr>
      <w:spacing w:before="0" w:line="240" w:lineRule="auto"/>
    </w:pPr>
  </w:style>
  <w:style w:type="character" w:customStyle="1" w:styleId="E-mailSignatureChar">
    <w:name w:val="E-mail Signature Char"/>
    <w:basedOn w:val="DefaultParagraphFont"/>
    <w:link w:val="E-mailSignature"/>
    <w:uiPriority w:val="99"/>
    <w:rsid w:val="001D027A"/>
    <w:rPr>
      <w:rFonts w:ascii="Arial" w:hAnsi="Arial"/>
    </w:rPr>
  </w:style>
  <w:style w:type="paragraph" w:styleId="EnvelopeAddress">
    <w:name w:val="envelope address"/>
    <w:basedOn w:val="Normal"/>
    <w:uiPriority w:val="99"/>
    <w:unhideWhenUsed/>
    <w:rsid w:val="001D027A"/>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1D027A"/>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1D027A"/>
    <w:rPr>
      <w:color w:val="800080" w:themeColor="followedHyperlink"/>
      <w:u w:val="single"/>
    </w:rPr>
  </w:style>
  <w:style w:type="paragraph" w:styleId="Index3">
    <w:name w:val="index 3"/>
    <w:basedOn w:val="Normal"/>
    <w:next w:val="Normal"/>
    <w:autoRedefine/>
    <w:uiPriority w:val="99"/>
    <w:unhideWhenUsed/>
    <w:rsid w:val="001D027A"/>
    <w:pPr>
      <w:spacing w:before="0" w:line="240" w:lineRule="auto"/>
      <w:ind w:left="660" w:hanging="220"/>
    </w:pPr>
  </w:style>
  <w:style w:type="paragraph" w:styleId="Index4">
    <w:name w:val="index 4"/>
    <w:basedOn w:val="Normal"/>
    <w:next w:val="Normal"/>
    <w:autoRedefine/>
    <w:uiPriority w:val="99"/>
    <w:unhideWhenUsed/>
    <w:rsid w:val="001D027A"/>
    <w:pPr>
      <w:spacing w:before="0" w:line="240" w:lineRule="auto"/>
      <w:ind w:left="880" w:hanging="220"/>
    </w:pPr>
  </w:style>
  <w:style w:type="paragraph" w:styleId="Index5">
    <w:name w:val="index 5"/>
    <w:basedOn w:val="Normal"/>
    <w:next w:val="Normal"/>
    <w:autoRedefine/>
    <w:uiPriority w:val="99"/>
    <w:unhideWhenUsed/>
    <w:rsid w:val="001D027A"/>
    <w:pPr>
      <w:spacing w:before="0" w:line="240" w:lineRule="auto"/>
      <w:ind w:left="1100" w:hanging="220"/>
    </w:pPr>
  </w:style>
  <w:style w:type="paragraph" w:styleId="IndexHeading">
    <w:name w:val="index heading"/>
    <w:basedOn w:val="Normal"/>
    <w:next w:val="Index1"/>
    <w:uiPriority w:val="99"/>
    <w:unhideWhenUsed/>
    <w:rsid w:val="001D027A"/>
    <w:rPr>
      <w:rFonts w:asciiTheme="majorHAnsi" w:eastAsiaTheme="majorEastAsia" w:hAnsiTheme="majorHAnsi" w:cstheme="majorBidi"/>
      <w:b/>
      <w:bCs/>
    </w:rPr>
  </w:style>
  <w:style w:type="character" w:styleId="IntenseEmphasis">
    <w:name w:val="Intense Emphasis"/>
    <w:basedOn w:val="DefaultParagraphFont"/>
    <w:uiPriority w:val="21"/>
    <w:unhideWhenUsed/>
    <w:rsid w:val="001D027A"/>
    <w:rPr>
      <w:b/>
      <w:bCs/>
      <w:i/>
      <w:iCs/>
      <w:color w:val="51626F" w:themeColor="accent1"/>
    </w:rPr>
  </w:style>
  <w:style w:type="paragraph" w:styleId="IntenseQuote">
    <w:name w:val="Intense Quote"/>
    <w:basedOn w:val="Normal"/>
    <w:next w:val="Normal"/>
    <w:link w:val="IntenseQuoteChar"/>
    <w:uiPriority w:val="30"/>
    <w:unhideWhenUsed/>
    <w:rsid w:val="001D027A"/>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1D027A"/>
    <w:rPr>
      <w:rFonts w:ascii="Arial" w:hAnsi="Arial"/>
      <w:b/>
      <w:bCs/>
      <w:i/>
      <w:iCs/>
      <w:color w:val="51626F" w:themeColor="accent1"/>
    </w:rPr>
  </w:style>
  <w:style w:type="character" w:styleId="IntenseReference">
    <w:name w:val="Intense Reference"/>
    <w:basedOn w:val="DefaultParagraphFont"/>
    <w:uiPriority w:val="32"/>
    <w:unhideWhenUsed/>
    <w:rsid w:val="001D027A"/>
    <w:rPr>
      <w:b/>
      <w:bCs/>
      <w:smallCaps/>
      <w:color w:val="4F2D7D" w:themeColor="accent2"/>
      <w:spacing w:val="5"/>
      <w:u w:val="single"/>
    </w:rPr>
  </w:style>
  <w:style w:type="character" w:styleId="LineNumber">
    <w:name w:val="line number"/>
    <w:basedOn w:val="DefaultParagraphFont"/>
    <w:uiPriority w:val="99"/>
    <w:unhideWhenUsed/>
    <w:rsid w:val="001D027A"/>
  </w:style>
  <w:style w:type="paragraph" w:styleId="Signature">
    <w:name w:val="Signature"/>
    <w:basedOn w:val="Normal"/>
    <w:link w:val="SignatureChar"/>
    <w:uiPriority w:val="99"/>
    <w:unhideWhenUsed/>
    <w:rsid w:val="001D027A"/>
    <w:pPr>
      <w:spacing w:before="0" w:line="240" w:lineRule="auto"/>
      <w:ind w:left="4252"/>
    </w:pPr>
  </w:style>
  <w:style w:type="character" w:customStyle="1" w:styleId="SignatureChar">
    <w:name w:val="Signature Char"/>
    <w:basedOn w:val="DefaultParagraphFont"/>
    <w:link w:val="Signature"/>
    <w:uiPriority w:val="99"/>
    <w:rsid w:val="001D027A"/>
    <w:rPr>
      <w:rFonts w:ascii="Arial" w:hAnsi="Arial"/>
    </w:rPr>
  </w:style>
  <w:style w:type="character" w:styleId="SubtleEmphasis">
    <w:name w:val="Subtle Emphasis"/>
    <w:basedOn w:val="DefaultParagraphFont"/>
    <w:uiPriority w:val="19"/>
    <w:unhideWhenUsed/>
    <w:rsid w:val="001D027A"/>
    <w:rPr>
      <w:b/>
      <w:i/>
      <w:iCs/>
      <w:color w:val="51626F" w:themeColor="accent1"/>
    </w:rPr>
  </w:style>
  <w:style w:type="paragraph" w:customStyle="1" w:styleId="Quotes">
    <w:name w:val="Quotes"/>
    <w:basedOn w:val="Normal"/>
    <w:rsid w:val="001D027A"/>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1D027A"/>
  </w:style>
  <w:style w:type="character" w:styleId="PlaceholderText">
    <w:name w:val="Placeholder Text"/>
    <w:basedOn w:val="DefaultParagraphFont"/>
    <w:uiPriority w:val="99"/>
    <w:semiHidden/>
    <w:rsid w:val="001D027A"/>
    <w:rPr>
      <w:color w:val="808080"/>
    </w:rPr>
  </w:style>
  <w:style w:type="paragraph" w:customStyle="1" w:styleId="StyleCopyrightBefore0pt">
    <w:name w:val="Style Copyright + Before:  0 pt"/>
    <w:basedOn w:val="Copyright"/>
    <w:rsid w:val="001D027A"/>
    <w:pPr>
      <w:spacing w:before="120"/>
    </w:pPr>
    <w:rPr>
      <w:rFonts w:eastAsia="Times New Roman" w:cs="Times New Roman"/>
    </w:rPr>
  </w:style>
  <w:style w:type="character" w:customStyle="1" w:styleId="Bold">
    <w:name w:val="Bold"/>
    <w:basedOn w:val="DefaultParagraphFont"/>
    <w:rsid w:val="001D027A"/>
    <w:rPr>
      <w:b/>
      <w:bCs/>
    </w:rPr>
  </w:style>
  <w:style w:type="character" w:customStyle="1" w:styleId="AERtextsize8">
    <w:name w:val="AER text size 8"/>
    <w:basedOn w:val="DefaultParagraphFont"/>
    <w:uiPriority w:val="1"/>
    <w:qFormat/>
    <w:rsid w:val="001D027A"/>
    <w:rPr>
      <w:rFonts w:ascii="Arial" w:hAnsi="Arial"/>
      <w:color w:val="auto"/>
      <w:sz w:val="16"/>
    </w:rPr>
  </w:style>
  <w:style w:type="paragraph" w:customStyle="1" w:styleId="NumberedChapterTitle">
    <w:name w:val="Numbered Chapter Title"/>
    <w:basedOn w:val="Chaptertitle"/>
    <w:qFormat/>
    <w:rsid w:val="001D027A"/>
    <w:pPr>
      <w:pageBreakBefore/>
      <w:numPr>
        <w:numId w:val="37"/>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1D027A"/>
    <w:pPr>
      <w:spacing w:before="0"/>
    </w:pPr>
    <w:rPr>
      <w:rFonts w:ascii="Arial" w:hAnsi="Arial"/>
    </w:rPr>
  </w:style>
  <w:style w:type="character" w:customStyle="1" w:styleId="Subscript">
    <w:name w:val="Subscript"/>
    <w:basedOn w:val="DefaultParagraphFont"/>
    <w:uiPriority w:val="1"/>
    <w:qFormat/>
    <w:rsid w:val="001D027A"/>
    <w:rPr>
      <w:vertAlign w:val="subscript"/>
    </w:rPr>
  </w:style>
  <w:style w:type="character" w:customStyle="1" w:styleId="Superscript">
    <w:name w:val="Superscript"/>
    <w:basedOn w:val="Subscript"/>
    <w:uiPriority w:val="1"/>
    <w:qFormat/>
    <w:rsid w:val="001D027A"/>
    <w:rPr>
      <w:vertAlign w:val="superscript"/>
    </w:rPr>
  </w:style>
  <w:style w:type="paragraph" w:styleId="CommentText">
    <w:name w:val="annotation text"/>
    <w:basedOn w:val="Normal"/>
    <w:link w:val="CommentTextChar"/>
    <w:uiPriority w:val="99"/>
    <w:semiHidden/>
    <w:unhideWhenUsed/>
    <w:rsid w:val="001D027A"/>
    <w:pPr>
      <w:spacing w:line="240" w:lineRule="auto"/>
    </w:pPr>
    <w:rPr>
      <w:sz w:val="20"/>
      <w:szCs w:val="20"/>
    </w:rPr>
  </w:style>
  <w:style w:type="character" w:customStyle="1" w:styleId="CommentTextChar">
    <w:name w:val="Comment Text Char"/>
    <w:basedOn w:val="DefaultParagraphFont"/>
    <w:link w:val="CommentText"/>
    <w:uiPriority w:val="99"/>
    <w:semiHidden/>
    <w:rsid w:val="001D027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D027A"/>
    <w:rPr>
      <w:b/>
      <w:bCs/>
    </w:rPr>
  </w:style>
  <w:style w:type="character" w:customStyle="1" w:styleId="CommentSubjectChar">
    <w:name w:val="Comment Subject Char"/>
    <w:basedOn w:val="CommentTextChar"/>
    <w:link w:val="CommentSubject"/>
    <w:uiPriority w:val="99"/>
    <w:semiHidden/>
    <w:rsid w:val="001D027A"/>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qFormat="1"/>
    <w:lsdException w:name="Default Paragraph Font" w:uiPriority="1"/>
    <w:lsdException w:name="List Continue"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505B88"/>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qFormat/>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rsid w:val="003A673F"/>
    <w:rPr>
      <w:rFonts w:ascii="Arial" w:hAnsi="Arial"/>
      <w:sz w:val="16"/>
      <w:szCs w:val="20"/>
    </w:rPr>
  </w:style>
  <w:style w:type="character" w:styleId="FootnoteReference">
    <w:name w:val="footnote reference"/>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qFormat/>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qFormat/>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Heading1notnumber">
    <w:name w:val="Heading 1 not number"/>
    <w:basedOn w:val="Heading1"/>
    <w:qFormat/>
    <w:rsid w:val="001D027A"/>
    <w:pPr>
      <w:pageBreakBefore/>
      <w:tabs>
        <w:tab w:val="left" w:pos="680"/>
      </w:tabs>
    </w:pPr>
    <w:rPr>
      <w:rFonts w:ascii="Arial" w:hAnsi="Arial"/>
      <w:b/>
      <w:color w:val="70635A"/>
      <w:sz w:val="36"/>
    </w:rPr>
  </w:style>
  <w:style w:type="paragraph" w:customStyle="1" w:styleId="Heading2notnumbered">
    <w:name w:val="Heading 2 not numbered"/>
    <w:basedOn w:val="Heading2"/>
    <w:rsid w:val="001D027A"/>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1D027A"/>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rsid w:val="001D027A"/>
    <w:pPr>
      <w:tabs>
        <w:tab w:val="left" w:pos="1021"/>
      </w:tabs>
    </w:pPr>
    <w:rPr>
      <w:rFonts w:eastAsia="Times New Roman" w:cs="Times New Roman"/>
      <w:i w:val="0"/>
      <w:iCs w:val="0"/>
      <w:szCs w:val="20"/>
    </w:rPr>
  </w:style>
  <w:style w:type="paragraph" w:customStyle="1" w:styleId="Heading5notnumbered">
    <w:name w:val="Heading 5 not numbered"/>
    <w:basedOn w:val="Heading5"/>
    <w:rsid w:val="001D027A"/>
    <w:pPr>
      <w:tabs>
        <w:tab w:val="left" w:pos="1361"/>
      </w:tabs>
    </w:pPr>
    <w:rPr>
      <w:rFonts w:eastAsia="Times New Roman" w:cs="Times New Roman"/>
      <w:bCs/>
      <w:szCs w:val="20"/>
    </w:rPr>
  </w:style>
  <w:style w:type="paragraph" w:customStyle="1" w:styleId="Heading6notnumbered">
    <w:name w:val="Heading 6 not numbered"/>
    <w:basedOn w:val="Heading6"/>
    <w:rsid w:val="001D027A"/>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1D027A"/>
    <w:pPr>
      <w:spacing w:before="0" w:line="240" w:lineRule="auto"/>
      <w:ind w:left="220" w:hanging="220"/>
    </w:pPr>
  </w:style>
  <w:style w:type="paragraph" w:styleId="Index2">
    <w:name w:val="index 2"/>
    <w:basedOn w:val="Normal"/>
    <w:next w:val="Normal"/>
    <w:autoRedefine/>
    <w:uiPriority w:val="99"/>
    <w:unhideWhenUsed/>
    <w:rsid w:val="001D027A"/>
    <w:pPr>
      <w:spacing w:before="0" w:line="240" w:lineRule="auto"/>
      <w:ind w:left="440" w:hanging="220"/>
    </w:pPr>
  </w:style>
  <w:style w:type="paragraph" w:customStyle="1" w:styleId="Heading7notnumbered">
    <w:name w:val="Heading 7 not numbered"/>
    <w:basedOn w:val="Heading7"/>
    <w:rsid w:val="001D027A"/>
    <w:pPr>
      <w:tabs>
        <w:tab w:val="left" w:pos="1701"/>
      </w:tabs>
    </w:pPr>
    <w:rPr>
      <w:rFonts w:eastAsia="Times New Roman" w:cs="Times New Roman"/>
      <w:color w:val="auto"/>
      <w:szCs w:val="20"/>
    </w:rPr>
  </w:style>
  <w:style w:type="paragraph" w:customStyle="1" w:styleId="Heading8notnumbered">
    <w:name w:val="Heading 8 not numbered"/>
    <w:basedOn w:val="Heading8"/>
    <w:rsid w:val="001D027A"/>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1D027A"/>
  </w:style>
  <w:style w:type="character" w:customStyle="1" w:styleId="SalutationChar">
    <w:name w:val="Salutation Char"/>
    <w:basedOn w:val="DefaultParagraphFont"/>
    <w:link w:val="Salutation"/>
    <w:uiPriority w:val="99"/>
    <w:rsid w:val="001D027A"/>
    <w:rPr>
      <w:rFonts w:ascii="Arial" w:hAnsi="Arial"/>
    </w:rPr>
  </w:style>
  <w:style w:type="paragraph" w:customStyle="1" w:styleId="Heading9notnumbered">
    <w:name w:val="Heading 9 not numbered"/>
    <w:basedOn w:val="Heading9"/>
    <w:rsid w:val="001D027A"/>
    <w:pPr>
      <w:numPr>
        <w:numId w:val="0"/>
      </w:numPr>
      <w:tabs>
        <w:tab w:val="clear" w:pos="340"/>
        <w:tab w:val="left" w:pos="1701"/>
      </w:tabs>
      <w:spacing w:after="0"/>
    </w:pPr>
    <w:rPr>
      <w:rFonts w:eastAsia="Times New Roman" w:cs="Times New Roman"/>
      <w:b w:val="0"/>
      <w:i/>
      <w:color w:val="auto"/>
      <w:sz w:val="22"/>
    </w:rPr>
  </w:style>
  <w:style w:type="paragraph" w:customStyle="1" w:styleId="Copyright">
    <w:name w:val="Copyright"/>
    <w:basedOn w:val="Normal"/>
    <w:next w:val="Normal"/>
    <w:link w:val="CopyrightChar"/>
    <w:rsid w:val="001D027A"/>
    <w:pPr>
      <w:spacing w:line="288" w:lineRule="auto"/>
    </w:pPr>
    <w:rPr>
      <w:sz w:val="20"/>
      <w:szCs w:val="20"/>
    </w:rPr>
  </w:style>
  <w:style w:type="paragraph" w:customStyle="1" w:styleId="ReportTitle">
    <w:name w:val="Report Title"/>
    <w:basedOn w:val="Normal"/>
    <w:next w:val="Normal"/>
    <w:link w:val="ReportTitleChar"/>
    <w:rsid w:val="001D027A"/>
    <w:pPr>
      <w:tabs>
        <w:tab w:val="center" w:pos="4598"/>
        <w:tab w:val="right" w:pos="9026"/>
      </w:tabs>
      <w:spacing w:before="240"/>
      <w:contextualSpacing/>
      <w:jc w:val="center"/>
    </w:pPr>
    <w:rPr>
      <w:rFonts w:eastAsiaTheme="majorEastAsia" w:cstheme="majorBidi"/>
      <w:b/>
      <w:noProof/>
      <w:color w:val="70635A"/>
      <w:sz w:val="72"/>
      <w:szCs w:val="72"/>
      <w:lang w:eastAsia="en-AU"/>
    </w:rPr>
  </w:style>
  <w:style w:type="numbering" w:customStyle="1" w:styleId="AlphanumericList">
    <w:name w:val="Alphanumeric List"/>
    <w:uiPriority w:val="99"/>
    <w:rsid w:val="001D027A"/>
    <w:pPr>
      <w:numPr>
        <w:numId w:val="28"/>
      </w:numPr>
    </w:pPr>
  </w:style>
  <w:style w:type="table" w:customStyle="1" w:styleId="AERTable-Text">
    <w:name w:val="AER Table - Text"/>
    <w:basedOn w:val="TableNormal"/>
    <w:uiPriority w:val="99"/>
    <w:rsid w:val="001D027A"/>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1D027A"/>
    <w:rPr>
      <w:b w:val="0"/>
      <w:sz w:val="36"/>
      <w:szCs w:val="36"/>
    </w:rPr>
  </w:style>
  <w:style w:type="paragraph" w:customStyle="1" w:styleId="ReportSubtitle">
    <w:name w:val="Report Subtitle"/>
    <w:basedOn w:val="ReportTitle"/>
    <w:link w:val="ReportSubtitleChar"/>
    <w:rsid w:val="001D027A"/>
    <w:rPr>
      <w:sz w:val="56"/>
      <w:szCs w:val="56"/>
    </w:rPr>
  </w:style>
  <w:style w:type="character" w:customStyle="1" w:styleId="ReportTitleChar">
    <w:name w:val="Report Title Char"/>
    <w:basedOn w:val="Heading1Char"/>
    <w:link w:val="ReportTitle"/>
    <w:rsid w:val="001D027A"/>
    <w:rPr>
      <w:rFonts w:ascii="Arial" w:eastAsiaTheme="majorEastAsia" w:hAnsi="Arial" w:cstheme="majorBidi"/>
      <w:b/>
      <w:bCs w:val="0"/>
      <w:noProof/>
      <w:color w:val="70635A"/>
      <w:sz w:val="72"/>
      <w:szCs w:val="72"/>
      <w:lang w:eastAsia="en-AU"/>
    </w:rPr>
  </w:style>
  <w:style w:type="character" w:customStyle="1" w:styleId="ReportDateChar">
    <w:name w:val="Report Date Char"/>
    <w:basedOn w:val="ReportTitleChar"/>
    <w:link w:val="ReportDate"/>
    <w:rsid w:val="001D027A"/>
    <w:rPr>
      <w:rFonts w:ascii="Arial" w:eastAsiaTheme="majorEastAsia" w:hAnsi="Arial" w:cstheme="majorBidi"/>
      <w:b w:val="0"/>
      <w:bCs w:val="0"/>
      <w:noProof/>
      <w:color w:val="70635A"/>
      <w:sz w:val="36"/>
      <w:szCs w:val="36"/>
      <w:lang w:eastAsia="en-AU"/>
    </w:rPr>
  </w:style>
  <w:style w:type="character" w:customStyle="1" w:styleId="ReportSubtitleChar">
    <w:name w:val="Report Subtitle Char"/>
    <w:basedOn w:val="ReportTitleChar"/>
    <w:link w:val="ReportSubtitle"/>
    <w:rsid w:val="001D027A"/>
    <w:rPr>
      <w:rFonts w:ascii="Arial" w:eastAsiaTheme="majorEastAsia" w:hAnsi="Arial" w:cstheme="majorBidi"/>
      <w:b/>
      <w:bCs w:val="0"/>
      <w:noProof/>
      <w:color w:val="70635A"/>
      <w:sz w:val="56"/>
      <w:szCs w:val="56"/>
      <w:lang w:eastAsia="en-AU"/>
    </w:rPr>
  </w:style>
  <w:style w:type="character" w:customStyle="1" w:styleId="CopyrightChar">
    <w:name w:val="Copyright Char"/>
    <w:basedOn w:val="DefaultParagraphFont"/>
    <w:link w:val="Copyright"/>
    <w:rsid w:val="001D027A"/>
    <w:rPr>
      <w:rFonts w:ascii="Arial" w:hAnsi="Arial"/>
      <w:sz w:val="20"/>
      <w:szCs w:val="20"/>
    </w:rPr>
  </w:style>
  <w:style w:type="paragraph" w:styleId="BodyTextIndent">
    <w:name w:val="Body Text Indent"/>
    <w:basedOn w:val="Normal"/>
    <w:link w:val="BodyTextIndentChar"/>
    <w:uiPriority w:val="99"/>
    <w:semiHidden/>
    <w:unhideWhenUsed/>
    <w:rsid w:val="001D027A"/>
    <w:pPr>
      <w:spacing w:after="120"/>
      <w:ind w:left="283"/>
    </w:pPr>
  </w:style>
  <w:style w:type="character" w:customStyle="1" w:styleId="BodyTextIndentChar">
    <w:name w:val="Body Text Indent Char"/>
    <w:basedOn w:val="DefaultParagraphFont"/>
    <w:link w:val="BodyTextIndent"/>
    <w:uiPriority w:val="99"/>
    <w:semiHidden/>
    <w:rsid w:val="001D027A"/>
    <w:rPr>
      <w:rFonts w:ascii="Arial" w:hAnsi="Arial"/>
    </w:rPr>
  </w:style>
  <w:style w:type="paragraph" w:styleId="BodyTextFirstIndent2">
    <w:name w:val="Body Text First Indent 2"/>
    <w:basedOn w:val="BodyTextIndent"/>
    <w:link w:val="BodyTextFirstIndent2Char"/>
    <w:uiPriority w:val="99"/>
    <w:unhideWhenUsed/>
    <w:rsid w:val="001D027A"/>
    <w:pPr>
      <w:spacing w:after="0"/>
      <w:ind w:left="360" w:firstLine="360"/>
    </w:pPr>
  </w:style>
  <w:style w:type="character" w:customStyle="1" w:styleId="BodyTextFirstIndent2Char">
    <w:name w:val="Body Text First Indent 2 Char"/>
    <w:basedOn w:val="BodyTextIndentChar"/>
    <w:link w:val="BodyTextFirstIndent2"/>
    <w:uiPriority w:val="99"/>
    <w:rsid w:val="001D027A"/>
    <w:rPr>
      <w:rFonts w:ascii="Arial" w:hAnsi="Arial"/>
    </w:rPr>
  </w:style>
  <w:style w:type="paragraph" w:styleId="Closing">
    <w:name w:val="Closing"/>
    <w:basedOn w:val="Normal"/>
    <w:link w:val="ClosingChar"/>
    <w:uiPriority w:val="99"/>
    <w:unhideWhenUsed/>
    <w:rsid w:val="001D027A"/>
    <w:pPr>
      <w:spacing w:before="0" w:line="240" w:lineRule="auto"/>
      <w:ind w:left="4252"/>
    </w:pPr>
  </w:style>
  <w:style w:type="character" w:customStyle="1" w:styleId="ClosingChar">
    <w:name w:val="Closing Char"/>
    <w:basedOn w:val="DefaultParagraphFont"/>
    <w:link w:val="Closing"/>
    <w:uiPriority w:val="99"/>
    <w:rsid w:val="001D027A"/>
    <w:rPr>
      <w:rFonts w:ascii="Arial" w:hAnsi="Arial"/>
    </w:rPr>
  </w:style>
  <w:style w:type="paragraph" w:styleId="BodyText">
    <w:name w:val="Body Text"/>
    <w:basedOn w:val="Normal"/>
    <w:link w:val="BodyTextChar"/>
    <w:uiPriority w:val="99"/>
    <w:unhideWhenUsed/>
    <w:rsid w:val="001D027A"/>
    <w:pPr>
      <w:spacing w:after="120"/>
    </w:pPr>
  </w:style>
  <w:style w:type="character" w:customStyle="1" w:styleId="BodyTextChar">
    <w:name w:val="Body Text Char"/>
    <w:basedOn w:val="DefaultParagraphFont"/>
    <w:link w:val="BodyText"/>
    <w:uiPriority w:val="99"/>
    <w:rsid w:val="001D027A"/>
    <w:rPr>
      <w:rFonts w:ascii="Arial" w:hAnsi="Arial"/>
    </w:rPr>
  </w:style>
  <w:style w:type="paragraph" w:styleId="BodyTextFirstIndent">
    <w:name w:val="Body Text First Indent"/>
    <w:basedOn w:val="Normal"/>
    <w:link w:val="BodyTextFirstIndentChar"/>
    <w:uiPriority w:val="99"/>
    <w:unhideWhenUsed/>
    <w:rsid w:val="001D027A"/>
    <w:pPr>
      <w:ind w:firstLine="360"/>
    </w:pPr>
  </w:style>
  <w:style w:type="character" w:customStyle="1" w:styleId="BodyTextFirstIndentChar">
    <w:name w:val="Body Text First Indent Char"/>
    <w:basedOn w:val="BodyTextChar"/>
    <w:link w:val="BodyTextFirstIndent"/>
    <w:uiPriority w:val="99"/>
    <w:rsid w:val="001D027A"/>
    <w:rPr>
      <w:rFonts w:ascii="Arial" w:hAnsi="Arial"/>
    </w:rPr>
  </w:style>
  <w:style w:type="paragraph" w:styleId="BodyText2">
    <w:name w:val="Body Text 2"/>
    <w:basedOn w:val="Normal"/>
    <w:link w:val="BodyText2Char"/>
    <w:uiPriority w:val="99"/>
    <w:unhideWhenUsed/>
    <w:rsid w:val="001D027A"/>
    <w:pPr>
      <w:spacing w:after="120" w:line="480" w:lineRule="auto"/>
    </w:pPr>
  </w:style>
  <w:style w:type="character" w:customStyle="1" w:styleId="BodyText2Char">
    <w:name w:val="Body Text 2 Char"/>
    <w:basedOn w:val="DefaultParagraphFont"/>
    <w:link w:val="BodyText2"/>
    <w:uiPriority w:val="99"/>
    <w:rsid w:val="001D027A"/>
    <w:rPr>
      <w:rFonts w:ascii="Arial" w:hAnsi="Arial"/>
    </w:rPr>
  </w:style>
  <w:style w:type="character" w:styleId="CommentReference">
    <w:name w:val="annotation reference"/>
    <w:basedOn w:val="DefaultParagraphFont"/>
    <w:uiPriority w:val="99"/>
    <w:unhideWhenUsed/>
    <w:rsid w:val="001D027A"/>
    <w:rPr>
      <w:sz w:val="16"/>
      <w:szCs w:val="16"/>
    </w:rPr>
  </w:style>
  <w:style w:type="paragraph" w:styleId="Date">
    <w:name w:val="Date"/>
    <w:basedOn w:val="Normal"/>
    <w:next w:val="Normal"/>
    <w:link w:val="DateChar"/>
    <w:uiPriority w:val="99"/>
    <w:unhideWhenUsed/>
    <w:rsid w:val="001D027A"/>
  </w:style>
  <w:style w:type="character" w:customStyle="1" w:styleId="DateChar">
    <w:name w:val="Date Char"/>
    <w:basedOn w:val="DefaultParagraphFont"/>
    <w:link w:val="Date"/>
    <w:uiPriority w:val="99"/>
    <w:rsid w:val="001D027A"/>
    <w:rPr>
      <w:rFonts w:ascii="Arial" w:hAnsi="Arial"/>
    </w:rPr>
  </w:style>
  <w:style w:type="paragraph" w:styleId="DocumentMap">
    <w:name w:val="Document Map"/>
    <w:basedOn w:val="Normal"/>
    <w:link w:val="DocumentMapChar"/>
    <w:uiPriority w:val="99"/>
    <w:unhideWhenUsed/>
    <w:rsid w:val="001D027A"/>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1D027A"/>
    <w:rPr>
      <w:rFonts w:ascii="Tahoma" w:hAnsi="Tahoma" w:cs="Tahoma"/>
      <w:sz w:val="16"/>
      <w:szCs w:val="16"/>
    </w:rPr>
  </w:style>
  <w:style w:type="paragraph" w:styleId="E-mailSignature">
    <w:name w:val="E-mail Signature"/>
    <w:basedOn w:val="Normal"/>
    <w:link w:val="E-mailSignatureChar"/>
    <w:uiPriority w:val="99"/>
    <w:unhideWhenUsed/>
    <w:rsid w:val="001D027A"/>
    <w:pPr>
      <w:spacing w:before="0" w:line="240" w:lineRule="auto"/>
    </w:pPr>
  </w:style>
  <w:style w:type="character" w:customStyle="1" w:styleId="E-mailSignatureChar">
    <w:name w:val="E-mail Signature Char"/>
    <w:basedOn w:val="DefaultParagraphFont"/>
    <w:link w:val="E-mailSignature"/>
    <w:uiPriority w:val="99"/>
    <w:rsid w:val="001D027A"/>
    <w:rPr>
      <w:rFonts w:ascii="Arial" w:hAnsi="Arial"/>
    </w:rPr>
  </w:style>
  <w:style w:type="paragraph" w:styleId="EnvelopeAddress">
    <w:name w:val="envelope address"/>
    <w:basedOn w:val="Normal"/>
    <w:uiPriority w:val="99"/>
    <w:unhideWhenUsed/>
    <w:rsid w:val="001D027A"/>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1D027A"/>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1D027A"/>
    <w:rPr>
      <w:color w:val="800080" w:themeColor="followedHyperlink"/>
      <w:u w:val="single"/>
    </w:rPr>
  </w:style>
  <w:style w:type="paragraph" w:styleId="Index3">
    <w:name w:val="index 3"/>
    <w:basedOn w:val="Normal"/>
    <w:next w:val="Normal"/>
    <w:autoRedefine/>
    <w:uiPriority w:val="99"/>
    <w:unhideWhenUsed/>
    <w:rsid w:val="001D027A"/>
    <w:pPr>
      <w:spacing w:before="0" w:line="240" w:lineRule="auto"/>
      <w:ind w:left="660" w:hanging="220"/>
    </w:pPr>
  </w:style>
  <w:style w:type="paragraph" w:styleId="Index4">
    <w:name w:val="index 4"/>
    <w:basedOn w:val="Normal"/>
    <w:next w:val="Normal"/>
    <w:autoRedefine/>
    <w:uiPriority w:val="99"/>
    <w:unhideWhenUsed/>
    <w:rsid w:val="001D027A"/>
    <w:pPr>
      <w:spacing w:before="0" w:line="240" w:lineRule="auto"/>
      <w:ind w:left="880" w:hanging="220"/>
    </w:pPr>
  </w:style>
  <w:style w:type="paragraph" w:styleId="Index5">
    <w:name w:val="index 5"/>
    <w:basedOn w:val="Normal"/>
    <w:next w:val="Normal"/>
    <w:autoRedefine/>
    <w:uiPriority w:val="99"/>
    <w:unhideWhenUsed/>
    <w:rsid w:val="001D027A"/>
    <w:pPr>
      <w:spacing w:before="0" w:line="240" w:lineRule="auto"/>
      <w:ind w:left="1100" w:hanging="220"/>
    </w:pPr>
  </w:style>
  <w:style w:type="paragraph" w:styleId="IndexHeading">
    <w:name w:val="index heading"/>
    <w:basedOn w:val="Normal"/>
    <w:next w:val="Index1"/>
    <w:uiPriority w:val="99"/>
    <w:unhideWhenUsed/>
    <w:rsid w:val="001D027A"/>
    <w:rPr>
      <w:rFonts w:asciiTheme="majorHAnsi" w:eastAsiaTheme="majorEastAsia" w:hAnsiTheme="majorHAnsi" w:cstheme="majorBidi"/>
      <w:b/>
      <w:bCs/>
    </w:rPr>
  </w:style>
  <w:style w:type="character" w:styleId="IntenseEmphasis">
    <w:name w:val="Intense Emphasis"/>
    <w:basedOn w:val="DefaultParagraphFont"/>
    <w:uiPriority w:val="21"/>
    <w:unhideWhenUsed/>
    <w:rsid w:val="001D027A"/>
    <w:rPr>
      <w:b/>
      <w:bCs/>
      <w:i/>
      <w:iCs/>
      <w:color w:val="51626F" w:themeColor="accent1"/>
    </w:rPr>
  </w:style>
  <w:style w:type="paragraph" w:styleId="IntenseQuote">
    <w:name w:val="Intense Quote"/>
    <w:basedOn w:val="Normal"/>
    <w:next w:val="Normal"/>
    <w:link w:val="IntenseQuoteChar"/>
    <w:uiPriority w:val="30"/>
    <w:unhideWhenUsed/>
    <w:rsid w:val="001D027A"/>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1D027A"/>
    <w:rPr>
      <w:rFonts w:ascii="Arial" w:hAnsi="Arial"/>
      <w:b/>
      <w:bCs/>
      <w:i/>
      <w:iCs/>
      <w:color w:val="51626F" w:themeColor="accent1"/>
    </w:rPr>
  </w:style>
  <w:style w:type="character" w:styleId="IntenseReference">
    <w:name w:val="Intense Reference"/>
    <w:basedOn w:val="DefaultParagraphFont"/>
    <w:uiPriority w:val="32"/>
    <w:unhideWhenUsed/>
    <w:rsid w:val="001D027A"/>
    <w:rPr>
      <w:b/>
      <w:bCs/>
      <w:smallCaps/>
      <w:color w:val="4F2D7D" w:themeColor="accent2"/>
      <w:spacing w:val="5"/>
      <w:u w:val="single"/>
    </w:rPr>
  </w:style>
  <w:style w:type="character" w:styleId="LineNumber">
    <w:name w:val="line number"/>
    <w:basedOn w:val="DefaultParagraphFont"/>
    <w:uiPriority w:val="99"/>
    <w:unhideWhenUsed/>
    <w:rsid w:val="001D027A"/>
  </w:style>
  <w:style w:type="paragraph" w:styleId="Signature">
    <w:name w:val="Signature"/>
    <w:basedOn w:val="Normal"/>
    <w:link w:val="SignatureChar"/>
    <w:uiPriority w:val="99"/>
    <w:unhideWhenUsed/>
    <w:rsid w:val="001D027A"/>
    <w:pPr>
      <w:spacing w:before="0" w:line="240" w:lineRule="auto"/>
      <w:ind w:left="4252"/>
    </w:pPr>
  </w:style>
  <w:style w:type="character" w:customStyle="1" w:styleId="SignatureChar">
    <w:name w:val="Signature Char"/>
    <w:basedOn w:val="DefaultParagraphFont"/>
    <w:link w:val="Signature"/>
    <w:uiPriority w:val="99"/>
    <w:rsid w:val="001D027A"/>
    <w:rPr>
      <w:rFonts w:ascii="Arial" w:hAnsi="Arial"/>
    </w:rPr>
  </w:style>
  <w:style w:type="character" w:styleId="SubtleEmphasis">
    <w:name w:val="Subtle Emphasis"/>
    <w:basedOn w:val="DefaultParagraphFont"/>
    <w:uiPriority w:val="19"/>
    <w:unhideWhenUsed/>
    <w:rsid w:val="001D027A"/>
    <w:rPr>
      <w:b/>
      <w:i/>
      <w:iCs/>
      <w:color w:val="51626F" w:themeColor="accent1"/>
    </w:rPr>
  </w:style>
  <w:style w:type="paragraph" w:customStyle="1" w:styleId="Quotes">
    <w:name w:val="Quotes"/>
    <w:basedOn w:val="Normal"/>
    <w:rsid w:val="001D027A"/>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1D027A"/>
  </w:style>
  <w:style w:type="character" w:styleId="PlaceholderText">
    <w:name w:val="Placeholder Text"/>
    <w:basedOn w:val="DefaultParagraphFont"/>
    <w:uiPriority w:val="99"/>
    <w:semiHidden/>
    <w:rsid w:val="001D027A"/>
    <w:rPr>
      <w:color w:val="808080"/>
    </w:rPr>
  </w:style>
  <w:style w:type="paragraph" w:customStyle="1" w:styleId="StyleCopyrightBefore0pt">
    <w:name w:val="Style Copyright + Before:  0 pt"/>
    <w:basedOn w:val="Copyright"/>
    <w:rsid w:val="001D027A"/>
    <w:pPr>
      <w:spacing w:before="120"/>
    </w:pPr>
    <w:rPr>
      <w:rFonts w:eastAsia="Times New Roman" w:cs="Times New Roman"/>
    </w:rPr>
  </w:style>
  <w:style w:type="character" w:customStyle="1" w:styleId="Bold">
    <w:name w:val="Bold"/>
    <w:basedOn w:val="DefaultParagraphFont"/>
    <w:rsid w:val="001D027A"/>
    <w:rPr>
      <w:b/>
      <w:bCs/>
    </w:rPr>
  </w:style>
  <w:style w:type="character" w:customStyle="1" w:styleId="AERtextsize8">
    <w:name w:val="AER text size 8"/>
    <w:basedOn w:val="DefaultParagraphFont"/>
    <w:uiPriority w:val="1"/>
    <w:qFormat/>
    <w:rsid w:val="001D027A"/>
    <w:rPr>
      <w:rFonts w:ascii="Arial" w:hAnsi="Arial"/>
      <w:color w:val="auto"/>
      <w:sz w:val="16"/>
    </w:rPr>
  </w:style>
  <w:style w:type="paragraph" w:customStyle="1" w:styleId="NumberedChapterTitle">
    <w:name w:val="Numbered Chapter Title"/>
    <w:basedOn w:val="Chaptertitle"/>
    <w:qFormat/>
    <w:rsid w:val="001D027A"/>
    <w:pPr>
      <w:pageBreakBefore/>
      <w:numPr>
        <w:numId w:val="37"/>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1D027A"/>
    <w:pPr>
      <w:spacing w:before="0"/>
    </w:pPr>
    <w:rPr>
      <w:rFonts w:ascii="Arial" w:hAnsi="Arial"/>
    </w:rPr>
  </w:style>
  <w:style w:type="character" w:customStyle="1" w:styleId="Subscript">
    <w:name w:val="Subscript"/>
    <w:basedOn w:val="DefaultParagraphFont"/>
    <w:uiPriority w:val="1"/>
    <w:qFormat/>
    <w:rsid w:val="001D027A"/>
    <w:rPr>
      <w:vertAlign w:val="subscript"/>
    </w:rPr>
  </w:style>
  <w:style w:type="character" w:customStyle="1" w:styleId="Superscript">
    <w:name w:val="Superscript"/>
    <w:basedOn w:val="Subscript"/>
    <w:uiPriority w:val="1"/>
    <w:qFormat/>
    <w:rsid w:val="001D027A"/>
    <w:rPr>
      <w:vertAlign w:val="superscript"/>
    </w:rPr>
  </w:style>
  <w:style w:type="paragraph" w:styleId="CommentText">
    <w:name w:val="annotation text"/>
    <w:basedOn w:val="Normal"/>
    <w:link w:val="CommentTextChar"/>
    <w:uiPriority w:val="99"/>
    <w:semiHidden/>
    <w:unhideWhenUsed/>
    <w:rsid w:val="001D027A"/>
    <w:pPr>
      <w:spacing w:line="240" w:lineRule="auto"/>
    </w:pPr>
    <w:rPr>
      <w:sz w:val="20"/>
      <w:szCs w:val="20"/>
    </w:rPr>
  </w:style>
  <w:style w:type="character" w:customStyle="1" w:styleId="CommentTextChar">
    <w:name w:val="Comment Text Char"/>
    <w:basedOn w:val="DefaultParagraphFont"/>
    <w:link w:val="CommentText"/>
    <w:uiPriority w:val="99"/>
    <w:semiHidden/>
    <w:rsid w:val="001D027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D027A"/>
    <w:rPr>
      <w:b/>
      <w:bCs/>
    </w:rPr>
  </w:style>
  <w:style w:type="character" w:customStyle="1" w:styleId="CommentSubjectChar">
    <w:name w:val="Comment Subject Char"/>
    <w:basedOn w:val="CommentTextChar"/>
    <w:link w:val="CommentSubject"/>
    <w:uiPriority w:val="99"/>
    <w:semiHidden/>
    <w:rsid w:val="001D027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ccc.gov.au/publications/debt-collection-guideline-for-collectors-creditors" TargetMode="External"/><Relationship Id="rId2" Type="http://schemas.openxmlformats.org/officeDocument/2006/relationships/hyperlink" Target="https://www.aer.gov.au/retail-markets/retail-guidelines/aer-sustainable-payment-plans-framework" TargetMode="External"/><Relationship Id="rId1" Type="http://schemas.openxmlformats.org/officeDocument/2006/relationships/hyperlink" Target="http://www.aer.gov.au/retail-markets/compliance/aer-review-of-energy-retailers-customer-hardship-policies-and-practices-2015"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82320F-B284-4D1B-AF0A-084317DF9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7322</Words>
  <Characters>41739</Characters>
  <Application>Microsoft Office Word</Application>
  <DocSecurity>4</DocSecurity>
  <Lines>347</Lines>
  <Paragraphs>97</Paragraphs>
  <ScaleCrop>false</ScaleCrop>
  <HeadingPairs>
    <vt:vector size="2" baseType="variant">
      <vt:variant>
        <vt:lpstr>Title</vt:lpstr>
      </vt:variant>
      <vt:variant>
        <vt:i4>1</vt:i4>
      </vt:variant>
    </vt:vector>
  </HeadingPairs>
  <TitlesOfParts>
    <vt:vector size="1" baseType="lpstr">
      <vt:lpstr>AER Sustainable payments framework - AER response to consultation issues FINAL</vt:lpstr>
    </vt:vector>
  </TitlesOfParts>
  <LinksUpToDate>false</LinksUpToDate>
  <CharactersWithSpaces>48964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Sustainable payments framework - AER response to consultation issues FINAL</dc:title>
  <dc:creator/>
  <cp:lastModifiedBy/>
  <cp:revision>1</cp:revision>
  <dcterms:created xsi:type="dcterms:W3CDTF">2016-07-11T00:14:00Z</dcterms:created>
  <dcterms:modified xsi:type="dcterms:W3CDTF">2016-07-11T00:14:00Z</dcterms:modified>
</cp:coreProperties>
</file>