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536A" w:rsidRDefault="00534919" w:rsidP="00D6536A">
      <w:r>
        <w:rPr>
          <w:noProof/>
          <w:lang w:val="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0" type="#_x0000_t75" alt="AER" style="position:absolute;margin-left:189.9pt;margin-top:-54.4pt;width:313.5pt;height:159.7pt;z-index:251659264;visibility:visible" filled="t">
            <v:imagedata r:id="rId9" o:title="AER"/>
          </v:shape>
        </w:pict>
      </w:r>
    </w:p>
    <w:p w:rsidR="00D6536A" w:rsidRDefault="00D6536A" w:rsidP="00D6536A"/>
    <w:p w:rsidR="00D6536A" w:rsidRDefault="00D6536A" w:rsidP="00D6536A"/>
    <w:p w:rsidR="00D6536A" w:rsidRDefault="00D6536A" w:rsidP="00D6536A"/>
    <w:p w:rsidR="00D6536A" w:rsidRDefault="00D6536A" w:rsidP="00D6536A"/>
    <w:p w:rsidR="00D6536A" w:rsidRDefault="00D6536A" w:rsidP="00D6536A"/>
    <w:p w:rsidR="00D6536A" w:rsidRDefault="00D6536A" w:rsidP="00D6536A"/>
    <w:p w:rsidR="00D6536A" w:rsidRDefault="00D6536A" w:rsidP="00D6536A"/>
    <w:p w:rsidR="00D6536A" w:rsidRDefault="00D6536A" w:rsidP="00D6536A"/>
    <w:p w:rsidR="00D6536A" w:rsidRDefault="00D6536A" w:rsidP="00D6536A">
      <w:pPr>
        <w:rPr>
          <w:sz w:val="20"/>
        </w:rPr>
      </w:pPr>
    </w:p>
    <w:p w:rsidR="00D6536A" w:rsidRPr="00F31B1C" w:rsidRDefault="00D6536A" w:rsidP="00D6536A">
      <w:pPr>
        <w:rPr>
          <w:sz w:val="20"/>
        </w:rPr>
      </w:pPr>
      <w:r w:rsidRPr="00F31B1C">
        <w:rPr>
          <w:sz w:val="20"/>
        </w:rPr>
        <w:t>Our Ref:</w:t>
      </w:r>
      <w:r w:rsidRPr="00F31B1C">
        <w:rPr>
          <w:sz w:val="20"/>
        </w:rPr>
        <w:tab/>
      </w:r>
      <w:bookmarkStart w:id="0" w:name="OurRef"/>
      <w:bookmarkEnd w:id="0"/>
      <w:r>
        <w:rPr>
          <w:sz w:val="20"/>
        </w:rPr>
        <w:tab/>
        <w:t>58744</w:t>
      </w:r>
      <w:r w:rsidRPr="00F815F4">
        <w:rPr>
          <w:b/>
          <w:sz w:val="20"/>
        </w:rPr>
        <w:tab/>
      </w:r>
    </w:p>
    <w:p w:rsidR="00D6536A" w:rsidRPr="001D141F" w:rsidRDefault="00D6536A" w:rsidP="00D6536A">
      <w:pPr>
        <w:rPr>
          <w:sz w:val="20"/>
        </w:rPr>
      </w:pPr>
      <w:r w:rsidRPr="001D141F">
        <w:rPr>
          <w:sz w:val="20"/>
        </w:rPr>
        <w:t xml:space="preserve">Contact Officer: </w:t>
      </w:r>
      <w:r w:rsidRPr="001D141F">
        <w:rPr>
          <w:sz w:val="20"/>
        </w:rPr>
        <w:tab/>
      </w:r>
      <w:r>
        <w:rPr>
          <w:sz w:val="20"/>
        </w:rPr>
        <w:t>Warwick Anderson</w:t>
      </w:r>
      <w:r w:rsidRPr="001D141F">
        <w:rPr>
          <w:sz w:val="20"/>
        </w:rPr>
        <w:t xml:space="preserve"> </w:t>
      </w:r>
    </w:p>
    <w:p w:rsidR="00D6536A" w:rsidRPr="001D141F" w:rsidRDefault="00D6536A" w:rsidP="00D6536A">
      <w:pPr>
        <w:rPr>
          <w:sz w:val="20"/>
        </w:rPr>
      </w:pPr>
      <w:r w:rsidRPr="001D141F">
        <w:rPr>
          <w:sz w:val="20"/>
        </w:rPr>
        <w:t>Contact Phone:</w:t>
      </w:r>
      <w:r w:rsidRPr="001D141F">
        <w:rPr>
          <w:sz w:val="20"/>
        </w:rPr>
        <w:tab/>
      </w:r>
      <w:bookmarkStart w:id="1" w:name="ContactPhone"/>
      <w:bookmarkEnd w:id="1"/>
      <w:r>
        <w:rPr>
          <w:sz w:val="20"/>
        </w:rPr>
        <w:t>02 6243 1240</w:t>
      </w:r>
    </w:p>
    <w:p w:rsidR="00D6536A" w:rsidRDefault="00D6536A" w:rsidP="00D6536A">
      <w:pPr>
        <w:rPr>
          <w:sz w:val="20"/>
        </w:rPr>
      </w:pPr>
    </w:p>
    <w:p w:rsidR="00D6536A" w:rsidRPr="00F31B1C" w:rsidRDefault="00D6536A" w:rsidP="00D6536A">
      <w:pPr>
        <w:rPr>
          <w:sz w:val="20"/>
        </w:rPr>
      </w:pPr>
    </w:p>
    <w:p w:rsidR="00D6536A" w:rsidRPr="00F31B1C" w:rsidRDefault="00534919" w:rsidP="00D6536A">
      <w:bookmarkStart w:id="2" w:name="Date"/>
      <w:bookmarkEnd w:id="2"/>
      <w:r>
        <w:t>7</w:t>
      </w:r>
      <w:bookmarkStart w:id="3" w:name="_GoBack"/>
      <w:bookmarkEnd w:id="3"/>
      <w:r w:rsidR="00D6536A">
        <w:t xml:space="preserve"> </w:t>
      </w:r>
      <w:r w:rsidR="003D7D1E">
        <w:t>June</w:t>
      </w:r>
      <w:r w:rsidR="00D6536A">
        <w:t xml:space="preserve"> 2016 </w:t>
      </w:r>
    </w:p>
    <w:p w:rsidR="00D6536A" w:rsidRDefault="00D6536A" w:rsidP="00D6536A"/>
    <w:p w:rsidR="00D6536A" w:rsidRPr="00F31B1C" w:rsidRDefault="00D6536A" w:rsidP="00D6536A"/>
    <w:p w:rsidR="00D6536A" w:rsidRPr="00EE6A16" w:rsidRDefault="00D6536A" w:rsidP="00D6536A">
      <w:r w:rsidRPr="00EE6A16">
        <w:t>John Pierce</w:t>
      </w:r>
    </w:p>
    <w:p w:rsidR="00D6536A" w:rsidRPr="00EE6A16" w:rsidRDefault="00D6536A" w:rsidP="00D6536A">
      <w:r w:rsidRPr="00EE6A16">
        <w:t>Chairman</w:t>
      </w:r>
    </w:p>
    <w:p w:rsidR="00D6536A" w:rsidRPr="00EE6A16" w:rsidRDefault="00D6536A" w:rsidP="00D6536A">
      <w:r w:rsidRPr="00EE6A16">
        <w:t>Australian Energy Market Commission</w:t>
      </w:r>
    </w:p>
    <w:p w:rsidR="00D6536A" w:rsidRPr="00EE6A16" w:rsidRDefault="00D6536A" w:rsidP="00D6536A">
      <w:r w:rsidRPr="00EE6A16">
        <w:t>PO Box A2449</w:t>
      </w:r>
    </w:p>
    <w:p w:rsidR="00D6536A" w:rsidRPr="00EE6A16" w:rsidRDefault="00D6536A" w:rsidP="00D6536A">
      <w:r w:rsidRPr="00EE6A16">
        <w:t>SYDNEY SOUTH NSW 1235</w:t>
      </w:r>
    </w:p>
    <w:p w:rsidR="00D6536A" w:rsidRDefault="00D6536A" w:rsidP="00D6536A"/>
    <w:p w:rsidR="00D6536A" w:rsidRPr="004012F4" w:rsidRDefault="00D6536A" w:rsidP="00D6536A">
      <w:r>
        <w:t>By email</w:t>
      </w:r>
    </w:p>
    <w:p w:rsidR="00D6536A" w:rsidRDefault="00D6536A" w:rsidP="00D6536A">
      <w:bookmarkStart w:id="4" w:name="Recipient"/>
      <w:bookmarkEnd w:id="4"/>
    </w:p>
    <w:p w:rsidR="00D6536A" w:rsidRDefault="00D6536A" w:rsidP="00D6536A">
      <w:pPr>
        <w:rPr>
          <w:b/>
        </w:rPr>
      </w:pPr>
      <w:bookmarkStart w:id="5" w:name="Salutation"/>
      <w:bookmarkEnd w:id="5"/>
      <w:r>
        <w:t xml:space="preserve">Dear </w:t>
      </w:r>
      <w:r w:rsidRPr="001D141F">
        <w:t>M</w:t>
      </w:r>
      <w:r>
        <w:t>r Pierce</w:t>
      </w:r>
    </w:p>
    <w:p w:rsidR="00D6536A" w:rsidRDefault="00D6536A" w:rsidP="00D6536A">
      <w:pPr>
        <w:rPr>
          <w:b/>
        </w:rPr>
      </w:pPr>
    </w:p>
    <w:p w:rsidR="00D6536A" w:rsidRDefault="00D6536A" w:rsidP="00D6536A">
      <w:pPr>
        <w:rPr>
          <w:b/>
        </w:rPr>
      </w:pPr>
      <w:r>
        <w:rPr>
          <w:b/>
        </w:rPr>
        <w:t>Request for changes to the National Electricity Rules and the National Gas Rules</w:t>
      </w:r>
    </w:p>
    <w:p w:rsidR="00D6536A" w:rsidRDefault="00D6536A" w:rsidP="00D6536A">
      <w:pPr>
        <w:rPr>
          <w:b/>
        </w:rPr>
      </w:pPr>
    </w:p>
    <w:p w:rsidR="00D6536A" w:rsidRDefault="00D6536A" w:rsidP="00D6536A">
      <w:r w:rsidRPr="00316B7C">
        <w:t>Please find attached the Australian Energy Regulator’s (AER)</w:t>
      </w:r>
      <w:r>
        <w:t xml:space="preserve"> rule change proposal relating to the review process of the rate of the return guidelines (the Guideline). The AER requests</w:t>
      </w:r>
      <w:r w:rsidR="00F1104F">
        <w:t xml:space="preserve"> that the timeframe to review</w:t>
      </w:r>
      <w:r>
        <w:t xml:space="preserve"> the Guideline be extended from three to five years for the first review after the initial development of the guideline. Specifically, regarding the review of the current Guideline (published on </w:t>
      </w:r>
      <w:r w:rsidRPr="00C53EF9">
        <w:t>17 December 2013</w:t>
      </w:r>
      <w:r>
        <w:t xml:space="preserve">), the AER requests that the date for completing the review be extended from 17 December 2016 to 17 December 2018.  </w:t>
      </w:r>
      <w:r w:rsidR="007F6C71">
        <w:t xml:space="preserve">The AER will endeavour to complete the review </w:t>
      </w:r>
      <w:r w:rsidR="000A3E7A">
        <w:t>prior to 17 December 2018</w:t>
      </w:r>
      <w:r w:rsidR="003F43CA">
        <w:t xml:space="preserve"> depending on the scope of issues and resources</w:t>
      </w:r>
      <w:r w:rsidR="007F6C71">
        <w:t>.</w:t>
      </w:r>
    </w:p>
    <w:p w:rsidR="00D6536A" w:rsidRDefault="00D6536A" w:rsidP="00D6536A"/>
    <w:p w:rsidR="00D6536A" w:rsidRDefault="00D6536A" w:rsidP="00D6536A">
      <w:r>
        <w:t xml:space="preserve">This rule change proposal has been prepared in accordance with </w:t>
      </w:r>
      <w:r w:rsidRPr="00E76CF0">
        <w:t>section 9</w:t>
      </w:r>
      <w:r>
        <w:t>2</w:t>
      </w:r>
      <w:r w:rsidRPr="00E76CF0">
        <w:t xml:space="preserve"> of the NEL</w:t>
      </w:r>
      <w:r>
        <w:t xml:space="preserve"> (298 of the NGL), and includes the text of the AER’s proposed rule amendment. The AER proposes that the attached rule change proposal be treated as non–controversial in nature and expedited under section 96 of the NEL (304 of the NGL).</w:t>
      </w:r>
      <w:r w:rsidR="00D44A23">
        <w:t xml:space="preserve"> The rule change proposal included in Attachment A to this letter has been considered by the Energy Networks Association (ENA), Australian Pipeline and Gas Association, and the Public Interest Advocacy Centre (PIAC) and these entities support the proposal. Letters of support from the ENA and the PIAC are also attached.</w:t>
      </w:r>
    </w:p>
    <w:p w:rsidR="00D6536A" w:rsidRDefault="00D6536A" w:rsidP="00D6536A">
      <w:r>
        <w:t xml:space="preserve"> </w:t>
      </w:r>
    </w:p>
    <w:p w:rsidR="00D6536A" w:rsidRDefault="00D6536A" w:rsidP="00D6536A">
      <w:r>
        <w:t>Should you have any questions or queries regarding the attached proposal, please contact Warwick Anderson on 02 6243 1240.</w:t>
      </w:r>
    </w:p>
    <w:p w:rsidR="00D6536A" w:rsidRDefault="00D6536A" w:rsidP="00D6536A">
      <w:pPr>
        <w:rPr>
          <w:b/>
        </w:rPr>
      </w:pPr>
    </w:p>
    <w:p w:rsidR="00D6536A" w:rsidRDefault="00D6536A" w:rsidP="0039163F">
      <w:pPr>
        <w:keepNext/>
      </w:pPr>
      <w:r w:rsidRPr="00303AE7">
        <w:lastRenderedPageBreak/>
        <w:t>Yours sincerely</w:t>
      </w:r>
    </w:p>
    <w:p w:rsidR="00D6536A" w:rsidRDefault="00D6536A" w:rsidP="0039163F">
      <w:pPr>
        <w:keepNext/>
      </w:pPr>
      <w:bookmarkStart w:id="6" w:name="Signature"/>
      <w:bookmarkEnd w:id="6"/>
    </w:p>
    <w:p w:rsidR="00D6536A" w:rsidRDefault="00D6536A" w:rsidP="0039163F">
      <w:pPr>
        <w:keepNext/>
      </w:pPr>
    </w:p>
    <w:p w:rsidR="00D6536A" w:rsidRDefault="00D6536A" w:rsidP="0039163F">
      <w:pPr>
        <w:keepNext/>
      </w:pPr>
    </w:p>
    <w:p w:rsidR="00D6536A" w:rsidRDefault="00D6536A" w:rsidP="00D6536A">
      <w:r>
        <w:t>Michelle Groves</w:t>
      </w:r>
    </w:p>
    <w:p w:rsidR="00D6536A" w:rsidRDefault="00D6536A" w:rsidP="00D6536A">
      <w:r>
        <w:t>Chief Executive Officer</w:t>
      </w:r>
    </w:p>
    <w:p w:rsidR="00AC75FD" w:rsidRDefault="00AC75FD" w:rsidP="00D6536A"/>
    <w:p w:rsidR="00D44A23" w:rsidRDefault="00D44A23" w:rsidP="00D6536A"/>
    <w:p w:rsidR="00D44A23" w:rsidRDefault="00D44A23" w:rsidP="00D6536A"/>
    <w:p w:rsidR="00D44A23" w:rsidRDefault="00D44A23" w:rsidP="00D6536A"/>
    <w:p w:rsidR="00AC75FD" w:rsidRPr="00AC75FD" w:rsidRDefault="00AC75FD" w:rsidP="00D6536A">
      <w:pPr>
        <w:rPr>
          <w:b/>
          <w:u w:val="single"/>
        </w:rPr>
      </w:pPr>
      <w:r w:rsidRPr="00AC75FD">
        <w:rPr>
          <w:b/>
          <w:u w:val="single"/>
        </w:rPr>
        <w:t>Attachments</w:t>
      </w:r>
    </w:p>
    <w:p w:rsidR="00AC75FD" w:rsidRDefault="00AC75FD" w:rsidP="00D6536A"/>
    <w:p w:rsidR="00AC75FD" w:rsidRDefault="00AC75FD" w:rsidP="00D6536A">
      <w:r>
        <w:t>Attachment A: Rule change proposal</w:t>
      </w:r>
    </w:p>
    <w:p w:rsidR="00AC75FD" w:rsidRDefault="00AC75FD" w:rsidP="00D6536A">
      <w:r>
        <w:t>Attachment B: Letter of support from the Energy Networks Association</w:t>
      </w:r>
    </w:p>
    <w:p w:rsidR="00AC75FD" w:rsidRDefault="00AC75FD">
      <w:r>
        <w:t>Attachment C: Letter of support from the Public Interest Advocacy Centre</w:t>
      </w:r>
    </w:p>
    <w:p w:rsidR="00AC75FD" w:rsidRDefault="00AC75FD" w:rsidP="00D6536A"/>
    <w:p w:rsidR="00AC75FD" w:rsidRDefault="00AC75FD" w:rsidP="00D6536A"/>
    <w:p w:rsidR="00D6536A" w:rsidRDefault="00D6536A" w:rsidP="00D6536A">
      <w:pPr>
        <w:pStyle w:val="AERunnumberedheading2"/>
        <w:sectPr w:rsidR="00D6536A" w:rsidSect="00290DED">
          <w:footerReference w:type="default" r:id="rId10"/>
          <w:pgSz w:w="11906" w:h="16838" w:code="9"/>
          <w:pgMar w:top="1134" w:right="1418" w:bottom="1418" w:left="1418" w:header="709" w:footer="709" w:gutter="0"/>
          <w:pgNumType w:start="1"/>
          <w:cols w:space="708"/>
          <w:titlePg/>
          <w:docGrid w:linePitch="360"/>
        </w:sectPr>
      </w:pPr>
    </w:p>
    <w:p w:rsidR="00D6536A" w:rsidRDefault="00D6536A" w:rsidP="00D6536A">
      <w:pPr>
        <w:pStyle w:val="AERunnumberedheading2"/>
      </w:pPr>
      <w:r>
        <w:lastRenderedPageBreak/>
        <w:t>ATTACHMENT A</w:t>
      </w:r>
    </w:p>
    <w:p w:rsidR="00D6536A" w:rsidRDefault="00D6536A" w:rsidP="00D6536A">
      <w:pPr>
        <w:autoSpaceDE w:val="0"/>
        <w:autoSpaceDN w:val="0"/>
        <w:adjustRightInd w:val="0"/>
        <w:jc w:val="center"/>
        <w:rPr>
          <w:b/>
          <w:bCs/>
        </w:rPr>
      </w:pPr>
      <w:r>
        <w:rPr>
          <w:b/>
          <w:bCs/>
        </w:rPr>
        <w:t>National Electricity Rules and National Gas Rules</w:t>
      </w:r>
    </w:p>
    <w:p w:rsidR="00D6536A" w:rsidRDefault="00D6536A" w:rsidP="00D6536A">
      <w:pPr>
        <w:autoSpaceDE w:val="0"/>
        <w:autoSpaceDN w:val="0"/>
        <w:adjustRightInd w:val="0"/>
        <w:jc w:val="center"/>
        <w:rPr>
          <w:b/>
          <w:bCs/>
        </w:rPr>
      </w:pPr>
    </w:p>
    <w:p w:rsidR="00D6536A" w:rsidRDefault="00D6536A" w:rsidP="00D6536A">
      <w:pPr>
        <w:autoSpaceDE w:val="0"/>
        <w:autoSpaceDN w:val="0"/>
        <w:adjustRightInd w:val="0"/>
        <w:jc w:val="center"/>
        <w:rPr>
          <w:b/>
          <w:bCs/>
        </w:rPr>
      </w:pPr>
      <w:r>
        <w:rPr>
          <w:b/>
          <w:bCs/>
        </w:rPr>
        <w:t>REQUEST FOR A RULE CHANGE</w:t>
      </w:r>
    </w:p>
    <w:p w:rsidR="00D6536A" w:rsidRDefault="00D6536A" w:rsidP="00D6536A">
      <w:pPr>
        <w:autoSpaceDE w:val="0"/>
        <w:autoSpaceDN w:val="0"/>
        <w:adjustRightInd w:val="0"/>
        <w:jc w:val="center"/>
        <w:rPr>
          <w:bCs/>
        </w:rPr>
      </w:pPr>
    </w:p>
    <w:p w:rsidR="00D6536A" w:rsidRDefault="00D6536A" w:rsidP="00D6536A">
      <w:pPr>
        <w:autoSpaceDE w:val="0"/>
        <w:autoSpaceDN w:val="0"/>
        <w:adjustRightInd w:val="0"/>
        <w:jc w:val="center"/>
        <w:rPr>
          <w:bCs/>
        </w:rPr>
      </w:pPr>
      <w:r w:rsidRPr="000B2FB9">
        <w:rPr>
          <w:bCs/>
        </w:rPr>
        <w:t>Relating to</w:t>
      </w:r>
    </w:p>
    <w:p w:rsidR="00D6536A" w:rsidRPr="000B2FB9" w:rsidRDefault="00D6536A" w:rsidP="00D6536A">
      <w:pPr>
        <w:autoSpaceDE w:val="0"/>
        <w:autoSpaceDN w:val="0"/>
        <w:adjustRightInd w:val="0"/>
        <w:jc w:val="center"/>
        <w:rPr>
          <w:bCs/>
        </w:rPr>
      </w:pPr>
    </w:p>
    <w:p w:rsidR="00D6536A" w:rsidRDefault="00D6536A" w:rsidP="00D6536A">
      <w:pPr>
        <w:autoSpaceDE w:val="0"/>
        <w:autoSpaceDN w:val="0"/>
        <w:adjustRightInd w:val="0"/>
        <w:jc w:val="center"/>
        <w:rPr>
          <w:b/>
          <w:bCs/>
        </w:rPr>
      </w:pPr>
      <w:r>
        <w:rPr>
          <w:b/>
          <w:bCs/>
        </w:rPr>
        <w:t>EXTENSION OF THE TIME FOR THE AER TO CARRY OUT A REVIEW OF THE RATE OF RETURN GUIDELINES</w:t>
      </w:r>
    </w:p>
    <w:p w:rsidR="00D6536A" w:rsidRPr="000B2FB9" w:rsidRDefault="00D6536A" w:rsidP="00D6536A">
      <w:pPr>
        <w:autoSpaceDE w:val="0"/>
        <w:autoSpaceDN w:val="0"/>
        <w:adjustRightInd w:val="0"/>
        <w:jc w:val="center"/>
        <w:rPr>
          <w:bCs/>
        </w:rPr>
      </w:pPr>
      <w:r>
        <w:rPr>
          <w:bCs/>
        </w:rPr>
        <w:t>______________________________________________</w:t>
      </w:r>
    </w:p>
    <w:p w:rsidR="00D6536A" w:rsidRDefault="00D6536A" w:rsidP="00D6536A">
      <w:pPr>
        <w:autoSpaceDE w:val="0"/>
        <w:autoSpaceDN w:val="0"/>
        <w:adjustRightInd w:val="0"/>
        <w:rPr>
          <w:b/>
          <w:bCs/>
        </w:rPr>
      </w:pPr>
    </w:p>
    <w:p w:rsidR="00D6536A" w:rsidRDefault="00D6536A" w:rsidP="00D6536A">
      <w:pPr>
        <w:autoSpaceDE w:val="0"/>
        <w:autoSpaceDN w:val="0"/>
        <w:adjustRightInd w:val="0"/>
        <w:rPr>
          <w:b/>
          <w:bCs/>
        </w:rPr>
      </w:pPr>
      <w:r>
        <w:rPr>
          <w:b/>
          <w:bCs/>
        </w:rPr>
        <w:t xml:space="preserve">Proposal to change clauses </w:t>
      </w:r>
      <w:r w:rsidRPr="00CC3796">
        <w:rPr>
          <w:b/>
          <w:bCs/>
        </w:rPr>
        <w:t>6.5.2(p</w:t>
      </w:r>
      <w:proofErr w:type="gramStart"/>
      <w:r w:rsidRPr="00CC3796">
        <w:rPr>
          <w:b/>
          <w:bCs/>
        </w:rPr>
        <w:t>)(</w:t>
      </w:r>
      <w:proofErr w:type="gramEnd"/>
      <w:r w:rsidRPr="00CC3796">
        <w:rPr>
          <w:b/>
          <w:bCs/>
        </w:rPr>
        <w:t>1)</w:t>
      </w:r>
      <w:r>
        <w:rPr>
          <w:b/>
          <w:bCs/>
        </w:rPr>
        <w:t xml:space="preserve"> and 6A.6.2(p)(1)) </w:t>
      </w:r>
      <w:r w:rsidRPr="00CC3796">
        <w:rPr>
          <w:b/>
          <w:bCs/>
        </w:rPr>
        <w:t xml:space="preserve">of the </w:t>
      </w:r>
      <w:r>
        <w:rPr>
          <w:b/>
          <w:bCs/>
        </w:rPr>
        <w:t>National Electricity Rules and rule 87(16)(a) of the National Gas Rules.</w:t>
      </w:r>
    </w:p>
    <w:p w:rsidR="00D6536A" w:rsidRDefault="00D6536A" w:rsidP="00D6536A">
      <w:pPr>
        <w:autoSpaceDE w:val="0"/>
        <w:autoSpaceDN w:val="0"/>
        <w:adjustRightInd w:val="0"/>
        <w:rPr>
          <w:b/>
          <w:bCs/>
        </w:rPr>
      </w:pPr>
    </w:p>
    <w:p w:rsidR="00D6536A" w:rsidRDefault="00D6536A" w:rsidP="00D6536A">
      <w:pPr>
        <w:autoSpaceDE w:val="0"/>
        <w:autoSpaceDN w:val="0"/>
        <w:adjustRightInd w:val="0"/>
        <w:rPr>
          <w:b/>
          <w:bCs/>
        </w:rPr>
      </w:pPr>
      <w:r>
        <w:rPr>
          <w:b/>
          <w:bCs/>
        </w:rPr>
        <w:t>A</w:t>
      </w:r>
      <w:r>
        <w:rPr>
          <w:b/>
          <w:bCs/>
        </w:rPr>
        <w:tab/>
        <w:t>Name and address of person making the request</w:t>
      </w:r>
    </w:p>
    <w:p w:rsidR="00D6536A" w:rsidRDefault="00D6536A" w:rsidP="00D6536A">
      <w:pPr>
        <w:autoSpaceDE w:val="0"/>
        <w:autoSpaceDN w:val="0"/>
        <w:adjustRightInd w:val="0"/>
      </w:pPr>
      <w:r>
        <w:t>Australian Energy Regulator</w:t>
      </w:r>
    </w:p>
    <w:p w:rsidR="00D6536A" w:rsidRDefault="00D6536A" w:rsidP="00D6536A">
      <w:pPr>
        <w:autoSpaceDE w:val="0"/>
        <w:autoSpaceDN w:val="0"/>
        <w:adjustRightInd w:val="0"/>
      </w:pPr>
      <w:r>
        <w:t>Level 35</w:t>
      </w:r>
    </w:p>
    <w:p w:rsidR="00D6536A" w:rsidRDefault="00D6536A" w:rsidP="00D6536A">
      <w:pPr>
        <w:autoSpaceDE w:val="0"/>
        <w:autoSpaceDN w:val="0"/>
        <w:adjustRightInd w:val="0"/>
      </w:pPr>
      <w:r>
        <w:t>360 Elizabeth Street</w:t>
      </w:r>
    </w:p>
    <w:p w:rsidR="00D6536A" w:rsidRDefault="00D6536A" w:rsidP="00D6536A">
      <w:pPr>
        <w:autoSpaceDE w:val="0"/>
        <w:autoSpaceDN w:val="0"/>
        <w:adjustRightInd w:val="0"/>
      </w:pPr>
      <w:r>
        <w:t>MELBOURNE VIC 3000</w:t>
      </w:r>
    </w:p>
    <w:p w:rsidR="00D6536A" w:rsidRDefault="00D6536A" w:rsidP="00D6536A">
      <w:pPr>
        <w:autoSpaceDE w:val="0"/>
        <w:autoSpaceDN w:val="0"/>
        <w:adjustRightInd w:val="0"/>
        <w:rPr>
          <w:b/>
          <w:bCs/>
        </w:rPr>
      </w:pPr>
    </w:p>
    <w:p w:rsidR="00D6536A" w:rsidRDefault="00D6536A" w:rsidP="00D6536A">
      <w:pPr>
        <w:autoSpaceDE w:val="0"/>
        <w:autoSpaceDN w:val="0"/>
        <w:adjustRightInd w:val="0"/>
        <w:rPr>
          <w:b/>
          <w:bCs/>
        </w:rPr>
      </w:pPr>
      <w:r>
        <w:rPr>
          <w:b/>
          <w:bCs/>
        </w:rPr>
        <w:t>B</w:t>
      </w:r>
      <w:r>
        <w:rPr>
          <w:b/>
          <w:bCs/>
        </w:rPr>
        <w:tab/>
        <w:t>Description of proposed rule</w:t>
      </w:r>
    </w:p>
    <w:p w:rsidR="00D6536A" w:rsidRDefault="00D6536A" w:rsidP="00D6536A">
      <w:pPr>
        <w:autoSpaceDE w:val="0"/>
        <w:autoSpaceDN w:val="0"/>
        <w:adjustRightInd w:val="0"/>
      </w:pPr>
    </w:p>
    <w:p w:rsidR="00D6536A" w:rsidRDefault="00D6536A" w:rsidP="00D6536A">
      <w:pPr>
        <w:autoSpaceDE w:val="0"/>
        <w:autoSpaceDN w:val="0"/>
        <w:adjustRightInd w:val="0"/>
      </w:pPr>
      <w:r>
        <w:t xml:space="preserve">This rule change proposal seeks an amendment to clauses </w:t>
      </w:r>
      <w:r w:rsidRPr="00B11146">
        <w:t>6.5.2(p</w:t>
      </w:r>
      <w:proofErr w:type="gramStart"/>
      <w:r w:rsidRPr="00B11146">
        <w:t>)(</w:t>
      </w:r>
      <w:proofErr w:type="gramEnd"/>
      <w:r w:rsidRPr="00B11146">
        <w:t xml:space="preserve">1) and 6A.6.2(p)(1)) </w:t>
      </w:r>
      <w:r>
        <w:t>(Rate of return guidelines) of the</w:t>
      </w:r>
      <w:r w:rsidR="00F1104F">
        <w:t xml:space="preserve"> National Electricity Rules and</w:t>
      </w:r>
      <w:r>
        <w:t xml:space="preserve"> </w:t>
      </w:r>
      <w:r w:rsidRPr="00B11146">
        <w:t xml:space="preserve">rule 87(16)(a) </w:t>
      </w:r>
      <w:r>
        <w:t xml:space="preserve">(Rate of return guidelines) </w:t>
      </w:r>
      <w:r w:rsidRPr="00B11146">
        <w:t>of the  National Gas Rules</w:t>
      </w:r>
      <w:r>
        <w:t>.</w:t>
      </w:r>
    </w:p>
    <w:p w:rsidR="00D6536A" w:rsidRDefault="00D6536A" w:rsidP="00D6536A">
      <w:pPr>
        <w:autoSpaceDE w:val="0"/>
        <w:autoSpaceDN w:val="0"/>
        <w:adjustRightInd w:val="0"/>
      </w:pPr>
    </w:p>
    <w:p w:rsidR="00D6536A" w:rsidRDefault="00D6536A" w:rsidP="00D6536A">
      <w:pPr>
        <w:autoSpaceDE w:val="0"/>
        <w:autoSpaceDN w:val="0"/>
        <w:adjustRightInd w:val="0"/>
      </w:pPr>
      <w:r w:rsidRPr="00550BC7">
        <w:t xml:space="preserve">The National Electricity Rules and the National Gas Rules (collectively the Rules) require </w:t>
      </w:r>
      <w:r>
        <w:t xml:space="preserve">the AER to review </w:t>
      </w:r>
      <w:r w:rsidRPr="00550BC7">
        <w:t xml:space="preserve">the Rate of Return Guidelines (the Guideline) every </w:t>
      </w:r>
      <w:r>
        <w:t>three</w:t>
      </w:r>
      <w:r w:rsidRPr="00550BC7">
        <w:t xml:space="preserve"> years. As the AER published the current Guideline on 17 December 2013, it needs to be reviewed by 17 December 2016.</w:t>
      </w:r>
      <w:r>
        <w:t xml:space="preserve">  However, key elements of the current Guideline are still in contention before the Australian Competition Tribunal (the Tribunal) and Federal Court of Australia (the FCA) where an outcome is unlikely before 17 December 2016.</w:t>
      </w:r>
      <w:r>
        <w:rPr>
          <w:rStyle w:val="FootnoteReference"/>
        </w:rPr>
        <w:footnoteReference w:id="1"/>
      </w:r>
      <w:r>
        <w:t xml:space="preserve">  </w:t>
      </w:r>
    </w:p>
    <w:p w:rsidR="00D6536A" w:rsidRDefault="00D6536A" w:rsidP="00D6536A">
      <w:pPr>
        <w:autoSpaceDE w:val="0"/>
        <w:autoSpaceDN w:val="0"/>
        <w:adjustRightInd w:val="0"/>
      </w:pPr>
    </w:p>
    <w:p w:rsidR="00D6536A" w:rsidRPr="00531D40" w:rsidRDefault="00D6536A" w:rsidP="00D6536A">
      <w:pPr>
        <w:autoSpaceDE w:val="0"/>
        <w:autoSpaceDN w:val="0"/>
        <w:adjustRightInd w:val="0"/>
        <w:rPr>
          <w:b/>
        </w:rPr>
      </w:pPr>
      <w:r w:rsidRPr="00531D40">
        <w:rPr>
          <w:b/>
        </w:rPr>
        <w:t>B1</w:t>
      </w:r>
      <w:r w:rsidRPr="00531D40">
        <w:rPr>
          <w:b/>
        </w:rPr>
        <w:tab/>
        <w:t>Request for expedited process</w:t>
      </w:r>
    </w:p>
    <w:p w:rsidR="00D6536A" w:rsidRDefault="00D6536A" w:rsidP="00D6536A">
      <w:pPr>
        <w:autoSpaceDE w:val="0"/>
        <w:autoSpaceDN w:val="0"/>
        <w:adjustRightInd w:val="0"/>
      </w:pPr>
    </w:p>
    <w:p w:rsidR="00D6536A" w:rsidRDefault="00D6536A" w:rsidP="00D6536A">
      <w:pPr>
        <w:autoSpaceDE w:val="0"/>
        <w:autoSpaceDN w:val="0"/>
        <w:adjustRightInd w:val="0"/>
      </w:pPr>
      <w:r>
        <w:t xml:space="preserve">The AER proposes that this rule change proposal be treated in accordance with sections </w:t>
      </w:r>
      <w:r w:rsidRPr="00E85FC3">
        <w:t>96 of the NEL</w:t>
      </w:r>
      <w:r>
        <w:t xml:space="preserve"> (304 of the NGL) of the non–controversial provision. The AER considers that the proposed rule change is unlikely to have a significant effect on the energy market. The two year extension sought will not materially affect the regulation of gas and electricity network businesses as the current Guideline will remain in force. While some businesses may be affected by the outcome of the Guideline review under the proposed timeframe extension, these businesses, industry and consumer groups support the proposed rule change. </w:t>
      </w:r>
    </w:p>
    <w:p w:rsidR="00D6536A" w:rsidRDefault="00D6536A" w:rsidP="00D6536A">
      <w:pPr>
        <w:autoSpaceDE w:val="0"/>
        <w:autoSpaceDN w:val="0"/>
        <w:adjustRightInd w:val="0"/>
      </w:pPr>
    </w:p>
    <w:p w:rsidR="00D6536A" w:rsidRDefault="00D6536A" w:rsidP="00D6536A">
      <w:pPr>
        <w:autoSpaceDE w:val="0"/>
        <w:autoSpaceDN w:val="0"/>
        <w:adjustRightInd w:val="0"/>
      </w:pPr>
      <w:r>
        <w:lastRenderedPageBreak/>
        <w:t xml:space="preserve">Letters of support from the Energy Networks Association and the Public Interest and Advocacy Centre are </w:t>
      </w:r>
      <w:r w:rsidR="000676D3">
        <w:t>provided with this rule change request</w:t>
      </w:r>
      <w:r>
        <w:t xml:space="preserve">.  </w:t>
      </w:r>
      <w:r w:rsidR="000676D3">
        <w:t>I</w:t>
      </w:r>
      <w:r w:rsidR="000676D3" w:rsidRPr="000676D3">
        <w:t>n discussions with the AER</w:t>
      </w:r>
      <w:r w:rsidR="000676D3">
        <w:t>,</w:t>
      </w:r>
      <w:r w:rsidR="000676D3" w:rsidRPr="000676D3">
        <w:t xml:space="preserve"> the </w:t>
      </w:r>
      <w:r w:rsidR="000676D3">
        <w:t>Australian Gas and Pipeline Association</w:t>
      </w:r>
      <w:r w:rsidR="000676D3" w:rsidRPr="000676D3">
        <w:t xml:space="preserve"> </w:t>
      </w:r>
      <w:r w:rsidR="000676D3">
        <w:t xml:space="preserve">also </w:t>
      </w:r>
      <w:r w:rsidR="000676D3" w:rsidRPr="000676D3">
        <w:t xml:space="preserve">indicated its support to amend the </w:t>
      </w:r>
      <w:r w:rsidR="000676D3">
        <w:t>Rules</w:t>
      </w:r>
      <w:r w:rsidR="000676D3" w:rsidRPr="000676D3">
        <w:t xml:space="preserve"> to defer the </w:t>
      </w:r>
      <w:r w:rsidR="000676D3">
        <w:t xml:space="preserve">review of the </w:t>
      </w:r>
      <w:r w:rsidR="000676D3" w:rsidRPr="000676D3">
        <w:t xml:space="preserve">Guideline by </w:t>
      </w:r>
      <w:r w:rsidR="002F7418">
        <w:t>two</w:t>
      </w:r>
      <w:r w:rsidR="000676D3" w:rsidRPr="000676D3">
        <w:t xml:space="preserve"> years using the expedited non-controversial rule change process.</w:t>
      </w:r>
    </w:p>
    <w:p w:rsidR="00D6536A" w:rsidRDefault="00D6536A" w:rsidP="00D6536A">
      <w:pPr>
        <w:autoSpaceDE w:val="0"/>
        <w:autoSpaceDN w:val="0"/>
        <w:adjustRightInd w:val="0"/>
      </w:pPr>
    </w:p>
    <w:p w:rsidR="00D6536A" w:rsidRDefault="00D6536A" w:rsidP="00D6536A">
      <w:pPr>
        <w:autoSpaceDE w:val="0"/>
        <w:autoSpaceDN w:val="0"/>
        <w:adjustRightInd w:val="0"/>
        <w:rPr>
          <w:b/>
          <w:bCs/>
        </w:rPr>
      </w:pPr>
      <w:r>
        <w:rPr>
          <w:b/>
          <w:bCs/>
        </w:rPr>
        <w:t>C</w:t>
      </w:r>
      <w:r>
        <w:rPr>
          <w:b/>
          <w:bCs/>
        </w:rPr>
        <w:tab/>
        <w:t>Statement of Issue</w:t>
      </w:r>
    </w:p>
    <w:p w:rsidR="00D6536A" w:rsidRDefault="00D6536A" w:rsidP="00D6536A">
      <w:pPr>
        <w:autoSpaceDE w:val="0"/>
        <w:autoSpaceDN w:val="0"/>
        <w:adjustRightInd w:val="0"/>
      </w:pPr>
    </w:p>
    <w:p w:rsidR="00D6536A" w:rsidRPr="00556061" w:rsidRDefault="00D6536A" w:rsidP="00D6536A">
      <w:pPr>
        <w:autoSpaceDE w:val="0"/>
        <w:autoSpaceDN w:val="0"/>
        <w:adjustRightInd w:val="0"/>
        <w:rPr>
          <w:i/>
        </w:rPr>
      </w:pPr>
      <w:r w:rsidRPr="00556061">
        <w:rPr>
          <w:i/>
        </w:rPr>
        <w:t>1</w:t>
      </w:r>
      <w:r>
        <w:rPr>
          <w:i/>
        </w:rPr>
        <w:t>.</w:t>
      </w:r>
      <w:r w:rsidRPr="00556061">
        <w:rPr>
          <w:i/>
        </w:rPr>
        <w:tab/>
        <w:t>Current Rules</w:t>
      </w:r>
    </w:p>
    <w:p w:rsidR="00D6536A" w:rsidRDefault="00D6536A" w:rsidP="00D6536A">
      <w:pPr>
        <w:autoSpaceDE w:val="0"/>
        <w:autoSpaceDN w:val="0"/>
        <w:adjustRightInd w:val="0"/>
      </w:pPr>
    </w:p>
    <w:p w:rsidR="00D6536A" w:rsidRDefault="00D6536A" w:rsidP="00D6536A">
      <w:pPr>
        <w:autoSpaceDE w:val="0"/>
        <w:autoSpaceDN w:val="0"/>
        <w:adjustRightInd w:val="0"/>
      </w:pPr>
      <w:r>
        <w:t>The Rules require the AER to review the Guideline at intervals not exceeding three years:</w:t>
      </w:r>
      <w:r>
        <w:rPr>
          <w:rStyle w:val="FootnoteReference"/>
        </w:rPr>
        <w:footnoteReference w:id="2"/>
      </w:r>
      <w:r w:rsidRPr="00EC6C49">
        <w:t xml:space="preserve"> </w:t>
      </w:r>
      <w:r>
        <w:t xml:space="preserve"> </w:t>
      </w:r>
    </w:p>
    <w:p w:rsidR="00D6536A" w:rsidRDefault="00D6536A" w:rsidP="00D6536A">
      <w:pPr>
        <w:autoSpaceDE w:val="0"/>
        <w:autoSpaceDN w:val="0"/>
        <w:adjustRightInd w:val="0"/>
      </w:pPr>
    </w:p>
    <w:p w:rsidR="00D6536A" w:rsidRPr="00EC6C49" w:rsidRDefault="00D6536A" w:rsidP="00D6536A">
      <w:pPr>
        <w:spacing w:after="120"/>
        <w:ind w:left="720"/>
        <w:rPr>
          <w:i/>
          <w:iCs/>
        </w:rPr>
      </w:pPr>
      <w:r w:rsidRPr="00EC6C49">
        <w:rPr>
          <w:i/>
          <w:iCs/>
        </w:rPr>
        <w:t>The AER must, in accordance with the distribution consultation procedures, review the Rate of Return Guidelines:</w:t>
      </w:r>
    </w:p>
    <w:p w:rsidR="00D6536A" w:rsidRDefault="00D6536A" w:rsidP="00D6536A">
      <w:pPr>
        <w:numPr>
          <w:ilvl w:val="0"/>
          <w:numId w:val="34"/>
        </w:numPr>
        <w:spacing w:after="120"/>
        <w:rPr>
          <w:i/>
          <w:iCs/>
        </w:rPr>
      </w:pPr>
      <w:r w:rsidRPr="00EC6C49">
        <w:rPr>
          <w:i/>
          <w:iCs/>
        </w:rPr>
        <w:t>at intervals not exceeding three years, with the first interval starting from the date that the first Rate of Return Guidelines are published under these Rules;</w:t>
      </w:r>
    </w:p>
    <w:p w:rsidR="00D6536A" w:rsidRDefault="00D6536A" w:rsidP="00D6536A">
      <w:pPr>
        <w:autoSpaceDE w:val="0"/>
        <w:autoSpaceDN w:val="0"/>
        <w:adjustRightInd w:val="0"/>
        <w:ind w:left="720"/>
      </w:pPr>
    </w:p>
    <w:p w:rsidR="00D6536A" w:rsidRPr="00556061" w:rsidRDefault="00D6536A" w:rsidP="00D6536A">
      <w:pPr>
        <w:autoSpaceDE w:val="0"/>
        <w:autoSpaceDN w:val="0"/>
        <w:adjustRightInd w:val="0"/>
        <w:rPr>
          <w:i/>
        </w:rPr>
      </w:pPr>
      <w:r w:rsidRPr="00556061">
        <w:rPr>
          <w:i/>
        </w:rPr>
        <w:t xml:space="preserve">2. </w:t>
      </w:r>
      <w:r w:rsidRPr="00556061">
        <w:rPr>
          <w:i/>
        </w:rPr>
        <w:tab/>
        <w:t>The problem</w:t>
      </w:r>
    </w:p>
    <w:p w:rsidR="00D6536A" w:rsidRDefault="00D6536A" w:rsidP="00D6536A">
      <w:pPr>
        <w:autoSpaceDE w:val="0"/>
        <w:autoSpaceDN w:val="0"/>
        <w:adjustRightInd w:val="0"/>
      </w:pPr>
    </w:p>
    <w:p w:rsidR="00D6536A" w:rsidRDefault="00D6536A" w:rsidP="00D6536A">
      <w:pPr>
        <w:autoSpaceDE w:val="0"/>
        <w:autoSpaceDN w:val="0"/>
        <w:adjustRightInd w:val="0"/>
      </w:pPr>
      <w:r>
        <w:t>Key elements</w:t>
      </w:r>
      <w:r>
        <w:rPr>
          <w:rStyle w:val="FootnoteReference"/>
        </w:rPr>
        <w:footnoteReference w:id="3"/>
      </w:r>
      <w:r>
        <w:t xml:space="preserve"> of the current Guideline are in dispute and are being considered by the Tribunal and the FCA. The outcome of these legal processes is unlikely to be known before 17 December 2016 and may not be known within the </w:t>
      </w:r>
      <w:r w:rsidRPr="008A4E7F">
        <w:t>next 12 months. The</w:t>
      </w:r>
      <w:r>
        <w:t xml:space="preserve"> outcome of these legal processes may cause a change in the AER’s approach to setting the allowed rate of return and hence trigger a review of the Guideline. It would not be prudent to conduct a Guideline review by December 2016, when fundamental issues about the appropriate application of the legislative framework are likely to be unresolved by that time, and if an amended Guideline would be superseded shortly after. Further, important stakeholders whose views would be sought in any Guideline review would be preoccupied with the Tribunal and FCA processes, compromising the consultation component that is essential in any Guideline review. The AER considers there is no value in commencing a Guideline review before the Tribunal and FCA processes are settled.</w:t>
      </w:r>
    </w:p>
    <w:p w:rsidR="00D6536A" w:rsidRDefault="00D6536A" w:rsidP="00D6536A">
      <w:pPr>
        <w:autoSpaceDE w:val="0"/>
        <w:autoSpaceDN w:val="0"/>
        <w:adjustRightInd w:val="0"/>
      </w:pPr>
    </w:p>
    <w:p w:rsidR="00D6536A" w:rsidRPr="00556061" w:rsidRDefault="00D6536A" w:rsidP="00D6536A">
      <w:pPr>
        <w:autoSpaceDE w:val="0"/>
        <w:autoSpaceDN w:val="0"/>
        <w:adjustRightInd w:val="0"/>
        <w:rPr>
          <w:i/>
        </w:rPr>
      </w:pPr>
      <w:r w:rsidRPr="00556061">
        <w:rPr>
          <w:i/>
        </w:rPr>
        <w:t>3.</w:t>
      </w:r>
      <w:r w:rsidRPr="00556061">
        <w:rPr>
          <w:i/>
        </w:rPr>
        <w:tab/>
        <w:t>Proposed solution</w:t>
      </w:r>
    </w:p>
    <w:p w:rsidR="00D6536A" w:rsidRDefault="00D6536A" w:rsidP="00D6536A">
      <w:pPr>
        <w:autoSpaceDE w:val="0"/>
        <w:autoSpaceDN w:val="0"/>
        <w:adjustRightInd w:val="0"/>
      </w:pPr>
    </w:p>
    <w:p w:rsidR="00D6536A" w:rsidRDefault="00D6536A" w:rsidP="00D6536A">
      <w:pPr>
        <w:autoSpaceDE w:val="0"/>
        <w:autoSpaceDN w:val="0"/>
        <w:adjustRightInd w:val="0"/>
      </w:pPr>
      <w:r>
        <w:t>The AER requests that the timeframe for reviewing the current Guideline be extended by two years, to 17 December 2018. This will allow for a more efficient review of the Guideline that can incorporate the outcomes of the Tribunal and FCA processes. It will allow time for the Tribunal and F</w:t>
      </w:r>
      <w:r w:rsidR="00FB566C">
        <w:t>C</w:t>
      </w:r>
      <w:r>
        <w:t xml:space="preserve">A processes to conclude and for the AER to carry out a subsequent Guideline review. </w:t>
      </w:r>
      <w:r w:rsidR="00E46FEF">
        <w:t>The proposed rule change maintains the approach in the current version of the Rules of providing a maximum interval between reviews of the Guideline, with discretion for the AER to undertake a review of the Guidelines earlier</w:t>
      </w:r>
      <w:r w:rsidR="00490BCF">
        <w:t xml:space="preserve"> than 17 December 2018</w:t>
      </w:r>
      <w:r w:rsidR="00E46FEF">
        <w:t xml:space="preserve">.  </w:t>
      </w:r>
      <w:r>
        <w:t xml:space="preserve"> </w:t>
      </w:r>
    </w:p>
    <w:p w:rsidR="00D6536A" w:rsidRDefault="00D6536A" w:rsidP="00D6536A">
      <w:pPr>
        <w:autoSpaceDE w:val="0"/>
        <w:autoSpaceDN w:val="0"/>
        <w:adjustRightInd w:val="0"/>
      </w:pPr>
    </w:p>
    <w:p w:rsidR="00D6536A" w:rsidRPr="00556061" w:rsidRDefault="00D6536A" w:rsidP="00D6536A">
      <w:pPr>
        <w:autoSpaceDE w:val="0"/>
        <w:autoSpaceDN w:val="0"/>
        <w:adjustRightInd w:val="0"/>
        <w:ind w:left="709" w:hanging="709"/>
        <w:rPr>
          <w:i/>
        </w:rPr>
      </w:pPr>
      <w:r>
        <w:rPr>
          <w:i/>
        </w:rPr>
        <w:t>4</w:t>
      </w:r>
      <w:r w:rsidRPr="00556061">
        <w:rPr>
          <w:i/>
        </w:rPr>
        <w:t>.</w:t>
      </w:r>
      <w:r w:rsidRPr="00556061">
        <w:rPr>
          <w:i/>
        </w:rPr>
        <w:tab/>
      </w:r>
      <w:r>
        <w:rPr>
          <w:i/>
        </w:rPr>
        <w:t xml:space="preserve">How the proposed solution will contribute to the achievement of the National Electricity and Gas Objectives </w:t>
      </w:r>
    </w:p>
    <w:p w:rsidR="00D6536A" w:rsidRDefault="00D6536A" w:rsidP="00D6536A">
      <w:pPr>
        <w:autoSpaceDE w:val="0"/>
        <w:autoSpaceDN w:val="0"/>
        <w:adjustRightInd w:val="0"/>
      </w:pPr>
    </w:p>
    <w:p w:rsidR="00D6536A" w:rsidRDefault="00D6536A" w:rsidP="00D6536A">
      <w:pPr>
        <w:autoSpaceDE w:val="0"/>
        <w:autoSpaceDN w:val="0"/>
        <w:adjustRightInd w:val="0"/>
      </w:pPr>
      <w:r>
        <w:t xml:space="preserve">The National Electricity Objective is to: </w:t>
      </w:r>
    </w:p>
    <w:p w:rsidR="00D6536A" w:rsidRDefault="00D6536A" w:rsidP="00D6536A">
      <w:pPr>
        <w:autoSpaceDE w:val="0"/>
        <w:autoSpaceDN w:val="0"/>
        <w:adjustRightInd w:val="0"/>
      </w:pPr>
    </w:p>
    <w:p w:rsidR="00D6536A" w:rsidRPr="005A7455" w:rsidRDefault="00D6536A" w:rsidP="00D6536A">
      <w:pPr>
        <w:spacing w:after="120"/>
        <w:ind w:left="720"/>
        <w:rPr>
          <w:i/>
          <w:iCs/>
        </w:rPr>
      </w:pPr>
      <w:r w:rsidRPr="005A7455">
        <w:rPr>
          <w:i/>
          <w:iCs/>
        </w:rPr>
        <w:t xml:space="preserve">…promote efficient investment in, and efficient operation and use of, electricity (gas) services for the long term interests of consumers of electricity (gas) with respect to: </w:t>
      </w:r>
    </w:p>
    <w:p w:rsidR="00D6536A" w:rsidRPr="005A7455" w:rsidRDefault="00D6536A" w:rsidP="00D6536A">
      <w:pPr>
        <w:numPr>
          <w:ilvl w:val="0"/>
          <w:numId w:val="41"/>
        </w:numPr>
        <w:spacing w:after="120"/>
        <w:rPr>
          <w:i/>
          <w:iCs/>
        </w:rPr>
      </w:pPr>
      <w:r w:rsidRPr="005A7455">
        <w:rPr>
          <w:i/>
          <w:iCs/>
        </w:rPr>
        <w:t>price, quality, safety, reliability and security of supply of electricity (gas); and</w:t>
      </w:r>
    </w:p>
    <w:p w:rsidR="00D6536A" w:rsidRDefault="00D6536A" w:rsidP="00D6536A">
      <w:pPr>
        <w:numPr>
          <w:ilvl w:val="0"/>
          <w:numId w:val="41"/>
        </w:numPr>
        <w:spacing w:after="120"/>
      </w:pPr>
      <w:proofErr w:type="gramStart"/>
      <w:r w:rsidRPr="005A7455">
        <w:rPr>
          <w:i/>
          <w:iCs/>
        </w:rPr>
        <w:t>the</w:t>
      </w:r>
      <w:proofErr w:type="gramEnd"/>
      <w:r w:rsidRPr="005A7455">
        <w:rPr>
          <w:i/>
          <w:iCs/>
        </w:rPr>
        <w:t xml:space="preserve"> reliability, safety and security of the national electricity system.</w:t>
      </w:r>
      <w:r>
        <w:rPr>
          <w:rStyle w:val="FootnoteReference"/>
        </w:rPr>
        <w:footnoteReference w:id="4"/>
      </w:r>
    </w:p>
    <w:p w:rsidR="00D6536A" w:rsidRDefault="00D6536A" w:rsidP="00D6536A">
      <w:pPr>
        <w:autoSpaceDE w:val="0"/>
        <w:autoSpaceDN w:val="0"/>
        <w:adjustRightInd w:val="0"/>
      </w:pPr>
    </w:p>
    <w:p w:rsidR="00D6536A" w:rsidRDefault="00D6536A" w:rsidP="00D6536A">
      <w:pPr>
        <w:autoSpaceDE w:val="0"/>
        <w:autoSpaceDN w:val="0"/>
        <w:adjustRightInd w:val="0"/>
      </w:pPr>
      <w:r>
        <w:t xml:space="preserve">The National Gas Objective is to: </w:t>
      </w:r>
    </w:p>
    <w:p w:rsidR="00D6536A" w:rsidRDefault="00D6536A" w:rsidP="00D6536A">
      <w:pPr>
        <w:autoSpaceDE w:val="0"/>
        <w:autoSpaceDN w:val="0"/>
        <w:adjustRightInd w:val="0"/>
        <w:rPr>
          <w:color w:val="000000"/>
          <w:sz w:val="23"/>
          <w:szCs w:val="23"/>
        </w:rPr>
      </w:pPr>
    </w:p>
    <w:p w:rsidR="00D6536A" w:rsidRPr="00807479" w:rsidRDefault="00D6536A" w:rsidP="00D6536A">
      <w:pPr>
        <w:autoSpaceDE w:val="0"/>
        <w:autoSpaceDN w:val="0"/>
        <w:adjustRightInd w:val="0"/>
        <w:ind w:left="709"/>
        <w:rPr>
          <w:i/>
        </w:rPr>
      </w:pPr>
      <w:r w:rsidRPr="00807479">
        <w:rPr>
          <w:i/>
          <w:color w:val="000000"/>
        </w:rPr>
        <w:t xml:space="preserve">… </w:t>
      </w:r>
      <w:proofErr w:type="gramStart"/>
      <w:r w:rsidRPr="00807479">
        <w:rPr>
          <w:i/>
          <w:color w:val="000000"/>
        </w:rPr>
        <w:t>promote</w:t>
      </w:r>
      <w:proofErr w:type="gramEnd"/>
      <w:r w:rsidRPr="00807479">
        <w:rPr>
          <w:i/>
          <w:color w:val="000000"/>
        </w:rPr>
        <w:t xml:space="preserve"> efficient investment in, and efficient operation and use of, natural gas services for the long term interests of consumers of natural gas with respect to price, quality, safety, reliability and security of supply of natural gas.</w:t>
      </w:r>
    </w:p>
    <w:p w:rsidR="00D6536A" w:rsidRDefault="00D6536A" w:rsidP="00D6536A">
      <w:pPr>
        <w:autoSpaceDE w:val="0"/>
        <w:autoSpaceDN w:val="0"/>
        <w:adjustRightInd w:val="0"/>
      </w:pPr>
    </w:p>
    <w:p w:rsidR="00D6536A" w:rsidRDefault="00D6536A" w:rsidP="00D6536A">
      <w:pPr>
        <w:autoSpaceDE w:val="0"/>
        <w:autoSpaceDN w:val="0"/>
        <w:adjustRightInd w:val="0"/>
      </w:pPr>
      <w:r>
        <w:t xml:space="preserve">Given that, in the AER’s view, the proposed rule change is uncontroversial in nature, it is not expected to have a significant effect. </w:t>
      </w:r>
      <w:r w:rsidR="00D44A23">
        <w:t>I</w:t>
      </w:r>
      <w:r>
        <w:t xml:space="preserve">n the AER’s view, the proposed rule change will provide </w:t>
      </w:r>
      <w:r w:rsidR="00D44A23">
        <w:t xml:space="preserve">clarity </w:t>
      </w:r>
      <w:r>
        <w:t xml:space="preserve">to the AER (and stakeholders) in respect of the timing of a Guideline review and </w:t>
      </w:r>
      <w:r w:rsidR="007D3F9A">
        <w:t>scope for</w:t>
      </w:r>
      <w:r>
        <w:t xml:space="preserve"> the Guideline review to </w:t>
      </w:r>
      <w:r w:rsidR="00D44A23">
        <w:t xml:space="preserve">consider </w:t>
      </w:r>
      <w:r>
        <w:t xml:space="preserve">the outcomes of the Tribunal and FCA processes. </w:t>
      </w:r>
      <w:r w:rsidR="00490BCF">
        <w:t>P</w:t>
      </w:r>
      <w:r>
        <w:t xml:space="preserve">redictability </w:t>
      </w:r>
      <w:r w:rsidRPr="00D52844">
        <w:t xml:space="preserve">of outcomes in </w:t>
      </w:r>
      <w:r>
        <w:t xml:space="preserve">the </w:t>
      </w:r>
      <w:r w:rsidRPr="00D52844">
        <w:t xml:space="preserve">rate of return issues </w:t>
      </w:r>
      <w:r>
        <w:t>is likely to</w:t>
      </w:r>
      <w:r w:rsidRPr="00D52844">
        <w:t xml:space="preserve"> materially benefit the long term interest of consumers</w:t>
      </w:r>
      <w:r>
        <w:t xml:space="preserve">. </w:t>
      </w:r>
    </w:p>
    <w:p w:rsidR="00D6536A" w:rsidRDefault="00D6536A" w:rsidP="00D6536A">
      <w:pPr>
        <w:autoSpaceDE w:val="0"/>
        <w:autoSpaceDN w:val="0"/>
        <w:adjustRightInd w:val="0"/>
      </w:pPr>
    </w:p>
    <w:p w:rsidR="00D6536A" w:rsidRPr="00556061" w:rsidRDefault="00D6536A" w:rsidP="00D6536A">
      <w:pPr>
        <w:autoSpaceDE w:val="0"/>
        <w:autoSpaceDN w:val="0"/>
        <w:adjustRightInd w:val="0"/>
        <w:ind w:left="709" w:hanging="709"/>
        <w:rPr>
          <w:i/>
        </w:rPr>
      </w:pPr>
      <w:r>
        <w:rPr>
          <w:i/>
        </w:rPr>
        <w:t>5</w:t>
      </w:r>
      <w:r w:rsidRPr="00556061">
        <w:rPr>
          <w:i/>
        </w:rPr>
        <w:t>.</w:t>
      </w:r>
      <w:r w:rsidRPr="00556061">
        <w:rPr>
          <w:i/>
        </w:rPr>
        <w:tab/>
      </w:r>
      <w:r>
        <w:rPr>
          <w:i/>
        </w:rPr>
        <w:t>Benefits and costs and potential impact on those likely to be affected by the rule change</w:t>
      </w:r>
    </w:p>
    <w:p w:rsidR="00D6536A" w:rsidRDefault="00D6536A" w:rsidP="00D6536A">
      <w:pPr>
        <w:autoSpaceDE w:val="0"/>
        <w:autoSpaceDN w:val="0"/>
        <w:adjustRightInd w:val="0"/>
      </w:pPr>
    </w:p>
    <w:p w:rsidR="00D6536A" w:rsidRDefault="00D6536A" w:rsidP="00D6536A">
      <w:pPr>
        <w:autoSpaceDE w:val="0"/>
        <w:autoSpaceDN w:val="0"/>
        <w:adjustRightInd w:val="0"/>
      </w:pPr>
      <w:r>
        <w:t xml:space="preserve">The significant benefit of the proposed rule change is that it will provide certainty by allowing the Tribunal and FCA processes to run their course and for the outcomes of these processes to be fully considered in the Guideline review. It will allow stakeholders engaged in the Tribunal and FCA processes to more effectively engage in the Guideline review, contributing to greater robustness in the review outcomes. It will also reduce the cost and regulatory burden associated with conducting a Guideline review by 17 December 2016 that may be superseded shortly after. </w:t>
      </w:r>
    </w:p>
    <w:p w:rsidR="00D6536A" w:rsidRDefault="00D6536A" w:rsidP="00D6536A">
      <w:pPr>
        <w:autoSpaceDE w:val="0"/>
        <w:autoSpaceDN w:val="0"/>
        <w:adjustRightInd w:val="0"/>
      </w:pPr>
    </w:p>
    <w:p w:rsidR="00490BCF" w:rsidRDefault="00D6536A" w:rsidP="00D6536A">
      <w:pPr>
        <w:autoSpaceDE w:val="0"/>
        <w:autoSpaceDN w:val="0"/>
        <w:adjustRightInd w:val="0"/>
      </w:pPr>
      <w:r>
        <w:t>The proposed rule change will result in impacts from moving the timing of the review,</w:t>
      </w:r>
      <w:r w:rsidR="00490BCF">
        <w:t xml:space="preserve"> that is, from moving the latest completion of the review from December 2016 to December 2018</w:t>
      </w:r>
      <w:r>
        <w:t xml:space="preserve">. </w:t>
      </w:r>
      <w:r w:rsidR="00490BCF">
        <w:t>These impacts can be grouped into two types:</w:t>
      </w:r>
    </w:p>
    <w:p w:rsidR="00930B32" w:rsidRDefault="00930B32" w:rsidP="0039163F">
      <w:pPr>
        <w:numPr>
          <w:ilvl w:val="0"/>
          <w:numId w:val="49"/>
        </w:numPr>
        <w:autoSpaceDE w:val="0"/>
        <w:autoSpaceDN w:val="0"/>
        <w:adjustRightInd w:val="0"/>
        <w:spacing w:before="120" w:after="120"/>
        <w:ind w:left="714" w:hanging="357"/>
      </w:pPr>
      <w:r>
        <w:t>I</w:t>
      </w:r>
      <w:r w:rsidR="00490BCF">
        <w:t>mpacts on</w:t>
      </w:r>
      <w:r>
        <w:t xml:space="preserve"> regulated</w:t>
      </w:r>
      <w:r w:rsidR="00490BCF">
        <w:t xml:space="preserve"> businesses’ preparing regulatory proposals</w:t>
      </w:r>
      <w:r w:rsidR="00490BCF">
        <w:rPr>
          <w:rStyle w:val="FootnoteReference"/>
        </w:rPr>
        <w:footnoteReference w:id="5"/>
      </w:r>
      <w:r w:rsidR="00490BCF">
        <w:t xml:space="preserve"> </w:t>
      </w:r>
      <w:r>
        <w:t xml:space="preserve">to be submitted to the AER during the Guideline review or shortly after. </w:t>
      </w:r>
    </w:p>
    <w:p w:rsidR="00930B32" w:rsidRDefault="00930B32" w:rsidP="0039163F">
      <w:pPr>
        <w:numPr>
          <w:ilvl w:val="1"/>
          <w:numId w:val="49"/>
        </w:numPr>
        <w:autoSpaceDE w:val="0"/>
        <w:autoSpaceDN w:val="0"/>
        <w:adjustRightInd w:val="0"/>
        <w:spacing w:before="120" w:after="120"/>
      </w:pPr>
      <w:r>
        <w:t>Regulated businesses are required to identify departures from the Guideline in their regulatory proposals.</w:t>
      </w:r>
      <w:r>
        <w:rPr>
          <w:rStyle w:val="FootnoteReference"/>
        </w:rPr>
        <w:footnoteReference w:id="6"/>
      </w:r>
      <w:r>
        <w:t xml:space="preserve"> </w:t>
      </w:r>
    </w:p>
    <w:p w:rsidR="00490BCF" w:rsidRDefault="00930B32" w:rsidP="0039163F">
      <w:pPr>
        <w:numPr>
          <w:ilvl w:val="1"/>
          <w:numId w:val="49"/>
        </w:numPr>
        <w:autoSpaceDE w:val="0"/>
        <w:autoSpaceDN w:val="0"/>
        <w:adjustRightInd w:val="0"/>
        <w:spacing w:before="120" w:after="120"/>
      </w:pPr>
      <w:r>
        <w:t>The proposed rule change will result in regulatory proposals submitted between 17 December 2016 and 17 December 2018 being required to identify departures from the current Guideline, rather than a reviewed (and potentially amended) Guideline.</w:t>
      </w:r>
    </w:p>
    <w:p w:rsidR="00930B32" w:rsidRDefault="00930B32" w:rsidP="0039163F">
      <w:pPr>
        <w:numPr>
          <w:ilvl w:val="0"/>
          <w:numId w:val="49"/>
        </w:numPr>
        <w:autoSpaceDE w:val="0"/>
        <w:autoSpaceDN w:val="0"/>
        <w:adjustRightInd w:val="0"/>
        <w:spacing w:before="120" w:after="120"/>
        <w:ind w:left="714" w:hanging="357"/>
      </w:pPr>
      <w:r>
        <w:t>Impacts on the relevant material to be considered by the AER in making a regulatory determination.</w:t>
      </w:r>
    </w:p>
    <w:p w:rsidR="00930B32" w:rsidRDefault="00930B32" w:rsidP="0039163F">
      <w:pPr>
        <w:numPr>
          <w:ilvl w:val="1"/>
          <w:numId w:val="49"/>
        </w:numPr>
        <w:autoSpaceDE w:val="0"/>
        <w:autoSpaceDN w:val="0"/>
        <w:adjustRightInd w:val="0"/>
        <w:spacing w:before="120" w:after="120"/>
      </w:pPr>
      <w:r>
        <w:lastRenderedPageBreak/>
        <w:t xml:space="preserve">In the AER’s view, the Guideline is likely to </w:t>
      </w:r>
      <w:r w:rsidR="003F43CA">
        <w:t>outline</w:t>
      </w:r>
      <w:r>
        <w:t xml:space="preserve"> relevant estimation methods, financial models, market data, or other evidence that the AER is required under the Rules to consider when making a regulatory determination.</w:t>
      </w:r>
      <w:r>
        <w:rPr>
          <w:rStyle w:val="FootnoteReference"/>
        </w:rPr>
        <w:footnoteReference w:id="7"/>
      </w:r>
      <w:r>
        <w:t xml:space="preserve"> </w:t>
      </w:r>
      <w:r w:rsidR="00004D58">
        <w:t>The AER must also publish reasons for any departure (in a regulatory determination) from the Guideline.</w:t>
      </w:r>
      <w:r w:rsidR="00004D58">
        <w:rPr>
          <w:rStyle w:val="FootnoteReference"/>
        </w:rPr>
        <w:footnoteReference w:id="8"/>
      </w:r>
    </w:p>
    <w:p w:rsidR="00930B32" w:rsidRDefault="00930B32" w:rsidP="0039163F">
      <w:pPr>
        <w:numPr>
          <w:ilvl w:val="1"/>
          <w:numId w:val="49"/>
        </w:numPr>
        <w:autoSpaceDE w:val="0"/>
        <w:autoSpaceDN w:val="0"/>
        <w:adjustRightInd w:val="0"/>
        <w:spacing w:before="120" w:after="120"/>
      </w:pPr>
      <w:r>
        <w:t>The proposed rule change will result in the current Guideline, rather than a reviewed (and potentially amended) Guideline, applying in regulatory determinations concluded between 17 December 2016 and 17 December 2018.</w:t>
      </w:r>
    </w:p>
    <w:p w:rsidR="00490BCF" w:rsidRDefault="00490BCF" w:rsidP="00D6536A">
      <w:pPr>
        <w:autoSpaceDE w:val="0"/>
        <w:autoSpaceDN w:val="0"/>
        <w:adjustRightInd w:val="0"/>
      </w:pPr>
    </w:p>
    <w:p w:rsidR="00BF26EF" w:rsidRDefault="00D6536A" w:rsidP="00D6536A">
      <w:pPr>
        <w:autoSpaceDE w:val="0"/>
        <w:autoSpaceDN w:val="0"/>
        <w:adjustRightInd w:val="0"/>
      </w:pPr>
      <w:r>
        <w:t>In the AER’s view, these timing changes, at an overall level, do not have a material impact. Conducting a Guideline review at any point in time is likely to impact on one or more of the AER’s regulatory determination processes.</w:t>
      </w:r>
      <w:r w:rsidR="00F141D5">
        <w:rPr>
          <w:rStyle w:val="FootnoteReference"/>
        </w:rPr>
        <w:footnoteReference w:id="9"/>
      </w:r>
      <w:r>
        <w:t xml:space="preserve"> </w:t>
      </w:r>
      <w:r w:rsidR="00FC1431">
        <w:t xml:space="preserve">A calendar of regulatory determination processes likely to occur between 2016 and 2019 is included at Appendix A.2. </w:t>
      </w:r>
      <w:r w:rsidR="00BF26EF">
        <w:t xml:space="preserve">We do not consider that the proposed rule change, at an overall level, exacerbates these impacts relative to the current Rules. </w:t>
      </w:r>
    </w:p>
    <w:p w:rsidR="00BF26EF" w:rsidRDefault="00BF26EF" w:rsidP="00D6536A">
      <w:pPr>
        <w:autoSpaceDE w:val="0"/>
        <w:autoSpaceDN w:val="0"/>
        <w:adjustRightInd w:val="0"/>
      </w:pPr>
    </w:p>
    <w:p w:rsidR="00D6536A" w:rsidRDefault="00BF26EF" w:rsidP="00D6536A">
      <w:pPr>
        <w:autoSpaceDE w:val="0"/>
        <w:autoSpaceDN w:val="0"/>
        <w:adjustRightInd w:val="0"/>
      </w:pPr>
      <w:r>
        <w:t xml:space="preserve">We also note that the rule change proposal maintains the approach of providing a maximum interval between reviews of the Guideline. </w:t>
      </w:r>
      <w:r w:rsidR="00FC1431">
        <w:t>As such</w:t>
      </w:r>
      <w:r>
        <w:t xml:space="preserve">, we will endeavour to complete the Guideline review earlier than </w:t>
      </w:r>
      <w:r w:rsidR="00FC1431">
        <w:t>December 2018</w:t>
      </w:r>
      <w:r>
        <w:t>.</w:t>
      </w:r>
      <w:r w:rsidR="00FC1431">
        <w:rPr>
          <w:rStyle w:val="FootnoteReference"/>
        </w:rPr>
        <w:footnoteReference w:id="10"/>
      </w:r>
      <w:r>
        <w:t xml:space="preserve"> </w:t>
      </w:r>
      <w:r w:rsidR="002F7418">
        <w:t xml:space="preserve">Further, the rule change proposal maintains </w:t>
      </w:r>
      <w:r w:rsidR="003F43CA">
        <w:t xml:space="preserve">the </w:t>
      </w:r>
      <w:r w:rsidR="002F7418">
        <w:t xml:space="preserve">current available flexibility to depart from the Guideline in a regulatory proposal or determination (if doing so would contribute to the achievement of the allowed rate of return objective). </w:t>
      </w:r>
      <w:r>
        <w:t>In addition, t</w:t>
      </w:r>
      <w:r w:rsidR="00D6536A">
        <w:t>o assist in mitigating any impacts, we will endeavour to:</w:t>
      </w:r>
    </w:p>
    <w:p w:rsidR="00D6536A" w:rsidRDefault="00D6536A" w:rsidP="00D6536A">
      <w:pPr>
        <w:numPr>
          <w:ilvl w:val="0"/>
          <w:numId w:val="48"/>
        </w:numPr>
        <w:autoSpaceDE w:val="0"/>
        <w:autoSpaceDN w:val="0"/>
        <w:adjustRightInd w:val="0"/>
        <w:spacing w:before="120" w:after="120"/>
        <w:ind w:left="714" w:hanging="357"/>
      </w:pPr>
      <w:r>
        <w:t>Develop a structure and schedule for our review of the Guidelines that considers the regulatory determination / access arrangement processes that may be running concurrently.</w:t>
      </w:r>
    </w:p>
    <w:p w:rsidR="00D6536A" w:rsidRDefault="00D6536A" w:rsidP="00D6536A">
      <w:pPr>
        <w:numPr>
          <w:ilvl w:val="0"/>
          <w:numId w:val="48"/>
        </w:numPr>
        <w:autoSpaceDE w:val="0"/>
        <w:autoSpaceDN w:val="0"/>
        <w:adjustRightInd w:val="0"/>
        <w:spacing w:before="120" w:after="120"/>
        <w:ind w:left="714" w:hanging="357"/>
      </w:pPr>
      <w:r>
        <w:t xml:space="preserve">Provide reasonable opportunity for all stakeholders to comment on developments in the review of the Guidelines and how they may impact the regulatory determination / access arrangement processes that may be running concurrently. </w:t>
      </w:r>
    </w:p>
    <w:p w:rsidR="00D6536A" w:rsidRDefault="00D6536A" w:rsidP="00D6536A">
      <w:pPr>
        <w:numPr>
          <w:ilvl w:val="0"/>
          <w:numId w:val="48"/>
        </w:numPr>
        <w:autoSpaceDE w:val="0"/>
        <w:autoSpaceDN w:val="0"/>
        <w:adjustRightInd w:val="0"/>
        <w:spacing w:before="120" w:after="120"/>
        <w:ind w:left="714" w:hanging="357"/>
      </w:pPr>
      <w:r>
        <w:t>Minimise duplication of effort for both the AER and stakeholders</w:t>
      </w:r>
    </w:p>
    <w:p w:rsidR="00D6536A" w:rsidRDefault="00D6536A" w:rsidP="00D6536A">
      <w:pPr>
        <w:numPr>
          <w:ilvl w:val="0"/>
          <w:numId w:val="48"/>
        </w:numPr>
        <w:autoSpaceDE w:val="0"/>
        <w:autoSpaceDN w:val="0"/>
        <w:adjustRightInd w:val="0"/>
        <w:spacing w:before="120" w:after="120"/>
        <w:ind w:left="714" w:hanging="357"/>
      </w:pPr>
      <w:r>
        <w:t>In the final decision for our review of the Guidelines, clearly set out all amendments to the Guidelines and the reasons for the amendments. This should assist regulated businesses in identifying departures from any amended Guidelines in their proposals / access arrangements.</w:t>
      </w: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D6536A" w:rsidP="00D6536A">
      <w:pPr>
        <w:autoSpaceDE w:val="0"/>
        <w:autoSpaceDN w:val="0"/>
        <w:adjustRightInd w:val="0"/>
      </w:pPr>
      <w:r>
        <w:br w:type="page"/>
      </w:r>
      <w:r>
        <w:lastRenderedPageBreak/>
        <w:t>APPENDIX A.1 – PROPOSED AMENDMENTS</w:t>
      </w: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D6536A" w:rsidP="00D6536A">
      <w:pPr>
        <w:autoSpaceDE w:val="0"/>
        <w:autoSpaceDN w:val="0"/>
        <w:adjustRightInd w:val="0"/>
        <w:jc w:val="center"/>
      </w:pPr>
      <w:r>
        <w:t>RULE CHANGE REQUEST – EXTENSION OF TIME TO COMPLETE THE INITIAL REVIEW OF THE RATE OF RETURN GUIDELINES</w:t>
      </w:r>
    </w:p>
    <w:p w:rsidR="00D6536A" w:rsidRDefault="00D6536A" w:rsidP="00D6536A">
      <w:pPr>
        <w:autoSpaceDE w:val="0"/>
        <w:autoSpaceDN w:val="0"/>
        <w:adjustRightInd w:val="0"/>
        <w:jc w:val="center"/>
      </w:pPr>
    </w:p>
    <w:p w:rsidR="00D6536A" w:rsidRDefault="00D6536A" w:rsidP="00D6536A">
      <w:pPr>
        <w:autoSpaceDE w:val="0"/>
        <w:autoSpaceDN w:val="0"/>
        <w:adjustRightInd w:val="0"/>
        <w:jc w:val="center"/>
      </w:pPr>
      <w:r>
        <w:t>TEXT OF PROPOSED AMENDMENTS</w:t>
      </w: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D6536A" w:rsidP="00D6536A">
      <w:pPr>
        <w:autoSpaceDE w:val="0"/>
        <w:autoSpaceDN w:val="0"/>
        <w:adjustRightInd w:val="0"/>
      </w:pPr>
      <w:r>
        <w:t>Clause</w:t>
      </w:r>
      <w:r w:rsidRPr="00EC6C49">
        <w:t xml:space="preserve"> 6.5.2(p</w:t>
      </w:r>
      <w:proofErr w:type="gramStart"/>
      <w:r w:rsidRPr="00EC6C49">
        <w:t>)(</w:t>
      </w:r>
      <w:proofErr w:type="gramEnd"/>
      <w:r w:rsidRPr="00EC6C49">
        <w:t xml:space="preserve">1) </w:t>
      </w:r>
      <w:r>
        <w:t>of the National Electricity Rules to be amended to read:</w:t>
      </w:r>
    </w:p>
    <w:p w:rsidR="00D6536A" w:rsidRDefault="00D6536A" w:rsidP="00D6536A">
      <w:pPr>
        <w:autoSpaceDE w:val="0"/>
        <w:autoSpaceDN w:val="0"/>
        <w:adjustRightInd w:val="0"/>
      </w:pPr>
    </w:p>
    <w:p w:rsidR="00D6536A" w:rsidRDefault="00D6536A" w:rsidP="00D6536A">
      <w:pPr>
        <w:numPr>
          <w:ilvl w:val="0"/>
          <w:numId w:val="44"/>
        </w:numPr>
        <w:autoSpaceDE w:val="0"/>
        <w:autoSpaceDN w:val="0"/>
        <w:adjustRightInd w:val="0"/>
      </w:pPr>
      <w:r>
        <w:t xml:space="preserve">at intervals not exceeding five years for the first interval and three years for all subsequent intervals, with the first interval starting from the date that the first </w:t>
      </w:r>
      <w:r w:rsidRPr="008A4E7F">
        <w:rPr>
          <w:i/>
        </w:rPr>
        <w:t>Rate of Return Guidelines</w:t>
      </w:r>
      <w:r>
        <w:t xml:space="preserve"> are </w:t>
      </w:r>
      <w:r w:rsidRPr="008A4E7F">
        <w:rPr>
          <w:i/>
        </w:rPr>
        <w:t>published</w:t>
      </w:r>
      <w:r>
        <w:t xml:space="preserve"> under these </w:t>
      </w:r>
      <w:r w:rsidRPr="008A4E7F">
        <w:rPr>
          <w:i/>
        </w:rPr>
        <w:t>Rules</w:t>
      </w:r>
      <w:r>
        <w:t>; and</w:t>
      </w: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D6536A" w:rsidP="00D6536A">
      <w:pPr>
        <w:autoSpaceDE w:val="0"/>
        <w:autoSpaceDN w:val="0"/>
        <w:adjustRightInd w:val="0"/>
      </w:pPr>
      <w:r>
        <w:t xml:space="preserve">Clause </w:t>
      </w:r>
      <w:proofErr w:type="gramStart"/>
      <w:r>
        <w:t>6A.6.2(</w:t>
      </w:r>
      <w:proofErr w:type="gramEnd"/>
      <w:r>
        <w:t>p)(1)</w:t>
      </w:r>
      <w:r w:rsidRPr="00EC6C49">
        <w:t xml:space="preserve">) of the National Electricity Rules </w:t>
      </w:r>
      <w:r>
        <w:t>to be amended to read:</w:t>
      </w:r>
    </w:p>
    <w:p w:rsidR="00D6536A" w:rsidRDefault="00D6536A" w:rsidP="00D6536A">
      <w:pPr>
        <w:autoSpaceDE w:val="0"/>
        <w:autoSpaceDN w:val="0"/>
        <w:adjustRightInd w:val="0"/>
      </w:pPr>
    </w:p>
    <w:p w:rsidR="00D6536A" w:rsidRDefault="00D6536A" w:rsidP="00D6536A">
      <w:pPr>
        <w:numPr>
          <w:ilvl w:val="0"/>
          <w:numId w:val="45"/>
        </w:numPr>
        <w:autoSpaceDE w:val="0"/>
        <w:autoSpaceDN w:val="0"/>
        <w:adjustRightInd w:val="0"/>
      </w:pPr>
      <w:r>
        <w:t xml:space="preserve">at intervals not exceeding five years for the first interval and three years for all subsequent intervals, with the first interval starting from the date that the first </w:t>
      </w:r>
      <w:r w:rsidRPr="008A4E7F">
        <w:rPr>
          <w:i/>
        </w:rPr>
        <w:t>Rate of Return Guidelines</w:t>
      </w:r>
      <w:r>
        <w:t xml:space="preserve"> are </w:t>
      </w:r>
      <w:r w:rsidRPr="008A4E7F">
        <w:rPr>
          <w:i/>
        </w:rPr>
        <w:t>published</w:t>
      </w:r>
      <w:r>
        <w:t xml:space="preserve"> under these </w:t>
      </w:r>
      <w:r w:rsidRPr="008A4E7F">
        <w:rPr>
          <w:i/>
        </w:rPr>
        <w:t>Rules</w:t>
      </w:r>
      <w:r>
        <w:t>; and</w:t>
      </w: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D6536A" w:rsidP="00D6536A">
      <w:pPr>
        <w:autoSpaceDE w:val="0"/>
        <w:autoSpaceDN w:val="0"/>
        <w:adjustRightInd w:val="0"/>
      </w:pPr>
      <w:r>
        <w:t>Rule 87(16</w:t>
      </w:r>
      <w:proofErr w:type="gramStart"/>
      <w:r>
        <w:t>)(</w:t>
      </w:r>
      <w:proofErr w:type="gramEnd"/>
      <w:r>
        <w:t>a) of the</w:t>
      </w:r>
      <w:r w:rsidRPr="00EC6C49">
        <w:t xml:space="preserve"> National Gas Rules</w:t>
      </w:r>
      <w:r>
        <w:t xml:space="preserve"> to be amended to read:</w:t>
      </w:r>
    </w:p>
    <w:p w:rsidR="00D6536A" w:rsidRDefault="00D6536A" w:rsidP="00D6536A">
      <w:pPr>
        <w:autoSpaceDE w:val="0"/>
        <w:autoSpaceDN w:val="0"/>
        <w:adjustRightInd w:val="0"/>
      </w:pPr>
    </w:p>
    <w:p w:rsidR="00D6536A" w:rsidRDefault="00D6536A" w:rsidP="00D6536A">
      <w:pPr>
        <w:numPr>
          <w:ilvl w:val="0"/>
          <w:numId w:val="47"/>
        </w:numPr>
        <w:autoSpaceDE w:val="0"/>
        <w:autoSpaceDN w:val="0"/>
        <w:adjustRightInd w:val="0"/>
      </w:pPr>
      <w:r>
        <w:t xml:space="preserve">at intervals not exceeding five years for the first interval and three years for all subsequent intervals, with the first interval starting from the date that the first </w:t>
      </w:r>
      <w:r w:rsidRPr="008A4E7F">
        <w:rPr>
          <w:i/>
        </w:rPr>
        <w:t>rate of return guidelines</w:t>
      </w:r>
      <w:r>
        <w:t xml:space="preserve"> are published under these Rules; and</w:t>
      </w: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D6536A" w:rsidP="00D6536A">
      <w:pPr>
        <w:autoSpaceDE w:val="0"/>
        <w:autoSpaceDN w:val="0"/>
        <w:adjustRightInd w:val="0"/>
      </w:pPr>
    </w:p>
    <w:p w:rsidR="00D6536A" w:rsidRDefault="00C2111E" w:rsidP="00C2111E">
      <w:pPr>
        <w:pStyle w:val="AERunnumberedheading2"/>
      </w:pPr>
      <w:r>
        <w:t xml:space="preserve"> </w:t>
      </w:r>
    </w:p>
    <w:p w:rsidR="00FC1431" w:rsidRDefault="00FC1431" w:rsidP="00FC1431">
      <w:pPr>
        <w:autoSpaceDE w:val="0"/>
        <w:autoSpaceDN w:val="0"/>
        <w:adjustRightInd w:val="0"/>
        <w:sectPr w:rsidR="00FC1431" w:rsidSect="00393127">
          <w:footerReference w:type="default" r:id="rId11"/>
          <w:pgSz w:w="11906" w:h="16838" w:code="9"/>
          <w:pgMar w:top="1134" w:right="1418" w:bottom="1418" w:left="1418" w:header="709" w:footer="709" w:gutter="0"/>
          <w:pgNumType w:start="1"/>
          <w:cols w:space="708"/>
          <w:docGrid w:linePitch="360"/>
        </w:sectPr>
      </w:pPr>
    </w:p>
    <w:p w:rsidR="00FC1431" w:rsidRDefault="00FC1431" w:rsidP="00FC1431">
      <w:pPr>
        <w:autoSpaceDE w:val="0"/>
        <w:autoSpaceDN w:val="0"/>
        <w:adjustRightInd w:val="0"/>
      </w:pPr>
      <w:r>
        <w:lastRenderedPageBreak/>
        <w:t>APPENDIX A.2 – AER REGULATORY DETERMINATION CALENDAR</w:t>
      </w:r>
    </w:p>
    <w:p w:rsidR="00290DED" w:rsidRDefault="00290DED" w:rsidP="00EC0602">
      <w:pPr>
        <w:rPr>
          <w:b/>
        </w:rPr>
      </w:pPr>
    </w:p>
    <w:p w:rsidR="00290DED" w:rsidRDefault="00290DED" w:rsidP="00EC0602">
      <w:pPr>
        <w:rPr>
          <w:b/>
        </w:rPr>
      </w:pPr>
    </w:p>
    <w:tbl>
      <w:tblPr>
        <w:tblW w:w="16093" w:type="dxa"/>
        <w:tblInd w:w="108" w:type="dxa"/>
        <w:tblLayout w:type="fixed"/>
        <w:tblLook w:val="04A0" w:firstRow="1" w:lastRow="0" w:firstColumn="1" w:lastColumn="0" w:noHBand="0" w:noVBand="1"/>
      </w:tblPr>
      <w:tblGrid>
        <w:gridCol w:w="567"/>
        <w:gridCol w:w="778"/>
        <w:gridCol w:w="470"/>
        <w:gridCol w:w="474"/>
        <w:gridCol w:w="536"/>
        <w:gridCol w:w="470"/>
        <w:gridCol w:w="474"/>
        <w:gridCol w:w="537"/>
        <w:gridCol w:w="471"/>
        <w:gridCol w:w="475"/>
        <w:gridCol w:w="475"/>
        <w:gridCol w:w="404"/>
        <w:gridCol w:w="471"/>
        <w:gridCol w:w="475"/>
        <w:gridCol w:w="425"/>
        <w:gridCol w:w="426"/>
        <w:gridCol w:w="439"/>
        <w:gridCol w:w="471"/>
        <w:gridCol w:w="475"/>
        <w:gridCol w:w="537"/>
        <w:gridCol w:w="310"/>
        <w:gridCol w:w="345"/>
        <w:gridCol w:w="475"/>
        <w:gridCol w:w="297"/>
        <w:gridCol w:w="342"/>
        <w:gridCol w:w="297"/>
        <w:gridCol w:w="425"/>
        <w:gridCol w:w="401"/>
        <w:gridCol w:w="441"/>
        <w:gridCol w:w="471"/>
        <w:gridCol w:w="475"/>
        <w:gridCol w:w="537"/>
        <w:gridCol w:w="310"/>
        <w:gridCol w:w="345"/>
        <w:gridCol w:w="475"/>
        <w:gridCol w:w="297"/>
      </w:tblGrid>
      <w:tr w:rsidR="0064061F" w:rsidRPr="0064061F" w:rsidTr="0039163F">
        <w:trPr>
          <w:trHeight w:val="225"/>
        </w:trPr>
        <w:tc>
          <w:tcPr>
            <w:tcW w:w="567" w:type="dxa"/>
            <w:tcBorders>
              <w:top w:val="nil"/>
              <w:left w:val="nil"/>
              <w:bottom w:val="nil"/>
              <w:right w:val="nil"/>
            </w:tcBorders>
            <w:shd w:val="clear" w:color="auto" w:fill="auto"/>
            <w:noWrap/>
            <w:vAlign w:val="bottom"/>
            <w:hideMark/>
          </w:tcPr>
          <w:p w:rsidR="0064061F" w:rsidRPr="0064061F" w:rsidRDefault="0064061F" w:rsidP="0064061F">
            <w:pPr>
              <w:jc w:val="right"/>
              <w:rPr>
                <w:rFonts w:ascii="Calibri" w:hAnsi="Calibri"/>
                <w:b/>
                <w:bCs/>
                <w:color w:val="000000"/>
                <w:sz w:val="16"/>
                <w:szCs w:val="16"/>
              </w:rPr>
            </w:pPr>
          </w:p>
        </w:tc>
        <w:tc>
          <w:tcPr>
            <w:tcW w:w="778" w:type="dxa"/>
            <w:tcBorders>
              <w:top w:val="nil"/>
              <w:left w:val="nil"/>
              <w:bottom w:val="nil"/>
              <w:right w:val="nil"/>
            </w:tcBorders>
            <w:shd w:val="clear" w:color="auto" w:fill="auto"/>
            <w:noWrap/>
            <w:vAlign w:val="bottom"/>
            <w:hideMark/>
          </w:tcPr>
          <w:p w:rsidR="0064061F" w:rsidRPr="0064061F" w:rsidRDefault="0064061F" w:rsidP="0064061F">
            <w:pPr>
              <w:jc w:val="right"/>
              <w:rPr>
                <w:rFonts w:ascii="Calibri" w:hAnsi="Calibri"/>
                <w:b/>
                <w:bCs/>
                <w:color w:val="000000"/>
                <w:sz w:val="16"/>
                <w:szCs w:val="16"/>
              </w:rPr>
            </w:pPr>
          </w:p>
        </w:tc>
        <w:tc>
          <w:tcPr>
            <w:tcW w:w="1950" w:type="dxa"/>
            <w:gridSpan w:val="4"/>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6"/>
                <w:szCs w:val="16"/>
              </w:rPr>
            </w:pPr>
            <w:r w:rsidRPr="0064061F">
              <w:rPr>
                <w:rFonts w:ascii="Calibri" w:hAnsi="Calibri"/>
                <w:b/>
                <w:bCs/>
                <w:color w:val="000000"/>
                <w:sz w:val="16"/>
                <w:szCs w:val="16"/>
              </w:rPr>
              <w:t> </w:t>
            </w:r>
          </w:p>
        </w:tc>
        <w:tc>
          <w:tcPr>
            <w:tcW w:w="5543" w:type="dxa"/>
            <w:gridSpan w:val="12"/>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b/>
                <w:bCs/>
                <w:color w:val="000000"/>
                <w:sz w:val="16"/>
                <w:szCs w:val="16"/>
              </w:rPr>
            </w:pPr>
            <w:r w:rsidRPr="0064061F">
              <w:rPr>
                <w:rFonts w:ascii="Calibri" w:hAnsi="Calibri"/>
                <w:b/>
                <w:bCs/>
                <w:color w:val="000000"/>
                <w:sz w:val="16"/>
                <w:szCs w:val="16"/>
              </w:rPr>
              <w:t>2017</w:t>
            </w:r>
          </w:p>
        </w:tc>
        <w:tc>
          <w:tcPr>
            <w:tcW w:w="4816" w:type="dxa"/>
            <w:gridSpan w:val="12"/>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6"/>
                <w:szCs w:val="16"/>
              </w:rPr>
            </w:pPr>
            <w:r w:rsidRPr="0064061F">
              <w:rPr>
                <w:rFonts w:ascii="Calibri" w:hAnsi="Calibri"/>
                <w:b/>
                <w:bCs/>
                <w:color w:val="000000"/>
                <w:sz w:val="16"/>
                <w:szCs w:val="16"/>
              </w:rPr>
              <w:t>2018</w:t>
            </w:r>
          </w:p>
        </w:tc>
        <w:tc>
          <w:tcPr>
            <w:tcW w:w="2439" w:type="dxa"/>
            <w:gridSpan w:val="6"/>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b/>
                <w:bCs/>
                <w:color w:val="000000"/>
                <w:sz w:val="16"/>
                <w:szCs w:val="16"/>
              </w:rPr>
            </w:pPr>
            <w:r w:rsidRPr="0064061F">
              <w:rPr>
                <w:rFonts w:ascii="Calibri" w:hAnsi="Calibri"/>
                <w:b/>
                <w:bCs/>
                <w:color w:val="000000"/>
                <w:sz w:val="16"/>
                <w:szCs w:val="16"/>
              </w:rPr>
              <w:t>2019</w:t>
            </w:r>
          </w:p>
        </w:tc>
      </w:tr>
      <w:tr w:rsidR="00F141D5" w:rsidRPr="0064061F" w:rsidTr="0064061F">
        <w:trPr>
          <w:trHeight w:val="405"/>
        </w:trPr>
        <w:tc>
          <w:tcPr>
            <w:tcW w:w="1345" w:type="dxa"/>
            <w:gridSpan w:val="2"/>
            <w:vMerge w:val="restart"/>
            <w:tcBorders>
              <w:top w:val="nil"/>
              <w:left w:val="nil"/>
              <w:bottom w:val="single" w:sz="4" w:space="0" w:color="000000"/>
              <w:right w:val="nil"/>
            </w:tcBorders>
            <w:shd w:val="clear" w:color="auto" w:fill="auto"/>
            <w:noWrap/>
            <w:vAlign w:val="center"/>
            <w:hideMark/>
          </w:tcPr>
          <w:p w:rsidR="0064061F" w:rsidRPr="0064061F" w:rsidRDefault="0064061F" w:rsidP="0064061F">
            <w:pPr>
              <w:jc w:val="center"/>
              <w:rPr>
                <w:rFonts w:ascii="Calibri" w:hAnsi="Calibri"/>
                <w:b/>
                <w:bCs/>
                <w:color w:val="000000"/>
                <w:sz w:val="16"/>
                <w:szCs w:val="16"/>
              </w:rPr>
            </w:pPr>
          </w:p>
        </w:tc>
        <w:tc>
          <w:tcPr>
            <w:tcW w:w="470"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9</w:t>
            </w:r>
          </w:p>
        </w:tc>
        <w:tc>
          <w:tcPr>
            <w:tcW w:w="474"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10</w:t>
            </w:r>
          </w:p>
        </w:tc>
        <w:tc>
          <w:tcPr>
            <w:tcW w:w="536"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11</w:t>
            </w:r>
          </w:p>
        </w:tc>
        <w:tc>
          <w:tcPr>
            <w:tcW w:w="470"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12</w:t>
            </w:r>
          </w:p>
        </w:tc>
        <w:tc>
          <w:tcPr>
            <w:tcW w:w="474"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w:t>
            </w:r>
          </w:p>
        </w:tc>
        <w:tc>
          <w:tcPr>
            <w:tcW w:w="537"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2</w:t>
            </w:r>
          </w:p>
        </w:tc>
        <w:tc>
          <w:tcPr>
            <w:tcW w:w="471"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3</w:t>
            </w:r>
          </w:p>
        </w:tc>
        <w:tc>
          <w:tcPr>
            <w:tcW w:w="475"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4</w:t>
            </w:r>
          </w:p>
        </w:tc>
        <w:tc>
          <w:tcPr>
            <w:tcW w:w="475"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5</w:t>
            </w:r>
          </w:p>
        </w:tc>
        <w:tc>
          <w:tcPr>
            <w:tcW w:w="404"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6</w:t>
            </w:r>
          </w:p>
        </w:tc>
        <w:tc>
          <w:tcPr>
            <w:tcW w:w="471"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7</w:t>
            </w:r>
          </w:p>
        </w:tc>
        <w:tc>
          <w:tcPr>
            <w:tcW w:w="475"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8</w:t>
            </w:r>
          </w:p>
        </w:tc>
        <w:tc>
          <w:tcPr>
            <w:tcW w:w="425"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9</w:t>
            </w:r>
          </w:p>
        </w:tc>
        <w:tc>
          <w:tcPr>
            <w:tcW w:w="426"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10</w:t>
            </w:r>
          </w:p>
        </w:tc>
        <w:tc>
          <w:tcPr>
            <w:tcW w:w="439"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11</w:t>
            </w:r>
          </w:p>
        </w:tc>
        <w:tc>
          <w:tcPr>
            <w:tcW w:w="471" w:type="dxa"/>
            <w:tcBorders>
              <w:top w:val="single" w:sz="4" w:space="0" w:color="auto"/>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12</w:t>
            </w:r>
          </w:p>
        </w:tc>
        <w:tc>
          <w:tcPr>
            <w:tcW w:w="475"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w:t>
            </w:r>
          </w:p>
        </w:tc>
        <w:tc>
          <w:tcPr>
            <w:tcW w:w="537"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2</w:t>
            </w:r>
          </w:p>
        </w:tc>
        <w:tc>
          <w:tcPr>
            <w:tcW w:w="310"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3</w:t>
            </w:r>
          </w:p>
        </w:tc>
        <w:tc>
          <w:tcPr>
            <w:tcW w:w="345"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4</w:t>
            </w:r>
          </w:p>
        </w:tc>
        <w:tc>
          <w:tcPr>
            <w:tcW w:w="475"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5</w:t>
            </w:r>
          </w:p>
        </w:tc>
        <w:tc>
          <w:tcPr>
            <w:tcW w:w="297"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6</w:t>
            </w:r>
          </w:p>
        </w:tc>
        <w:tc>
          <w:tcPr>
            <w:tcW w:w="342"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7</w:t>
            </w:r>
          </w:p>
        </w:tc>
        <w:tc>
          <w:tcPr>
            <w:tcW w:w="297"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8</w:t>
            </w:r>
          </w:p>
        </w:tc>
        <w:tc>
          <w:tcPr>
            <w:tcW w:w="425"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9</w:t>
            </w:r>
          </w:p>
        </w:tc>
        <w:tc>
          <w:tcPr>
            <w:tcW w:w="401"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10</w:t>
            </w:r>
          </w:p>
        </w:tc>
        <w:tc>
          <w:tcPr>
            <w:tcW w:w="441"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11</w:t>
            </w:r>
          </w:p>
        </w:tc>
        <w:tc>
          <w:tcPr>
            <w:tcW w:w="471" w:type="dxa"/>
            <w:tcBorders>
              <w:top w:val="single" w:sz="4" w:space="0" w:color="auto"/>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12</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1</w:t>
            </w:r>
          </w:p>
        </w:tc>
        <w:tc>
          <w:tcPr>
            <w:tcW w:w="537"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2</w:t>
            </w:r>
          </w:p>
        </w:tc>
        <w:tc>
          <w:tcPr>
            <w:tcW w:w="310"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3</w:t>
            </w:r>
          </w:p>
        </w:tc>
        <w:tc>
          <w:tcPr>
            <w:tcW w:w="34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4</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5</w:t>
            </w:r>
          </w:p>
        </w:tc>
        <w:tc>
          <w:tcPr>
            <w:tcW w:w="297"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6</w:t>
            </w:r>
          </w:p>
        </w:tc>
      </w:tr>
      <w:tr w:rsidR="00F141D5" w:rsidRPr="0064061F" w:rsidTr="0064061F">
        <w:trPr>
          <w:trHeight w:val="285"/>
        </w:trPr>
        <w:tc>
          <w:tcPr>
            <w:tcW w:w="1345" w:type="dxa"/>
            <w:gridSpan w:val="2"/>
            <w:vMerge/>
            <w:tcBorders>
              <w:top w:val="nil"/>
              <w:left w:val="nil"/>
              <w:bottom w:val="single" w:sz="4" w:space="0" w:color="000000"/>
              <w:right w:val="nil"/>
            </w:tcBorders>
            <w:vAlign w:val="center"/>
            <w:hideMark/>
          </w:tcPr>
          <w:p w:rsidR="0064061F" w:rsidRPr="0064061F" w:rsidRDefault="0064061F" w:rsidP="0064061F">
            <w:pPr>
              <w:rPr>
                <w:rFonts w:ascii="Calibri" w:hAnsi="Calibri"/>
                <w:b/>
                <w:bCs/>
                <w:color w:val="000000"/>
                <w:sz w:val="16"/>
                <w:szCs w:val="16"/>
              </w:rPr>
            </w:pPr>
          </w:p>
        </w:tc>
        <w:tc>
          <w:tcPr>
            <w:tcW w:w="470"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4"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536"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0"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4"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537"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1"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04"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1"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25"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26"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39"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1"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537"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310"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345"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297"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342"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297"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25"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01"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41"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1" w:type="dxa"/>
            <w:tcBorders>
              <w:top w:val="nil"/>
              <w:left w:val="nil"/>
              <w:bottom w:val="single" w:sz="4" w:space="0" w:color="auto"/>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537"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310"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345"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297" w:type="dxa"/>
            <w:tcBorders>
              <w:top w:val="nil"/>
              <w:left w:val="nil"/>
              <w:bottom w:val="single" w:sz="4" w:space="0" w:color="auto"/>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r>
      <w:tr w:rsidR="00F141D5" w:rsidRPr="0064061F" w:rsidTr="0064061F">
        <w:trPr>
          <w:trHeight w:val="60"/>
        </w:trPr>
        <w:tc>
          <w:tcPr>
            <w:tcW w:w="567" w:type="dxa"/>
            <w:tcBorders>
              <w:top w:val="nil"/>
              <w:left w:val="nil"/>
              <w:bottom w:val="nil"/>
              <w:right w:val="nil"/>
            </w:tcBorders>
            <w:shd w:val="clear" w:color="auto" w:fill="auto"/>
            <w:noWrap/>
            <w:vAlign w:val="center"/>
            <w:hideMark/>
          </w:tcPr>
          <w:p w:rsidR="0064061F" w:rsidRPr="0064061F" w:rsidRDefault="0064061F" w:rsidP="0064061F">
            <w:pPr>
              <w:jc w:val="center"/>
              <w:rPr>
                <w:rFonts w:ascii="Calibri" w:hAnsi="Calibri"/>
                <w:b/>
                <w:bCs/>
                <w:color w:val="000000"/>
                <w:sz w:val="16"/>
                <w:szCs w:val="16"/>
              </w:rPr>
            </w:pPr>
          </w:p>
        </w:tc>
        <w:tc>
          <w:tcPr>
            <w:tcW w:w="778" w:type="dxa"/>
            <w:tcBorders>
              <w:top w:val="nil"/>
              <w:left w:val="nil"/>
              <w:bottom w:val="nil"/>
              <w:right w:val="nil"/>
            </w:tcBorders>
            <w:shd w:val="clear" w:color="auto" w:fill="auto"/>
            <w:noWrap/>
            <w:vAlign w:val="center"/>
            <w:hideMark/>
          </w:tcPr>
          <w:p w:rsidR="0064061F" w:rsidRPr="0064061F" w:rsidRDefault="0064061F" w:rsidP="0064061F">
            <w:pPr>
              <w:jc w:val="center"/>
              <w:rPr>
                <w:rFonts w:ascii="Calibri" w:hAnsi="Calibri"/>
                <w:b/>
                <w:bCs/>
                <w:color w:val="000000"/>
                <w:sz w:val="16"/>
                <w:szCs w:val="16"/>
              </w:rPr>
            </w:pP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4"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536"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6"/>
                <w:szCs w:val="16"/>
              </w:rPr>
            </w:pPr>
            <w:r w:rsidRPr="0064061F">
              <w:rPr>
                <w:rFonts w:ascii="Calibri" w:hAnsi="Calibri"/>
                <w:color w:val="000000"/>
                <w:sz w:val="16"/>
                <w:szCs w:val="16"/>
              </w:rPr>
              <w:t> </w:t>
            </w:r>
          </w:p>
        </w:tc>
        <w:tc>
          <w:tcPr>
            <w:tcW w:w="474"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71"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04"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71"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2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26"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39"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71"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6"/>
                <w:szCs w:val="16"/>
              </w:rPr>
            </w:pP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53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31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34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342"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42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40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44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47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6"/>
                <w:szCs w:val="16"/>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6"/>
                <w:szCs w:val="16"/>
              </w:rPr>
            </w:pPr>
          </w:p>
        </w:tc>
        <w:tc>
          <w:tcPr>
            <w:tcW w:w="310"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6"/>
                <w:szCs w:val="16"/>
              </w:rPr>
            </w:pPr>
          </w:p>
        </w:tc>
        <w:tc>
          <w:tcPr>
            <w:tcW w:w="34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6"/>
                <w:szCs w:val="16"/>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6"/>
                <w:szCs w:val="16"/>
              </w:rPr>
            </w:pPr>
          </w:p>
        </w:tc>
        <w:tc>
          <w:tcPr>
            <w:tcW w:w="29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6"/>
                <w:szCs w:val="16"/>
              </w:rPr>
            </w:pPr>
          </w:p>
        </w:tc>
      </w:tr>
      <w:tr w:rsidR="00F141D5" w:rsidRPr="0064061F" w:rsidTr="0064061F">
        <w:trPr>
          <w:trHeight w:val="199"/>
        </w:trPr>
        <w:tc>
          <w:tcPr>
            <w:tcW w:w="1345" w:type="dxa"/>
            <w:gridSpan w:val="2"/>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64061F" w:rsidRPr="0064061F" w:rsidRDefault="0064061F" w:rsidP="0072710D">
            <w:pPr>
              <w:rPr>
                <w:rFonts w:ascii="Calibri" w:hAnsi="Calibri"/>
                <w:color w:val="000000"/>
                <w:sz w:val="16"/>
                <w:szCs w:val="16"/>
              </w:rPr>
            </w:pPr>
            <w:r w:rsidRPr="0064061F">
              <w:rPr>
                <w:rFonts w:ascii="Calibri" w:hAnsi="Calibri"/>
                <w:color w:val="000000"/>
                <w:sz w:val="16"/>
                <w:szCs w:val="16"/>
              </w:rPr>
              <w:t>AusNet Services (</w:t>
            </w:r>
            <w:r>
              <w:rPr>
                <w:rFonts w:ascii="Calibri" w:hAnsi="Calibri"/>
                <w:color w:val="000000"/>
                <w:sz w:val="16"/>
                <w:szCs w:val="16"/>
              </w:rPr>
              <w:t>electricity transmission</w:t>
            </w:r>
            <w:r w:rsidRPr="0064061F">
              <w:rPr>
                <w:rFonts w:ascii="Calibri" w:hAnsi="Calibri"/>
                <w:color w:val="000000"/>
                <w:sz w:val="16"/>
                <w:szCs w:val="16"/>
              </w:rPr>
              <w:t>)</w:t>
            </w:r>
          </w:p>
        </w:tc>
        <w:tc>
          <w:tcPr>
            <w:tcW w:w="470"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4"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536"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0"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4"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537"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1"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4"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536"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0"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4"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537"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1"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RRP*</w:t>
            </w:r>
          </w:p>
        </w:tc>
        <w:tc>
          <w:tcPr>
            <w:tcW w:w="47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536"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CSUB*</w:t>
            </w:r>
          </w:p>
        </w:tc>
        <w:tc>
          <w:tcPr>
            <w:tcW w:w="47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FD</w:t>
            </w:r>
          </w:p>
        </w:tc>
        <w:tc>
          <w:tcPr>
            <w:tcW w:w="537"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1"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4"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536"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0"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4"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537"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1" w:type="dxa"/>
            <w:tcBorders>
              <w:top w:val="nil"/>
              <w:left w:val="nil"/>
              <w:bottom w:val="nil"/>
              <w:right w:val="nil"/>
            </w:tcBorders>
            <w:shd w:val="clear" w:color="000000" w:fill="BFBFBF"/>
            <w:noWrap/>
            <w:vAlign w:val="bottom"/>
            <w:hideMark/>
          </w:tcPr>
          <w:p w:rsidR="0064061F" w:rsidRPr="0064061F" w:rsidRDefault="0064061F" w:rsidP="0064061F">
            <w:pPr>
              <w:rPr>
                <w:rFonts w:ascii="Calibri" w:hAnsi="Calibri"/>
                <w:b/>
                <w:bCs/>
                <w:color w:val="F2F2F2"/>
                <w:sz w:val="12"/>
                <w:szCs w:val="12"/>
              </w:rPr>
            </w:pPr>
            <w:r w:rsidRPr="0064061F">
              <w:rPr>
                <w:rFonts w:ascii="Calibri" w:hAnsi="Calibri"/>
                <w:b/>
                <w:bCs/>
                <w:color w:val="F2F2F2"/>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60"/>
        </w:trPr>
        <w:tc>
          <w:tcPr>
            <w:tcW w:w="567"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778" w:type="dxa"/>
            <w:tcBorders>
              <w:top w:val="nil"/>
              <w:left w:val="nil"/>
              <w:bottom w:val="single" w:sz="4" w:space="0" w:color="auto"/>
              <w:right w:val="nil"/>
            </w:tcBorders>
            <w:shd w:val="clear" w:color="auto" w:fill="auto"/>
            <w:noWrap/>
            <w:vAlign w:val="center"/>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536"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10"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4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29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r>
      <w:tr w:rsidR="00F141D5" w:rsidRPr="0064061F" w:rsidTr="0064061F">
        <w:trPr>
          <w:trHeight w:val="199"/>
        </w:trPr>
        <w:tc>
          <w:tcPr>
            <w:tcW w:w="1345" w:type="dxa"/>
            <w:gridSpan w:val="2"/>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Powerlink, TasNetworks (distribution)</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DD*</w:t>
            </w:r>
          </w:p>
        </w:tc>
        <w:tc>
          <w:tcPr>
            <w:tcW w:w="47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PC*</w:t>
            </w:r>
          </w:p>
        </w:tc>
        <w:tc>
          <w:tcPr>
            <w:tcW w:w="536"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RRP*</w:t>
            </w:r>
          </w:p>
        </w:tc>
        <w:tc>
          <w:tcPr>
            <w:tcW w:w="47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53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CSUB*</w:t>
            </w:r>
          </w:p>
        </w:tc>
        <w:tc>
          <w:tcPr>
            <w:tcW w:w="47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FD</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60"/>
        </w:trPr>
        <w:tc>
          <w:tcPr>
            <w:tcW w:w="567"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778"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536"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10"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4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29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r>
      <w:tr w:rsidR="00F141D5" w:rsidRPr="0064061F" w:rsidTr="0064061F">
        <w:trPr>
          <w:trHeight w:val="199"/>
        </w:trPr>
        <w:tc>
          <w:tcPr>
            <w:tcW w:w="1345" w:type="dxa"/>
            <w:gridSpan w:val="2"/>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Roma to Brisbane gas pipeline</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RP*</w:t>
            </w:r>
          </w:p>
        </w:tc>
        <w:tc>
          <w:tcPr>
            <w:tcW w:w="47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536"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DD*</w:t>
            </w:r>
          </w:p>
        </w:tc>
        <w:tc>
          <w:tcPr>
            <w:tcW w:w="537" w:type="dxa"/>
            <w:tcBorders>
              <w:top w:val="nil"/>
              <w:left w:val="nil"/>
              <w:bottom w:val="nil"/>
              <w:right w:val="nil"/>
            </w:tcBorders>
            <w:shd w:val="clear" w:color="000000" w:fill="C0504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RRP*</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0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FD*</w:t>
            </w:r>
          </w:p>
        </w:tc>
        <w:tc>
          <w:tcPr>
            <w:tcW w:w="47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2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26"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center"/>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26"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60"/>
        </w:trPr>
        <w:tc>
          <w:tcPr>
            <w:tcW w:w="567"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778"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536"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10"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4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29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r>
      <w:tr w:rsidR="00F141D5" w:rsidRPr="0064061F" w:rsidTr="0064061F">
        <w:trPr>
          <w:trHeight w:val="199"/>
        </w:trPr>
        <w:tc>
          <w:tcPr>
            <w:tcW w:w="1345" w:type="dxa"/>
            <w:gridSpan w:val="2"/>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64061F" w:rsidRPr="0064061F" w:rsidRDefault="0064061F" w:rsidP="0072710D">
            <w:pPr>
              <w:rPr>
                <w:rFonts w:ascii="Calibri" w:hAnsi="Calibri"/>
                <w:color w:val="000000"/>
                <w:sz w:val="16"/>
                <w:szCs w:val="16"/>
              </w:rPr>
            </w:pPr>
            <w:r w:rsidRPr="0064061F">
              <w:rPr>
                <w:rFonts w:ascii="Calibri" w:hAnsi="Calibri"/>
                <w:color w:val="000000"/>
                <w:sz w:val="16"/>
                <w:szCs w:val="16"/>
              </w:rPr>
              <w:t xml:space="preserve">AGN (Albury), AGN (Vic), </w:t>
            </w:r>
            <w:r>
              <w:rPr>
                <w:rFonts w:ascii="Calibri" w:hAnsi="Calibri"/>
                <w:color w:val="000000"/>
                <w:sz w:val="16"/>
                <w:szCs w:val="16"/>
              </w:rPr>
              <w:t>AusNet Services</w:t>
            </w:r>
            <w:r w:rsidRPr="0064061F">
              <w:rPr>
                <w:rFonts w:ascii="Calibri" w:hAnsi="Calibri"/>
                <w:color w:val="000000"/>
                <w:sz w:val="16"/>
                <w:szCs w:val="16"/>
              </w:rPr>
              <w:t xml:space="preserve"> (</w:t>
            </w:r>
            <w:r>
              <w:rPr>
                <w:rFonts w:ascii="Calibri" w:hAnsi="Calibri"/>
                <w:color w:val="000000"/>
                <w:sz w:val="16"/>
                <w:szCs w:val="16"/>
              </w:rPr>
              <w:t>gas</w:t>
            </w:r>
            <w:r w:rsidRPr="0064061F">
              <w:rPr>
                <w:rFonts w:ascii="Calibri" w:hAnsi="Calibri"/>
                <w:color w:val="000000"/>
                <w:sz w:val="16"/>
                <w:szCs w:val="16"/>
              </w:rPr>
              <w:t xml:space="preserve">), </w:t>
            </w:r>
            <w:proofErr w:type="spellStart"/>
            <w:r w:rsidRPr="0064061F">
              <w:rPr>
                <w:rFonts w:ascii="Calibri" w:hAnsi="Calibri"/>
                <w:color w:val="000000"/>
                <w:sz w:val="16"/>
                <w:szCs w:val="16"/>
              </w:rPr>
              <w:t>Multinet</w:t>
            </w:r>
            <w:proofErr w:type="spellEnd"/>
            <w:r w:rsidRPr="0064061F">
              <w:rPr>
                <w:rFonts w:ascii="Calibri" w:hAnsi="Calibri"/>
                <w:color w:val="000000"/>
                <w:sz w:val="16"/>
                <w:szCs w:val="16"/>
              </w:rPr>
              <w:t xml:space="preserve">, </w:t>
            </w:r>
            <w:proofErr w:type="spellStart"/>
            <w:r w:rsidRPr="0064061F">
              <w:rPr>
                <w:rFonts w:ascii="Calibri" w:hAnsi="Calibri"/>
                <w:color w:val="000000"/>
                <w:sz w:val="16"/>
                <w:szCs w:val="16"/>
              </w:rPr>
              <w:t>GasNet</w:t>
            </w:r>
            <w:proofErr w:type="spellEnd"/>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sz w:val="12"/>
                <w:szCs w:val="12"/>
              </w:rPr>
            </w:pPr>
            <w:r w:rsidRPr="0064061F">
              <w:rPr>
                <w:rFonts w:ascii="Calibri" w:hAnsi="Calibri"/>
                <w:b/>
                <w:bCs/>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sz w:val="12"/>
                <w:szCs w:val="12"/>
              </w:rPr>
            </w:pPr>
            <w:r w:rsidRPr="0064061F">
              <w:rPr>
                <w:rFonts w:ascii="Calibri" w:hAnsi="Calibri"/>
                <w:b/>
                <w:bCs/>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sz w:val="12"/>
                <w:szCs w:val="12"/>
              </w:rPr>
            </w:pPr>
            <w:r w:rsidRPr="0064061F">
              <w:rPr>
                <w:rFonts w:ascii="Calibri" w:hAnsi="Calibri"/>
                <w:b/>
                <w:bCs/>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RP*</w:t>
            </w:r>
          </w:p>
        </w:tc>
        <w:tc>
          <w:tcPr>
            <w:tcW w:w="53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471" w:type="dxa"/>
            <w:tcBorders>
              <w:top w:val="nil"/>
              <w:left w:val="nil"/>
              <w:bottom w:val="nil"/>
              <w:right w:val="nil"/>
            </w:tcBorders>
            <w:shd w:val="clear" w:color="000000" w:fill="C0504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DD*</w:t>
            </w:r>
          </w:p>
        </w:tc>
        <w:tc>
          <w:tcPr>
            <w:tcW w:w="40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RRP*</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425" w:type="dxa"/>
            <w:tcBorders>
              <w:top w:val="nil"/>
              <w:left w:val="nil"/>
              <w:bottom w:val="nil"/>
              <w:right w:val="nil"/>
            </w:tcBorders>
            <w:shd w:val="clear" w:color="000000" w:fill="C0504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FD*</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60"/>
        </w:trPr>
        <w:tc>
          <w:tcPr>
            <w:tcW w:w="567" w:type="dxa"/>
            <w:tcBorders>
              <w:top w:val="nil"/>
              <w:left w:val="nil"/>
              <w:bottom w:val="nil"/>
              <w:right w:val="nil"/>
            </w:tcBorders>
            <w:shd w:val="clear" w:color="auto" w:fill="auto"/>
            <w:noWrap/>
            <w:vAlign w:val="center"/>
            <w:hideMark/>
          </w:tcPr>
          <w:p w:rsidR="0064061F" w:rsidRPr="0064061F" w:rsidRDefault="0064061F" w:rsidP="0064061F">
            <w:pPr>
              <w:jc w:val="right"/>
              <w:rPr>
                <w:rFonts w:ascii="Calibri" w:hAnsi="Calibri"/>
                <w:color w:val="000000"/>
                <w:sz w:val="16"/>
                <w:szCs w:val="16"/>
              </w:rPr>
            </w:pPr>
          </w:p>
        </w:tc>
        <w:tc>
          <w:tcPr>
            <w:tcW w:w="778" w:type="dxa"/>
            <w:tcBorders>
              <w:top w:val="nil"/>
              <w:left w:val="nil"/>
              <w:bottom w:val="nil"/>
              <w:right w:val="nil"/>
            </w:tcBorders>
            <w:shd w:val="clear" w:color="auto" w:fill="auto"/>
            <w:noWrap/>
            <w:vAlign w:val="center"/>
            <w:hideMark/>
          </w:tcPr>
          <w:p w:rsidR="0064061F" w:rsidRPr="0064061F" w:rsidRDefault="0064061F" w:rsidP="0064061F">
            <w:pPr>
              <w:jc w:val="center"/>
              <w:rPr>
                <w:rFonts w:ascii="Calibri" w:hAnsi="Calibri"/>
                <w:color w:val="000000"/>
                <w:sz w:val="16"/>
                <w:szCs w:val="16"/>
              </w:rPr>
            </w:pP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536"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71"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04"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71"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25"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26"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39"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71" w:type="dxa"/>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color w:val="000000"/>
                <w:sz w:val="12"/>
                <w:szCs w:val="12"/>
              </w:rPr>
            </w:pP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10"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4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29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r>
      <w:tr w:rsidR="00F141D5" w:rsidRPr="0064061F" w:rsidTr="0064061F">
        <w:trPr>
          <w:trHeight w:val="199"/>
        </w:trPr>
        <w:tc>
          <w:tcPr>
            <w:tcW w:w="1345" w:type="dxa"/>
            <w:gridSpan w:val="2"/>
            <w:vMerge w:val="restart"/>
            <w:tcBorders>
              <w:top w:val="single" w:sz="4" w:space="0" w:color="auto"/>
              <w:left w:val="single" w:sz="4" w:space="0" w:color="auto"/>
              <w:bottom w:val="single" w:sz="4" w:space="0" w:color="000000"/>
              <w:right w:val="nil"/>
            </w:tcBorders>
            <w:shd w:val="clear" w:color="000000" w:fill="D9D9D9"/>
            <w:vAlign w:val="center"/>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ElectraNet, Murraylink, TransGrid</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nil"/>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nil"/>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4"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RP</w:t>
            </w:r>
          </w:p>
        </w:tc>
        <w:tc>
          <w:tcPr>
            <w:tcW w:w="53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IP</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PF</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404"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2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DD*</w:t>
            </w:r>
          </w:p>
        </w:tc>
        <w:tc>
          <w:tcPr>
            <w:tcW w:w="426"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PC*</w:t>
            </w:r>
          </w:p>
        </w:tc>
        <w:tc>
          <w:tcPr>
            <w:tcW w:w="439"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RRP*</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53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CSUB*</w:t>
            </w:r>
          </w:p>
        </w:tc>
        <w:tc>
          <w:tcPr>
            <w:tcW w:w="31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34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FD</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nil"/>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b/>
                <w:bCs/>
                <w:color w:val="000000"/>
                <w:sz w:val="12"/>
                <w:szCs w:val="12"/>
              </w:rPr>
            </w:pPr>
            <w:r w:rsidRPr="0064061F">
              <w:rPr>
                <w:rFonts w:ascii="Calibri" w:hAnsi="Calibri"/>
                <w:b/>
                <w:bCs/>
                <w:color w:val="000000"/>
                <w:sz w:val="12"/>
                <w:szCs w:val="12"/>
              </w:rPr>
              <w:t> </w:t>
            </w:r>
          </w:p>
        </w:tc>
        <w:tc>
          <w:tcPr>
            <w:tcW w:w="342"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1F497D"/>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60"/>
        </w:trPr>
        <w:tc>
          <w:tcPr>
            <w:tcW w:w="567"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778"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536"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2"/>
                <w:szCs w:val="12"/>
              </w:rPr>
            </w:pPr>
            <w:r w:rsidRPr="0064061F">
              <w:rPr>
                <w:rFonts w:ascii="Calibri" w:hAnsi="Calibri"/>
                <w:b/>
                <w:bCs/>
                <w:color w:val="000000"/>
                <w:sz w:val="12"/>
                <w:szCs w:val="12"/>
              </w:rPr>
              <w:t> </w:t>
            </w:r>
          </w:p>
        </w:tc>
        <w:tc>
          <w:tcPr>
            <w:tcW w:w="47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10"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34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c>
          <w:tcPr>
            <w:tcW w:w="29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color w:val="000000"/>
                <w:sz w:val="12"/>
                <w:szCs w:val="12"/>
              </w:rPr>
            </w:pPr>
          </w:p>
        </w:tc>
      </w:tr>
      <w:tr w:rsidR="00F141D5" w:rsidRPr="0064061F" w:rsidTr="0064061F">
        <w:trPr>
          <w:trHeight w:val="199"/>
        </w:trPr>
        <w:tc>
          <w:tcPr>
            <w:tcW w:w="1345" w:type="dxa"/>
            <w:gridSpan w:val="2"/>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Ausgrid, Endeavour, Essential, ActewAGL, TasNetworks</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4"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N(T)</w:t>
            </w:r>
          </w:p>
        </w:tc>
        <w:tc>
          <w:tcPr>
            <w:tcW w:w="536"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N(A)</w:t>
            </w:r>
          </w:p>
        </w:tc>
        <w:tc>
          <w:tcPr>
            <w:tcW w:w="470"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N</w:t>
            </w:r>
          </w:p>
        </w:tc>
        <w:tc>
          <w:tcPr>
            <w:tcW w:w="474"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537"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PP*</w:t>
            </w:r>
          </w:p>
        </w:tc>
        <w:tc>
          <w:tcPr>
            <w:tcW w:w="471"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5"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5"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04"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1"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FA</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1010" w:type="dxa"/>
            <w:gridSpan w:val="2"/>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DA</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875" w:type="dxa"/>
            <w:gridSpan w:val="2"/>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FM</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5"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RP</w:t>
            </w:r>
          </w:p>
        </w:tc>
        <w:tc>
          <w:tcPr>
            <w:tcW w:w="53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31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IP</w:t>
            </w:r>
          </w:p>
        </w:tc>
        <w:tc>
          <w:tcPr>
            <w:tcW w:w="34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PF</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29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342"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29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2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DD*</w:t>
            </w:r>
          </w:p>
        </w:tc>
        <w:tc>
          <w:tcPr>
            <w:tcW w:w="40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PC*</w:t>
            </w:r>
          </w:p>
        </w:tc>
        <w:tc>
          <w:tcPr>
            <w:tcW w:w="44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1"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RRP*</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53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CSUB*</w:t>
            </w:r>
          </w:p>
        </w:tc>
        <w:tc>
          <w:tcPr>
            <w:tcW w:w="31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34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FD</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39163F" w:rsidRPr="0064061F" w:rsidTr="0064061F">
        <w:trPr>
          <w:trHeight w:val="60"/>
        </w:trPr>
        <w:tc>
          <w:tcPr>
            <w:tcW w:w="567" w:type="dxa"/>
            <w:tcBorders>
              <w:top w:val="nil"/>
              <w:left w:val="nil"/>
              <w:bottom w:val="nil"/>
              <w:right w:val="nil"/>
            </w:tcBorders>
            <w:shd w:val="clear" w:color="000000" w:fill="FFFFFF"/>
            <w:noWrap/>
            <w:vAlign w:val="center"/>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778" w:type="dxa"/>
            <w:tcBorders>
              <w:top w:val="nil"/>
              <w:left w:val="nil"/>
              <w:bottom w:val="nil"/>
              <w:right w:val="single" w:sz="4" w:space="0" w:color="auto"/>
            </w:tcBorders>
            <w:shd w:val="clear" w:color="000000" w:fill="FFFFFF"/>
            <w:vAlign w:val="center"/>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4"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6"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FFFFFF"/>
                <w:sz w:val="12"/>
                <w:szCs w:val="12"/>
              </w:rPr>
            </w:pPr>
            <w:r w:rsidRPr="0064061F">
              <w:rPr>
                <w:rFonts w:ascii="Calibri" w:hAnsi="Calibri"/>
                <w:b/>
                <w:bCs/>
                <w:color w:val="FFFFFF"/>
                <w:sz w:val="12"/>
                <w:szCs w:val="12"/>
              </w:rPr>
              <w:t> </w:t>
            </w:r>
          </w:p>
        </w:tc>
        <w:tc>
          <w:tcPr>
            <w:tcW w:w="47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4"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6"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FFFF00"/>
                <w:sz w:val="12"/>
                <w:szCs w:val="12"/>
              </w:rPr>
            </w:pPr>
            <w:r w:rsidRPr="0064061F">
              <w:rPr>
                <w:rFonts w:ascii="Calibri" w:hAnsi="Calibri"/>
                <w:color w:val="FFFF00"/>
                <w:sz w:val="12"/>
                <w:szCs w:val="12"/>
              </w:rPr>
              <w:t> </w:t>
            </w:r>
          </w:p>
        </w:tc>
        <w:tc>
          <w:tcPr>
            <w:tcW w:w="439"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2"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2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0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4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537"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10"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34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475"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c>
          <w:tcPr>
            <w:tcW w:w="297" w:type="dxa"/>
            <w:tcBorders>
              <w:top w:val="nil"/>
              <w:left w:val="nil"/>
              <w:bottom w:val="nil"/>
              <w:right w:val="nil"/>
            </w:tcBorders>
            <w:shd w:val="clear" w:color="000000" w:fill="FFFFFF"/>
            <w:noWrap/>
            <w:vAlign w:val="bottom"/>
            <w:hideMark/>
          </w:tcPr>
          <w:p w:rsidR="0064061F" w:rsidRPr="0064061F" w:rsidRDefault="0064061F" w:rsidP="0064061F">
            <w:pPr>
              <w:rPr>
                <w:rFonts w:ascii="Calibri" w:hAnsi="Calibri"/>
                <w:color w:val="000000"/>
                <w:sz w:val="12"/>
                <w:szCs w:val="12"/>
              </w:rPr>
            </w:pPr>
            <w:r w:rsidRPr="0064061F">
              <w:rPr>
                <w:rFonts w:ascii="Calibri" w:hAnsi="Calibri"/>
                <w:color w:val="000000"/>
                <w:sz w:val="12"/>
                <w:szCs w:val="12"/>
              </w:rPr>
              <w:t> </w:t>
            </w:r>
          </w:p>
        </w:tc>
      </w:tr>
      <w:tr w:rsidR="0039163F" w:rsidRPr="0064061F" w:rsidTr="0064061F">
        <w:trPr>
          <w:trHeight w:val="199"/>
        </w:trPr>
        <w:tc>
          <w:tcPr>
            <w:tcW w:w="1345" w:type="dxa"/>
            <w:gridSpan w:val="2"/>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rsidR="0064061F" w:rsidRPr="0064061F" w:rsidRDefault="0064061F" w:rsidP="0064061F">
            <w:pPr>
              <w:rPr>
                <w:rFonts w:ascii="Calibri" w:hAnsi="Calibri"/>
                <w:color w:val="000000"/>
                <w:sz w:val="16"/>
                <w:szCs w:val="16"/>
              </w:rPr>
            </w:pPr>
            <w:r w:rsidRPr="0064061F">
              <w:rPr>
                <w:rFonts w:ascii="Calibri" w:hAnsi="Calibri"/>
                <w:color w:val="000000"/>
                <w:sz w:val="16"/>
                <w:szCs w:val="16"/>
              </w:rPr>
              <w:t xml:space="preserve">Energex, Ergon, SAPN, </w:t>
            </w:r>
            <w:proofErr w:type="spellStart"/>
            <w:r w:rsidRPr="0064061F">
              <w:rPr>
                <w:rFonts w:ascii="Calibri" w:hAnsi="Calibri"/>
                <w:color w:val="000000"/>
                <w:sz w:val="16"/>
                <w:szCs w:val="16"/>
              </w:rPr>
              <w:t>Directlink</w:t>
            </w:r>
            <w:proofErr w:type="spellEnd"/>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42"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0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4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6"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N(T)</w:t>
            </w:r>
          </w:p>
        </w:tc>
        <w:tc>
          <w:tcPr>
            <w:tcW w:w="439"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N(A)</w:t>
            </w:r>
          </w:p>
        </w:tc>
        <w:tc>
          <w:tcPr>
            <w:tcW w:w="471"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N</w:t>
            </w:r>
          </w:p>
        </w:tc>
        <w:tc>
          <w:tcPr>
            <w:tcW w:w="475"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537"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PP*</w:t>
            </w:r>
          </w:p>
        </w:tc>
        <w:tc>
          <w:tcPr>
            <w:tcW w:w="310"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345"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475"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297"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342" w:type="dxa"/>
            <w:tcBorders>
              <w:top w:val="nil"/>
              <w:left w:val="nil"/>
              <w:bottom w:val="nil"/>
              <w:right w:val="nil"/>
            </w:tcBorders>
            <w:shd w:val="clear" w:color="000000" w:fill="F79646"/>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FA</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0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4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865" w:type="dxa"/>
            <w:gridSpan w:val="2"/>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DA</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639" w:type="dxa"/>
            <w:gridSpan w:val="2"/>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FM</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0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4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sz w:val="12"/>
                <w:szCs w:val="12"/>
              </w:rPr>
            </w:pPr>
            <w:r w:rsidRPr="0064061F">
              <w:rPr>
                <w:rFonts w:ascii="Calibri" w:hAnsi="Calibri"/>
                <w:sz w:val="12"/>
                <w:szCs w:val="12"/>
              </w:rPr>
              <w:t> </w:t>
            </w:r>
          </w:p>
        </w:tc>
        <w:tc>
          <w:tcPr>
            <w:tcW w:w="475" w:type="dxa"/>
            <w:tcBorders>
              <w:top w:val="nil"/>
              <w:left w:val="nil"/>
              <w:bottom w:val="nil"/>
              <w:right w:val="nil"/>
            </w:tcBorders>
            <w:shd w:val="clear" w:color="000000" w:fill="A6A6A6"/>
            <w:noWrap/>
            <w:vAlign w:val="center"/>
            <w:hideMark/>
          </w:tcPr>
          <w:p w:rsidR="0064061F" w:rsidRPr="0064061F" w:rsidRDefault="0064061F" w:rsidP="0064061F">
            <w:pPr>
              <w:rPr>
                <w:rFonts w:ascii="Calibri" w:hAnsi="Calibri"/>
                <w:b/>
                <w:bCs/>
                <w:sz w:val="12"/>
                <w:szCs w:val="12"/>
              </w:rPr>
            </w:pPr>
            <w:r w:rsidRPr="0064061F">
              <w:rPr>
                <w:rFonts w:ascii="Calibri" w:hAnsi="Calibri"/>
                <w:b/>
                <w:bCs/>
                <w:sz w:val="12"/>
                <w:szCs w:val="12"/>
              </w:rPr>
              <w:t>RP</w:t>
            </w:r>
          </w:p>
        </w:tc>
        <w:tc>
          <w:tcPr>
            <w:tcW w:w="53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c>
          <w:tcPr>
            <w:tcW w:w="310"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IP</w:t>
            </w:r>
          </w:p>
        </w:tc>
        <w:tc>
          <w:tcPr>
            <w:tcW w:w="34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PF</w:t>
            </w:r>
          </w:p>
        </w:tc>
        <w:tc>
          <w:tcPr>
            <w:tcW w:w="475"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SUB*</w:t>
            </w:r>
          </w:p>
        </w:tc>
        <w:tc>
          <w:tcPr>
            <w:tcW w:w="297" w:type="dxa"/>
            <w:tcBorders>
              <w:top w:val="nil"/>
              <w:left w:val="nil"/>
              <w:bottom w:val="nil"/>
              <w:right w:val="nil"/>
            </w:tcBorders>
            <w:shd w:val="clear" w:color="000000" w:fill="C0504D"/>
            <w:noWrap/>
            <w:vAlign w:val="center"/>
            <w:hideMark/>
          </w:tcPr>
          <w:p w:rsidR="0064061F" w:rsidRPr="0064061F" w:rsidRDefault="0064061F" w:rsidP="0064061F">
            <w:pPr>
              <w:jc w:val="center"/>
              <w:rPr>
                <w:rFonts w:ascii="Calibri" w:hAnsi="Calibri"/>
                <w:b/>
                <w:bCs/>
                <w:color w:val="FFFF00"/>
                <w:sz w:val="12"/>
                <w:szCs w:val="12"/>
              </w:rPr>
            </w:pPr>
            <w:r w:rsidRPr="0064061F">
              <w:rPr>
                <w:rFonts w:ascii="Calibri" w:hAnsi="Calibri"/>
                <w:b/>
                <w:bCs/>
                <w:color w:val="FFFF00"/>
                <w:sz w:val="12"/>
                <w:szCs w:val="12"/>
              </w:rPr>
              <w:t> </w:t>
            </w:r>
          </w:p>
        </w:tc>
      </w:tr>
      <w:tr w:rsidR="00F141D5" w:rsidRPr="0064061F" w:rsidTr="0064061F">
        <w:trPr>
          <w:trHeight w:val="199"/>
        </w:trPr>
        <w:tc>
          <w:tcPr>
            <w:tcW w:w="1345" w:type="dxa"/>
            <w:gridSpan w:val="2"/>
            <w:vMerge/>
            <w:tcBorders>
              <w:top w:val="single" w:sz="4" w:space="0" w:color="auto"/>
              <w:left w:val="single" w:sz="4" w:space="0" w:color="auto"/>
              <w:bottom w:val="single" w:sz="4" w:space="0" w:color="000000"/>
              <w:right w:val="single" w:sz="4" w:space="0" w:color="000000"/>
            </w:tcBorders>
            <w:vAlign w:val="center"/>
            <w:hideMark/>
          </w:tcPr>
          <w:p w:rsidR="0064061F" w:rsidRPr="0064061F" w:rsidRDefault="0064061F" w:rsidP="0064061F">
            <w:pPr>
              <w:rPr>
                <w:rFonts w:ascii="Calibri" w:hAnsi="Calibri"/>
                <w:color w:val="000000"/>
                <w:sz w:val="16"/>
                <w:szCs w:val="16"/>
              </w:rPr>
            </w:pP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04"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6"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39"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42"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2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0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4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1"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53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10"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34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475"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c>
          <w:tcPr>
            <w:tcW w:w="297" w:type="dxa"/>
            <w:tcBorders>
              <w:top w:val="nil"/>
              <w:left w:val="nil"/>
              <w:bottom w:val="nil"/>
              <w:right w:val="nil"/>
            </w:tcBorders>
            <w:shd w:val="clear" w:color="000000" w:fill="A6A6A6"/>
            <w:noWrap/>
            <w:vAlign w:val="bottom"/>
            <w:hideMark/>
          </w:tcPr>
          <w:p w:rsidR="0064061F" w:rsidRPr="0064061F" w:rsidRDefault="0064061F" w:rsidP="0064061F">
            <w:pPr>
              <w:rPr>
                <w:rFonts w:ascii="Calibri" w:hAnsi="Calibri"/>
                <w:color w:val="F2F2F2"/>
                <w:sz w:val="12"/>
                <w:szCs w:val="12"/>
              </w:rPr>
            </w:pPr>
            <w:r w:rsidRPr="0064061F">
              <w:rPr>
                <w:rFonts w:ascii="Calibri" w:hAnsi="Calibri"/>
                <w:color w:val="F2F2F2"/>
                <w:sz w:val="12"/>
                <w:szCs w:val="12"/>
              </w:rPr>
              <w:t> </w:t>
            </w:r>
          </w:p>
        </w:tc>
      </w:tr>
      <w:tr w:rsidR="00F141D5" w:rsidRPr="0064061F" w:rsidTr="0064061F">
        <w:trPr>
          <w:trHeight w:val="60"/>
        </w:trPr>
        <w:tc>
          <w:tcPr>
            <w:tcW w:w="567"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778" w:type="dxa"/>
            <w:tcBorders>
              <w:top w:val="nil"/>
              <w:left w:val="nil"/>
              <w:bottom w:val="nil"/>
              <w:right w:val="nil"/>
            </w:tcBorders>
            <w:shd w:val="clear" w:color="auto" w:fill="auto"/>
            <w:noWrap/>
            <w:vAlign w:val="center"/>
            <w:hideMark/>
          </w:tcPr>
          <w:p w:rsidR="0064061F" w:rsidRPr="0064061F" w:rsidRDefault="0064061F" w:rsidP="0064061F">
            <w:pPr>
              <w:rPr>
                <w:rFonts w:ascii="Calibri" w:hAnsi="Calibri"/>
                <w:color w:val="000000"/>
                <w:sz w:val="16"/>
                <w:szCs w:val="16"/>
              </w:rPr>
            </w:pPr>
          </w:p>
        </w:tc>
        <w:tc>
          <w:tcPr>
            <w:tcW w:w="1950" w:type="dxa"/>
            <w:gridSpan w:val="4"/>
            <w:tcBorders>
              <w:top w:val="nil"/>
              <w:left w:val="nil"/>
              <w:bottom w:val="nil"/>
              <w:right w:val="nil"/>
            </w:tcBorders>
            <w:shd w:val="clear" w:color="000000" w:fill="DCE6F1"/>
            <w:noWrap/>
            <w:vAlign w:val="bottom"/>
            <w:hideMark/>
          </w:tcPr>
          <w:p w:rsidR="0064061F" w:rsidRPr="0064061F" w:rsidRDefault="0064061F" w:rsidP="0064061F">
            <w:pPr>
              <w:jc w:val="center"/>
              <w:rPr>
                <w:rFonts w:ascii="Calibri" w:hAnsi="Calibri"/>
                <w:b/>
                <w:bCs/>
                <w:color w:val="000000"/>
                <w:sz w:val="16"/>
                <w:szCs w:val="16"/>
              </w:rPr>
            </w:pPr>
            <w:r w:rsidRPr="0064061F">
              <w:rPr>
                <w:rFonts w:ascii="Calibri" w:hAnsi="Calibri"/>
                <w:b/>
                <w:bCs/>
                <w:color w:val="000000"/>
                <w:sz w:val="16"/>
                <w:szCs w:val="16"/>
              </w:rPr>
              <w:t> </w:t>
            </w:r>
          </w:p>
        </w:tc>
        <w:tc>
          <w:tcPr>
            <w:tcW w:w="5543" w:type="dxa"/>
            <w:gridSpan w:val="12"/>
            <w:tcBorders>
              <w:top w:val="nil"/>
              <w:left w:val="nil"/>
              <w:bottom w:val="nil"/>
              <w:right w:val="nil"/>
            </w:tcBorders>
            <w:shd w:val="clear" w:color="auto" w:fill="auto"/>
            <w:noWrap/>
            <w:vAlign w:val="bottom"/>
            <w:hideMark/>
          </w:tcPr>
          <w:p w:rsidR="0064061F" w:rsidRPr="0064061F" w:rsidRDefault="0064061F" w:rsidP="0064061F">
            <w:pPr>
              <w:jc w:val="center"/>
              <w:rPr>
                <w:rFonts w:ascii="Calibri" w:hAnsi="Calibri"/>
                <w:b/>
                <w:bCs/>
                <w:color w:val="000000"/>
                <w:sz w:val="16"/>
                <w:szCs w:val="16"/>
              </w:rPr>
            </w:pP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53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310"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34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47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342"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297"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425"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40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44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471" w:type="dxa"/>
            <w:tcBorders>
              <w:top w:val="nil"/>
              <w:left w:val="nil"/>
              <w:bottom w:val="nil"/>
              <w:right w:val="nil"/>
            </w:tcBorders>
            <w:shd w:val="clear" w:color="000000" w:fill="DCE6F1"/>
            <w:noWrap/>
            <w:vAlign w:val="bottom"/>
            <w:hideMark/>
          </w:tcPr>
          <w:p w:rsidR="0064061F" w:rsidRPr="0064061F" w:rsidRDefault="0064061F" w:rsidP="0064061F">
            <w:pPr>
              <w:rPr>
                <w:rFonts w:ascii="Calibri" w:hAnsi="Calibri"/>
                <w:b/>
                <w:bCs/>
                <w:color w:val="000000"/>
                <w:sz w:val="16"/>
                <w:szCs w:val="16"/>
              </w:rPr>
            </w:pPr>
            <w:r w:rsidRPr="0064061F">
              <w:rPr>
                <w:rFonts w:ascii="Calibri" w:hAnsi="Calibri"/>
                <w:b/>
                <w:bCs/>
                <w:color w:val="000000"/>
                <w:sz w:val="16"/>
                <w:szCs w:val="16"/>
              </w:rPr>
              <w:t> </w:t>
            </w: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b/>
                <w:bCs/>
                <w:color w:val="000000"/>
                <w:sz w:val="16"/>
                <w:szCs w:val="16"/>
              </w:rPr>
            </w:pPr>
          </w:p>
        </w:tc>
        <w:tc>
          <w:tcPr>
            <w:tcW w:w="53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b/>
                <w:bCs/>
                <w:color w:val="000000"/>
                <w:sz w:val="16"/>
                <w:szCs w:val="16"/>
              </w:rPr>
            </w:pPr>
          </w:p>
        </w:tc>
        <w:tc>
          <w:tcPr>
            <w:tcW w:w="310"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b/>
                <w:bCs/>
                <w:color w:val="000000"/>
                <w:sz w:val="16"/>
                <w:szCs w:val="16"/>
              </w:rPr>
            </w:pPr>
          </w:p>
        </w:tc>
        <w:tc>
          <w:tcPr>
            <w:tcW w:w="34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b/>
                <w:bCs/>
                <w:color w:val="000000"/>
                <w:sz w:val="16"/>
                <w:szCs w:val="16"/>
              </w:rPr>
            </w:pPr>
          </w:p>
        </w:tc>
        <w:tc>
          <w:tcPr>
            <w:tcW w:w="475"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b/>
                <w:bCs/>
                <w:color w:val="000000"/>
                <w:sz w:val="16"/>
                <w:szCs w:val="16"/>
              </w:rPr>
            </w:pPr>
          </w:p>
        </w:tc>
        <w:tc>
          <w:tcPr>
            <w:tcW w:w="297" w:type="dxa"/>
            <w:tcBorders>
              <w:top w:val="nil"/>
              <w:left w:val="nil"/>
              <w:bottom w:val="nil"/>
              <w:right w:val="nil"/>
            </w:tcBorders>
            <w:shd w:val="clear" w:color="auto" w:fill="auto"/>
            <w:noWrap/>
            <w:vAlign w:val="bottom"/>
            <w:hideMark/>
          </w:tcPr>
          <w:p w:rsidR="0064061F" w:rsidRPr="0064061F" w:rsidRDefault="0064061F" w:rsidP="0064061F">
            <w:pPr>
              <w:rPr>
                <w:rFonts w:ascii="Calibri" w:hAnsi="Calibri"/>
                <w:b/>
                <w:bCs/>
                <w:color w:val="000000"/>
                <w:sz w:val="16"/>
                <w:szCs w:val="16"/>
              </w:rPr>
            </w:pPr>
          </w:p>
        </w:tc>
      </w:tr>
    </w:tbl>
    <w:p w:rsidR="00290DED" w:rsidRDefault="00290DED" w:rsidP="00EC0602">
      <w:pPr>
        <w:rPr>
          <w:b/>
        </w:rPr>
      </w:pPr>
    </w:p>
    <w:p w:rsidR="0064061F" w:rsidRDefault="0064061F">
      <w:r>
        <w:br w:type="page"/>
      </w:r>
    </w:p>
    <w:tbl>
      <w:tblPr>
        <w:tblW w:w="16302" w:type="dxa"/>
        <w:tblInd w:w="108" w:type="dxa"/>
        <w:tblLook w:val="04A0" w:firstRow="1" w:lastRow="0" w:firstColumn="1" w:lastColumn="0" w:noHBand="0" w:noVBand="1"/>
      </w:tblPr>
      <w:tblGrid>
        <w:gridCol w:w="456"/>
        <w:gridCol w:w="535"/>
        <w:gridCol w:w="15311"/>
      </w:tblGrid>
      <w:tr w:rsidR="00EC0602" w:rsidTr="00290DED">
        <w:trPr>
          <w:trHeight w:val="240"/>
        </w:trPr>
        <w:tc>
          <w:tcPr>
            <w:tcW w:w="16302" w:type="dxa"/>
            <w:gridSpan w:val="3"/>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 Indicative dates only</w:t>
            </w:r>
          </w:p>
        </w:tc>
      </w:tr>
      <w:tr w:rsidR="00EC0602" w:rsidTr="00290DED">
        <w:trPr>
          <w:trHeight w:val="240"/>
        </w:trPr>
        <w:tc>
          <w:tcPr>
            <w:tcW w:w="16302" w:type="dxa"/>
            <w:gridSpan w:val="3"/>
            <w:tcBorders>
              <w:top w:val="nil"/>
              <w:left w:val="nil"/>
              <w:bottom w:val="nil"/>
              <w:right w:val="nil"/>
            </w:tcBorders>
            <w:shd w:val="clear" w:color="000000" w:fill="FFFFFF"/>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 xml:space="preserve">Note: The Government of Western Australia (WA) has announced its intention to transfer the responsibility for regulating Western Power's electricity networks from the ERA to the AER as well as its intention to transfer regulatory functions for WA's four natural gas pipelines from the ERA to the AER.  The timeframes reflected in this calendar are indicative only and have not been endorsed by Ministers (at the Commonwealth or State level) or COAG.  </w:t>
            </w:r>
          </w:p>
        </w:tc>
      </w:tr>
      <w:tr w:rsidR="00EC0602" w:rsidTr="00290DED">
        <w:trPr>
          <w:trHeight w:val="240"/>
        </w:trPr>
        <w:tc>
          <w:tcPr>
            <w:tcW w:w="456"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r>
      <w:tr w:rsidR="00EC0602" w:rsidTr="00290DED">
        <w:trPr>
          <w:trHeight w:val="240"/>
        </w:trPr>
        <w:tc>
          <w:tcPr>
            <w:tcW w:w="456" w:type="dxa"/>
            <w:tcBorders>
              <w:top w:val="nil"/>
              <w:left w:val="nil"/>
              <w:bottom w:val="nil"/>
              <w:right w:val="nil"/>
            </w:tcBorders>
            <w:shd w:val="clear" w:color="000000" w:fill="A6A6A6"/>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 </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w:t>
            </w: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Current regulatory control/access arrangement period (remaining years)</w:t>
            </w:r>
          </w:p>
        </w:tc>
      </w:tr>
      <w:tr w:rsidR="00EC0602" w:rsidTr="00290DED">
        <w:trPr>
          <w:trHeight w:val="240"/>
        </w:trPr>
        <w:tc>
          <w:tcPr>
            <w:tcW w:w="456" w:type="dxa"/>
            <w:tcBorders>
              <w:top w:val="nil"/>
              <w:left w:val="nil"/>
              <w:bottom w:val="nil"/>
              <w:right w:val="nil"/>
            </w:tcBorders>
            <w:shd w:val="clear" w:color="000000" w:fill="1F497D"/>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 </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w:t>
            </w: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Upcoming regulatory control/access arrangement period</w:t>
            </w:r>
          </w:p>
        </w:tc>
      </w:tr>
      <w:tr w:rsidR="00EC0602" w:rsidTr="00290DED">
        <w:trPr>
          <w:trHeight w:val="240"/>
        </w:trPr>
        <w:tc>
          <w:tcPr>
            <w:tcW w:w="456" w:type="dxa"/>
            <w:tcBorders>
              <w:top w:val="nil"/>
              <w:left w:val="nil"/>
              <w:bottom w:val="nil"/>
              <w:right w:val="nil"/>
            </w:tcBorders>
            <w:shd w:val="clear" w:color="000000" w:fill="F79646"/>
            <w:noWrap/>
            <w:vAlign w:val="center"/>
            <w:hideMark/>
          </w:tcPr>
          <w:p w:rsidR="00EC0602" w:rsidRDefault="00EC0602" w:rsidP="00290DED">
            <w:pPr>
              <w:jc w:val="center"/>
              <w:rPr>
                <w:rFonts w:ascii="Calibri" w:hAnsi="Calibri"/>
                <w:b/>
                <w:bCs/>
                <w:color w:val="FFFF00"/>
                <w:sz w:val="18"/>
                <w:szCs w:val="18"/>
              </w:rPr>
            </w:pPr>
            <w:r>
              <w:rPr>
                <w:rFonts w:ascii="Calibri" w:hAnsi="Calibri"/>
                <w:b/>
                <w:bCs/>
                <w:color w:val="FFFF00"/>
                <w:sz w:val="18"/>
                <w:szCs w:val="18"/>
              </w:rPr>
              <w:t> </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w:t>
            </w: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Framework and approach process</w:t>
            </w:r>
          </w:p>
        </w:tc>
      </w:tr>
      <w:tr w:rsidR="00EC0602" w:rsidTr="00290DED">
        <w:trPr>
          <w:trHeight w:val="240"/>
        </w:trPr>
        <w:tc>
          <w:tcPr>
            <w:tcW w:w="456" w:type="dxa"/>
            <w:tcBorders>
              <w:top w:val="nil"/>
              <w:left w:val="nil"/>
              <w:bottom w:val="nil"/>
              <w:right w:val="nil"/>
            </w:tcBorders>
            <w:shd w:val="clear" w:color="000000" w:fill="C0504D"/>
            <w:noWrap/>
            <w:vAlign w:val="center"/>
            <w:hideMark/>
          </w:tcPr>
          <w:p w:rsidR="00EC0602" w:rsidRDefault="00EC0602" w:rsidP="00290DED">
            <w:pPr>
              <w:jc w:val="center"/>
              <w:rPr>
                <w:rFonts w:ascii="Calibri" w:hAnsi="Calibri"/>
                <w:b/>
                <w:bCs/>
                <w:color w:val="FFFF00"/>
                <w:sz w:val="18"/>
                <w:szCs w:val="18"/>
              </w:rPr>
            </w:pPr>
            <w:r>
              <w:rPr>
                <w:rFonts w:ascii="Calibri" w:hAnsi="Calibri"/>
                <w:b/>
                <w:bCs/>
                <w:color w:val="FFFF00"/>
                <w:sz w:val="18"/>
                <w:szCs w:val="18"/>
              </w:rPr>
              <w:t> </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w:t>
            </w: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Regulatory determination process</w:t>
            </w:r>
          </w:p>
        </w:tc>
      </w:tr>
      <w:tr w:rsidR="00EC0602" w:rsidTr="00290DED">
        <w:trPr>
          <w:trHeight w:val="240"/>
        </w:trPr>
        <w:tc>
          <w:tcPr>
            <w:tcW w:w="456"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r>
      <w:tr w:rsidR="00EC0602" w:rsidTr="00290DED">
        <w:trPr>
          <w:trHeight w:val="240"/>
        </w:trPr>
        <w:tc>
          <w:tcPr>
            <w:tcW w:w="16302" w:type="dxa"/>
            <w:gridSpan w:val="3"/>
            <w:tcBorders>
              <w:top w:val="nil"/>
              <w:left w:val="nil"/>
              <w:bottom w:val="nil"/>
              <w:right w:val="nil"/>
            </w:tcBorders>
            <w:shd w:val="clear" w:color="auto" w:fill="auto"/>
            <w:noWrap/>
            <w:vAlign w:val="bottom"/>
            <w:hideMark/>
          </w:tcPr>
          <w:p w:rsidR="00EC0602" w:rsidRDefault="00EC0602" w:rsidP="00290DED">
            <w:pPr>
              <w:rPr>
                <w:rFonts w:ascii="Calibri" w:hAnsi="Calibri"/>
                <w:b/>
                <w:bCs/>
                <w:color w:val="000000"/>
                <w:sz w:val="18"/>
                <w:szCs w:val="18"/>
              </w:rPr>
            </w:pPr>
            <w:r>
              <w:rPr>
                <w:rFonts w:ascii="Calibri" w:hAnsi="Calibri"/>
                <w:b/>
                <w:bCs/>
                <w:color w:val="000000"/>
                <w:sz w:val="18"/>
                <w:szCs w:val="18"/>
              </w:rPr>
              <w:t xml:space="preserve">Framework and approach </w:t>
            </w:r>
          </w:p>
        </w:tc>
      </w:tr>
      <w:tr w:rsidR="00EC0602" w:rsidTr="00290DED">
        <w:trPr>
          <w:trHeight w:val="240"/>
        </w:trPr>
        <w:tc>
          <w:tcPr>
            <w:tcW w:w="991" w:type="dxa"/>
            <w:gridSpan w:val="2"/>
            <w:tcBorders>
              <w:top w:val="nil"/>
              <w:left w:val="nil"/>
              <w:bottom w:val="nil"/>
              <w:right w:val="nil"/>
            </w:tcBorders>
            <w:shd w:val="clear" w:color="auto" w:fill="auto"/>
            <w:noWrap/>
            <w:vAlign w:val="bottom"/>
            <w:hideMark/>
          </w:tcPr>
          <w:p w:rsidR="00EC0602" w:rsidRDefault="00EC0602" w:rsidP="00290DED">
            <w:pPr>
              <w:rPr>
                <w:rFonts w:ascii="Calibri" w:hAnsi="Calibri"/>
                <w:b/>
                <w:bCs/>
                <w:color w:val="000000"/>
                <w:sz w:val="18"/>
                <w:szCs w:val="18"/>
              </w:rPr>
            </w:pPr>
            <w:r>
              <w:rPr>
                <w:rFonts w:ascii="Calibri" w:hAnsi="Calibri"/>
                <w:b/>
                <w:bCs/>
                <w:color w:val="000000"/>
                <w:sz w:val="18"/>
                <w:szCs w:val="18"/>
              </w:rPr>
              <w:t>N(T)</w:t>
            </w:r>
          </w:p>
        </w:tc>
        <w:tc>
          <w:tcPr>
            <w:tcW w:w="15311" w:type="dxa"/>
            <w:tcBorders>
              <w:top w:val="nil"/>
              <w:left w:val="nil"/>
              <w:bottom w:val="nil"/>
              <w:right w:val="nil"/>
            </w:tcBorders>
            <w:shd w:val="clear" w:color="auto" w:fill="auto"/>
            <w:noWrap/>
            <w:vAlign w:val="bottom"/>
            <w:hideMark/>
          </w:tcPr>
          <w:p w:rsidR="00EC0602" w:rsidRDefault="0039163F" w:rsidP="00290DED">
            <w:pPr>
              <w:rPr>
                <w:rFonts w:ascii="Calibri" w:hAnsi="Calibri"/>
                <w:color w:val="000000"/>
                <w:sz w:val="18"/>
                <w:szCs w:val="18"/>
              </w:rPr>
            </w:pPr>
            <w:r>
              <w:rPr>
                <w:rFonts w:ascii="Calibri" w:hAnsi="Calibri"/>
                <w:color w:val="000000"/>
                <w:sz w:val="18"/>
                <w:szCs w:val="18"/>
              </w:rPr>
              <w:t>Service provider</w:t>
            </w:r>
            <w:r w:rsidR="00EC0602">
              <w:rPr>
                <w:rFonts w:ascii="Calibri" w:hAnsi="Calibri"/>
                <w:color w:val="000000"/>
                <w:sz w:val="18"/>
                <w:szCs w:val="18"/>
              </w:rPr>
              <w:t xml:space="preserve"> notifies AER on need for framework &amp; approach stage</w:t>
            </w:r>
          </w:p>
        </w:tc>
      </w:tr>
      <w:tr w:rsidR="00EC0602" w:rsidTr="00290DED">
        <w:trPr>
          <w:trHeight w:val="240"/>
        </w:trPr>
        <w:tc>
          <w:tcPr>
            <w:tcW w:w="991" w:type="dxa"/>
            <w:gridSpan w:val="2"/>
            <w:tcBorders>
              <w:top w:val="nil"/>
              <w:left w:val="nil"/>
              <w:bottom w:val="nil"/>
              <w:right w:val="nil"/>
            </w:tcBorders>
            <w:shd w:val="clear" w:color="auto" w:fill="auto"/>
            <w:noWrap/>
            <w:vAlign w:val="bottom"/>
            <w:hideMark/>
          </w:tcPr>
          <w:p w:rsidR="00EC0602" w:rsidRDefault="00EC0602" w:rsidP="00290DED">
            <w:pPr>
              <w:rPr>
                <w:rFonts w:ascii="Calibri" w:hAnsi="Calibri"/>
                <w:b/>
                <w:bCs/>
                <w:color w:val="000000"/>
                <w:sz w:val="18"/>
                <w:szCs w:val="18"/>
              </w:rPr>
            </w:pPr>
            <w:r>
              <w:rPr>
                <w:rFonts w:ascii="Calibri" w:hAnsi="Calibri"/>
                <w:b/>
                <w:bCs/>
                <w:color w:val="000000"/>
                <w:sz w:val="18"/>
                <w:szCs w:val="18"/>
              </w:rPr>
              <w:t>N(A)</w:t>
            </w:r>
          </w:p>
        </w:tc>
        <w:tc>
          <w:tcPr>
            <w:tcW w:w="15311" w:type="dxa"/>
            <w:tcBorders>
              <w:top w:val="nil"/>
              <w:left w:val="nil"/>
              <w:bottom w:val="nil"/>
              <w:right w:val="nil"/>
            </w:tcBorders>
            <w:shd w:val="clear" w:color="auto" w:fill="auto"/>
            <w:noWrap/>
            <w:vAlign w:val="bottom"/>
            <w:hideMark/>
          </w:tcPr>
          <w:p w:rsidR="00EC0602" w:rsidRDefault="00EC0602" w:rsidP="0039163F">
            <w:pPr>
              <w:rPr>
                <w:rFonts w:ascii="Calibri" w:hAnsi="Calibri"/>
                <w:color w:val="000000"/>
                <w:sz w:val="18"/>
                <w:szCs w:val="18"/>
              </w:rPr>
            </w:pPr>
            <w:r>
              <w:rPr>
                <w:rFonts w:ascii="Calibri" w:hAnsi="Calibri"/>
                <w:color w:val="000000"/>
                <w:sz w:val="18"/>
                <w:szCs w:val="18"/>
              </w:rPr>
              <w:t xml:space="preserve">AER consults on need for framework &amp; approach for component not triggered by </w:t>
            </w:r>
            <w:r w:rsidR="0039163F">
              <w:rPr>
                <w:rFonts w:ascii="Calibri" w:hAnsi="Calibri"/>
                <w:color w:val="000000"/>
                <w:sz w:val="18"/>
                <w:szCs w:val="18"/>
              </w:rPr>
              <w:t>service provider</w:t>
            </w:r>
          </w:p>
        </w:tc>
      </w:tr>
      <w:tr w:rsidR="00EC0602" w:rsidTr="00290DED">
        <w:trPr>
          <w:trHeight w:val="240"/>
        </w:trPr>
        <w:tc>
          <w:tcPr>
            <w:tcW w:w="456" w:type="dxa"/>
            <w:tcBorders>
              <w:top w:val="nil"/>
              <w:left w:val="nil"/>
              <w:bottom w:val="nil"/>
              <w:right w:val="nil"/>
            </w:tcBorders>
            <w:shd w:val="clear" w:color="auto" w:fill="auto"/>
            <w:noWrap/>
            <w:vAlign w:val="bottom"/>
            <w:hideMark/>
          </w:tcPr>
          <w:p w:rsidR="00EC0602" w:rsidRDefault="00EC0602" w:rsidP="00290DED">
            <w:pPr>
              <w:rPr>
                <w:rFonts w:ascii="Calibri" w:hAnsi="Calibri"/>
                <w:b/>
                <w:bCs/>
                <w:color w:val="000000"/>
                <w:sz w:val="18"/>
                <w:szCs w:val="18"/>
              </w:rPr>
            </w:pPr>
            <w:r>
              <w:rPr>
                <w:rFonts w:ascii="Calibri" w:hAnsi="Calibri"/>
                <w:b/>
                <w:bCs/>
                <w:color w:val="000000"/>
                <w:sz w:val="18"/>
                <w:szCs w:val="18"/>
              </w:rPr>
              <w:t>N</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AER issues notice on need for framework &amp; approach stage</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PP</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Position paper on framework &amp; approach</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FA</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Final framework and approach paper released by the AER</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DA</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39163F" w:rsidP="00290DED">
            <w:pPr>
              <w:rPr>
                <w:rFonts w:ascii="Calibri" w:hAnsi="Calibri"/>
                <w:color w:val="000000"/>
                <w:sz w:val="18"/>
                <w:szCs w:val="18"/>
              </w:rPr>
            </w:pPr>
            <w:r>
              <w:rPr>
                <w:rFonts w:ascii="Calibri" w:hAnsi="Calibri"/>
                <w:color w:val="000000"/>
                <w:sz w:val="18"/>
                <w:szCs w:val="18"/>
              </w:rPr>
              <w:t>Distribution network service provider</w:t>
            </w:r>
            <w:r w:rsidR="00EC0602">
              <w:rPr>
                <w:rFonts w:ascii="Calibri" w:hAnsi="Calibri"/>
                <w:color w:val="000000"/>
                <w:sz w:val="18"/>
                <w:szCs w:val="18"/>
              </w:rPr>
              <w:t xml:space="preserve"> notifies AER on the value of dual function assets</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r>
      <w:tr w:rsidR="00EC0602" w:rsidTr="00290DED">
        <w:trPr>
          <w:trHeight w:val="240"/>
        </w:trPr>
        <w:tc>
          <w:tcPr>
            <w:tcW w:w="16302" w:type="dxa"/>
            <w:gridSpan w:val="3"/>
            <w:tcBorders>
              <w:top w:val="nil"/>
              <w:left w:val="nil"/>
              <w:bottom w:val="nil"/>
              <w:right w:val="nil"/>
            </w:tcBorders>
            <w:shd w:val="clear" w:color="auto" w:fill="auto"/>
            <w:noWrap/>
            <w:vAlign w:val="bottom"/>
            <w:hideMark/>
          </w:tcPr>
          <w:p w:rsidR="00EC0602" w:rsidRDefault="0039163F" w:rsidP="00290DED">
            <w:pPr>
              <w:rPr>
                <w:rFonts w:ascii="Calibri" w:hAnsi="Calibri"/>
                <w:b/>
                <w:bCs/>
                <w:color w:val="000000"/>
                <w:sz w:val="18"/>
                <w:szCs w:val="18"/>
              </w:rPr>
            </w:pPr>
            <w:r>
              <w:rPr>
                <w:rFonts w:ascii="Calibri" w:hAnsi="Calibri"/>
                <w:b/>
                <w:bCs/>
                <w:color w:val="000000"/>
                <w:sz w:val="18"/>
                <w:szCs w:val="18"/>
              </w:rPr>
              <w:t>Regulatory / revenue / access arrangement</w:t>
            </w:r>
            <w:r w:rsidR="00EC0602">
              <w:rPr>
                <w:rFonts w:ascii="Calibri" w:hAnsi="Calibri"/>
                <w:b/>
                <w:bCs/>
                <w:color w:val="000000"/>
                <w:sz w:val="18"/>
                <w:szCs w:val="18"/>
              </w:rPr>
              <w:t xml:space="preserve"> proposal</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FM</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39163F" w:rsidP="00290DED">
            <w:pPr>
              <w:rPr>
                <w:rFonts w:ascii="Calibri" w:hAnsi="Calibri"/>
                <w:color w:val="000000"/>
                <w:sz w:val="18"/>
                <w:szCs w:val="18"/>
              </w:rPr>
            </w:pPr>
            <w:r>
              <w:rPr>
                <w:rFonts w:ascii="Calibri" w:hAnsi="Calibri"/>
                <w:color w:val="000000"/>
                <w:sz w:val="18"/>
                <w:szCs w:val="18"/>
              </w:rPr>
              <w:t>Service</w:t>
            </w:r>
            <w:r w:rsidR="00EC0602">
              <w:rPr>
                <w:rFonts w:ascii="Calibri" w:hAnsi="Calibri"/>
                <w:color w:val="000000"/>
                <w:sz w:val="18"/>
                <w:szCs w:val="18"/>
              </w:rPr>
              <w:t xml:space="preserve"> notifies the AER of its proposed methodology for forecasting expenditures</w:t>
            </w:r>
          </w:p>
        </w:tc>
      </w:tr>
      <w:tr w:rsidR="00EC0602" w:rsidTr="00290DED">
        <w:trPr>
          <w:trHeight w:val="240"/>
        </w:trPr>
        <w:tc>
          <w:tcPr>
            <w:tcW w:w="456" w:type="dxa"/>
            <w:tcBorders>
              <w:top w:val="nil"/>
              <w:left w:val="nil"/>
              <w:bottom w:val="nil"/>
              <w:right w:val="nil"/>
            </w:tcBorders>
            <w:shd w:val="clear" w:color="auto" w:fill="auto"/>
            <w:noWrap/>
            <w:vAlign w:val="bottom"/>
            <w:hideMark/>
          </w:tcPr>
          <w:p w:rsidR="00EC0602" w:rsidRDefault="00EC0602" w:rsidP="00290DED">
            <w:pPr>
              <w:rPr>
                <w:rFonts w:ascii="Calibri" w:hAnsi="Calibri"/>
                <w:b/>
                <w:bCs/>
                <w:color w:val="000000"/>
                <w:sz w:val="18"/>
                <w:szCs w:val="18"/>
              </w:rPr>
            </w:pPr>
            <w:r>
              <w:rPr>
                <w:rFonts w:ascii="Calibri" w:hAnsi="Calibri"/>
                <w:b/>
                <w:bCs/>
                <w:color w:val="000000"/>
                <w:sz w:val="18"/>
                <w:szCs w:val="18"/>
              </w:rPr>
              <w:t>RP</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Regulatory proposal due end of month</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IP</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AER publish issues paper on regulatory proposal</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PF</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AER hold public forum on issues paper and regulatory proposal</w:t>
            </w:r>
          </w:p>
        </w:tc>
      </w:tr>
      <w:tr w:rsidR="00EC0602" w:rsidTr="00290DED">
        <w:trPr>
          <w:trHeight w:val="240"/>
        </w:trPr>
        <w:tc>
          <w:tcPr>
            <w:tcW w:w="991" w:type="dxa"/>
            <w:gridSpan w:val="2"/>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SUB</w:t>
            </w: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Submissions close on regulatory proposal &amp; issues paper</w:t>
            </w:r>
          </w:p>
        </w:tc>
      </w:tr>
      <w:tr w:rsidR="00EC0602" w:rsidTr="00290DED">
        <w:trPr>
          <w:trHeight w:val="240"/>
        </w:trPr>
        <w:tc>
          <w:tcPr>
            <w:tcW w:w="456"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r>
      <w:tr w:rsidR="00EC0602" w:rsidTr="00290DED">
        <w:trPr>
          <w:trHeight w:val="240"/>
        </w:trPr>
        <w:tc>
          <w:tcPr>
            <w:tcW w:w="16302" w:type="dxa"/>
            <w:gridSpan w:val="3"/>
            <w:tcBorders>
              <w:top w:val="nil"/>
              <w:left w:val="nil"/>
              <w:bottom w:val="nil"/>
              <w:right w:val="nil"/>
            </w:tcBorders>
            <w:shd w:val="clear" w:color="auto" w:fill="auto"/>
            <w:noWrap/>
            <w:vAlign w:val="bottom"/>
            <w:hideMark/>
          </w:tcPr>
          <w:p w:rsidR="00EC0602" w:rsidRDefault="00EC0602" w:rsidP="00290DED">
            <w:pPr>
              <w:rPr>
                <w:rFonts w:ascii="Calibri" w:hAnsi="Calibri"/>
                <w:b/>
                <w:bCs/>
                <w:color w:val="000000"/>
                <w:sz w:val="18"/>
                <w:szCs w:val="18"/>
              </w:rPr>
            </w:pPr>
            <w:r>
              <w:rPr>
                <w:rFonts w:ascii="Calibri" w:hAnsi="Calibri"/>
                <w:b/>
                <w:bCs/>
                <w:color w:val="000000"/>
                <w:sz w:val="18"/>
                <w:szCs w:val="18"/>
              </w:rPr>
              <w:t>Draft decision</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DD</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Draft determination released by the AER</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PC</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Predetermination conference on draft determination</w:t>
            </w:r>
          </w:p>
        </w:tc>
      </w:tr>
      <w:tr w:rsidR="00EC0602" w:rsidTr="00290DED">
        <w:trPr>
          <w:trHeight w:val="240"/>
        </w:trPr>
        <w:tc>
          <w:tcPr>
            <w:tcW w:w="456"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r>
      <w:tr w:rsidR="00EC0602" w:rsidTr="00290DED">
        <w:trPr>
          <w:trHeight w:val="240"/>
        </w:trPr>
        <w:tc>
          <w:tcPr>
            <w:tcW w:w="16302" w:type="dxa"/>
            <w:gridSpan w:val="3"/>
            <w:tcBorders>
              <w:top w:val="nil"/>
              <w:left w:val="nil"/>
              <w:bottom w:val="nil"/>
              <w:right w:val="nil"/>
            </w:tcBorders>
            <w:shd w:val="clear" w:color="auto" w:fill="auto"/>
            <w:noWrap/>
            <w:vAlign w:val="bottom"/>
            <w:hideMark/>
          </w:tcPr>
          <w:p w:rsidR="00EC0602" w:rsidRDefault="00EC0602" w:rsidP="00290DED">
            <w:pPr>
              <w:rPr>
                <w:rFonts w:ascii="Calibri" w:hAnsi="Calibri"/>
                <w:b/>
                <w:bCs/>
                <w:color w:val="000000"/>
                <w:sz w:val="18"/>
                <w:szCs w:val="18"/>
              </w:rPr>
            </w:pPr>
            <w:r>
              <w:rPr>
                <w:rFonts w:ascii="Calibri" w:hAnsi="Calibri"/>
                <w:b/>
                <w:bCs/>
                <w:color w:val="000000"/>
                <w:sz w:val="18"/>
                <w:szCs w:val="18"/>
              </w:rPr>
              <w:t>Final decision</w:t>
            </w:r>
          </w:p>
        </w:tc>
      </w:tr>
      <w:tr w:rsidR="00EC0602" w:rsidTr="00290DED">
        <w:trPr>
          <w:trHeight w:val="240"/>
        </w:trPr>
        <w:tc>
          <w:tcPr>
            <w:tcW w:w="991" w:type="dxa"/>
            <w:gridSpan w:val="2"/>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RRP</w:t>
            </w: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Revised regulatory proposal due</w:t>
            </w:r>
          </w:p>
        </w:tc>
      </w:tr>
      <w:tr w:rsidR="00EC0602" w:rsidTr="00290DED">
        <w:trPr>
          <w:trHeight w:val="240"/>
        </w:trPr>
        <w:tc>
          <w:tcPr>
            <w:tcW w:w="991" w:type="dxa"/>
            <w:gridSpan w:val="2"/>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SUB</w:t>
            </w: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Submission on draft determination and revised proposal close</w:t>
            </w:r>
          </w:p>
        </w:tc>
      </w:tr>
      <w:tr w:rsidR="00EC0602" w:rsidTr="00290DED">
        <w:trPr>
          <w:trHeight w:val="240"/>
        </w:trPr>
        <w:tc>
          <w:tcPr>
            <w:tcW w:w="991" w:type="dxa"/>
            <w:gridSpan w:val="2"/>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CSUB</w:t>
            </w: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Cross- submissions close</w:t>
            </w:r>
          </w:p>
        </w:tc>
      </w:tr>
      <w:tr w:rsidR="00EC0602" w:rsidTr="00290DED">
        <w:trPr>
          <w:trHeight w:val="240"/>
        </w:trPr>
        <w:tc>
          <w:tcPr>
            <w:tcW w:w="456" w:type="dxa"/>
            <w:tcBorders>
              <w:top w:val="nil"/>
              <w:left w:val="nil"/>
              <w:bottom w:val="nil"/>
              <w:right w:val="nil"/>
            </w:tcBorders>
            <w:shd w:val="clear" w:color="auto" w:fill="auto"/>
            <w:noWrap/>
            <w:vAlign w:val="center"/>
            <w:hideMark/>
          </w:tcPr>
          <w:p w:rsidR="00EC0602" w:rsidRDefault="00EC0602" w:rsidP="00290DED">
            <w:pPr>
              <w:rPr>
                <w:rFonts w:ascii="Calibri" w:hAnsi="Calibri"/>
                <w:b/>
                <w:bCs/>
                <w:sz w:val="18"/>
                <w:szCs w:val="18"/>
              </w:rPr>
            </w:pPr>
            <w:r>
              <w:rPr>
                <w:rFonts w:ascii="Calibri" w:hAnsi="Calibri"/>
                <w:b/>
                <w:bCs/>
                <w:sz w:val="18"/>
                <w:szCs w:val="18"/>
              </w:rPr>
              <w:t>FD</w:t>
            </w:r>
          </w:p>
        </w:tc>
        <w:tc>
          <w:tcPr>
            <w:tcW w:w="535"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p>
        </w:tc>
        <w:tc>
          <w:tcPr>
            <w:tcW w:w="15311" w:type="dxa"/>
            <w:tcBorders>
              <w:top w:val="nil"/>
              <w:left w:val="nil"/>
              <w:bottom w:val="nil"/>
              <w:right w:val="nil"/>
            </w:tcBorders>
            <w:shd w:val="clear" w:color="auto" w:fill="auto"/>
            <w:noWrap/>
            <w:vAlign w:val="bottom"/>
            <w:hideMark/>
          </w:tcPr>
          <w:p w:rsidR="00EC0602" w:rsidRDefault="00EC0602" w:rsidP="00290DED">
            <w:pPr>
              <w:rPr>
                <w:rFonts w:ascii="Calibri" w:hAnsi="Calibri"/>
                <w:color w:val="000000"/>
                <w:sz w:val="18"/>
                <w:szCs w:val="18"/>
              </w:rPr>
            </w:pPr>
            <w:r>
              <w:rPr>
                <w:rFonts w:ascii="Calibri" w:hAnsi="Calibri"/>
                <w:color w:val="000000"/>
                <w:sz w:val="18"/>
                <w:szCs w:val="18"/>
              </w:rPr>
              <w:t>Final determination released by the AER</w:t>
            </w:r>
          </w:p>
        </w:tc>
      </w:tr>
    </w:tbl>
    <w:p w:rsidR="00EC0602" w:rsidRDefault="00EC0602" w:rsidP="00EC0602">
      <w:pPr>
        <w:rPr>
          <w:b/>
        </w:rPr>
      </w:pPr>
    </w:p>
    <w:p w:rsidR="00425D93" w:rsidRPr="00D6536A" w:rsidRDefault="00425D93" w:rsidP="00D6536A"/>
    <w:sectPr w:rsidR="00425D93" w:rsidRPr="00D6536A" w:rsidSect="0039163F">
      <w:pgSz w:w="16838" w:h="11906" w:orient="landscape" w:code="9"/>
      <w:pgMar w:top="284" w:right="284" w:bottom="284" w:left="284"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6C71" w:rsidRDefault="007F6C71">
      <w:r>
        <w:separator/>
      </w:r>
    </w:p>
  </w:endnote>
  <w:endnote w:type="continuationSeparator" w:id="0">
    <w:p w:rsidR="007F6C71" w:rsidRDefault="007F6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Fax">
    <w:panose1 w:val="020606020505050202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6C71" w:rsidRPr="00606A63" w:rsidRDefault="007F6C71" w:rsidP="00606A63">
    <w:pPr>
      <w:pStyle w:val="Footer"/>
      <w:tabs>
        <w:tab w:val="clear" w:pos="4153"/>
        <w:tab w:val="clear" w:pos="8306"/>
        <w:tab w:val="right" w:pos="9000"/>
      </w:tabs>
    </w:pPr>
    <w:r>
      <w:rPr>
        <w:rStyle w:val="PageNumber"/>
      </w:rPr>
      <w:fldChar w:fldCharType="begin"/>
    </w:r>
    <w:r>
      <w:rPr>
        <w:rStyle w:val="PageNumber"/>
      </w:rPr>
      <w:instrText xml:space="preserve"> PAGE </w:instrText>
    </w:r>
    <w:r>
      <w:rPr>
        <w:rStyle w:val="PageNumber"/>
      </w:rPr>
      <w:fldChar w:fldCharType="separate"/>
    </w:r>
    <w:r w:rsidR="00534919">
      <w:rPr>
        <w:rStyle w:val="PageNumber"/>
        <w:noProof/>
      </w:rPr>
      <w:t>2</w:t>
    </w:r>
    <w:r>
      <w:rPr>
        <w:rStyle w:val="PageNumber"/>
      </w:rPr>
      <w:fldChar w:fldCharType="end"/>
    </w:r>
    <w:r>
      <w:rPr>
        <w:rStyle w:val="PageNumber"/>
      </w:rPr>
      <w:tab/>
    </w:r>
  </w:p>
  <w:p w:rsidR="007F6C71" w:rsidRDefault="007F6C71"/>
  <w:p w:rsidR="007F6C71" w:rsidRDefault="007F6C71"/>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6C71" w:rsidRDefault="007F6C71">
    <w:pPr>
      <w:pStyle w:val="Footer"/>
      <w:jc w:val="right"/>
    </w:pPr>
    <w:r>
      <w:fldChar w:fldCharType="begin"/>
    </w:r>
    <w:r>
      <w:instrText xml:space="preserve"> PAGE   \* MERGEFORMAT </w:instrText>
    </w:r>
    <w:r>
      <w:fldChar w:fldCharType="separate"/>
    </w:r>
    <w:r w:rsidR="00534919">
      <w:rPr>
        <w:noProof/>
      </w:rPr>
      <w:t>2</w:t>
    </w:r>
    <w:r>
      <w:rPr>
        <w:noProof/>
      </w:rPr>
      <w:fldChar w:fldCharType="end"/>
    </w:r>
  </w:p>
  <w:p w:rsidR="007F6C71" w:rsidRDefault="007F6C7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6C71" w:rsidRDefault="007F6C71">
      <w:r>
        <w:separator/>
      </w:r>
    </w:p>
  </w:footnote>
  <w:footnote w:type="continuationSeparator" w:id="0">
    <w:p w:rsidR="007F6C71" w:rsidRDefault="007F6C71">
      <w:r>
        <w:continuationSeparator/>
      </w:r>
    </w:p>
  </w:footnote>
  <w:footnote w:id="1">
    <w:p w:rsidR="007F6C71" w:rsidRDefault="007F6C71" w:rsidP="00D6536A">
      <w:pPr>
        <w:pStyle w:val="FootnoteText"/>
        <w:ind w:left="284" w:hanging="284"/>
      </w:pPr>
      <w:r>
        <w:rPr>
          <w:rStyle w:val="FootnoteReference"/>
        </w:rPr>
        <w:footnoteRef/>
      </w:r>
      <w:r>
        <w:t xml:space="preserve"> </w:t>
      </w:r>
      <w:r>
        <w:tab/>
        <w:t xml:space="preserve">The AER implemented the current Guideline in its recent NSW, ACT and SA determination decisions, which were appealed. Ausgrid, Endeavour Energy, Essential Energy (Networks NSW), ActewAGL and the Public Interest Advocacy centre (PIAC); Jemena Gas Networks (JGN); and South Australian Power Networks (SA Power Networks) appealed the AER’s decision on 17 July 2015, 30 July 2015 and 19 November 2015, respectively. The Tribunal handed down its decision on NNSW, ActewAGL, JGN and PIAC on 26 February 2016. The AER appealed the Tribunal’s decision on 24 March 2016. The AER’s and SA Power Networks’ appeals are underway.    </w:t>
      </w:r>
    </w:p>
  </w:footnote>
  <w:footnote w:id="2">
    <w:p w:rsidR="007F6C71" w:rsidRDefault="007F6C71" w:rsidP="00D6536A">
      <w:pPr>
        <w:pStyle w:val="FootnoteText"/>
        <w:ind w:left="284" w:hanging="284"/>
      </w:pPr>
      <w:r>
        <w:rPr>
          <w:rStyle w:val="FootnoteReference"/>
        </w:rPr>
        <w:footnoteRef/>
      </w:r>
      <w:r>
        <w:t xml:space="preserve"> </w:t>
      </w:r>
      <w:r>
        <w:tab/>
        <w:t>C</w:t>
      </w:r>
      <w:r w:rsidRPr="00EC6C49">
        <w:t>lauses 6.5.2(p</w:t>
      </w:r>
      <w:proofErr w:type="gramStart"/>
      <w:r w:rsidRPr="00EC6C49">
        <w:t>)(</w:t>
      </w:r>
      <w:proofErr w:type="gramEnd"/>
      <w:r w:rsidRPr="00EC6C49">
        <w:t>1) and 6A.6.2(p)(1)) (Rate of return guidelines) of the National Electricity Rules and  rule 87(16)(a) (Rate of return guidelines) of the  National Gas Rules</w:t>
      </w:r>
      <w:r>
        <w:t>.</w:t>
      </w:r>
    </w:p>
  </w:footnote>
  <w:footnote w:id="3">
    <w:p w:rsidR="007F6C71" w:rsidRDefault="007F6C71" w:rsidP="00D6536A">
      <w:pPr>
        <w:pStyle w:val="FootnoteText"/>
        <w:ind w:left="284" w:hanging="284"/>
      </w:pPr>
      <w:r>
        <w:rPr>
          <w:rStyle w:val="FootnoteReference"/>
        </w:rPr>
        <w:footnoteRef/>
      </w:r>
      <w:r>
        <w:t xml:space="preserve"> </w:t>
      </w:r>
      <w:r>
        <w:tab/>
        <w:t>Return on debt and the value of imputation credits (which is not part of the rate of return but with which the rate of return must be consistent).</w:t>
      </w:r>
    </w:p>
  </w:footnote>
  <w:footnote w:id="4">
    <w:p w:rsidR="007F6C71" w:rsidRDefault="007F6C71" w:rsidP="00D6536A">
      <w:pPr>
        <w:pStyle w:val="FootnoteText"/>
        <w:ind w:left="284" w:hanging="284"/>
      </w:pPr>
      <w:r>
        <w:rPr>
          <w:rStyle w:val="FootnoteReference"/>
        </w:rPr>
        <w:footnoteRef/>
      </w:r>
      <w:r>
        <w:t xml:space="preserve"> </w:t>
      </w:r>
      <w:r>
        <w:tab/>
      </w:r>
      <w:proofErr w:type="gramStart"/>
      <w:r w:rsidRPr="005A7455">
        <w:t>Section 88(1) of the NEL.</w:t>
      </w:r>
      <w:proofErr w:type="gramEnd"/>
      <w:r w:rsidRPr="005A7455">
        <w:t xml:space="preserve"> This also applies to the National Gas Objective (NGO), section 23 of the NGL.</w:t>
      </w:r>
      <w:r>
        <w:rPr>
          <w:sz w:val="18"/>
          <w:szCs w:val="18"/>
        </w:rPr>
        <w:t xml:space="preserve"> </w:t>
      </w:r>
      <w:r>
        <w:t xml:space="preserve"> </w:t>
      </w:r>
    </w:p>
  </w:footnote>
  <w:footnote w:id="5">
    <w:p w:rsidR="007F6C71" w:rsidRDefault="007F6C71" w:rsidP="0039163F">
      <w:pPr>
        <w:pStyle w:val="FootnoteText"/>
        <w:ind w:left="284" w:hanging="284"/>
      </w:pPr>
      <w:r>
        <w:rPr>
          <w:rStyle w:val="FootnoteReference"/>
        </w:rPr>
        <w:footnoteRef/>
      </w:r>
      <w:r>
        <w:t xml:space="preserve"> </w:t>
      </w:r>
      <w:r>
        <w:tab/>
        <w:t xml:space="preserve">Revenue proposals for electricity transmission network service providers, regulatory proposals for electricity distribution network service providers, and access arrangement proposals for gas pipeline operators. </w:t>
      </w:r>
    </w:p>
  </w:footnote>
  <w:footnote w:id="6">
    <w:p w:rsidR="007F6C71" w:rsidRDefault="007F6C71" w:rsidP="0039163F">
      <w:pPr>
        <w:pStyle w:val="FootnoteText"/>
        <w:ind w:left="284" w:hanging="284"/>
      </w:pPr>
      <w:r>
        <w:rPr>
          <w:rStyle w:val="FootnoteReference"/>
        </w:rPr>
        <w:footnoteRef/>
      </w:r>
      <w:r>
        <w:t xml:space="preserve"> </w:t>
      </w:r>
      <w:r>
        <w:tab/>
      </w:r>
      <w:proofErr w:type="spellStart"/>
      <w:r>
        <w:t>Cll</w:t>
      </w:r>
      <w:proofErr w:type="spellEnd"/>
      <w:r>
        <w:t xml:space="preserve">. </w:t>
      </w:r>
      <w:proofErr w:type="gramStart"/>
      <w:r>
        <w:t>S.6.1.3(</w:t>
      </w:r>
      <w:proofErr w:type="gramEnd"/>
      <w:r>
        <w:t>9) and S.6A.1.3(4A) of the NER, and r. 72(1)(g) of the NGR.</w:t>
      </w:r>
    </w:p>
  </w:footnote>
  <w:footnote w:id="7">
    <w:p w:rsidR="007F6C71" w:rsidRDefault="007F6C71" w:rsidP="0039163F">
      <w:pPr>
        <w:pStyle w:val="FootnoteText"/>
        <w:ind w:left="284" w:hanging="284"/>
      </w:pPr>
      <w:r>
        <w:rPr>
          <w:rStyle w:val="FootnoteReference"/>
        </w:rPr>
        <w:footnoteRef/>
      </w:r>
      <w:r>
        <w:t xml:space="preserve"> </w:t>
      </w:r>
      <w:r>
        <w:tab/>
      </w:r>
      <w:proofErr w:type="spellStart"/>
      <w:r>
        <w:t>Cll</w:t>
      </w:r>
      <w:proofErr w:type="spellEnd"/>
      <w:r>
        <w:t>. 6.5.2(e</w:t>
      </w:r>
      <w:proofErr w:type="gramStart"/>
      <w:r>
        <w:t>)(</w:t>
      </w:r>
      <w:proofErr w:type="gramEnd"/>
      <w:r>
        <w:t>1) and 6A.6.2(e)(1) of the NER, and r.</w:t>
      </w:r>
      <w:r w:rsidRPr="00930B32">
        <w:t xml:space="preserve"> 87(5)(a)</w:t>
      </w:r>
      <w:r>
        <w:t xml:space="preserve"> of </w:t>
      </w:r>
      <w:proofErr w:type="spellStart"/>
      <w:r>
        <w:t>theNGR</w:t>
      </w:r>
      <w:proofErr w:type="spellEnd"/>
      <w:r>
        <w:t>.</w:t>
      </w:r>
    </w:p>
  </w:footnote>
  <w:footnote w:id="8">
    <w:p w:rsidR="007F6C71" w:rsidRDefault="007F6C71" w:rsidP="0039163F">
      <w:pPr>
        <w:pStyle w:val="FootnoteText"/>
        <w:ind w:left="284" w:hanging="284"/>
      </w:pPr>
      <w:r>
        <w:rPr>
          <w:rStyle w:val="FootnoteReference"/>
        </w:rPr>
        <w:footnoteRef/>
      </w:r>
      <w:r>
        <w:t xml:space="preserve"> </w:t>
      </w:r>
      <w:r>
        <w:tab/>
      </w:r>
      <w:proofErr w:type="spellStart"/>
      <w:proofErr w:type="gramStart"/>
      <w:r>
        <w:t>Cll</w:t>
      </w:r>
      <w:proofErr w:type="spellEnd"/>
      <w:r>
        <w:t>. 6.2.8(c) and</w:t>
      </w:r>
      <w:r w:rsidRPr="00004D58">
        <w:t xml:space="preserve"> 6A.2.3(c) </w:t>
      </w:r>
      <w:r>
        <w:t>of the NER, and r.</w:t>
      </w:r>
      <w:r w:rsidRPr="00004D58">
        <w:t xml:space="preserve"> 87(18)</w:t>
      </w:r>
      <w:r>
        <w:t xml:space="preserve"> of the NGR.</w:t>
      </w:r>
      <w:proofErr w:type="gramEnd"/>
    </w:p>
  </w:footnote>
  <w:footnote w:id="9">
    <w:p w:rsidR="007F6C71" w:rsidRDefault="007F6C71" w:rsidP="0039163F">
      <w:pPr>
        <w:pStyle w:val="FootnoteText"/>
        <w:ind w:left="284" w:hanging="284"/>
      </w:pPr>
      <w:r>
        <w:rPr>
          <w:rStyle w:val="FootnoteReference"/>
        </w:rPr>
        <w:footnoteRef/>
      </w:r>
      <w:r>
        <w:t xml:space="preserve"> </w:t>
      </w:r>
      <w:r>
        <w:tab/>
        <w:t>Noting that in undertaking a Guideline review the AER must comply with the distribution and transmission consultation procedures set out in the Rules.</w:t>
      </w:r>
    </w:p>
  </w:footnote>
  <w:footnote w:id="10">
    <w:p w:rsidR="007F6C71" w:rsidRDefault="007F6C71" w:rsidP="0039163F">
      <w:pPr>
        <w:pStyle w:val="FootnoteText"/>
        <w:ind w:left="284" w:hanging="284"/>
      </w:pPr>
      <w:r>
        <w:rPr>
          <w:rStyle w:val="FootnoteReference"/>
        </w:rPr>
        <w:footnoteRef/>
      </w:r>
      <w:r>
        <w:t xml:space="preserve"> </w:t>
      </w:r>
      <w:r>
        <w:tab/>
        <w:t>The timing of the Guideline review will likely depend on the required scope of the review, which may not be fully known until the Tribunal and FCA processes are completed.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774D8"/>
    <w:multiLevelType w:val="hybridMultilevel"/>
    <w:tmpl w:val="AD1230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19B4DAB"/>
    <w:multiLevelType w:val="hybridMultilevel"/>
    <w:tmpl w:val="D5EA18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02A17A88"/>
    <w:multiLevelType w:val="hybridMultilevel"/>
    <w:tmpl w:val="17EADD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6650E12"/>
    <w:multiLevelType w:val="hybridMultilevel"/>
    <w:tmpl w:val="DCEC0B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77125FC"/>
    <w:multiLevelType w:val="hybridMultilevel"/>
    <w:tmpl w:val="E5127C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087B00D4"/>
    <w:multiLevelType w:val="hybridMultilevel"/>
    <w:tmpl w:val="F67201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08890DD8"/>
    <w:multiLevelType w:val="hybridMultilevel"/>
    <w:tmpl w:val="781EAD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0B086393"/>
    <w:multiLevelType w:val="hybridMultilevel"/>
    <w:tmpl w:val="19E4AF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0D3C6A1D"/>
    <w:multiLevelType w:val="hybridMultilevel"/>
    <w:tmpl w:val="6248F4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0D494CC3"/>
    <w:multiLevelType w:val="hybridMultilevel"/>
    <w:tmpl w:val="596AD4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DD2542B"/>
    <w:multiLevelType w:val="hybridMultilevel"/>
    <w:tmpl w:val="7C60E1FC"/>
    <w:lvl w:ilvl="0" w:tplc="021E8868">
      <w:start w:val="1"/>
      <w:numFmt w:val="decimal"/>
      <w:pStyle w:val="ListParagraph"/>
      <w:lvlText w:val="%1."/>
      <w:lvlJc w:val="left"/>
      <w:pPr>
        <w:ind w:left="340" w:hanging="34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0EB31677"/>
    <w:multiLevelType w:val="hybridMultilevel"/>
    <w:tmpl w:val="5D34181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14215E1A"/>
    <w:multiLevelType w:val="hybridMultilevel"/>
    <w:tmpl w:val="A9DE3986"/>
    <w:lvl w:ilvl="0" w:tplc="0C090017">
      <w:start w:val="1"/>
      <w:numFmt w:val="lowerLetter"/>
      <w:lvlText w:val="%1)"/>
      <w:lvlJc w:val="left"/>
      <w:pPr>
        <w:ind w:left="782" w:hanging="360"/>
      </w:pPr>
    </w:lvl>
    <w:lvl w:ilvl="1" w:tplc="0C090019" w:tentative="1">
      <w:start w:val="1"/>
      <w:numFmt w:val="lowerLetter"/>
      <w:lvlText w:val="%2."/>
      <w:lvlJc w:val="left"/>
      <w:pPr>
        <w:ind w:left="1502" w:hanging="360"/>
      </w:pPr>
    </w:lvl>
    <w:lvl w:ilvl="2" w:tplc="0C09001B" w:tentative="1">
      <w:start w:val="1"/>
      <w:numFmt w:val="lowerRoman"/>
      <w:lvlText w:val="%3."/>
      <w:lvlJc w:val="right"/>
      <w:pPr>
        <w:ind w:left="2222" w:hanging="180"/>
      </w:pPr>
    </w:lvl>
    <w:lvl w:ilvl="3" w:tplc="0C09000F" w:tentative="1">
      <w:start w:val="1"/>
      <w:numFmt w:val="decimal"/>
      <w:lvlText w:val="%4."/>
      <w:lvlJc w:val="left"/>
      <w:pPr>
        <w:ind w:left="2942" w:hanging="360"/>
      </w:pPr>
    </w:lvl>
    <w:lvl w:ilvl="4" w:tplc="0C090019" w:tentative="1">
      <w:start w:val="1"/>
      <w:numFmt w:val="lowerLetter"/>
      <w:lvlText w:val="%5."/>
      <w:lvlJc w:val="left"/>
      <w:pPr>
        <w:ind w:left="3662" w:hanging="360"/>
      </w:pPr>
    </w:lvl>
    <w:lvl w:ilvl="5" w:tplc="0C09001B" w:tentative="1">
      <w:start w:val="1"/>
      <w:numFmt w:val="lowerRoman"/>
      <w:lvlText w:val="%6."/>
      <w:lvlJc w:val="right"/>
      <w:pPr>
        <w:ind w:left="4382" w:hanging="180"/>
      </w:pPr>
    </w:lvl>
    <w:lvl w:ilvl="6" w:tplc="0C09000F" w:tentative="1">
      <w:start w:val="1"/>
      <w:numFmt w:val="decimal"/>
      <w:lvlText w:val="%7."/>
      <w:lvlJc w:val="left"/>
      <w:pPr>
        <w:ind w:left="5102" w:hanging="360"/>
      </w:pPr>
    </w:lvl>
    <w:lvl w:ilvl="7" w:tplc="0C090019" w:tentative="1">
      <w:start w:val="1"/>
      <w:numFmt w:val="lowerLetter"/>
      <w:lvlText w:val="%8."/>
      <w:lvlJc w:val="left"/>
      <w:pPr>
        <w:ind w:left="5822" w:hanging="360"/>
      </w:pPr>
    </w:lvl>
    <w:lvl w:ilvl="8" w:tplc="0C09001B" w:tentative="1">
      <w:start w:val="1"/>
      <w:numFmt w:val="lowerRoman"/>
      <w:lvlText w:val="%9."/>
      <w:lvlJc w:val="right"/>
      <w:pPr>
        <w:ind w:left="6542" w:hanging="180"/>
      </w:pPr>
    </w:lvl>
  </w:abstractNum>
  <w:abstractNum w:abstractNumId="13">
    <w:nsid w:val="17973352"/>
    <w:multiLevelType w:val="hybridMultilevel"/>
    <w:tmpl w:val="2C9A71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88F6580"/>
    <w:multiLevelType w:val="hybridMultilevel"/>
    <w:tmpl w:val="6C6A8D8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192E373A"/>
    <w:multiLevelType w:val="hybridMultilevel"/>
    <w:tmpl w:val="CC1623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1C756470"/>
    <w:multiLevelType w:val="hybridMultilevel"/>
    <w:tmpl w:val="729C5452"/>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nsid w:val="2909064A"/>
    <w:multiLevelType w:val="hybridMultilevel"/>
    <w:tmpl w:val="D29E926E"/>
    <w:lvl w:ilvl="0" w:tplc="038EAE6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D060509"/>
    <w:multiLevelType w:val="hybridMultilevel"/>
    <w:tmpl w:val="D302A8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01306EA"/>
    <w:multiLevelType w:val="hybridMultilevel"/>
    <w:tmpl w:val="F67A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22A4186"/>
    <w:multiLevelType w:val="hybridMultilevel"/>
    <w:tmpl w:val="C1A8E3F8"/>
    <w:lvl w:ilvl="0" w:tplc="76EA50F2">
      <w:start w:val="1"/>
      <w:numFmt w:val="decimal"/>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nsid w:val="36017046"/>
    <w:multiLevelType w:val="hybridMultilevel"/>
    <w:tmpl w:val="52C830EA"/>
    <w:lvl w:ilvl="0" w:tplc="59DE0990">
      <w:start w:val="2016"/>
      <w:numFmt w:val="bullet"/>
      <w:lvlText w:val="-"/>
      <w:lvlJc w:val="left"/>
      <w:pPr>
        <w:ind w:left="720" w:hanging="360"/>
      </w:pPr>
      <w:rPr>
        <w:rFonts w:ascii="Arial" w:eastAsia="Calibri"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85431AD"/>
    <w:multiLevelType w:val="hybridMultilevel"/>
    <w:tmpl w:val="58844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93F5692"/>
    <w:multiLevelType w:val="hybridMultilevel"/>
    <w:tmpl w:val="D0EA47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3BF56E67"/>
    <w:multiLevelType w:val="hybridMultilevel"/>
    <w:tmpl w:val="80E079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CEF6DE4"/>
    <w:multiLevelType w:val="hybridMultilevel"/>
    <w:tmpl w:val="8E4EF3A6"/>
    <w:lvl w:ilvl="0" w:tplc="BAC0E806">
      <w:start w:val="1"/>
      <w:numFmt w:val="bullet"/>
      <w:pStyle w:val="AERboxbullet"/>
      <w:lvlText w:val=""/>
      <w:lvlJc w:val="left"/>
      <w:pPr>
        <w:tabs>
          <w:tab w:val="num" w:pos="360"/>
        </w:tabs>
        <w:ind w:left="360" w:hanging="360"/>
      </w:pPr>
      <w:rPr>
        <w:rFonts w:ascii="Wingdings" w:hAnsi="Wingdings"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nsid w:val="3D5D6954"/>
    <w:multiLevelType w:val="hybridMultilevel"/>
    <w:tmpl w:val="0720B7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E5577A7"/>
    <w:multiLevelType w:val="hybridMultilevel"/>
    <w:tmpl w:val="F468D2C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nsid w:val="3F2824CC"/>
    <w:multiLevelType w:val="hybridMultilevel"/>
    <w:tmpl w:val="6FA208CC"/>
    <w:lvl w:ilvl="0" w:tplc="4424901E">
      <w:start w:val="1"/>
      <w:numFmt w:val="lowerLetter"/>
      <w:lvlText w:val="(%1)"/>
      <w:lvlJc w:val="left"/>
      <w:pPr>
        <w:ind w:left="420" w:hanging="360"/>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29">
    <w:nsid w:val="459414FD"/>
    <w:multiLevelType w:val="hybridMultilevel"/>
    <w:tmpl w:val="A998D1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nsid w:val="49A75025"/>
    <w:multiLevelType w:val="hybridMultilevel"/>
    <w:tmpl w:val="0A4E8F06"/>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4B5A7DBE"/>
    <w:multiLevelType w:val="hybridMultilevel"/>
    <w:tmpl w:val="9CB433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nsid w:val="4CB0361F"/>
    <w:multiLevelType w:val="hybridMultilevel"/>
    <w:tmpl w:val="DF208D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CB45CA6"/>
    <w:multiLevelType w:val="hybridMultilevel"/>
    <w:tmpl w:val="3558F1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4CEC470E"/>
    <w:multiLevelType w:val="hybridMultilevel"/>
    <w:tmpl w:val="7520D7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4DE049F4"/>
    <w:multiLevelType w:val="hybridMultilevel"/>
    <w:tmpl w:val="596A9988"/>
    <w:lvl w:ilvl="0" w:tplc="1A184A1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4F220247"/>
    <w:multiLevelType w:val="hybridMultilevel"/>
    <w:tmpl w:val="351034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4F4303B1"/>
    <w:multiLevelType w:val="hybridMultilevel"/>
    <w:tmpl w:val="A1607E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4FC614A1"/>
    <w:multiLevelType w:val="hybridMultilevel"/>
    <w:tmpl w:val="D29E926E"/>
    <w:lvl w:ilvl="0" w:tplc="038EAE6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534C5127"/>
    <w:multiLevelType w:val="hybridMultilevel"/>
    <w:tmpl w:val="11EAB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550F5CF5"/>
    <w:multiLevelType w:val="hybridMultilevel"/>
    <w:tmpl w:val="C4A8D968"/>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nsid w:val="57546F51"/>
    <w:multiLevelType w:val="hybridMultilevel"/>
    <w:tmpl w:val="92F661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597065B3"/>
    <w:multiLevelType w:val="hybridMultilevel"/>
    <w:tmpl w:val="68BEBC0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nsid w:val="606430F9"/>
    <w:multiLevelType w:val="hybridMultilevel"/>
    <w:tmpl w:val="E408C53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nsid w:val="63197E05"/>
    <w:multiLevelType w:val="hybridMultilevel"/>
    <w:tmpl w:val="C43E3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63CB35FE"/>
    <w:multiLevelType w:val="hybridMultilevel"/>
    <w:tmpl w:val="FA4834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6A4D6634"/>
    <w:multiLevelType w:val="hybridMultilevel"/>
    <w:tmpl w:val="13527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70E12FA4"/>
    <w:multiLevelType w:val="hybridMultilevel"/>
    <w:tmpl w:val="DEFE6C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nsid w:val="711D2A6C"/>
    <w:multiLevelType w:val="hybridMultilevel"/>
    <w:tmpl w:val="CBA644E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nsid w:val="7A9B66A4"/>
    <w:multiLevelType w:val="hybridMultilevel"/>
    <w:tmpl w:val="E452D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nsid w:val="7AEF67FF"/>
    <w:multiLevelType w:val="multilevel"/>
    <w:tmpl w:val="AACE20AA"/>
    <w:lvl w:ilvl="0">
      <w:start w:val="1"/>
      <w:numFmt w:val="bullet"/>
      <w:pStyle w:val="AERbulletlistfirststyle"/>
      <w:lvlText w:val=""/>
      <w:lvlJc w:val="left"/>
      <w:pPr>
        <w:tabs>
          <w:tab w:val="num" w:pos="357"/>
        </w:tabs>
        <w:ind w:left="357" w:hanging="357"/>
      </w:pPr>
      <w:rPr>
        <w:rFonts w:ascii="Wingdings" w:hAnsi="Wingdings" w:hint="default"/>
        <w:sz w:val="28"/>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1">
    <w:nsid w:val="7C0944FB"/>
    <w:multiLevelType w:val="hybridMultilevel"/>
    <w:tmpl w:val="3A1228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nsid w:val="7EFE1875"/>
    <w:multiLevelType w:val="hybridMultilevel"/>
    <w:tmpl w:val="6C1A89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5"/>
  </w:num>
  <w:num w:numId="2">
    <w:abstractNumId w:val="50"/>
  </w:num>
  <w:num w:numId="3">
    <w:abstractNumId w:val="26"/>
  </w:num>
  <w:num w:numId="4">
    <w:abstractNumId w:val="14"/>
  </w:num>
  <w:num w:numId="5">
    <w:abstractNumId w:val="32"/>
  </w:num>
  <w:num w:numId="6">
    <w:abstractNumId w:val="34"/>
  </w:num>
  <w:num w:numId="7">
    <w:abstractNumId w:val="10"/>
  </w:num>
  <w:num w:numId="8">
    <w:abstractNumId w:val="19"/>
  </w:num>
  <w:num w:numId="9">
    <w:abstractNumId w:val="30"/>
  </w:num>
  <w:num w:numId="10">
    <w:abstractNumId w:val="3"/>
  </w:num>
  <w:num w:numId="11">
    <w:abstractNumId w:val="37"/>
  </w:num>
  <w:num w:numId="12">
    <w:abstractNumId w:val="48"/>
  </w:num>
  <w:num w:numId="13">
    <w:abstractNumId w:val="5"/>
  </w:num>
  <w:num w:numId="14">
    <w:abstractNumId w:val="47"/>
  </w:num>
  <w:num w:numId="15">
    <w:abstractNumId w:val="45"/>
  </w:num>
  <w:num w:numId="16">
    <w:abstractNumId w:val="10"/>
  </w:num>
  <w:num w:numId="17">
    <w:abstractNumId w:val="46"/>
  </w:num>
  <w:num w:numId="18">
    <w:abstractNumId w:val="10"/>
  </w:num>
  <w:num w:numId="19">
    <w:abstractNumId w:val="52"/>
  </w:num>
  <w:num w:numId="20">
    <w:abstractNumId w:val="10"/>
  </w:num>
  <w:num w:numId="21">
    <w:abstractNumId w:val="33"/>
  </w:num>
  <w:num w:numId="22">
    <w:abstractNumId w:val="40"/>
  </w:num>
  <w:num w:numId="23">
    <w:abstractNumId w:val="21"/>
  </w:num>
  <w:num w:numId="24">
    <w:abstractNumId w:val="10"/>
  </w:num>
  <w:num w:numId="25">
    <w:abstractNumId w:val="2"/>
  </w:num>
  <w:num w:numId="26">
    <w:abstractNumId w:val="16"/>
  </w:num>
  <w:num w:numId="27">
    <w:abstractNumId w:val="13"/>
  </w:num>
  <w:num w:numId="28">
    <w:abstractNumId w:val="22"/>
  </w:num>
  <w:num w:numId="29">
    <w:abstractNumId w:val="39"/>
  </w:num>
  <w:num w:numId="30">
    <w:abstractNumId w:val="11"/>
  </w:num>
  <w:num w:numId="31">
    <w:abstractNumId w:val="7"/>
  </w:num>
  <w:num w:numId="32">
    <w:abstractNumId w:val="15"/>
  </w:num>
  <w:num w:numId="33">
    <w:abstractNumId w:val="49"/>
  </w:num>
  <w:num w:numId="34">
    <w:abstractNumId w:val="20"/>
  </w:num>
  <w:num w:numId="35">
    <w:abstractNumId w:val="31"/>
  </w:num>
  <w:num w:numId="36">
    <w:abstractNumId w:val="29"/>
  </w:num>
  <w:num w:numId="37">
    <w:abstractNumId w:val="24"/>
  </w:num>
  <w:num w:numId="38">
    <w:abstractNumId w:val="51"/>
  </w:num>
  <w:num w:numId="39">
    <w:abstractNumId w:val="12"/>
  </w:num>
  <w:num w:numId="40">
    <w:abstractNumId w:val="28"/>
  </w:num>
  <w:num w:numId="41">
    <w:abstractNumId w:val="27"/>
  </w:num>
  <w:num w:numId="42">
    <w:abstractNumId w:val="18"/>
  </w:num>
  <w:num w:numId="43">
    <w:abstractNumId w:val="0"/>
  </w:num>
  <w:num w:numId="44">
    <w:abstractNumId w:val="17"/>
  </w:num>
  <w:num w:numId="45">
    <w:abstractNumId w:val="38"/>
  </w:num>
  <w:num w:numId="46">
    <w:abstractNumId w:val="42"/>
  </w:num>
  <w:num w:numId="47">
    <w:abstractNumId w:val="35"/>
  </w:num>
  <w:num w:numId="48">
    <w:abstractNumId w:val="4"/>
  </w:num>
  <w:num w:numId="49">
    <w:abstractNumId w:val="36"/>
  </w:num>
  <w:num w:numId="50">
    <w:abstractNumId w:val="1"/>
  </w:num>
  <w:num w:numId="51">
    <w:abstractNumId w:val="43"/>
  </w:num>
  <w:num w:numId="52">
    <w:abstractNumId w:val="23"/>
  </w:num>
  <w:num w:numId="53">
    <w:abstractNumId w:val="41"/>
  </w:num>
  <w:num w:numId="54">
    <w:abstractNumId w:val="8"/>
  </w:num>
  <w:num w:numId="55">
    <w:abstractNumId w:val="6"/>
  </w:num>
  <w:num w:numId="56">
    <w:abstractNumId w:val="44"/>
  </w:num>
  <w:num w:numId="57">
    <w:abstractNumId w:val="9"/>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urrentname" w:val="H:\trimdata\TRIM\TEMP\HPTRIM.8760\D16 46617  Rate of return guideline review - Rule change proposal April 2016.DOCX"/>
  </w:docVars>
  <w:rsids>
    <w:rsidRoot w:val="001D40C7"/>
    <w:rsid w:val="0000028C"/>
    <w:rsid w:val="0000083D"/>
    <w:rsid w:val="000016BC"/>
    <w:rsid w:val="00001BD2"/>
    <w:rsid w:val="00001EED"/>
    <w:rsid w:val="00003EB5"/>
    <w:rsid w:val="00004D58"/>
    <w:rsid w:val="0001050D"/>
    <w:rsid w:val="00017F32"/>
    <w:rsid w:val="00020154"/>
    <w:rsid w:val="00023702"/>
    <w:rsid w:val="00027EF6"/>
    <w:rsid w:val="00031E05"/>
    <w:rsid w:val="00033C48"/>
    <w:rsid w:val="000443D4"/>
    <w:rsid w:val="000510D1"/>
    <w:rsid w:val="00051C9E"/>
    <w:rsid w:val="00062F89"/>
    <w:rsid w:val="0006306C"/>
    <w:rsid w:val="000676D3"/>
    <w:rsid w:val="00074424"/>
    <w:rsid w:val="00076ACF"/>
    <w:rsid w:val="00082346"/>
    <w:rsid w:val="00090B71"/>
    <w:rsid w:val="00093525"/>
    <w:rsid w:val="000A3E7A"/>
    <w:rsid w:val="000A4235"/>
    <w:rsid w:val="000A4FFE"/>
    <w:rsid w:val="000A66EB"/>
    <w:rsid w:val="000A7E64"/>
    <w:rsid w:val="000B24BB"/>
    <w:rsid w:val="000B2FB9"/>
    <w:rsid w:val="000C0F21"/>
    <w:rsid w:val="000C6CB9"/>
    <w:rsid w:val="000D0744"/>
    <w:rsid w:val="000D0A5F"/>
    <w:rsid w:val="000D57E1"/>
    <w:rsid w:val="000D5BC9"/>
    <w:rsid w:val="000E3FA8"/>
    <w:rsid w:val="000E72BD"/>
    <w:rsid w:val="000F0F63"/>
    <w:rsid w:val="000F12EB"/>
    <w:rsid w:val="000F4167"/>
    <w:rsid w:val="00100CC7"/>
    <w:rsid w:val="00103B81"/>
    <w:rsid w:val="00110512"/>
    <w:rsid w:val="001106C9"/>
    <w:rsid w:val="00111948"/>
    <w:rsid w:val="00121FE6"/>
    <w:rsid w:val="00125CC4"/>
    <w:rsid w:val="001278EF"/>
    <w:rsid w:val="001353E2"/>
    <w:rsid w:val="00141C01"/>
    <w:rsid w:val="00141C12"/>
    <w:rsid w:val="001440AC"/>
    <w:rsid w:val="00145035"/>
    <w:rsid w:val="0014661B"/>
    <w:rsid w:val="0015307B"/>
    <w:rsid w:val="00165557"/>
    <w:rsid w:val="00166FC2"/>
    <w:rsid w:val="00171F3C"/>
    <w:rsid w:val="0017493F"/>
    <w:rsid w:val="00174A26"/>
    <w:rsid w:val="001750D3"/>
    <w:rsid w:val="00177407"/>
    <w:rsid w:val="00177EE2"/>
    <w:rsid w:val="001832FD"/>
    <w:rsid w:val="00185DB1"/>
    <w:rsid w:val="0018663E"/>
    <w:rsid w:val="00192422"/>
    <w:rsid w:val="001A6AA6"/>
    <w:rsid w:val="001B1423"/>
    <w:rsid w:val="001C11FA"/>
    <w:rsid w:val="001C23E5"/>
    <w:rsid w:val="001C3C1D"/>
    <w:rsid w:val="001D40C7"/>
    <w:rsid w:val="001D6974"/>
    <w:rsid w:val="001D7339"/>
    <w:rsid w:val="001D7CC5"/>
    <w:rsid w:val="001E1AF9"/>
    <w:rsid w:val="001E2DB4"/>
    <w:rsid w:val="001E6D85"/>
    <w:rsid w:val="001E76DB"/>
    <w:rsid w:val="001E7BBC"/>
    <w:rsid w:val="001F70E0"/>
    <w:rsid w:val="0020055D"/>
    <w:rsid w:val="002007F0"/>
    <w:rsid w:val="00211BE4"/>
    <w:rsid w:val="00214C05"/>
    <w:rsid w:val="00226F40"/>
    <w:rsid w:val="00231401"/>
    <w:rsid w:val="0024398D"/>
    <w:rsid w:val="00244BA1"/>
    <w:rsid w:val="00254631"/>
    <w:rsid w:val="00254831"/>
    <w:rsid w:val="002565F5"/>
    <w:rsid w:val="00257DC3"/>
    <w:rsid w:val="00260325"/>
    <w:rsid w:val="00267367"/>
    <w:rsid w:val="00267BDB"/>
    <w:rsid w:val="00270C0B"/>
    <w:rsid w:val="00274DA8"/>
    <w:rsid w:val="00274EE2"/>
    <w:rsid w:val="002759C4"/>
    <w:rsid w:val="002806DF"/>
    <w:rsid w:val="0028623A"/>
    <w:rsid w:val="00290AFF"/>
    <w:rsid w:val="00290DED"/>
    <w:rsid w:val="002958F8"/>
    <w:rsid w:val="002962B3"/>
    <w:rsid w:val="002A101D"/>
    <w:rsid w:val="002B1A5C"/>
    <w:rsid w:val="002B62A5"/>
    <w:rsid w:val="002B62CB"/>
    <w:rsid w:val="002B67D2"/>
    <w:rsid w:val="002C4003"/>
    <w:rsid w:val="002F3971"/>
    <w:rsid w:val="002F5E01"/>
    <w:rsid w:val="002F7418"/>
    <w:rsid w:val="002F7996"/>
    <w:rsid w:val="00305809"/>
    <w:rsid w:val="0030604C"/>
    <w:rsid w:val="00311795"/>
    <w:rsid w:val="00316B7C"/>
    <w:rsid w:val="003248AD"/>
    <w:rsid w:val="00324FD9"/>
    <w:rsid w:val="00332638"/>
    <w:rsid w:val="00336BF4"/>
    <w:rsid w:val="00350960"/>
    <w:rsid w:val="0035398E"/>
    <w:rsid w:val="0036649D"/>
    <w:rsid w:val="00366B4E"/>
    <w:rsid w:val="00370060"/>
    <w:rsid w:val="00372D6F"/>
    <w:rsid w:val="003739ED"/>
    <w:rsid w:val="00386442"/>
    <w:rsid w:val="00390B5F"/>
    <w:rsid w:val="0039163F"/>
    <w:rsid w:val="00393127"/>
    <w:rsid w:val="003A45D3"/>
    <w:rsid w:val="003D7D1E"/>
    <w:rsid w:val="003E1E6E"/>
    <w:rsid w:val="003E56D6"/>
    <w:rsid w:val="003E718F"/>
    <w:rsid w:val="003F167E"/>
    <w:rsid w:val="003F43CA"/>
    <w:rsid w:val="0040109D"/>
    <w:rsid w:val="0040362C"/>
    <w:rsid w:val="0040384F"/>
    <w:rsid w:val="0041256B"/>
    <w:rsid w:val="00412775"/>
    <w:rsid w:val="00421442"/>
    <w:rsid w:val="0042551A"/>
    <w:rsid w:val="00425D93"/>
    <w:rsid w:val="00426CE6"/>
    <w:rsid w:val="00434371"/>
    <w:rsid w:val="00455912"/>
    <w:rsid w:val="004757DB"/>
    <w:rsid w:val="0047600D"/>
    <w:rsid w:val="00486817"/>
    <w:rsid w:val="00490BCF"/>
    <w:rsid w:val="00493F15"/>
    <w:rsid w:val="00497AC3"/>
    <w:rsid w:val="004A0BD6"/>
    <w:rsid w:val="004A72DC"/>
    <w:rsid w:val="004C113E"/>
    <w:rsid w:val="004C47F7"/>
    <w:rsid w:val="004C4C11"/>
    <w:rsid w:val="004D11D1"/>
    <w:rsid w:val="004D6958"/>
    <w:rsid w:val="004D77B8"/>
    <w:rsid w:val="004E03E8"/>
    <w:rsid w:val="004E17FD"/>
    <w:rsid w:val="004E2052"/>
    <w:rsid w:val="004E5A6A"/>
    <w:rsid w:val="004E747B"/>
    <w:rsid w:val="004F69D0"/>
    <w:rsid w:val="00502BC2"/>
    <w:rsid w:val="005051A9"/>
    <w:rsid w:val="0050594B"/>
    <w:rsid w:val="005061EE"/>
    <w:rsid w:val="00511612"/>
    <w:rsid w:val="00513EB3"/>
    <w:rsid w:val="005140DE"/>
    <w:rsid w:val="005170FB"/>
    <w:rsid w:val="00521E08"/>
    <w:rsid w:val="00521EF6"/>
    <w:rsid w:val="00525DBD"/>
    <w:rsid w:val="005261A9"/>
    <w:rsid w:val="00527167"/>
    <w:rsid w:val="00530861"/>
    <w:rsid w:val="00531D40"/>
    <w:rsid w:val="00532797"/>
    <w:rsid w:val="00532B6A"/>
    <w:rsid w:val="00534919"/>
    <w:rsid w:val="00534C9B"/>
    <w:rsid w:val="00535196"/>
    <w:rsid w:val="005440FD"/>
    <w:rsid w:val="00550BC7"/>
    <w:rsid w:val="00555807"/>
    <w:rsid w:val="00556061"/>
    <w:rsid w:val="005577BD"/>
    <w:rsid w:val="00557B67"/>
    <w:rsid w:val="00561AF1"/>
    <w:rsid w:val="00565AF9"/>
    <w:rsid w:val="00566019"/>
    <w:rsid w:val="00571EF8"/>
    <w:rsid w:val="00572807"/>
    <w:rsid w:val="0057413E"/>
    <w:rsid w:val="0057746E"/>
    <w:rsid w:val="005A2287"/>
    <w:rsid w:val="005A7455"/>
    <w:rsid w:val="005B2DBA"/>
    <w:rsid w:val="005B35DA"/>
    <w:rsid w:val="005B3890"/>
    <w:rsid w:val="005B395B"/>
    <w:rsid w:val="005B54FF"/>
    <w:rsid w:val="005C7615"/>
    <w:rsid w:val="005D1A3B"/>
    <w:rsid w:val="005D3118"/>
    <w:rsid w:val="005D326D"/>
    <w:rsid w:val="005D42CC"/>
    <w:rsid w:val="005D6C7D"/>
    <w:rsid w:val="005E0FC5"/>
    <w:rsid w:val="005E259D"/>
    <w:rsid w:val="005E453B"/>
    <w:rsid w:val="005F0A09"/>
    <w:rsid w:val="005F3989"/>
    <w:rsid w:val="005F39CE"/>
    <w:rsid w:val="006048BD"/>
    <w:rsid w:val="00606A63"/>
    <w:rsid w:val="00616105"/>
    <w:rsid w:val="00621A4F"/>
    <w:rsid w:val="00625849"/>
    <w:rsid w:val="00626203"/>
    <w:rsid w:val="006264AE"/>
    <w:rsid w:val="00640153"/>
    <w:rsid w:val="0064061F"/>
    <w:rsid w:val="006408E0"/>
    <w:rsid w:val="00645329"/>
    <w:rsid w:val="00646BFF"/>
    <w:rsid w:val="00651F08"/>
    <w:rsid w:val="00651FAF"/>
    <w:rsid w:val="00653DE9"/>
    <w:rsid w:val="0065724A"/>
    <w:rsid w:val="006645C8"/>
    <w:rsid w:val="006702E6"/>
    <w:rsid w:val="00672736"/>
    <w:rsid w:val="00680CF8"/>
    <w:rsid w:val="00681F28"/>
    <w:rsid w:val="00682289"/>
    <w:rsid w:val="006A4AB5"/>
    <w:rsid w:val="006B680A"/>
    <w:rsid w:val="006C21CA"/>
    <w:rsid w:val="006C34E2"/>
    <w:rsid w:val="006C469C"/>
    <w:rsid w:val="006C68CE"/>
    <w:rsid w:val="006D2B14"/>
    <w:rsid w:val="006D5420"/>
    <w:rsid w:val="006D6571"/>
    <w:rsid w:val="006E2964"/>
    <w:rsid w:val="00703797"/>
    <w:rsid w:val="007141E5"/>
    <w:rsid w:val="0071493C"/>
    <w:rsid w:val="007150F2"/>
    <w:rsid w:val="0071613D"/>
    <w:rsid w:val="00717BEB"/>
    <w:rsid w:val="0072008E"/>
    <w:rsid w:val="0072205F"/>
    <w:rsid w:val="00722CB3"/>
    <w:rsid w:val="00724AE3"/>
    <w:rsid w:val="0072710D"/>
    <w:rsid w:val="00742954"/>
    <w:rsid w:val="00750888"/>
    <w:rsid w:val="00751C36"/>
    <w:rsid w:val="00756A51"/>
    <w:rsid w:val="00762B83"/>
    <w:rsid w:val="0076333A"/>
    <w:rsid w:val="00764FAF"/>
    <w:rsid w:val="00781062"/>
    <w:rsid w:val="00783D66"/>
    <w:rsid w:val="00784B60"/>
    <w:rsid w:val="00784B8C"/>
    <w:rsid w:val="00793254"/>
    <w:rsid w:val="00795C2D"/>
    <w:rsid w:val="007A414E"/>
    <w:rsid w:val="007A6A98"/>
    <w:rsid w:val="007B3FD5"/>
    <w:rsid w:val="007D3F9A"/>
    <w:rsid w:val="007D4A3B"/>
    <w:rsid w:val="007D7F08"/>
    <w:rsid w:val="007E68FA"/>
    <w:rsid w:val="007F5027"/>
    <w:rsid w:val="007F6C71"/>
    <w:rsid w:val="00803758"/>
    <w:rsid w:val="00803CED"/>
    <w:rsid w:val="00807479"/>
    <w:rsid w:val="00813ACF"/>
    <w:rsid w:val="008157A2"/>
    <w:rsid w:val="008328EA"/>
    <w:rsid w:val="00834869"/>
    <w:rsid w:val="00835666"/>
    <w:rsid w:val="00836209"/>
    <w:rsid w:val="008411B3"/>
    <w:rsid w:val="00862696"/>
    <w:rsid w:val="0086435D"/>
    <w:rsid w:val="0086550C"/>
    <w:rsid w:val="00866313"/>
    <w:rsid w:val="00866C3F"/>
    <w:rsid w:val="008776AC"/>
    <w:rsid w:val="00881FE3"/>
    <w:rsid w:val="00893393"/>
    <w:rsid w:val="0089734A"/>
    <w:rsid w:val="008A0926"/>
    <w:rsid w:val="008A4E7F"/>
    <w:rsid w:val="008A7A75"/>
    <w:rsid w:val="008B0E12"/>
    <w:rsid w:val="008B204C"/>
    <w:rsid w:val="008B4475"/>
    <w:rsid w:val="008B51FD"/>
    <w:rsid w:val="008B78BC"/>
    <w:rsid w:val="008B7BDB"/>
    <w:rsid w:val="008C16CE"/>
    <w:rsid w:val="008D5B1E"/>
    <w:rsid w:val="008F122C"/>
    <w:rsid w:val="008F2DFA"/>
    <w:rsid w:val="008F4582"/>
    <w:rsid w:val="00903403"/>
    <w:rsid w:val="0090670E"/>
    <w:rsid w:val="00920286"/>
    <w:rsid w:val="009213EE"/>
    <w:rsid w:val="00924890"/>
    <w:rsid w:val="00930420"/>
    <w:rsid w:val="00930B32"/>
    <w:rsid w:val="00935D6F"/>
    <w:rsid w:val="00947718"/>
    <w:rsid w:val="009560AD"/>
    <w:rsid w:val="009574EC"/>
    <w:rsid w:val="00960B53"/>
    <w:rsid w:val="0096521D"/>
    <w:rsid w:val="00966605"/>
    <w:rsid w:val="00972736"/>
    <w:rsid w:val="00972CDA"/>
    <w:rsid w:val="009757BD"/>
    <w:rsid w:val="00977BF4"/>
    <w:rsid w:val="00980A50"/>
    <w:rsid w:val="00981686"/>
    <w:rsid w:val="009922EC"/>
    <w:rsid w:val="009926E2"/>
    <w:rsid w:val="00992937"/>
    <w:rsid w:val="009A6DF3"/>
    <w:rsid w:val="009B01BF"/>
    <w:rsid w:val="009B55BB"/>
    <w:rsid w:val="009B55FA"/>
    <w:rsid w:val="009B68DA"/>
    <w:rsid w:val="009C08B6"/>
    <w:rsid w:val="009C1047"/>
    <w:rsid w:val="009D3846"/>
    <w:rsid w:val="009E0D50"/>
    <w:rsid w:val="009E397E"/>
    <w:rsid w:val="009F1B61"/>
    <w:rsid w:val="009F2C80"/>
    <w:rsid w:val="009F79E9"/>
    <w:rsid w:val="00A00922"/>
    <w:rsid w:val="00A05354"/>
    <w:rsid w:val="00A0715F"/>
    <w:rsid w:val="00A114E8"/>
    <w:rsid w:val="00A11F71"/>
    <w:rsid w:val="00A156B0"/>
    <w:rsid w:val="00A21679"/>
    <w:rsid w:val="00A25000"/>
    <w:rsid w:val="00A25758"/>
    <w:rsid w:val="00A25B29"/>
    <w:rsid w:val="00A30DDF"/>
    <w:rsid w:val="00A33D04"/>
    <w:rsid w:val="00A35233"/>
    <w:rsid w:val="00A43592"/>
    <w:rsid w:val="00A54893"/>
    <w:rsid w:val="00A56A69"/>
    <w:rsid w:val="00A6170A"/>
    <w:rsid w:val="00A61C82"/>
    <w:rsid w:val="00A63622"/>
    <w:rsid w:val="00A646CE"/>
    <w:rsid w:val="00A70E2E"/>
    <w:rsid w:val="00A8470F"/>
    <w:rsid w:val="00A84968"/>
    <w:rsid w:val="00A87445"/>
    <w:rsid w:val="00A874C3"/>
    <w:rsid w:val="00A90D13"/>
    <w:rsid w:val="00A96ADB"/>
    <w:rsid w:val="00A978E7"/>
    <w:rsid w:val="00AA1C85"/>
    <w:rsid w:val="00AB1424"/>
    <w:rsid w:val="00AB2CA0"/>
    <w:rsid w:val="00AC0644"/>
    <w:rsid w:val="00AC1471"/>
    <w:rsid w:val="00AC3938"/>
    <w:rsid w:val="00AC75FD"/>
    <w:rsid w:val="00AD1632"/>
    <w:rsid w:val="00AD3C3A"/>
    <w:rsid w:val="00AD5702"/>
    <w:rsid w:val="00AF1F0A"/>
    <w:rsid w:val="00AF45AF"/>
    <w:rsid w:val="00B01BE8"/>
    <w:rsid w:val="00B055F0"/>
    <w:rsid w:val="00B07B2D"/>
    <w:rsid w:val="00B10E88"/>
    <w:rsid w:val="00B11146"/>
    <w:rsid w:val="00B14ADC"/>
    <w:rsid w:val="00B20832"/>
    <w:rsid w:val="00B25BA0"/>
    <w:rsid w:val="00B2604D"/>
    <w:rsid w:val="00B352C4"/>
    <w:rsid w:val="00B431AF"/>
    <w:rsid w:val="00B50446"/>
    <w:rsid w:val="00B66C70"/>
    <w:rsid w:val="00B73815"/>
    <w:rsid w:val="00B80EDF"/>
    <w:rsid w:val="00B87522"/>
    <w:rsid w:val="00B87FE3"/>
    <w:rsid w:val="00B93552"/>
    <w:rsid w:val="00B9505E"/>
    <w:rsid w:val="00BA3F68"/>
    <w:rsid w:val="00BA4523"/>
    <w:rsid w:val="00BB1AA0"/>
    <w:rsid w:val="00BB7512"/>
    <w:rsid w:val="00BB7F67"/>
    <w:rsid w:val="00BC1FF6"/>
    <w:rsid w:val="00BC73DF"/>
    <w:rsid w:val="00BD0811"/>
    <w:rsid w:val="00BD1E7F"/>
    <w:rsid w:val="00BE15CC"/>
    <w:rsid w:val="00BE27E0"/>
    <w:rsid w:val="00BE2A92"/>
    <w:rsid w:val="00BE59C3"/>
    <w:rsid w:val="00BF26EF"/>
    <w:rsid w:val="00BF3E9A"/>
    <w:rsid w:val="00BF69B7"/>
    <w:rsid w:val="00C063DD"/>
    <w:rsid w:val="00C07B5C"/>
    <w:rsid w:val="00C13A14"/>
    <w:rsid w:val="00C15EFE"/>
    <w:rsid w:val="00C2111E"/>
    <w:rsid w:val="00C32227"/>
    <w:rsid w:val="00C40506"/>
    <w:rsid w:val="00C4055F"/>
    <w:rsid w:val="00C41C87"/>
    <w:rsid w:val="00C44B79"/>
    <w:rsid w:val="00C53EF9"/>
    <w:rsid w:val="00C54680"/>
    <w:rsid w:val="00C64141"/>
    <w:rsid w:val="00C80CAB"/>
    <w:rsid w:val="00C82C42"/>
    <w:rsid w:val="00C856F8"/>
    <w:rsid w:val="00C87553"/>
    <w:rsid w:val="00C931A7"/>
    <w:rsid w:val="00C93BFE"/>
    <w:rsid w:val="00C94771"/>
    <w:rsid w:val="00CA2856"/>
    <w:rsid w:val="00CA392B"/>
    <w:rsid w:val="00CA5ACC"/>
    <w:rsid w:val="00CA753C"/>
    <w:rsid w:val="00CB3531"/>
    <w:rsid w:val="00CB6730"/>
    <w:rsid w:val="00CB7D25"/>
    <w:rsid w:val="00CC0C09"/>
    <w:rsid w:val="00CC3796"/>
    <w:rsid w:val="00CC5A18"/>
    <w:rsid w:val="00CE16AC"/>
    <w:rsid w:val="00CE2870"/>
    <w:rsid w:val="00CE5F38"/>
    <w:rsid w:val="00CF18AC"/>
    <w:rsid w:val="00D13382"/>
    <w:rsid w:val="00D16657"/>
    <w:rsid w:val="00D17A38"/>
    <w:rsid w:val="00D27E63"/>
    <w:rsid w:val="00D3231F"/>
    <w:rsid w:val="00D331DC"/>
    <w:rsid w:val="00D35623"/>
    <w:rsid w:val="00D44A23"/>
    <w:rsid w:val="00D50E9A"/>
    <w:rsid w:val="00D52844"/>
    <w:rsid w:val="00D558C8"/>
    <w:rsid w:val="00D575DC"/>
    <w:rsid w:val="00D6536A"/>
    <w:rsid w:val="00D679F1"/>
    <w:rsid w:val="00D714AC"/>
    <w:rsid w:val="00D73183"/>
    <w:rsid w:val="00D741A2"/>
    <w:rsid w:val="00D76E33"/>
    <w:rsid w:val="00D84579"/>
    <w:rsid w:val="00D877A6"/>
    <w:rsid w:val="00D95DFD"/>
    <w:rsid w:val="00DA11F9"/>
    <w:rsid w:val="00DA148C"/>
    <w:rsid w:val="00DA68CF"/>
    <w:rsid w:val="00DB0632"/>
    <w:rsid w:val="00DB3CC2"/>
    <w:rsid w:val="00DC7C0C"/>
    <w:rsid w:val="00DD2B06"/>
    <w:rsid w:val="00DE4CA0"/>
    <w:rsid w:val="00DF01B0"/>
    <w:rsid w:val="00DF27B2"/>
    <w:rsid w:val="00DF7E9A"/>
    <w:rsid w:val="00E01B7C"/>
    <w:rsid w:val="00E03473"/>
    <w:rsid w:val="00E05B26"/>
    <w:rsid w:val="00E10742"/>
    <w:rsid w:val="00E15550"/>
    <w:rsid w:val="00E165BC"/>
    <w:rsid w:val="00E3199B"/>
    <w:rsid w:val="00E33985"/>
    <w:rsid w:val="00E354AE"/>
    <w:rsid w:val="00E46FEF"/>
    <w:rsid w:val="00E54497"/>
    <w:rsid w:val="00E65F23"/>
    <w:rsid w:val="00E66CB8"/>
    <w:rsid w:val="00E76CF0"/>
    <w:rsid w:val="00E77C81"/>
    <w:rsid w:val="00E82B22"/>
    <w:rsid w:val="00E85FC3"/>
    <w:rsid w:val="00E861F3"/>
    <w:rsid w:val="00E86675"/>
    <w:rsid w:val="00E90D4C"/>
    <w:rsid w:val="00E91BFB"/>
    <w:rsid w:val="00E9207A"/>
    <w:rsid w:val="00E93ED8"/>
    <w:rsid w:val="00E974C9"/>
    <w:rsid w:val="00EA490B"/>
    <w:rsid w:val="00EA63BC"/>
    <w:rsid w:val="00EB4EDA"/>
    <w:rsid w:val="00EC0602"/>
    <w:rsid w:val="00EC5797"/>
    <w:rsid w:val="00EC6C49"/>
    <w:rsid w:val="00ED4480"/>
    <w:rsid w:val="00ED54FD"/>
    <w:rsid w:val="00ED5F73"/>
    <w:rsid w:val="00EE2DB1"/>
    <w:rsid w:val="00EE3F83"/>
    <w:rsid w:val="00EE4B4B"/>
    <w:rsid w:val="00EE4C52"/>
    <w:rsid w:val="00EE56CA"/>
    <w:rsid w:val="00EE6A16"/>
    <w:rsid w:val="00EF2580"/>
    <w:rsid w:val="00EF3E6B"/>
    <w:rsid w:val="00F01543"/>
    <w:rsid w:val="00F0274F"/>
    <w:rsid w:val="00F05215"/>
    <w:rsid w:val="00F063C7"/>
    <w:rsid w:val="00F1104F"/>
    <w:rsid w:val="00F12FDD"/>
    <w:rsid w:val="00F141D5"/>
    <w:rsid w:val="00F31251"/>
    <w:rsid w:val="00F330A2"/>
    <w:rsid w:val="00F348F0"/>
    <w:rsid w:val="00F34C1A"/>
    <w:rsid w:val="00F40B47"/>
    <w:rsid w:val="00F42791"/>
    <w:rsid w:val="00F50963"/>
    <w:rsid w:val="00F53ADB"/>
    <w:rsid w:val="00F57A79"/>
    <w:rsid w:val="00F6308E"/>
    <w:rsid w:val="00F639E9"/>
    <w:rsid w:val="00F642DB"/>
    <w:rsid w:val="00F64AD1"/>
    <w:rsid w:val="00F665B9"/>
    <w:rsid w:val="00F70FD6"/>
    <w:rsid w:val="00F74385"/>
    <w:rsid w:val="00F80CD5"/>
    <w:rsid w:val="00F82D28"/>
    <w:rsid w:val="00F8469A"/>
    <w:rsid w:val="00F914E9"/>
    <w:rsid w:val="00F92163"/>
    <w:rsid w:val="00F97D78"/>
    <w:rsid w:val="00FA198E"/>
    <w:rsid w:val="00FB1325"/>
    <w:rsid w:val="00FB4CDA"/>
    <w:rsid w:val="00FB566C"/>
    <w:rsid w:val="00FC1431"/>
    <w:rsid w:val="00FC4072"/>
    <w:rsid w:val="00FC6485"/>
    <w:rsid w:val="00FC6731"/>
    <w:rsid w:val="00FC6B8F"/>
    <w:rsid w:val="00FD4CB6"/>
    <w:rsid w:val="00FD609C"/>
    <w:rsid w:val="00FE24F0"/>
    <w:rsid w:val="00FE71ED"/>
    <w:rsid w:val="00FF39CF"/>
    <w:rsid w:val="00FF45B6"/>
    <w:rsid w:val="00FF51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2"/>
    <w:lsdException w:name="caption" w:semiHidden="1" w:unhideWhenUsed="1" w:qFormat="1"/>
    <w:lsdException w:name="footnote reference" w:uiPriority="99"/>
    <w:lsdException w:name="Title" w:qFormat="1"/>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645C8"/>
    <w:rPr>
      <w:sz w:val="24"/>
      <w:szCs w:val="24"/>
    </w:rPr>
  </w:style>
  <w:style w:type="paragraph" w:styleId="Heading1">
    <w:name w:val="heading 1"/>
    <w:basedOn w:val="Normal"/>
    <w:next w:val="Normal"/>
    <w:link w:val="Heading1Char"/>
    <w:qFormat/>
    <w:rsid w:val="00D35623"/>
    <w:pPr>
      <w:spacing w:before="240"/>
      <w:outlineLvl w:val="0"/>
    </w:pPr>
    <w:rPr>
      <w:rFonts w:ascii="Lucida Fax" w:hAnsi="Lucida Fax"/>
      <w:bCs/>
      <w:color w:val="51626F"/>
      <w:sz w:val="32"/>
      <w:szCs w:val="28"/>
      <w:lang w:eastAsia="en-US"/>
    </w:rPr>
  </w:style>
  <w:style w:type="paragraph" w:styleId="Heading2">
    <w:name w:val="heading 2"/>
    <w:basedOn w:val="Normal"/>
    <w:next w:val="Normal"/>
    <w:link w:val="Heading2Char"/>
    <w:semiHidden/>
    <w:unhideWhenUsed/>
    <w:qFormat/>
    <w:rsid w:val="005A2287"/>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qFormat/>
    <w:rsid w:val="00D35623"/>
    <w:pPr>
      <w:spacing w:before="240"/>
      <w:outlineLvl w:val="2"/>
    </w:pPr>
    <w:rPr>
      <w:rFonts w:ascii="Arial" w:hAnsi="Arial"/>
      <w:b/>
      <w:bCs/>
      <w:color w:val="000000"/>
      <w:szCs w:val="22"/>
      <w:lang w:eastAsia="en-US"/>
    </w:rPr>
  </w:style>
  <w:style w:type="paragraph" w:styleId="Heading4">
    <w:name w:val="heading 4"/>
    <w:basedOn w:val="Normal"/>
    <w:next w:val="Normal"/>
    <w:link w:val="Heading4Char"/>
    <w:qFormat/>
    <w:rsid w:val="00D35623"/>
    <w:pPr>
      <w:spacing w:before="240"/>
      <w:outlineLvl w:val="3"/>
    </w:pPr>
    <w:rPr>
      <w:rFonts w:ascii="Arial" w:hAnsi="Arial"/>
      <w:b/>
      <w:bCs/>
      <w:i/>
      <w:iCs/>
      <w:color w:val="51626F"/>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D35623"/>
    <w:rPr>
      <w:rFonts w:ascii="Lucida Fax" w:hAnsi="Lucida Fax"/>
      <w:bCs/>
      <w:color w:val="51626F"/>
      <w:sz w:val="32"/>
      <w:szCs w:val="28"/>
      <w:lang w:eastAsia="en-US"/>
    </w:rPr>
  </w:style>
  <w:style w:type="character" w:customStyle="1" w:styleId="Heading2Char">
    <w:name w:val="Heading 2 Char"/>
    <w:link w:val="Heading2"/>
    <w:semiHidden/>
    <w:rsid w:val="005A2287"/>
    <w:rPr>
      <w:rFonts w:ascii="Cambria" w:eastAsia="Times New Roman" w:hAnsi="Cambria" w:cs="Times New Roman"/>
      <w:b/>
      <w:bCs/>
      <w:i/>
      <w:iCs/>
      <w:sz w:val="28"/>
      <w:szCs w:val="28"/>
    </w:rPr>
  </w:style>
  <w:style w:type="character" w:customStyle="1" w:styleId="Heading3Char">
    <w:name w:val="Heading 3 Char"/>
    <w:link w:val="Heading3"/>
    <w:rsid w:val="00D35623"/>
    <w:rPr>
      <w:rFonts w:ascii="Arial" w:hAnsi="Arial"/>
      <w:b/>
      <w:bCs/>
      <w:color w:val="000000"/>
      <w:sz w:val="24"/>
      <w:szCs w:val="22"/>
      <w:lang w:eastAsia="en-US"/>
    </w:rPr>
  </w:style>
  <w:style w:type="character" w:customStyle="1" w:styleId="Heading4Char">
    <w:name w:val="Heading 4 Char"/>
    <w:link w:val="Heading4"/>
    <w:rsid w:val="00D35623"/>
    <w:rPr>
      <w:rFonts w:ascii="Arial" w:hAnsi="Arial"/>
      <w:b/>
      <w:bCs/>
      <w:i/>
      <w:iCs/>
      <w:color w:val="51626F"/>
      <w:sz w:val="24"/>
      <w:szCs w:val="22"/>
      <w:lang w:eastAsia="en-US"/>
    </w:rPr>
  </w:style>
  <w:style w:type="character" w:styleId="CommentReference">
    <w:name w:val="annotation reference"/>
    <w:semiHidden/>
    <w:rsid w:val="003739ED"/>
    <w:rPr>
      <w:sz w:val="16"/>
      <w:szCs w:val="16"/>
    </w:rPr>
  </w:style>
  <w:style w:type="paragraph" w:styleId="CommentText">
    <w:name w:val="annotation text"/>
    <w:basedOn w:val="Normal"/>
    <w:semiHidden/>
    <w:rsid w:val="003739ED"/>
    <w:rPr>
      <w:sz w:val="20"/>
      <w:szCs w:val="20"/>
    </w:rPr>
  </w:style>
  <w:style w:type="paragraph" w:styleId="BalloonText">
    <w:name w:val="Balloon Text"/>
    <w:basedOn w:val="Normal"/>
    <w:semiHidden/>
    <w:rsid w:val="003739ED"/>
    <w:rPr>
      <w:rFonts w:ascii="Tahoma" w:hAnsi="Tahoma" w:cs="Tahoma"/>
      <w:sz w:val="16"/>
      <w:szCs w:val="16"/>
    </w:rPr>
  </w:style>
  <w:style w:type="paragraph" w:styleId="CommentSubject">
    <w:name w:val="annotation subject"/>
    <w:basedOn w:val="CommentText"/>
    <w:next w:val="CommentText"/>
    <w:semiHidden/>
    <w:rsid w:val="003739ED"/>
    <w:rPr>
      <w:b/>
      <w:bCs/>
    </w:rPr>
  </w:style>
  <w:style w:type="table" w:styleId="TableGrid">
    <w:name w:val="Table Grid"/>
    <w:basedOn w:val="TableNormal"/>
    <w:rsid w:val="005741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681F28"/>
    <w:pPr>
      <w:tabs>
        <w:tab w:val="center" w:pos="4153"/>
        <w:tab w:val="right" w:pos="8306"/>
      </w:tabs>
    </w:pPr>
  </w:style>
  <w:style w:type="paragraph" w:styleId="Footer">
    <w:name w:val="footer"/>
    <w:basedOn w:val="Normal"/>
    <w:link w:val="FooterChar"/>
    <w:rsid w:val="00681F28"/>
    <w:pPr>
      <w:tabs>
        <w:tab w:val="center" w:pos="4153"/>
        <w:tab w:val="right" w:pos="8306"/>
      </w:tabs>
    </w:pPr>
  </w:style>
  <w:style w:type="character" w:customStyle="1" w:styleId="FooterChar">
    <w:name w:val="Footer Char"/>
    <w:link w:val="Footer"/>
    <w:uiPriority w:val="99"/>
    <w:rsid w:val="00BF26EF"/>
    <w:rPr>
      <w:sz w:val="24"/>
      <w:szCs w:val="24"/>
    </w:rPr>
  </w:style>
  <w:style w:type="paragraph" w:customStyle="1" w:styleId="AERboxbullet">
    <w:name w:val="AER box bullet"/>
    <w:basedOn w:val="Normal"/>
    <w:rsid w:val="00606A63"/>
    <w:pPr>
      <w:numPr>
        <w:numId w:val="1"/>
      </w:numPr>
      <w:pBdr>
        <w:top w:val="single" w:sz="4" w:space="1" w:color="auto"/>
        <w:left w:val="single" w:sz="4" w:space="4" w:color="auto"/>
        <w:bottom w:val="single" w:sz="4" w:space="1" w:color="auto"/>
        <w:right w:val="single" w:sz="4" w:space="4" w:color="auto"/>
      </w:pBdr>
    </w:pPr>
    <w:rPr>
      <w:szCs w:val="20"/>
      <w:lang w:val="en-GB"/>
    </w:rPr>
  </w:style>
  <w:style w:type="paragraph" w:customStyle="1" w:styleId="AERbodytext">
    <w:name w:val="AER body text"/>
    <w:link w:val="AERbodytextChar"/>
    <w:rsid w:val="00606A63"/>
    <w:pPr>
      <w:spacing w:after="240"/>
    </w:pPr>
    <w:rPr>
      <w:sz w:val="24"/>
      <w:szCs w:val="24"/>
      <w:lang w:eastAsia="en-US"/>
    </w:rPr>
  </w:style>
  <w:style w:type="character" w:customStyle="1" w:styleId="AERbodytextChar">
    <w:name w:val="AER body text Char"/>
    <w:link w:val="AERbodytext"/>
    <w:rsid w:val="00606A63"/>
    <w:rPr>
      <w:sz w:val="24"/>
      <w:szCs w:val="24"/>
      <w:lang w:val="en-AU" w:eastAsia="en-US" w:bidi="ar-SA"/>
    </w:rPr>
  </w:style>
  <w:style w:type="paragraph" w:customStyle="1" w:styleId="AERbulletlistfirststyle">
    <w:name w:val="AER bullet list (first style)"/>
    <w:basedOn w:val="Normal"/>
    <w:rsid w:val="00606A63"/>
    <w:pPr>
      <w:numPr>
        <w:numId w:val="2"/>
      </w:numPr>
      <w:tabs>
        <w:tab w:val="left" w:pos="567"/>
      </w:tabs>
      <w:spacing w:after="240" w:line="240" w:lineRule="atLeast"/>
    </w:pPr>
    <w:rPr>
      <w:lang w:eastAsia="en-US"/>
    </w:rPr>
  </w:style>
  <w:style w:type="paragraph" w:styleId="Subtitle">
    <w:name w:val="Subtitle"/>
    <w:qFormat/>
    <w:rsid w:val="00606A63"/>
    <w:pPr>
      <w:spacing w:after="60"/>
      <w:jc w:val="center"/>
      <w:outlineLvl w:val="1"/>
    </w:pPr>
    <w:rPr>
      <w:rFonts w:ascii="Arial" w:hAnsi="Arial" w:cs="Arial"/>
      <w:sz w:val="28"/>
      <w:szCs w:val="24"/>
      <w:lang w:eastAsia="en-US"/>
    </w:rPr>
  </w:style>
  <w:style w:type="paragraph" w:customStyle="1" w:styleId="AERunnumberedheading1">
    <w:name w:val="AER unnumbered heading 1"/>
    <w:basedOn w:val="Normal"/>
    <w:next w:val="AERbodytext"/>
    <w:link w:val="AERunnumberedheading1Char"/>
    <w:rsid w:val="00606A63"/>
    <w:pPr>
      <w:pageBreakBefore/>
      <w:widowControl w:val="0"/>
      <w:tabs>
        <w:tab w:val="left" w:pos="851"/>
      </w:tabs>
      <w:spacing w:before="240" w:after="120"/>
      <w:outlineLvl w:val="0"/>
    </w:pPr>
    <w:rPr>
      <w:rFonts w:ascii="Arial Bold" w:hAnsi="Arial Bold"/>
      <w:b/>
      <w:bCs/>
      <w:spacing w:val="5"/>
      <w:kern w:val="36"/>
      <w:sz w:val="36"/>
      <w:szCs w:val="27"/>
      <w:lang w:eastAsia="en-US"/>
    </w:rPr>
  </w:style>
  <w:style w:type="character" w:customStyle="1" w:styleId="AERunnumberedheading1Char">
    <w:name w:val="AER unnumbered heading 1 Char"/>
    <w:link w:val="AERunnumberedheading1"/>
    <w:rsid w:val="00606A63"/>
    <w:rPr>
      <w:rFonts w:ascii="Arial Bold" w:hAnsi="Arial Bold"/>
      <w:b/>
      <w:bCs/>
      <w:spacing w:val="5"/>
      <w:kern w:val="36"/>
      <w:sz w:val="36"/>
      <w:szCs w:val="27"/>
      <w:lang w:val="en-AU" w:eastAsia="en-US" w:bidi="ar-SA"/>
    </w:rPr>
  </w:style>
  <w:style w:type="paragraph" w:customStyle="1" w:styleId="AERunnumberedheading2">
    <w:name w:val="AER unnumbered heading 2"/>
    <w:basedOn w:val="Normal"/>
    <w:next w:val="AERbodytext"/>
    <w:rsid w:val="00606A63"/>
    <w:pPr>
      <w:keepNext/>
      <w:tabs>
        <w:tab w:val="left" w:pos="851"/>
      </w:tabs>
      <w:spacing w:before="240" w:after="120"/>
    </w:pPr>
    <w:rPr>
      <w:rFonts w:ascii="Arial Bold" w:hAnsi="Arial Bold"/>
      <w:sz w:val="30"/>
      <w:lang w:eastAsia="en-US"/>
    </w:rPr>
  </w:style>
  <w:style w:type="paragraph" w:customStyle="1" w:styleId="AERunnumberedheading3">
    <w:name w:val="AER unnumbered heading 3"/>
    <w:basedOn w:val="Normal"/>
    <w:next w:val="AERbodytext"/>
    <w:rsid w:val="00606A63"/>
    <w:pPr>
      <w:keepNext/>
      <w:tabs>
        <w:tab w:val="left" w:pos="851"/>
      </w:tabs>
      <w:spacing w:before="240" w:after="120"/>
    </w:pPr>
    <w:rPr>
      <w:rFonts w:ascii="Arial Bold" w:hAnsi="Arial Bold"/>
      <w:lang w:eastAsia="en-US"/>
    </w:rPr>
  </w:style>
  <w:style w:type="character" w:styleId="PageNumber">
    <w:name w:val="page number"/>
    <w:basedOn w:val="DefaultParagraphFont"/>
    <w:rsid w:val="00606A63"/>
  </w:style>
  <w:style w:type="paragraph" w:customStyle="1" w:styleId="Default">
    <w:name w:val="Default"/>
    <w:rsid w:val="00121FE6"/>
    <w:pPr>
      <w:autoSpaceDE w:val="0"/>
      <w:autoSpaceDN w:val="0"/>
      <w:adjustRightInd w:val="0"/>
    </w:pPr>
    <w:rPr>
      <w:rFonts w:ascii="Arial" w:hAnsi="Arial" w:cs="Arial"/>
      <w:color w:val="000000"/>
      <w:sz w:val="24"/>
      <w:szCs w:val="24"/>
    </w:rPr>
  </w:style>
  <w:style w:type="paragraph" w:styleId="FootnoteText">
    <w:name w:val="footnote text"/>
    <w:basedOn w:val="Normal"/>
    <w:link w:val="FootnoteTextChar"/>
    <w:uiPriority w:val="2"/>
    <w:rsid w:val="009D3846"/>
    <w:rPr>
      <w:sz w:val="20"/>
      <w:szCs w:val="20"/>
    </w:rPr>
  </w:style>
  <w:style w:type="character" w:customStyle="1" w:styleId="FootnoteTextChar">
    <w:name w:val="Footnote Text Char"/>
    <w:basedOn w:val="DefaultParagraphFont"/>
    <w:link w:val="FootnoteText"/>
    <w:uiPriority w:val="2"/>
    <w:rsid w:val="009D3846"/>
  </w:style>
  <w:style w:type="character" w:styleId="FootnoteReference">
    <w:name w:val="footnote reference"/>
    <w:uiPriority w:val="99"/>
    <w:rsid w:val="009D3846"/>
    <w:rPr>
      <w:vertAlign w:val="superscript"/>
    </w:rPr>
  </w:style>
  <w:style w:type="paragraph" w:customStyle="1" w:styleId="Tabletitle">
    <w:name w:val="Table title"/>
    <w:basedOn w:val="Normal"/>
    <w:link w:val="TabletitleChar"/>
    <w:qFormat/>
    <w:rsid w:val="00D35623"/>
    <w:pPr>
      <w:spacing w:before="240" w:after="120"/>
    </w:pPr>
    <w:rPr>
      <w:rFonts w:ascii="Arial" w:eastAsia="Arial" w:hAnsi="Arial"/>
      <w:b/>
      <w:sz w:val="22"/>
      <w:szCs w:val="20"/>
      <w:lang w:eastAsia="en-US"/>
    </w:rPr>
  </w:style>
  <w:style w:type="character" w:customStyle="1" w:styleId="TabletitleChar">
    <w:name w:val="Table title Char"/>
    <w:link w:val="Tabletitle"/>
    <w:rsid w:val="00D35623"/>
    <w:rPr>
      <w:rFonts w:ascii="Arial" w:eastAsia="Arial" w:hAnsi="Arial"/>
      <w:b/>
      <w:sz w:val="22"/>
      <w:lang w:eastAsia="en-US"/>
    </w:rPr>
  </w:style>
  <w:style w:type="table" w:styleId="LightGrid-Accent1">
    <w:name w:val="Light Grid Accent 1"/>
    <w:basedOn w:val="TableNormal"/>
    <w:uiPriority w:val="62"/>
    <w:rsid w:val="00D35623"/>
    <w:rPr>
      <w:rFonts w:ascii="Arial" w:eastAsia="Arial" w:hAnsi="Arial"/>
      <w:sz w:val="22"/>
      <w:szCs w:val="22"/>
      <w:lang w:eastAsia="en-US"/>
    </w:rPr>
    <w:tblPr>
      <w:tblStyleRowBandSize w:val="1"/>
      <w:tblStyleColBandSize w:val="1"/>
      <w:tblBorders>
        <w:top w:val="single" w:sz="8" w:space="0" w:color="51626F"/>
        <w:left w:val="single" w:sz="8" w:space="0" w:color="51626F"/>
        <w:bottom w:val="single" w:sz="8" w:space="0" w:color="51626F"/>
        <w:right w:val="single" w:sz="8" w:space="0" w:color="51626F"/>
        <w:insideH w:val="single" w:sz="8" w:space="0" w:color="51626F"/>
        <w:insideV w:val="single" w:sz="8" w:space="0" w:color="51626F"/>
      </w:tblBorders>
    </w:tblPr>
    <w:tblStylePr w:type="firstRow">
      <w:pPr>
        <w:spacing w:before="0" w:after="0" w:line="240" w:lineRule="auto"/>
      </w:pPr>
      <w:rPr>
        <w:rFonts w:ascii="Lucida Fax" w:eastAsia="Times New Roman" w:hAnsi="Lucida Fax" w:cs="Times New Roman"/>
        <w:b/>
        <w:bCs/>
      </w:rPr>
      <w:tblPr/>
      <w:tcPr>
        <w:tcBorders>
          <w:top w:val="single" w:sz="8" w:space="0" w:color="51626F"/>
          <w:left w:val="single" w:sz="8" w:space="0" w:color="51626F"/>
          <w:bottom w:val="single" w:sz="18" w:space="0" w:color="51626F"/>
          <w:right w:val="single" w:sz="8" w:space="0" w:color="51626F"/>
          <w:insideH w:val="nil"/>
          <w:insideV w:val="single" w:sz="8" w:space="0" w:color="51626F"/>
        </w:tcBorders>
      </w:tcPr>
    </w:tblStylePr>
    <w:tblStylePr w:type="lastRow">
      <w:pPr>
        <w:spacing w:before="0" w:after="0" w:line="240" w:lineRule="auto"/>
      </w:pPr>
      <w:rPr>
        <w:rFonts w:ascii="Lucida Fax" w:eastAsia="Times New Roman" w:hAnsi="Lucida Fax" w:cs="Times New Roman"/>
        <w:b/>
        <w:bCs/>
      </w:rPr>
      <w:tblPr/>
      <w:tcPr>
        <w:tcBorders>
          <w:top w:val="double" w:sz="6" w:space="0" w:color="51626F"/>
          <w:left w:val="single" w:sz="8" w:space="0" w:color="51626F"/>
          <w:bottom w:val="single" w:sz="8" w:space="0" w:color="51626F"/>
          <w:right w:val="single" w:sz="8" w:space="0" w:color="51626F"/>
          <w:insideH w:val="nil"/>
          <w:insideV w:val="single" w:sz="8" w:space="0" w:color="51626F"/>
        </w:tcBorders>
      </w:tcPr>
    </w:tblStylePr>
    <w:tblStylePr w:type="firstCol">
      <w:rPr>
        <w:rFonts w:ascii="Lucida Fax" w:eastAsia="Times New Roman" w:hAnsi="Lucida Fax" w:cs="Times New Roman"/>
        <w:b/>
        <w:bCs/>
      </w:rPr>
    </w:tblStylePr>
    <w:tblStylePr w:type="lastCol">
      <w:rPr>
        <w:rFonts w:ascii="Lucida Fax" w:eastAsia="Times New Roman" w:hAnsi="Lucida Fax" w:cs="Times New Roman"/>
        <w:b/>
        <w:bCs/>
      </w:rPr>
      <w:tblPr/>
      <w:tcPr>
        <w:tcBorders>
          <w:top w:val="single" w:sz="8" w:space="0" w:color="51626F"/>
          <w:left w:val="single" w:sz="8" w:space="0" w:color="51626F"/>
          <w:bottom w:val="single" w:sz="8" w:space="0" w:color="51626F"/>
          <w:right w:val="single" w:sz="8" w:space="0" w:color="51626F"/>
        </w:tcBorders>
      </w:tcPr>
    </w:tblStylePr>
    <w:tblStylePr w:type="band1Vert">
      <w:tblPr/>
      <w:tcPr>
        <w:tcBorders>
          <w:top w:val="single" w:sz="8" w:space="0" w:color="51626F"/>
          <w:left w:val="single" w:sz="8" w:space="0" w:color="51626F"/>
          <w:bottom w:val="single" w:sz="8" w:space="0" w:color="51626F"/>
          <w:right w:val="single" w:sz="8" w:space="0" w:color="51626F"/>
        </w:tcBorders>
        <w:shd w:val="clear" w:color="auto" w:fill="D1D8DD"/>
      </w:tcPr>
    </w:tblStylePr>
    <w:tblStylePr w:type="band1Horz">
      <w:tblPr/>
      <w:tcPr>
        <w:tcBorders>
          <w:top w:val="single" w:sz="8" w:space="0" w:color="51626F"/>
          <w:left w:val="single" w:sz="8" w:space="0" w:color="51626F"/>
          <w:bottom w:val="single" w:sz="8" w:space="0" w:color="51626F"/>
          <w:right w:val="single" w:sz="8" w:space="0" w:color="51626F"/>
          <w:insideV w:val="single" w:sz="8" w:space="0" w:color="51626F"/>
        </w:tcBorders>
        <w:shd w:val="clear" w:color="auto" w:fill="D1D8DD"/>
      </w:tcPr>
    </w:tblStylePr>
    <w:tblStylePr w:type="band2Horz">
      <w:tblPr/>
      <w:tcPr>
        <w:tcBorders>
          <w:top w:val="single" w:sz="8" w:space="0" w:color="51626F"/>
          <w:left w:val="single" w:sz="8" w:space="0" w:color="51626F"/>
          <w:bottom w:val="single" w:sz="8" w:space="0" w:color="51626F"/>
          <w:right w:val="single" w:sz="8" w:space="0" w:color="51626F"/>
          <w:insideV w:val="single" w:sz="8" w:space="0" w:color="51626F"/>
        </w:tcBorders>
      </w:tcPr>
    </w:tblStylePr>
  </w:style>
  <w:style w:type="paragraph" w:styleId="ListParagraph">
    <w:name w:val="List Paragraph"/>
    <w:basedOn w:val="Normal"/>
    <w:uiPriority w:val="34"/>
    <w:qFormat/>
    <w:rsid w:val="0015307B"/>
    <w:pPr>
      <w:numPr>
        <w:numId w:val="7"/>
      </w:numPr>
      <w:tabs>
        <w:tab w:val="left" w:pos="340"/>
      </w:tabs>
      <w:spacing w:before="120"/>
    </w:pPr>
    <w:rPr>
      <w:rFonts w:ascii="Arial" w:eastAsia="Arial" w:hAnsi="Arial"/>
      <w:sz w:val="22"/>
      <w:szCs w:val="22"/>
      <w:lang w:eastAsia="en-US"/>
    </w:rPr>
  </w:style>
  <w:style w:type="paragraph" w:customStyle="1" w:styleId="Boxedtext">
    <w:name w:val="Boxed text"/>
    <w:basedOn w:val="Normal"/>
    <w:link w:val="BoxedtextChar"/>
    <w:uiPriority w:val="1"/>
    <w:rsid w:val="00141C12"/>
    <w:pPr>
      <w:pBdr>
        <w:top w:val="single" w:sz="4" w:space="1" w:color="FFFFFF"/>
        <w:left w:val="single" w:sz="4" w:space="4" w:color="FFFFFF"/>
        <w:bottom w:val="single" w:sz="4" w:space="1" w:color="FFFFFF"/>
        <w:right w:val="single" w:sz="4" w:space="4" w:color="FFFFFF"/>
      </w:pBdr>
      <w:shd w:val="clear" w:color="auto" w:fill="F2F2F2"/>
      <w:spacing w:before="200" w:after="240"/>
    </w:pPr>
    <w:rPr>
      <w:rFonts w:ascii="Arial" w:eastAsia="Arial" w:hAnsi="Arial"/>
      <w:sz w:val="22"/>
      <w:szCs w:val="20"/>
      <w:lang w:eastAsia="en-US"/>
    </w:rPr>
  </w:style>
  <w:style w:type="character" w:customStyle="1" w:styleId="BoxedtextChar">
    <w:name w:val="Boxed text Char"/>
    <w:link w:val="Boxedtext"/>
    <w:uiPriority w:val="1"/>
    <w:rsid w:val="00141C12"/>
    <w:rPr>
      <w:rFonts w:ascii="Arial" w:eastAsia="Arial" w:hAnsi="Arial"/>
      <w:sz w:val="22"/>
      <w:shd w:val="clear" w:color="auto" w:fill="F2F2F2"/>
      <w:lang w:eastAsia="en-US"/>
    </w:rPr>
  </w:style>
  <w:style w:type="character" w:styleId="Hyperlink">
    <w:name w:val="Hyperlink"/>
    <w:uiPriority w:val="99"/>
    <w:rsid w:val="000443D4"/>
    <w:rPr>
      <w:color w:val="0000FF"/>
      <w:u w:val="single"/>
    </w:rPr>
  </w:style>
  <w:style w:type="paragraph" w:styleId="Revision">
    <w:name w:val="Revision"/>
    <w:hidden/>
    <w:uiPriority w:val="99"/>
    <w:semiHidden/>
    <w:rsid w:val="00FC6731"/>
    <w:rPr>
      <w:sz w:val="24"/>
      <w:szCs w:val="24"/>
    </w:rPr>
  </w:style>
  <w:style w:type="paragraph" w:customStyle="1" w:styleId="Tabletext">
    <w:name w:val="Table text"/>
    <w:basedOn w:val="Normal"/>
    <w:link w:val="TabletextChar"/>
    <w:uiPriority w:val="1"/>
    <w:qFormat/>
    <w:rsid w:val="00EC0602"/>
    <w:pPr>
      <w:spacing w:before="120" w:after="60" w:line="276" w:lineRule="auto"/>
    </w:pPr>
    <w:rPr>
      <w:rFonts w:ascii="Arial" w:eastAsia="Arial" w:hAnsi="Arial"/>
      <w:sz w:val="20"/>
      <w:szCs w:val="22"/>
      <w:lang w:eastAsia="en-US"/>
    </w:rPr>
  </w:style>
  <w:style w:type="character" w:customStyle="1" w:styleId="TabletextChar">
    <w:name w:val="Table text Char"/>
    <w:link w:val="Tabletext"/>
    <w:uiPriority w:val="1"/>
    <w:rsid w:val="00EC0602"/>
    <w:rPr>
      <w:rFonts w:ascii="Arial" w:eastAsia="Arial" w:hAnsi="Arial"/>
      <w:szCs w:val="22"/>
      <w:lang w:eastAsia="en-US"/>
    </w:rPr>
  </w:style>
  <w:style w:type="paragraph" w:customStyle="1" w:styleId="TableHeading">
    <w:name w:val="Table Heading"/>
    <w:basedOn w:val="Normal"/>
    <w:link w:val="TableHeadingChar"/>
    <w:qFormat/>
    <w:rsid w:val="00EC0602"/>
    <w:pPr>
      <w:spacing w:before="240" w:after="120" w:line="276" w:lineRule="auto"/>
    </w:pPr>
    <w:rPr>
      <w:rFonts w:ascii="Arial" w:eastAsia="Arial" w:hAnsi="Arial"/>
      <w:color w:val="FFFFFF"/>
      <w:szCs w:val="22"/>
      <w:lang w:eastAsia="en-US"/>
    </w:rPr>
  </w:style>
  <w:style w:type="character" w:customStyle="1" w:styleId="TableHeadingChar">
    <w:name w:val="Table Heading Char"/>
    <w:link w:val="TableHeading"/>
    <w:rsid w:val="00EC0602"/>
    <w:rPr>
      <w:rFonts w:ascii="Arial" w:eastAsia="Arial" w:hAnsi="Arial"/>
      <w:color w:val="FFFFFF"/>
      <w:sz w:val="24"/>
      <w:szCs w:val="22"/>
      <w:lang w:eastAsia="en-US"/>
    </w:rPr>
  </w:style>
  <w:style w:type="paragraph" w:customStyle="1" w:styleId="Tabletext-right">
    <w:name w:val="Table text - right"/>
    <w:basedOn w:val="Tabletext"/>
    <w:link w:val="Tabletext-rightChar"/>
    <w:rsid w:val="00EC0602"/>
    <w:pPr>
      <w:jc w:val="right"/>
    </w:pPr>
    <w:rPr>
      <w:rFonts w:eastAsia="Times New Roman"/>
      <w:szCs w:val="20"/>
    </w:rPr>
  </w:style>
  <w:style w:type="character" w:customStyle="1" w:styleId="Tabletext-rightChar">
    <w:name w:val="Table text - right Char"/>
    <w:link w:val="Tabletext-right"/>
    <w:rsid w:val="00EC0602"/>
    <w:rPr>
      <w:rFonts w:ascii="Arial" w:hAnsi="Arial"/>
      <w:lang w:eastAsia="en-US"/>
    </w:rPr>
  </w:style>
  <w:style w:type="table" w:customStyle="1" w:styleId="AERTable-Text">
    <w:name w:val="AER Table - Text"/>
    <w:basedOn w:val="TableNormal"/>
    <w:uiPriority w:val="99"/>
    <w:rsid w:val="00EC0602"/>
    <w:pPr>
      <w:spacing w:before="120" w:after="120"/>
    </w:pPr>
    <w:rPr>
      <w:rFonts w:ascii="Arial" w:eastAsia="Arial" w:hAnsi="Arial"/>
      <w:szCs w:val="22"/>
      <w:lang w:eastAsia="en-US"/>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sz w:val="24"/>
      </w:rPr>
      <w:tblPr/>
      <w:tcPr>
        <w:shd w:val="clear" w:color="auto" w:fill="076A92"/>
      </w:tcPr>
    </w:tblStylePr>
    <w:tblStylePr w:type="band2Horz">
      <w:rPr>
        <w:rFonts w:ascii="Arial" w:hAnsi="Arial"/>
        <w:sz w:val="20"/>
      </w:rPr>
      <w:tblPr/>
      <w:tcPr>
        <w:shd w:val="clear" w:color="auto" w:fill="DBE5F1"/>
      </w:tcPr>
    </w:tblStylePr>
  </w:style>
  <w:style w:type="table" w:styleId="TableList4">
    <w:name w:val="Table List 4"/>
    <w:basedOn w:val="TableNormal"/>
    <w:rsid w:val="00EC060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Theme">
    <w:name w:val="Table Theme"/>
    <w:basedOn w:val="TableNormal"/>
    <w:rsid w:val="00EC06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uiPriority w:val="99"/>
    <w:unhideWhenUsed/>
    <w:rsid w:val="00EC0602"/>
    <w:rPr>
      <w:color w:val="800080"/>
      <w:u w:val="single"/>
    </w:rPr>
  </w:style>
  <w:style w:type="paragraph" w:customStyle="1" w:styleId="font5">
    <w:name w:val="font5"/>
    <w:basedOn w:val="Normal"/>
    <w:rsid w:val="00EC0602"/>
    <w:pPr>
      <w:spacing w:before="100" w:beforeAutospacing="1" w:after="100" w:afterAutospacing="1"/>
    </w:pPr>
    <w:rPr>
      <w:rFonts w:ascii="Tahoma" w:hAnsi="Tahoma" w:cs="Tahoma"/>
      <w:color w:val="000000"/>
      <w:sz w:val="20"/>
      <w:szCs w:val="20"/>
    </w:rPr>
  </w:style>
  <w:style w:type="paragraph" w:customStyle="1" w:styleId="font6">
    <w:name w:val="font6"/>
    <w:basedOn w:val="Normal"/>
    <w:rsid w:val="00EC0602"/>
    <w:pPr>
      <w:spacing w:before="100" w:beforeAutospacing="1" w:after="100" w:afterAutospacing="1"/>
    </w:pPr>
    <w:rPr>
      <w:rFonts w:ascii="Tahoma" w:hAnsi="Tahoma" w:cs="Tahoma"/>
      <w:color w:val="000000"/>
      <w:sz w:val="16"/>
      <w:szCs w:val="16"/>
    </w:rPr>
  </w:style>
  <w:style w:type="paragraph" w:customStyle="1" w:styleId="xl70">
    <w:name w:val="xl70"/>
    <w:basedOn w:val="Normal"/>
    <w:rsid w:val="00EC0602"/>
    <w:pPr>
      <w:spacing w:before="100" w:beforeAutospacing="1" w:after="100" w:afterAutospacing="1"/>
      <w:jc w:val="right"/>
    </w:pPr>
    <w:rPr>
      <w:sz w:val="18"/>
      <w:szCs w:val="18"/>
    </w:rPr>
  </w:style>
  <w:style w:type="paragraph" w:customStyle="1" w:styleId="xl71">
    <w:name w:val="xl71"/>
    <w:basedOn w:val="Normal"/>
    <w:rsid w:val="00EC0602"/>
    <w:pPr>
      <w:spacing w:before="100" w:beforeAutospacing="1" w:after="100" w:afterAutospacing="1"/>
    </w:pPr>
    <w:rPr>
      <w:sz w:val="18"/>
      <w:szCs w:val="18"/>
    </w:rPr>
  </w:style>
  <w:style w:type="paragraph" w:customStyle="1" w:styleId="xl72">
    <w:name w:val="xl72"/>
    <w:basedOn w:val="Normal"/>
    <w:rsid w:val="00EC0602"/>
    <w:pPr>
      <w:spacing w:before="100" w:beforeAutospacing="1" w:after="100" w:afterAutospacing="1"/>
      <w:jc w:val="center"/>
    </w:pPr>
    <w:rPr>
      <w:sz w:val="18"/>
      <w:szCs w:val="18"/>
    </w:rPr>
  </w:style>
  <w:style w:type="paragraph" w:customStyle="1" w:styleId="xl73">
    <w:name w:val="xl73"/>
    <w:basedOn w:val="Normal"/>
    <w:rsid w:val="00EC0602"/>
    <w:pPr>
      <w:spacing w:before="100" w:beforeAutospacing="1" w:after="100" w:afterAutospacing="1"/>
      <w:jc w:val="right"/>
    </w:pPr>
    <w:rPr>
      <w:b/>
      <w:bCs/>
      <w:sz w:val="18"/>
      <w:szCs w:val="18"/>
    </w:rPr>
  </w:style>
  <w:style w:type="paragraph" w:customStyle="1" w:styleId="xl74">
    <w:name w:val="xl74"/>
    <w:basedOn w:val="Normal"/>
    <w:rsid w:val="00EC0602"/>
    <w:pPr>
      <w:shd w:val="clear" w:color="000000" w:fill="DCE6F1"/>
      <w:spacing w:before="100" w:beforeAutospacing="1" w:after="100" w:afterAutospacing="1"/>
      <w:jc w:val="center"/>
    </w:pPr>
    <w:rPr>
      <w:b/>
      <w:bCs/>
      <w:sz w:val="18"/>
      <w:szCs w:val="18"/>
    </w:rPr>
  </w:style>
  <w:style w:type="paragraph" w:customStyle="1" w:styleId="xl75">
    <w:name w:val="xl75"/>
    <w:basedOn w:val="Normal"/>
    <w:rsid w:val="00EC0602"/>
    <w:pPr>
      <w:spacing w:before="100" w:beforeAutospacing="1" w:after="100" w:afterAutospacing="1"/>
      <w:jc w:val="center"/>
    </w:pPr>
    <w:rPr>
      <w:b/>
      <w:bCs/>
      <w:sz w:val="18"/>
      <w:szCs w:val="18"/>
    </w:rPr>
  </w:style>
  <w:style w:type="paragraph" w:customStyle="1" w:styleId="xl76">
    <w:name w:val="xl76"/>
    <w:basedOn w:val="Normal"/>
    <w:rsid w:val="00EC0602"/>
    <w:pPr>
      <w:spacing w:before="100" w:beforeAutospacing="1" w:after="100" w:afterAutospacing="1"/>
    </w:pPr>
    <w:rPr>
      <w:b/>
      <w:bCs/>
      <w:sz w:val="18"/>
      <w:szCs w:val="18"/>
    </w:rPr>
  </w:style>
  <w:style w:type="paragraph" w:customStyle="1" w:styleId="xl77">
    <w:name w:val="xl77"/>
    <w:basedOn w:val="Normal"/>
    <w:rsid w:val="00EC0602"/>
    <w:pPr>
      <w:spacing w:before="100" w:beforeAutospacing="1" w:after="100" w:afterAutospacing="1"/>
      <w:jc w:val="center"/>
      <w:textAlignment w:val="center"/>
    </w:pPr>
    <w:rPr>
      <w:b/>
      <w:bCs/>
      <w:sz w:val="18"/>
      <w:szCs w:val="18"/>
    </w:rPr>
  </w:style>
  <w:style w:type="paragraph" w:customStyle="1" w:styleId="xl78">
    <w:name w:val="xl78"/>
    <w:basedOn w:val="Normal"/>
    <w:rsid w:val="00EC0602"/>
    <w:pPr>
      <w:pBdr>
        <w:top w:val="single" w:sz="4" w:space="0" w:color="auto"/>
      </w:pBdr>
      <w:shd w:val="clear" w:color="000000" w:fill="DCE6F1"/>
      <w:spacing w:before="100" w:beforeAutospacing="1" w:after="100" w:afterAutospacing="1"/>
      <w:jc w:val="center"/>
    </w:pPr>
    <w:rPr>
      <w:sz w:val="18"/>
      <w:szCs w:val="18"/>
    </w:rPr>
  </w:style>
  <w:style w:type="paragraph" w:customStyle="1" w:styleId="xl79">
    <w:name w:val="xl79"/>
    <w:basedOn w:val="Normal"/>
    <w:rsid w:val="00EC0602"/>
    <w:pPr>
      <w:pBdr>
        <w:top w:val="single" w:sz="4" w:space="0" w:color="auto"/>
      </w:pBdr>
      <w:spacing w:before="100" w:beforeAutospacing="1" w:after="100" w:afterAutospacing="1"/>
      <w:jc w:val="center"/>
    </w:pPr>
    <w:rPr>
      <w:sz w:val="18"/>
      <w:szCs w:val="18"/>
    </w:rPr>
  </w:style>
  <w:style w:type="paragraph" w:customStyle="1" w:styleId="xl80">
    <w:name w:val="xl80"/>
    <w:basedOn w:val="Normal"/>
    <w:rsid w:val="00EC0602"/>
    <w:pPr>
      <w:shd w:val="clear" w:color="000000" w:fill="DCE6F1"/>
      <w:spacing w:before="100" w:beforeAutospacing="1" w:after="100" w:afterAutospacing="1"/>
      <w:jc w:val="center"/>
    </w:pPr>
    <w:rPr>
      <w:sz w:val="18"/>
      <w:szCs w:val="18"/>
    </w:rPr>
  </w:style>
  <w:style w:type="paragraph" w:customStyle="1" w:styleId="xl81">
    <w:name w:val="xl81"/>
    <w:basedOn w:val="Normal"/>
    <w:rsid w:val="00EC0602"/>
    <w:pPr>
      <w:shd w:val="clear" w:color="000000" w:fill="DCE6F1"/>
      <w:spacing w:before="100" w:beforeAutospacing="1" w:after="100" w:afterAutospacing="1"/>
    </w:pPr>
    <w:rPr>
      <w:sz w:val="18"/>
      <w:szCs w:val="18"/>
    </w:rPr>
  </w:style>
  <w:style w:type="paragraph" w:customStyle="1" w:styleId="xl82">
    <w:name w:val="xl82"/>
    <w:basedOn w:val="Normal"/>
    <w:rsid w:val="00EC0602"/>
    <w:pPr>
      <w:pBdr>
        <w:top w:val="single" w:sz="4" w:space="0" w:color="auto"/>
        <w:left w:val="double" w:sz="6" w:space="0" w:color="auto"/>
      </w:pBdr>
      <w:shd w:val="clear" w:color="000000" w:fill="DCE6F1"/>
      <w:spacing w:before="100" w:beforeAutospacing="1" w:after="100" w:afterAutospacing="1"/>
    </w:pPr>
    <w:rPr>
      <w:sz w:val="18"/>
      <w:szCs w:val="18"/>
    </w:rPr>
  </w:style>
  <w:style w:type="paragraph" w:customStyle="1" w:styleId="xl83">
    <w:name w:val="xl83"/>
    <w:basedOn w:val="Normal"/>
    <w:rsid w:val="00EC0602"/>
    <w:pPr>
      <w:pBdr>
        <w:top w:val="single" w:sz="4" w:space="0" w:color="auto"/>
      </w:pBdr>
      <w:shd w:val="clear" w:color="000000" w:fill="DCE6F1"/>
      <w:spacing w:before="100" w:beforeAutospacing="1" w:after="100" w:afterAutospacing="1"/>
    </w:pPr>
    <w:rPr>
      <w:sz w:val="18"/>
      <w:szCs w:val="18"/>
    </w:rPr>
  </w:style>
  <w:style w:type="paragraph" w:customStyle="1" w:styleId="xl84">
    <w:name w:val="xl84"/>
    <w:basedOn w:val="Normal"/>
    <w:rsid w:val="00EC0602"/>
    <w:pPr>
      <w:pBdr>
        <w:top w:val="single" w:sz="4" w:space="0" w:color="auto"/>
        <w:right w:val="double" w:sz="6" w:space="0" w:color="auto"/>
      </w:pBdr>
      <w:shd w:val="clear" w:color="000000" w:fill="DCE6F1"/>
      <w:spacing w:before="100" w:beforeAutospacing="1" w:after="100" w:afterAutospacing="1"/>
    </w:pPr>
    <w:rPr>
      <w:sz w:val="18"/>
      <w:szCs w:val="18"/>
    </w:rPr>
  </w:style>
  <w:style w:type="paragraph" w:customStyle="1" w:styleId="xl85">
    <w:name w:val="xl85"/>
    <w:basedOn w:val="Normal"/>
    <w:rsid w:val="00EC0602"/>
    <w:pPr>
      <w:pBdr>
        <w:top w:val="single" w:sz="4" w:space="0" w:color="auto"/>
        <w:left w:val="single" w:sz="4" w:space="0" w:color="auto"/>
      </w:pBdr>
      <w:shd w:val="clear" w:color="000000" w:fill="D9D9D9"/>
      <w:spacing w:before="100" w:beforeAutospacing="1" w:after="100" w:afterAutospacing="1"/>
      <w:textAlignment w:val="center"/>
    </w:pPr>
    <w:rPr>
      <w:sz w:val="18"/>
      <w:szCs w:val="18"/>
    </w:rPr>
  </w:style>
  <w:style w:type="paragraph" w:customStyle="1" w:styleId="xl86">
    <w:name w:val="xl86"/>
    <w:basedOn w:val="Normal"/>
    <w:rsid w:val="00EC0602"/>
    <w:pPr>
      <w:pBdr>
        <w:top w:val="single" w:sz="4" w:space="0" w:color="auto"/>
        <w:right w:val="single" w:sz="4" w:space="0" w:color="auto"/>
      </w:pBdr>
      <w:shd w:val="clear" w:color="000000" w:fill="D9D9D9"/>
      <w:spacing w:before="100" w:beforeAutospacing="1" w:after="100" w:afterAutospacing="1"/>
      <w:textAlignment w:val="center"/>
    </w:pPr>
    <w:rPr>
      <w:sz w:val="18"/>
      <w:szCs w:val="18"/>
    </w:rPr>
  </w:style>
  <w:style w:type="paragraph" w:customStyle="1" w:styleId="xl87">
    <w:name w:val="xl87"/>
    <w:basedOn w:val="Normal"/>
    <w:rsid w:val="00EC0602"/>
    <w:pPr>
      <w:pBdr>
        <w:left w:val="single" w:sz="4" w:space="0" w:color="auto"/>
      </w:pBdr>
      <w:shd w:val="clear" w:color="000000" w:fill="D9D9D9"/>
      <w:spacing w:before="100" w:beforeAutospacing="1" w:after="100" w:afterAutospacing="1"/>
      <w:textAlignment w:val="center"/>
    </w:pPr>
    <w:rPr>
      <w:sz w:val="18"/>
      <w:szCs w:val="18"/>
    </w:rPr>
  </w:style>
  <w:style w:type="paragraph" w:customStyle="1" w:styleId="xl88">
    <w:name w:val="xl88"/>
    <w:basedOn w:val="Normal"/>
    <w:rsid w:val="00EC0602"/>
    <w:pPr>
      <w:pBdr>
        <w:right w:val="single" w:sz="4" w:space="0" w:color="auto"/>
      </w:pBdr>
      <w:shd w:val="clear" w:color="000000" w:fill="D9D9D9"/>
      <w:spacing w:before="100" w:beforeAutospacing="1" w:after="100" w:afterAutospacing="1"/>
      <w:textAlignment w:val="center"/>
    </w:pPr>
    <w:rPr>
      <w:sz w:val="18"/>
      <w:szCs w:val="18"/>
    </w:rPr>
  </w:style>
  <w:style w:type="paragraph" w:customStyle="1" w:styleId="xl89">
    <w:name w:val="xl89"/>
    <w:basedOn w:val="Normal"/>
    <w:rsid w:val="00EC0602"/>
    <w:pPr>
      <w:spacing w:before="100" w:beforeAutospacing="1" w:after="100" w:afterAutospacing="1"/>
      <w:textAlignment w:val="center"/>
    </w:pPr>
    <w:rPr>
      <w:sz w:val="18"/>
      <w:szCs w:val="18"/>
    </w:rPr>
  </w:style>
  <w:style w:type="paragraph" w:customStyle="1" w:styleId="xl90">
    <w:name w:val="xl90"/>
    <w:basedOn w:val="Normal"/>
    <w:rsid w:val="00EC0602"/>
    <w:pPr>
      <w:pBdr>
        <w:left w:val="single" w:sz="4" w:space="0" w:color="auto"/>
        <w:bottom w:val="single" w:sz="4" w:space="0" w:color="auto"/>
      </w:pBdr>
      <w:shd w:val="clear" w:color="000000" w:fill="D9D9D9"/>
      <w:spacing w:before="100" w:beforeAutospacing="1" w:after="100" w:afterAutospacing="1"/>
      <w:textAlignment w:val="center"/>
    </w:pPr>
    <w:rPr>
      <w:sz w:val="18"/>
      <w:szCs w:val="18"/>
    </w:rPr>
  </w:style>
  <w:style w:type="paragraph" w:customStyle="1" w:styleId="xl91">
    <w:name w:val="xl91"/>
    <w:basedOn w:val="Normal"/>
    <w:rsid w:val="00EC0602"/>
    <w:pPr>
      <w:pBdr>
        <w:bottom w:val="single" w:sz="4" w:space="0" w:color="auto"/>
        <w:right w:val="single" w:sz="4" w:space="0" w:color="auto"/>
      </w:pBdr>
      <w:shd w:val="clear" w:color="000000" w:fill="D9D9D9"/>
      <w:spacing w:before="100" w:beforeAutospacing="1" w:after="100" w:afterAutospacing="1"/>
      <w:textAlignment w:val="center"/>
    </w:pPr>
    <w:rPr>
      <w:sz w:val="18"/>
      <w:szCs w:val="18"/>
    </w:rPr>
  </w:style>
  <w:style w:type="paragraph" w:customStyle="1" w:styleId="xl92">
    <w:name w:val="xl92"/>
    <w:basedOn w:val="Normal"/>
    <w:rsid w:val="00EC0602"/>
    <w:pPr>
      <w:spacing w:before="100" w:beforeAutospacing="1" w:after="100" w:afterAutospacing="1"/>
      <w:textAlignment w:val="center"/>
    </w:pPr>
    <w:rPr>
      <w:sz w:val="18"/>
      <w:szCs w:val="18"/>
    </w:rPr>
  </w:style>
  <w:style w:type="paragraph" w:customStyle="1" w:styleId="xl93">
    <w:name w:val="xl93"/>
    <w:basedOn w:val="Normal"/>
    <w:rsid w:val="00EC0602"/>
    <w:pPr>
      <w:shd w:val="clear" w:color="000000" w:fill="FFFFFF"/>
      <w:spacing w:before="100" w:beforeAutospacing="1" w:after="100" w:afterAutospacing="1"/>
    </w:pPr>
    <w:rPr>
      <w:sz w:val="18"/>
      <w:szCs w:val="18"/>
    </w:rPr>
  </w:style>
  <w:style w:type="paragraph" w:customStyle="1" w:styleId="xl94">
    <w:name w:val="xl94"/>
    <w:basedOn w:val="Normal"/>
    <w:rsid w:val="00EC0602"/>
    <w:pPr>
      <w:pBdr>
        <w:left w:val="double" w:sz="6" w:space="0" w:color="auto"/>
      </w:pBdr>
      <w:shd w:val="clear" w:color="000000" w:fill="DCE6F1"/>
      <w:spacing w:before="100" w:beforeAutospacing="1" w:after="100" w:afterAutospacing="1"/>
    </w:pPr>
    <w:rPr>
      <w:sz w:val="18"/>
      <w:szCs w:val="18"/>
    </w:rPr>
  </w:style>
  <w:style w:type="paragraph" w:customStyle="1" w:styleId="xl95">
    <w:name w:val="xl95"/>
    <w:basedOn w:val="Normal"/>
    <w:rsid w:val="00EC0602"/>
    <w:pPr>
      <w:pBdr>
        <w:right w:val="double" w:sz="6" w:space="0" w:color="auto"/>
      </w:pBdr>
      <w:shd w:val="clear" w:color="000000" w:fill="DCE6F1"/>
      <w:spacing w:before="100" w:beforeAutospacing="1" w:after="100" w:afterAutospacing="1"/>
    </w:pPr>
    <w:rPr>
      <w:sz w:val="18"/>
      <w:szCs w:val="18"/>
    </w:rPr>
  </w:style>
  <w:style w:type="paragraph" w:customStyle="1" w:styleId="xl96">
    <w:name w:val="xl96"/>
    <w:basedOn w:val="Normal"/>
    <w:rsid w:val="00EC0602"/>
    <w:pPr>
      <w:spacing w:before="100" w:beforeAutospacing="1" w:after="100" w:afterAutospacing="1"/>
      <w:jc w:val="right"/>
      <w:textAlignment w:val="center"/>
    </w:pPr>
    <w:rPr>
      <w:sz w:val="18"/>
      <w:szCs w:val="18"/>
    </w:rPr>
  </w:style>
  <w:style w:type="paragraph" w:customStyle="1" w:styleId="xl97">
    <w:name w:val="xl97"/>
    <w:basedOn w:val="Normal"/>
    <w:rsid w:val="00EC0602"/>
    <w:pPr>
      <w:spacing w:before="100" w:beforeAutospacing="1" w:after="100" w:afterAutospacing="1"/>
      <w:jc w:val="center"/>
      <w:textAlignment w:val="center"/>
    </w:pPr>
    <w:rPr>
      <w:sz w:val="18"/>
      <w:szCs w:val="18"/>
    </w:rPr>
  </w:style>
  <w:style w:type="paragraph" w:customStyle="1" w:styleId="xl98">
    <w:name w:val="xl98"/>
    <w:basedOn w:val="Normal"/>
    <w:rsid w:val="00EC0602"/>
    <w:pPr>
      <w:pBdr>
        <w:top w:val="single" w:sz="4" w:space="0" w:color="auto"/>
      </w:pBdr>
      <w:shd w:val="clear" w:color="000000" w:fill="D9D9D9"/>
      <w:spacing w:before="100" w:beforeAutospacing="1" w:after="100" w:afterAutospacing="1"/>
      <w:textAlignment w:val="center"/>
    </w:pPr>
    <w:rPr>
      <w:sz w:val="18"/>
      <w:szCs w:val="18"/>
    </w:rPr>
  </w:style>
  <w:style w:type="paragraph" w:customStyle="1" w:styleId="xl99">
    <w:name w:val="xl99"/>
    <w:basedOn w:val="Normal"/>
    <w:rsid w:val="00EC0602"/>
    <w:pPr>
      <w:shd w:val="clear" w:color="000000" w:fill="D9D9D9"/>
      <w:spacing w:before="100" w:beforeAutospacing="1" w:after="100" w:afterAutospacing="1"/>
      <w:textAlignment w:val="center"/>
    </w:pPr>
    <w:rPr>
      <w:sz w:val="18"/>
      <w:szCs w:val="18"/>
    </w:rPr>
  </w:style>
  <w:style w:type="paragraph" w:customStyle="1" w:styleId="xl100">
    <w:name w:val="xl100"/>
    <w:basedOn w:val="Normal"/>
    <w:rsid w:val="00EC0602"/>
    <w:pPr>
      <w:pBdr>
        <w:bottom w:val="single" w:sz="4" w:space="0" w:color="auto"/>
      </w:pBdr>
      <w:shd w:val="clear" w:color="000000" w:fill="D9D9D9"/>
      <w:spacing w:before="100" w:beforeAutospacing="1" w:after="100" w:afterAutospacing="1"/>
      <w:textAlignment w:val="center"/>
    </w:pPr>
    <w:rPr>
      <w:sz w:val="18"/>
      <w:szCs w:val="18"/>
    </w:rPr>
  </w:style>
  <w:style w:type="paragraph" w:customStyle="1" w:styleId="xl101">
    <w:name w:val="xl101"/>
    <w:basedOn w:val="Normal"/>
    <w:rsid w:val="00EC0602"/>
    <w:pPr>
      <w:pBdr>
        <w:top w:val="single" w:sz="4" w:space="0" w:color="auto"/>
        <w:left w:val="single" w:sz="4" w:space="0" w:color="auto"/>
      </w:pBdr>
      <w:shd w:val="clear" w:color="000000" w:fill="D9D9D9"/>
      <w:spacing w:before="100" w:beforeAutospacing="1" w:after="100" w:afterAutospacing="1"/>
      <w:textAlignment w:val="center"/>
    </w:pPr>
    <w:rPr>
      <w:sz w:val="18"/>
      <w:szCs w:val="18"/>
    </w:rPr>
  </w:style>
  <w:style w:type="paragraph" w:customStyle="1" w:styleId="xl102">
    <w:name w:val="xl102"/>
    <w:basedOn w:val="Normal"/>
    <w:rsid w:val="00EC0602"/>
    <w:pPr>
      <w:pBdr>
        <w:top w:val="single" w:sz="4" w:space="0" w:color="auto"/>
        <w:right w:val="single" w:sz="4" w:space="0" w:color="auto"/>
      </w:pBdr>
      <w:shd w:val="clear" w:color="000000" w:fill="D9D9D9"/>
      <w:spacing w:before="100" w:beforeAutospacing="1" w:after="100" w:afterAutospacing="1"/>
      <w:textAlignment w:val="center"/>
    </w:pPr>
    <w:rPr>
      <w:sz w:val="18"/>
      <w:szCs w:val="18"/>
    </w:rPr>
  </w:style>
  <w:style w:type="paragraph" w:customStyle="1" w:styleId="xl103">
    <w:name w:val="xl103"/>
    <w:basedOn w:val="Normal"/>
    <w:rsid w:val="00EC0602"/>
    <w:pPr>
      <w:pBdr>
        <w:left w:val="single" w:sz="4" w:space="0" w:color="auto"/>
      </w:pBdr>
      <w:shd w:val="clear" w:color="000000" w:fill="D9D9D9"/>
      <w:spacing w:before="100" w:beforeAutospacing="1" w:after="100" w:afterAutospacing="1"/>
      <w:textAlignment w:val="center"/>
    </w:pPr>
    <w:rPr>
      <w:sz w:val="18"/>
      <w:szCs w:val="18"/>
    </w:rPr>
  </w:style>
  <w:style w:type="paragraph" w:customStyle="1" w:styleId="xl104">
    <w:name w:val="xl104"/>
    <w:basedOn w:val="Normal"/>
    <w:rsid w:val="00EC0602"/>
    <w:pPr>
      <w:pBdr>
        <w:right w:val="single" w:sz="4" w:space="0" w:color="auto"/>
      </w:pBdr>
      <w:shd w:val="clear" w:color="000000" w:fill="D9D9D9"/>
      <w:spacing w:before="100" w:beforeAutospacing="1" w:after="100" w:afterAutospacing="1"/>
      <w:textAlignment w:val="center"/>
    </w:pPr>
    <w:rPr>
      <w:sz w:val="18"/>
      <w:szCs w:val="18"/>
    </w:rPr>
  </w:style>
  <w:style w:type="paragraph" w:customStyle="1" w:styleId="xl105">
    <w:name w:val="xl105"/>
    <w:basedOn w:val="Normal"/>
    <w:rsid w:val="00EC0602"/>
    <w:pPr>
      <w:pBdr>
        <w:left w:val="single" w:sz="4" w:space="0" w:color="auto"/>
        <w:bottom w:val="single" w:sz="4" w:space="0" w:color="auto"/>
      </w:pBdr>
      <w:shd w:val="clear" w:color="000000" w:fill="D9D9D9"/>
      <w:spacing w:before="100" w:beforeAutospacing="1" w:after="100" w:afterAutospacing="1"/>
      <w:textAlignment w:val="center"/>
    </w:pPr>
    <w:rPr>
      <w:sz w:val="18"/>
      <w:szCs w:val="18"/>
    </w:rPr>
  </w:style>
  <w:style w:type="paragraph" w:customStyle="1" w:styleId="xl106">
    <w:name w:val="xl106"/>
    <w:basedOn w:val="Normal"/>
    <w:rsid w:val="00EC0602"/>
    <w:pPr>
      <w:pBdr>
        <w:bottom w:val="single" w:sz="4" w:space="0" w:color="auto"/>
        <w:right w:val="single" w:sz="4" w:space="0" w:color="auto"/>
      </w:pBdr>
      <w:shd w:val="clear" w:color="000000" w:fill="D9D9D9"/>
      <w:spacing w:before="100" w:beforeAutospacing="1" w:after="100" w:afterAutospacing="1"/>
      <w:textAlignment w:val="center"/>
    </w:pPr>
    <w:rPr>
      <w:sz w:val="18"/>
      <w:szCs w:val="18"/>
    </w:rPr>
  </w:style>
  <w:style w:type="paragraph" w:customStyle="1" w:styleId="xl107">
    <w:name w:val="xl107"/>
    <w:basedOn w:val="Normal"/>
    <w:rsid w:val="00EC0602"/>
    <w:pPr>
      <w:shd w:val="clear" w:color="000000" w:fill="FFFFFF"/>
      <w:spacing w:before="100" w:beforeAutospacing="1" w:after="100" w:afterAutospacing="1"/>
      <w:textAlignment w:val="center"/>
    </w:pPr>
    <w:rPr>
      <w:sz w:val="18"/>
      <w:szCs w:val="18"/>
    </w:rPr>
  </w:style>
  <w:style w:type="paragraph" w:customStyle="1" w:styleId="xl108">
    <w:name w:val="xl108"/>
    <w:basedOn w:val="Normal"/>
    <w:rsid w:val="00EC0602"/>
    <w:pPr>
      <w:pBdr>
        <w:top w:val="single" w:sz="4" w:space="0" w:color="auto"/>
      </w:pBdr>
      <w:shd w:val="clear" w:color="000000" w:fill="FFFFFF"/>
      <w:spacing w:before="100" w:beforeAutospacing="1" w:after="100" w:afterAutospacing="1"/>
      <w:textAlignment w:val="center"/>
    </w:pPr>
    <w:rPr>
      <w:sz w:val="18"/>
      <w:szCs w:val="18"/>
    </w:rPr>
  </w:style>
  <w:style w:type="paragraph" w:customStyle="1" w:styleId="xl109">
    <w:name w:val="xl109"/>
    <w:basedOn w:val="Normal"/>
    <w:rsid w:val="00EC0602"/>
    <w:pPr>
      <w:pBdr>
        <w:top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110">
    <w:name w:val="xl110"/>
    <w:basedOn w:val="Normal"/>
    <w:rsid w:val="00EC0602"/>
    <w:pPr>
      <w:shd w:val="clear" w:color="000000" w:fill="DCE6F1"/>
      <w:spacing w:before="100" w:beforeAutospacing="1" w:after="100" w:afterAutospacing="1"/>
    </w:pPr>
    <w:rPr>
      <w:b/>
      <w:bCs/>
      <w:color w:val="FFFFFF"/>
      <w:sz w:val="18"/>
      <w:szCs w:val="18"/>
    </w:rPr>
  </w:style>
  <w:style w:type="paragraph" w:customStyle="1" w:styleId="xl111">
    <w:name w:val="xl111"/>
    <w:basedOn w:val="Normal"/>
    <w:rsid w:val="00EC0602"/>
    <w:pPr>
      <w:shd w:val="clear" w:color="000000" w:fill="FFFFFF"/>
      <w:spacing w:before="100" w:beforeAutospacing="1" w:after="100" w:afterAutospacing="1"/>
    </w:pPr>
    <w:rPr>
      <w:color w:val="FFFF00"/>
      <w:sz w:val="18"/>
      <w:szCs w:val="18"/>
    </w:rPr>
  </w:style>
  <w:style w:type="paragraph" w:customStyle="1" w:styleId="xl112">
    <w:name w:val="xl112"/>
    <w:basedOn w:val="Normal"/>
    <w:rsid w:val="00EC0602"/>
    <w:pPr>
      <w:shd w:val="clear" w:color="000000" w:fill="FFFFFF"/>
      <w:spacing w:before="100" w:beforeAutospacing="1" w:after="100" w:afterAutospacing="1"/>
      <w:textAlignment w:val="center"/>
    </w:pPr>
    <w:rPr>
      <w:sz w:val="18"/>
      <w:szCs w:val="18"/>
    </w:rPr>
  </w:style>
  <w:style w:type="paragraph" w:customStyle="1" w:styleId="xl113">
    <w:name w:val="xl113"/>
    <w:basedOn w:val="Normal"/>
    <w:rsid w:val="00EC0602"/>
    <w:pPr>
      <w:pBdr>
        <w:bottom w:val="single" w:sz="4" w:space="0" w:color="auto"/>
      </w:pBdr>
      <w:shd w:val="clear" w:color="000000" w:fill="DCE6F1"/>
      <w:spacing w:before="100" w:beforeAutospacing="1" w:after="100" w:afterAutospacing="1"/>
      <w:jc w:val="center"/>
    </w:pPr>
    <w:rPr>
      <w:b/>
      <w:bCs/>
      <w:sz w:val="18"/>
      <w:szCs w:val="18"/>
    </w:rPr>
  </w:style>
  <w:style w:type="paragraph" w:customStyle="1" w:styleId="xl114">
    <w:name w:val="xl114"/>
    <w:basedOn w:val="Normal"/>
    <w:rsid w:val="00EC0602"/>
    <w:pPr>
      <w:shd w:val="clear" w:color="000000" w:fill="A6A6A6"/>
      <w:spacing w:before="100" w:beforeAutospacing="1" w:after="100" w:afterAutospacing="1"/>
    </w:pPr>
    <w:rPr>
      <w:sz w:val="16"/>
      <w:szCs w:val="16"/>
    </w:rPr>
  </w:style>
  <w:style w:type="paragraph" w:customStyle="1" w:styleId="xl115">
    <w:name w:val="xl115"/>
    <w:basedOn w:val="Normal"/>
    <w:rsid w:val="00EC0602"/>
    <w:pPr>
      <w:shd w:val="clear" w:color="000000" w:fill="1F497D"/>
      <w:spacing w:before="100" w:beforeAutospacing="1" w:after="100" w:afterAutospacing="1"/>
    </w:pPr>
    <w:rPr>
      <w:b/>
      <w:bCs/>
      <w:color w:val="FFFFFF"/>
      <w:sz w:val="16"/>
      <w:szCs w:val="16"/>
    </w:rPr>
  </w:style>
  <w:style w:type="paragraph" w:customStyle="1" w:styleId="xl116">
    <w:name w:val="xl116"/>
    <w:basedOn w:val="Normal"/>
    <w:rsid w:val="00EC0602"/>
    <w:pPr>
      <w:shd w:val="clear" w:color="000000" w:fill="1F497D"/>
      <w:spacing w:before="100" w:beforeAutospacing="1" w:after="100" w:afterAutospacing="1"/>
    </w:pPr>
    <w:rPr>
      <w:color w:val="FFFF00"/>
      <w:sz w:val="16"/>
      <w:szCs w:val="16"/>
    </w:rPr>
  </w:style>
  <w:style w:type="paragraph" w:customStyle="1" w:styleId="xl117">
    <w:name w:val="xl117"/>
    <w:basedOn w:val="Normal"/>
    <w:rsid w:val="00EC0602"/>
    <w:pPr>
      <w:shd w:val="clear" w:color="000000" w:fill="1F497D"/>
      <w:spacing w:before="100" w:beforeAutospacing="1" w:after="100" w:afterAutospacing="1"/>
    </w:pPr>
    <w:rPr>
      <w:sz w:val="16"/>
      <w:szCs w:val="16"/>
    </w:rPr>
  </w:style>
  <w:style w:type="paragraph" w:customStyle="1" w:styleId="xl118">
    <w:name w:val="xl118"/>
    <w:basedOn w:val="Normal"/>
    <w:rsid w:val="00EC0602"/>
    <w:pPr>
      <w:pBdr>
        <w:left w:val="double" w:sz="6" w:space="0" w:color="auto"/>
      </w:pBdr>
      <w:shd w:val="clear" w:color="000000" w:fill="1F497D"/>
      <w:spacing w:before="100" w:beforeAutospacing="1" w:after="100" w:afterAutospacing="1"/>
    </w:pPr>
    <w:rPr>
      <w:sz w:val="16"/>
      <w:szCs w:val="16"/>
    </w:rPr>
  </w:style>
  <w:style w:type="paragraph" w:customStyle="1" w:styleId="xl119">
    <w:name w:val="xl119"/>
    <w:basedOn w:val="Normal"/>
    <w:rsid w:val="00EC0602"/>
    <w:pPr>
      <w:pBdr>
        <w:right w:val="double" w:sz="6" w:space="0" w:color="auto"/>
      </w:pBdr>
      <w:shd w:val="clear" w:color="000000" w:fill="1F497D"/>
      <w:spacing w:before="100" w:beforeAutospacing="1" w:after="100" w:afterAutospacing="1"/>
    </w:pPr>
    <w:rPr>
      <w:sz w:val="16"/>
      <w:szCs w:val="16"/>
    </w:rPr>
  </w:style>
  <w:style w:type="paragraph" w:customStyle="1" w:styleId="xl120">
    <w:name w:val="xl120"/>
    <w:basedOn w:val="Normal"/>
    <w:rsid w:val="00EC0602"/>
    <w:pPr>
      <w:shd w:val="clear" w:color="000000" w:fill="A6A6A6"/>
      <w:spacing w:before="100" w:beforeAutospacing="1" w:after="100" w:afterAutospacing="1"/>
      <w:textAlignment w:val="center"/>
    </w:pPr>
    <w:rPr>
      <w:b/>
      <w:bCs/>
      <w:sz w:val="16"/>
      <w:szCs w:val="16"/>
    </w:rPr>
  </w:style>
  <w:style w:type="paragraph" w:customStyle="1" w:styleId="xl121">
    <w:name w:val="xl121"/>
    <w:basedOn w:val="Normal"/>
    <w:rsid w:val="00EC0602"/>
    <w:pPr>
      <w:shd w:val="clear" w:color="000000" w:fill="C0504D"/>
      <w:spacing w:before="100" w:beforeAutospacing="1" w:after="100" w:afterAutospacing="1"/>
      <w:jc w:val="center"/>
      <w:textAlignment w:val="center"/>
    </w:pPr>
    <w:rPr>
      <w:b/>
      <w:bCs/>
      <w:color w:val="FFFF00"/>
      <w:sz w:val="16"/>
      <w:szCs w:val="16"/>
    </w:rPr>
  </w:style>
  <w:style w:type="paragraph" w:customStyle="1" w:styleId="xl122">
    <w:name w:val="xl122"/>
    <w:basedOn w:val="Normal"/>
    <w:rsid w:val="00EC0602"/>
    <w:pPr>
      <w:shd w:val="clear" w:color="000000" w:fill="C0504D"/>
      <w:spacing w:before="100" w:beforeAutospacing="1" w:after="100" w:afterAutospacing="1"/>
    </w:pPr>
    <w:rPr>
      <w:sz w:val="16"/>
      <w:szCs w:val="16"/>
    </w:rPr>
  </w:style>
  <w:style w:type="paragraph" w:customStyle="1" w:styleId="xl123">
    <w:name w:val="xl123"/>
    <w:basedOn w:val="Normal"/>
    <w:rsid w:val="00EC0602"/>
    <w:pPr>
      <w:shd w:val="clear" w:color="000000" w:fill="1F497D"/>
      <w:spacing w:before="100" w:beforeAutospacing="1" w:after="100" w:afterAutospacing="1"/>
      <w:textAlignment w:val="center"/>
    </w:pPr>
    <w:rPr>
      <w:sz w:val="16"/>
      <w:szCs w:val="16"/>
    </w:rPr>
  </w:style>
  <w:style w:type="paragraph" w:customStyle="1" w:styleId="xl124">
    <w:name w:val="xl124"/>
    <w:basedOn w:val="Normal"/>
    <w:rsid w:val="00EC0602"/>
    <w:pPr>
      <w:shd w:val="clear" w:color="000000" w:fill="1F497D"/>
      <w:spacing w:before="100" w:beforeAutospacing="1" w:after="100" w:afterAutospacing="1"/>
      <w:textAlignment w:val="center"/>
    </w:pPr>
    <w:rPr>
      <w:color w:val="FFFF00"/>
      <w:sz w:val="16"/>
      <w:szCs w:val="16"/>
    </w:rPr>
  </w:style>
  <w:style w:type="paragraph" w:customStyle="1" w:styleId="xl125">
    <w:name w:val="xl125"/>
    <w:basedOn w:val="Normal"/>
    <w:rsid w:val="00EC0602"/>
    <w:pPr>
      <w:pBdr>
        <w:left w:val="double" w:sz="6" w:space="0" w:color="auto"/>
      </w:pBdr>
      <w:shd w:val="clear" w:color="000000" w:fill="1F497D"/>
      <w:spacing w:before="100" w:beforeAutospacing="1" w:after="100" w:afterAutospacing="1"/>
      <w:textAlignment w:val="center"/>
    </w:pPr>
    <w:rPr>
      <w:sz w:val="16"/>
      <w:szCs w:val="16"/>
    </w:rPr>
  </w:style>
  <w:style w:type="paragraph" w:customStyle="1" w:styleId="xl126">
    <w:name w:val="xl126"/>
    <w:basedOn w:val="Normal"/>
    <w:rsid w:val="00EC0602"/>
    <w:pPr>
      <w:pBdr>
        <w:right w:val="double" w:sz="6" w:space="0" w:color="auto"/>
      </w:pBdr>
      <w:shd w:val="clear" w:color="000000" w:fill="1F497D"/>
      <w:spacing w:before="100" w:beforeAutospacing="1" w:after="100" w:afterAutospacing="1"/>
      <w:textAlignment w:val="center"/>
    </w:pPr>
    <w:rPr>
      <w:sz w:val="16"/>
      <w:szCs w:val="16"/>
    </w:rPr>
  </w:style>
  <w:style w:type="paragraph" w:customStyle="1" w:styleId="xl127">
    <w:name w:val="xl127"/>
    <w:basedOn w:val="Normal"/>
    <w:rsid w:val="00EC0602"/>
    <w:pPr>
      <w:shd w:val="clear" w:color="000000" w:fill="DCE6F1"/>
      <w:spacing w:before="100" w:beforeAutospacing="1" w:after="100" w:afterAutospacing="1"/>
    </w:pPr>
    <w:rPr>
      <w:sz w:val="16"/>
      <w:szCs w:val="16"/>
    </w:rPr>
  </w:style>
  <w:style w:type="paragraph" w:customStyle="1" w:styleId="xl128">
    <w:name w:val="xl128"/>
    <w:basedOn w:val="Normal"/>
    <w:rsid w:val="00EC0602"/>
    <w:pPr>
      <w:shd w:val="clear" w:color="000000" w:fill="DCE6F1"/>
      <w:spacing w:before="100" w:beforeAutospacing="1" w:after="100" w:afterAutospacing="1"/>
      <w:jc w:val="center"/>
    </w:pPr>
    <w:rPr>
      <w:b/>
      <w:bCs/>
      <w:sz w:val="16"/>
      <w:szCs w:val="16"/>
    </w:rPr>
  </w:style>
  <w:style w:type="paragraph" w:customStyle="1" w:styleId="xl129">
    <w:name w:val="xl129"/>
    <w:basedOn w:val="Normal"/>
    <w:rsid w:val="00EC0602"/>
    <w:pPr>
      <w:shd w:val="clear" w:color="000000" w:fill="FFFFFF"/>
      <w:spacing w:before="100" w:beforeAutospacing="1" w:after="100" w:afterAutospacing="1"/>
    </w:pPr>
    <w:rPr>
      <w:sz w:val="16"/>
      <w:szCs w:val="16"/>
    </w:rPr>
  </w:style>
  <w:style w:type="paragraph" w:customStyle="1" w:styleId="xl130">
    <w:name w:val="xl130"/>
    <w:basedOn w:val="Normal"/>
    <w:rsid w:val="00EC0602"/>
    <w:pPr>
      <w:pBdr>
        <w:left w:val="double" w:sz="6" w:space="0" w:color="auto"/>
      </w:pBdr>
      <w:shd w:val="clear" w:color="000000" w:fill="DCE6F1"/>
      <w:spacing w:before="100" w:beforeAutospacing="1" w:after="100" w:afterAutospacing="1"/>
    </w:pPr>
    <w:rPr>
      <w:sz w:val="16"/>
      <w:szCs w:val="16"/>
    </w:rPr>
  </w:style>
  <w:style w:type="paragraph" w:customStyle="1" w:styleId="xl131">
    <w:name w:val="xl131"/>
    <w:basedOn w:val="Normal"/>
    <w:rsid w:val="00EC0602"/>
    <w:pPr>
      <w:pBdr>
        <w:right w:val="double" w:sz="6" w:space="0" w:color="auto"/>
      </w:pBdr>
      <w:shd w:val="clear" w:color="000000" w:fill="DCE6F1"/>
      <w:spacing w:before="100" w:beforeAutospacing="1" w:after="100" w:afterAutospacing="1"/>
    </w:pPr>
    <w:rPr>
      <w:sz w:val="16"/>
      <w:szCs w:val="16"/>
    </w:rPr>
  </w:style>
  <w:style w:type="paragraph" w:customStyle="1" w:styleId="xl132">
    <w:name w:val="xl132"/>
    <w:basedOn w:val="Normal"/>
    <w:rsid w:val="00EC0602"/>
    <w:pPr>
      <w:spacing w:before="100" w:beforeAutospacing="1" w:after="100" w:afterAutospacing="1"/>
    </w:pPr>
    <w:rPr>
      <w:sz w:val="16"/>
      <w:szCs w:val="16"/>
    </w:rPr>
  </w:style>
  <w:style w:type="paragraph" w:customStyle="1" w:styleId="xl133">
    <w:name w:val="xl133"/>
    <w:basedOn w:val="Normal"/>
    <w:rsid w:val="00EC0602"/>
    <w:pPr>
      <w:shd w:val="clear" w:color="000000" w:fill="A6A6A6"/>
      <w:spacing w:before="100" w:beforeAutospacing="1" w:after="100" w:afterAutospacing="1"/>
    </w:pPr>
    <w:rPr>
      <w:color w:val="FFFF00"/>
      <w:sz w:val="16"/>
      <w:szCs w:val="16"/>
    </w:rPr>
  </w:style>
  <w:style w:type="paragraph" w:customStyle="1" w:styleId="xl134">
    <w:name w:val="xl134"/>
    <w:basedOn w:val="Normal"/>
    <w:rsid w:val="00EC0602"/>
    <w:pPr>
      <w:shd w:val="clear" w:color="000000" w:fill="A6A6A6"/>
      <w:spacing w:before="100" w:beforeAutospacing="1" w:after="100" w:afterAutospacing="1"/>
    </w:pPr>
    <w:rPr>
      <w:b/>
      <w:bCs/>
      <w:sz w:val="16"/>
      <w:szCs w:val="16"/>
    </w:rPr>
  </w:style>
  <w:style w:type="paragraph" w:customStyle="1" w:styleId="xl135">
    <w:name w:val="xl135"/>
    <w:basedOn w:val="Normal"/>
    <w:rsid w:val="00EC0602"/>
    <w:pPr>
      <w:shd w:val="clear" w:color="000000" w:fill="DCE6F1"/>
      <w:spacing w:before="100" w:beforeAutospacing="1" w:after="100" w:afterAutospacing="1"/>
      <w:jc w:val="center"/>
    </w:pPr>
    <w:rPr>
      <w:sz w:val="16"/>
      <w:szCs w:val="16"/>
    </w:rPr>
  </w:style>
  <w:style w:type="paragraph" w:customStyle="1" w:styleId="xl136">
    <w:name w:val="xl136"/>
    <w:basedOn w:val="Normal"/>
    <w:rsid w:val="00EC0602"/>
    <w:pPr>
      <w:spacing w:before="100" w:beforeAutospacing="1" w:after="100" w:afterAutospacing="1"/>
      <w:jc w:val="center"/>
    </w:pPr>
    <w:rPr>
      <w:sz w:val="16"/>
      <w:szCs w:val="16"/>
    </w:rPr>
  </w:style>
  <w:style w:type="paragraph" w:customStyle="1" w:styleId="xl137">
    <w:name w:val="xl137"/>
    <w:basedOn w:val="Normal"/>
    <w:rsid w:val="00EC0602"/>
    <w:pPr>
      <w:shd w:val="clear" w:color="000000" w:fill="A6A6A6"/>
      <w:spacing w:before="100" w:beforeAutospacing="1" w:after="100" w:afterAutospacing="1"/>
    </w:pPr>
    <w:rPr>
      <w:b/>
      <w:bCs/>
      <w:sz w:val="16"/>
      <w:szCs w:val="16"/>
    </w:rPr>
  </w:style>
  <w:style w:type="paragraph" w:customStyle="1" w:styleId="xl138">
    <w:name w:val="xl138"/>
    <w:basedOn w:val="Normal"/>
    <w:rsid w:val="00EC0602"/>
    <w:pPr>
      <w:pBdr>
        <w:left w:val="double" w:sz="6" w:space="0" w:color="auto"/>
      </w:pBdr>
      <w:shd w:val="clear" w:color="000000" w:fill="A6A6A6"/>
      <w:spacing w:before="100" w:beforeAutospacing="1" w:after="100" w:afterAutospacing="1"/>
    </w:pPr>
    <w:rPr>
      <w:b/>
      <w:bCs/>
      <w:sz w:val="16"/>
      <w:szCs w:val="16"/>
    </w:rPr>
  </w:style>
  <w:style w:type="paragraph" w:customStyle="1" w:styleId="xl139">
    <w:name w:val="xl139"/>
    <w:basedOn w:val="Normal"/>
    <w:rsid w:val="00EC0602"/>
    <w:pPr>
      <w:shd w:val="clear" w:color="000000" w:fill="F79646"/>
      <w:spacing w:before="100" w:beforeAutospacing="1" w:after="100" w:afterAutospacing="1"/>
      <w:jc w:val="center"/>
      <w:textAlignment w:val="center"/>
    </w:pPr>
    <w:rPr>
      <w:b/>
      <w:bCs/>
      <w:color w:val="FFFF00"/>
      <w:sz w:val="16"/>
      <w:szCs w:val="16"/>
    </w:rPr>
  </w:style>
  <w:style w:type="paragraph" w:customStyle="1" w:styleId="xl140">
    <w:name w:val="xl140"/>
    <w:basedOn w:val="Normal"/>
    <w:rsid w:val="00EC0602"/>
    <w:pPr>
      <w:shd w:val="clear" w:color="000000" w:fill="A6A6A6"/>
      <w:spacing w:before="100" w:beforeAutospacing="1" w:after="100" w:afterAutospacing="1"/>
    </w:pPr>
    <w:rPr>
      <w:sz w:val="16"/>
      <w:szCs w:val="16"/>
    </w:rPr>
  </w:style>
  <w:style w:type="paragraph" w:customStyle="1" w:styleId="xl141">
    <w:name w:val="xl141"/>
    <w:basedOn w:val="Normal"/>
    <w:rsid w:val="00EC0602"/>
    <w:pPr>
      <w:shd w:val="clear" w:color="000000" w:fill="A6A6A6"/>
      <w:spacing w:before="100" w:beforeAutospacing="1" w:after="100" w:afterAutospacing="1"/>
      <w:textAlignment w:val="center"/>
    </w:pPr>
    <w:rPr>
      <w:b/>
      <w:bCs/>
      <w:sz w:val="16"/>
      <w:szCs w:val="16"/>
    </w:rPr>
  </w:style>
  <w:style w:type="paragraph" w:customStyle="1" w:styleId="xl142">
    <w:name w:val="xl142"/>
    <w:basedOn w:val="Normal"/>
    <w:rsid w:val="00EC0602"/>
    <w:pPr>
      <w:pBdr>
        <w:left w:val="double" w:sz="6" w:space="0" w:color="auto"/>
      </w:pBdr>
      <w:shd w:val="clear" w:color="000000" w:fill="A6A6A6"/>
      <w:spacing w:before="100" w:beforeAutospacing="1" w:after="100" w:afterAutospacing="1"/>
    </w:pPr>
    <w:rPr>
      <w:sz w:val="16"/>
      <w:szCs w:val="16"/>
    </w:rPr>
  </w:style>
  <w:style w:type="paragraph" w:customStyle="1" w:styleId="xl143">
    <w:name w:val="xl143"/>
    <w:basedOn w:val="Normal"/>
    <w:rsid w:val="00EC0602"/>
    <w:pPr>
      <w:shd w:val="clear" w:color="000000" w:fill="A6A6A6"/>
      <w:spacing w:before="100" w:beforeAutospacing="1" w:after="100" w:afterAutospacing="1"/>
    </w:pPr>
    <w:rPr>
      <w:b/>
      <w:bCs/>
      <w:sz w:val="16"/>
      <w:szCs w:val="16"/>
    </w:rPr>
  </w:style>
  <w:style w:type="paragraph" w:customStyle="1" w:styleId="xl144">
    <w:name w:val="xl144"/>
    <w:basedOn w:val="Normal"/>
    <w:rsid w:val="00EC0602"/>
    <w:pPr>
      <w:pBdr>
        <w:left w:val="double" w:sz="6" w:space="0" w:color="auto"/>
      </w:pBdr>
      <w:shd w:val="clear" w:color="000000" w:fill="A6A6A6"/>
      <w:spacing w:before="100" w:beforeAutospacing="1" w:after="100" w:afterAutospacing="1"/>
    </w:pPr>
    <w:rPr>
      <w:b/>
      <w:bCs/>
      <w:sz w:val="16"/>
      <w:szCs w:val="16"/>
    </w:rPr>
  </w:style>
  <w:style w:type="paragraph" w:customStyle="1" w:styleId="xl145">
    <w:name w:val="xl145"/>
    <w:basedOn w:val="Normal"/>
    <w:rsid w:val="00EC0602"/>
    <w:pPr>
      <w:shd w:val="clear" w:color="000000" w:fill="A6A6A6"/>
      <w:spacing w:before="100" w:beforeAutospacing="1" w:after="100" w:afterAutospacing="1"/>
    </w:pPr>
    <w:rPr>
      <w:b/>
      <w:bCs/>
      <w:color w:val="FFFFFF"/>
      <w:sz w:val="16"/>
      <w:szCs w:val="16"/>
    </w:rPr>
  </w:style>
  <w:style w:type="paragraph" w:customStyle="1" w:styleId="xl146">
    <w:name w:val="xl146"/>
    <w:basedOn w:val="Normal"/>
    <w:rsid w:val="00EC0602"/>
    <w:pPr>
      <w:pBdr>
        <w:right w:val="double" w:sz="6" w:space="0" w:color="auto"/>
      </w:pBdr>
      <w:shd w:val="clear" w:color="000000" w:fill="A6A6A6"/>
      <w:spacing w:before="100" w:beforeAutospacing="1" w:after="100" w:afterAutospacing="1"/>
    </w:pPr>
    <w:rPr>
      <w:sz w:val="16"/>
      <w:szCs w:val="16"/>
    </w:rPr>
  </w:style>
  <w:style w:type="paragraph" w:customStyle="1" w:styleId="xl147">
    <w:name w:val="xl147"/>
    <w:basedOn w:val="Normal"/>
    <w:rsid w:val="00EC0602"/>
    <w:pPr>
      <w:pBdr>
        <w:left w:val="double" w:sz="6" w:space="0" w:color="auto"/>
      </w:pBdr>
      <w:shd w:val="clear" w:color="000000" w:fill="C0504D"/>
      <w:spacing w:before="100" w:beforeAutospacing="1" w:after="100" w:afterAutospacing="1"/>
      <w:jc w:val="center"/>
      <w:textAlignment w:val="center"/>
    </w:pPr>
    <w:rPr>
      <w:b/>
      <w:bCs/>
      <w:color w:val="FFFF00"/>
      <w:sz w:val="16"/>
      <w:szCs w:val="16"/>
    </w:rPr>
  </w:style>
  <w:style w:type="paragraph" w:customStyle="1" w:styleId="xl148">
    <w:name w:val="xl148"/>
    <w:basedOn w:val="Normal"/>
    <w:rsid w:val="00EC0602"/>
    <w:pPr>
      <w:pBdr>
        <w:right w:val="double" w:sz="6" w:space="0" w:color="auto"/>
      </w:pBdr>
      <w:shd w:val="clear" w:color="000000" w:fill="C0504D"/>
      <w:spacing w:before="100" w:beforeAutospacing="1" w:after="100" w:afterAutospacing="1"/>
      <w:jc w:val="center"/>
      <w:textAlignment w:val="center"/>
    </w:pPr>
    <w:rPr>
      <w:b/>
      <w:bCs/>
      <w:color w:val="FFFF00"/>
      <w:sz w:val="16"/>
      <w:szCs w:val="16"/>
    </w:rPr>
  </w:style>
  <w:style w:type="paragraph" w:customStyle="1" w:styleId="xl149">
    <w:name w:val="xl149"/>
    <w:basedOn w:val="Normal"/>
    <w:rsid w:val="00EC0602"/>
    <w:pPr>
      <w:shd w:val="clear" w:color="000000" w:fill="DCE6F1"/>
      <w:spacing w:before="100" w:beforeAutospacing="1" w:after="100" w:afterAutospacing="1"/>
    </w:pPr>
    <w:rPr>
      <w:b/>
      <w:bCs/>
      <w:sz w:val="16"/>
      <w:szCs w:val="16"/>
    </w:rPr>
  </w:style>
  <w:style w:type="paragraph" w:customStyle="1" w:styleId="xl150">
    <w:name w:val="xl150"/>
    <w:basedOn w:val="Normal"/>
    <w:rsid w:val="00EC0602"/>
    <w:pPr>
      <w:shd w:val="clear" w:color="000000" w:fill="FFFFFF"/>
      <w:spacing w:before="100" w:beforeAutospacing="1" w:after="100" w:afterAutospacing="1"/>
    </w:pPr>
    <w:rPr>
      <w:b/>
      <w:bCs/>
      <w:sz w:val="16"/>
      <w:szCs w:val="16"/>
    </w:rPr>
  </w:style>
  <w:style w:type="paragraph" w:customStyle="1" w:styleId="xl151">
    <w:name w:val="xl151"/>
    <w:basedOn w:val="Normal"/>
    <w:rsid w:val="00EC0602"/>
    <w:pPr>
      <w:pBdr>
        <w:left w:val="double" w:sz="6" w:space="0" w:color="auto"/>
      </w:pBdr>
      <w:shd w:val="clear" w:color="000000" w:fill="DCE6F1"/>
      <w:spacing w:before="100" w:beforeAutospacing="1" w:after="100" w:afterAutospacing="1"/>
    </w:pPr>
    <w:rPr>
      <w:b/>
      <w:bCs/>
      <w:sz w:val="16"/>
      <w:szCs w:val="16"/>
    </w:rPr>
  </w:style>
  <w:style w:type="paragraph" w:customStyle="1" w:styleId="xl152">
    <w:name w:val="xl152"/>
    <w:basedOn w:val="Normal"/>
    <w:rsid w:val="00EC0602"/>
    <w:pPr>
      <w:shd w:val="clear" w:color="000000" w:fill="DCE6F1"/>
      <w:spacing w:before="100" w:beforeAutospacing="1" w:after="100" w:afterAutospacing="1"/>
    </w:pPr>
    <w:rPr>
      <w:b/>
      <w:bCs/>
      <w:sz w:val="16"/>
      <w:szCs w:val="16"/>
    </w:rPr>
  </w:style>
  <w:style w:type="paragraph" w:customStyle="1" w:styleId="xl153">
    <w:name w:val="xl153"/>
    <w:basedOn w:val="Normal"/>
    <w:rsid w:val="00EC0602"/>
    <w:pPr>
      <w:pBdr>
        <w:right w:val="double" w:sz="6" w:space="0" w:color="auto"/>
      </w:pBdr>
      <w:shd w:val="clear" w:color="000000" w:fill="A6A6A6"/>
      <w:spacing w:before="100" w:beforeAutospacing="1" w:after="100" w:afterAutospacing="1"/>
      <w:textAlignment w:val="center"/>
    </w:pPr>
    <w:rPr>
      <w:b/>
      <w:bCs/>
      <w:sz w:val="16"/>
      <w:szCs w:val="16"/>
    </w:rPr>
  </w:style>
  <w:style w:type="paragraph" w:customStyle="1" w:styleId="xl154">
    <w:name w:val="xl154"/>
    <w:basedOn w:val="Normal"/>
    <w:rsid w:val="00EC0602"/>
    <w:pPr>
      <w:shd w:val="clear" w:color="000000" w:fill="DCE6F1"/>
      <w:spacing w:before="100" w:beforeAutospacing="1" w:after="100" w:afterAutospacing="1"/>
    </w:pPr>
    <w:rPr>
      <w:b/>
      <w:bCs/>
      <w:color w:val="FFFFFF"/>
      <w:sz w:val="16"/>
      <w:szCs w:val="16"/>
    </w:rPr>
  </w:style>
  <w:style w:type="paragraph" w:customStyle="1" w:styleId="xl155">
    <w:name w:val="xl155"/>
    <w:basedOn w:val="Normal"/>
    <w:rsid w:val="00EC0602"/>
    <w:pPr>
      <w:shd w:val="clear" w:color="000000" w:fill="FFFFFF"/>
      <w:spacing w:before="100" w:beforeAutospacing="1" w:after="100" w:afterAutospacing="1"/>
    </w:pPr>
    <w:rPr>
      <w:color w:val="FFFF00"/>
      <w:sz w:val="16"/>
      <w:szCs w:val="16"/>
    </w:rPr>
  </w:style>
  <w:style w:type="paragraph" w:customStyle="1" w:styleId="xl156">
    <w:name w:val="xl156"/>
    <w:basedOn w:val="Normal"/>
    <w:rsid w:val="00EC0602"/>
    <w:pPr>
      <w:shd w:val="clear" w:color="000000" w:fill="A6A6A6"/>
      <w:spacing w:before="100" w:beforeAutospacing="1" w:after="100" w:afterAutospacing="1"/>
    </w:pPr>
    <w:rPr>
      <w:color w:val="F2F2F2"/>
      <w:sz w:val="16"/>
      <w:szCs w:val="16"/>
    </w:rPr>
  </w:style>
  <w:style w:type="paragraph" w:customStyle="1" w:styleId="xl157">
    <w:name w:val="xl157"/>
    <w:basedOn w:val="Normal"/>
    <w:rsid w:val="00EC0602"/>
    <w:pPr>
      <w:pBdr>
        <w:left w:val="double" w:sz="6" w:space="0" w:color="auto"/>
      </w:pBdr>
      <w:shd w:val="clear" w:color="000000" w:fill="A6A6A6"/>
      <w:spacing w:before="100" w:beforeAutospacing="1" w:after="100" w:afterAutospacing="1"/>
    </w:pPr>
    <w:rPr>
      <w:color w:val="F2F2F2"/>
      <w:sz w:val="16"/>
      <w:szCs w:val="16"/>
    </w:rPr>
  </w:style>
  <w:style w:type="paragraph" w:customStyle="1" w:styleId="xl158">
    <w:name w:val="xl158"/>
    <w:basedOn w:val="Normal"/>
    <w:rsid w:val="00EC0602"/>
    <w:pPr>
      <w:pBdr>
        <w:right w:val="double" w:sz="6" w:space="0" w:color="auto"/>
      </w:pBdr>
      <w:shd w:val="clear" w:color="000000" w:fill="A6A6A6"/>
      <w:spacing w:before="100" w:beforeAutospacing="1" w:after="100" w:afterAutospacing="1"/>
    </w:pPr>
    <w:rPr>
      <w:color w:val="F2F2F2"/>
      <w:sz w:val="16"/>
      <w:szCs w:val="16"/>
    </w:rPr>
  </w:style>
  <w:style w:type="paragraph" w:customStyle="1" w:styleId="xl159">
    <w:name w:val="xl159"/>
    <w:basedOn w:val="Normal"/>
    <w:rsid w:val="00EC0602"/>
    <w:pPr>
      <w:pBdr>
        <w:left w:val="double" w:sz="6" w:space="0" w:color="auto"/>
      </w:pBdr>
      <w:shd w:val="clear" w:color="000000" w:fill="F79646"/>
      <w:spacing w:before="100" w:beforeAutospacing="1" w:after="100" w:afterAutospacing="1"/>
      <w:jc w:val="center"/>
      <w:textAlignment w:val="center"/>
    </w:pPr>
    <w:rPr>
      <w:b/>
      <w:bCs/>
      <w:color w:val="FFFF00"/>
      <w:sz w:val="16"/>
      <w:szCs w:val="16"/>
    </w:rPr>
  </w:style>
  <w:style w:type="paragraph" w:customStyle="1" w:styleId="xl160">
    <w:name w:val="xl160"/>
    <w:basedOn w:val="Normal"/>
    <w:rsid w:val="00EC0602"/>
    <w:pPr>
      <w:shd w:val="clear" w:color="000000" w:fill="A6A6A6"/>
      <w:spacing w:before="100" w:beforeAutospacing="1" w:after="100" w:afterAutospacing="1"/>
    </w:pPr>
    <w:rPr>
      <w:sz w:val="16"/>
      <w:szCs w:val="16"/>
    </w:rPr>
  </w:style>
  <w:style w:type="paragraph" w:customStyle="1" w:styleId="xl161">
    <w:name w:val="xl161"/>
    <w:basedOn w:val="Normal"/>
    <w:rsid w:val="00EC0602"/>
    <w:pPr>
      <w:pBdr>
        <w:left w:val="double" w:sz="6" w:space="0" w:color="auto"/>
      </w:pBdr>
      <w:shd w:val="clear" w:color="000000" w:fill="A6A6A6"/>
      <w:spacing w:before="100" w:beforeAutospacing="1" w:after="100" w:afterAutospacing="1"/>
    </w:pPr>
    <w:rPr>
      <w:sz w:val="16"/>
      <w:szCs w:val="16"/>
    </w:rPr>
  </w:style>
  <w:style w:type="paragraph" w:customStyle="1" w:styleId="xl162">
    <w:name w:val="xl162"/>
    <w:basedOn w:val="Normal"/>
    <w:rsid w:val="00EC0602"/>
    <w:pPr>
      <w:pBdr>
        <w:right w:val="double" w:sz="6" w:space="0" w:color="auto"/>
      </w:pBdr>
      <w:shd w:val="clear" w:color="000000" w:fill="A6A6A6"/>
      <w:spacing w:before="100" w:beforeAutospacing="1" w:after="100" w:afterAutospacing="1"/>
    </w:pPr>
    <w:rPr>
      <w:sz w:val="16"/>
      <w:szCs w:val="16"/>
    </w:rPr>
  </w:style>
  <w:style w:type="paragraph" w:customStyle="1" w:styleId="xl163">
    <w:name w:val="xl163"/>
    <w:basedOn w:val="Normal"/>
    <w:rsid w:val="00EC0602"/>
    <w:pPr>
      <w:pBdr>
        <w:bottom w:val="single" w:sz="4" w:space="0" w:color="auto"/>
      </w:pBdr>
      <w:spacing w:before="100" w:beforeAutospacing="1" w:after="100" w:afterAutospacing="1"/>
      <w:jc w:val="center"/>
    </w:pPr>
    <w:rPr>
      <w:b/>
      <w:bCs/>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134951">
      <w:bodyDiv w:val="1"/>
      <w:marLeft w:val="0"/>
      <w:marRight w:val="0"/>
      <w:marTop w:val="0"/>
      <w:marBottom w:val="0"/>
      <w:divBdr>
        <w:top w:val="none" w:sz="0" w:space="0" w:color="auto"/>
        <w:left w:val="none" w:sz="0" w:space="0" w:color="auto"/>
        <w:bottom w:val="none" w:sz="0" w:space="0" w:color="auto"/>
        <w:right w:val="none" w:sz="0" w:space="0" w:color="auto"/>
      </w:divBdr>
    </w:div>
    <w:div w:id="858810735">
      <w:bodyDiv w:val="1"/>
      <w:marLeft w:val="0"/>
      <w:marRight w:val="0"/>
      <w:marTop w:val="0"/>
      <w:marBottom w:val="0"/>
      <w:divBdr>
        <w:top w:val="none" w:sz="0" w:space="0" w:color="auto"/>
        <w:left w:val="none" w:sz="0" w:space="0" w:color="auto"/>
        <w:bottom w:val="none" w:sz="0" w:space="0" w:color="auto"/>
        <w:right w:val="none" w:sz="0" w:space="0" w:color="auto"/>
      </w:divBdr>
    </w:div>
    <w:div w:id="946229867">
      <w:bodyDiv w:val="1"/>
      <w:marLeft w:val="0"/>
      <w:marRight w:val="0"/>
      <w:marTop w:val="0"/>
      <w:marBottom w:val="0"/>
      <w:divBdr>
        <w:top w:val="none" w:sz="0" w:space="0" w:color="auto"/>
        <w:left w:val="none" w:sz="0" w:space="0" w:color="auto"/>
        <w:bottom w:val="none" w:sz="0" w:space="0" w:color="auto"/>
        <w:right w:val="none" w:sz="0" w:space="0" w:color="auto"/>
      </w:divBdr>
    </w:div>
    <w:div w:id="1722821082">
      <w:bodyDiv w:val="1"/>
      <w:marLeft w:val="0"/>
      <w:marRight w:val="0"/>
      <w:marTop w:val="0"/>
      <w:marBottom w:val="0"/>
      <w:divBdr>
        <w:top w:val="none" w:sz="0" w:space="0" w:color="auto"/>
        <w:left w:val="none" w:sz="0" w:space="0" w:color="auto"/>
        <w:bottom w:val="none" w:sz="0" w:space="0" w:color="auto"/>
        <w:right w:val="none" w:sz="0" w:space="0" w:color="auto"/>
      </w:divBdr>
    </w:div>
    <w:div w:id="2045444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875B6C-7044-426B-96D6-5782619F5F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7F7838E6</Template>
  <TotalTime>811</TotalTime>
  <Pages>9</Pages>
  <Words>2389</Words>
  <Characters>14955</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Regulatory Affairs Division Submission</vt:lpstr>
    </vt:vector>
  </TitlesOfParts>
  <Company>ACCC</Company>
  <LinksUpToDate>false</LinksUpToDate>
  <CharactersWithSpaces>17310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Regulatory Affairs Division Submission</dc:title>
  <dc:creator>lsevi</dc:creator>
  <cp:lastModifiedBy>Simpson, Matthew</cp:lastModifiedBy>
  <cp:revision>32</cp:revision>
  <cp:lastPrinted>2011-06-02T02:56:00Z</cp:lastPrinted>
  <dcterms:created xsi:type="dcterms:W3CDTF">2016-04-14T06:24:00Z</dcterms:created>
  <dcterms:modified xsi:type="dcterms:W3CDTF">2016-06-06T07:13:00Z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8660582</vt:lpwstr>
  </property>
  <property fmtid="{D5CDD505-2E9C-101B-9397-08002B2CF9AE}" pid="3" name="currfile">
    <vt:lpwstr>\\cdchnas-evs02\home$\msimp\rule change application - deferral of review of rate of return guideline - cover letter and attachment a (D2016-00046617).docx</vt:lpwstr>
  </property>
</Properties>
</file>