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77298AFE" wp14:editId="0FC62A50">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2F197D" w:rsidRPr="00DB723B" w:rsidRDefault="002F197D" w:rsidP="001B6A5C"/>
        <w:p w:rsidR="00DB723B" w:rsidRPr="00DB723B" w:rsidRDefault="002F197D" w:rsidP="00327A1E">
          <w:pPr>
            <w:pStyle w:val="ReportTitle"/>
          </w:pPr>
          <w:r>
            <w:t>Decision</w:t>
          </w:r>
        </w:p>
        <w:p w:rsidR="002F197D" w:rsidRDefault="002F197D" w:rsidP="00327A1E">
          <w:pPr>
            <w:pStyle w:val="ReportTitle"/>
          </w:pPr>
        </w:p>
        <w:p w:rsidR="00DB723B" w:rsidRDefault="00F86B9C" w:rsidP="00916AB0">
          <w:pPr>
            <w:pStyle w:val="ReportTitle"/>
          </w:pPr>
          <w:r>
            <w:t>Allgas</w:t>
          </w:r>
          <w:r w:rsidR="00916AB0">
            <w:t xml:space="preserve"> - </w:t>
          </w:r>
          <w:r w:rsidR="002F197D">
            <w:t>Negative carbon cost pass through</w:t>
          </w:r>
        </w:p>
        <w:p w:rsidR="002F197D" w:rsidRPr="00DB723B" w:rsidRDefault="00F86B9C" w:rsidP="00327A1E">
          <w:pPr>
            <w:pStyle w:val="ReportSubtitle"/>
          </w:pPr>
          <w:r>
            <w:t>2015-16</w:t>
          </w:r>
        </w:p>
        <w:p w:rsidR="002F197D" w:rsidRDefault="002F197D" w:rsidP="00327A1E">
          <w:pPr>
            <w:pStyle w:val="ReportDate"/>
          </w:pPr>
        </w:p>
        <w:p w:rsidR="00DB723B" w:rsidRPr="00DB723B" w:rsidRDefault="008E63B4" w:rsidP="00327A1E">
          <w:pPr>
            <w:pStyle w:val="ReportDate"/>
          </w:pPr>
          <w:r>
            <w:t>May</w:t>
          </w:r>
          <w:r w:rsidR="00DB723B" w:rsidRPr="00DB723B">
            <w:t xml:space="preserve"> 201</w:t>
          </w:r>
          <w:r w:rsidR="00DB723B">
            <w:t>5</w:t>
          </w:r>
        </w:p>
        <w:p w:rsidR="00DB723B" w:rsidRPr="00DB723B" w:rsidRDefault="00DB723B" w:rsidP="00DB723B">
          <w:r w:rsidRPr="00DB723B">
            <w:br w:type="page"/>
          </w:r>
        </w:p>
        <w:p w:rsidR="00327A1E" w:rsidRPr="00664B8E" w:rsidRDefault="00252875">
          <w:pPr>
            <w:spacing w:line="240" w:lineRule="auto"/>
            <w:rPr>
              <w:rFonts w:eastAsiaTheme="majorEastAsia" w:cstheme="majorBidi"/>
              <w:b/>
              <w:noProof/>
              <w:sz w:val="72"/>
              <w:szCs w:val="72"/>
              <w:lang w:eastAsia="en-AU"/>
            </w:rPr>
          </w:pPr>
        </w:p>
      </w:sdtContent>
    </w:sdt>
    <w:p w:rsidR="000A6C7B" w:rsidRDefault="000A6C7B" w:rsidP="00327A1E">
      <w:pPr>
        <w:pStyle w:val="Copyright"/>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p>
    <w:p w:rsidR="000A6C7B" w:rsidRDefault="000A6C7B" w:rsidP="000A6C7B"/>
    <w:p w:rsidR="000A6C7B" w:rsidRDefault="000A6C7B" w:rsidP="009D6B46"/>
    <w:p w:rsidR="002010BC" w:rsidRDefault="002010BC">
      <w:pPr>
        <w:spacing w:line="240" w:lineRule="auto"/>
      </w:pPr>
      <w:r>
        <w:br w:type="page"/>
      </w:r>
    </w:p>
    <w:p w:rsidR="002010BC" w:rsidRDefault="002010BC" w:rsidP="00DB5074"/>
    <w:p w:rsidR="002010BC" w:rsidRDefault="00A75077" w:rsidP="00A75077">
      <w:pPr>
        <w:pStyle w:val="TOCHeading"/>
      </w:pPr>
      <w:r>
        <w:t>Contents</w:t>
      </w:r>
    </w:p>
    <w:p w:rsidR="004D7E5D"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9444577" w:history="1">
        <w:r w:rsidR="004D7E5D" w:rsidRPr="00CB2F1F">
          <w:rPr>
            <w:rStyle w:val="Hyperlink"/>
          </w:rPr>
          <w:t>1</w:t>
        </w:r>
        <w:r w:rsidR="004D7E5D">
          <w:rPr>
            <w:rFonts w:asciiTheme="minorHAnsi" w:eastAsiaTheme="minorEastAsia" w:hAnsiTheme="minorHAnsi"/>
            <w:b w:val="0"/>
            <w:color w:val="auto"/>
            <w:sz w:val="22"/>
            <w:lang w:val="en-AU" w:eastAsia="en-AU"/>
          </w:rPr>
          <w:tab/>
        </w:r>
        <w:r w:rsidR="004D7E5D" w:rsidRPr="00CB2F1F">
          <w:rPr>
            <w:rStyle w:val="Hyperlink"/>
          </w:rPr>
          <w:t>Summary</w:t>
        </w:r>
        <w:r w:rsidR="004D7E5D">
          <w:rPr>
            <w:webHidden/>
          </w:rPr>
          <w:tab/>
        </w:r>
        <w:r w:rsidR="004D7E5D">
          <w:rPr>
            <w:webHidden/>
          </w:rPr>
          <w:fldChar w:fldCharType="begin"/>
        </w:r>
        <w:r w:rsidR="004D7E5D">
          <w:rPr>
            <w:webHidden/>
          </w:rPr>
          <w:instrText xml:space="preserve"> PAGEREF _Toc419444577 \h </w:instrText>
        </w:r>
        <w:r w:rsidR="004D7E5D">
          <w:rPr>
            <w:webHidden/>
          </w:rPr>
        </w:r>
        <w:r w:rsidR="004D7E5D">
          <w:rPr>
            <w:webHidden/>
          </w:rPr>
          <w:fldChar w:fldCharType="separate"/>
        </w:r>
        <w:r w:rsidR="004D7E5D">
          <w:rPr>
            <w:webHidden/>
          </w:rPr>
          <w:t>1</w:t>
        </w:r>
        <w:r w:rsidR="004D7E5D">
          <w:rPr>
            <w:webHidden/>
          </w:rPr>
          <w:fldChar w:fldCharType="end"/>
        </w:r>
      </w:hyperlink>
    </w:p>
    <w:p w:rsidR="004D7E5D" w:rsidRDefault="00252875">
      <w:pPr>
        <w:pStyle w:val="TOC1"/>
        <w:rPr>
          <w:rFonts w:asciiTheme="minorHAnsi" w:eastAsiaTheme="minorEastAsia" w:hAnsiTheme="minorHAnsi"/>
          <w:b w:val="0"/>
          <w:color w:val="auto"/>
          <w:sz w:val="22"/>
          <w:lang w:val="en-AU" w:eastAsia="en-AU"/>
        </w:rPr>
      </w:pPr>
      <w:hyperlink w:anchor="_Toc419444578" w:history="1">
        <w:r w:rsidR="004D7E5D" w:rsidRPr="00CB2F1F">
          <w:rPr>
            <w:rStyle w:val="Hyperlink"/>
          </w:rPr>
          <w:t>2</w:t>
        </w:r>
        <w:r w:rsidR="004D7E5D">
          <w:rPr>
            <w:rFonts w:asciiTheme="minorHAnsi" w:eastAsiaTheme="minorEastAsia" w:hAnsiTheme="minorHAnsi"/>
            <w:b w:val="0"/>
            <w:color w:val="auto"/>
            <w:sz w:val="22"/>
            <w:lang w:val="en-AU" w:eastAsia="en-AU"/>
          </w:rPr>
          <w:tab/>
        </w:r>
        <w:r w:rsidR="004D7E5D" w:rsidRPr="00CB2F1F">
          <w:rPr>
            <w:rStyle w:val="Hyperlink"/>
          </w:rPr>
          <w:t>Background</w:t>
        </w:r>
        <w:r w:rsidR="004D7E5D">
          <w:rPr>
            <w:webHidden/>
          </w:rPr>
          <w:tab/>
        </w:r>
        <w:r w:rsidR="004D7E5D">
          <w:rPr>
            <w:webHidden/>
          </w:rPr>
          <w:fldChar w:fldCharType="begin"/>
        </w:r>
        <w:r w:rsidR="004D7E5D">
          <w:rPr>
            <w:webHidden/>
          </w:rPr>
          <w:instrText xml:space="preserve"> PAGEREF _Toc419444578 \h </w:instrText>
        </w:r>
        <w:r w:rsidR="004D7E5D">
          <w:rPr>
            <w:webHidden/>
          </w:rPr>
        </w:r>
        <w:r w:rsidR="004D7E5D">
          <w:rPr>
            <w:webHidden/>
          </w:rPr>
          <w:fldChar w:fldCharType="separate"/>
        </w:r>
        <w:r w:rsidR="004D7E5D">
          <w:rPr>
            <w:webHidden/>
          </w:rPr>
          <w:t>2</w:t>
        </w:r>
        <w:r w:rsidR="004D7E5D">
          <w:rPr>
            <w:webHidden/>
          </w:rPr>
          <w:fldChar w:fldCharType="end"/>
        </w:r>
      </w:hyperlink>
    </w:p>
    <w:p w:rsidR="004D7E5D" w:rsidRDefault="00252875">
      <w:pPr>
        <w:pStyle w:val="TOC1"/>
        <w:rPr>
          <w:rFonts w:asciiTheme="minorHAnsi" w:eastAsiaTheme="minorEastAsia" w:hAnsiTheme="minorHAnsi"/>
          <w:b w:val="0"/>
          <w:color w:val="auto"/>
          <w:sz w:val="22"/>
          <w:lang w:val="en-AU" w:eastAsia="en-AU"/>
        </w:rPr>
      </w:pPr>
      <w:hyperlink w:anchor="_Toc419444579" w:history="1">
        <w:r w:rsidR="004D7E5D" w:rsidRPr="00CB2F1F">
          <w:rPr>
            <w:rStyle w:val="Hyperlink"/>
          </w:rPr>
          <w:t>3</w:t>
        </w:r>
        <w:r w:rsidR="004D7E5D">
          <w:rPr>
            <w:rFonts w:asciiTheme="minorHAnsi" w:eastAsiaTheme="minorEastAsia" w:hAnsiTheme="minorHAnsi"/>
            <w:b w:val="0"/>
            <w:color w:val="auto"/>
            <w:sz w:val="22"/>
            <w:lang w:val="en-AU" w:eastAsia="en-AU"/>
          </w:rPr>
          <w:tab/>
        </w:r>
        <w:r w:rsidR="004D7E5D" w:rsidRPr="00CB2F1F">
          <w:rPr>
            <w:rStyle w:val="Hyperlink"/>
          </w:rPr>
          <w:t>Application</w:t>
        </w:r>
        <w:r w:rsidR="004D7E5D">
          <w:rPr>
            <w:webHidden/>
          </w:rPr>
          <w:tab/>
        </w:r>
        <w:r w:rsidR="004D7E5D">
          <w:rPr>
            <w:webHidden/>
          </w:rPr>
          <w:fldChar w:fldCharType="begin"/>
        </w:r>
        <w:r w:rsidR="004D7E5D">
          <w:rPr>
            <w:webHidden/>
          </w:rPr>
          <w:instrText xml:space="preserve"> PAGEREF _Toc419444579 \h </w:instrText>
        </w:r>
        <w:r w:rsidR="004D7E5D">
          <w:rPr>
            <w:webHidden/>
          </w:rPr>
        </w:r>
        <w:r w:rsidR="004D7E5D">
          <w:rPr>
            <w:webHidden/>
          </w:rPr>
          <w:fldChar w:fldCharType="separate"/>
        </w:r>
        <w:r w:rsidR="004D7E5D">
          <w:rPr>
            <w:webHidden/>
          </w:rPr>
          <w:t>3</w:t>
        </w:r>
        <w:r w:rsidR="004D7E5D">
          <w:rPr>
            <w:webHidden/>
          </w:rPr>
          <w:fldChar w:fldCharType="end"/>
        </w:r>
      </w:hyperlink>
    </w:p>
    <w:p w:rsidR="004D7E5D" w:rsidRDefault="00252875">
      <w:pPr>
        <w:pStyle w:val="TOC1"/>
        <w:rPr>
          <w:rFonts w:asciiTheme="minorHAnsi" w:eastAsiaTheme="minorEastAsia" w:hAnsiTheme="minorHAnsi"/>
          <w:b w:val="0"/>
          <w:color w:val="auto"/>
          <w:sz w:val="22"/>
          <w:lang w:val="en-AU" w:eastAsia="en-AU"/>
        </w:rPr>
      </w:pPr>
      <w:hyperlink w:anchor="_Toc419444580" w:history="1">
        <w:r w:rsidR="004D7E5D" w:rsidRPr="00CB2F1F">
          <w:rPr>
            <w:rStyle w:val="Hyperlink"/>
          </w:rPr>
          <w:t>4</w:t>
        </w:r>
        <w:r w:rsidR="004D7E5D">
          <w:rPr>
            <w:rFonts w:asciiTheme="minorHAnsi" w:eastAsiaTheme="minorEastAsia" w:hAnsiTheme="minorHAnsi"/>
            <w:b w:val="0"/>
            <w:color w:val="auto"/>
            <w:sz w:val="22"/>
            <w:lang w:val="en-AU" w:eastAsia="en-AU"/>
          </w:rPr>
          <w:tab/>
        </w:r>
        <w:r w:rsidR="004D7E5D" w:rsidRPr="00CB2F1F">
          <w:rPr>
            <w:rStyle w:val="Hyperlink"/>
          </w:rPr>
          <w:t>Approach and assessment</w:t>
        </w:r>
        <w:r w:rsidR="004D7E5D">
          <w:rPr>
            <w:webHidden/>
          </w:rPr>
          <w:tab/>
        </w:r>
        <w:r w:rsidR="004D7E5D">
          <w:rPr>
            <w:webHidden/>
          </w:rPr>
          <w:fldChar w:fldCharType="begin"/>
        </w:r>
        <w:r w:rsidR="004D7E5D">
          <w:rPr>
            <w:webHidden/>
          </w:rPr>
          <w:instrText xml:space="preserve"> PAGEREF _Toc419444580 \h </w:instrText>
        </w:r>
        <w:r w:rsidR="004D7E5D">
          <w:rPr>
            <w:webHidden/>
          </w:rPr>
        </w:r>
        <w:r w:rsidR="004D7E5D">
          <w:rPr>
            <w:webHidden/>
          </w:rPr>
          <w:fldChar w:fldCharType="separate"/>
        </w:r>
        <w:r w:rsidR="004D7E5D">
          <w:rPr>
            <w:webHidden/>
          </w:rPr>
          <w:t>4</w:t>
        </w:r>
        <w:r w:rsidR="004D7E5D">
          <w:rPr>
            <w:webHidden/>
          </w:rPr>
          <w:fldChar w:fldCharType="end"/>
        </w:r>
      </w:hyperlink>
    </w:p>
    <w:p w:rsidR="004D7E5D" w:rsidRDefault="00252875">
      <w:pPr>
        <w:pStyle w:val="TOC2"/>
        <w:rPr>
          <w:rFonts w:asciiTheme="minorHAnsi" w:eastAsiaTheme="minorEastAsia" w:hAnsiTheme="minorHAnsi"/>
          <w:b w:val="0"/>
          <w:color w:val="auto"/>
          <w:sz w:val="22"/>
          <w:lang w:eastAsia="en-AU"/>
        </w:rPr>
      </w:pPr>
      <w:hyperlink w:anchor="_Toc419444581" w:history="1">
        <w:r w:rsidR="004D7E5D" w:rsidRPr="00CB2F1F">
          <w:rPr>
            <w:rStyle w:val="Hyperlink"/>
          </w:rPr>
          <w:t>4.1</w:t>
        </w:r>
        <w:r w:rsidR="004D7E5D">
          <w:rPr>
            <w:rFonts w:asciiTheme="minorHAnsi" w:eastAsiaTheme="minorEastAsia" w:hAnsiTheme="minorHAnsi"/>
            <w:b w:val="0"/>
            <w:color w:val="auto"/>
            <w:sz w:val="22"/>
            <w:lang w:eastAsia="en-AU"/>
          </w:rPr>
          <w:tab/>
        </w:r>
        <w:r w:rsidR="004D7E5D" w:rsidRPr="00CB2F1F">
          <w:rPr>
            <w:rStyle w:val="Hyperlink"/>
          </w:rPr>
          <w:t>Cost pass through event</w:t>
        </w:r>
        <w:r w:rsidR="004D7E5D">
          <w:rPr>
            <w:webHidden/>
          </w:rPr>
          <w:tab/>
        </w:r>
        <w:r w:rsidR="004D7E5D">
          <w:rPr>
            <w:webHidden/>
          </w:rPr>
          <w:fldChar w:fldCharType="begin"/>
        </w:r>
        <w:r w:rsidR="004D7E5D">
          <w:rPr>
            <w:webHidden/>
          </w:rPr>
          <w:instrText xml:space="preserve"> PAGEREF _Toc419444581 \h </w:instrText>
        </w:r>
        <w:r w:rsidR="004D7E5D">
          <w:rPr>
            <w:webHidden/>
          </w:rPr>
        </w:r>
        <w:r w:rsidR="004D7E5D">
          <w:rPr>
            <w:webHidden/>
          </w:rPr>
          <w:fldChar w:fldCharType="separate"/>
        </w:r>
        <w:r w:rsidR="004D7E5D">
          <w:rPr>
            <w:webHidden/>
          </w:rPr>
          <w:t>4</w:t>
        </w:r>
        <w:r w:rsidR="004D7E5D">
          <w:rPr>
            <w:webHidden/>
          </w:rPr>
          <w:fldChar w:fldCharType="end"/>
        </w:r>
      </w:hyperlink>
    </w:p>
    <w:p w:rsidR="004D7E5D" w:rsidRDefault="00252875">
      <w:pPr>
        <w:pStyle w:val="TOC2"/>
        <w:rPr>
          <w:rFonts w:asciiTheme="minorHAnsi" w:eastAsiaTheme="minorEastAsia" w:hAnsiTheme="minorHAnsi"/>
          <w:b w:val="0"/>
          <w:color w:val="auto"/>
          <w:sz w:val="22"/>
          <w:lang w:eastAsia="en-AU"/>
        </w:rPr>
      </w:pPr>
      <w:hyperlink w:anchor="_Toc419444582" w:history="1">
        <w:r w:rsidR="004D7E5D" w:rsidRPr="00CB2F1F">
          <w:rPr>
            <w:rStyle w:val="Hyperlink"/>
          </w:rPr>
          <w:t>4.2</w:t>
        </w:r>
        <w:r w:rsidR="004D7E5D">
          <w:rPr>
            <w:rFonts w:asciiTheme="minorHAnsi" w:eastAsiaTheme="minorEastAsia" w:hAnsiTheme="minorHAnsi"/>
            <w:b w:val="0"/>
            <w:color w:val="auto"/>
            <w:sz w:val="22"/>
            <w:lang w:eastAsia="en-AU"/>
          </w:rPr>
          <w:tab/>
        </w:r>
        <w:r w:rsidR="004D7E5D" w:rsidRPr="00CB2F1F">
          <w:rPr>
            <w:rStyle w:val="Hyperlink"/>
          </w:rPr>
          <w:t>Factors considered</w:t>
        </w:r>
        <w:r w:rsidR="004D7E5D">
          <w:rPr>
            <w:webHidden/>
          </w:rPr>
          <w:tab/>
        </w:r>
        <w:r w:rsidR="004D7E5D">
          <w:rPr>
            <w:webHidden/>
          </w:rPr>
          <w:fldChar w:fldCharType="begin"/>
        </w:r>
        <w:r w:rsidR="004D7E5D">
          <w:rPr>
            <w:webHidden/>
          </w:rPr>
          <w:instrText xml:space="preserve"> PAGEREF _Toc419444582 \h </w:instrText>
        </w:r>
        <w:r w:rsidR="004D7E5D">
          <w:rPr>
            <w:webHidden/>
          </w:rPr>
        </w:r>
        <w:r w:rsidR="004D7E5D">
          <w:rPr>
            <w:webHidden/>
          </w:rPr>
          <w:fldChar w:fldCharType="separate"/>
        </w:r>
        <w:r w:rsidR="004D7E5D">
          <w:rPr>
            <w:webHidden/>
          </w:rPr>
          <w:t>4</w:t>
        </w:r>
        <w:r w:rsidR="004D7E5D">
          <w:rPr>
            <w:webHidden/>
          </w:rPr>
          <w:fldChar w:fldCharType="end"/>
        </w:r>
      </w:hyperlink>
    </w:p>
    <w:p w:rsidR="004D7E5D" w:rsidRDefault="00252875">
      <w:pPr>
        <w:pStyle w:val="TOC1"/>
        <w:rPr>
          <w:rFonts w:asciiTheme="minorHAnsi" w:eastAsiaTheme="minorEastAsia" w:hAnsiTheme="minorHAnsi"/>
          <w:b w:val="0"/>
          <w:color w:val="auto"/>
          <w:sz w:val="22"/>
          <w:lang w:val="en-AU" w:eastAsia="en-AU"/>
        </w:rPr>
      </w:pPr>
      <w:hyperlink w:anchor="_Toc419444583" w:history="1">
        <w:r w:rsidR="004D7E5D" w:rsidRPr="00CB2F1F">
          <w:rPr>
            <w:rStyle w:val="Hyperlink"/>
          </w:rPr>
          <w:t>5</w:t>
        </w:r>
        <w:r w:rsidR="004D7E5D">
          <w:rPr>
            <w:rFonts w:asciiTheme="minorHAnsi" w:eastAsiaTheme="minorEastAsia" w:hAnsiTheme="minorHAnsi"/>
            <w:b w:val="0"/>
            <w:color w:val="auto"/>
            <w:sz w:val="22"/>
            <w:lang w:val="en-AU" w:eastAsia="en-AU"/>
          </w:rPr>
          <w:tab/>
        </w:r>
        <w:r w:rsidR="004D7E5D" w:rsidRPr="00CB2F1F">
          <w:rPr>
            <w:rStyle w:val="Hyperlink"/>
          </w:rPr>
          <w:t>Decision</w:t>
        </w:r>
        <w:r w:rsidR="004D7E5D">
          <w:rPr>
            <w:webHidden/>
          </w:rPr>
          <w:tab/>
        </w:r>
        <w:r w:rsidR="004D7E5D">
          <w:rPr>
            <w:webHidden/>
          </w:rPr>
          <w:fldChar w:fldCharType="begin"/>
        </w:r>
        <w:r w:rsidR="004D7E5D">
          <w:rPr>
            <w:webHidden/>
          </w:rPr>
          <w:instrText xml:space="preserve"> PAGEREF _Toc419444583 \h </w:instrText>
        </w:r>
        <w:r w:rsidR="004D7E5D">
          <w:rPr>
            <w:webHidden/>
          </w:rPr>
        </w:r>
        <w:r w:rsidR="004D7E5D">
          <w:rPr>
            <w:webHidden/>
          </w:rPr>
          <w:fldChar w:fldCharType="separate"/>
        </w:r>
        <w:r w:rsidR="004D7E5D">
          <w:rPr>
            <w:webHidden/>
          </w:rPr>
          <w:t>6</w:t>
        </w:r>
        <w:r w:rsidR="004D7E5D">
          <w:rPr>
            <w:webHidden/>
          </w:rPr>
          <w:fldChar w:fldCharType="end"/>
        </w:r>
      </w:hyperlink>
    </w:p>
    <w:p w:rsidR="0020492C" w:rsidRDefault="00A75077" w:rsidP="009F5BA1">
      <w:r>
        <w:fldChar w:fldCharType="end"/>
      </w:r>
      <w:r w:rsidR="0020492C">
        <w:tab/>
      </w:r>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bookmarkStart w:id="1" w:name="_Toc213047617"/>
    </w:p>
    <w:p w:rsidR="0020492C" w:rsidRDefault="00190723" w:rsidP="00562632">
      <w:pPr>
        <w:pStyle w:val="Heading1"/>
      </w:pPr>
      <w:bookmarkStart w:id="2" w:name="_Toc419444577"/>
      <w:bookmarkEnd w:id="1"/>
      <w:r>
        <w:lastRenderedPageBreak/>
        <w:t>Summary</w:t>
      </w:r>
      <w:bookmarkEnd w:id="2"/>
    </w:p>
    <w:p w:rsidR="00190723" w:rsidRPr="00190723" w:rsidRDefault="003C16F9" w:rsidP="00190723">
      <w:r>
        <w:t>Allgas Energy Pty Ltd (Allgas</w:t>
      </w:r>
      <w:r w:rsidR="00190723" w:rsidRPr="00190723">
        <w:t xml:space="preserve">) is the owner </w:t>
      </w:r>
      <w:r w:rsidR="00ED02AF">
        <w:t>of the Allgas natural gas distribution network in Queensland</w:t>
      </w:r>
      <w:r w:rsidR="00190723" w:rsidRPr="00190723">
        <w:t>.</w:t>
      </w:r>
      <w:r w:rsidR="0056644C">
        <w:rPr>
          <w:rStyle w:val="FootnoteReference"/>
        </w:rPr>
        <w:footnoteReference w:id="2"/>
      </w:r>
    </w:p>
    <w:p w:rsidR="00190723" w:rsidRPr="00190723" w:rsidRDefault="00BF64E3" w:rsidP="00190723">
      <w:r>
        <w:t>On 27 August 2014, Allgas</w:t>
      </w:r>
      <w:r w:rsidR="00190723" w:rsidRPr="00190723">
        <w:t xml:space="preserve"> applied to us for a tax change negative pass through event as a result of the repeal of the carbon tax.</w:t>
      </w:r>
      <w:r w:rsidR="00142552">
        <w:t xml:space="preserve"> </w:t>
      </w:r>
      <w:r>
        <w:t>Allgas</w:t>
      </w:r>
      <w:r w:rsidR="00557167">
        <w:t xml:space="preserve"> has proposed to remove the carbon tax component from its approved reference tariffs for the 2015–16 regulatory year. </w:t>
      </w:r>
      <w:r w:rsidR="00190723" w:rsidRPr="00190723">
        <w:t>The proposed negative pass through amount</w:t>
      </w:r>
      <w:r w:rsidR="00142552">
        <w:t xml:space="preserve"> is</w:t>
      </w:r>
      <w:r w:rsidR="00190723" w:rsidRPr="00190723">
        <w:t>:</w:t>
      </w:r>
    </w:p>
    <w:p w:rsidR="00190723" w:rsidRPr="00190723" w:rsidRDefault="00ED02AF" w:rsidP="00190723">
      <w:pPr>
        <w:pStyle w:val="Bulletpoint"/>
      </w:pPr>
      <w:r>
        <w:tab/>
        <w:t>– $1 234 139</w:t>
      </w:r>
    </w:p>
    <w:p w:rsidR="00937B61" w:rsidRDefault="00190723" w:rsidP="003203B3">
      <w:r w:rsidRPr="00190723">
        <w:t>We have determined that a negative carbon cost pass through event has occurred and we have approved the proposed pass through amount.</w:t>
      </w:r>
      <w:r w:rsidR="00937B61">
        <w:t xml:space="preserve"> </w:t>
      </w:r>
    </w:p>
    <w:p w:rsidR="00557167" w:rsidRDefault="00BF64E3" w:rsidP="003203B3">
      <w:r>
        <w:t>Allgas</w:t>
      </w:r>
      <w:r w:rsidR="003203B3" w:rsidRPr="00190723">
        <w:t xml:space="preserve"> has already</w:t>
      </w:r>
      <w:r w:rsidR="00557167">
        <w:t xml:space="preserve"> voluntarily</w:t>
      </w:r>
      <w:r w:rsidR="003203B3" w:rsidRPr="00190723">
        <w:t xml:space="preserve"> reduced its tariffs to remove the carbon </w:t>
      </w:r>
      <w:r w:rsidR="003203B3">
        <w:t>component, effective from 1 September</w:t>
      </w:r>
      <w:r>
        <w:t xml:space="preserve"> 2014. Allgas'</w:t>
      </w:r>
      <w:r w:rsidR="003203B3" w:rsidRPr="00190723">
        <w:t xml:space="preserve"> </w:t>
      </w:r>
      <w:r w:rsidR="00557167">
        <w:t xml:space="preserve">pass through </w:t>
      </w:r>
      <w:r w:rsidR="003203B3" w:rsidRPr="00190723">
        <w:t>application</w:t>
      </w:r>
      <w:r w:rsidR="00557167">
        <w:t xml:space="preserve"> included a proposal to formally reduce its 2014–15 reference tariffs to reflect the reduction it had already made</w:t>
      </w:r>
      <w:r w:rsidR="00F254A8">
        <w:t>.</w:t>
      </w:r>
      <w:r w:rsidR="00557167">
        <w:t xml:space="preserve"> This cost pass through decision will now take effect on 1 July 2015. </w:t>
      </w:r>
      <w:r w:rsidR="00664F85">
        <w:t>T</w:t>
      </w:r>
      <w:r w:rsidR="00A95988">
        <w:t>he 2014–15 component of Allgas'</w:t>
      </w:r>
      <w:r w:rsidR="00557167">
        <w:t xml:space="preserve"> original cost pass through application is no longer relevant. </w:t>
      </w:r>
    </w:p>
    <w:p w:rsidR="001154D3" w:rsidRDefault="00071879" w:rsidP="003203B3">
      <w:r>
        <w:t>In addition to removing its existing carbon price allowance fro</w:t>
      </w:r>
      <w:r w:rsidR="00A95988">
        <w:t>m 2015–16 reference tariffs, Allgas</w:t>
      </w:r>
      <w:r>
        <w:t xml:space="preserve"> has proposed return </w:t>
      </w:r>
      <w:r w:rsidR="001154D3">
        <w:t xml:space="preserve">to customers </w:t>
      </w:r>
      <w:r>
        <w:t xml:space="preserve">previously over recovered carbon tax revenues. This is </w:t>
      </w:r>
      <w:r w:rsidR="001154D3">
        <w:t>consistent with the true–up mechanism we have previously approved. For completeness we clarify</w:t>
      </w:r>
      <w:r w:rsidR="00A95988">
        <w:t xml:space="preserve"> here that we also approve Allgas'</w:t>
      </w:r>
      <w:r w:rsidR="001154D3">
        <w:t xml:space="preserve"> proposed </w:t>
      </w:r>
      <w:r w:rsidR="00CE239D">
        <w:t>return to customers</w:t>
      </w:r>
      <w:r w:rsidR="001154D3">
        <w:t>:</w:t>
      </w:r>
      <w:r w:rsidR="00664F85">
        <w:rPr>
          <w:rStyle w:val="FootnoteReference"/>
        </w:rPr>
        <w:footnoteReference w:id="3"/>
      </w:r>
    </w:p>
    <w:p w:rsidR="001154D3" w:rsidRDefault="001154D3" w:rsidP="001154D3">
      <w:pPr>
        <w:pStyle w:val="Bulletpoint"/>
      </w:pPr>
      <w:r>
        <w:t xml:space="preserve">– </w:t>
      </w:r>
      <w:r w:rsidR="00BF64E3">
        <w:t>$259 475</w:t>
      </w:r>
    </w:p>
    <w:p w:rsidR="00190723" w:rsidRDefault="00190723" w:rsidP="00190723"/>
    <w:p w:rsidR="00190723" w:rsidRDefault="00190723">
      <w:pPr>
        <w:spacing w:line="240" w:lineRule="auto"/>
      </w:pPr>
      <w:r>
        <w:br w:type="page"/>
      </w:r>
    </w:p>
    <w:p w:rsidR="0020492C" w:rsidRDefault="00190723" w:rsidP="00190723">
      <w:pPr>
        <w:pStyle w:val="Heading1"/>
      </w:pPr>
      <w:bookmarkStart w:id="3" w:name="_Toc419444578"/>
      <w:r>
        <w:lastRenderedPageBreak/>
        <w:t>Background</w:t>
      </w:r>
      <w:bookmarkEnd w:id="3"/>
    </w:p>
    <w:p w:rsidR="00190723" w:rsidRPr="00190723" w:rsidRDefault="00190723" w:rsidP="00190723">
      <w:r w:rsidRPr="00190723">
        <w:t xml:space="preserve">The Australian Energy Regulator is responsible for the economic regulation of covered natural gas distribution and transmission pipelines in all states and territories except Western Australia. Our functions and powers are set out in the National Gas Law </w:t>
      </w:r>
      <w:r w:rsidR="00D03D27">
        <w:t xml:space="preserve">(NGL) </w:t>
      </w:r>
      <w:r w:rsidRPr="00190723">
        <w:t>and the National Gas Rules</w:t>
      </w:r>
      <w:r w:rsidR="00D03D27">
        <w:t xml:space="preserve"> (NGR)</w:t>
      </w:r>
      <w:r w:rsidRPr="00190723">
        <w:t>.</w:t>
      </w:r>
    </w:p>
    <w:p w:rsidR="00190723" w:rsidRPr="00190723" w:rsidRDefault="00190723" w:rsidP="00190723">
      <w:r w:rsidRPr="00190723">
        <w:t>The carbon tax was repealed by the Australian parliament on 17 July 2014 and received royal ass</w:t>
      </w:r>
      <w:r w:rsidR="00A95988">
        <w:t>ent the same day, removing Allgas'</w:t>
      </w:r>
      <w:r w:rsidRPr="00190723">
        <w:t xml:space="preserve"> carbon liabili</w:t>
      </w:r>
      <w:r w:rsidR="00A95988">
        <w:t>ty for 2014–15. As a result, Allgas</w:t>
      </w:r>
      <w:r w:rsidRPr="00190723">
        <w:t xml:space="preserve"> no longer has an obligation to purchase and surrender carbon units as a liable entity under the </w:t>
      </w:r>
      <w:r w:rsidRPr="00D03D27">
        <w:rPr>
          <w:rStyle w:val="Emphasis"/>
        </w:rPr>
        <w:t>Clean Energy Act 2011</w:t>
      </w:r>
      <w:r w:rsidRPr="00190723">
        <w:t xml:space="preserve">. </w:t>
      </w:r>
    </w:p>
    <w:p w:rsidR="00190723" w:rsidRDefault="00190723" w:rsidP="00190723">
      <w:r w:rsidRPr="00190723">
        <w:t>Pri</w:t>
      </w:r>
      <w:r w:rsidR="00A95988">
        <w:t>or to the carbon tax repeal, Allgas</w:t>
      </w:r>
      <w:r w:rsidRPr="00190723">
        <w:t xml:space="preserve"> had an obligation under the </w:t>
      </w:r>
      <w:r w:rsidRPr="00190723">
        <w:rPr>
          <w:rStyle w:val="Emphasis"/>
        </w:rPr>
        <w:t>Clean Energy Act 2011</w:t>
      </w:r>
      <w:r w:rsidRPr="00190723">
        <w:t xml:space="preserve"> to purchase and surrender carbon units for each tonne of carbon pollution emitted as a liable entity operating a facility that exceeds a scope 1 (direct) emissions threshold of 25 000 tonnes of carbon dioxide equivalent. This liability relates to fugitive gas emissions from transmission and distribution pipelines and emissions from gas combustion in pipeline compressor stations.</w:t>
      </w:r>
    </w:p>
    <w:p w:rsidR="00190723" w:rsidRDefault="00ED68E8" w:rsidP="00ED68E8">
      <w:pPr>
        <w:pStyle w:val="Caption"/>
      </w:pPr>
      <w:r>
        <w:t>Light handed regulation</w:t>
      </w:r>
    </w:p>
    <w:p w:rsidR="00ED68E8" w:rsidRDefault="00ED68E8" w:rsidP="00190723">
      <w:r>
        <w:t>On 28 April 2015 the Australian National Competition Council (NCC) published its decision that the Allgas network be subject to light handed regulation.</w:t>
      </w:r>
      <w:r>
        <w:rPr>
          <w:rStyle w:val="FootnoteReference"/>
        </w:rPr>
        <w:footnoteReference w:id="4"/>
      </w:r>
      <w:r>
        <w:t xml:space="preserve"> This means that, going forward, the AER will no longer set reference tariffs for the Allgas network. Rather, tariff</w:t>
      </w:r>
      <w:r w:rsidR="00A95988">
        <w:t>s will be negotiated between Allgas</w:t>
      </w:r>
      <w:r>
        <w:t xml:space="preserve"> and its customers or prospective customers. We will be available to arbitrate should disputes arise. </w:t>
      </w:r>
    </w:p>
    <w:p w:rsidR="00D97185" w:rsidRDefault="00D97185" w:rsidP="00190723">
      <w:r>
        <w:t xml:space="preserve">The NCC's determination comes into force 60 business days from the date it was made. </w:t>
      </w:r>
      <w:r w:rsidR="00777EA9">
        <w:t xml:space="preserve">This means </w:t>
      </w:r>
      <w:r w:rsidR="00EC2BCD">
        <w:t>that on 1 July 2015</w:t>
      </w:r>
      <w:r w:rsidR="00777EA9">
        <w:t xml:space="preserve"> the Allgas network will still be a regulated network for which the AER must approve reference tariffs. He</w:t>
      </w:r>
      <w:r w:rsidR="00A95988">
        <w:t>nce, we must also consider Allgas'</w:t>
      </w:r>
      <w:r w:rsidR="00777EA9">
        <w:t xml:space="preserve"> negative cost pass through and publish our decision.</w:t>
      </w:r>
    </w:p>
    <w:p w:rsidR="00190723" w:rsidRDefault="00190723">
      <w:pPr>
        <w:spacing w:line="240" w:lineRule="auto"/>
      </w:pPr>
      <w:r>
        <w:br w:type="page"/>
      </w:r>
    </w:p>
    <w:p w:rsidR="00190723" w:rsidRDefault="00190723" w:rsidP="00190723">
      <w:pPr>
        <w:pStyle w:val="Heading1"/>
      </w:pPr>
      <w:bookmarkStart w:id="4" w:name="_Toc419444579"/>
      <w:r>
        <w:lastRenderedPageBreak/>
        <w:t>Application</w:t>
      </w:r>
      <w:bookmarkEnd w:id="4"/>
    </w:p>
    <w:p w:rsidR="00190723" w:rsidRPr="00190723" w:rsidRDefault="00A95988" w:rsidP="00190723">
      <w:r>
        <w:t>Allgas</w:t>
      </w:r>
      <w:r w:rsidR="00190723" w:rsidRPr="00190723">
        <w:t xml:space="preserve"> considers the repeal of the carbon tax to be a Tax Change Event</w:t>
      </w:r>
      <w:r w:rsidR="00240060">
        <w:t>, as defined by the Allgas</w:t>
      </w:r>
      <w:r w:rsidR="000E07E7">
        <w:t xml:space="preserve"> access arrangement,</w:t>
      </w:r>
      <w:r w:rsidR="00190723" w:rsidRPr="00190723">
        <w:t xml:space="preserve"> as it removes a Relevant Tax.</w:t>
      </w:r>
      <w:r w:rsidR="00AC2080">
        <w:rPr>
          <w:rStyle w:val="FootnoteReference"/>
        </w:rPr>
        <w:footnoteReference w:id="5"/>
      </w:r>
    </w:p>
    <w:p w:rsidR="00190723" w:rsidRDefault="00190723" w:rsidP="00190723">
      <w:r w:rsidRPr="00190723">
        <w:t xml:space="preserve">The incurred drop in operating expenditure as a result of the Tax Change Event is the reduction in costs due to the repeal of the </w:t>
      </w:r>
      <w:r w:rsidRPr="00ED02AF">
        <w:rPr>
          <w:rStyle w:val="Emphasis"/>
        </w:rPr>
        <w:t>Clean Energy Act 2011</w:t>
      </w:r>
      <w:r w:rsidRPr="00190723">
        <w:t xml:space="preserve"> and subsequent removal of the obligation imposed to purchase and surrender carbon units for each tonne of carbon pollution emitted, from 1 July 2014.</w:t>
      </w:r>
    </w:p>
    <w:p w:rsidR="005E6DB8" w:rsidRDefault="005E6DB8" w:rsidP="005E6DB8">
      <w:r w:rsidRPr="00190723">
        <w:t xml:space="preserve">Allgas proposes to remove the </w:t>
      </w:r>
      <w:r>
        <w:t xml:space="preserve">existing </w:t>
      </w:r>
      <w:r w:rsidRPr="00190723">
        <w:t>carbon component</w:t>
      </w:r>
      <w:r>
        <w:t xml:space="preserve"> </w:t>
      </w:r>
      <w:r w:rsidRPr="00190723">
        <w:t xml:space="preserve">from its </w:t>
      </w:r>
      <w:r>
        <w:t>2015</w:t>
      </w:r>
      <w:r>
        <w:softHyphen/>
        <w:t xml:space="preserve">–16 </w:t>
      </w:r>
      <w:r w:rsidRPr="00190723">
        <w:t xml:space="preserve">reference tariffs. </w:t>
      </w:r>
      <w:r>
        <w:t>This amount had been approved previously.</w:t>
      </w:r>
    </w:p>
    <w:p w:rsidR="00190723" w:rsidRPr="00190723" w:rsidRDefault="00A95988" w:rsidP="00190723">
      <w:r>
        <w:t>Allgas</w:t>
      </w:r>
      <w:r w:rsidR="00190723" w:rsidRPr="00190723">
        <w:t xml:space="preserve"> ceased collecting car</w:t>
      </w:r>
      <w:r w:rsidR="0057526B">
        <w:t>bon related revenues from 1 September</w:t>
      </w:r>
      <w:r w:rsidR="003F09DD">
        <w:t xml:space="preserve"> 2014. </w:t>
      </w:r>
      <w:r>
        <w:t>Before Allgas</w:t>
      </w:r>
      <w:r w:rsidR="003203B3">
        <w:t xml:space="preserve"> was able to give effect to the carbon tax repeal by adjusting its tariffs, </w:t>
      </w:r>
      <w:r>
        <w:t>Allgas</w:t>
      </w:r>
      <w:r w:rsidR="0057526B">
        <w:t xml:space="preserve"> </w:t>
      </w:r>
      <w:r w:rsidR="00ED68E8">
        <w:t>incurred an over–recovery of carbon tax revenue for the month</w:t>
      </w:r>
      <w:r w:rsidR="003203B3">
        <w:t>s</w:t>
      </w:r>
      <w:r w:rsidR="00ED68E8">
        <w:t xml:space="preserve"> of July</w:t>
      </w:r>
      <w:r w:rsidR="003203B3">
        <w:t xml:space="preserve"> and August</w:t>
      </w:r>
      <w:r>
        <w:t xml:space="preserve"> 2014. Allgas</w:t>
      </w:r>
      <w:r w:rsidR="00ED68E8">
        <w:t xml:space="preserve"> has proposed to return this over–recovery to customers through a </w:t>
      </w:r>
      <w:r w:rsidR="005E6DB8">
        <w:t xml:space="preserve">further </w:t>
      </w:r>
      <w:r w:rsidR="00ED68E8">
        <w:t>reduction in its 2015–16 reference tariffs.</w:t>
      </w:r>
    </w:p>
    <w:p w:rsidR="00190723" w:rsidRDefault="00190723" w:rsidP="00190723"/>
    <w:p w:rsidR="005B04AC" w:rsidRDefault="005B04AC">
      <w:pPr>
        <w:spacing w:line="240" w:lineRule="auto"/>
      </w:pPr>
      <w:r>
        <w:br w:type="page"/>
      </w:r>
    </w:p>
    <w:p w:rsidR="00190723" w:rsidRDefault="005B04AC" w:rsidP="005B04AC">
      <w:pPr>
        <w:pStyle w:val="Heading1"/>
      </w:pPr>
      <w:bookmarkStart w:id="5" w:name="_Toc419444580"/>
      <w:r>
        <w:lastRenderedPageBreak/>
        <w:t>Approach and assessment</w:t>
      </w:r>
      <w:bookmarkEnd w:id="5"/>
    </w:p>
    <w:p w:rsidR="005B04AC" w:rsidRDefault="005B04AC" w:rsidP="005B04AC">
      <w:pPr>
        <w:pStyle w:val="Heading2"/>
      </w:pPr>
      <w:bookmarkStart w:id="6" w:name="_Toc419444581"/>
      <w:r>
        <w:t>Cost pass through event</w:t>
      </w:r>
      <w:bookmarkEnd w:id="6"/>
    </w:p>
    <w:p w:rsidR="005B04AC" w:rsidRPr="005B04AC" w:rsidRDefault="00490CD0" w:rsidP="00E87EE0">
      <w:r>
        <w:t>Clause 4</w:t>
      </w:r>
      <w:r w:rsidR="00CE168E">
        <w:t xml:space="preserve">.5.4 of </w:t>
      </w:r>
      <w:r>
        <w:t xml:space="preserve">the </w:t>
      </w:r>
      <w:r w:rsidR="00CE168E">
        <w:t>Allgas</w:t>
      </w:r>
      <w:r w:rsidR="005B04AC" w:rsidRPr="005B04AC">
        <w:t xml:space="preserve"> access arrangement states:</w:t>
      </w:r>
      <w:r w:rsidR="001D7367">
        <w:rPr>
          <w:rStyle w:val="FootnoteReference"/>
        </w:rPr>
        <w:footnoteReference w:id="6"/>
      </w:r>
    </w:p>
    <w:p w:rsidR="005B04AC" w:rsidRPr="005B04AC" w:rsidRDefault="00551E1E" w:rsidP="00E87EE0">
      <w:r>
        <w:t>"</w:t>
      </w:r>
      <w:r w:rsidR="005B04AC" w:rsidRPr="005B04AC">
        <w:t>Subject to the approval of the AER under the NGR, Reference Tariffs may be adjusted after one or more Cost Pass-through Event/s occurs in which each individual event materially inc</w:t>
      </w:r>
      <w:r w:rsidR="00CE168E">
        <w:t xml:space="preserve">reases or materially decreases </w:t>
      </w:r>
      <w:r>
        <w:t>the cost of providing the r</w:t>
      </w:r>
      <w:r w:rsidR="005B04AC" w:rsidRPr="005B04AC">
        <w:t xml:space="preserve">eference </w:t>
      </w:r>
      <w:r>
        <w:t>s</w:t>
      </w:r>
      <w:r w:rsidR="005B04AC" w:rsidRPr="005B04AC">
        <w:t>ervice</w:t>
      </w:r>
      <w:r w:rsidR="00CE168E">
        <w:t>s</w:t>
      </w:r>
      <w:r w:rsidR="005B04AC" w:rsidRPr="005B04AC">
        <w:t>. Any such adjustment will take effect from the next 1 July</w:t>
      </w:r>
      <w:r>
        <w:t>."</w:t>
      </w:r>
    </w:p>
    <w:p w:rsidR="005B04AC" w:rsidRPr="005B04AC" w:rsidRDefault="005B04AC" w:rsidP="00E87EE0">
      <w:r w:rsidRPr="005B04AC">
        <w:t>The access arrangement defines a tax change event as:</w:t>
      </w:r>
    </w:p>
    <w:p w:rsidR="005B04AC" w:rsidRPr="005B04AC" w:rsidRDefault="00551E1E" w:rsidP="00E87EE0">
      <w:r>
        <w:t>"</w:t>
      </w:r>
      <w:r w:rsidR="005B04AC" w:rsidRPr="005B04AC">
        <w:t>A tax change event occurs if any of the following occurs during the course of the Access Arrangement period</w:t>
      </w:r>
      <w:r>
        <w:t xml:space="preserve"> for APT Allgas</w:t>
      </w:r>
      <w:r w:rsidR="005B04AC" w:rsidRPr="005B04AC">
        <w:t>:</w:t>
      </w:r>
    </w:p>
    <w:p w:rsidR="005B04AC" w:rsidRPr="005B04AC" w:rsidRDefault="005B04AC" w:rsidP="001D7367">
      <w:pPr>
        <w:pStyle w:val="Listalphabet"/>
      </w:pPr>
      <w:r w:rsidRPr="005B04AC">
        <w:t xml:space="preserve">a change in a </w:t>
      </w:r>
      <w:r w:rsidR="00551E1E">
        <w:t>r</w:t>
      </w:r>
      <w:r w:rsidRPr="005B04AC">
        <w:t xml:space="preserve">elevant </w:t>
      </w:r>
      <w:r w:rsidR="00551E1E">
        <w:t>t</w:t>
      </w:r>
      <w:r w:rsidRPr="005B04AC">
        <w:t xml:space="preserve">ax, in the application or official interpretation of a </w:t>
      </w:r>
      <w:r w:rsidR="00551E1E">
        <w:t>r</w:t>
      </w:r>
      <w:r w:rsidRPr="005B04AC">
        <w:t xml:space="preserve">elevant </w:t>
      </w:r>
      <w:r w:rsidR="00551E1E">
        <w:t>t</w:t>
      </w:r>
      <w:r w:rsidRPr="005B04AC">
        <w:t xml:space="preserve">ax, in the rate of a </w:t>
      </w:r>
      <w:r w:rsidR="00551E1E">
        <w:t>r</w:t>
      </w:r>
      <w:r w:rsidRPr="005B04AC">
        <w:t xml:space="preserve">elevant </w:t>
      </w:r>
      <w:r w:rsidR="00551E1E">
        <w:t>t</w:t>
      </w:r>
      <w:r w:rsidRPr="005B04AC">
        <w:t xml:space="preserve">ax, or in the way a </w:t>
      </w:r>
      <w:r w:rsidR="00551E1E">
        <w:t>r</w:t>
      </w:r>
      <w:r w:rsidRPr="005B04AC">
        <w:t xml:space="preserve">elevant </w:t>
      </w:r>
      <w:r w:rsidR="00551E1E">
        <w:t>t</w:t>
      </w:r>
      <w:r w:rsidRPr="005B04AC">
        <w:t>ax is calculated;</w:t>
      </w:r>
    </w:p>
    <w:p w:rsidR="005B04AC" w:rsidRPr="005B04AC" w:rsidRDefault="005B04AC" w:rsidP="001D7367">
      <w:pPr>
        <w:pStyle w:val="Listalphabet"/>
      </w:pPr>
      <w:r w:rsidRPr="005B04AC">
        <w:t xml:space="preserve">the removal of a </w:t>
      </w:r>
      <w:r w:rsidR="00551E1E">
        <w:t>r</w:t>
      </w:r>
      <w:r w:rsidRPr="005B04AC">
        <w:t xml:space="preserve">elevant </w:t>
      </w:r>
      <w:r w:rsidR="00551E1E">
        <w:t>t</w:t>
      </w:r>
      <w:r w:rsidRPr="005B04AC">
        <w:t>ax;</w:t>
      </w:r>
    </w:p>
    <w:p w:rsidR="005B04AC" w:rsidRPr="005B04AC" w:rsidRDefault="005B04AC" w:rsidP="001D7367">
      <w:pPr>
        <w:pStyle w:val="Listalphabet"/>
      </w:pPr>
      <w:r w:rsidRPr="005B04AC">
        <w:t xml:space="preserve">the imposition of a </w:t>
      </w:r>
      <w:r w:rsidR="00551E1E">
        <w:t>r</w:t>
      </w:r>
      <w:r w:rsidRPr="005B04AC">
        <w:t xml:space="preserve">elevant </w:t>
      </w:r>
      <w:r w:rsidR="00551E1E">
        <w:t>t</w:t>
      </w:r>
      <w:r w:rsidRPr="005B04AC">
        <w:t>ax; and</w:t>
      </w:r>
    </w:p>
    <w:p w:rsidR="005B04AC" w:rsidRDefault="005B04AC" w:rsidP="00190723">
      <w:r w:rsidRPr="005B04AC">
        <w:t xml:space="preserve">In consequence, the costs to </w:t>
      </w:r>
      <w:r w:rsidR="00551E1E">
        <w:t>APT Allgas of providing the r</w:t>
      </w:r>
      <w:r w:rsidRPr="005B04AC">
        <w:t xml:space="preserve">eference </w:t>
      </w:r>
      <w:r w:rsidR="00551E1E">
        <w:t>s</w:t>
      </w:r>
      <w:r w:rsidRPr="005B04AC">
        <w:t>ervice</w:t>
      </w:r>
      <w:r w:rsidR="00551E1E">
        <w:t>s</w:t>
      </w:r>
      <w:r w:rsidRPr="005B04AC">
        <w:t xml:space="preserve"> are materially increased or decreased.</w:t>
      </w:r>
      <w:r w:rsidR="00551E1E">
        <w:t>"</w:t>
      </w:r>
    </w:p>
    <w:p w:rsidR="00190723" w:rsidRDefault="00E87EE0" w:rsidP="00E87EE0">
      <w:pPr>
        <w:pStyle w:val="Heading2"/>
      </w:pPr>
      <w:bookmarkStart w:id="7" w:name="_Toc419444582"/>
      <w:r>
        <w:t>Factors considered</w:t>
      </w:r>
      <w:bookmarkEnd w:id="7"/>
    </w:p>
    <w:p w:rsidR="00E87EE0" w:rsidRPr="00E87EE0" w:rsidRDefault="00E87EE0" w:rsidP="00E87EE0">
      <w:r w:rsidRPr="00E87EE0">
        <w:t>We have assessed the negative cost pass through application in accordance with factors listed in clause 4.5.4 of the access arrangement. This section sets out those factors and our considerations against each.</w:t>
      </w:r>
    </w:p>
    <w:p w:rsidR="00E87EE0" w:rsidRPr="00E87EE0" w:rsidRDefault="00E87EE0" w:rsidP="00E87EE0">
      <w:r w:rsidRPr="00E87EE0">
        <w:t>In making its decision on whether to approve the proposed Cost Pass-through Event variation, the AER must take into account the following:</w:t>
      </w:r>
    </w:p>
    <w:p w:rsidR="00E87EE0" w:rsidRPr="00E87EE0" w:rsidRDefault="00E87EE0" w:rsidP="00E87EE0">
      <w:pPr>
        <w:pStyle w:val="Bulletpoint"/>
      </w:pPr>
      <w:r w:rsidRPr="00E87EE0">
        <w:t>the costs to be passed through are for the delivery of pipeline services</w:t>
      </w:r>
    </w:p>
    <w:p w:rsidR="00E87EE0" w:rsidRPr="00E87EE0" w:rsidRDefault="00E87EE0" w:rsidP="00E87EE0">
      <w:r w:rsidRPr="00E87EE0">
        <w:t>We accept that the costs relate to</w:t>
      </w:r>
      <w:r w:rsidR="008B4332">
        <w:t xml:space="preserve"> the</w:t>
      </w:r>
      <w:r w:rsidRPr="00E87EE0">
        <w:t xml:space="preserve"> delivery of pipeline services.</w:t>
      </w:r>
    </w:p>
    <w:p w:rsidR="00E87EE0" w:rsidRPr="00E87EE0" w:rsidRDefault="00E87EE0" w:rsidP="00E87EE0">
      <w:pPr>
        <w:pStyle w:val="Bulletpoint"/>
      </w:pPr>
      <w:r w:rsidRPr="00E87EE0">
        <w:t>the costs are incremental to costs already allowed for in reference tariffs</w:t>
      </w:r>
    </w:p>
    <w:p w:rsidR="00E87EE0" w:rsidRPr="00E87EE0" w:rsidRDefault="00E87EE0" w:rsidP="00E87EE0">
      <w:r w:rsidRPr="00E87EE0">
        <w:t xml:space="preserve">We accept that the costs are incremental to those already included in </w:t>
      </w:r>
      <w:r w:rsidR="008B4332">
        <w:t xml:space="preserve">the </w:t>
      </w:r>
      <w:r w:rsidRPr="00E87EE0">
        <w:t>Allgas reference tariffs.</w:t>
      </w:r>
    </w:p>
    <w:p w:rsidR="00E87EE0" w:rsidRPr="00E87EE0" w:rsidRDefault="00E87EE0" w:rsidP="00E87EE0">
      <w:pPr>
        <w:pStyle w:val="Bulletpoint"/>
      </w:pPr>
      <w:r w:rsidRPr="00E87EE0">
        <w:t>the total costs to be passed through are building block components of total revenue</w:t>
      </w:r>
    </w:p>
    <w:p w:rsidR="00E87EE0" w:rsidRPr="00E87EE0" w:rsidRDefault="00E87EE0" w:rsidP="00E87EE0">
      <w:r w:rsidRPr="00E87EE0">
        <w:t xml:space="preserve">We accept that the costs are building block components, in the nature of operating costs, or opex. Opex refers to the operating, maintenance and other non-capital costs incurred in the provision of pipeline services.   </w:t>
      </w:r>
    </w:p>
    <w:p w:rsidR="00E87EE0" w:rsidRPr="00E87EE0" w:rsidRDefault="00E87EE0" w:rsidP="00E87EE0">
      <w:pPr>
        <w:pStyle w:val="Bulletpoint"/>
      </w:pPr>
      <w:r w:rsidRPr="00E87EE0">
        <w:lastRenderedPageBreak/>
        <w:t>the costs to be passed through meet the NGR criteria for determining the building block for total revenue in determining reference services</w:t>
      </w:r>
    </w:p>
    <w:p w:rsidR="00E87EE0" w:rsidRPr="00E87EE0" w:rsidRDefault="00E87EE0" w:rsidP="00E87EE0">
      <w:r w:rsidRPr="00E87EE0">
        <w:t>Rule 9</w:t>
      </w:r>
      <w:r w:rsidR="00807A99">
        <w:t xml:space="preserve">1(1) of the </w:t>
      </w:r>
      <w:r w:rsidRPr="00E87EE0">
        <w:t>NGR provides that opex must reflect the costs incurred by a prudent service provider acting efficiently, in accordance with accepted good industry practice, to achieve the lowest sustainable cost of delivering reference servi</w:t>
      </w:r>
      <w:r w:rsidR="00A95988">
        <w:t>ces. We are satisfied that Allgas'</w:t>
      </w:r>
      <w:r w:rsidRPr="00E87EE0">
        <w:t xml:space="preserve"> negative pass-through costs satisfy the NGR criteria set out in r. 91(1).</w:t>
      </w:r>
    </w:p>
    <w:p w:rsidR="00E87EE0" w:rsidRPr="00E87EE0" w:rsidRDefault="00E87EE0" w:rsidP="00E87EE0">
      <w:pPr>
        <w:pStyle w:val="Bulletpoint"/>
      </w:pPr>
      <w:r w:rsidRPr="00E87EE0">
        <w:t xml:space="preserve">any other factors which the AER considers relevant and consistent with the NGL and NGR. </w:t>
      </w:r>
    </w:p>
    <w:p w:rsidR="00190723" w:rsidRDefault="00381934" w:rsidP="00E87EE0">
      <w:r>
        <w:t>The proposed</w:t>
      </w:r>
      <w:r w:rsidR="00E87EE0" w:rsidRPr="00E87EE0">
        <w:t xml:space="preserve"> </w:t>
      </w:r>
      <w:r>
        <w:t>carbon allowance removal pass through amount is appropriate, as it</w:t>
      </w:r>
      <w:r w:rsidR="00E87EE0" w:rsidRPr="00E87EE0">
        <w:t xml:space="preserve"> match</w:t>
      </w:r>
      <w:r>
        <w:t>es</w:t>
      </w:r>
      <w:r w:rsidR="00E87EE0" w:rsidRPr="00E87EE0">
        <w:t xml:space="preserve"> the carbon costs we have previously approved</w:t>
      </w:r>
      <w:r w:rsidR="00E97F82">
        <w:t xml:space="preserve">. </w:t>
      </w:r>
      <w:r w:rsidR="00D94832">
        <w:t xml:space="preserve"> </w:t>
      </w:r>
      <w:r w:rsidR="00E97F82">
        <w:t>It also</w:t>
      </w:r>
      <w:r w:rsidR="00E87EE0" w:rsidRPr="00E87EE0">
        <w:t xml:space="preserve"> meet</w:t>
      </w:r>
      <w:r w:rsidR="00E97F82">
        <w:t>s</w:t>
      </w:r>
      <w:r w:rsidR="00E87EE0" w:rsidRPr="00E87EE0">
        <w:t xml:space="preserve"> the materiality threshold set out in the access arrangement. That is, at least one per cent of the smoothed forecast revenue specified in the</w:t>
      </w:r>
      <w:r w:rsidR="0068051C">
        <w:t xml:space="preserve"> Access Arrangement Information</w:t>
      </w:r>
      <w:r w:rsidR="00E87EE0" w:rsidRPr="00E87EE0">
        <w:t>.</w:t>
      </w:r>
      <w:r w:rsidR="006D1FCF" w:rsidRPr="006D1FCF">
        <w:t xml:space="preserve"> </w:t>
      </w:r>
      <w:r w:rsidR="00A95988">
        <w:t>Allgas'</w:t>
      </w:r>
      <w:r w:rsidR="006D1FCF">
        <w:t xml:space="preserve"> proposed return to customers of over recovered carbon tax revenues is not subject to the materiality threshold as it relates to an approved true–up mechanism. </w:t>
      </w:r>
    </w:p>
    <w:p w:rsidR="00190723" w:rsidRDefault="00190723" w:rsidP="00190723"/>
    <w:tbl>
      <w:tblPr>
        <w:tblStyle w:val="AERTable-Text"/>
        <w:tblW w:w="0" w:type="auto"/>
        <w:tblLook w:val="04A0" w:firstRow="1" w:lastRow="0" w:firstColumn="1" w:lastColumn="0" w:noHBand="0" w:noVBand="1"/>
      </w:tblPr>
      <w:tblGrid>
        <w:gridCol w:w="2780"/>
        <w:gridCol w:w="2888"/>
        <w:gridCol w:w="2888"/>
      </w:tblGrid>
      <w:tr w:rsidR="00E87EE0" w:rsidRPr="00796046" w:rsidTr="004D4889">
        <w:trPr>
          <w:cnfStyle w:val="100000000000" w:firstRow="1" w:lastRow="0" w:firstColumn="0" w:lastColumn="0" w:oddVBand="0" w:evenVBand="0" w:oddHBand="0" w:evenHBand="0" w:firstRowFirstColumn="0" w:firstRowLastColumn="0" w:lastRowFirstColumn="0" w:lastRowLastColumn="0"/>
        </w:trPr>
        <w:tc>
          <w:tcPr>
            <w:tcW w:w="2780" w:type="dxa"/>
          </w:tcPr>
          <w:p w:rsidR="00E87EE0" w:rsidRPr="00E87EE0" w:rsidRDefault="00E87EE0" w:rsidP="00E87EE0">
            <w:pPr>
              <w:pStyle w:val="TableHeading"/>
            </w:pPr>
            <w:r>
              <w:t>Year</w:t>
            </w:r>
          </w:p>
        </w:tc>
        <w:tc>
          <w:tcPr>
            <w:tcW w:w="2888" w:type="dxa"/>
          </w:tcPr>
          <w:p w:rsidR="00E87EE0" w:rsidRPr="00E87EE0" w:rsidRDefault="00E87EE0" w:rsidP="00E87EE0">
            <w:r>
              <w:t>Pass through amount</w:t>
            </w:r>
          </w:p>
        </w:tc>
        <w:tc>
          <w:tcPr>
            <w:tcW w:w="2888" w:type="dxa"/>
          </w:tcPr>
          <w:p w:rsidR="00E87EE0" w:rsidRPr="00E87EE0" w:rsidRDefault="00E87EE0" w:rsidP="00E87EE0">
            <w:r>
              <w:t>Percentage of smoothed revenue</w:t>
            </w:r>
          </w:p>
        </w:tc>
      </w:tr>
      <w:tr w:rsidR="00E87EE0" w:rsidRPr="00796046" w:rsidTr="004D4889">
        <w:tc>
          <w:tcPr>
            <w:tcW w:w="2780" w:type="dxa"/>
          </w:tcPr>
          <w:p w:rsidR="00E87EE0" w:rsidRPr="00E87EE0" w:rsidRDefault="00E87EE0" w:rsidP="00E87EE0">
            <w:pPr>
              <w:pStyle w:val="Tabletext"/>
            </w:pPr>
            <w:r>
              <w:t>2015–16</w:t>
            </w:r>
          </w:p>
        </w:tc>
        <w:tc>
          <w:tcPr>
            <w:tcW w:w="2888" w:type="dxa"/>
          </w:tcPr>
          <w:p w:rsidR="00E87EE0" w:rsidRPr="00796046" w:rsidRDefault="00E87EE0" w:rsidP="00E87EE0">
            <w:pPr>
              <w:pStyle w:val="Tabletext"/>
            </w:pPr>
            <w:r>
              <w:t>– $</w:t>
            </w:r>
            <w:r w:rsidR="0042678C">
              <w:t>1 234 139</w:t>
            </w:r>
          </w:p>
        </w:tc>
        <w:tc>
          <w:tcPr>
            <w:tcW w:w="2888" w:type="dxa"/>
          </w:tcPr>
          <w:p w:rsidR="00E87EE0" w:rsidRPr="00071879" w:rsidRDefault="009B7CD3" w:rsidP="00071879">
            <w:pPr>
              <w:pStyle w:val="Tabletext"/>
            </w:pPr>
            <w:r w:rsidRPr="00071879">
              <w:t xml:space="preserve">1.43 </w:t>
            </w:r>
            <w:r w:rsidR="00E87EE0" w:rsidRPr="00071879">
              <w:t>per cent</w:t>
            </w:r>
          </w:p>
        </w:tc>
      </w:tr>
    </w:tbl>
    <w:p w:rsidR="00E87EE0" w:rsidRDefault="00E87EE0" w:rsidP="00E87EE0"/>
    <w:p w:rsidR="00190723" w:rsidRDefault="00A95988" w:rsidP="00E87EE0">
      <w:r>
        <w:t>The proposed manner of Allgas'</w:t>
      </w:r>
      <w:r w:rsidR="00E87EE0" w:rsidRPr="00E87EE0">
        <w:t xml:space="preserve"> carbon cost removal from reference tariffs is appropriate, as it matches the manner in which carbon costs were previously incorporated. And we consider the pass through period is also appropriate. Carbon costs will be removed </w:t>
      </w:r>
      <w:r w:rsidR="001111D0">
        <w:t>f</w:t>
      </w:r>
      <w:r w:rsidR="00CF04A7">
        <w:t>rom reference tariffs in</w:t>
      </w:r>
      <w:r w:rsidR="001111D0">
        <w:t xml:space="preserve"> the year to which they relate. </w:t>
      </w:r>
    </w:p>
    <w:p w:rsidR="005D4EBA" w:rsidRDefault="005D4EBA">
      <w:pPr>
        <w:spacing w:line="240" w:lineRule="auto"/>
      </w:pPr>
      <w:r>
        <w:br w:type="page"/>
      </w:r>
    </w:p>
    <w:p w:rsidR="00E87EE0" w:rsidRDefault="005D4EBA" w:rsidP="005D4EBA">
      <w:pPr>
        <w:pStyle w:val="Heading1"/>
      </w:pPr>
      <w:bookmarkStart w:id="8" w:name="_Toc419444583"/>
      <w:r>
        <w:lastRenderedPageBreak/>
        <w:t>Decision</w:t>
      </w:r>
      <w:bookmarkEnd w:id="8"/>
    </w:p>
    <w:p w:rsidR="00146F8E" w:rsidRPr="00146F8E" w:rsidRDefault="00146F8E" w:rsidP="00146F8E">
      <w:r w:rsidRPr="00146F8E">
        <w:t xml:space="preserve">We determine that a negative carbon cost pass through event has occurred and that </w:t>
      </w:r>
      <w:r w:rsidR="00E516EF">
        <w:t xml:space="preserve">a negative pass through is </w:t>
      </w:r>
      <w:r>
        <w:t>appropriate, as follows:</w:t>
      </w:r>
    </w:p>
    <w:p w:rsidR="00146F8E" w:rsidRPr="00146F8E" w:rsidRDefault="00146F8E" w:rsidP="007F1B15">
      <w:pPr>
        <w:pStyle w:val="Bulletpoint"/>
      </w:pPr>
      <w:r w:rsidRPr="00146F8E">
        <w:t>– $</w:t>
      </w:r>
      <w:r w:rsidR="007F1B15" w:rsidRPr="007F1B15">
        <w:t>1 234 139</w:t>
      </w:r>
    </w:p>
    <w:p w:rsidR="00E516EF" w:rsidRDefault="00E516EF" w:rsidP="00146F8E">
      <w:r>
        <w:t>We also determine that a further negative pass through is appropriate, to return to customers previously over recovered revenues:</w:t>
      </w:r>
    </w:p>
    <w:p w:rsidR="00E516EF" w:rsidRDefault="00BF64E3" w:rsidP="00E516EF">
      <w:pPr>
        <w:pStyle w:val="Bulletpoint"/>
      </w:pPr>
      <w:r>
        <w:t>– $259 475</w:t>
      </w:r>
    </w:p>
    <w:p w:rsidR="005D4EBA" w:rsidRDefault="00146F8E" w:rsidP="00146F8E">
      <w:r w:rsidRPr="00146F8E">
        <w:t>The approved negative cost pass through amount</w:t>
      </w:r>
      <w:r w:rsidR="00881DF8">
        <w:t>s</w:t>
      </w:r>
      <w:r w:rsidRPr="00146F8E">
        <w:t xml:space="preserve"> will be returned to custome</w:t>
      </w:r>
      <w:r w:rsidR="00881DF8">
        <w:t>rs in the form of lower reference tariffs in 2015–16</w:t>
      </w:r>
      <w:r w:rsidR="002839C6">
        <w:t>.</w:t>
      </w:r>
    </w:p>
    <w:p w:rsidR="00E87EE0" w:rsidRDefault="00E87EE0" w:rsidP="00190723"/>
    <w:p w:rsidR="00E87EE0" w:rsidRPr="00190723" w:rsidRDefault="00E87EE0" w:rsidP="00190723"/>
    <w:p w:rsidR="00185CB9" w:rsidRDefault="00185CB9" w:rsidP="00185CB9"/>
    <w:sectPr w:rsidR="00185CB9" w:rsidSect="00E137FB">
      <w:footerReference w:type="even" r:id="rId13"/>
      <w:footerReference w:type="default" r:id="rId14"/>
      <w:footerReference w:type="first" r:id="rId1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7D" w:rsidRDefault="002F197D" w:rsidP="004B4412">
      <w:pPr>
        <w:spacing w:before="0"/>
      </w:pPr>
      <w:r>
        <w:separator/>
      </w:r>
    </w:p>
    <w:p w:rsidR="002F197D" w:rsidRDefault="002F197D"/>
    <w:p w:rsidR="002F197D" w:rsidRDefault="002F197D"/>
  </w:endnote>
  <w:endnote w:type="continuationSeparator" w:id="0">
    <w:p w:rsidR="002F197D" w:rsidRDefault="002F197D" w:rsidP="004B4412">
      <w:pPr>
        <w:spacing w:before="0"/>
      </w:pPr>
      <w:r>
        <w:continuationSeparator/>
      </w:r>
    </w:p>
    <w:p w:rsidR="002F197D" w:rsidRDefault="002F197D"/>
    <w:p w:rsidR="002F197D" w:rsidRDefault="002F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252875" w:rsidRPr="00252875">
      <w:rPr>
        <w:rFonts w:eastAsia="Arial" w:cs="Times New Roman"/>
        <w:b/>
        <w:bCs/>
        <w:noProof/>
        <w:color w:val="076A92" w:themeColor="text1"/>
        <w:sz w:val="18"/>
        <w:lang w:val="en-US"/>
      </w:rPr>
      <w:t>Allgas</w:t>
    </w:r>
    <w:r w:rsidR="00252875">
      <w:rPr>
        <w:rFonts w:eastAsia="Arial" w:cs="Times New Roman"/>
        <w:noProof/>
        <w:color w:val="076A92" w:themeColor="text1"/>
        <w:sz w:val="18"/>
      </w:rPr>
      <w:t xml:space="preserve"> - Negative carbon cost pass through</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252875">
      <w:rPr>
        <w:rFonts w:eastAsia="Arial" w:cs="Times New Roman"/>
        <w:noProof/>
        <w:color w:val="076A92" w:themeColor="text1"/>
        <w:sz w:val="18"/>
      </w:rPr>
      <w:t>iii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252875" w:rsidP="00FC7A09">
    <w:pPr>
      <w:pStyle w:val="Footer"/>
    </w:pPr>
    <w:r>
      <w:fldChar w:fldCharType="begin"/>
    </w:r>
    <w:r>
      <w:instrText xml:space="preserve"> STYLEREF  "Report Title"  \* MERGEFORMAT </w:instrText>
    </w:r>
    <w:r>
      <w:fldChar w:fldCharType="separate"/>
    </w:r>
    <w:r>
      <w:rPr>
        <w:noProof/>
      </w:rPr>
      <w:t>Allgas - Negative carbon cost pass through</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6</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252875" w:rsidP="00CC7F1D">
    <w:pPr>
      <w:pStyle w:val="Footer"/>
      <w:tabs>
        <w:tab w:val="clear" w:pos="9026"/>
        <w:tab w:val="right" w:pos="8505"/>
      </w:tabs>
    </w:pPr>
    <w:r>
      <w:fldChar w:fldCharType="begin"/>
    </w:r>
    <w:r>
      <w:instrText xml:space="preserve"> STYLEREF  "Report Title"  \* MERGEFORMAT </w:instrText>
    </w:r>
    <w:r>
      <w:fldChar w:fldCharType="separate"/>
    </w:r>
    <w:r w:rsidRPr="00252875">
      <w:rPr>
        <w:b/>
        <w:bCs/>
        <w:noProof/>
        <w:lang w:val="en-US"/>
      </w:rPr>
      <w:t>Allgas - Negative carbon</w:t>
    </w:r>
    <w:r>
      <w:rPr>
        <w:noProof/>
      </w:rPr>
      <w:t xml:space="preserve"> cost pass through</w:t>
    </w:r>
    <w:r>
      <w:rPr>
        <w:noProof/>
      </w:rPr>
      <w:fldChar w:fldCharType="end"/>
    </w:r>
    <w:r w:rsidR="00CC7F1D">
      <w:tab/>
    </w:r>
    <w:r w:rsidR="00CC7F1D">
      <w:tab/>
    </w:r>
    <w:r w:rsidR="00CC7F1D">
      <w:fldChar w:fldCharType="begin"/>
    </w:r>
    <w:r w:rsidR="00CC7F1D">
      <w:instrText xml:space="preserve"> PAGE   \* MERGEFORMAT </w:instrText>
    </w:r>
    <w:r w:rsidR="00CC7F1D">
      <w:fldChar w:fldCharType="separate"/>
    </w:r>
    <w:r>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7D" w:rsidRDefault="002F197D" w:rsidP="00182906">
      <w:pPr>
        <w:spacing w:before="0"/>
      </w:pPr>
      <w:r>
        <w:separator/>
      </w:r>
    </w:p>
  </w:footnote>
  <w:footnote w:type="continuationSeparator" w:id="0">
    <w:p w:rsidR="002F197D" w:rsidRDefault="002F197D" w:rsidP="00182906">
      <w:pPr>
        <w:spacing w:before="0"/>
      </w:pPr>
      <w:r>
        <w:continuationSeparator/>
      </w:r>
    </w:p>
  </w:footnote>
  <w:footnote w:type="continuationNotice" w:id="1">
    <w:p w:rsidR="002F197D" w:rsidRDefault="002F197D">
      <w:pPr>
        <w:spacing w:before="0" w:line="240" w:lineRule="auto"/>
      </w:pPr>
    </w:p>
  </w:footnote>
  <w:footnote w:id="2">
    <w:p w:rsidR="0056644C" w:rsidRDefault="0056644C">
      <w:pPr>
        <w:pStyle w:val="FootnoteText"/>
      </w:pPr>
      <w:r>
        <w:rPr>
          <w:rStyle w:val="FootnoteReference"/>
        </w:rPr>
        <w:footnoteRef/>
      </w:r>
      <w:r w:rsidR="00A95988">
        <w:t xml:space="preserve"> </w:t>
      </w:r>
      <w:r w:rsidR="00A95988">
        <w:tab/>
        <w:t>Allgas</w:t>
      </w:r>
      <w:r w:rsidR="00ED02AF">
        <w:t xml:space="preserve"> operates the Allgas network</w:t>
      </w:r>
      <w:r>
        <w:t xml:space="preserve"> </w:t>
      </w:r>
      <w:r w:rsidR="0019117A">
        <w:t>as</w:t>
      </w:r>
      <w:r w:rsidR="00ED02AF">
        <w:t xml:space="preserve"> Allgas Energy Pty Ltd and Allgas Toowoomba Energy Pty Ltd.</w:t>
      </w:r>
    </w:p>
  </w:footnote>
  <w:footnote w:id="3">
    <w:p w:rsidR="00664F85" w:rsidRDefault="00664F85">
      <w:pPr>
        <w:pStyle w:val="FootnoteText"/>
      </w:pPr>
      <w:r>
        <w:rPr>
          <w:rStyle w:val="FootnoteReference"/>
        </w:rPr>
        <w:footnoteRef/>
      </w:r>
      <w:r>
        <w:t xml:space="preserve"> </w:t>
      </w:r>
      <w:r>
        <w:tab/>
        <w:t>We received a r</w:t>
      </w:r>
      <w:r w:rsidR="00A95988">
        <w:t>evised true–up proposal from Allgas</w:t>
      </w:r>
      <w:r>
        <w:t xml:space="preserve"> on 15 May 2015.</w:t>
      </w:r>
    </w:p>
  </w:footnote>
  <w:footnote w:id="4">
    <w:p w:rsidR="00ED68E8" w:rsidRDefault="00ED68E8">
      <w:pPr>
        <w:pStyle w:val="FootnoteText"/>
      </w:pPr>
      <w:r>
        <w:rPr>
          <w:rStyle w:val="FootnoteReference"/>
        </w:rPr>
        <w:footnoteRef/>
      </w:r>
      <w:r>
        <w:t xml:space="preserve"> </w:t>
      </w:r>
      <w:r>
        <w:tab/>
        <w:t xml:space="preserve">NCC, </w:t>
      </w:r>
      <w:r w:rsidRPr="00ED68E8">
        <w:rPr>
          <w:rStyle w:val="Emphasis"/>
        </w:rPr>
        <w:t>Application by Allgas Energy Pty Ltd for Light Regulation of the Allgas Gas Distribution Network – Final decision</w:t>
      </w:r>
      <w:r>
        <w:t>, 28 April 2015.</w:t>
      </w:r>
    </w:p>
  </w:footnote>
  <w:footnote w:id="5">
    <w:p w:rsidR="00AC2080" w:rsidRDefault="00AC2080">
      <w:pPr>
        <w:pStyle w:val="FootnoteText"/>
      </w:pPr>
      <w:r>
        <w:rPr>
          <w:rStyle w:val="FootnoteReference"/>
        </w:rPr>
        <w:footnoteRef/>
      </w:r>
      <w:r>
        <w:t xml:space="preserve"> </w:t>
      </w:r>
      <w:r>
        <w:tab/>
        <w:t xml:space="preserve">APT </w:t>
      </w:r>
      <w:r w:rsidR="00ED02AF">
        <w:t>Allgas Energy</w:t>
      </w:r>
      <w:r>
        <w:t xml:space="preserve"> Pty Ltd, </w:t>
      </w:r>
      <w:r w:rsidRPr="00C07EB2">
        <w:rPr>
          <w:rStyle w:val="Emphasis"/>
        </w:rPr>
        <w:t>Access A</w:t>
      </w:r>
      <w:r w:rsidR="00ED02AF" w:rsidRPr="00C07EB2">
        <w:rPr>
          <w:rStyle w:val="Emphasis"/>
        </w:rPr>
        <w:t>rrangement effective 1 July 2011</w:t>
      </w:r>
      <w:r w:rsidRPr="00C07EB2">
        <w:rPr>
          <w:rStyle w:val="Emphasis"/>
        </w:rPr>
        <w:t xml:space="preserve"> – 3</w:t>
      </w:r>
      <w:r w:rsidR="00ED02AF" w:rsidRPr="00C07EB2">
        <w:rPr>
          <w:rStyle w:val="Emphasis"/>
        </w:rPr>
        <w:t>0 June 2016</w:t>
      </w:r>
      <w:r w:rsidR="00ED02AF">
        <w:t xml:space="preserve">, </w:t>
      </w:r>
      <w:r w:rsidR="00240060">
        <w:t>June 2011,</w:t>
      </w:r>
      <w:r w:rsidR="00ED02AF">
        <w:t xml:space="preserve"> p. 17</w:t>
      </w:r>
      <w:r>
        <w:t>.</w:t>
      </w:r>
    </w:p>
  </w:footnote>
  <w:footnote w:id="6">
    <w:p w:rsidR="001D7367" w:rsidRDefault="001D7367">
      <w:pPr>
        <w:pStyle w:val="FootnoteText"/>
      </w:pPr>
      <w:r>
        <w:rPr>
          <w:rStyle w:val="FootnoteReference"/>
        </w:rPr>
        <w:footnoteRef/>
      </w:r>
      <w:r>
        <w:t xml:space="preserve"> </w:t>
      </w:r>
      <w:r>
        <w:tab/>
        <w:t xml:space="preserve">APT Allgas Energy Pty Ltd, </w:t>
      </w:r>
      <w:r w:rsidRPr="00C07EB2">
        <w:rPr>
          <w:rStyle w:val="Emphasis"/>
        </w:rPr>
        <w:t>Access Arrangement effective 1 July 2011 – 30 June 2016</w:t>
      </w:r>
      <w:r>
        <w:t>, June 2011, p.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5 - attachment b - aer decision paper - allgas carbon negative pass through - may 2015 (D2015-00063004).docx"/>
  </w:docVars>
  <w:rsids>
    <w:rsidRoot w:val="002F197D"/>
    <w:rsid w:val="00021202"/>
    <w:rsid w:val="0002517F"/>
    <w:rsid w:val="00025FFF"/>
    <w:rsid w:val="0003578C"/>
    <w:rsid w:val="00036448"/>
    <w:rsid w:val="00063247"/>
    <w:rsid w:val="00070F9F"/>
    <w:rsid w:val="0007137B"/>
    <w:rsid w:val="00071879"/>
    <w:rsid w:val="00074341"/>
    <w:rsid w:val="00085663"/>
    <w:rsid w:val="00085EBF"/>
    <w:rsid w:val="000A6C7B"/>
    <w:rsid w:val="000D122C"/>
    <w:rsid w:val="000E07E7"/>
    <w:rsid w:val="000E1819"/>
    <w:rsid w:val="000E6C72"/>
    <w:rsid w:val="00105606"/>
    <w:rsid w:val="00107CC7"/>
    <w:rsid w:val="001111D0"/>
    <w:rsid w:val="001154D3"/>
    <w:rsid w:val="00116EB2"/>
    <w:rsid w:val="00124609"/>
    <w:rsid w:val="00130C3C"/>
    <w:rsid w:val="00142552"/>
    <w:rsid w:val="0014573B"/>
    <w:rsid w:val="00146F8E"/>
    <w:rsid w:val="001573E4"/>
    <w:rsid w:val="00160756"/>
    <w:rsid w:val="00170114"/>
    <w:rsid w:val="0017232E"/>
    <w:rsid w:val="00174102"/>
    <w:rsid w:val="00180157"/>
    <w:rsid w:val="00182906"/>
    <w:rsid w:val="00185CB9"/>
    <w:rsid w:val="00186F77"/>
    <w:rsid w:val="00190723"/>
    <w:rsid w:val="0019117A"/>
    <w:rsid w:val="001926A4"/>
    <w:rsid w:val="00192AD5"/>
    <w:rsid w:val="001B45A0"/>
    <w:rsid w:val="001D055E"/>
    <w:rsid w:val="001D7367"/>
    <w:rsid w:val="001F492E"/>
    <w:rsid w:val="001F6DA3"/>
    <w:rsid w:val="002010BC"/>
    <w:rsid w:val="00202E03"/>
    <w:rsid w:val="0020492C"/>
    <w:rsid w:val="00207FDC"/>
    <w:rsid w:val="00224DB9"/>
    <w:rsid w:val="00233775"/>
    <w:rsid w:val="00240060"/>
    <w:rsid w:val="00251745"/>
    <w:rsid w:val="00252875"/>
    <w:rsid w:val="00263AC0"/>
    <w:rsid w:val="0026772D"/>
    <w:rsid w:val="00282E80"/>
    <w:rsid w:val="002839C6"/>
    <w:rsid w:val="00286874"/>
    <w:rsid w:val="00296B65"/>
    <w:rsid w:val="002A7DEF"/>
    <w:rsid w:val="002E1BE5"/>
    <w:rsid w:val="002E2BFC"/>
    <w:rsid w:val="002F197D"/>
    <w:rsid w:val="002F7986"/>
    <w:rsid w:val="00301B40"/>
    <w:rsid w:val="00305CC8"/>
    <w:rsid w:val="00307F6D"/>
    <w:rsid w:val="003177A2"/>
    <w:rsid w:val="00317C9D"/>
    <w:rsid w:val="003203B3"/>
    <w:rsid w:val="003271B5"/>
    <w:rsid w:val="00327A1E"/>
    <w:rsid w:val="00331264"/>
    <w:rsid w:val="00334C8D"/>
    <w:rsid w:val="003518B3"/>
    <w:rsid w:val="0036361E"/>
    <w:rsid w:val="00381934"/>
    <w:rsid w:val="003846F1"/>
    <w:rsid w:val="00387DA7"/>
    <w:rsid w:val="003C16F9"/>
    <w:rsid w:val="003F09DD"/>
    <w:rsid w:val="0042678C"/>
    <w:rsid w:val="00480B4B"/>
    <w:rsid w:val="00485DC4"/>
    <w:rsid w:val="00490CD0"/>
    <w:rsid w:val="004A43D1"/>
    <w:rsid w:val="004B4412"/>
    <w:rsid w:val="004C348C"/>
    <w:rsid w:val="004D55BA"/>
    <w:rsid w:val="004D7E5D"/>
    <w:rsid w:val="004E22EC"/>
    <w:rsid w:val="00523E9F"/>
    <w:rsid w:val="00530128"/>
    <w:rsid w:val="00532467"/>
    <w:rsid w:val="0054771D"/>
    <w:rsid w:val="00551E1E"/>
    <w:rsid w:val="00557167"/>
    <w:rsid w:val="0056080A"/>
    <w:rsid w:val="00562632"/>
    <w:rsid w:val="00564A4D"/>
    <w:rsid w:val="0056644C"/>
    <w:rsid w:val="00567BA5"/>
    <w:rsid w:val="00571B35"/>
    <w:rsid w:val="00571D57"/>
    <w:rsid w:val="0057526B"/>
    <w:rsid w:val="005760C4"/>
    <w:rsid w:val="00577A09"/>
    <w:rsid w:val="005829C2"/>
    <w:rsid w:val="00584D8F"/>
    <w:rsid w:val="005A404D"/>
    <w:rsid w:val="005B04AC"/>
    <w:rsid w:val="005B1E3C"/>
    <w:rsid w:val="005C26CC"/>
    <w:rsid w:val="005C4261"/>
    <w:rsid w:val="005D4EBA"/>
    <w:rsid w:val="005D61E5"/>
    <w:rsid w:val="005E6DB8"/>
    <w:rsid w:val="00615C6B"/>
    <w:rsid w:val="00632D6D"/>
    <w:rsid w:val="00642C3E"/>
    <w:rsid w:val="00663DAD"/>
    <w:rsid w:val="00664B8E"/>
    <w:rsid w:val="00664F85"/>
    <w:rsid w:val="00670957"/>
    <w:rsid w:val="006765A7"/>
    <w:rsid w:val="00676679"/>
    <w:rsid w:val="0068051C"/>
    <w:rsid w:val="00695E81"/>
    <w:rsid w:val="006B4CF9"/>
    <w:rsid w:val="006B7AC8"/>
    <w:rsid w:val="006C1FEB"/>
    <w:rsid w:val="006D1FCF"/>
    <w:rsid w:val="006D550F"/>
    <w:rsid w:val="0070177E"/>
    <w:rsid w:val="00701CAB"/>
    <w:rsid w:val="00707563"/>
    <w:rsid w:val="00717114"/>
    <w:rsid w:val="0072348C"/>
    <w:rsid w:val="00724A37"/>
    <w:rsid w:val="007303C3"/>
    <w:rsid w:val="00743223"/>
    <w:rsid w:val="00746E01"/>
    <w:rsid w:val="00757BDF"/>
    <w:rsid w:val="00763E5D"/>
    <w:rsid w:val="00767740"/>
    <w:rsid w:val="00777EA9"/>
    <w:rsid w:val="00777EE6"/>
    <w:rsid w:val="00777F59"/>
    <w:rsid w:val="00782EEA"/>
    <w:rsid w:val="007A4D1F"/>
    <w:rsid w:val="007B2C72"/>
    <w:rsid w:val="007C1C53"/>
    <w:rsid w:val="007C74BB"/>
    <w:rsid w:val="007E4904"/>
    <w:rsid w:val="007E4CB5"/>
    <w:rsid w:val="007F066B"/>
    <w:rsid w:val="007F1B15"/>
    <w:rsid w:val="008033C4"/>
    <w:rsid w:val="00806C88"/>
    <w:rsid w:val="00807A99"/>
    <w:rsid w:val="0081034E"/>
    <w:rsid w:val="008344F6"/>
    <w:rsid w:val="0083510F"/>
    <w:rsid w:val="00843704"/>
    <w:rsid w:val="00851209"/>
    <w:rsid w:val="00881DF8"/>
    <w:rsid w:val="008837AC"/>
    <w:rsid w:val="008A3E3C"/>
    <w:rsid w:val="008A587D"/>
    <w:rsid w:val="008B4332"/>
    <w:rsid w:val="008C5486"/>
    <w:rsid w:val="008D1661"/>
    <w:rsid w:val="008E63B4"/>
    <w:rsid w:val="008E7031"/>
    <w:rsid w:val="008F2354"/>
    <w:rsid w:val="00916AB0"/>
    <w:rsid w:val="009233EE"/>
    <w:rsid w:val="00937B61"/>
    <w:rsid w:val="009460AA"/>
    <w:rsid w:val="00951978"/>
    <w:rsid w:val="009661DE"/>
    <w:rsid w:val="009856B7"/>
    <w:rsid w:val="00992317"/>
    <w:rsid w:val="009973A4"/>
    <w:rsid w:val="009A5FC3"/>
    <w:rsid w:val="009B74B0"/>
    <w:rsid w:val="009B7CD3"/>
    <w:rsid w:val="009C3EE9"/>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95988"/>
    <w:rsid w:val="00AC1B2C"/>
    <w:rsid w:val="00AC2080"/>
    <w:rsid w:val="00AC3264"/>
    <w:rsid w:val="00AE1BF1"/>
    <w:rsid w:val="00AF0857"/>
    <w:rsid w:val="00AF0DD2"/>
    <w:rsid w:val="00AF1ED6"/>
    <w:rsid w:val="00B13048"/>
    <w:rsid w:val="00B1716D"/>
    <w:rsid w:val="00B17A1D"/>
    <w:rsid w:val="00B207A0"/>
    <w:rsid w:val="00B25D25"/>
    <w:rsid w:val="00B37E38"/>
    <w:rsid w:val="00B514DD"/>
    <w:rsid w:val="00B52AF0"/>
    <w:rsid w:val="00B56E03"/>
    <w:rsid w:val="00B75873"/>
    <w:rsid w:val="00B8080B"/>
    <w:rsid w:val="00B87C39"/>
    <w:rsid w:val="00B927D8"/>
    <w:rsid w:val="00BA3C98"/>
    <w:rsid w:val="00BA4665"/>
    <w:rsid w:val="00BB2FB2"/>
    <w:rsid w:val="00BB3304"/>
    <w:rsid w:val="00BD3446"/>
    <w:rsid w:val="00BE1F1B"/>
    <w:rsid w:val="00BE47B5"/>
    <w:rsid w:val="00BF64E3"/>
    <w:rsid w:val="00C07EB2"/>
    <w:rsid w:val="00C25FA6"/>
    <w:rsid w:val="00C538A9"/>
    <w:rsid w:val="00C53B5A"/>
    <w:rsid w:val="00C54F5A"/>
    <w:rsid w:val="00C569B4"/>
    <w:rsid w:val="00C67A92"/>
    <w:rsid w:val="00C86679"/>
    <w:rsid w:val="00CA489E"/>
    <w:rsid w:val="00CB666B"/>
    <w:rsid w:val="00CC213C"/>
    <w:rsid w:val="00CC7F1D"/>
    <w:rsid w:val="00CE168E"/>
    <w:rsid w:val="00CE239D"/>
    <w:rsid w:val="00CF04A7"/>
    <w:rsid w:val="00D01CF0"/>
    <w:rsid w:val="00D03D27"/>
    <w:rsid w:val="00D0442A"/>
    <w:rsid w:val="00D47128"/>
    <w:rsid w:val="00D61388"/>
    <w:rsid w:val="00D61A54"/>
    <w:rsid w:val="00D64DEA"/>
    <w:rsid w:val="00D7168E"/>
    <w:rsid w:val="00D71E57"/>
    <w:rsid w:val="00D80893"/>
    <w:rsid w:val="00D81EF4"/>
    <w:rsid w:val="00D92CF1"/>
    <w:rsid w:val="00D92D38"/>
    <w:rsid w:val="00D94832"/>
    <w:rsid w:val="00D950F5"/>
    <w:rsid w:val="00D97185"/>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516EF"/>
    <w:rsid w:val="00E65C85"/>
    <w:rsid w:val="00E66199"/>
    <w:rsid w:val="00E755EC"/>
    <w:rsid w:val="00E7624D"/>
    <w:rsid w:val="00E87EE0"/>
    <w:rsid w:val="00E95AD2"/>
    <w:rsid w:val="00E97F82"/>
    <w:rsid w:val="00EA3D42"/>
    <w:rsid w:val="00EA6B1B"/>
    <w:rsid w:val="00EB505D"/>
    <w:rsid w:val="00EC2BCD"/>
    <w:rsid w:val="00ED02AF"/>
    <w:rsid w:val="00ED68E8"/>
    <w:rsid w:val="00EE28F3"/>
    <w:rsid w:val="00EF4527"/>
    <w:rsid w:val="00EF5110"/>
    <w:rsid w:val="00F15882"/>
    <w:rsid w:val="00F171E0"/>
    <w:rsid w:val="00F20BD3"/>
    <w:rsid w:val="00F254A8"/>
    <w:rsid w:val="00F373A5"/>
    <w:rsid w:val="00F47559"/>
    <w:rsid w:val="00F64C7B"/>
    <w:rsid w:val="00F676DD"/>
    <w:rsid w:val="00F71778"/>
    <w:rsid w:val="00F75A26"/>
    <w:rsid w:val="00F835C9"/>
    <w:rsid w:val="00F83FAD"/>
    <w:rsid w:val="00F86B9C"/>
    <w:rsid w:val="00F952A0"/>
    <w:rsid w:val="00FA3C7F"/>
    <w:rsid w:val="00FB74E2"/>
    <w:rsid w:val="00FC7A09"/>
    <w:rsid w:val="00FD5614"/>
    <w:rsid w:val="00FE0BE1"/>
    <w:rsid w:val="00FE13B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F7AF5C-FA9C-42D8-9683-6E721102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TotalTime>
  <Pages>9</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Johansen, Dale</dc:creator>
  <cp:lastModifiedBy>Johansen, Dale</cp:lastModifiedBy>
  <cp:revision>2</cp:revision>
  <cp:lastPrinted>2015-05-10T01:44:00Z</cp:lastPrinted>
  <dcterms:created xsi:type="dcterms:W3CDTF">2015-05-31T22:43:00Z</dcterms:created>
  <dcterms:modified xsi:type="dcterms:W3CDTF">2015-05-31T22:43:00Z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\\cdchnas-evs02\home$\djoha\3.5 - attachment b - aer decision paper - allgas carbon negative pass through - may 2015 (D2015-00063004).docx</vt:lpwstr>
  </property>
</Properties>
</file>