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D01" w:rsidRPr="006565E9" w:rsidRDefault="002E20D9" w:rsidP="00412D01">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14.25pt;margin-top:-73.75pt;width:647pt;height:848.25pt;z-index:-251658752">
            <v:imagedata r:id="rId8" o:title="AER-final-orange"/>
          </v:shape>
        </w:pict>
      </w:r>
    </w:p>
    <w:p w:rsidR="00412D01" w:rsidRPr="006565E9" w:rsidRDefault="00412D01" w:rsidP="00412D01"/>
    <w:p w:rsidR="00412D01" w:rsidRPr="006565E9" w:rsidRDefault="00412D01" w:rsidP="00412D01">
      <w:pPr>
        <w:pStyle w:val="AERTitle1"/>
      </w:pPr>
      <w:bookmarkStart w:id="1" w:name="OLE_LINK1"/>
      <w:bookmarkStart w:id="2" w:name="OLE_LINK2"/>
    </w:p>
    <w:p w:rsidR="00412D01" w:rsidRPr="006565E9" w:rsidRDefault="00412D01" w:rsidP="00412D01">
      <w:pPr>
        <w:pStyle w:val="AERTitle1"/>
      </w:pPr>
    </w:p>
    <w:p w:rsidR="00412D01" w:rsidRPr="006565E9" w:rsidRDefault="00412D01" w:rsidP="00412D01">
      <w:pPr>
        <w:pStyle w:val="AERTitle1"/>
      </w:pPr>
    </w:p>
    <w:p w:rsidR="00412D01" w:rsidRPr="006565E9" w:rsidRDefault="00412D01" w:rsidP="00412D01">
      <w:pPr>
        <w:pStyle w:val="AERTitle1"/>
      </w:pPr>
    </w:p>
    <w:p w:rsidR="00412D01" w:rsidRPr="006565E9" w:rsidRDefault="00412D01" w:rsidP="00412D01">
      <w:pPr>
        <w:pStyle w:val="AERTitle1"/>
      </w:pPr>
    </w:p>
    <w:p w:rsidR="00B5662A" w:rsidRPr="006565E9" w:rsidRDefault="00B5662A" w:rsidP="00412D01">
      <w:pPr>
        <w:pStyle w:val="AERTitle1"/>
      </w:pPr>
    </w:p>
    <w:p w:rsidR="00B5662A" w:rsidRPr="006565E9" w:rsidRDefault="00B5662A" w:rsidP="00412D01">
      <w:pPr>
        <w:pStyle w:val="AERTitle1"/>
      </w:pPr>
    </w:p>
    <w:p w:rsidR="00412D01" w:rsidRPr="006565E9" w:rsidRDefault="00B77F90" w:rsidP="00412D01">
      <w:pPr>
        <w:pStyle w:val="AERTitle1"/>
      </w:pPr>
      <w:r w:rsidRPr="006565E9">
        <w:t>De</w:t>
      </w:r>
      <w:r w:rsidR="00A23FA9" w:rsidRPr="006565E9">
        <w:t>termination</w:t>
      </w:r>
    </w:p>
    <w:p w:rsidR="00412D01" w:rsidRPr="006565E9" w:rsidRDefault="005D55DE" w:rsidP="00412D01">
      <w:pPr>
        <w:pStyle w:val="AERTitle1"/>
      </w:pPr>
      <w:r w:rsidRPr="006565E9">
        <w:t xml:space="preserve">2012–13 </w:t>
      </w:r>
      <w:r w:rsidR="00A23FA9" w:rsidRPr="006565E9">
        <w:t xml:space="preserve">MOS </w:t>
      </w:r>
      <w:r w:rsidR="00E45E1F" w:rsidRPr="006565E9">
        <w:t>a</w:t>
      </w:r>
      <w:r w:rsidR="00A23FA9" w:rsidRPr="006565E9">
        <w:t xml:space="preserve">llocation </w:t>
      </w:r>
      <w:r w:rsidR="00E45E1F" w:rsidRPr="006565E9">
        <w:t>service c</w:t>
      </w:r>
      <w:r w:rsidR="00A23FA9" w:rsidRPr="006565E9">
        <w:t xml:space="preserve">osts payable to STTM pipeline operators </w:t>
      </w:r>
    </w:p>
    <w:p w:rsidR="00412D01" w:rsidRPr="006565E9" w:rsidRDefault="00412D01" w:rsidP="00412D01">
      <w:pPr>
        <w:pStyle w:val="AERTitle1"/>
      </w:pPr>
    </w:p>
    <w:p w:rsidR="00412D01" w:rsidRPr="006565E9" w:rsidRDefault="00412D01" w:rsidP="00412D01"/>
    <w:p w:rsidR="00412D01" w:rsidRPr="006565E9" w:rsidRDefault="00412D01" w:rsidP="00412D01"/>
    <w:p w:rsidR="00412D01" w:rsidRPr="006565E9" w:rsidRDefault="00412D01" w:rsidP="00412D01"/>
    <w:bookmarkEnd w:id="1"/>
    <w:bookmarkEnd w:id="2"/>
    <w:p w:rsidR="00412D01" w:rsidRPr="006565E9" w:rsidRDefault="00C34CE9" w:rsidP="00412D01">
      <w:pPr>
        <w:pStyle w:val="AERTitle2"/>
      </w:pPr>
      <w:r w:rsidRPr="006565E9">
        <w:t>September</w:t>
      </w:r>
      <w:r w:rsidR="00B84854" w:rsidRPr="006565E9">
        <w:t xml:space="preserve"> 2013</w:t>
      </w:r>
    </w:p>
    <w:p w:rsidR="00412D01" w:rsidRPr="006565E9" w:rsidRDefault="00412D01" w:rsidP="00412D01">
      <w:pPr>
        <w:pStyle w:val="AERbodytext"/>
      </w:pPr>
      <w:r w:rsidRPr="006565E9">
        <w:t xml:space="preserve"> </w:t>
      </w:r>
    </w:p>
    <w:p w:rsidR="008E28A5" w:rsidRPr="006565E9" w:rsidRDefault="00412D01" w:rsidP="008E28A5">
      <w:pPr>
        <w:pStyle w:val="AERbodytextnospace"/>
        <w:numPr>
          <w:ilvl w:val="0"/>
          <w:numId w:val="24"/>
        </w:numPr>
      </w:pPr>
      <w:r w:rsidRPr="006565E9">
        <w:br w:type="page"/>
      </w:r>
    </w:p>
    <w:p w:rsidR="008E28A5" w:rsidRPr="006565E9" w:rsidRDefault="008E28A5" w:rsidP="008E28A5">
      <w:pPr>
        <w:pStyle w:val="AERbodytextnospace"/>
        <w:numPr>
          <w:ilvl w:val="0"/>
          <w:numId w:val="24"/>
        </w:numPr>
      </w:pPr>
    </w:p>
    <w:p w:rsidR="008E28A5" w:rsidRPr="006565E9" w:rsidRDefault="008E28A5" w:rsidP="008E28A5">
      <w:pPr>
        <w:pStyle w:val="TOC1"/>
      </w:pPr>
      <w:r w:rsidRPr="006565E9">
        <w:t xml:space="preserve">© Commonwealth of Australia [2013] </w:t>
      </w:r>
    </w:p>
    <w:p w:rsidR="008E28A5" w:rsidRPr="006565E9" w:rsidRDefault="008E28A5" w:rsidP="008E28A5">
      <w:pPr>
        <w:pStyle w:val="AERbodytext"/>
        <w:numPr>
          <w:ilvl w:val="0"/>
          <w:numId w:val="23"/>
        </w:numPr>
      </w:pPr>
      <w:r w:rsidRPr="006565E9">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8E28A5" w:rsidRPr="006565E9" w:rsidRDefault="008E28A5" w:rsidP="008E28A5">
      <w:pPr>
        <w:pStyle w:val="AERbodytext"/>
        <w:numPr>
          <w:ilvl w:val="0"/>
          <w:numId w:val="23"/>
        </w:numPr>
      </w:pPr>
      <w:r w:rsidRPr="006565E9">
        <w:t>Inquiries about this determination should be addressed to:</w:t>
      </w:r>
    </w:p>
    <w:p w:rsidR="008E28A5" w:rsidRPr="006565E9" w:rsidRDefault="008E28A5" w:rsidP="00F15F44">
      <w:pPr>
        <w:pStyle w:val="AERbodytext"/>
        <w:numPr>
          <w:ilvl w:val="0"/>
          <w:numId w:val="23"/>
        </w:numPr>
        <w:spacing w:after="0"/>
      </w:pPr>
      <w:r w:rsidRPr="006565E9">
        <w:t>Australian Energy Regulator</w:t>
      </w:r>
    </w:p>
    <w:p w:rsidR="008E28A5" w:rsidRPr="006565E9" w:rsidRDefault="008E28A5" w:rsidP="00F15F44">
      <w:pPr>
        <w:pStyle w:val="AERbodytext"/>
        <w:numPr>
          <w:ilvl w:val="0"/>
          <w:numId w:val="23"/>
        </w:numPr>
        <w:spacing w:after="0"/>
      </w:pPr>
      <w:r w:rsidRPr="006565E9">
        <w:t>GPO Box 520</w:t>
      </w:r>
    </w:p>
    <w:p w:rsidR="008E28A5" w:rsidRPr="006565E9" w:rsidRDefault="008E28A5" w:rsidP="00F15F44">
      <w:pPr>
        <w:pStyle w:val="AERbodytext"/>
        <w:numPr>
          <w:ilvl w:val="0"/>
          <w:numId w:val="23"/>
        </w:numPr>
        <w:spacing w:after="0"/>
      </w:pPr>
      <w:r w:rsidRPr="006565E9">
        <w:t>Melbourne  Vic  3001</w:t>
      </w:r>
    </w:p>
    <w:p w:rsidR="008E28A5" w:rsidRPr="006565E9" w:rsidRDefault="008E28A5" w:rsidP="00F15F44">
      <w:pPr>
        <w:pStyle w:val="AERbodytext"/>
        <w:numPr>
          <w:ilvl w:val="0"/>
          <w:numId w:val="23"/>
        </w:numPr>
        <w:spacing w:after="0"/>
      </w:pPr>
      <w:r w:rsidRPr="006565E9">
        <w:t>Tel: (03) 9290 1444</w:t>
      </w:r>
    </w:p>
    <w:p w:rsidR="008E28A5" w:rsidRPr="006565E9" w:rsidRDefault="008E28A5" w:rsidP="00F15F44">
      <w:pPr>
        <w:pStyle w:val="AERbodytext"/>
        <w:numPr>
          <w:ilvl w:val="0"/>
          <w:numId w:val="23"/>
        </w:numPr>
        <w:spacing w:after="0"/>
      </w:pPr>
      <w:r w:rsidRPr="006565E9">
        <w:t>Fax: (03) 9290 1457</w:t>
      </w:r>
    </w:p>
    <w:p w:rsidR="008E28A5" w:rsidRPr="006565E9" w:rsidRDefault="008E28A5" w:rsidP="00F15F44">
      <w:pPr>
        <w:pStyle w:val="AERbodytext"/>
        <w:numPr>
          <w:ilvl w:val="0"/>
          <w:numId w:val="23"/>
        </w:numPr>
        <w:spacing w:after="0"/>
      </w:pPr>
      <w:r w:rsidRPr="006565E9">
        <w:t xml:space="preserve">Email: </w:t>
      </w:r>
      <w:hyperlink r:id="rId9" w:history="1">
        <w:r w:rsidRPr="006565E9">
          <w:rPr>
            <w:rStyle w:val="Hyperlink"/>
          </w:rPr>
          <w:t>AERInquiry@aer.gov.au</w:t>
        </w:r>
      </w:hyperlink>
    </w:p>
    <w:p w:rsidR="008E28A5" w:rsidRPr="006565E9" w:rsidRDefault="008E28A5" w:rsidP="008E28A5">
      <w:pPr>
        <w:pStyle w:val="AERbodytext"/>
        <w:numPr>
          <w:ilvl w:val="0"/>
          <w:numId w:val="23"/>
        </w:numPr>
      </w:pPr>
    </w:p>
    <w:p w:rsidR="008E28A5" w:rsidRPr="006565E9" w:rsidRDefault="008E28A5" w:rsidP="001E2CFF">
      <w:pPr>
        <w:pStyle w:val="AERbodytext"/>
        <w:numPr>
          <w:ilvl w:val="0"/>
          <w:numId w:val="23"/>
        </w:numPr>
      </w:pPr>
      <w:r w:rsidRPr="006565E9">
        <w:t>AER reference:   [46664/</w:t>
      </w:r>
      <w:r w:rsidR="001E2CFF" w:rsidRPr="001E2CFF">
        <w:t>D13/127497</w:t>
      </w:r>
      <w:r w:rsidRPr="006565E9">
        <w:t xml:space="preserve">]      </w:t>
      </w:r>
    </w:p>
    <w:p w:rsidR="008E28A5" w:rsidRPr="006565E9" w:rsidRDefault="008E28A5" w:rsidP="008E28A5">
      <w:pPr>
        <w:rPr>
          <w:rStyle w:val="AERtextbold"/>
        </w:rPr>
      </w:pPr>
      <w:r w:rsidRPr="006565E9">
        <w:rPr>
          <w:rStyle w:val="AERtextbold"/>
        </w:rPr>
        <w:t xml:space="preserve">Amendment record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843"/>
        <w:gridCol w:w="2843"/>
      </w:tblGrid>
      <w:tr w:rsidR="008E28A5" w:rsidRPr="006565E9" w:rsidTr="001C286E">
        <w:tc>
          <w:tcPr>
            <w:tcW w:w="2842" w:type="dxa"/>
          </w:tcPr>
          <w:p w:rsidR="008E28A5" w:rsidRPr="006565E9" w:rsidRDefault="008E28A5" w:rsidP="008E28A5">
            <w:pPr>
              <w:pStyle w:val="AERbodytext"/>
              <w:numPr>
                <w:ilvl w:val="0"/>
                <w:numId w:val="23"/>
              </w:numPr>
            </w:pPr>
            <w:r w:rsidRPr="006565E9">
              <w:t>Version</w:t>
            </w:r>
          </w:p>
        </w:tc>
        <w:tc>
          <w:tcPr>
            <w:tcW w:w="2843" w:type="dxa"/>
          </w:tcPr>
          <w:p w:rsidR="008E28A5" w:rsidRPr="006565E9" w:rsidRDefault="008E28A5" w:rsidP="008E28A5">
            <w:pPr>
              <w:pStyle w:val="AERbodytext"/>
              <w:numPr>
                <w:ilvl w:val="0"/>
                <w:numId w:val="23"/>
              </w:numPr>
            </w:pPr>
            <w:r w:rsidRPr="006565E9">
              <w:t>Date</w:t>
            </w:r>
          </w:p>
        </w:tc>
        <w:tc>
          <w:tcPr>
            <w:tcW w:w="2843" w:type="dxa"/>
          </w:tcPr>
          <w:p w:rsidR="008E28A5" w:rsidRPr="006565E9" w:rsidRDefault="008E28A5" w:rsidP="008E28A5">
            <w:pPr>
              <w:pStyle w:val="AERbodytext"/>
              <w:numPr>
                <w:ilvl w:val="0"/>
                <w:numId w:val="23"/>
              </w:numPr>
            </w:pPr>
            <w:r w:rsidRPr="006565E9">
              <w:t>Pages</w:t>
            </w:r>
          </w:p>
        </w:tc>
      </w:tr>
      <w:tr w:rsidR="008E28A5" w:rsidRPr="006565E9" w:rsidTr="001C286E">
        <w:tc>
          <w:tcPr>
            <w:tcW w:w="2842" w:type="dxa"/>
          </w:tcPr>
          <w:p w:rsidR="008E28A5" w:rsidRPr="006565E9" w:rsidRDefault="008E28A5" w:rsidP="008E28A5">
            <w:pPr>
              <w:pStyle w:val="AERbodytext"/>
              <w:numPr>
                <w:ilvl w:val="0"/>
                <w:numId w:val="23"/>
              </w:numPr>
            </w:pPr>
            <w:r w:rsidRPr="006565E9">
              <w:t>1</w:t>
            </w:r>
          </w:p>
        </w:tc>
        <w:tc>
          <w:tcPr>
            <w:tcW w:w="2843" w:type="dxa"/>
          </w:tcPr>
          <w:p w:rsidR="008E28A5" w:rsidRPr="006565E9" w:rsidRDefault="008E28A5" w:rsidP="001C286E">
            <w:r w:rsidRPr="006565E9">
              <w:t>September 2013</w:t>
            </w:r>
          </w:p>
        </w:tc>
        <w:tc>
          <w:tcPr>
            <w:tcW w:w="2843" w:type="dxa"/>
          </w:tcPr>
          <w:p w:rsidR="008E28A5" w:rsidRPr="006565E9" w:rsidRDefault="00C87318" w:rsidP="00B95C5A">
            <w:r w:rsidRPr="006565E9">
              <w:t>1</w:t>
            </w:r>
            <w:r w:rsidR="00B95C5A" w:rsidRPr="006565E9">
              <w:t>6</w:t>
            </w:r>
          </w:p>
        </w:tc>
      </w:tr>
    </w:tbl>
    <w:p w:rsidR="008E28A5" w:rsidRPr="006565E9" w:rsidRDefault="008E28A5" w:rsidP="008E28A5">
      <w:pPr>
        <w:pStyle w:val="AERbodytext"/>
        <w:numPr>
          <w:ilvl w:val="0"/>
          <w:numId w:val="23"/>
        </w:numPr>
      </w:pPr>
    </w:p>
    <w:p w:rsidR="008E28A5" w:rsidRPr="006565E9" w:rsidRDefault="008E28A5" w:rsidP="008E28A5">
      <w:pPr>
        <w:pStyle w:val="AERbodytext"/>
        <w:numPr>
          <w:ilvl w:val="0"/>
          <w:numId w:val="24"/>
        </w:numPr>
        <w:rPr>
          <w:color w:val="E36C0A"/>
          <w:sz w:val="36"/>
          <w:szCs w:val="28"/>
        </w:rPr>
      </w:pPr>
    </w:p>
    <w:p w:rsidR="003E54DA" w:rsidRPr="006565E9" w:rsidRDefault="003E54DA" w:rsidP="008E28A5">
      <w:pPr>
        <w:pStyle w:val="TOC1"/>
      </w:pPr>
      <w:r w:rsidRPr="006565E9">
        <w:t xml:space="preserve"> </w:t>
      </w:r>
    </w:p>
    <w:p w:rsidR="003E54DA" w:rsidRPr="006565E9" w:rsidRDefault="003E54DA" w:rsidP="003E54DA">
      <w:pPr>
        <w:pStyle w:val="AERbodytext"/>
      </w:pPr>
    </w:p>
    <w:p w:rsidR="001C286E" w:rsidRPr="006565E9" w:rsidRDefault="001C286E" w:rsidP="003E54DA">
      <w:pPr>
        <w:pStyle w:val="AERbodytext"/>
      </w:pPr>
    </w:p>
    <w:p w:rsidR="001C286E" w:rsidRPr="006565E9" w:rsidRDefault="001C286E" w:rsidP="003E54DA">
      <w:pPr>
        <w:pStyle w:val="AERbodytext"/>
      </w:pPr>
    </w:p>
    <w:p w:rsidR="001C286E" w:rsidRPr="006565E9" w:rsidRDefault="001C286E" w:rsidP="003E54DA">
      <w:pPr>
        <w:pStyle w:val="AERbodytext"/>
      </w:pPr>
    </w:p>
    <w:p w:rsidR="001C286E" w:rsidRPr="006565E9" w:rsidRDefault="001C286E" w:rsidP="003E54DA">
      <w:pPr>
        <w:pStyle w:val="AERbodytext"/>
      </w:pPr>
    </w:p>
    <w:p w:rsidR="001C286E" w:rsidRPr="006565E9" w:rsidRDefault="001C286E" w:rsidP="003E54DA">
      <w:pPr>
        <w:pStyle w:val="AERbodytext"/>
      </w:pPr>
    </w:p>
    <w:p w:rsidR="001C286E" w:rsidRPr="006565E9" w:rsidRDefault="001C286E" w:rsidP="001C286E">
      <w:pPr>
        <w:pStyle w:val="UnnumberedHeading"/>
        <w:numPr>
          <w:ilvl w:val="0"/>
          <w:numId w:val="25"/>
        </w:numPr>
      </w:pPr>
      <w:bookmarkStart w:id="3" w:name="_Toc364689196"/>
      <w:r w:rsidRPr="006565E9">
        <w:lastRenderedPageBreak/>
        <w:t>Contents</w:t>
      </w:r>
      <w:bookmarkEnd w:id="3"/>
    </w:p>
    <w:p w:rsidR="00895B38" w:rsidRPr="006565E9" w:rsidRDefault="001C286E">
      <w:pPr>
        <w:pStyle w:val="TOC1"/>
        <w:rPr>
          <w:rFonts w:asciiTheme="minorHAnsi" w:eastAsiaTheme="minorEastAsia" w:hAnsiTheme="minorHAnsi" w:cstheme="minorBidi"/>
          <w:b w:val="0"/>
          <w:noProof/>
          <w:sz w:val="22"/>
          <w:szCs w:val="22"/>
          <w:lang w:eastAsia="en-AU"/>
        </w:rPr>
      </w:pPr>
      <w:r w:rsidRPr="006565E9">
        <w:rPr>
          <w:rFonts w:eastAsia="Calibri"/>
          <w:bCs/>
          <w:szCs w:val="20"/>
        </w:rPr>
        <w:fldChar w:fldCharType="begin"/>
      </w:r>
      <w:r w:rsidRPr="006565E9">
        <w:instrText xml:space="preserve"> TOC \o "1-2" \h \z \u \t "Heading 7,1,Heading 8,2" </w:instrText>
      </w:r>
      <w:r w:rsidRPr="006565E9">
        <w:rPr>
          <w:rFonts w:eastAsia="Calibri"/>
          <w:bCs/>
          <w:szCs w:val="20"/>
        </w:rPr>
        <w:fldChar w:fldCharType="separate"/>
      </w:r>
      <w:hyperlink w:anchor="_Toc364689196" w:history="1">
        <w:r w:rsidR="00895B38" w:rsidRPr="006565E9">
          <w:rPr>
            <w:rStyle w:val="Hyperlink"/>
            <w:noProof/>
          </w:rPr>
          <w:t>Contents</w:t>
        </w:r>
        <w:r w:rsidR="00895B38" w:rsidRPr="006565E9">
          <w:rPr>
            <w:noProof/>
            <w:webHidden/>
          </w:rPr>
          <w:tab/>
        </w:r>
        <w:r w:rsidR="00895B38" w:rsidRPr="006565E9">
          <w:rPr>
            <w:noProof/>
            <w:webHidden/>
          </w:rPr>
          <w:fldChar w:fldCharType="begin"/>
        </w:r>
        <w:r w:rsidR="00895B38" w:rsidRPr="006565E9">
          <w:rPr>
            <w:noProof/>
            <w:webHidden/>
          </w:rPr>
          <w:instrText xml:space="preserve"> PAGEREF _Toc364689196 \h </w:instrText>
        </w:r>
        <w:r w:rsidR="00895B38" w:rsidRPr="006565E9">
          <w:rPr>
            <w:noProof/>
            <w:webHidden/>
          </w:rPr>
        </w:r>
        <w:r w:rsidR="00895B38" w:rsidRPr="006565E9">
          <w:rPr>
            <w:noProof/>
            <w:webHidden/>
          </w:rPr>
          <w:fldChar w:fldCharType="separate"/>
        </w:r>
        <w:r w:rsidR="00505878">
          <w:rPr>
            <w:noProof/>
            <w:webHidden/>
          </w:rPr>
          <w:t>3</w:t>
        </w:r>
        <w:r w:rsidR="00895B38" w:rsidRPr="006565E9">
          <w:rPr>
            <w:noProof/>
            <w:webHidden/>
          </w:rPr>
          <w:fldChar w:fldCharType="end"/>
        </w:r>
      </w:hyperlink>
    </w:p>
    <w:p w:rsidR="00895B38" w:rsidRPr="006565E9" w:rsidRDefault="002E20D9">
      <w:pPr>
        <w:pStyle w:val="TOC1"/>
        <w:rPr>
          <w:rFonts w:asciiTheme="minorHAnsi" w:eastAsiaTheme="minorEastAsia" w:hAnsiTheme="minorHAnsi" w:cstheme="minorBidi"/>
          <w:b w:val="0"/>
          <w:noProof/>
          <w:sz w:val="22"/>
          <w:szCs w:val="22"/>
          <w:lang w:eastAsia="en-AU"/>
        </w:rPr>
      </w:pPr>
      <w:hyperlink w:anchor="_Toc364689197" w:history="1">
        <w:r w:rsidR="00895B38" w:rsidRPr="006565E9">
          <w:rPr>
            <w:rStyle w:val="Hyperlink"/>
            <w:noProof/>
          </w:rPr>
          <w:t>Shortened forms</w:t>
        </w:r>
        <w:r w:rsidR="00895B38" w:rsidRPr="006565E9">
          <w:rPr>
            <w:noProof/>
            <w:webHidden/>
          </w:rPr>
          <w:tab/>
        </w:r>
        <w:r w:rsidR="00895B38" w:rsidRPr="006565E9">
          <w:rPr>
            <w:noProof/>
            <w:webHidden/>
          </w:rPr>
          <w:fldChar w:fldCharType="begin"/>
        </w:r>
        <w:r w:rsidR="00895B38" w:rsidRPr="006565E9">
          <w:rPr>
            <w:noProof/>
            <w:webHidden/>
          </w:rPr>
          <w:instrText xml:space="preserve"> PAGEREF _Toc364689197 \h </w:instrText>
        </w:r>
        <w:r w:rsidR="00895B38" w:rsidRPr="006565E9">
          <w:rPr>
            <w:noProof/>
            <w:webHidden/>
          </w:rPr>
        </w:r>
        <w:r w:rsidR="00895B38" w:rsidRPr="006565E9">
          <w:rPr>
            <w:noProof/>
            <w:webHidden/>
          </w:rPr>
          <w:fldChar w:fldCharType="separate"/>
        </w:r>
        <w:r w:rsidR="00505878">
          <w:rPr>
            <w:noProof/>
            <w:webHidden/>
          </w:rPr>
          <w:t>4</w:t>
        </w:r>
        <w:r w:rsidR="00895B38" w:rsidRPr="006565E9">
          <w:rPr>
            <w:noProof/>
            <w:webHidden/>
          </w:rPr>
          <w:fldChar w:fldCharType="end"/>
        </w:r>
      </w:hyperlink>
    </w:p>
    <w:p w:rsidR="00895B38" w:rsidRPr="006565E9" w:rsidRDefault="002E20D9">
      <w:pPr>
        <w:pStyle w:val="TOC1"/>
        <w:rPr>
          <w:rFonts w:asciiTheme="minorHAnsi" w:eastAsiaTheme="minorEastAsia" w:hAnsiTheme="minorHAnsi" w:cstheme="minorBidi"/>
          <w:b w:val="0"/>
          <w:noProof/>
          <w:sz w:val="22"/>
          <w:szCs w:val="22"/>
          <w:lang w:eastAsia="en-AU"/>
        </w:rPr>
      </w:pPr>
      <w:hyperlink w:anchor="_Toc364689198" w:history="1">
        <w:r w:rsidR="00895B38" w:rsidRPr="006565E9">
          <w:rPr>
            <w:rStyle w:val="Hyperlink"/>
            <w:noProof/>
          </w:rPr>
          <w:t>1</w:t>
        </w:r>
        <w:r w:rsidR="00895B38" w:rsidRPr="006565E9">
          <w:rPr>
            <w:rFonts w:asciiTheme="minorHAnsi" w:eastAsiaTheme="minorEastAsia" w:hAnsiTheme="minorHAnsi" w:cstheme="minorBidi"/>
            <w:b w:val="0"/>
            <w:noProof/>
            <w:sz w:val="22"/>
            <w:szCs w:val="22"/>
            <w:lang w:eastAsia="en-AU"/>
          </w:rPr>
          <w:tab/>
        </w:r>
        <w:r w:rsidR="00895B38" w:rsidRPr="006565E9">
          <w:rPr>
            <w:rStyle w:val="Hyperlink"/>
            <w:noProof/>
          </w:rPr>
          <w:t>Overview</w:t>
        </w:r>
        <w:r w:rsidR="00895B38" w:rsidRPr="006565E9">
          <w:rPr>
            <w:noProof/>
            <w:webHidden/>
          </w:rPr>
          <w:tab/>
        </w:r>
        <w:r w:rsidR="00895B38" w:rsidRPr="006565E9">
          <w:rPr>
            <w:noProof/>
            <w:webHidden/>
          </w:rPr>
          <w:fldChar w:fldCharType="begin"/>
        </w:r>
        <w:r w:rsidR="00895B38" w:rsidRPr="006565E9">
          <w:rPr>
            <w:noProof/>
            <w:webHidden/>
          </w:rPr>
          <w:instrText xml:space="preserve"> PAGEREF _Toc364689198 \h </w:instrText>
        </w:r>
        <w:r w:rsidR="00895B38" w:rsidRPr="006565E9">
          <w:rPr>
            <w:noProof/>
            <w:webHidden/>
          </w:rPr>
        </w:r>
        <w:r w:rsidR="00895B38" w:rsidRPr="006565E9">
          <w:rPr>
            <w:noProof/>
            <w:webHidden/>
          </w:rPr>
          <w:fldChar w:fldCharType="separate"/>
        </w:r>
        <w:r w:rsidR="00505878">
          <w:rPr>
            <w:noProof/>
            <w:webHidden/>
          </w:rPr>
          <w:t>5</w:t>
        </w:r>
        <w:r w:rsidR="00895B38" w:rsidRPr="006565E9">
          <w:rPr>
            <w:noProof/>
            <w:webHidden/>
          </w:rPr>
          <w:fldChar w:fldCharType="end"/>
        </w:r>
      </w:hyperlink>
    </w:p>
    <w:p w:rsidR="00895B38" w:rsidRPr="006565E9" w:rsidRDefault="002E20D9">
      <w:pPr>
        <w:pStyle w:val="TOC1"/>
        <w:rPr>
          <w:rFonts w:asciiTheme="minorHAnsi" w:eastAsiaTheme="minorEastAsia" w:hAnsiTheme="minorHAnsi" w:cstheme="minorBidi"/>
          <w:b w:val="0"/>
          <w:noProof/>
          <w:sz w:val="22"/>
          <w:szCs w:val="22"/>
          <w:lang w:eastAsia="en-AU"/>
        </w:rPr>
      </w:pPr>
      <w:hyperlink w:anchor="_Toc364689200" w:history="1">
        <w:r w:rsidR="00895B38" w:rsidRPr="006565E9">
          <w:rPr>
            <w:rStyle w:val="Hyperlink"/>
            <w:noProof/>
          </w:rPr>
          <w:t>2</w:t>
        </w:r>
        <w:r w:rsidR="00895B38" w:rsidRPr="006565E9">
          <w:rPr>
            <w:rFonts w:asciiTheme="minorHAnsi" w:eastAsiaTheme="minorEastAsia" w:hAnsiTheme="minorHAnsi" w:cstheme="minorBidi"/>
            <w:b w:val="0"/>
            <w:noProof/>
            <w:sz w:val="22"/>
            <w:szCs w:val="22"/>
            <w:lang w:eastAsia="en-AU"/>
          </w:rPr>
          <w:tab/>
        </w:r>
        <w:r w:rsidR="00895B38" w:rsidRPr="006565E9">
          <w:rPr>
            <w:rStyle w:val="Hyperlink"/>
            <w:noProof/>
          </w:rPr>
          <w:t>Determination</w:t>
        </w:r>
        <w:r w:rsidR="00895B38" w:rsidRPr="006565E9">
          <w:rPr>
            <w:noProof/>
            <w:webHidden/>
          </w:rPr>
          <w:tab/>
        </w:r>
        <w:r w:rsidR="00895B38" w:rsidRPr="006565E9">
          <w:rPr>
            <w:noProof/>
            <w:webHidden/>
          </w:rPr>
          <w:fldChar w:fldCharType="begin"/>
        </w:r>
        <w:r w:rsidR="00895B38" w:rsidRPr="006565E9">
          <w:rPr>
            <w:noProof/>
            <w:webHidden/>
          </w:rPr>
          <w:instrText xml:space="preserve"> PAGEREF _Toc364689200 \h </w:instrText>
        </w:r>
        <w:r w:rsidR="00895B38" w:rsidRPr="006565E9">
          <w:rPr>
            <w:noProof/>
            <w:webHidden/>
          </w:rPr>
        </w:r>
        <w:r w:rsidR="00895B38" w:rsidRPr="006565E9">
          <w:rPr>
            <w:noProof/>
            <w:webHidden/>
          </w:rPr>
          <w:fldChar w:fldCharType="separate"/>
        </w:r>
        <w:r w:rsidR="00505878">
          <w:rPr>
            <w:noProof/>
            <w:webHidden/>
          </w:rPr>
          <w:t>7</w:t>
        </w:r>
        <w:r w:rsidR="00895B38" w:rsidRPr="006565E9">
          <w:rPr>
            <w:noProof/>
            <w:webHidden/>
          </w:rPr>
          <w:fldChar w:fldCharType="end"/>
        </w:r>
      </w:hyperlink>
    </w:p>
    <w:p w:rsidR="00895B38" w:rsidRPr="006565E9" w:rsidRDefault="002E20D9">
      <w:pPr>
        <w:pStyle w:val="TOC1"/>
        <w:rPr>
          <w:rFonts w:asciiTheme="minorHAnsi" w:eastAsiaTheme="minorEastAsia" w:hAnsiTheme="minorHAnsi" w:cstheme="minorBidi"/>
          <w:b w:val="0"/>
          <w:noProof/>
          <w:sz w:val="22"/>
          <w:szCs w:val="22"/>
          <w:lang w:eastAsia="en-AU"/>
        </w:rPr>
      </w:pPr>
      <w:hyperlink w:anchor="_Toc364689201" w:history="1">
        <w:r w:rsidR="00895B38" w:rsidRPr="006565E9">
          <w:rPr>
            <w:rStyle w:val="Hyperlink"/>
            <w:noProof/>
          </w:rPr>
          <w:t>3</w:t>
        </w:r>
        <w:r w:rsidR="00895B38" w:rsidRPr="006565E9">
          <w:rPr>
            <w:rFonts w:asciiTheme="minorHAnsi" w:eastAsiaTheme="minorEastAsia" w:hAnsiTheme="minorHAnsi" w:cstheme="minorBidi"/>
            <w:b w:val="0"/>
            <w:noProof/>
            <w:sz w:val="22"/>
            <w:szCs w:val="22"/>
            <w:lang w:eastAsia="en-AU"/>
          </w:rPr>
          <w:tab/>
        </w:r>
        <w:r w:rsidR="00895B38" w:rsidRPr="006565E9">
          <w:rPr>
            <w:rStyle w:val="Hyperlink"/>
            <w:noProof/>
          </w:rPr>
          <w:t>2012–13 MOS allocation service costs</w:t>
        </w:r>
        <w:r w:rsidR="00895B38" w:rsidRPr="006565E9">
          <w:rPr>
            <w:noProof/>
            <w:webHidden/>
          </w:rPr>
          <w:tab/>
        </w:r>
        <w:r w:rsidR="00895B38" w:rsidRPr="006565E9">
          <w:rPr>
            <w:noProof/>
            <w:webHidden/>
          </w:rPr>
          <w:fldChar w:fldCharType="begin"/>
        </w:r>
        <w:r w:rsidR="00895B38" w:rsidRPr="006565E9">
          <w:rPr>
            <w:noProof/>
            <w:webHidden/>
          </w:rPr>
          <w:instrText xml:space="preserve"> PAGEREF _Toc364689201 \h </w:instrText>
        </w:r>
        <w:r w:rsidR="00895B38" w:rsidRPr="006565E9">
          <w:rPr>
            <w:noProof/>
            <w:webHidden/>
          </w:rPr>
        </w:r>
        <w:r w:rsidR="00895B38" w:rsidRPr="006565E9">
          <w:rPr>
            <w:noProof/>
            <w:webHidden/>
          </w:rPr>
          <w:fldChar w:fldCharType="separate"/>
        </w:r>
        <w:r w:rsidR="00505878">
          <w:rPr>
            <w:noProof/>
            <w:webHidden/>
          </w:rPr>
          <w:t>8</w:t>
        </w:r>
        <w:r w:rsidR="00895B38" w:rsidRPr="006565E9">
          <w:rPr>
            <w:noProof/>
            <w:webHidden/>
          </w:rPr>
          <w:fldChar w:fldCharType="end"/>
        </w:r>
      </w:hyperlink>
    </w:p>
    <w:p w:rsidR="00895B38" w:rsidRPr="006565E9" w:rsidRDefault="002E20D9">
      <w:pPr>
        <w:pStyle w:val="TOC1"/>
        <w:rPr>
          <w:rFonts w:asciiTheme="minorHAnsi" w:eastAsiaTheme="minorEastAsia" w:hAnsiTheme="minorHAnsi" w:cstheme="minorBidi"/>
          <w:b w:val="0"/>
          <w:noProof/>
          <w:sz w:val="22"/>
          <w:szCs w:val="22"/>
          <w:lang w:eastAsia="en-AU"/>
        </w:rPr>
      </w:pPr>
      <w:hyperlink w:anchor="_Toc364689202" w:history="1">
        <w:r w:rsidR="00895B38" w:rsidRPr="006565E9">
          <w:rPr>
            <w:rStyle w:val="Hyperlink"/>
            <w:noProof/>
          </w:rPr>
          <w:t>4</w:t>
        </w:r>
        <w:r w:rsidR="00895B38" w:rsidRPr="006565E9">
          <w:rPr>
            <w:rFonts w:asciiTheme="minorHAnsi" w:eastAsiaTheme="minorEastAsia" w:hAnsiTheme="minorHAnsi" w:cstheme="minorBidi"/>
            <w:b w:val="0"/>
            <w:noProof/>
            <w:sz w:val="22"/>
            <w:szCs w:val="22"/>
            <w:lang w:eastAsia="en-AU"/>
          </w:rPr>
          <w:tab/>
        </w:r>
        <w:r w:rsidR="00895B38" w:rsidRPr="006565E9">
          <w:rPr>
            <w:rStyle w:val="Hyperlink"/>
            <w:noProof/>
          </w:rPr>
          <w:t>Assessment approach</w:t>
        </w:r>
        <w:r w:rsidR="00895B38" w:rsidRPr="006565E9">
          <w:rPr>
            <w:noProof/>
            <w:webHidden/>
          </w:rPr>
          <w:tab/>
        </w:r>
        <w:r w:rsidR="00895B38" w:rsidRPr="006565E9">
          <w:rPr>
            <w:noProof/>
            <w:webHidden/>
          </w:rPr>
          <w:fldChar w:fldCharType="begin"/>
        </w:r>
        <w:r w:rsidR="00895B38" w:rsidRPr="006565E9">
          <w:rPr>
            <w:noProof/>
            <w:webHidden/>
          </w:rPr>
          <w:instrText xml:space="preserve"> PAGEREF _Toc364689202 \h </w:instrText>
        </w:r>
        <w:r w:rsidR="00895B38" w:rsidRPr="006565E9">
          <w:rPr>
            <w:noProof/>
            <w:webHidden/>
          </w:rPr>
        </w:r>
        <w:r w:rsidR="00895B38" w:rsidRPr="006565E9">
          <w:rPr>
            <w:noProof/>
            <w:webHidden/>
          </w:rPr>
          <w:fldChar w:fldCharType="separate"/>
        </w:r>
        <w:r w:rsidR="00505878">
          <w:rPr>
            <w:noProof/>
            <w:webHidden/>
          </w:rPr>
          <w:t>9</w:t>
        </w:r>
        <w:r w:rsidR="00895B38" w:rsidRPr="006565E9">
          <w:rPr>
            <w:noProof/>
            <w:webHidden/>
          </w:rPr>
          <w:fldChar w:fldCharType="end"/>
        </w:r>
      </w:hyperlink>
    </w:p>
    <w:p w:rsidR="00895B38" w:rsidRPr="006565E9" w:rsidRDefault="002E20D9">
      <w:pPr>
        <w:pStyle w:val="TOC1"/>
        <w:rPr>
          <w:rFonts w:asciiTheme="minorHAnsi" w:eastAsiaTheme="minorEastAsia" w:hAnsiTheme="minorHAnsi" w:cstheme="minorBidi"/>
          <w:b w:val="0"/>
          <w:noProof/>
          <w:sz w:val="22"/>
          <w:szCs w:val="22"/>
          <w:lang w:eastAsia="en-AU"/>
        </w:rPr>
      </w:pPr>
      <w:hyperlink w:anchor="_Toc364689205" w:history="1">
        <w:r w:rsidR="00895B38" w:rsidRPr="006565E9">
          <w:rPr>
            <w:rStyle w:val="Hyperlink"/>
            <w:noProof/>
          </w:rPr>
          <w:t>5</w:t>
        </w:r>
        <w:r w:rsidR="00895B38" w:rsidRPr="006565E9">
          <w:rPr>
            <w:rFonts w:asciiTheme="minorHAnsi" w:eastAsiaTheme="minorEastAsia" w:hAnsiTheme="minorHAnsi" w:cstheme="minorBidi"/>
            <w:b w:val="0"/>
            <w:noProof/>
            <w:sz w:val="22"/>
            <w:szCs w:val="22"/>
            <w:lang w:eastAsia="en-AU"/>
          </w:rPr>
          <w:tab/>
        </w:r>
        <w:r w:rsidR="00895B38" w:rsidRPr="006565E9">
          <w:rPr>
            <w:rStyle w:val="Hyperlink"/>
            <w:noProof/>
          </w:rPr>
          <w:t>Reasons for determination</w:t>
        </w:r>
        <w:r w:rsidR="00895B38" w:rsidRPr="006565E9">
          <w:rPr>
            <w:noProof/>
            <w:webHidden/>
          </w:rPr>
          <w:tab/>
        </w:r>
        <w:r w:rsidR="00895B38" w:rsidRPr="006565E9">
          <w:rPr>
            <w:noProof/>
            <w:webHidden/>
          </w:rPr>
          <w:fldChar w:fldCharType="begin"/>
        </w:r>
        <w:r w:rsidR="00895B38" w:rsidRPr="006565E9">
          <w:rPr>
            <w:noProof/>
            <w:webHidden/>
          </w:rPr>
          <w:instrText xml:space="preserve"> PAGEREF _Toc364689205 \h </w:instrText>
        </w:r>
        <w:r w:rsidR="00895B38" w:rsidRPr="006565E9">
          <w:rPr>
            <w:noProof/>
            <w:webHidden/>
          </w:rPr>
        </w:r>
        <w:r w:rsidR="00895B38" w:rsidRPr="006565E9">
          <w:rPr>
            <w:noProof/>
            <w:webHidden/>
          </w:rPr>
          <w:fldChar w:fldCharType="separate"/>
        </w:r>
        <w:r w:rsidR="00505878">
          <w:rPr>
            <w:noProof/>
            <w:webHidden/>
          </w:rPr>
          <w:t>12</w:t>
        </w:r>
        <w:r w:rsidR="00895B38" w:rsidRPr="006565E9">
          <w:rPr>
            <w:noProof/>
            <w:webHidden/>
          </w:rPr>
          <w:fldChar w:fldCharType="end"/>
        </w:r>
      </w:hyperlink>
    </w:p>
    <w:p w:rsidR="005D71C8" w:rsidRPr="006565E9" w:rsidRDefault="001C286E" w:rsidP="005D71C8">
      <w:pPr>
        <w:pStyle w:val="UnnumberedHeading"/>
        <w:numPr>
          <w:ilvl w:val="0"/>
          <w:numId w:val="25"/>
        </w:numPr>
      </w:pPr>
      <w:r w:rsidRPr="006565E9">
        <w:lastRenderedPageBreak/>
        <w:fldChar w:fldCharType="end"/>
      </w:r>
      <w:bookmarkStart w:id="4" w:name="_Toc345512353"/>
      <w:r w:rsidR="005D71C8" w:rsidRPr="006565E9">
        <w:rPr>
          <w:b w:val="0"/>
          <w:bCs w:val="0"/>
        </w:rPr>
        <w:t xml:space="preserve"> </w:t>
      </w:r>
      <w:bookmarkStart w:id="5" w:name="_Toc364689197"/>
      <w:r w:rsidR="005D71C8" w:rsidRPr="006565E9">
        <w:t>Shortened forms</w:t>
      </w:r>
      <w:bookmarkEnd w:id="4"/>
      <w:bookmarkEnd w:id="5"/>
    </w:p>
    <w:tbl>
      <w:tblPr>
        <w:tblW w:w="0" w:type="auto"/>
        <w:tblInd w:w="113" w:type="dxa"/>
        <w:tblBorders>
          <w:top w:val="single" w:sz="4" w:space="0" w:color="auto"/>
          <w:bottom w:val="single" w:sz="4" w:space="0" w:color="auto"/>
        </w:tblBorders>
        <w:tblLook w:val="01E0" w:firstRow="1" w:lastRow="1" w:firstColumn="1" w:lastColumn="1" w:noHBand="0" w:noVBand="0"/>
      </w:tblPr>
      <w:tblGrid>
        <w:gridCol w:w="3127"/>
        <w:gridCol w:w="5148"/>
      </w:tblGrid>
      <w:tr w:rsidR="005D71C8" w:rsidRPr="006565E9" w:rsidTr="00A14131">
        <w:tc>
          <w:tcPr>
            <w:tcW w:w="312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5D71C8" w:rsidRPr="006565E9" w:rsidRDefault="005D71C8" w:rsidP="005D71C8">
            <w:pPr>
              <w:spacing w:before="80" w:after="120"/>
              <w:jc w:val="left"/>
              <w:rPr>
                <w:b/>
                <w:sz w:val="16"/>
                <w:lang w:eastAsia="en-US"/>
              </w:rPr>
            </w:pPr>
            <w:r w:rsidRPr="006565E9">
              <w:rPr>
                <w:b/>
                <w:sz w:val="16"/>
                <w:lang w:eastAsia="en-US"/>
              </w:rPr>
              <w:t>Shortened form</w:t>
            </w:r>
          </w:p>
        </w:tc>
        <w:tc>
          <w:tcPr>
            <w:tcW w:w="5148"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5D71C8" w:rsidRPr="006565E9" w:rsidRDefault="005D71C8" w:rsidP="005D71C8">
            <w:pPr>
              <w:spacing w:before="80" w:after="120"/>
              <w:jc w:val="left"/>
              <w:rPr>
                <w:b/>
                <w:sz w:val="16"/>
                <w:lang w:eastAsia="en-US"/>
              </w:rPr>
            </w:pPr>
            <w:r w:rsidRPr="006565E9">
              <w:rPr>
                <w:b/>
                <w:sz w:val="16"/>
                <w:lang w:eastAsia="en-US"/>
              </w:rPr>
              <w:t>Full title</w:t>
            </w:r>
          </w:p>
        </w:tc>
      </w:tr>
      <w:tr w:rsidR="005D71C8" w:rsidRPr="006565E9" w:rsidTr="00A14131">
        <w:tc>
          <w:tcPr>
            <w:tcW w:w="3127" w:type="dxa"/>
            <w:tcBorders>
              <w:bottom w:val="nil"/>
            </w:tcBorders>
            <w:shd w:val="clear" w:color="auto" w:fill="auto"/>
            <w:noWrap/>
            <w:tcMar>
              <w:top w:w="0" w:type="dxa"/>
              <w:bottom w:w="0" w:type="dxa"/>
            </w:tcMar>
            <w:vAlign w:val="center"/>
          </w:tcPr>
          <w:p w:rsidR="005D71C8" w:rsidRPr="006565E9" w:rsidRDefault="005D71C8" w:rsidP="005D71C8">
            <w:pPr>
              <w:spacing w:before="80" w:after="120"/>
              <w:jc w:val="left"/>
              <w:rPr>
                <w:sz w:val="16"/>
                <w:lang w:eastAsia="en-US"/>
              </w:rPr>
            </w:pPr>
            <w:r w:rsidRPr="006565E9">
              <w:rPr>
                <w:sz w:val="16"/>
                <w:lang w:eastAsia="en-US"/>
              </w:rPr>
              <w:t>AER</w:t>
            </w:r>
          </w:p>
        </w:tc>
        <w:tc>
          <w:tcPr>
            <w:tcW w:w="5148" w:type="dxa"/>
            <w:tcBorders>
              <w:bottom w:val="nil"/>
            </w:tcBorders>
            <w:shd w:val="clear" w:color="auto" w:fill="auto"/>
            <w:noWrap/>
            <w:tcMar>
              <w:top w:w="0" w:type="dxa"/>
              <w:bottom w:w="0" w:type="dxa"/>
            </w:tcMar>
            <w:vAlign w:val="center"/>
          </w:tcPr>
          <w:p w:rsidR="005D71C8" w:rsidRPr="006565E9" w:rsidRDefault="005D71C8" w:rsidP="005D71C8">
            <w:pPr>
              <w:spacing w:before="80" w:after="120"/>
              <w:jc w:val="left"/>
              <w:rPr>
                <w:sz w:val="16"/>
                <w:lang w:eastAsia="en-US"/>
              </w:rPr>
            </w:pPr>
            <w:r w:rsidRPr="006565E9">
              <w:rPr>
                <w:sz w:val="16"/>
                <w:lang w:eastAsia="en-US"/>
              </w:rPr>
              <w:t>Australian Energy Regulator</w:t>
            </w:r>
          </w:p>
        </w:tc>
      </w:tr>
      <w:tr w:rsidR="005D71C8" w:rsidRPr="006565E9" w:rsidTr="00A14131">
        <w:tc>
          <w:tcPr>
            <w:tcW w:w="3127" w:type="dxa"/>
            <w:tcBorders>
              <w:top w:val="nil"/>
              <w:bottom w:val="nil"/>
            </w:tcBorders>
            <w:shd w:val="clear" w:color="auto" w:fill="F8B47C"/>
            <w:noWrap/>
            <w:tcMar>
              <w:top w:w="0" w:type="dxa"/>
              <w:bottom w:w="0" w:type="dxa"/>
            </w:tcMar>
            <w:vAlign w:val="center"/>
          </w:tcPr>
          <w:p w:rsidR="005D71C8" w:rsidRPr="006565E9" w:rsidRDefault="00904C9B" w:rsidP="005D71C8">
            <w:pPr>
              <w:spacing w:before="80" w:after="120"/>
              <w:jc w:val="left"/>
              <w:rPr>
                <w:sz w:val="16"/>
                <w:lang w:eastAsia="en-US"/>
              </w:rPr>
            </w:pPr>
            <w:r w:rsidRPr="006565E9">
              <w:rPr>
                <w:sz w:val="16"/>
                <w:lang w:eastAsia="en-US"/>
              </w:rPr>
              <w:t xml:space="preserve">AEMO </w:t>
            </w:r>
          </w:p>
        </w:tc>
        <w:tc>
          <w:tcPr>
            <w:tcW w:w="5148" w:type="dxa"/>
            <w:tcBorders>
              <w:top w:val="nil"/>
              <w:bottom w:val="nil"/>
            </w:tcBorders>
            <w:shd w:val="clear" w:color="auto" w:fill="F8B47C"/>
            <w:noWrap/>
            <w:tcMar>
              <w:top w:w="0" w:type="dxa"/>
              <w:bottom w:w="0" w:type="dxa"/>
            </w:tcMar>
            <w:vAlign w:val="center"/>
          </w:tcPr>
          <w:p w:rsidR="005D71C8" w:rsidRPr="006565E9" w:rsidRDefault="00FB77BD" w:rsidP="005D71C8">
            <w:pPr>
              <w:spacing w:before="80" w:after="120"/>
              <w:jc w:val="left"/>
              <w:rPr>
                <w:sz w:val="16"/>
                <w:lang w:eastAsia="en-US"/>
              </w:rPr>
            </w:pPr>
            <w:r w:rsidRPr="006565E9">
              <w:rPr>
                <w:sz w:val="16"/>
                <w:lang w:eastAsia="en-US"/>
              </w:rPr>
              <w:t xml:space="preserve">Australian Energy Market Operator </w:t>
            </w:r>
          </w:p>
        </w:tc>
      </w:tr>
      <w:tr w:rsidR="00FB77BD" w:rsidRPr="006565E9" w:rsidTr="00A87FEA">
        <w:tc>
          <w:tcPr>
            <w:tcW w:w="3127" w:type="dxa"/>
            <w:tcBorders>
              <w:top w:val="nil"/>
              <w:bottom w:val="nil"/>
            </w:tcBorders>
            <w:shd w:val="clear" w:color="auto" w:fill="auto"/>
            <w:noWrap/>
            <w:tcMar>
              <w:top w:w="0" w:type="dxa"/>
              <w:bottom w:w="0" w:type="dxa"/>
            </w:tcMar>
            <w:vAlign w:val="center"/>
          </w:tcPr>
          <w:p w:rsidR="00FB77BD" w:rsidRPr="006565E9" w:rsidRDefault="00FB77BD" w:rsidP="001D3633">
            <w:pPr>
              <w:spacing w:before="80" w:after="120"/>
              <w:jc w:val="left"/>
              <w:rPr>
                <w:sz w:val="16"/>
                <w:lang w:eastAsia="en-US"/>
              </w:rPr>
            </w:pPr>
            <w:r w:rsidRPr="006565E9">
              <w:rPr>
                <w:sz w:val="16"/>
                <w:lang w:eastAsia="en-US"/>
              </w:rPr>
              <w:t xml:space="preserve">APT PPL </w:t>
            </w:r>
          </w:p>
        </w:tc>
        <w:tc>
          <w:tcPr>
            <w:tcW w:w="5148" w:type="dxa"/>
            <w:tcBorders>
              <w:top w:val="nil"/>
              <w:bottom w:val="nil"/>
            </w:tcBorders>
            <w:shd w:val="clear" w:color="auto" w:fill="auto"/>
            <w:noWrap/>
            <w:tcMar>
              <w:top w:w="0" w:type="dxa"/>
              <w:bottom w:w="0" w:type="dxa"/>
            </w:tcMar>
            <w:vAlign w:val="center"/>
          </w:tcPr>
          <w:p w:rsidR="00FB77BD" w:rsidRPr="006565E9" w:rsidRDefault="00FB77BD" w:rsidP="001D3633">
            <w:pPr>
              <w:spacing w:before="80" w:after="120"/>
              <w:jc w:val="left"/>
              <w:rPr>
                <w:sz w:val="16"/>
                <w:lang w:eastAsia="en-US"/>
              </w:rPr>
            </w:pPr>
            <w:r w:rsidRPr="006565E9">
              <w:rPr>
                <w:sz w:val="16"/>
                <w:lang w:eastAsia="en-US"/>
              </w:rPr>
              <w:t xml:space="preserve">APT Petroleum Pipelines Pty Limited </w:t>
            </w:r>
          </w:p>
        </w:tc>
      </w:tr>
      <w:tr w:rsidR="00FB77BD" w:rsidRPr="006565E9" w:rsidTr="00A87FEA">
        <w:tc>
          <w:tcPr>
            <w:tcW w:w="3127" w:type="dxa"/>
            <w:tcBorders>
              <w:top w:val="nil"/>
              <w:bottom w:val="nil"/>
            </w:tcBorders>
            <w:shd w:val="clear" w:color="auto" w:fill="F8B47C"/>
            <w:noWrap/>
            <w:tcMar>
              <w:top w:w="0" w:type="dxa"/>
              <w:bottom w:w="0" w:type="dxa"/>
            </w:tcMar>
            <w:vAlign w:val="center"/>
          </w:tcPr>
          <w:p w:rsidR="00FB77BD" w:rsidRPr="006565E9" w:rsidRDefault="00FB77BD" w:rsidP="001F5C06">
            <w:pPr>
              <w:spacing w:before="80" w:after="120"/>
              <w:jc w:val="left"/>
              <w:rPr>
                <w:sz w:val="16"/>
                <w:lang w:eastAsia="en-US"/>
              </w:rPr>
            </w:pPr>
            <w:r w:rsidRPr="006565E9">
              <w:rPr>
                <w:sz w:val="16"/>
                <w:lang w:eastAsia="en-US"/>
              </w:rPr>
              <w:t xml:space="preserve">EAPL </w:t>
            </w:r>
          </w:p>
        </w:tc>
        <w:tc>
          <w:tcPr>
            <w:tcW w:w="5148" w:type="dxa"/>
            <w:tcBorders>
              <w:top w:val="nil"/>
              <w:bottom w:val="nil"/>
            </w:tcBorders>
            <w:shd w:val="clear" w:color="auto" w:fill="F8B47C"/>
            <w:noWrap/>
            <w:tcMar>
              <w:top w:w="0" w:type="dxa"/>
              <w:bottom w:w="0" w:type="dxa"/>
            </w:tcMar>
            <w:vAlign w:val="center"/>
          </w:tcPr>
          <w:p w:rsidR="00FB77BD" w:rsidRPr="006565E9" w:rsidRDefault="00FB77BD" w:rsidP="001D3633">
            <w:pPr>
              <w:spacing w:before="80" w:after="120"/>
              <w:jc w:val="left"/>
              <w:rPr>
                <w:sz w:val="16"/>
                <w:lang w:eastAsia="en-US"/>
              </w:rPr>
            </w:pPr>
            <w:r w:rsidRPr="006565E9">
              <w:rPr>
                <w:sz w:val="16"/>
                <w:lang w:eastAsia="en-US"/>
              </w:rPr>
              <w:t xml:space="preserve">East Australian Pipeline Pty Limited </w:t>
            </w:r>
          </w:p>
        </w:tc>
      </w:tr>
      <w:tr w:rsidR="003A1B81" w:rsidRPr="006565E9" w:rsidTr="00A87FEA">
        <w:tc>
          <w:tcPr>
            <w:tcW w:w="3127" w:type="dxa"/>
            <w:tcBorders>
              <w:top w:val="nil"/>
              <w:bottom w:val="nil"/>
            </w:tcBorders>
            <w:shd w:val="clear" w:color="auto" w:fill="auto"/>
            <w:noWrap/>
            <w:tcMar>
              <w:top w:w="0" w:type="dxa"/>
              <w:bottom w:w="0" w:type="dxa"/>
            </w:tcMar>
            <w:vAlign w:val="center"/>
          </w:tcPr>
          <w:p w:rsidR="003A1B81" w:rsidRPr="006565E9" w:rsidRDefault="003A1B81" w:rsidP="001D3633">
            <w:pPr>
              <w:spacing w:before="80" w:after="120"/>
              <w:jc w:val="left"/>
              <w:rPr>
                <w:sz w:val="16"/>
                <w:lang w:eastAsia="en-US"/>
              </w:rPr>
            </w:pPr>
            <w:r>
              <w:rPr>
                <w:sz w:val="16"/>
                <w:lang w:eastAsia="en-US"/>
              </w:rPr>
              <w:t>EGP</w:t>
            </w:r>
          </w:p>
        </w:tc>
        <w:tc>
          <w:tcPr>
            <w:tcW w:w="5148" w:type="dxa"/>
            <w:tcBorders>
              <w:top w:val="nil"/>
              <w:bottom w:val="nil"/>
            </w:tcBorders>
            <w:shd w:val="clear" w:color="auto" w:fill="auto"/>
            <w:noWrap/>
            <w:tcMar>
              <w:top w:w="0" w:type="dxa"/>
              <w:bottom w:w="0" w:type="dxa"/>
            </w:tcMar>
            <w:vAlign w:val="center"/>
          </w:tcPr>
          <w:p w:rsidR="003A1B81" w:rsidRPr="006565E9" w:rsidRDefault="003A1B81" w:rsidP="001D3633">
            <w:pPr>
              <w:spacing w:before="80" w:after="120"/>
              <w:jc w:val="left"/>
              <w:rPr>
                <w:sz w:val="16"/>
                <w:lang w:eastAsia="en-US"/>
              </w:rPr>
            </w:pPr>
            <w:r>
              <w:rPr>
                <w:sz w:val="16"/>
                <w:lang w:eastAsia="en-US"/>
              </w:rPr>
              <w:t>Eastern Gas Pipeline</w:t>
            </w:r>
          </w:p>
        </w:tc>
      </w:tr>
      <w:tr w:rsidR="00FB77BD" w:rsidRPr="006565E9" w:rsidTr="00A87FEA">
        <w:tc>
          <w:tcPr>
            <w:tcW w:w="3127" w:type="dxa"/>
            <w:tcBorders>
              <w:top w:val="nil"/>
              <w:bottom w:val="nil"/>
            </w:tcBorders>
            <w:shd w:val="clear" w:color="auto" w:fill="FABF8F" w:themeFill="accent6" w:themeFillTint="99"/>
            <w:noWrap/>
            <w:tcMar>
              <w:top w:w="0" w:type="dxa"/>
              <w:bottom w:w="0" w:type="dxa"/>
            </w:tcMar>
            <w:vAlign w:val="center"/>
          </w:tcPr>
          <w:p w:rsidR="00FB77BD" w:rsidRPr="006565E9" w:rsidRDefault="00FB77BD" w:rsidP="001D3633">
            <w:pPr>
              <w:spacing w:before="80" w:after="120"/>
              <w:jc w:val="left"/>
              <w:rPr>
                <w:sz w:val="16"/>
                <w:lang w:eastAsia="en-US"/>
              </w:rPr>
            </w:pPr>
            <w:r w:rsidRPr="006565E9">
              <w:rPr>
                <w:sz w:val="16"/>
                <w:lang w:eastAsia="en-US"/>
              </w:rPr>
              <w:t xml:space="preserve">Epic Energy </w:t>
            </w:r>
          </w:p>
        </w:tc>
        <w:tc>
          <w:tcPr>
            <w:tcW w:w="5148" w:type="dxa"/>
            <w:tcBorders>
              <w:top w:val="nil"/>
              <w:bottom w:val="nil"/>
            </w:tcBorders>
            <w:shd w:val="clear" w:color="auto" w:fill="FABF8F" w:themeFill="accent6" w:themeFillTint="99"/>
            <w:noWrap/>
            <w:tcMar>
              <w:top w:w="0" w:type="dxa"/>
              <w:bottom w:w="0" w:type="dxa"/>
            </w:tcMar>
            <w:vAlign w:val="center"/>
          </w:tcPr>
          <w:p w:rsidR="00FB77BD" w:rsidRPr="006565E9" w:rsidRDefault="00FB77BD" w:rsidP="001D3633">
            <w:pPr>
              <w:spacing w:before="80" w:after="120"/>
              <w:jc w:val="left"/>
              <w:rPr>
                <w:sz w:val="16"/>
                <w:lang w:eastAsia="en-US"/>
              </w:rPr>
            </w:pPr>
            <w:r w:rsidRPr="006565E9">
              <w:rPr>
                <w:sz w:val="16"/>
                <w:lang w:eastAsia="en-US"/>
              </w:rPr>
              <w:t xml:space="preserve">Epic Energy South Australia Pty Limited </w:t>
            </w:r>
          </w:p>
        </w:tc>
      </w:tr>
      <w:tr w:rsidR="002D540B" w:rsidRPr="006565E9" w:rsidTr="00A87FEA">
        <w:tc>
          <w:tcPr>
            <w:tcW w:w="3127" w:type="dxa"/>
            <w:tcBorders>
              <w:top w:val="nil"/>
              <w:bottom w:val="nil"/>
            </w:tcBorders>
            <w:shd w:val="clear" w:color="auto" w:fill="auto"/>
            <w:noWrap/>
            <w:tcMar>
              <w:top w:w="0" w:type="dxa"/>
              <w:bottom w:w="0" w:type="dxa"/>
            </w:tcMar>
            <w:vAlign w:val="center"/>
          </w:tcPr>
          <w:p w:rsidR="002D540B" w:rsidRPr="006565E9" w:rsidRDefault="002D540B" w:rsidP="001D3633">
            <w:pPr>
              <w:spacing w:before="80" w:after="120"/>
              <w:jc w:val="left"/>
              <w:rPr>
                <w:sz w:val="16"/>
                <w:lang w:eastAsia="en-US"/>
              </w:rPr>
            </w:pPr>
            <w:r>
              <w:rPr>
                <w:sz w:val="16"/>
                <w:lang w:eastAsia="en-US"/>
              </w:rPr>
              <w:t xml:space="preserve">IT </w:t>
            </w:r>
          </w:p>
        </w:tc>
        <w:tc>
          <w:tcPr>
            <w:tcW w:w="5148" w:type="dxa"/>
            <w:tcBorders>
              <w:top w:val="nil"/>
              <w:bottom w:val="nil"/>
            </w:tcBorders>
            <w:shd w:val="clear" w:color="auto" w:fill="auto"/>
            <w:noWrap/>
            <w:tcMar>
              <w:top w:w="0" w:type="dxa"/>
              <w:bottom w:w="0" w:type="dxa"/>
            </w:tcMar>
            <w:vAlign w:val="center"/>
          </w:tcPr>
          <w:p w:rsidR="002D540B" w:rsidRPr="006565E9" w:rsidRDefault="002D540B" w:rsidP="001D3633">
            <w:pPr>
              <w:spacing w:before="80" w:after="120"/>
              <w:jc w:val="left"/>
              <w:rPr>
                <w:sz w:val="16"/>
                <w:lang w:eastAsia="en-US"/>
              </w:rPr>
            </w:pPr>
            <w:r>
              <w:rPr>
                <w:sz w:val="16"/>
                <w:lang w:eastAsia="en-US"/>
              </w:rPr>
              <w:t xml:space="preserve">Information Technology </w:t>
            </w:r>
          </w:p>
        </w:tc>
      </w:tr>
      <w:tr w:rsidR="00FB77BD" w:rsidRPr="006565E9" w:rsidTr="00A87FEA">
        <w:tc>
          <w:tcPr>
            <w:tcW w:w="3127" w:type="dxa"/>
            <w:tcBorders>
              <w:top w:val="nil"/>
            </w:tcBorders>
            <w:shd w:val="clear" w:color="auto" w:fill="F8B47C"/>
            <w:noWrap/>
            <w:tcMar>
              <w:top w:w="0" w:type="dxa"/>
              <w:bottom w:w="0" w:type="dxa"/>
            </w:tcMar>
            <w:vAlign w:val="center"/>
          </w:tcPr>
          <w:p w:rsidR="00FB77BD" w:rsidRPr="006565E9" w:rsidRDefault="00FB77BD" w:rsidP="001D3633">
            <w:pPr>
              <w:spacing w:before="80" w:after="120"/>
              <w:jc w:val="left"/>
              <w:rPr>
                <w:sz w:val="16"/>
                <w:lang w:eastAsia="en-US"/>
              </w:rPr>
            </w:pPr>
            <w:r w:rsidRPr="006565E9">
              <w:rPr>
                <w:sz w:val="16"/>
                <w:lang w:eastAsia="en-US"/>
              </w:rPr>
              <w:t xml:space="preserve">Jemena </w:t>
            </w:r>
          </w:p>
        </w:tc>
        <w:tc>
          <w:tcPr>
            <w:tcW w:w="5148" w:type="dxa"/>
            <w:tcBorders>
              <w:top w:val="nil"/>
            </w:tcBorders>
            <w:shd w:val="clear" w:color="auto" w:fill="F8B47C"/>
            <w:noWrap/>
            <w:tcMar>
              <w:top w:w="0" w:type="dxa"/>
              <w:bottom w:w="0" w:type="dxa"/>
            </w:tcMar>
            <w:vAlign w:val="center"/>
          </w:tcPr>
          <w:p w:rsidR="00FB77BD" w:rsidRPr="006565E9" w:rsidRDefault="00FB77BD" w:rsidP="001D3633">
            <w:pPr>
              <w:spacing w:before="80" w:after="120"/>
              <w:jc w:val="left"/>
              <w:rPr>
                <w:sz w:val="16"/>
                <w:lang w:eastAsia="en-US"/>
              </w:rPr>
            </w:pPr>
            <w:r w:rsidRPr="006565E9">
              <w:rPr>
                <w:sz w:val="16"/>
                <w:lang w:eastAsia="en-US"/>
              </w:rPr>
              <w:t xml:space="preserve">Eastern Gas Pipeline Joint Venture </w:t>
            </w:r>
          </w:p>
        </w:tc>
      </w:tr>
      <w:tr w:rsidR="003A1B81" w:rsidRPr="006565E9" w:rsidTr="00A87FEA">
        <w:tc>
          <w:tcPr>
            <w:tcW w:w="3127" w:type="dxa"/>
            <w:tcBorders>
              <w:top w:val="nil"/>
              <w:bottom w:val="nil"/>
            </w:tcBorders>
            <w:shd w:val="clear" w:color="auto" w:fill="auto"/>
            <w:noWrap/>
            <w:tcMar>
              <w:top w:w="0" w:type="dxa"/>
              <w:bottom w:w="0" w:type="dxa"/>
            </w:tcMar>
            <w:vAlign w:val="center"/>
          </w:tcPr>
          <w:p w:rsidR="003A1B81" w:rsidRPr="006565E9" w:rsidRDefault="003A1B81" w:rsidP="005D71C8">
            <w:pPr>
              <w:spacing w:before="80" w:after="120"/>
              <w:jc w:val="left"/>
              <w:rPr>
                <w:sz w:val="16"/>
                <w:lang w:eastAsia="en-US"/>
              </w:rPr>
            </w:pPr>
            <w:r>
              <w:rPr>
                <w:sz w:val="16"/>
                <w:lang w:eastAsia="en-US"/>
              </w:rPr>
              <w:t>MAPS</w:t>
            </w:r>
          </w:p>
        </w:tc>
        <w:tc>
          <w:tcPr>
            <w:tcW w:w="5148" w:type="dxa"/>
            <w:tcBorders>
              <w:top w:val="nil"/>
              <w:bottom w:val="nil"/>
            </w:tcBorders>
            <w:shd w:val="clear" w:color="auto" w:fill="auto"/>
            <w:noWrap/>
            <w:tcMar>
              <w:top w:w="0" w:type="dxa"/>
              <w:bottom w:w="0" w:type="dxa"/>
            </w:tcMar>
            <w:vAlign w:val="center"/>
          </w:tcPr>
          <w:p w:rsidR="003A1B81" w:rsidRPr="006565E9" w:rsidRDefault="003A1B81" w:rsidP="005D71C8">
            <w:pPr>
              <w:spacing w:before="80" w:after="120"/>
              <w:jc w:val="left"/>
              <w:rPr>
                <w:sz w:val="16"/>
                <w:lang w:eastAsia="en-US"/>
              </w:rPr>
            </w:pPr>
            <w:r>
              <w:rPr>
                <w:sz w:val="16"/>
                <w:lang w:eastAsia="en-US"/>
              </w:rPr>
              <w:t>Moomba to Adelaide Pipeline System</w:t>
            </w:r>
          </w:p>
        </w:tc>
      </w:tr>
      <w:tr w:rsidR="005D71C8" w:rsidRPr="006565E9" w:rsidTr="00A87FEA">
        <w:tc>
          <w:tcPr>
            <w:tcW w:w="3127" w:type="dxa"/>
            <w:tcBorders>
              <w:top w:val="nil"/>
              <w:bottom w:val="nil"/>
            </w:tcBorders>
            <w:shd w:val="clear" w:color="auto" w:fill="FABF8F" w:themeFill="accent6" w:themeFillTint="99"/>
            <w:noWrap/>
            <w:tcMar>
              <w:top w:w="0" w:type="dxa"/>
              <w:bottom w:w="0" w:type="dxa"/>
            </w:tcMar>
            <w:vAlign w:val="center"/>
          </w:tcPr>
          <w:p w:rsidR="005D71C8" w:rsidRPr="006565E9" w:rsidRDefault="00904C9B" w:rsidP="005D71C8">
            <w:pPr>
              <w:spacing w:before="80" w:after="120"/>
              <w:jc w:val="left"/>
              <w:rPr>
                <w:sz w:val="16"/>
                <w:lang w:eastAsia="en-US"/>
              </w:rPr>
            </w:pPr>
            <w:r w:rsidRPr="006565E9">
              <w:rPr>
                <w:sz w:val="16"/>
                <w:lang w:eastAsia="en-US"/>
              </w:rPr>
              <w:t>MOS</w:t>
            </w:r>
          </w:p>
        </w:tc>
        <w:tc>
          <w:tcPr>
            <w:tcW w:w="5148" w:type="dxa"/>
            <w:tcBorders>
              <w:top w:val="nil"/>
              <w:bottom w:val="nil"/>
            </w:tcBorders>
            <w:shd w:val="clear" w:color="auto" w:fill="FABF8F" w:themeFill="accent6" w:themeFillTint="99"/>
            <w:noWrap/>
            <w:tcMar>
              <w:top w:w="0" w:type="dxa"/>
              <w:bottom w:w="0" w:type="dxa"/>
            </w:tcMar>
            <w:vAlign w:val="center"/>
          </w:tcPr>
          <w:p w:rsidR="005D71C8" w:rsidRPr="006565E9" w:rsidRDefault="00FB77BD" w:rsidP="005D71C8">
            <w:pPr>
              <w:spacing w:before="80" w:after="120"/>
              <w:jc w:val="left"/>
              <w:rPr>
                <w:sz w:val="16"/>
                <w:lang w:eastAsia="en-US"/>
              </w:rPr>
            </w:pPr>
            <w:r w:rsidRPr="006565E9">
              <w:rPr>
                <w:sz w:val="16"/>
                <w:lang w:eastAsia="en-US"/>
              </w:rPr>
              <w:t xml:space="preserve">Market Operator Service </w:t>
            </w:r>
          </w:p>
        </w:tc>
      </w:tr>
      <w:tr w:rsidR="003A1B81" w:rsidRPr="006565E9" w:rsidTr="00A87FEA">
        <w:tc>
          <w:tcPr>
            <w:tcW w:w="3127" w:type="dxa"/>
            <w:tcBorders>
              <w:top w:val="nil"/>
              <w:bottom w:val="nil"/>
            </w:tcBorders>
            <w:shd w:val="clear" w:color="auto" w:fill="auto"/>
            <w:noWrap/>
            <w:tcMar>
              <w:top w:w="0" w:type="dxa"/>
              <w:bottom w:w="0" w:type="dxa"/>
            </w:tcMar>
            <w:vAlign w:val="center"/>
          </w:tcPr>
          <w:p w:rsidR="003A1B81" w:rsidRDefault="003A1B81" w:rsidP="001D3633">
            <w:pPr>
              <w:spacing w:before="80" w:after="120"/>
              <w:jc w:val="left"/>
              <w:rPr>
                <w:sz w:val="16"/>
                <w:lang w:eastAsia="en-US"/>
              </w:rPr>
            </w:pPr>
            <w:r>
              <w:rPr>
                <w:sz w:val="16"/>
                <w:lang w:eastAsia="en-US"/>
              </w:rPr>
              <w:t>MSP</w:t>
            </w:r>
          </w:p>
        </w:tc>
        <w:tc>
          <w:tcPr>
            <w:tcW w:w="5148" w:type="dxa"/>
            <w:tcBorders>
              <w:top w:val="nil"/>
              <w:bottom w:val="nil"/>
            </w:tcBorders>
            <w:shd w:val="clear" w:color="auto" w:fill="auto"/>
            <w:noWrap/>
            <w:tcMar>
              <w:top w:w="0" w:type="dxa"/>
              <w:bottom w:w="0" w:type="dxa"/>
            </w:tcMar>
            <w:vAlign w:val="center"/>
          </w:tcPr>
          <w:p w:rsidR="003A1B81" w:rsidRDefault="003A1B81" w:rsidP="003A1B81">
            <w:pPr>
              <w:spacing w:before="80" w:after="120"/>
              <w:jc w:val="left"/>
              <w:rPr>
                <w:sz w:val="16"/>
                <w:lang w:eastAsia="en-US"/>
              </w:rPr>
            </w:pPr>
            <w:r>
              <w:rPr>
                <w:sz w:val="16"/>
                <w:lang w:eastAsia="en-US"/>
              </w:rPr>
              <w:t>Moomba to Sydney Pipeline</w:t>
            </w:r>
          </w:p>
        </w:tc>
      </w:tr>
      <w:tr w:rsidR="003A1B81" w:rsidRPr="006565E9" w:rsidTr="00A87FEA">
        <w:tc>
          <w:tcPr>
            <w:tcW w:w="3127" w:type="dxa"/>
            <w:tcBorders>
              <w:top w:val="nil"/>
              <w:bottom w:val="nil"/>
            </w:tcBorders>
            <w:shd w:val="clear" w:color="auto" w:fill="F8B47C"/>
            <w:noWrap/>
            <w:tcMar>
              <w:top w:w="0" w:type="dxa"/>
              <w:bottom w:w="0" w:type="dxa"/>
            </w:tcMar>
            <w:vAlign w:val="center"/>
          </w:tcPr>
          <w:p w:rsidR="003A1B81" w:rsidRPr="006565E9" w:rsidRDefault="003A1B81" w:rsidP="001D3633">
            <w:pPr>
              <w:spacing w:before="80" w:after="120"/>
              <w:jc w:val="left"/>
              <w:rPr>
                <w:sz w:val="16"/>
                <w:lang w:eastAsia="en-US"/>
              </w:rPr>
            </w:pPr>
            <w:r>
              <w:rPr>
                <w:sz w:val="16"/>
                <w:lang w:eastAsia="en-US"/>
              </w:rPr>
              <w:t xml:space="preserve">NGR </w:t>
            </w:r>
          </w:p>
        </w:tc>
        <w:tc>
          <w:tcPr>
            <w:tcW w:w="5148" w:type="dxa"/>
            <w:tcBorders>
              <w:top w:val="nil"/>
              <w:bottom w:val="nil"/>
            </w:tcBorders>
            <w:shd w:val="clear" w:color="auto" w:fill="F8B47C"/>
            <w:noWrap/>
            <w:tcMar>
              <w:top w:w="0" w:type="dxa"/>
              <w:bottom w:w="0" w:type="dxa"/>
            </w:tcMar>
            <w:vAlign w:val="center"/>
          </w:tcPr>
          <w:p w:rsidR="003A1B81" w:rsidRPr="006565E9" w:rsidRDefault="003A1B81" w:rsidP="003A1B81">
            <w:pPr>
              <w:spacing w:before="80" w:after="120"/>
              <w:jc w:val="left"/>
              <w:rPr>
                <w:sz w:val="16"/>
                <w:lang w:eastAsia="en-US"/>
              </w:rPr>
            </w:pPr>
            <w:r>
              <w:rPr>
                <w:sz w:val="16"/>
                <w:lang w:eastAsia="en-US"/>
              </w:rPr>
              <w:t xml:space="preserve">National Gas Rules </w:t>
            </w:r>
          </w:p>
        </w:tc>
      </w:tr>
      <w:tr w:rsidR="003A1B81" w:rsidRPr="006565E9" w:rsidTr="00A87FEA">
        <w:tc>
          <w:tcPr>
            <w:tcW w:w="3127" w:type="dxa"/>
            <w:tcBorders>
              <w:top w:val="nil"/>
              <w:bottom w:val="nil"/>
            </w:tcBorders>
            <w:shd w:val="clear" w:color="auto" w:fill="auto"/>
            <w:noWrap/>
            <w:tcMar>
              <w:top w:w="0" w:type="dxa"/>
              <w:bottom w:w="0" w:type="dxa"/>
            </w:tcMar>
            <w:vAlign w:val="center"/>
          </w:tcPr>
          <w:p w:rsidR="003A1B81" w:rsidRPr="006565E9" w:rsidRDefault="003A1B81" w:rsidP="001D3633">
            <w:pPr>
              <w:spacing w:before="80" w:after="120"/>
              <w:jc w:val="left"/>
              <w:rPr>
                <w:sz w:val="16"/>
                <w:lang w:eastAsia="en-US"/>
              </w:rPr>
            </w:pPr>
            <w:r>
              <w:rPr>
                <w:sz w:val="16"/>
                <w:lang w:eastAsia="en-US"/>
              </w:rPr>
              <w:t xml:space="preserve">RBP </w:t>
            </w:r>
          </w:p>
        </w:tc>
        <w:tc>
          <w:tcPr>
            <w:tcW w:w="5148" w:type="dxa"/>
            <w:tcBorders>
              <w:top w:val="nil"/>
              <w:bottom w:val="nil"/>
            </w:tcBorders>
            <w:shd w:val="clear" w:color="auto" w:fill="auto"/>
            <w:noWrap/>
            <w:tcMar>
              <w:top w:w="0" w:type="dxa"/>
              <w:bottom w:w="0" w:type="dxa"/>
            </w:tcMar>
            <w:vAlign w:val="center"/>
          </w:tcPr>
          <w:p w:rsidR="003A1B81" w:rsidRPr="006565E9" w:rsidRDefault="003A1B81" w:rsidP="00605B5F">
            <w:pPr>
              <w:spacing w:before="80" w:after="120"/>
              <w:jc w:val="left"/>
              <w:rPr>
                <w:sz w:val="16"/>
                <w:lang w:eastAsia="en-US"/>
              </w:rPr>
            </w:pPr>
            <w:r>
              <w:rPr>
                <w:sz w:val="16"/>
                <w:lang w:eastAsia="en-US"/>
              </w:rPr>
              <w:t>Roma to Brisbane Pipeline</w:t>
            </w:r>
          </w:p>
        </w:tc>
      </w:tr>
      <w:tr w:rsidR="00FB77BD" w:rsidRPr="006565E9" w:rsidTr="00A87FEA">
        <w:tc>
          <w:tcPr>
            <w:tcW w:w="3127" w:type="dxa"/>
            <w:tcBorders>
              <w:top w:val="nil"/>
              <w:bottom w:val="nil"/>
            </w:tcBorders>
            <w:shd w:val="clear" w:color="auto" w:fill="F8B47C"/>
            <w:noWrap/>
            <w:tcMar>
              <w:top w:w="0" w:type="dxa"/>
              <w:bottom w:w="0" w:type="dxa"/>
            </w:tcMar>
            <w:vAlign w:val="center"/>
          </w:tcPr>
          <w:p w:rsidR="00FB77BD" w:rsidRPr="006565E9" w:rsidRDefault="00FB77BD" w:rsidP="001D3633">
            <w:pPr>
              <w:spacing w:before="80" w:after="120"/>
              <w:jc w:val="left"/>
              <w:rPr>
                <w:sz w:val="16"/>
                <w:lang w:eastAsia="en-US"/>
              </w:rPr>
            </w:pPr>
            <w:r w:rsidRPr="006565E9">
              <w:rPr>
                <w:sz w:val="16"/>
                <w:lang w:eastAsia="en-US"/>
              </w:rPr>
              <w:t>SEA Gas</w:t>
            </w:r>
          </w:p>
        </w:tc>
        <w:tc>
          <w:tcPr>
            <w:tcW w:w="5148" w:type="dxa"/>
            <w:tcBorders>
              <w:top w:val="nil"/>
              <w:bottom w:val="nil"/>
            </w:tcBorders>
            <w:shd w:val="clear" w:color="auto" w:fill="F8B47C"/>
            <w:noWrap/>
            <w:tcMar>
              <w:top w:w="0" w:type="dxa"/>
              <w:bottom w:w="0" w:type="dxa"/>
            </w:tcMar>
            <w:vAlign w:val="center"/>
          </w:tcPr>
          <w:p w:rsidR="00FB77BD" w:rsidRPr="006565E9" w:rsidRDefault="00FB77BD" w:rsidP="00605B5F">
            <w:pPr>
              <w:spacing w:before="80" w:after="120"/>
              <w:jc w:val="left"/>
              <w:rPr>
                <w:sz w:val="16"/>
                <w:lang w:eastAsia="en-US"/>
              </w:rPr>
            </w:pPr>
            <w:r w:rsidRPr="006565E9">
              <w:rPr>
                <w:sz w:val="16"/>
                <w:lang w:eastAsia="en-US"/>
              </w:rPr>
              <w:t>South East Australia Gas Pty Ltd</w:t>
            </w:r>
          </w:p>
        </w:tc>
      </w:tr>
      <w:tr w:rsidR="002D540B" w:rsidRPr="006565E9" w:rsidTr="00A87FEA">
        <w:tc>
          <w:tcPr>
            <w:tcW w:w="3127" w:type="dxa"/>
            <w:tcBorders>
              <w:top w:val="nil"/>
              <w:bottom w:val="nil"/>
            </w:tcBorders>
            <w:shd w:val="clear" w:color="auto" w:fill="auto"/>
            <w:noWrap/>
            <w:tcMar>
              <w:top w:w="0" w:type="dxa"/>
              <w:bottom w:w="0" w:type="dxa"/>
            </w:tcMar>
            <w:vAlign w:val="center"/>
          </w:tcPr>
          <w:p w:rsidR="002D540B" w:rsidRPr="006565E9" w:rsidRDefault="002D540B" w:rsidP="001D3633">
            <w:pPr>
              <w:spacing w:before="80" w:after="120"/>
              <w:jc w:val="left"/>
              <w:rPr>
                <w:sz w:val="16"/>
                <w:lang w:eastAsia="en-US"/>
              </w:rPr>
            </w:pPr>
            <w:r>
              <w:rPr>
                <w:sz w:val="16"/>
                <w:lang w:eastAsia="en-US"/>
              </w:rPr>
              <w:t>SEAGP</w:t>
            </w:r>
          </w:p>
        </w:tc>
        <w:tc>
          <w:tcPr>
            <w:tcW w:w="5148" w:type="dxa"/>
            <w:tcBorders>
              <w:top w:val="nil"/>
              <w:bottom w:val="nil"/>
            </w:tcBorders>
            <w:shd w:val="clear" w:color="auto" w:fill="auto"/>
            <w:noWrap/>
            <w:tcMar>
              <w:top w:w="0" w:type="dxa"/>
              <w:bottom w:w="0" w:type="dxa"/>
            </w:tcMar>
            <w:vAlign w:val="center"/>
          </w:tcPr>
          <w:p w:rsidR="002D540B" w:rsidRPr="006565E9" w:rsidRDefault="002D540B" w:rsidP="005D71C8">
            <w:pPr>
              <w:spacing w:before="80" w:after="120"/>
              <w:jc w:val="left"/>
              <w:rPr>
                <w:sz w:val="16"/>
                <w:lang w:eastAsia="en-US"/>
              </w:rPr>
            </w:pPr>
            <w:r w:rsidRPr="002D540B">
              <w:rPr>
                <w:sz w:val="16"/>
                <w:lang w:eastAsia="en-US"/>
              </w:rPr>
              <w:t>South East Australia Gas Pipeline</w:t>
            </w:r>
            <w:r>
              <w:rPr>
                <w:sz w:val="16"/>
                <w:lang w:eastAsia="en-US"/>
              </w:rPr>
              <w:t xml:space="preserve"> </w:t>
            </w:r>
          </w:p>
        </w:tc>
      </w:tr>
      <w:tr w:rsidR="00FB77BD" w:rsidRPr="006565E9" w:rsidTr="00A87FEA">
        <w:tc>
          <w:tcPr>
            <w:tcW w:w="3127" w:type="dxa"/>
            <w:tcBorders>
              <w:top w:val="nil"/>
              <w:bottom w:val="single" w:sz="4" w:space="0" w:color="auto"/>
            </w:tcBorders>
            <w:shd w:val="clear" w:color="auto" w:fill="FABF8F" w:themeFill="accent6" w:themeFillTint="99"/>
            <w:noWrap/>
            <w:tcMar>
              <w:top w:w="0" w:type="dxa"/>
              <w:bottom w:w="0" w:type="dxa"/>
            </w:tcMar>
            <w:vAlign w:val="center"/>
          </w:tcPr>
          <w:p w:rsidR="00FB77BD" w:rsidRPr="006565E9" w:rsidRDefault="00FB77BD" w:rsidP="001D3633">
            <w:pPr>
              <w:spacing w:before="80" w:after="120"/>
              <w:jc w:val="left"/>
              <w:rPr>
                <w:sz w:val="16"/>
                <w:lang w:eastAsia="en-US"/>
              </w:rPr>
            </w:pPr>
            <w:r w:rsidRPr="006565E9">
              <w:rPr>
                <w:sz w:val="16"/>
                <w:lang w:eastAsia="en-US"/>
              </w:rPr>
              <w:t>STTM</w:t>
            </w:r>
          </w:p>
        </w:tc>
        <w:tc>
          <w:tcPr>
            <w:tcW w:w="5148" w:type="dxa"/>
            <w:tcBorders>
              <w:top w:val="nil"/>
              <w:bottom w:val="single" w:sz="4" w:space="0" w:color="auto"/>
            </w:tcBorders>
            <w:shd w:val="clear" w:color="auto" w:fill="FABF8F" w:themeFill="accent6" w:themeFillTint="99"/>
            <w:noWrap/>
            <w:tcMar>
              <w:top w:w="0" w:type="dxa"/>
              <w:bottom w:w="0" w:type="dxa"/>
            </w:tcMar>
            <w:vAlign w:val="center"/>
          </w:tcPr>
          <w:p w:rsidR="00FB77BD" w:rsidRPr="006565E9" w:rsidRDefault="00FB77BD" w:rsidP="005D71C8">
            <w:pPr>
              <w:spacing w:before="80" w:after="120"/>
              <w:jc w:val="left"/>
              <w:rPr>
                <w:sz w:val="16"/>
                <w:lang w:eastAsia="en-US"/>
              </w:rPr>
            </w:pPr>
            <w:r w:rsidRPr="006565E9">
              <w:rPr>
                <w:sz w:val="16"/>
                <w:lang w:eastAsia="en-US"/>
              </w:rPr>
              <w:t>Short Term Trading Market</w:t>
            </w:r>
          </w:p>
        </w:tc>
      </w:tr>
    </w:tbl>
    <w:p w:rsidR="001C286E" w:rsidRPr="006565E9" w:rsidRDefault="001C286E" w:rsidP="001C286E">
      <w:pPr>
        <w:pStyle w:val="AERbodytext"/>
      </w:pPr>
    </w:p>
    <w:p w:rsidR="00FB77BD" w:rsidRPr="006565E9" w:rsidRDefault="00FB77BD" w:rsidP="001C286E">
      <w:pPr>
        <w:pStyle w:val="AERbodytext"/>
      </w:pPr>
    </w:p>
    <w:p w:rsidR="006850D6" w:rsidRPr="006565E9" w:rsidRDefault="005E7ED7" w:rsidP="006850D6">
      <w:pPr>
        <w:pStyle w:val="AERheading1"/>
      </w:pPr>
      <w:r w:rsidRPr="006565E9">
        <w:lastRenderedPageBreak/>
        <w:t xml:space="preserve">   </w:t>
      </w:r>
      <w:bookmarkStart w:id="6" w:name="_Toc364689198"/>
      <w:r w:rsidR="00A14131" w:rsidRPr="006565E9">
        <w:t>Overview</w:t>
      </w:r>
      <w:bookmarkEnd w:id="6"/>
      <w:r w:rsidR="00A14131" w:rsidRPr="006565E9">
        <w:t xml:space="preserve"> </w:t>
      </w:r>
    </w:p>
    <w:p w:rsidR="00D0183A" w:rsidRPr="006565E9" w:rsidRDefault="00453EC2" w:rsidP="001A02AB">
      <w:pPr>
        <w:pStyle w:val="AERbodytext"/>
        <w:spacing w:after="220"/>
      </w:pPr>
      <w:r w:rsidRPr="006565E9">
        <w:t xml:space="preserve">On </w:t>
      </w:r>
      <w:r w:rsidR="001D3633" w:rsidRPr="006565E9">
        <w:t>14</w:t>
      </w:r>
      <w:r w:rsidR="00531F5B" w:rsidRPr="006565E9">
        <w:t xml:space="preserve"> August </w:t>
      </w:r>
      <w:r w:rsidR="00B84854" w:rsidRPr="006565E9">
        <w:t>2013</w:t>
      </w:r>
      <w:r w:rsidR="00082837" w:rsidRPr="006565E9">
        <w:t>,</w:t>
      </w:r>
      <w:r w:rsidRPr="006565E9">
        <w:t xml:space="preserve"> </w:t>
      </w:r>
      <w:r w:rsidR="00342F9E" w:rsidRPr="006565E9">
        <w:t xml:space="preserve">the </w:t>
      </w:r>
      <w:r w:rsidR="00993211" w:rsidRPr="006565E9">
        <w:t>Australian Energy Market Operator (AEMO)</w:t>
      </w:r>
      <w:r w:rsidR="001D3633" w:rsidRPr="006565E9">
        <w:t xml:space="preserve"> </w:t>
      </w:r>
      <w:r w:rsidR="00342F9E" w:rsidRPr="006565E9">
        <w:t xml:space="preserve">provided to the Australian Energy Regulator (AER) </w:t>
      </w:r>
      <w:r w:rsidR="00732CDC" w:rsidRPr="006565E9">
        <w:t xml:space="preserve">tax </w:t>
      </w:r>
      <w:r w:rsidR="00342F9E" w:rsidRPr="006565E9">
        <w:t xml:space="preserve">invoices and evidence it received from Short Term Trading Market (STTM) pipeline operators </w:t>
      </w:r>
      <w:r w:rsidR="001D3633" w:rsidRPr="006565E9">
        <w:t xml:space="preserve">for costs </w:t>
      </w:r>
      <w:r w:rsidR="00342F9E" w:rsidRPr="006565E9">
        <w:t>relating to</w:t>
      </w:r>
      <w:r w:rsidR="001D3633" w:rsidRPr="006565E9">
        <w:t xml:space="preserve"> Market Operator Service (MOS) allocation services</w:t>
      </w:r>
      <w:r w:rsidR="006812A8" w:rsidRPr="006565E9">
        <w:t xml:space="preserve"> (2013 documents from AEMO)</w:t>
      </w:r>
      <w:r w:rsidR="00EA7985" w:rsidRPr="006565E9">
        <w:t>.</w:t>
      </w:r>
      <w:r w:rsidR="00AA2B75" w:rsidRPr="006565E9">
        <w:rPr>
          <w:rStyle w:val="FootnoteReference"/>
        </w:rPr>
        <w:footnoteReference w:id="1"/>
      </w:r>
      <w:r w:rsidR="00876DCE" w:rsidRPr="006565E9">
        <w:t xml:space="preserve"> </w:t>
      </w:r>
      <w:r w:rsidR="00FB5E84" w:rsidRPr="006565E9">
        <w:t xml:space="preserve">The </w:t>
      </w:r>
      <w:r w:rsidR="00732CDC" w:rsidRPr="006565E9">
        <w:t xml:space="preserve">tax </w:t>
      </w:r>
      <w:r w:rsidR="00FB5E84" w:rsidRPr="006565E9">
        <w:t xml:space="preserve">invoices </w:t>
      </w:r>
      <w:r w:rsidR="00876DCE" w:rsidRPr="006565E9">
        <w:t xml:space="preserve">specified the </w:t>
      </w:r>
      <w:r w:rsidR="00E1218A" w:rsidRPr="006565E9">
        <w:rPr>
          <w:lang w:eastAsia="en-AU"/>
        </w:rPr>
        <w:t xml:space="preserve">MOS allocation service costs </w:t>
      </w:r>
      <w:r w:rsidR="00876DCE" w:rsidRPr="006565E9">
        <w:rPr>
          <w:lang w:eastAsia="en-AU"/>
        </w:rPr>
        <w:t xml:space="preserve">incurred by </w:t>
      </w:r>
      <w:r w:rsidR="00876DCE" w:rsidRPr="006565E9">
        <w:t xml:space="preserve">the following </w:t>
      </w:r>
      <w:r w:rsidR="00876DCE" w:rsidRPr="006565E9">
        <w:rPr>
          <w:lang w:eastAsia="en-AU"/>
        </w:rPr>
        <w:t xml:space="preserve">STTM pipeline operators </w:t>
      </w:r>
      <w:r w:rsidR="00E1218A" w:rsidRPr="006565E9">
        <w:rPr>
          <w:lang w:eastAsia="en-AU"/>
        </w:rPr>
        <w:t xml:space="preserve">during </w:t>
      </w:r>
      <w:r w:rsidR="00EA7985" w:rsidRPr="006565E9">
        <w:t>the period 1 July 2012 to 30 June 2013</w:t>
      </w:r>
      <w:r w:rsidR="00E27F0B" w:rsidRPr="006565E9">
        <w:t xml:space="preserve"> (the 2013 Invoices)</w:t>
      </w:r>
      <w:r w:rsidR="00EA7985" w:rsidRPr="006565E9">
        <w:t>:</w:t>
      </w:r>
    </w:p>
    <w:p w:rsidR="00FB5E84" w:rsidRPr="006565E9" w:rsidRDefault="00EA7985" w:rsidP="00FB5E84">
      <w:pPr>
        <w:pStyle w:val="AERbodytext"/>
        <w:numPr>
          <w:ilvl w:val="0"/>
          <w:numId w:val="35"/>
        </w:numPr>
        <w:rPr>
          <w:lang w:eastAsia="en-AU"/>
        </w:rPr>
      </w:pPr>
      <w:r w:rsidRPr="006565E9">
        <w:rPr>
          <w:lang w:eastAsia="en-AU"/>
        </w:rPr>
        <w:t xml:space="preserve">$80,757.69 (GST inclusive) by </w:t>
      </w:r>
      <w:r w:rsidR="005F5E1F">
        <w:rPr>
          <w:lang w:eastAsia="en-AU"/>
        </w:rPr>
        <w:t>APA</w:t>
      </w:r>
      <w:r w:rsidR="00C74024" w:rsidRPr="006565E9">
        <w:rPr>
          <w:lang w:eastAsia="en-AU"/>
        </w:rPr>
        <w:t xml:space="preserve"> Group (for </w:t>
      </w:r>
      <w:r w:rsidR="00FB5E84" w:rsidRPr="006565E9">
        <w:rPr>
          <w:lang w:eastAsia="en-AU"/>
        </w:rPr>
        <w:t>APT Petroleum Pipelines Pty Limited</w:t>
      </w:r>
      <w:r w:rsidR="00C74024" w:rsidRPr="006565E9">
        <w:rPr>
          <w:lang w:eastAsia="en-AU"/>
        </w:rPr>
        <w:t xml:space="preserve">) </w:t>
      </w:r>
      <w:r w:rsidR="00FB5E84" w:rsidRPr="006565E9">
        <w:rPr>
          <w:lang w:eastAsia="en-AU"/>
        </w:rPr>
        <w:t>with respect to the Roma to Brisbane Pipeline</w:t>
      </w:r>
      <w:r w:rsidR="00C74024" w:rsidRPr="006565E9">
        <w:rPr>
          <w:lang w:eastAsia="en-AU"/>
        </w:rPr>
        <w:t xml:space="preserve"> (RBP)</w:t>
      </w:r>
    </w:p>
    <w:p w:rsidR="00FB5E84" w:rsidRPr="006565E9" w:rsidRDefault="00EA7985" w:rsidP="00FB5E84">
      <w:pPr>
        <w:pStyle w:val="AERbodytext"/>
        <w:numPr>
          <w:ilvl w:val="0"/>
          <w:numId w:val="35"/>
        </w:numPr>
        <w:rPr>
          <w:lang w:eastAsia="en-AU"/>
        </w:rPr>
      </w:pPr>
      <w:r w:rsidRPr="006565E9">
        <w:rPr>
          <w:lang w:eastAsia="en-AU"/>
        </w:rPr>
        <w:t>$79,849</w:t>
      </w:r>
      <w:r w:rsidR="00C74024" w:rsidRPr="006565E9">
        <w:rPr>
          <w:lang w:eastAsia="en-AU"/>
        </w:rPr>
        <w:t>.00</w:t>
      </w:r>
      <w:r w:rsidRPr="006565E9">
        <w:rPr>
          <w:lang w:eastAsia="en-AU"/>
        </w:rPr>
        <w:t xml:space="preserve"> (GST inclusive) by </w:t>
      </w:r>
      <w:r w:rsidR="0039242C" w:rsidRPr="006565E9">
        <w:rPr>
          <w:lang w:eastAsia="en-AU"/>
        </w:rPr>
        <w:t>APA Group</w:t>
      </w:r>
      <w:r w:rsidR="00C74024" w:rsidRPr="006565E9">
        <w:rPr>
          <w:lang w:eastAsia="en-AU"/>
        </w:rPr>
        <w:t xml:space="preserve"> (for East Australian Pipeline Pty Limited</w:t>
      </w:r>
      <w:r w:rsidR="0039242C" w:rsidRPr="006565E9">
        <w:rPr>
          <w:lang w:eastAsia="en-AU"/>
        </w:rPr>
        <w:t xml:space="preserve">) </w:t>
      </w:r>
      <w:r w:rsidR="00FB5E84" w:rsidRPr="006565E9">
        <w:rPr>
          <w:lang w:eastAsia="en-AU"/>
        </w:rPr>
        <w:t xml:space="preserve">with respect to the Moomba to Sydney </w:t>
      </w:r>
      <w:r w:rsidR="00C74024" w:rsidRPr="006565E9">
        <w:rPr>
          <w:lang w:eastAsia="en-AU"/>
        </w:rPr>
        <w:t>P</w:t>
      </w:r>
      <w:r w:rsidR="00FB5E84" w:rsidRPr="006565E9">
        <w:rPr>
          <w:lang w:eastAsia="en-AU"/>
        </w:rPr>
        <w:t>ipeline</w:t>
      </w:r>
      <w:r w:rsidR="00C74024" w:rsidRPr="006565E9">
        <w:rPr>
          <w:lang w:eastAsia="en-AU"/>
        </w:rPr>
        <w:t xml:space="preserve"> (MSP)</w:t>
      </w:r>
    </w:p>
    <w:p w:rsidR="00FB5E84" w:rsidRPr="006565E9" w:rsidRDefault="00EA7985" w:rsidP="00FB5E84">
      <w:pPr>
        <w:pStyle w:val="AERbodytext"/>
        <w:numPr>
          <w:ilvl w:val="0"/>
          <w:numId w:val="35"/>
        </w:numPr>
        <w:rPr>
          <w:lang w:eastAsia="en-AU"/>
        </w:rPr>
      </w:pPr>
      <w:r w:rsidRPr="006565E9">
        <w:rPr>
          <w:lang w:eastAsia="en-AU"/>
        </w:rPr>
        <w:t xml:space="preserve">$85,621.18 (GST inclusive) by </w:t>
      </w:r>
      <w:r w:rsidR="00FB5E84" w:rsidRPr="006565E9">
        <w:rPr>
          <w:lang w:eastAsia="en-AU"/>
        </w:rPr>
        <w:t xml:space="preserve">Epic Energy </w:t>
      </w:r>
      <w:r w:rsidR="00C74024" w:rsidRPr="006565E9">
        <w:rPr>
          <w:lang w:eastAsia="en-AU"/>
        </w:rPr>
        <w:t xml:space="preserve">South Australia Pty Limited (Epic Energy) </w:t>
      </w:r>
      <w:r w:rsidR="00FB5E84" w:rsidRPr="006565E9">
        <w:rPr>
          <w:lang w:eastAsia="en-AU"/>
        </w:rPr>
        <w:t xml:space="preserve">with respect to the Moomba to Adelaide Pipeline </w:t>
      </w:r>
      <w:r w:rsidR="00C74024" w:rsidRPr="006565E9">
        <w:rPr>
          <w:lang w:eastAsia="en-AU"/>
        </w:rPr>
        <w:t>S</w:t>
      </w:r>
      <w:r w:rsidR="00FB5E84" w:rsidRPr="006565E9">
        <w:rPr>
          <w:lang w:eastAsia="en-AU"/>
        </w:rPr>
        <w:t>ystem</w:t>
      </w:r>
      <w:r w:rsidR="00C74024" w:rsidRPr="006565E9">
        <w:rPr>
          <w:lang w:eastAsia="en-AU"/>
        </w:rPr>
        <w:t xml:space="preserve"> (MAPS)</w:t>
      </w:r>
    </w:p>
    <w:p w:rsidR="00FB5E84" w:rsidRPr="006565E9" w:rsidRDefault="00C74024" w:rsidP="00FB5E84">
      <w:pPr>
        <w:pStyle w:val="AERbodytext"/>
        <w:numPr>
          <w:ilvl w:val="0"/>
          <w:numId w:val="35"/>
        </w:numPr>
        <w:rPr>
          <w:lang w:eastAsia="en-AU"/>
        </w:rPr>
      </w:pPr>
      <w:r w:rsidRPr="006565E9">
        <w:rPr>
          <w:lang w:eastAsia="en-AU"/>
        </w:rPr>
        <w:t>$5,764.00</w:t>
      </w:r>
      <w:r w:rsidR="00EA7985" w:rsidRPr="006565E9">
        <w:rPr>
          <w:lang w:eastAsia="en-AU"/>
        </w:rPr>
        <w:t xml:space="preserve"> (GST inclusive ) by </w:t>
      </w:r>
      <w:r w:rsidR="00A53B65" w:rsidRPr="006565E9">
        <w:rPr>
          <w:lang w:eastAsia="en-AU"/>
        </w:rPr>
        <w:t>Jemena</w:t>
      </w:r>
      <w:r w:rsidRPr="006565E9">
        <w:rPr>
          <w:lang w:eastAsia="en-AU"/>
        </w:rPr>
        <w:t xml:space="preserve"> (for Eastern Gas Pipeline Joint Venture</w:t>
      </w:r>
      <w:r w:rsidR="00FB5E84" w:rsidRPr="006565E9">
        <w:rPr>
          <w:lang w:eastAsia="en-AU"/>
        </w:rPr>
        <w:t xml:space="preserve">) with respect to the </w:t>
      </w:r>
      <w:r w:rsidR="008E4BDB" w:rsidRPr="006565E9">
        <w:rPr>
          <w:lang w:eastAsia="en-AU"/>
        </w:rPr>
        <w:t xml:space="preserve">Eastern Gas Pipeline </w:t>
      </w:r>
      <w:r w:rsidRPr="006565E9">
        <w:rPr>
          <w:lang w:eastAsia="en-AU"/>
        </w:rPr>
        <w:t>(EGP)</w:t>
      </w:r>
    </w:p>
    <w:p w:rsidR="00FB5E84" w:rsidRPr="006565E9" w:rsidRDefault="00EA7985" w:rsidP="00FB5E84">
      <w:pPr>
        <w:pStyle w:val="AERbodytext"/>
        <w:numPr>
          <w:ilvl w:val="0"/>
          <w:numId w:val="35"/>
        </w:numPr>
        <w:rPr>
          <w:lang w:eastAsia="en-AU"/>
        </w:rPr>
      </w:pPr>
      <w:r w:rsidRPr="006565E9">
        <w:rPr>
          <w:lang w:eastAsia="en-AU"/>
        </w:rPr>
        <w:t xml:space="preserve">$26,858.70 (GST inclusive) by </w:t>
      </w:r>
      <w:r w:rsidR="00FB5E84" w:rsidRPr="006565E9">
        <w:rPr>
          <w:lang w:eastAsia="en-AU"/>
        </w:rPr>
        <w:t>Sou</w:t>
      </w:r>
      <w:r w:rsidRPr="006565E9">
        <w:rPr>
          <w:lang w:eastAsia="en-AU"/>
        </w:rPr>
        <w:t>th East Australia Gas Pty Ltd</w:t>
      </w:r>
      <w:r w:rsidR="00C74024" w:rsidRPr="006565E9">
        <w:rPr>
          <w:lang w:eastAsia="en-AU"/>
        </w:rPr>
        <w:t xml:space="preserve"> (</w:t>
      </w:r>
      <w:r w:rsidR="000E27D0" w:rsidRPr="006565E9">
        <w:rPr>
          <w:lang w:eastAsia="en-AU"/>
        </w:rPr>
        <w:t>SEA Gas</w:t>
      </w:r>
      <w:r w:rsidR="00C74024" w:rsidRPr="006565E9">
        <w:rPr>
          <w:lang w:eastAsia="en-AU"/>
        </w:rPr>
        <w:t>)</w:t>
      </w:r>
      <w:r w:rsidRPr="006565E9">
        <w:rPr>
          <w:lang w:eastAsia="en-AU"/>
        </w:rPr>
        <w:t xml:space="preserve"> </w:t>
      </w:r>
      <w:r w:rsidR="00FB5E84" w:rsidRPr="006565E9">
        <w:rPr>
          <w:lang w:eastAsia="en-AU"/>
        </w:rPr>
        <w:t xml:space="preserve">with respect to the South East Australia </w:t>
      </w:r>
      <w:r w:rsidR="00C74024" w:rsidRPr="006565E9">
        <w:rPr>
          <w:lang w:eastAsia="en-AU"/>
        </w:rPr>
        <w:t>G</w:t>
      </w:r>
      <w:r w:rsidR="00FB5E84" w:rsidRPr="006565E9">
        <w:rPr>
          <w:lang w:eastAsia="en-AU"/>
        </w:rPr>
        <w:t xml:space="preserve">as </w:t>
      </w:r>
      <w:r w:rsidR="00C74024" w:rsidRPr="006565E9">
        <w:rPr>
          <w:lang w:eastAsia="en-AU"/>
        </w:rPr>
        <w:t>P</w:t>
      </w:r>
      <w:r w:rsidR="00FB5E84" w:rsidRPr="006565E9">
        <w:rPr>
          <w:lang w:eastAsia="en-AU"/>
        </w:rPr>
        <w:t>ipeline</w:t>
      </w:r>
      <w:r w:rsidR="00C74024" w:rsidRPr="006565E9">
        <w:rPr>
          <w:lang w:eastAsia="en-AU"/>
        </w:rPr>
        <w:t xml:space="preserve"> (SEAGP)</w:t>
      </w:r>
      <w:r w:rsidR="00FB5E84" w:rsidRPr="006565E9">
        <w:rPr>
          <w:lang w:eastAsia="en-AU"/>
        </w:rPr>
        <w:t xml:space="preserve">. </w:t>
      </w:r>
    </w:p>
    <w:p w:rsidR="00E1218A" w:rsidRPr="006565E9" w:rsidRDefault="00D0183A" w:rsidP="00EA7985">
      <w:pPr>
        <w:pStyle w:val="AERbodytext"/>
        <w:spacing w:after="220"/>
      </w:pPr>
      <w:r w:rsidRPr="006565E9">
        <w:t>In the STTM hubs of Adelaide, Sydney and Brisbane, the respective pipeline operators are required to allocate gas on a daily basis in response to deviations on</w:t>
      </w:r>
      <w:r w:rsidR="00EA7985" w:rsidRPr="006565E9">
        <w:t xml:space="preserve"> the</w:t>
      </w:r>
      <w:r w:rsidRPr="006565E9">
        <w:t xml:space="preserve"> pipeline or at the hubs. </w:t>
      </w:r>
      <w:r w:rsidR="00226C2F" w:rsidRPr="006565E9">
        <w:t>This is done by increasing or decreasing the quantity of gas supplied to the hub. MOS is a standing agreement between pipeline operators and shippers to balance positive or negative deviati</w:t>
      </w:r>
      <w:r w:rsidR="0039242C" w:rsidRPr="006565E9">
        <w:t xml:space="preserve">ons at the end of each gas day. </w:t>
      </w:r>
      <w:r w:rsidR="0004373B" w:rsidRPr="006565E9">
        <w:t>MOS allocation service means the allocation of pipeline deviations.</w:t>
      </w:r>
      <w:r w:rsidR="0004373B" w:rsidRPr="006565E9">
        <w:rPr>
          <w:rStyle w:val="FootnoteReference"/>
        </w:rPr>
        <w:footnoteReference w:id="2"/>
      </w:r>
      <w:r w:rsidR="0004373B" w:rsidRPr="006565E9">
        <w:t xml:space="preserve"> </w:t>
      </w:r>
    </w:p>
    <w:p w:rsidR="00E1218A" w:rsidRPr="006565E9" w:rsidRDefault="008343BA" w:rsidP="00E1218A">
      <w:pPr>
        <w:pStyle w:val="AERbodytext"/>
        <w:rPr>
          <w:lang w:eastAsia="en-AU"/>
        </w:rPr>
      </w:pPr>
      <w:r w:rsidRPr="006565E9">
        <w:rPr>
          <w:lang w:eastAsia="en-AU"/>
        </w:rPr>
        <w:t>MOS allocation service costs are</w:t>
      </w:r>
      <w:r w:rsidR="00E1218A" w:rsidRPr="006565E9">
        <w:rPr>
          <w:lang w:eastAsia="en-AU"/>
        </w:rPr>
        <w:t xml:space="preserve"> defined as</w:t>
      </w:r>
      <w:r w:rsidR="00DE26FB" w:rsidRPr="006565E9">
        <w:rPr>
          <w:lang w:eastAsia="en-AU"/>
        </w:rPr>
        <w:t xml:space="preserve"> costs reasonably incurred by an STTM pipeline operator in providing a MOS allocation service.</w:t>
      </w:r>
      <w:r w:rsidR="00E1218A" w:rsidRPr="006565E9">
        <w:rPr>
          <w:rStyle w:val="FootnoteReference"/>
        </w:rPr>
        <w:footnoteReference w:id="3"/>
      </w:r>
      <w:r w:rsidR="00E1218A" w:rsidRPr="006565E9">
        <w:t xml:space="preserve"> </w:t>
      </w:r>
      <w:r w:rsidR="00E1218A" w:rsidRPr="006565E9">
        <w:rPr>
          <w:lang w:eastAsia="en-AU"/>
        </w:rPr>
        <w:t xml:space="preserve"> </w:t>
      </w:r>
      <w:r w:rsidR="00C56905">
        <w:rPr>
          <w:lang w:eastAsia="en-AU"/>
        </w:rPr>
        <w:t xml:space="preserve">These costs may include labour costs, Information Technology (IT) costs and interest </w:t>
      </w:r>
      <w:r w:rsidR="005B75B9">
        <w:rPr>
          <w:lang w:eastAsia="en-AU"/>
        </w:rPr>
        <w:t>charges</w:t>
      </w:r>
      <w:r w:rsidR="00C56905">
        <w:rPr>
          <w:lang w:eastAsia="en-AU"/>
        </w:rPr>
        <w:t xml:space="preserve">. </w:t>
      </w:r>
    </w:p>
    <w:p w:rsidR="00D35708" w:rsidRPr="006565E9" w:rsidRDefault="002054E7" w:rsidP="00EA7985">
      <w:pPr>
        <w:pStyle w:val="AERbodytext"/>
        <w:spacing w:after="220"/>
      </w:pPr>
      <w:r w:rsidRPr="006565E9">
        <w:t xml:space="preserve">The National Gas Rules (NGR) allows </w:t>
      </w:r>
      <w:r w:rsidR="003E6581" w:rsidRPr="006565E9">
        <w:t xml:space="preserve">an STTM pipeline operator to </w:t>
      </w:r>
      <w:r w:rsidR="00985FF9" w:rsidRPr="006565E9">
        <w:t>recover MOS allocation service</w:t>
      </w:r>
      <w:r w:rsidR="00AA7DF5" w:rsidRPr="006565E9">
        <w:t xml:space="preserve"> costs from AEMO </w:t>
      </w:r>
      <w:r w:rsidR="00277D4A" w:rsidRPr="006565E9">
        <w:t xml:space="preserve">each year </w:t>
      </w:r>
      <w:r w:rsidR="00AA7DF5" w:rsidRPr="006565E9">
        <w:t xml:space="preserve">by </w:t>
      </w:r>
      <w:r w:rsidR="00D02A9C" w:rsidRPr="006565E9">
        <w:t>providing</w:t>
      </w:r>
      <w:r w:rsidR="00AA2B75" w:rsidRPr="006565E9">
        <w:t xml:space="preserve"> AEMO with</w:t>
      </w:r>
      <w:r w:rsidR="00D02A9C" w:rsidRPr="006565E9">
        <w:t xml:space="preserve"> a tax invoice </w:t>
      </w:r>
      <w:r w:rsidR="00277D4A" w:rsidRPr="006565E9">
        <w:t>of</w:t>
      </w:r>
      <w:r w:rsidR="00D02A9C" w:rsidRPr="006565E9">
        <w:t xml:space="preserve"> </w:t>
      </w:r>
      <w:r w:rsidR="00277D4A" w:rsidRPr="006565E9">
        <w:t>those</w:t>
      </w:r>
      <w:r w:rsidR="00D02A9C" w:rsidRPr="006565E9">
        <w:t xml:space="preserve"> cos</w:t>
      </w:r>
      <w:r w:rsidR="00277D4A" w:rsidRPr="006565E9">
        <w:t>ts incurred during that</w:t>
      </w:r>
      <w:r w:rsidR="00D02A9C" w:rsidRPr="006565E9">
        <w:t xml:space="preserve"> financial year 1 July to 30 June. </w:t>
      </w:r>
      <w:r w:rsidR="004E2FBC" w:rsidRPr="006565E9">
        <w:t xml:space="preserve">AEMO then provides </w:t>
      </w:r>
      <w:r w:rsidR="00852525" w:rsidRPr="006565E9">
        <w:t>the invoices to us –the</w:t>
      </w:r>
      <w:r w:rsidR="00EB0F0D" w:rsidRPr="006565E9">
        <w:t xml:space="preserve"> AER, </w:t>
      </w:r>
      <w:r w:rsidR="00985FF9" w:rsidRPr="006565E9">
        <w:t>in order for us</w:t>
      </w:r>
      <w:r w:rsidR="00852525" w:rsidRPr="006565E9">
        <w:t xml:space="preserve"> </w:t>
      </w:r>
      <w:r w:rsidR="004E2FBC" w:rsidRPr="006565E9">
        <w:t>to determine the amount</w:t>
      </w:r>
      <w:r w:rsidR="00852525" w:rsidRPr="006565E9">
        <w:t xml:space="preserve"> </w:t>
      </w:r>
      <w:r w:rsidR="00AA2B75" w:rsidRPr="006565E9">
        <w:t xml:space="preserve">it is </w:t>
      </w:r>
      <w:r w:rsidR="00852525" w:rsidRPr="006565E9">
        <w:t>payable</w:t>
      </w:r>
      <w:r w:rsidR="00AA2B75" w:rsidRPr="006565E9">
        <w:t xml:space="preserve"> to each STTM pipeline operator</w:t>
      </w:r>
      <w:r w:rsidR="004E2FBC" w:rsidRPr="006565E9">
        <w:t xml:space="preserve">. </w:t>
      </w:r>
    </w:p>
    <w:p w:rsidR="00852525" w:rsidRPr="006565E9" w:rsidRDefault="00852525" w:rsidP="00EA7985">
      <w:pPr>
        <w:pStyle w:val="AERbodytext"/>
        <w:spacing w:after="220"/>
      </w:pPr>
      <w:r w:rsidRPr="006565E9">
        <w:t xml:space="preserve">Under rule 425 of the NGR, we must review whether the costs specified in the </w:t>
      </w:r>
      <w:r w:rsidR="00732CDC" w:rsidRPr="006565E9">
        <w:t xml:space="preserve">tax </w:t>
      </w:r>
      <w:r w:rsidRPr="006565E9">
        <w:t xml:space="preserve">invoice have been incurred and are reasonable. </w:t>
      </w:r>
      <w:r w:rsidR="00AA2B75" w:rsidRPr="006565E9">
        <w:t>In doing so, we must either approve or reject the amount specified in the invoice.</w:t>
      </w:r>
    </w:p>
    <w:p w:rsidR="0057547C" w:rsidRPr="006565E9" w:rsidRDefault="008343BA" w:rsidP="0057547C">
      <w:pPr>
        <w:pStyle w:val="AERbodytext"/>
      </w:pPr>
      <w:r w:rsidRPr="006565E9">
        <w:lastRenderedPageBreak/>
        <w:t xml:space="preserve">The AER’s determination is to </w:t>
      </w:r>
      <w:r w:rsidR="00E27F0B" w:rsidRPr="006565E9">
        <w:t>approve the amount</w:t>
      </w:r>
      <w:r w:rsidR="00110FF6" w:rsidRPr="006565E9">
        <w:t xml:space="preserve"> of MOS allocation service costs</w:t>
      </w:r>
      <w:r w:rsidR="00E27F0B" w:rsidRPr="006565E9">
        <w:t xml:space="preserve"> specified </w:t>
      </w:r>
      <w:r w:rsidR="008E731B" w:rsidRPr="006565E9">
        <w:t xml:space="preserve">in each </w:t>
      </w:r>
      <w:r w:rsidR="002348B1" w:rsidRPr="006565E9">
        <w:t>STTM pipeline service provider’s</w:t>
      </w:r>
      <w:r w:rsidR="008E731B" w:rsidRPr="006565E9">
        <w:t xml:space="preserve"> 2013 invoices. The amounts AEMO is payable are set out in </w:t>
      </w:r>
      <w:r w:rsidR="009B6E12" w:rsidRPr="006565E9">
        <w:t>Chapter 2 –</w:t>
      </w:r>
      <w:r w:rsidR="00BD1761" w:rsidRPr="006565E9">
        <w:t xml:space="preserve"> </w:t>
      </w:r>
      <w:r w:rsidR="009B6E12" w:rsidRPr="006565E9">
        <w:t xml:space="preserve">Determination. </w:t>
      </w:r>
      <w:bookmarkStart w:id="7" w:name="_Toc349144586"/>
      <w:bookmarkStart w:id="8" w:name="_Toc364689199"/>
    </w:p>
    <w:p w:rsidR="00A14131" w:rsidRPr="006565E9" w:rsidRDefault="00A14131" w:rsidP="00A14131">
      <w:pPr>
        <w:pStyle w:val="Heading2"/>
        <w:tabs>
          <w:tab w:val="clear" w:pos="0"/>
        </w:tabs>
        <w:ind w:firstLine="0"/>
      </w:pPr>
      <w:r w:rsidRPr="006565E9">
        <w:t>Structure of determination</w:t>
      </w:r>
      <w:bookmarkEnd w:id="7"/>
      <w:bookmarkEnd w:id="8"/>
      <w:r w:rsidRPr="006565E9">
        <w:t xml:space="preserve"> </w:t>
      </w:r>
    </w:p>
    <w:p w:rsidR="00A14131" w:rsidRPr="006565E9" w:rsidRDefault="00A14131" w:rsidP="00A14131">
      <w:pPr>
        <w:pStyle w:val="AERbodytext"/>
        <w:numPr>
          <w:ilvl w:val="0"/>
          <w:numId w:val="23"/>
        </w:numPr>
      </w:pPr>
      <w:r w:rsidRPr="006565E9">
        <w:t>This determination is structured as follows:</w:t>
      </w:r>
    </w:p>
    <w:p w:rsidR="00A14131" w:rsidRPr="006565E9" w:rsidRDefault="00A14131" w:rsidP="00A14131">
      <w:pPr>
        <w:pStyle w:val="AERbulletlistfirststyle"/>
        <w:numPr>
          <w:ilvl w:val="0"/>
          <w:numId w:val="27"/>
        </w:numPr>
        <w:tabs>
          <w:tab w:val="left" w:pos="357"/>
        </w:tabs>
        <w:spacing w:line="288" w:lineRule="auto"/>
        <w:ind w:left="357" w:hanging="357"/>
      </w:pPr>
      <w:r w:rsidRPr="006565E9">
        <w:t xml:space="preserve">Chapter </w:t>
      </w:r>
      <w:r w:rsidR="00CC77A5" w:rsidRPr="006565E9">
        <w:t>2</w:t>
      </w:r>
      <w:r w:rsidRPr="006565E9">
        <w:t xml:space="preserve"> – sets out our determination on </w:t>
      </w:r>
      <w:r w:rsidR="00227C0B" w:rsidRPr="006565E9">
        <w:t>the MOS allocation service costs</w:t>
      </w:r>
    </w:p>
    <w:p w:rsidR="00430022" w:rsidRPr="006565E9" w:rsidRDefault="00A14131" w:rsidP="00430022">
      <w:pPr>
        <w:pStyle w:val="AERbulletlistfirststyle"/>
        <w:numPr>
          <w:ilvl w:val="0"/>
          <w:numId w:val="27"/>
        </w:numPr>
        <w:tabs>
          <w:tab w:val="left" w:pos="357"/>
        </w:tabs>
        <w:spacing w:line="288" w:lineRule="auto"/>
        <w:ind w:left="357" w:hanging="357"/>
      </w:pPr>
      <w:r w:rsidRPr="006565E9">
        <w:t xml:space="preserve">Chapter </w:t>
      </w:r>
      <w:r w:rsidR="00CC77A5" w:rsidRPr="006565E9">
        <w:t>3</w:t>
      </w:r>
      <w:r w:rsidR="00A22AEC" w:rsidRPr="006565E9">
        <w:t xml:space="preserve"> – sets out </w:t>
      </w:r>
      <w:r w:rsidR="0010385C" w:rsidRPr="006565E9">
        <w:t>information on</w:t>
      </w:r>
      <w:r w:rsidR="00B337C1" w:rsidRPr="006565E9">
        <w:t xml:space="preserve"> the proposed 2012–13 MOS allocation service costs </w:t>
      </w:r>
    </w:p>
    <w:p w:rsidR="00A14131" w:rsidRPr="006565E9" w:rsidRDefault="00A14131" w:rsidP="00A14131">
      <w:pPr>
        <w:pStyle w:val="AERbulletlistfirststyle"/>
        <w:numPr>
          <w:ilvl w:val="0"/>
          <w:numId w:val="27"/>
        </w:numPr>
        <w:tabs>
          <w:tab w:val="left" w:pos="357"/>
        </w:tabs>
        <w:spacing w:line="288" w:lineRule="auto"/>
        <w:ind w:left="357" w:hanging="357"/>
      </w:pPr>
      <w:r w:rsidRPr="006565E9">
        <w:t xml:space="preserve">Chapter </w:t>
      </w:r>
      <w:r w:rsidR="00CC77A5" w:rsidRPr="006565E9">
        <w:t>4</w:t>
      </w:r>
      <w:r w:rsidRPr="006565E9">
        <w:t xml:space="preserve"> – sets out our assessment approach</w:t>
      </w:r>
    </w:p>
    <w:p w:rsidR="00A14131" w:rsidRPr="006565E9" w:rsidRDefault="00A14131" w:rsidP="00A14131">
      <w:pPr>
        <w:pStyle w:val="AERbulletlistfirststyle"/>
        <w:numPr>
          <w:ilvl w:val="0"/>
          <w:numId w:val="27"/>
        </w:numPr>
        <w:tabs>
          <w:tab w:val="left" w:pos="357"/>
        </w:tabs>
        <w:spacing w:line="288" w:lineRule="auto"/>
        <w:ind w:left="357" w:hanging="357"/>
      </w:pPr>
      <w:r w:rsidRPr="006565E9">
        <w:t xml:space="preserve">Chapter </w:t>
      </w:r>
      <w:r w:rsidR="00CC77A5" w:rsidRPr="006565E9">
        <w:t>5</w:t>
      </w:r>
      <w:r w:rsidRPr="006565E9">
        <w:t xml:space="preserve"> – sets out our reason</w:t>
      </w:r>
      <w:r w:rsidR="00AF2F95">
        <w:t>s</w:t>
      </w:r>
      <w:r w:rsidRPr="006565E9">
        <w:t xml:space="preserve"> for the determination</w:t>
      </w:r>
      <w:r w:rsidR="00A474B7" w:rsidRPr="006565E9">
        <w:t>.</w:t>
      </w:r>
    </w:p>
    <w:p w:rsidR="00A14131" w:rsidRPr="006565E9" w:rsidRDefault="00A14131" w:rsidP="00A33206">
      <w:pPr>
        <w:pStyle w:val="AERbulletlistfirststyle"/>
        <w:numPr>
          <w:ilvl w:val="0"/>
          <w:numId w:val="0"/>
        </w:numPr>
      </w:pPr>
    </w:p>
    <w:p w:rsidR="006850D6" w:rsidRPr="006565E9" w:rsidRDefault="00CC77A5" w:rsidP="006850D6">
      <w:pPr>
        <w:pStyle w:val="AERheading1"/>
        <w:rPr>
          <w:rStyle w:val="AERtextitalic"/>
          <w:i w:val="0"/>
        </w:rPr>
      </w:pPr>
      <w:r w:rsidRPr="006565E9">
        <w:rPr>
          <w:rStyle w:val="AERtextitalic"/>
          <w:i w:val="0"/>
        </w:rPr>
        <w:lastRenderedPageBreak/>
        <w:t xml:space="preserve">   </w:t>
      </w:r>
      <w:bookmarkStart w:id="9" w:name="_Toc364689200"/>
      <w:r w:rsidRPr="006565E9">
        <w:rPr>
          <w:rStyle w:val="AERtextitalic"/>
          <w:i w:val="0"/>
        </w:rPr>
        <w:t>Determination</w:t>
      </w:r>
      <w:bookmarkEnd w:id="9"/>
      <w:r w:rsidRPr="006565E9">
        <w:rPr>
          <w:rStyle w:val="AERtextitalic"/>
          <w:i w:val="0"/>
        </w:rPr>
        <w:t xml:space="preserve"> </w:t>
      </w:r>
    </w:p>
    <w:p w:rsidR="00032017" w:rsidRPr="006565E9" w:rsidRDefault="00347DCA" w:rsidP="00032017">
      <w:pPr>
        <w:pStyle w:val="AERbodytext"/>
        <w:spacing w:after="220"/>
      </w:pPr>
      <w:r w:rsidRPr="006565E9">
        <w:t>The AER reviewed the</w:t>
      </w:r>
      <w:r w:rsidR="00BA55BE" w:rsidRPr="006565E9">
        <w:t xml:space="preserve"> </w:t>
      </w:r>
      <w:r w:rsidR="00106E44" w:rsidRPr="006565E9">
        <w:t xml:space="preserve">2013 </w:t>
      </w:r>
      <w:r w:rsidR="00BA55BE" w:rsidRPr="006565E9">
        <w:t xml:space="preserve">documents </w:t>
      </w:r>
      <w:r w:rsidR="00106E44" w:rsidRPr="006565E9">
        <w:t>f</w:t>
      </w:r>
      <w:r w:rsidR="00BA55BE" w:rsidRPr="006565E9">
        <w:t xml:space="preserve">rom AEMO </w:t>
      </w:r>
      <w:r w:rsidRPr="006565E9">
        <w:t xml:space="preserve">and has </w:t>
      </w:r>
      <w:r w:rsidR="00034D94" w:rsidRPr="006565E9">
        <w:t xml:space="preserve">determined </w:t>
      </w:r>
      <w:r w:rsidR="00CF5802" w:rsidRPr="006565E9">
        <w:t xml:space="preserve">the amount of </w:t>
      </w:r>
      <w:r w:rsidR="00034D94" w:rsidRPr="006565E9">
        <w:t xml:space="preserve">MOS allocation service costs </w:t>
      </w:r>
      <w:r w:rsidR="004948AB" w:rsidRPr="006565E9">
        <w:t xml:space="preserve">AEMO is </w:t>
      </w:r>
      <w:r w:rsidR="00CF5802" w:rsidRPr="006565E9">
        <w:t>payable to each of the following STTM pipeline operators</w:t>
      </w:r>
      <w:r w:rsidR="006948E8" w:rsidRPr="006565E9">
        <w:t xml:space="preserve">. The amounts determined </w:t>
      </w:r>
      <w:r w:rsidR="00034D94" w:rsidRPr="006565E9">
        <w:t xml:space="preserve">for the </w:t>
      </w:r>
      <w:r w:rsidR="008239EE" w:rsidRPr="006565E9">
        <w:t>financial year 2012</w:t>
      </w:r>
      <w:r w:rsidR="004948AB" w:rsidRPr="006565E9">
        <w:t>–</w:t>
      </w:r>
      <w:r w:rsidR="008239EE" w:rsidRPr="006565E9">
        <w:t>13</w:t>
      </w:r>
      <w:r w:rsidR="00CC6F8F">
        <w:t xml:space="preserve"> </w:t>
      </w:r>
      <w:r w:rsidR="00CF5802" w:rsidRPr="006565E9">
        <w:t xml:space="preserve">are as </w:t>
      </w:r>
      <w:r w:rsidR="00D20A76" w:rsidRPr="006565E9">
        <w:t>follows</w:t>
      </w:r>
      <w:r w:rsidR="006948E8" w:rsidRPr="006565E9">
        <w:t>:</w:t>
      </w:r>
      <w:r w:rsidR="00032017" w:rsidRPr="006565E9">
        <w:t xml:space="preserve"> </w:t>
      </w:r>
    </w:p>
    <w:p w:rsidR="0091366F" w:rsidRPr="006565E9" w:rsidRDefault="0091366F" w:rsidP="0091366F">
      <w:pPr>
        <w:pStyle w:val="AERbodytext"/>
        <w:numPr>
          <w:ilvl w:val="0"/>
          <w:numId w:val="35"/>
        </w:numPr>
        <w:rPr>
          <w:lang w:eastAsia="en-AU"/>
        </w:rPr>
      </w:pPr>
      <w:r w:rsidRPr="006565E9">
        <w:rPr>
          <w:lang w:eastAsia="en-AU"/>
        </w:rPr>
        <w:t xml:space="preserve">$80,757.69 (GST inclusive) </w:t>
      </w:r>
      <w:r w:rsidR="00032017" w:rsidRPr="006565E9">
        <w:rPr>
          <w:lang w:eastAsia="en-AU"/>
        </w:rPr>
        <w:t>to</w:t>
      </w:r>
      <w:r w:rsidR="008E731B" w:rsidRPr="006565E9">
        <w:rPr>
          <w:lang w:eastAsia="en-AU"/>
        </w:rPr>
        <w:t xml:space="preserve"> </w:t>
      </w:r>
      <w:r w:rsidR="004948AB" w:rsidRPr="006565E9">
        <w:rPr>
          <w:lang w:eastAsia="en-AU"/>
        </w:rPr>
        <w:t xml:space="preserve">APA Group (for </w:t>
      </w:r>
      <w:r w:rsidRPr="006565E9">
        <w:rPr>
          <w:lang w:eastAsia="en-AU"/>
        </w:rPr>
        <w:t>APT Petroleum Pipelines Pty Limited</w:t>
      </w:r>
      <w:r w:rsidR="004948AB" w:rsidRPr="006565E9">
        <w:rPr>
          <w:lang w:eastAsia="en-AU"/>
        </w:rPr>
        <w:t>)</w:t>
      </w:r>
      <w:r w:rsidR="007C32F1" w:rsidRPr="006565E9">
        <w:rPr>
          <w:lang w:eastAsia="en-AU"/>
        </w:rPr>
        <w:t>;</w:t>
      </w:r>
    </w:p>
    <w:p w:rsidR="0091366F" w:rsidRPr="006565E9" w:rsidRDefault="0091366F" w:rsidP="0091366F">
      <w:pPr>
        <w:pStyle w:val="AERbodytext"/>
        <w:numPr>
          <w:ilvl w:val="0"/>
          <w:numId w:val="35"/>
        </w:numPr>
        <w:rPr>
          <w:lang w:eastAsia="en-AU"/>
        </w:rPr>
      </w:pPr>
      <w:r w:rsidRPr="006565E9">
        <w:rPr>
          <w:lang w:eastAsia="en-AU"/>
        </w:rPr>
        <w:t>$79,849</w:t>
      </w:r>
      <w:r w:rsidR="0071731D" w:rsidRPr="006565E9">
        <w:rPr>
          <w:lang w:eastAsia="en-AU"/>
        </w:rPr>
        <w:t>.00</w:t>
      </w:r>
      <w:r w:rsidR="002318B9" w:rsidRPr="006565E9">
        <w:rPr>
          <w:lang w:eastAsia="en-AU"/>
        </w:rPr>
        <w:t xml:space="preserve"> (GST inclusive) to</w:t>
      </w:r>
      <w:r w:rsidRPr="006565E9">
        <w:rPr>
          <w:lang w:eastAsia="en-AU"/>
        </w:rPr>
        <w:t xml:space="preserve"> </w:t>
      </w:r>
      <w:r w:rsidR="004948AB" w:rsidRPr="006565E9">
        <w:rPr>
          <w:lang w:eastAsia="en-AU"/>
        </w:rPr>
        <w:t xml:space="preserve">APA Group (for </w:t>
      </w:r>
      <w:r w:rsidRPr="006565E9">
        <w:rPr>
          <w:lang w:eastAsia="en-AU"/>
        </w:rPr>
        <w:t>East Australian Pipeline Pty Limited</w:t>
      </w:r>
      <w:r w:rsidR="004948AB" w:rsidRPr="006565E9">
        <w:rPr>
          <w:lang w:eastAsia="en-AU"/>
        </w:rPr>
        <w:t>)</w:t>
      </w:r>
      <w:r w:rsidR="007C32F1" w:rsidRPr="006565E9">
        <w:rPr>
          <w:lang w:eastAsia="en-AU"/>
        </w:rPr>
        <w:t>;</w:t>
      </w:r>
    </w:p>
    <w:p w:rsidR="0091366F" w:rsidRPr="006565E9" w:rsidRDefault="0091366F" w:rsidP="0091366F">
      <w:pPr>
        <w:pStyle w:val="AERbodytext"/>
        <w:numPr>
          <w:ilvl w:val="0"/>
          <w:numId w:val="35"/>
        </w:numPr>
        <w:rPr>
          <w:lang w:eastAsia="en-AU"/>
        </w:rPr>
      </w:pPr>
      <w:r w:rsidRPr="006565E9">
        <w:rPr>
          <w:lang w:eastAsia="en-AU"/>
        </w:rPr>
        <w:t>$</w:t>
      </w:r>
      <w:r w:rsidR="00291592" w:rsidRPr="006565E9">
        <w:rPr>
          <w:lang w:eastAsia="en-AU"/>
        </w:rPr>
        <w:t xml:space="preserve">5,764.00 </w:t>
      </w:r>
      <w:r w:rsidRPr="006565E9">
        <w:rPr>
          <w:lang w:eastAsia="en-AU"/>
        </w:rPr>
        <w:t xml:space="preserve">(GST inclusive ) </w:t>
      </w:r>
      <w:r w:rsidR="002318B9" w:rsidRPr="006565E9">
        <w:rPr>
          <w:lang w:eastAsia="en-AU"/>
        </w:rPr>
        <w:t xml:space="preserve">to </w:t>
      </w:r>
      <w:r w:rsidRPr="006565E9">
        <w:rPr>
          <w:lang w:eastAsia="en-AU"/>
        </w:rPr>
        <w:t>Jemena</w:t>
      </w:r>
      <w:r w:rsidR="007C32F1" w:rsidRPr="006565E9">
        <w:rPr>
          <w:lang w:eastAsia="en-AU"/>
        </w:rPr>
        <w:t>;</w:t>
      </w:r>
      <w:r w:rsidRPr="006565E9">
        <w:rPr>
          <w:lang w:eastAsia="en-AU"/>
        </w:rPr>
        <w:t xml:space="preserve"> </w:t>
      </w:r>
    </w:p>
    <w:p w:rsidR="007C32F1" w:rsidRPr="006565E9" w:rsidRDefault="007C32F1" w:rsidP="007C32F1">
      <w:pPr>
        <w:pStyle w:val="AERbodytext"/>
        <w:numPr>
          <w:ilvl w:val="0"/>
          <w:numId w:val="35"/>
        </w:numPr>
        <w:rPr>
          <w:lang w:eastAsia="en-AU"/>
        </w:rPr>
      </w:pPr>
      <w:r w:rsidRPr="006565E9">
        <w:rPr>
          <w:lang w:eastAsia="en-AU"/>
        </w:rPr>
        <w:t>$26,858.70 (GST inclusive) to S</w:t>
      </w:r>
      <w:r w:rsidR="000E27D0" w:rsidRPr="006565E9">
        <w:rPr>
          <w:lang w:eastAsia="en-AU"/>
        </w:rPr>
        <w:t xml:space="preserve">EA </w:t>
      </w:r>
      <w:r w:rsidRPr="006565E9">
        <w:rPr>
          <w:lang w:eastAsia="en-AU"/>
        </w:rPr>
        <w:t xml:space="preserve">Gas; and </w:t>
      </w:r>
    </w:p>
    <w:p w:rsidR="007C32F1" w:rsidRPr="006565E9" w:rsidRDefault="007C32F1" w:rsidP="00BD1761">
      <w:pPr>
        <w:pStyle w:val="AERbodytext"/>
        <w:numPr>
          <w:ilvl w:val="0"/>
          <w:numId w:val="35"/>
        </w:numPr>
        <w:rPr>
          <w:lang w:eastAsia="en-AU"/>
        </w:rPr>
      </w:pPr>
      <w:r w:rsidRPr="006565E9">
        <w:rPr>
          <w:lang w:eastAsia="en-AU"/>
        </w:rPr>
        <w:t xml:space="preserve">$85,621.18 (GST inclusive) to Epic Energy. </w:t>
      </w:r>
    </w:p>
    <w:p w:rsidR="00FD284B" w:rsidRPr="006565E9" w:rsidRDefault="004948AB" w:rsidP="00A22AEC">
      <w:pPr>
        <w:pStyle w:val="AERbodytext"/>
      </w:pPr>
      <w:r w:rsidRPr="006565E9">
        <w:t xml:space="preserve">These </w:t>
      </w:r>
      <w:r w:rsidR="00BA55BE" w:rsidRPr="006565E9">
        <w:t xml:space="preserve">are </w:t>
      </w:r>
      <w:r w:rsidR="004578CE" w:rsidRPr="006565E9">
        <w:t>the same</w:t>
      </w:r>
      <w:r w:rsidR="00BA55BE" w:rsidRPr="006565E9">
        <w:t xml:space="preserve"> amount</w:t>
      </w:r>
      <w:r w:rsidR="004578CE" w:rsidRPr="006565E9">
        <w:t>s</w:t>
      </w:r>
      <w:r w:rsidR="00BA55BE" w:rsidRPr="006565E9">
        <w:t xml:space="preserve"> as </w:t>
      </w:r>
      <w:r w:rsidR="004578CE" w:rsidRPr="006565E9">
        <w:t>those</w:t>
      </w:r>
      <w:r w:rsidR="00BA55BE" w:rsidRPr="006565E9">
        <w:t xml:space="preserve"> specified in each STTM pipeline operator’s 2013 invoice. </w:t>
      </w:r>
      <w:r w:rsidRPr="006565E9">
        <w:t xml:space="preserve">We are satisfied that </w:t>
      </w:r>
      <w:r w:rsidR="00347DCA" w:rsidRPr="006565E9">
        <w:t>the costs specified in the invoice from each of the above STTM pipeline operators</w:t>
      </w:r>
      <w:r w:rsidR="00FD284B" w:rsidRPr="006565E9">
        <w:t xml:space="preserve"> have be</w:t>
      </w:r>
      <w:r w:rsidR="00347DCA" w:rsidRPr="006565E9">
        <w:t xml:space="preserve">en incurred and are reasonable. </w:t>
      </w:r>
      <w:r w:rsidR="00D24528" w:rsidRPr="006565E9">
        <w:t>Our determination took into account the definition of MOS allocation service costs prescribed in rule 364 of the NGR. We</w:t>
      </w:r>
      <w:r w:rsidR="00FD284B" w:rsidRPr="006565E9">
        <w:t xml:space="preserve"> also had regard to factor</w:t>
      </w:r>
      <w:r w:rsidR="00D24528" w:rsidRPr="006565E9">
        <w:t>s under rule 425(3) of the NGR, including</w:t>
      </w:r>
      <w:r w:rsidR="006948E8" w:rsidRPr="006565E9">
        <w:t xml:space="preserve"> the fact</w:t>
      </w:r>
      <w:r w:rsidR="00FD284B" w:rsidRPr="006565E9">
        <w:t xml:space="preserve"> that AEMO did not receive any submissions on the 2013 invoices </w:t>
      </w:r>
      <w:r w:rsidR="006948E8" w:rsidRPr="006565E9">
        <w:t>in response to their publication</w:t>
      </w:r>
      <w:r w:rsidR="00FD284B" w:rsidRPr="006565E9">
        <w:t>.</w:t>
      </w:r>
    </w:p>
    <w:p w:rsidR="001A4686" w:rsidRPr="006565E9" w:rsidRDefault="001A4686" w:rsidP="00A22AEC">
      <w:pPr>
        <w:pStyle w:val="AERbodytext"/>
      </w:pPr>
    </w:p>
    <w:p w:rsidR="006850D6" w:rsidRPr="006565E9" w:rsidRDefault="00BA2B83" w:rsidP="006850D6">
      <w:pPr>
        <w:pStyle w:val="AERheading1"/>
      </w:pPr>
      <w:r w:rsidRPr="006565E9">
        <w:lastRenderedPageBreak/>
        <w:t xml:space="preserve">   </w:t>
      </w:r>
      <w:bookmarkStart w:id="10" w:name="_Toc364689201"/>
      <w:r w:rsidR="00B337C1" w:rsidRPr="006565E9">
        <w:t>2012–13 MOS allocation service costs</w:t>
      </w:r>
      <w:bookmarkEnd w:id="10"/>
      <w:r w:rsidR="00B337C1" w:rsidRPr="006565E9">
        <w:t xml:space="preserve"> </w:t>
      </w:r>
    </w:p>
    <w:p w:rsidR="00EA1192" w:rsidRPr="006565E9" w:rsidRDefault="00856EA3" w:rsidP="00457097">
      <w:pPr>
        <w:pStyle w:val="AERbodytext"/>
      </w:pPr>
      <w:r w:rsidRPr="006565E9">
        <w:t xml:space="preserve">On 14 August 2013, we received </w:t>
      </w:r>
      <w:r w:rsidR="00732CDC" w:rsidRPr="006565E9">
        <w:t xml:space="preserve">tax </w:t>
      </w:r>
      <w:r w:rsidR="00915368" w:rsidRPr="006565E9">
        <w:t>invoices</w:t>
      </w:r>
      <w:r w:rsidR="00EA1192" w:rsidRPr="006565E9">
        <w:t xml:space="preserve"> and supporting documentation</w:t>
      </w:r>
      <w:r w:rsidR="00915368" w:rsidRPr="006565E9">
        <w:t xml:space="preserve"> </w:t>
      </w:r>
      <w:r w:rsidR="00227C0B" w:rsidRPr="006565E9">
        <w:t>from AEMO for MOS allocation service costs incurred by STTM pipeline operators for the 2012–</w:t>
      </w:r>
      <w:r w:rsidR="00EA1192" w:rsidRPr="006565E9">
        <w:t xml:space="preserve">13 financial year. Table 3.1 below </w:t>
      </w:r>
      <w:r w:rsidR="00FB12FD" w:rsidRPr="006565E9">
        <w:t>outlines the pipeline operators’ proposed</w:t>
      </w:r>
      <w:r w:rsidR="00EA1192" w:rsidRPr="006565E9">
        <w:t xml:space="preserve"> MOS allocation service costs </w:t>
      </w:r>
      <w:r w:rsidR="00FB12FD" w:rsidRPr="006565E9">
        <w:t xml:space="preserve">as </w:t>
      </w:r>
      <w:r w:rsidR="00EA1192" w:rsidRPr="006565E9">
        <w:t>specified in the</w:t>
      </w:r>
      <w:r w:rsidR="00FB12FD" w:rsidRPr="006565E9">
        <w:t>ir</w:t>
      </w:r>
      <w:r w:rsidR="00EA1192" w:rsidRPr="006565E9">
        <w:t xml:space="preserve"> 2013 invoices and provide</w:t>
      </w:r>
      <w:r w:rsidR="00A70ED4">
        <w:t>s</w:t>
      </w:r>
      <w:r w:rsidR="00EA1192" w:rsidRPr="006565E9">
        <w:t xml:space="preserve"> a summary of cost breakdown provided in </w:t>
      </w:r>
      <w:r w:rsidR="00FB12FD" w:rsidRPr="006565E9">
        <w:t xml:space="preserve">the </w:t>
      </w:r>
      <w:r w:rsidR="00EA1192" w:rsidRPr="006565E9">
        <w:t>documentation</w:t>
      </w:r>
      <w:r w:rsidR="00FB12FD" w:rsidRPr="006565E9">
        <w:t>s supporting these invoices</w:t>
      </w:r>
      <w:r w:rsidR="00EA1192" w:rsidRPr="006565E9">
        <w:t>.</w:t>
      </w:r>
    </w:p>
    <w:p w:rsidR="00856EA3" w:rsidRPr="006565E9" w:rsidRDefault="00EA1192" w:rsidP="007757EA">
      <w:pPr>
        <w:pStyle w:val="AERtableheading"/>
        <w:tabs>
          <w:tab w:val="clear" w:pos="1361"/>
          <w:tab w:val="num" w:pos="993"/>
        </w:tabs>
        <w:ind w:left="993" w:hanging="993"/>
      </w:pPr>
      <w:r w:rsidRPr="006565E9">
        <w:t xml:space="preserve">Table 3.1: summary of 2012–13 MOS allocation service costs </w:t>
      </w:r>
    </w:p>
    <w:tbl>
      <w:tblPr>
        <w:tblStyle w:val="AERtable-numbers"/>
        <w:tblpPr w:leftFromText="180" w:rightFromText="180" w:vertAnchor="text" w:horzAnchor="margin" w:tblpY="256"/>
        <w:tblW w:w="8594"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1351"/>
        <w:gridCol w:w="1393"/>
        <w:gridCol w:w="1372"/>
        <w:gridCol w:w="1372"/>
        <w:gridCol w:w="1372"/>
      </w:tblGrid>
      <w:tr w:rsidR="007757EA" w:rsidRPr="006565E9" w:rsidTr="007757EA">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734" w:type="dxa"/>
          </w:tcPr>
          <w:p w:rsidR="007757EA" w:rsidRPr="006565E9" w:rsidRDefault="007757EA" w:rsidP="007757EA">
            <w:pPr>
              <w:pStyle w:val="AERtabletextheading"/>
            </w:pPr>
          </w:p>
        </w:tc>
        <w:tc>
          <w:tcPr>
            <w:tcW w:w="1351" w:type="dxa"/>
            <w:vAlign w:val="top"/>
          </w:tcPr>
          <w:p w:rsidR="007757EA" w:rsidRPr="006565E9" w:rsidRDefault="007757EA" w:rsidP="004E5192">
            <w:pPr>
              <w:pStyle w:val="AERtabletext"/>
              <w:cnfStyle w:val="100000000000" w:firstRow="1" w:lastRow="0" w:firstColumn="0" w:lastColumn="0" w:oddVBand="0" w:evenVBand="0" w:oddHBand="0" w:evenHBand="0" w:firstRowFirstColumn="0" w:firstRowLastColumn="0" w:lastRowFirstColumn="0" w:lastRowLastColumn="0"/>
              <w:rPr>
                <w:b/>
              </w:rPr>
            </w:pPr>
            <w:r w:rsidRPr="006565E9">
              <w:rPr>
                <w:b/>
              </w:rPr>
              <w:t xml:space="preserve">Adelaide Hub </w:t>
            </w:r>
          </w:p>
        </w:tc>
        <w:tc>
          <w:tcPr>
            <w:tcW w:w="1393" w:type="dxa"/>
            <w:vAlign w:val="top"/>
          </w:tcPr>
          <w:p w:rsidR="007757EA" w:rsidRPr="006565E9" w:rsidRDefault="007757EA" w:rsidP="004E5192">
            <w:pPr>
              <w:pStyle w:val="AERtabletext"/>
              <w:cnfStyle w:val="100000000000" w:firstRow="1" w:lastRow="0" w:firstColumn="0" w:lastColumn="0" w:oddVBand="0" w:evenVBand="0" w:oddHBand="0" w:evenHBand="0" w:firstRowFirstColumn="0" w:firstRowLastColumn="0" w:lastRowFirstColumn="0" w:lastRowLastColumn="0"/>
              <w:rPr>
                <w:b/>
              </w:rPr>
            </w:pPr>
          </w:p>
        </w:tc>
        <w:tc>
          <w:tcPr>
            <w:tcW w:w="1372" w:type="dxa"/>
            <w:vAlign w:val="top"/>
          </w:tcPr>
          <w:p w:rsidR="007757EA" w:rsidRPr="006565E9" w:rsidRDefault="007757EA" w:rsidP="004E5192">
            <w:pPr>
              <w:pStyle w:val="AERtabletext"/>
              <w:cnfStyle w:val="100000000000" w:firstRow="1" w:lastRow="0" w:firstColumn="0" w:lastColumn="0" w:oddVBand="0" w:evenVBand="0" w:oddHBand="0" w:evenHBand="0" w:firstRowFirstColumn="0" w:firstRowLastColumn="0" w:lastRowFirstColumn="0" w:lastRowLastColumn="0"/>
              <w:rPr>
                <w:b/>
              </w:rPr>
            </w:pPr>
            <w:r w:rsidRPr="006565E9">
              <w:rPr>
                <w:b/>
              </w:rPr>
              <w:t xml:space="preserve">Sydney Hub </w:t>
            </w:r>
          </w:p>
        </w:tc>
        <w:tc>
          <w:tcPr>
            <w:tcW w:w="1372" w:type="dxa"/>
            <w:vAlign w:val="top"/>
          </w:tcPr>
          <w:p w:rsidR="007757EA" w:rsidRPr="006565E9" w:rsidRDefault="007757EA" w:rsidP="004E5192">
            <w:pPr>
              <w:pStyle w:val="AERtabletext"/>
              <w:cnfStyle w:val="100000000000" w:firstRow="1" w:lastRow="0" w:firstColumn="0" w:lastColumn="0" w:oddVBand="0" w:evenVBand="0" w:oddHBand="0" w:evenHBand="0" w:firstRowFirstColumn="0" w:firstRowLastColumn="0" w:lastRowFirstColumn="0" w:lastRowLastColumn="0"/>
              <w:rPr>
                <w:b/>
              </w:rPr>
            </w:pPr>
          </w:p>
        </w:tc>
        <w:tc>
          <w:tcPr>
            <w:tcW w:w="1372" w:type="dxa"/>
            <w:vAlign w:val="top"/>
          </w:tcPr>
          <w:p w:rsidR="007757EA" w:rsidRPr="006565E9" w:rsidRDefault="007757EA" w:rsidP="004E5192">
            <w:pPr>
              <w:pStyle w:val="AERtabletext"/>
              <w:cnfStyle w:val="100000000000" w:firstRow="1" w:lastRow="0" w:firstColumn="0" w:lastColumn="0" w:oddVBand="0" w:evenVBand="0" w:oddHBand="0" w:evenHBand="0" w:firstRowFirstColumn="0" w:firstRowLastColumn="0" w:lastRowFirstColumn="0" w:lastRowLastColumn="0"/>
              <w:rPr>
                <w:b/>
              </w:rPr>
            </w:pPr>
            <w:r w:rsidRPr="006565E9">
              <w:rPr>
                <w:b/>
              </w:rPr>
              <w:t>Brisbane Hub</w:t>
            </w:r>
          </w:p>
        </w:tc>
      </w:tr>
      <w:tr w:rsidR="007757EA" w:rsidRPr="006565E9" w:rsidTr="007757EA">
        <w:trPr>
          <w:trHeight w:val="569"/>
        </w:trPr>
        <w:tc>
          <w:tcPr>
            <w:cnfStyle w:val="001000000000" w:firstRow="0" w:lastRow="0" w:firstColumn="1" w:lastColumn="0" w:oddVBand="0" w:evenVBand="0" w:oddHBand="0" w:evenHBand="0" w:firstRowFirstColumn="0" w:firstRowLastColumn="0" w:lastRowFirstColumn="0" w:lastRowLastColumn="0"/>
            <w:tcW w:w="1734" w:type="dxa"/>
            <w:tcBorders>
              <w:left w:val="nil"/>
              <w:bottom w:val="single" w:sz="4" w:space="0" w:color="auto"/>
              <w:right w:val="nil"/>
            </w:tcBorders>
          </w:tcPr>
          <w:p w:rsidR="007757EA" w:rsidRPr="006565E9" w:rsidRDefault="007757EA" w:rsidP="007757EA">
            <w:pPr>
              <w:pStyle w:val="AERtabletext"/>
            </w:pPr>
          </w:p>
        </w:tc>
        <w:tc>
          <w:tcPr>
            <w:tcW w:w="1351" w:type="dxa"/>
            <w:tcBorders>
              <w:left w:val="nil"/>
              <w:bottom w:val="single" w:sz="4" w:space="0" w:color="auto"/>
              <w:right w:val="nil"/>
            </w:tcBorders>
            <w:vAlign w:val="top"/>
          </w:tcPr>
          <w:p w:rsidR="007757EA" w:rsidRPr="006565E9" w:rsidRDefault="007757EA" w:rsidP="004E5192">
            <w:pPr>
              <w:pStyle w:val="AERtabletext"/>
              <w:cnfStyle w:val="000000000000" w:firstRow="0" w:lastRow="0" w:firstColumn="0" w:lastColumn="0" w:oddVBand="0" w:evenVBand="0" w:oddHBand="0" w:evenHBand="0" w:firstRowFirstColumn="0" w:firstRowLastColumn="0" w:lastRowFirstColumn="0" w:lastRowLastColumn="0"/>
              <w:rPr>
                <w:b/>
              </w:rPr>
            </w:pPr>
            <w:r w:rsidRPr="006565E9">
              <w:rPr>
                <w:b/>
              </w:rPr>
              <w:t>SEA</w:t>
            </w:r>
            <w:r w:rsidR="000E27D0" w:rsidRPr="006565E9">
              <w:rPr>
                <w:b/>
              </w:rPr>
              <w:t xml:space="preserve"> </w:t>
            </w:r>
            <w:r w:rsidRPr="006565E9">
              <w:rPr>
                <w:b/>
              </w:rPr>
              <w:t xml:space="preserve">Gas pipeline </w:t>
            </w:r>
            <w:r w:rsidR="00CF3A41" w:rsidRPr="006565E9">
              <w:rPr>
                <w:b/>
              </w:rPr>
              <w:br/>
            </w:r>
            <w:r w:rsidRPr="006565E9">
              <w:rPr>
                <w:b/>
              </w:rPr>
              <w:t>(SEA</w:t>
            </w:r>
            <w:r w:rsidR="000E27D0" w:rsidRPr="006565E9">
              <w:rPr>
                <w:b/>
              </w:rPr>
              <w:t xml:space="preserve"> </w:t>
            </w:r>
            <w:r w:rsidRPr="006565E9">
              <w:rPr>
                <w:b/>
              </w:rPr>
              <w:t xml:space="preserve">Gas) </w:t>
            </w:r>
          </w:p>
        </w:tc>
        <w:tc>
          <w:tcPr>
            <w:tcW w:w="1393" w:type="dxa"/>
            <w:tcBorders>
              <w:left w:val="nil"/>
              <w:bottom w:val="single" w:sz="4" w:space="0" w:color="auto"/>
              <w:right w:val="nil"/>
            </w:tcBorders>
            <w:vAlign w:val="top"/>
          </w:tcPr>
          <w:p w:rsidR="007757EA" w:rsidRPr="006565E9" w:rsidRDefault="007757EA" w:rsidP="004E5192">
            <w:pPr>
              <w:pStyle w:val="AERtabletext"/>
              <w:cnfStyle w:val="000000000000" w:firstRow="0" w:lastRow="0" w:firstColumn="0" w:lastColumn="0" w:oddVBand="0" w:evenVBand="0" w:oddHBand="0" w:evenHBand="0" w:firstRowFirstColumn="0" w:firstRowLastColumn="0" w:lastRowFirstColumn="0" w:lastRowLastColumn="0"/>
              <w:rPr>
                <w:b/>
              </w:rPr>
            </w:pPr>
            <w:r w:rsidRPr="006565E9">
              <w:rPr>
                <w:b/>
              </w:rPr>
              <w:t xml:space="preserve">Moomba to Adelaide </w:t>
            </w:r>
            <w:r w:rsidR="00CF3A41" w:rsidRPr="006565E9">
              <w:rPr>
                <w:b/>
              </w:rPr>
              <w:br/>
            </w:r>
            <w:r w:rsidRPr="006565E9">
              <w:rPr>
                <w:b/>
              </w:rPr>
              <w:t xml:space="preserve">(Epic Energy) </w:t>
            </w:r>
          </w:p>
        </w:tc>
        <w:tc>
          <w:tcPr>
            <w:tcW w:w="1372" w:type="dxa"/>
            <w:tcBorders>
              <w:left w:val="nil"/>
              <w:bottom w:val="single" w:sz="4" w:space="0" w:color="auto"/>
              <w:right w:val="nil"/>
            </w:tcBorders>
            <w:vAlign w:val="top"/>
          </w:tcPr>
          <w:p w:rsidR="007757EA" w:rsidRPr="006565E9" w:rsidRDefault="007757EA" w:rsidP="004E5192">
            <w:pPr>
              <w:pStyle w:val="AERtabletext"/>
              <w:cnfStyle w:val="000000000000" w:firstRow="0" w:lastRow="0" w:firstColumn="0" w:lastColumn="0" w:oddVBand="0" w:evenVBand="0" w:oddHBand="0" w:evenHBand="0" w:firstRowFirstColumn="0" w:firstRowLastColumn="0" w:lastRowFirstColumn="0" w:lastRowLastColumn="0"/>
              <w:rPr>
                <w:b/>
              </w:rPr>
            </w:pPr>
            <w:r w:rsidRPr="006565E9">
              <w:rPr>
                <w:b/>
              </w:rPr>
              <w:t xml:space="preserve">Eastern Gas Pipeline (Jemena) </w:t>
            </w:r>
          </w:p>
        </w:tc>
        <w:tc>
          <w:tcPr>
            <w:tcW w:w="1372" w:type="dxa"/>
            <w:tcBorders>
              <w:left w:val="nil"/>
              <w:bottom w:val="single" w:sz="4" w:space="0" w:color="auto"/>
              <w:right w:val="nil"/>
            </w:tcBorders>
            <w:vAlign w:val="top"/>
          </w:tcPr>
          <w:p w:rsidR="007757EA" w:rsidRPr="006565E9" w:rsidRDefault="007757EA" w:rsidP="004E5192">
            <w:pPr>
              <w:pStyle w:val="AERtabletext"/>
              <w:cnfStyle w:val="000000000000" w:firstRow="0" w:lastRow="0" w:firstColumn="0" w:lastColumn="0" w:oddVBand="0" w:evenVBand="0" w:oddHBand="0" w:evenHBand="0" w:firstRowFirstColumn="0" w:firstRowLastColumn="0" w:lastRowFirstColumn="0" w:lastRowLastColumn="0"/>
              <w:rPr>
                <w:b/>
              </w:rPr>
            </w:pPr>
            <w:r w:rsidRPr="006565E9">
              <w:rPr>
                <w:b/>
              </w:rPr>
              <w:t xml:space="preserve">Moomba to Sydney Pipeline </w:t>
            </w:r>
            <w:r w:rsidR="00CF3A41" w:rsidRPr="006565E9">
              <w:rPr>
                <w:b/>
              </w:rPr>
              <w:br/>
            </w:r>
            <w:r w:rsidRPr="006565E9">
              <w:rPr>
                <w:b/>
              </w:rPr>
              <w:t xml:space="preserve">(APA Group) </w:t>
            </w:r>
          </w:p>
        </w:tc>
        <w:tc>
          <w:tcPr>
            <w:tcW w:w="1372" w:type="dxa"/>
            <w:tcBorders>
              <w:left w:val="nil"/>
              <w:bottom w:val="single" w:sz="4" w:space="0" w:color="auto"/>
              <w:right w:val="nil"/>
            </w:tcBorders>
            <w:vAlign w:val="top"/>
          </w:tcPr>
          <w:p w:rsidR="007757EA" w:rsidRPr="006565E9" w:rsidRDefault="007757EA" w:rsidP="004E5192">
            <w:pPr>
              <w:pStyle w:val="AERtabletext"/>
              <w:cnfStyle w:val="000000000000" w:firstRow="0" w:lastRow="0" w:firstColumn="0" w:lastColumn="0" w:oddVBand="0" w:evenVBand="0" w:oddHBand="0" w:evenHBand="0" w:firstRowFirstColumn="0" w:firstRowLastColumn="0" w:lastRowFirstColumn="0" w:lastRowLastColumn="0"/>
              <w:rPr>
                <w:b/>
              </w:rPr>
            </w:pPr>
            <w:r w:rsidRPr="006565E9">
              <w:rPr>
                <w:b/>
              </w:rPr>
              <w:t xml:space="preserve">Roma to Brisbane Pipeline </w:t>
            </w:r>
            <w:r w:rsidR="00CF3A41" w:rsidRPr="006565E9">
              <w:rPr>
                <w:b/>
              </w:rPr>
              <w:br/>
            </w:r>
            <w:r w:rsidRPr="006565E9">
              <w:rPr>
                <w:b/>
              </w:rPr>
              <w:t xml:space="preserve">(APA Group) </w:t>
            </w:r>
          </w:p>
        </w:tc>
      </w:tr>
      <w:tr w:rsidR="007757EA" w:rsidRPr="006565E9" w:rsidTr="007757EA">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734" w:type="dxa"/>
            <w:tcBorders>
              <w:left w:val="nil"/>
              <w:bottom w:val="single" w:sz="4" w:space="0" w:color="auto"/>
              <w:right w:val="nil"/>
            </w:tcBorders>
            <w:vAlign w:val="top"/>
          </w:tcPr>
          <w:p w:rsidR="007757EA" w:rsidRPr="006565E9" w:rsidRDefault="007757EA" w:rsidP="004E5192">
            <w:pPr>
              <w:pStyle w:val="AERtabletext"/>
              <w:rPr>
                <w:b/>
              </w:rPr>
            </w:pPr>
            <w:r w:rsidRPr="006565E9">
              <w:rPr>
                <w:b/>
              </w:rPr>
              <w:t xml:space="preserve">Total proposed MOS costs </w:t>
            </w:r>
            <w:r w:rsidR="00871569">
              <w:rPr>
                <w:b/>
              </w:rPr>
              <w:br/>
            </w:r>
            <w:r w:rsidRPr="006565E9">
              <w:rPr>
                <w:b/>
              </w:rPr>
              <w:t>(excl. GST)</w:t>
            </w:r>
          </w:p>
        </w:tc>
        <w:tc>
          <w:tcPr>
            <w:tcW w:w="1351" w:type="dxa"/>
            <w:tcBorders>
              <w:left w:val="nil"/>
              <w:bottom w:val="single" w:sz="4" w:space="0" w:color="auto"/>
              <w:right w:val="nil"/>
            </w:tcBorders>
            <w:vAlign w:val="top"/>
          </w:tcPr>
          <w:p w:rsidR="007757EA" w:rsidRPr="006565E9" w:rsidRDefault="007757EA" w:rsidP="004E5192">
            <w:pPr>
              <w:pStyle w:val="AERtabletext"/>
              <w:cnfStyle w:val="000000010000" w:firstRow="0" w:lastRow="0" w:firstColumn="0" w:lastColumn="0" w:oddVBand="0" w:evenVBand="0" w:oddHBand="0" w:evenHBand="1" w:firstRowFirstColumn="0" w:firstRowLastColumn="0" w:lastRowFirstColumn="0" w:lastRowLastColumn="0"/>
            </w:pPr>
            <w:r w:rsidRPr="006565E9">
              <w:t>$24,417.00</w:t>
            </w:r>
          </w:p>
          <w:p w:rsidR="007757EA" w:rsidRPr="006565E9" w:rsidRDefault="007757EA" w:rsidP="004E5192">
            <w:pPr>
              <w:pStyle w:val="AERtabletext"/>
              <w:cnfStyle w:val="000000010000" w:firstRow="0" w:lastRow="0" w:firstColumn="0" w:lastColumn="0" w:oddVBand="0" w:evenVBand="0" w:oddHBand="0" w:evenHBand="1" w:firstRowFirstColumn="0" w:firstRowLastColumn="0" w:lastRowFirstColumn="0" w:lastRowLastColumn="0"/>
            </w:pPr>
          </w:p>
        </w:tc>
        <w:tc>
          <w:tcPr>
            <w:tcW w:w="1393" w:type="dxa"/>
            <w:tcBorders>
              <w:left w:val="nil"/>
              <w:bottom w:val="single" w:sz="4" w:space="0" w:color="auto"/>
              <w:right w:val="nil"/>
            </w:tcBorders>
            <w:vAlign w:val="top"/>
          </w:tcPr>
          <w:p w:rsidR="007757EA" w:rsidRPr="006565E9" w:rsidRDefault="007757EA" w:rsidP="004E5192">
            <w:pPr>
              <w:pStyle w:val="AERtabletext"/>
              <w:cnfStyle w:val="000000010000" w:firstRow="0" w:lastRow="0" w:firstColumn="0" w:lastColumn="0" w:oddVBand="0" w:evenVBand="0" w:oddHBand="0" w:evenHBand="1" w:firstRowFirstColumn="0" w:firstRowLastColumn="0" w:lastRowFirstColumn="0" w:lastRowLastColumn="0"/>
            </w:pPr>
            <w:r w:rsidRPr="006565E9">
              <w:t>$77,837.44</w:t>
            </w:r>
          </w:p>
        </w:tc>
        <w:tc>
          <w:tcPr>
            <w:tcW w:w="1372" w:type="dxa"/>
            <w:tcBorders>
              <w:left w:val="nil"/>
              <w:bottom w:val="single" w:sz="4" w:space="0" w:color="auto"/>
              <w:right w:val="nil"/>
            </w:tcBorders>
            <w:vAlign w:val="top"/>
          </w:tcPr>
          <w:p w:rsidR="007757EA" w:rsidRPr="006565E9" w:rsidRDefault="007757EA" w:rsidP="004E5192">
            <w:pPr>
              <w:pStyle w:val="AERtabletext"/>
              <w:cnfStyle w:val="000000010000" w:firstRow="0" w:lastRow="0" w:firstColumn="0" w:lastColumn="0" w:oddVBand="0" w:evenVBand="0" w:oddHBand="0" w:evenHBand="1" w:firstRowFirstColumn="0" w:firstRowLastColumn="0" w:lastRowFirstColumn="0" w:lastRowLastColumn="0"/>
            </w:pPr>
            <w:r w:rsidRPr="006565E9">
              <w:t>$5,240.00</w:t>
            </w:r>
          </w:p>
        </w:tc>
        <w:tc>
          <w:tcPr>
            <w:tcW w:w="1372" w:type="dxa"/>
            <w:tcBorders>
              <w:left w:val="nil"/>
              <w:bottom w:val="single" w:sz="4" w:space="0" w:color="auto"/>
              <w:right w:val="nil"/>
            </w:tcBorders>
            <w:vAlign w:val="top"/>
          </w:tcPr>
          <w:p w:rsidR="007757EA" w:rsidRPr="006565E9" w:rsidRDefault="007757EA" w:rsidP="004E5192">
            <w:pPr>
              <w:pStyle w:val="AERtabletext"/>
              <w:cnfStyle w:val="000000010000" w:firstRow="0" w:lastRow="0" w:firstColumn="0" w:lastColumn="0" w:oddVBand="0" w:evenVBand="0" w:oddHBand="0" w:evenHBand="1" w:firstRowFirstColumn="0" w:firstRowLastColumn="0" w:lastRowFirstColumn="0" w:lastRowLastColumn="0"/>
            </w:pPr>
            <w:r w:rsidRPr="006565E9">
              <w:t>$72,590.00</w:t>
            </w:r>
          </w:p>
        </w:tc>
        <w:tc>
          <w:tcPr>
            <w:tcW w:w="1372" w:type="dxa"/>
            <w:tcBorders>
              <w:left w:val="nil"/>
              <w:bottom w:val="single" w:sz="4" w:space="0" w:color="auto"/>
              <w:right w:val="nil"/>
            </w:tcBorders>
            <w:vAlign w:val="top"/>
          </w:tcPr>
          <w:p w:rsidR="007757EA" w:rsidRPr="006565E9" w:rsidRDefault="007757EA" w:rsidP="004E5192">
            <w:pPr>
              <w:pStyle w:val="AERtabletext"/>
              <w:cnfStyle w:val="000000010000" w:firstRow="0" w:lastRow="0" w:firstColumn="0" w:lastColumn="0" w:oddVBand="0" w:evenVBand="0" w:oddHBand="0" w:evenHBand="1" w:firstRowFirstColumn="0" w:firstRowLastColumn="0" w:lastRowFirstColumn="0" w:lastRowLastColumn="0"/>
            </w:pPr>
            <w:r w:rsidRPr="006565E9">
              <w:t>$73,416.08</w:t>
            </w:r>
          </w:p>
        </w:tc>
      </w:tr>
      <w:tr w:rsidR="007757EA" w:rsidRPr="006565E9" w:rsidTr="007757EA">
        <w:trPr>
          <w:trHeight w:val="554"/>
        </w:trPr>
        <w:tc>
          <w:tcPr>
            <w:cnfStyle w:val="001000000000" w:firstRow="0" w:lastRow="0" w:firstColumn="1" w:lastColumn="0" w:oddVBand="0" w:evenVBand="0" w:oddHBand="0" w:evenHBand="0" w:firstRowFirstColumn="0" w:firstRowLastColumn="0" w:lastRowFirstColumn="0" w:lastRowLastColumn="0"/>
            <w:tcW w:w="1734" w:type="dxa"/>
            <w:tcBorders>
              <w:left w:val="nil"/>
              <w:bottom w:val="single" w:sz="4" w:space="0" w:color="auto"/>
              <w:right w:val="nil"/>
            </w:tcBorders>
            <w:vAlign w:val="top"/>
          </w:tcPr>
          <w:p w:rsidR="007757EA" w:rsidRPr="006565E9" w:rsidRDefault="007757EA" w:rsidP="004E5192">
            <w:pPr>
              <w:pStyle w:val="AERtabletext"/>
              <w:rPr>
                <w:b/>
              </w:rPr>
            </w:pPr>
            <w:r w:rsidRPr="006565E9">
              <w:rPr>
                <w:b/>
              </w:rPr>
              <w:t xml:space="preserve">Total proposed MOS costs </w:t>
            </w:r>
            <w:r w:rsidR="00871569">
              <w:rPr>
                <w:b/>
              </w:rPr>
              <w:br/>
            </w:r>
            <w:r w:rsidRPr="006565E9">
              <w:rPr>
                <w:b/>
              </w:rPr>
              <w:t>(incl. GST)</w:t>
            </w:r>
          </w:p>
        </w:tc>
        <w:tc>
          <w:tcPr>
            <w:tcW w:w="1351" w:type="dxa"/>
            <w:tcBorders>
              <w:left w:val="nil"/>
              <w:bottom w:val="single" w:sz="4" w:space="0" w:color="auto"/>
              <w:right w:val="nil"/>
            </w:tcBorders>
            <w:vAlign w:val="top"/>
          </w:tcPr>
          <w:p w:rsidR="007757EA" w:rsidRPr="006565E9" w:rsidRDefault="007757EA" w:rsidP="004E5192">
            <w:pPr>
              <w:pStyle w:val="AERtabletext"/>
              <w:cnfStyle w:val="000000000000" w:firstRow="0" w:lastRow="0" w:firstColumn="0" w:lastColumn="0" w:oddVBand="0" w:evenVBand="0" w:oddHBand="0" w:evenHBand="0" w:firstRowFirstColumn="0" w:firstRowLastColumn="0" w:lastRowFirstColumn="0" w:lastRowLastColumn="0"/>
            </w:pPr>
            <w:r w:rsidRPr="006565E9">
              <w:t>$26,858.70</w:t>
            </w:r>
          </w:p>
          <w:p w:rsidR="007757EA" w:rsidRPr="006565E9" w:rsidRDefault="007757EA" w:rsidP="004E5192">
            <w:pPr>
              <w:pStyle w:val="AERtabletext"/>
              <w:cnfStyle w:val="000000000000" w:firstRow="0" w:lastRow="0" w:firstColumn="0" w:lastColumn="0" w:oddVBand="0" w:evenVBand="0" w:oddHBand="0" w:evenHBand="0" w:firstRowFirstColumn="0" w:firstRowLastColumn="0" w:lastRowFirstColumn="0" w:lastRowLastColumn="0"/>
            </w:pPr>
          </w:p>
        </w:tc>
        <w:tc>
          <w:tcPr>
            <w:tcW w:w="1393" w:type="dxa"/>
            <w:tcBorders>
              <w:left w:val="nil"/>
              <w:bottom w:val="single" w:sz="4" w:space="0" w:color="auto"/>
              <w:right w:val="nil"/>
            </w:tcBorders>
            <w:vAlign w:val="top"/>
          </w:tcPr>
          <w:p w:rsidR="007757EA" w:rsidRPr="006565E9" w:rsidRDefault="007757EA" w:rsidP="004E5192">
            <w:pPr>
              <w:pStyle w:val="AERtabletext"/>
              <w:cnfStyle w:val="000000000000" w:firstRow="0" w:lastRow="0" w:firstColumn="0" w:lastColumn="0" w:oddVBand="0" w:evenVBand="0" w:oddHBand="0" w:evenHBand="0" w:firstRowFirstColumn="0" w:firstRowLastColumn="0" w:lastRowFirstColumn="0" w:lastRowLastColumn="0"/>
            </w:pPr>
            <w:r w:rsidRPr="006565E9">
              <w:t>$85,621.18</w:t>
            </w:r>
          </w:p>
        </w:tc>
        <w:tc>
          <w:tcPr>
            <w:tcW w:w="1372" w:type="dxa"/>
            <w:tcBorders>
              <w:left w:val="nil"/>
              <w:bottom w:val="single" w:sz="4" w:space="0" w:color="auto"/>
              <w:right w:val="nil"/>
            </w:tcBorders>
            <w:vAlign w:val="top"/>
          </w:tcPr>
          <w:p w:rsidR="007757EA" w:rsidRPr="006565E9" w:rsidRDefault="007757EA" w:rsidP="004E5192">
            <w:pPr>
              <w:pStyle w:val="AERtabletext"/>
              <w:cnfStyle w:val="000000000000" w:firstRow="0" w:lastRow="0" w:firstColumn="0" w:lastColumn="0" w:oddVBand="0" w:evenVBand="0" w:oddHBand="0" w:evenHBand="0" w:firstRowFirstColumn="0" w:firstRowLastColumn="0" w:lastRowFirstColumn="0" w:lastRowLastColumn="0"/>
            </w:pPr>
            <w:r w:rsidRPr="006565E9">
              <w:t>$5,764.00</w:t>
            </w:r>
          </w:p>
        </w:tc>
        <w:tc>
          <w:tcPr>
            <w:tcW w:w="1372" w:type="dxa"/>
            <w:tcBorders>
              <w:left w:val="nil"/>
              <w:bottom w:val="single" w:sz="4" w:space="0" w:color="auto"/>
              <w:right w:val="nil"/>
            </w:tcBorders>
            <w:vAlign w:val="top"/>
          </w:tcPr>
          <w:p w:rsidR="007757EA" w:rsidRPr="006565E9" w:rsidRDefault="007757EA" w:rsidP="004E5192">
            <w:pPr>
              <w:pStyle w:val="AERtabletext"/>
              <w:cnfStyle w:val="000000000000" w:firstRow="0" w:lastRow="0" w:firstColumn="0" w:lastColumn="0" w:oddVBand="0" w:evenVBand="0" w:oddHBand="0" w:evenHBand="0" w:firstRowFirstColumn="0" w:firstRowLastColumn="0" w:lastRowFirstColumn="0" w:lastRowLastColumn="0"/>
            </w:pPr>
            <w:r w:rsidRPr="006565E9">
              <w:t>$79,849.00</w:t>
            </w:r>
          </w:p>
        </w:tc>
        <w:tc>
          <w:tcPr>
            <w:tcW w:w="1372" w:type="dxa"/>
            <w:tcBorders>
              <w:left w:val="nil"/>
              <w:bottom w:val="single" w:sz="4" w:space="0" w:color="auto"/>
              <w:right w:val="nil"/>
            </w:tcBorders>
            <w:vAlign w:val="top"/>
          </w:tcPr>
          <w:p w:rsidR="007757EA" w:rsidRPr="006565E9" w:rsidRDefault="007757EA" w:rsidP="004E5192">
            <w:pPr>
              <w:pStyle w:val="AERtabletext"/>
              <w:cnfStyle w:val="000000000000" w:firstRow="0" w:lastRow="0" w:firstColumn="0" w:lastColumn="0" w:oddVBand="0" w:evenVBand="0" w:oddHBand="0" w:evenHBand="0" w:firstRowFirstColumn="0" w:firstRowLastColumn="0" w:lastRowFirstColumn="0" w:lastRowLastColumn="0"/>
            </w:pPr>
            <w:r w:rsidRPr="006565E9">
              <w:t>$80,757.69</w:t>
            </w:r>
          </w:p>
        </w:tc>
      </w:tr>
      <w:tr w:rsidR="007757EA" w:rsidRPr="006565E9" w:rsidTr="007757EA">
        <w:trPr>
          <w:cnfStyle w:val="000000010000" w:firstRow="0" w:lastRow="0" w:firstColumn="0" w:lastColumn="0" w:oddVBand="0" w:evenVBand="0" w:oddHBand="0" w:evenHBand="1"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734" w:type="dxa"/>
            <w:tcBorders>
              <w:left w:val="nil"/>
              <w:right w:val="nil"/>
            </w:tcBorders>
            <w:vAlign w:val="top"/>
          </w:tcPr>
          <w:p w:rsidR="007757EA" w:rsidRPr="006565E9" w:rsidRDefault="007757EA" w:rsidP="004E5192">
            <w:pPr>
              <w:pStyle w:val="AERtabletext"/>
              <w:rPr>
                <w:b/>
              </w:rPr>
            </w:pPr>
            <w:r w:rsidRPr="006565E9">
              <w:rPr>
                <w:b/>
              </w:rPr>
              <w:t xml:space="preserve">Cost breakdown </w:t>
            </w:r>
          </w:p>
        </w:tc>
        <w:tc>
          <w:tcPr>
            <w:tcW w:w="1351" w:type="dxa"/>
            <w:tcBorders>
              <w:left w:val="nil"/>
              <w:right w:val="nil"/>
            </w:tcBorders>
            <w:vAlign w:val="top"/>
          </w:tcPr>
          <w:p w:rsidR="007757EA" w:rsidRPr="006565E9" w:rsidRDefault="007757EA" w:rsidP="004E5192">
            <w:pPr>
              <w:pStyle w:val="AERtabletext"/>
              <w:cnfStyle w:val="000000010000" w:firstRow="0" w:lastRow="0" w:firstColumn="0" w:lastColumn="0" w:oddVBand="0" w:evenVBand="0" w:oddHBand="0" w:evenHBand="1" w:firstRowFirstColumn="0" w:firstRowLastColumn="0" w:lastRowFirstColumn="0" w:lastRowLastColumn="0"/>
            </w:pPr>
            <w:r w:rsidRPr="006565E9">
              <w:t>-</w:t>
            </w:r>
            <w:r w:rsidR="00CC6F8F">
              <w:t>e</w:t>
            </w:r>
            <w:r w:rsidRPr="006565E9">
              <w:t xml:space="preserve">xternal service provider costs </w:t>
            </w:r>
          </w:p>
          <w:p w:rsidR="007757EA" w:rsidRPr="006565E9" w:rsidRDefault="007757EA" w:rsidP="00CC6F8F">
            <w:pPr>
              <w:pStyle w:val="AERtabletext"/>
              <w:cnfStyle w:val="000000010000" w:firstRow="0" w:lastRow="0" w:firstColumn="0" w:lastColumn="0" w:oddVBand="0" w:evenVBand="0" w:oddHBand="0" w:evenHBand="1" w:firstRowFirstColumn="0" w:firstRowLastColumn="0" w:lastRowFirstColumn="0" w:lastRowLastColumn="0"/>
            </w:pPr>
            <w:r w:rsidRPr="006565E9">
              <w:t>-</w:t>
            </w:r>
            <w:r w:rsidR="00CC6F8F">
              <w:t>i</w:t>
            </w:r>
            <w:r w:rsidRPr="006565E9">
              <w:t xml:space="preserve">nternal labour costs </w:t>
            </w:r>
          </w:p>
        </w:tc>
        <w:tc>
          <w:tcPr>
            <w:tcW w:w="1393" w:type="dxa"/>
            <w:tcBorders>
              <w:left w:val="nil"/>
              <w:right w:val="nil"/>
            </w:tcBorders>
            <w:vAlign w:val="top"/>
          </w:tcPr>
          <w:p w:rsidR="007757EA" w:rsidRPr="006565E9" w:rsidRDefault="00CC6F8F" w:rsidP="00BE3270">
            <w:pPr>
              <w:pStyle w:val="AERtabletext"/>
              <w:cnfStyle w:val="000000010000" w:firstRow="0" w:lastRow="0" w:firstColumn="0" w:lastColumn="0" w:oddVBand="0" w:evenVBand="0" w:oddHBand="0" w:evenHBand="1" w:firstRowFirstColumn="0" w:firstRowLastColumn="0" w:lastRowFirstColumn="0" w:lastRowLastColumn="0"/>
            </w:pPr>
            <w:r>
              <w:t>i</w:t>
            </w:r>
            <w:r w:rsidR="006B3945" w:rsidRPr="006565E9">
              <w:t>nternal labour co</w:t>
            </w:r>
            <w:r w:rsidR="00BE3270" w:rsidRPr="006565E9">
              <w:t>sts</w:t>
            </w:r>
          </w:p>
        </w:tc>
        <w:tc>
          <w:tcPr>
            <w:tcW w:w="1372" w:type="dxa"/>
            <w:tcBorders>
              <w:left w:val="nil"/>
              <w:right w:val="nil"/>
            </w:tcBorders>
            <w:vAlign w:val="top"/>
          </w:tcPr>
          <w:p w:rsidR="007757EA" w:rsidRPr="006565E9" w:rsidRDefault="00C46B90" w:rsidP="004E5192">
            <w:pPr>
              <w:pStyle w:val="AERtabletext"/>
              <w:cnfStyle w:val="000000010000" w:firstRow="0" w:lastRow="0" w:firstColumn="0" w:lastColumn="0" w:oddVBand="0" w:evenVBand="0" w:oddHBand="0" w:evenHBand="1" w:firstRowFirstColumn="0" w:firstRowLastColumn="0" w:lastRowFirstColumn="0" w:lastRowLastColumn="0"/>
            </w:pPr>
            <w:r w:rsidRPr="006565E9">
              <w:t>Confidential information</w:t>
            </w:r>
            <w:r w:rsidR="007757EA" w:rsidRPr="006565E9">
              <w:t xml:space="preserve"> </w:t>
            </w:r>
          </w:p>
        </w:tc>
        <w:tc>
          <w:tcPr>
            <w:tcW w:w="1372" w:type="dxa"/>
            <w:tcBorders>
              <w:left w:val="nil"/>
              <w:right w:val="nil"/>
            </w:tcBorders>
            <w:vAlign w:val="top"/>
          </w:tcPr>
          <w:p w:rsidR="007757EA" w:rsidRPr="006565E9" w:rsidRDefault="007757EA" w:rsidP="004E5192">
            <w:pPr>
              <w:pStyle w:val="AERtabletext"/>
              <w:cnfStyle w:val="000000010000" w:firstRow="0" w:lastRow="0" w:firstColumn="0" w:lastColumn="0" w:oddVBand="0" w:evenVBand="0" w:oddHBand="0" w:evenHBand="1" w:firstRowFirstColumn="0" w:firstRowLastColumn="0" w:lastRowFirstColumn="0" w:lastRowLastColumn="0"/>
            </w:pPr>
            <w:r w:rsidRPr="006565E9">
              <w:t>-IT system Operations and maintenance</w:t>
            </w:r>
          </w:p>
          <w:p w:rsidR="007757EA" w:rsidRPr="006565E9" w:rsidRDefault="007757EA" w:rsidP="004E5192">
            <w:pPr>
              <w:pStyle w:val="AERtabletext"/>
              <w:cnfStyle w:val="000000010000" w:firstRow="0" w:lastRow="0" w:firstColumn="0" w:lastColumn="0" w:oddVBand="0" w:evenVBand="0" w:oddHBand="0" w:evenHBand="1" w:firstRowFirstColumn="0" w:firstRowLastColumn="0" w:lastRowFirstColumn="0" w:lastRowLastColumn="0"/>
            </w:pPr>
            <w:r w:rsidRPr="006565E9">
              <w:t xml:space="preserve">-labour </w:t>
            </w:r>
          </w:p>
          <w:p w:rsidR="007757EA" w:rsidRPr="006565E9" w:rsidRDefault="007757EA" w:rsidP="004E5192">
            <w:pPr>
              <w:pStyle w:val="AERtabletext"/>
              <w:cnfStyle w:val="000000010000" w:firstRow="0" w:lastRow="0" w:firstColumn="0" w:lastColumn="0" w:oddVBand="0" w:evenVBand="0" w:oddHBand="0" w:evenHBand="1" w:firstRowFirstColumn="0" w:firstRowLastColumn="0" w:lastRowFirstColumn="0" w:lastRowLastColumn="0"/>
            </w:pPr>
            <w:r w:rsidRPr="006565E9">
              <w:t>-other costs</w:t>
            </w:r>
          </w:p>
          <w:p w:rsidR="007757EA" w:rsidRPr="006565E9" w:rsidRDefault="00CF5802" w:rsidP="004E5192">
            <w:pPr>
              <w:pStyle w:val="AERtabletext"/>
              <w:cnfStyle w:val="000000010000" w:firstRow="0" w:lastRow="0" w:firstColumn="0" w:lastColumn="0" w:oddVBand="0" w:evenVBand="0" w:oddHBand="0" w:evenHBand="1" w:firstRowFirstColumn="0" w:firstRowLastColumn="0" w:lastRowFirstColumn="0" w:lastRowLastColumn="0"/>
            </w:pPr>
            <w:r w:rsidRPr="006565E9">
              <w:t>-</w:t>
            </w:r>
            <w:r w:rsidR="007757EA" w:rsidRPr="006565E9">
              <w:t xml:space="preserve">interest  </w:t>
            </w:r>
          </w:p>
        </w:tc>
        <w:tc>
          <w:tcPr>
            <w:tcW w:w="1372" w:type="dxa"/>
            <w:tcBorders>
              <w:left w:val="nil"/>
              <w:right w:val="nil"/>
            </w:tcBorders>
            <w:vAlign w:val="top"/>
          </w:tcPr>
          <w:p w:rsidR="007757EA" w:rsidRPr="006565E9" w:rsidRDefault="007757EA" w:rsidP="004E5192">
            <w:pPr>
              <w:pStyle w:val="AERtabletext"/>
              <w:cnfStyle w:val="000000010000" w:firstRow="0" w:lastRow="0" w:firstColumn="0" w:lastColumn="0" w:oddVBand="0" w:evenVBand="0" w:oddHBand="0" w:evenHBand="1" w:firstRowFirstColumn="0" w:firstRowLastColumn="0" w:lastRowFirstColumn="0" w:lastRowLastColumn="0"/>
            </w:pPr>
            <w:r w:rsidRPr="006565E9">
              <w:t>-IT system Operations and maintenance</w:t>
            </w:r>
          </w:p>
          <w:p w:rsidR="007757EA" w:rsidRPr="006565E9" w:rsidRDefault="007757EA" w:rsidP="004E5192">
            <w:pPr>
              <w:pStyle w:val="AERtabletext"/>
              <w:cnfStyle w:val="000000010000" w:firstRow="0" w:lastRow="0" w:firstColumn="0" w:lastColumn="0" w:oddVBand="0" w:evenVBand="0" w:oddHBand="0" w:evenHBand="1" w:firstRowFirstColumn="0" w:firstRowLastColumn="0" w:lastRowFirstColumn="0" w:lastRowLastColumn="0"/>
            </w:pPr>
            <w:r w:rsidRPr="006565E9">
              <w:t xml:space="preserve">-labour </w:t>
            </w:r>
          </w:p>
          <w:p w:rsidR="007757EA" w:rsidRPr="006565E9" w:rsidRDefault="007757EA" w:rsidP="004E5192">
            <w:pPr>
              <w:pStyle w:val="AERtabletext"/>
              <w:cnfStyle w:val="000000010000" w:firstRow="0" w:lastRow="0" w:firstColumn="0" w:lastColumn="0" w:oddVBand="0" w:evenVBand="0" w:oddHBand="0" w:evenHBand="1" w:firstRowFirstColumn="0" w:firstRowLastColumn="0" w:lastRowFirstColumn="0" w:lastRowLastColumn="0"/>
            </w:pPr>
            <w:r w:rsidRPr="006565E9">
              <w:t>-other costs</w:t>
            </w:r>
          </w:p>
          <w:p w:rsidR="007757EA" w:rsidRPr="006565E9" w:rsidRDefault="007757EA" w:rsidP="004E5192">
            <w:pPr>
              <w:pStyle w:val="AERtabletext"/>
              <w:cnfStyle w:val="000000010000" w:firstRow="0" w:lastRow="0" w:firstColumn="0" w:lastColumn="0" w:oddVBand="0" w:evenVBand="0" w:oddHBand="0" w:evenHBand="1" w:firstRowFirstColumn="0" w:firstRowLastColumn="0" w:lastRowFirstColumn="0" w:lastRowLastColumn="0"/>
            </w:pPr>
            <w:r w:rsidRPr="006565E9">
              <w:t xml:space="preserve">-interest  </w:t>
            </w:r>
          </w:p>
        </w:tc>
      </w:tr>
    </w:tbl>
    <w:p w:rsidR="00F03BFC" w:rsidRPr="006565E9" w:rsidRDefault="00F03BFC" w:rsidP="007757EA">
      <w:pPr>
        <w:pStyle w:val="AERtablesource"/>
        <w:rPr>
          <w:sz w:val="20"/>
        </w:rPr>
      </w:pPr>
    </w:p>
    <w:p w:rsidR="00291592" w:rsidRPr="006565E9" w:rsidRDefault="00291592" w:rsidP="007757EA">
      <w:pPr>
        <w:pStyle w:val="AERtablesource"/>
      </w:pPr>
      <w:r w:rsidRPr="006565E9">
        <w:t xml:space="preserve">Source: </w:t>
      </w:r>
      <w:r w:rsidR="007757EA" w:rsidRPr="006565E9">
        <w:t xml:space="preserve">    </w:t>
      </w:r>
      <w:r w:rsidRPr="006565E9">
        <w:t>APA, Tax invoice</w:t>
      </w:r>
      <w:r w:rsidR="00BE3270" w:rsidRPr="006565E9">
        <w:t>s</w:t>
      </w:r>
      <w:r w:rsidRPr="006565E9">
        <w:t xml:space="preserve"> to AEMO, 24 July 201</w:t>
      </w:r>
      <w:r w:rsidR="0021211A" w:rsidRPr="006565E9">
        <w:t>3</w:t>
      </w:r>
      <w:r w:rsidRPr="006565E9">
        <w:t xml:space="preserve">; </w:t>
      </w:r>
      <w:r w:rsidR="0021211A" w:rsidRPr="006565E9">
        <w:t>Epic Energy</w:t>
      </w:r>
      <w:r w:rsidR="0071731D" w:rsidRPr="006565E9">
        <w:t>, Tax invoice to AEMO, 2</w:t>
      </w:r>
      <w:r w:rsidR="0021211A" w:rsidRPr="006565E9">
        <w:t>5</w:t>
      </w:r>
      <w:r w:rsidR="0071731D" w:rsidRPr="006565E9">
        <w:t xml:space="preserve"> July 201</w:t>
      </w:r>
      <w:r w:rsidR="0021211A" w:rsidRPr="006565E9">
        <w:t>3</w:t>
      </w:r>
      <w:r w:rsidR="0071731D" w:rsidRPr="006565E9">
        <w:t>;</w:t>
      </w:r>
      <w:r w:rsidR="0021211A" w:rsidRPr="006565E9">
        <w:t xml:space="preserve"> SEA</w:t>
      </w:r>
      <w:r w:rsidR="000E27D0" w:rsidRPr="006565E9">
        <w:t xml:space="preserve"> </w:t>
      </w:r>
      <w:r w:rsidR="0021211A" w:rsidRPr="006565E9">
        <w:t xml:space="preserve">Gas, Tax invoice to AEMO, 25 July 2013; Jemena, Tax invoice to AEMO, </w:t>
      </w:r>
      <w:r w:rsidR="000008E4">
        <w:br/>
      </w:r>
      <w:r w:rsidR="0021211A" w:rsidRPr="006565E9">
        <w:t>7 July 2013;</w:t>
      </w:r>
    </w:p>
    <w:p w:rsidR="00856EA3" w:rsidRPr="006565E9" w:rsidRDefault="00856EA3" w:rsidP="00457097">
      <w:pPr>
        <w:pStyle w:val="AERbodytext"/>
      </w:pPr>
    </w:p>
    <w:p w:rsidR="00856EA3" w:rsidRPr="006565E9" w:rsidRDefault="00856EA3" w:rsidP="00457097">
      <w:pPr>
        <w:pStyle w:val="AERbodytext"/>
      </w:pPr>
    </w:p>
    <w:p w:rsidR="00856EA3" w:rsidRPr="006565E9" w:rsidRDefault="00856EA3" w:rsidP="00457097">
      <w:pPr>
        <w:pStyle w:val="AERbodytext"/>
      </w:pPr>
    </w:p>
    <w:p w:rsidR="008E28A5" w:rsidRPr="006565E9" w:rsidRDefault="00BA2B83" w:rsidP="00BA2B83">
      <w:pPr>
        <w:pStyle w:val="AERheading1"/>
      </w:pPr>
      <w:r w:rsidRPr="006565E9">
        <w:lastRenderedPageBreak/>
        <w:t xml:space="preserve">   </w:t>
      </w:r>
      <w:bookmarkStart w:id="11" w:name="_Toc364689202"/>
      <w:r w:rsidRPr="006565E9">
        <w:t xml:space="preserve">Assessment </w:t>
      </w:r>
      <w:r w:rsidR="006601E1" w:rsidRPr="006565E9">
        <w:t>approach</w:t>
      </w:r>
      <w:bookmarkEnd w:id="11"/>
    </w:p>
    <w:p w:rsidR="004E5192" w:rsidRPr="006565E9" w:rsidRDefault="004E5192" w:rsidP="00F4306E">
      <w:pPr>
        <w:pStyle w:val="AERbodytext"/>
      </w:pPr>
      <w:r w:rsidRPr="006565E9">
        <w:t xml:space="preserve">Rule </w:t>
      </w:r>
      <w:r w:rsidR="009048D5" w:rsidRPr="006565E9">
        <w:t>424 of the NGR allows an STTM pipeline service operator to recover MOS allocation service costs from AEMO. In this process, the STTM pipeline service operator must give</w:t>
      </w:r>
      <w:r w:rsidR="00C43EF3" w:rsidRPr="006565E9">
        <w:t xml:space="preserve"> AEMO</w:t>
      </w:r>
      <w:r w:rsidR="009048D5" w:rsidRPr="006565E9">
        <w:t xml:space="preserve"> </w:t>
      </w:r>
      <w:r w:rsidR="00C43EF3" w:rsidRPr="006565E9">
        <w:t>an estimate of the</w:t>
      </w:r>
      <w:r w:rsidR="009048D5" w:rsidRPr="006565E9">
        <w:t xml:space="preserve"> MOS alloc</w:t>
      </w:r>
      <w:r w:rsidR="00C43EF3" w:rsidRPr="006565E9">
        <w:t>at</w:t>
      </w:r>
      <w:r w:rsidR="00732CDC" w:rsidRPr="006565E9">
        <w:t xml:space="preserve">ion service costs as well as a tax </w:t>
      </w:r>
      <w:r w:rsidR="00C43EF3" w:rsidRPr="006565E9">
        <w:t xml:space="preserve">invoice for the actual MOS allocation service costs incurred. </w:t>
      </w:r>
    </w:p>
    <w:p w:rsidR="0016231F" w:rsidRPr="006565E9" w:rsidRDefault="00A22AEC" w:rsidP="00F4306E">
      <w:pPr>
        <w:pStyle w:val="AERbodytext"/>
      </w:pPr>
      <w:r w:rsidRPr="006565E9">
        <w:t>Rule 425</w:t>
      </w:r>
      <w:r w:rsidR="004E5192" w:rsidRPr="006565E9">
        <w:t xml:space="preserve"> of the NGR sets </w:t>
      </w:r>
      <w:r w:rsidR="00AA2312" w:rsidRPr="006565E9">
        <w:t>out the process for assessing the actual MOS allocation service costs</w:t>
      </w:r>
      <w:r w:rsidR="004E5192" w:rsidRPr="006565E9">
        <w:t>.</w:t>
      </w:r>
      <w:r w:rsidR="00AA2312" w:rsidRPr="006565E9">
        <w:t xml:space="preserve"> In this </w:t>
      </w:r>
      <w:r w:rsidR="0016231F" w:rsidRPr="006565E9">
        <w:t xml:space="preserve">process, AEMO must publish the invoice received and allow at least 10 business days for any person to make comments on the invoice. </w:t>
      </w:r>
    </w:p>
    <w:p w:rsidR="00A22AEC" w:rsidRPr="006565E9" w:rsidRDefault="0016231F" w:rsidP="00F4306E">
      <w:pPr>
        <w:pStyle w:val="AERbodytext"/>
      </w:pPr>
      <w:r w:rsidRPr="006565E9">
        <w:t xml:space="preserve">Sub-rule 425(2) of the NGR sets out that AEMO must, within 5 business days after the end of the period, give the AER: </w:t>
      </w:r>
    </w:p>
    <w:p w:rsidR="0016231F" w:rsidRPr="006565E9" w:rsidRDefault="00A22AEC" w:rsidP="00D863DD">
      <w:pPr>
        <w:pStyle w:val="AERbulletlistfirststyle"/>
      </w:pPr>
      <w:r w:rsidRPr="006565E9">
        <w:t>a copy of the tax invoice and evidence provided to it</w:t>
      </w:r>
    </w:p>
    <w:p w:rsidR="0016231F" w:rsidRPr="006565E9" w:rsidRDefault="00A22AEC" w:rsidP="00D863DD">
      <w:pPr>
        <w:pStyle w:val="AERbulletlistfirststyle"/>
      </w:pPr>
      <w:r w:rsidRPr="006565E9">
        <w:t>a copy of any comments received; and</w:t>
      </w:r>
    </w:p>
    <w:p w:rsidR="00A22AEC" w:rsidRPr="006565E9" w:rsidRDefault="00A22AEC" w:rsidP="00D863DD">
      <w:pPr>
        <w:pStyle w:val="AERbulletlistfirststyle"/>
      </w:pPr>
      <w:r w:rsidRPr="006565E9">
        <w:t>any comment by AEMO on either the invoice or evidence received.</w:t>
      </w:r>
    </w:p>
    <w:p w:rsidR="009C79B4" w:rsidRPr="006565E9" w:rsidRDefault="00543F5F" w:rsidP="00BD1761">
      <w:pPr>
        <w:pStyle w:val="AERquoteindent2"/>
        <w:ind w:left="0" w:right="-3"/>
        <w:rPr>
          <w:color w:val="auto"/>
          <w:sz w:val="20"/>
        </w:rPr>
      </w:pPr>
      <w:r w:rsidRPr="006565E9">
        <w:rPr>
          <w:color w:val="auto"/>
          <w:sz w:val="20"/>
        </w:rPr>
        <w:t>Sub-rule 425(3) of the NGR sets out how the AER</w:t>
      </w:r>
      <w:r w:rsidR="005D12E4" w:rsidRPr="006565E9">
        <w:rPr>
          <w:color w:val="auto"/>
          <w:sz w:val="20"/>
        </w:rPr>
        <w:t xml:space="preserve"> must assess the documentations</w:t>
      </w:r>
      <w:r w:rsidR="005B1316" w:rsidRPr="006565E9">
        <w:rPr>
          <w:color w:val="auto"/>
          <w:sz w:val="20"/>
        </w:rPr>
        <w:t xml:space="preserve"> </w:t>
      </w:r>
      <w:r w:rsidRPr="006565E9">
        <w:rPr>
          <w:color w:val="auto"/>
          <w:sz w:val="20"/>
        </w:rPr>
        <w:t>from AEMO</w:t>
      </w:r>
      <w:r w:rsidR="00EF4457" w:rsidRPr="006565E9">
        <w:rPr>
          <w:color w:val="auto"/>
          <w:sz w:val="20"/>
        </w:rPr>
        <w:t xml:space="preserve"> with</w:t>
      </w:r>
      <w:r w:rsidR="006948E8" w:rsidRPr="006565E9">
        <w:rPr>
          <w:color w:val="auto"/>
          <w:sz w:val="20"/>
        </w:rPr>
        <w:t>in</w:t>
      </w:r>
      <w:r w:rsidR="00EF4457" w:rsidRPr="006565E9">
        <w:rPr>
          <w:color w:val="auto"/>
          <w:sz w:val="20"/>
        </w:rPr>
        <w:t xml:space="preserve"> 30 business days of their receipt</w:t>
      </w:r>
      <w:r w:rsidRPr="006565E9">
        <w:rPr>
          <w:color w:val="auto"/>
          <w:sz w:val="20"/>
        </w:rPr>
        <w:t xml:space="preserve">. </w:t>
      </w:r>
      <w:r w:rsidR="007C32F1" w:rsidRPr="006565E9">
        <w:rPr>
          <w:color w:val="auto"/>
          <w:sz w:val="20"/>
        </w:rPr>
        <w:t xml:space="preserve">The key provisions of this rule are extracted out below. </w:t>
      </w:r>
    </w:p>
    <w:p w:rsidR="0036523E" w:rsidRPr="006565E9" w:rsidRDefault="0036523E" w:rsidP="00827E1B">
      <w:pPr>
        <w:pStyle w:val="AERheading2"/>
        <w:tabs>
          <w:tab w:val="clear" w:pos="-357"/>
        </w:tabs>
      </w:pPr>
      <w:r w:rsidRPr="006565E9">
        <w:t xml:space="preserve">Relevant regulatory requirements </w:t>
      </w:r>
    </w:p>
    <w:p w:rsidR="0036523E" w:rsidRPr="006565E9" w:rsidRDefault="0036523E" w:rsidP="0036523E">
      <w:pPr>
        <w:pStyle w:val="AERbodytext"/>
      </w:pPr>
      <w:r w:rsidRPr="006565E9">
        <w:t xml:space="preserve">We received </w:t>
      </w:r>
      <w:r w:rsidR="00393A29" w:rsidRPr="006565E9">
        <w:t xml:space="preserve">the 2013 documents from AEMO on 14 August 2013, after the close of business at 5pm. </w:t>
      </w:r>
      <w:r w:rsidR="00F0275C" w:rsidRPr="006565E9">
        <w:t>Therefore, we applied the NGR in effect on the next business day, 15 August 2013.</w:t>
      </w:r>
      <w:r w:rsidR="00F0275C" w:rsidRPr="006565E9">
        <w:rPr>
          <w:rStyle w:val="FootnoteReference"/>
        </w:rPr>
        <w:footnoteReference w:id="4"/>
      </w:r>
      <w:r w:rsidR="00F0275C" w:rsidRPr="006565E9">
        <w:t xml:space="preserve"> </w:t>
      </w:r>
    </w:p>
    <w:p w:rsidR="00F0275C" w:rsidRPr="006565E9" w:rsidRDefault="00F0275C" w:rsidP="00F0275C">
      <w:pPr>
        <w:pStyle w:val="AERbodytext"/>
      </w:pPr>
      <w:r w:rsidRPr="006565E9">
        <w:t xml:space="preserve">Rule 364 of the NGR defines MOS allocation service costs as follows. </w:t>
      </w:r>
    </w:p>
    <w:p w:rsidR="00F0275C" w:rsidRPr="006565E9" w:rsidRDefault="00F0275C" w:rsidP="00F0275C">
      <w:pPr>
        <w:pStyle w:val="AERquote"/>
      </w:pPr>
      <w:r w:rsidRPr="006565E9">
        <w:t>MOS allocation service costs means the costs reasonably incurred by an STTM pipeline operator (including fees and expenses payable to an allocation agent) in providing a MOS allocation service to the extent that those costs:</w:t>
      </w:r>
    </w:p>
    <w:p w:rsidR="00F0275C" w:rsidRPr="006565E9" w:rsidRDefault="00F0275C" w:rsidP="00F0275C">
      <w:pPr>
        <w:pStyle w:val="AERquoteindent1"/>
      </w:pPr>
      <w:r w:rsidRPr="006565E9">
        <w:t>(a) are either:</w:t>
      </w:r>
    </w:p>
    <w:p w:rsidR="00F0275C" w:rsidRPr="006565E9" w:rsidRDefault="00F0275C" w:rsidP="00F0275C">
      <w:pPr>
        <w:pStyle w:val="AERquoteindent2"/>
      </w:pPr>
      <w:r w:rsidRPr="006565E9">
        <w:t>(i) incremental costs incurred exclusively for the provision of the MOS allocation service; or</w:t>
      </w:r>
    </w:p>
    <w:p w:rsidR="00F0275C" w:rsidRPr="006565E9" w:rsidRDefault="00F0275C" w:rsidP="00F0275C">
      <w:pPr>
        <w:pStyle w:val="AERquoteindent2"/>
      </w:pPr>
      <w:r w:rsidRPr="006565E9">
        <w:t>(ii) a proportionate share of any incremental costs reasonably attributable to the provision of the MOS allocation service; and</w:t>
      </w:r>
    </w:p>
    <w:p w:rsidR="00F0275C" w:rsidRPr="006565E9" w:rsidRDefault="00F0275C" w:rsidP="00F0275C">
      <w:pPr>
        <w:pStyle w:val="AERquoteindent1"/>
      </w:pPr>
      <w:r w:rsidRPr="006565E9">
        <w:t>(b) would not have been incurred but for the requirement to provide the MOS allocation service; and</w:t>
      </w:r>
    </w:p>
    <w:p w:rsidR="00F0275C" w:rsidRPr="006565E9" w:rsidRDefault="00F0275C" w:rsidP="00F0275C">
      <w:pPr>
        <w:pStyle w:val="AERquoteindent1"/>
      </w:pPr>
      <w:r w:rsidRPr="006565E9">
        <w:t>(c) are not offset by benefits reasonably available to the STTM pipeline operator in relation to its other activities.</w:t>
      </w:r>
    </w:p>
    <w:p w:rsidR="00F0275C" w:rsidRPr="006565E9" w:rsidRDefault="00F0275C" w:rsidP="0036523E">
      <w:pPr>
        <w:pStyle w:val="AERbodytext"/>
      </w:pPr>
      <w:r w:rsidRPr="006565E9">
        <w:t xml:space="preserve">The key clauses of the NGR relevant to this determination are set out in sub-rules 425(3) to (3C) of the NGR: </w:t>
      </w:r>
    </w:p>
    <w:p w:rsidR="00F0275C" w:rsidRPr="006565E9" w:rsidRDefault="00F0275C" w:rsidP="00F0275C">
      <w:pPr>
        <w:pStyle w:val="AERquote"/>
        <w:ind w:left="709" w:hanging="289"/>
      </w:pPr>
      <w:r w:rsidRPr="006565E9">
        <w:lastRenderedPageBreak/>
        <w:t>(3) The AER must, within 30 business days after receipt of documents under subrule (2), determine the amount payable to a STTM pipeline operator in respect of the tax invoice received under rule 424(4) by reviewing whether the costs specified in that invoice:</w:t>
      </w:r>
    </w:p>
    <w:p w:rsidR="00F0275C" w:rsidRPr="006565E9" w:rsidRDefault="00F0275C" w:rsidP="00F0275C">
      <w:pPr>
        <w:pStyle w:val="AERquote"/>
        <w:ind w:left="720"/>
      </w:pPr>
      <w:r w:rsidRPr="006565E9">
        <w:t>(a) have been incurred; and</w:t>
      </w:r>
    </w:p>
    <w:p w:rsidR="00F0275C" w:rsidRPr="006565E9" w:rsidRDefault="00F0275C" w:rsidP="00F0275C">
      <w:pPr>
        <w:pStyle w:val="AERquote"/>
        <w:ind w:left="720"/>
      </w:pPr>
      <w:r w:rsidRPr="006565E9">
        <w:t>(b) are reasonable,</w:t>
      </w:r>
    </w:p>
    <w:p w:rsidR="00F0275C" w:rsidRPr="006565E9" w:rsidRDefault="00F0275C" w:rsidP="00F0275C">
      <w:pPr>
        <w:pStyle w:val="AERquote"/>
        <w:ind w:left="720"/>
      </w:pPr>
      <w:r w:rsidRPr="006565E9">
        <w:t>having regard to:</w:t>
      </w:r>
    </w:p>
    <w:p w:rsidR="00F0275C" w:rsidRPr="006565E9" w:rsidRDefault="00F0275C" w:rsidP="00F0275C">
      <w:pPr>
        <w:pStyle w:val="AERquote"/>
        <w:ind w:left="720"/>
      </w:pPr>
      <w:r w:rsidRPr="006565E9">
        <w:t>(c) any comments received by AEMO, including objections to the payment of the invoice, under subrule (1);</w:t>
      </w:r>
    </w:p>
    <w:p w:rsidR="00F0275C" w:rsidRPr="006565E9" w:rsidRDefault="00F0275C" w:rsidP="00F0275C">
      <w:pPr>
        <w:pStyle w:val="AERquote"/>
        <w:ind w:left="720"/>
      </w:pPr>
      <w:r w:rsidRPr="006565E9">
        <w:t>(d) any comments from AEMO;</w:t>
      </w:r>
    </w:p>
    <w:p w:rsidR="00F0275C" w:rsidRPr="006565E9" w:rsidRDefault="00F0275C" w:rsidP="00F0275C">
      <w:pPr>
        <w:pStyle w:val="AERquote"/>
        <w:ind w:left="720"/>
      </w:pPr>
      <w:r w:rsidRPr="006565E9">
        <w:t>(e) any information received in accordance with a request or relevant notice issued by the AER;</w:t>
      </w:r>
    </w:p>
    <w:p w:rsidR="00F0275C" w:rsidRPr="006565E9" w:rsidRDefault="00F0275C" w:rsidP="00F0275C">
      <w:pPr>
        <w:pStyle w:val="AERquote"/>
        <w:ind w:left="720"/>
      </w:pPr>
      <w:r w:rsidRPr="006565E9">
        <w:t>(f) any other relevant information; and</w:t>
      </w:r>
    </w:p>
    <w:p w:rsidR="00F0275C" w:rsidRPr="006565E9" w:rsidRDefault="00F0275C" w:rsidP="00F0275C">
      <w:pPr>
        <w:pStyle w:val="AERquote"/>
        <w:ind w:left="720"/>
      </w:pPr>
      <w:r w:rsidRPr="006565E9">
        <w:t>(g) whether the likely costs of undertaking an assessment of the costs specified in the invoice outweigh the public benefit resulting from such assessment.</w:t>
      </w:r>
    </w:p>
    <w:p w:rsidR="00F0275C" w:rsidRPr="006565E9" w:rsidRDefault="00F0275C" w:rsidP="00F0275C">
      <w:pPr>
        <w:pStyle w:val="AERquote"/>
      </w:pPr>
      <w:r w:rsidRPr="006565E9">
        <w:t>(3A) In making a determination under subrule (3), the AER must:</w:t>
      </w:r>
    </w:p>
    <w:p w:rsidR="00F0275C" w:rsidRPr="006565E9" w:rsidRDefault="00F0275C" w:rsidP="00F0275C">
      <w:pPr>
        <w:pStyle w:val="AERquote"/>
        <w:ind w:firstLine="385"/>
      </w:pPr>
      <w:r w:rsidRPr="006565E9">
        <w:t>(a) either approve or reject the amount specified in the invoice; and</w:t>
      </w:r>
    </w:p>
    <w:p w:rsidR="00F0275C" w:rsidRPr="006565E9" w:rsidRDefault="00F0275C" w:rsidP="00BD1761">
      <w:pPr>
        <w:pStyle w:val="AERquote"/>
        <w:ind w:left="1022" w:hanging="280"/>
      </w:pPr>
      <w:r w:rsidRPr="006565E9">
        <w:t>(b) if it rejects the amount specified in the tax invoice, undertake an assessment to determine an amount payable that, in the AER's opinion, is reasonable for the MOS allocation services in respect of that invoice.</w:t>
      </w:r>
    </w:p>
    <w:p w:rsidR="00F0275C" w:rsidRPr="006565E9" w:rsidRDefault="00F0275C" w:rsidP="00F0275C">
      <w:pPr>
        <w:pStyle w:val="AERquote"/>
      </w:pPr>
      <w:r w:rsidRPr="006565E9">
        <w:t>(3B) The AER must publish the reasons for its determination under subrule (3).</w:t>
      </w:r>
    </w:p>
    <w:p w:rsidR="00A22AEC" w:rsidRPr="006565E9" w:rsidRDefault="00F0275C" w:rsidP="003A5E27">
      <w:pPr>
        <w:pStyle w:val="AERquote"/>
        <w:ind w:left="742" w:hanging="385"/>
      </w:pPr>
      <w:r w:rsidRPr="006565E9">
        <w:t>(3C) In relation to the time limits fixed in subrule (3), any period taken by a person to provide information to the AER pursuant to a notice or request issued under subrule (3)(f) is to be disregarded for the purposes of calculating elapsed time.</w:t>
      </w:r>
    </w:p>
    <w:p w:rsidR="006601E1" w:rsidRPr="006565E9" w:rsidRDefault="006601E1" w:rsidP="006601E1">
      <w:pPr>
        <w:pStyle w:val="AERheading2"/>
      </w:pPr>
      <w:bookmarkStart w:id="12" w:name="_Toc364689204"/>
      <w:r w:rsidRPr="006565E9">
        <w:t>What we considered in making this determination</w:t>
      </w:r>
      <w:bookmarkEnd w:id="12"/>
      <w:r w:rsidRPr="006565E9">
        <w:t xml:space="preserve"> </w:t>
      </w:r>
    </w:p>
    <w:p w:rsidR="0010385C" w:rsidRPr="006565E9" w:rsidRDefault="0010385C" w:rsidP="0010385C">
      <w:pPr>
        <w:pStyle w:val="AERbodytext"/>
      </w:pPr>
      <w:r w:rsidRPr="006565E9">
        <w:t>The AER's determination has been made in accordance with rule 425</w:t>
      </w:r>
      <w:r w:rsidR="00C74846" w:rsidRPr="006565E9">
        <w:t>(3)</w:t>
      </w:r>
      <w:r w:rsidRPr="006565E9">
        <w:t xml:space="preserve"> of the NGR.</w:t>
      </w:r>
    </w:p>
    <w:p w:rsidR="006329DB" w:rsidRDefault="00E91640" w:rsidP="00E91640">
      <w:pPr>
        <w:pStyle w:val="AERbodytext"/>
      </w:pPr>
      <w:r w:rsidRPr="006565E9">
        <w:t>In making the determination, we reviewed the 2013 documents from AEMO to assess whether the proposed MOS allocation service costs have been incurred and are reasonable. In this process, we reviewed the activities described for each expenditure category and the methodologies used to arrive at the expenditures. This enabled us to determine whether the proposed costs satisfy the definition of MOS allocation service costs as set out in rule 364 of the NGR.</w:t>
      </w:r>
      <w:r w:rsidR="005200C8">
        <w:t xml:space="preserve"> </w:t>
      </w:r>
      <w:r w:rsidR="00D909EA">
        <w:t>T</w:t>
      </w:r>
      <w:r w:rsidR="00344F06">
        <w:t xml:space="preserve">o </w:t>
      </w:r>
      <w:r w:rsidR="00D909EA">
        <w:t>satisfy</w:t>
      </w:r>
      <w:r w:rsidR="00344F06">
        <w:t xml:space="preserve"> the</w:t>
      </w:r>
      <w:r w:rsidR="005200C8">
        <w:t xml:space="preserve"> definition of MOS allocation service costs</w:t>
      </w:r>
      <w:r w:rsidR="00D909EA">
        <w:t>, the following conditions should be met</w:t>
      </w:r>
      <w:r w:rsidR="005200C8">
        <w:t xml:space="preserve">: </w:t>
      </w:r>
    </w:p>
    <w:p w:rsidR="00D909EA" w:rsidRDefault="006329DB" w:rsidP="003D5750">
      <w:pPr>
        <w:pStyle w:val="AERbulletlistfirststyle"/>
      </w:pPr>
      <w:r>
        <w:t xml:space="preserve">the costs claimed must be either </w:t>
      </w:r>
    </w:p>
    <w:p w:rsidR="005200C8" w:rsidRDefault="006329DB" w:rsidP="003D5750">
      <w:pPr>
        <w:pStyle w:val="AERbulletlistsecondstyle"/>
      </w:pPr>
      <w:r>
        <w:t>incremental costs incurred exclusively for the provision of MOS allocation service</w:t>
      </w:r>
      <w:r w:rsidR="00E671CC">
        <w:t>, which would not have been incurred but for the requirement to provide the MOS allocation service</w:t>
      </w:r>
      <w:r w:rsidR="00D909EA">
        <w:t>.  (A</w:t>
      </w:r>
      <w:r w:rsidR="005200C8">
        <w:t>n example of cost claims</w:t>
      </w:r>
      <w:r w:rsidR="00D57F6B">
        <w:t xml:space="preserve"> the AER considers to be reasonable</w:t>
      </w:r>
      <w:r w:rsidR="005200C8">
        <w:t xml:space="preserve"> </w:t>
      </w:r>
      <w:r w:rsidR="00D57F6B">
        <w:t xml:space="preserve">under this category </w:t>
      </w:r>
      <w:r w:rsidR="00CF3635">
        <w:t>may relate</w:t>
      </w:r>
      <w:r w:rsidR="00D57F6B">
        <w:t xml:space="preserve"> to </w:t>
      </w:r>
      <w:r w:rsidR="005200C8">
        <w:t>legal costs incurred to incorporate the MOS allocations service in shipper agreements</w:t>
      </w:r>
      <w:r w:rsidR="00D909EA">
        <w:t>)</w:t>
      </w:r>
      <w:r w:rsidR="005200C8">
        <w:t>;</w:t>
      </w:r>
    </w:p>
    <w:p w:rsidR="006329DB" w:rsidRDefault="005200C8" w:rsidP="003D5750">
      <w:pPr>
        <w:pStyle w:val="AERbulletlistsecondstyle"/>
      </w:pPr>
      <w:r>
        <w:t xml:space="preserve">or </w:t>
      </w:r>
      <w:r w:rsidR="00CF3635">
        <w:t>costs</w:t>
      </w:r>
      <w:r w:rsidR="003D5750">
        <w:t xml:space="preserve"> claimed</w:t>
      </w:r>
      <w:r w:rsidR="00CF3635">
        <w:t xml:space="preserve"> </w:t>
      </w:r>
      <w:r w:rsidR="00E671CC">
        <w:t xml:space="preserve">must be </w:t>
      </w:r>
      <w:r w:rsidR="006329DB">
        <w:t>a proportionate share of any incremental costs reasonably attributable to the MOS allocation service</w:t>
      </w:r>
      <w:r w:rsidR="00E671CC">
        <w:t>, which would not have been required but for the requirement to provide the MOS allocation service</w:t>
      </w:r>
      <w:r w:rsidR="00D909EA">
        <w:t>. (A</w:t>
      </w:r>
      <w:r w:rsidR="00E671CC">
        <w:t xml:space="preserve">n example </w:t>
      </w:r>
      <w:r w:rsidR="00D57F6B">
        <w:t xml:space="preserve">of cost claims </w:t>
      </w:r>
      <w:r w:rsidR="00D57F6B">
        <w:lastRenderedPageBreak/>
        <w:t xml:space="preserve">the AER considers to be reasonable under this category </w:t>
      </w:r>
      <w:r w:rsidR="00E671CC">
        <w:t xml:space="preserve">may </w:t>
      </w:r>
      <w:r w:rsidR="00D57F6B">
        <w:t xml:space="preserve">relate to </w:t>
      </w:r>
      <w:r w:rsidR="00E671CC">
        <w:t>enhancements to IT systems</w:t>
      </w:r>
      <w:r w:rsidR="00D57F6B">
        <w:t xml:space="preserve"> that enable the provision of MOS allocation service</w:t>
      </w:r>
      <w:r w:rsidR="00D909EA">
        <w:t>)</w:t>
      </w:r>
      <w:r w:rsidR="00E671CC">
        <w:t xml:space="preserve">; </w:t>
      </w:r>
    </w:p>
    <w:p w:rsidR="00E671CC" w:rsidRDefault="005200C8" w:rsidP="00344C07">
      <w:pPr>
        <w:pStyle w:val="AERbulletlistfirststyle"/>
      </w:pPr>
      <w:r>
        <w:t xml:space="preserve">and </w:t>
      </w:r>
      <w:r w:rsidR="00E671CC">
        <w:t xml:space="preserve">the costs are not offset by benefits reasonably available to the STTM pipeline operator in relation to its other activities. </w:t>
      </w:r>
    </w:p>
    <w:p w:rsidR="00E91640" w:rsidRPr="006565E9" w:rsidRDefault="00E91640" w:rsidP="00E91640">
      <w:pPr>
        <w:pStyle w:val="AERbodytext"/>
      </w:pPr>
      <w:r w:rsidRPr="006565E9">
        <w:t xml:space="preserve">In making the determination, we </w:t>
      </w:r>
      <w:r w:rsidR="00BD1761" w:rsidRPr="006565E9">
        <w:t>took into account</w:t>
      </w:r>
      <w:r w:rsidRPr="006565E9">
        <w:t xml:space="preserve">: </w:t>
      </w:r>
    </w:p>
    <w:p w:rsidR="00E91640" w:rsidRPr="006565E9" w:rsidRDefault="00E91640" w:rsidP="00BD1761">
      <w:pPr>
        <w:pStyle w:val="AERbodytext"/>
        <w:numPr>
          <w:ilvl w:val="0"/>
          <w:numId w:val="40"/>
        </w:numPr>
      </w:pPr>
      <w:r w:rsidRPr="006565E9">
        <w:t>AEMO advi</w:t>
      </w:r>
      <w:r w:rsidR="00BD1761" w:rsidRPr="006565E9">
        <w:t>c</w:t>
      </w:r>
      <w:r w:rsidRPr="006565E9">
        <w:t xml:space="preserve">e that it </w:t>
      </w:r>
      <w:r w:rsidR="00BD1761" w:rsidRPr="006565E9">
        <w:t>did not receive</w:t>
      </w:r>
      <w:r w:rsidRPr="006565E9">
        <w:t xml:space="preserve"> any comments</w:t>
      </w:r>
      <w:r w:rsidR="00BD1761" w:rsidRPr="006565E9">
        <w:t xml:space="preserve"> or </w:t>
      </w:r>
      <w:r w:rsidRPr="006565E9">
        <w:t xml:space="preserve">objections to the 2013 invoices </w:t>
      </w:r>
      <w:r w:rsidR="00BD1761" w:rsidRPr="006565E9">
        <w:t>following their publication on the AEMO website</w:t>
      </w:r>
      <w:r w:rsidRPr="006565E9">
        <w:t>;</w:t>
      </w:r>
      <w:r w:rsidRPr="006565E9">
        <w:rPr>
          <w:rStyle w:val="FootnoteReference"/>
        </w:rPr>
        <w:footnoteReference w:id="5"/>
      </w:r>
      <w:r w:rsidRPr="006565E9">
        <w:t xml:space="preserve"> </w:t>
      </w:r>
    </w:p>
    <w:p w:rsidR="00E91640" w:rsidRPr="006565E9" w:rsidRDefault="00BD1761" w:rsidP="00E91640">
      <w:pPr>
        <w:pStyle w:val="AERbodytext"/>
        <w:numPr>
          <w:ilvl w:val="0"/>
          <w:numId w:val="40"/>
        </w:numPr>
      </w:pPr>
      <w:r w:rsidRPr="006565E9">
        <w:t>t</w:t>
      </w:r>
      <w:r w:rsidR="00E91640" w:rsidRPr="006565E9">
        <w:t xml:space="preserve">he expenditure categories and expenditure rates submitted for the 2012 tax invoices to gauge whether the proposed 2013 expenditures are reasonable;  </w:t>
      </w:r>
    </w:p>
    <w:p w:rsidR="00122784" w:rsidRDefault="00E91640" w:rsidP="00253778">
      <w:pPr>
        <w:pStyle w:val="AERbodytext"/>
        <w:numPr>
          <w:ilvl w:val="0"/>
          <w:numId w:val="40"/>
        </w:numPr>
      </w:pPr>
      <w:r w:rsidRPr="006565E9">
        <w:t xml:space="preserve">the estimated 2012–13 MOS allocation service costs </w:t>
      </w:r>
      <w:r w:rsidR="00BD1761" w:rsidRPr="006565E9">
        <w:t>and the 2011</w:t>
      </w:r>
      <w:r w:rsidR="00253778">
        <w:t>–</w:t>
      </w:r>
      <w:r w:rsidR="00BD1761" w:rsidRPr="006565E9">
        <w:t>12 MOS allocation costs on which the AER previously advised AEMO</w:t>
      </w:r>
      <w:r w:rsidRPr="006565E9">
        <w:t>;</w:t>
      </w:r>
    </w:p>
    <w:p w:rsidR="00E91640" w:rsidRPr="006565E9" w:rsidRDefault="00122784" w:rsidP="00253778">
      <w:pPr>
        <w:pStyle w:val="AERbodytext"/>
        <w:numPr>
          <w:ilvl w:val="0"/>
          <w:numId w:val="40"/>
        </w:numPr>
      </w:pPr>
      <w:r>
        <w:t>Epic</w:t>
      </w:r>
      <w:r w:rsidR="0021667F">
        <w:t xml:space="preserve"> Energy</w:t>
      </w:r>
      <w:r>
        <w:t>’s response to our 23 August 2013 information request in relation to the breakdown of its 2013 MOS invoice;</w:t>
      </w:r>
      <w:r w:rsidR="0021667F" w:rsidRPr="0021667F">
        <w:rPr>
          <w:rStyle w:val="FootnoteReference"/>
        </w:rPr>
        <w:t xml:space="preserve"> </w:t>
      </w:r>
      <w:r w:rsidR="0021667F">
        <w:rPr>
          <w:rStyle w:val="FootnoteReference"/>
        </w:rPr>
        <w:footnoteReference w:id="6"/>
      </w:r>
      <w:r>
        <w:t xml:space="preserve"> and</w:t>
      </w:r>
      <w:r w:rsidR="00E91640" w:rsidRPr="006565E9">
        <w:t xml:space="preserve"> </w:t>
      </w:r>
    </w:p>
    <w:p w:rsidR="00E91640" w:rsidRPr="006565E9" w:rsidRDefault="00BD1761" w:rsidP="00E91640">
      <w:pPr>
        <w:pStyle w:val="AERbodytext"/>
        <w:numPr>
          <w:ilvl w:val="0"/>
          <w:numId w:val="40"/>
        </w:numPr>
      </w:pPr>
      <w:r w:rsidRPr="006565E9">
        <w:t xml:space="preserve">whether </w:t>
      </w:r>
      <w:r w:rsidR="00E91640" w:rsidRPr="006565E9">
        <w:t xml:space="preserve">the </w:t>
      </w:r>
      <w:r w:rsidR="00547F6D">
        <w:t xml:space="preserve">likely </w:t>
      </w:r>
      <w:r w:rsidR="00E91640" w:rsidRPr="006565E9">
        <w:t>cost</w:t>
      </w:r>
      <w:r w:rsidR="00547F6D">
        <w:t>s</w:t>
      </w:r>
      <w:r w:rsidR="00E91640" w:rsidRPr="006565E9">
        <w:t xml:space="preserve"> of undertaking an assessment of costs specified in the invoice would outweigh the public benefit resulting from such assessment. </w:t>
      </w:r>
    </w:p>
    <w:p w:rsidR="00E91640" w:rsidRPr="006565E9" w:rsidRDefault="00E91640" w:rsidP="00E91640">
      <w:pPr>
        <w:pStyle w:val="AERbodytext"/>
      </w:pPr>
    </w:p>
    <w:p w:rsidR="00E91640" w:rsidRPr="006565E9" w:rsidRDefault="00E91640" w:rsidP="00E91640">
      <w:pPr>
        <w:pStyle w:val="AERbodytext"/>
      </w:pPr>
    </w:p>
    <w:p w:rsidR="006601E1" w:rsidRPr="006565E9" w:rsidRDefault="006601E1" w:rsidP="006601E1">
      <w:pPr>
        <w:pStyle w:val="AERheading1"/>
      </w:pPr>
      <w:r w:rsidRPr="006565E9">
        <w:lastRenderedPageBreak/>
        <w:t xml:space="preserve">  </w:t>
      </w:r>
      <w:bookmarkStart w:id="13" w:name="_Toc364689205"/>
      <w:r w:rsidR="00D65CFC" w:rsidRPr="006565E9">
        <w:t xml:space="preserve"> </w:t>
      </w:r>
      <w:r w:rsidRPr="006565E9">
        <w:t>Reasons for determination</w:t>
      </w:r>
      <w:bookmarkEnd w:id="13"/>
      <w:r w:rsidRPr="006565E9">
        <w:t xml:space="preserve"> </w:t>
      </w:r>
    </w:p>
    <w:p w:rsidR="003A5E27" w:rsidRPr="006565E9" w:rsidRDefault="00D65CFC" w:rsidP="00827E1B">
      <w:pPr>
        <w:pStyle w:val="AERbodytext"/>
      </w:pPr>
      <w:r w:rsidRPr="006565E9">
        <w:t>Following its assessment</w:t>
      </w:r>
      <w:r w:rsidR="002318B9" w:rsidRPr="006565E9">
        <w:t>, the AER approved the MOS allocation service cost</w:t>
      </w:r>
      <w:r w:rsidR="003A5E27" w:rsidRPr="006565E9">
        <w:t>s</w:t>
      </w:r>
      <w:r w:rsidR="002318B9" w:rsidRPr="006565E9">
        <w:t xml:space="preserve"> </w:t>
      </w:r>
      <w:r w:rsidR="003A5E27" w:rsidRPr="006565E9">
        <w:t xml:space="preserve">for the </w:t>
      </w:r>
      <w:r w:rsidR="00253778">
        <w:br/>
      </w:r>
      <w:r w:rsidR="003A5E27" w:rsidRPr="006565E9">
        <w:t xml:space="preserve">2012–13 financial year as </w:t>
      </w:r>
      <w:r w:rsidR="002318B9" w:rsidRPr="006565E9">
        <w:t xml:space="preserve">specified </w:t>
      </w:r>
      <w:r w:rsidR="003A5E27" w:rsidRPr="006565E9">
        <w:t xml:space="preserve">in the </w:t>
      </w:r>
      <w:r w:rsidR="00732CDC" w:rsidRPr="006565E9">
        <w:t xml:space="preserve">tax </w:t>
      </w:r>
      <w:r w:rsidR="003A5E27" w:rsidRPr="006565E9">
        <w:t xml:space="preserve">invoices from the </w:t>
      </w:r>
      <w:r w:rsidR="002318B9" w:rsidRPr="006565E9">
        <w:t>following STTM pipeline operators. Therefore, the AER determined these amounts to be the MOS allocation service costs AEMO is payable to each STTM pipeline operator</w:t>
      </w:r>
      <w:r w:rsidR="003A5E27" w:rsidRPr="006565E9">
        <w:t xml:space="preserve"> for</w:t>
      </w:r>
      <w:r w:rsidR="00701C92" w:rsidRPr="006565E9">
        <w:t xml:space="preserve"> the </w:t>
      </w:r>
      <w:r w:rsidR="008239EE" w:rsidRPr="006565E9">
        <w:t>financial year 2012</w:t>
      </w:r>
      <w:r w:rsidR="00C81170" w:rsidRPr="006565E9">
        <w:t>–</w:t>
      </w:r>
      <w:r w:rsidR="008239EE" w:rsidRPr="006565E9">
        <w:t>13</w:t>
      </w:r>
      <w:r w:rsidR="002318B9" w:rsidRPr="006565E9">
        <w:t xml:space="preserve">. </w:t>
      </w:r>
      <w:r w:rsidR="003A5E27" w:rsidRPr="006565E9">
        <w:t>Our reasons for this determination are set out below.</w:t>
      </w:r>
    </w:p>
    <w:p w:rsidR="00F65743" w:rsidRPr="006565E9" w:rsidRDefault="00F65743" w:rsidP="00F65743">
      <w:pPr>
        <w:pStyle w:val="AERheading2"/>
      </w:pPr>
      <w:r w:rsidRPr="006565E9">
        <w:t xml:space="preserve">Timing of application </w:t>
      </w:r>
    </w:p>
    <w:p w:rsidR="00520040" w:rsidRPr="006565E9" w:rsidRDefault="00672E16" w:rsidP="00672E16">
      <w:pPr>
        <w:pStyle w:val="AERbodytext"/>
      </w:pPr>
      <w:r w:rsidRPr="006565E9">
        <w:t xml:space="preserve">On 14 August 2013, AEMO provided </w:t>
      </w:r>
      <w:r w:rsidR="00755FD0" w:rsidRPr="006565E9">
        <w:t>the AER</w:t>
      </w:r>
      <w:r w:rsidRPr="006565E9">
        <w:t xml:space="preserve"> with</w:t>
      </w:r>
      <w:r w:rsidR="00732CDC" w:rsidRPr="006565E9">
        <w:t xml:space="preserve"> tax</w:t>
      </w:r>
      <w:r w:rsidRPr="006565E9">
        <w:t xml:space="preserve"> invoices and </w:t>
      </w:r>
      <w:r w:rsidR="00755FD0" w:rsidRPr="006565E9">
        <w:t xml:space="preserve">evidence </w:t>
      </w:r>
      <w:r w:rsidRPr="006565E9">
        <w:t xml:space="preserve">for MOS allocation service costs </w:t>
      </w:r>
      <w:r w:rsidR="00755FD0" w:rsidRPr="006565E9">
        <w:t>for the 2012</w:t>
      </w:r>
      <w:r w:rsidR="0095525A" w:rsidRPr="006565E9">
        <w:t>–</w:t>
      </w:r>
      <w:r w:rsidR="00755FD0" w:rsidRPr="006565E9">
        <w:t>13 financial year provided to it by STTM pipeline operators under sub-rules 424(1)(b) and (1A)(b) of the NGR</w:t>
      </w:r>
      <w:r w:rsidRPr="006565E9">
        <w:t>.</w:t>
      </w:r>
      <w:r w:rsidR="0053357A" w:rsidRPr="006565E9">
        <w:rPr>
          <w:rStyle w:val="FootnoteReference"/>
        </w:rPr>
        <w:footnoteReference w:id="7"/>
      </w:r>
      <w:r w:rsidR="00755FD0" w:rsidRPr="006565E9">
        <w:t xml:space="preserve"> </w:t>
      </w:r>
      <w:r w:rsidR="00520040" w:rsidRPr="006565E9">
        <w:t xml:space="preserve">This was two days after the end of AEMO’s public consultation on 2013 invoices, on 12 August 2013. </w:t>
      </w:r>
      <w:r w:rsidR="00755FD0" w:rsidRPr="006565E9">
        <w:t>W</w:t>
      </w:r>
      <w:r w:rsidR="00520040" w:rsidRPr="006565E9">
        <w:t>e are satisfied that AEMO</w:t>
      </w:r>
      <w:r w:rsidR="0095525A" w:rsidRPr="006565E9">
        <w:t xml:space="preserve"> made the </w:t>
      </w:r>
      <w:r w:rsidR="00755FD0" w:rsidRPr="006565E9">
        <w:t xml:space="preserve">submission </w:t>
      </w:r>
      <w:r w:rsidR="00520040" w:rsidRPr="006565E9">
        <w:t>within five business days of</w:t>
      </w:r>
      <w:r w:rsidR="00755FD0" w:rsidRPr="006565E9">
        <w:t xml:space="preserve"> the </w:t>
      </w:r>
      <w:r w:rsidR="0095525A" w:rsidRPr="006565E9">
        <w:t xml:space="preserve">end of its public consultation. </w:t>
      </w:r>
      <w:r w:rsidR="00755FD0" w:rsidRPr="006565E9">
        <w:t xml:space="preserve">Therefore, AEMO’s submission meets the sub-rule 425(2) requirement. </w:t>
      </w:r>
    </w:p>
    <w:p w:rsidR="00C47D12" w:rsidRPr="006565E9" w:rsidRDefault="00C47D12" w:rsidP="006601E1">
      <w:pPr>
        <w:pStyle w:val="AERheading2"/>
      </w:pPr>
      <w:bookmarkStart w:id="14" w:name="_Toc364689206"/>
      <w:r w:rsidRPr="006565E9">
        <w:t xml:space="preserve">Matters in sub-rule 425(2) </w:t>
      </w:r>
    </w:p>
    <w:p w:rsidR="00C47D12" w:rsidRPr="006565E9" w:rsidRDefault="00C47D12" w:rsidP="00C47D12">
      <w:pPr>
        <w:pStyle w:val="AERbodytext"/>
      </w:pPr>
      <w:r w:rsidRPr="006565E9">
        <w:t xml:space="preserve">AEMO’s 14 August 2013 submission specified the matters listed in sub-rule 425(2) of the NGR, including that it did not object to the </w:t>
      </w:r>
      <w:r w:rsidR="00732CDC" w:rsidRPr="006565E9">
        <w:t xml:space="preserve">tax </w:t>
      </w:r>
      <w:r w:rsidRPr="006565E9">
        <w:t>invoice</w:t>
      </w:r>
      <w:r w:rsidR="00732CDC" w:rsidRPr="006565E9">
        <w:t>s</w:t>
      </w:r>
      <w:r w:rsidRPr="006565E9">
        <w:t xml:space="preserve"> and had not received comments </w:t>
      </w:r>
      <w:r w:rsidR="00E31513" w:rsidRPr="006565E9">
        <w:t>on the</w:t>
      </w:r>
      <w:r w:rsidRPr="006565E9">
        <w:t xml:space="preserve"> invoices</w:t>
      </w:r>
      <w:r w:rsidR="00E31513" w:rsidRPr="006565E9">
        <w:t xml:space="preserve"> through its consultation process.</w:t>
      </w:r>
      <w:r w:rsidR="00E31513" w:rsidRPr="006565E9">
        <w:rPr>
          <w:rStyle w:val="FootnoteReference"/>
        </w:rPr>
        <w:footnoteReference w:id="8"/>
      </w:r>
    </w:p>
    <w:p w:rsidR="00740CF7" w:rsidRPr="006565E9" w:rsidRDefault="00C47D12" w:rsidP="00740CF7">
      <w:pPr>
        <w:pStyle w:val="AERheading2"/>
      </w:pPr>
      <w:r w:rsidRPr="006565E9">
        <w:t xml:space="preserve">Whether costs have been incurred and are reasonable </w:t>
      </w:r>
    </w:p>
    <w:bookmarkEnd w:id="14"/>
    <w:p w:rsidR="008D23AE" w:rsidRPr="006565E9" w:rsidRDefault="008D23AE" w:rsidP="008D23AE">
      <w:pPr>
        <w:pStyle w:val="AERheading3"/>
      </w:pPr>
      <w:r w:rsidRPr="006565E9">
        <w:t>APA</w:t>
      </w:r>
      <w:r w:rsidR="00494C54" w:rsidRPr="006565E9">
        <w:t xml:space="preserve"> Group</w:t>
      </w:r>
      <w:r w:rsidRPr="006565E9">
        <w:t xml:space="preserve"> –Moomba to Sydney Pipeline</w:t>
      </w:r>
      <w:r w:rsidR="00C44C27" w:rsidRPr="006565E9">
        <w:t xml:space="preserve"> and Roma to Brisbane Pipeline</w:t>
      </w:r>
      <w:r w:rsidRPr="006565E9">
        <w:t xml:space="preserve"> </w:t>
      </w:r>
    </w:p>
    <w:p w:rsidR="00DE4F9D" w:rsidRPr="006565E9" w:rsidRDefault="00934069" w:rsidP="00DE4F9D">
      <w:pPr>
        <w:pStyle w:val="AERbodytext"/>
      </w:pPr>
      <w:r w:rsidRPr="006565E9">
        <w:t xml:space="preserve">In the </w:t>
      </w:r>
      <w:r w:rsidR="008239EE" w:rsidRPr="006565E9">
        <w:t>financial year 2012</w:t>
      </w:r>
      <w:r w:rsidR="00C81170" w:rsidRPr="006565E9">
        <w:t>–</w:t>
      </w:r>
      <w:r w:rsidR="008239EE" w:rsidRPr="006565E9">
        <w:t>13</w:t>
      </w:r>
      <w:r w:rsidRPr="006565E9">
        <w:t xml:space="preserve">, APA Group </w:t>
      </w:r>
      <w:r w:rsidR="00920BA6" w:rsidRPr="006565E9">
        <w:t>sought to claim</w:t>
      </w:r>
      <w:r w:rsidR="00D977D2" w:rsidRPr="006565E9">
        <w:t xml:space="preserve"> </w:t>
      </w:r>
      <w:r w:rsidR="00920BA6" w:rsidRPr="006565E9">
        <w:t>$72,590.00 (excluding GST) in MOS allocation service costs for the MSP</w:t>
      </w:r>
      <w:r w:rsidR="00C44C27" w:rsidRPr="006565E9">
        <w:t xml:space="preserve"> and $73,416.08 (excluding GST) in MOS allocation service costs for the RBP</w:t>
      </w:r>
      <w:r w:rsidR="00920BA6" w:rsidRPr="006565E9">
        <w:t xml:space="preserve">. </w:t>
      </w:r>
      <w:r w:rsidR="00DE4F9D" w:rsidRPr="006565E9">
        <w:t xml:space="preserve">APA Group also confirmed in signed letters to AEMO that its invoices for MOS allocation service costs have been incurred for the MSP and the RBP for the </w:t>
      </w:r>
      <w:r w:rsidR="008239EE" w:rsidRPr="006565E9">
        <w:t>financial year 2012</w:t>
      </w:r>
      <w:r w:rsidR="00C81170" w:rsidRPr="006565E9">
        <w:t>–</w:t>
      </w:r>
      <w:r w:rsidR="008239EE" w:rsidRPr="006565E9">
        <w:t>13</w:t>
      </w:r>
      <w:r w:rsidR="00DE4F9D" w:rsidRPr="006565E9">
        <w:t>.</w:t>
      </w:r>
      <w:r w:rsidR="00DE4F9D" w:rsidRPr="006565E9">
        <w:rPr>
          <w:rStyle w:val="FootnoteReference"/>
        </w:rPr>
        <w:footnoteReference w:id="9"/>
      </w:r>
      <w:r w:rsidR="00DE4F9D" w:rsidRPr="006565E9">
        <w:t xml:space="preserve"> Based on the information provided, we consider that the costs specified in APA Group’s 2013 invoices have been incurred for MOS allocation services for the MSP and the RBP.  </w:t>
      </w:r>
    </w:p>
    <w:p w:rsidR="00DE4F9D" w:rsidRPr="006565E9" w:rsidRDefault="00BF4EC0" w:rsidP="00BF4EC0">
      <w:pPr>
        <w:pStyle w:val="AERbodytext"/>
      </w:pPr>
      <w:r w:rsidRPr="006565E9">
        <w:t xml:space="preserve">APA Group </w:t>
      </w:r>
      <w:r w:rsidR="00F50737" w:rsidRPr="006565E9">
        <w:t>applied the same methodologies</w:t>
      </w:r>
      <w:r w:rsidR="00DE4F9D" w:rsidRPr="006565E9">
        <w:t xml:space="preserve"> </w:t>
      </w:r>
      <w:r w:rsidR="00C5598B" w:rsidRPr="006565E9">
        <w:t xml:space="preserve">to calculate MOS allocation costs </w:t>
      </w:r>
      <w:r w:rsidR="00C44C27" w:rsidRPr="006565E9">
        <w:t>for the MSP and th</w:t>
      </w:r>
      <w:r w:rsidR="00F13060" w:rsidRPr="006565E9">
        <w:t>e RBP. APA Group categorised each</w:t>
      </w:r>
      <w:r w:rsidRPr="006565E9">
        <w:t xml:space="preserve"> cost claim</w:t>
      </w:r>
      <w:r w:rsidR="00C44C27" w:rsidRPr="006565E9">
        <w:t xml:space="preserve"> into the following:</w:t>
      </w:r>
      <w:r w:rsidRPr="006565E9">
        <w:t xml:space="preserve"> IT System ope</w:t>
      </w:r>
      <w:r w:rsidR="00416837" w:rsidRPr="006565E9">
        <w:t xml:space="preserve">ration and maintenance, labour </w:t>
      </w:r>
      <w:r w:rsidRPr="006565E9">
        <w:t>and other costs</w:t>
      </w:r>
      <w:r w:rsidR="00416837" w:rsidRPr="006565E9">
        <w:t>, and interest</w:t>
      </w:r>
      <w:r w:rsidRPr="006565E9">
        <w:t>.</w:t>
      </w:r>
      <w:r w:rsidRPr="006565E9">
        <w:rPr>
          <w:rStyle w:val="FootnoteReference"/>
        </w:rPr>
        <w:footnoteReference w:id="10"/>
      </w:r>
      <w:r w:rsidRPr="006565E9">
        <w:t xml:space="preserve"> </w:t>
      </w:r>
      <w:r w:rsidR="009B0585" w:rsidRPr="006565E9">
        <w:t xml:space="preserve">APA Group </w:t>
      </w:r>
      <w:r w:rsidR="00364BE6" w:rsidRPr="006565E9">
        <w:t>provided the</w:t>
      </w:r>
      <w:r w:rsidR="00F13060" w:rsidRPr="006565E9">
        <w:t xml:space="preserve"> </w:t>
      </w:r>
      <w:r w:rsidR="00F50737" w:rsidRPr="006565E9">
        <w:t xml:space="preserve">methodologies </w:t>
      </w:r>
      <w:r w:rsidR="009B0585" w:rsidRPr="006565E9">
        <w:t xml:space="preserve">behind </w:t>
      </w:r>
      <w:r w:rsidR="00C44C27" w:rsidRPr="006565E9">
        <w:t xml:space="preserve">each cost category </w:t>
      </w:r>
      <w:r w:rsidR="00364BE6" w:rsidRPr="006565E9">
        <w:t xml:space="preserve">but has claimed this information to be confidential. Our </w:t>
      </w:r>
      <w:r w:rsidR="00234A36" w:rsidRPr="006565E9">
        <w:t>review</w:t>
      </w:r>
      <w:r w:rsidR="00364BE6" w:rsidRPr="006565E9">
        <w:t xml:space="preserve"> of this confidential information is </w:t>
      </w:r>
      <w:r w:rsidR="00C44C27" w:rsidRPr="006565E9">
        <w:t>set out</w:t>
      </w:r>
      <w:r w:rsidR="00364BE6" w:rsidRPr="006565E9">
        <w:t xml:space="preserve"> at Appendix A to this determination. </w:t>
      </w:r>
    </w:p>
    <w:p w:rsidR="00B77BB6" w:rsidRPr="006565E9" w:rsidRDefault="00D46CFD" w:rsidP="00B77BB6">
      <w:pPr>
        <w:pStyle w:val="AERbodytext"/>
      </w:pPr>
      <w:r w:rsidRPr="006565E9">
        <w:lastRenderedPageBreak/>
        <w:t>Based on our assessment</w:t>
      </w:r>
      <w:r w:rsidR="00C5598B" w:rsidRPr="006565E9">
        <w:t xml:space="preserve"> in Appendix A</w:t>
      </w:r>
      <w:r w:rsidRPr="006565E9">
        <w:t>,</w:t>
      </w:r>
      <w:r w:rsidR="00C5598B" w:rsidRPr="006565E9">
        <w:t xml:space="preserve"> </w:t>
      </w:r>
      <w:r w:rsidRPr="006565E9">
        <w:t xml:space="preserve">we </w:t>
      </w:r>
      <w:r w:rsidR="00B77BB6" w:rsidRPr="006565E9">
        <w:t xml:space="preserve">are satisfied that </w:t>
      </w:r>
      <w:r w:rsidR="00EA4D25" w:rsidRPr="006565E9">
        <w:t xml:space="preserve">that the cost categories and activities </w:t>
      </w:r>
      <w:r w:rsidR="00B77BB6" w:rsidRPr="006565E9">
        <w:t>claimed for in</w:t>
      </w:r>
      <w:r w:rsidR="00EA4D25" w:rsidRPr="006565E9">
        <w:t xml:space="preserve"> APA Group’s 2013 in</w:t>
      </w:r>
      <w:r w:rsidR="00DE4F9D" w:rsidRPr="006565E9">
        <w:t>voices for the MSP and the RBP</w:t>
      </w:r>
      <w:r w:rsidR="00B77BB6" w:rsidRPr="006565E9">
        <w:t xml:space="preserve"> are for MOS allocation service costs. We are also satisfied </w:t>
      </w:r>
      <w:r w:rsidR="00561796" w:rsidRPr="006565E9">
        <w:t>with</w:t>
      </w:r>
      <w:r w:rsidR="00B77BB6" w:rsidRPr="006565E9">
        <w:t xml:space="preserve"> APA Group’s approach to calculating the expenditures under each cost category.</w:t>
      </w:r>
    </w:p>
    <w:p w:rsidR="001F44DC" w:rsidRPr="006565E9" w:rsidRDefault="00B77BB6" w:rsidP="00BF4EC0">
      <w:pPr>
        <w:pStyle w:val="AERbodytext"/>
      </w:pPr>
      <w:r w:rsidRPr="006565E9">
        <w:t>Based on the information provided, we are satisfied that the MOS allocation service costs specified in APA Group’s 2013 invoices for MSP and RBP are not offset by benefits reasonably available to APA Group in relation to its other activities.</w:t>
      </w:r>
      <w:r w:rsidRPr="006565E9">
        <w:rPr>
          <w:rStyle w:val="FootnoteReference"/>
        </w:rPr>
        <w:footnoteReference w:id="11"/>
      </w:r>
      <w:r w:rsidR="001F44DC" w:rsidRPr="006565E9">
        <w:t xml:space="preserve"> </w:t>
      </w:r>
      <w:r w:rsidRPr="006565E9">
        <w:t xml:space="preserve">Therefore, we consider that the costs specified in </w:t>
      </w:r>
      <w:r w:rsidR="001F44DC" w:rsidRPr="006565E9">
        <w:t xml:space="preserve">APA Group’s 2013 invoices </w:t>
      </w:r>
      <w:r w:rsidR="00D46CFD" w:rsidRPr="006565E9">
        <w:t xml:space="preserve">satisfy the definition of </w:t>
      </w:r>
      <w:r w:rsidR="001A511F" w:rsidRPr="006565E9">
        <w:t xml:space="preserve">MOS allocation service costs </w:t>
      </w:r>
      <w:r w:rsidR="00A2136F" w:rsidRPr="006565E9">
        <w:t>under</w:t>
      </w:r>
      <w:r w:rsidR="001A511F" w:rsidRPr="006565E9">
        <w:t xml:space="preserve"> rule 364 of the NGR. </w:t>
      </w:r>
    </w:p>
    <w:p w:rsidR="00B23DCD" w:rsidRPr="006565E9" w:rsidRDefault="00B23DCD" w:rsidP="00BF4EC0">
      <w:pPr>
        <w:pStyle w:val="AERbodytext"/>
      </w:pPr>
      <w:r w:rsidRPr="006565E9">
        <w:t xml:space="preserve">In assessing whether the costs specified in APA Group’s tax invoices are reasonable MOS allocation service costs, we compared the input costs (such as labour rates, labour hours and material costs) claimed in APA Group’s 2013 invoice against those input costs claimed in its 2012 invoices. We also compared APA Group’s input costs against similar cost categories in claimed in the other STTM pipeline operator’s 2013 invoices.  We are satisfied that the input costs used by APA Group are reasonable </w:t>
      </w:r>
      <w:r w:rsidR="00330392">
        <w:t>when compared with</w:t>
      </w:r>
      <w:r w:rsidRPr="006565E9">
        <w:t xml:space="preserve"> its previous</w:t>
      </w:r>
      <w:r w:rsidR="00330392">
        <w:t xml:space="preserve"> year’s</w:t>
      </w:r>
      <w:r w:rsidRPr="006565E9">
        <w:t xml:space="preserve"> expenditures and</w:t>
      </w:r>
      <w:r w:rsidR="00330392">
        <w:t xml:space="preserve"> those of other service providers</w:t>
      </w:r>
      <w:r w:rsidRPr="006565E9">
        <w:t xml:space="preserve">.   </w:t>
      </w:r>
    </w:p>
    <w:p w:rsidR="00E1043A" w:rsidRPr="006565E9" w:rsidRDefault="001F44DC" w:rsidP="00BF4EC0">
      <w:pPr>
        <w:pStyle w:val="AERbodytext"/>
      </w:pPr>
      <w:r w:rsidRPr="006565E9">
        <w:t xml:space="preserve">We </w:t>
      </w:r>
      <w:r w:rsidR="004134DC" w:rsidRPr="006565E9">
        <w:t>also had regard to</w:t>
      </w:r>
      <w:r w:rsidRPr="006565E9">
        <w:t xml:space="preserve"> the estimated MOS allocation service costs APA Group provided to AEMO in January 2012. The 2013 claims for the MSP ($72,590.00 (excluding GST)) and the RBP ($73,416.08 (excluding GST)) are lower than the cost estimates for each pipeline ($110,762). APA Group submitted that this reduction is </w:t>
      </w:r>
      <w:r w:rsidR="00E1043A" w:rsidRPr="006565E9">
        <w:t>driven by reduced STTM information processing time and red</w:t>
      </w:r>
      <w:r w:rsidR="00EA6612" w:rsidRPr="006565E9">
        <w:t>uc</w:t>
      </w:r>
      <w:r w:rsidR="00E1043A" w:rsidRPr="006565E9">
        <w:t xml:space="preserve">ed STTM related </w:t>
      </w:r>
      <w:r w:rsidR="00EA6612" w:rsidRPr="006565E9">
        <w:t xml:space="preserve">activities. </w:t>
      </w:r>
      <w:r w:rsidR="00AB758C" w:rsidRPr="006565E9">
        <w:t xml:space="preserve">We also compared the 2013 claims against APA Group’s 2012 invoices. The 2013 claims are lower than costs claimed in 2012 </w:t>
      </w:r>
      <w:r w:rsidR="00F850E3">
        <w:t xml:space="preserve">invoices </w:t>
      </w:r>
      <w:r w:rsidR="00AB758C" w:rsidRPr="006565E9">
        <w:t xml:space="preserve">($188,814 for the MSP and $722,442 for the RBP). </w:t>
      </w:r>
      <w:r w:rsidR="00EA6612" w:rsidRPr="006565E9">
        <w:t xml:space="preserve">We consider </w:t>
      </w:r>
      <w:r w:rsidR="006565E9" w:rsidRPr="006565E9">
        <w:t>th</w:t>
      </w:r>
      <w:r w:rsidR="006565E9">
        <w:t>ese</w:t>
      </w:r>
      <w:r w:rsidR="00EA6612" w:rsidRPr="006565E9">
        <w:t xml:space="preserve"> to be an indication of </w:t>
      </w:r>
      <w:r w:rsidR="00561796" w:rsidRPr="006565E9">
        <w:t>improvement</w:t>
      </w:r>
      <w:r w:rsidR="00EA6612" w:rsidRPr="006565E9">
        <w:t xml:space="preserve"> in APA Group’s processes for providing MOS allocation services. </w:t>
      </w:r>
    </w:p>
    <w:p w:rsidR="00D71AFA" w:rsidRPr="006565E9" w:rsidRDefault="00234A36" w:rsidP="00AC4D47">
      <w:pPr>
        <w:pStyle w:val="AERbodytext"/>
      </w:pPr>
      <w:r w:rsidRPr="006565E9">
        <w:t xml:space="preserve">Based on our review set out at Appendix A and having had regard to </w:t>
      </w:r>
      <w:r w:rsidR="001F44DC" w:rsidRPr="006565E9">
        <w:t>information</w:t>
      </w:r>
      <w:r w:rsidRPr="006565E9">
        <w:t xml:space="preserve"> set out above, the we consider that the costs specified in APA Group’s tax invoices for the MSP and the RBP for the for </w:t>
      </w:r>
      <w:r w:rsidR="008239EE" w:rsidRPr="006565E9">
        <w:t>financial year 2012</w:t>
      </w:r>
      <w:r w:rsidR="004134DC" w:rsidRPr="006565E9">
        <w:t>–</w:t>
      </w:r>
      <w:r w:rsidR="008239EE" w:rsidRPr="006565E9">
        <w:t>13</w:t>
      </w:r>
      <w:r w:rsidRPr="006565E9">
        <w:t xml:space="preserve"> to be reasonable MOS allocation service costs.</w:t>
      </w:r>
      <w:r w:rsidR="00B4681A" w:rsidRPr="006565E9">
        <w:t xml:space="preserve"> </w:t>
      </w:r>
    </w:p>
    <w:p w:rsidR="00A53B65" w:rsidRPr="006565E9" w:rsidRDefault="00494C54" w:rsidP="00A53B65">
      <w:pPr>
        <w:pStyle w:val="AERheading3"/>
      </w:pPr>
      <w:r w:rsidRPr="006565E9">
        <w:rPr>
          <w:lang w:eastAsia="en-AU"/>
        </w:rPr>
        <w:t>Jemena –</w:t>
      </w:r>
      <w:r w:rsidR="0001795D" w:rsidRPr="006565E9">
        <w:rPr>
          <w:lang w:eastAsia="en-AU"/>
        </w:rPr>
        <w:t>Eastern Gas Pipeline</w:t>
      </w:r>
    </w:p>
    <w:p w:rsidR="00D643CE" w:rsidRPr="006565E9" w:rsidRDefault="00E135B6" w:rsidP="00D643CE">
      <w:pPr>
        <w:pStyle w:val="AERbodytext"/>
      </w:pPr>
      <w:r w:rsidRPr="006565E9">
        <w:t xml:space="preserve">In the </w:t>
      </w:r>
      <w:r w:rsidR="008239EE" w:rsidRPr="006565E9">
        <w:t>financial year 2012</w:t>
      </w:r>
      <w:r w:rsidR="004134DC" w:rsidRPr="006565E9">
        <w:t>–</w:t>
      </w:r>
      <w:r w:rsidR="008239EE" w:rsidRPr="006565E9">
        <w:t>13</w:t>
      </w:r>
      <w:r w:rsidRPr="006565E9">
        <w:t>, Jemena sought to claim $5,240 (excluding GST) in MOS allocation service costs for the</w:t>
      </w:r>
      <w:r w:rsidR="0001795D" w:rsidRPr="006565E9">
        <w:t xml:space="preserve"> EGP</w:t>
      </w:r>
      <w:r w:rsidRPr="006565E9">
        <w:t>.</w:t>
      </w:r>
      <w:r w:rsidR="0016605E" w:rsidRPr="006565E9">
        <w:rPr>
          <w:rStyle w:val="FootnoteReference"/>
        </w:rPr>
        <w:footnoteReference w:id="12"/>
      </w:r>
      <w:r w:rsidR="0016605E" w:rsidRPr="006565E9">
        <w:t xml:space="preserve"> </w:t>
      </w:r>
      <w:r w:rsidR="00D643CE" w:rsidRPr="006565E9">
        <w:t>Jemena provided a breakdown of these costs, but claimed this information to be confidential.</w:t>
      </w:r>
      <w:r w:rsidR="00D643CE" w:rsidRPr="006565E9">
        <w:rPr>
          <w:rStyle w:val="FootnoteReference"/>
        </w:rPr>
        <w:footnoteReference w:id="13"/>
      </w:r>
      <w:r w:rsidR="00D643CE" w:rsidRPr="006565E9">
        <w:t xml:space="preserve"> Our review of this confidential information is set out at Appendix A to this determination.</w:t>
      </w:r>
    </w:p>
    <w:p w:rsidR="00F850E3" w:rsidRPr="006565E9" w:rsidRDefault="00AC4D47" w:rsidP="00F850E3">
      <w:pPr>
        <w:pStyle w:val="AERbodytext"/>
      </w:pPr>
      <w:r w:rsidRPr="006565E9">
        <w:t>Based on our assessment in Appendix A, w</w:t>
      </w:r>
      <w:r w:rsidR="00FC608C" w:rsidRPr="006565E9">
        <w:t xml:space="preserve">e are satisfied that that the cost categories and activities claimed for in Jemena’s 2013 invoices for the EGP are for MOS allocation service costs. </w:t>
      </w:r>
      <w:r w:rsidR="00F850E3" w:rsidRPr="006565E9">
        <w:t xml:space="preserve">We are also satisfied with </w:t>
      </w:r>
      <w:r w:rsidR="00F850E3">
        <w:t>Jemena’s</w:t>
      </w:r>
      <w:r w:rsidR="00F850E3" w:rsidRPr="006565E9">
        <w:t xml:space="preserve"> approach to calculating the expenditures under each cost category.</w:t>
      </w:r>
    </w:p>
    <w:p w:rsidR="00FC608C" w:rsidRPr="006565E9" w:rsidRDefault="00FC608C" w:rsidP="00FC608C">
      <w:pPr>
        <w:pStyle w:val="AERbodytext"/>
      </w:pPr>
      <w:r w:rsidRPr="006565E9">
        <w:t xml:space="preserve">Based on the information provided, we are satisfied that the MOS allocation service costs specified in Jemena’s 2013 invoices for </w:t>
      </w:r>
      <w:r w:rsidR="00B534EB" w:rsidRPr="006565E9">
        <w:t>the EGP</w:t>
      </w:r>
      <w:r w:rsidRPr="006565E9">
        <w:t xml:space="preserve"> are not offset by benefits reasonably </w:t>
      </w:r>
      <w:r w:rsidRPr="006565E9">
        <w:lastRenderedPageBreak/>
        <w:t xml:space="preserve">available to </w:t>
      </w:r>
      <w:r w:rsidR="00B534EB" w:rsidRPr="006565E9">
        <w:t>Jemena</w:t>
      </w:r>
      <w:r w:rsidRPr="006565E9">
        <w:t xml:space="preserve"> in relation to its other activities.</w:t>
      </w:r>
      <w:r w:rsidRPr="006565E9">
        <w:rPr>
          <w:rStyle w:val="FootnoteReference"/>
        </w:rPr>
        <w:footnoteReference w:id="14"/>
      </w:r>
      <w:r w:rsidRPr="006565E9">
        <w:t xml:space="preserve"> Therefore, we consider that the costs specified in </w:t>
      </w:r>
      <w:r w:rsidR="00B534EB" w:rsidRPr="006565E9">
        <w:t>Jemena</w:t>
      </w:r>
      <w:r w:rsidRPr="006565E9">
        <w:t>’s 2013 invoices</w:t>
      </w:r>
      <w:r w:rsidR="00F61E52" w:rsidRPr="006565E9">
        <w:t xml:space="preserve"> satisfy</w:t>
      </w:r>
      <w:r w:rsidRPr="006565E9">
        <w:t xml:space="preserve"> </w:t>
      </w:r>
      <w:r w:rsidR="00A2136F" w:rsidRPr="006565E9">
        <w:t xml:space="preserve">the definition of </w:t>
      </w:r>
      <w:r w:rsidRPr="006565E9">
        <w:t xml:space="preserve">MOS allocation service costs </w:t>
      </w:r>
      <w:r w:rsidR="00A2136F" w:rsidRPr="006565E9">
        <w:t>under</w:t>
      </w:r>
      <w:r w:rsidRPr="006565E9">
        <w:t xml:space="preserve"> rule 364 of the NGR. </w:t>
      </w:r>
    </w:p>
    <w:p w:rsidR="00B23DCD" w:rsidRPr="006565E9" w:rsidRDefault="00B23DCD" w:rsidP="00FC608C">
      <w:pPr>
        <w:pStyle w:val="AERbodytext"/>
      </w:pPr>
      <w:r w:rsidRPr="006565E9">
        <w:t xml:space="preserve">In assessing whether the costs specified in Jemena’s tax invoice are reasonable MOS allocation service costs, we compared the input costs (such as labour rates, labour hours and material costs) claimed in Jemena’s 2013 invoice against those input costs claimed in its 2012 invoice. We also compared Jemena’s input costs against similar cost categories claimed in the other STTM pipeline operator’s 2013 invoices.  We are satisfied that the input costs used by Jemena are </w:t>
      </w:r>
      <w:r w:rsidR="00D2764B" w:rsidRPr="006565E9">
        <w:t xml:space="preserve">reasonable </w:t>
      </w:r>
      <w:r w:rsidR="00D2764B">
        <w:t>when compared with</w:t>
      </w:r>
      <w:r w:rsidR="00D2764B" w:rsidRPr="006565E9">
        <w:t xml:space="preserve"> its previous</w:t>
      </w:r>
      <w:r w:rsidR="00D2764B">
        <w:t xml:space="preserve"> year’s</w:t>
      </w:r>
      <w:r w:rsidR="00D2764B" w:rsidRPr="006565E9">
        <w:t xml:space="preserve"> expenditures and</w:t>
      </w:r>
      <w:r w:rsidR="00D2764B">
        <w:t xml:space="preserve"> those of other service providers</w:t>
      </w:r>
      <w:r w:rsidR="00D2764B" w:rsidRPr="006565E9">
        <w:t xml:space="preserve">.   </w:t>
      </w:r>
    </w:p>
    <w:p w:rsidR="00E51F94" w:rsidRPr="006565E9" w:rsidRDefault="00E51F94" w:rsidP="00E51F94">
      <w:pPr>
        <w:pStyle w:val="AERbodytext"/>
      </w:pPr>
      <w:r w:rsidRPr="006565E9">
        <w:t>We also considered the estimated MOS allocation service costs Jemena provided to AEMO in January 2012. Th</w:t>
      </w:r>
      <w:r w:rsidR="007E311F" w:rsidRPr="006565E9">
        <w:t>e 2013 claim</w:t>
      </w:r>
      <w:r w:rsidRPr="006565E9">
        <w:t xml:space="preserve"> for the EGP </w:t>
      </w:r>
      <w:r w:rsidR="00D643CE" w:rsidRPr="006565E9">
        <w:t xml:space="preserve">($5,240 </w:t>
      </w:r>
      <w:r w:rsidRPr="006565E9">
        <w:t>(excluding GST)</w:t>
      </w:r>
      <w:r w:rsidR="007E311F" w:rsidRPr="006565E9">
        <w:t>) is</w:t>
      </w:r>
      <w:r w:rsidRPr="006565E9">
        <w:t xml:space="preserve"> l</w:t>
      </w:r>
      <w:r w:rsidR="007E311F" w:rsidRPr="006565E9">
        <w:t xml:space="preserve">ower than the cost estimate of ($18,601). Jemena did not provide reasons for this reduction. </w:t>
      </w:r>
      <w:r w:rsidR="00C858DE" w:rsidRPr="006565E9">
        <w:t xml:space="preserve">We also compared the 2013 claim against Jemena’s 2012 invoice. The 2013 claim is lower than costs claimed in 2012 ($15,805). </w:t>
      </w:r>
      <w:r w:rsidR="00D2764B" w:rsidRPr="006565E9">
        <w:t>We consider th</w:t>
      </w:r>
      <w:r w:rsidR="00D2764B">
        <w:t>ese</w:t>
      </w:r>
      <w:r w:rsidR="00D2764B" w:rsidRPr="006565E9">
        <w:t xml:space="preserve"> to be an indication of improvement in </w:t>
      </w:r>
      <w:r w:rsidR="00D2764B">
        <w:t>Jemena</w:t>
      </w:r>
      <w:r w:rsidR="00D2764B" w:rsidRPr="006565E9">
        <w:t>’s processes for providing MOS allocation services.</w:t>
      </w:r>
    </w:p>
    <w:p w:rsidR="00C87318" w:rsidRPr="006565E9" w:rsidRDefault="009A314C" w:rsidP="009A314C">
      <w:pPr>
        <w:pStyle w:val="AERbodytext"/>
      </w:pPr>
      <w:r w:rsidRPr="006565E9">
        <w:t xml:space="preserve">Based on our review set out at Appendix A and having had regard to factors set out above, the we consider that the costs specified in Jemena’s tax invoices for the EGP for </w:t>
      </w:r>
      <w:r w:rsidR="008239EE" w:rsidRPr="006565E9">
        <w:t>financial year 2012</w:t>
      </w:r>
      <w:r w:rsidR="00AF4CF1" w:rsidRPr="006565E9">
        <w:t>–</w:t>
      </w:r>
      <w:r w:rsidR="008239EE" w:rsidRPr="006565E9">
        <w:t>13</w:t>
      </w:r>
      <w:r w:rsidRPr="006565E9">
        <w:t xml:space="preserve"> to be reasonabl</w:t>
      </w:r>
      <w:r w:rsidR="000D7C5F" w:rsidRPr="006565E9">
        <w:t>e MOS allocation service costs.</w:t>
      </w:r>
    </w:p>
    <w:p w:rsidR="00923656" w:rsidRPr="006565E9" w:rsidRDefault="00923656" w:rsidP="00C87318">
      <w:pPr>
        <w:pStyle w:val="AERheading3"/>
      </w:pPr>
      <w:r w:rsidRPr="006565E9">
        <w:rPr>
          <w:lang w:eastAsia="en-AU"/>
        </w:rPr>
        <w:t>SEA</w:t>
      </w:r>
      <w:r w:rsidR="000E27D0" w:rsidRPr="006565E9">
        <w:rPr>
          <w:lang w:eastAsia="en-AU"/>
        </w:rPr>
        <w:t xml:space="preserve"> </w:t>
      </w:r>
      <w:r w:rsidRPr="006565E9">
        <w:rPr>
          <w:lang w:eastAsia="en-AU"/>
        </w:rPr>
        <w:t xml:space="preserve">Gas </w:t>
      </w:r>
      <w:r w:rsidRPr="006565E9">
        <w:rPr>
          <w:rFonts w:hint="eastAsia"/>
          <w:lang w:eastAsia="en-AU"/>
        </w:rPr>
        <w:t>–</w:t>
      </w:r>
      <w:r w:rsidRPr="006565E9">
        <w:rPr>
          <w:lang w:eastAsia="en-AU"/>
        </w:rPr>
        <w:t xml:space="preserve">South East Australia </w:t>
      </w:r>
      <w:r w:rsidR="000A7527">
        <w:rPr>
          <w:lang w:eastAsia="en-AU"/>
        </w:rPr>
        <w:t>G</w:t>
      </w:r>
      <w:r w:rsidRPr="006565E9">
        <w:rPr>
          <w:lang w:eastAsia="en-AU"/>
        </w:rPr>
        <w:t xml:space="preserve">as </w:t>
      </w:r>
      <w:r w:rsidR="000A7527">
        <w:rPr>
          <w:lang w:eastAsia="en-AU"/>
        </w:rPr>
        <w:t>P</w:t>
      </w:r>
      <w:r w:rsidRPr="006565E9">
        <w:rPr>
          <w:lang w:eastAsia="en-AU"/>
        </w:rPr>
        <w:t xml:space="preserve">ipeline </w:t>
      </w:r>
    </w:p>
    <w:p w:rsidR="00C87318" w:rsidRPr="006565E9" w:rsidRDefault="00923656" w:rsidP="00D728BC">
      <w:pPr>
        <w:pStyle w:val="AERbodytext"/>
      </w:pPr>
      <w:r w:rsidRPr="006565E9">
        <w:t xml:space="preserve">In the </w:t>
      </w:r>
      <w:r w:rsidR="008239EE" w:rsidRPr="006565E9">
        <w:t>financial year 2012</w:t>
      </w:r>
      <w:r w:rsidR="00AF4CF1" w:rsidRPr="006565E9">
        <w:t>–</w:t>
      </w:r>
      <w:r w:rsidR="008239EE" w:rsidRPr="006565E9">
        <w:t>13</w:t>
      </w:r>
      <w:r w:rsidRPr="006565E9">
        <w:t>, SEA</w:t>
      </w:r>
      <w:r w:rsidR="000E27D0" w:rsidRPr="006565E9">
        <w:t xml:space="preserve"> </w:t>
      </w:r>
      <w:r w:rsidRPr="006565E9">
        <w:t>Gas sought to claim $24,417.00 (excluding GST) in MOS allocation service costs for the SEAGP.</w:t>
      </w:r>
      <w:r w:rsidRPr="006565E9">
        <w:rPr>
          <w:rStyle w:val="FootnoteReference"/>
        </w:rPr>
        <w:footnoteReference w:id="15"/>
      </w:r>
      <w:r w:rsidRPr="006565E9">
        <w:t xml:space="preserve"> </w:t>
      </w:r>
      <w:r w:rsidR="00836B5A" w:rsidRPr="006565E9">
        <w:t>SEA</w:t>
      </w:r>
      <w:r w:rsidR="000E27D0" w:rsidRPr="006565E9">
        <w:t xml:space="preserve"> </w:t>
      </w:r>
      <w:r w:rsidR="00836B5A" w:rsidRPr="006565E9">
        <w:t xml:space="preserve">Gas also confirmed in a signed letter to AEMO that its invoice for MOS allocation service costs </w:t>
      </w:r>
      <w:r w:rsidR="00F850E3" w:rsidRPr="006565E9">
        <w:t>ha</w:t>
      </w:r>
      <w:r w:rsidR="00F850E3">
        <w:t xml:space="preserve">s </w:t>
      </w:r>
      <w:r w:rsidR="00836B5A" w:rsidRPr="006565E9">
        <w:t xml:space="preserve">been incurred for the SEAGP for the </w:t>
      </w:r>
      <w:r w:rsidR="008239EE" w:rsidRPr="006565E9">
        <w:t>financial year 2012</w:t>
      </w:r>
      <w:r w:rsidR="00AF4CF1" w:rsidRPr="006565E9">
        <w:t>–</w:t>
      </w:r>
      <w:r w:rsidR="008239EE" w:rsidRPr="006565E9">
        <w:t>13</w:t>
      </w:r>
      <w:r w:rsidR="00836B5A" w:rsidRPr="006565E9">
        <w:t>.  Based on the information provided, we consider that the costs specified in SEA</w:t>
      </w:r>
      <w:r w:rsidR="000E27D0" w:rsidRPr="006565E9">
        <w:t xml:space="preserve"> </w:t>
      </w:r>
      <w:r w:rsidR="00836B5A" w:rsidRPr="006565E9">
        <w:t xml:space="preserve">Gas’s 2013 invoice have been incurred for MOS allocation services for the SEAGP.  </w:t>
      </w:r>
    </w:p>
    <w:p w:rsidR="003A47F5" w:rsidRPr="006565E9" w:rsidRDefault="00836B5A" w:rsidP="00D728BC">
      <w:pPr>
        <w:pStyle w:val="AERbodytext"/>
      </w:pPr>
      <w:r w:rsidRPr="006565E9">
        <w:t>The cost</w:t>
      </w:r>
      <w:r w:rsidR="00D643CE" w:rsidRPr="006565E9">
        <w:t>s</w:t>
      </w:r>
      <w:r w:rsidRPr="006565E9">
        <w:t xml:space="preserve"> specified in SEA</w:t>
      </w:r>
      <w:r w:rsidR="000E27D0" w:rsidRPr="006565E9">
        <w:t xml:space="preserve"> </w:t>
      </w:r>
      <w:r w:rsidRPr="006565E9">
        <w:t xml:space="preserve">Gas’s 2013 invoice </w:t>
      </w:r>
      <w:r w:rsidR="00D643CE" w:rsidRPr="006565E9">
        <w:t xml:space="preserve">are </w:t>
      </w:r>
      <w:r w:rsidR="00923656" w:rsidRPr="006565E9">
        <w:t>comprised of internal labour and ex</w:t>
      </w:r>
      <w:r w:rsidR="00377CA7" w:rsidRPr="006565E9">
        <w:t>ternal labour</w:t>
      </w:r>
      <w:r w:rsidRPr="006565E9">
        <w:t xml:space="preserve"> costs</w:t>
      </w:r>
      <w:r w:rsidR="00377CA7" w:rsidRPr="006565E9">
        <w:t xml:space="preserve">. </w:t>
      </w:r>
      <w:r w:rsidR="000E27D0" w:rsidRPr="006565E9">
        <w:t>SEA Gas</w:t>
      </w:r>
      <w:r w:rsidRPr="006565E9">
        <w:t xml:space="preserve"> </w:t>
      </w:r>
      <w:r w:rsidR="00D728BC" w:rsidRPr="006565E9">
        <w:t>broke these</w:t>
      </w:r>
      <w:r w:rsidR="00E95512" w:rsidRPr="006565E9">
        <w:t xml:space="preserve"> costs</w:t>
      </w:r>
      <w:r w:rsidR="00C11807" w:rsidRPr="006565E9">
        <w:t xml:space="preserve"> </w:t>
      </w:r>
      <w:r w:rsidR="00D728BC" w:rsidRPr="006565E9">
        <w:t xml:space="preserve">down further into external service provider costs and internal labour costs.  External service provider costs </w:t>
      </w:r>
      <w:r w:rsidR="003A47F5" w:rsidRPr="006565E9">
        <w:t xml:space="preserve">consist of </w:t>
      </w:r>
      <w:r w:rsidR="00D728BC" w:rsidRPr="006565E9">
        <w:t>IT costs</w:t>
      </w:r>
      <w:r w:rsidR="003A47F5" w:rsidRPr="006565E9">
        <w:t xml:space="preserve"> for</w:t>
      </w:r>
      <w:r w:rsidR="00D728BC" w:rsidRPr="006565E9">
        <w:t xml:space="preserve"> after hour support, costs </w:t>
      </w:r>
      <w:r w:rsidR="003A47F5" w:rsidRPr="006565E9">
        <w:t>for</w:t>
      </w:r>
      <w:r w:rsidR="00D728BC" w:rsidRPr="006565E9">
        <w:t xml:space="preserve"> ensuring timely lodgement of STTM data and business hour support for the STTM.  Internal labour costs </w:t>
      </w:r>
      <w:r w:rsidR="003A47F5" w:rsidRPr="006565E9">
        <w:t>are</w:t>
      </w:r>
      <w:r w:rsidR="00D728BC" w:rsidRPr="006565E9">
        <w:t xml:space="preserve"> related to ensuring timely lodgement of STTM data and costs of monitoring MOS. </w:t>
      </w:r>
      <w:r w:rsidR="000E27D0" w:rsidRPr="006565E9">
        <w:t>SEA Gas</w:t>
      </w:r>
      <w:r w:rsidR="003A47F5" w:rsidRPr="006565E9">
        <w:t xml:space="preserve"> identified some of these costs to be direct MOS allocation service costs and costs indirectly re</w:t>
      </w:r>
      <w:r w:rsidR="00561796" w:rsidRPr="006565E9">
        <w:t>l</w:t>
      </w:r>
      <w:r w:rsidR="003A47F5" w:rsidRPr="006565E9">
        <w:t xml:space="preserve">ated to MOS.  </w:t>
      </w:r>
      <w:r w:rsidR="000E27D0" w:rsidRPr="006565E9">
        <w:t>SEA Gas</w:t>
      </w:r>
      <w:r w:rsidR="003A47F5" w:rsidRPr="006565E9">
        <w:t xml:space="preserve"> submitted 4</w:t>
      </w:r>
      <w:r w:rsidR="0068644A" w:rsidRPr="006565E9">
        <w:t>,</w:t>
      </w:r>
      <w:r w:rsidR="003A47F5" w:rsidRPr="006565E9">
        <w:t>215 STTM files during 2012</w:t>
      </w:r>
      <w:r w:rsidR="00F850E3">
        <w:t>–</w:t>
      </w:r>
      <w:r w:rsidR="003A47F5" w:rsidRPr="006565E9">
        <w:t xml:space="preserve">13 and 45 per cent of these files were </w:t>
      </w:r>
      <w:r w:rsidR="0068644A" w:rsidRPr="006565E9">
        <w:t xml:space="preserve">MOS allocation files. Therefore, </w:t>
      </w:r>
      <w:r w:rsidR="000E27D0" w:rsidRPr="006565E9">
        <w:t>SEA Gas</w:t>
      </w:r>
      <w:r w:rsidR="003A47F5" w:rsidRPr="006565E9">
        <w:t xml:space="preserve"> allocated 45 per cent of indirect costs to MOS allocation service costs. </w:t>
      </w:r>
    </w:p>
    <w:p w:rsidR="00C11807" w:rsidRPr="006565E9" w:rsidRDefault="00C11807" w:rsidP="00C11807">
      <w:pPr>
        <w:pStyle w:val="AERbodytext"/>
      </w:pPr>
      <w:r w:rsidRPr="006565E9">
        <w:t xml:space="preserve">Based on evidence provided and the above review, we are satisfied that that the cost categories and activities claimed for in </w:t>
      </w:r>
      <w:r w:rsidR="000E27D0" w:rsidRPr="006565E9">
        <w:t>SEA Gas</w:t>
      </w:r>
      <w:r w:rsidRPr="006565E9">
        <w:t>’s 2013 in</w:t>
      </w:r>
      <w:r w:rsidR="00D32954" w:rsidRPr="006565E9">
        <w:t>voice</w:t>
      </w:r>
      <w:r w:rsidRPr="006565E9">
        <w:t xml:space="preserve"> are for MOS allocation service costs. We are also satisfied </w:t>
      </w:r>
      <w:r w:rsidR="00561796" w:rsidRPr="006565E9">
        <w:t>with</w:t>
      </w:r>
      <w:r w:rsidRPr="006565E9">
        <w:t xml:space="preserve"> </w:t>
      </w:r>
      <w:r w:rsidR="000E27D0" w:rsidRPr="006565E9">
        <w:t>SEA Gas</w:t>
      </w:r>
      <w:r w:rsidRPr="006565E9">
        <w:t>’s approach to calculating the expenditures under each cost category.</w:t>
      </w:r>
    </w:p>
    <w:p w:rsidR="00C11807" w:rsidRPr="006565E9" w:rsidRDefault="00C11807" w:rsidP="00C11807">
      <w:pPr>
        <w:pStyle w:val="AERbodytext"/>
      </w:pPr>
      <w:r w:rsidRPr="006565E9">
        <w:lastRenderedPageBreak/>
        <w:t xml:space="preserve">Based on the information provided, we are satisfied that the MOS allocation service costs specified in </w:t>
      </w:r>
      <w:r w:rsidR="000E27D0" w:rsidRPr="006565E9">
        <w:t>SEA Gas</w:t>
      </w:r>
      <w:r w:rsidRPr="006565E9">
        <w:t xml:space="preserve">’s 2013 invoices for the SEAGP are not offset by benefits reasonably available to </w:t>
      </w:r>
      <w:r w:rsidR="000E27D0" w:rsidRPr="006565E9">
        <w:t>SEA Gas</w:t>
      </w:r>
      <w:r w:rsidRPr="006565E9">
        <w:t xml:space="preserve"> in relation to its other activities.</w:t>
      </w:r>
      <w:r w:rsidRPr="006565E9">
        <w:rPr>
          <w:rStyle w:val="FootnoteReference"/>
        </w:rPr>
        <w:footnoteReference w:id="16"/>
      </w:r>
      <w:r w:rsidRPr="006565E9">
        <w:t xml:space="preserve"> Therefore, we consider that the costs specified in </w:t>
      </w:r>
      <w:r w:rsidR="000E27D0" w:rsidRPr="006565E9">
        <w:t>SEA Gas</w:t>
      </w:r>
      <w:r w:rsidRPr="006565E9">
        <w:t xml:space="preserve">’s 2013 invoice </w:t>
      </w:r>
      <w:r w:rsidR="002706A5" w:rsidRPr="006565E9">
        <w:t>satisfy the definition of MOS</w:t>
      </w:r>
      <w:r w:rsidRPr="006565E9">
        <w:t xml:space="preserve"> allocation service costs </w:t>
      </w:r>
      <w:r w:rsidR="00A2136F" w:rsidRPr="006565E9">
        <w:t>under</w:t>
      </w:r>
      <w:r w:rsidRPr="006565E9">
        <w:t xml:space="preserve"> rule 364 of the NGR. </w:t>
      </w:r>
    </w:p>
    <w:p w:rsidR="00B23DCD" w:rsidRPr="006565E9" w:rsidRDefault="00B23DCD" w:rsidP="00C11807">
      <w:pPr>
        <w:pStyle w:val="AERbodytext"/>
      </w:pPr>
      <w:r w:rsidRPr="006565E9">
        <w:t xml:space="preserve">In assessing whether the costs specified in SEA Gas’s tax invoice are reasonable MOS allocation service costs, we compared the input costs (such as labour rates, labour hours and material costs) claimed in SEA Gas’s 2013 invoice against those input costs claimed in its 2012 invoice. We also compared SEA Gas’s input costs against similar cost categories claimed in the other STTM pipeline operator’s 2013 invoices.  We are satisfied that the input costs used by SEA Gas are </w:t>
      </w:r>
      <w:r w:rsidR="00D2764B" w:rsidRPr="006565E9">
        <w:t xml:space="preserve">reasonable </w:t>
      </w:r>
      <w:r w:rsidR="00D2764B">
        <w:t>when compared with</w:t>
      </w:r>
      <w:r w:rsidR="00D2764B" w:rsidRPr="006565E9">
        <w:t xml:space="preserve"> its previous</w:t>
      </w:r>
      <w:r w:rsidR="00D2764B">
        <w:t xml:space="preserve"> year’s</w:t>
      </w:r>
      <w:r w:rsidR="00D2764B" w:rsidRPr="006565E9">
        <w:t xml:space="preserve"> expenditures and</w:t>
      </w:r>
      <w:r w:rsidR="00D2764B">
        <w:t xml:space="preserve"> those of other service providers</w:t>
      </w:r>
      <w:r w:rsidR="00D2764B" w:rsidRPr="006565E9">
        <w:t xml:space="preserve">.   </w:t>
      </w:r>
    </w:p>
    <w:p w:rsidR="002706A5" w:rsidRPr="006565E9" w:rsidRDefault="002706A5" w:rsidP="00C11807">
      <w:pPr>
        <w:pStyle w:val="AERbodytext"/>
      </w:pPr>
      <w:r w:rsidRPr="006565E9">
        <w:t xml:space="preserve">We also compared the estimated MOS allocation cost for the financial year 2012–13 ($15,000) with the actual cost claim for the financial year 2012–13 ($24,417 (excluding GST)).  The actual cost claim is higher than the cost estimates </w:t>
      </w:r>
      <w:r w:rsidR="000E27D0" w:rsidRPr="006565E9">
        <w:t>SEA Gas</w:t>
      </w:r>
      <w:r w:rsidRPr="006565E9">
        <w:t xml:space="preserve"> provided to AEMO in January 2012. However, we did not seek further information on this matter</w:t>
      </w:r>
      <w:r w:rsidR="005B75B9">
        <w:t xml:space="preserve">. </w:t>
      </w:r>
      <w:r w:rsidR="00824F3F">
        <w:t xml:space="preserve">This is because </w:t>
      </w:r>
      <w:r w:rsidR="00A22D4A">
        <w:t xml:space="preserve">rule 425 (3) of the NGR </w:t>
      </w:r>
      <w:r w:rsidR="006E2C80">
        <w:t>stipulates</w:t>
      </w:r>
      <w:r w:rsidR="00A22D4A">
        <w:t xml:space="preserve"> that the AER should have regard to whether the likely costs of assessing the cost claims would outweigh the public benefit resulting from such </w:t>
      </w:r>
      <w:r w:rsidR="006E2C80">
        <w:t xml:space="preserve">assessment. </w:t>
      </w:r>
      <w:r w:rsidR="00A22D4A">
        <w:t>W</w:t>
      </w:r>
      <w:r w:rsidR="00824F3F" w:rsidRPr="00824F3F">
        <w:t xml:space="preserve">e considered that the likely cost of undertaking an assessment of </w:t>
      </w:r>
      <w:r w:rsidR="00824F3F">
        <w:t>estimated 2012–13 expenditures</w:t>
      </w:r>
      <w:r w:rsidR="00824F3F" w:rsidRPr="00824F3F">
        <w:t xml:space="preserve"> </w:t>
      </w:r>
      <w:r w:rsidRPr="006565E9">
        <w:t xml:space="preserve">would outweigh the public benefit resulting from such assessment. </w:t>
      </w:r>
      <w:r w:rsidR="00C858DE" w:rsidRPr="006565E9">
        <w:t xml:space="preserve">In addition, we compared the 2013 claim against SEA Gas’s 2012 invoice. The 2013 claim is lower than costs claimed in 2012 ($30,115). </w:t>
      </w:r>
      <w:r w:rsidR="00D2764B" w:rsidRPr="006565E9">
        <w:t>We consider th</w:t>
      </w:r>
      <w:r w:rsidR="00D2764B">
        <w:t>ese</w:t>
      </w:r>
      <w:r w:rsidR="00D2764B" w:rsidRPr="006565E9">
        <w:t xml:space="preserve"> to be an indication of improvement in </w:t>
      </w:r>
      <w:r w:rsidR="00D2764B">
        <w:t>SEA Gas</w:t>
      </w:r>
      <w:r w:rsidR="00D2764B" w:rsidRPr="006565E9">
        <w:t>’s processes for providing MOS allocation services.</w:t>
      </w:r>
    </w:p>
    <w:p w:rsidR="00923656" w:rsidRPr="006565E9" w:rsidRDefault="00923656" w:rsidP="00923656">
      <w:pPr>
        <w:pStyle w:val="AERbodytext"/>
      </w:pPr>
      <w:r w:rsidRPr="006565E9">
        <w:t xml:space="preserve">Based on </w:t>
      </w:r>
      <w:r w:rsidR="000D53BB" w:rsidRPr="006565E9">
        <w:t>our review of the above factors,</w:t>
      </w:r>
      <w:r w:rsidRPr="006565E9">
        <w:t xml:space="preserve"> we consider that the costs specified in </w:t>
      </w:r>
      <w:r w:rsidR="000E27D0" w:rsidRPr="006565E9">
        <w:t>SEA Gas</w:t>
      </w:r>
      <w:r w:rsidR="000D53BB" w:rsidRPr="006565E9">
        <w:t>’s</w:t>
      </w:r>
      <w:r w:rsidRPr="006565E9">
        <w:t xml:space="preserve"> tax invoices for the </w:t>
      </w:r>
      <w:r w:rsidR="000D53BB" w:rsidRPr="006565E9">
        <w:t xml:space="preserve">SEAGP </w:t>
      </w:r>
      <w:r w:rsidR="00D32954" w:rsidRPr="006565E9">
        <w:t>for the</w:t>
      </w:r>
      <w:r w:rsidRPr="006565E9">
        <w:t xml:space="preserve"> </w:t>
      </w:r>
      <w:r w:rsidR="008239EE" w:rsidRPr="006565E9">
        <w:t>financial year 2012</w:t>
      </w:r>
      <w:r w:rsidR="00D32954" w:rsidRPr="006565E9">
        <w:t>–</w:t>
      </w:r>
      <w:r w:rsidR="008239EE" w:rsidRPr="006565E9">
        <w:t>13</w:t>
      </w:r>
      <w:r w:rsidRPr="006565E9">
        <w:t xml:space="preserve"> to be reasonable MOS allocation service costs. </w:t>
      </w:r>
    </w:p>
    <w:p w:rsidR="00756C23" w:rsidRPr="006565E9" w:rsidRDefault="00756C23" w:rsidP="00756C23">
      <w:pPr>
        <w:keepNext/>
        <w:numPr>
          <w:ilvl w:val="2"/>
          <w:numId w:val="8"/>
        </w:numPr>
        <w:spacing w:before="120" w:after="240"/>
        <w:outlineLvl w:val="0"/>
        <w:rPr>
          <w:rFonts w:cs="Arial"/>
          <w:b/>
          <w:bCs/>
          <w:kern w:val="32"/>
          <w:sz w:val="24"/>
          <w:lang w:eastAsia="en-US"/>
        </w:rPr>
      </w:pPr>
      <w:r w:rsidRPr="006565E9">
        <w:rPr>
          <w:rFonts w:cs="Arial"/>
          <w:b/>
          <w:bCs/>
          <w:kern w:val="32"/>
          <w:sz w:val="24"/>
          <w:lang w:eastAsia="en-US"/>
        </w:rPr>
        <w:t xml:space="preserve">Epic Energy </w:t>
      </w:r>
      <w:r w:rsidRPr="006565E9">
        <w:rPr>
          <w:rFonts w:cs="Arial" w:hint="eastAsia"/>
          <w:b/>
          <w:bCs/>
          <w:kern w:val="32"/>
          <w:sz w:val="24"/>
          <w:lang w:eastAsia="en-US"/>
        </w:rPr>
        <w:t>–</w:t>
      </w:r>
      <w:r w:rsidRPr="006565E9">
        <w:rPr>
          <w:rFonts w:cs="Arial"/>
          <w:b/>
          <w:bCs/>
          <w:kern w:val="32"/>
          <w:sz w:val="24"/>
          <w:lang w:eastAsia="en-US"/>
        </w:rPr>
        <w:t xml:space="preserve"> Moomba to Adelaide Pipeline </w:t>
      </w:r>
      <w:r w:rsidR="002706A5" w:rsidRPr="006565E9">
        <w:rPr>
          <w:rFonts w:cs="Arial"/>
          <w:b/>
          <w:bCs/>
          <w:kern w:val="32"/>
          <w:sz w:val="24"/>
          <w:lang w:eastAsia="en-US"/>
        </w:rPr>
        <w:t>System</w:t>
      </w:r>
    </w:p>
    <w:p w:rsidR="007A54B9" w:rsidRPr="006565E9" w:rsidRDefault="00756C23" w:rsidP="00756C23">
      <w:pPr>
        <w:spacing w:after="240"/>
        <w:rPr>
          <w:lang w:eastAsia="en-US"/>
        </w:rPr>
      </w:pPr>
      <w:r w:rsidRPr="006565E9">
        <w:rPr>
          <w:lang w:eastAsia="en-US"/>
        </w:rPr>
        <w:t>In the financial year 2012</w:t>
      </w:r>
      <w:r w:rsidRPr="006565E9">
        <w:rPr>
          <w:rFonts w:hint="eastAsia"/>
          <w:lang w:eastAsia="en-US"/>
        </w:rPr>
        <w:t>–</w:t>
      </w:r>
      <w:r w:rsidRPr="006565E9">
        <w:rPr>
          <w:lang w:eastAsia="en-US"/>
        </w:rPr>
        <w:t xml:space="preserve">13, </w:t>
      </w:r>
      <w:r w:rsidR="000E27D0" w:rsidRPr="006565E9">
        <w:rPr>
          <w:lang w:eastAsia="en-US"/>
        </w:rPr>
        <w:t xml:space="preserve">Epic Energy </w:t>
      </w:r>
      <w:r w:rsidRPr="006565E9">
        <w:rPr>
          <w:lang w:eastAsia="en-US"/>
        </w:rPr>
        <w:t>sought to claim $77,837.44 (excluding GST) in MOS allocation service costs for the MAP</w:t>
      </w:r>
      <w:r w:rsidR="002706A5" w:rsidRPr="006565E9">
        <w:rPr>
          <w:lang w:eastAsia="en-US"/>
        </w:rPr>
        <w:t>S</w:t>
      </w:r>
      <w:r w:rsidRPr="006565E9">
        <w:rPr>
          <w:lang w:eastAsia="en-US"/>
        </w:rPr>
        <w:t xml:space="preserve">. </w:t>
      </w:r>
      <w:r w:rsidR="007A54B9" w:rsidRPr="006565E9">
        <w:rPr>
          <w:lang w:eastAsia="en-US"/>
        </w:rPr>
        <w:t xml:space="preserve">This is comprised of internal labour costs and commercial interest costs. </w:t>
      </w:r>
    </w:p>
    <w:p w:rsidR="00756C23" w:rsidRPr="006565E9" w:rsidRDefault="00756C23" w:rsidP="00756C23">
      <w:pPr>
        <w:spacing w:after="240"/>
        <w:rPr>
          <w:lang w:eastAsia="en-US"/>
        </w:rPr>
      </w:pPr>
      <w:r w:rsidRPr="006565E9">
        <w:rPr>
          <w:lang w:eastAsia="en-US"/>
        </w:rPr>
        <w:t>In its original submission to AEMO, Epic Energy did not provide</w:t>
      </w:r>
      <w:r w:rsidR="007A54B9" w:rsidRPr="006565E9">
        <w:rPr>
          <w:lang w:eastAsia="en-US"/>
        </w:rPr>
        <w:t xml:space="preserve"> </w:t>
      </w:r>
      <w:r w:rsidR="00561796" w:rsidRPr="006565E9">
        <w:rPr>
          <w:lang w:eastAsia="en-US"/>
        </w:rPr>
        <w:t>any</w:t>
      </w:r>
      <w:r w:rsidRPr="006565E9">
        <w:rPr>
          <w:lang w:eastAsia="en-US"/>
        </w:rPr>
        <w:t xml:space="preserve"> information </w:t>
      </w:r>
      <w:r w:rsidR="00561796" w:rsidRPr="006565E9">
        <w:rPr>
          <w:lang w:eastAsia="en-US"/>
        </w:rPr>
        <w:t>to support the amount claimed in its</w:t>
      </w:r>
      <w:r w:rsidRPr="006565E9">
        <w:rPr>
          <w:lang w:eastAsia="en-US"/>
        </w:rPr>
        <w:t xml:space="preserve"> invoice. On 23 August 2013, we sought the following information from Epic Energy about its 2013 tax invoice:</w:t>
      </w:r>
      <w:r w:rsidRPr="006565E9">
        <w:rPr>
          <w:vertAlign w:val="superscript"/>
          <w:lang w:eastAsia="en-US"/>
        </w:rPr>
        <w:footnoteReference w:id="17"/>
      </w:r>
      <w:r w:rsidRPr="006565E9">
        <w:rPr>
          <w:lang w:eastAsia="en-US"/>
        </w:rPr>
        <w:t xml:space="preserve"> </w:t>
      </w:r>
    </w:p>
    <w:p w:rsidR="00756C23" w:rsidRPr="006565E9" w:rsidRDefault="00756C23" w:rsidP="00756C23">
      <w:pPr>
        <w:numPr>
          <w:ilvl w:val="0"/>
          <w:numId w:val="46"/>
        </w:numPr>
        <w:spacing w:after="240"/>
        <w:rPr>
          <w:lang w:eastAsia="en-US"/>
        </w:rPr>
      </w:pPr>
      <w:r w:rsidRPr="006565E9">
        <w:rPr>
          <w:lang w:eastAsia="en-US"/>
        </w:rPr>
        <w:t>a cost breakdown of the invoice (including wage</w:t>
      </w:r>
      <w:r w:rsidR="0068644A" w:rsidRPr="006565E9">
        <w:rPr>
          <w:lang w:eastAsia="en-US"/>
        </w:rPr>
        <w:t xml:space="preserve"> rates</w:t>
      </w:r>
      <w:r w:rsidRPr="006565E9">
        <w:rPr>
          <w:lang w:eastAsia="en-US"/>
        </w:rPr>
        <w:t xml:space="preserve">, labour hours </w:t>
      </w:r>
      <w:r w:rsidR="0068644A" w:rsidRPr="006565E9">
        <w:rPr>
          <w:lang w:eastAsia="en-US"/>
        </w:rPr>
        <w:t xml:space="preserve">and MOS </w:t>
      </w:r>
      <w:r w:rsidRPr="006565E9">
        <w:rPr>
          <w:lang w:eastAsia="en-US"/>
        </w:rPr>
        <w:t>allocation</w:t>
      </w:r>
      <w:r w:rsidR="0068644A" w:rsidRPr="006565E9">
        <w:rPr>
          <w:lang w:eastAsia="en-US"/>
        </w:rPr>
        <w:t>)</w:t>
      </w:r>
    </w:p>
    <w:p w:rsidR="00756C23" w:rsidRPr="006565E9" w:rsidRDefault="00756C23" w:rsidP="00756C23">
      <w:pPr>
        <w:numPr>
          <w:ilvl w:val="0"/>
          <w:numId w:val="46"/>
        </w:numPr>
        <w:spacing w:after="240"/>
        <w:rPr>
          <w:lang w:eastAsia="en-US"/>
        </w:rPr>
      </w:pPr>
      <w:r w:rsidRPr="006565E9">
        <w:rPr>
          <w:lang w:eastAsia="en-US"/>
        </w:rPr>
        <w:t>information regarding commercial interests claimed in Epic Energy’s invoice</w:t>
      </w:r>
      <w:r w:rsidR="002706A5" w:rsidRPr="006565E9">
        <w:rPr>
          <w:lang w:eastAsia="en-US"/>
        </w:rPr>
        <w:t>; and</w:t>
      </w:r>
    </w:p>
    <w:p w:rsidR="00756C23" w:rsidRPr="006565E9" w:rsidRDefault="00756C23" w:rsidP="00756C23">
      <w:pPr>
        <w:numPr>
          <w:ilvl w:val="0"/>
          <w:numId w:val="46"/>
        </w:numPr>
        <w:spacing w:after="240"/>
        <w:rPr>
          <w:lang w:eastAsia="en-US"/>
        </w:rPr>
      </w:pPr>
      <w:r w:rsidRPr="006565E9">
        <w:rPr>
          <w:lang w:eastAsia="en-US"/>
        </w:rPr>
        <w:t>confirmation that the costs claimed for MOS allocation service costs are not offset by benefits related to Epic Energy</w:t>
      </w:r>
      <w:r w:rsidRPr="006565E9">
        <w:rPr>
          <w:rFonts w:hint="eastAsia"/>
          <w:lang w:eastAsia="en-US"/>
        </w:rPr>
        <w:t>’</w:t>
      </w:r>
      <w:r w:rsidRPr="006565E9">
        <w:rPr>
          <w:lang w:eastAsia="en-US"/>
        </w:rPr>
        <w:t xml:space="preserve">s other STTM activities. </w:t>
      </w:r>
    </w:p>
    <w:p w:rsidR="00756C23" w:rsidRPr="006565E9" w:rsidRDefault="00756C23" w:rsidP="00756C23">
      <w:pPr>
        <w:spacing w:after="240"/>
        <w:rPr>
          <w:lang w:eastAsia="en-US"/>
        </w:rPr>
      </w:pPr>
      <w:r w:rsidRPr="006565E9">
        <w:rPr>
          <w:lang w:eastAsia="en-US"/>
        </w:rPr>
        <w:lastRenderedPageBreak/>
        <w:t>Epic Energy responded to our information request on 4 September 2013.</w:t>
      </w:r>
      <w:r w:rsidRPr="006565E9">
        <w:rPr>
          <w:vertAlign w:val="superscript"/>
          <w:lang w:eastAsia="en-US"/>
        </w:rPr>
        <w:footnoteReference w:id="18"/>
      </w:r>
      <w:r w:rsidR="0068644A" w:rsidRPr="006565E9">
        <w:rPr>
          <w:lang w:eastAsia="en-US"/>
        </w:rPr>
        <w:t xml:space="preserve"> </w:t>
      </w:r>
      <w:r w:rsidRPr="006565E9">
        <w:rPr>
          <w:lang w:eastAsia="en-US"/>
        </w:rPr>
        <w:t>Epic Energy has claimed this information to be confidential. Our review of this confidential information is set out at Appendix A to this determination.</w:t>
      </w:r>
    </w:p>
    <w:p w:rsidR="002706A5" w:rsidRPr="006565E9" w:rsidRDefault="00856445" w:rsidP="00BD1761">
      <w:pPr>
        <w:spacing w:after="240"/>
      </w:pPr>
      <w:r w:rsidRPr="006565E9">
        <w:rPr>
          <w:lang w:eastAsia="en-US"/>
        </w:rPr>
        <w:t>Based on our assessment of inf</w:t>
      </w:r>
      <w:r w:rsidR="0068644A" w:rsidRPr="006565E9">
        <w:rPr>
          <w:lang w:eastAsia="en-US"/>
        </w:rPr>
        <w:t>ormation set out in Appendix A, w</w:t>
      </w:r>
      <w:r w:rsidR="002706A5" w:rsidRPr="006565E9">
        <w:t xml:space="preserve">e are satisfied that that the cost categories and activities claimed for in Epic Energy’s 2013 invoice are for MOS allocation service costs. We are also satisfied </w:t>
      </w:r>
      <w:r w:rsidR="00727A8F">
        <w:t>with</w:t>
      </w:r>
      <w:r w:rsidR="00727A8F" w:rsidRPr="006565E9">
        <w:t xml:space="preserve"> </w:t>
      </w:r>
      <w:r w:rsidR="002706A5" w:rsidRPr="006565E9">
        <w:t>Epic Energy’s approach to calculating these expenditures.</w:t>
      </w:r>
    </w:p>
    <w:p w:rsidR="002706A5" w:rsidRPr="006565E9" w:rsidRDefault="002706A5" w:rsidP="002706A5">
      <w:pPr>
        <w:pStyle w:val="AERbodytext"/>
      </w:pPr>
      <w:r w:rsidRPr="006565E9">
        <w:t>Based on the information provided, we are satisfied that the MOS allocation service costs specified in Epic Energy’s 2013 invoice for the MAPS are not offset by benefits reasonably available to Epic Energy in relation to its other activities.</w:t>
      </w:r>
      <w:r w:rsidRPr="006565E9">
        <w:rPr>
          <w:rStyle w:val="FootnoteReference"/>
        </w:rPr>
        <w:footnoteReference w:id="19"/>
      </w:r>
      <w:r w:rsidRPr="006565E9">
        <w:t xml:space="preserve"> Therefore, we consider that the costs specified in Epic Energy’s 2013 invoice satisf</w:t>
      </w:r>
      <w:r w:rsidR="00A2136F" w:rsidRPr="006565E9">
        <w:t>y</w:t>
      </w:r>
      <w:r w:rsidRPr="006565E9">
        <w:t xml:space="preserve"> the definition of MOS allocation service costs </w:t>
      </w:r>
      <w:r w:rsidR="00A2136F" w:rsidRPr="006565E9">
        <w:t xml:space="preserve">under </w:t>
      </w:r>
      <w:r w:rsidRPr="006565E9">
        <w:t xml:space="preserve">rule 364 of the NGR. </w:t>
      </w:r>
    </w:p>
    <w:p w:rsidR="00B23DCD" w:rsidRPr="006565E9" w:rsidRDefault="00B23DCD" w:rsidP="002706A5">
      <w:pPr>
        <w:pStyle w:val="AERbodytext"/>
      </w:pPr>
      <w:r w:rsidRPr="006565E9">
        <w:t>In assessing whether the costs specified in Epic Energy’s tax invoice are reasonable MOS allocation service costs, we compared the input costs (such as labour rates, labour hours and material costs) claimed in Epic Energy’s 2013 invoice against those input costs claimed in its 2012 invoice. We also compared Epic Energy’s input costs against similar cost categories in claimed in the other STTM pipeline operator’s 2013 invoices.  We are satisfied that the i</w:t>
      </w:r>
      <w:r w:rsidR="00DB238B">
        <w:t>nput costs used by Epic Energy</w:t>
      </w:r>
      <w:r w:rsidRPr="006565E9">
        <w:t xml:space="preserve"> are reasonable</w:t>
      </w:r>
      <w:r w:rsidR="00D2764B" w:rsidRPr="006565E9">
        <w:t xml:space="preserve"> </w:t>
      </w:r>
      <w:r w:rsidR="00D2764B">
        <w:t>when compared with</w:t>
      </w:r>
      <w:r w:rsidR="00D2764B" w:rsidRPr="006565E9">
        <w:t xml:space="preserve"> its previous</w:t>
      </w:r>
      <w:r w:rsidR="00D2764B">
        <w:t xml:space="preserve"> year’s</w:t>
      </w:r>
      <w:r w:rsidR="00D2764B" w:rsidRPr="006565E9">
        <w:t xml:space="preserve"> expenditures and</w:t>
      </w:r>
      <w:r w:rsidR="00D2764B">
        <w:t xml:space="preserve"> those of other service providers</w:t>
      </w:r>
      <w:r w:rsidR="00D2764B" w:rsidRPr="006565E9">
        <w:t xml:space="preserve">.   </w:t>
      </w:r>
    </w:p>
    <w:p w:rsidR="00D2764B" w:rsidRPr="006565E9" w:rsidRDefault="002706A5" w:rsidP="002706A5">
      <w:pPr>
        <w:pStyle w:val="AERbodytext"/>
      </w:pPr>
      <w:r w:rsidRPr="006565E9">
        <w:t xml:space="preserve">We also </w:t>
      </w:r>
      <w:r w:rsidR="0068644A" w:rsidRPr="006565E9">
        <w:t xml:space="preserve">considered </w:t>
      </w:r>
      <w:r w:rsidRPr="006565E9">
        <w:t xml:space="preserve">the estimated MOS allocation service costs Epic Energy provided to AEMO </w:t>
      </w:r>
      <w:r w:rsidR="00584A26" w:rsidRPr="006565E9">
        <w:t>in January 2012. The 2013 claim</w:t>
      </w:r>
      <w:r w:rsidRPr="006565E9">
        <w:t xml:space="preserve"> for the MAPS ($77,837.44 (excluding GST)) is lower than the cost estimate of </w:t>
      </w:r>
      <w:r w:rsidR="00584A26" w:rsidRPr="006565E9">
        <w:t>$234,803</w:t>
      </w:r>
      <w:r w:rsidRPr="006565E9">
        <w:t xml:space="preserve">. </w:t>
      </w:r>
      <w:r w:rsidR="00C858DE" w:rsidRPr="006565E9">
        <w:t xml:space="preserve">In addition, we compared the 2013 claim against Epic Energy’s 2012 invoice. The 2013 claim is lower than costs claimed in 2012 ($123,984). </w:t>
      </w:r>
      <w:r w:rsidR="00D2764B" w:rsidRPr="006565E9">
        <w:t>We consider th</w:t>
      </w:r>
      <w:r w:rsidR="00D2764B">
        <w:t>ese</w:t>
      </w:r>
      <w:r w:rsidR="00D2764B" w:rsidRPr="006565E9">
        <w:t xml:space="preserve"> to be an indication of improvement in </w:t>
      </w:r>
      <w:r w:rsidR="00D2764B">
        <w:t>Epic Energy</w:t>
      </w:r>
      <w:r w:rsidR="00D2764B" w:rsidRPr="006565E9">
        <w:t>’s processes for providing MOS allocation services.</w:t>
      </w:r>
    </w:p>
    <w:p w:rsidR="0001795D" w:rsidRPr="006601E1" w:rsidRDefault="002706A5" w:rsidP="002706A5">
      <w:pPr>
        <w:pStyle w:val="AERbodytext"/>
      </w:pPr>
      <w:r w:rsidRPr="006565E9">
        <w:t>Based on our review set out at Appendix A and having had regard to information set out above, the we consider that the costs specified in Epic Energy’s tax invoice for the MA</w:t>
      </w:r>
      <w:r w:rsidR="0068644A" w:rsidRPr="006565E9">
        <w:t>P</w:t>
      </w:r>
      <w:r w:rsidRPr="006565E9">
        <w:t>S for financial year 2012–13 to be reasonable MOS allocation service costs.</w:t>
      </w:r>
    </w:p>
    <w:sectPr w:rsidR="0001795D" w:rsidRPr="006601E1" w:rsidSect="00A87FEA">
      <w:headerReference w:type="even" r:id="rId10"/>
      <w:headerReference w:type="default" r:id="rId11"/>
      <w:footerReference w:type="even" r:id="rId12"/>
      <w:footerReference w:type="default" r:id="rId1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9EA" w:rsidRDefault="00D909EA" w:rsidP="00BB640B">
      <w:r>
        <w:separator/>
      </w:r>
    </w:p>
    <w:p w:rsidR="00D909EA" w:rsidRDefault="00D909EA"/>
    <w:p w:rsidR="00D909EA" w:rsidRDefault="00D909EA"/>
  </w:endnote>
  <w:endnote w:type="continuationSeparator" w:id="0">
    <w:p w:rsidR="00D909EA" w:rsidRDefault="00D909EA" w:rsidP="00BB640B">
      <w:r>
        <w:continuationSeparator/>
      </w:r>
    </w:p>
    <w:p w:rsidR="00D909EA" w:rsidRDefault="00D909EA"/>
    <w:p w:rsidR="00D909EA" w:rsidRDefault="00D90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EA" w:rsidRDefault="00D909EA" w:rsidP="001A7245">
    <w:r>
      <w:rPr>
        <w:rStyle w:val="PageNumber"/>
      </w:rPr>
      <w:fldChar w:fldCharType="begin"/>
    </w:r>
    <w:r>
      <w:rPr>
        <w:rStyle w:val="PageNumber"/>
      </w:rPr>
      <w:instrText xml:space="preserve"> PAGE </w:instrText>
    </w:r>
    <w:r>
      <w:rPr>
        <w:rStyle w:val="PageNumber"/>
      </w:rPr>
      <w:fldChar w:fldCharType="separate"/>
    </w:r>
    <w:r w:rsidRPr="001A7245">
      <w:rPr>
        <w:rStyle w:val="PageNumber"/>
      </w:rPr>
      <w:t>2</w:t>
    </w:r>
    <w:r>
      <w:rPr>
        <w:rStyle w:val="PageNumber"/>
      </w:rPr>
      <w:fldChar w:fldCharType="end"/>
    </w:r>
    <w:r>
      <w:rPr>
        <w:rStyle w:val="PageNumber"/>
      </w:rPr>
      <w:tab/>
    </w:r>
    <w:r w:rsidRPr="001A7245">
      <w:t>Chapter Heading</w:t>
    </w:r>
    <w:r>
      <w:t xml:space="preserve"> | Aer Determination Heading</w:t>
    </w:r>
  </w:p>
  <w:p w:rsidR="00D909EA" w:rsidRDefault="00D909EA"/>
  <w:p w:rsidR="00D909EA" w:rsidRDefault="00D909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EA" w:rsidRDefault="00D909EA" w:rsidP="005D55DE">
    <w:r>
      <w:t>AER Determination – 2012–13 MOS allocation service costs</w:t>
    </w:r>
    <w:r>
      <w:tab/>
      <w:t xml:space="preserve">                                      </w:t>
    </w:r>
    <w:r>
      <w:rPr>
        <w:rStyle w:val="PageNumber"/>
      </w:rPr>
      <w:fldChar w:fldCharType="begin"/>
    </w:r>
    <w:r>
      <w:rPr>
        <w:rStyle w:val="PageNumber"/>
      </w:rPr>
      <w:instrText xml:space="preserve"> PAGE </w:instrText>
    </w:r>
    <w:r>
      <w:rPr>
        <w:rStyle w:val="PageNumber"/>
      </w:rPr>
      <w:fldChar w:fldCharType="separate"/>
    </w:r>
    <w:r w:rsidR="002E20D9">
      <w:rPr>
        <w:rStyle w:val="PageNumber"/>
        <w:noProof/>
      </w:rPr>
      <w:t>16</w:t>
    </w:r>
    <w:r>
      <w:rPr>
        <w:rStyle w:val="PageNumber"/>
      </w:rPr>
      <w:fldChar w:fldCharType="end"/>
    </w:r>
  </w:p>
  <w:p w:rsidR="00D909EA" w:rsidRDefault="00D909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9EA" w:rsidRDefault="00D909EA" w:rsidP="00BB640B">
      <w:r>
        <w:separator/>
      </w:r>
    </w:p>
    <w:p w:rsidR="00D909EA" w:rsidRDefault="00D909EA"/>
  </w:footnote>
  <w:footnote w:type="continuationSeparator" w:id="0">
    <w:p w:rsidR="00D909EA" w:rsidRDefault="00D909EA" w:rsidP="00BB640B">
      <w:r>
        <w:continuationSeparator/>
      </w:r>
    </w:p>
    <w:p w:rsidR="00D909EA" w:rsidRDefault="00D909EA"/>
    <w:p w:rsidR="00D909EA" w:rsidRDefault="00D909EA"/>
  </w:footnote>
  <w:footnote w:id="1">
    <w:p w:rsidR="00D909EA" w:rsidRDefault="00D909EA" w:rsidP="0053357A">
      <w:pPr>
        <w:pStyle w:val="FootnoteText"/>
      </w:pPr>
      <w:r>
        <w:rPr>
          <w:rStyle w:val="FootnoteReference"/>
        </w:rPr>
        <w:footnoteRef/>
      </w:r>
      <w:r>
        <w:t xml:space="preserve"> </w:t>
      </w:r>
      <w:r>
        <w:tab/>
        <w:t xml:space="preserve">Email from AEMO to AER, 2012-13 STTM pipeline operator’s MOS costs, 14 August 2013.  </w:t>
      </w:r>
    </w:p>
  </w:footnote>
  <w:footnote w:id="2">
    <w:p w:rsidR="00D909EA" w:rsidRDefault="00D909EA" w:rsidP="0004373B">
      <w:pPr>
        <w:pStyle w:val="FootnoteText"/>
      </w:pPr>
      <w:r>
        <w:rPr>
          <w:rStyle w:val="FootnoteReference"/>
        </w:rPr>
        <w:footnoteRef/>
      </w:r>
      <w:r>
        <w:t xml:space="preserve"> </w:t>
      </w:r>
      <w:r>
        <w:tab/>
        <w:t xml:space="preserve">Rule 364 of the National Gas Rules (NGR). </w:t>
      </w:r>
    </w:p>
  </w:footnote>
  <w:footnote w:id="3">
    <w:p w:rsidR="00D909EA" w:rsidRDefault="00D909EA" w:rsidP="00E1218A">
      <w:pPr>
        <w:pStyle w:val="FootnoteText"/>
      </w:pPr>
      <w:r>
        <w:rPr>
          <w:rStyle w:val="FootnoteReference"/>
        </w:rPr>
        <w:footnoteRef/>
      </w:r>
      <w:r>
        <w:t xml:space="preserve"> </w:t>
      </w:r>
      <w:r>
        <w:tab/>
        <w:t xml:space="preserve">Rule 364 of the National Gas Rules (NGR). </w:t>
      </w:r>
    </w:p>
  </w:footnote>
  <w:footnote w:id="4">
    <w:p w:rsidR="00D909EA" w:rsidRDefault="00D909EA">
      <w:pPr>
        <w:pStyle w:val="FootnoteText"/>
      </w:pPr>
      <w:r>
        <w:rPr>
          <w:rStyle w:val="FootnoteReference"/>
        </w:rPr>
        <w:footnoteRef/>
      </w:r>
      <w:r>
        <w:t xml:space="preserve"> </w:t>
      </w:r>
      <w:r>
        <w:tab/>
        <w:t xml:space="preserve">We note that version 18 of the NGR applied during the period in which the 2013 documents were received from AEMO. </w:t>
      </w:r>
    </w:p>
  </w:footnote>
  <w:footnote w:id="5">
    <w:p w:rsidR="00D909EA" w:rsidRDefault="00D909EA" w:rsidP="00E91640">
      <w:pPr>
        <w:pStyle w:val="FootnoteText"/>
      </w:pPr>
      <w:r>
        <w:rPr>
          <w:rStyle w:val="FootnoteReference"/>
        </w:rPr>
        <w:footnoteRef/>
      </w:r>
      <w:r>
        <w:t xml:space="preserve"> </w:t>
      </w:r>
      <w:r>
        <w:tab/>
        <w:t xml:space="preserve">Letter from AEMO to AER, request for AER decision on amount payable for STTM MOS allocation service costs, 14 August 2013. </w:t>
      </w:r>
    </w:p>
  </w:footnote>
  <w:footnote w:id="6">
    <w:p w:rsidR="00D909EA" w:rsidRDefault="00D909EA" w:rsidP="0021667F">
      <w:pPr>
        <w:pStyle w:val="FootnoteText"/>
      </w:pPr>
      <w:r>
        <w:rPr>
          <w:rStyle w:val="FootnoteReference"/>
        </w:rPr>
        <w:footnoteRef/>
      </w:r>
      <w:r>
        <w:t xml:space="preserve"> </w:t>
      </w:r>
      <w:r>
        <w:tab/>
        <w:t>Email from AER to Epic Energy, AER information request on Epic Energy’s MOS allocation service costs 1 July 2012 to 30 June 2013, 23 August 2013. Email from Epic Energy to AER, AER information request on Epic Energy’s MOS allocation service costs 1 July 2012 to 30 June 2013, 4 September 2013.</w:t>
      </w:r>
    </w:p>
  </w:footnote>
  <w:footnote w:id="7">
    <w:p w:rsidR="00D909EA" w:rsidRDefault="00D909EA" w:rsidP="0053357A">
      <w:pPr>
        <w:pStyle w:val="FootnoteText"/>
      </w:pPr>
      <w:r>
        <w:rPr>
          <w:rStyle w:val="FootnoteReference"/>
        </w:rPr>
        <w:footnoteRef/>
      </w:r>
      <w:r>
        <w:t xml:space="preserve"> </w:t>
      </w:r>
      <w:r>
        <w:tab/>
        <w:t xml:space="preserve">Email from AEMO to AER, 2012-13 STTM pipeline operator’s MOS costs, 14 August 2013. </w:t>
      </w:r>
    </w:p>
  </w:footnote>
  <w:footnote w:id="8">
    <w:p w:rsidR="00D909EA" w:rsidRDefault="00D909EA">
      <w:pPr>
        <w:pStyle w:val="FootnoteText"/>
      </w:pPr>
      <w:r>
        <w:rPr>
          <w:rStyle w:val="FootnoteReference"/>
        </w:rPr>
        <w:footnoteRef/>
      </w:r>
      <w:r>
        <w:t xml:space="preserve"> </w:t>
      </w:r>
      <w:r>
        <w:tab/>
        <w:t xml:space="preserve">Letter from AEMO to AER, request for AER decision on amount payable for STTM MOS allocation service costs, 14 August 2013. </w:t>
      </w:r>
    </w:p>
  </w:footnote>
  <w:footnote w:id="9">
    <w:p w:rsidR="00D909EA" w:rsidRDefault="00D909EA" w:rsidP="00DE4F9D">
      <w:pPr>
        <w:pStyle w:val="FootnoteText"/>
      </w:pPr>
      <w:r>
        <w:rPr>
          <w:rStyle w:val="FootnoteReference"/>
        </w:rPr>
        <w:footnoteRef/>
      </w:r>
      <w:r>
        <w:t xml:space="preserve"> </w:t>
      </w:r>
      <w:r>
        <w:tab/>
        <w:t>Letter from APA Group to AEMO, FY 13 MOS costs claim for Moomba to Sydney pipeline, 24 July 2013. Letter from APA Group to AEMO, FY 13 MOS costs claim for Roma to Brisbane pipeline, 24 July 2013.</w:t>
      </w:r>
    </w:p>
  </w:footnote>
  <w:footnote w:id="10">
    <w:p w:rsidR="00D909EA" w:rsidRDefault="00D909EA" w:rsidP="00A20842">
      <w:pPr>
        <w:pStyle w:val="FootnoteText"/>
      </w:pPr>
      <w:r>
        <w:rPr>
          <w:rStyle w:val="FootnoteReference"/>
        </w:rPr>
        <w:footnoteRef/>
      </w:r>
      <w:r>
        <w:t xml:space="preserve"> </w:t>
      </w:r>
      <w:r>
        <w:tab/>
        <w:t>Letter from APA Group to AEMO, FY 13 MOS costs claim for Moomba to Sydney pipeline, 24 July 2013, p.2.</w:t>
      </w:r>
      <w:r w:rsidRPr="00A20842">
        <w:t xml:space="preserve"> </w:t>
      </w:r>
      <w:r>
        <w:t>Letter from APA Group to AEMO, FY 13 MOS costs claim for Roma to Brisbane pipeline, 24 July 2013, p. 2.</w:t>
      </w:r>
    </w:p>
  </w:footnote>
  <w:footnote w:id="11">
    <w:p w:rsidR="00D909EA" w:rsidRDefault="00D909EA" w:rsidP="00B77BB6">
      <w:pPr>
        <w:pStyle w:val="FootnoteText"/>
      </w:pPr>
      <w:r>
        <w:rPr>
          <w:rStyle w:val="FootnoteReference"/>
        </w:rPr>
        <w:footnoteRef/>
      </w:r>
      <w:r>
        <w:t xml:space="preserve"> </w:t>
      </w:r>
      <w:r>
        <w:tab/>
        <w:t xml:space="preserve">A requirement for MOS allocation service costs defined under r. 364 of the NGR. </w:t>
      </w:r>
    </w:p>
  </w:footnote>
  <w:footnote w:id="12">
    <w:p w:rsidR="00D909EA" w:rsidRDefault="00D909EA" w:rsidP="0016605E">
      <w:pPr>
        <w:pStyle w:val="FootnoteText"/>
      </w:pPr>
      <w:r>
        <w:rPr>
          <w:rStyle w:val="FootnoteReference"/>
        </w:rPr>
        <w:footnoteRef/>
      </w:r>
      <w:r>
        <w:t xml:space="preserve"> </w:t>
      </w:r>
      <w:r>
        <w:tab/>
        <w:t xml:space="preserve">Letter from Jemena to AEMO, Short Term Trading Market MOS Allocation Service Costs, 9 July 2013. </w:t>
      </w:r>
    </w:p>
  </w:footnote>
  <w:footnote w:id="13">
    <w:p w:rsidR="00D909EA" w:rsidRDefault="00D909EA" w:rsidP="00D643CE">
      <w:pPr>
        <w:pStyle w:val="FootnoteText"/>
      </w:pPr>
      <w:r>
        <w:rPr>
          <w:rStyle w:val="FootnoteReference"/>
        </w:rPr>
        <w:footnoteRef/>
      </w:r>
      <w:r>
        <w:t xml:space="preserve"> </w:t>
      </w:r>
      <w:r>
        <w:tab/>
        <w:t xml:space="preserve">Letter from Jemena to AEMO, Short Term Trading Market MOS Allocation Service Costs, 9 July 2013. </w:t>
      </w:r>
    </w:p>
  </w:footnote>
  <w:footnote w:id="14">
    <w:p w:rsidR="00D909EA" w:rsidRDefault="00D909EA" w:rsidP="00FC608C">
      <w:pPr>
        <w:pStyle w:val="FootnoteText"/>
      </w:pPr>
      <w:r>
        <w:rPr>
          <w:rStyle w:val="FootnoteReference"/>
        </w:rPr>
        <w:footnoteRef/>
      </w:r>
      <w:r>
        <w:t xml:space="preserve"> </w:t>
      </w:r>
      <w:r>
        <w:tab/>
        <w:t xml:space="preserve">A requirement for MOS allocation service costs defined under r. 364 of the NGR. </w:t>
      </w:r>
    </w:p>
  </w:footnote>
  <w:footnote w:id="15">
    <w:p w:rsidR="00D909EA" w:rsidRDefault="00D909EA" w:rsidP="00923656">
      <w:pPr>
        <w:pStyle w:val="FootnoteText"/>
      </w:pPr>
      <w:r>
        <w:rPr>
          <w:rStyle w:val="FootnoteReference"/>
        </w:rPr>
        <w:footnoteRef/>
      </w:r>
      <w:r>
        <w:t xml:space="preserve"> </w:t>
      </w:r>
      <w:r>
        <w:tab/>
        <w:t>Letter from SEAGas to AEMO, SEAGas MOS allocation service costs for the year ending 30 June 2013, 25 July 2013.</w:t>
      </w:r>
    </w:p>
  </w:footnote>
  <w:footnote w:id="16">
    <w:p w:rsidR="00D909EA" w:rsidRDefault="00D909EA" w:rsidP="00C11807">
      <w:pPr>
        <w:pStyle w:val="FootnoteText"/>
      </w:pPr>
      <w:r>
        <w:rPr>
          <w:rStyle w:val="FootnoteReference"/>
        </w:rPr>
        <w:footnoteRef/>
      </w:r>
      <w:r>
        <w:t xml:space="preserve"> </w:t>
      </w:r>
      <w:r>
        <w:tab/>
        <w:t xml:space="preserve">A requirement for MOS allocation service costs defined under r. 364 of the NGR. </w:t>
      </w:r>
    </w:p>
  </w:footnote>
  <w:footnote w:id="17">
    <w:p w:rsidR="00D909EA" w:rsidRDefault="00D909EA" w:rsidP="00756C23">
      <w:pPr>
        <w:pStyle w:val="FootnoteText"/>
      </w:pPr>
      <w:r>
        <w:rPr>
          <w:rStyle w:val="FootnoteReference"/>
        </w:rPr>
        <w:footnoteRef/>
      </w:r>
      <w:r>
        <w:t xml:space="preserve"> </w:t>
      </w:r>
      <w:r>
        <w:tab/>
        <w:t xml:space="preserve">Email from AER to Epic Energy, AER information request on Epic Energy’s MOS allocation service costs </w:t>
      </w:r>
      <w:r w:rsidR="000B574F">
        <w:br/>
      </w:r>
      <w:r>
        <w:t xml:space="preserve">1 July 2012 to 30 June 2013, 23 August 2013. </w:t>
      </w:r>
    </w:p>
  </w:footnote>
  <w:footnote w:id="18">
    <w:p w:rsidR="00D909EA" w:rsidRDefault="00D909EA" w:rsidP="00756C23">
      <w:pPr>
        <w:pStyle w:val="FootnoteText"/>
      </w:pPr>
      <w:r>
        <w:rPr>
          <w:rStyle w:val="FootnoteReference"/>
        </w:rPr>
        <w:footnoteRef/>
      </w:r>
      <w:r>
        <w:t xml:space="preserve"> </w:t>
      </w:r>
      <w:r>
        <w:tab/>
        <w:t xml:space="preserve">Email from Epic Energy to AER, AER information request on Epic Energy’s MOS allocation service costs </w:t>
      </w:r>
      <w:r>
        <w:br/>
        <w:t>1 July 2012 to 30 June 2013, 4 September 2013.</w:t>
      </w:r>
    </w:p>
  </w:footnote>
  <w:footnote w:id="19">
    <w:p w:rsidR="00D909EA" w:rsidRDefault="00D909EA" w:rsidP="002706A5">
      <w:pPr>
        <w:pStyle w:val="FootnoteText"/>
      </w:pPr>
      <w:r>
        <w:rPr>
          <w:rStyle w:val="FootnoteReference"/>
        </w:rPr>
        <w:footnoteRef/>
      </w:r>
      <w:r>
        <w:t xml:space="preserve"> </w:t>
      </w:r>
      <w:r>
        <w:tab/>
        <w:t xml:space="preserve">A requirement for MOS allocation service costs defined under r. 364 of the NGR.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EA" w:rsidRDefault="00D909EA"/>
  <w:p w:rsidR="00D909EA" w:rsidRDefault="00D909EA"/>
  <w:p w:rsidR="00D909EA" w:rsidRDefault="00D909EA"/>
  <w:p w:rsidR="00D909EA" w:rsidRDefault="00D909EA"/>
  <w:p w:rsidR="00D909EA" w:rsidRDefault="00D909EA"/>
  <w:p w:rsidR="00D909EA" w:rsidRDefault="00D909EA"/>
  <w:p w:rsidR="00D909EA" w:rsidRDefault="00D909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EA" w:rsidRDefault="00D909EA"/>
  <w:p w:rsidR="00D909EA" w:rsidRDefault="00D909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480F"/>
    <w:multiLevelType w:val="hybridMultilevel"/>
    <w:tmpl w:val="6018D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C361D2C"/>
    <w:multiLevelType w:val="hybridMultilevel"/>
    <w:tmpl w:val="A9360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517D24"/>
    <w:multiLevelType w:val="hybridMultilevel"/>
    <w:tmpl w:val="66B0C8D4"/>
    <w:lvl w:ilvl="0" w:tplc="ED1E2CD6">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3">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58F54B2"/>
    <w:multiLevelType w:val="hybridMultilevel"/>
    <w:tmpl w:val="0C8A47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69D391D"/>
    <w:multiLevelType w:val="multilevel"/>
    <w:tmpl w:val="A59CC22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18EB3457"/>
    <w:multiLevelType w:val="hybridMultilevel"/>
    <w:tmpl w:val="7464B4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22967CA8"/>
    <w:multiLevelType w:val="hybridMultilevel"/>
    <w:tmpl w:val="191A6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47313B2"/>
    <w:multiLevelType w:val="hybridMultilevel"/>
    <w:tmpl w:val="9C8C130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0">
    <w:nsid w:val="25A018B6"/>
    <w:multiLevelType w:val="hybridMultilevel"/>
    <w:tmpl w:val="6BFAC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A6A7125"/>
    <w:multiLevelType w:val="hybridMultilevel"/>
    <w:tmpl w:val="BDF29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D03233"/>
    <w:multiLevelType w:val="hybridMultilevel"/>
    <w:tmpl w:val="CA1C2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FB612CC"/>
    <w:multiLevelType w:val="multilevel"/>
    <w:tmpl w:val="1492709C"/>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4">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357764B6"/>
    <w:multiLevelType w:val="hybridMultilevel"/>
    <w:tmpl w:val="C896D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146CEF"/>
    <w:multiLevelType w:val="hybridMultilevel"/>
    <w:tmpl w:val="AF1C730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7">
    <w:nsid w:val="3AF336BC"/>
    <w:multiLevelType w:val="hybridMultilevel"/>
    <w:tmpl w:val="955A02CC"/>
    <w:lvl w:ilvl="0" w:tplc="E392E444">
      <w:start w:val="1"/>
      <w:numFmt w:val="bullet"/>
      <w:lvlText w:val=""/>
      <w:lvlJc w:val="left"/>
      <w:pPr>
        <w:ind w:left="720" w:hanging="360"/>
      </w:pPr>
      <w:rPr>
        <w:rFonts w:ascii="Wingdings" w:hAnsi="Wingdings" w:hint="default"/>
      </w:rPr>
    </w:lvl>
    <w:lvl w:ilvl="1" w:tplc="8DB26896" w:tentative="1">
      <w:start w:val="1"/>
      <w:numFmt w:val="bullet"/>
      <w:lvlText w:val="o"/>
      <w:lvlJc w:val="left"/>
      <w:pPr>
        <w:ind w:left="1440" w:hanging="360"/>
      </w:pPr>
      <w:rPr>
        <w:rFonts w:ascii="Courier New" w:hAnsi="Courier New" w:cs="Courier New" w:hint="default"/>
      </w:rPr>
    </w:lvl>
    <w:lvl w:ilvl="2" w:tplc="A4AE230E" w:tentative="1">
      <w:start w:val="1"/>
      <w:numFmt w:val="bullet"/>
      <w:lvlText w:val=""/>
      <w:lvlJc w:val="left"/>
      <w:pPr>
        <w:ind w:left="2160" w:hanging="360"/>
      </w:pPr>
      <w:rPr>
        <w:rFonts w:ascii="Wingdings" w:hAnsi="Wingdings" w:hint="default"/>
      </w:rPr>
    </w:lvl>
    <w:lvl w:ilvl="3" w:tplc="497EE10A" w:tentative="1">
      <w:start w:val="1"/>
      <w:numFmt w:val="bullet"/>
      <w:lvlText w:val=""/>
      <w:lvlJc w:val="left"/>
      <w:pPr>
        <w:ind w:left="2880" w:hanging="360"/>
      </w:pPr>
      <w:rPr>
        <w:rFonts w:ascii="Symbol" w:hAnsi="Symbol" w:hint="default"/>
      </w:rPr>
    </w:lvl>
    <w:lvl w:ilvl="4" w:tplc="BFD016BC" w:tentative="1">
      <w:start w:val="1"/>
      <w:numFmt w:val="bullet"/>
      <w:lvlText w:val="o"/>
      <w:lvlJc w:val="left"/>
      <w:pPr>
        <w:ind w:left="3600" w:hanging="360"/>
      </w:pPr>
      <w:rPr>
        <w:rFonts w:ascii="Courier New" w:hAnsi="Courier New" w:cs="Courier New" w:hint="default"/>
      </w:rPr>
    </w:lvl>
    <w:lvl w:ilvl="5" w:tplc="717623B2" w:tentative="1">
      <w:start w:val="1"/>
      <w:numFmt w:val="bullet"/>
      <w:lvlText w:val=""/>
      <w:lvlJc w:val="left"/>
      <w:pPr>
        <w:ind w:left="4320" w:hanging="360"/>
      </w:pPr>
      <w:rPr>
        <w:rFonts w:ascii="Wingdings" w:hAnsi="Wingdings" w:hint="default"/>
      </w:rPr>
    </w:lvl>
    <w:lvl w:ilvl="6" w:tplc="C39A912A" w:tentative="1">
      <w:start w:val="1"/>
      <w:numFmt w:val="bullet"/>
      <w:lvlText w:val=""/>
      <w:lvlJc w:val="left"/>
      <w:pPr>
        <w:ind w:left="5040" w:hanging="360"/>
      </w:pPr>
      <w:rPr>
        <w:rFonts w:ascii="Symbol" w:hAnsi="Symbol" w:hint="default"/>
      </w:rPr>
    </w:lvl>
    <w:lvl w:ilvl="7" w:tplc="68B8E0D0" w:tentative="1">
      <w:start w:val="1"/>
      <w:numFmt w:val="bullet"/>
      <w:lvlText w:val="o"/>
      <w:lvlJc w:val="left"/>
      <w:pPr>
        <w:ind w:left="5760" w:hanging="360"/>
      </w:pPr>
      <w:rPr>
        <w:rFonts w:ascii="Courier New" w:hAnsi="Courier New" w:cs="Courier New" w:hint="default"/>
      </w:rPr>
    </w:lvl>
    <w:lvl w:ilvl="8" w:tplc="4862590C" w:tentative="1">
      <w:start w:val="1"/>
      <w:numFmt w:val="bullet"/>
      <w:lvlText w:val=""/>
      <w:lvlJc w:val="left"/>
      <w:pPr>
        <w:ind w:left="6480" w:hanging="360"/>
      </w:pPr>
      <w:rPr>
        <w:rFonts w:ascii="Wingdings" w:hAnsi="Wingdings" w:hint="default"/>
      </w:rPr>
    </w:lvl>
  </w:abstractNum>
  <w:abstractNum w:abstractNumId="18">
    <w:nsid w:val="3C721288"/>
    <w:multiLevelType w:val="multilevel"/>
    <w:tmpl w:val="1492709C"/>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443F74CB"/>
    <w:multiLevelType w:val="hybridMultilevel"/>
    <w:tmpl w:val="550AFBE6"/>
    <w:lvl w:ilvl="0" w:tplc="921A7DDA">
      <w:start w:val="1"/>
      <w:numFmt w:val="decimal"/>
      <w:pStyle w:val="AERnumberedlistfirststyle"/>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0">
    <w:nsid w:val="454945AD"/>
    <w:multiLevelType w:val="hybridMultilevel"/>
    <w:tmpl w:val="85440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4C6F57"/>
    <w:multiLevelType w:val="hybridMultilevel"/>
    <w:tmpl w:val="385A4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1487971"/>
    <w:multiLevelType w:val="multilevel"/>
    <w:tmpl w:val="B478DFE6"/>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5684AE5"/>
    <w:multiLevelType w:val="hybridMultilevel"/>
    <w:tmpl w:val="D7C89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834A7D"/>
    <w:multiLevelType w:val="hybridMultilevel"/>
    <w:tmpl w:val="9094EE3A"/>
    <w:lvl w:ilvl="0" w:tplc="0C090015">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8E6262E"/>
    <w:multiLevelType w:val="hybridMultilevel"/>
    <w:tmpl w:val="B3AC6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BF0570"/>
    <w:multiLevelType w:val="hybridMultilevel"/>
    <w:tmpl w:val="2C38EE7E"/>
    <w:lvl w:ilvl="0" w:tplc="FFFFFFFF">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FFFFFFFF" w:tentative="1">
      <w:start w:val="1"/>
      <w:numFmt w:val="bullet"/>
      <w:lvlText w:val="o"/>
      <w:lvlJc w:val="left"/>
      <w:pPr>
        <w:tabs>
          <w:tab w:val="num" w:pos="1590"/>
        </w:tabs>
        <w:ind w:left="1590" w:hanging="360"/>
      </w:pPr>
      <w:rPr>
        <w:rFonts w:ascii="Courier New" w:hAnsi="Courier New" w:cs="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cs="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cs="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27">
    <w:nsid w:val="675448E7"/>
    <w:multiLevelType w:val="hybridMultilevel"/>
    <w:tmpl w:val="F98C0AD8"/>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28">
    <w:nsid w:val="68640D1C"/>
    <w:multiLevelType w:val="hybridMultilevel"/>
    <w:tmpl w:val="5E263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9C74F14"/>
    <w:multiLevelType w:val="hybridMultilevel"/>
    <w:tmpl w:val="E34EB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AF4507D"/>
    <w:multiLevelType w:val="hybridMultilevel"/>
    <w:tmpl w:val="19CE5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BB129D5"/>
    <w:multiLevelType w:val="hybridMultilevel"/>
    <w:tmpl w:val="234A2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6416512"/>
    <w:multiLevelType w:val="hybridMultilevel"/>
    <w:tmpl w:val="55E47EC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3">
    <w:nsid w:val="76A149FE"/>
    <w:multiLevelType w:val="multilevel"/>
    <w:tmpl w:val="343435D0"/>
    <w:lvl w:ilvl="0">
      <w:start w:val="1"/>
      <w:numFmt w:val="decimal"/>
      <w:pStyle w:val="AERheading1"/>
      <w:lvlText w:val="%1"/>
      <w:lvlJc w:val="left"/>
      <w:pPr>
        <w:tabs>
          <w:tab w:val="num" w:pos="-357"/>
        </w:tabs>
        <w:ind w:left="357" w:hanging="1071"/>
      </w:pPr>
      <w:rPr>
        <w:rFonts w:hint="default"/>
      </w:rPr>
    </w:lvl>
    <w:lvl w:ilvl="1">
      <w:start w:val="1"/>
      <w:numFmt w:val="decimal"/>
      <w:pStyle w:val="AERheading2"/>
      <w:lvlText w:val="%1.%2"/>
      <w:lvlJc w:val="left"/>
      <w:pPr>
        <w:tabs>
          <w:tab w:val="num" w:pos="-357"/>
        </w:tabs>
        <w:ind w:left="-357" w:hanging="357"/>
      </w:pPr>
      <w:rPr>
        <w:rFonts w:hint="default"/>
      </w:rPr>
    </w:lvl>
    <w:lvl w:ilvl="2">
      <w:start w:val="1"/>
      <w:numFmt w:val="decimal"/>
      <w:pStyle w:val="AERheading3"/>
      <w:lvlText w:val="%1.%2.%3"/>
      <w:lvlJc w:val="left"/>
      <w:pPr>
        <w:tabs>
          <w:tab w:val="num" w:pos="-357"/>
        </w:tabs>
        <w:ind w:left="-357" w:hanging="357"/>
      </w:pPr>
      <w:rPr>
        <w:rFonts w:hint="default"/>
      </w:rPr>
    </w:lvl>
    <w:lvl w:ilvl="3">
      <w:start w:val="1"/>
      <w:numFmt w:val="decimal"/>
      <w:lvlRestart w:val="0"/>
      <w:pStyle w:val="AERfigureheading"/>
      <w:lvlText w:val="Figure %1.%4"/>
      <w:lvlJc w:val="left"/>
      <w:pPr>
        <w:tabs>
          <w:tab w:val="num" w:pos="357"/>
        </w:tabs>
        <w:ind w:left="357" w:hanging="357"/>
      </w:pPr>
      <w:rPr>
        <w:rFonts w:hint="default"/>
      </w:rPr>
    </w:lvl>
    <w:lvl w:ilvl="4">
      <w:start w:val="1"/>
      <w:numFmt w:val="decimal"/>
      <w:lvlRestart w:val="1"/>
      <w:pStyle w:val="AERtabletitle"/>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35">
    <w:nsid w:val="7C4D68E3"/>
    <w:multiLevelType w:val="hybridMultilevel"/>
    <w:tmpl w:val="2C54E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4"/>
  </w:num>
  <w:num w:numId="2">
    <w:abstractNumId w:val="7"/>
  </w:num>
  <w:num w:numId="3">
    <w:abstractNumId w:val="26"/>
  </w:num>
  <w:num w:numId="4">
    <w:abstractNumId w:val="14"/>
  </w:num>
  <w:num w:numId="5">
    <w:abstractNumId w:val="2"/>
  </w:num>
  <w:num w:numId="6">
    <w:abstractNumId w:val="19"/>
  </w:num>
  <w:num w:numId="7">
    <w:abstractNumId w:val="14"/>
  </w:num>
  <w:num w:numId="8">
    <w:abstractNumId w:val="3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4"/>
  </w:num>
  <w:num w:numId="14">
    <w:abstractNumId w:val="24"/>
  </w:num>
  <w:num w:numId="15">
    <w:abstractNumId w:val="25"/>
  </w:num>
  <w:num w:numId="16">
    <w:abstractNumId w:val="33"/>
  </w:num>
  <w:num w:numId="17">
    <w:abstractNumId w:val="23"/>
  </w:num>
  <w:num w:numId="18">
    <w:abstractNumId w:val="8"/>
  </w:num>
  <w:num w:numId="19">
    <w:abstractNumId w:val="15"/>
  </w:num>
  <w:num w:numId="20">
    <w:abstractNumId w:val="0"/>
  </w:num>
  <w:num w:numId="21">
    <w:abstractNumId w:val="1"/>
  </w:num>
  <w:num w:numId="22">
    <w:abstractNumId w:val="19"/>
    <w:lvlOverride w:ilvl="0">
      <w:startOverride w:val="1"/>
    </w:lvlOverride>
  </w:num>
  <w:num w:numId="23">
    <w:abstractNumId w:val="22"/>
  </w:num>
  <w:num w:numId="24">
    <w:abstractNumId w:val="3"/>
  </w:num>
  <w:num w:numId="25">
    <w:abstractNumId w:val="13"/>
  </w:num>
  <w:num w:numId="26">
    <w:abstractNumId w:val="18"/>
  </w:num>
  <w:num w:numId="27">
    <w:abstractNumId w:val="17"/>
  </w:num>
  <w:num w:numId="28">
    <w:abstractNumId w:val="33"/>
  </w:num>
  <w:num w:numId="29">
    <w:abstractNumId w:val="33"/>
  </w:num>
  <w:num w:numId="30">
    <w:abstractNumId w:val="10"/>
  </w:num>
  <w:num w:numId="31">
    <w:abstractNumId w:val="20"/>
  </w:num>
  <w:num w:numId="32">
    <w:abstractNumId w:val="33"/>
  </w:num>
  <w:num w:numId="33">
    <w:abstractNumId w:val="33"/>
  </w:num>
  <w:num w:numId="34">
    <w:abstractNumId w:val="12"/>
  </w:num>
  <w:num w:numId="35">
    <w:abstractNumId w:val="30"/>
  </w:num>
  <w:num w:numId="36">
    <w:abstractNumId w:val="29"/>
  </w:num>
  <w:num w:numId="37">
    <w:abstractNumId w:val="28"/>
  </w:num>
  <w:num w:numId="38">
    <w:abstractNumId w:val="35"/>
  </w:num>
  <w:num w:numId="39">
    <w:abstractNumId w:val="27"/>
  </w:num>
  <w:num w:numId="40">
    <w:abstractNumId w:val="11"/>
  </w:num>
  <w:num w:numId="41">
    <w:abstractNumId w:val="16"/>
  </w:num>
  <w:num w:numId="42">
    <w:abstractNumId w:val="21"/>
  </w:num>
  <w:num w:numId="43">
    <w:abstractNumId w:val="6"/>
  </w:num>
  <w:num w:numId="44">
    <w:abstractNumId w:val="32"/>
  </w:num>
  <w:num w:numId="45">
    <w:abstractNumId w:val="9"/>
  </w:num>
  <w:num w:numId="46">
    <w:abstractNumId w:val="31"/>
  </w:num>
  <w:num w:numId="4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720"/>
  <w:characterSpacingControl w:val="doNotCompress"/>
  <w:hdrShapeDefaults>
    <o:shapedefaults v:ext="edit" spidmax="737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97E"/>
    <w:rsid w:val="000001EA"/>
    <w:rsid w:val="000008E4"/>
    <w:rsid w:val="00000A16"/>
    <w:rsid w:val="000018CD"/>
    <w:rsid w:val="00003D1F"/>
    <w:rsid w:val="00006C6E"/>
    <w:rsid w:val="00007372"/>
    <w:rsid w:val="00010143"/>
    <w:rsid w:val="00013B1A"/>
    <w:rsid w:val="00014480"/>
    <w:rsid w:val="0001795D"/>
    <w:rsid w:val="000209A4"/>
    <w:rsid w:val="00023FCC"/>
    <w:rsid w:val="00030D73"/>
    <w:rsid w:val="00032017"/>
    <w:rsid w:val="000324B2"/>
    <w:rsid w:val="00033443"/>
    <w:rsid w:val="000335E7"/>
    <w:rsid w:val="00034D94"/>
    <w:rsid w:val="0003617E"/>
    <w:rsid w:val="00042377"/>
    <w:rsid w:val="0004373B"/>
    <w:rsid w:val="00050148"/>
    <w:rsid w:val="00050BDB"/>
    <w:rsid w:val="000527B6"/>
    <w:rsid w:val="000562D1"/>
    <w:rsid w:val="000645D8"/>
    <w:rsid w:val="000719C3"/>
    <w:rsid w:val="00077A7F"/>
    <w:rsid w:val="00080143"/>
    <w:rsid w:val="00082837"/>
    <w:rsid w:val="00084AF4"/>
    <w:rsid w:val="000949E3"/>
    <w:rsid w:val="000977A3"/>
    <w:rsid w:val="000A105F"/>
    <w:rsid w:val="000A36A6"/>
    <w:rsid w:val="000A7006"/>
    <w:rsid w:val="000A7527"/>
    <w:rsid w:val="000A7BBA"/>
    <w:rsid w:val="000B0AF3"/>
    <w:rsid w:val="000B574F"/>
    <w:rsid w:val="000B5F9A"/>
    <w:rsid w:val="000C4806"/>
    <w:rsid w:val="000C69E6"/>
    <w:rsid w:val="000C6F69"/>
    <w:rsid w:val="000D1A10"/>
    <w:rsid w:val="000D53BB"/>
    <w:rsid w:val="000D67F0"/>
    <w:rsid w:val="000D6ACF"/>
    <w:rsid w:val="000D7C5F"/>
    <w:rsid w:val="000E0BF3"/>
    <w:rsid w:val="000E114B"/>
    <w:rsid w:val="000E27D0"/>
    <w:rsid w:val="000E620B"/>
    <w:rsid w:val="000F0DE0"/>
    <w:rsid w:val="000F1E4C"/>
    <w:rsid w:val="000F4511"/>
    <w:rsid w:val="000F7250"/>
    <w:rsid w:val="00101984"/>
    <w:rsid w:val="0010385C"/>
    <w:rsid w:val="00106E44"/>
    <w:rsid w:val="00107943"/>
    <w:rsid w:val="00110FF6"/>
    <w:rsid w:val="00112169"/>
    <w:rsid w:val="00112319"/>
    <w:rsid w:val="00115EFF"/>
    <w:rsid w:val="00116F42"/>
    <w:rsid w:val="0012073E"/>
    <w:rsid w:val="00122784"/>
    <w:rsid w:val="001247DF"/>
    <w:rsid w:val="00125FCB"/>
    <w:rsid w:val="001263F8"/>
    <w:rsid w:val="00126CB0"/>
    <w:rsid w:val="00130904"/>
    <w:rsid w:val="0013176E"/>
    <w:rsid w:val="001417E7"/>
    <w:rsid w:val="00142C13"/>
    <w:rsid w:val="001440D5"/>
    <w:rsid w:val="0014793E"/>
    <w:rsid w:val="00152708"/>
    <w:rsid w:val="001528C3"/>
    <w:rsid w:val="001543CE"/>
    <w:rsid w:val="00156896"/>
    <w:rsid w:val="00157C26"/>
    <w:rsid w:val="00161FBB"/>
    <w:rsid w:val="0016231F"/>
    <w:rsid w:val="00162749"/>
    <w:rsid w:val="00165F97"/>
    <w:rsid w:val="0016605E"/>
    <w:rsid w:val="00166932"/>
    <w:rsid w:val="00166BD4"/>
    <w:rsid w:val="00174633"/>
    <w:rsid w:val="00180576"/>
    <w:rsid w:val="00181040"/>
    <w:rsid w:val="00191CEA"/>
    <w:rsid w:val="001935FB"/>
    <w:rsid w:val="001936A2"/>
    <w:rsid w:val="001943AD"/>
    <w:rsid w:val="001A02AB"/>
    <w:rsid w:val="001A4686"/>
    <w:rsid w:val="001A4DC1"/>
    <w:rsid w:val="001A511F"/>
    <w:rsid w:val="001A7245"/>
    <w:rsid w:val="001B5ADF"/>
    <w:rsid w:val="001B6680"/>
    <w:rsid w:val="001B6745"/>
    <w:rsid w:val="001C286E"/>
    <w:rsid w:val="001C2D68"/>
    <w:rsid w:val="001C7715"/>
    <w:rsid w:val="001D147E"/>
    <w:rsid w:val="001D2C8B"/>
    <w:rsid w:val="001D3633"/>
    <w:rsid w:val="001D41E0"/>
    <w:rsid w:val="001D709F"/>
    <w:rsid w:val="001D73BB"/>
    <w:rsid w:val="001E2CFF"/>
    <w:rsid w:val="001E6D47"/>
    <w:rsid w:val="001F07C2"/>
    <w:rsid w:val="001F0F0C"/>
    <w:rsid w:val="001F3F22"/>
    <w:rsid w:val="001F4234"/>
    <w:rsid w:val="001F44DC"/>
    <w:rsid w:val="001F49B9"/>
    <w:rsid w:val="001F5C06"/>
    <w:rsid w:val="001F7B08"/>
    <w:rsid w:val="002051BB"/>
    <w:rsid w:val="002054E7"/>
    <w:rsid w:val="0021211A"/>
    <w:rsid w:val="002128CF"/>
    <w:rsid w:val="00212F9B"/>
    <w:rsid w:val="0021667F"/>
    <w:rsid w:val="00216C44"/>
    <w:rsid w:val="002177A7"/>
    <w:rsid w:val="00224675"/>
    <w:rsid w:val="00224D3A"/>
    <w:rsid w:val="002253FE"/>
    <w:rsid w:val="00226C2F"/>
    <w:rsid w:val="00227C0B"/>
    <w:rsid w:val="00227CB0"/>
    <w:rsid w:val="002318B9"/>
    <w:rsid w:val="002348B1"/>
    <w:rsid w:val="00234A36"/>
    <w:rsid w:val="00234E76"/>
    <w:rsid w:val="002371AC"/>
    <w:rsid w:val="00237BC9"/>
    <w:rsid w:val="0024071D"/>
    <w:rsid w:val="002453FA"/>
    <w:rsid w:val="00246522"/>
    <w:rsid w:val="0024706F"/>
    <w:rsid w:val="00250949"/>
    <w:rsid w:val="0025138B"/>
    <w:rsid w:val="002514A3"/>
    <w:rsid w:val="0025259F"/>
    <w:rsid w:val="00253778"/>
    <w:rsid w:val="002549A8"/>
    <w:rsid w:val="0025505E"/>
    <w:rsid w:val="002571CF"/>
    <w:rsid w:val="00257929"/>
    <w:rsid w:val="00257FC6"/>
    <w:rsid w:val="00263B12"/>
    <w:rsid w:val="002706A5"/>
    <w:rsid w:val="002714EF"/>
    <w:rsid w:val="00277D4A"/>
    <w:rsid w:val="00287B20"/>
    <w:rsid w:val="00291592"/>
    <w:rsid w:val="00293C99"/>
    <w:rsid w:val="00297389"/>
    <w:rsid w:val="00297507"/>
    <w:rsid w:val="002A036D"/>
    <w:rsid w:val="002A5567"/>
    <w:rsid w:val="002B1F49"/>
    <w:rsid w:val="002B5041"/>
    <w:rsid w:val="002C281F"/>
    <w:rsid w:val="002C59CB"/>
    <w:rsid w:val="002D0CD3"/>
    <w:rsid w:val="002D540B"/>
    <w:rsid w:val="002D6598"/>
    <w:rsid w:val="002E0A31"/>
    <w:rsid w:val="002E20D9"/>
    <w:rsid w:val="002E24AC"/>
    <w:rsid w:val="002E7FF6"/>
    <w:rsid w:val="002F0567"/>
    <w:rsid w:val="002F0C58"/>
    <w:rsid w:val="002F54DB"/>
    <w:rsid w:val="002F7A63"/>
    <w:rsid w:val="00310960"/>
    <w:rsid w:val="003115E3"/>
    <w:rsid w:val="0032055D"/>
    <w:rsid w:val="00321CED"/>
    <w:rsid w:val="00322E24"/>
    <w:rsid w:val="00323B70"/>
    <w:rsid w:val="00325931"/>
    <w:rsid w:val="00330392"/>
    <w:rsid w:val="003328B9"/>
    <w:rsid w:val="00332C06"/>
    <w:rsid w:val="00340937"/>
    <w:rsid w:val="003410AB"/>
    <w:rsid w:val="00341FF7"/>
    <w:rsid w:val="00342F9E"/>
    <w:rsid w:val="003448D8"/>
    <w:rsid w:val="0034494C"/>
    <w:rsid w:val="00344C07"/>
    <w:rsid w:val="00344F06"/>
    <w:rsid w:val="00345B81"/>
    <w:rsid w:val="00347DCA"/>
    <w:rsid w:val="00350E90"/>
    <w:rsid w:val="0036202F"/>
    <w:rsid w:val="0036232F"/>
    <w:rsid w:val="00363188"/>
    <w:rsid w:val="00364BE6"/>
    <w:rsid w:val="0036523E"/>
    <w:rsid w:val="00365C93"/>
    <w:rsid w:val="00372950"/>
    <w:rsid w:val="003735FA"/>
    <w:rsid w:val="003743F4"/>
    <w:rsid w:val="00374F39"/>
    <w:rsid w:val="00377CA7"/>
    <w:rsid w:val="0039170C"/>
    <w:rsid w:val="0039242C"/>
    <w:rsid w:val="00393A29"/>
    <w:rsid w:val="0039505C"/>
    <w:rsid w:val="003A09A7"/>
    <w:rsid w:val="003A173D"/>
    <w:rsid w:val="003A1B81"/>
    <w:rsid w:val="003A281C"/>
    <w:rsid w:val="003A45A5"/>
    <w:rsid w:val="003A47F5"/>
    <w:rsid w:val="003A5E27"/>
    <w:rsid w:val="003A7AC4"/>
    <w:rsid w:val="003B2746"/>
    <w:rsid w:val="003B2B82"/>
    <w:rsid w:val="003B4D45"/>
    <w:rsid w:val="003C06CD"/>
    <w:rsid w:val="003C0BCA"/>
    <w:rsid w:val="003C46AE"/>
    <w:rsid w:val="003C6CEB"/>
    <w:rsid w:val="003C7397"/>
    <w:rsid w:val="003D0580"/>
    <w:rsid w:val="003D0AD3"/>
    <w:rsid w:val="003D0B3A"/>
    <w:rsid w:val="003D0F76"/>
    <w:rsid w:val="003D5180"/>
    <w:rsid w:val="003D5750"/>
    <w:rsid w:val="003D585E"/>
    <w:rsid w:val="003D6471"/>
    <w:rsid w:val="003E01F2"/>
    <w:rsid w:val="003E18A0"/>
    <w:rsid w:val="003E3141"/>
    <w:rsid w:val="003E3335"/>
    <w:rsid w:val="003E3437"/>
    <w:rsid w:val="003E4280"/>
    <w:rsid w:val="003E54DA"/>
    <w:rsid w:val="003E6581"/>
    <w:rsid w:val="003F0A5C"/>
    <w:rsid w:val="003F20F8"/>
    <w:rsid w:val="003F284B"/>
    <w:rsid w:val="003F4EE8"/>
    <w:rsid w:val="00412CDE"/>
    <w:rsid w:val="00412D01"/>
    <w:rsid w:val="004134DC"/>
    <w:rsid w:val="00416837"/>
    <w:rsid w:val="00416913"/>
    <w:rsid w:val="00417411"/>
    <w:rsid w:val="00420A43"/>
    <w:rsid w:val="00430022"/>
    <w:rsid w:val="00430216"/>
    <w:rsid w:val="00431259"/>
    <w:rsid w:val="004330D2"/>
    <w:rsid w:val="00434742"/>
    <w:rsid w:val="004449D1"/>
    <w:rsid w:val="0044579F"/>
    <w:rsid w:val="00447854"/>
    <w:rsid w:val="0045183E"/>
    <w:rsid w:val="00453EC2"/>
    <w:rsid w:val="00454796"/>
    <w:rsid w:val="00455651"/>
    <w:rsid w:val="00457097"/>
    <w:rsid w:val="004578CE"/>
    <w:rsid w:val="004626CA"/>
    <w:rsid w:val="00466BBD"/>
    <w:rsid w:val="00470C95"/>
    <w:rsid w:val="00472C99"/>
    <w:rsid w:val="00476FFC"/>
    <w:rsid w:val="0048030E"/>
    <w:rsid w:val="00482500"/>
    <w:rsid w:val="00483E36"/>
    <w:rsid w:val="00487518"/>
    <w:rsid w:val="004948AB"/>
    <w:rsid w:val="00494C54"/>
    <w:rsid w:val="004965B6"/>
    <w:rsid w:val="004A0BFE"/>
    <w:rsid w:val="004A764F"/>
    <w:rsid w:val="004A7CCE"/>
    <w:rsid w:val="004B395E"/>
    <w:rsid w:val="004B695C"/>
    <w:rsid w:val="004C4E57"/>
    <w:rsid w:val="004C5D01"/>
    <w:rsid w:val="004C77A3"/>
    <w:rsid w:val="004C7B72"/>
    <w:rsid w:val="004D2694"/>
    <w:rsid w:val="004D2998"/>
    <w:rsid w:val="004D7A79"/>
    <w:rsid w:val="004E2026"/>
    <w:rsid w:val="004E2FBC"/>
    <w:rsid w:val="004E45A5"/>
    <w:rsid w:val="004E5192"/>
    <w:rsid w:val="004E51E2"/>
    <w:rsid w:val="004E5884"/>
    <w:rsid w:val="004E6CB9"/>
    <w:rsid w:val="004F16DD"/>
    <w:rsid w:val="004F3064"/>
    <w:rsid w:val="004F3E82"/>
    <w:rsid w:val="004F7209"/>
    <w:rsid w:val="00505171"/>
    <w:rsid w:val="00505878"/>
    <w:rsid w:val="00506A71"/>
    <w:rsid w:val="00512F4F"/>
    <w:rsid w:val="0051756C"/>
    <w:rsid w:val="00520040"/>
    <w:rsid w:val="005200C8"/>
    <w:rsid w:val="00525FF8"/>
    <w:rsid w:val="00526F77"/>
    <w:rsid w:val="00527148"/>
    <w:rsid w:val="00530A2A"/>
    <w:rsid w:val="00531F5B"/>
    <w:rsid w:val="0053357A"/>
    <w:rsid w:val="00534053"/>
    <w:rsid w:val="00535B0C"/>
    <w:rsid w:val="0054349D"/>
    <w:rsid w:val="00543F5F"/>
    <w:rsid w:val="0054783D"/>
    <w:rsid w:val="00547C57"/>
    <w:rsid w:val="00547F6D"/>
    <w:rsid w:val="005528CF"/>
    <w:rsid w:val="0055423C"/>
    <w:rsid w:val="00554AC3"/>
    <w:rsid w:val="00555D56"/>
    <w:rsid w:val="00561796"/>
    <w:rsid w:val="00561798"/>
    <w:rsid w:val="00562B46"/>
    <w:rsid w:val="00563813"/>
    <w:rsid w:val="005656FB"/>
    <w:rsid w:val="0057547C"/>
    <w:rsid w:val="005772E9"/>
    <w:rsid w:val="00580337"/>
    <w:rsid w:val="00583269"/>
    <w:rsid w:val="00584A26"/>
    <w:rsid w:val="0058690B"/>
    <w:rsid w:val="005940C0"/>
    <w:rsid w:val="00594FE6"/>
    <w:rsid w:val="005A03C9"/>
    <w:rsid w:val="005A21F3"/>
    <w:rsid w:val="005A2876"/>
    <w:rsid w:val="005A471D"/>
    <w:rsid w:val="005A62D7"/>
    <w:rsid w:val="005A6411"/>
    <w:rsid w:val="005B1316"/>
    <w:rsid w:val="005B1A18"/>
    <w:rsid w:val="005B2E19"/>
    <w:rsid w:val="005B5072"/>
    <w:rsid w:val="005B75B9"/>
    <w:rsid w:val="005C0156"/>
    <w:rsid w:val="005C4E04"/>
    <w:rsid w:val="005C5729"/>
    <w:rsid w:val="005D12E4"/>
    <w:rsid w:val="005D15BA"/>
    <w:rsid w:val="005D1FC5"/>
    <w:rsid w:val="005D228A"/>
    <w:rsid w:val="005D3948"/>
    <w:rsid w:val="005D5184"/>
    <w:rsid w:val="005D55DE"/>
    <w:rsid w:val="005D71C8"/>
    <w:rsid w:val="005D7C7D"/>
    <w:rsid w:val="005E196A"/>
    <w:rsid w:val="005E2D74"/>
    <w:rsid w:val="005E359D"/>
    <w:rsid w:val="005E4130"/>
    <w:rsid w:val="005E7ED7"/>
    <w:rsid w:val="005F10C6"/>
    <w:rsid w:val="005F3A6D"/>
    <w:rsid w:val="005F485C"/>
    <w:rsid w:val="005F52C6"/>
    <w:rsid w:val="005F5E1F"/>
    <w:rsid w:val="00601ACB"/>
    <w:rsid w:val="00602692"/>
    <w:rsid w:val="00604287"/>
    <w:rsid w:val="0060468D"/>
    <w:rsid w:val="00605B5F"/>
    <w:rsid w:val="00607771"/>
    <w:rsid w:val="0060785F"/>
    <w:rsid w:val="00610EAB"/>
    <w:rsid w:val="00611504"/>
    <w:rsid w:val="006136D1"/>
    <w:rsid w:val="006246EF"/>
    <w:rsid w:val="00627617"/>
    <w:rsid w:val="00627DBB"/>
    <w:rsid w:val="006329DB"/>
    <w:rsid w:val="006402EE"/>
    <w:rsid w:val="0064460E"/>
    <w:rsid w:val="00653E0A"/>
    <w:rsid w:val="00654C41"/>
    <w:rsid w:val="00655B2D"/>
    <w:rsid w:val="006565E9"/>
    <w:rsid w:val="006601E1"/>
    <w:rsid w:val="006605F8"/>
    <w:rsid w:val="0066170E"/>
    <w:rsid w:val="00662C82"/>
    <w:rsid w:val="00662EFC"/>
    <w:rsid w:val="00664FCB"/>
    <w:rsid w:val="006666CA"/>
    <w:rsid w:val="00671A4C"/>
    <w:rsid w:val="00671E94"/>
    <w:rsid w:val="00672E16"/>
    <w:rsid w:val="0067483B"/>
    <w:rsid w:val="0067491A"/>
    <w:rsid w:val="006771BB"/>
    <w:rsid w:val="006812A8"/>
    <w:rsid w:val="006850D6"/>
    <w:rsid w:val="00685493"/>
    <w:rsid w:val="00685A92"/>
    <w:rsid w:val="00686222"/>
    <w:rsid w:val="0068644A"/>
    <w:rsid w:val="00687E54"/>
    <w:rsid w:val="00690CD1"/>
    <w:rsid w:val="006948E8"/>
    <w:rsid w:val="00697024"/>
    <w:rsid w:val="006A27D1"/>
    <w:rsid w:val="006A3C32"/>
    <w:rsid w:val="006A46DE"/>
    <w:rsid w:val="006B00C3"/>
    <w:rsid w:val="006B1F6A"/>
    <w:rsid w:val="006B3945"/>
    <w:rsid w:val="006B3ED8"/>
    <w:rsid w:val="006B4544"/>
    <w:rsid w:val="006B455E"/>
    <w:rsid w:val="006B6C9D"/>
    <w:rsid w:val="006D19EE"/>
    <w:rsid w:val="006D5188"/>
    <w:rsid w:val="006D53BD"/>
    <w:rsid w:val="006E2086"/>
    <w:rsid w:val="006E2C80"/>
    <w:rsid w:val="006F0473"/>
    <w:rsid w:val="00700062"/>
    <w:rsid w:val="00701111"/>
    <w:rsid w:val="00701C92"/>
    <w:rsid w:val="007028E1"/>
    <w:rsid w:val="00702D30"/>
    <w:rsid w:val="00702F16"/>
    <w:rsid w:val="00705885"/>
    <w:rsid w:val="00707248"/>
    <w:rsid w:val="0071497E"/>
    <w:rsid w:val="007170E2"/>
    <w:rsid w:val="0071731D"/>
    <w:rsid w:val="007205C1"/>
    <w:rsid w:val="00723430"/>
    <w:rsid w:val="007250FE"/>
    <w:rsid w:val="00725CCC"/>
    <w:rsid w:val="00727A8F"/>
    <w:rsid w:val="00732CDC"/>
    <w:rsid w:val="00733344"/>
    <w:rsid w:val="007350A3"/>
    <w:rsid w:val="00735975"/>
    <w:rsid w:val="00736FCE"/>
    <w:rsid w:val="00737C42"/>
    <w:rsid w:val="00740CF7"/>
    <w:rsid w:val="00741B58"/>
    <w:rsid w:val="00742EBE"/>
    <w:rsid w:val="00745D0B"/>
    <w:rsid w:val="0075264B"/>
    <w:rsid w:val="007547AE"/>
    <w:rsid w:val="00755FD0"/>
    <w:rsid w:val="00756C23"/>
    <w:rsid w:val="007577EF"/>
    <w:rsid w:val="00761584"/>
    <w:rsid w:val="007653A8"/>
    <w:rsid w:val="00773BC9"/>
    <w:rsid w:val="007748C0"/>
    <w:rsid w:val="007757EA"/>
    <w:rsid w:val="00782451"/>
    <w:rsid w:val="00783AC1"/>
    <w:rsid w:val="00792DAB"/>
    <w:rsid w:val="00794702"/>
    <w:rsid w:val="007A4ABE"/>
    <w:rsid w:val="007A54B9"/>
    <w:rsid w:val="007A5AAD"/>
    <w:rsid w:val="007B158B"/>
    <w:rsid w:val="007B1F54"/>
    <w:rsid w:val="007B3C3D"/>
    <w:rsid w:val="007C0131"/>
    <w:rsid w:val="007C32F1"/>
    <w:rsid w:val="007C4014"/>
    <w:rsid w:val="007C5118"/>
    <w:rsid w:val="007D22FB"/>
    <w:rsid w:val="007D34C3"/>
    <w:rsid w:val="007D4C5E"/>
    <w:rsid w:val="007E07FB"/>
    <w:rsid w:val="007E123E"/>
    <w:rsid w:val="007E2907"/>
    <w:rsid w:val="007E2A13"/>
    <w:rsid w:val="007E311F"/>
    <w:rsid w:val="007E4535"/>
    <w:rsid w:val="007E5C76"/>
    <w:rsid w:val="007E7375"/>
    <w:rsid w:val="007E7602"/>
    <w:rsid w:val="007E7CD3"/>
    <w:rsid w:val="007F2BF4"/>
    <w:rsid w:val="007F4660"/>
    <w:rsid w:val="007F4777"/>
    <w:rsid w:val="007F4DC0"/>
    <w:rsid w:val="007F74C6"/>
    <w:rsid w:val="008025BC"/>
    <w:rsid w:val="008052AD"/>
    <w:rsid w:val="0080636A"/>
    <w:rsid w:val="0080661D"/>
    <w:rsid w:val="00806C02"/>
    <w:rsid w:val="00815582"/>
    <w:rsid w:val="00820713"/>
    <w:rsid w:val="00822BDE"/>
    <w:rsid w:val="008239EE"/>
    <w:rsid w:val="00823CB7"/>
    <w:rsid w:val="0082468A"/>
    <w:rsid w:val="00824F3F"/>
    <w:rsid w:val="00827564"/>
    <w:rsid w:val="00827E1B"/>
    <w:rsid w:val="008335B4"/>
    <w:rsid w:val="008343BA"/>
    <w:rsid w:val="00834CFF"/>
    <w:rsid w:val="00836206"/>
    <w:rsid w:val="00836B5A"/>
    <w:rsid w:val="008427E6"/>
    <w:rsid w:val="00843C41"/>
    <w:rsid w:val="00843CC7"/>
    <w:rsid w:val="00844BA2"/>
    <w:rsid w:val="008467BB"/>
    <w:rsid w:val="00846E07"/>
    <w:rsid w:val="008479E1"/>
    <w:rsid w:val="00847E0E"/>
    <w:rsid w:val="00847FD5"/>
    <w:rsid w:val="00852525"/>
    <w:rsid w:val="00856445"/>
    <w:rsid w:val="00856EA3"/>
    <w:rsid w:val="00864BAB"/>
    <w:rsid w:val="0086626E"/>
    <w:rsid w:val="0086681C"/>
    <w:rsid w:val="008668C6"/>
    <w:rsid w:val="00867AA5"/>
    <w:rsid w:val="00871080"/>
    <w:rsid w:val="00871569"/>
    <w:rsid w:val="00876DCE"/>
    <w:rsid w:val="00880765"/>
    <w:rsid w:val="0088099C"/>
    <w:rsid w:val="00881528"/>
    <w:rsid w:val="008834D1"/>
    <w:rsid w:val="00885E96"/>
    <w:rsid w:val="00895B38"/>
    <w:rsid w:val="0089630B"/>
    <w:rsid w:val="008967C3"/>
    <w:rsid w:val="0089709B"/>
    <w:rsid w:val="008974A1"/>
    <w:rsid w:val="008A05B1"/>
    <w:rsid w:val="008A174C"/>
    <w:rsid w:val="008A40E1"/>
    <w:rsid w:val="008A5971"/>
    <w:rsid w:val="008A61A2"/>
    <w:rsid w:val="008A62C1"/>
    <w:rsid w:val="008A7538"/>
    <w:rsid w:val="008A7D84"/>
    <w:rsid w:val="008B19DC"/>
    <w:rsid w:val="008B1F69"/>
    <w:rsid w:val="008B3B6E"/>
    <w:rsid w:val="008B6375"/>
    <w:rsid w:val="008C7FAD"/>
    <w:rsid w:val="008D23AE"/>
    <w:rsid w:val="008D2E79"/>
    <w:rsid w:val="008D3155"/>
    <w:rsid w:val="008D5883"/>
    <w:rsid w:val="008D7194"/>
    <w:rsid w:val="008D77C5"/>
    <w:rsid w:val="008E28A5"/>
    <w:rsid w:val="008E2E67"/>
    <w:rsid w:val="008E4BDB"/>
    <w:rsid w:val="008E731B"/>
    <w:rsid w:val="008E7B02"/>
    <w:rsid w:val="008F0822"/>
    <w:rsid w:val="008F2350"/>
    <w:rsid w:val="008F332C"/>
    <w:rsid w:val="008F51B6"/>
    <w:rsid w:val="008F51EB"/>
    <w:rsid w:val="00900D6B"/>
    <w:rsid w:val="00901FCB"/>
    <w:rsid w:val="009048D5"/>
    <w:rsid w:val="00904C9B"/>
    <w:rsid w:val="009102C0"/>
    <w:rsid w:val="00910923"/>
    <w:rsid w:val="00912C89"/>
    <w:rsid w:val="0091366F"/>
    <w:rsid w:val="00914CB0"/>
    <w:rsid w:val="00915368"/>
    <w:rsid w:val="00915BB8"/>
    <w:rsid w:val="00917A24"/>
    <w:rsid w:val="00917AD7"/>
    <w:rsid w:val="00920BA6"/>
    <w:rsid w:val="00923656"/>
    <w:rsid w:val="0092683C"/>
    <w:rsid w:val="009312CA"/>
    <w:rsid w:val="00934069"/>
    <w:rsid w:val="0094018F"/>
    <w:rsid w:val="0094243D"/>
    <w:rsid w:val="0094777D"/>
    <w:rsid w:val="00950CB0"/>
    <w:rsid w:val="0095409A"/>
    <w:rsid w:val="00955147"/>
    <w:rsid w:val="0095525A"/>
    <w:rsid w:val="009607DC"/>
    <w:rsid w:val="00963294"/>
    <w:rsid w:val="009645CF"/>
    <w:rsid w:val="00964B58"/>
    <w:rsid w:val="00967EAA"/>
    <w:rsid w:val="009708FE"/>
    <w:rsid w:val="0097272D"/>
    <w:rsid w:val="00973A10"/>
    <w:rsid w:val="00976D54"/>
    <w:rsid w:val="009823EE"/>
    <w:rsid w:val="00982579"/>
    <w:rsid w:val="00983094"/>
    <w:rsid w:val="00985FF9"/>
    <w:rsid w:val="0098641C"/>
    <w:rsid w:val="00992D0F"/>
    <w:rsid w:val="00993211"/>
    <w:rsid w:val="00996479"/>
    <w:rsid w:val="00996B19"/>
    <w:rsid w:val="0099701D"/>
    <w:rsid w:val="009A2BA1"/>
    <w:rsid w:val="009A314C"/>
    <w:rsid w:val="009A3D58"/>
    <w:rsid w:val="009A4E3B"/>
    <w:rsid w:val="009A65E1"/>
    <w:rsid w:val="009B0585"/>
    <w:rsid w:val="009B6E12"/>
    <w:rsid w:val="009C0C9A"/>
    <w:rsid w:val="009C40B9"/>
    <w:rsid w:val="009C79B4"/>
    <w:rsid w:val="009D232C"/>
    <w:rsid w:val="009D7602"/>
    <w:rsid w:val="009E0ECB"/>
    <w:rsid w:val="009E0F39"/>
    <w:rsid w:val="009E252E"/>
    <w:rsid w:val="009E45C9"/>
    <w:rsid w:val="009F1C59"/>
    <w:rsid w:val="009F1E0F"/>
    <w:rsid w:val="009F28A8"/>
    <w:rsid w:val="009F4E07"/>
    <w:rsid w:val="009F522D"/>
    <w:rsid w:val="00A0187F"/>
    <w:rsid w:val="00A043DF"/>
    <w:rsid w:val="00A04CE1"/>
    <w:rsid w:val="00A06C3D"/>
    <w:rsid w:val="00A07F27"/>
    <w:rsid w:val="00A10C31"/>
    <w:rsid w:val="00A12638"/>
    <w:rsid w:val="00A14131"/>
    <w:rsid w:val="00A14140"/>
    <w:rsid w:val="00A20842"/>
    <w:rsid w:val="00A209BA"/>
    <w:rsid w:val="00A2136F"/>
    <w:rsid w:val="00A2222D"/>
    <w:rsid w:val="00A22AEC"/>
    <w:rsid w:val="00A22D4A"/>
    <w:rsid w:val="00A23FA9"/>
    <w:rsid w:val="00A2407D"/>
    <w:rsid w:val="00A25EE3"/>
    <w:rsid w:val="00A26526"/>
    <w:rsid w:val="00A27C9F"/>
    <w:rsid w:val="00A31063"/>
    <w:rsid w:val="00A33206"/>
    <w:rsid w:val="00A36547"/>
    <w:rsid w:val="00A41E12"/>
    <w:rsid w:val="00A43C71"/>
    <w:rsid w:val="00A451BB"/>
    <w:rsid w:val="00A453B0"/>
    <w:rsid w:val="00A474B7"/>
    <w:rsid w:val="00A47C63"/>
    <w:rsid w:val="00A524F0"/>
    <w:rsid w:val="00A52594"/>
    <w:rsid w:val="00A53642"/>
    <w:rsid w:val="00A53B65"/>
    <w:rsid w:val="00A5467B"/>
    <w:rsid w:val="00A55691"/>
    <w:rsid w:val="00A55E34"/>
    <w:rsid w:val="00A566BC"/>
    <w:rsid w:val="00A57BBA"/>
    <w:rsid w:val="00A620EF"/>
    <w:rsid w:val="00A63192"/>
    <w:rsid w:val="00A665A9"/>
    <w:rsid w:val="00A70ED4"/>
    <w:rsid w:val="00A74F49"/>
    <w:rsid w:val="00A7531F"/>
    <w:rsid w:val="00A762DB"/>
    <w:rsid w:val="00A764FB"/>
    <w:rsid w:val="00A76720"/>
    <w:rsid w:val="00A76B41"/>
    <w:rsid w:val="00A803F3"/>
    <w:rsid w:val="00A80EAC"/>
    <w:rsid w:val="00A830CC"/>
    <w:rsid w:val="00A86F35"/>
    <w:rsid w:val="00A87FEA"/>
    <w:rsid w:val="00A9141F"/>
    <w:rsid w:val="00A92FD0"/>
    <w:rsid w:val="00A97C64"/>
    <w:rsid w:val="00AA0290"/>
    <w:rsid w:val="00AA0E33"/>
    <w:rsid w:val="00AA2312"/>
    <w:rsid w:val="00AA2B75"/>
    <w:rsid w:val="00AA4B01"/>
    <w:rsid w:val="00AA7DF5"/>
    <w:rsid w:val="00AB07E3"/>
    <w:rsid w:val="00AB0A95"/>
    <w:rsid w:val="00AB2A50"/>
    <w:rsid w:val="00AB56C4"/>
    <w:rsid w:val="00AB6FA4"/>
    <w:rsid w:val="00AB7169"/>
    <w:rsid w:val="00AB758C"/>
    <w:rsid w:val="00AC4A18"/>
    <w:rsid w:val="00AC4D47"/>
    <w:rsid w:val="00AC624F"/>
    <w:rsid w:val="00AC661A"/>
    <w:rsid w:val="00AD1471"/>
    <w:rsid w:val="00AE129B"/>
    <w:rsid w:val="00AE209E"/>
    <w:rsid w:val="00AE3CB9"/>
    <w:rsid w:val="00AE636D"/>
    <w:rsid w:val="00AF0F19"/>
    <w:rsid w:val="00AF2F95"/>
    <w:rsid w:val="00AF36AA"/>
    <w:rsid w:val="00AF3965"/>
    <w:rsid w:val="00AF3CA1"/>
    <w:rsid w:val="00AF4CF1"/>
    <w:rsid w:val="00B00218"/>
    <w:rsid w:val="00B01BE5"/>
    <w:rsid w:val="00B0710A"/>
    <w:rsid w:val="00B10B20"/>
    <w:rsid w:val="00B17653"/>
    <w:rsid w:val="00B20318"/>
    <w:rsid w:val="00B2138E"/>
    <w:rsid w:val="00B23839"/>
    <w:rsid w:val="00B23DCD"/>
    <w:rsid w:val="00B249A3"/>
    <w:rsid w:val="00B25C3B"/>
    <w:rsid w:val="00B26263"/>
    <w:rsid w:val="00B2644A"/>
    <w:rsid w:val="00B275EE"/>
    <w:rsid w:val="00B27B19"/>
    <w:rsid w:val="00B301B2"/>
    <w:rsid w:val="00B31334"/>
    <w:rsid w:val="00B336DA"/>
    <w:rsid w:val="00B337C1"/>
    <w:rsid w:val="00B3515B"/>
    <w:rsid w:val="00B361DF"/>
    <w:rsid w:val="00B365F1"/>
    <w:rsid w:val="00B36611"/>
    <w:rsid w:val="00B36E29"/>
    <w:rsid w:val="00B43976"/>
    <w:rsid w:val="00B4421C"/>
    <w:rsid w:val="00B45C9C"/>
    <w:rsid w:val="00B465B1"/>
    <w:rsid w:val="00B4681A"/>
    <w:rsid w:val="00B5014C"/>
    <w:rsid w:val="00B50EA3"/>
    <w:rsid w:val="00B51E5C"/>
    <w:rsid w:val="00B534EB"/>
    <w:rsid w:val="00B5662A"/>
    <w:rsid w:val="00B71A24"/>
    <w:rsid w:val="00B72C6C"/>
    <w:rsid w:val="00B73B82"/>
    <w:rsid w:val="00B74A4C"/>
    <w:rsid w:val="00B75806"/>
    <w:rsid w:val="00B760AE"/>
    <w:rsid w:val="00B772B9"/>
    <w:rsid w:val="00B774E0"/>
    <w:rsid w:val="00B77726"/>
    <w:rsid w:val="00B77BB6"/>
    <w:rsid w:val="00B77F90"/>
    <w:rsid w:val="00B80C2A"/>
    <w:rsid w:val="00B83773"/>
    <w:rsid w:val="00B84854"/>
    <w:rsid w:val="00B84F4D"/>
    <w:rsid w:val="00B930A3"/>
    <w:rsid w:val="00B95C5A"/>
    <w:rsid w:val="00B95D72"/>
    <w:rsid w:val="00B97371"/>
    <w:rsid w:val="00BA2B83"/>
    <w:rsid w:val="00BA4AF9"/>
    <w:rsid w:val="00BA55BE"/>
    <w:rsid w:val="00BA6CF3"/>
    <w:rsid w:val="00BB41B6"/>
    <w:rsid w:val="00BB5C58"/>
    <w:rsid w:val="00BB5DB5"/>
    <w:rsid w:val="00BB5E95"/>
    <w:rsid w:val="00BB640B"/>
    <w:rsid w:val="00BB7376"/>
    <w:rsid w:val="00BC58A6"/>
    <w:rsid w:val="00BC6664"/>
    <w:rsid w:val="00BC7446"/>
    <w:rsid w:val="00BD1761"/>
    <w:rsid w:val="00BD5F9B"/>
    <w:rsid w:val="00BE11B0"/>
    <w:rsid w:val="00BE1700"/>
    <w:rsid w:val="00BE3270"/>
    <w:rsid w:val="00BF15FD"/>
    <w:rsid w:val="00BF1A68"/>
    <w:rsid w:val="00BF3FB0"/>
    <w:rsid w:val="00BF4EC0"/>
    <w:rsid w:val="00BF5B50"/>
    <w:rsid w:val="00C00C4C"/>
    <w:rsid w:val="00C01F2D"/>
    <w:rsid w:val="00C075EE"/>
    <w:rsid w:val="00C1162B"/>
    <w:rsid w:val="00C11807"/>
    <w:rsid w:val="00C130C2"/>
    <w:rsid w:val="00C14790"/>
    <w:rsid w:val="00C21A7F"/>
    <w:rsid w:val="00C26513"/>
    <w:rsid w:val="00C26696"/>
    <w:rsid w:val="00C31F11"/>
    <w:rsid w:val="00C320E1"/>
    <w:rsid w:val="00C324E4"/>
    <w:rsid w:val="00C3268F"/>
    <w:rsid w:val="00C336A1"/>
    <w:rsid w:val="00C34CE9"/>
    <w:rsid w:val="00C34F7B"/>
    <w:rsid w:val="00C35742"/>
    <w:rsid w:val="00C416B4"/>
    <w:rsid w:val="00C43EF3"/>
    <w:rsid w:val="00C44C27"/>
    <w:rsid w:val="00C452E8"/>
    <w:rsid w:val="00C4553F"/>
    <w:rsid w:val="00C46B90"/>
    <w:rsid w:val="00C47873"/>
    <w:rsid w:val="00C47D12"/>
    <w:rsid w:val="00C51CEA"/>
    <w:rsid w:val="00C5598B"/>
    <w:rsid w:val="00C56905"/>
    <w:rsid w:val="00C574B8"/>
    <w:rsid w:val="00C6540E"/>
    <w:rsid w:val="00C6578E"/>
    <w:rsid w:val="00C66BEB"/>
    <w:rsid w:val="00C67375"/>
    <w:rsid w:val="00C72113"/>
    <w:rsid w:val="00C73A37"/>
    <w:rsid w:val="00C74024"/>
    <w:rsid w:val="00C74846"/>
    <w:rsid w:val="00C7486F"/>
    <w:rsid w:val="00C7592F"/>
    <w:rsid w:val="00C81170"/>
    <w:rsid w:val="00C82CCE"/>
    <w:rsid w:val="00C82D56"/>
    <w:rsid w:val="00C83781"/>
    <w:rsid w:val="00C858DE"/>
    <w:rsid w:val="00C87318"/>
    <w:rsid w:val="00C9079F"/>
    <w:rsid w:val="00C968A4"/>
    <w:rsid w:val="00C97BCF"/>
    <w:rsid w:val="00CB00F9"/>
    <w:rsid w:val="00CB07C9"/>
    <w:rsid w:val="00CC3873"/>
    <w:rsid w:val="00CC4127"/>
    <w:rsid w:val="00CC6F8F"/>
    <w:rsid w:val="00CC77A5"/>
    <w:rsid w:val="00CD2E2E"/>
    <w:rsid w:val="00CD4F34"/>
    <w:rsid w:val="00CD5F83"/>
    <w:rsid w:val="00CE0A77"/>
    <w:rsid w:val="00CE2AB9"/>
    <w:rsid w:val="00CE447B"/>
    <w:rsid w:val="00CE53E9"/>
    <w:rsid w:val="00CE5B8D"/>
    <w:rsid w:val="00CE7A0C"/>
    <w:rsid w:val="00CF0EAE"/>
    <w:rsid w:val="00CF19B8"/>
    <w:rsid w:val="00CF3635"/>
    <w:rsid w:val="00CF3A41"/>
    <w:rsid w:val="00CF3CEE"/>
    <w:rsid w:val="00CF5802"/>
    <w:rsid w:val="00CF7713"/>
    <w:rsid w:val="00D0041A"/>
    <w:rsid w:val="00D00486"/>
    <w:rsid w:val="00D0183A"/>
    <w:rsid w:val="00D02A9C"/>
    <w:rsid w:val="00D02D2B"/>
    <w:rsid w:val="00D03336"/>
    <w:rsid w:val="00D059BF"/>
    <w:rsid w:val="00D05CDE"/>
    <w:rsid w:val="00D077FC"/>
    <w:rsid w:val="00D1069A"/>
    <w:rsid w:val="00D106F3"/>
    <w:rsid w:val="00D16DAB"/>
    <w:rsid w:val="00D20731"/>
    <w:rsid w:val="00D20A76"/>
    <w:rsid w:val="00D2155E"/>
    <w:rsid w:val="00D232AA"/>
    <w:rsid w:val="00D24528"/>
    <w:rsid w:val="00D25056"/>
    <w:rsid w:val="00D2764B"/>
    <w:rsid w:val="00D31534"/>
    <w:rsid w:val="00D32954"/>
    <w:rsid w:val="00D33A3D"/>
    <w:rsid w:val="00D35230"/>
    <w:rsid w:val="00D35708"/>
    <w:rsid w:val="00D37AED"/>
    <w:rsid w:val="00D414A5"/>
    <w:rsid w:val="00D42D20"/>
    <w:rsid w:val="00D4413F"/>
    <w:rsid w:val="00D46CFD"/>
    <w:rsid w:val="00D52425"/>
    <w:rsid w:val="00D53F89"/>
    <w:rsid w:val="00D54DF8"/>
    <w:rsid w:val="00D56E8E"/>
    <w:rsid w:val="00D57F6B"/>
    <w:rsid w:val="00D61A5F"/>
    <w:rsid w:val="00D62785"/>
    <w:rsid w:val="00D643CE"/>
    <w:rsid w:val="00D65CFC"/>
    <w:rsid w:val="00D71AFA"/>
    <w:rsid w:val="00D720CA"/>
    <w:rsid w:val="00D728BC"/>
    <w:rsid w:val="00D72E0D"/>
    <w:rsid w:val="00D74034"/>
    <w:rsid w:val="00D755C3"/>
    <w:rsid w:val="00D8304C"/>
    <w:rsid w:val="00D839A4"/>
    <w:rsid w:val="00D863DD"/>
    <w:rsid w:val="00D9083D"/>
    <w:rsid w:val="00D909EA"/>
    <w:rsid w:val="00D92A52"/>
    <w:rsid w:val="00D977D2"/>
    <w:rsid w:val="00D97B28"/>
    <w:rsid w:val="00D97BD2"/>
    <w:rsid w:val="00DA27DE"/>
    <w:rsid w:val="00DB05A0"/>
    <w:rsid w:val="00DB06F6"/>
    <w:rsid w:val="00DB0BCB"/>
    <w:rsid w:val="00DB238B"/>
    <w:rsid w:val="00DB31CD"/>
    <w:rsid w:val="00DB3EB9"/>
    <w:rsid w:val="00DB42D9"/>
    <w:rsid w:val="00DB4DFA"/>
    <w:rsid w:val="00DB707C"/>
    <w:rsid w:val="00DC1CA5"/>
    <w:rsid w:val="00DC4883"/>
    <w:rsid w:val="00DC547D"/>
    <w:rsid w:val="00DD2B91"/>
    <w:rsid w:val="00DD51FA"/>
    <w:rsid w:val="00DE26FB"/>
    <w:rsid w:val="00DE303B"/>
    <w:rsid w:val="00DE4F9D"/>
    <w:rsid w:val="00DE5916"/>
    <w:rsid w:val="00DF1F09"/>
    <w:rsid w:val="00DF38ED"/>
    <w:rsid w:val="00DF4238"/>
    <w:rsid w:val="00DF42C3"/>
    <w:rsid w:val="00DF6634"/>
    <w:rsid w:val="00DF7486"/>
    <w:rsid w:val="00E03494"/>
    <w:rsid w:val="00E03F0D"/>
    <w:rsid w:val="00E0775D"/>
    <w:rsid w:val="00E07F75"/>
    <w:rsid w:val="00E1043A"/>
    <w:rsid w:val="00E10952"/>
    <w:rsid w:val="00E1218A"/>
    <w:rsid w:val="00E135B6"/>
    <w:rsid w:val="00E13FCB"/>
    <w:rsid w:val="00E144A3"/>
    <w:rsid w:val="00E17349"/>
    <w:rsid w:val="00E215C3"/>
    <w:rsid w:val="00E259E5"/>
    <w:rsid w:val="00E25D22"/>
    <w:rsid w:val="00E26EA9"/>
    <w:rsid w:val="00E27F0B"/>
    <w:rsid w:val="00E31513"/>
    <w:rsid w:val="00E3475D"/>
    <w:rsid w:val="00E35CCA"/>
    <w:rsid w:val="00E44271"/>
    <w:rsid w:val="00E44C5F"/>
    <w:rsid w:val="00E4526C"/>
    <w:rsid w:val="00E45E1F"/>
    <w:rsid w:val="00E51F94"/>
    <w:rsid w:val="00E52ADC"/>
    <w:rsid w:val="00E559AC"/>
    <w:rsid w:val="00E6133A"/>
    <w:rsid w:val="00E65720"/>
    <w:rsid w:val="00E65F45"/>
    <w:rsid w:val="00E671CC"/>
    <w:rsid w:val="00E67A94"/>
    <w:rsid w:val="00E70453"/>
    <w:rsid w:val="00E761B6"/>
    <w:rsid w:val="00E83E6F"/>
    <w:rsid w:val="00E91640"/>
    <w:rsid w:val="00E943A0"/>
    <w:rsid w:val="00E95198"/>
    <w:rsid w:val="00E95512"/>
    <w:rsid w:val="00EA1192"/>
    <w:rsid w:val="00EA43EE"/>
    <w:rsid w:val="00EA4D25"/>
    <w:rsid w:val="00EA597C"/>
    <w:rsid w:val="00EA6612"/>
    <w:rsid w:val="00EA7985"/>
    <w:rsid w:val="00EA7FD5"/>
    <w:rsid w:val="00EB0F0D"/>
    <w:rsid w:val="00EB320B"/>
    <w:rsid w:val="00EB3E3C"/>
    <w:rsid w:val="00EB4898"/>
    <w:rsid w:val="00EB6772"/>
    <w:rsid w:val="00EB68AF"/>
    <w:rsid w:val="00EC2840"/>
    <w:rsid w:val="00EC4D0F"/>
    <w:rsid w:val="00EC5F42"/>
    <w:rsid w:val="00ED19F8"/>
    <w:rsid w:val="00ED68D5"/>
    <w:rsid w:val="00EE5CA7"/>
    <w:rsid w:val="00EF41DE"/>
    <w:rsid w:val="00EF4457"/>
    <w:rsid w:val="00EF484F"/>
    <w:rsid w:val="00EF64D5"/>
    <w:rsid w:val="00EF7C34"/>
    <w:rsid w:val="00F0275C"/>
    <w:rsid w:val="00F03762"/>
    <w:rsid w:val="00F03BFC"/>
    <w:rsid w:val="00F06BC7"/>
    <w:rsid w:val="00F07488"/>
    <w:rsid w:val="00F13060"/>
    <w:rsid w:val="00F1464B"/>
    <w:rsid w:val="00F15A94"/>
    <w:rsid w:val="00F15D2C"/>
    <w:rsid w:val="00F15F44"/>
    <w:rsid w:val="00F166B7"/>
    <w:rsid w:val="00F1747C"/>
    <w:rsid w:val="00F205A9"/>
    <w:rsid w:val="00F2125A"/>
    <w:rsid w:val="00F24F2F"/>
    <w:rsid w:val="00F32923"/>
    <w:rsid w:val="00F32B02"/>
    <w:rsid w:val="00F4306E"/>
    <w:rsid w:val="00F442BD"/>
    <w:rsid w:val="00F4527A"/>
    <w:rsid w:val="00F46F5F"/>
    <w:rsid w:val="00F50737"/>
    <w:rsid w:val="00F50821"/>
    <w:rsid w:val="00F509DA"/>
    <w:rsid w:val="00F5570E"/>
    <w:rsid w:val="00F613DB"/>
    <w:rsid w:val="00F61AC7"/>
    <w:rsid w:val="00F61E52"/>
    <w:rsid w:val="00F65743"/>
    <w:rsid w:val="00F66AD5"/>
    <w:rsid w:val="00F7040C"/>
    <w:rsid w:val="00F71EA0"/>
    <w:rsid w:val="00F72436"/>
    <w:rsid w:val="00F75F43"/>
    <w:rsid w:val="00F75FBD"/>
    <w:rsid w:val="00F80F12"/>
    <w:rsid w:val="00F82A57"/>
    <w:rsid w:val="00F850E3"/>
    <w:rsid w:val="00F93952"/>
    <w:rsid w:val="00F94132"/>
    <w:rsid w:val="00FA06C6"/>
    <w:rsid w:val="00FA1166"/>
    <w:rsid w:val="00FA186E"/>
    <w:rsid w:val="00FA203F"/>
    <w:rsid w:val="00FA3BA9"/>
    <w:rsid w:val="00FA60BC"/>
    <w:rsid w:val="00FA7C26"/>
    <w:rsid w:val="00FB12FD"/>
    <w:rsid w:val="00FB2C8A"/>
    <w:rsid w:val="00FB5435"/>
    <w:rsid w:val="00FB5E84"/>
    <w:rsid w:val="00FB77BD"/>
    <w:rsid w:val="00FC0BE6"/>
    <w:rsid w:val="00FC206D"/>
    <w:rsid w:val="00FC2F5A"/>
    <w:rsid w:val="00FC543D"/>
    <w:rsid w:val="00FC608C"/>
    <w:rsid w:val="00FD04F7"/>
    <w:rsid w:val="00FD0EAC"/>
    <w:rsid w:val="00FD157B"/>
    <w:rsid w:val="00FD284B"/>
    <w:rsid w:val="00FD3482"/>
    <w:rsid w:val="00FD7B02"/>
    <w:rsid w:val="00FE0FE9"/>
    <w:rsid w:val="00FE210D"/>
    <w:rsid w:val="00FE4F9D"/>
    <w:rsid w:val="00FE542F"/>
    <w:rsid w:val="00FF208D"/>
    <w:rsid w:val="00FF261E"/>
    <w:rsid w:val="00FF528A"/>
    <w:rsid w:val="00FF7E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uiPriority="9" w:qFormat="1"/>
    <w:lsdException w:name="heading 3" w:uiPriority="9" w:qFormat="1"/>
    <w:lsdException w:name="heading 4" w:uiPriority="9" w:qFormat="1"/>
    <w:lsdException w:name="heading 5" w:locked="0" w:semiHidden="0" w:uiPriority="9" w:unhideWhenUsed="0" w:qFormat="1"/>
    <w:lsdException w:name="heading 6" w:locked="0" w:semiHidden="0" w:uiPriority="9" w:unhideWhenUsed="0"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annotation text" w:uiPriority="0"/>
    <w:lsdException w:name="footer" w:locked="0" w:uiPriority="0"/>
    <w:lsdException w:name="caption" w:uiPriority="35" w:qFormat="1"/>
    <w:lsdException w:name="footnote reference" w:locked="0"/>
    <w:lsdException w:name="annotation reference" w:uiPriority="0"/>
    <w:lsdException w:name="page number"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77D2"/>
    <w:pPr>
      <w:spacing w:line="288" w:lineRule="auto"/>
      <w:jc w:val="both"/>
    </w:pPr>
    <w:rPr>
      <w:rFonts w:ascii="Gautami" w:eastAsia="Times New Roman" w:hAnsi="Gautami"/>
      <w:szCs w:val="24"/>
    </w:rPr>
  </w:style>
  <w:style w:type="paragraph" w:styleId="Heading1">
    <w:name w:val="heading 1"/>
    <w:basedOn w:val="Normal"/>
    <w:next w:val="Normal"/>
    <w:uiPriority w:val="9"/>
    <w:qFormat/>
    <w:locked/>
    <w:rsid w:val="009E0F39"/>
    <w:pPr>
      <w:keepNext/>
      <w:keepLines/>
      <w:spacing w:before="480"/>
      <w:outlineLvl w:val="0"/>
    </w:pPr>
    <w:rPr>
      <w:rFonts w:ascii="Cambria" w:hAnsi="Cambria"/>
      <w:b/>
      <w:bCs/>
      <w:color w:val="365F91"/>
      <w:sz w:val="28"/>
      <w:szCs w:val="28"/>
    </w:rPr>
  </w:style>
  <w:style w:type="paragraph" w:styleId="Heading2">
    <w:name w:val="heading 2"/>
    <w:basedOn w:val="Heading1"/>
    <w:next w:val="AERbodytext"/>
    <w:link w:val="Heading2Char"/>
    <w:uiPriority w:val="9"/>
    <w:qFormat/>
    <w:locked/>
    <w:rsid w:val="001C286E"/>
    <w:pPr>
      <w:tabs>
        <w:tab w:val="num" w:pos="0"/>
      </w:tabs>
      <w:spacing w:before="120" w:after="120"/>
      <w:ind w:hanging="851"/>
      <w:outlineLvl w:val="1"/>
    </w:pPr>
    <w:rPr>
      <w:rFonts w:ascii="Gautami" w:hAnsi="Gautami"/>
      <w:bCs w:val="0"/>
      <w:color w:val="E36C0A"/>
      <w:szCs w:val="26"/>
      <w:lang w:eastAsia="en-US"/>
    </w:rPr>
  </w:style>
  <w:style w:type="paragraph" w:styleId="Heading3">
    <w:name w:val="heading 3"/>
    <w:basedOn w:val="Heading2"/>
    <w:next w:val="AERbodytext"/>
    <w:link w:val="Heading3Char"/>
    <w:uiPriority w:val="9"/>
    <w:qFormat/>
    <w:locked/>
    <w:rsid w:val="001C286E"/>
    <w:pPr>
      <w:outlineLvl w:val="2"/>
    </w:pPr>
    <w:rPr>
      <w:bCs/>
      <w:sz w:val="24"/>
    </w:rPr>
  </w:style>
  <w:style w:type="paragraph" w:styleId="Heading5">
    <w:name w:val="heading 5"/>
    <w:basedOn w:val="Normal"/>
    <w:next w:val="Normal"/>
    <w:uiPriority w:val="9"/>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UnnumberedHeading"/>
    <w:next w:val="AERbodytext"/>
    <w:link w:val="Heading7Char"/>
    <w:uiPriority w:val="9"/>
    <w:qFormat/>
    <w:locked/>
    <w:rsid w:val="001C286E"/>
    <w:pPr>
      <w:tabs>
        <w:tab w:val="clear" w:pos="0"/>
        <w:tab w:val="num" w:pos="360"/>
      </w:tabs>
      <w:outlineLvl w:val="6"/>
    </w:pPr>
    <w:rPr>
      <w:iCs/>
      <w:szCs w:val="24"/>
    </w:rPr>
  </w:style>
  <w:style w:type="paragraph" w:styleId="Heading8">
    <w:name w:val="heading 8"/>
    <w:basedOn w:val="Heading7"/>
    <w:next w:val="AERbodytext"/>
    <w:link w:val="Heading8Char"/>
    <w:uiPriority w:val="9"/>
    <w:qFormat/>
    <w:locked/>
    <w:rsid w:val="001C286E"/>
    <w:pPr>
      <w:pageBreakBefore w:val="0"/>
      <w:outlineLvl w:val="7"/>
    </w:pPr>
    <w:rPr>
      <w:sz w:val="28"/>
      <w:szCs w:val="20"/>
    </w:rPr>
  </w:style>
  <w:style w:type="paragraph" w:styleId="Heading9">
    <w:name w:val="heading 9"/>
    <w:basedOn w:val="Heading8"/>
    <w:next w:val="AERbodytext"/>
    <w:link w:val="Heading9Char"/>
    <w:uiPriority w:val="9"/>
    <w:qFormat/>
    <w:locked/>
    <w:rsid w:val="001C286E"/>
    <w:p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qFormat/>
    <w:rsid w:val="00B275EE"/>
    <w:pPr>
      <w:numPr>
        <w:ilvl w:val="4"/>
      </w:numPr>
    </w:pPr>
  </w:style>
  <w:style w:type="paragraph" w:customStyle="1" w:styleId="AERfigureheading">
    <w:name w:val="AER figure heading"/>
    <w:basedOn w:val="Normal"/>
    <w:next w:val="AERbodytext"/>
    <w:qFormat/>
    <w:rsid w:val="00B275EE"/>
    <w:pPr>
      <w:keepNext/>
      <w:numPr>
        <w:ilvl w:val="3"/>
        <w:numId w:val="8"/>
      </w:numPr>
      <w:spacing w:before="240" w:after="12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b/>
      <w:i/>
    </w:rPr>
  </w:style>
  <w:style w:type="character" w:customStyle="1" w:styleId="AERtextbold">
    <w:name w:val="AER text bold"/>
    <w:qFormat/>
    <w:rsid w:val="009E0F39"/>
    <w:rPr>
      <w:b/>
    </w:rPr>
  </w:style>
  <w:style w:type="paragraph" w:customStyle="1" w:styleId="AERbulletlistfirststyle">
    <w:name w:val="AER bullet list (first style)"/>
    <w:basedOn w:val="AERbodytext"/>
    <w:qFormat/>
    <w:rsid w:val="008F51EB"/>
    <w:pPr>
      <w:numPr>
        <w:numId w:val="1"/>
      </w:numPr>
      <w:tabs>
        <w:tab w:val="clear" w:pos="1071"/>
        <w:tab w:val="num" w:pos="357"/>
      </w:tabs>
      <w:spacing w:after="200" w:line="240" w:lineRule="atLeast"/>
      <w:ind w:left="357"/>
    </w:pPr>
  </w:style>
  <w:style w:type="paragraph" w:customStyle="1" w:styleId="AERbulletlistsecondstyle">
    <w:name w:val="AER bullet list (second style)"/>
    <w:basedOn w:val="AERbodytext"/>
    <w:rsid w:val="009E0F39"/>
    <w:pPr>
      <w:numPr>
        <w:numId w:val="2"/>
      </w:numPr>
      <w:tabs>
        <w:tab w:val="clear" w:pos="714"/>
        <w:tab w:val="left" w:pos="720"/>
      </w:tabs>
      <w:spacing w:after="200"/>
      <w:ind w:left="720" w:hanging="363"/>
    </w:pPr>
  </w:style>
  <w:style w:type="paragraph" w:customStyle="1" w:styleId="AERbulletlistthirdstyle">
    <w:name w:val="AER bullet list (third style)"/>
    <w:basedOn w:val="AERbodytext"/>
    <w:rsid w:val="009E0F39"/>
    <w:pPr>
      <w:numPr>
        <w:numId w:val="3"/>
      </w:numPr>
      <w:tabs>
        <w:tab w:val="clear" w:pos="870"/>
        <w:tab w:val="left" w:pos="1077"/>
      </w:tabs>
      <w:spacing w:after="200"/>
      <w:ind w:left="1077" w:hanging="357"/>
    </w:pPr>
  </w:style>
  <w:style w:type="paragraph" w:customStyle="1" w:styleId="AERheading1">
    <w:name w:val="AER heading 1"/>
    <w:basedOn w:val="Heading1"/>
    <w:next w:val="AERbodytext"/>
    <w:qFormat/>
    <w:rsid w:val="00B275EE"/>
    <w:pPr>
      <w:keepLines w:val="0"/>
      <w:pageBreakBefore/>
      <w:numPr>
        <w:numId w:val="8"/>
      </w:numPr>
      <w:tabs>
        <w:tab w:val="left" w:pos="0"/>
      </w:tabs>
      <w:spacing w:before="240" w:after="240"/>
    </w:pPr>
    <w:rPr>
      <w:rFonts w:ascii="Gautami" w:hAnsi="Gautami" w:cs="Arial"/>
      <w:color w:val="F2750E"/>
      <w:kern w:val="32"/>
      <w:sz w:val="36"/>
      <w:szCs w:val="32"/>
      <w:lang w:eastAsia="en-US"/>
    </w:rPr>
  </w:style>
  <w:style w:type="paragraph" w:customStyle="1" w:styleId="AERheading2">
    <w:name w:val="AER heading 2"/>
    <w:basedOn w:val="AERheading1"/>
    <w:next w:val="AERbodytext"/>
    <w:qFormat/>
    <w:rsid w:val="00B275EE"/>
    <w:pPr>
      <w:pageBreakBefore w:val="0"/>
      <w:numPr>
        <w:ilvl w:val="1"/>
      </w:numPr>
      <w:tabs>
        <w:tab w:val="clear" w:pos="0"/>
      </w:tabs>
      <w:spacing w:after="360"/>
    </w:pPr>
    <w:rPr>
      <w:sz w:val="28"/>
      <w:szCs w:val="30"/>
    </w:rPr>
  </w:style>
  <w:style w:type="paragraph" w:customStyle="1" w:styleId="AERheading3">
    <w:name w:val="AER heading 3"/>
    <w:basedOn w:val="AERheading2"/>
    <w:next w:val="AERbodytext"/>
    <w:qFormat/>
    <w:rsid w:val="00B275EE"/>
    <w:pPr>
      <w:numPr>
        <w:ilvl w:val="2"/>
      </w:numPr>
      <w:spacing w:before="120" w:after="240"/>
    </w:pPr>
    <w:rPr>
      <w:color w:val="auto"/>
      <w:sz w:val="24"/>
      <w:szCs w:val="24"/>
    </w:rPr>
  </w:style>
  <w:style w:type="paragraph" w:customStyle="1" w:styleId="AERnumberedlistfirststyle">
    <w:name w:val="AER numbered list (first style)"/>
    <w:basedOn w:val="AERbodytext"/>
    <w:qFormat/>
    <w:rsid w:val="009E0F39"/>
    <w:pPr>
      <w:numPr>
        <w:numId w:val="6"/>
      </w:numPr>
      <w:spacing w:after="200" w:line="200" w:lineRule="atLeast"/>
    </w:pPr>
  </w:style>
  <w:style w:type="paragraph" w:customStyle="1" w:styleId="AERnumberedlistsecondstyle">
    <w:name w:val="AER numbered list (second style)"/>
    <w:basedOn w:val="AERnumberedlistfirststyle"/>
    <w:qFormat/>
    <w:rsid w:val="009E0F39"/>
    <w:pPr>
      <w:numPr>
        <w:numId w:val="7"/>
      </w:numPr>
    </w:pPr>
  </w:style>
  <w:style w:type="paragraph" w:customStyle="1" w:styleId="AERnumberedlistthirdstyle">
    <w:name w:val="AER numbered list (third style)"/>
    <w:basedOn w:val="AERbodytext"/>
    <w:qFormat/>
    <w:rsid w:val="009E0F39"/>
    <w:pPr>
      <w:numPr>
        <w:numId w:val="5"/>
      </w:numPr>
      <w:tabs>
        <w:tab w:val="clear" w:pos="1440"/>
        <w:tab w:val="left" w:pos="1077"/>
      </w:tabs>
      <w:spacing w:after="200"/>
      <w:ind w:left="1077" w:hanging="357"/>
    </w:pPr>
  </w:style>
  <w:style w:type="paragraph" w:customStyle="1" w:styleId="AERquote">
    <w:name w:val="AER quote"/>
    <w:basedOn w:val="AERbodytextindent1"/>
    <w:next w:val="AERbodytex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numberedlistfirststyle"/>
    <w:rsid w:val="009E0F39"/>
    <w:pPr>
      <w:numPr>
        <w:numId w:val="0"/>
      </w:numPr>
    </w:pPr>
    <w:rPr>
      <w:sz w:val="16"/>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E0F39"/>
    <w:pPr>
      <w:keepNext/>
      <w:spacing w:before="40" w:after="40"/>
      <w:jc w:val="right"/>
    </w:pPr>
    <w:rPr>
      <w:rFonts w:ascii="Gautami" w:eastAsia="Times New Roman" w:hAnsi="Gautami"/>
      <w:sz w:val="16"/>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qFormat/>
    <w:rsid w:val="009E0F39"/>
    <w:pPr>
      <w:widowControl w:val="0"/>
      <w:spacing w:before="120" w:after="120"/>
      <w:jc w:val="left"/>
    </w:pPr>
    <w:rPr>
      <w:sz w:val="16"/>
      <w:lang w:eastAsia="en-US"/>
    </w:rPr>
  </w:style>
  <w:style w:type="paragraph" w:customStyle="1" w:styleId="AERtabletextheading">
    <w:name w:val="AER table text heading"/>
    <w:qFormat/>
    <w:rsid w:val="009E0F39"/>
    <w:pPr>
      <w:spacing w:before="120" w:after="120"/>
    </w:pPr>
    <w:rPr>
      <w:rFonts w:ascii="Gautami" w:eastAsia="Times New Roman" w:hAnsi="Gautami"/>
      <w:b/>
      <w:szCs w:val="24"/>
      <w:lang w:eastAsia="en-US"/>
    </w:rPr>
  </w:style>
  <w:style w:type="paragraph" w:customStyle="1" w:styleId="AERheading4">
    <w:name w:val="AER heading 4"/>
    <w:next w:val="AERbodytext"/>
    <w:rsid w:val="009E0F39"/>
    <w:pPr>
      <w:spacing w:after="240"/>
    </w:pPr>
    <w:rPr>
      <w:rFonts w:ascii="Gautami" w:eastAsia="Times New Roman" w:hAnsi="Gautami" w:cs="Arial"/>
      <w:b/>
      <w:bCs/>
      <w:kern w:val="32"/>
      <w:sz w:val="22"/>
      <w:szCs w:val="24"/>
      <w:lang w:eastAsia="en-US"/>
    </w:rPr>
  </w:style>
  <w:style w:type="paragraph" w:styleId="Footer">
    <w:name w:val="footer"/>
    <w:basedOn w:val="Normal"/>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E0F39"/>
    <w:pPr>
      <w:jc w:val="left"/>
    </w:p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9E0F39"/>
    <w:pPr>
      <w:ind w:left="72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9E0F39"/>
    <w:pPr>
      <w:ind w:left="1077" w:right="1797"/>
    </w:pPr>
  </w:style>
  <w:style w:type="paragraph" w:customStyle="1" w:styleId="AERquoteindent3">
    <w:name w:val="AER quote (indent 3)"/>
    <w:basedOn w:val="AERquoteindent2"/>
    <w:rsid w:val="009E0F39"/>
    <w:pPr>
      <w:ind w:left="1440" w:right="2160"/>
    </w:pPr>
  </w:style>
  <w:style w:type="character" w:customStyle="1" w:styleId="AERtexthighlight">
    <w:name w:val="AER text highligh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rsid w:val="009E0F39"/>
    <w:pPr>
      <w:keepLines w:val="0"/>
      <w:spacing w:before="120" w:after="240" w:line="240" w:lineRule="atLeast"/>
      <w:ind w:left="720"/>
    </w:pPr>
    <w:rPr>
      <w:rFonts w:ascii="Gautami" w:hAnsi="Gautami" w:cs="Arial"/>
      <w:b/>
      <w:bCs/>
      <w:color w:val="auto"/>
      <w:kern w:val="32"/>
      <w:lang w:eastAsia="en-US"/>
    </w:rPr>
  </w:style>
  <w:style w:type="paragraph" w:customStyle="1" w:styleId="AERheading6">
    <w:name w:val="AER heading 6"/>
    <w:basedOn w:val="Heading6"/>
    <w:next w:val="AERbodytext"/>
    <w:rsid w:val="009E0F39"/>
    <w:pPr>
      <w:keepNext w:val="0"/>
      <w:keepLines w:val="0"/>
      <w:spacing w:before="120" w:after="120"/>
      <w:ind w:left="1440"/>
    </w:pPr>
    <w:rPr>
      <w:rFonts w:ascii="Gautami" w:hAnsi="Gautami" w:cs="Arial"/>
      <w:bCs/>
      <w:iCs w:val="0"/>
      <w:color w:val="auto"/>
      <w:szCs w:val="22"/>
      <w:lang w:eastAsia="en-US"/>
    </w:rPr>
  </w:style>
  <w:style w:type="character" w:styleId="FootnoteReference">
    <w:name w:val="footnote reference"/>
    <w:basedOn w:val="DefaultParagraphFont"/>
    <w:uiPriority w:val="99"/>
    <w:semiHidden/>
    <w:unhideWhenUsed/>
    <w:rsid w:val="009E0F39"/>
    <w:rPr>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basedOn w:val="DefaultParagraphFont"/>
    <w:semiHidden/>
    <w:locked/>
    <w:rsid w:val="009E0F39"/>
    <w:rPr>
      <w:sz w:val="16"/>
      <w:szCs w:val="16"/>
    </w:rPr>
  </w:style>
  <w:style w:type="paragraph" w:styleId="CommentText">
    <w:name w:val="annotation text"/>
    <w:basedOn w:val="Normal"/>
    <w:link w:val="CommentTextChar"/>
    <w:semiHidden/>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basedOn w:val="Normal"/>
    <w:link w:val="FootnoteTextChar"/>
    <w:rsid w:val="009E0F39"/>
    <w:pPr>
      <w:tabs>
        <w:tab w:val="left" w:pos="454"/>
      </w:tabs>
      <w:ind w:left="454" w:hanging="454"/>
    </w:pPr>
    <w:rPr>
      <w:sz w:val="16"/>
      <w:szCs w:val="20"/>
    </w:rPr>
  </w:style>
  <w:style w:type="character" w:customStyle="1" w:styleId="AERbody">
    <w:name w:val="AER body"/>
    <w:basedOn w:val="DefaultParagraphFont"/>
    <w:rsid w:val="009E0F39"/>
    <w:rPr>
      <w:rFonts w:ascii="Gautami" w:hAnsi="Gautami"/>
      <w:color w:val="auto"/>
      <w:sz w:val="20"/>
    </w:rPr>
  </w:style>
  <w:style w:type="paragraph" w:customStyle="1" w:styleId="AERtabletext-numbers">
    <w:name w:val="AER table text - numbers"/>
    <w:basedOn w:val="AERtabletext"/>
    <w:qFormat/>
    <w:rsid w:val="009E0F3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rsid w:val="009E0F39"/>
    <w:rPr>
      <w:i/>
    </w:rPr>
  </w:style>
  <w:style w:type="paragraph" w:styleId="TOC1">
    <w:name w:val="toc 1"/>
    <w:basedOn w:val="Normal"/>
    <w:next w:val="Normal"/>
    <w:uiPriority w:val="39"/>
    <w:rsid w:val="00412D01"/>
    <w:pPr>
      <w:tabs>
        <w:tab w:val="left" w:pos="567"/>
        <w:tab w:val="right" w:leader="dot" w:pos="8307"/>
      </w:tabs>
      <w:spacing w:before="120" w:after="120"/>
    </w:pPr>
    <w:rPr>
      <w:b/>
      <w:lang w:eastAsia="en-US"/>
    </w:rPr>
  </w:style>
  <w:style w:type="paragraph" w:customStyle="1" w:styleId="AERunnumberedheading">
    <w:name w:val="AER unnumbered heading"/>
    <w:basedOn w:val="AERheading1"/>
    <w:rsid w:val="00412D01"/>
    <w:pPr>
      <w:numPr>
        <w:numId w:val="0"/>
      </w:numPr>
      <w:tabs>
        <w:tab w:val="clear" w:pos="0"/>
      </w:tabs>
      <w:spacing w:after="120"/>
    </w:pPr>
  </w:style>
  <w:style w:type="paragraph" w:customStyle="1" w:styleId="AERTitle1">
    <w:name w:val="AER Title 1"/>
    <w:basedOn w:val="AERheading4"/>
    <w:rsid w:val="00412D01"/>
    <w:pPr>
      <w:keepNext/>
      <w:jc w:val="center"/>
    </w:pPr>
    <w:rPr>
      <w:sz w:val="40"/>
    </w:rPr>
  </w:style>
  <w:style w:type="paragraph" w:customStyle="1" w:styleId="AERTitle2">
    <w:name w:val="AER Title 2"/>
    <w:basedOn w:val="AERTitle1"/>
    <w:rsid w:val="00412D01"/>
    <w:pPr>
      <w:spacing w:before="1680"/>
    </w:pPr>
    <w:rPr>
      <w:b w:val="0"/>
      <w:sz w:val="32"/>
    </w:rPr>
  </w:style>
  <w:style w:type="character" w:styleId="Hyperlink">
    <w:name w:val="Hyperlink"/>
    <w:basedOn w:val="DefaultParagraphFont"/>
    <w:uiPriority w:val="99"/>
    <w:rsid w:val="003E54DA"/>
    <w:rPr>
      <w:color w:val="0000FF"/>
      <w:u w:val="single"/>
    </w:rPr>
  </w:style>
  <w:style w:type="table" w:styleId="TableGrid">
    <w:name w:val="Table Grid"/>
    <w:basedOn w:val="TableNormal"/>
    <w:locked/>
    <w:rsid w:val="003E54DA"/>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locked/>
    <w:rsid w:val="00885E96"/>
    <w:pPr>
      <w:spacing w:before="100" w:beforeAutospacing="1" w:after="100" w:afterAutospacing="1" w:line="240" w:lineRule="auto"/>
      <w:jc w:val="left"/>
    </w:pPr>
    <w:rPr>
      <w:rFonts w:ascii="Times New Roman" w:hAnsi="Times New Roman"/>
      <w:sz w:val="24"/>
    </w:rPr>
  </w:style>
  <w:style w:type="paragraph" w:styleId="Caption">
    <w:name w:val="caption"/>
    <w:basedOn w:val="Normal"/>
    <w:next w:val="Normal"/>
    <w:uiPriority w:val="35"/>
    <w:unhideWhenUsed/>
    <w:qFormat/>
    <w:locked/>
    <w:rsid w:val="00F46F5F"/>
    <w:rPr>
      <w:b/>
      <w:bCs/>
      <w:szCs w:val="20"/>
    </w:rPr>
  </w:style>
  <w:style w:type="character" w:customStyle="1" w:styleId="FootnoteTextChar">
    <w:name w:val="Footnote Text Char"/>
    <w:basedOn w:val="DefaultParagraphFont"/>
    <w:link w:val="FootnoteText"/>
    <w:rsid w:val="00263B12"/>
    <w:rPr>
      <w:rFonts w:ascii="Gautami" w:eastAsia="Times New Roman" w:hAnsi="Gautami"/>
      <w:sz w:val="16"/>
    </w:rPr>
  </w:style>
  <w:style w:type="numbering" w:customStyle="1" w:styleId="AERnumberedlist">
    <w:name w:val="AER numbered list"/>
    <w:uiPriority w:val="99"/>
    <w:rsid w:val="008E28A5"/>
    <w:pPr>
      <w:numPr>
        <w:numId w:val="23"/>
      </w:numPr>
    </w:pPr>
  </w:style>
  <w:style w:type="paragraph" w:customStyle="1" w:styleId="AERbodytextnospace">
    <w:name w:val="AER body text no space"/>
    <w:basedOn w:val="AERbodytext"/>
    <w:qFormat/>
    <w:rsid w:val="008E28A5"/>
    <w:pPr>
      <w:tabs>
        <w:tab w:val="num" w:pos="0"/>
      </w:tabs>
      <w:spacing w:after="0"/>
    </w:pPr>
  </w:style>
  <w:style w:type="paragraph" w:customStyle="1" w:styleId="AERnumberedlist2first">
    <w:name w:val="AER numbered list 2 first"/>
    <w:basedOn w:val="AERbodytext"/>
    <w:qFormat/>
    <w:rsid w:val="008E28A5"/>
    <w:pPr>
      <w:tabs>
        <w:tab w:val="num" w:pos="357"/>
      </w:tabs>
      <w:ind w:left="357" w:hanging="357"/>
    </w:pPr>
  </w:style>
  <w:style w:type="paragraph" w:customStyle="1" w:styleId="AERnumberedlist2second">
    <w:name w:val="AER numbered list 2 second"/>
    <w:basedOn w:val="AERnumberedlist2first"/>
    <w:qFormat/>
    <w:rsid w:val="008E28A5"/>
    <w:pPr>
      <w:tabs>
        <w:tab w:val="clear" w:pos="357"/>
        <w:tab w:val="num" w:pos="720"/>
      </w:tabs>
      <w:ind w:left="720" w:hanging="363"/>
    </w:pPr>
  </w:style>
  <w:style w:type="paragraph" w:customStyle="1" w:styleId="AERnumberedlist2third">
    <w:name w:val="AER numbered list 2 third"/>
    <w:basedOn w:val="AERnumberedlist2second"/>
    <w:qFormat/>
    <w:rsid w:val="008E28A5"/>
    <w:pPr>
      <w:tabs>
        <w:tab w:val="clear" w:pos="720"/>
        <w:tab w:val="num" w:pos="1077"/>
      </w:tabs>
      <w:ind w:left="1077" w:hanging="357"/>
    </w:pPr>
  </w:style>
  <w:style w:type="character" w:customStyle="1" w:styleId="Heading2Char">
    <w:name w:val="Heading 2 Char"/>
    <w:basedOn w:val="DefaultParagraphFont"/>
    <w:link w:val="Heading2"/>
    <w:uiPriority w:val="9"/>
    <w:rsid w:val="001C286E"/>
    <w:rPr>
      <w:rFonts w:ascii="Gautami" w:eastAsia="Times New Roman" w:hAnsi="Gautami"/>
      <w:b/>
      <w:color w:val="E36C0A"/>
      <w:sz w:val="28"/>
      <w:szCs w:val="26"/>
      <w:lang w:eastAsia="en-US"/>
    </w:rPr>
  </w:style>
  <w:style w:type="character" w:customStyle="1" w:styleId="Heading3Char">
    <w:name w:val="Heading 3 Char"/>
    <w:basedOn w:val="DefaultParagraphFont"/>
    <w:link w:val="Heading3"/>
    <w:uiPriority w:val="9"/>
    <w:rsid w:val="001C286E"/>
    <w:rPr>
      <w:rFonts w:ascii="Gautami" w:eastAsia="Times New Roman" w:hAnsi="Gautami"/>
      <w:b/>
      <w:bCs/>
      <w:color w:val="E36C0A"/>
      <w:sz w:val="24"/>
      <w:szCs w:val="26"/>
      <w:lang w:eastAsia="en-US"/>
    </w:rPr>
  </w:style>
  <w:style w:type="character" w:customStyle="1" w:styleId="Heading7Char">
    <w:name w:val="Heading 7 Char"/>
    <w:basedOn w:val="DefaultParagraphFont"/>
    <w:link w:val="Heading7"/>
    <w:uiPriority w:val="9"/>
    <w:rsid w:val="001C286E"/>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uiPriority w:val="9"/>
    <w:rsid w:val="001C286E"/>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1C286E"/>
    <w:rPr>
      <w:rFonts w:ascii="Gautami" w:eastAsia="Times New Roman" w:hAnsi="Gautami"/>
      <w:b/>
      <w:bCs/>
      <w:color w:val="E36C0A"/>
      <w:sz w:val="24"/>
      <w:lang w:eastAsia="en-US"/>
    </w:rPr>
  </w:style>
  <w:style w:type="numbering" w:customStyle="1" w:styleId="AERHeadings">
    <w:name w:val="AER Headings"/>
    <w:uiPriority w:val="99"/>
    <w:rsid w:val="001C286E"/>
    <w:pPr>
      <w:numPr>
        <w:numId w:val="25"/>
      </w:numPr>
    </w:pPr>
  </w:style>
  <w:style w:type="paragraph" w:customStyle="1" w:styleId="UnnumberedHeading">
    <w:name w:val="Unnumbered Heading"/>
    <w:basedOn w:val="Heading1"/>
    <w:next w:val="AERbodytext"/>
    <w:link w:val="UnnumberedHeadingChar"/>
    <w:qFormat/>
    <w:rsid w:val="001C286E"/>
    <w:pPr>
      <w:pageBreakBefore/>
      <w:tabs>
        <w:tab w:val="num" w:pos="0"/>
      </w:tabs>
      <w:spacing w:before="120" w:after="120"/>
    </w:pPr>
    <w:rPr>
      <w:rFonts w:ascii="Gautami" w:hAnsi="Gautami"/>
      <w:color w:val="E36C0A"/>
      <w:sz w:val="36"/>
      <w:lang w:eastAsia="en-US"/>
    </w:rPr>
  </w:style>
  <w:style w:type="character" w:customStyle="1" w:styleId="UnnumberedHeadingChar">
    <w:name w:val="Unnumbered Heading Char"/>
    <w:link w:val="UnnumberedHeading"/>
    <w:rsid w:val="001C286E"/>
    <w:rPr>
      <w:rFonts w:ascii="Gautami" w:eastAsia="Times New Roman" w:hAnsi="Gautami"/>
      <w:b/>
      <w:bCs/>
      <w:color w:val="E36C0A"/>
      <w:sz w:val="36"/>
      <w:szCs w:val="28"/>
      <w:lang w:eastAsia="en-US"/>
    </w:rPr>
  </w:style>
  <w:style w:type="numbering" w:customStyle="1" w:styleId="AERHeadings1">
    <w:name w:val="AER Headings1"/>
    <w:uiPriority w:val="99"/>
    <w:rsid w:val="005D71C8"/>
  </w:style>
  <w:style w:type="paragraph" w:styleId="TOC2">
    <w:name w:val="toc 2"/>
    <w:basedOn w:val="Normal"/>
    <w:next w:val="Normal"/>
    <w:autoRedefine/>
    <w:uiPriority w:val="39"/>
    <w:unhideWhenUsed/>
    <w:rsid w:val="00895B38"/>
    <w:pPr>
      <w:ind w:left="200"/>
    </w:pPr>
  </w:style>
  <w:style w:type="character" w:styleId="FollowedHyperlink">
    <w:name w:val="FollowedHyperlink"/>
    <w:basedOn w:val="DefaultParagraphFont"/>
    <w:uiPriority w:val="99"/>
    <w:semiHidden/>
    <w:unhideWhenUsed/>
    <w:locked/>
    <w:rsid w:val="003F284B"/>
    <w:rPr>
      <w:color w:val="800080" w:themeColor="followedHyperlink"/>
      <w:u w:val="single"/>
    </w:rPr>
  </w:style>
  <w:style w:type="paragraph" w:customStyle="1" w:styleId="AERtableheading">
    <w:name w:val="AER table heading"/>
    <w:basedOn w:val="Normal"/>
    <w:next w:val="Normal"/>
    <w:rsid w:val="00EA1192"/>
    <w:pPr>
      <w:keepNext/>
      <w:tabs>
        <w:tab w:val="num" w:pos="1361"/>
      </w:tabs>
      <w:spacing w:before="240" w:after="120" w:line="240" w:lineRule="auto"/>
      <w:ind w:left="1361" w:hanging="1361"/>
      <w:jc w:val="left"/>
      <w:outlineLvl w:val="3"/>
    </w:pPr>
    <w:rPr>
      <w:rFonts w:ascii="Times New Roman" w:hAnsi="Times New Roman"/>
      <w:b/>
      <w:sz w:val="22"/>
      <w:lang w:eastAsia="en-US"/>
    </w:rPr>
  </w:style>
  <w:style w:type="character" w:customStyle="1" w:styleId="CommentTextChar">
    <w:name w:val="Comment Text Char"/>
    <w:link w:val="CommentText"/>
    <w:semiHidden/>
    <w:rsid w:val="00A53B65"/>
    <w:rPr>
      <w:rFonts w:ascii="Gautami" w:eastAsia="Times New Roman" w:hAnsi="Gautami"/>
    </w:rPr>
  </w:style>
  <w:style w:type="character" w:customStyle="1" w:styleId="AERbodytextChar">
    <w:name w:val="AER body text Char"/>
    <w:link w:val="AERbodytext"/>
    <w:locked/>
    <w:rsid w:val="002B5041"/>
    <w:rPr>
      <w:rFonts w:ascii="Gautami" w:eastAsia="Times New Roman" w:hAnsi="Gautami"/>
      <w:szCs w:val="24"/>
      <w:lang w:eastAsia="en-US"/>
    </w:rPr>
  </w:style>
  <w:style w:type="character" w:customStyle="1" w:styleId="AERbolditals">
    <w:name w:val="AER bold itals"/>
    <w:rsid w:val="00377CA7"/>
    <w:rPr>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AERHeadings"/>
    <w:pPr>
      <w:numPr>
        <w:numId w:val="25"/>
      </w:numPr>
    </w:pPr>
  </w:style>
  <w:style w:type="numbering" w:customStyle="1" w:styleId="AERtabletitle">
    <w:name w:val="AERnumberedlist"/>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8875">
      <w:bodyDiv w:val="1"/>
      <w:marLeft w:val="0"/>
      <w:marRight w:val="0"/>
      <w:marTop w:val="0"/>
      <w:marBottom w:val="0"/>
      <w:divBdr>
        <w:top w:val="none" w:sz="0" w:space="0" w:color="auto"/>
        <w:left w:val="none" w:sz="0" w:space="0" w:color="auto"/>
        <w:bottom w:val="none" w:sz="0" w:space="0" w:color="auto"/>
        <w:right w:val="none" w:sz="0" w:space="0" w:color="auto"/>
      </w:divBdr>
    </w:div>
    <w:div w:id="122701989">
      <w:bodyDiv w:val="1"/>
      <w:marLeft w:val="0"/>
      <w:marRight w:val="0"/>
      <w:marTop w:val="0"/>
      <w:marBottom w:val="0"/>
      <w:divBdr>
        <w:top w:val="none" w:sz="0" w:space="0" w:color="auto"/>
        <w:left w:val="none" w:sz="0" w:space="0" w:color="auto"/>
        <w:bottom w:val="none" w:sz="0" w:space="0" w:color="auto"/>
        <w:right w:val="none" w:sz="0" w:space="0" w:color="auto"/>
      </w:divBdr>
      <w:divsChild>
        <w:div w:id="1600065347">
          <w:marLeft w:val="0"/>
          <w:marRight w:val="0"/>
          <w:marTop w:val="0"/>
          <w:marBottom w:val="0"/>
          <w:divBdr>
            <w:top w:val="none" w:sz="0" w:space="0" w:color="auto"/>
            <w:left w:val="none" w:sz="0" w:space="0" w:color="auto"/>
            <w:bottom w:val="none" w:sz="0" w:space="0" w:color="auto"/>
            <w:right w:val="none" w:sz="0" w:space="0" w:color="auto"/>
          </w:divBdr>
          <w:divsChild>
            <w:div w:id="1673725998">
              <w:marLeft w:val="0"/>
              <w:marRight w:val="0"/>
              <w:marTop w:val="0"/>
              <w:marBottom w:val="0"/>
              <w:divBdr>
                <w:top w:val="none" w:sz="0" w:space="0" w:color="auto"/>
                <w:left w:val="none" w:sz="0" w:space="0" w:color="auto"/>
                <w:bottom w:val="none" w:sz="0" w:space="0" w:color="auto"/>
                <w:right w:val="none" w:sz="0" w:space="0" w:color="auto"/>
              </w:divBdr>
              <w:divsChild>
                <w:div w:id="797260820">
                  <w:marLeft w:val="0"/>
                  <w:marRight w:val="0"/>
                  <w:marTop w:val="0"/>
                  <w:marBottom w:val="0"/>
                  <w:divBdr>
                    <w:top w:val="none" w:sz="0" w:space="0" w:color="auto"/>
                    <w:left w:val="none" w:sz="0" w:space="0" w:color="auto"/>
                    <w:bottom w:val="none" w:sz="0" w:space="0" w:color="auto"/>
                    <w:right w:val="none" w:sz="0" w:space="0" w:color="auto"/>
                  </w:divBdr>
                  <w:divsChild>
                    <w:div w:id="257760996">
                      <w:marLeft w:val="0"/>
                      <w:marRight w:val="0"/>
                      <w:marTop w:val="0"/>
                      <w:marBottom w:val="0"/>
                      <w:divBdr>
                        <w:top w:val="none" w:sz="0" w:space="0" w:color="auto"/>
                        <w:left w:val="none" w:sz="0" w:space="0" w:color="auto"/>
                        <w:bottom w:val="none" w:sz="0" w:space="0" w:color="auto"/>
                        <w:right w:val="none" w:sz="0" w:space="0" w:color="auto"/>
                      </w:divBdr>
                      <w:divsChild>
                        <w:div w:id="1048262437">
                          <w:marLeft w:val="335"/>
                          <w:marRight w:val="335"/>
                          <w:marTop w:val="0"/>
                          <w:marBottom w:val="335"/>
                          <w:divBdr>
                            <w:top w:val="none" w:sz="0" w:space="0" w:color="auto"/>
                            <w:left w:val="none" w:sz="0" w:space="0" w:color="auto"/>
                            <w:bottom w:val="none" w:sz="0" w:space="0" w:color="auto"/>
                            <w:right w:val="none" w:sz="0" w:space="0" w:color="auto"/>
                          </w:divBdr>
                          <w:divsChild>
                            <w:div w:id="1747993429">
                              <w:marLeft w:val="0"/>
                              <w:marRight w:val="0"/>
                              <w:marTop w:val="0"/>
                              <w:marBottom w:val="0"/>
                              <w:divBdr>
                                <w:top w:val="none" w:sz="0" w:space="0" w:color="auto"/>
                                <w:left w:val="none" w:sz="0" w:space="0" w:color="auto"/>
                                <w:bottom w:val="none" w:sz="0" w:space="0" w:color="auto"/>
                                <w:right w:val="none" w:sz="0" w:space="0" w:color="auto"/>
                              </w:divBdr>
                              <w:divsChild>
                                <w:div w:id="259026451">
                                  <w:marLeft w:val="0"/>
                                  <w:marRight w:val="0"/>
                                  <w:marTop w:val="0"/>
                                  <w:marBottom w:val="0"/>
                                  <w:divBdr>
                                    <w:top w:val="none" w:sz="0" w:space="0" w:color="auto"/>
                                    <w:left w:val="none" w:sz="0" w:space="0" w:color="auto"/>
                                    <w:bottom w:val="none" w:sz="0" w:space="0" w:color="auto"/>
                                    <w:right w:val="none" w:sz="0" w:space="0" w:color="auto"/>
                                  </w:divBdr>
                                  <w:divsChild>
                                    <w:div w:id="18443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42989">
      <w:bodyDiv w:val="1"/>
      <w:marLeft w:val="0"/>
      <w:marRight w:val="0"/>
      <w:marTop w:val="0"/>
      <w:marBottom w:val="0"/>
      <w:divBdr>
        <w:top w:val="none" w:sz="0" w:space="0" w:color="auto"/>
        <w:left w:val="none" w:sz="0" w:space="0" w:color="auto"/>
        <w:bottom w:val="none" w:sz="0" w:space="0" w:color="auto"/>
        <w:right w:val="none" w:sz="0" w:space="0" w:color="auto"/>
      </w:divBdr>
      <w:divsChild>
        <w:div w:id="599876418">
          <w:marLeft w:val="0"/>
          <w:marRight w:val="0"/>
          <w:marTop w:val="0"/>
          <w:marBottom w:val="0"/>
          <w:divBdr>
            <w:top w:val="none" w:sz="0" w:space="0" w:color="auto"/>
            <w:left w:val="none" w:sz="0" w:space="0" w:color="auto"/>
            <w:bottom w:val="none" w:sz="0" w:space="0" w:color="auto"/>
            <w:right w:val="none" w:sz="0" w:space="0" w:color="auto"/>
          </w:divBdr>
          <w:divsChild>
            <w:div w:id="1438519698">
              <w:marLeft w:val="0"/>
              <w:marRight w:val="0"/>
              <w:marTop w:val="0"/>
              <w:marBottom w:val="0"/>
              <w:divBdr>
                <w:top w:val="none" w:sz="0" w:space="0" w:color="auto"/>
                <w:left w:val="none" w:sz="0" w:space="0" w:color="auto"/>
                <w:bottom w:val="none" w:sz="0" w:space="0" w:color="auto"/>
                <w:right w:val="none" w:sz="0" w:space="0" w:color="auto"/>
              </w:divBdr>
              <w:divsChild>
                <w:div w:id="513348388">
                  <w:marLeft w:val="0"/>
                  <w:marRight w:val="0"/>
                  <w:marTop w:val="0"/>
                  <w:marBottom w:val="0"/>
                  <w:divBdr>
                    <w:top w:val="none" w:sz="0" w:space="0" w:color="auto"/>
                    <w:left w:val="none" w:sz="0" w:space="0" w:color="auto"/>
                    <w:bottom w:val="none" w:sz="0" w:space="0" w:color="auto"/>
                    <w:right w:val="none" w:sz="0" w:space="0" w:color="auto"/>
                  </w:divBdr>
                  <w:divsChild>
                    <w:div w:id="231894585">
                      <w:marLeft w:val="0"/>
                      <w:marRight w:val="0"/>
                      <w:marTop w:val="0"/>
                      <w:marBottom w:val="0"/>
                      <w:divBdr>
                        <w:top w:val="none" w:sz="0" w:space="0" w:color="auto"/>
                        <w:left w:val="none" w:sz="0" w:space="0" w:color="auto"/>
                        <w:bottom w:val="none" w:sz="0" w:space="0" w:color="auto"/>
                        <w:right w:val="none" w:sz="0" w:space="0" w:color="auto"/>
                      </w:divBdr>
                      <w:divsChild>
                        <w:div w:id="1264649613">
                          <w:marLeft w:val="335"/>
                          <w:marRight w:val="335"/>
                          <w:marTop w:val="0"/>
                          <w:marBottom w:val="335"/>
                          <w:divBdr>
                            <w:top w:val="none" w:sz="0" w:space="0" w:color="auto"/>
                            <w:left w:val="none" w:sz="0" w:space="0" w:color="auto"/>
                            <w:bottom w:val="none" w:sz="0" w:space="0" w:color="auto"/>
                            <w:right w:val="none" w:sz="0" w:space="0" w:color="auto"/>
                          </w:divBdr>
                          <w:divsChild>
                            <w:div w:id="1718971071">
                              <w:marLeft w:val="0"/>
                              <w:marRight w:val="0"/>
                              <w:marTop w:val="0"/>
                              <w:marBottom w:val="0"/>
                              <w:divBdr>
                                <w:top w:val="none" w:sz="0" w:space="0" w:color="auto"/>
                                <w:left w:val="none" w:sz="0" w:space="0" w:color="auto"/>
                                <w:bottom w:val="none" w:sz="0" w:space="0" w:color="auto"/>
                                <w:right w:val="none" w:sz="0" w:space="0" w:color="auto"/>
                              </w:divBdr>
                              <w:divsChild>
                                <w:div w:id="17464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9459">
      <w:bodyDiv w:val="1"/>
      <w:marLeft w:val="0"/>
      <w:marRight w:val="0"/>
      <w:marTop w:val="0"/>
      <w:marBottom w:val="0"/>
      <w:divBdr>
        <w:top w:val="none" w:sz="0" w:space="0" w:color="auto"/>
        <w:left w:val="none" w:sz="0" w:space="0" w:color="auto"/>
        <w:bottom w:val="none" w:sz="0" w:space="0" w:color="auto"/>
        <w:right w:val="none" w:sz="0" w:space="0" w:color="auto"/>
      </w:divBdr>
    </w:div>
    <w:div w:id="212542196">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78728386">
      <w:bodyDiv w:val="1"/>
      <w:marLeft w:val="0"/>
      <w:marRight w:val="0"/>
      <w:marTop w:val="0"/>
      <w:marBottom w:val="0"/>
      <w:divBdr>
        <w:top w:val="none" w:sz="0" w:space="0" w:color="auto"/>
        <w:left w:val="none" w:sz="0" w:space="0" w:color="auto"/>
        <w:bottom w:val="none" w:sz="0" w:space="0" w:color="auto"/>
        <w:right w:val="none" w:sz="0" w:space="0" w:color="auto"/>
      </w:divBdr>
      <w:divsChild>
        <w:div w:id="1539195008">
          <w:marLeft w:val="0"/>
          <w:marRight w:val="0"/>
          <w:marTop w:val="0"/>
          <w:marBottom w:val="0"/>
          <w:divBdr>
            <w:top w:val="none" w:sz="0" w:space="0" w:color="auto"/>
            <w:left w:val="none" w:sz="0" w:space="0" w:color="auto"/>
            <w:bottom w:val="none" w:sz="0" w:space="0" w:color="auto"/>
            <w:right w:val="none" w:sz="0" w:space="0" w:color="auto"/>
          </w:divBdr>
          <w:divsChild>
            <w:div w:id="1105156008">
              <w:marLeft w:val="0"/>
              <w:marRight w:val="0"/>
              <w:marTop w:val="0"/>
              <w:marBottom w:val="0"/>
              <w:divBdr>
                <w:top w:val="none" w:sz="0" w:space="0" w:color="auto"/>
                <w:left w:val="none" w:sz="0" w:space="0" w:color="auto"/>
                <w:bottom w:val="none" w:sz="0" w:space="0" w:color="auto"/>
                <w:right w:val="none" w:sz="0" w:space="0" w:color="auto"/>
              </w:divBdr>
              <w:divsChild>
                <w:div w:id="709186174">
                  <w:marLeft w:val="0"/>
                  <w:marRight w:val="0"/>
                  <w:marTop w:val="0"/>
                  <w:marBottom w:val="0"/>
                  <w:divBdr>
                    <w:top w:val="none" w:sz="0" w:space="0" w:color="auto"/>
                    <w:left w:val="none" w:sz="0" w:space="0" w:color="auto"/>
                    <w:bottom w:val="none" w:sz="0" w:space="0" w:color="auto"/>
                    <w:right w:val="none" w:sz="0" w:space="0" w:color="auto"/>
                  </w:divBdr>
                  <w:divsChild>
                    <w:div w:id="847863902">
                      <w:marLeft w:val="0"/>
                      <w:marRight w:val="0"/>
                      <w:marTop w:val="0"/>
                      <w:marBottom w:val="0"/>
                      <w:divBdr>
                        <w:top w:val="none" w:sz="0" w:space="0" w:color="auto"/>
                        <w:left w:val="none" w:sz="0" w:space="0" w:color="auto"/>
                        <w:bottom w:val="none" w:sz="0" w:space="0" w:color="auto"/>
                        <w:right w:val="none" w:sz="0" w:space="0" w:color="auto"/>
                      </w:divBdr>
                      <w:divsChild>
                        <w:div w:id="27068274">
                          <w:marLeft w:val="335"/>
                          <w:marRight w:val="335"/>
                          <w:marTop w:val="0"/>
                          <w:marBottom w:val="335"/>
                          <w:divBdr>
                            <w:top w:val="none" w:sz="0" w:space="0" w:color="auto"/>
                            <w:left w:val="none" w:sz="0" w:space="0" w:color="auto"/>
                            <w:bottom w:val="none" w:sz="0" w:space="0" w:color="auto"/>
                            <w:right w:val="none" w:sz="0" w:space="0" w:color="auto"/>
                          </w:divBdr>
                          <w:divsChild>
                            <w:div w:id="2097436444">
                              <w:marLeft w:val="0"/>
                              <w:marRight w:val="0"/>
                              <w:marTop w:val="0"/>
                              <w:marBottom w:val="0"/>
                              <w:divBdr>
                                <w:top w:val="none" w:sz="0" w:space="0" w:color="auto"/>
                                <w:left w:val="none" w:sz="0" w:space="0" w:color="auto"/>
                                <w:bottom w:val="none" w:sz="0" w:space="0" w:color="auto"/>
                                <w:right w:val="none" w:sz="0" w:space="0" w:color="auto"/>
                              </w:divBdr>
                              <w:divsChild>
                                <w:div w:id="589656669">
                                  <w:marLeft w:val="0"/>
                                  <w:marRight w:val="0"/>
                                  <w:marTop w:val="0"/>
                                  <w:marBottom w:val="0"/>
                                  <w:divBdr>
                                    <w:top w:val="none" w:sz="0" w:space="0" w:color="auto"/>
                                    <w:left w:val="none" w:sz="0" w:space="0" w:color="auto"/>
                                    <w:bottom w:val="none" w:sz="0" w:space="0" w:color="auto"/>
                                    <w:right w:val="none" w:sz="0" w:space="0" w:color="auto"/>
                                  </w:divBdr>
                                  <w:divsChild>
                                    <w:div w:id="1031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001351">
      <w:bodyDiv w:val="1"/>
      <w:marLeft w:val="0"/>
      <w:marRight w:val="0"/>
      <w:marTop w:val="0"/>
      <w:marBottom w:val="0"/>
      <w:divBdr>
        <w:top w:val="none" w:sz="0" w:space="0" w:color="auto"/>
        <w:left w:val="none" w:sz="0" w:space="0" w:color="auto"/>
        <w:bottom w:val="none" w:sz="0" w:space="0" w:color="auto"/>
        <w:right w:val="none" w:sz="0" w:space="0" w:color="auto"/>
      </w:divBdr>
    </w:div>
    <w:div w:id="641614071">
      <w:bodyDiv w:val="1"/>
      <w:marLeft w:val="0"/>
      <w:marRight w:val="0"/>
      <w:marTop w:val="0"/>
      <w:marBottom w:val="0"/>
      <w:divBdr>
        <w:top w:val="none" w:sz="0" w:space="0" w:color="auto"/>
        <w:left w:val="none" w:sz="0" w:space="0" w:color="auto"/>
        <w:bottom w:val="none" w:sz="0" w:space="0" w:color="auto"/>
        <w:right w:val="none" w:sz="0" w:space="0" w:color="auto"/>
      </w:divBdr>
    </w:div>
    <w:div w:id="658925913">
      <w:bodyDiv w:val="1"/>
      <w:marLeft w:val="0"/>
      <w:marRight w:val="0"/>
      <w:marTop w:val="0"/>
      <w:marBottom w:val="0"/>
      <w:divBdr>
        <w:top w:val="none" w:sz="0" w:space="0" w:color="auto"/>
        <w:left w:val="none" w:sz="0" w:space="0" w:color="auto"/>
        <w:bottom w:val="none" w:sz="0" w:space="0" w:color="auto"/>
        <w:right w:val="none" w:sz="0" w:space="0" w:color="auto"/>
      </w:divBdr>
    </w:div>
    <w:div w:id="699167209">
      <w:bodyDiv w:val="1"/>
      <w:marLeft w:val="0"/>
      <w:marRight w:val="0"/>
      <w:marTop w:val="0"/>
      <w:marBottom w:val="0"/>
      <w:divBdr>
        <w:top w:val="none" w:sz="0" w:space="0" w:color="auto"/>
        <w:left w:val="none" w:sz="0" w:space="0" w:color="auto"/>
        <w:bottom w:val="none" w:sz="0" w:space="0" w:color="auto"/>
        <w:right w:val="none" w:sz="0" w:space="0" w:color="auto"/>
      </w:divBdr>
    </w:div>
    <w:div w:id="735781639">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64158249">
      <w:bodyDiv w:val="1"/>
      <w:marLeft w:val="0"/>
      <w:marRight w:val="0"/>
      <w:marTop w:val="0"/>
      <w:marBottom w:val="0"/>
      <w:divBdr>
        <w:top w:val="none" w:sz="0" w:space="0" w:color="auto"/>
        <w:left w:val="none" w:sz="0" w:space="0" w:color="auto"/>
        <w:bottom w:val="none" w:sz="0" w:space="0" w:color="auto"/>
        <w:right w:val="none" w:sz="0" w:space="0" w:color="auto"/>
      </w:divBdr>
      <w:divsChild>
        <w:div w:id="2023585256">
          <w:marLeft w:val="0"/>
          <w:marRight w:val="0"/>
          <w:marTop w:val="0"/>
          <w:marBottom w:val="0"/>
          <w:divBdr>
            <w:top w:val="none" w:sz="0" w:space="0" w:color="auto"/>
            <w:left w:val="none" w:sz="0" w:space="0" w:color="auto"/>
            <w:bottom w:val="none" w:sz="0" w:space="0" w:color="auto"/>
            <w:right w:val="none" w:sz="0" w:space="0" w:color="auto"/>
          </w:divBdr>
          <w:divsChild>
            <w:div w:id="1478376609">
              <w:marLeft w:val="0"/>
              <w:marRight w:val="0"/>
              <w:marTop w:val="0"/>
              <w:marBottom w:val="0"/>
              <w:divBdr>
                <w:top w:val="none" w:sz="0" w:space="0" w:color="auto"/>
                <w:left w:val="none" w:sz="0" w:space="0" w:color="auto"/>
                <w:bottom w:val="none" w:sz="0" w:space="0" w:color="auto"/>
                <w:right w:val="none" w:sz="0" w:space="0" w:color="auto"/>
              </w:divBdr>
              <w:divsChild>
                <w:div w:id="1602106701">
                  <w:marLeft w:val="0"/>
                  <w:marRight w:val="0"/>
                  <w:marTop w:val="0"/>
                  <w:marBottom w:val="0"/>
                  <w:divBdr>
                    <w:top w:val="none" w:sz="0" w:space="0" w:color="auto"/>
                    <w:left w:val="none" w:sz="0" w:space="0" w:color="auto"/>
                    <w:bottom w:val="none" w:sz="0" w:space="0" w:color="auto"/>
                    <w:right w:val="none" w:sz="0" w:space="0" w:color="auto"/>
                  </w:divBdr>
                  <w:divsChild>
                    <w:div w:id="860775293">
                      <w:marLeft w:val="0"/>
                      <w:marRight w:val="0"/>
                      <w:marTop w:val="0"/>
                      <w:marBottom w:val="0"/>
                      <w:divBdr>
                        <w:top w:val="none" w:sz="0" w:space="0" w:color="auto"/>
                        <w:left w:val="none" w:sz="0" w:space="0" w:color="auto"/>
                        <w:bottom w:val="none" w:sz="0" w:space="0" w:color="auto"/>
                        <w:right w:val="none" w:sz="0" w:space="0" w:color="auto"/>
                      </w:divBdr>
                      <w:divsChild>
                        <w:div w:id="2140831094">
                          <w:marLeft w:val="335"/>
                          <w:marRight w:val="335"/>
                          <w:marTop w:val="0"/>
                          <w:marBottom w:val="335"/>
                          <w:divBdr>
                            <w:top w:val="none" w:sz="0" w:space="0" w:color="auto"/>
                            <w:left w:val="none" w:sz="0" w:space="0" w:color="auto"/>
                            <w:bottom w:val="none" w:sz="0" w:space="0" w:color="auto"/>
                            <w:right w:val="none" w:sz="0" w:space="0" w:color="auto"/>
                          </w:divBdr>
                          <w:divsChild>
                            <w:div w:id="1663922437">
                              <w:marLeft w:val="0"/>
                              <w:marRight w:val="0"/>
                              <w:marTop w:val="0"/>
                              <w:marBottom w:val="0"/>
                              <w:divBdr>
                                <w:top w:val="none" w:sz="0" w:space="0" w:color="auto"/>
                                <w:left w:val="none" w:sz="0" w:space="0" w:color="auto"/>
                                <w:bottom w:val="none" w:sz="0" w:space="0" w:color="auto"/>
                                <w:right w:val="none" w:sz="0" w:space="0" w:color="auto"/>
                              </w:divBdr>
                              <w:divsChild>
                                <w:div w:id="821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285868">
      <w:bodyDiv w:val="1"/>
      <w:marLeft w:val="0"/>
      <w:marRight w:val="0"/>
      <w:marTop w:val="0"/>
      <w:marBottom w:val="0"/>
      <w:divBdr>
        <w:top w:val="none" w:sz="0" w:space="0" w:color="auto"/>
        <w:left w:val="none" w:sz="0" w:space="0" w:color="auto"/>
        <w:bottom w:val="none" w:sz="0" w:space="0" w:color="auto"/>
        <w:right w:val="none" w:sz="0" w:space="0" w:color="auto"/>
      </w:divBdr>
    </w:div>
    <w:div w:id="1904680222">
      <w:bodyDiv w:val="1"/>
      <w:marLeft w:val="0"/>
      <w:marRight w:val="0"/>
      <w:marTop w:val="0"/>
      <w:marBottom w:val="0"/>
      <w:divBdr>
        <w:top w:val="none" w:sz="0" w:space="0" w:color="auto"/>
        <w:left w:val="none" w:sz="0" w:space="0" w:color="auto"/>
        <w:bottom w:val="none" w:sz="0" w:space="0" w:color="auto"/>
        <w:right w:val="none" w:sz="0" w:space="0" w:color="auto"/>
      </w:divBdr>
    </w:div>
    <w:div w:id="1913857335">
      <w:bodyDiv w:val="1"/>
      <w:marLeft w:val="0"/>
      <w:marRight w:val="0"/>
      <w:marTop w:val="0"/>
      <w:marBottom w:val="0"/>
      <w:divBdr>
        <w:top w:val="none" w:sz="0" w:space="0" w:color="auto"/>
        <w:left w:val="none" w:sz="0" w:space="0" w:color="auto"/>
        <w:bottom w:val="none" w:sz="0" w:space="0" w:color="auto"/>
        <w:right w:val="none" w:sz="0" w:space="0" w:color="auto"/>
      </w:divBdr>
    </w:div>
    <w:div w:id="1992713391">
      <w:bodyDiv w:val="1"/>
      <w:marLeft w:val="0"/>
      <w:marRight w:val="0"/>
      <w:marTop w:val="0"/>
      <w:marBottom w:val="0"/>
      <w:divBdr>
        <w:top w:val="none" w:sz="0" w:space="0" w:color="auto"/>
        <w:left w:val="none" w:sz="0" w:space="0" w:color="auto"/>
        <w:bottom w:val="none" w:sz="0" w:space="0" w:color="auto"/>
        <w:right w:val="none" w:sz="0" w:space="0" w:color="auto"/>
      </w:divBdr>
    </w:div>
    <w:div w:id="2028752226">
      <w:bodyDiv w:val="1"/>
      <w:marLeft w:val="0"/>
      <w:marRight w:val="0"/>
      <w:marTop w:val="0"/>
      <w:marBottom w:val="0"/>
      <w:divBdr>
        <w:top w:val="none" w:sz="0" w:space="0" w:color="auto"/>
        <w:left w:val="none" w:sz="0" w:space="0" w:color="auto"/>
        <w:bottom w:val="none" w:sz="0" w:space="0" w:color="auto"/>
        <w:right w:val="none" w:sz="0" w:space="0" w:color="auto"/>
      </w:divBdr>
    </w:div>
    <w:div w:id="2029597956">
      <w:bodyDiv w:val="1"/>
      <w:marLeft w:val="0"/>
      <w:marRight w:val="0"/>
      <w:marTop w:val="0"/>
      <w:marBottom w:val="0"/>
      <w:divBdr>
        <w:top w:val="none" w:sz="0" w:space="0" w:color="auto"/>
        <w:left w:val="none" w:sz="0" w:space="0" w:color="auto"/>
        <w:bottom w:val="none" w:sz="0" w:space="0" w:color="auto"/>
        <w:right w:val="none" w:sz="0" w:space="0" w:color="auto"/>
      </w:divBdr>
    </w:div>
    <w:div w:id="210857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ERInquiry@aer.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4069</Words>
  <Characters>23196</Characters>
  <Application>Microsoft Office Word</Application>
  <DocSecurity>0</DocSecurity>
  <Lines>193</Lines>
  <Paragraphs>54</Paragraphs>
  <ScaleCrop>false</ScaleCrop>
  <Company/>
  <LinksUpToDate>false</LinksUpToDate>
  <CharactersWithSpaces>27211</CharactersWithSpaces>
  <SharedDoc>false</SharedDoc>
  <HLinks>
    <vt:vector size="12" baseType="variant">
      <vt:variant>
        <vt:i4>6357026</vt:i4>
      </vt:variant>
      <vt:variant>
        <vt:i4>3</vt:i4>
      </vt:variant>
      <vt:variant>
        <vt:i4>0</vt:i4>
      </vt:variant>
      <vt:variant>
        <vt:i4>5</vt:i4>
      </vt:variant>
      <vt:variant>
        <vt:lpwstr>http://www.climatechange.gov.au/en/government/clean-energy-future/regulations.aspx</vt:lpwstr>
      </vt:variant>
      <vt:variant>
        <vt:lpwstr/>
      </vt:variant>
      <vt:variant>
        <vt:i4>7143456</vt:i4>
      </vt:variant>
      <vt:variant>
        <vt:i4>0</vt:i4>
      </vt:variant>
      <vt:variant>
        <vt:i4>0</vt:i4>
      </vt:variant>
      <vt:variant>
        <vt:i4>5</vt:i4>
      </vt:variant>
      <vt:variant>
        <vt:lpwstr>http://www.macquariedictionary.com.au/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2013-09-17T00:00:00Z</dcterms:created>
  <dcterms:modified xsi:type="dcterms:W3CDTF">2013-09-17T00:04:00Z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8055031</vt:lpwstr>
  </property>
</Properties>
</file>