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4F" w:rsidRDefault="009D444F" w:rsidP="009D444F">
      <w:bookmarkStart w:id="0" w:name="_Toc387916729"/>
      <w:bookmarkStart w:id="1" w:name="_Toc387916795"/>
      <w:bookmarkStart w:id="2" w:name="_GoBack"/>
      <w:bookmarkEnd w:id="2"/>
      <w:r w:rsidRPr="00D3259C">
        <w:rPr>
          <w:noProof/>
        </w:rPr>
        <w:drawing>
          <wp:anchor distT="0" distB="0" distL="114300" distR="114300" simplePos="0" relativeHeight="251659264" behindDoc="1" locked="0" layoutInCell="1" allowOverlap="1" wp14:anchorId="74E46836" wp14:editId="797EE849">
            <wp:simplePos x="0" y="0"/>
            <wp:positionH relativeFrom="column">
              <wp:posOffset>-953087</wp:posOffset>
            </wp:positionH>
            <wp:positionV relativeFrom="paragraph">
              <wp:posOffset>-1000760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9D444F" w:rsidRDefault="009D444F" w:rsidP="009D444F"/>
    <w:p w:rsidR="009D444F" w:rsidRDefault="009D444F" w:rsidP="009D444F"/>
    <w:p w:rsidR="009D444F" w:rsidRDefault="009D444F" w:rsidP="009D444F"/>
    <w:p w:rsidR="009D444F" w:rsidRDefault="009D444F" w:rsidP="009D444F"/>
    <w:p w:rsidR="009D444F" w:rsidRPr="000A33B4" w:rsidRDefault="009D444F" w:rsidP="009D444F">
      <w:pPr>
        <w:pStyle w:val="AERtitle1"/>
      </w:pPr>
    </w:p>
    <w:p w:rsidR="009D444F" w:rsidRPr="000A33B4" w:rsidRDefault="009D444F" w:rsidP="009D444F">
      <w:pPr>
        <w:pStyle w:val="AERtitle1"/>
      </w:pPr>
    </w:p>
    <w:p w:rsidR="009D444F" w:rsidRPr="000A33B4" w:rsidRDefault="009D444F" w:rsidP="009D444F">
      <w:pPr>
        <w:pStyle w:val="AERtitle1"/>
      </w:pPr>
    </w:p>
    <w:p w:rsidR="009D444F" w:rsidRPr="000A33B4" w:rsidRDefault="009D444F" w:rsidP="009D444F">
      <w:pPr>
        <w:pStyle w:val="AERtitle1"/>
      </w:pPr>
      <w:r>
        <w:t>Draft Decision</w:t>
      </w:r>
    </w:p>
    <w:p w:rsidR="009D444F" w:rsidRDefault="009D444F" w:rsidP="009D444F">
      <w:pPr>
        <w:pStyle w:val="AERtitle1"/>
      </w:pPr>
      <w:r>
        <w:t>ActewAGL distribution determination</w:t>
      </w:r>
    </w:p>
    <w:p w:rsidR="009D444F" w:rsidRPr="000A33B4" w:rsidRDefault="009D444F" w:rsidP="009D444F">
      <w:pPr>
        <w:pStyle w:val="AERtitle1"/>
      </w:pPr>
      <w:r>
        <w:t>2015–16</w:t>
      </w:r>
      <w:r w:rsidRPr="000A33B4">
        <w:t xml:space="preserve"> to 201</w:t>
      </w:r>
      <w:r>
        <w:t>8–</w:t>
      </w:r>
      <w:r w:rsidRPr="000A33B4">
        <w:t>1</w:t>
      </w:r>
      <w:r>
        <w:t>9</w:t>
      </w:r>
    </w:p>
    <w:p w:rsidR="009D444F" w:rsidRPr="000A33B4" w:rsidRDefault="009D444F" w:rsidP="009D444F">
      <w:pPr>
        <w:pStyle w:val="AERtitle1"/>
      </w:pPr>
      <w:r>
        <w:t>Attachment 2: Regulatory asset base</w:t>
      </w:r>
    </w:p>
    <w:p w:rsidR="009D444F" w:rsidRPr="000A33B4" w:rsidRDefault="009D444F" w:rsidP="009D444F">
      <w:pPr>
        <w:pStyle w:val="AERbodytext"/>
      </w:pPr>
    </w:p>
    <w:p w:rsidR="009D444F" w:rsidRPr="000A33B4" w:rsidRDefault="009D444F" w:rsidP="009D444F">
      <w:pPr>
        <w:pStyle w:val="AERtitle2"/>
      </w:pPr>
      <w:r w:rsidRPr="000A33B4">
        <w:t>November 2014</w:t>
      </w:r>
    </w:p>
    <w:p w:rsidR="009D444F" w:rsidRPr="000A33B4" w:rsidRDefault="009D444F" w:rsidP="009D444F">
      <w:pPr>
        <w:pStyle w:val="AERbodytext"/>
      </w:pPr>
    </w:p>
    <w:p w:rsidR="009D444F" w:rsidRPr="000A33B4" w:rsidRDefault="009D444F" w:rsidP="009D444F">
      <w:pPr>
        <w:pStyle w:val="AERbodytext"/>
      </w:pPr>
    </w:p>
    <w:p w:rsidR="009D444F" w:rsidRPr="000A33B4" w:rsidRDefault="009D444F" w:rsidP="009D444F">
      <w:pPr>
        <w:pStyle w:val="AERbodytext"/>
      </w:pPr>
      <w:r w:rsidRPr="000A33B4">
        <w:br w:type="page"/>
      </w:r>
    </w:p>
    <w:p w:rsidR="009D444F" w:rsidRPr="000A33B4" w:rsidRDefault="009D444F" w:rsidP="009D444F">
      <w:pPr>
        <w:pStyle w:val="AERbodytextnospace"/>
        <w:rPr>
          <w:rStyle w:val="AERtextbold"/>
        </w:rPr>
      </w:pPr>
      <w:r w:rsidRPr="000A33B4">
        <w:rPr>
          <w:rStyle w:val="AERtextbold"/>
        </w:rPr>
        <w:lastRenderedPageBreak/>
        <w:t>© Commonwealth of Australia 2014</w:t>
      </w:r>
    </w:p>
    <w:p w:rsidR="009D444F" w:rsidRPr="000A33B4" w:rsidRDefault="009D444F" w:rsidP="009D444F">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9D444F" w:rsidRPr="000A33B4" w:rsidRDefault="009D444F" w:rsidP="009D444F">
      <w:pPr>
        <w:pStyle w:val="AERbulletlistfirststyle"/>
      </w:pPr>
      <w:r w:rsidRPr="000A33B4">
        <w:t>the Commonwealth Coat of Arms</w:t>
      </w:r>
    </w:p>
    <w:p w:rsidR="009D444F" w:rsidRDefault="009D444F" w:rsidP="009D444F">
      <w:pPr>
        <w:pStyle w:val="AERbulletlistfirststyle"/>
      </w:pPr>
      <w:r w:rsidRPr="000A33B4">
        <w:t>the ACCC and AER logos</w:t>
      </w:r>
    </w:p>
    <w:p w:rsidR="009D444F" w:rsidRPr="000A33B4" w:rsidRDefault="009D444F" w:rsidP="009D444F">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9D444F" w:rsidRPr="000A33B4" w:rsidRDefault="009D444F" w:rsidP="009D444F">
      <w:pPr>
        <w:pStyle w:val="AERbodytext"/>
      </w:pPr>
      <w:r w:rsidRPr="000A33B4">
        <w:t>The details of the relevant licence conditions are available on the Creative Commons website, as is the full legal code for the CC BY 3.0 AU licence.</w:t>
      </w:r>
    </w:p>
    <w:p w:rsidR="009D444F" w:rsidRPr="000A33B4" w:rsidRDefault="009D444F" w:rsidP="009D444F">
      <w:pPr>
        <w:pStyle w:val="AERbodytext"/>
      </w:pPr>
      <w:r w:rsidRPr="000A33B4">
        <w:t>Requests and inquiries concerning reproduction and rights should be addressed to the Director, Corporate Communications, ACCC, GPO Box 3131, Canberra ACT 2601, or</w:t>
      </w:r>
    </w:p>
    <w:p w:rsidR="009D444F" w:rsidRPr="000A33B4" w:rsidRDefault="009D444F" w:rsidP="009D444F">
      <w:pPr>
        <w:pStyle w:val="AERbodytext"/>
      </w:pPr>
      <w:r w:rsidRPr="000A33B4">
        <w:t xml:space="preserve"> </w:t>
      </w:r>
      <w:r>
        <w:tab/>
      </w:r>
      <w:hyperlink r:id="rId9" w:history="1">
        <w:r w:rsidRPr="000A33B4">
          <w:t>publishing.unit@accc.gov.au</w:t>
        </w:r>
      </w:hyperlink>
      <w:r w:rsidRPr="000A33B4">
        <w:t xml:space="preserve"> .</w:t>
      </w:r>
    </w:p>
    <w:p w:rsidR="009D444F" w:rsidRPr="000A33B4" w:rsidRDefault="009D444F" w:rsidP="009D444F">
      <w:pPr>
        <w:pStyle w:val="AERbodytext"/>
      </w:pPr>
      <w:r w:rsidRPr="000A33B4">
        <w:t>Inquiries about this document should be addressed to:</w:t>
      </w:r>
    </w:p>
    <w:p w:rsidR="009D444F" w:rsidRPr="000A33B4" w:rsidRDefault="009D444F" w:rsidP="009D444F">
      <w:pPr>
        <w:pStyle w:val="AERbodytextnospace"/>
      </w:pPr>
      <w:r w:rsidRPr="000A33B4">
        <w:t>Australian Energy Regulator</w:t>
      </w:r>
    </w:p>
    <w:p w:rsidR="009D444F" w:rsidRPr="000A33B4" w:rsidRDefault="009D444F" w:rsidP="009D444F">
      <w:pPr>
        <w:pStyle w:val="AERbodytextnospace"/>
      </w:pPr>
      <w:r w:rsidRPr="000A33B4">
        <w:t>GPO Box 520</w:t>
      </w:r>
    </w:p>
    <w:p w:rsidR="009D444F" w:rsidRPr="000A33B4" w:rsidRDefault="009D444F" w:rsidP="009D444F">
      <w:pPr>
        <w:pStyle w:val="AERbodytextnospace"/>
      </w:pPr>
      <w:r w:rsidRPr="000A33B4">
        <w:t>Melbourne  Vic  3001</w:t>
      </w:r>
    </w:p>
    <w:p w:rsidR="009D444F" w:rsidRPr="000A33B4" w:rsidRDefault="009D444F" w:rsidP="009D444F">
      <w:pPr>
        <w:pStyle w:val="AERbodytextnospace"/>
      </w:pPr>
      <w:r w:rsidRPr="000A33B4">
        <w:t>Tel: (03) 9290 1444</w:t>
      </w:r>
    </w:p>
    <w:p w:rsidR="009D444F" w:rsidRPr="000A33B4" w:rsidRDefault="009D444F" w:rsidP="009D444F">
      <w:pPr>
        <w:pStyle w:val="AERbodytextnospace"/>
      </w:pPr>
      <w:r w:rsidRPr="000A33B4">
        <w:t>Fax: (03) 9290 1457</w:t>
      </w:r>
    </w:p>
    <w:p w:rsidR="009D444F" w:rsidRPr="000A33B4" w:rsidRDefault="009D444F" w:rsidP="009D444F">
      <w:pPr>
        <w:pStyle w:val="AERbodytextnospace"/>
      </w:pPr>
      <w:r w:rsidRPr="000A33B4">
        <w:t xml:space="preserve">Email: </w:t>
      </w:r>
      <w:hyperlink r:id="rId10" w:history="1">
        <w:r w:rsidRPr="000A33B4">
          <w:rPr>
            <w:rStyle w:val="Hyperlink"/>
          </w:rPr>
          <w:t>AERInquiry@aer.gov.au</w:t>
        </w:r>
      </w:hyperlink>
    </w:p>
    <w:p w:rsidR="009D444F" w:rsidRPr="000A33B4" w:rsidRDefault="009D444F" w:rsidP="009D444F">
      <w:pPr>
        <w:pStyle w:val="AERbodytext"/>
      </w:pPr>
    </w:p>
    <w:p w:rsidR="009D444F" w:rsidRDefault="009D444F" w:rsidP="009D444F">
      <w:pPr>
        <w:pStyle w:val="AERbodytext"/>
        <w:rPr>
          <w:rStyle w:val="AERbody"/>
        </w:rPr>
      </w:pPr>
      <w:r w:rsidRPr="000A33B4">
        <w:t>AER reference</w:t>
      </w:r>
      <w:r w:rsidRPr="000A33B4">
        <w:rPr>
          <w:rStyle w:val="AERbody"/>
        </w:rPr>
        <w:t xml:space="preserve">:  </w:t>
      </w:r>
      <w:r>
        <w:rPr>
          <w:rStyle w:val="AERbody"/>
        </w:rPr>
        <w:t>52254</w:t>
      </w:r>
    </w:p>
    <w:p w:rsidR="009D444F" w:rsidRDefault="009D444F" w:rsidP="009D444F">
      <w:pPr>
        <w:pStyle w:val="UnnumberedHeading"/>
      </w:pPr>
      <w:bookmarkStart w:id="3" w:name="_Toc404699583"/>
      <w:r>
        <w:lastRenderedPageBreak/>
        <w:t>Note</w:t>
      </w:r>
      <w:bookmarkEnd w:id="3"/>
    </w:p>
    <w:p w:rsidR="009D444F" w:rsidRDefault="009D444F" w:rsidP="009D444F">
      <w:pPr>
        <w:pStyle w:val="AERbodytext"/>
      </w:pPr>
      <w:r>
        <w:t>This attachment forms part of the AER's draft decision on ActewAGL’s 2015–19 distribution determination. It should be read with other parts of the draft decision.</w:t>
      </w:r>
    </w:p>
    <w:p w:rsidR="009D444F" w:rsidRDefault="009D444F" w:rsidP="009D444F">
      <w:pPr>
        <w:pStyle w:val="AERbodytext"/>
      </w:pPr>
      <w:r>
        <w:t>The draft decision includes the following documents:</w:t>
      </w:r>
    </w:p>
    <w:p w:rsidR="009D444F" w:rsidRDefault="009D444F" w:rsidP="009D444F">
      <w:pPr>
        <w:pStyle w:val="AERbodytext"/>
      </w:pPr>
      <w:r>
        <w:t>Overview</w:t>
      </w:r>
    </w:p>
    <w:p w:rsidR="009D444F" w:rsidRDefault="009D444F" w:rsidP="009D444F">
      <w:pPr>
        <w:pStyle w:val="AERbodytext"/>
      </w:pPr>
      <w:r>
        <w:t>Attachment 1 – Annual revenue requirement</w:t>
      </w:r>
    </w:p>
    <w:p w:rsidR="009D444F" w:rsidRDefault="009D444F" w:rsidP="009D444F">
      <w:pPr>
        <w:pStyle w:val="AERbodytext"/>
      </w:pPr>
      <w:r>
        <w:t>Attachment 2 – Regulatory asset base</w:t>
      </w:r>
    </w:p>
    <w:p w:rsidR="009D444F" w:rsidRDefault="009D444F" w:rsidP="009D444F">
      <w:pPr>
        <w:pStyle w:val="AERbodytext"/>
      </w:pPr>
      <w:r>
        <w:t>Attachment 3 – Rate of return</w:t>
      </w:r>
    </w:p>
    <w:p w:rsidR="009D444F" w:rsidRDefault="009D444F" w:rsidP="009D444F">
      <w:pPr>
        <w:pStyle w:val="AERbodytext"/>
      </w:pPr>
      <w:r>
        <w:t>Attachment 4 – Value of imputation credits</w:t>
      </w:r>
    </w:p>
    <w:p w:rsidR="009D444F" w:rsidRDefault="009D444F" w:rsidP="009D444F">
      <w:pPr>
        <w:pStyle w:val="AERbodytext"/>
      </w:pPr>
      <w:r>
        <w:t>Attachment 5 – Regulatory depreciation</w:t>
      </w:r>
    </w:p>
    <w:p w:rsidR="009D444F" w:rsidRDefault="009D444F" w:rsidP="009D444F">
      <w:pPr>
        <w:pStyle w:val="AERbodytext"/>
      </w:pPr>
      <w:r>
        <w:t xml:space="preserve">Attachment 6 – Capital expenditure </w:t>
      </w:r>
    </w:p>
    <w:p w:rsidR="009D444F" w:rsidRDefault="009D444F" w:rsidP="009D444F">
      <w:pPr>
        <w:pStyle w:val="AERbodytext"/>
      </w:pPr>
      <w:r>
        <w:t>Attachment 7 – Operating expenditure</w:t>
      </w:r>
    </w:p>
    <w:p w:rsidR="009D444F" w:rsidRDefault="009D444F" w:rsidP="009D444F">
      <w:pPr>
        <w:pStyle w:val="AERbodytext"/>
      </w:pPr>
      <w:r>
        <w:t>Attachment 8 – Corporate income tax</w:t>
      </w:r>
    </w:p>
    <w:p w:rsidR="009D444F" w:rsidRDefault="009D444F" w:rsidP="009D444F">
      <w:pPr>
        <w:pStyle w:val="AERbodytext"/>
      </w:pPr>
      <w:r>
        <w:t>Attachment 9 – Efficiency benefit sharing scheme</w:t>
      </w:r>
    </w:p>
    <w:p w:rsidR="009D444F" w:rsidRDefault="009D444F" w:rsidP="009D444F">
      <w:pPr>
        <w:pStyle w:val="AERbodytext"/>
      </w:pPr>
      <w:r>
        <w:t>Attachment 10 – Capital expenditure sharing scheme</w:t>
      </w:r>
    </w:p>
    <w:p w:rsidR="009D444F" w:rsidRDefault="009D444F" w:rsidP="009D444F">
      <w:pPr>
        <w:pStyle w:val="AERbodytext"/>
      </w:pPr>
      <w:r>
        <w:t>Attachment 11 – Service target performance incentive scheme</w:t>
      </w:r>
    </w:p>
    <w:p w:rsidR="009D444F" w:rsidRDefault="009D444F" w:rsidP="009D444F">
      <w:pPr>
        <w:pStyle w:val="AERbodytext"/>
      </w:pPr>
      <w:r>
        <w:t>Attachment 12 – Demand management incentive scheme</w:t>
      </w:r>
    </w:p>
    <w:p w:rsidR="009D444F" w:rsidRDefault="009D444F" w:rsidP="009D444F">
      <w:pPr>
        <w:pStyle w:val="AERbodytext"/>
      </w:pPr>
      <w:r>
        <w:t>Attachment 13 – Classification of services</w:t>
      </w:r>
    </w:p>
    <w:p w:rsidR="009D444F" w:rsidRDefault="009D444F" w:rsidP="009D444F">
      <w:pPr>
        <w:pStyle w:val="AERbodytext"/>
      </w:pPr>
      <w:r>
        <w:t>Attachment 14 – Control mechanism</w:t>
      </w:r>
    </w:p>
    <w:p w:rsidR="009D444F" w:rsidRDefault="009D444F" w:rsidP="009D444F">
      <w:pPr>
        <w:pStyle w:val="AERbodytext"/>
      </w:pPr>
      <w:r>
        <w:t>Attachment 15 – Pass through events</w:t>
      </w:r>
    </w:p>
    <w:p w:rsidR="009D444F" w:rsidRDefault="009D444F" w:rsidP="009D444F">
      <w:pPr>
        <w:pStyle w:val="AERbodytext"/>
      </w:pPr>
      <w:r>
        <w:t>Attachment 16 – Alternative control services</w:t>
      </w:r>
    </w:p>
    <w:p w:rsidR="009D444F" w:rsidRDefault="009D444F" w:rsidP="009D444F">
      <w:pPr>
        <w:pStyle w:val="AERbodytext"/>
      </w:pPr>
      <w:r>
        <w:t>Attachment 17 – Negotiated services framework and criteria</w:t>
      </w:r>
    </w:p>
    <w:p w:rsidR="009D444F" w:rsidRPr="008B6C33" w:rsidRDefault="009D444F" w:rsidP="009D444F">
      <w:pPr>
        <w:pStyle w:val="AERbodytext"/>
      </w:pPr>
      <w:r>
        <w:t>Attachment 18 – Connection methodology</w:t>
      </w:r>
    </w:p>
    <w:p w:rsidR="009D444F" w:rsidRPr="000A33B4" w:rsidRDefault="009D444F" w:rsidP="009D444F">
      <w:pPr>
        <w:pStyle w:val="AERbodytext"/>
      </w:pPr>
      <w:r>
        <w:t>Attachment 19 – Pricing methodology</w:t>
      </w:r>
    </w:p>
    <w:p w:rsidR="009D444F" w:rsidRPr="00223CC4" w:rsidRDefault="009D444F" w:rsidP="009D444F">
      <w:pPr>
        <w:ind w:left="720"/>
      </w:pPr>
      <w:r>
        <w:br w:type="page"/>
      </w:r>
    </w:p>
    <w:p w:rsidR="009D444F" w:rsidRDefault="009D444F" w:rsidP="009D444F">
      <w:pPr>
        <w:pStyle w:val="UnnumberedHeading"/>
      </w:pPr>
      <w:bookmarkStart w:id="4" w:name="_Toc404699584"/>
      <w:r>
        <w:lastRenderedPageBreak/>
        <w:t>Contents</w:t>
      </w:r>
      <w:bookmarkEnd w:id="4"/>
    </w:p>
    <w:sdt>
      <w:sdtPr>
        <w:rPr>
          <w:b w:val="0"/>
          <w:bCs w:val="0"/>
        </w:rPr>
        <w:id w:val="1388831217"/>
        <w:docPartObj>
          <w:docPartGallery w:val="Table of Contents"/>
          <w:docPartUnique/>
        </w:docPartObj>
      </w:sdtPr>
      <w:sdtEndPr>
        <w:rPr>
          <w:b/>
          <w:bCs/>
        </w:rPr>
      </w:sdtEndPr>
      <w:sdtContent>
        <w:p w:rsidR="00A075A8" w:rsidRDefault="009D444F">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699583" w:history="1">
            <w:r w:rsidR="00A075A8" w:rsidRPr="00AB4FBD">
              <w:rPr>
                <w:rStyle w:val="Hyperlink"/>
                <w:noProof/>
              </w:rPr>
              <w:t>Note</w:t>
            </w:r>
            <w:r w:rsidR="00A075A8">
              <w:rPr>
                <w:noProof/>
                <w:webHidden/>
              </w:rPr>
              <w:tab/>
            </w:r>
            <w:r w:rsidR="00A075A8">
              <w:rPr>
                <w:noProof/>
                <w:webHidden/>
              </w:rPr>
              <w:fldChar w:fldCharType="begin"/>
            </w:r>
            <w:r w:rsidR="00A075A8">
              <w:rPr>
                <w:noProof/>
                <w:webHidden/>
              </w:rPr>
              <w:instrText xml:space="preserve"> PAGEREF _Toc404699583 \h </w:instrText>
            </w:r>
            <w:r w:rsidR="00A075A8">
              <w:rPr>
                <w:noProof/>
                <w:webHidden/>
              </w:rPr>
            </w:r>
            <w:r w:rsidR="00A075A8">
              <w:rPr>
                <w:noProof/>
                <w:webHidden/>
              </w:rPr>
              <w:fldChar w:fldCharType="separate"/>
            </w:r>
            <w:r w:rsidR="00675079">
              <w:rPr>
                <w:noProof/>
                <w:webHidden/>
              </w:rPr>
              <w:t>2-3</w:t>
            </w:r>
            <w:r w:rsidR="00A075A8">
              <w:rPr>
                <w:noProof/>
                <w:webHidden/>
              </w:rPr>
              <w:fldChar w:fldCharType="end"/>
            </w:r>
          </w:hyperlink>
        </w:p>
        <w:p w:rsidR="00A075A8" w:rsidRDefault="00866DD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99584" w:history="1">
            <w:r w:rsidR="00A075A8" w:rsidRPr="00AB4FBD">
              <w:rPr>
                <w:rStyle w:val="Hyperlink"/>
                <w:noProof/>
              </w:rPr>
              <w:t>Contents</w:t>
            </w:r>
            <w:r w:rsidR="00A075A8">
              <w:rPr>
                <w:noProof/>
                <w:webHidden/>
              </w:rPr>
              <w:tab/>
            </w:r>
            <w:r w:rsidR="00A075A8">
              <w:rPr>
                <w:noProof/>
                <w:webHidden/>
              </w:rPr>
              <w:fldChar w:fldCharType="begin"/>
            </w:r>
            <w:r w:rsidR="00A075A8">
              <w:rPr>
                <w:noProof/>
                <w:webHidden/>
              </w:rPr>
              <w:instrText xml:space="preserve"> PAGEREF _Toc404699584 \h </w:instrText>
            </w:r>
            <w:r w:rsidR="00A075A8">
              <w:rPr>
                <w:noProof/>
                <w:webHidden/>
              </w:rPr>
            </w:r>
            <w:r w:rsidR="00A075A8">
              <w:rPr>
                <w:noProof/>
                <w:webHidden/>
              </w:rPr>
              <w:fldChar w:fldCharType="separate"/>
            </w:r>
            <w:r w:rsidR="00675079">
              <w:rPr>
                <w:noProof/>
                <w:webHidden/>
              </w:rPr>
              <w:t>2-4</w:t>
            </w:r>
            <w:r w:rsidR="00A075A8">
              <w:rPr>
                <w:noProof/>
                <w:webHidden/>
              </w:rPr>
              <w:fldChar w:fldCharType="end"/>
            </w:r>
          </w:hyperlink>
        </w:p>
        <w:p w:rsidR="00A075A8" w:rsidRDefault="00866DD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99585" w:history="1">
            <w:r w:rsidR="00A075A8" w:rsidRPr="00AB4FBD">
              <w:rPr>
                <w:rStyle w:val="Hyperlink"/>
                <w:noProof/>
              </w:rPr>
              <w:t>Shortened forms</w:t>
            </w:r>
            <w:r w:rsidR="00A075A8">
              <w:rPr>
                <w:noProof/>
                <w:webHidden/>
              </w:rPr>
              <w:tab/>
            </w:r>
            <w:r w:rsidR="00A075A8">
              <w:rPr>
                <w:noProof/>
                <w:webHidden/>
              </w:rPr>
              <w:fldChar w:fldCharType="begin"/>
            </w:r>
            <w:r w:rsidR="00A075A8">
              <w:rPr>
                <w:noProof/>
                <w:webHidden/>
              </w:rPr>
              <w:instrText xml:space="preserve"> PAGEREF _Toc404699585 \h </w:instrText>
            </w:r>
            <w:r w:rsidR="00A075A8">
              <w:rPr>
                <w:noProof/>
                <w:webHidden/>
              </w:rPr>
            </w:r>
            <w:r w:rsidR="00A075A8">
              <w:rPr>
                <w:noProof/>
                <w:webHidden/>
              </w:rPr>
              <w:fldChar w:fldCharType="separate"/>
            </w:r>
            <w:r w:rsidR="00675079">
              <w:rPr>
                <w:noProof/>
                <w:webHidden/>
              </w:rPr>
              <w:t>2-5</w:t>
            </w:r>
            <w:r w:rsidR="00A075A8">
              <w:rPr>
                <w:noProof/>
                <w:webHidden/>
              </w:rPr>
              <w:fldChar w:fldCharType="end"/>
            </w:r>
          </w:hyperlink>
        </w:p>
        <w:p w:rsidR="00A075A8" w:rsidRDefault="00866DD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99586" w:history="1">
            <w:r w:rsidR="00A075A8" w:rsidRPr="00AB4FBD">
              <w:rPr>
                <w:rStyle w:val="Hyperlink"/>
                <w:noProof/>
              </w:rPr>
              <w:t>2</w:t>
            </w:r>
            <w:r w:rsidR="00A075A8">
              <w:rPr>
                <w:rFonts w:asciiTheme="minorHAnsi" w:eastAsiaTheme="minorEastAsia" w:hAnsiTheme="minorHAnsi" w:cstheme="minorBidi"/>
                <w:b w:val="0"/>
                <w:bCs w:val="0"/>
                <w:noProof/>
                <w:sz w:val="22"/>
                <w:szCs w:val="22"/>
                <w:lang w:eastAsia="en-AU"/>
              </w:rPr>
              <w:tab/>
            </w:r>
            <w:r w:rsidR="00A075A8" w:rsidRPr="00AB4FBD">
              <w:rPr>
                <w:rStyle w:val="Hyperlink"/>
                <w:noProof/>
              </w:rPr>
              <w:t>Regulatory asset base</w:t>
            </w:r>
            <w:r w:rsidR="00A075A8">
              <w:rPr>
                <w:noProof/>
                <w:webHidden/>
              </w:rPr>
              <w:tab/>
            </w:r>
            <w:r w:rsidR="00A075A8">
              <w:rPr>
                <w:noProof/>
                <w:webHidden/>
              </w:rPr>
              <w:fldChar w:fldCharType="begin"/>
            </w:r>
            <w:r w:rsidR="00A075A8">
              <w:rPr>
                <w:noProof/>
                <w:webHidden/>
              </w:rPr>
              <w:instrText xml:space="preserve"> PAGEREF _Toc404699586 \h </w:instrText>
            </w:r>
            <w:r w:rsidR="00A075A8">
              <w:rPr>
                <w:noProof/>
                <w:webHidden/>
              </w:rPr>
            </w:r>
            <w:r w:rsidR="00A075A8">
              <w:rPr>
                <w:noProof/>
                <w:webHidden/>
              </w:rPr>
              <w:fldChar w:fldCharType="separate"/>
            </w:r>
            <w:r w:rsidR="00675079">
              <w:rPr>
                <w:noProof/>
                <w:webHidden/>
              </w:rPr>
              <w:t>2-7</w:t>
            </w:r>
            <w:r w:rsidR="00A075A8">
              <w:rPr>
                <w:noProof/>
                <w:webHidden/>
              </w:rPr>
              <w:fldChar w:fldCharType="end"/>
            </w:r>
          </w:hyperlink>
        </w:p>
        <w:p w:rsidR="00A075A8" w:rsidRDefault="00866DD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99587" w:history="1">
            <w:r w:rsidR="00A075A8" w:rsidRPr="00AB4FBD">
              <w:rPr>
                <w:rStyle w:val="Hyperlink"/>
                <w:noProof/>
              </w:rPr>
              <w:t>2.1</w:t>
            </w:r>
            <w:r w:rsidR="00A075A8">
              <w:rPr>
                <w:rFonts w:asciiTheme="minorHAnsi" w:eastAsiaTheme="minorEastAsia" w:hAnsiTheme="minorHAnsi" w:cstheme="minorBidi"/>
                <w:iCs w:val="0"/>
                <w:noProof/>
                <w:sz w:val="22"/>
                <w:szCs w:val="22"/>
                <w:lang w:eastAsia="en-AU"/>
              </w:rPr>
              <w:tab/>
            </w:r>
            <w:r w:rsidR="00A075A8" w:rsidRPr="00AB4FBD">
              <w:rPr>
                <w:rStyle w:val="Hyperlink"/>
                <w:noProof/>
              </w:rPr>
              <w:t>Draft decision</w:t>
            </w:r>
            <w:r w:rsidR="00A075A8">
              <w:rPr>
                <w:noProof/>
                <w:webHidden/>
              </w:rPr>
              <w:tab/>
            </w:r>
            <w:r w:rsidR="00A075A8">
              <w:rPr>
                <w:noProof/>
                <w:webHidden/>
              </w:rPr>
              <w:fldChar w:fldCharType="begin"/>
            </w:r>
            <w:r w:rsidR="00A075A8">
              <w:rPr>
                <w:noProof/>
                <w:webHidden/>
              </w:rPr>
              <w:instrText xml:space="preserve"> PAGEREF _Toc404699587 \h </w:instrText>
            </w:r>
            <w:r w:rsidR="00A075A8">
              <w:rPr>
                <w:noProof/>
                <w:webHidden/>
              </w:rPr>
            </w:r>
            <w:r w:rsidR="00A075A8">
              <w:rPr>
                <w:noProof/>
                <w:webHidden/>
              </w:rPr>
              <w:fldChar w:fldCharType="separate"/>
            </w:r>
            <w:r w:rsidR="00675079">
              <w:rPr>
                <w:noProof/>
                <w:webHidden/>
              </w:rPr>
              <w:t>2-7</w:t>
            </w:r>
            <w:r w:rsidR="00A075A8">
              <w:rPr>
                <w:noProof/>
                <w:webHidden/>
              </w:rPr>
              <w:fldChar w:fldCharType="end"/>
            </w:r>
          </w:hyperlink>
        </w:p>
        <w:p w:rsidR="00A075A8" w:rsidRDefault="00866DD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99588" w:history="1">
            <w:r w:rsidR="00A075A8" w:rsidRPr="00AB4FBD">
              <w:rPr>
                <w:rStyle w:val="Hyperlink"/>
                <w:noProof/>
              </w:rPr>
              <w:t>2.2</w:t>
            </w:r>
            <w:r w:rsidR="00A075A8">
              <w:rPr>
                <w:rFonts w:asciiTheme="minorHAnsi" w:eastAsiaTheme="minorEastAsia" w:hAnsiTheme="minorHAnsi" w:cstheme="minorBidi"/>
                <w:iCs w:val="0"/>
                <w:noProof/>
                <w:sz w:val="22"/>
                <w:szCs w:val="22"/>
                <w:lang w:eastAsia="en-AU"/>
              </w:rPr>
              <w:tab/>
            </w:r>
            <w:r w:rsidR="00A075A8" w:rsidRPr="00AB4FBD">
              <w:rPr>
                <w:rStyle w:val="Hyperlink"/>
                <w:noProof/>
              </w:rPr>
              <w:t>ActewAGL's proposal</w:t>
            </w:r>
            <w:r w:rsidR="00A075A8">
              <w:rPr>
                <w:noProof/>
                <w:webHidden/>
              </w:rPr>
              <w:tab/>
            </w:r>
            <w:r w:rsidR="00A075A8">
              <w:rPr>
                <w:noProof/>
                <w:webHidden/>
              </w:rPr>
              <w:fldChar w:fldCharType="begin"/>
            </w:r>
            <w:r w:rsidR="00A075A8">
              <w:rPr>
                <w:noProof/>
                <w:webHidden/>
              </w:rPr>
              <w:instrText xml:space="preserve"> PAGEREF _Toc404699588 \h </w:instrText>
            </w:r>
            <w:r w:rsidR="00A075A8">
              <w:rPr>
                <w:noProof/>
                <w:webHidden/>
              </w:rPr>
            </w:r>
            <w:r w:rsidR="00A075A8">
              <w:rPr>
                <w:noProof/>
                <w:webHidden/>
              </w:rPr>
              <w:fldChar w:fldCharType="separate"/>
            </w:r>
            <w:r w:rsidR="00675079">
              <w:rPr>
                <w:noProof/>
                <w:webHidden/>
              </w:rPr>
              <w:t>2-9</w:t>
            </w:r>
            <w:r w:rsidR="00A075A8">
              <w:rPr>
                <w:noProof/>
                <w:webHidden/>
              </w:rPr>
              <w:fldChar w:fldCharType="end"/>
            </w:r>
          </w:hyperlink>
        </w:p>
        <w:p w:rsidR="00A075A8" w:rsidRDefault="00866DD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99589" w:history="1">
            <w:r w:rsidR="00A075A8" w:rsidRPr="00AB4FBD">
              <w:rPr>
                <w:rStyle w:val="Hyperlink"/>
                <w:noProof/>
              </w:rPr>
              <w:t>2.3</w:t>
            </w:r>
            <w:r w:rsidR="00A075A8">
              <w:rPr>
                <w:rFonts w:asciiTheme="minorHAnsi" w:eastAsiaTheme="minorEastAsia" w:hAnsiTheme="minorHAnsi" w:cstheme="minorBidi"/>
                <w:iCs w:val="0"/>
                <w:noProof/>
                <w:sz w:val="22"/>
                <w:szCs w:val="22"/>
                <w:lang w:eastAsia="en-AU"/>
              </w:rPr>
              <w:tab/>
            </w:r>
            <w:r w:rsidR="00A075A8" w:rsidRPr="00AB4FBD">
              <w:rPr>
                <w:rStyle w:val="Hyperlink"/>
                <w:noProof/>
              </w:rPr>
              <w:t>AER's assessment approach</w:t>
            </w:r>
            <w:r w:rsidR="00A075A8">
              <w:rPr>
                <w:noProof/>
                <w:webHidden/>
              </w:rPr>
              <w:tab/>
            </w:r>
            <w:r w:rsidR="00A075A8">
              <w:rPr>
                <w:noProof/>
                <w:webHidden/>
              </w:rPr>
              <w:fldChar w:fldCharType="begin"/>
            </w:r>
            <w:r w:rsidR="00A075A8">
              <w:rPr>
                <w:noProof/>
                <w:webHidden/>
              </w:rPr>
              <w:instrText xml:space="preserve"> PAGEREF _Toc404699589 \h </w:instrText>
            </w:r>
            <w:r w:rsidR="00A075A8">
              <w:rPr>
                <w:noProof/>
                <w:webHidden/>
              </w:rPr>
            </w:r>
            <w:r w:rsidR="00A075A8">
              <w:rPr>
                <w:noProof/>
                <w:webHidden/>
              </w:rPr>
              <w:fldChar w:fldCharType="separate"/>
            </w:r>
            <w:r w:rsidR="00675079">
              <w:rPr>
                <w:noProof/>
                <w:webHidden/>
              </w:rPr>
              <w:t>2-11</w:t>
            </w:r>
            <w:r w:rsidR="00A075A8">
              <w:rPr>
                <w:noProof/>
                <w:webHidden/>
              </w:rPr>
              <w:fldChar w:fldCharType="end"/>
            </w:r>
          </w:hyperlink>
        </w:p>
        <w:p w:rsidR="00A075A8" w:rsidRDefault="00866DD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590" w:history="1">
            <w:r w:rsidR="00A075A8" w:rsidRPr="00AB4FBD">
              <w:rPr>
                <w:rStyle w:val="Hyperlink"/>
                <w:noProof/>
              </w:rPr>
              <w:t>2.3.1</w:t>
            </w:r>
            <w:r w:rsidR="00A075A8">
              <w:rPr>
                <w:rFonts w:asciiTheme="minorHAnsi" w:eastAsiaTheme="minorEastAsia" w:hAnsiTheme="minorHAnsi" w:cstheme="minorBidi"/>
                <w:noProof/>
                <w:sz w:val="22"/>
                <w:szCs w:val="22"/>
                <w:lang w:eastAsia="en-AU"/>
              </w:rPr>
              <w:tab/>
            </w:r>
            <w:r w:rsidR="00A075A8" w:rsidRPr="00AB4FBD">
              <w:rPr>
                <w:rStyle w:val="Hyperlink"/>
                <w:noProof/>
              </w:rPr>
              <w:t>Interrelationships</w:t>
            </w:r>
            <w:r w:rsidR="00A075A8">
              <w:rPr>
                <w:noProof/>
                <w:webHidden/>
              </w:rPr>
              <w:tab/>
            </w:r>
            <w:r w:rsidR="00A075A8">
              <w:rPr>
                <w:noProof/>
                <w:webHidden/>
              </w:rPr>
              <w:fldChar w:fldCharType="begin"/>
            </w:r>
            <w:r w:rsidR="00A075A8">
              <w:rPr>
                <w:noProof/>
                <w:webHidden/>
              </w:rPr>
              <w:instrText xml:space="preserve"> PAGEREF _Toc404699590 \h </w:instrText>
            </w:r>
            <w:r w:rsidR="00A075A8">
              <w:rPr>
                <w:noProof/>
                <w:webHidden/>
              </w:rPr>
            </w:r>
            <w:r w:rsidR="00A075A8">
              <w:rPr>
                <w:noProof/>
                <w:webHidden/>
              </w:rPr>
              <w:fldChar w:fldCharType="separate"/>
            </w:r>
            <w:r w:rsidR="00675079">
              <w:rPr>
                <w:noProof/>
                <w:webHidden/>
              </w:rPr>
              <w:t>2-13</w:t>
            </w:r>
            <w:r w:rsidR="00A075A8">
              <w:rPr>
                <w:noProof/>
                <w:webHidden/>
              </w:rPr>
              <w:fldChar w:fldCharType="end"/>
            </w:r>
          </w:hyperlink>
        </w:p>
        <w:p w:rsidR="00A075A8" w:rsidRDefault="00866DD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99591" w:history="1">
            <w:r w:rsidR="00A075A8" w:rsidRPr="00AB4FBD">
              <w:rPr>
                <w:rStyle w:val="Hyperlink"/>
                <w:noProof/>
              </w:rPr>
              <w:t>2.4</w:t>
            </w:r>
            <w:r w:rsidR="00A075A8">
              <w:rPr>
                <w:rFonts w:asciiTheme="minorHAnsi" w:eastAsiaTheme="minorEastAsia" w:hAnsiTheme="minorHAnsi" w:cstheme="minorBidi"/>
                <w:iCs w:val="0"/>
                <w:noProof/>
                <w:sz w:val="22"/>
                <w:szCs w:val="22"/>
                <w:lang w:eastAsia="en-AU"/>
              </w:rPr>
              <w:tab/>
            </w:r>
            <w:r w:rsidR="00A075A8" w:rsidRPr="00AB4FBD">
              <w:rPr>
                <w:rStyle w:val="Hyperlink"/>
                <w:noProof/>
              </w:rPr>
              <w:t>Reasons for draft decision</w:t>
            </w:r>
            <w:r w:rsidR="00A075A8">
              <w:rPr>
                <w:noProof/>
                <w:webHidden/>
              </w:rPr>
              <w:tab/>
            </w:r>
            <w:r w:rsidR="00A075A8">
              <w:rPr>
                <w:noProof/>
                <w:webHidden/>
              </w:rPr>
              <w:fldChar w:fldCharType="begin"/>
            </w:r>
            <w:r w:rsidR="00A075A8">
              <w:rPr>
                <w:noProof/>
                <w:webHidden/>
              </w:rPr>
              <w:instrText xml:space="preserve"> PAGEREF _Toc404699591 \h </w:instrText>
            </w:r>
            <w:r w:rsidR="00A075A8">
              <w:rPr>
                <w:noProof/>
                <w:webHidden/>
              </w:rPr>
            </w:r>
            <w:r w:rsidR="00A075A8">
              <w:rPr>
                <w:noProof/>
                <w:webHidden/>
              </w:rPr>
              <w:fldChar w:fldCharType="separate"/>
            </w:r>
            <w:r w:rsidR="00675079">
              <w:rPr>
                <w:noProof/>
                <w:webHidden/>
              </w:rPr>
              <w:t>2-15</w:t>
            </w:r>
            <w:r w:rsidR="00A075A8">
              <w:rPr>
                <w:noProof/>
                <w:webHidden/>
              </w:rPr>
              <w:fldChar w:fldCharType="end"/>
            </w:r>
          </w:hyperlink>
        </w:p>
        <w:p w:rsidR="00A075A8" w:rsidRDefault="00866DD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592" w:history="1">
            <w:r w:rsidR="00A075A8" w:rsidRPr="00AB4FBD">
              <w:rPr>
                <w:rStyle w:val="Hyperlink"/>
                <w:noProof/>
              </w:rPr>
              <w:t>2.4.1</w:t>
            </w:r>
            <w:r w:rsidR="00A075A8">
              <w:rPr>
                <w:rFonts w:asciiTheme="minorHAnsi" w:eastAsiaTheme="minorEastAsia" w:hAnsiTheme="minorHAnsi" w:cstheme="minorBidi"/>
                <w:noProof/>
                <w:sz w:val="22"/>
                <w:szCs w:val="22"/>
                <w:lang w:eastAsia="en-AU"/>
              </w:rPr>
              <w:tab/>
            </w:r>
            <w:r w:rsidR="00A075A8" w:rsidRPr="00AB4FBD">
              <w:rPr>
                <w:rStyle w:val="Hyperlink"/>
                <w:noProof/>
              </w:rPr>
              <w:t>Opening RAB as at 1 July 2014</w:t>
            </w:r>
            <w:r w:rsidR="00A075A8">
              <w:rPr>
                <w:noProof/>
                <w:webHidden/>
              </w:rPr>
              <w:tab/>
            </w:r>
            <w:r w:rsidR="00A075A8">
              <w:rPr>
                <w:noProof/>
                <w:webHidden/>
              </w:rPr>
              <w:fldChar w:fldCharType="begin"/>
            </w:r>
            <w:r w:rsidR="00A075A8">
              <w:rPr>
                <w:noProof/>
                <w:webHidden/>
              </w:rPr>
              <w:instrText xml:space="preserve"> PAGEREF _Toc404699592 \h </w:instrText>
            </w:r>
            <w:r w:rsidR="00A075A8">
              <w:rPr>
                <w:noProof/>
                <w:webHidden/>
              </w:rPr>
            </w:r>
            <w:r w:rsidR="00A075A8">
              <w:rPr>
                <w:noProof/>
                <w:webHidden/>
              </w:rPr>
              <w:fldChar w:fldCharType="separate"/>
            </w:r>
            <w:r w:rsidR="00675079">
              <w:rPr>
                <w:noProof/>
                <w:webHidden/>
              </w:rPr>
              <w:t>2-15</w:t>
            </w:r>
            <w:r w:rsidR="00A075A8">
              <w:rPr>
                <w:noProof/>
                <w:webHidden/>
              </w:rPr>
              <w:fldChar w:fldCharType="end"/>
            </w:r>
          </w:hyperlink>
        </w:p>
        <w:p w:rsidR="00A075A8" w:rsidRDefault="00866DD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593" w:history="1">
            <w:r w:rsidR="00A075A8" w:rsidRPr="00AB4FBD">
              <w:rPr>
                <w:rStyle w:val="Hyperlink"/>
                <w:noProof/>
              </w:rPr>
              <w:t>2.4.2</w:t>
            </w:r>
            <w:r w:rsidR="00A075A8">
              <w:rPr>
                <w:rFonts w:asciiTheme="minorHAnsi" w:eastAsiaTheme="minorEastAsia" w:hAnsiTheme="minorHAnsi" w:cstheme="minorBidi"/>
                <w:noProof/>
                <w:sz w:val="22"/>
                <w:szCs w:val="22"/>
                <w:lang w:eastAsia="en-AU"/>
              </w:rPr>
              <w:tab/>
            </w:r>
            <w:r w:rsidR="00A075A8" w:rsidRPr="00AB4FBD">
              <w:rPr>
                <w:rStyle w:val="Hyperlink"/>
                <w:noProof/>
              </w:rPr>
              <w:t>Forecast closing RAB as at 30 June 2019</w:t>
            </w:r>
            <w:r w:rsidR="00A075A8">
              <w:rPr>
                <w:noProof/>
                <w:webHidden/>
              </w:rPr>
              <w:tab/>
            </w:r>
            <w:r w:rsidR="00A075A8">
              <w:rPr>
                <w:noProof/>
                <w:webHidden/>
              </w:rPr>
              <w:fldChar w:fldCharType="begin"/>
            </w:r>
            <w:r w:rsidR="00A075A8">
              <w:rPr>
                <w:noProof/>
                <w:webHidden/>
              </w:rPr>
              <w:instrText xml:space="preserve"> PAGEREF _Toc404699593 \h </w:instrText>
            </w:r>
            <w:r w:rsidR="00A075A8">
              <w:rPr>
                <w:noProof/>
                <w:webHidden/>
              </w:rPr>
            </w:r>
            <w:r w:rsidR="00A075A8">
              <w:rPr>
                <w:noProof/>
                <w:webHidden/>
              </w:rPr>
              <w:fldChar w:fldCharType="separate"/>
            </w:r>
            <w:r w:rsidR="00675079">
              <w:rPr>
                <w:noProof/>
                <w:webHidden/>
              </w:rPr>
              <w:t>2-16</w:t>
            </w:r>
            <w:r w:rsidR="00A075A8">
              <w:rPr>
                <w:noProof/>
                <w:webHidden/>
              </w:rPr>
              <w:fldChar w:fldCharType="end"/>
            </w:r>
          </w:hyperlink>
        </w:p>
        <w:p w:rsidR="00A075A8" w:rsidRDefault="00866DD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99594" w:history="1">
            <w:r w:rsidR="00A075A8" w:rsidRPr="00AB4FBD">
              <w:rPr>
                <w:rStyle w:val="Hyperlink"/>
                <w:noProof/>
              </w:rPr>
              <w:t>2.4.3</w:t>
            </w:r>
            <w:r w:rsidR="00A075A8">
              <w:rPr>
                <w:rFonts w:asciiTheme="minorHAnsi" w:eastAsiaTheme="minorEastAsia" w:hAnsiTheme="minorHAnsi" w:cstheme="minorBidi"/>
                <w:noProof/>
                <w:sz w:val="22"/>
                <w:szCs w:val="22"/>
                <w:lang w:eastAsia="en-AU"/>
              </w:rPr>
              <w:tab/>
            </w:r>
            <w:r w:rsidR="00A075A8" w:rsidRPr="00AB4FBD">
              <w:rPr>
                <w:rStyle w:val="Hyperlink"/>
                <w:noProof/>
              </w:rPr>
              <w:t>Application of depreciation approach in RAB roll forward for next reset</w:t>
            </w:r>
            <w:r w:rsidR="00A075A8">
              <w:rPr>
                <w:noProof/>
                <w:webHidden/>
              </w:rPr>
              <w:tab/>
            </w:r>
            <w:r w:rsidR="00A075A8">
              <w:rPr>
                <w:noProof/>
                <w:webHidden/>
              </w:rPr>
              <w:fldChar w:fldCharType="begin"/>
            </w:r>
            <w:r w:rsidR="00A075A8">
              <w:rPr>
                <w:noProof/>
                <w:webHidden/>
              </w:rPr>
              <w:instrText xml:space="preserve"> PAGEREF _Toc404699594 \h </w:instrText>
            </w:r>
            <w:r w:rsidR="00A075A8">
              <w:rPr>
                <w:noProof/>
                <w:webHidden/>
              </w:rPr>
            </w:r>
            <w:r w:rsidR="00A075A8">
              <w:rPr>
                <w:noProof/>
                <w:webHidden/>
              </w:rPr>
              <w:fldChar w:fldCharType="separate"/>
            </w:r>
            <w:r w:rsidR="00675079">
              <w:rPr>
                <w:noProof/>
                <w:webHidden/>
              </w:rPr>
              <w:t>2-17</w:t>
            </w:r>
            <w:r w:rsidR="00A075A8">
              <w:rPr>
                <w:noProof/>
                <w:webHidden/>
              </w:rPr>
              <w:fldChar w:fldCharType="end"/>
            </w:r>
          </w:hyperlink>
        </w:p>
        <w:p w:rsidR="009D444F" w:rsidRDefault="009D444F" w:rsidP="009D444F">
          <w:pPr>
            <w:pStyle w:val="TOC1"/>
            <w:tabs>
              <w:tab w:val="right" w:leader="dot" w:pos="9016"/>
            </w:tabs>
          </w:pPr>
          <w:r>
            <w:rPr>
              <w:lang w:val="en-US" w:eastAsia="ja-JP"/>
            </w:rPr>
            <w:fldChar w:fldCharType="end"/>
          </w:r>
        </w:p>
      </w:sdtContent>
    </w:sdt>
    <w:p w:rsidR="009D444F" w:rsidRDefault="009D444F" w:rsidP="009D444F"/>
    <w:p w:rsidR="009D444F" w:rsidRDefault="009D444F" w:rsidP="009D444F"/>
    <w:p w:rsidR="009D444F" w:rsidRDefault="009D444F" w:rsidP="009D444F"/>
    <w:p w:rsidR="009D444F" w:rsidRDefault="009D444F" w:rsidP="009D444F"/>
    <w:p w:rsidR="009D444F" w:rsidRDefault="009D444F" w:rsidP="009D444F">
      <w:pPr>
        <w:pStyle w:val="UnnumberedHeading"/>
      </w:pPr>
      <w:bookmarkStart w:id="5" w:name="_Toc402538524"/>
      <w:bookmarkStart w:id="6" w:name="_Toc404699585"/>
      <w:r>
        <w:lastRenderedPageBreak/>
        <w:t>Shortened forms</w:t>
      </w:r>
      <w:bookmarkEnd w:id="5"/>
      <w:bookmarkEnd w:id="6"/>
    </w:p>
    <w:tbl>
      <w:tblPr>
        <w:tblStyle w:val="AERtable-numbers"/>
        <w:tblW w:w="0" w:type="auto"/>
        <w:tblLook w:val="04A0" w:firstRow="1" w:lastRow="0" w:firstColumn="1" w:lastColumn="0" w:noHBand="0" w:noVBand="1"/>
      </w:tblPr>
      <w:tblGrid>
        <w:gridCol w:w="4621"/>
        <w:gridCol w:w="4621"/>
      </w:tblGrid>
      <w:tr w:rsidR="009D444F" w:rsidTr="009D44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9D444F" w:rsidRDefault="009D444F" w:rsidP="009D444F">
            <w:pPr>
              <w:pStyle w:val="AERbodytext"/>
            </w:pPr>
            <w:r>
              <w:t>Shortened form</w:t>
            </w:r>
          </w:p>
        </w:tc>
        <w:tc>
          <w:tcPr>
            <w:tcW w:w="4621" w:type="dxa"/>
          </w:tcPr>
          <w:p w:rsidR="009D444F" w:rsidRDefault="009D444F" w:rsidP="009D444F">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AARR</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AEMC</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AEMO</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AER</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ASRR</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augex</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capex</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CCP</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CESS</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CPI</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CPI-X</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DRP</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DMIA</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DMIS</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distributor</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DUoS</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EBSS</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ERP</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expenditure assessment guideline</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 xml:space="preserve">expenditure forecast assessment guideline for electricity </w:t>
            </w:r>
            <w:r w:rsidR="006453EC">
              <w:t>distribution</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F&amp;A</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MRP</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lastRenderedPageBreak/>
              <w:t>NEL</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NEM</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NEO</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NER</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NSP</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opex</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PPI</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PTRM</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RAB</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RBA</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repex</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RFM</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RIN</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RPP</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SAIDI</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SAIFI</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SLCAPM</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9D444F" w:rsidTr="009D444F">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STPIS</w:t>
            </w:r>
          </w:p>
        </w:tc>
        <w:tc>
          <w:tcPr>
            <w:tcW w:w="4621" w:type="dxa"/>
          </w:tcPr>
          <w:p w:rsidR="009D444F" w:rsidRDefault="009D444F" w:rsidP="009D444F">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9D444F" w:rsidTr="009D44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D444F" w:rsidRDefault="009D444F" w:rsidP="009D444F">
            <w:pPr>
              <w:pStyle w:val="AERbodytext"/>
            </w:pPr>
            <w:r>
              <w:t>WACC</w:t>
            </w:r>
          </w:p>
        </w:tc>
        <w:tc>
          <w:tcPr>
            <w:tcW w:w="4621" w:type="dxa"/>
          </w:tcPr>
          <w:p w:rsidR="009D444F" w:rsidRDefault="009D444F" w:rsidP="009D444F">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97003" w:rsidRDefault="00D97003" w:rsidP="009D444F">
      <w:pPr>
        <w:pStyle w:val="Heading1"/>
      </w:pPr>
      <w:bookmarkStart w:id="7" w:name="_Toc404699586"/>
      <w:r>
        <w:lastRenderedPageBreak/>
        <w:t>Regulatory asset base</w:t>
      </w:r>
      <w:bookmarkEnd w:id="1"/>
      <w:bookmarkEnd w:id="7"/>
    </w:p>
    <w:p w:rsidR="003E2D82" w:rsidRPr="003E2D82" w:rsidRDefault="003E2D82" w:rsidP="008528F2">
      <w:pPr>
        <w:pStyle w:val="AERbodytext"/>
      </w:pPr>
      <w:r>
        <w:rPr>
          <w:rStyle w:val="AERbody"/>
        </w:rPr>
        <w:t>We are</w:t>
      </w:r>
      <w:r w:rsidRPr="003E2D82">
        <w:rPr>
          <w:rStyle w:val="AERbody"/>
        </w:rPr>
        <w:t xml:space="preserve"> required to make a decision on </w:t>
      </w:r>
      <w:r w:rsidR="00D35DC1">
        <w:rPr>
          <w:rStyle w:val="AERbody"/>
        </w:rPr>
        <w:t>ActewAGL's</w:t>
      </w:r>
      <w:r>
        <w:rPr>
          <w:rStyle w:val="AERbody"/>
        </w:rPr>
        <w:t xml:space="preserve"> </w:t>
      </w:r>
      <w:r w:rsidRPr="003E2D82">
        <w:rPr>
          <w:rStyle w:val="AERbody"/>
        </w:rPr>
        <w:t xml:space="preserve">opening regulatory asset base (RAB) </w:t>
      </w:r>
      <w:r w:rsidR="007211B9">
        <w:rPr>
          <w:rStyle w:val="AERbody"/>
        </w:rPr>
        <w:t xml:space="preserve">as </w:t>
      </w:r>
      <w:r w:rsidRPr="003E2D82">
        <w:rPr>
          <w:rStyle w:val="AERbody"/>
        </w:rPr>
        <w:t xml:space="preserve">at </w:t>
      </w:r>
      <w:r w:rsidR="007211B9">
        <w:rPr>
          <w:rStyle w:val="AERbody"/>
        </w:rPr>
        <w:t>1</w:t>
      </w:r>
      <w:r w:rsidR="00E03900">
        <w:rPr>
          <w:rStyle w:val="AERbody"/>
        </w:rPr>
        <w:t> </w:t>
      </w:r>
      <w:r w:rsidR="007211B9">
        <w:rPr>
          <w:rStyle w:val="AERbody"/>
        </w:rPr>
        <w:t>July</w:t>
      </w:r>
      <w:r w:rsidR="00E03900">
        <w:rPr>
          <w:rStyle w:val="AERbody"/>
        </w:rPr>
        <w:t> </w:t>
      </w:r>
      <w:r w:rsidR="007211B9">
        <w:rPr>
          <w:rStyle w:val="AERbody"/>
        </w:rPr>
        <w:t>2014</w:t>
      </w:r>
      <w:r w:rsidRPr="003E2D82">
        <w:rPr>
          <w:rStyle w:val="AERbody"/>
        </w:rPr>
        <w:t>.</w:t>
      </w:r>
      <w:r w:rsidRPr="00B24F2B">
        <w:rPr>
          <w:rStyle w:val="AERsuperscript"/>
        </w:rPr>
        <w:footnoteReference w:id="1"/>
      </w:r>
      <w:r w:rsidRPr="00B24F2B">
        <w:rPr>
          <w:rStyle w:val="AERbody"/>
        </w:rPr>
        <w:t xml:space="preserve"> </w:t>
      </w:r>
      <w:r w:rsidR="008528F2" w:rsidRPr="008528F2">
        <w:rPr>
          <w:rStyle w:val="AERbody"/>
        </w:rPr>
        <w:t xml:space="preserve">We use the RAB </w:t>
      </w:r>
      <w:r w:rsidR="007211B9">
        <w:rPr>
          <w:rStyle w:val="AERbody"/>
        </w:rPr>
        <w:t xml:space="preserve">at the start of </w:t>
      </w:r>
      <w:r w:rsidR="008528F2" w:rsidRPr="008528F2">
        <w:rPr>
          <w:rStyle w:val="AERbody"/>
        </w:rPr>
        <w:t>each regulatory year to determine the return of capital (regulatory depreciation) and return on capital building block allowances.</w:t>
      </w:r>
      <w:r w:rsidR="008528F2">
        <w:rPr>
          <w:rStyle w:val="AERbody"/>
        </w:rPr>
        <w:t xml:space="preserve"> </w:t>
      </w:r>
      <w:r w:rsidRPr="003E2D82">
        <w:rPr>
          <w:rStyle w:val="AERbody"/>
        </w:rPr>
        <w:t xml:space="preserve">This attachment presents </w:t>
      </w:r>
      <w:r w:rsidR="008528F2">
        <w:rPr>
          <w:rStyle w:val="AERbody"/>
        </w:rPr>
        <w:t>our draft decision</w:t>
      </w:r>
      <w:r w:rsidRPr="003E2D82">
        <w:rPr>
          <w:rStyle w:val="AERbody"/>
        </w:rPr>
        <w:t xml:space="preserve"> o</w:t>
      </w:r>
      <w:r w:rsidR="008528F2">
        <w:rPr>
          <w:rStyle w:val="AERbody"/>
        </w:rPr>
        <w:t>n</w:t>
      </w:r>
      <w:r w:rsidRPr="003E2D82">
        <w:rPr>
          <w:rStyle w:val="AERbody"/>
        </w:rPr>
        <w:t xml:space="preserve"> </w:t>
      </w:r>
      <w:r w:rsidR="006156DB">
        <w:rPr>
          <w:rStyle w:val="AERbody"/>
        </w:rPr>
        <w:t>ActewAGL's</w:t>
      </w:r>
      <w:r w:rsidR="00D35DC1">
        <w:rPr>
          <w:rStyle w:val="AERbody"/>
        </w:rPr>
        <w:t xml:space="preserve"> </w:t>
      </w:r>
      <w:r w:rsidRPr="003E2D82">
        <w:rPr>
          <w:rStyle w:val="AERbody"/>
        </w:rPr>
        <w:t>opening RAB as at 1 July 201</w:t>
      </w:r>
      <w:r>
        <w:rPr>
          <w:rStyle w:val="AERbody"/>
        </w:rPr>
        <w:t>4</w:t>
      </w:r>
      <w:r w:rsidRPr="003E2D82">
        <w:rPr>
          <w:rStyle w:val="AERbody"/>
        </w:rPr>
        <w:t xml:space="preserve"> and roll forward </w:t>
      </w:r>
      <w:r w:rsidR="007211B9">
        <w:rPr>
          <w:rStyle w:val="AERbody"/>
        </w:rPr>
        <w:t xml:space="preserve">of </w:t>
      </w:r>
      <w:r w:rsidRPr="003E2D82">
        <w:rPr>
          <w:rStyle w:val="AERbody"/>
        </w:rPr>
        <w:t xml:space="preserve">the RAB over the </w:t>
      </w:r>
      <w:r w:rsidR="006E263A">
        <w:rPr>
          <w:rStyle w:val="AERbody"/>
        </w:rPr>
        <w:t>2014–19</w:t>
      </w:r>
      <w:r w:rsidRPr="003E2D82">
        <w:rPr>
          <w:rStyle w:val="AERbody"/>
        </w:rPr>
        <w:t xml:space="preserve"> period.</w:t>
      </w:r>
      <w:r w:rsidR="006B48FA" w:rsidRPr="00B24F2B" w:rsidDel="006B48FA">
        <w:rPr>
          <w:rStyle w:val="AERsuperscript"/>
        </w:rPr>
        <w:t xml:space="preserve"> </w:t>
      </w:r>
    </w:p>
    <w:p w:rsidR="00D97003" w:rsidRDefault="00D97003" w:rsidP="00DB1571">
      <w:pPr>
        <w:pStyle w:val="Heading2"/>
        <w:numPr>
          <w:ilvl w:val="2"/>
          <w:numId w:val="45"/>
        </w:numPr>
      </w:pPr>
      <w:bookmarkStart w:id="8" w:name="_Toc387916796"/>
      <w:bookmarkStart w:id="9" w:name="_Toc404699587"/>
      <w:r>
        <w:t>D</w:t>
      </w:r>
      <w:r w:rsidRPr="00525604">
        <w:t>raft decision</w:t>
      </w:r>
      <w:bookmarkEnd w:id="8"/>
      <w:bookmarkEnd w:id="9"/>
    </w:p>
    <w:p w:rsidR="00F94A3C" w:rsidRDefault="00D35DC1" w:rsidP="00EB7778">
      <w:pPr>
        <w:pStyle w:val="AERbodytext"/>
      </w:pPr>
      <w:r w:rsidRPr="00D35DC1">
        <w:t>We do not accept A</w:t>
      </w:r>
      <w:r w:rsidR="00623F3E">
        <w:t>ctewAGL's</w:t>
      </w:r>
      <w:r w:rsidRPr="00D35DC1">
        <w:t xml:space="preserve"> proposed opening RAB</w:t>
      </w:r>
      <w:r w:rsidR="00B75BD5">
        <w:t>s</w:t>
      </w:r>
      <w:r w:rsidRPr="00D35DC1">
        <w:t xml:space="preserve"> as at 1 July 2014 of $</w:t>
      </w:r>
      <w:r w:rsidR="00FD7811">
        <w:t>696.1</w:t>
      </w:r>
      <w:r w:rsidRPr="00D35DC1">
        <w:t xml:space="preserve"> million and $</w:t>
      </w:r>
      <w:r w:rsidR="00FD7811">
        <w:t xml:space="preserve">154.2 </w:t>
      </w:r>
      <w:r w:rsidRPr="00D35DC1">
        <w:t>million ($ nominal) for its distribution and transmission networks respectively. We instead determine opening RAB value</w:t>
      </w:r>
      <w:r w:rsidR="00B75BD5">
        <w:t>s</w:t>
      </w:r>
      <w:r w:rsidRPr="00D35DC1">
        <w:t xml:space="preserve"> as at 1 July 2014 of $</w:t>
      </w:r>
      <w:r w:rsidR="00C50C24">
        <w:t>695.6</w:t>
      </w:r>
      <w:r w:rsidRPr="00D35DC1">
        <w:t xml:space="preserve"> million and $</w:t>
      </w:r>
      <w:r w:rsidR="00C50C24">
        <w:t>154.1</w:t>
      </w:r>
      <w:r w:rsidRPr="00D35DC1">
        <w:t xml:space="preserve"> million ($ nominal) for its distribution and transmission networks respectively. </w:t>
      </w:r>
      <w:r w:rsidR="00BB7EBD">
        <w:t>These small difference</w:t>
      </w:r>
      <w:r w:rsidR="00B75BD5">
        <w:t>s</w:t>
      </w:r>
      <w:r w:rsidR="00BB7EBD">
        <w:t xml:space="preserve"> are caused by a correction to</w:t>
      </w:r>
      <w:r w:rsidR="00C50C24">
        <w:t xml:space="preserve"> the remaining asset life of the opening asset class</w:t>
      </w:r>
      <w:r w:rsidR="00BB7EBD">
        <w:t xml:space="preserve"> for both</w:t>
      </w:r>
      <w:r w:rsidR="00C50C24">
        <w:t xml:space="preserve"> </w:t>
      </w:r>
      <w:r w:rsidR="00BB7EBD">
        <w:t>distribution and transmission</w:t>
      </w:r>
      <w:r w:rsidR="00A55C78">
        <w:t xml:space="preserve"> RABs</w:t>
      </w:r>
      <w:r w:rsidR="00C50C24">
        <w:t xml:space="preserve">. </w:t>
      </w:r>
    </w:p>
    <w:p w:rsidR="00D35DC1" w:rsidRDefault="00EB7778" w:rsidP="00EB7778">
      <w:pPr>
        <w:pStyle w:val="AERbodytext"/>
      </w:pPr>
      <w:r w:rsidRPr="00EB7778">
        <w:t xml:space="preserve">Although </w:t>
      </w:r>
      <w:r>
        <w:t xml:space="preserve">transmission assets are to be regulated </w:t>
      </w:r>
      <w:r w:rsidR="002C4693">
        <w:t>as dual function</w:t>
      </w:r>
      <w:r>
        <w:t xml:space="preserve"> assets from 1 July 2014, the </w:t>
      </w:r>
      <w:r w:rsidR="002C4693">
        <w:t>transmission</w:t>
      </w:r>
      <w:r>
        <w:t xml:space="preserve"> asset</w:t>
      </w:r>
      <w:r w:rsidR="002C4693">
        <w:t xml:space="preserve"> base</w:t>
      </w:r>
      <w:r>
        <w:t xml:space="preserve"> has been </w:t>
      </w:r>
      <w:r w:rsidR="002C4693">
        <w:t xml:space="preserve">established </w:t>
      </w:r>
      <w:r>
        <w:t>from 1 July 2009.</w:t>
      </w:r>
      <w:r w:rsidR="00B75BD5">
        <w:t xml:space="preserve"> </w:t>
      </w:r>
      <w:r w:rsidR="00D35DC1" w:rsidRPr="00D35DC1">
        <w:t>To determine the opening RAB</w:t>
      </w:r>
      <w:r w:rsidR="00BB7EBD">
        <w:t>s</w:t>
      </w:r>
      <w:r w:rsidR="00D35DC1" w:rsidRPr="00D35DC1">
        <w:t xml:space="preserve"> at 1</w:t>
      </w:r>
      <w:r w:rsidR="00E03900">
        <w:t> </w:t>
      </w:r>
      <w:r w:rsidR="00D35DC1" w:rsidRPr="00D35DC1">
        <w:t>July 2014</w:t>
      </w:r>
      <w:r w:rsidR="00FD7811">
        <w:t>, we have rolled forward the</w:t>
      </w:r>
      <w:r>
        <w:t xml:space="preserve"> separate</w:t>
      </w:r>
      <w:r w:rsidR="00FD7811">
        <w:t xml:space="preserve"> </w:t>
      </w:r>
      <w:r w:rsidR="00D35DC1" w:rsidRPr="00D35DC1">
        <w:t>RAB</w:t>
      </w:r>
      <w:r w:rsidR="00BB7EBD">
        <w:t>s</w:t>
      </w:r>
      <w:r w:rsidR="00D35DC1" w:rsidRPr="00D35DC1">
        <w:t xml:space="preserve"> over the 20</w:t>
      </w:r>
      <w:r w:rsidR="00D2149D">
        <w:t>09–</w:t>
      </w:r>
      <w:r w:rsidR="00D35DC1" w:rsidRPr="00D35DC1">
        <w:t xml:space="preserve">14 regulatory </w:t>
      </w:r>
      <w:r w:rsidR="00D2149D">
        <w:t xml:space="preserve">control </w:t>
      </w:r>
      <w:r w:rsidR="00D35DC1" w:rsidRPr="00D35DC1">
        <w:t xml:space="preserve">period </w:t>
      </w:r>
      <w:r w:rsidR="00FD7811">
        <w:t>to determin</w:t>
      </w:r>
      <w:r>
        <w:t>e</w:t>
      </w:r>
      <w:r w:rsidR="00FD7811">
        <w:t xml:space="preserve"> closing value</w:t>
      </w:r>
      <w:r>
        <w:t>s</w:t>
      </w:r>
      <w:r w:rsidR="00FD7811">
        <w:t xml:space="preserve"> as at 30 June 2014. Th</w:t>
      </w:r>
      <w:r>
        <w:t>e</w:t>
      </w:r>
      <w:r w:rsidR="00FD7811">
        <w:t xml:space="preserve"> </w:t>
      </w:r>
      <w:r w:rsidR="00D35DC1" w:rsidRPr="00D35DC1">
        <w:t>roll</w:t>
      </w:r>
      <w:r w:rsidR="00A55C78">
        <w:t xml:space="preserve"> </w:t>
      </w:r>
      <w:r w:rsidR="00D35DC1" w:rsidRPr="00D35DC1">
        <w:t>forward</w:t>
      </w:r>
      <w:r>
        <w:t>s</w:t>
      </w:r>
      <w:r w:rsidR="00D35DC1" w:rsidRPr="00D35DC1">
        <w:t xml:space="preserve"> include an adjustment at the end of the 2009–14 </w:t>
      </w:r>
      <w:r w:rsidR="00B75BD5">
        <w:t xml:space="preserve">regulatory control </w:t>
      </w:r>
      <w:r w:rsidR="00D35DC1" w:rsidRPr="00D35DC1">
        <w:t>period to account for the difference between actual 2008–09 capex and the estimate approved at the 2009 determination.</w:t>
      </w:r>
      <w:r w:rsidR="00D35DC1">
        <w:rPr>
          <w:rStyle w:val="FootnoteReference"/>
        </w:rPr>
        <w:footnoteReference w:id="2"/>
      </w:r>
      <w:r>
        <w:t xml:space="preserve"> </w:t>
      </w:r>
      <w:r w:rsidR="007175C9">
        <w:t>Th</w:t>
      </w:r>
      <w:r w:rsidR="0091617F">
        <w:t>e actual and estimated 2008–09 capex has been split</w:t>
      </w:r>
      <w:r w:rsidR="007175C9">
        <w:t xml:space="preserve"> between the distribution and transmission networks</w:t>
      </w:r>
      <w:r w:rsidR="0091617F">
        <w:t xml:space="preserve"> consistent with the split of the opening RAB. </w:t>
      </w:r>
    </w:p>
    <w:p w:rsidR="00675079" w:rsidRDefault="00675079">
      <w:r>
        <w:br w:type="page"/>
      </w:r>
    </w:p>
    <w:p w:rsidR="0039763D" w:rsidRDefault="0039763D" w:rsidP="00565550">
      <w:pPr>
        <w:pStyle w:val="AERbodytext"/>
        <w:numPr>
          <w:ilvl w:val="0"/>
          <w:numId w:val="0"/>
        </w:numPr>
      </w:pPr>
      <w:r>
        <w:rPr>
          <w:rFonts w:ascii="Times New Roman" w:hAnsi="Times New Roman"/>
          <w:sz w:val="24"/>
          <w:lang w:eastAsia="en-AU"/>
        </w:rPr>
        <w:lastRenderedPageBreak/>
        <w:fldChar w:fldCharType="begin"/>
      </w:r>
      <w:r>
        <w:instrText xml:space="preserve"> REF _Ref395533862 \h </w:instrText>
      </w:r>
      <w:r>
        <w:rPr>
          <w:rFonts w:ascii="Times New Roman" w:hAnsi="Times New Roman"/>
          <w:sz w:val="24"/>
          <w:lang w:eastAsia="en-AU"/>
        </w:rPr>
      </w:r>
      <w:r>
        <w:rPr>
          <w:rFonts w:ascii="Times New Roman" w:hAnsi="Times New Roman"/>
          <w:sz w:val="24"/>
          <w:lang w:eastAsia="en-AU"/>
        </w:rPr>
        <w:fldChar w:fldCharType="separate"/>
      </w:r>
      <w:r w:rsidR="00675079">
        <w:t xml:space="preserve">Table </w:t>
      </w:r>
      <w:r w:rsidR="00675079">
        <w:rPr>
          <w:noProof/>
        </w:rPr>
        <w:t>2</w:t>
      </w:r>
      <w:r w:rsidR="00675079">
        <w:t>.</w:t>
      </w:r>
      <w:r w:rsidR="00675079">
        <w:rPr>
          <w:noProof/>
        </w:rPr>
        <w:t>1</w:t>
      </w:r>
      <w:r>
        <w:fldChar w:fldCharType="end"/>
      </w:r>
      <w:r>
        <w:t xml:space="preserve"> and </w:t>
      </w:r>
      <w:r>
        <w:fldChar w:fldCharType="begin"/>
      </w:r>
      <w:r>
        <w:instrText xml:space="preserve"> REF _Ref395533869 \h </w:instrText>
      </w:r>
      <w:r>
        <w:fldChar w:fldCharType="separate"/>
      </w:r>
      <w:r w:rsidR="00675079">
        <w:t xml:space="preserve">Table </w:t>
      </w:r>
      <w:r w:rsidR="00675079">
        <w:rPr>
          <w:noProof/>
        </w:rPr>
        <w:t>2</w:t>
      </w:r>
      <w:r w:rsidR="00675079">
        <w:t>.</w:t>
      </w:r>
      <w:r w:rsidR="00675079">
        <w:rPr>
          <w:noProof/>
        </w:rPr>
        <w:t>2</w:t>
      </w:r>
      <w:r>
        <w:fldChar w:fldCharType="end"/>
      </w:r>
      <w:r>
        <w:t xml:space="preserve"> </w:t>
      </w:r>
      <w:r w:rsidRPr="0039763D">
        <w:t xml:space="preserve">set out our draft decision on the roll forward of the RAB values </w:t>
      </w:r>
      <w:r>
        <w:t>over the</w:t>
      </w:r>
      <w:r w:rsidRPr="0039763D">
        <w:t xml:space="preserve"> 2009–14 regulatory control period for </w:t>
      </w:r>
      <w:r>
        <w:t>A</w:t>
      </w:r>
      <w:r w:rsidR="00FD7811">
        <w:t>ctewAGL</w:t>
      </w:r>
      <w:r w:rsidRPr="0039763D">
        <w:t>'s</w:t>
      </w:r>
      <w:r>
        <w:t xml:space="preserve"> distribution and transmission networks respectively</w:t>
      </w:r>
      <w:r w:rsidRPr="0039763D">
        <w:t>.</w:t>
      </w:r>
    </w:p>
    <w:p w:rsidR="00284F1D" w:rsidRDefault="00284F1D" w:rsidP="009D444F">
      <w:pPr>
        <w:pStyle w:val="Caption"/>
      </w:pPr>
      <w:bookmarkStart w:id="10" w:name="_Ref395533862"/>
      <w:r>
        <w:t xml:space="preserve">Table </w:t>
      </w:r>
      <w:fldSimple w:instr=" STYLEREF 1 \s ">
        <w:r w:rsidR="00675079">
          <w:rPr>
            <w:noProof/>
          </w:rPr>
          <w:t>2</w:t>
        </w:r>
      </w:fldSimple>
      <w:r w:rsidR="009D444F">
        <w:t>.</w:t>
      </w:r>
      <w:fldSimple w:instr=" SEQ Table \* ARABIC \s 1 ">
        <w:r w:rsidR="00675079">
          <w:rPr>
            <w:noProof/>
          </w:rPr>
          <w:t>1</w:t>
        </w:r>
      </w:fldSimple>
      <w:bookmarkEnd w:id="10"/>
      <w:r>
        <w:tab/>
      </w:r>
      <w:r w:rsidRPr="00284F1D">
        <w:t xml:space="preserve">AER's draft decision on </w:t>
      </w:r>
      <w:r>
        <w:t>A</w:t>
      </w:r>
      <w:r w:rsidR="00FD7811">
        <w:t>ctewAGL</w:t>
      </w:r>
      <w:r w:rsidRPr="00284F1D">
        <w:t xml:space="preserve">'s RAB for the 2009–14 regulatory control period </w:t>
      </w:r>
      <w:r>
        <w:t xml:space="preserve">– </w:t>
      </w:r>
      <w:r w:rsidR="00B75BD5">
        <w:t>d</w:t>
      </w:r>
      <w:r>
        <w:t xml:space="preserve">istribution </w:t>
      </w:r>
      <w:r w:rsidRPr="00284F1D">
        <w:t>($ million, nominal)</w:t>
      </w:r>
    </w:p>
    <w:tbl>
      <w:tblPr>
        <w:tblStyle w:val="AERtable-numbers"/>
        <w:tblW w:w="5000" w:type="pct"/>
        <w:tblLook w:val="04A0" w:firstRow="1" w:lastRow="0" w:firstColumn="1" w:lastColumn="0" w:noHBand="0" w:noVBand="1"/>
      </w:tblPr>
      <w:tblGrid>
        <w:gridCol w:w="3677"/>
        <w:gridCol w:w="1113"/>
        <w:gridCol w:w="1113"/>
        <w:gridCol w:w="1113"/>
        <w:gridCol w:w="1113"/>
        <w:gridCol w:w="1113"/>
      </w:tblGrid>
      <w:tr w:rsidR="00565550" w:rsidRPr="00565550" w:rsidTr="00565550">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565550" w:rsidRDefault="00565550" w:rsidP="00DB1571">
            <w:pPr>
              <w:pStyle w:val="AERtabletextleft"/>
              <w:keepNext/>
              <w:rPr>
                <w:rFonts w:ascii="Times New Roman" w:hAnsi="Times New Roman"/>
                <w:b w:val="0"/>
                <w:color w:val="auto"/>
              </w:rPr>
            </w:pPr>
            <w:r w:rsidRPr="00565550">
              <w:t> </w:t>
            </w:r>
          </w:p>
        </w:tc>
        <w:tc>
          <w:tcPr>
            <w:tcW w:w="602" w:type="pct"/>
            <w:noWrap/>
            <w:hideMark/>
          </w:tcPr>
          <w:p w:rsidR="00565550" w:rsidRPr="00565550" w:rsidRDefault="00565550" w:rsidP="00DB1571">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rPr>
            </w:pPr>
            <w:r w:rsidRPr="00565550">
              <w:t>2009–10</w:t>
            </w:r>
          </w:p>
        </w:tc>
        <w:tc>
          <w:tcPr>
            <w:tcW w:w="602" w:type="pct"/>
            <w:noWrap/>
            <w:hideMark/>
          </w:tcPr>
          <w:p w:rsidR="00565550" w:rsidRPr="00565550" w:rsidRDefault="00565550" w:rsidP="00DB1571">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rPr>
            </w:pPr>
            <w:r w:rsidRPr="00565550">
              <w:t>2010–11</w:t>
            </w:r>
          </w:p>
        </w:tc>
        <w:tc>
          <w:tcPr>
            <w:tcW w:w="602" w:type="pct"/>
            <w:noWrap/>
            <w:hideMark/>
          </w:tcPr>
          <w:p w:rsidR="00565550" w:rsidRPr="00565550" w:rsidRDefault="00565550" w:rsidP="00DB1571">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rPr>
            </w:pPr>
            <w:r w:rsidRPr="00565550">
              <w:t>2011–12</w:t>
            </w:r>
          </w:p>
        </w:tc>
        <w:tc>
          <w:tcPr>
            <w:tcW w:w="602" w:type="pct"/>
            <w:noWrap/>
            <w:hideMark/>
          </w:tcPr>
          <w:p w:rsidR="00565550" w:rsidRPr="00565550" w:rsidRDefault="00565550" w:rsidP="00DB1571">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rPr>
            </w:pPr>
            <w:r w:rsidRPr="00565550">
              <w:t>2012–13</w:t>
            </w:r>
          </w:p>
        </w:tc>
        <w:tc>
          <w:tcPr>
            <w:tcW w:w="602" w:type="pct"/>
            <w:noWrap/>
            <w:hideMark/>
          </w:tcPr>
          <w:p w:rsidR="00565550" w:rsidRPr="00565550" w:rsidRDefault="00565550" w:rsidP="00DB1571">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rPr>
            </w:pPr>
            <w:r w:rsidRPr="00565550">
              <w:t>2013–14</w:t>
            </w:r>
            <w:r w:rsidR="008A0472" w:rsidRPr="008A0472">
              <w:rPr>
                <w:rStyle w:val="AERsuperscript"/>
              </w:rPr>
              <w:t>a</w:t>
            </w:r>
          </w:p>
        </w:tc>
      </w:tr>
      <w:tr w:rsidR="00565550" w:rsidRPr="00E03900" w:rsidTr="00565550">
        <w:trPr>
          <w:trHeight w:val="221"/>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E03900" w:rsidRDefault="00565550">
            <w:pPr>
              <w:pStyle w:val="AERtabletextleft"/>
              <w:rPr>
                <w:rStyle w:val="AERtextbold"/>
                <w:b w:val="0"/>
                <w:color w:val="FFFFFF"/>
              </w:rPr>
            </w:pPr>
            <w:r w:rsidRPr="00E03900">
              <w:rPr>
                <w:rStyle w:val="AERtextbold"/>
                <w:b w:val="0"/>
              </w:rPr>
              <w:t>Opening RAB</w:t>
            </w:r>
          </w:p>
        </w:tc>
        <w:tc>
          <w:tcPr>
            <w:tcW w:w="602" w:type="pct"/>
            <w:noWrap/>
            <w:hideMark/>
          </w:tcPr>
          <w:p w:rsidR="00565550" w:rsidRPr="00E03900" w:rsidRDefault="00F65CB6" w:rsidP="00DB157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E03900">
              <w:rPr>
                <w:rStyle w:val="AERtextbold"/>
                <w:b w:val="0"/>
              </w:rPr>
              <w:t>523.3</w:t>
            </w:r>
          </w:p>
        </w:tc>
        <w:tc>
          <w:tcPr>
            <w:tcW w:w="602" w:type="pct"/>
            <w:noWrap/>
            <w:hideMark/>
          </w:tcPr>
          <w:p w:rsidR="00565550" w:rsidRPr="00E03900" w:rsidRDefault="00F65CB6" w:rsidP="00DB157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E03900">
              <w:rPr>
                <w:rStyle w:val="AERtextbold"/>
                <w:b w:val="0"/>
              </w:rPr>
              <w:t>559.6</w:t>
            </w:r>
          </w:p>
        </w:tc>
        <w:tc>
          <w:tcPr>
            <w:tcW w:w="602" w:type="pct"/>
            <w:noWrap/>
            <w:hideMark/>
          </w:tcPr>
          <w:p w:rsidR="00565550" w:rsidRPr="00E03900" w:rsidRDefault="00F65CB6" w:rsidP="00DB157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E03900">
              <w:rPr>
                <w:rStyle w:val="AERtextbold"/>
                <w:b w:val="0"/>
              </w:rPr>
              <w:t>603.6</w:t>
            </w:r>
          </w:p>
        </w:tc>
        <w:tc>
          <w:tcPr>
            <w:tcW w:w="602" w:type="pct"/>
            <w:noWrap/>
            <w:hideMark/>
          </w:tcPr>
          <w:p w:rsidR="00565550" w:rsidRPr="00E03900" w:rsidRDefault="00F65CB6" w:rsidP="00DB157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E03900">
              <w:rPr>
                <w:rStyle w:val="AERtextbold"/>
                <w:b w:val="0"/>
              </w:rPr>
              <w:t>640.9</w:t>
            </w:r>
          </w:p>
        </w:tc>
        <w:tc>
          <w:tcPr>
            <w:tcW w:w="602" w:type="pct"/>
            <w:noWrap/>
            <w:hideMark/>
          </w:tcPr>
          <w:p w:rsidR="00565550" w:rsidRPr="00E03900" w:rsidRDefault="00F65CB6" w:rsidP="00DB157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color w:val="FFFFFF"/>
              </w:rPr>
            </w:pPr>
            <w:r w:rsidRPr="00E03900">
              <w:rPr>
                <w:rStyle w:val="AERtextbold"/>
                <w:b w:val="0"/>
              </w:rPr>
              <w:t>662.0</w:t>
            </w:r>
          </w:p>
        </w:tc>
      </w:tr>
      <w:tr w:rsidR="00565550" w:rsidRPr="00565550" w:rsidTr="00565550">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565550" w:rsidRDefault="00565550" w:rsidP="00DB1571">
            <w:pPr>
              <w:pStyle w:val="AERtabletextleft"/>
              <w:keepNext/>
              <w:rPr>
                <w:rFonts w:ascii="Times New Roman" w:hAnsi="Times New Roman"/>
              </w:rPr>
            </w:pPr>
            <w:r w:rsidRPr="00565550">
              <w:t>Capital expenditure</w:t>
            </w:r>
            <w:r w:rsidR="008A0472" w:rsidRPr="008A0472">
              <w:rPr>
                <w:rStyle w:val="AERsuperscript"/>
              </w:rPr>
              <w:t>b</w:t>
            </w:r>
          </w:p>
        </w:tc>
        <w:tc>
          <w:tcPr>
            <w:tcW w:w="602" w:type="pct"/>
            <w:noWrap/>
            <w:hideMark/>
          </w:tcPr>
          <w:p w:rsidR="00565550" w:rsidRPr="00565550" w:rsidRDefault="00F65CB6"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r>
              <w:t>53.5</w:t>
            </w:r>
          </w:p>
        </w:tc>
        <w:tc>
          <w:tcPr>
            <w:tcW w:w="602" w:type="pct"/>
            <w:noWrap/>
            <w:hideMark/>
          </w:tcPr>
          <w:p w:rsidR="00565550" w:rsidRPr="00565550" w:rsidRDefault="00F65CB6"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r>
              <w:t>57.5</w:t>
            </w:r>
          </w:p>
        </w:tc>
        <w:tc>
          <w:tcPr>
            <w:tcW w:w="602" w:type="pct"/>
            <w:noWrap/>
            <w:hideMark/>
          </w:tcPr>
          <w:p w:rsidR="00565550" w:rsidRPr="00565550" w:rsidRDefault="00F65CB6"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r>
              <w:t>49.2</w:t>
            </w:r>
          </w:p>
        </w:tc>
        <w:tc>
          <w:tcPr>
            <w:tcW w:w="602" w:type="pct"/>
            <w:noWrap/>
            <w:hideMark/>
          </w:tcPr>
          <w:p w:rsidR="00565550" w:rsidRPr="00565550" w:rsidRDefault="00F65CB6"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r>
              <w:t>45.0</w:t>
            </w:r>
          </w:p>
        </w:tc>
        <w:tc>
          <w:tcPr>
            <w:tcW w:w="602" w:type="pct"/>
            <w:noWrap/>
            <w:hideMark/>
          </w:tcPr>
          <w:p w:rsidR="00565550" w:rsidRPr="00565550" w:rsidRDefault="00F65CB6"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r>
              <w:t>66.6</w:t>
            </w:r>
          </w:p>
        </w:tc>
      </w:tr>
      <w:tr w:rsidR="00565550" w:rsidRPr="00565550" w:rsidTr="00565550">
        <w:trPr>
          <w:trHeight w:val="221"/>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565550" w:rsidRDefault="00565550" w:rsidP="00DB1571">
            <w:pPr>
              <w:pStyle w:val="AERtabletextleft"/>
              <w:keepNext/>
              <w:rPr>
                <w:rFonts w:ascii="Times New Roman" w:hAnsi="Times New Roman"/>
              </w:rPr>
            </w:pPr>
            <w:r w:rsidRPr="00565550">
              <w:t>Inflation indexation on opening RAB</w:t>
            </w:r>
          </w:p>
        </w:tc>
        <w:tc>
          <w:tcPr>
            <w:tcW w:w="602" w:type="pct"/>
            <w:noWrap/>
            <w:hideMark/>
          </w:tcPr>
          <w:p w:rsidR="00565550" w:rsidRPr="00565550" w:rsidRDefault="00F65CB6" w:rsidP="00DB1571">
            <w:pPr>
              <w:pStyle w:val="AERtabletextright"/>
              <w:keepNext/>
              <w:cnfStyle w:val="000000000000" w:firstRow="0" w:lastRow="0" w:firstColumn="0" w:lastColumn="0" w:oddVBand="0" w:evenVBand="0" w:oddHBand="0" w:evenHBand="0" w:firstRowFirstColumn="0" w:firstRowLastColumn="0" w:lastRowFirstColumn="0" w:lastRowLastColumn="0"/>
              <w:rPr>
                <w:rFonts w:ascii="Times New Roman" w:hAnsi="Times New Roman"/>
              </w:rPr>
            </w:pPr>
            <w:r>
              <w:t>9.5</w:t>
            </w:r>
          </w:p>
        </w:tc>
        <w:tc>
          <w:tcPr>
            <w:tcW w:w="602" w:type="pct"/>
            <w:noWrap/>
            <w:hideMark/>
          </w:tcPr>
          <w:p w:rsidR="00565550" w:rsidRPr="00565550" w:rsidRDefault="00F65CB6" w:rsidP="00DB1571">
            <w:pPr>
              <w:pStyle w:val="AERtabletextright"/>
              <w:keepNext/>
              <w:cnfStyle w:val="000000000000" w:firstRow="0" w:lastRow="0" w:firstColumn="0" w:lastColumn="0" w:oddVBand="0" w:evenVBand="0" w:oddHBand="0" w:evenHBand="0" w:firstRowFirstColumn="0" w:firstRowLastColumn="0" w:lastRowFirstColumn="0" w:lastRowLastColumn="0"/>
              <w:rPr>
                <w:rFonts w:ascii="Times New Roman" w:hAnsi="Times New Roman"/>
              </w:rPr>
            </w:pPr>
            <w:r>
              <w:t>15.9</w:t>
            </w:r>
          </w:p>
        </w:tc>
        <w:tc>
          <w:tcPr>
            <w:tcW w:w="602" w:type="pct"/>
            <w:noWrap/>
            <w:hideMark/>
          </w:tcPr>
          <w:p w:rsidR="00565550" w:rsidRPr="00565550" w:rsidRDefault="00F65CB6" w:rsidP="00DB1571">
            <w:pPr>
              <w:pStyle w:val="AERtabletextright"/>
              <w:keepNext/>
              <w:cnfStyle w:val="000000000000" w:firstRow="0" w:lastRow="0" w:firstColumn="0" w:lastColumn="0" w:oddVBand="0" w:evenVBand="0" w:oddHBand="0" w:evenHBand="0" w:firstRowFirstColumn="0" w:firstRowLastColumn="0" w:lastRowFirstColumn="0" w:lastRowLastColumn="0"/>
              <w:rPr>
                <w:rFonts w:ascii="Times New Roman" w:hAnsi="Times New Roman"/>
              </w:rPr>
            </w:pPr>
            <w:r>
              <w:t>20.5</w:t>
            </w:r>
          </w:p>
        </w:tc>
        <w:tc>
          <w:tcPr>
            <w:tcW w:w="602" w:type="pct"/>
            <w:noWrap/>
            <w:hideMark/>
          </w:tcPr>
          <w:p w:rsidR="00565550" w:rsidRPr="00565550" w:rsidRDefault="00F65CB6" w:rsidP="00DB1571">
            <w:pPr>
              <w:pStyle w:val="AERtabletextright"/>
              <w:keepNext/>
              <w:cnfStyle w:val="000000000000" w:firstRow="0" w:lastRow="0" w:firstColumn="0" w:lastColumn="0" w:oddVBand="0" w:evenVBand="0" w:oddHBand="0" w:evenHBand="0" w:firstRowFirstColumn="0" w:firstRowLastColumn="0" w:lastRowFirstColumn="0" w:lastRowLastColumn="0"/>
              <w:rPr>
                <w:rFonts w:ascii="Times New Roman" w:hAnsi="Times New Roman"/>
              </w:rPr>
            </w:pPr>
            <w:r>
              <w:t>11.3</w:t>
            </w:r>
          </w:p>
        </w:tc>
        <w:tc>
          <w:tcPr>
            <w:tcW w:w="602" w:type="pct"/>
            <w:noWrap/>
            <w:hideMark/>
          </w:tcPr>
          <w:p w:rsidR="00565550" w:rsidRPr="00565550" w:rsidRDefault="00F65CB6" w:rsidP="00DB1571">
            <w:pPr>
              <w:pStyle w:val="AERtabletextright"/>
              <w:keepNext/>
              <w:cnfStyle w:val="000000000000" w:firstRow="0" w:lastRow="0" w:firstColumn="0" w:lastColumn="0" w:oddVBand="0" w:evenVBand="0" w:oddHBand="0" w:evenHBand="0" w:firstRowFirstColumn="0" w:firstRowLastColumn="0" w:lastRowFirstColumn="0" w:lastRowLastColumn="0"/>
              <w:rPr>
                <w:rFonts w:ascii="Times New Roman" w:hAnsi="Times New Roman"/>
              </w:rPr>
            </w:pPr>
            <w:r>
              <w:t>16.2</w:t>
            </w:r>
          </w:p>
        </w:tc>
      </w:tr>
      <w:tr w:rsidR="00565550" w:rsidRPr="00565550" w:rsidTr="00565550">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565550" w:rsidRDefault="00565550" w:rsidP="00DB1571">
            <w:pPr>
              <w:pStyle w:val="AERtabletextleft"/>
              <w:keepNext/>
              <w:rPr>
                <w:rFonts w:ascii="Times New Roman" w:hAnsi="Times New Roman"/>
              </w:rPr>
            </w:pPr>
            <w:r w:rsidRPr="00212AFB">
              <w:rPr>
                <w:rStyle w:val="AERtextitalic"/>
              </w:rPr>
              <w:t>Less:</w:t>
            </w:r>
            <w:r w:rsidRPr="00565550">
              <w:t xml:space="preserve"> straight-line depreciation</w:t>
            </w:r>
          </w:p>
        </w:tc>
        <w:tc>
          <w:tcPr>
            <w:tcW w:w="602" w:type="pct"/>
            <w:noWrap/>
            <w:hideMark/>
          </w:tcPr>
          <w:p w:rsidR="00565550" w:rsidRPr="00565550" w:rsidRDefault="00F65CB6"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r>
              <w:t>26.7</w:t>
            </w:r>
          </w:p>
        </w:tc>
        <w:tc>
          <w:tcPr>
            <w:tcW w:w="602" w:type="pct"/>
            <w:noWrap/>
            <w:hideMark/>
          </w:tcPr>
          <w:p w:rsidR="00565550" w:rsidRPr="00565550" w:rsidRDefault="00F65CB6"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r>
              <w:t>29.4</w:t>
            </w:r>
          </w:p>
        </w:tc>
        <w:tc>
          <w:tcPr>
            <w:tcW w:w="602" w:type="pct"/>
            <w:noWrap/>
            <w:hideMark/>
          </w:tcPr>
          <w:p w:rsidR="00565550" w:rsidRPr="00565550" w:rsidRDefault="00F65CB6"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r>
              <w:t>32.4</w:t>
            </w:r>
          </w:p>
        </w:tc>
        <w:tc>
          <w:tcPr>
            <w:tcW w:w="602" w:type="pct"/>
            <w:noWrap/>
            <w:hideMark/>
          </w:tcPr>
          <w:p w:rsidR="00565550" w:rsidRPr="00565550" w:rsidRDefault="00F65CB6"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r>
              <w:t>35.2</w:t>
            </w:r>
          </w:p>
        </w:tc>
        <w:tc>
          <w:tcPr>
            <w:tcW w:w="602" w:type="pct"/>
            <w:noWrap/>
            <w:hideMark/>
          </w:tcPr>
          <w:p w:rsidR="00565550" w:rsidRPr="00565550" w:rsidRDefault="00F65CB6"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r>
              <w:t>38.6</w:t>
            </w:r>
          </w:p>
        </w:tc>
      </w:tr>
      <w:tr w:rsidR="00565550" w:rsidRPr="00E03900" w:rsidTr="00565550">
        <w:trPr>
          <w:trHeight w:val="221"/>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E03900" w:rsidRDefault="00565550">
            <w:pPr>
              <w:pStyle w:val="AERtabletextleft"/>
              <w:rPr>
                <w:rStyle w:val="AERtextbold"/>
                <w:b w:val="0"/>
              </w:rPr>
            </w:pPr>
            <w:r w:rsidRPr="00E03900">
              <w:rPr>
                <w:rStyle w:val="AERtextbold"/>
                <w:b w:val="0"/>
              </w:rPr>
              <w:t>Closing RAB</w:t>
            </w:r>
          </w:p>
        </w:tc>
        <w:tc>
          <w:tcPr>
            <w:tcW w:w="602" w:type="pct"/>
            <w:noWrap/>
            <w:hideMark/>
          </w:tcPr>
          <w:p w:rsidR="00565550" w:rsidRPr="00E03900" w:rsidRDefault="00F65CB6" w:rsidP="00DB157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559.6</w:t>
            </w:r>
          </w:p>
        </w:tc>
        <w:tc>
          <w:tcPr>
            <w:tcW w:w="602" w:type="pct"/>
            <w:noWrap/>
            <w:hideMark/>
          </w:tcPr>
          <w:p w:rsidR="00565550" w:rsidRPr="00E03900" w:rsidRDefault="00F65CB6" w:rsidP="00DB157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603.6</w:t>
            </w:r>
          </w:p>
        </w:tc>
        <w:tc>
          <w:tcPr>
            <w:tcW w:w="602" w:type="pct"/>
            <w:noWrap/>
            <w:hideMark/>
          </w:tcPr>
          <w:p w:rsidR="00565550" w:rsidRPr="00E03900" w:rsidRDefault="00F65CB6" w:rsidP="00DB157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640.9</w:t>
            </w:r>
          </w:p>
        </w:tc>
        <w:tc>
          <w:tcPr>
            <w:tcW w:w="602" w:type="pct"/>
            <w:noWrap/>
            <w:hideMark/>
          </w:tcPr>
          <w:p w:rsidR="00565550" w:rsidRPr="00E03900" w:rsidRDefault="00F65CB6" w:rsidP="00DB157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662.0</w:t>
            </w:r>
          </w:p>
        </w:tc>
        <w:tc>
          <w:tcPr>
            <w:tcW w:w="602" w:type="pct"/>
            <w:noWrap/>
            <w:hideMark/>
          </w:tcPr>
          <w:p w:rsidR="00565550" w:rsidRPr="00E03900" w:rsidRDefault="00F65CB6" w:rsidP="00DB1571">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706.2</w:t>
            </w:r>
          </w:p>
        </w:tc>
      </w:tr>
      <w:tr w:rsidR="00565550" w:rsidRPr="00565550" w:rsidTr="00565550">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989" w:type="pct"/>
            <w:hideMark/>
          </w:tcPr>
          <w:p w:rsidR="00565550" w:rsidRPr="00565550" w:rsidRDefault="00565550" w:rsidP="00DB1571">
            <w:pPr>
              <w:pStyle w:val="AERtabletextleft"/>
              <w:keepNext/>
              <w:rPr>
                <w:rFonts w:ascii="Times New Roman" w:hAnsi="Times New Roman"/>
              </w:rPr>
            </w:pPr>
            <w:r w:rsidRPr="00565550">
              <w:t xml:space="preserve">Difference between estimated and actual capex </w:t>
            </w:r>
            <w:r w:rsidR="00B75BD5">
              <w:t>(1 July 2008 to 30 June 2009)</w:t>
            </w:r>
          </w:p>
        </w:tc>
        <w:tc>
          <w:tcPr>
            <w:tcW w:w="602" w:type="pct"/>
            <w:noWrap/>
            <w:hideMark/>
          </w:tcPr>
          <w:p w:rsidR="00565550" w:rsidRPr="00565550" w:rsidRDefault="00565550"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02" w:type="pct"/>
            <w:noWrap/>
            <w:hideMark/>
          </w:tcPr>
          <w:p w:rsidR="00565550" w:rsidRPr="00565550" w:rsidRDefault="00565550"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02" w:type="pct"/>
            <w:noWrap/>
            <w:hideMark/>
          </w:tcPr>
          <w:p w:rsidR="00565550" w:rsidRPr="00565550" w:rsidRDefault="00565550"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02" w:type="pct"/>
            <w:noWrap/>
            <w:hideMark/>
          </w:tcPr>
          <w:p w:rsidR="00565550" w:rsidRPr="00565550" w:rsidRDefault="00565550"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02" w:type="pct"/>
            <w:noWrap/>
            <w:hideMark/>
          </w:tcPr>
          <w:p w:rsidR="00565550" w:rsidRPr="00565550" w:rsidRDefault="00E03900" w:rsidP="00DB1571">
            <w:pPr>
              <w:pStyle w:val="AERtabletextright"/>
              <w:keepNext/>
              <w:cnfStyle w:val="000000010000" w:firstRow="0" w:lastRow="0" w:firstColumn="0" w:lastColumn="0" w:oddVBand="0" w:evenVBand="0" w:oddHBand="0" w:evenHBand="1" w:firstRowFirstColumn="0" w:firstRowLastColumn="0" w:lastRowFirstColumn="0" w:lastRowLastColumn="0"/>
              <w:rPr>
                <w:rFonts w:ascii="Times New Roman" w:hAnsi="Times New Roman"/>
              </w:rPr>
            </w:pPr>
            <w:r>
              <w:t>–</w:t>
            </w:r>
            <w:r w:rsidR="00F65CB6">
              <w:t>7.0</w:t>
            </w:r>
          </w:p>
        </w:tc>
      </w:tr>
      <w:tr w:rsidR="00565550" w:rsidRPr="00565550" w:rsidTr="00565550">
        <w:trPr>
          <w:trHeight w:val="221"/>
        </w:trPr>
        <w:tc>
          <w:tcPr>
            <w:cnfStyle w:val="001000000000" w:firstRow="0" w:lastRow="0" w:firstColumn="1" w:lastColumn="0" w:oddVBand="0" w:evenVBand="0" w:oddHBand="0" w:evenHBand="0" w:firstRowFirstColumn="0" w:firstRowLastColumn="0" w:lastRowFirstColumn="0" w:lastRowLastColumn="0"/>
            <w:tcW w:w="1989" w:type="pct"/>
            <w:hideMark/>
          </w:tcPr>
          <w:p w:rsidR="00565550" w:rsidRPr="00565550" w:rsidRDefault="00565550" w:rsidP="00DB1571">
            <w:pPr>
              <w:pStyle w:val="AERtabletextleft"/>
              <w:keepNext/>
              <w:rPr>
                <w:rFonts w:ascii="Times New Roman" w:hAnsi="Times New Roman"/>
              </w:rPr>
            </w:pPr>
            <w:r w:rsidRPr="00565550">
              <w:t>Return on difference for 2008–09 capex</w:t>
            </w:r>
          </w:p>
        </w:tc>
        <w:tc>
          <w:tcPr>
            <w:tcW w:w="602" w:type="pct"/>
            <w:noWrap/>
            <w:hideMark/>
          </w:tcPr>
          <w:p w:rsidR="00565550" w:rsidRPr="00565550" w:rsidRDefault="00565550" w:rsidP="00DB1571">
            <w:pPr>
              <w:pStyle w:val="AERtabletextright"/>
              <w:keepN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602" w:type="pct"/>
            <w:noWrap/>
            <w:hideMark/>
          </w:tcPr>
          <w:p w:rsidR="00565550" w:rsidRPr="00565550" w:rsidRDefault="00565550" w:rsidP="00DB1571">
            <w:pPr>
              <w:pStyle w:val="AERtabletextright"/>
              <w:keepN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602" w:type="pct"/>
            <w:noWrap/>
            <w:hideMark/>
          </w:tcPr>
          <w:p w:rsidR="00565550" w:rsidRPr="00565550" w:rsidRDefault="00565550" w:rsidP="00DB1571">
            <w:pPr>
              <w:pStyle w:val="AERtabletextright"/>
              <w:keepN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602" w:type="pct"/>
            <w:noWrap/>
            <w:hideMark/>
          </w:tcPr>
          <w:p w:rsidR="00565550" w:rsidRPr="00565550" w:rsidRDefault="00565550" w:rsidP="00DB1571">
            <w:pPr>
              <w:pStyle w:val="AERtabletextright"/>
              <w:keepNext/>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602" w:type="pct"/>
            <w:noWrap/>
            <w:hideMark/>
          </w:tcPr>
          <w:p w:rsidR="00565550" w:rsidRPr="00565550" w:rsidRDefault="00E03900" w:rsidP="00DB1571">
            <w:pPr>
              <w:pStyle w:val="AERtabletextright"/>
              <w:keepNext/>
              <w:cnfStyle w:val="000000000000" w:firstRow="0" w:lastRow="0" w:firstColumn="0" w:lastColumn="0" w:oddVBand="0" w:evenVBand="0" w:oddHBand="0" w:evenHBand="0" w:firstRowFirstColumn="0" w:firstRowLastColumn="0" w:lastRowFirstColumn="0" w:lastRowLastColumn="0"/>
              <w:rPr>
                <w:rFonts w:ascii="Times New Roman" w:hAnsi="Times New Roman"/>
              </w:rPr>
            </w:pPr>
            <w:r>
              <w:t>–</w:t>
            </w:r>
            <w:r w:rsidR="00F65CB6">
              <w:t>3.6</w:t>
            </w:r>
          </w:p>
        </w:tc>
      </w:tr>
      <w:tr w:rsidR="00565550" w:rsidRPr="008A0472" w:rsidTr="00565550">
        <w:trPr>
          <w:cnfStyle w:val="000000010000" w:firstRow="0" w:lastRow="0" w:firstColumn="0" w:lastColumn="0" w:oddVBand="0" w:evenVBand="0" w:oddHBand="0" w:evenHBand="1"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8A0472" w:rsidRDefault="00F65CB6" w:rsidP="00DB1571">
            <w:pPr>
              <w:pStyle w:val="AERtabletextleft"/>
              <w:keepNext/>
              <w:rPr>
                <w:rStyle w:val="AERtextbold"/>
              </w:rPr>
            </w:pPr>
            <w:r>
              <w:rPr>
                <w:rStyle w:val="AERtextbold"/>
              </w:rPr>
              <w:t>Opening</w:t>
            </w:r>
            <w:r w:rsidR="00565550" w:rsidRPr="008A0472">
              <w:rPr>
                <w:rStyle w:val="AERtextbold"/>
              </w:rPr>
              <w:t xml:space="preserve"> RAB as at </w:t>
            </w:r>
            <w:r>
              <w:rPr>
                <w:rStyle w:val="AERtextbold"/>
              </w:rPr>
              <w:t>1</w:t>
            </w:r>
            <w:r w:rsidR="00565550" w:rsidRPr="008A0472">
              <w:rPr>
                <w:rStyle w:val="AERtextbold"/>
              </w:rPr>
              <w:t xml:space="preserve"> Ju</w:t>
            </w:r>
            <w:r>
              <w:rPr>
                <w:rStyle w:val="AERtextbold"/>
              </w:rPr>
              <w:t>ly</w:t>
            </w:r>
            <w:r w:rsidR="00565550" w:rsidRPr="008A0472">
              <w:rPr>
                <w:rStyle w:val="AERtextbold"/>
              </w:rPr>
              <w:t xml:space="preserve"> 2014</w:t>
            </w:r>
          </w:p>
        </w:tc>
        <w:tc>
          <w:tcPr>
            <w:tcW w:w="602" w:type="pct"/>
            <w:noWrap/>
            <w:hideMark/>
          </w:tcPr>
          <w:p w:rsidR="00565550" w:rsidRPr="008A0472" w:rsidRDefault="00565550" w:rsidP="00DB1571">
            <w:pPr>
              <w:pStyle w:val="AERtabletextright"/>
              <w:keepNex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565550" w:rsidRPr="008A0472" w:rsidRDefault="00565550" w:rsidP="00DB1571">
            <w:pPr>
              <w:pStyle w:val="AERtabletextright"/>
              <w:keepNex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565550" w:rsidRPr="008A0472" w:rsidRDefault="00565550" w:rsidP="00DB1571">
            <w:pPr>
              <w:pStyle w:val="AERtabletextright"/>
              <w:keepNex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565550" w:rsidRPr="008A0472" w:rsidRDefault="00565550" w:rsidP="00DB1571">
            <w:pPr>
              <w:pStyle w:val="AERtabletextright"/>
              <w:keepNex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565550" w:rsidRPr="008A0472" w:rsidRDefault="00F65CB6" w:rsidP="00DB1571">
            <w:pPr>
              <w:pStyle w:val="AERtabletextright"/>
              <w:keepNex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695.6</w:t>
            </w:r>
          </w:p>
        </w:tc>
      </w:tr>
    </w:tbl>
    <w:p w:rsidR="00565550" w:rsidRDefault="00284F1D" w:rsidP="00DB1571">
      <w:pPr>
        <w:pStyle w:val="AERtablesource"/>
        <w:keepNext/>
      </w:pPr>
      <w:r>
        <w:t>Source:</w:t>
      </w:r>
      <w:r>
        <w:tab/>
      </w:r>
      <w:r w:rsidR="008A0472">
        <w:t>AER analysis</w:t>
      </w:r>
      <w:r w:rsidR="00B75BD5">
        <w:t>.</w:t>
      </w:r>
    </w:p>
    <w:p w:rsidR="008A0472" w:rsidRPr="008A0472" w:rsidRDefault="008A0472" w:rsidP="008A0472">
      <w:pPr>
        <w:pStyle w:val="AERtablesource"/>
      </w:pPr>
      <w:r w:rsidRPr="008A0472">
        <w:t>(a):</w:t>
      </w:r>
      <w:r w:rsidRPr="008A0472">
        <w:tab/>
        <w:t xml:space="preserve">Based on estimated capex. </w:t>
      </w:r>
      <w:r w:rsidR="00B75BD5">
        <w:t>We will update the RAB</w:t>
      </w:r>
      <w:r w:rsidR="00B75BD5" w:rsidRPr="002B4DA4">
        <w:t xml:space="preserve"> roll forward </w:t>
      </w:r>
      <w:r w:rsidR="00B75BD5">
        <w:t>in the final decision</w:t>
      </w:r>
      <w:r w:rsidR="00B75BD5" w:rsidRPr="002B4DA4">
        <w:t>.</w:t>
      </w:r>
      <w:r w:rsidR="00B75BD5" w:rsidRPr="008A0472" w:rsidDel="00B75BD5">
        <w:t xml:space="preserve"> </w:t>
      </w:r>
      <w:r w:rsidRPr="008A0472">
        <w:t>(b):</w:t>
      </w:r>
      <w:r w:rsidRPr="008A0472">
        <w:tab/>
        <w:t>Net of disposals and capital contributions</w:t>
      </w:r>
      <w:r w:rsidR="00B75BD5">
        <w:t>, and adjusted for CPI</w:t>
      </w:r>
      <w:r w:rsidRPr="008A0472">
        <w:t>.</w:t>
      </w:r>
    </w:p>
    <w:p w:rsidR="00284F1D" w:rsidRDefault="00284F1D" w:rsidP="00284F1D">
      <w:pPr>
        <w:pStyle w:val="Caption"/>
      </w:pPr>
      <w:bookmarkStart w:id="11" w:name="_Ref395533869"/>
      <w:r>
        <w:t xml:space="preserve">Table </w:t>
      </w:r>
      <w:fldSimple w:instr=" STYLEREF 1 \s ">
        <w:r w:rsidR="00675079">
          <w:rPr>
            <w:noProof/>
          </w:rPr>
          <w:t>2</w:t>
        </w:r>
      </w:fldSimple>
      <w:r w:rsidR="009D444F">
        <w:t>.</w:t>
      </w:r>
      <w:fldSimple w:instr=" SEQ Table \* ARABIC \s 1 ">
        <w:r w:rsidR="00675079">
          <w:rPr>
            <w:noProof/>
          </w:rPr>
          <w:t>2</w:t>
        </w:r>
      </w:fldSimple>
      <w:bookmarkEnd w:id="11"/>
      <w:r>
        <w:tab/>
      </w:r>
      <w:r w:rsidRPr="00284F1D">
        <w:t>AER's draft decision on A</w:t>
      </w:r>
      <w:r w:rsidR="00FD7811">
        <w:t>ctewAGL</w:t>
      </w:r>
      <w:r w:rsidRPr="00284F1D">
        <w:t xml:space="preserve">'s RAB for the 2009–14 regulatory control period – </w:t>
      </w:r>
      <w:r w:rsidR="00B75BD5">
        <w:t>t</w:t>
      </w:r>
      <w:r>
        <w:t xml:space="preserve">ransmission </w:t>
      </w:r>
      <w:r w:rsidRPr="00284F1D">
        <w:t>($ million, nominal)</w:t>
      </w:r>
    </w:p>
    <w:tbl>
      <w:tblPr>
        <w:tblStyle w:val="AERtable-numbers"/>
        <w:tblW w:w="5000" w:type="pct"/>
        <w:tblLook w:val="04A0" w:firstRow="1" w:lastRow="0" w:firstColumn="1" w:lastColumn="0" w:noHBand="0" w:noVBand="1"/>
      </w:tblPr>
      <w:tblGrid>
        <w:gridCol w:w="3677"/>
        <w:gridCol w:w="1113"/>
        <w:gridCol w:w="1113"/>
        <w:gridCol w:w="1113"/>
        <w:gridCol w:w="1113"/>
        <w:gridCol w:w="1113"/>
      </w:tblGrid>
      <w:tr w:rsidR="00565550" w:rsidRPr="00565550" w:rsidTr="00284F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565550" w:rsidRDefault="00565550" w:rsidP="00565550">
            <w:pPr>
              <w:pStyle w:val="AERtabletextleft"/>
            </w:pPr>
            <w:r w:rsidRPr="00565550">
              <w:t> </w:t>
            </w:r>
          </w:p>
        </w:tc>
        <w:tc>
          <w:tcPr>
            <w:tcW w:w="602"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2009–10</w:t>
            </w:r>
          </w:p>
        </w:tc>
        <w:tc>
          <w:tcPr>
            <w:tcW w:w="602"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2010–11</w:t>
            </w:r>
          </w:p>
        </w:tc>
        <w:tc>
          <w:tcPr>
            <w:tcW w:w="602"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2011–12</w:t>
            </w:r>
          </w:p>
        </w:tc>
        <w:tc>
          <w:tcPr>
            <w:tcW w:w="602"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2012–13</w:t>
            </w:r>
          </w:p>
        </w:tc>
        <w:tc>
          <w:tcPr>
            <w:tcW w:w="602" w:type="pct"/>
            <w:noWrap/>
            <w:hideMark/>
          </w:tcPr>
          <w:p w:rsidR="00565550" w:rsidRPr="00565550" w:rsidRDefault="00565550" w:rsidP="00565550">
            <w:pPr>
              <w:pStyle w:val="AERtabletextright"/>
              <w:cnfStyle w:val="100000000000" w:firstRow="1" w:lastRow="0" w:firstColumn="0" w:lastColumn="0" w:oddVBand="0" w:evenVBand="0" w:oddHBand="0" w:evenHBand="0" w:firstRowFirstColumn="0" w:firstRowLastColumn="0" w:lastRowFirstColumn="0" w:lastRowLastColumn="0"/>
            </w:pPr>
            <w:r w:rsidRPr="00565550">
              <w:t>2013–14</w:t>
            </w:r>
            <w:r w:rsidR="008A0472" w:rsidRPr="008A0472">
              <w:rPr>
                <w:rStyle w:val="AERsuperscript"/>
              </w:rPr>
              <w:t>a</w:t>
            </w:r>
          </w:p>
        </w:tc>
      </w:tr>
      <w:tr w:rsidR="00565550" w:rsidRPr="00E03900" w:rsidTr="00284F1D">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E03900" w:rsidRDefault="00565550" w:rsidP="00E03900">
            <w:pPr>
              <w:pStyle w:val="AERtabletextleft"/>
              <w:rPr>
                <w:rStyle w:val="AERtextbold"/>
                <w:b w:val="0"/>
              </w:rPr>
            </w:pPr>
            <w:r w:rsidRPr="00E03900">
              <w:rPr>
                <w:rStyle w:val="AERtextbold"/>
                <w:b w:val="0"/>
              </w:rPr>
              <w:t>Opening RAB</w:t>
            </w:r>
          </w:p>
        </w:tc>
        <w:tc>
          <w:tcPr>
            <w:tcW w:w="602" w:type="pct"/>
            <w:noWrap/>
            <w:hideMark/>
          </w:tcPr>
          <w:p w:rsidR="00565550" w:rsidRPr="00E03900" w:rsidRDefault="00F65CB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75.4</w:t>
            </w:r>
          </w:p>
        </w:tc>
        <w:tc>
          <w:tcPr>
            <w:tcW w:w="602" w:type="pct"/>
            <w:noWrap/>
            <w:hideMark/>
          </w:tcPr>
          <w:p w:rsidR="00565550" w:rsidRPr="00E03900" w:rsidRDefault="00F65CB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86.0</w:t>
            </w:r>
          </w:p>
        </w:tc>
        <w:tc>
          <w:tcPr>
            <w:tcW w:w="602" w:type="pct"/>
            <w:noWrap/>
            <w:hideMark/>
          </w:tcPr>
          <w:p w:rsidR="00565550" w:rsidRPr="00E03900" w:rsidRDefault="00F65CB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99.2</w:t>
            </w:r>
          </w:p>
        </w:tc>
        <w:tc>
          <w:tcPr>
            <w:tcW w:w="602" w:type="pct"/>
            <w:noWrap/>
            <w:hideMark/>
          </w:tcPr>
          <w:p w:rsidR="00565550" w:rsidRPr="00E03900" w:rsidRDefault="00F65CB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117.4</w:t>
            </w:r>
          </w:p>
        </w:tc>
        <w:tc>
          <w:tcPr>
            <w:tcW w:w="602" w:type="pct"/>
            <w:noWrap/>
            <w:hideMark/>
          </w:tcPr>
          <w:p w:rsidR="00565550" w:rsidRPr="00E03900" w:rsidRDefault="00F65CB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136.3</w:t>
            </w:r>
          </w:p>
        </w:tc>
      </w:tr>
      <w:tr w:rsidR="00565550" w:rsidRPr="00565550" w:rsidTr="00284F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565550" w:rsidRDefault="008A0472" w:rsidP="00565550">
            <w:pPr>
              <w:pStyle w:val="AERtabletextleft"/>
            </w:pPr>
            <w:r>
              <w:t>Capital expenditure</w:t>
            </w:r>
            <w:r w:rsidRPr="008A0472">
              <w:rPr>
                <w:rStyle w:val="AERsuperscript"/>
              </w:rPr>
              <w:t>b</w:t>
            </w:r>
          </w:p>
        </w:tc>
        <w:tc>
          <w:tcPr>
            <w:tcW w:w="602" w:type="pct"/>
            <w:noWrap/>
            <w:hideMark/>
          </w:tcPr>
          <w:p w:rsidR="00565550" w:rsidRPr="00565550" w:rsidRDefault="00F65CB6" w:rsidP="00565550">
            <w:pPr>
              <w:pStyle w:val="AERtabletextright"/>
              <w:cnfStyle w:val="000000010000" w:firstRow="0" w:lastRow="0" w:firstColumn="0" w:lastColumn="0" w:oddVBand="0" w:evenVBand="0" w:oddHBand="0" w:evenHBand="1" w:firstRowFirstColumn="0" w:firstRowLastColumn="0" w:lastRowFirstColumn="0" w:lastRowLastColumn="0"/>
            </w:pPr>
            <w:r>
              <w:t>13.1</w:t>
            </w:r>
          </w:p>
        </w:tc>
        <w:tc>
          <w:tcPr>
            <w:tcW w:w="602" w:type="pct"/>
            <w:noWrap/>
            <w:hideMark/>
          </w:tcPr>
          <w:p w:rsidR="00565550" w:rsidRPr="00565550" w:rsidRDefault="00F65CB6" w:rsidP="00565550">
            <w:pPr>
              <w:pStyle w:val="AERtabletextright"/>
              <w:cnfStyle w:val="000000010000" w:firstRow="0" w:lastRow="0" w:firstColumn="0" w:lastColumn="0" w:oddVBand="0" w:evenVBand="0" w:oddHBand="0" w:evenHBand="1" w:firstRowFirstColumn="0" w:firstRowLastColumn="0" w:lastRowFirstColumn="0" w:lastRowLastColumn="0"/>
            </w:pPr>
            <w:r>
              <w:t>15.1</w:t>
            </w:r>
          </w:p>
        </w:tc>
        <w:tc>
          <w:tcPr>
            <w:tcW w:w="602" w:type="pct"/>
            <w:noWrap/>
            <w:hideMark/>
          </w:tcPr>
          <w:p w:rsidR="00565550" w:rsidRPr="00565550" w:rsidRDefault="00F65CB6" w:rsidP="00565550">
            <w:pPr>
              <w:pStyle w:val="AERtabletextright"/>
              <w:cnfStyle w:val="000000010000" w:firstRow="0" w:lastRow="0" w:firstColumn="0" w:lastColumn="0" w:oddVBand="0" w:evenVBand="0" w:oddHBand="0" w:evenHBand="1" w:firstRowFirstColumn="0" w:firstRowLastColumn="0" w:lastRowFirstColumn="0" w:lastRowLastColumn="0"/>
            </w:pPr>
            <w:r>
              <w:t>19.9</w:t>
            </w:r>
          </w:p>
        </w:tc>
        <w:tc>
          <w:tcPr>
            <w:tcW w:w="602" w:type="pct"/>
            <w:noWrap/>
            <w:hideMark/>
          </w:tcPr>
          <w:p w:rsidR="00565550" w:rsidRPr="00565550" w:rsidRDefault="00F65CB6" w:rsidP="00565550">
            <w:pPr>
              <w:pStyle w:val="AERtabletextright"/>
              <w:cnfStyle w:val="000000010000" w:firstRow="0" w:lastRow="0" w:firstColumn="0" w:lastColumn="0" w:oddVBand="0" w:evenVBand="0" w:oddHBand="0" w:evenHBand="1" w:firstRowFirstColumn="0" w:firstRowLastColumn="0" w:lastRowFirstColumn="0" w:lastRowLastColumn="0"/>
            </w:pPr>
            <w:r>
              <w:t>22.7</w:t>
            </w:r>
          </w:p>
        </w:tc>
        <w:tc>
          <w:tcPr>
            <w:tcW w:w="602" w:type="pct"/>
            <w:noWrap/>
            <w:hideMark/>
          </w:tcPr>
          <w:p w:rsidR="00565550" w:rsidRPr="00565550" w:rsidRDefault="00F65CB6" w:rsidP="00565550">
            <w:pPr>
              <w:pStyle w:val="AERtabletextright"/>
              <w:cnfStyle w:val="000000010000" w:firstRow="0" w:lastRow="0" w:firstColumn="0" w:lastColumn="0" w:oddVBand="0" w:evenVBand="0" w:oddHBand="0" w:evenHBand="1" w:firstRowFirstColumn="0" w:firstRowLastColumn="0" w:lastRowFirstColumn="0" w:lastRowLastColumn="0"/>
            </w:pPr>
            <w:r>
              <w:t>20.8</w:t>
            </w:r>
          </w:p>
        </w:tc>
      </w:tr>
      <w:tr w:rsidR="00565550" w:rsidRPr="00565550" w:rsidTr="00284F1D">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565550" w:rsidRDefault="00565550" w:rsidP="00565550">
            <w:pPr>
              <w:pStyle w:val="AERtabletextleft"/>
            </w:pPr>
            <w:r w:rsidRPr="00565550">
              <w:t>Inflation indexation on opening RAB</w:t>
            </w:r>
          </w:p>
        </w:tc>
        <w:tc>
          <w:tcPr>
            <w:tcW w:w="602" w:type="pct"/>
            <w:noWrap/>
            <w:hideMark/>
          </w:tcPr>
          <w:p w:rsidR="00565550" w:rsidRPr="00565550" w:rsidRDefault="00F65CB6" w:rsidP="00565550">
            <w:pPr>
              <w:pStyle w:val="AERtabletextright"/>
              <w:cnfStyle w:val="000000000000" w:firstRow="0" w:lastRow="0" w:firstColumn="0" w:lastColumn="0" w:oddVBand="0" w:evenVBand="0" w:oddHBand="0" w:evenHBand="0" w:firstRowFirstColumn="0" w:firstRowLastColumn="0" w:lastRowFirstColumn="0" w:lastRowLastColumn="0"/>
            </w:pPr>
            <w:r>
              <w:t>1.4</w:t>
            </w:r>
          </w:p>
        </w:tc>
        <w:tc>
          <w:tcPr>
            <w:tcW w:w="602" w:type="pct"/>
            <w:noWrap/>
            <w:hideMark/>
          </w:tcPr>
          <w:p w:rsidR="00565550" w:rsidRPr="00565550" w:rsidRDefault="00F65CB6" w:rsidP="00565550">
            <w:pPr>
              <w:pStyle w:val="AERtabletextright"/>
              <w:cnfStyle w:val="000000000000" w:firstRow="0" w:lastRow="0" w:firstColumn="0" w:lastColumn="0" w:oddVBand="0" w:evenVBand="0" w:oddHBand="0" w:evenHBand="0" w:firstRowFirstColumn="0" w:firstRowLastColumn="0" w:lastRowFirstColumn="0" w:lastRowLastColumn="0"/>
            </w:pPr>
            <w:r>
              <w:t>2.4</w:t>
            </w:r>
          </w:p>
        </w:tc>
        <w:tc>
          <w:tcPr>
            <w:tcW w:w="602" w:type="pct"/>
            <w:noWrap/>
            <w:hideMark/>
          </w:tcPr>
          <w:p w:rsidR="00565550" w:rsidRPr="00565550" w:rsidRDefault="00F65CB6" w:rsidP="00565550">
            <w:pPr>
              <w:pStyle w:val="AERtabletextright"/>
              <w:cnfStyle w:val="000000000000" w:firstRow="0" w:lastRow="0" w:firstColumn="0" w:lastColumn="0" w:oddVBand="0" w:evenVBand="0" w:oddHBand="0" w:evenHBand="0" w:firstRowFirstColumn="0" w:firstRowLastColumn="0" w:lastRowFirstColumn="0" w:lastRowLastColumn="0"/>
            </w:pPr>
            <w:r>
              <w:t>3.4</w:t>
            </w:r>
          </w:p>
        </w:tc>
        <w:tc>
          <w:tcPr>
            <w:tcW w:w="602" w:type="pct"/>
            <w:noWrap/>
            <w:hideMark/>
          </w:tcPr>
          <w:p w:rsidR="00565550" w:rsidRPr="00565550" w:rsidRDefault="00F65CB6" w:rsidP="00565550">
            <w:pPr>
              <w:pStyle w:val="AERtabletextright"/>
              <w:cnfStyle w:val="000000000000" w:firstRow="0" w:lastRow="0" w:firstColumn="0" w:lastColumn="0" w:oddVBand="0" w:evenVBand="0" w:oddHBand="0" w:evenHBand="0" w:firstRowFirstColumn="0" w:firstRowLastColumn="0" w:lastRowFirstColumn="0" w:lastRowLastColumn="0"/>
            </w:pPr>
            <w:r>
              <w:t>2.1</w:t>
            </w:r>
          </w:p>
        </w:tc>
        <w:tc>
          <w:tcPr>
            <w:tcW w:w="602" w:type="pct"/>
            <w:noWrap/>
            <w:hideMark/>
          </w:tcPr>
          <w:p w:rsidR="00565550" w:rsidRPr="00565550" w:rsidRDefault="00F65CB6" w:rsidP="00565550">
            <w:pPr>
              <w:pStyle w:val="AERtabletextright"/>
              <w:cnfStyle w:val="000000000000" w:firstRow="0" w:lastRow="0" w:firstColumn="0" w:lastColumn="0" w:oddVBand="0" w:evenVBand="0" w:oddHBand="0" w:evenHBand="0" w:firstRowFirstColumn="0" w:firstRowLastColumn="0" w:lastRowFirstColumn="0" w:lastRowLastColumn="0"/>
            </w:pPr>
            <w:r>
              <w:t>3.3</w:t>
            </w:r>
          </w:p>
        </w:tc>
      </w:tr>
      <w:tr w:rsidR="00565550" w:rsidRPr="00565550" w:rsidTr="00284F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565550" w:rsidRDefault="00565550" w:rsidP="00565550">
            <w:pPr>
              <w:pStyle w:val="AERtabletextleft"/>
            </w:pPr>
            <w:r w:rsidRPr="00212AFB">
              <w:rPr>
                <w:rStyle w:val="AERtextitalic"/>
              </w:rPr>
              <w:t>Less:</w:t>
            </w:r>
            <w:r w:rsidRPr="00565550">
              <w:t xml:space="preserve"> straight-line depreciation</w:t>
            </w:r>
          </w:p>
        </w:tc>
        <w:tc>
          <w:tcPr>
            <w:tcW w:w="602" w:type="pct"/>
            <w:noWrap/>
            <w:hideMark/>
          </w:tcPr>
          <w:p w:rsidR="00565550" w:rsidRPr="00565550" w:rsidRDefault="00F65CB6" w:rsidP="00565550">
            <w:pPr>
              <w:pStyle w:val="AERtabletextright"/>
              <w:cnfStyle w:val="000000010000" w:firstRow="0" w:lastRow="0" w:firstColumn="0" w:lastColumn="0" w:oddVBand="0" w:evenVBand="0" w:oddHBand="0" w:evenHBand="1" w:firstRowFirstColumn="0" w:firstRowLastColumn="0" w:lastRowFirstColumn="0" w:lastRowLastColumn="0"/>
            </w:pPr>
            <w:r>
              <w:t>3.9</w:t>
            </w:r>
          </w:p>
        </w:tc>
        <w:tc>
          <w:tcPr>
            <w:tcW w:w="602" w:type="pct"/>
            <w:noWrap/>
            <w:hideMark/>
          </w:tcPr>
          <w:p w:rsidR="00565550" w:rsidRPr="00565550" w:rsidRDefault="00F65CB6" w:rsidP="00565550">
            <w:pPr>
              <w:pStyle w:val="AERtabletextright"/>
              <w:cnfStyle w:val="000000010000" w:firstRow="0" w:lastRow="0" w:firstColumn="0" w:lastColumn="0" w:oddVBand="0" w:evenVBand="0" w:oddHBand="0" w:evenHBand="1" w:firstRowFirstColumn="0" w:firstRowLastColumn="0" w:lastRowFirstColumn="0" w:lastRowLastColumn="0"/>
            </w:pPr>
            <w:r>
              <w:t>4.4</w:t>
            </w:r>
          </w:p>
        </w:tc>
        <w:tc>
          <w:tcPr>
            <w:tcW w:w="602" w:type="pct"/>
            <w:noWrap/>
            <w:hideMark/>
          </w:tcPr>
          <w:p w:rsidR="00565550" w:rsidRPr="00565550" w:rsidRDefault="00F65CB6" w:rsidP="00565550">
            <w:pPr>
              <w:pStyle w:val="AERtabletextright"/>
              <w:cnfStyle w:val="000000010000" w:firstRow="0" w:lastRow="0" w:firstColumn="0" w:lastColumn="0" w:oddVBand="0" w:evenVBand="0" w:oddHBand="0" w:evenHBand="1" w:firstRowFirstColumn="0" w:firstRowLastColumn="0" w:lastRowFirstColumn="0" w:lastRowLastColumn="0"/>
            </w:pPr>
            <w:r>
              <w:t>5.0</w:t>
            </w:r>
          </w:p>
        </w:tc>
        <w:tc>
          <w:tcPr>
            <w:tcW w:w="602" w:type="pct"/>
            <w:noWrap/>
            <w:hideMark/>
          </w:tcPr>
          <w:p w:rsidR="00565550" w:rsidRPr="00565550" w:rsidRDefault="00F65CB6" w:rsidP="00565550">
            <w:pPr>
              <w:pStyle w:val="AERtabletextright"/>
              <w:cnfStyle w:val="000000010000" w:firstRow="0" w:lastRow="0" w:firstColumn="0" w:lastColumn="0" w:oddVBand="0" w:evenVBand="0" w:oddHBand="0" w:evenHBand="1" w:firstRowFirstColumn="0" w:firstRowLastColumn="0" w:lastRowFirstColumn="0" w:lastRowLastColumn="0"/>
            </w:pPr>
            <w:r>
              <w:t>5.8</w:t>
            </w:r>
          </w:p>
        </w:tc>
        <w:tc>
          <w:tcPr>
            <w:tcW w:w="602" w:type="pct"/>
            <w:noWrap/>
            <w:hideMark/>
          </w:tcPr>
          <w:p w:rsidR="00565550" w:rsidRPr="00565550" w:rsidRDefault="00F65CB6" w:rsidP="00565550">
            <w:pPr>
              <w:pStyle w:val="AERtabletextright"/>
              <w:cnfStyle w:val="000000010000" w:firstRow="0" w:lastRow="0" w:firstColumn="0" w:lastColumn="0" w:oddVBand="0" w:evenVBand="0" w:oddHBand="0" w:evenHBand="1" w:firstRowFirstColumn="0" w:firstRowLastColumn="0" w:lastRowFirstColumn="0" w:lastRowLastColumn="0"/>
            </w:pPr>
            <w:r>
              <w:t>6.8</w:t>
            </w:r>
          </w:p>
        </w:tc>
      </w:tr>
      <w:tr w:rsidR="00565550" w:rsidRPr="00E03900" w:rsidTr="00284F1D">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E03900" w:rsidRDefault="00565550" w:rsidP="00E03900">
            <w:pPr>
              <w:pStyle w:val="AERtabletextleft"/>
              <w:rPr>
                <w:rStyle w:val="AERtextbold"/>
                <w:b w:val="0"/>
              </w:rPr>
            </w:pPr>
            <w:r w:rsidRPr="00E03900">
              <w:rPr>
                <w:rStyle w:val="AERtextbold"/>
                <w:b w:val="0"/>
              </w:rPr>
              <w:t>Closing RAB</w:t>
            </w:r>
          </w:p>
        </w:tc>
        <w:tc>
          <w:tcPr>
            <w:tcW w:w="602" w:type="pct"/>
            <w:noWrap/>
            <w:hideMark/>
          </w:tcPr>
          <w:p w:rsidR="00565550" w:rsidRPr="00E03900" w:rsidRDefault="00F65CB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86.0</w:t>
            </w:r>
          </w:p>
        </w:tc>
        <w:tc>
          <w:tcPr>
            <w:tcW w:w="602" w:type="pct"/>
            <w:noWrap/>
            <w:hideMark/>
          </w:tcPr>
          <w:p w:rsidR="00565550" w:rsidRPr="00E03900" w:rsidRDefault="00F65CB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99.2</w:t>
            </w:r>
          </w:p>
        </w:tc>
        <w:tc>
          <w:tcPr>
            <w:tcW w:w="602" w:type="pct"/>
            <w:noWrap/>
            <w:hideMark/>
          </w:tcPr>
          <w:p w:rsidR="00565550" w:rsidRPr="00E03900" w:rsidRDefault="00F65CB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117.4</w:t>
            </w:r>
          </w:p>
        </w:tc>
        <w:tc>
          <w:tcPr>
            <w:tcW w:w="602" w:type="pct"/>
            <w:noWrap/>
            <w:hideMark/>
          </w:tcPr>
          <w:p w:rsidR="00565550" w:rsidRPr="00E03900" w:rsidRDefault="00F65CB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136.3</w:t>
            </w:r>
          </w:p>
        </w:tc>
        <w:tc>
          <w:tcPr>
            <w:tcW w:w="602" w:type="pct"/>
            <w:noWrap/>
            <w:hideMark/>
          </w:tcPr>
          <w:p w:rsidR="00565550" w:rsidRPr="00E03900" w:rsidRDefault="00F65CB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153.7</w:t>
            </w:r>
          </w:p>
        </w:tc>
      </w:tr>
      <w:tr w:rsidR="00565550" w:rsidRPr="00565550" w:rsidTr="00284F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hideMark/>
          </w:tcPr>
          <w:p w:rsidR="00565550" w:rsidRPr="00565550" w:rsidRDefault="00EF35B6" w:rsidP="00B75BD5">
            <w:pPr>
              <w:pStyle w:val="AERtabletextleft"/>
            </w:pPr>
            <w:r w:rsidRPr="00565550">
              <w:t xml:space="preserve">Difference between estimated and actual </w:t>
            </w:r>
            <w:r w:rsidRPr="00EF35B6">
              <w:t>capex</w:t>
            </w:r>
            <w:r w:rsidR="00B75BD5">
              <w:t xml:space="preserve"> (1 July 2008 to 30 June 2009)</w:t>
            </w:r>
          </w:p>
        </w:tc>
        <w:tc>
          <w:tcPr>
            <w:tcW w:w="602" w:type="pct"/>
            <w:noWrap/>
            <w:hideMark/>
          </w:tcPr>
          <w:p w:rsidR="00565550" w:rsidRPr="00565550" w:rsidRDefault="00565550" w:rsidP="00EF35B6">
            <w:pPr>
              <w:pStyle w:val="AERtabletextrigh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02" w:type="pct"/>
            <w:noWrap/>
            <w:hideMark/>
          </w:tcPr>
          <w:p w:rsidR="00565550" w:rsidRPr="00565550" w:rsidRDefault="00565550" w:rsidP="00565550">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noWrap/>
            <w:hideMark/>
          </w:tcPr>
          <w:p w:rsidR="00565550" w:rsidRPr="00565550" w:rsidRDefault="00565550" w:rsidP="00565550">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noWrap/>
            <w:hideMark/>
          </w:tcPr>
          <w:p w:rsidR="00565550" w:rsidRPr="00565550" w:rsidRDefault="00565550" w:rsidP="00565550">
            <w:pPr>
              <w:pStyle w:val="AERtabletextright"/>
              <w:cnfStyle w:val="000000010000" w:firstRow="0" w:lastRow="0" w:firstColumn="0" w:lastColumn="0" w:oddVBand="0" w:evenVBand="0" w:oddHBand="0" w:evenHBand="1" w:firstRowFirstColumn="0" w:firstRowLastColumn="0" w:lastRowFirstColumn="0" w:lastRowLastColumn="0"/>
            </w:pPr>
          </w:p>
        </w:tc>
        <w:tc>
          <w:tcPr>
            <w:tcW w:w="602" w:type="pct"/>
            <w:noWrap/>
            <w:hideMark/>
          </w:tcPr>
          <w:p w:rsidR="00565550" w:rsidRPr="00565550" w:rsidRDefault="00F65CB6" w:rsidP="00565550">
            <w:pPr>
              <w:pStyle w:val="AERtabletextright"/>
              <w:cnfStyle w:val="000000010000" w:firstRow="0" w:lastRow="0" w:firstColumn="0" w:lastColumn="0" w:oddVBand="0" w:evenVBand="0" w:oddHBand="0" w:evenHBand="1" w:firstRowFirstColumn="0" w:firstRowLastColumn="0" w:lastRowFirstColumn="0" w:lastRowLastColumn="0"/>
            </w:pPr>
            <w:r>
              <w:t>0.2</w:t>
            </w:r>
          </w:p>
        </w:tc>
      </w:tr>
      <w:tr w:rsidR="00565550" w:rsidRPr="00565550" w:rsidTr="00284F1D">
        <w:trPr>
          <w:trHeight w:val="300"/>
        </w:trPr>
        <w:tc>
          <w:tcPr>
            <w:cnfStyle w:val="001000000000" w:firstRow="0" w:lastRow="0" w:firstColumn="1" w:lastColumn="0" w:oddVBand="0" w:evenVBand="0" w:oddHBand="0" w:evenHBand="0" w:firstRowFirstColumn="0" w:firstRowLastColumn="0" w:lastRowFirstColumn="0" w:lastRowLastColumn="0"/>
            <w:tcW w:w="1989" w:type="pct"/>
            <w:hideMark/>
          </w:tcPr>
          <w:p w:rsidR="00565550" w:rsidRPr="00565550" w:rsidRDefault="00565550" w:rsidP="00565550">
            <w:pPr>
              <w:pStyle w:val="AERtabletextleft"/>
            </w:pPr>
            <w:r w:rsidRPr="00565550">
              <w:t>Return on difference for 2008–09 capex</w:t>
            </w:r>
          </w:p>
        </w:tc>
        <w:tc>
          <w:tcPr>
            <w:tcW w:w="602"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noWrap/>
            <w:hideMark/>
          </w:tcPr>
          <w:p w:rsidR="00565550" w:rsidRPr="00565550" w:rsidRDefault="00565550" w:rsidP="00565550">
            <w:pPr>
              <w:pStyle w:val="AERtabletextright"/>
              <w:cnfStyle w:val="000000000000" w:firstRow="0" w:lastRow="0" w:firstColumn="0" w:lastColumn="0" w:oddVBand="0" w:evenVBand="0" w:oddHBand="0" w:evenHBand="0" w:firstRowFirstColumn="0" w:firstRowLastColumn="0" w:lastRowFirstColumn="0" w:lastRowLastColumn="0"/>
            </w:pPr>
          </w:p>
        </w:tc>
        <w:tc>
          <w:tcPr>
            <w:tcW w:w="602" w:type="pct"/>
            <w:noWrap/>
            <w:hideMark/>
          </w:tcPr>
          <w:p w:rsidR="00565550" w:rsidRPr="00565550" w:rsidRDefault="00F65CB6" w:rsidP="00565550">
            <w:pPr>
              <w:pStyle w:val="AERtabletextright"/>
              <w:cnfStyle w:val="000000000000" w:firstRow="0" w:lastRow="0" w:firstColumn="0" w:lastColumn="0" w:oddVBand="0" w:evenVBand="0" w:oddHBand="0" w:evenHBand="0" w:firstRowFirstColumn="0" w:firstRowLastColumn="0" w:lastRowFirstColumn="0" w:lastRowLastColumn="0"/>
            </w:pPr>
            <w:r>
              <w:t>0.1</w:t>
            </w:r>
          </w:p>
        </w:tc>
      </w:tr>
      <w:tr w:rsidR="00565550" w:rsidRPr="008A0472" w:rsidTr="00284F1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565550" w:rsidRPr="008A0472" w:rsidRDefault="00565550" w:rsidP="00565550">
            <w:pPr>
              <w:pStyle w:val="AERtabletextleft"/>
              <w:rPr>
                <w:rStyle w:val="AERtextbold"/>
              </w:rPr>
            </w:pPr>
            <w:r w:rsidRPr="008A0472">
              <w:rPr>
                <w:rStyle w:val="AERtextbold"/>
              </w:rPr>
              <w:t>Opening RAB as at 1 July 2014</w:t>
            </w:r>
          </w:p>
        </w:tc>
        <w:tc>
          <w:tcPr>
            <w:tcW w:w="602" w:type="pct"/>
            <w:noWrap/>
            <w:hideMark/>
          </w:tcPr>
          <w:p w:rsidR="00565550" w:rsidRPr="008A0472" w:rsidRDefault="00565550" w:rsidP="0056555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565550" w:rsidRPr="008A0472" w:rsidRDefault="00565550" w:rsidP="0056555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565550" w:rsidRPr="008A0472" w:rsidRDefault="00565550" w:rsidP="0056555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565550" w:rsidRPr="008A0472" w:rsidRDefault="00565550" w:rsidP="0056555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602" w:type="pct"/>
            <w:noWrap/>
            <w:hideMark/>
          </w:tcPr>
          <w:p w:rsidR="00565550" w:rsidRPr="008A0472" w:rsidRDefault="00F65CB6" w:rsidP="00565550">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154.1</w:t>
            </w:r>
          </w:p>
        </w:tc>
      </w:tr>
    </w:tbl>
    <w:p w:rsidR="008A0472" w:rsidRPr="008A0472" w:rsidRDefault="008A0472" w:rsidP="008A0472">
      <w:pPr>
        <w:pStyle w:val="AERtablesource"/>
      </w:pPr>
      <w:r w:rsidRPr="008A0472">
        <w:t>Source:</w:t>
      </w:r>
      <w:r w:rsidRPr="008A0472">
        <w:tab/>
      </w:r>
      <w:r>
        <w:t>AER analysis</w:t>
      </w:r>
      <w:r w:rsidR="00B75BD5">
        <w:t>.</w:t>
      </w:r>
    </w:p>
    <w:p w:rsidR="008A0472" w:rsidRPr="008A0472" w:rsidRDefault="008A0472" w:rsidP="008A0472">
      <w:pPr>
        <w:pStyle w:val="AERtablesource"/>
      </w:pPr>
      <w:r w:rsidRPr="008A0472">
        <w:t>(a)</w:t>
      </w:r>
      <w:r w:rsidRPr="008A0472">
        <w:tab/>
        <w:t xml:space="preserve">Based on estimated capex. </w:t>
      </w:r>
      <w:r w:rsidR="00B75BD5">
        <w:t>We will update the RAB</w:t>
      </w:r>
      <w:r w:rsidR="00B75BD5" w:rsidRPr="002B4DA4">
        <w:t xml:space="preserve"> roll forward </w:t>
      </w:r>
      <w:r w:rsidR="00B75BD5">
        <w:t>in the final decision</w:t>
      </w:r>
      <w:r w:rsidR="00B75BD5" w:rsidRPr="002B4DA4">
        <w:t>.</w:t>
      </w:r>
    </w:p>
    <w:p w:rsidR="008A0472" w:rsidRPr="008A0472" w:rsidRDefault="008A0472" w:rsidP="008A0472">
      <w:pPr>
        <w:pStyle w:val="AERtablesource"/>
      </w:pPr>
      <w:r w:rsidRPr="008A0472">
        <w:t>(b)</w:t>
      </w:r>
      <w:r w:rsidRPr="008A0472">
        <w:tab/>
        <w:t>Net of disposals and capital contributions</w:t>
      </w:r>
      <w:r w:rsidR="00B75BD5">
        <w:t>, and adjusted for CPI</w:t>
      </w:r>
      <w:r w:rsidRPr="008A0472">
        <w:t>.</w:t>
      </w:r>
    </w:p>
    <w:p w:rsidR="0039763D" w:rsidRDefault="0039763D" w:rsidP="0039763D">
      <w:pPr>
        <w:pStyle w:val="AERbodytext"/>
      </w:pPr>
      <w:r>
        <w:t>We determine forecast closing RAB value</w:t>
      </w:r>
      <w:r w:rsidR="00B75BD5">
        <w:t>s</w:t>
      </w:r>
      <w:r>
        <w:t xml:space="preserve"> at 30 June 2019 of $</w:t>
      </w:r>
      <w:r w:rsidR="00B63E5D">
        <w:t>751.</w:t>
      </w:r>
      <w:r w:rsidR="002E58AB">
        <w:t>6</w:t>
      </w:r>
      <w:r>
        <w:t> million and $</w:t>
      </w:r>
      <w:r w:rsidR="00B63E5D">
        <w:t>184.5</w:t>
      </w:r>
      <w:r>
        <w:t xml:space="preserve"> million ($ nominal) for </w:t>
      </w:r>
      <w:r w:rsidR="00B75BD5">
        <w:t>ActewAGL's</w:t>
      </w:r>
      <w:r>
        <w:t xml:space="preserve"> distribution and transmission networks respectively. This represents a </w:t>
      </w:r>
      <w:r w:rsidR="003D104E">
        <w:t xml:space="preserve">reduction </w:t>
      </w:r>
      <w:r w:rsidR="00EB7778">
        <w:t xml:space="preserve">from ActewAGL's proposal </w:t>
      </w:r>
      <w:r w:rsidR="003D104E">
        <w:t>of $</w:t>
      </w:r>
      <w:r w:rsidR="00B711CC">
        <w:t>98.7</w:t>
      </w:r>
      <w:r w:rsidR="003D104E">
        <w:t xml:space="preserve"> million (or </w:t>
      </w:r>
      <w:r w:rsidR="00B711CC">
        <w:t>11.6</w:t>
      </w:r>
      <w:r w:rsidR="003D104E">
        <w:t xml:space="preserve"> per cent) and $</w:t>
      </w:r>
      <w:r w:rsidR="00B711CC">
        <w:t>49.</w:t>
      </w:r>
      <w:r w:rsidR="00142CE6">
        <w:t>9</w:t>
      </w:r>
      <w:r w:rsidR="003D104E">
        <w:t xml:space="preserve"> million (or </w:t>
      </w:r>
      <w:r w:rsidR="00B711CC">
        <w:t>21.</w:t>
      </w:r>
      <w:r w:rsidR="00142CE6">
        <w:t>3</w:t>
      </w:r>
      <w:r w:rsidR="003D104E">
        <w:t xml:space="preserve"> per cent)</w:t>
      </w:r>
      <w:r>
        <w:t xml:space="preserve"> </w:t>
      </w:r>
      <w:r w:rsidR="00EB7778">
        <w:t xml:space="preserve">for </w:t>
      </w:r>
      <w:r w:rsidR="00265FF7">
        <w:t xml:space="preserve">its </w:t>
      </w:r>
      <w:r w:rsidR="003D104E">
        <w:t>distribution and transmission networks respectively</w:t>
      </w:r>
      <w:r>
        <w:t xml:space="preserve">. </w:t>
      </w:r>
      <w:r w:rsidR="003D104E">
        <w:t>Our</w:t>
      </w:r>
      <w:r>
        <w:t xml:space="preserve"> draft decision RAB</w:t>
      </w:r>
      <w:r w:rsidR="00EB7778">
        <w:t>s</w:t>
      </w:r>
      <w:r>
        <w:t xml:space="preserve"> reflect </w:t>
      </w:r>
      <w:r w:rsidRPr="00442DEB">
        <w:t xml:space="preserve">the </w:t>
      </w:r>
      <w:r>
        <w:t xml:space="preserve">amended </w:t>
      </w:r>
      <w:r w:rsidRPr="00442DEB">
        <w:t>opening RAB</w:t>
      </w:r>
      <w:r w:rsidR="00265FF7">
        <w:t>s</w:t>
      </w:r>
      <w:r w:rsidRPr="00442DEB">
        <w:t xml:space="preserve"> </w:t>
      </w:r>
      <w:r>
        <w:t>as at 1 July 2014 and our draft decision</w:t>
      </w:r>
      <w:r w:rsidR="00EB7778">
        <w:t>s</w:t>
      </w:r>
      <w:r>
        <w:t xml:space="preserve"> on forecast capex </w:t>
      </w:r>
      <w:r w:rsidR="00265FF7">
        <w:t xml:space="preserve">(attachment </w:t>
      </w:r>
      <w:r w:rsidR="00603DE7">
        <w:t>6</w:t>
      </w:r>
      <w:r w:rsidR="00265FF7">
        <w:t xml:space="preserve">) </w:t>
      </w:r>
      <w:r>
        <w:t xml:space="preserve">and forecast regulatory depreciation </w:t>
      </w:r>
      <w:r w:rsidR="00265FF7">
        <w:t>(</w:t>
      </w:r>
      <w:r>
        <w:t xml:space="preserve">attachment </w:t>
      </w:r>
      <w:r w:rsidR="00603DE7">
        <w:t>5</w:t>
      </w:r>
      <w:r w:rsidR="00265FF7">
        <w:t>)</w:t>
      </w:r>
      <w:r>
        <w:t>.</w:t>
      </w:r>
    </w:p>
    <w:p w:rsidR="00242766" w:rsidRDefault="003D104E" w:rsidP="0039763D">
      <w:pPr>
        <w:pStyle w:val="AERbodytext"/>
        <w:numPr>
          <w:ilvl w:val="0"/>
          <w:numId w:val="0"/>
        </w:numPr>
      </w:pPr>
      <w:r>
        <w:lastRenderedPageBreak/>
        <w:fldChar w:fldCharType="begin"/>
      </w:r>
      <w:r>
        <w:instrText xml:space="preserve"> REF _Ref395534088 \h </w:instrText>
      </w:r>
      <w:r>
        <w:fldChar w:fldCharType="separate"/>
      </w:r>
      <w:r w:rsidR="00675079">
        <w:t xml:space="preserve">Table </w:t>
      </w:r>
      <w:r w:rsidR="00675079">
        <w:rPr>
          <w:noProof/>
        </w:rPr>
        <w:t>2</w:t>
      </w:r>
      <w:r w:rsidR="00675079">
        <w:t>.</w:t>
      </w:r>
      <w:r w:rsidR="00675079">
        <w:rPr>
          <w:noProof/>
        </w:rPr>
        <w:t>3</w:t>
      </w:r>
      <w:r>
        <w:fldChar w:fldCharType="end"/>
      </w:r>
      <w:r>
        <w:t xml:space="preserve"> and </w:t>
      </w:r>
      <w:r>
        <w:fldChar w:fldCharType="begin"/>
      </w:r>
      <w:r>
        <w:instrText xml:space="preserve"> REF _Ref395534093 \h </w:instrText>
      </w:r>
      <w:r>
        <w:fldChar w:fldCharType="separate"/>
      </w:r>
      <w:r w:rsidR="00675079">
        <w:t xml:space="preserve">Table </w:t>
      </w:r>
      <w:r w:rsidR="00675079">
        <w:rPr>
          <w:noProof/>
        </w:rPr>
        <w:t>2</w:t>
      </w:r>
      <w:r w:rsidR="00675079">
        <w:t>.</w:t>
      </w:r>
      <w:r w:rsidR="00675079">
        <w:rPr>
          <w:noProof/>
        </w:rPr>
        <w:t>4</w:t>
      </w:r>
      <w:r>
        <w:fldChar w:fldCharType="end"/>
      </w:r>
      <w:r>
        <w:t xml:space="preserve"> </w:t>
      </w:r>
      <w:r w:rsidR="0039763D" w:rsidRPr="0039763D">
        <w:t xml:space="preserve">set out our draft decision on the forecast RAB values </w:t>
      </w:r>
      <w:r>
        <w:t xml:space="preserve">over the </w:t>
      </w:r>
      <w:r w:rsidRPr="0039763D">
        <w:t>2014–1</w:t>
      </w:r>
      <w:r w:rsidRPr="003D104E">
        <w:t>9</w:t>
      </w:r>
      <w:r w:rsidR="00F02E5A">
        <w:t xml:space="preserve"> </w:t>
      </w:r>
      <w:r w:rsidRPr="003D104E">
        <w:t xml:space="preserve">period </w:t>
      </w:r>
      <w:r w:rsidR="0039763D" w:rsidRPr="0039763D">
        <w:t xml:space="preserve">for </w:t>
      </w:r>
      <w:r w:rsidR="00EB13E7">
        <w:t>ActewAGL</w:t>
      </w:r>
      <w:r w:rsidR="0039763D" w:rsidRPr="0039763D">
        <w:t>'s</w:t>
      </w:r>
      <w:r>
        <w:t xml:space="preserve"> distribution and transmission networks respectively</w:t>
      </w:r>
      <w:r w:rsidR="0039763D" w:rsidRPr="0039763D">
        <w:t>.</w:t>
      </w:r>
    </w:p>
    <w:p w:rsidR="00A5617E" w:rsidRDefault="00284F1D" w:rsidP="00284F1D">
      <w:pPr>
        <w:pStyle w:val="Caption"/>
      </w:pPr>
      <w:bookmarkStart w:id="12" w:name="_Ref395534088"/>
      <w:r>
        <w:t xml:space="preserve">Table </w:t>
      </w:r>
      <w:fldSimple w:instr=" STYLEREF 1 \s ">
        <w:r w:rsidR="00675079">
          <w:rPr>
            <w:noProof/>
          </w:rPr>
          <w:t>2</w:t>
        </w:r>
      </w:fldSimple>
      <w:r w:rsidR="009D444F">
        <w:t>.</w:t>
      </w:r>
      <w:fldSimple w:instr=" SEQ Table \* ARABIC \s 1 ">
        <w:r w:rsidR="00675079">
          <w:rPr>
            <w:noProof/>
          </w:rPr>
          <w:t>3</w:t>
        </w:r>
      </w:fldSimple>
      <w:bookmarkEnd w:id="12"/>
      <w:r>
        <w:tab/>
      </w:r>
      <w:r w:rsidRPr="00284F1D">
        <w:t xml:space="preserve">AER's draft decision on </w:t>
      </w:r>
      <w:r w:rsidR="006156DB">
        <w:t>ActewAGL'</w:t>
      </w:r>
      <w:r w:rsidR="006156DB" w:rsidRPr="00284F1D">
        <w:t>s</w:t>
      </w:r>
      <w:r w:rsidRPr="00284F1D">
        <w:t xml:space="preserve"> RAB for the 2014–19 period </w:t>
      </w:r>
      <w:r>
        <w:t xml:space="preserve">– </w:t>
      </w:r>
      <w:r w:rsidR="00265FF7">
        <w:t>d</w:t>
      </w:r>
      <w:r>
        <w:t xml:space="preserve">istribution </w:t>
      </w:r>
      <w:r w:rsidRPr="00284F1D">
        <w:t>($ million, nominal)</w:t>
      </w:r>
    </w:p>
    <w:tbl>
      <w:tblPr>
        <w:tblStyle w:val="AERtable-numbers"/>
        <w:tblW w:w="5000" w:type="pct"/>
        <w:tblLook w:val="04A0" w:firstRow="1" w:lastRow="0" w:firstColumn="1" w:lastColumn="0" w:noHBand="0" w:noVBand="1"/>
      </w:tblPr>
      <w:tblGrid>
        <w:gridCol w:w="3677"/>
        <w:gridCol w:w="1113"/>
        <w:gridCol w:w="1113"/>
        <w:gridCol w:w="1113"/>
        <w:gridCol w:w="1113"/>
        <w:gridCol w:w="1113"/>
      </w:tblGrid>
      <w:tr w:rsidR="00A5617E" w:rsidRPr="00A5617E" w:rsidTr="00284F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5617E" w:rsidRPr="00A5617E" w:rsidRDefault="00A5617E" w:rsidP="00A5617E">
            <w:pPr>
              <w:pStyle w:val="AERtabletextleft"/>
            </w:pPr>
            <w:r w:rsidRPr="00A5617E">
              <w:t> </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2014–15</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2015–16</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2016–17</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2017–18</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2018–19</w:t>
            </w:r>
          </w:p>
        </w:tc>
      </w:tr>
      <w:tr w:rsidR="00275546" w:rsidRPr="00E03900" w:rsidTr="00B711CC">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275546" w:rsidRPr="00E03900" w:rsidRDefault="00275546" w:rsidP="00E03900">
            <w:pPr>
              <w:pStyle w:val="AERtabletextleft"/>
              <w:rPr>
                <w:rStyle w:val="AERtextbold"/>
                <w:b w:val="0"/>
              </w:rPr>
            </w:pPr>
            <w:r w:rsidRPr="00E03900">
              <w:rPr>
                <w:rStyle w:val="AERtextbold"/>
                <w:b w:val="0"/>
              </w:rPr>
              <w:t>Opening RAB</w:t>
            </w:r>
          </w:p>
        </w:tc>
        <w:tc>
          <w:tcPr>
            <w:tcW w:w="602" w:type="pct"/>
            <w:noWrap/>
            <w:vAlign w:val="top"/>
            <w:hideMark/>
          </w:tcPr>
          <w:p w:rsidR="00275546" w:rsidRPr="00E03900" w:rsidRDefault="0027554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695.6</w:t>
            </w:r>
          </w:p>
        </w:tc>
        <w:tc>
          <w:tcPr>
            <w:tcW w:w="602" w:type="pct"/>
            <w:noWrap/>
            <w:vAlign w:val="top"/>
            <w:hideMark/>
          </w:tcPr>
          <w:p w:rsidR="00275546" w:rsidRPr="00E03900" w:rsidRDefault="0027554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720.3</w:t>
            </w:r>
          </w:p>
        </w:tc>
        <w:tc>
          <w:tcPr>
            <w:tcW w:w="602" w:type="pct"/>
            <w:noWrap/>
            <w:vAlign w:val="top"/>
            <w:hideMark/>
          </w:tcPr>
          <w:p w:rsidR="00275546" w:rsidRPr="00E03900" w:rsidRDefault="0027554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729.8</w:t>
            </w:r>
          </w:p>
        </w:tc>
        <w:tc>
          <w:tcPr>
            <w:tcW w:w="602" w:type="pct"/>
            <w:noWrap/>
            <w:vAlign w:val="top"/>
            <w:hideMark/>
          </w:tcPr>
          <w:p w:rsidR="00275546" w:rsidRPr="00E03900" w:rsidRDefault="0027554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738.3</w:t>
            </w:r>
          </w:p>
        </w:tc>
        <w:tc>
          <w:tcPr>
            <w:tcW w:w="602" w:type="pct"/>
            <w:noWrap/>
            <w:vAlign w:val="top"/>
            <w:hideMark/>
          </w:tcPr>
          <w:p w:rsidR="00275546" w:rsidRPr="00E03900" w:rsidRDefault="0027554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743.9</w:t>
            </w:r>
          </w:p>
        </w:tc>
      </w:tr>
      <w:tr w:rsidR="00275546" w:rsidRPr="00A5617E" w:rsidTr="00B711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275546" w:rsidRPr="00275546" w:rsidRDefault="00275546" w:rsidP="00275546">
            <w:pPr>
              <w:pStyle w:val="AERtabletextleft"/>
            </w:pPr>
            <w:r w:rsidRPr="00275546">
              <w:t>Capital expenditure</w:t>
            </w:r>
            <w:r w:rsidRPr="00275546">
              <w:rPr>
                <w:rStyle w:val="AERsuperscript"/>
              </w:rPr>
              <w:t>a</w:t>
            </w:r>
          </w:p>
        </w:tc>
        <w:tc>
          <w:tcPr>
            <w:tcW w:w="602" w:type="pct"/>
            <w:noWrap/>
            <w:vAlign w:val="top"/>
            <w:hideMark/>
          </w:tcPr>
          <w:p w:rsidR="00275546" w:rsidRPr="00275546" w:rsidRDefault="00275546" w:rsidP="00275546">
            <w:pPr>
              <w:pStyle w:val="AERtabletextright"/>
              <w:cnfStyle w:val="000000010000" w:firstRow="0" w:lastRow="0" w:firstColumn="0" w:lastColumn="0" w:oddVBand="0" w:evenVBand="0" w:oddHBand="0" w:evenHBand="1" w:firstRowFirstColumn="0" w:firstRowLastColumn="0" w:lastRowFirstColumn="0" w:lastRowLastColumn="0"/>
            </w:pPr>
            <w:r w:rsidRPr="00275546">
              <w:t>51.7</w:t>
            </w:r>
          </w:p>
        </w:tc>
        <w:tc>
          <w:tcPr>
            <w:tcW w:w="602" w:type="pct"/>
            <w:noWrap/>
            <w:vAlign w:val="top"/>
            <w:hideMark/>
          </w:tcPr>
          <w:p w:rsidR="00275546" w:rsidRPr="00275546" w:rsidRDefault="00275546" w:rsidP="00275546">
            <w:pPr>
              <w:pStyle w:val="AERtabletextright"/>
              <w:cnfStyle w:val="000000010000" w:firstRow="0" w:lastRow="0" w:firstColumn="0" w:lastColumn="0" w:oddVBand="0" w:evenVBand="0" w:oddHBand="0" w:evenHBand="1" w:firstRowFirstColumn="0" w:firstRowLastColumn="0" w:lastRowFirstColumn="0" w:lastRowLastColumn="0"/>
            </w:pPr>
            <w:r w:rsidRPr="00275546">
              <w:t>39.7</w:t>
            </w:r>
          </w:p>
        </w:tc>
        <w:tc>
          <w:tcPr>
            <w:tcW w:w="602" w:type="pct"/>
            <w:noWrap/>
            <w:vAlign w:val="top"/>
            <w:hideMark/>
          </w:tcPr>
          <w:p w:rsidR="00275546" w:rsidRPr="00275546" w:rsidRDefault="00275546" w:rsidP="00275546">
            <w:pPr>
              <w:pStyle w:val="AERtabletextright"/>
              <w:cnfStyle w:val="000000010000" w:firstRow="0" w:lastRow="0" w:firstColumn="0" w:lastColumn="0" w:oddVBand="0" w:evenVBand="0" w:oddHBand="0" w:evenHBand="1" w:firstRowFirstColumn="0" w:firstRowLastColumn="0" w:lastRowFirstColumn="0" w:lastRowLastColumn="0"/>
            </w:pPr>
            <w:r w:rsidRPr="00275546">
              <w:t>39.2</w:t>
            </w:r>
          </w:p>
        </w:tc>
        <w:tc>
          <w:tcPr>
            <w:tcW w:w="602" w:type="pct"/>
            <w:noWrap/>
            <w:vAlign w:val="top"/>
            <w:hideMark/>
          </w:tcPr>
          <w:p w:rsidR="00275546" w:rsidRPr="00275546" w:rsidRDefault="00275546" w:rsidP="00275546">
            <w:pPr>
              <w:pStyle w:val="AERtabletextright"/>
              <w:cnfStyle w:val="000000010000" w:firstRow="0" w:lastRow="0" w:firstColumn="0" w:lastColumn="0" w:oddVBand="0" w:evenVBand="0" w:oddHBand="0" w:evenHBand="1" w:firstRowFirstColumn="0" w:firstRowLastColumn="0" w:lastRowFirstColumn="0" w:lastRowLastColumn="0"/>
            </w:pPr>
            <w:r w:rsidRPr="00275546">
              <w:t>37.6</w:t>
            </w:r>
          </w:p>
        </w:tc>
        <w:tc>
          <w:tcPr>
            <w:tcW w:w="602" w:type="pct"/>
            <w:noWrap/>
            <w:vAlign w:val="top"/>
            <w:hideMark/>
          </w:tcPr>
          <w:p w:rsidR="00275546" w:rsidRPr="00275546" w:rsidRDefault="00275546" w:rsidP="00275546">
            <w:pPr>
              <w:pStyle w:val="AERtabletextright"/>
              <w:cnfStyle w:val="000000010000" w:firstRow="0" w:lastRow="0" w:firstColumn="0" w:lastColumn="0" w:oddVBand="0" w:evenVBand="0" w:oddHBand="0" w:evenHBand="1" w:firstRowFirstColumn="0" w:firstRowLastColumn="0" w:lastRowFirstColumn="0" w:lastRowLastColumn="0"/>
            </w:pPr>
            <w:r w:rsidRPr="00275546">
              <w:t>39.5</w:t>
            </w:r>
          </w:p>
        </w:tc>
      </w:tr>
      <w:tr w:rsidR="00275546" w:rsidRPr="00A5617E" w:rsidTr="00B711CC">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275546" w:rsidRPr="00275546" w:rsidRDefault="00275546" w:rsidP="00275546">
            <w:pPr>
              <w:pStyle w:val="AERtabletextleft"/>
            </w:pPr>
            <w:r w:rsidRPr="00275546">
              <w:t>Inflation indexation on opening RAB</w:t>
            </w:r>
          </w:p>
        </w:tc>
        <w:tc>
          <w:tcPr>
            <w:tcW w:w="602" w:type="pct"/>
            <w:noWrap/>
            <w:vAlign w:val="top"/>
            <w:hideMark/>
          </w:tcPr>
          <w:p w:rsidR="00275546" w:rsidRPr="00275546" w:rsidRDefault="00275546" w:rsidP="00275546">
            <w:pPr>
              <w:pStyle w:val="AERtabletextright"/>
              <w:cnfStyle w:val="000000000000" w:firstRow="0" w:lastRow="0" w:firstColumn="0" w:lastColumn="0" w:oddVBand="0" w:evenVBand="0" w:oddHBand="0" w:evenHBand="0" w:firstRowFirstColumn="0" w:firstRowLastColumn="0" w:lastRowFirstColumn="0" w:lastRowLastColumn="0"/>
            </w:pPr>
            <w:r w:rsidRPr="00275546">
              <w:t>17.4</w:t>
            </w:r>
          </w:p>
        </w:tc>
        <w:tc>
          <w:tcPr>
            <w:tcW w:w="602" w:type="pct"/>
            <w:noWrap/>
            <w:vAlign w:val="top"/>
            <w:hideMark/>
          </w:tcPr>
          <w:p w:rsidR="00275546" w:rsidRPr="00275546" w:rsidRDefault="00275546" w:rsidP="00275546">
            <w:pPr>
              <w:pStyle w:val="AERtabletextright"/>
              <w:cnfStyle w:val="000000000000" w:firstRow="0" w:lastRow="0" w:firstColumn="0" w:lastColumn="0" w:oddVBand="0" w:evenVBand="0" w:oddHBand="0" w:evenHBand="0" w:firstRowFirstColumn="0" w:firstRowLastColumn="0" w:lastRowFirstColumn="0" w:lastRowLastColumn="0"/>
            </w:pPr>
            <w:r w:rsidRPr="00275546">
              <w:t>18.0</w:t>
            </w:r>
          </w:p>
        </w:tc>
        <w:tc>
          <w:tcPr>
            <w:tcW w:w="602" w:type="pct"/>
            <w:noWrap/>
            <w:vAlign w:val="top"/>
            <w:hideMark/>
          </w:tcPr>
          <w:p w:rsidR="00275546" w:rsidRPr="00275546" w:rsidRDefault="00275546" w:rsidP="00275546">
            <w:pPr>
              <w:pStyle w:val="AERtabletextright"/>
              <w:cnfStyle w:val="000000000000" w:firstRow="0" w:lastRow="0" w:firstColumn="0" w:lastColumn="0" w:oddVBand="0" w:evenVBand="0" w:oddHBand="0" w:evenHBand="0" w:firstRowFirstColumn="0" w:firstRowLastColumn="0" w:lastRowFirstColumn="0" w:lastRowLastColumn="0"/>
            </w:pPr>
            <w:r w:rsidRPr="00275546">
              <w:t>18.2</w:t>
            </w:r>
          </w:p>
        </w:tc>
        <w:tc>
          <w:tcPr>
            <w:tcW w:w="602" w:type="pct"/>
            <w:noWrap/>
            <w:vAlign w:val="top"/>
            <w:hideMark/>
          </w:tcPr>
          <w:p w:rsidR="00275546" w:rsidRPr="00275546" w:rsidRDefault="00275546" w:rsidP="00275546">
            <w:pPr>
              <w:pStyle w:val="AERtabletextright"/>
              <w:cnfStyle w:val="000000000000" w:firstRow="0" w:lastRow="0" w:firstColumn="0" w:lastColumn="0" w:oddVBand="0" w:evenVBand="0" w:oddHBand="0" w:evenHBand="0" w:firstRowFirstColumn="0" w:firstRowLastColumn="0" w:lastRowFirstColumn="0" w:lastRowLastColumn="0"/>
            </w:pPr>
            <w:r w:rsidRPr="00275546">
              <w:t>18.5</w:t>
            </w:r>
          </w:p>
        </w:tc>
        <w:tc>
          <w:tcPr>
            <w:tcW w:w="602" w:type="pct"/>
            <w:noWrap/>
            <w:vAlign w:val="top"/>
            <w:hideMark/>
          </w:tcPr>
          <w:p w:rsidR="00275546" w:rsidRPr="00275546" w:rsidRDefault="00275546" w:rsidP="00275546">
            <w:pPr>
              <w:pStyle w:val="AERtabletextright"/>
              <w:cnfStyle w:val="000000000000" w:firstRow="0" w:lastRow="0" w:firstColumn="0" w:lastColumn="0" w:oddVBand="0" w:evenVBand="0" w:oddHBand="0" w:evenHBand="0" w:firstRowFirstColumn="0" w:firstRowLastColumn="0" w:lastRowFirstColumn="0" w:lastRowLastColumn="0"/>
            </w:pPr>
            <w:r w:rsidRPr="00275546">
              <w:t>18.6</w:t>
            </w:r>
          </w:p>
        </w:tc>
      </w:tr>
      <w:tr w:rsidR="00275546" w:rsidRPr="00A5617E" w:rsidTr="00B711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275546" w:rsidRPr="00275546" w:rsidRDefault="00275546" w:rsidP="00275546">
            <w:pPr>
              <w:pStyle w:val="AERtabletextleft"/>
            </w:pPr>
            <w:r w:rsidRPr="00212AFB">
              <w:rPr>
                <w:rStyle w:val="AERtextitalic"/>
              </w:rPr>
              <w:t>Less:</w:t>
            </w:r>
            <w:r w:rsidRPr="00275546">
              <w:t xml:space="preserve"> straight-line depreciation</w:t>
            </w:r>
          </w:p>
        </w:tc>
        <w:tc>
          <w:tcPr>
            <w:tcW w:w="602" w:type="pct"/>
            <w:noWrap/>
            <w:vAlign w:val="top"/>
            <w:hideMark/>
          </w:tcPr>
          <w:p w:rsidR="00275546" w:rsidRPr="00275546" w:rsidRDefault="00275546" w:rsidP="00275546">
            <w:pPr>
              <w:pStyle w:val="AERtabletextright"/>
              <w:cnfStyle w:val="000000010000" w:firstRow="0" w:lastRow="0" w:firstColumn="0" w:lastColumn="0" w:oddVBand="0" w:evenVBand="0" w:oddHBand="0" w:evenHBand="1" w:firstRowFirstColumn="0" w:firstRowLastColumn="0" w:lastRowFirstColumn="0" w:lastRowLastColumn="0"/>
            </w:pPr>
            <w:r w:rsidRPr="00275546">
              <w:t>44.4</w:t>
            </w:r>
          </w:p>
        </w:tc>
        <w:tc>
          <w:tcPr>
            <w:tcW w:w="602" w:type="pct"/>
            <w:noWrap/>
            <w:vAlign w:val="top"/>
            <w:hideMark/>
          </w:tcPr>
          <w:p w:rsidR="00275546" w:rsidRPr="00275546" w:rsidRDefault="00275546" w:rsidP="00275546">
            <w:pPr>
              <w:pStyle w:val="AERtabletextright"/>
              <w:cnfStyle w:val="000000010000" w:firstRow="0" w:lastRow="0" w:firstColumn="0" w:lastColumn="0" w:oddVBand="0" w:evenVBand="0" w:oddHBand="0" w:evenHBand="1" w:firstRowFirstColumn="0" w:firstRowLastColumn="0" w:lastRowFirstColumn="0" w:lastRowLastColumn="0"/>
            </w:pPr>
            <w:r w:rsidRPr="00275546">
              <w:t>48.3</w:t>
            </w:r>
          </w:p>
        </w:tc>
        <w:tc>
          <w:tcPr>
            <w:tcW w:w="602" w:type="pct"/>
            <w:noWrap/>
            <w:vAlign w:val="top"/>
            <w:hideMark/>
          </w:tcPr>
          <w:p w:rsidR="00275546" w:rsidRPr="00275546" w:rsidRDefault="00275546" w:rsidP="00275546">
            <w:pPr>
              <w:pStyle w:val="AERtabletextright"/>
              <w:cnfStyle w:val="000000010000" w:firstRow="0" w:lastRow="0" w:firstColumn="0" w:lastColumn="0" w:oddVBand="0" w:evenVBand="0" w:oddHBand="0" w:evenHBand="1" w:firstRowFirstColumn="0" w:firstRowLastColumn="0" w:lastRowFirstColumn="0" w:lastRowLastColumn="0"/>
            </w:pPr>
            <w:r w:rsidRPr="00275546">
              <w:t>48.9</w:t>
            </w:r>
          </w:p>
        </w:tc>
        <w:tc>
          <w:tcPr>
            <w:tcW w:w="602" w:type="pct"/>
            <w:noWrap/>
            <w:vAlign w:val="top"/>
            <w:hideMark/>
          </w:tcPr>
          <w:p w:rsidR="00275546" w:rsidRPr="00275546" w:rsidRDefault="00275546" w:rsidP="00275546">
            <w:pPr>
              <w:pStyle w:val="AERtabletextright"/>
              <w:cnfStyle w:val="000000010000" w:firstRow="0" w:lastRow="0" w:firstColumn="0" w:lastColumn="0" w:oddVBand="0" w:evenVBand="0" w:oddHBand="0" w:evenHBand="1" w:firstRowFirstColumn="0" w:firstRowLastColumn="0" w:lastRowFirstColumn="0" w:lastRowLastColumn="0"/>
            </w:pPr>
            <w:r w:rsidRPr="00275546">
              <w:t>50.4</w:t>
            </w:r>
          </w:p>
        </w:tc>
        <w:tc>
          <w:tcPr>
            <w:tcW w:w="602" w:type="pct"/>
            <w:noWrap/>
            <w:vAlign w:val="top"/>
            <w:hideMark/>
          </w:tcPr>
          <w:p w:rsidR="00275546" w:rsidRPr="00275546" w:rsidRDefault="00275546" w:rsidP="00275546">
            <w:pPr>
              <w:pStyle w:val="AERtabletextright"/>
              <w:cnfStyle w:val="000000010000" w:firstRow="0" w:lastRow="0" w:firstColumn="0" w:lastColumn="0" w:oddVBand="0" w:evenVBand="0" w:oddHBand="0" w:evenHBand="1" w:firstRowFirstColumn="0" w:firstRowLastColumn="0" w:lastRowFirstColumn="0" w:lastRowLastColumn="0"/>
            </w:pPr>
            <w:r w:rsidRPr="00275546">
              <w:t>50.5</w:t>
            </w:r>
          </w:p>
        </w:tc>
      </w:tr>
      <w:tr w:rsidR="00275546" w:rsidRPr="00E03900" w:rsidTr="00B711CC">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275546" w:rsidRPr="00E03900" w:rsidRDefault="00275546" w:rsidP="00E03900">
            <w:pPr>
              <w:pStyle w:val="AERtabletextleft"/>
              <w:rPr>
                <w:rStyle w:val="AERtextbold"/>
                <w:b w:val="0"/>
              </w:rPr>
            </w:pPr>
            <w:r w:rsidRPr="00E03900">
              <w:rPr>
                <w:rStyle w:val="AERtextbold"/>
                <w:b w:val="0"/>
              </w:rPr>
              <w:t>Closing RAB</w:t>
            </w:r>
          </w:p>
        </w:tc>
        <w:tc>
          <w:tcPr>
            <w:tcW w:w="602" w:type="pct"/>
            <w:noWrap/>
            <w:vAlign w:val="top"/>
            <w:hideMark/>
          </w:tcPr>
          <w:p w:rsidR="00275546" w:rsidRPr="00E03900" w:rsidRDefault="0027554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720.3</w:t>
            </w:r>
          </w:p>
        </w:tc>
        <w:tc>
          <w:tcPr>
            <w:tcW w:w="602" w:type="pct"/>
            <w:noWrap/>
            <w:vAlign w:val="top"/>
            <w:hideMark/>
          </w:tcPr>
          <w:p w:rsidR="00275546" w:rsidRPr="00E03900" w:rsidRDefault="0027554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729.8</w:t>
            </w:r>
          </w:p>
        </w:tc>
        <w:tc>
          <w:tcPr>
            <w:tcW w:w="602" w:type="pct"/>
            <w:noWrap/>
            <w:vAlign w:val="top"/>
            <w:hideMark/>
          </w:tcPr>
          <w:p w:rsidR="00275546" w:rsidRPr="00E03900" w:rsidRDefault="0027554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738.3</w:t>
            </w:r>
          </w:p>
        </w:tc>
        <w:tc>
          <w:tcPr>
            <w:tcW w:w="602" w:type="pct"/>
            <w:noWrap/>
            <w:vAlign w:val="top"/>
            <w:hideMark/>
          </w:tcPr>
          <w:p w:rsidR="00275546" w:rsidRPr="00E03900" w:rsidRDefault="0027554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743.9</w:t>
            </w:r>
          </w:p>
        </w:tc>
        <w:tc>
          <w:tcPr>
            <w:tcW w:w="602" w:type="pct"/>
            <w:noWrap/>
            <w:vAlign w:val="top"/>
            <w:hideMark/>
          </w:tcPr>
          <w:p w:rsidR="00275546" w:rsidRPr="00E03900" w:rsidRDefault="00275546"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751.6</w:t>
            </w:r>
          </w:p>
        </w:tc>
      </w:tr>
    </w:tbl>
    <w:p w:rsidR="008A0472" w:rsidRPr="008A0472" w:rsidRDefault="008A0472" w:rsidP="008A0472">
      <w:pPr>
        <w:pStyle w:val="AERtablesource"/>
      </w:pPr>
      <w:r w:rsidRPr="008A0472">
        <w:t>Source:</w:t>
      </w:r>
      <w:r w:rsidRPr="008A0472">
        <w:tab/>
        <w:t>AER analysis</w:t>
      </w:r>
      <w:r w:rsidR="00265FF7">
        <w:t>.</w:t>
      </w:r>
    </w:p>
    <w:p w:rsidR="008A0472" w:rsidRPr="008A0472" w:rsidRDefault="008A0472" w:rsidP="008A0472">
      <w:pPr>
        <w:pStyle w:val="AERtablesource"/>
      </w:pPr>
      <w:r w:rsidRPr="008A0472">
        <w:t>(a)</w:t>
      </w:r>
      <w:r w:rsidRPr="008A0472">
        <w:tab/>
        <w:t>Net of disposals and capital contributions.</w:t>
      </w:r>
    </w:p>
    <w:p w:rsidR="00284F1D" w:rsidRDefault="00284F1D" w:rsidP="00284F1D">
      <w:pPr>
        <w:pStyle w:val="Caption"/>
      </w:pPr>
      <w:bookmarkStart w:id="13" w:name="_Ref395534093"/>
      <w:r>
        <w:t xml:space="preserve">Table </w:t>
      </w:r>
      <w:fldSimple w:instr=" STYLEREF 1 \s ">
        <w:r w:rsidR="00675079">
          <w:rPr>
            <w:noProof/>
          </w:rPr>
          <w:t>2</w:t>
        </w:r>
      </w:fldSimple>
      <w:r w:rsidR="009D444F">
        <w:t>.</w:t>
      </w:r>
      <w:fldSimple w:instr=" SEQ Table \* ARABIC \s 1 ">
        <w:r w:rsidR="00675079">
          <w:rPr>
            <w:noProof/>
          </w:rPr>
          <w:t>4</w:t>
        </w:r>
      </w:fldSimple>
      <w:bookmarkEnd w:id="13"/>
      <w:r>
        <w:tab/>
      </w:r>
      <w:r w:rsidRPr="00284F1D">
        <w:t xml:space="preserve">AER's draft decision on </w:t>
      </w:r>
      <w:r w:rsidR="00EB13E7">
        <w:t>ActewAGL</w:t>
      </w:r>
      <w:r w:rsidRPr="00284F1D">
        <w:t xml:space="preserve">'s RAB for the 2014–19 period – </w:t>
      </w:r>
      <w:r w:rsidR="00265FF7">
        <w:t>t</w:t>
      </w:r>
      <w:r>
        <w:t>ransmission</w:t>
      </w:r>
      <w:r w:rsidRPr="00284F1D">
        <w:t xml:space="preserve"> ($ million, nominal)</w:t>
      </w:r>
    </w:p>
    <w:tbl>
      <w:tblPr>
        <w:tblStyle w:val="AERtable-numbers"/>
        <w:tblW w:w="5000" w:type="pct"/>
        <w:tblLook w:val="04A0" w:firstRow="1" w:lastRow="0" w:firstColumn="1" w:lastColumn="0" w:noHBand="0" w:noVBand="1"/>
      </w:tblPr>
      <w:tblGrid>
        <w:gridCol w:w="3677"/>
        <w:gridCol w:w="1113"/>
        <w:gridCol w:w="1113"/>
        <w:gridCol w:w="1113"/>
        <w:gridCol w:w="1113"/>
        <w:gridCol w:w="1113"/>
      </w:tblGrid>
      <w:tr w:rsidR="00A5617E" w:rsidRPr="00A5617E" w:rsidTr="00284F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5617E" w:rsidRPr="00A5617E" w:rsidRDefault="00A5617E" w:rsidP="00A5617E">
            <w:pPr>
              <w:pStyle w:val="AERtabletextleft"/>
            </w:pPr>
            <w:r w:rsidRPr="00A5617E">
              <w:t> </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2014–15</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2015–16</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2016–17</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2017–18</w:t>
            </w:r>
          </w:p>
        </w:tc>
        <w:tc>
          <w:tcPr>
            <w:tcW w:w="602" w:type="pct"/>
            <w:noWrap/>
            <w:hideMark/>
          </w:tcPr>
          <w:p w:rsidR="00A5617E" w:rsidRPr="00A5617E" w:rsidRDefault="00A5617E" w:rsidP="00A5617E">
            <w:pPr>
              <w:pStyle w:val="AERtabletextright"/>
              <w:cnfStyle w:val="100000000000" w:firstRow="1" w:lastRow="0" w:firstColumn="0" w:lastColumn="0" w:oddVBand="0" w:evenVBand="0" w:oddHBand="0" w:evenHBand="0" w:firstRowFirstColumn="0" w:firstRowLastColumn="0" w:lastRowFirstColumn="0" w:lastRowLastColumn="0"/>
            </w:pPr>
            <w:r w:rsidRPr="00A5617E">
              <w:t>2018–19</w:t>
            </w:r>
          </w:p>
        </w:tc>
      </w:tr>
      <w:tr w:rsidR="00B711CC" w:rsidRPr="00E03900" w:rsidTr="00B711CC">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711CC" w:rsidRPr="00E03900" w:rsidRDefault="00B711CC" w:rsidP="00E03900">
            <w:pPr>
              <w:pStyle w:val="AERtabletextleft"/>
              <w:rPr>
                <w:rStyle w:val="AERtextbold"/>
                <w:b w:val="0"/>
              </w:rPr>
            </w:pPr>
            <w:r w:rsidRPr="00E03900">
              <w:rPr>
                <w:rStyle w:val="AERtextbold"/>
                <w:b w:val="0"/>
              </w:rPr>
              <w:t>Opening RAB</w:t>
            </w:r>
          </w:p>
        </w:tc>
        <w:tc>
          <w:tcPr>
            <w:tcW w:w="602" w:type="pct"/>
            <w:noWrap/>
            <w:vAlign w:val="top"/>
            <w:hideMark/>
          </w:tcPr>
          <w:p w:rsidR="00B711CC" w:rsidRPr="00E03900" w:rsidRDefault="00B711C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154.1</w:t>
            </w:r>
          </w:p>
        </w:tc>
        <w:tc>
          <w:tcPr>
            <w:tcW w:w="602" w:type="pct"/>
            <w:noWrap/>
            <w:vAlign w:val="top"/>
            <w:hideMark/>
          </w:tcPr>
          <w:p w:rsidR="00B711CC" w:rsidRPr="00E03900" w:rsidRDefault="00B711C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159.2</w:t>
            </w:r>
          </w:p>
        </w:tc>
        <w:tc>
          <w:tcPr>
            <w:tcW w:w="602" w:type="pct"/>
            <w:noWrap/>
            <w:vAlign w:val="top"/>
            <w:hideMark/>
          </w:tcPr>
          <w:p w:rsidR="00B711CC" w:rsidRPr="00E03900" w:rsidRDefault="00B711C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164.6</w:t>
            </w:r>
          </w:p>
        </w:tc>
        <w:tc>
          <w:tcPr>
            <w:tcW w:w="602" w:type="pct"/>
            <w:noWrap/>
            <w:vAlign w:val="top"/>
            <w:hideMark/>
          </w:tcPr>
          <w:p w:rsidR="00B711CC" w:rsidRPr="00E03900" w:rsidRDefault="00B711C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176.8</w:t>
            </w:r>
          </w:p>
        </w:tc>
        <w:tc>
          <w:tcPr>
            <w:tcW w:w="602" w:type="pct"/>
            <w:noWrap/>
            <w:vAlign w:val="top"/>
            <w:hideMark/>
          </w:tcPr>
          <w:p w:rsidR="00B711CC" w:rsidRPr="00E03900" w:rsidRDefault="00B711C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183.8</w:t>
            </w:r>
          </w:p>
        </w:tc>
      </w:tr>
      <w:tr w:rsidR="00B711CC" w:rsidRPr="00A5617E" w:rsidTr="00B711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711CC" w:rsidRPr="00B711CC" w:rsidRDefault="00B711CC" w:rsidP="00B711CC">
            <w:pPr>
              <w:pStyle w:val="AERtabletextleft"/>
            </w:pPr>
            <w:r w:rsidRPr="00B711CC">
              <w:t>Capital expenditure</w:t>
            </w:r>
            <w:r w:rsidRPr="00B711CC">
              <w:rPr>
                <w:rStyle w:val="AERsuperscript"/>
              </w:rPr>
              <w:t>a</w:t>
            </w:r>
          </w:p>
        </w:tc>
        <w:tc>
          <w:tcPr>
            <w:tcW w:w="602" w:type="pct"/>
            <w:noWrap/>
            <w:vAlign w:val="top"/>
            <w:hideMark/>
          </w:tcPr>
          <w:p w:rsidR="00B711CC" w:rsidRPr="00B711CC" w:rsidRDefault="00B711CC" w:rsidP="00B711CC">
            <w:pPr>
              <w:pStyle w:val="AERtabletextright"/>
              <w:cnfStyle w:val="000000010000" w:firstRow="0" w:lastRow="0" w:firstColumn="0" w:lastColumn="0" w:oddVBand="0" w:evenVBand="0" w:oddHBand="0" w:evenHBand="1" w:firstRowFirstColumn="0" w:firstRowLastColumn="0" w:lastRowFirstColumn="0" w:lastRowLastColumn="0"/>
            </w:pPr>
            <w:r w:rsidRPr="00B711CC">
              <w:t>9.3</w:t>
            </w:r>
          </w:p>
        </w:tc>
        <w:tc>
          <w:tcPr>
            <w:tcW w:w="602" w:type="pct"/>
            <w:noWrap/>
            <w:vAlign w:val="top"/>
            <w:hideMark/>
          </w:tcPr>
          <w:p w:rsidR="00B711CC" w:rsidRPr="00B711CC" w:rsidRDefault="00B711CC" w:rsidP="00B711CC">
            <w:pPr>
              <w:pStyle w:val="AERtabletextright"/>
              <w:cnfStyle w:val="000000010000" w:firstRow="0" w:lastRow="0" w:firstColumn="0" w:lastColumn="0" w:oddVBand="0" w:evenVBand="0" w:oddHBand="0" w:evenHBand="1" w:firstRowFirstColumn="0" w:firstRowLastColumn="0" w:lastRowFirstColumn="0" w:lastRowLastColumn="0"/>
            </w:pPr>
            <w:r w:rsidRPr="00B711CC">
              <w:t>10.4</w:t>
            </w:r>
          </w:p>
        </w:tc>
        <w:tc>
          <w:tcPr>
            <w:tcW w:w="602" w:type="pct"/>
            <w:noWrap/>
            <w:vAlign w:val="top"/>
            <w:hideMark/>
          </w:tcPr>
          <w:p w:rsidR="00B711CC" w:rsidRPr="00B711CC" w:rsidRDefault="00B711CC" w:rsidP="00B711CC">
            <w:pPr>
              <w:pStyle w:val="AERtabletextright"/>
              <w:cnfStyle w:val="000000010000" w:firstRow="0" w:lastRow="0" w:firstColumn="0" w:lastColumn="0" w:oddVBand="0" w:evenVBand="0" w:oddHBand="0" w:evenHBand="1" w:firstRowFirstColumn="0" w:firstRowLastColumn="0" w:lastRowFirstColumn="0" w:lastRowLastColumn="0"/>
            </w:pPr>
            <w:r w:rsidRPr="00B711CC">
              <w:t>17.3</w:t>
            </w:r>
          </w:p>
        </w:tc>
        <w:tc>
          <w:tcPr>
            <w:tcW w:w="602" w:type="pct"/>
            <w:noWrap/>
            <w:vAlign w:val="top"/>
            <w:hideMark/>
          </w:tcPr>
          <w:p w:rsidR="00B711CC" w:rsidRPr="00B711CC" w:rsidRDefault="00B711CC" w:rsidP="00B711CC">
            <w:pPr>
              <w:pStyle w:val="AERtabletextright"/>
              <w:cnfStyle w:val="000000010000" w:firstRow="0" w:lastRow="0" w:firstColumn="0" w:lastColumn="0" w:oddVBand="0" w:evenVBand="0" w:oddHBand="0" w:evenHBand="1" w:firstRowFirstColumn="0" w:firstRowLastColumn="0" w:lastRowFirstColumn="0" w:lastRowLastColumn="0"/>
            </w:pPr>
            <w:r w:rsidRPr="00B711CC">
              <w:t>12.4</w:t>
            </w:r>
          </w:p>
        </w:tc>
        <w:tc>
          <w:tcPr>
            <w:tcW w:w="602" w:type="pct"/>
            <w:noWrap/>
            <w:vAlign w:val="top"/>
            <w:hideMark/>
          </w:tcPr>
          <w:p w:rsidR="00B711CC" w:rsidRPr="00B711CC" w:rsidRDefault="00142CE6" w:rsidP="00142CE6">
            <w:pPr>
              <w:pStyle w:val="AERtabletextright"/>
              <w:cnfStyle w:val="000000010000" w:firstRow="0" w:lastRow="0" w:firstColumn="0" w:lastColumn="0" w:oddVBand="0" w:evenVBand="0" w:oddHBand="0" w:evenHBand="1" w:firstRowFirstColumn="0" w:firstRowLastColumn="0" w:lastRowFirstColumn="0" w:lastRowLastColumn="0"/>
            </w:pPr>
            <w:r>
              <w:t>5.9</w:t>
            </w:r>
          </w:p>
        </w:tc>
      </w:tr>
      <w:tr w:rsidR="00B711CC" w:rsidRPr="00A5617E" w:rsidTr="00B711CC">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711CC" w:rsidRPr="00B711CC" w:rsidRDefault="00B711CC" w:rsidP="00B711CC">
            <w:pPr>
              <w:pStyle w:val="AERtabletextleft"/>
            </w:pPr>
            <w:r w:rsidRPr="00B711CC">
              <w:t>Inflation indexation on opening RAB</w:t>
            </w:r>
          </w:p>
        </w:tc>
        <w:tc>
          <w:tcPr>
            <w:tcW w:w="602" w:type="pct"/>
            <w:noWrap/>
            <w:vAlign w:val="top"/>
            <w:hideMark/>
          </w:tcPr>
          <w:p w:rsidR="00B711CC" w:rsidRPr="00B711CC" w:rsidRDefault="00B711CC" w:rsidP="00B711CC">
            <w:pPr>
              <w:pStyle w:val="AERtabletextright"/>
              <w:cnfStyle w:val="000000000000" w:firstRow="0" w:lastRow="0" w:firstColumn="0" w:lastColumn="0" w:oddVBand="0" w:evenVBand="0" w:oddHBand="0" w:evenHBand="0" w:firstRowFirstColumn="0" w:firstRowLastColumn="0" w:lastRowFirstColumn="0" w:lastRowLastColumn="0"/>
            </w:pPr>
            <w:r w:rsidRPr="00B711CC">
              <w:t>3.9</w:t>
            </w:r>
          </w:p>
        </w:tc>
        <w:tc>
          <w:tcPr>
            <w:tcW w:w="602" w:type="pct"/>
            <w:noWrap/>
            <w:vAlign w:val="top"/>
            <w:hideMark/>
          </w:tcPr>
          <w:p w:rsidR="00B711CC" w:rsidRPr="00B711CC" w:rsidRDefault="00B711CC" w:rsidP="00B711CC">
            <w:pPr>
              <w:pStyle w:val="AERtabletextright"/>
              <w:cnfStyle w:val="000000000000" w:firstRow="0" w:lastRow="0" w:firstColumn="0" w:lastColumn="0" w:oddVBand="0" w:evenVBand="0" w:oddHBand="0" w:evenHBand="0" w:firstRowFirstColumn="0" w:firstRowLastColumn="0" w:lastRowFirstColumn="0" w:lastRowLastColumn="0"/>
            </w:pPr>
            <w:r w:rsidRPr="00B711CC">
              <w:t>4.0</w:t>
            </w:r>
          </w:p>
        </w:tc>
        <w:tc>
          <w:tcPr>
            <w:tcW w:w="602" w:type="pct"/>
            <w:noWrap/>
            <w:vAlign w:val="top"/>
            <w:hideMark/>
          </w:tcPr>
          <w:p w:rsidR="00B711CC" w:rsidRPr="00B711CC" w:rsidRDefault="00B711CC" w:rsidP="00B711CC">
            <w:pPr>
              <w:pStyle w:val="AERtabletextright"/>
              <w:cnfStyle w:val="000000000000" w:firstRow="0" w:lastRow="0" w:firstColumn="0" w:lastColumn="0" w:oddVBand="0" w:evenVBand="0" w:oddHBand="0" w:evenHBand="0" w:firstRowFirstColumn="0" w:firstRowLastColumn="0" w:lastRowFirstColumn="0" w:lastRowLastColumn="0"/>
            </w:pPr>
            <w:r w:rsidRPr="00B711CC">
              <w:t>4.1</w:t>
            </w:r>
          </w:p>
        </w:tc>
        <w:tc>
          <w:tcPr>
            <w:tcW w:w="602" w:type="pct"/>
            <w:noWrap/>
            <w:vAlign w:val="top"/>
            <w:hideMark/>
          </w:tcPr>
          <w:p w:rsidR="00B711CC" w:rsidRPr="00B711CC" w:rsidRDefault="00B711CC" w:rsidP="00B711CC">
            <w:pPr>
              <w:pStyle w:val="AERtabletextright"/>
              <w:cnfStyle w:val="000000000000" w:firstRow="0" w:lastRow="0" w:firstColumn="0" w:lastColumn="0" w:oddVBand="0" w:evenVBand="0" w:oddHBand="0" w:evenHBand="0" w:firstRowFirstColumn="0" w:firstRowLastColumn="0" w:lastRowFirstColumn="0" w:lastRowLastColumn="0"/>
            </w:pPr>
            <w:r w:rsidRPr="00B711CC">
              <w:t>4.4</w:t>
            </w:r>
          </w:p>
        </w:tc>
        <w:tc>
          <w:tcPr>
            <w:tcW w:w="602" w:type="pct"/>
            <w:noWrap/>
            <w:vAlign w:val="top"/>
            <w:hideMark/>
          </w:tcPr>
          <w:p w:rsidR="00B711CC" w:rsidRPr="00B711CC" w:rsidRDefault="00B711CC" w:rsidP="00B711CC">
            <w:pPr>
              <w:pStyle w:val="AERtabletextright"/>
              <w:cnfStyle w:val="000000000000" w:firstRow="0" w:lastRow="0" w:firstColumn="0" w:lastColumn="0" w:oddVBand="0" w:evenVBand="0" w:oddHBand="0" w:evenHBand="0" w:firstRowFirstColumn="0" w:firstRowLastColumn="0" w:lastRowFirstColumn="0" w:lastRowLastColumn="0"/>
            </w:pPr>
            <w:r w:rsidRPr="00B711CC">
              <w:t>4.6</w:t>
            </w:r>
          </w:p>
        </w:tc>
      </w:tr>
      <w:tr w:rsidR="00B711CC" w:rsidRPr="00A5617E" w:rsidTr="00B711C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711CC" w:rsidRPr="00B711CC" w:rsidRDefault="00B711CC" w:rsidP="00B711CC">
            <w:pPr>
              <w:pStyle w:val="AERtabletextleft"/>
            </w:pPr>
            <w:r w:rsidRPr="00212AFB">
              <w:rPr>
                <w:rStyle w:val="AERtextitalic"/>
              </w:rPr>
              <w:t>Less:</w:t>
            </w:r>
            <w:r w:rsidRPr="00B711CC">
              <w:t xml:space="preserve"> straight-line depreciation</w:t>
            </w:r>
          </w:p>
        </w:tc>
        <w:tc>
          <w:tcPr>
            <w:tcW w:w="602" w:type="pct"/>
            <w:noWrap/>
            <w:vAlign w:val="top"/>
            <w:hideMark/>
          </w:tcPr>
          <w:p w:rsidR="00B711CC" w:rsidRPr="00B711CC" w:rsidRDefault="00B711CC" w:rsidP="00B711CC">
            <w:pPr>
              <w:pStyle w:val="AERtabletextright"/>
              <w:cnfStyle w:val="000000010000" w:firstRow="0" w:lastRow="0" w:firstColumn="0" w:lastColumn="0" w:oddVBand="0" w:evenVBand="0" w:oddHBand="0" w:evenHBand="1" w:firstRowFirstColumn="0" w:firstRowLastColumn="0" w:lastRowFirstColumn="0" w:lastRowLastColumn="0"/>
            </w:pPr>
            <w:r w:rsidRPr="00B711CC">
              <w:t>8.1</w:t>
            </w:r>
          </w:p>
        </w:tc>
        <w:tc>
          <w:tcPr>
            <w:tcW w:w="602" w:type="pct"/>
            <w:noWrap/>
            <w:vAlign w:val="top"/>
            <w:hideMark/>
          </w:tcPr>
          <w:p w:rsidR="00B711CC" w:rsidRPr="00B711CC" w:rsidRDefault="00B711CC" w:rsidP="00B711CC">
            <w:pPr>
              <w:pStyle w:val="AERtabletextright"/>
              <w:cnfStyle w:val="000000010000" w:firstRow="0" w:lastRow="0" w:firstColumn="0" w:lastColumn="0" w:oddVBand="0" w:evenVBand="0" w:oddHBand="0" w:evenHBand="1" w:firstRowFirstColumn="0" w:firstRowLastColumn="0" w:lastRowFirstColumn="0" w:lastRowLastColumn="0"/>
            </w:pPr>
            <w:r w:rsidRPr="00B711CC">
              <w:t>8.9</w:t>
            </w:r>
          </w:p>
        </w:tc>
        <w:tc>
          <w:tcPr>
            <w:tcW w:w="602" w:type="pct"/>
            <w:noWrap/>
            <w:vAlign w:val="top"/>
            <w:hideMark/>
          </w:tcPr>
          <w:p w:rsidR="00B711CC" w:rsidRPr="00B711CC" w:rsidRDefault="00B711CC" w:rsidP="00B711CC">
            <w:pPr>
              <w:pStyle w:val="AERtabletextright"/>
              <w:cnfStyle w:val="000000010000" w:firstRow="0" w:lastRow="0" w:firstColumn="0" w:lastColumn="0" w:oddVBand="0" w:evenVBand="0" w:oddHBand="0" w:evenHBand="1" w:firstRowFirstColumn="0" w:firstRowLastColumn="0" w:lastRowFirstColumn="0" w:lastRowLastColumn="0"/>
            </w:pPr>
            <w:r w:rsidRPr="00B711CC">
              <w:t>9.2</w:t>
            </w:r>
          </w:p>
        </w:tc>
        <w:tc>
          <w:tcPr>
            <w:tcW w:w="602" w:type="pct"/>
            <w:noWrap/>
            <w:vAlign w:val="top"/>
            <w:hideMark/>
          </w:tcPr>
          <w:p w:rsidR="00B711CC" w:rsidRPr="00B711CC" w:rsidRDefault="00B711CC" w:rsidP="00B711CC">
            <w:pPr>
              <w:pStyle w:val="AERtabletextright"/>
              <w:cnfStyle w:val="000000010000" w:firstRow="0" w:lastRow="0" w:firstColumn="0" w:lastColumn="0" w:oddVBand="0" w:evenVBand="0" w:oddHBand="0" w:evenHBand="1" w:firstRowFirstColumn="0" w:firstRowLastColumn="0" w:lastRowFirstColumn="0" w:lastRowLastColumn="0"/>
            </w:pPr>
            <w:r w:rsidRPr="00B711CC">
              <w:t>9.9</w:t>
            </w:r>
          </w:p>
        </w:tc>
        <w:tc>
          <w:tcPr>
            <w:tcW w:w="602" w:type="pct"/>
            <w:noWrap/>
            <w:vAlign w:val="top"/>
            <w:hideMark/>
          </w:tcPr>
          <w:p w:rsidR="00B711CC" w:rsidRPr="00B711CC" w:rsidRDefault="00B711CC" w:rsidP="00B711CC">
            <w:pPr>
              <w:pStyle w:val="AERtabletextright"/>
              <w:cnfStyle w:val="000000010000" w:firstRow="0" w:lastRow="0" w:firstColumn="0" w:lastColumn="0" w:oddVBand="0" w:evenVBand="0" w:oddHBand="0" w:evenHBand="1" w:firstRowFirstColumn="0" w:firstRowLastColumn="0" w:lastRowFirstColumn="0" w:lastRowLastColumn="0"/>
            </w:pPr>
            <w:r w:rsidRPr="00B711CC">
              <w:t>10.2</w:t>
            </w:r>
          </w:p>
        </w:tc>
      </w:tr>
      <w:tr w:rsidR="00B711CC" w:rsidRPr="00E03900" w:rsidTr="00B711CC">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B711CC" w:rsidRPr="00E03900" w:rsidRDefault="00B711CC" w:rsidP="00E03900">
            <w:pPr>
              <w:pStyle w:val="AERtabletextleft"/>
              <w:rPr>
                <w:rStyle w:val="AERtextbold"/>
                <w:b w:val="0"/>
              </w:rPr>
            </w:pPr>
            <w:r w:rsidRPr="00E03900">
              <w:rPr>
                <w:rStyle w:val="AERtextbold"/>
                <w:b w:val="0"/>
              </w:rPr>
              <w:t>Closing RAB</w:t>
            </w:r>
          </w:p>
        </w:tc>
        <w:tc>
          <w:tcPr>
            <w:tcW w:w="602" w:type="pct"/>
            <w:noWrap/>
            <w:vAlign w:val="top"/>
            <w:hideMark/>
          </w:tcPr>
          <w:p w:rsidR="00B711CC" w:rsidRPr="00E03900" w:rsidRDefault="00B711C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159.2</w:t>
            </w:r>
          </w:p>
        </w:tc>
        <w:tc>
          <w:tcPr>
            <w:tcW w:w="602" w:type="pct"/>
            <w:noWrap/>
            <w:vAlign w:val="top"/>
            <w:hideMark/>
          </w:tcPr>
          <w:p w:rsidR="00B711CC" w:rsidRPr="00E03900" w:rsidRDefault="00B711C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164.6</w:t>
            </w:r>
          </w:p>
        </w:tc>
        <w:tc>
          <w:tcPr>
            <w:tcW w:w="602" w:type="pct"/>
            <w:noWrap/>
            <w:vAlign w:val="top"/>
            <w:hideMark/>
          </w:tcPr>
          <w:p w:rsidR="00B711CC" w:rsidRPr="00E03900" w:rsidRDefault="00B711C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176.8</w:t>
            </w:r>
          </w:p>
        </w:tc>
        <w:tc>
          <w:tcPr>
            <w:tcW w:w="602" w:type="pct"/>
            <w:noWrap/>
            <w:vAlign w:val="top"/>
            <w:hideMark/>
          </w:tcPr>
          <w:p w:rsidR="00B711CC" w:rsidRPr="00E03900" w:rsidRDefault="00B711C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183.8</w:t>
            </w:r>
          </w:p>
        </w:tc>
        <w:tc>
          <w:tcPr>
            <w:tcW w:w="602" w:type="pct"/>
            <w:noWrap/>
            <w:vAlign w:val="top"/>
            <w:hideMark/>
          </w:tcPr>
          <w:p w:rsidR="00B711CC" w:rsidRPr="00E03900" w:rsidRDefault="00B711C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184.</w:t>
            </w:r>
            <w:r w:rsidR="00142CE6" w:rsidRPr="00E03900">
              <w:rPr>
                <w:rStyle w:val="AERtextbold"/>
                <w:b w:val="0"/>
              </w:rPr>
              <w:t>2</w:t>
            </w:r>
          </w:p>
        </w:tc>
      </w:tr>
    </w:tbl>
    <w:p w:rsidR="008A0472" w:rsidRPr="008A0472" w:rsidRDefault="008A0472" w:rsidP="008A0472">
      <w:pPr>
        <w:pStyle w:val="AERtablesource"/>
      </w:pPr>
      <w:r w:rsidRPr="008A0472">
        <w:t>Source:</w:t>
      </w:r>
      <w:r w:rsidRPr="008A0472">
        <w:tab/>
        <w:t>AER analysis</w:t>
      </w:r>
      <w:r w:rsidR="00265FF7">
        <w:t>.</w:t>
      </w:r>
    </w:p>
    <w:p w:rsidR="008A0472" w:rsidRDefault="008A0472" w:rsidP="008A0472">
      <w:pPr>
        <w:pStyle w:val="AERtablesource"/>
      </w:pPr>
      <w:r w:rsidRPr="008A0472">
        <w:t>(a)</w:t>
      </w:r>
      <w:r w:rsidRPr="008A0472">
        <w:tab/>
        <w:t>Net of disposals and capital contributions.</w:t>
      </w:r>
    </w:p>
    <w:p w:rsidR="00D35DC1" w:rsidRPr="00D35DC1" w:rsidRDefault="00D35DC1" w:rsidP="00D35DC1">
      <w:pPr>
        <w:pStyle w:val="AERbodytext"/>
      </w:pPr>
      <w:r w:rsidRPr="00D35DC1">
        <w:t>We determine that the forecast depreciation approach is to be used to establish the opening RAB</w:t>
      </w:r>
      <w:r w:rsidR="00EB7778">
        <w:t>s</w:t>
      </w:r>
      <w:r w:rsidRPr="00D35DC1">
        <w:t xml:space="preserve"> at the commencement of the 2019</w:t>
      </w:r>
      <w:r w:rsidR="00265FF7">
        <w:t>–</w:t>
      </w:r>
      <w:r w:rsidRPr="00D35DC1">
        <w:t xml:space="preserve">24 regulatory control period for </w:t>
      </w:r>
      <w:r>
        <w:t>ActewAGL</w:t>
      </w:r>
      <w:r w:rsidRPr="00D35DC1">
        <w:t>.</w:t>
      </w:r>
      <w:r w:rsidR="006B48FA">
        <w:rPr>
          <w:rStyle w:val="FootnoteReference"/>
        </w:rPr>
        <w:footnoteReference w:id="3"/>
      </w:r>
      <w:r w:rsidRPr="00D35DC1">
        <w:t xml:space="preserve"> This will apply to the full 2014</w:t>
      </w:r>
      <w:r w:rsidR="00265FF7">
        <w:t>–</w:t>
      </w:r>
      <w:r w:rsidRPr="00D35DC1">
        <w:t xml:space="preserve">19 </w:t>
      </w:r>
      <w:r w:rsidR="00F02E5A">
        <w:t>p</w:t>
      </w:r>
      <w:r w:rsidRPr="00D35DC1">
        <w:t>eriod, including the 2014</w:t>
      </w:r>
      <w:r w:rsidR="00265FF7">
        <w:t>–</w:t>
      </w:r>
      <w:r w:rsidRPr="00D35DC1">
        <w:t>15 transitional regulatory control period. We consider this approach will provide sufficient incentives for A</w:t>
      </w:r>
      <w:r>
        <w:t>ctewAGL</w:t>
      </w:r>
      <w:r w:rsidRPr="00D35DC1">
        <w:t xml:space="preserve"> to achieve efficiency gains over those periods, and for benefits to be shared with users over future periods. </w:t>
      </w:r>
      <w:r>
        <w:t>ActewAGL</w:t>
      </w:r>
      <w:r w:rsidRPr="00D35DC1">
        <w:t xml:space="preserve"> is not currently subject to a capital expenditure efficiency scheme (CESS). However, the CESS will apply to A</w:t>
      </w:r>
      <w:r w:rsidR="00FD7811">
        <w:t>ctewAGL</w:t>
      </w:r>
      <w:r w:rsidRPr="00D35DC1">
        <w:t xml:space="preserve"> over the </w:t>
      </w:r>
      <w:r w:rsidR="00265FF7">
        <w:t>subsequent (</w:t>
      </w:r>
      <w:r w:rsidRPr="00D35DC1">
        <w:t>2015</w:t>
      </w:r>
      <w:r w:rsidR="00265FF7">
        <w:t>–</w:t>
      </w:r>
      <w:r w:rsidRPr="00D35DC1">
        <w:t>19</w:t>
      </w:r>
      <w:r w:rsidR="00265FF7">
        <w:t>)</w:t>
      </w:r>
      <w:r w:rsidR="00EB7778">
        <w:t xml:space="preserve"> period</w:t>
      </w:r>
      <w:r w:rsidRPr="00D35DC1">
        <w:t xml:space="preserve">.   </w:t>
      </w:r>
    </w:p>
    <w:p w:rsidR="00D97003" w:rsidRDefault="009179D3" w:rsidP="00D97003">
      <w:pPr>
        <w:pStyle w:val="Heading2"/>
      </w:pPr>
      <w:bookmarkStart w:id="14" w:name="_Toc404699588"/>
      <w:r>
        <w:t>ActewAGL's</w:t>
      </w:r>
      <w:r w:rsidR="00613D7D">
        <w:t xml:space="preserve"> </w:t>
      </w:r>
      <w:r w:rsidR="00FE69C2">
        <w:t>proposal</w:t>
      </w:r>
      <w:bookmarkEnd w:id="14"/>
    </w:p>
    <w:p w:rsidR="0029139A" w:rsidRDefault="00D35DC1" w:rsidP="00D93F05">
      <w:pPr>
        <w:pStyle w:val="AERbodytext"/>
        <w:numPr>
          <w:ilvl w:val="0"/>
          <w:numId w:val="0"/>
        </w:numPr>
      </w:pPr>
      <w:r w:rsidRPr="00D35DC1">
        <w:t>A</w:t>
      </w:r>
      <w:r>
        <w:t>ctewAGL</w:t>
      </w:r>
      <w:r w:rsidRPr="00D35DC1">
        <w:t xml:space="preserve"> used our </w:t>
      </w:r>
      <w:r w:rsidR="0032308B">
        <w:t>roll forward</w:t>
      </w:r>
      <w:r w:rsidR="00D2149D">
        <w:t xml:space="preserve"> </w:t>
      </w:r>
      <w:r w:rsidR="0032308B">
        <w:t>model (</w:t>
      </w:r>
      <w:r w:rsidRPr="00D35DC1">
        <w:t>RFM</w:t>
      </w:r>
      <w:r w:rsidR="0032308B">
        <w:t>)</w:t>
      </w:r>
      <w:r w:rsidRPr="00D35DC1">
        <w:t xml:space="preserve"> to establish opening RAB</w:t>
      </w:r>
      <w:r w:rsidR="00EB7778">
        <w:t>s</w:t>
      </w:r>
      <w:r w:rsidRPr="00D35DC1">
        <w:t xml:space="preserve"> as at 1 July 2014 and our </w:t>
      </w:r>
      <w:r w:rsidR="0032308B">
        <w:t>post-tax revenue model (</w:t>
      </w:r>
      <w:r w:rsidRPr="00D35DC1">
        <w:t>PTRM</w:t>
      </w:r>
      <w:r w:rsidR="0032308B">
        <w:t>)</w:t>
      </w:r>
      <w:r w:rsidRPr="00D35DC1">
        <w:t xml:space="preserve"> to roll forward the RAB</w:t>
      </w:r>
      <w:r w:rsidR="00EB7778">
        <w:t>s</w:t>
      </w:r>
      <w:r w:rsidRPr="00D35DC1">
        <w:t xml:space="preserve"> over the 2014–19 period.</w:t>
      </w:r>
      <w:r w:rsidR="009038A2">
        <w:t xml:space="preserve"> ActewAGL </w:t>
      </w:r>
      <w:r w:rsidR="007A4A28">
        <w:t>sep</w:t>
      </w:r>
      <w:r w:rsidR="0032308B">
        <w:t>a</w:t>
      </w:r>
      <w:r w:rsidR="007A4A28">
        <w:t xml:space="preserve">rated </w:t>
      </w:r>
      <w:r w:rsidR="009038A2">
        <w:t>the opening RAB value</w:t>
      </w:r>
      <w:r w:rsidR="007A4A28">
        <w:t>s</w:t>
      </w:r>
      <w:r w:rsidR="009038A2">
        <w:t xml:space="preserve"> for </w:t>
      </w:r>
      <w:r w:rsidR="007A4A28">
        <w:t xml:space="preserve">distribution and transmission </w:t>
      </w:r>
      <w:r w:rsidR="0032308B">
        <w:t xml:space="preserve">assets </w:t>
      </w:r>
      <w:r w:rsidR="009038A2">
        <w:t>as at 1 July 2009.</w:t>
      </w:r>
      <w:r w:rsidR="009038A2">
        <w:rPr>
          <w:rStyle w:val="FootnoteReference"/>
        </w:rPr>
        <w:footnoteReference w:id="4"/>
      </w:r>
      <w:r w:rsidR="009038A2">
        <w:t xml:space="preserve"> </w:t>
      </w:r>
      <w:r w:rsidR="001E7F3A">
        <w:t>A</w:t>
      </w:r>
      <w:r w:rsidR="00EB13E7">
        <w:t>ctewAGL</w:t>
      </w:r>
      <w:r w:rsidR="001E7F3A">
        <w:t xml:space="preserve"> </w:t>
      </w:r>
      <w:r w:rsidR="001E7F3A" w:rsidRPr="001E7F3A">
        <w:t>proposed op</w:t>
      </w:r>
      <w:r w:rsidR="001E7F3A">
        <w:t xml:space="preserve">ening </w:t>
      </w:r>
      <w:r w:rsidR="0029139A">
        <w:t xml:space="preserve">asset </w:t>
      </w:r>
      <w:r w:rsidR="001E7F3A">
        <w:t>value</w:t>
      </w:r>
      <w:r w:rsidR="0032308B">
        <w:t>s</w:t>
      </w:r>
      <w:r w:rsidR="001E7F3A">
        <w:t xml:space="preserve"> </w:t>
      </w:r>
      <w:r w:rsidR="001E7F3A" w:rsidRPr="001E7F3A">
        <w:t>as at 1 July 20</w:t>
      </w:r>
      <w:r w:rsidR="0029139A">
        <w:t>09</w:t>
      </w:r>
      <w:r w:rsidR="001E7F3A">
        <w:t xml:space="preserve"> of $</w:t>
      </w:r>
      <w:r w:rsidR="00EB13E7">
        <w:t>523.3</w:t>
      </w:r>
      <w:r w:rsidR="0029139A">
        <w:t> </w:t>
      </w:r>
      <w:r w:rsidR="001E7F3A">
        <w:t>million and $</w:t>
      </w:r>
      <w:r w:rsidR="00EB13E7">
        <w:t>75.4</w:t>
      </w:r>
      <w:r w:rsidR="0029139A">
        <w:t> </w:t>
      </w:r>
      <w:r w:rsidR="001E7F3A">
        <w:t xml:space="preserve">million ($ nominal) for its distribution and transmission </w:t>
      </w:r>
      <w:r w:rsidR="0032308B">
        <w:t xml:space="preserve">networks </w:t>
      </w:r>
      <w:r w:rsidR="001E7F3A">
        <w:t>respectively</w:t>
      </w:r>
      <w:r w:rsidR="001E7F3A" w:rsidRPr="001E7F3A">
        <w:t>.</w:t>
      </w:r>
      <w:r w:rsidR="001E7F3A">
        <w:t xml:space="preserve"> </w:t>
      </w:r>
      <w:r w:rsidR="0029139A">
        <w:t>Rolling forward these RABs</w:t>
      </w:r>
      <w:r w:rsidR="00B97C84">
        <w:t>,</w:t>
      </w:r>
      <w:r w:rsidR="0029139A">
        <w:t xml:space="preserve"> it </w:t>
      </w:r>
      <w:r w:rsidR="001E7F3A" w:rsidRPr="001E7F3A">
        <w:t xml:space="preserve">proposed </w:t>
      </w:r>
      <w:r w:rsidR="0029139A">
        <w:t>closing</w:t>
      </w:r>
      <w:r w:rsidR="001E7F3A" w:rsidRPr="001E7F3A">
        <w:t xml:space="preserve"> RAB</w:t>
      </w:r>
      <w:r w:rsidR="0032308B">
        <w:t>s</w:t>
      </w:r>
      <w:r w:rsidR="001E7F3A" w:rsidRPr="001E7F3A">
        <w:t xml:space="preserve"> as at </w:t>
      </w:r>
      <w:r w:rsidR="001E7F3A">
        <w:t>30</w:t>
      </w:r>
      <w:r w:rsidR="001E7F3A" w:rsidRPr="001E7F3A">
        <w:t xml:space="preserve"> </w:t>
      </w:r>
      <w:r w:rsidR="001E7F3A">
        <w:t>June</w:t>
      </w:r>
      <w:r w:rsidR="001E7F3A" w:rsidRPr="001E7F3A">
        <w:t xml:space="preserve"> 201</w:t>
      </w:r>
      <w:r w:rsidR="0029139A">
        <w:t>4</w:t>
      </w:r>
      <w:r w:rsidR="001E7F3A" w:rsidRPr="001E7F3A">
        <w:t xml:space="preserve"> of $</w:t>
      </w:r>
      <w:r w:rsidR="00EB13E7">
        <w:t>696.1</w:t>
      </w:r>
      <w:r w:rsidR="0029139A">
        <w:t> </w:t>
      </w:r>
      <w:r w:rsidR="001E7F3A" w:rsidRPr="001E7F3A">
        <w:t xml:space="preserve">million </w:t>
      </w:r>
      <w:r w:rsidR="001E7F3A">
        <w:t>and $</w:t>
      </w:r>
      <w:r w:rsidR="00EB13E7">
        <w:t xml:space="preserve">154.2 </w:t>
      </w:r>
      <w:r w:rsidR="001E7F3A">
        <w:t xml:space="preserve">million ($ nominal) </w:t>
      </w:r>
      <w:r w:rsidR="001E7F3A" w:rsidRPr="001E7F3A">
        <w:t>for</w:t>
      </w:r>
      <w:r w:rsidR="0029139A">
        <w:t xml:space="preserve"> its distribution and transmission networks</w:t>
      </w:r>
      <w:r w:rsidR="00B97C84">
        <w:t xml:space="preserve"> respectively</w:t>
      </w:r>
      <w:r w:rsidR="0029139A">
        <w:t xml:space="preserve">. </w:t>
      </w:r>
      <w:r w:rsidR="0067382C">
        <w:fldChar w:fldCharType="begin"/>
      </w:r>
      <w:r w:rsidR="0067382C">
        <w:instrText xml:space="preserve"> REF _Ref392854993 \h </w:instrText>
      </w:r>
      <w:r w:rsidR="0067382C">
        <w:fldChar w:fldCharType="separate"/>
      </w:r>
      <w:r w:rsidR="00675079">
        <w:t xml:space="preserve">Table </w:t>
      </w:r>
      <w:r w:rsidR="00675079">
        <w:rPr>
          <w:noProof/>
        </w:rPr>
        <w:t>2</w:t>
      </w:r>
      <w:r w:rsidR="00675079">
        <w:t>.</w:t>
      </w:r>
      <w:r w:rsidR="00675079">
        <w:rPr>
          <w:noProof/>
        </w:rPr>
        <w:t>5</w:t>
      </w:r>
      <w:r w:rsidR="0067382C">
        <w:fldChar w:fldCharType="end"/>
      </w:r>
      <w:r w:rsidR="0029139A" w:rsidRPr="0029139A">
        <w:t xml:space="preserve"> and </w:t>
      </w:r>
      <w:r w:rsidR="0067382C">
        <w:fldChar w:fldCharType="begin"/>
      </w:r>
      <w:r w:rsidR="0067382C">
        <w:instrText xml:space="preserve"> REF _Ref392854644 \h </w:instrText>
      </w:r>
      <w:r w:rsidR="0067382C">
        <w:fldChar w:fldCharType="separate"/>
      </w:r>
      <w:r w:rsidR="00675079">
        <w:t xml:space="preserve">Table </w:t>
      </w:r>
      <w:r w:rsidR="00675079">
        <w:rPr>
          <w:noProof/>
        </w:rPr>
        <w:t>2</w:t>
      </w:r>
      <w:r w:rsidR="00675079">
        <w:t>.</w:t>
      </w:r>
      <w:r w:rsidR="00675079">
        <w:rPr>
          <w:noProof/>
        </w:rPr>
        <w:t>6</w:t>
      </w:r>
      <w:r w:rsidR="0067382C">
        <w:fldChar w:fldCharType="end"/>
      </w:r>
      <w:r w:rsidR="0029139A" w:rsidRPr="0029139A">
        <w:t xml:space="preserve"> present </w:t>
      </w:r>
      <w:r w:rsidR="0029139A">
        <w:t>A</w:t>
      </w:r>
      <w:r w:rsidR="00EB13E7">
        <w:t>ctewAGL</w:t>
      </w:r>
      <w:r w:rsidR="0029139A" w:rsidRPr="0029139A">
        <w:t xml:space="preserve">'s </w:t>
      </w:r>
      <w:r w:rsidR="0029139A" w:rsidRPr="0029139A">
        <w:lastRenderedPageBreak/>
        <w:t>proposed roll forward of the RAB</w:t>
      </w:r>
      <w:r w:rsidR="007A4A28">
        <w:t>s</w:t>
      </w:r>
      <w:r w:rsidR="0029139A" w:rsidRPr="0029139A">
        <w:t xml:space="preserve"> </w:t>
      </w:r>
      <w:r w:rsidR="00B97C84">
        <w:t>over</w:t>
      </w:r>
      <w:r w:rsidR="00B97C84" w:rsidRPr="0029139A">
        <w:t xml:space="preserve"> </w:t>
      </w:r>
      <w:r w:rsidR="0029139A" w:rsidRPr="0029139A">
        <w:t>the 2009–14 regulatory control period</w:t>
      </w:r>
      <w:r w:rsidR="00103C51">
        <w:t xml:space="preserve"> for its distribution and transmission networks respectively.</w:t>
      </w:r>
      <w:r w:rsidR="00B97C84">
        <w:t xml:space="preserve"> </w:t>
      </w:r>
    </w:p>
    <w:p w:rsidR="00103C51" w:rsidRPr="004132A9" w:rsidRDefault="0067382C" w:rsidP="0067382C">
      <w:pPr>
        <w:pStyle w:val="Caption"/>
        <w:rPr>
          <w:rStyle w:val="AERtexthighlight"/>
          <w:shd w:val="clear" w:color="auto" w:fill="auto"/>
        </w:rPr>
      </w:pPr>
      <w:bookmarkStart w:id="15" w:name="_Ref392854993"/>
      <w:r>
        <w:t xml:space="preserve">Table </w:t>
      </w:r>
      <w:fldSimple w:instr=" STYLEREF 1 \s ">
        <w:r w:rsidR="00675079">
          <w:rPr>
            <w:noProof/>
          </w:rPr>
          <w:t>2</w:t>
        </w:r>
      </w:fldSimple>
      <w:r w:rsidR="009D444F">
        <w:t>.</w:t>
      </w:r>
      <w:fldSimple w:instr=" SEQ Table \* ARABIC \s 1 ">
        <w:r w:rsidR="00675079">
          <w:rPr>
            <w:noProof/>
          </w:rPr>
          <w:t>5</w:t>
        </w:r>
      </w:fldSimple>
      <w:bookmarkEnd w:id="15"/>
      <w:r>
        <w:tab/>
      </w:r>
      <w:r w:rsidR="004132A9">
        <w:t>A</w:t>
      </w:r>
      <w:r w:rsidR="00FD7811">
        <w:t>ctewAGL</w:t>
      </w:r>
      <w:r w:rsidR="004132A9" w:rsidRPr="004132A9">
        <w:t>'s proposed RAB for the 200</w:t>
      </w:r>
      <w:r w:rsidR="004132A9">
        <w:t xml:space="preserve">9–14 regulatory control period </w:t>
      </w:r>
      <w:r w:rsidR="00BE18D3">
        <w:t xml:space="preserve">– distribution </w:t>
      </w:r>
      <w:r w:rsidR="004132A9" w:rsidRPr="004132A9">
        <w:t>($million, nominal)</w:t>
      </w:r>
      <w:r w:rsidR="004132A9">
        <w:t xml:space="preserve"> </w:t>
      </w:r>
    </w:p>
    <w:tbl>
      <w:tblPr>
        <w:tblStyle w:val="AERtable-numbers"/>
        <w:tblW w:w="9123" w:type="dxa"/>
        <w:tblLook w:val="04A0" w:firstRow="1" w:lastRow="0" w:firstColumn="1" w:lastColumn="0" w:noHBand="0" w:noVBand="1"/>
      </w:tblPr>
      <w:tblGrid>
        <w:gridCol w:w="3598"/>
        <w:gridCol w:w="29"/>
        <w:gridCol w:w="1099"/>
        <w:gridCol w:w="1100"/>
        <w:gridCol w:w="1099"/>
        <w:gridCol w:w="1099"/>
        <w:gridCol w:w="1099"/>
      </w:tblGrid>
      <w:tr w:rsidR="0011410F" w:rsidRPr="0011410F" w:rsidTr="0028138C">
        <w:trPr>
          <w:cnfStyle w:val="100000000000" w:firstRow="1" w:lastRow="0" w:firstColumn="0" w:lastColumn="0" w:oddVBand="0" w:evenVBand="0" w:oddHBand="0" w:evenHBand="0" w:firstRowFirstColumn="0" w:firstRowLastColumn="0" w:lastRowFirstColumn="0" w:lastRowLastColumn="0"/>
          <w:trHeight w:val="282"/>
          <w:tblHeader/>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11410F" w:rsidRPr="0011410F" w:rsidRDefault="0011410F" w:rsidP="0011410F">
            <w:pPr>
              <w:pStyle w:val="AERtabletextleft"/>
            </w:pPr>
            <w:r w:rsidRPr="0011410F">
              <w:t> </w:t>
            </w:r>
          </w:p>
        </w:tc>
        <w:tc>
          <w:tcPr>
            <w:tcW w:w="1099"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2009–10</w:t>
            </w:r>
          </w:p>
        </w:tc>
        <w:tc>
          <w:tcPr>
            <w:tcW w:w="1100"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2010–11</w:t>
            </w:r>
          </w:p>
        </w:tc>
        <w:tc>
          <w:tcPr>
            <w:tcW w:w="1099"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2011–12</w:t>
            </w:r>
          </w:p>
        </w:tc>
        <w:tc>
          <w:tcPr>
            <w:tcW w:w="1099"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2012–13</w:t>
            </w:r>
          </w:p>
        </w:tc>
        <w:tc>
          <w:tcPr>
            <w:tcW w:w="1099"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2013–14</w:t>
            </w:r>
            <w:r w:rsidR="00F41773" w:rsidRPr="00F41773">
              <w:rPr>
                <w:rStyle w:val="AERsuperscript"/>
              </w:rPr>
              <w:t>a</w:t>
            </w:r>
          </w:p>
        </w:tc>
      </w:tr>
      <w:tr w:rsidR="0028138C" w:rsidRPr="00E03900" w:rsidTr="0028138C">
        <w:trPr>
          <w:trHeight w:val="282"/>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28138C" w:rsidRPr="00E03900" w:rsidRDefault="0028138C" w:rsidP="00E03900">
            <w:pPr>
              <w:pStyle w:val="AERtabletextleft"/>
              <w:rPr>
                <w:rStyle w:val="AERtextbold"/>
                <w:b w:val="0"/>
              </w:rPr>
            </w:pPr>
            <w:r w:rsidRPr="00E03900">
              <w:rPr>
                <w:rStyle w:val="AERtextbold"/>
                <w:b w:val="0"/>
              </w:rPr>
              <w:t>Opening RAB</w:t>
            </w:r>
          </w:p>
        </w:tc>
        <w:tc>
          <w:tcPr>
            <w:tcW w:w="1099"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523.3</w:t>
            </w:r>
          </w:p>
        </w:tc>
        <w:tc>
          <w:tcPr>
            <w:tcW w:w="1100"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559.6</w:t>
            </w:r>
          </w:p>
        </w:tc>
        <w:tc>
          <w:tcPr>
            <w:tcW w:w="1099"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603.8</w:t>
            </w:r>
          </w:p>
        </w:tc>
        <w:tc>
          <w:tcPr>
            <w:tcW w:w="1099"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641.1</w:t>
            </w:r>
          </w:p>
        </w:tc>
        <w:tc>
          <w:tcPr>
            <w:tcW w:w="1099"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662.4</w:t>
            </w:r>
          </w:p>
        </w:tc>
      </w:tr>
      <w:tr w:rsidR="0028138C" w:rsidRPr="0011410F" w:rsidTr="0028138C">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28138C" w:rsidRPr="0028138C" w:rsidRDefault="00F41773" w:rsidP="0028138C">
            <w:pPr>
              <w:pStyle w:val="AERtabletextleft"/>
            </w:pPr>
            <w:r>
              <w:t>Capital expenditure</w:t>
            </w:r>
            <w:r w:rsidRPr="00F41773">
              <w:rPr>
                <w:rStyle w:val="AERsuperscript"/>
              </w:rPr>
              <w:t>b</w:t>
            </w:r>
          </w:p>
        </w:tc>
        <w:tc>
          <w:tcPr>
            <w:tcW w:w="1099"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53.5</w:t>
            </w:r>
          </w:p>
        </w:tc>
        <w:tc>
          <w:tcPr>
            <w:tcW w:w="1100"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57.5</w:t>
            </w:r>
          </w:p>
        </w:tc>
        <w:tc>
          <w:tcPr>
            <w:tcW w:w="1099"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49.2</w:t>
            </w:r>
          </w:p>
        </w:tc>
        <w:tc>
          <w:tcPr>
            <w:tcW w:w="1099"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45.0</w:t>
            </w:r>
          </w:p>
        </w:tc>
        <w:tc>
          <w:tcPr>
            <w:tcW w:w="1099"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66.6</w:t>
            </w:r>
          </w:p>
        </w:tc>
      </w:tr>
      <w:tr w:rsidR="0028138C" w:rsidRPr="0011410F" w:rsidTr="0028138C">
        <w:trPr>
          <w:trHeight w:val="282"/>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28138C" w:rsidRPr="0028138C" w:rsidRDefault="0028138C" w:rsidP="0028138C">
            <w:pPr>
              <w:pStyle w:val="AERtabletextleft"/>
            </w:pPr>
            <w:r w:rsidRPr="0028138C">
              <w:t>Inflation indexation on opening RAB</w:t>
            </w:r>
          </w:p>
        </w:tc>
        <w:tc>
          <w:tcPr>
            <w:tcW w:w="1099" w:type="dxa"/>
            <w:noWrap/>
            <w:vAlign w:val="bottom"/>
            <w:hideMark/>
          </w:tcPr>
          <w:p w:rsidR="0028138C" w:rsidRPr="0028138C" w:rsidRDefault="00BA0D33" w:rsidP="0028138C">
            <w:pPr>
              <w:pStyle w:val="AERtabletextright"/>
              <w:cnfStyle w:val="000000000000" w:firstRow="0" w:lastRow="0" w:firstColumn="0" w:lastColumn="0" w:oddVBand="0" w:evenVBand="0" w:oddHBand="0" w:evenHBand="0" w:firstRowFirstColumn="0" w:firstRowLastColumn="0" w:lastRowFirstColumn="0" w:lastRowLastColumn="0"/>
            </w:pPr>
            <w:r>
              <w:t>9.5</w:t>
            </w:r>
          </w:p>
        </w:tc>
        <w:tc>
          <w:tcPr>
            <w:tcW w:w="1100" w:type="dxa"/>
            <w:noWrap/>
            <w:vAlign w:val="bottom"/>
            <w:hideMark/>
          </w:tcPr>
          <w:p w:rsidR="0028138C" w:rsidRPr="0028138C" w:rsidRDefault="00BA0D33" w:rsidP="0028138C">
            <w:pPr>
              <w:pStyle w:val="AERtabletextright"/>
              <w:cnfStyle w:val="000000000000" w:firstRow="0" w:lastRow="0" w:firstColumn="0" w:lastColumn="0" w:oddVBand="0" w:evenVBand="0" w:oddHBand="0" w:evenHBand="0" w:firstRowFirstColumn="0" w:firstRowLastColumn="0" w:lastRowFirstColumn="0" w:lastRowLastColumn="0"/>
            </w:pPr>
            <w:r>
              <w:t>15.9</w:t>
            </w:r>
          </w:p>
        </w:tc>
        <w:tc>
          <w:tcPr>
            <w:tcW w:w="1099" w:type="dxa"/>
            <w:noWrap/>
            <w:vAlign w:val="bottom"/>
            <w:hideMark/>
          </w:tcPr>
          <w:p w:rsidR="0028138C" w:rsidRPr="0028138C" w:rsidRDefault="00BA0D33" w:rsidP="0028138C">
            <w:pPr>
              <w:pStyle w:val="AERtabletextright"/>
              <w:cnfStyle w:val="000000000000" w:firstRow="0" w:lastRow="0" w:firstColumn="0" w:lastColumn="0" w:oddVBand="0" w:evenVBand="0" w:oddHBand="0" w:evenHBand="0" w:firstRowFirstColumn="0" w:firstRowLastColumn="0" w:lastRowFirstColumn="0" w:lastRowLastColumn="0"/>
            </w:pPr>
            <w:r>
              <w:t>20.5</w:t>
            </w:r>
          </w:p>
        </w:tc>
        <w:tc>
          <w:tcPr>
            <w:tcW w:w="1099" w:type="dxa"/>
            <w:noWrap/>
            <w:vAlign w:val="bottom"/>
            <w:hideMark/>
          </w:tcPr>
          <w:p w:rsidR="0028138C" w:rsidRPr="0028138C" w:rsidRDefault="00BA0D33" w:rsidP="0028138C">
            <w:pPr>
              <w:pStyle w:val="AERtabletextright"/>
              <w:cnfStyle w:val="000000000000" w:firstRow="0" w:lastRow="0" w:firstColumn="0" w:lastColumn="0" w:oddVBand="0" w:evenVBand="0" w:oddHBand="0" w:evenHBand="0" w:firstRowFirstColumn="0" w:firstRowLastColumn="0" w:lastRowFirstColumn="0" w:lastRowLastColumn="0"/>
            </w:pPr>
            <w:r>
              <w:t>11.3</w:t>
            </w:r>
          </w:p>
        </w:tc>
        <w:tc>
          <w:tcPr>
            <w:tcW w:w="1099" w:type="dxa"/>
            <w:noWrap/>
            <w:vAlign w:val="bottom"/>
            <w:hideMark/>
          </w:tcPr>
          <w:p w:rsidR="0028138C" w:rsidRPr="0028138C" w:rsidRDefault="00BA0D33" w:rsidP="0028138C">
            <w:pPr>
              <w:pStyle w:val="AERtabletextright"/>
              <w:cnfStyle w:val="000000000000" w:firstRow="0" w:lastRow="0" w:firstColumn="0" w:lastColumn="0" w:oddVBand="0" w:evenVBand="0" w:oddHBand="0" w:evenHBand="0" w:firstRowFirstColumn="0" w:firstRowLastColumn="0" w:lastRowFirstColumn="0" w:lastRowLastColumn="0"/>
            </w:pPr>
            <w:r>
              <w:t>16.2</w:t>
            </w:r>
          </w:p>
        </w:tc>
      </w:tr>
      <w:tr w:rsidR="0028138C" w:rsidRPr="0011410F" w:rsidTr="0028138C">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28138C" w:rsidRPr="0028138C" w:rsidRDefault="0028138C" w:rsidP="0028138C">
            <w:pPr>
              <w:pStyle w:val="AERtabletextleft"/>
            </w:pPr>
            <w:r w:rsidRPr="00212AFB">
              <w:rPr>
                <w:rStyle w:val="AERtextitalic"/>
              </w:rPr>
              <w:t>Less:</w:t>
            </w:r>
            <w:r w:rsidRPr="0028138C">
              <w:t xml:space="preserve"> straight-line depreciation</w:t>
            </w:r>
          </w:p>
        </w:tc>
        <w:tc>
          <w:tcPr>
            <w:tcW w:w="1099"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26.7</w:t>
            </w:r>
          </w:p>
        </w:tc>
        <w:tc>
          <w:tcPr>
            <w:tcW w:w="1100"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29.3</w:t>
            </w:r>
          </w:p>
        </w:tc>
        <w:tc>
          <w:tcPr>
            <w:tcW w:w="1099"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32.3</w:t>
            </w:r>
          </w:p>
        </w:tc>
        <w:tc>
          <w:tcPr>
            <w:tcW w:w="1099"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35.1</w:t>
            </w:r>
          </w:p>
        </w:tc>
        <w:tc>
          <w:tcPr>
            <w:tcW w:w="1099"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38.5</w:t>
            </w:r>
          </w:p>
        </w:tc>
      </w:tr>
      <w:tr w:rsidR="0028138C" w:rsidRPr="00E03900" w:rsidTr="0028138C">
        <w:trPr>
          <w:trHeight w:val="282"/>
        </w:trPr>
        <w:tc>
          <w:tcPr>
            <w:cnfStyle w:val="001000000000" w:firstRow="0" w:lastRow="0" w:firstColumn="1" w:lastColumn="0" w:oddVBand="0" w:evenVBand="0" w:oddHBand="0" w:evenHBand="0" w:firstRowFirstColumn="0" w:firstRowLastColumn="0" w:lastRowFirstColumn="0" w:lastRowLastColumn="0"/>
            <w:tcW w:w="3627" w:type="dxa"/>
            <w:gridSpan w:val="2"/>
            <w:noWrap/>
            <w:hideMark/>
          </w:tcPr>
          <w:p w:rsidR="0028138C" w:rsidRPr="00E03900" w:rsidRDefault="0028138C" w:rsidP="00E03900">
            <w:pPr>
              <w:pStyle w:val="AERtabletextleft"/>
              <w:rPr>
                <w:rStyle w:val="AERtextbold"/>
                <w:b w:val="0"/>
              </w:rPr>
            </w:pPr>
            <w:r w:rsidRPr="00E03900">
              <w:rPr>
                <w:rStyle w:val="AERtextbold"/>
                <w:b w:val="0"/>
              </w:rPr>
              <w:t>Closing RAB</w:t>
            </w:r>
          </w:p>
        </w:tc>
        <w:tc>
          <w:tcPr>
            <w:tcW w:w="1099"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559.6</w:t>
            </w:r>
          </w:p>
        </w:tc>
        <w:tc>
          <w:tcPr>
            <w:tcW w:w="1100"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603.8</w:t>
            </w:r>
          </w:p>
        </w:tc>
        <w:tc>
          <w:tcPr>
            <w:tcW w:w="1099"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641.1</w:t>
            </w:r>
          </w:p>
        </w:tc>
        <w:tc>
          <w:tcPr>
            <w:tcW w:w="1099"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662.4</w:t>
            </w:r>
          </w:p>
        </w:tc>
        <w:tc>
          <w:tcPr>
            <w:tcW w:w="1099"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706.7</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98" w:type="dxa"/>
            <w:noWrap/>
            <w:hideMark/>
          </w:tcPr>
          <w:p w:rsidR="0028138C" w:rsidRPr="0028138C" w:rsidRDefault="00C839CF" w:rsidP="00F67BF9">
            <w:pPr>
              <w:pStyle w:val="AERtabletextleft"/>
            </w:pPr>
            <w:r w:rsidRPr="00565550">
              <w:t xml:space="preserve">Difference between estimated and actual </w:t>
            </w:r>
            <w:r w:rsidRPr="00C839CF">
              <w:t>2008</w:t>
            </w:r>
            <w:r w:rsidR="00F67BF9">
              <w:t>–</w:t>
            </w:r>
            <w:r w:rsidRPr="00C839CF">
              <w:t>09 capex</w:t>
            </w:r>
          </w:p>
        </w:tc>
        <w:tc>
          <w:tcPr>
            <w:tcW w:w="4426" w:type="dxa"/>
            <w:gridSpan w:val="5"/>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p>
        </w:tc>
        <w:tc>
          <w:tcPr>
            <w:tcW w:w="1099" w:type="dxa"/>
            <w:noWrap/>
            <w:vAlign w:val="bottom"/>
            <w:hideMark/>
          </w:tcPr>
          <w:p w:rsidR="0028138C" w:rsidRPr="0028138C" w:rsidRDefault="00E03900" w:rsidP="0028138C">
            <w:pPr>
              <w:pStyle w:val="AERtabletextright"/>
              <w:cnfStyle w:val="000000010000" w:firstRow="0" w:lastRow="0" w:firstColumn="0" w:lastColumn="0" w:oddVBand="0" w:evenVBand="0" w:oddHBand="0" w:evenHBand="1" w:firstRowFirstColumn="0" w:firstRowLastColumn="0" w:lastRowFirstColumn="0" w:lastRowLastColumn="0"/>
            </w:pPr>
            <w:r>
              <w:t>–</w:t>
            </w:r>
            <w:r w:rsidR="00BA0D33">
              <w:t>7.0</w:t>
            </w:r>
          </w:p>
        </w:tc>
      </w:tr>
      <w:tr w:rsidR="0028138C" w:rsidRPr="0011410F" w:rsidTr="0028138C">
        <w:trPr>
          <w:trHeight w:val="282"/>
        </w:trPr>
        <w:tc>
          <w:tcPr>
            <w:cnfStyle w:val="001000000000" w:firstRow="0" w:lastRow="0" w:firstColumn="1" w:lastColumn="0" w:oddVBand="0" w:evenVBand="0" w:oddHBand="0" w:evenHBand="0" w:firstRowFirstColumn="0" w:firstRowLastColumn="0" w:lastRowFirstColumn="0" w:lastRowLastColumn="0"/>
            <w:tcW w:w="3598" w:type="dxa"/>
            <w:noWrap/>
            <w:hideMark/>
          </w:tcPr>
          <w:p w:rsidR="0028138C" w:rsidRPr="0028138C" w:rsidRDefault="0028138C" w:rsidP="0028138C">
            <w:pPr>
              <w:pStyle w:val="AERtabletextleft"/>
            </w:pPr>
            <w:r w:rsidRPr="0028138C">
              <w:t>Return on difference for 2008–09 capex</w:t>
            </w:r>
          </w:p>
        </w:tc>
        <w:tc>
          <w:tcPr>
            <w:tcW w:w="2228" w:type="dxa"/>
            <w:gridSpan w:val="3"/>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p>
        </w:tc>
        <w:tc>
          <w:tcPr>
            <w:tcW w:w="1099" w:type="dxa"/>
            <w:noWrap/>
            <w:vAlign w:val="bottom"/>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p>
        </w:tc>
        <w:tc>
          <w:tcPr>
            <w:tcW w:w="1099" w:type="dxa"/>
            <w:noWrap/>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 </w:t>
            </w:r>
          </w:p>
        </w:tc>
        <w:tc>
          <w:tcPr>
            <w:tcW w:w="1099" w:type="dxa"/>
            <w:noWrap/>
            <w:hideMark/>
          </w:tcPr>
          <w:p w:rsidR="0028138C" w:rsidRPr="0028138C" w:rsidRDefault="00E03900" w:rsidP="0028138C">
            <w:pPr>
              <w:pStyle w:val="AERtabletextright"/>
              <w:cnfStyle w:val="000000000000" w:firstRow="0" w:lastRow="0" w:firstColumn="0" w:lastColumn="0" w:oddVBand="0" w:evenVBand="0" w:oddHBand="0" w:evenHBand="0" w:firstRowFirstColumn="0" w:firstRowLastColumn="0" w:lastRowFirstColumn="0" w:lastRowLastColumn="0"/>
            </w:pPr>
            <w:r>
              <w:t>–</w:t>
            </w:r>
            <w:r w:rsidR="00BA0D33">
              <w:t>3.6</w:t>
            </w:r>
          </w:p>
        </w:tc>
      </w:tr>
      <w:tr w:rsidR="007C7EAA" w:rsidRPr="0028138C" w:rsidTr="00813287">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98" w:type="dxa"/>
            <w:noWrap/>
          </w:tcPr>
          <w:p w:rsidR="007C7EAA" w:rsidRPr="007C7EAA" w:rsidRDefault="007C7EAA" w:rsidP="007C7EAA">
            <w:pPr>
              <w:pStyle w:val="AERtabletextleft"/>
              <w:rPr>
                <w:rStyle w:val="AERtextbold"/>
              </w:rPr>
            </w:pPr>
            <w:r w:rsidRPr="007C7EAA">
              <w:rPr>
                <w:rStyle w:val="AERtextbold"/>
              </w:rPr>
              <w:t>Opening RAB as at 1 July 2014</w:t>
            </w:r>
          </w:p>
        </w:tc>
        <w:tc>
          <w:tcPr>
            <w:tcW w:w="1128" w:type="dxa"/>
            <w:gridSpan w:val="2"/>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100" w:type="dxa"/>
            <w:noWrap/>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99" w:type="dxa"/>
            <w:noWrap/>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99" w:type="dxa"/>
            <w:noWrap/>
          </w:tcPr>
          <w:p w:rsidR="007C7EAA" w:rsidRPr="007C7EAA" w:rsidRDefault="007C7EAA"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p>
        </w:tc>
        <w:tc>
          <w:tcPr>
            <w:tcW w:w="1099" w:type="dxa"/>
            <w:noWrap/>
            <w:vAlign w:val="bottom"/>
          </w:tcPr>
          <w:p w:rsidR="007C7EAA" w:rsidRPr="007C7EAA" w:rsidRDefault="00BA0D33" w:rsidP="007C7EA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696.1</w:t>
            </w:r>
          </w:p>
        </w:tc>
      </w:tr>
    </w:tbl>
    <w:p w:rsidR="004132A9" w:rsidRPr="00F41773" w:rsidRDefault="005F0C76" w:rsidP="006156DB">
      <w:pPr>
        <w:pStyle w:val="AERtablesource"/>
        <w:rPr>
          <w:rStyle w:val="AERtexthighlight"/>
          <w:shd w:val="clear" w:color="auto" w:fill="auto"/>
        </w:rPr>
      </w:pPr>
      <w:r w:rsidRPr="00F41773">
        <w:rPr>
          <w:rStyle w:val="AERtexthighlight"/>
          <w:shd w:val="clear" w:color="auto" w:fill="auto"/>
        </w:rPr>
        <w:t>Source:</w:t>
      </w:r>
      <w:r w:rsidRPr="00F41773">
        <w:rPr>
          <w:rStyle w:val="AERtexthighlight"/>
          <w:shd w:val="clear" w:color="auto" w:fill="auto"/>
        </w:rPr>
        <w:tab/>
      </w:r>
      <w:r w:rsidR="00F41773" w:rsidRPr="0083646C">
        <w:rPr>
          <w:rStyle w:val="AERtexthighlight"/>
          <w:shd w:val="clear" w:color="auto" w:fill="auto"/>
        </w:rPr>
        <w:t>A</w:t>
      </w:r>
      <w:r w:rsidR="00FD7811" w:rsidRPr="0083646C">
        <w:rPr>
          <w:rStyle w:val="AERtexthighlight"/>
          <w:shd w:val="clear" w:color="auto" w:fill="auto"/>
        </w:rPr>
        <w:t>ctewAGL</w:t>
      </w:r>
      <w:r w:rsidR="00F41773" w:rsidRPr="0083646C">
        <w:rPr>
          <w:rStyle w:val="AERtexthighlight"/>
          <w:shd w:val="clear" w:color="auto" w:fill="auto"/>
        </w:rPr>
        <w:t>,</w:t>
      </w:r>
      <w:r w:rsidR="00F41773" w:rsidRPr="00F41773">
        <w:rPr>
          <w:rStyle w:val="AERtexthighlight"/>
          <w:shd w:val="clear" w:color="auto" w:fill="auto"/>
        </w:rPr>
        <w:t xml:space="preserve"> </w:t>
      </w:r>
      <w:r w:rsidR="00F41773" w:rsidRPr="00F41773">
        <w:rPr>
          <w:rStyle w:val="AERtextitalic"/>
        </w:rPr>
        <w:t>Regulatory proposal</w:t>
      </w:r>
      <w:r w:rsidR="00F41773" w:rsidRPr="00F41773">
        <w:rPr>
          <w:rStyle w:val="AERtexthighlight"/>
          <w:shd w:val="clear" w:color="auto" w:fill="auto"/>
        </w:rPr>
        <w:t xml:space="preserve">, </w:t>
      </w:r>
      <w:r w:rsidR="00BA0D33" w:rsidRPr="006156DB">
        <w:rPr>
          <w:rStyle w:val="AERtexthighlight"/>
          <w:shd w:val="clear" w:color="auto" w:fill="auto"/>
        </w:rPr>
        <w:t>June</w:t>
      </w:r>
      <w:r w:rsidR="00F41773" w:rsidRPr="006156DB">
        <w:rPr>
          <w:rStyle w:val="AERtexthighlight"/>
          <w:shd w:val="clear" w:color="auto" w:fill="auto"/>
        </w:rPr>
        <w:t xml:space="preserve"> </w:t>
      </w:r>
      <w:r w:rsidR="00F41773" w:rsidRPr="00F41773">
        <w:rPr>
          <w:rStyle w:val="AERtexthighlight"/>
          <w:shd w:val="clear" w:color="auto" w:fill="auto"/>
        </w:rPr>
        <w:t xml:space="preserve">2014, </w:t>
      </w:r>
      <w:r w:rsidR="006F6035" w:rsidRPr="006F6035">
        <w:rPr>
          <w:rStyle w:val="AERtexthighlight"/>
          <w:shd w:val="clear" w:color="auto" w:fill="auto"/>
        </w:rPr>
        <w:t xml:space="preserve">Attachment </w:t>
      </w:r>
      <w:r w:rsidR="0083646C" w:rsidRPr="0083646C">
        <w:rPr>
          <w:rStyle w:val="AERtexthighlight"/>
          <w:shd w:val="clear" w:color="auto" w:fill="auto"/>
        </w:rPr>
        <w:t>B1 RFM Distribution</w:t>
      </w:r>
      <w:r w:rsidR="00F41773" w:rsidRPr="00E542A1">
        <w:rPr>
          <w:rStyle w:val="AERtexthighlight"/>
          <w:shd w:val="clear" w:color="auto" w:fill="auto"/>
        </w:rPr>
        <w:t>.</w:t>
      </w:r>
    </w:p>
    <w:p w:rsidR="00F41773" w:rsidRDefault="00F41773" w:rsidP="00F41773">
      <w:pPr>
        <w:pStyle w:val="AERtablesource"/>
      </w:pPr>
      <w:r>
        <w:t>(a)</w:t>
      </w:r>
      <w:r w:rsidR="00295142">
        <w:t>:</w:t>
      </w:r>
      <w:r>
        <w:tab/>
      </w:r>
      <w:r w:rsidRPr="00F41773">
        <w:t xml:space="preserve">Based on estimated capex. </w:t>
      </w:r>
    </w:p>
    <w:p w:rsidR="00F41773" w:rsidRDefault="00F41773" w:rsidP="00F41773">
      <w:pPr>
        <w:pStyle w:val="AERtablesource"/>
      </w:pPr>
      <w:r>
        <w:t>(b)</w:t>
      </w:r>
      <w:r w:rsidR="00295142">
        <w:t>:</w:t>
      </w:r>
      <w:r>
        <w:tab/>
      </w:r>
      <w:r w:rsidRPr="00F41773">
        <w:t>Net of disposals and capital contributions</w:t>
      </w:r>
      <w:r w:rsidR="0032308B">
        <w:t>, and adjusted for CPI</w:t>
      </w:r>
      <w:r w:rsidRPr="00F41773">
        <w:t>.</w:t>
      </w:r>
    </w:p>
    <w:p w:rsidR="004132A9" w:rsidRPr="004132A9" w:rsidRDefault="004132A9" w:rsidP="004132A9">
      <w:pPr>
        <w:pStyle w:val="Caption"/>
      </w:pPr>
      <w:bookmarkStart w:id="16" w:name="_Ref392854644"/>
      <w:r>
        <w:t xml:space="preserve">Table </w:t>
      </w:r>
      <w:fldSimple w:instr=" STYLEREF 1 \s ">
        <w:r w:rsidR="00675079">
          <w:rPr>
            <w:noProof/>
          </w:rPr>
          <w:t>2</w:t>
        </w:r>
      </w:fldSimple>
      <w:r w:rsidR="009D444F">
        <w:t>.</w:t>
      </w:r>
      <w:fldSimple w:instr=" SEQ Table \* ARABIC \s 1 ">
        <w:r w:rsidR="00675079">
          <w:rPr>
            <w:noProof/>
          </w:rPr>
          <w:t>6</w:t>
        </w:r>
      </w:fldSimple>
      <w:bookmarkEnd w:id="16"/>
      <w:r>
        <w:tab/>
        <w:t>A</w:t>
      </w:r>
      <w:r w:rsidR="00FD7811">
        <w:t>ctewAGL</w:t>
      </w:r>
      <w:r w:rsidRPr="004132A9">
        <w:t xml:space="preserve">'s proposed RAB for the 2009–14 regulatory control period </w:t>
      </w:r>
      <w:r w:rsidR="00BE18D3">
        <w:t xml:space="preserve">– transmission </w:t>
      </w:r>
      <w:r w:rsidRPr="004132A9">
        <w:t>($million, nominal)</w:t>
      </w:r>
      <w:r>
        <w:t xml:space="preserve"> </w:t>
      </w:r>
    </w:p>
    <w:tbl>
      <w:tblPr>
        <w:tblStyle w:val="AERtable-numbers"/>
        <w:tblW w:w="9143" w:type="dxa"/>
        <w:tblLook w:val="04A0" w:firstRow="1" w:lastRow="0" w:firstColumn="1" w:lastColumn="0" w:noHBand="0" w:noVBand="1"/>
      </w:tblPr>
      <w:tblGrid>
        <w:gridCol w:w="3638"/>
        <w:gridCol w:w="1101"/>
        <w:gridCol w:w="1101"/>
        <w:gridCol w:w="1101"/>
        <w:gridCol w:w="1101"/>
        <w:gridCol w:w="1101"/>
      </w:tblGrid>
      <w:tr w:rsidR="0011410F" w:rsidRPr="0011410F" w:rsidTr="0011410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11410F" w:rsidRPr="0011410F" w:rsidRDefault="0011410F" w:rsidP="0011410F">
            <w:pPr>
              <w:pStyle w:val="AERtabletextleft"/>
            </w:pPr>
            <w:r w:rsidRPr="0011410F">
              <w:t> </w:t>
            </w:r>
          </w:p>
        </w:tc>
        <w:tc>
          <w:tcPr>
            <w:tcW w:w="1101"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2009–10</w:t>
            </w:r>
          </w:p>
        </w:tc>
        <w:tc>
          <w:tcPr>
            <w:tcW w:w="1101"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2010–11</w:t>
            </w:r>
          </w:p>
        </w:tc>
        <w:tc>
          <w:tcPr>
            <w:tcW w:w="1101"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2011–12</w:t>
            </w:r>
          </w:p>
        </w:tc>
        <w:tc>
          <w:tcPr>
            <w:tcW w:w="1101"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2012–13</w:t>
            </w:r>
          </w:p>
        </w:tc>
        <w:tc>
          <w:tcPr>
            <w:tcW w:w="1101"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2013–14</w:t>
            </w:r>
            <w:r w:rsidR="006F6035" w:rsidRPr="006F6035">
              <w:rPr>
                <w:rStyle w:val="AERsuperscript"/>
              </w:rPr>
              <w:t>a</w:t>
            </w:r>
          </w:p>
        </w:tc>
      </w:tr>
      <w:tr w:rsidR="0028138C" w:rsidRPr="00E03900" w:rsidTr="00C642D4">
        <w:trPr>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E03900" w:rsidRDefault="0028138C" w:rsidP="00E03900">
            <w:pPr>
              <w:pStyle w:val="AERtabletextleft"/>
              <w:rPr>
                <w:rStyle w:val="AERtextbold"/>
                <w:b w:val="0"/>
              </w:rPr>
            </w:pPr>
            <w:r w:rsidRPr="00E03900">
              <w:rPr>
                <w:rStyle w:val="AERtextbold"/>
                <w:b w:val="0"/>
              </w:rPr>
              <w:t>Opening RAB</w:t>
            </w:r>
          </w:p>
        </w:tc>
        <w:tc>
          <w:tcPr>
            <w:tcW w:w="1101"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75.4</w:t>
            </w:r>
          </w:p>
        </w:tc>
        <w:tc>
          <w:tcPr>
            <w:tcW w:w="1101"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86.0</w:t>
            </w:r>
          </w:p>
        </w:tc>
        <w:tc>
          <w:tcPr>
            <w:tcW w:w="1101"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99.2</w:t>
            </w:r>
          </w:p>
        </w:tc>
        <w:tc>
          <w:tcPr>
            <w:tcW w:w="1101"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117.4</w:t>
            </w:r>
          </w:p>
        </w:tc>
        <w:tc>
          <w:tcPr>
            <w:tcW w:w="1101"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136.3</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28138C" w:rsidRDefault="0028138C" w:rsidP="006F6035">
            <w:pPr>
              <w:pStyle w:val="AERtabletextleft"/>
            </w:pPr>
            <w:r w:rsidRPr="0028138C">
              <w:t>Capital expenditure</w:t>
            </w:r>
            <w:r w:rsidR="006F6035" w:rsidRPr="006F6035">
              <w:rPr>
                <w:rStyle w:val="AERsuperscript"/>
              </w:rPr>
              <w:t>b</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13.1</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15.1</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19.9</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22.7</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20.8</w:t>
            </w:r>
          </w:p>
        </w:tc>
      </w:tr>
      <w:tr w:rsidR="0028138C" w:rsidRPr="0011410F" w:rsidTr="00C642D4">
        <w:trPr>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28138C" w:rsidRDefault="0028138C" w:rsidP="0028138C">
            <w:pPr>
              <w:pStyle w:val="AERtabletextleft"/>
            </w:pPr>
            <w:r w:rsidRPr="0028138C">
              <w:t>Inflation indexation on opening RAB</w:t>
            </w:r>
          </w:p>
        </w:tc>
        <w:tc>
          <w:tcPr>
            <w:tcW w:w="1101" w:type="dxa"/>
            <w:noWrap/>
            <w:vAlign w:val="bottom"/>
            <w:hideMark/>
          </w:tcPr>
          <w:p w:rsidR="0028138C" w:rsidRPr="0028138C" w:rsidRDefault="00BA0D33" w:rsidP="0028138C">
            <w:pPr>
              <w:pStyle w:val="AERtabletextright"/>
              <w:cnfStyle w:val="000000000000" w:firstRow="0" w:lastRow="0" w:firstColumn="0" w:lastColumn="0" w:oddVBand="0" w:evenVBand="0" w:oddHBand="0" w:evenHBand="0" w:firstRowFirstColumn="0" w:firstRowLastColumn="0" w:lastRowFirstColumn="0" w:lastRowLastColumn="0"/>
            </w:pPr>
            <w:r>
              <w:t>1.4</w:t>
            </w:r>
          </w:p>
        </w:tc>
        <w:tc>
          <w:tcPr>
            <w:tcW w:w="1101" w:type="dxa"/>
            <w:noWrap/>
            <w:vAlign w:val="bottom"/>
            <w:hideMark/>
          </w:tcPr>
          <w:p w:rsidR="0028138C" w:rsidRPr="0028138C" w:rsidRDefault="00BA0D33" w:rsidP="0028138C">
            <w:pPr>
              <w:pStyle w:val="AERtabletextright"/>
              <w:cnfStyle w:val="000000000000" w:firstRow="0" w:lastRow="0" w:firstColumn="0" w:lastColumn="0" w:oddVBand="0" w:evenVBand="0" w:oddHBand="0" w:evenHBand="0" w:firstRowFirstColumn="0" w:firstRowLastColumn="0" w:lastRowFirstColumn="0" w:lastRowLastColumn="0"/>
            </w:pPr>
            <w:r>
              <w:t>2.4</w:t>
            </w:r>
          </w:p>
        </w:tc>
        <w:tc>
          <w:tcPr>
            <w:tcW w:w="1101" w:type="dxa"/>
            <w:noWrap/>
            <w:vAlign w:val="bottom"/>
            <w:hideMark/>
          </w:tcPr>
          <w:p w:rsidR="0028138C" w:rsidRPr="0028138C" w:rsidRDefault="00BA0D33" w:rsidP="0028138C">
            <w:pPr>
              <w:pStyle w:val="AERtabletextright"/>
              <w:cnfStyle w:val="000000000000" w:firstRow="0" w:lastRow="0" w:firstColumn="0" w:lastColumn="0" w:oddVBand="0" w:evenVBand="0" w:oddHBand="0" w:evenHBand="0" w:firstRowFirstColumn="0" w:firstRowLastColumn="0" w:lastRowFirstColumn="0" w:lastRowLastColumn="0"/>
            </w:pPr>
            <w:r>
              <w:t>3.4</w:t>
            </w:r>
          </w:p>
        </w:tc>
        <w:tc>
          <w:tcPr>
            <w:tcW w:w="1101" w:type="dxa"/>
            <w:noWrap/>
            <w:vAlign w:val="bottom"/>
            <w:hideMark/>
          </w:tcPr>
          <w:p w:rsidR="0028138C" w:rsidRPr="0028138C" w:rsidRDefault="00BA0D33" w:rsidP="0028138C">
            <w:pPr>
              <w:pStyle w:val="AERtabletextright"/>
              <w:cnfStyle w:val="000000000000" w:firstRow="0" w:lastRow="0" w:firstColumn="0" w:lastColumn="0" w:oddVBand="0" w:evenVBand="0" w:oddHBand="0" w:evenHBand="0" w:firstRowFirstColumn="0" w:firstRowLastColumn="0" w:lastRowFirstColumn="0" w:lastRowLastColumn="0"/>
            </w:pPr>
            <w:r>
              <w:t>2.1</w:t>
            </w:r>
          </w:p>
        </w:tc>
        <w:tc>
          <w:tcPr>
            <w:tcW w:w="1101" w:type="dxa"/>
            <w:noWrap/>
            <w:vAlign w:val="bottom"/>
            <w:hideMark/>
          </w:tcPr>
          <w:p w:rsidR="0028138C" w:rsidRPr="0028138C" w:rsidRDefault="00BA0D33" w:rsidP="0028138C">
            <w:pPr>
              <w:pStyle w:val="AERtabletextright"/>
              <w:cnfStyle w:val="000000000000" w:firstRow="0" w:lastRow="0" w:firstColumn="0" w:lastColumn="0" w:oddVBand="0" w:evenVBand="0" w:oddHBand="0" w:evenHBand="0" w:firstRowFirstColumn="0" w:firstRowLastColumn="0" w:lastRowFirstColumn="0" w:lastRowLastColumn="0"/>
            </w:pPr>
            <w:r>
              <w:t>3.3</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28138C" w:rsidRDefault="0028138C" w:rsidP="0028138C">
            <w:pPr>
              <w:pStyle w:val="AERtabletextleft"/>
            </w:pPr>
            <w:r w:rsidRPr="00212AFB">
              <w:rPr>
                <w:rStyle w:val="AERtextitalic"/>
              </w:rPr>
              <w:t>Less:</w:t>
            </w:r>
            <w:r w:rsidRPr="0028138C">
              <w:t xml:space="preserve"> straight-line depreciation</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3.8</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4.4</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5.0</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5.8</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6.7</w:t>
            </w:r>
          </w:p>
        </w:tc>
      </w:tr>
      <w:tr w:rsidR="0028138C" w:rsidRPr="00E03900" w:rsidTr="00C642D4">
        <w:trPr>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E03900" w:rsidRDefault="0028138C" w:rsidP="00E03900">
            <w:pPr>
              <w:pStyle w:val="AERtabletextleft"/>
              <w:rPr>
                <w:rStyle w:val="AERtextbold"/>
                <w:b w:val="0"/>
              </w:rPr>
            </w:pPr>
            <w:r w:rsidRPr="00E03900">
              <w:rPr>
                <w:rStyle w:val="AERtextbold"/>
                <w:b w:val="0"/>
              </w:rPr>
              <w:t>Closing RAB</w:t>
            </w:r>
          </w:p>
        </w:tc>
        <w:tc>
          <w:tcPr>
            <w:tcW w:w="1101"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86.0</w:t>
            </w:r>
          </w:p>
        </w:tc>
        <w:tc>
          <w:tcPr>
            <w:tcW w:w="1101"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99.2</w:t>
            </w:r>
          </w:p>
        </w:tc>
        <w:tc>
          <w:tcPr>
            <w:tcW w:w="1101"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117.4</w:t>
            </w:r>
          </w:p>
        </w:tc>
        <w:tc>
          <w:tcPr>
            <w:tcW w:w="1101"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136.3</w:t>
            </w:r>
          </w:p>
        </w:tc>
        <w:tc>
          <w:tcPr>
            <w:tcW w:w="1101" w:type="dxa"/>
            <w:noWrap/>
            <w:vAlign w:val="bottom"/>
            <w:hideMark/>
          </w:tcPr>
          <w:p w:rsidR="0028138C" w:rsidRPr="00E03900" w:rsidRDefault="00BA0D33"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153.8</w:t>
            </w:r>
          </w:p>
        </w:tc>
      </w:tr>
      <w:tr w:rsidR="0028138C" w:rsidRPr="0011410F"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28138C" w:rsidRDefault="00C839CF" w:rsidP="00F67BF9">
            <w:pPr>
              <w:pStyle w:val="AERtabletextleft"/>
            </w:pPr>
            <w:r w:rsidRPr="00565550">
              <w:t xml:space="preserve">Difference between estimated and actual </w:t>
            </w:r>
            <w:r w:rsidRPr="00C839CF">
              <w:t>2008</w:t>
            </w:r>
            <w:r w:rsidR="00F67BF9">
              <w:t>–</w:t>
            </w:r>
            <w:r w:rsidRPr="00C839CF">
              <w:t>09 capex</w:t>
            </w:r>
          </w:p>
        </w:tc>
        <w:tc>
          <w:tcPr>
            <w:tcW w:w="4404" w:type="dxa"/>
            <w:gridSpan w:val="4"/>
            <w:vAlign w:val="bottom"/>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pPr>
            <w:r w:rsidRPr="0028138C">
              <w:t> </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pPr>
            <w:r>
              <w:t>0.2</w:t>
            </w:r>
          </w:p>
        </w:tc>
      </w:tr>
      <w:tr w:rsidR="0028138C" w:rsidRPr="0011410F" w:rsidTr="0028138C">
        <w:trPr>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28138C" w:rsidRDefault="0028138C" w:rsidP="0028138C">
            <w:pPr>
              <w:pStyle w:val="AERtabletextleft"/>
            </w:pPr>
            <w:r w:rsidRPr="0028138C">
              <w:t>Return on difference for 2008–09 capex</w:t>
            </w:r>
          </w:p>
        </w:tc>
        <w:tc>
          <w:tcPr>
            <w:tcW w:w="2202" w:type="dxa"/>
            <w:gridSpan w:val="2"/>
            <w:vAlign w:val="bottom"/>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 </w:t>
            </w:r>
          </w:p>
        </w:tc>
        <w:tc>
          <w:tcPr>
            <w:tcW w:w="1101" w:type="dxa"/>
            <w:noWrap/>
            <w:vAlign w:val="bottom"/>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p>
        </w:tc>
        <w:tc>
          <w:tcPr>
            <w:tcW w:w="1101" w:type="dxa"/>
            <w:noWrap/>
            <w:vAlign w:val="bottom"/>
            <w:hideMark/>
          </w:tcPr>
          <w:p w:rsidR="0028138C" w:rsidRPr="0028138C" w:rsidRDefault="0028138C" w:rsidP="0028138C">
            <w:pPr>
              <w:pStyle w:val="AERtabletextright"/>
              <w:cnfStyle w:val="000000000000" w:firstRow="0" w:lastRow="0" w:firstColumn="0" w:lastColumn="0" w:oddVBand="0" w:evenVBand="0" w:oddHBand="0" w:evenHBand="0" w:firstRowFirstColumn="0" w:firstRowLastColumn="0" w:lastRowFirstColumn="0" w:lastRowLastColumn="0"/>
            </w:pPr>
            <w:r w:rsidRPr="0028138C">
              <w:t> </w:t>
            </w:r>
          </w:p>
        </w:tc>
        <w:tc>
          <w:tcPr>
            <w:tcW w:w="1101" w:type="dxa"/>
            <w:noWrap/>
            <w:vAlign w:val="bottom"/>
            <w:hideMark/>
          </w:tcPr>
          <w:p w:rsidR="0028138C" w:rsidRPr="0028138C" w:rsidRDefault="00BA0D33" w:rsidP="0028138C">
            <w:pPr>
              <w:pStyle w:val="AERtabletextright"/>
              <w:cnfStyle w:val="000000000000" w:firstRow="0" w:lastRow="0" w:firstColumn="0" w:lastColumn="0" w:oddVBand="0" w:evenVBand="0" w:oddHBand="0" w:evenHBand="0" w:firstRowFirstColumn="0" w:firstRowLastColumn="0" w:lastRowFirstColumn="0" w:lastRowLastColumn="0"/>
            </w:pPr>
            <w:r>
              <w:t>0.1</w:t>
            </w:r>
          </w:p>
        </w:tc>
      </w:tr>
      <w:tr w:rsidR="0028138C" w:rsidRPr="0028138C" w:rsidTr="00C642D4">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638" w:type="dxa"/>
            <w:noWrap/>
            <w:hideMark/>
          </w:tcPr>
          <w:p w:rsidR="0028138C" w:rsidRPr="0028138C" w:rsidRDefault="0028138C" w:rsidP="0028138C">
            <w:pPr>
              <w:pStyle w:val="AERtabletextleft"/>
              <w:rPr>
                <w:rStyle w:val="AERtextbold"/>
              </w:rPr>
            </w:pPr>
            <w:r w:rsidRPr="0028138C">
              <w:rPr>
                <w:rStyle w:val="AERtextbold"/>
              </w:rPr>
              <w:t>Opening RAB as at 1 July 2014</w:t>
            </w:r>
          </w:p>
        </w:tc>
        <w:tc>
          <w:tcPr>
            <w:tcW w:w="1101" w:type="dxa"/>
            <w:vAlign w:val="bottom"/>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28138C">
              <w:rPr>
                <w:rStyle w:val="AERtextbold"/>
              </w:rPr>
              <w:t> </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28138C">
              <w:rPr>
                <w:rStyle w:val="AERtextbold"/>
              </w:rPr>
              <w:t> </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28138C">
              <w:rPr>
                <w:rStyle w:val="AERtextbold"/>
              </w:rPr>
              <w:t> </w:t>
            </w:r>
          </w:p>
        </w:tc>
        <w:tc>
          <w:tcPr>
            <w:tcW w:w="1101" w:type="dxa"/>
            <w:noWrap/>
            <w:vAlign w:val="bottom"/>
            <w:hideMark/>
          </w:tcPr>
          <w:p w:rsidR="0028138C" w:rsidRPr="0028138C" w:rsidRDefault="0028138C" w:rsidP="0028138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28138C">
              <w:rPr>
                <w:rStyle w:val="AERtextbold"/>
              </w:rPr>
              <w:t> </w:t>
            </w:r>
          </w:p>
        </w:tc>
        <w:tc>
          <w:tcPr>
            <w:tcW w:w="1101" w:type="dxa"/>
            <w:noWrap/>
            <w:vAlign w:val="bottom"/>
            <w:hideMark/>
          </w:tcPr>
          <w:p w:rsidR="0028138C" w:rsidRPr="0028138C" w:rsidRDefault="00BA0D33" w:rsidP="0028138C">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Pr>
                <w:rStyle w:val="AERtextbold"/>
              </w:rPr>
              <w:t>154.2</w:t>
            </w:r>
          </w:p>
        </w:tc>
      </w:tr>
    </w:tbl>
    <w:p w:rsidR="00C642D4" w:rsidRPr="00C642D4" w:rsidRDefault="00C642D4" w:rsidP="006156DB">
      <w:pPr>
        <w:pStyle w:val="AERtablesource"/>
        <w:rPr>
          <w:rStyle w:val="AERtexthighlight"/>
          <w:shd w:val="clear" w:color="auto" w:fill="auto"/>
        </w:rPr>
      </w:pPr>
      <w:r w:rsidRPr="00C642D4">
        <w:rPr>
          <w:rStyle w:val="AERtexthighlight"/>
          <w:shd w:val="clear" w:color="auto" w:fill="auto"/>
        </w:rPr>
        <w:t>Source:</w:t>
      </w:r>
      <w:r w:rsidRPr="00C642D4">
        <w:rPr>
          <w:rStyle w:val="AERtexthighlight"/>
          <w:shd w:val="clear" w:color="auto" w:fill="auto"/>
        </w:rPr>
        <w:tab/>
      </w:r>
      <w:r w:rsidRPr="00FD7811">
        <w:rPr>
          <w:rStyle w:val="AERtexthighlight"/>
          <w:shd w:val="clear" w:color="auto" w:fill="auto"/>
        </w:rPr>
        <w:t>A</w:t>
      </w:r>
      <w:r w:rsidR="00FD7811" w:rsidRPr="00FD7811">
        <w:rPr>
          <w:rStyle w:val="AERtexthighlight"/>
          <w:shd w:val="clear" w:color="auto" w:fill="auto"/>
        </w:rPr>
        <w:t>ctewAGL</w:t>
      </w:r>
      <w:r w:rsidRPr="00C642D4">
        <w:rPr>
          <w:rStyle w:val="AERtexthighlight"/>
          <w:shd w:val="clear" w:color="auto" w:fill="auto"/>
        </w:rPr>
        <w:t xml:space="preserve">, </w:t>
      </w:r>
      <w:r w:rsidRPr="00C642D4">
        <w:rPr>
          <w:rStyle w:val="AERtextitalic"/>
        </w:rPr>
        <w:t>Regulatory proposal</w:t>
      </w:r>
      <w:r w:rsidRPr="00C642D4">
        <w:rPr>
          <w:rStyle w:val="AERtexthighlight"/>
          <w:shd w:val="clear" w:color="auto" w:fill="auto"/>
        </w:rPr>
        <w:t xml:space="preserve">, </w:t>
      </w:r>
      <w:r w:rsidR="00BA0D33" w:rsidRPr="006156DB">
        <w:rPr>
          <w:rStyle w:val="AERtexthighlight"/>
          <w:shd w:val="clear" w:color="auto" w:fill="auto"/>
        </w:rPr>
        <w:t>June</w:t>
      </w:r>
      <w:r w:rsidRPr="00C642D4">
        <w:rPr>
          <w:rStyle w:val="AERtexthighlight"/>
          <w:shd w:val="clear" w:color="auto" w:fill="auto"/>
        </w:rPr>
        <w:t xml:space="preserve"> 2014, </w:t>
      </w:r>
      <w:r w:rsidR="006F6035" w:rsidRPr="006F6035">
        <w:rPr>
          <w:rStyle w:val="AERtexthighlight"/>
          <w:shd w:val="clear" w:color="auto" w:fill="auto"/>
        </w:rPr>
        <w:t xml:space="preserve">Attachment </w:t>
      </w:r>
      <w:r w:rsidR="0083646C" w:rsidRPr="0083646C">
        <w:rPr>
          <w:rStyle w:val="AERtexthighlight"/>
          <w:shd w:val="clear" w:color="auto" w:fill="auto"/>
        </w:rPr>
        <w:t>B4 RFM Transmission</w:t>
      </w:r>
      <w:r w:rsidRPr="00C642D4">
        <w:rPr>
          <w:rStyle w:val="AERtexthighlight"/>
          <w:shd w:val="clear" w:color="auto" w:fill="auto"/>
        </w:rPr>
        <w:t>.</w:t>
      </w:r>
    </w:p>
    <w:p w:rsidR="00C642D4" w:rsidRPr="00C642D4" w:rsidRDefault="00C642D4" w:rsidP="00C642D4">
      <w:pPr>
        <w:pStyle w:val="AERtablesource"/>
      </w:pPr>
      <w:r w:rsidRPr="00C642D4">
        <w:t>(a)</w:t>
      </w:r>
      <w:r w:rsidR="00295142">
        <w:t>:</w:t>
      </w:r>
      <w:r w:rsidRPr="00C642D4">
        <w:tab/>
        <w:t xml:space="preserve">Based on estimated capex. </w:t>
      </w:r>
    </w:p>
    <w:p w:rsidR="00D23605" w:rsidRPr="00D23605" w:rsidRDefault="00C642D4" w:rsidP="00D23605">
      <w:pPr>
        <w:pStyle w:val="AERtablesource"/>
        <w:rPr>
          <w:rStyle w:val="AERbody"/>
          <w:sz w:val="16"/>
        </w:rPr>
      </w:pPr>
      <w:r w:rsidRPr="00C642D4">
        <w:t>(b)</w:t>
      </w:r>
      <w:r w:rsidR="00295142">
        <w:t>:</w:t>
      </w:r>
      <w:r w:rsidRPr="00C642D4">
        <w:tab/>
        <w:t>Net of disposals and capital contributions</w:t>
      </w:r>
      <w:r w:rsidR="0032308B">
        <w:t>, and adjusted for CPI</w:t>
      </w:r>
      <w:r w:rsidR="00D23605">
        <w:t>.</w:t>
      </w:r>
    </w:p>
    <w:p w:rsidR="00B17F18" w:rsidRPr="00D23605" w:rsidRDefault="00861A28" w:rsidP="009D444F">
      <w:pPr>
        <w:pStyle w:val="AERbodytext"/>
        <w:rPr>
          <w:rStyle w:val="AERbody"/>
        </w:rPr>
      </w:pPr>
      <w:r w:rsidRPr="00D23605">
        <w:rPr>
          <w:rStyle w:val="AERbody"/>
        </w:rPr>
        <w:t>A</w:t>
      </w:r>
      <w:r w:rsidR="0083646C">
        <w:rPr>
          <w:rStyle w:val="AERbody"/>
        </w:rPr>
        <w:t>ctewAGL</w:t>
      </w:r>
      <w:r w:rsidR="00B17F18" w:rsidRPr="00D23605">
        <w:rPr>
          <w:rStyle w:val="AERbody"/>
        </w:rPr>
        <w:t xml:space="preserve"> proposed </w:t>
      </w:r>
      <w:r w:rsidR="0032308B">
        <w:rPr>
          <w:rStyle w:val="AERbody"/>
        </w:rPr>
        <w:t xml:space="preserve">forecast </w:t>
      </w:r>
      <w:r w:rsidR="00B17F18" w:rsidRPr="00D23605">
        <w:rPr>
          <w:rStyle w:val="AERbody"/>
        </w:rPr>
        <w:t>closing RAB</w:t>
      </w:r>
      <w:r w:rsidR="0032308B">
        <w:rPr>
          <w:rStyle w:val="AERbody"/>
        </w:rPr>
        <w:t>s</w:t>
      </w:r>
      <w:r w:rsidR="00B17F18" w:rsidRPr="00D23605">
        <w:rPr>
          <w:rStyle w:val="AERbody"/>
        </w:rPr>
        <w:t xml:space="preserve"> as at 30 June 2019 of $</w:t>
      </w:r>
      <w:r w:rsidR="009038A2">
        <w:rPr>
          <w:rStyle w:val="AERbody"/>
        </w:rPr>
        <w:t>850.2</w:t>
      </w:r>
      <w:r w:rsidR="00B17F18" w:rsidRPr="00D23605">
        <w:rPr>
          <w:rStyle w:val="AERbody"/>
        </w:rPr>
        <w:t> million and $</w:t>
      </w:r>
      <w:r w:rsidR="009038A2">
        <w:rPr>
          <w:rStyle w:val="AERbody"/>
        </w:rPr>
        <w:t>234.1</w:t>
      </w:r>
      <w:r w:rsidR="00B17F18" w:rsidRPr="00D23605">
        <w:rPr>
          <w:rStyle w:val="AERbody"/>
        </w:rPr>
        <w:t xml:space="preserve"> million ($ nominal) for its distribution and transmission networks respectively. </w:t>
      </w:r>
      <w:r w:rsidRPr="00D23605">
        <w:rPr>
          <w:rStyle w:val="AERbody"/>
        </w:rPr>
        <w:t xml:space="preserve">These values reflect its proposed </w:t>
      </w:r>
      <w:r w:rsidR="0032308B">
        <w:rPr>
          <w:rStyle w:val="AERbody"/>
        </w:rPr>
        <w:t xml:space="preserve">opening RABs, </w:t>
      </w:r>
      <w:r w:rsidRPr="00D23605">
        <w:rPr>
          <w:rStyle w:val="AERbody"/>
        </w:rPr>
        <w:t xml:space="preserve">forecast capex, </w:t>
      </w:r>
      <w:r w:rsidR="0032308B">
        <w:rPr>
          <w:rStyle w:val="AERbody"/>
        </w:rPr>
        <w:t xml:space="preserve">forecast </w:t>
      </w:r>
      <w:r w:rsidRPr="00D23605">
        <w:rPr>
          <w:rStyle w:val="AERbody"/>
        </w:rPr>
        <w:t xml:space="preserve">inflation and depreciation </w:t>
      </w:r>
      <w:r w:rsidR="0032308B">
        <w:rPr>
          <w:rStyle w:val="AERbody"/>
        </w:rPr>
        <w:t xml:space="preserve">(based on forecast capex) </w:t>
      </w:r>
      <w:r w:rsidRPr="00D23605">
        <w:rPr>
          <w:rStyle w:val="AERbody"/>
        </w:rPr>
        <w:t xml:space="preserve">over the 2014–19 period. </w:t>
      </w:r>
      <w:r w:rsidR="00431A5F">
        <w:rPr>
          <w:rStyle w:val="AERbody"/>
        </w:rPr>
        <w:t>Its</w:t>
      </w:r>
      <w:r w:rsidR="00431A5F" w:rsidRPr="00D23605">
        <w:rPr>
          <w:rStyle w:val="AERbody"/>
        </w:rPr>
        <w:t xml:space="preserve"> </w:t>
      </w:r>
      <w:r w:rsidRPr="00D23605">
        <w:rPr>
          <w:rStyle w:val="AERbody"/>
        </w:rPr>
        <w:t xml:space="preserve">projected distribution and transmission RABs over the 2014–19 </w:t>
      </w:r>
      <w:r w:rsidR="00C839CF">
        <w:rPr>
          <w:rStyle w:val="AERbody"/>
        </w:rPr>
        <w:t xml:space="preserve">period are shown in </w:t>
      </w:r>
      <w:r w:rsidR="0067382C" w:rsidRPr="00D23605">
        <w:rPr>
          <w:rStyle w:val="AERbody"/>
        </w:rPr>
        <w:fldChar w:fldCharType="begin"/>
      </w:r>
      <w:r w:rsidR="0067382C" w:rsidRPr="00D23605">
        <w:rPr>
          <w:rStyle w:val="AERbody"/>
        </w:rPr>
        <w:instrText xml:space="preserve"> REF _Ref392854833 \h </w:instrText>
      </w:r>
      <w:r w:rsidR="00D23605" w:rsidRPr="00D23605">
        <w:rPr>
          <w:rStyle w:val="AERbody"/>
        </w:rPr>
        <w:instrText xml:space="preserve"> \* MERGEFORMAT </w:instrText>
      </w:r>
      <w:r w:rsidR="0067382C" w:rsidRPr="00D23605">
        <w:rPr>
          <w:rStyle w:val="AERbody"/>
        </w:rPr>
      </w:r>
      <w:r w:rsidR="0067382C" w:rsidRPr="00D23605">
        <w:rPr>
          <w:rStyle w:val="AERbody"/>
        </w:rPr>
        <w:fldChar w:fldCharType="separate"/>
      </w:r>
      <w:r w:rsidR="00675079" w:rsidRPr="00675079">
        <w:rPr>
          <w:rStyle w:val="AERbody"/>
        </w:rPr>
        <w:t>Table 2.7</w:t>
      </w:r>
      <w:r w:rsidR="0067382C" w:rsidRPr="00D23605">
        <w:rPr>
          <w:rStyle w:val="AERbody"/>
        </w:rPr>
        <w:fldChar w:fldCharType="end"/>
      </w:r>
      <w:r w:rsidR="0067382C" w:rsidRPr="00D23605">
        <w:rPr>
          <w:rStyle w:val="AERbody"/>
        </w:rPr>
        <w:t xml:space="preserve"> </w:t>
      </w:r>
      <w:r w:rsidRPr="00D23605">
        <w:rPr>
          <w:rStyle w:val="AERbody"/>
        </w:rPr>
        <w:t xml:space="preserve">and </w:t>
      </w:r>
      <w:r w:rsidR="00F45216">
        <w:rPr>
          <w:rStyle w:val="AERbody"/>
        </w:rPr>
        <w:fldChar w:fldCharType="begin"/>
      </w:r>
      <w:r w:rsidR="00F45216">
        <w:rPr>
          <w:rStyle w:val="AERbody"/>
        </w:rPr>
        <w:instrText xml:space="preserve"> REF _Ref404269519 \h </w:instrText>
      </w:r>
      <w:r w:rsidR="00F45216">
        <w:rPr>
          <w:rStyle w:val="AERbody"/>
        </w:rPr>
      </w:r>
      <w:r w:rsidR="00F45216">
        <w:rPr>
          <w:rStyle w:val="AERbody"/>
        </w:rPr>
        <w:fldChar w:fldCharType="separate"/>
      </w:r>
      <w:r w:rsidR="00675079">
        <w:t xml:space="preserve">Table </w:t>
      </w:r>
      <w:r w:rsidR="00675079">
        <w:rPr>
          <w:noProof/>
        </w:rPr>
        <w:t>2</w:t>
      </w:r>
      <w:r w:rsidR="00675079">
        <w:t>.</w:t>
      </w:r>
      <w:r w:rsidR="00675079">
        <w:rPr>
          <w:noProof/>
        </w:rPr>
        <w:t>8</w:t>
      </w:r>
      <w:r w:rsidR="00F45216">
        <w:rPr>
          <w:rStyle w:val="AERbody"/>
        </w:rPr>
        <w:fldChar w:fldCharType="end"/>
      </w:r>
      <w:r w:rsidR="00F45216">
        <w:rPr>
          <w:rStyle w:val="AERbody"/>
        </w:rPr>
        <w:t xml:space="preserve"> </w:t>
      </w:r>
      <w:r w:rsidRPr="00D23605">
        <w:rPr>
          <w:rStyle w:val="AERbody"/>
        </w:rPr>
        <w:t xml:space="preserve">respectively. </w:t>
      </w:r>
    </w:p>
    <w:p w:rsidR="00861A28" w:rsidRPr="0067382C" w:rsidRDefault="0067382C" w:rsidP="00F45216">
      <w:pPr>
        <w:pStyle w:val="Caption"/>
      </w:pPr>
      <w:bookmarkStart w:id="17" w:name="_Ref404269328"/>
      <w:bookmarkStart w:id="18" w:name="_Ref392854833"/>
      <w:r>
        <w:lastRenderedPageBreak/>
        <w:t xml:space="preserve">Table </w:t>
      </w:r>
      <w:fldSimple w:instr=" STYLEREF 1 \s ">
        <w:r w:rsidR="00675079">
          <w:rPr>
            <w:noProof/>
          </w:rPr>
          <w:t>2</w:t>
        </w:r>
      </w:fldSimple>
      <w:r w:rsidR="009D444F">
        <w:t>.</w:t>
      </w:r>
      <w:fldSimple w:instr=" SEQ Table \* ARABIC \s 1 ">
        <w:r w:rsidR="00675079">
          <w:rPr>
            <w:noProof/>
          </w:rPr>
          <w:t>7</w:t>
        </w:r>
      </w:fldSimple>
      <w:bookmarkEnd w:id="17"/>
      <w:bookmarkEnd w:id="18"/>
      <w:r>
        <w:tab/>
      </w:r>
      <w:r w:rsidRPr="0067382C">
        <w:t>A</w:t>
      </w:r>
      <w:r w:rsidR="0083646C">
        <w:t>ctewAGL</w:t>
      </w:r>
      <w:r w:rsidRPr="0067382C">
        <w:t>'s proposed RAB for the 20</w:t>
      </w:r>
      <w:r>
        <w:t>14</w:t>
      </w:r>
      <w:r w:rsidRPr="0067382C">
        <w:t>–1</w:t>
      </w:r>
      <w:r>
        <w:t>9</w:t>
      </w:r>
      <w:r w:rsidRPr="0067382C">
        <w:t xml:space="preserve"> period </w:t>
      </w:r>
      <w:r w:rsidR="00BE18D3">
        <w:t xml:space="preserve">– distribution </w:t>
      </w:r>
      <w:r w:rsidRPr="0067382C">
        <w:t xml:space="preserve">($million, nominal) </w:t>
      </w:r>
    </w:p>
    <w:tbl>
      <w:tblPr>
        <w:tblStyle w:val="AERtable-numbers"/>
        <w:tblW w:w="9156" w:type="dxa"/>
        <w:tblLook w:val="04A0" w:firstRow="1" w:lastRow="0" w:firstColumn="1" w:lastColumn="0" w:noHBand="0" w:noVBand="1"/>
      </w:tblPr>
      <w:tblGrid>
        <w:gridCol w:w="3641"/>
        <w:gridCol w:w="1103"/>
        <w:gridCol w:w="1103"/>
        <w:gridCol w:w="1103"/>
        <w:gridCol w:w="1103"/>
        <w:gridCol w:w="1103"/>
      </w:tblGrid>
      <w:tr w:rsidR="0011410F" w:rsidRPr="0011410F" w:rsidTr="0011410F">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11410F" w:rsidRPr="0011410F" w:rsidRDefault="0011410F" w:rsidP="00F45216">
            <w:pPr>
              <w:pStyle w:val="AERtabletextleft"/>
              <w:keepNext/>
            </w:pPr>
            <w:r w:rsidRPr="0011410F">
              <w:t> </w:t>
            </w:r>
          </w:p>
        </w:tc>
        <w:tc>
          <w:tcPr>
            <w:tcW w:w="1103" w:type="dxa"/>
            <w:noWrap/>
            <w:hideMark/>
          </w:tcPr>
          <w:p w:rsidR="0011410F" w:rsidRPr="0011410F" w:rsidRDefault="0011410F" w:rsidP="00F45216">
            <w:pPr>
              <w:pStyle w:val="AERtabletextright"/>
              <w:keepNext/>
              <w:cnfStyle w:val="100000000000" w:firstRow="1" w:lastRow="0" w:firstColumn="0" w:lastColumn="0" w:oddVBand="0" w:evenVBand="0" w:oddHBand="0" w:evenHBand="0" w:firstRowFirstColumn="0" w:firstRowLastColumn="0" w:lastRowFirstColumn="0" w:lastRowLastColumn="0"/>
            </w:pPr>
            <w:r w:rsidRPr="0011410F">
              <w:t>2014–15</w:t>
            </w:r>
          </w:p>
        </w:tc>
        <w:tc>
          <w:tcPr>
            <w:tcW w:w="1103" w:type="dxa"/>
            <w:noWrap/>
            <w:hideMark/>
          </w:tcPr>
          <w:p w:rsidR="0011410F" w:rsidRPr="0011410F" w:rsidRDefault="0011410F" w:rsidP="00F45216">
            <w:pPr>
              <w:pStyle w:val="AERtabletextright"/>
              <w:keepNext/>
              <w:cnfStyle w:val="100000000000" w:firstRow="1" w:lastRow="0" w:firstColumn="0" w:lastColumn="0" w:oddVBand="0" w:evenVBand="0" w:oddHBand="0" w:evenHBand="0" w:firstRowFirstColumn="0" w:firstRowLastColumn="0" w:lastRowFirstColumn="0" w:lastRowLastColumn="0"/>
            </w:pPr>
            <w:r w:rsidRPr="0011410F">
              <w:t>2015–16</w:t>
            </w:r>
          </w:p>
        </w:tc>
        <w:tc>
          <w:tcPr>
            <w:tcW w:w="1103" w:type="dxa"/>
            <w:noWrap/>
            <w:hideMark/>
          </w:tcPr>
          <w:p w:rsidR="0011410F" w:rsidRPr="0011410F" w:rsidRDefault="0011410F" w:rsidP="00F45216">
            <w:pPr>
              <w:pStyle w:val="AERtabletextright"/>
              <w:keepNext/>
              <w:cnfStyle w:val="100000000000" w:firstRow="1" w:lastRow="0" w:firstColumn="0" w:lastColumn="0" w:oddVBand="0" w:evenVBand="0" w:oddHBand="0" w:evenHBand="0" w:firstRowFirstColumn="0" w:firstRowLastColumn="0" w:lastRowFirstColumn="0" w:lastRowLastColumn="0"/>
            </w:pPr>
            <w:r w:rsidRPr="0011410F">
              <w:t>2016–17</w:t>
            </w:r>
          </w:p>
        </w:tc>
        <w:tc>
          <w:tcPr>
            <w:tcW w:w="1103" w:type="dxa"/>
            <w:noWrap/>
            <w:hideMark/>
          </w:tcPr>
          <w:p w:rsidR="0011410F" w:rsidRPr="0011410F" w:rsidRDefault="0011410F" w:rsidP="00F45216">
            <w:pPr>
              <w:pStyle w:val="AERtabletextright"/>
              <w:keepNext/>
              <w:cnfStyle w:val="100000000000" w:firstRow="1" w:lastRow="0" w:firstColumn="0" w:lastColumn="0" w:oddVBand="0" w:evenVBand="0" w:oddHBand="0" w:evenHBand="0" w:firstRowFirstColumn="0" w:firstRowLastColumn="0" w:lastRowFirstColumn="0" w:lastRowLastColumn="0"/>
            </w:pPr>
            <w:r w:rsidRPr="0011410F">
              <w:t>2017–18</w:t>
            </w:r>
          </w:p>
        </w:tc>
        <w:tc>
          <w:tcPr>
            <w:tcW w:w="1103" w:type="dxa"/>
            <w:noWrap/>
            <w:hideMark/>
          </w:tcPr>
          <w:p w:rsidR="0011410F" w:rsidRPr="0011410F" w:rsidRDefault="0011410F" w:rsidP="00F45216">
            <w:pPr>
              <w:pStyle w:val="AERtabletextright"/>
              <w:keepNext/>
              <w:cnfStyle w:val="100000000000" w:firstRow="1" w:lastRow="0" w:firstColumn="0" w:lastColumn="0" w:oddVBand="0" w:evenVBand="0" w:oddHBand="0" w:evenHBand="0" w:firstRowFirstColumn="0" w:firstRowLastColumn="0" w:lastRowFirstColumn="0" w:lastRowLastColumn="0"/>
            </w:pPr>
            <w:r w:rsidRPr="0011410F">
              <w:t>2018–19</w:t>
            </w:r>
          </w:p>
        </w:tc>
      </w:tr>
      <w:tr w:rsidR="0028138C" w:rsidRPr="00E03900" w:rsidTr="00BA0D33">
        <w:trPr>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28138C" w:rsidRPr="00E03900" w:rsidRDefault="0028138C" w:rsidP="00E03900">
            <w:pPr>
              <w:pStyle w:val="AERtabletextleft"/>
              <w:rPr>
                <w:rStyle w:val="AERtextbold"/>
                <w:b w:val="0"/>
              </w:rPr>
            </w:pPr>
            <w:r w:rsidRPr="00E03900">
              <w:rPr>
                <w:rStyle w:val="AERtextbold"/>
                <w:b w:val="0"/>
              </w:rPr>
              <w:t>Opening RAB</w:t>
            </w:r>
          </w:p>
        </w:tc>
        <w:tc>
          <w:tcPr>
            <w:tcW w:w="1103"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696.1</w:t>
            </w:r>
          </w:p>
        </w:tc>
        <w:tc>
          <w:tcPr>
            <w:tcW w:w="1103"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737.6</w:t>
            </w:r>
          </w:p>
        </w:tc>
        <w:tc>
          <w:tcPr>
            <w:tcW w:w="1103"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765.1</w:t>
            </w:r>
          </w:p>
        </w:tc>
        <w:tc>
          <w:tcPr>
            <w:tcW w:w="1103"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792.7</w:t>
            </w:r>
          </w:p>
        </w:tc>
        <w:tc>
          <w:tcPr>
            <w:tcW w:w="1103"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818.9</w:t>
            </w:r>
          </w:p>
        </w:tc>
      </w:tr>
      <w:tr w:rsidR="0028138C" w:rsidRPr="0011410F" w:rsidTr="00BA0D33">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28138C" w:rsidRPr="0028138C" w:rsidRDefault="0028138C" w:rsidP="00F45216">
            <w:pPr>
              <w:pStyle w:val="AERtabletextleft"/>
              <w:keepNext/>
            </w:pPr>
            <w:r w:rsidRPr="0028138C">
              <w:t>Capital expenditure</w:t>
            </w:r>
            <w:r w:rsidR="00FC0432" w:rsidRPr="00FC0432">
              <w:rPr>
                <w:rStyle w:val="AERsuperscript"/>
              </w:rPr>
              <w:t>a</w:t>
            </w:r>
          </w:p>
        </w:tc>
        <w:tc>
          <w:tcPr>
            <w:tcW w:w="1103" w:type="dxa"/>
            <w:noWrap/>
            <w:vAlign w:val="bottom"/>
          </w:tcPr>
          <w:p w:rsidR="0028138C" w:rsidRPr="0028138C" w:rsidRDefault="002D718C" w:rsidP="00F45216">
            <w:pPr>
              <w:pStyle w:val="AERtabletextright"/>
              <w:keepNext/>
              <w:cnfStyle w:val="000000010000" w:firstRow="0" w:lastRow="0" w:firstColumn="0" w:lastColumn="0" w:oddVBand="0" w:evenVBand="0" w:oddHBand="0" w:evenHBand="1" w:firstRowFirstColumn="0" w:firstRowLastColumn="0" w:lastRowFirstColumn="0" w:lastRowLastColumn="0"/>
            </w:pPr>
            <w:r>
              <w:t>68.5</w:t>
            </w:r>
          </w:p>
        </w:tc>
        <w:tc>
          <w:tcPr>
            <w:tcW w:w="1103" w:type="dxa"/>
            <w:noWrap/>
            <w:vAlign w:val="bottom"/>
          </w:tcPr>
          <w:p w:rsidR="0028138C" w:rsidRPr="0028138C" w:rsidRDefault="002D718C" w:rsidP="00F45216">
            <w:pPr>
              <w:pStyle w:val="AERtabletextright"/>
              <w:keepNext/>
              <w:cnfStyle w:val="000000010000" w:firstRow="0" w:lastRow="0" w:firstColumn="0" w:lastColumn="0" w:oddVBand="0" w:evenVBand="0" w:oddHBand="0" w:evenHBand="1" w:firstRowFirstColumn="0" w:firstRowLastColumn="0" w:lastRowFirstColumn="0" w:lastRowLastColumn="0"/>
            </w:pPr>
            <w:r>
              <w:t>58.1</w:t>
            </w:r>
          </w:p>
        </w:tc>
        <w:tc>
          <w:tcPr>
            <w:tcW w:w="1103" w:type="dxa"/>
            <w:noWrap/>
            <w:vAlign w:val="bottom"/>
          </w:tcPr>
          <w:p w:rsidR="0028138C" w:rsidRPr="0028138C" w:rsidRDefault="002D718C" w:rsidP="00F45216">
            <w:pPr>
              <w:pStyle w:val="AERtabletextright"/>
              <w:keepNext/>
              <w:cnfStyle w:val="000000010000" w:firstRow="0" w:lastRow="0" w:firstColumn="0" w:lastColumn="0" w:oddVBand="0" w:evenVBand="0" w:oddHBand="0" w:evenHBand="1" w:firstRowFirstColumn="0" w:firstRowLastColumn="0" w:lastRowFirstColumn="0" w:lastRowLastColumn="0"/>
            </w:pPr>
            <w:r>
              <w:t>58.8</w:t>
            </w:r>
          </w:p>
        </w:tc>
        <w:tc>
          <w:tcPr>
            <w:tcW w:w="1103" w:type="dxa"/>
            <w:noWrap/>
            <w:vAlign w:val="bottom"/>
          </w:tcPr>
          <w:p w:rsidR="0028138C" w:rsidRPr="0028138C" w:rsidRDefault="002D718C" w:rsidP="00F45216">
            <w:pPr>
              <w:pStyle w:val="AERtabletextright"/>
              <w:keepNext/>
              <w:cnfStyle w:val="000000010000" w:firstRow="0" w:lastRow="0" w:firstColumn="0" w:lastColumn="0" w:oddVBand="0" w:evenVBand="0" w:oddHBand="0" w:evenHBand="1" w:firstRowFirstColumn="0" w:firstRowLastColumn="0" w:lastRowFirstColumn="0" w:lastRowLastColumn="0"/>
            </w:pPr>
            <w:r>
              <w:t>58.8</w:t>
            </w:r>
          </w:p>
        </w:tc>
        <w:tc>
          <w:tcPr>
            <w:tcW w:w="1103" w:type="dxa"/>
            <w:noWrap/>
            <w:vAlign w:val="bottom"/>
          </w:tcPr>
          <w:p w:rsidR="0028138C" w:rsidRPr="0028138C" w:rsidRDefault="002D718C" w:rsidP="00F45216">
            <w:pPr>
              <w:pStyle w:val="AERtabletextright"/>
              <w:keepNext/>
              <w:cnfStyle w:val="000000010000" w:firstRow="0" w:lastRow="0" w:firstColumn="0" w:lastColumn="0" w:oddVBand="0" w:evenVBand="0" w:oddHBand="0" w:evenHBand="1" w:firstRowFirstColumn="0" w:firstRowLastColumn="0" w:lastRowFirstColumn="0" w:lastRowLastColumn="0"/>
            </w:pPr>
            <w:r>
              <w:t>64.0</w:t>
            </w:r>
          </w:p>
        </w:tc>
      </w:tr>
      <w:tr w:rsidR="0028138C" w:rsidRPr="0011410F" w:rsidTr="00BA0D33">
        <w:trPr>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28138C" w:rsidRPr="0028138C" w:rsidRDefault="0028138C" w:rsidP="00F45216">
            <w:pPr>
              <w:pStyle w:val="AERtabletextleft"/>
              <w:keepNext/>
            </w:pPr>
            <w:r w:rsidRPr="0028138C">
              <w:t>Inflation indexation on opening RAB</w:t>
            </w:r>
          </w:p>
        </w:tc>
        <w:tc>
          <w:tcPr>
            <w:tcW w:w="1103" w:type="dxa"/>
            <w:noWrap/>
            <w:vAlign w:val="bottom"/>
          </w:tcPr>
          <w:p w:rsidR="0028138C" w:rsidRPr="0028138C" w:rsidRDefault="002D718C" w:rsidP="00F45216">
            <w:pPr>
              <w:pStyle w:val="AERtabletextright"/>
              <w:keepNext/>
              <w:cnfStyle w:val="000000000000" w:firstRow="0" w:lastRow="0" w:firstColumn="0" w:lastColumn="0" w:oddVBand="0" w:evenVBand="0" w:oddHBand="0" w:evenHBand="0" w:firstRowFirstColumn="0" w:firstRowLastColumn="0" w:lastRowFirstColumn="0" w:lastRowLastColumn="0"/>
            </w:pPr>
            <w:r>
              <w:t>17.6</w:t>
            </w:r>
          </w:p>
        </w:tc>
        <w:tc>
          <w:tcPr>
            <w:tcW w:w="1103" w:type="dxa"/>
            <w:noWrap/>
            <w:vAlign w:val="bottom"/>
          </w:tcPr>
          <w:p w:rsidR="0028138C" w:rsidRPr="0028138C" w:rsidRDefault="002D718C" w:rsidP="00F45216">
            <w:pPr>
              <w:pStyle w:val="AERtabletextright"/>
              <w:keepNext/>
              <w:cnfStyle w:val="000000000000" w:firstRow="0" w:lastRow="0" w:firstColumn="0" w:lastColumn="0" w:oddVBand="0" w:evenVBand="0" w:oddHBand="0" w:evenHBand="0" w:firstRowFirstColumn="0" w:firstRowLastColumn="0" w:lastRowFirstColumn="0" w:lastRowLastColumn="0"/>
            </w:pPr>
            <w:r>
              <w:t>18.6</w:t>
            </w:r>
          </w:p>
        </w:tc>
        <w:tc>
          <w:tcPr>
            <w:tcW w:w="1103" w:type="dxa"/>
            <w:noWrap/>
            <w:vAlign w:val="bottom"/>
          </w:tcPr>
          <w:p w:rsidR="0028138C" w:rsidRPr="0028138C" w:rsidRDefault="002D718C" w:rsidP="00F45216">
            <w:pPr>
              <w:pStyle w:val="AERtabletextright"/>
              <w:keepNext/>
              <w:cnfStyle w:val="000000000000" w:firstRow="0" w:lastRow="0" w:firstColumn="0" w:lastColumn="0" w:oddVBand="0" w:evenVBand="0" w:oddHBand="0" w:evenHBand="0" w:firstRowFirstColumn="0" w:firstRowLastColumn="0" w:lastRowFirstColumn="0" w:lastRowLastColumn="0"/>
            </w:pPr>
            <w:r>
              <w:t>19.3</w:t>
            </w:r>
          </w:p>
        </w:tc>
        <w:tc>
          <w:tcPr>
            <w:tcW w:w="1103" w:type="dxa"/>
            <w:noWrap/>
            <w:vAlign w:val="bottom"/>
          </w:tcPr>
          <w:p w:rsidR="0028138C" w:rsidRPr="0028138C" w:rsidRDefault="002D718C" w:rsidP="00F45216">
            <w:pPr>
              <w:pStyle w:val="AERtabletextright"/>
              <w:keepNext/>
              <w:cnfStyle w:val="000000000000" w:firstRow="0" w:lastRow="0" w:firstColumn="0" w:lastColumn="0" w:oddVBand="0" w:evenVBand="0" w:oddHBand="0" w:evenHBand="0" w:firstRowFirstColumn="0" w:firstRowLastColumn="0" w:lastRowFirstColumn="0" w:lastRowLastColumn="0"/>
            </w:pPr>
            <w:r>
              <w:t>20.0</w:t>
            </w:r>
          </w:p>
        </w:tc>
        <w:tc>
          <w:tcPr>
            <w:tcW w:w="1103" w:type="dxa"/>
            <w:noWrap/>
            <w:vAlign w:val="bottom"/>
          </w:tcPr>
          <w:p w:rsidR="0028138C" w:rsidRPr="0028138C" w:rsidRDefault="002D718C" w:rsidP="00F45216">
            <w:pPr>
              <w:pStyle w:val="AERtabletextright"/>
              <w:keepNext/>
              <w:cnfStyle w:val="000000000000" w:firstRow="0" w:lastRow="0" w:firstColumn="0" w:lastColumn="0" w:oddVBand="0" w:evenVBand="0" w:oddHBand="0" w:evenHBand="0" w:firstRowFirstColumn="0" w:firstRowLastColumn="0" w:lastRowFirstColumn="0" w:lastRowLastColumn="0"/>
            </w:pPr>
            <w:r>
              <w:t>20.7</w:t>
            </w:r>
          </w:p>
        </w:tc>
      </w:tr>
      <w:tr w:rsidR="0028138C" w:rsidRPr="0011410F" w:rsidTr="00BA0D33">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28138C" w:rsidRPr="0028138C" w:rsidRDefault="0028138C" w:rsidP="00F45216">
            <w:pPr>
              <w:pStyle w:val="AERtabletextleft"/>
              <w:keepNext/>
            </w:pPr>
            <w:r w:rsidRPr="00DA092D">
              <w:rPr>
                <w:rStyle w:val="AERtextitalic"/>
              </w:rPr>
              <w:t>Less:</w:t>
            </w:r>
            <w:r w:rsidRPr="0028138C">
              <w:t xml:space="preserve"> straight-line depreciation</w:t>
            </w:r>
          </w:p>
        </w:tc>
        <w:tc>
          <w:tcPr>
            <w:tcW w:w="1103" w:type="dxa"/>
            <w:noWrap/>
            <w:vAlign w:val="bottom"/>
          </w:tcPr>
          <w:p w:rsidR="0028138C" w:rsidRPr="0028138C" w:rsidRDefault="002D718C" w:rsidP="00F45216">
            <w:pPr>
              <w:pStyle w:val="AERtabletextright"/>
              <w:keepNext/>
              <w:cnfStyle w:val="000000010000" w:firstRow="0" w:lastRow="0" w:firstColumn="0" w:lastColumn="0" w:oddVBand="0" w:evenVBand="0" w:oddHBand="0" w:evenHBand="1" w:firstRowFirstColumn="0" w:firstRowLastColumn="0" w:lastRowFirstColumn="0" w:lastRowLastColumn="0"/>
            </w:pPr>
            <w:r>
              <w:t>44.6</w:t>
            </w:r>
          </w:p>
        </w:tc>
        <w:tc>
          <w:tcPr>
            <w:tcW w:w="1103" w:type="dxa"/>
            <w:noWrap/>
            <w:vAlign w:val="bottom"/>
          </w:tcPr>
          <w:p w:rsidR="0028138C" w:rsidRPr="0028138C" w:rsidRDefault="002D718C" w:rsidP="00F45216">
            <w:pPr>
              <w:pStyle w:val="AERtabletextright"/>
              <w:keepNext/>
              <w:cnfStyle w:val="000000010000" w:firstRow="0" w:lastRow="0" w:firstColumn="0" w:lastColumn="0" w:oddVBand="0" w:evenVBand="0" w:oddHBand="0" w:evenHBand="1" w:firstRowFirstColumn="0" w:firstRowLastColumn="0" w:lastRowFirstColumn="0" w:lastRowLastColumn="0"/>
            </w:pPr>
            <w:r>
              <w:t>49.2</w:t>
            </w:r>
          </w:p>
        </w:tc>
        <w:tc>
          <w:tcPr>
            <w:tcW w:w="1103" w:type="dxa"/>
            <w:noWrap/>
            <w:vAlign w:val="bottom"/>
          </w:tcPr>
          <w:p w:rsidR="0028138C" w:rsidRPr="0028138C" w:rsidRDefault="002D718C" w:rsidP="00F45216">
            <w:pPr>
              <w:pStyle w:val="AERtabletextright"/>
              <w:keepNext/>
              <w:cnfStyle w:val="000000010000" w:firstRow="0" w:lastRow="0" w:firstColumn="0" w:lastColumn="0" w:oddVBand="0" w:evenVBand="0" w:oddHBand="0" w:evenHBand="1" w:firstRowFirstColumn="0" w:firstRowLastColumn="0" w:lastRowFirstColumn="0" w:lastRowLastColumn="0"/>
            </w:pPr>
            <w:r>
              <w:t>50.5</w:t>
            </w:r>
          </w:p>
        </w:tc>
        <w:tc>
          <w:tcPr>
            <w:tcW w:w="1103" w:type="dxa"/>
            <w:noWrap/>
            <w:vAlign w:val="bottom"/>
          </w:tcPr>
          <w:p w:rsidR="0028138C" w:rsidRPr="0028138C" w:rsidRDefault="002D718C" w:rsidP="00F45216">
            <w:pPr>
              <w:pStyle w:val="AERtabletextright"/>
              <w:keepNext/>
              <w:cnfStyle w:val="000000010000" w:firstRow="0" w:lastRow="0" w:firstColumn="0" w:lastColumn="0" w:oddVBand="0" w:evenVBand="0" w:oddHBand="0" w:evenHBand="1" w:firstRowFirstColumn="0" w:firstRowLastColumn="0" w:lastRowFirstColumn="0" w:lastRowLastColumn="0"/>
            </w:pPr>
            <w:r>
              <w:t>52.6</w:t>
            </w:r>
          </w:p>
        </w:tc>
        <w:tc>
          <w:tcPr>
            <w:tcW w:w="1103" w:type="dxa"/>
            <w:noWrap/>
            <w:vAlign w:val="bottom"/>
          </w:tcPr>
          <w:p w:rsidR="0028138C" w:rsidRPr="0028138C" w:rsidRDefault="002D718C" w:rsidP="00F45216">
            <w:pPr>
              <w:pStyle w:val="AERtabletextright"/>
              <w:keepNext/>
              <w:cnfStyle w:val="000000010000" w:firstRow="0" w:lastRow="0" w:firstColumn="0" w:lastColumn="0" w:oddVBand="0" w:evenVBand="0" w:oddHBand="0" w:evenHBand="1" w:firstRowFirstColumn="0" w:firstRowLastColumn="0" w:lastRowFirstColumn="0" w:lastRowLastColumn="0"/>
            </w:pPr>
            <w:r>
              <w:t>53.4</w:t>
            </w:r>
          </w:p>
        </w:tc>
      </w:tr>
      <w:tr w:rsidR="0028138C" w:rsidRPr="00E03900" w:rsidTr="00BA0D33">
        <w:trPr>
          <w:trHeight w:val="282"/>
        </w:trPr>
        <w:tc>
          <w:tcPr>
            <w:cnfStyle w:val="001000000000" w:firstRow="0" w:lastRow="0" w:firstColumn="1" w:lastColumn="0" w:oddVBand="0" w:evenVBand="0" w:oddHBand="0" w:evenHBand="0" w:firstRowFirstColumn="0" w:firstRowLastColumn="0" w:lastRowFirstColumn="0" w:lastRowLastColumn="0"/>
            <w:tcW w:w="3641" w:type="dxa"/>
            <w:noWrap/>
            <w:hideMark/>
          </w:tcPr>
          <w:p w:rsidR="0028138C" w:rsidRPr="00E03900" w:rsidRDefault="0028138C" w:rsidP="00E03900">
            <w:pPr>
              <w:pStyle w:val="AERtabletextleft"/>
              <w:rPr>
                <w:rStyle w:val="AERtextbold"/>
                <w:b w:val="0"/>
              </w:rPr>
            </w:pPr>
            <w:r w:rsidRPr="00E03900">
              <w:rPr>
                <w:rStyle w:val="AERtextbold"/>
                <w:b w:val="0"/>
              </w:rPr>
              <w:t>Closing RAB</w:t>
            </w:r>
          </w:p>
        </w:tc>
        <w:tc>
          <w:tcPr>
            <w:tcW w:w="1103"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737.6</w:t>
            </w:r>
          </w:p>
        </w:tc>
        <w:tc>
          <w:tcPr>
            <w:tcW w:w="1103"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765.1</w:t>
            </w:r>
          </w:p>
        </w:tc>
        <w:tc>
          <w:tcPr>
            <w:tcW w:w="1103"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792.7</w:t>
            </w:r>
          </w:p>
        </w:tc>
        <w:tc>
          <w:tcPr>
            <w:tcW w:w="1103"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818.9</w:t>
            </w:r>
          </w:p>
        </w:tc>
        <w:tc>
          <w:tcPr>
            <w:tcW w:w="1103"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850.2</w:t>
            </w:r>
          </w:p>
        </w:tc>
      </w:tr>
    </w:tbl>
    <w:p w:rsidR="006F6035" w:rsidRDefault="006F6035" w:rsidP="00F45216">
      <w:pPr>
        <w:pStyle w:val="AERtablesource"/>
        <w:keepNext/>
        <w:rPr>
          <w:rStyle w:val="AERtexthighlight"/>
        </w:rPr>
      </w:pPr>
      <w:bookmarkStart w:id="19" w:name="_Ref392854837"/>
      <w:r w:rsidRPr="006F6035">
        <w:rPr>
          <w:rStyle w:val="AERtexthighlight"/>
          <w:shd w:val="clear" w:color="auto" w:fill="auto"/>
        </w:rPr>
        <w:t>Source:</w:t>
      </w:r>
      <w:r w:rsidRPr="006F6035">
        <w:rPr>
          <w:rStyle w:val="AERtexthighlight"/>
          <w:shd w:val="clear" w:color="auto" w:fill="auto"/>
        </w:rPr>
        <w:tab/>
      </w:r>
      <w:r w:rsidRPr="0083646C">
        <w:rPr>
          <w:rStyle w:val="AERtexthighlight"/>
          <w:shd w:val="clear" w:color="auto" w:fill="auto"/>
        </w:rPr>
        <w:t>A</w:t>
      </w:r>
      <w:r w:rsidR="0083646C" w:rsidRPr="0083646C">
        <w:rPr>
          <w:rStyle w:val="AERtexthighlight"/>
          <w:shd w:val="clear" w:color="auto" w:fill="auto"/>
        </w:rPr>
        <w:t>ctewAGL</w:t>
      </w:r>
      <w:r w:rsidRPr="0083646C">
        <w:rPr>
          <w:rStyle w:val="AERtexthighlight"/>
          <w:shd w:val="clear" w:color="auto" w:fill="auto"/>
        </w:rPr>
        <w:t xml:space="preserve">, </w:t>
      </w:r>
      <w:r w:rsidRPr="0083646C">
        <w:rPr>
          <w:rStyle w:val="AERtextitalic"/>
        </w:rPr>
        <w:t>Regulatory proposal,</w:t>
      </w:r>
      <w:r w:rsidR="006156DB">
        <w:rPr>
          <w:rStyle w:val="AERtextitalic"/>
        </w:rPr>
        <w:t xml:space="preserve"> </w:t>
      </w:r>
      <w:r w:rsidR="006156DB" w:rsidRPr="006156DB">
        <w:rPr>
          <w:rStyle w:val="AERtextitalic"/>
          <w:i w:val="0"/>
        </w:rPr>
        <w:t>June</w:t>
      </w:r>
      <w:r w:rsidRPr="0083646C">
        <w:rPr>
          <w:rStyle w:val="AERtexthighlight"/>
          <w:shd w:val="clear" w:color="auto" w:fill="auto"/>
        </w:rPr>
        <w:t xml:space="preserve"> 2014, Attachment </w:t>
      </w:r>
      <w:r w:rsidR="0083646C" w:rsidRPr="0083646C">
        <w:rPr>
          <w:rStyle w:val="AERtexthighlight"/>
          <w:shd w:val="clear" w:color="auto" w:fill="auto"/>
        </w:rPr>
        <w:t>B2 PTRM Distribution</w:t>
      </w:r>
      <w:r w:rsidRPr="006F6035">
        <w:rPr>
          <w:rStyle w:val="AERtexthighlight"/>
          <w:shd w:val="clear" w:color="auto" w:fill="auto"/>
        </w:rPr>
        <w:t>.</w:t>
      </w:r>
    </w:p>
    <w:p w:rsidR="006F6035" w:rsidRPr="006F6035" w:rsidRDefault="006F6035" w:rsidP="006F6035">
      <w:pPr>
        <w:pStyle w:val="AERtablesource"/>
      </w:pPr>
      <w:r w:rsidRPr="006F6035">
        <w:t>(</w:t>
      </w:r>
      <w:r w:rsidR="00FC0432">
        <w:t>a</w:t>
      </w:r>
      <w:r w:rsidRPr="006F6035">
        <w:t>)</w:t>
      </w:r>
      <w:r w:rsidR="00295142">
        <w:t>:</w:t>
      </w:r>
      <w:r w:rsidRPr="006F6035">
        <w:tab/>
        <w:t>Net of disposals and capital contributions.</w:t>
      </w:r>
    </w:p>
    <w:p w:rsidR="004132A9" w:rsidRPr="0067382C" w:rsidRDefault="0067382C" w:rsidP="0067382C">
      <w:pPr>
        <w:pStyle w:val="Caption"/>
      </w:pPr>
      <w:bookmarkStart w:id="20" w:name="_Ref404269519"/>
      <w:r>
        <w:t xml:space="preserve">Table </w:t>
      </w:r>
      <w:fldSimple w:instr=" STYLEREF 1 \s ">
        <w:r w:rsidR="00675079">
          <w:rPr>
            <w:noProof/>
          </w:rPr>
          <w:t>2</w:t>
        </w:r>
      </w:fldSimple>
      <w:r w:rsidR="009D444F">
        <w:t>.</w:t>
      </w:r>
      <w:fldSimple w:instr=" SEQ Table \* ARABIC \s 1 ">
        <w:r w:rsidR="00675079">
          <w:rPr>
            <w:noProof/>
          </w:rPr>
          <w:t>8</w:t>
        </w:r>
      </w:fldSimple>
      <w:bookmarkEnd w:id="19"/>
      <w:bookmarkEnd w:id="20"/>
      <w:r>
        <w:tab/>
      </w:r>
      <w:r w:rsidR="00EB13E7">
        <w:t>ActewAGL</w:t>
      </w:r>
      <w:r>
        <w:t>'s proposed RAB for the 2014</w:t>
      </w:r>
      <w:r w:rsidRPr="0067382C">
        <w:t>–1</w:t>
      </w:r>
      <w:r>
        <w:t>9</w:t>
      </w:r>
      <w:r w:rsidRPr="0067382C">
        <w:t xml:space="preserve"> period </w:t>
      </w:r>
      <w:r w:rsidR="00BE18D3">
        <w:t xml:space="preserve">– transmission </w:t>
      </w:r>
      <w:r w:rsidRPr="0067382C">
        <w:t xml:space="preserve">($million, nominal) </w:t>
      </w:r>
    </w:p>
    <w:tbl>
      <w:tblPr>
        <w:tblStyle w:val="AERtable-numbers"/>
        <w:tblW w:w="9165" w:type="dxa"/>
        <w:tblLook w:val="04A0" w:firstRow="1" w:lastRow="0" w:firstColumn="1" w:lastColumn="0" w:noHBand="0" w:noVBand="1"/>
      </w:tblPr>
      <w:tblGrid>
        <w:gridCol w:w="3645"/>
        <w:gridCol w:w="1104"/>
        <w:gridCol w:w="1104"/>
        <w:gridCol w:w="1104"/>
        <w:gridCol w:w="1104"/>
        <w:gridCol w:w="1104"/>
      </w:tblGrid>
      <w:tr w:rsidR="0011410F" w:rsidRPr="0011410F" w:rsidTr="0011410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11410F" w:rsidRPr="0011410F" w:rsidRDefault="0011410F" w:rsidP="0011410F">
            <w:pPr>
              <w:pStyle w:val="AERtabletextleft"/>
            </w:pPr>
            <w:r w:rsidRPr="0011410F">
              <w:t> </w:t>
            </w:r>
          </w:p>
        </w:tc>
        <w:tc>
          <w:tcPr>
            <w:tcW w:w="1104"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2014–15</w:t>
            </w:r>
          </w:p>
        </w:tc>
        <w:tc>
          <w:tcPr>
            <w:tcW w:w="1104"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2015–16</w:t>
            </w:r>
          </w:p>
        </w:tc>
        <w:tc>
          <w:tcPr>
            <w:tcW w:w="1104"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2016–17</w:t>
            </w:r>
          </w:p>
        </w:tc>
        <w:tc>
          <w:tcPr>
            <w:tcW w:w="1104"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2017–18</w:t>
            </w:r>
          </w:p>
        </w:tc>
        <w:tc>
          <w:tcPr>
            <w:tcW w:w="1104" w:type="dxa"/>
            <w:noWrap/>
            <w:hideMark/>
          </w:tcPr>
          <w:p w:rsidR="0011410F" w:rsidRPr="0011410F" w:rsidRDefault="0011410F" w:rsidP="0011410F">
            <w:pPr>
              <w:pStyle w:val="AERtabletextright"/>
              <w:cnfStyle w:val="100000000000" w:firstRow="1" w:lastRow="0" w:firstColumn="0" w:lastColumn="0" w:oddVBand="0" w:evenVBand="0" w:oddHBand="0" w:evenHBand="0" w:firstRowFirstColumn="0" w:firstRowLastColumn="0" w:lastRowFirstColumn="0" w:lastRowLastColumn="0"/>
            </w:pPr>
            <w:r w:rsidRPr="0011410F">
              <w:t>2018–19</w:t>
            </w:r>
          </w:p>
        </w:tc>
      </w:tr>
      <w:tr w:rsidR="0028138C" w:rsidRPr="00E03900" w:rsidTr="00BA0D33">
        <w:trPr>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E03900" w:rsidRDefault="0028138C" w:rsidP="00E03900">
            <w:pPr>
              <w:pStyle w:val="AERtabletextleft"/>
              <w:rPr>
                <w:rStyle w:val="AERtextbold"/>
                <w:b w:val="0"/>
              </w:rPr>
            </w:pPr>
            <w:r w:rsidRPr="00E03900">
              <w:rPr>
                <w:rStyle w:val="AERtextbold"/>
                <w:b w:val="0"/>
              </w:rPr>
              <w:t>Opening RAB</w:t>
            </w:r>
          </w:p>
        </w:tc>
        <w:tc>
          <w:tcPr>
            <w:tcW w:w="1104"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154.2</w:t>
            </w:r>
          </w:p>
        </w:tc>
        <w:tc>
          <w:tcPr>
            <w:tcW w:w="1104"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161.7</w:t>
            </w:r>
          </w:p>
        </w:tc>
        <w:tc>
          <w:tcPr>
            <w:tcW w:w="1104"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174.8</w:t>
            </w:r>
          </w:p>
        </w:tc>
        <w:tc>
          <w:tcPr>
            <w:tcW w:w="1104"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206.1</w:t>
            </w:r>
          </w:p>
        </w:tc>
        <w:tc>
          <w:tcPr>
            <w:tcW w:w="1104" w:type="dxa"/>
            <w:noWrap/>
            <w:vAlign w:val="bottom"/>
          </w:tcPr>
          <w:p w:rsidR="0028138C" w:rsidRPr="00E03900" w:rsidRDefault="002D718C"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226.6</w:t>
            </w:r>
          </w:p>
        </w:tc>
      </w:tr>
      <w:tr w:rsidR="0028138C" w:rsidRPr="0011410F" w:rsidTr="00BA0D3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28138C" w:rsidRDefault="0028138C" w:rsidP="0028138C">
            <w:pPr>
              <w:pStyle w:val="AERtabletextleft"/>
            </w:pPr>
            <w:r w:rsidRPr="0028138C">
              <w:t>Capital expenditure</w:t>
            </w:r>
            <w:r w:rsidR="00FC0432" w:rsidRPr="00FC0432">
              <w:rPr>
                <w:rStyle w:val="AERsuperscript"/>
              </w:rPr>
              <w:t>a</w:t>
            </w:r>
            <w:r w:rsidRPr="0028138C">
              <w:t xml:space="preserve"> </w:t>
            </w:r>
          </w:p>
        </w:tc>
        <w:tc>
          <w:tcPr>
            <w:tcW w:w="1104" w:type="dxa"/>
            <w:noWrap/>
            <w:vAlign w:val="bottom"/>
          </w:tcPr>
          <w:p w:rsidR="0028138C" w:rsidRPr="0028138C" w:rsidRDefault="002D718C" w:rsidP="0028138C">
            <w:pPr>
              <w:pStyle w:val="AERtabletextright"/>
              <w:cnfStyle w:val="000000010000" w:firstRow="0" w:lastRow="0" w:firstColumn="0" w:lastColumn="0" w:oddVBand="0" w:evenVBand="0" w:oddHBand="0" w:evenHBand="1" w:firstRowFirstColumn="0" w:firstRowLastColumn="0" w:lastRowFirstColumn="0" w:lastRowLastColumn="0"/>
            </w:pPr>
            <w:r>
              <w:t>11.8</w:t>
            </w:r>
          </w:p>
        </w:tc>
        <w:tc>
          <w:tcPr>
            <w:tcW w:w="1104" w:type="dxa"/>
            <w:noWrap/>
            <w:vAlign w:val="bottom"/>
          </w:tcPr>
          <w:p w:rsidR="0028138C" w:rsidRPr="0028138C" w:rsidRDefault="002D718C" w:rsidP="0028138C">
            <w:pPr>
              <w:pStyle w:val="AERtabletextright"/>
              <w:cnfStyle w:val="000000010000" w:firstRow="0" w:lastRow="0" w:firstColumn="0" w:lastColumn="0" w:oddVBand="0" w:evenVBand="0" w:oddHBand="0" w:evenHBand="1" w:firstRowFirstColumn="0" w:firstRowLastColumn="0" w:lastRowFirstColumn="0" w:lastRowLastColumn="0"/>
            </w:pPr>
            <w:r>
              <w:t>18.1</w:t>
            </w:r>
          </w:p>
        </w:tc>
        <w:tc>
          <w:tcPr>
            <w:tcW w:w="1104" w:type="dxa"/>
            <w:noWrap/>
            <w:vAlign w:val="bottom"/>
          </w:tcPr>
          <w:p w:rsidR="0028138C" w:rsidRPr="0028138C" w:rsidRDefault="002D718C" w:rsidP="0028138C">
            <w:pPr>
              <w:pStyle w:val="AERtabletextright"/>
              <w:cnfStyle w:val="000000010000" w:firstRow="0" w:lastRow="0" w:firstColumn="0" w:lastColumn="0" w:oddVBand="0" w:evenVBand="0" w:oddHBand="0" w:evenHBand="1" w:firstRowFirstColumn="0" w:firstRowLastColumn="0" w:lastRowFirstColumn="0" w:lastRowLastColumn="0"/>
            </w:pPr>
            <w:r>
              <w:t>36.5</w:t>
            </w:r>
          </w:p>
        </w:tc>
        <w:tc>
          <w:tcPr>
            <w:tcW w:w="1104" w:type="dxa"/>
            <w:noWrap/>
            <w:vAlign w:val="bottom"/>
          </w:tcPr>
          <w:p w:rsidR="0028138C" w:rsidRPr="0028138C" w:rsidRDefault="002D718C" w:rsidP="0028138C">
            <w:pPr>
              <w:pStyle w:val="AERtabletextright"/>
              <w:cnfStyle w:val="000000010000" w:firstRow="0" w:lastRow="0" w:firstColumn="0" w:lastColumn="0" w:oddVBand="0" w:evenVBand="0" w:oddHBand="0" w:evenHBand="1" w:firstRowFirstColumn="0" w:firstRowLastColumn="0" w:lastRowFirstColumn="0" w:lastRowLastColumn="0"/>
            </w:pPr>
            <w:r>
              <w:t>26.0</w:t>
            </w:r>
          </w:p>
        </w:tc>
        <w:tc>
          <w:tcPr>
            <w:tcW w:w="1104" w:type="dxa"/>
            <w:noWrap/>
            <w:vAlign w:val="bottom"/>
          </w:tcPr>
          <w:p w:rsidR="0028138C" w:rsidRPr="0028138C" w:rsidRDefault="002D718C" w:rsidP="0028138C">
            <w:pPr>
              <w:pStyle w:val="AERtabletextright"/>
              <w:cnfStyle w:val="000000010000" w:firstRow="0" w:lastRow="0" w:firstColumn="0" w:lastColumn="0" w:oddVBand="0" w:evenVBand="0" w:oddHBand="0" w:evenHBand="1" w:firstRowFirstColumn="0" w:firstRowLastColumn="0" w:lastRowFirstColumn="0" w:lastRowLastColumn="0"/>
            </w:pPr>
            <w:r>
              <w:t>13.4</w:t>
            </w:r>
          </w:p>
        </w:tc>
      </w:tr>
      <w:tr w:rsidR="0028138C" w:rsidRPr="0011410F" w:rsidTr="00BA0D33">
        <w:trPr>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28138C" w:rsidRDefault="0028138C" w:rsidP="0028138C">
            <w:pPr>
              <w:pStyle w:val="AERtabletextleft"/>
            </w:pPr>
            <w:r w:rsidRPr="0028138C">
              <w:t>Inflation indexation on opening RAB</w:t>
            </w:r>
          </w:p>
        </w:tc>
        <w:tc>
          <w:tcPr>
            <w:tcW w:w="1104" w:type="dxa"/>
            <w:noWrap/>
            <w:vAlign w:val="bottom"/>
          </w:tcPr>
          <w:p w:rsidR="0028138C" w:rsidRPr="0028138C" w:rsidRDefault="009038A2" w:rsidP="0028138C">
            <w:pPr>
              <w:pStyle w:val="AERtabletextright"/>
              <w:cnfStyle w:val="000000000000" w:firstRow="0" w:lastRow="0" w:firstColumn="0" w:lastColumn="0" w:oddVBand="0" w:evenVBand="0" w:oddHBand="0" w:evenHBand="0" w:firstRowFirstColumn="0" w:firstRowLastColumn="0" w:lastRowFirstColumn="0" w:lastRowLastColumn="0"/>
            </w:pPr>
            <w:r>
              <w:t>3.9</w:t>
            </w:r>
          </w:p>
        </w:tc>
        <w:tc>
          <w:tcPr>
            <w:tcW w:w="1104" w:type="dxa"/>
            <w:noWrap/>
            <w:vAlign w:val="bottom"/>
          </w:tcPr>
          <w:p w:rsidR="0028138C" w:rsidRPr="0028138C" w:rsidRDefault="009038A2" w:rsidP="0028138C">
            <w:pPr>
              <w:pStyle w:val="AERtabletextright"/>
              <w:cnfStyle w:val="000000000000" w:firstRow="0" w:lastRow="0" w:firstColumn="0" w:lastColumn="0" w:oddVBand="0" w:evenVBand="0" w:oddHBand="0" w:evenHBand="0" w:firstRowFirstColumn="0" w:firstRowLastColumn="0" w:lastRowFirstColumn="0" w:lastRowLastColumn="0"/>
            </w:pPr>
            <w:r>
              <w:t>4.1</w:t>
            </w:r>
          </w:p>
        </w:tc>
        <w:tc>
          <w:tcPr>
            <w:tcW w:w="1104" w:type="dxa"/>
            <w:noWrap/>
            <w:vAlign w:val="bottom"/>
          </w:tcPr>
          <w:p w:rsidR="0028138C" w:rsidRPr="0028138C" w:rsidRDefault="009038A2" w:rsidP="0028138C">
            <w:pPr>
              <w:pStyle w:val="AERtabletextright"/>
              <w:cnfStyle w:val="000000000000" w:firstRow="0" w:lastRow="0" w:firstColumn="0" w:lastColumn="0" w:oddVBand="0" w:evenVBand="0" w:oddHBand="0" w:evenHBand="0" w:firstRowFirstColumn="0" w:firstRowLastColumn="0" w:lastRowFirstColumn="0" w:lastRowLastColumn="0"/>
            </w:pPr>
            <w:r>
              <w:t>4.4</w:t>
            </w:r>
          </w:p>
        </w:tc>
        <w:tc>
          <w:tcPr>
            <w:tcW w:w="1104" w:type="dxa"/>
            <w:noWrap/>
            <w:vAlign w:val="bottom"/>
          </w:tcPr>
          <w:p w:rsidR="0028138C" w:rsidRPr="0028138C" w:rsidRDefault="009038A2" w:rsidP="0028138C">
            <w:pPr>
              <w:pStyle w:val="AERtabletextright"/>
              <w:cnfStyle w:val="000000000000" w:firstRow="0" w:lastRow="0" w:firstColumn="0" w:lastColumn="0" w:oddVBand="0" w:evenVBand="0" w:oddHBand="0" w:evenHBand="0" w:firstRowFirstColumn="0" w:firstRowLastColumn="0" w:lastRowFirstColumn="0" w:lastRowLastColumn="0"/>
            </w:pPr>
            <w:r>
              <w:t>5.2</w:t>
            </w:r>
          </w:p>
        </w:tc>
        <w:tc>
          <w:tcPr>
            <w:tcW w:w="1104" w:type="dxa"/>
            <w:noWrap/>
            <w:vAlign w:val="bottom"/>
          </w:tcPr>
          <w:p w:rsidR="0028138C" w:rsidRPr="0028138C" w:rsidRDefault="009038A2" w:rsidP="0028138C">
            <w:pPr>
              <w:pStyle w:val="AERtabletextright"/>
              <w:cnfStyle w:val="000000000000" w:firstRow="0" w:lastRow="0" w:firstColumn="0" w:lastColumn="0" w:oddVBand="0" w:evenVBand="0" w:oddHBand="0" w:evenHBand="0" w:firstRowFirstColumn="0" w:firstRowLastColumn="0" w:lastRowFirstColumn="0" w:lastRowLastColumn="0"/>
            </w:pPr>
            <w:r>
              <w:t>5.7</w:t>
            </w:r>
          </w:p>
        </w:tc>
      </w:tr>
      <w:tr w:rsidR="0028138C" w:rsidRPr="0011410F" w:rsidTr="00BA0D3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28138C" w:rsidRDefault="0028138C" w:rsidP="0028138C">
            <w:pPr>
              <w:pStyle w:val="AERtabletextleft"/>
            </w:pPr>
            <w:r w:rsidRPr="00DA092D">
              <w:rPr>
                <w:rStyle w:val="AERtextitalic"/>
              </w:rPr>
              <w:t>Less:</w:t>
            </w:r>
            <w:r w:rsidRPr="0028138C">
              <w:t xml:space="preserve"> straight-line depreciation</w:t>
            </w:r>
          </w:p>
        </w:tc>
        <w:tc>
          <w:tcPr>
            <w:tcW w:w="1104" w:type="dxa"/>
            <w:noWrap/>
            <w:vAlign w:val="bottom"/>
          </w:tcPr>
          <w:p w:rsidR="0028138C" w:rsidRPr="0028138C" w:rsidRDefault="009038A2" w:rsidP="0028138C">
            <w:pPr>
              <w:pStyle w:val="AERtabletextright"/>
              <w:cnfStyle w:val="000000010000" w:firstRow="0" w:lastRow="0" w:firstColumn="0" w:lastColumn="0" w:oddVBand="0" w:evenVBand="0" w:oddHBand="0" w:evenHBand="1" w:firstRowFirstColumn="0" w:firstRowLastColumn="0" w:lastRowFirstColumn="0" w:lastRowLastColumn="0"/>
            </w:pPr>
            <w:r>
              <w:t>8.1</w:t>
            </w:r>
          </w:p>
        </w:tc>
        <w:tc>
          <w:tcPr>
            <w:tcW w:w="1104" w:type="dxa"/>
            <w:noWrap/>
            <w:vAlign w:val="bottom"/>
          </w:tcPr>
          <w:p w:rsidR="0028138C" w:rsidRPr="0028138C" w:rsidRDefault="009038A2" w:rsidP="0028138C">
            <w:pPr>
              <w:pStyle w:val="AERtabletextright"/>
              <w:cnfStyle w:val="000000010000" w:firstRow="0" w:lastRow="0" w:firstColumn="0" w:lastColumn="0" w:oddVBand="0" w:evenVBand="0" w:oddHBand="0" w:evenHBand="1" w:firstRowFirstColumn="0" w:firstRowLastColumn="0" w:lastRowFirstColumn="0" w:lastRowLastColumn="0"/>
            </w:pPr>
            <w:r>
              <w:t>9.1</w:t>
            </w:r>
          </w:p>
        </w:tc>
        <w:tc>
          <w:tcPr>
            <w:tcW w:w="1104" w:type="dxa"/>
            <w:noWrap/>
            <w:vAlign w:val="bottom"/>
          </w:tcPr>
          <w:p w:rsidR="0028138C" w:rsidRPr="0028138C" w:rsidRDefault="009038A2" w:rsidP="0028138C">
            <w:pPr>
              <w:pStyle w:val="AERtabletextright"/>
              <w:cnfStyle w:val="000000010000" w:firstRow="0" w:lastRow="0" w:firstColumn="0" w:lastColumn="0" w:oddVBand="0" w:evenVBand="0" w:oddHBand="0" w:evenHBand="1" w:firstRowFirstColumn="0" w:firstRowLastColumn="0" w:lastRowFirstColumn="0" w:lastRowLastColumn="0"/>
            </w:pPr>
            <w:r>
              <w:t>9.6</w:t>
            </w:r>
          </w:p>
        </w:tc>
        <w:tc>
          <w:tcPr>
            <w:tcW w:w="1104" w:type="dxa"/>
            <w:noWrap/>
            <w:vAlign w:val="bottom"/>
          </w:tcPr>
          <w:p w:rsidR="0028138C" w:rsidRPr="0028138C" w:rsidRDefault="009038A2" w:rsidP="0028138C">
            <w:pPr>
              <w:pStyle w:val="AERtabletextright"/>
              <w:cnfStyle w:val="000000010000" w:firstRow="0" w:lastRow="0" w:firstColumn="0" w:lastColumn="0" w:oddVBand="0" w:evenVBand="0" w:oddHBand="0" w:evenHBand="1" w:firstRowFirstColumn="0" w:firstRowLastColumn="0" w:lastRowFirstColumn="0" w:lastRowLastColumn="0"/>
            </w:pPr>
            <w:r>
              <w:t>10.8</w:t>
            </w:r>
          </w:p>
        </w:tc>
        <w:tc>
          <w:tcPr>
            <w:tcW w:w="1104" w:type="dxa"/>
            <w:noWrap/>
            <w:vAlign w:val="bottom"/>
          </w:tcPr>
          <w:p w:rsidR="0028138C" w:rsidRPr="0028138C" w:rsidRDefault="009038A2" w:rsidP="0028138C">
            <w:pPr>
              <w:pStyle w:val="AERtabletextright"/>
              <w:cnfStyle w:val="000000010000" w:firstRow="0" w:lastRow="0" w:firstColumn="0" w:lastColumn="0" w:oddVBand="0" w:evenVBand="0" w:oddHBand="0" w:evenHBand="1" w:firstRowFirstColumn="0" w:firstRowLastColumn="0" w:lastRowFirstColumn="0" w:lastRowLastColumn="0"/>
            </w:pPr>
            <w:r>
              <w:t>11.5</w:t>
            </w:r>
          </w:p>
        </w:tc>
      </w:tr>
      <w:tr w:rsidR="0028138C" w:rsidRPr="00E03900" w:rsidTr="00BA0D33">
        <w:trPr>
          <w:trHeight w:val="288"/>
        </w:trPr>
        <w:tc>
          <w:tcPr>
            <w:cnfStyle w:val="001000000000" w:firstRow="0" w:lastRow="0" w:firstColumn="1" w:lastColumn="0" w:oddVBand="0" w:evenVBand="0" w:oddHBand="0" w:evenHBand="0" w:firstRowFirstColumn="0" w:firstRowLastColumn="0" w:lastRowFirstColumn="0" w:lastRowLastColumn="0"/>
            <w:tcW w:w="3645" w:type="dxa"/>
            <w:noWrap/>
            <w:hideMark/>
          </w:tcPr>
          <w:p w:rsidR="0028138C" w:rsidRPr="00E03900" w:rsidRDefault="0028138C" w:rsidP="00E03900">
            <w:pPr>
              <w:pStyle w:val="AERtabletextleft"/>
              <w:rPr>
                <w:rStyle w:val="AERtextbold"/>
                <w:b w:val="0"/>
              </w:rPr>
            </w:pPr>
            <w:r w:rsidRPr="00E03900">
              <w:rPr>
                <w:rStyle w:val="AERtextbold"/>
                <w:b w:val="0"/>
              </w:rPr>
              <w:t>Closing RAB</w:t>
            </w:r>
          </w:p>
        </w:tc>
        <w:tc>
          <w:tcPr>
            <w:tcW w:w="1104" w:type="dxa"/>
            <w:noWrap/>
            <w:vAlign w:val="bottom"/>
          </w:tcPr>
          <w:p w:rsidR="0028138C" w:rsidRPr="00E03900" w:rsidRDefault="009038A2"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161.7</w:t>
            </w:r>
          </w:p>
        </w:tc>
        <w:tc>
          <w:tcPr>
            <w:tcW w:w="1104" w:type="dxa"/>
            <w:noWrap/>
            <w:vAlign w:val="bottom"/>
          </w:tcPr>
          <w:p w:rsidR="0028138C" w:rsidRPr="00E03900" w:rsidRDefault="009038A2"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174.8</w:t>
            </w:r>
          </w:p>
        </w:tc>
        <w:tc>
          <w:tcPr>
            <w:tcW w:w="1104" w:type="dxa"/>
            <w:noWrap/>
            <w:vAlign w:val="bottom"/>
          </w:tcPr>
          <w:p w:rsidR="0028138C" w:rsidRPr="00E03900" w:rsidRDefault="009038A2"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206.1</w:t>
            </w:r>
          </w:p>
        </w:tc>
        <w:tc>
          <w:tcPr>
            <w:tcW w:w="1104" w:type="dxa"/>
            <w:noWrap/>
            <w:vAlign w:val="bottom"/>
          </w:tcPr>
          <w:p w:rsidR="0028138C" w:rsidRPr="00E03900" w:rsidRDefault="009038A2"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226.6</w:t>
            </w:r>
          </w:p>
        </w:tc>
        <w:tc>
          <w:tcPr>
            <w:tcW w:w="1104" w:type="dxa"/>
            <w:noWrap/>
            <w:vAlign w:val="bottom"/>
          </w:tcPr>
          <w:p w:rsidR="0028138C" w:rsidRPr="00E03900" w:rsidRDefault="009038A2" w:rsidP="00E03900">
            <w:pPr>
              <w:pStyle w:val="AERtabletextleft"/>
              <w:cnfStyle w:val="000000000000" w:firstRow="0" w:lastRow="0" w:firstColumn="0" w:lastColumn="0" w:oddVBand="0" w:evenVBand="0" w:oddHBand="0" w:evenHBand="0" w:firstRowFirstColumn="0" w:firstRowLastColumn="0" w:lastRowFirstColumn="0" w:lastRowLastColumn="0"/>
              <w:rPr>
                <w:rStyle w:val="AERtextbold"/>
                <w:b w:val="0"/>
              </w:rPr>
            </w:pPr>
            <w:r w:rsidRPr="00E03900">
              <w:rPr>
                <w:rStyle w:val="AERtextbold"/>
                <w:b w:val="0"/>
              </w:rPr>
              <w:t>234.1</w:t>
            </w:r>
          </w:p>
        </w:tc>
      </w:tr>
    </w:tbl>
    <w:p w:rsidR="004132A9" w:rsidRDefault="006F6035" w:rsidP="006156DB">
      <w:pPr>
        <w:pStyle w:val="AERtablesource"/>
        <w:rPr>
          <w:rStyle w:val="AERtexthighlight"/>
        </w:rPr>
      </w:pPr>
      <w:r w:rsidRPr="006F6035">
        <w:rPr>
          <w:rStyle w:val="AERtexthighlight"/>
          <w:shd w:val="clear" w:color="auto" w:fill="auto"/>
        </w:rPr>
        <w:t>Source:</w:t>
      </w:r>
      <w:r w:rsidRPr="006F6035">
        <w:rPr>
          <w:rStyle w:val="AERtexthighlight"/>
          <w:shd w:val="clear" w:color="auto" w:fill="auto"/>
        </w:rPr>
        <w:tab/>
        <w:t>A</w:t>
      </w:r>
      <w:r w:rsidR="0083646C" w:rsidRPr="0083646C">
        <w:rPr>
          <w:rStyle w:val="AERtexthighlight"/>
          <w:shd w:val="clear" w:color="auto" w:fill="auto"/>
        </w:rPr>
        <w:t>ctewAGL</w:t>
      </w:r>
      <w:r w:rsidRPr="006F6035">
        <w:rPr>
          <w:rStyle w:val="AERtexthighlight"/>
          <w:shd w:val="clear" w:color="auto" w:fill="auto"/>
        </w:rPr>
        <w:t xml:space="preserve">, </w:t>
      </w:r>
      <w:r w:rsidRPr="006F6035">
        <w:rPr>
          <w:rStyle w:val="AERtextitalic"/>
        </w:rPr>
        <w:t>Regulatory proposal</w:t>
      </w:r>
      <w:r w:rsidRPr="006F6035">
        <w:rPr>
          <w:rStyle w:val="AERtexthighlight"/>
          <w:shd w:val="clear" w:color="auto" w:fill="auto"/>
        </w:rPr>
        <w:t>,</w:t>
      </w:r>
      <w:r w:rsidRPr="006156DB">
        <w:rPr>
          <w:rStyle w:val="AERtexthighlight"/>
          <w:shd w:val="clear" w:color="auto" w:fill="auto"/>
        </w:rPr>
        <w:t xml:space="preserve"> </w:t>
      </w:r>
      <w:r w:rsidR="002D718C" w:rsidRPr="006156DB">
        <w:rPr>
          <w:rStyle w:val="AERtexthighlight"/>
          <w:shd w:val="clear" w:color="auto" w:fill="auto"/>
        </w:rPr>
        <w:t>June</w:t>
      </w:r>
      <w:r w:rsidRPr="006F6035">
        <w:rPr>
          <w:rStyle w:val="AERtexthighlight"/>
          <w:shd w:val="clear" w:color="auto" w:fill="auto"/>
        </w:rPr>
        <w:t xml:space="preserve"> 2014, Attachment</w:t>
      </w:r>
      <w:r w:rsidRPr="0083646C">
        <w:rPr>
          <w:rStyle w:val="AERtexthighlight"/>
          <w:shd w:val="clear" w:color="auto" w:fill="auto"/>
        </w:rPr>
        <w:t xml:space="preserve"> </w:t>
      </w:r>
      <w:r w:rsidR="0083646C" w:rsidRPr="0083646C">
        <w:rPr>
          <w:rStyle w:val="AERtexthighlight"/>
          <w:shd w:val="clear" w:color="auto" w:fill="auto"/>
        </w:rPr>
        <w:t>B5 PTRM Transmission</w:t>
      </w:r>
      <w:r w:rsidRPr="006F6035">
        <w:rPr>
          <w:rStyle w:val="AERtexthighlight"/>
          <w:shd w:val="clear" w:color="auto" w:fill="auto"/>
        </w:rPr>
        <w:t>.</w:t>
      </w:r>
    </w:p>
    <w:p w:rsidR="006F6035" w:rsidRDefault="006F6035" w:rsidP="006F6035">
      <w:pPr>
        <w:pStyle w:val="AERtablesource"/>
      </w:pPr>
      <w:r w:rsidRPr="006F6035">
        <w:t>(</w:t>
      </w:r>
      <w:r w:rsidR="00FC0432">
        <w:t>a</w:t>
      </w:r>
      <w:r w:rsidRPr="006F6035">
        <w:t>)</w:t>
      </w:r>
      <w:r w:rsidR="00295142">
        <w:t>:</w:t>
      </w:r>
      <w:r w:rsidRPr="006F6035">
        <w:tab/>
        <w:t>Net of disposals and capital contributions.</w:t>
      </w:r>
    </w:p>
    <w:p w:rsidR="00EE077E" w:rsidRPr="00EE077E" w:rsidRDefault="006156DB" w:rsidP="00EE077E">
      <w:pPr>
        <w:pStyle w:val="AERbodytext"/>
      </w:pPr>
      <w:r w:rsidRPr="0083646C">
        <w:t>A</w:t>
      </w:r>
      <w:r>
        <w:t>ctewAGL</w:t>
      </w:r>
      <w:r w:rsidR="0083646C" w:rsidRPr="0083646C">
        <w:t xml:space="preserve"> proposed to apply a forecast depreciation approach to establish the RAB at the commencement of 2019</w:t>
      </w:r>
      <w:r w:rsidR="00BE18D3">
        <w:t>–</w:t>
      </w:r>
      <w:r w:rsidR="0083646C" w:rsidRPr="0083646C">
        <w:t xml:space="preserve">24 regulatory control period, consistent with the approach set out in </w:t>
      </w:r>
      <w:r w:rsidR="00BE18D3">
        <w:t>our</w:t>
      </w:r>
      <w:r w:rsidR="00BE18D3" w:rsidRPr="0083646C">
        <w:t xml:space="preserve"> </w:t>
      </w:r>
      <w:r w:rsidR="00BE18D3">
        <w:t>S</w:t>
      </w:r>
      <w:r w:rsidR="0083646C" w:rsidRPr="0083646C">
        <w:t>tage 2 framework and approach</w:t>
      </w:r>
      <w:r w:rsidR="00BE18D3">
        <w:t xml:space="preserve"> paper</w:t>
      </w:r>
      <w:r w:rsidR="0083646C" w:rsidRPr="0083646C">
        <w:t>.</w:t>
      </w:r>
      <w:r w:rsidR="0083646C">
        <w:rPr>
          <w:rStyle w:val="FootnoteReference"/>
        </w:rPr>
        <w:footnoteReference w:id="5"/>
      </w:r>
      <w:r w:rsidR="0083646C" w:rsidRPr="0083646C">
        <w:t xml:space="preserve"> </w:t>
      </w:r>
    </w:p>
    <w:p w:rsidR="00D97003" w:rsidRDefault="00D97003" w:rsidP="00D97003">
      <w:pPr>
        <w:pStyle w:val="Heading2"/>
      </w:pPr>
      <w:bookmarkStart w:id="21" w:name="_Toc387916798"/>
      <w:bookmarkStart w:id="22" w:name="_Toc404699589"/>
      <w:r>
        <w:t>AER's assessment approach</w:t>
      </w:r>
      <w:bookmarkEnd w:id="21"/>
      <w:bookmarkEnd w:id="22"/>
    </w:p>
    <w:p w:rsidR="0075167F" w:rsidRDefault="008528F2" w:rsidP="0075167F">
      <w:pPr>
        <w:pStyle w:val="AERbodytext"/>
      </w:pPr>
      <w:r>
        <w:t>We are</w:t>
      </w:r>
      <w:r w:rsidR="0075167F" w:rsidRPr="0075167F">
        <w:t xml:space="preserve"> required to roll forward </w:t>
      </w:r>
      <w:r w:rsidR="004A3911">
        <w:t>the</w:t>
      </w:r>
      <w:r w:rsidR="0075167F" w:rsidRPr="0075167F">
        <w:t xml:space="preserve"> service provider's RAB</w:t>
      </w:r>
      <w:r w:rsidR="009D3F86">
        <w:t xml:space="preserve"> during the current regulatory control period</w:t>
      </w:r>
      <w:r w:rsidR="0075167F" w:rsidRPr="0075167F">
        <w:t xml:space="preserve"> to establish the opening RAB </w:t>
      </w:r>
      <w:r w:rsidR="009D3F86">
        <w:t>for the next</w:t>
      </w:r>
      <w:r w:rsidR="0075167F" w:rsidRPr="0075167F">
        <w:t xml:space="preserve"> regulatory control period. This value can be adjusted for any differences in the forecast and actual capex, disposals and capital contributions. It may also be adjusted to reflect any changes in the use of the assets, with only assets used in the provision of standard control services to be included in the RAB.</w:t>
      </w:r>
      <w:r w:rsidR="0075167F">
        <w:rPr>
          <w:rStyle w:val="FootnoteReference"/>
        </w:rPr>
        <w:footnoteReference w:id="6"/>
      </w:r>
    </w:p>
    <w:p w:rsidR="0075167F" w:rsidRDefault="0075167F" w:rsidP="0075167F">
      <w:pPr>
        <w:pStyle w:val="AERbodytext"/>
      </w:pPr>
      <w:r w:rsidRPr="0075167F">
        <w:t xml:space="preserve">To determine the opening RAB for a distribution determination, </w:t>
      </w:r>
      <w:r>
        <w:t>we</w:t>
      </w:r>
      <w:r w:rsidRPr="0075167F">
        <w:t xml:space="preserve"> ha</w:t>
      </w:r>
      <w:r>
        <w:t>ve</w:t>
      </w:r>
      <w:r w:rsidRPr="0075167F">
        <w:t xml:space="preserve"> developed an asset base </w:t>
      </w:r>
      <w:r>
        <w:t>RFM</w:t>
      </w:r>
      <w:r w:rsidRPr="0075167F">
        <w:t xml:space="preserve"> in accordance with the requirements of the NER.</w:t>
      </w:r>
      <w:r>
        <w:rPr>
          <w:rStyle w:val="FootnoteReference"/>
        </w:rPr>
        <w:footnoteReference w:id="7"/>
      </w:r>
      <w:r w:rsidRPr="0075167F">
        <w:t xml:space="preserve"> A </w:t>
      </w:r>
      <w:r>
        <w:t>service provider</w:t>
      </w:r>
      <w:r w:rsidRPr="0075167F">
        <w:t xml:space="preserve"> must use the RFM in preparing its regulatory proposal. The RFM rolls forward the RAB from the beginning of the final year of the </w:t>
      </w:r>
      <w:r>
        <w:t xml:space="preserve">2004–09 </w:t>
      </w:r>
      <w:r w:rsidRPr="0075167F">
        <w:t xml:space="preserve">regulatory control period, through the </w:t>
      </w:r>
      <w:r>
        <w:t xml:space="preserve">2009–14 </w:t>
      </w:r>
      <w:r w:rsidRPr="0075167F">
        <w:t xml:space="preserve">regulatory control period, to the beginning of the </w:t>
      </w:r>
      <w:r w:rsidR="009D3F86">
        <w:t>next</w:t>
      </w:r>
      <w:r w:rsidRPr="0075167F">
        <w:t xml:space="preserve"> period. </w:t>
      </w:r>
      <w:r w:rsidR="009D3F86">
        <w:t xml:space="preserve">The five regulatory years between 2014–19 are split over two regulatory control periods (a transitional regulatory control period of 2014–15 and then a subsequent regulatory control period of 2015–19). However, the NER expressly provides that when we determine the </w:t>
      </w:r>
      <w:r w:rsidR="009D3F86">
        <w:lastRenderedPageBreak/>
        <w:t>opening value of the regulatory asset base for this five year period we should do so as if the two periods were combined.</w:t>
      </w:r>
      <w:r w:rsidR="009D3F86">
        <w:rPr>
          <w:rStyle w:val="FootnoteReference"/>
        </w:rPr>
        <w:footnoteReference w:id="8"/>
      </w:r>
      <w:r w:rsidR="009D3F86">
        <w:t xml:space="preserve"> </w:t>
      </w:r>
      <w:r w:rsidRPr="0075167F">
        <w:t>The roll forward occurs for each year by:</w:t>
      </w:r>
    </w:p>
    <w:p w:rsidR="0075167F" w:rsidRPr="0075167F" w:rsidRDefault="009D3F86" w:rsidP="0075167F">
      <w:pPr>
        <w:pStyle w:val="AERbulletlistfirststyle"/>
      </w:pPr>
      <w:r>
        <w:t>A</w:t>
      </w:r>
      <w:r w:rsidR="0075167F" w:rsidRPr="0075167F">
        <w:t xml:space="preserve">dding an inflation (indexation) adjustment </w:t>
      </w:r>
      <w:r w:rsidR="00FC1C7A">
        <w:t xml:space="preserve">to the opening RAB </w:t>
      </w:r>
      <w:r w:rsidR="0075167F" w:rsidRPr="0075167F">
        <w:t>for the relevant year. This adjustment must be consistent with the inflation factor used in the control mechanism.</w:t>
      </w:r>
      <w:r w:rsidR="0075167F">
        <w:rPr>
          <w:rStyle w:val="FootnoteReference"/>
        </w:rPr>
        <w:footnoteReference w:id="9"/>
      </w:r>
    </w:p>
    <w:p w:rsidR="0075167F" w:rsidRPr="0075167F" w:rsidRDefault="009D3F86" w:rsidP="00D53863">
      <w:pPr>
        <w:pStyle w:val="AERbulletlistfirststyle"/>
      </w:pPr>
      <w:r>
        <w:t>A</w:t>
      </w:r>
      <w:r w:rsidR="0075167F" w:rsidRPr="0075167F">
        <w:t>dding capex</w:t>
      </w:r>
      <w:r w:rsidR="009C544E">
        <w:t xml:space="preserve"> to the RAB</w:t>
      </w:r>
      <w:r w:rsidR="0075167F" w:rsidRPr="0075167F">
        <w:t xml:space="preserve"> for the relevant year.</w:t>
      </w:r>
      <w:r w:rsidR="0075167F">
        <w:rPr>
          <w:rStyle w:val="FootnoteReference"/>
        </w:rPr>
        <w:footnoteReference w:id="10"/>
      </w:r>
      <w:r w:rsidR="0075167F" w:rsidRPr="0075167F">
        <w:t xml:space="preserve"> </w:t>
      </w:r>
      <w:r>
        <w:t>The NER allows us to review a service provider</w:t>
      </w:r>
      <w:r w:rsidRPr="00BA2044">
        <w:t>'s past capex and exclude inefficient past capex from being rolled into the RAB.</w:t>
      </w:r>
      <w:r>
        <w:rPr>
          <w:rStyle w:val="FootnoteReference"/>
        </w:rPr>
        <w:footnoteReference w:id="11"/>
      </w:r>
      <w:r w:rsidRPr="00BA2044">
        <w:t xml:space="preserve"> We note that under the transitional rules, the review of past capex does not apply to </w:t>
      </w:r>
      <w:r>
        <w:t>ActewAGL</w:t>
      </w:r>
      <w:r w:rsidRPr="00BA2044">
        <w:t>'s current and transitional regulatory control periods.</w:t>
      </w:r>
      <w:r>
        <w:rPr>
          <w:rStyle w:val="FootnoteReference"/>
        </w:rPr>
        <w:footnoteReference w:id="12"/>
      </w:r>
      <w:r>
        <w:t xml:space="preserve"> </w:t>
      </w:r>
      <w:r w:rsidRPr="00BA2044">
        <w:t xml:space="preserve">Therefore, for the purposes of this draft decision, we will add </w:t>
      </w:r>
      <w:r>
        <w:t>ActewAGL's</w:t>
      </w:r>
      <w:r w:rsidRPr="00BA2044">
        <w:t xml:space="preserve"> actual or estimated capex in the </w:t>
      </w:r>
      <w:r w:rsidR="006B48FA">
        <w:t>2009–14</w:t>
      </w:r>
      <w:r w:rsidR="006B48FA" w:rsidRPr="00BA2044">
        <w:t xml:space="preserve"> </w:t>
      </w:r>
      <w:r w:rsidRPr="00BA2044">
        <w:t xml:space="preserve">regulatory control period to the RAB. </w:t>
      </w:r>
      <w:r w:rsidR="00850BFE">
        <w:t>We</w:t>
      </w:r>
      <w:r w:rsidR="0075167F" w:rsidRPr="0075167F">
        <w:t xml:space="preserve"> check actual capex amounts against </w:t>
      </w:r>
      <w:r w:rsidR="00850BFE">
        <w:t>annual</w:t>
      </w:r>
      <w:r w:rsidR="0018730B">
        <w:t xml:space="preserve"> reporting</w:t>
      </w:r>
      <w:r w:rsidR="00850BFE">
        <w:t xml:space="preserve"> </w:t>
      </w:r>
      <w:r w:rsidR="0075167F" w:rsidRPr="0075167F">
        <w:t xml:space="preserve">regulatory </w:t>
      </w:r>
      <w:r w:rsidR="00850BFE">
        <w:t>information notice</w:t>
      </w:r>
      <w:r w:rsidR="0075167F" w:rsidRPr="0075167F">
        <w:t xml:space="preserve"> </w:t>
      </w:r>
      <w:r w:rsidR="00850BFE">
        <w:t xml:space="preserve">(RIN) </w:t>
      </w:r>
      <w:r w:rsidR="0075167F" w:rsidRPr="0075167F">
        <w:t xml:space="preserve">data and generally accept the capex reported in those </w:t>
      </w:r>
      <w:r w:rsidR="00850BFE">
        <w:t>RINs</w:t>
      </w:r>
      <w:r w:rsidR="0075167F" w:rsidRPr="0075167F">
        <w:t xml:space="preserve"> in rolling forward the RAB. However, there may be instances where adjustments are </w:t>
      </w:r>
      <w:r w:rsidR="00850BFE">
        <w:t>required</w:t>
      </w:r>
      <w:r w:rsidR="0075167F" w:rsidRPr="0075167F">
        <w:t xml:space="preserve"> to the </w:t>
      </w:r>
      <w:r w:rsidR="0018730B">
        <w:t xml:space="preserve">annual reporting </w:t>
      </w:r>
      <w:r w:rsidR="00850BFE">
        <w:t>RIN</w:t>
      </w:r>
      <w:r w:rsidR="0075167F" w:rsidRPr="0075167F">
        <w:t xml:space="preserve"> data because it is not fit for purpose due to a particular issue.</w:t>
      </w:r>
      <w:r w:rsidR="00D53863">
        <w:t xml:space="preserve"> </w:t>
      </w:r>
    </w:p>
    <w:p w:rsidR="0075167F" w:rsidRPr="0075167F" w:rsidRDefault="009D3F86" w:rsidP="006B735D">
      <w:pPr>
        <w:pStyle w:val="AERbulletlistfirststyle"/>
      </w:pPr>
      <w:r>
        <w:t>S</w:t>
      </w:r>
      <w:r w:rsidR="0075167F" w:rsidRPr="0075167F">
        <w:t xml:space="preserve">ubtracting depreciation </w:t>
      </w:r>
      <w:r w:rsidR="009C544E">
        <w:t xml:space="preserve">from the RAB </w:t>
      </w:r>
      <w:r w:rsidR="0075167F" w:rsidRPr="0075167F">
        <w:t>for the relevant year</w:t>
      </w:r>
      <w:r w:rsidR="00EE077E">
        <w:t>,</w:t>
      </w:r>
      <w:r w:rsidR="00EE077E" w:rsidRPr="00DF0243">
        <w:t xml:space="preserve"> calculated in accordance with the </w:t>
      </w:r>
      <w:r w:rsidR="00EE077E">
        <w:t>distribution</w:t>
      </w:r>
      <w:r w:rsidR="00EE077E" w:rsidRPr="00DF0243">
        <w:t xml:space="preserve"> determination for the </w:t>
      </w:r>
      <w:r w:rsidR="00EE077E">
        <w:t>service provider</w:t>
      </w:r>
      <w:r w:rsidR="00EE077E" w:rsidRPr="00DF0243">
        <w:t xml:space="preserve">'s </w:t>
      </w:r>
      <w:r w:rsidR="006B48FA">
        <w:t>2009–14</w:t>
      </w:r>
      <w:r w:rsidR="006B48FA" w:rsidRPr="00DF0243">
        <w:t xml:space="preserve"> </w:t>
      </w:r>
      <w:r w:rsidR="00EE077E" w:rsidRPr="00DF0243">
        <w:t>regulatory control period</w:t>
      </w:r>
      <w:r w:rsidR="00EE077E" w:rsidRPr="0075167F">
        <w:t>.</w:t>
      </w:r>
      <w:r w:rsidR="00EE077E">
        <w:rPr>
          <w:rStyle w:val="FootnoteReference"/>
        </w:rPr>
        <w:footnoteReference w:id="13"/>
      </w:r>
      <w:r w:rsidR="0075167F" w:rsidRPr="0075167F">
        <w:t xml:space="preserve"> Depreciation based on forecast or actual capex can be used to roll forward the RAB.</w:t>
      </w:r>
      <w:r w:rsidR="006B48FA">
        <w:rPr>
          <w:rStyle w:val="FootnoteReference"/>
        </w:rPr>
        <w:footnoteReference w:id="14"/>
      </w:r>
      <w:r w:rsidR="0075167F" w:rsidRPr="0075167F">
        <w:t xml:space="preserve"> By default the RFM applies the depreciation approach based on actual capex, although this can be modified to apply a</w:t>
      </w:r>
      <w:r w:rsidR="0075167F">
        <w:t xml:space="preserve"> forecast depreciation approach </w:t>
      </w:r>
      <w:r w:rsidR="00850BFE">
        <w:t xml:space="preserve">if </w:t>
      </w:r>
      <w:r w:rsidR="0075167F" w:rsidRPr="0075167F">
        <w:t>necessary.</w:t>
      </w:r>
      <w:r w:rsidR="006B735D">
        <w:t xml:space="preserve"> </w:t>
      </w:r>
      <w:r w:rsidR="006B735D" w:rsidRPr="006B735D">
        <w:t xml:space="preserve">For this draft decision, we use depreciation based on actual capex for rolling forward </w:t>
      </w:r>
      <w:r w:rsidR="00EE077E">
        <w:t>ActewAGL</w:t>
      </w:r>
      <w:r w:rsidR="006B735D" w:rsidRPr="006B735D">
        <w:t xml:space="preserve">'s RAB </w:t>
      </w:r>
      <w:r w:rsidR="006B735D">
        <w:t>values over the 2009–14 regulatory control period</w:t>
      </w:r>
      <w:r w:rsidR="006B735D" w:rsidRPr="006B735D">
        <w:t>.</w:t>
      </w:r>
      <w:r w:rsidR="006B735D">
        <w:rPr>
          <w:rStyle w:val="FootnoteReference"/>
        </w:rPr>
        <w:footnoteReference w:id="15"/>
      </w:r>
    </w:p>
    <w:p w:rsidR="0075167F" w:rsidRDefault="00EE077E" w:rsidP="0075167F">
      <w:pPr>
        <w:pStyle w:val="AERbulletlistfirststyle"/>
      </w:pPr>
      <w:r>
        <w:t>S</w:t>
      </w:r>
      <w:r w:rsidR="0075167F" w:rsidRPr="0075167F">
        <w:t>ubtracting any disposals and capital contrib</w:t>
      </w:r>
      <w:r w:rsidR="00850BFE">
        <w:t>utions</w:t>
      </w:r>
      <w:r w:rsidR="009C544E">
        <w:t xml:space="preserve"> from the RAB</w:t>
      </w:r>
      <w:r w:rsidR="00850BFE">
        <w:t xml:space="preserve"> for the relevant year.</w:t>
      </w:r>
      <w:r w:rsidR="00850BFE">
        <w:rPr>
          <w:rStyle w:val="FootnoteReference"/>
        </w:rPr>
        <w:footnoteReference w:id="16"/>
      </w:r>
      <w:r w:rsidR="0075167F" w:rsidRPr="0075167F">
        <w:t xml:space="preserve"> </w:t>
      </w:r>
      <w:r w:rsidR="00850BFE">
        <w:t xml:space="preserve">We </w:t>
      </w:r>
      <w:r w:rsidR="0075167F" w:rsidRPr="0075167F">
        <w:t xml:space="preserve">will check these amounts against </w:t>
      </w:r>
      <w:r w:rsidR="0018730B">
        <w:t xml:space="preserve">annual reporting </w:t>
      </w:r>
      <w:r w:rsidR="00850BFE">
        <w:t xml:space="preserve">RIN </w:t>
      </w:r>
      <w:r w:rsidR="0075167F" w:rsidRPr="0075167F">
        <w:t>data.</w:t>
      </w:r>
    </w:p>
    <w:p w:rsidR="00850BFE" w:rsidRDefault="00850BFE" w:rsidP="00850BFE">
      <w:pPr>
        <w:pStyle w:val="AERbulletlistfirststyle"/>
        <w:numPr>
          <w:ilvl w:val="0"/>
          <w:numId w:val="0"/>
        </w:numPr>
        <w:rPr>
          <w:rStyle w:val="AERbody"/>
        </w:rPr>
      </w:pPr>
      <w:r w:rsidRPr="00850BFE">
        <w:rPr>
          <w:rStyle w:val="AERbody"/>
        </w:rPr>
        <w:t xml:space="preserve">These annual adjustments give the closing RAB for any particular year, </w:t>
      </w:r>
      <w:r w:rsidR="00206C0B">
        <w:rPr>
          <w:rStyle w:val="AERbody"/>
        </w:rPr>
        <w:t>this</w:t>
      </w:r>
      <w:r w:rsidRPr="00850BFE">
        <w:rPr>
          <w:rStyle w:val="AERbody"/>
        </w:rPr>
        <w:t xml:space="preserve"> then becomes the opening RAB for the following year. Through this process the RFM rolls forward the RAB to the end of the </w:t>
      </w:r>
      <w:r w:rsidR="00206C0B">
        <w:rPr>
          <w:rStyle w:val="AERbody"/>
        </w:rPr>
        <w:t xml:space="preserve">2009–14 </w:t>
      </w:r>
      <w:r w:rsidRPr="00850BFE">
        <w:rPr>
          <w:rStyle w:val="AERbody"/>
        </w:rPr>
        <w:t xml:space="preserve">regulatory control period. The PTRM used to calculate the annual revenue requirement for the </w:t>
      </w:r>
      <w:r w:rsidR="00206C0B">
        <w:rPr>
          <w:rStyle w:val="AERbody"/>
        </w:rPr>
        <w:t xml:space="preserve">2014–19 </w:t>
      </w:r>
      <w:r w:rsidRPr="00850BFE">
        <w:rPr>
          <w:rStyle w:val="AERbody"/>
        </w:rPr>
        <w:t xml:space="preserve">period generally adopts the same </w:t>
      </w:r>
      <w:r w:rsidR="00206C0B">
        <w:rPr>
          <w:rStyle w:val="AERbody"/>
        </w:rPr>
        <w:t xml:space="preserve">RAB </w:t>
      </w:r>
      <w:r w:rsidRPr="00850BFE">
        <w:rPr>
          <w:rStyle w:val="AERbody"/>
        </w:rPr>
        <w:t>roll forward approach as the RFM, although the annual adjustments to the RAB are based on forecasts, rather than actual amounts.</w:t>
      </w:r>
    </w:p>
    <w:p w:rsidR="00012DF1" w:rsidRDefault="00012DF1" w:rsidP="00173B57">
      <w:pPr>
        <w:pStyle w:val="AERbodytext"/>
        <w:rPr>
          <w:rStyle w:val="AERbody"/>
          <w:lang w:eastAsia="en-AU"/>
        </w:rPr>
      </w:pPr>
      <w:r>
        <w:rPr>
          <w:rStyle w:val="AERbody"/>
        </w:rPr>
        <w:t>W</w:t>
      </w:r>
      <w:r w:rsidRPr="00EE077E">
        <w:rPr>
          <w:rStyle w:val="AERbody"/>
        </w:rPr>
        <w:t>e are required to decide whether depreciation for establishing the service provider's RAB as at the commencement of the 2019–24 regulatory control period is to be based on actual or forecast capex.</w:t>
      </w:r>
      <w:r w:rsidRPr="00EE077E">
        <w:rPr>
          <w:rStyle w:val="FootnoteReference"/>
        </w:rPr>
        <w:footnoteReference w:id="17"/>
      </w:r>
      <w:r w:rsidRPr="00EE077E">
        <w:rPr>
          <w:rStyle w:val="AERbody"/>
        </w:rPr>
        <w:t xml:space="preserve"> </w:t>
      </w:r>
    </w:p>
    <w:p w:rsidR="00EE077E" w:rsidRDefault="00206C0B" w:rsidP="00173B57">
      <w:pPr>
        <w:pStyle w:val="AERbodytext"/>
        <w:rPr>
          <w:rStyle w:val="AERbody"/>
          <w:lang w:eastAsia="en-AU"/>
        </w:rPr>
      </w:pPr>
      <w:r w:rsidRPr="00206C0B">
        <w:rPr>
          <w:rStyle w:val="AERbody"/>
        </w:rPr>
        <w:t>The opening RAB for the 20</w:t>
      </w:r>
      <w:r>
        <w:rPr>
          <w:rStyle w:val="AERbody"/>
        </w:rPr>
        <w:t>19</w:t>
      </w:r>
      <w:r w:rsidRPr="00206C0B">
        <w:rPr>
          <w:rStyle w:val="AERbody"/>
        </w:rPr>
        <w:t>–2</w:t>
      </w:r>
      <w:r>
        <w:rPr>
          <w:rStyle w:val="AERbody"/>
        </w:rPr>
        <w:t>4</w:t>
      </w:r>
      <w:r w:rsidRPr="00206C0B">
        <w:rPr>
          <w:rStyle w:val="AERbody"/>
        </w:rPr>
        <w:t xml:space="preserve"> regulatory control period can be determined using depreciation based either on forecast or actual capex incurred during the </w:t>
      </w:r>
      <w:r w:rsidR="00EE077E">
        <w:rPr>
          <w:rStyle w:val="AERbody"/>
        </w:rPr>
        <w:t>2014–19</w:t>
      </w:r>
      <w:r w:rsidRPr="00206C0B">
        <w:rPr>
          <w:rStyle w:val="AERbody"/>
        </w:rPr>
        <w:t xml:space="preserve"> period.</w:t>
      </w:r>
      <w:r w:rsidR="006B48FA">
        <w:rPr>
          <w:rStyle w:val="FootnoteReference"/>
        </w:rPr>
        <w:footnoteReference w:id="18"/>
      </w:r>
      <w:r w:rsidRPr="00206C0B">
        <w:rPr>
          <w:rStyle w:val="AERbody"/>
        </w:rPr>
        <w:t xml:space="preserve"> To</w:t>
      </w:r>
      <w:r>
        <w:rPr>
          <w:rStyle w:val="AERbody"/>
        </w:rPr>
        <w:t xml:space="preserve"> </w:t>
      </w:r>
      <w:r w:rsidRPr="00206C0B">
        <w:rPr>
          <w:rStyle w:val="AERbody"/>
        </w:rPr>
        <w:t xml:space="preserve">roll forward the RAB using depreciation based on forecast capex, </w:t>
      </w:r>
      <w:r>
        <w:rPr>
          <w:rStyle w:val="AERbody"/>
        </w:rPr>
        <w:t>we</w:t>
      </w:r>
      <w:r w:rsidRPr="00206C0B">
        <w:rPr>
          <w:rStyle w:val="AERbody"/>
        </w:rPr>
        <w:t xml:space="preserve"> would use the forecast depreciation contained in the PTRM for the </w:t>
      </w:r>
      <w:r w:rsidR="00EE077E">
        <w:rPr>
          <w:rStyle w:val="AERbody"/>
        </w:rPr>
        <w:t>2014–19</w:t>
      </w:r>
      <w:r w:rsidRPr="00206C0B">
        <w:rPr>
          <w:rStyle w:val="AERbody"/>
        </w:rPr>
        <w:t xml:space="preserve"> period, adjusted for actual inflation. If the approach to roll forward the RAB using depreciation based on actual capex was adopted, </w:t>
      </w:r>
      <w:r>
        <w:rPr>
          <w:rStyle w:val="AERbody"/>
        </w:rPr>
        <w:t>we</w:t>
      </w:r>
      <w:r w:rsidRPr="00206C0B">
        <w:rPr>
          <w:rStyle w:val="AERbody"/>
        </w:rPr>
        <w:t xml:space="preserve"> would recalculate the depreciation based on actual capex incurred during the 201</w:t>
      </w:r>
      <w:r>
        <w:rPr>
          <w:rStyle w:val="AERbody"/>
        </w:rPr>
        <w:t>4</w:t>
      </w:r>
      <w:r w:rsidRPr="00206C0B">
        <w:rPr>
          <w:rStyle w:val="AERbody"/>
        </w:rPr>
        <w:t>–1</w:t>
      </w:r>
      <w:r>
        <w:rPr>
          <w:rStyle w:val="AERbody"/>
        </w:rPr>
        <w:t>9</w:t>
      </w:r>
      <w:r w:rsidRPr="00206C0B">
        <w:rPr>
          <w:rStyle w:val="AERbody"/>
        </w:rPr>
        <w:t xml:space="preserve"> period. </w:t>
      </w:r>
    </w:p>
    <w:p w:rsidR="00EE077E" w:rsidRPr="00EE077E" w:rsidRDefault="00EE077E" w:rsidP="00173B57">
      <w:pPr>
        <w:pStyle w:val="AERbodytext"/>
        <w:rPr>
          <w:rStyle w:val="AERbody"/>
          <w:lang w:eastAsia="en-AU"/>
        </w:rPr>
      </w:pPr>
      <w:r w:rsidRPr="00EE077E">
        <w:rPr>
          <w:rStyle w:val="AERbody"/>
        </w:rPr>
        <w:lastRenderedPageBreak/>
        <w:t>Our decision on whether to use actual or forecast depreciation must be consistent with the capex incentive objective. We must have regard to:</w:t>
      </w:r>
      <w:r w:rsidRPr="00EE077E">
        <w:rPr>
          <w:rStyle w:val="FootnoteReference"/>
        </w:rPr>
        <w:footnoteReference w:id="19"/>
      </w:r>
    </w:p>
    <w:p w:rsidR="00EE077E" w:rsidRPr="00CC5F58" w:rsidRDefault="00EE077E" w:rsidP="00EE077E">
      <w:pPr>
        <w:pStyle w:val="AERbulletlistfirststyle"/>
        <w:rPr>
          <w:rStyle w:val="AERbody"/>
        </w:rPr>
      </w:pPr>
      <w:r w:rsidRPr="00CC5F58">
        <w:rPr>
          <w:rStyle w:val="AERbody"/>
        </w:rPr>
        <w:t xml:space="preserve">any other incentives the </w:t>
      </w:r>
      <w:r>
        <w:rPr>
          <w:rStyle w:val="AERbody"/>
        </w:rPr>
        <w:t>service provider</w:t>
      </w:r>
      <w:r w:rsidRPr="00CC5F58">
        <w:rPr>
          <w:rStyle w:val="AERbody"/>
        </w:rPr>
        <w:t xml:space="preserve"> has to undertake efficient capex</w:t>
      </w:r>
    </w:p>
    <w:p w:rsidR="00EE077E" w:rsidRPr="00CC5F58" w:rsidRDefault="00EE077E" w:rsidP="00EE077E">
      <w:pPr>
        <w:pStyle w:val="AERbulletlistfirststyle"/>
        <w:rPr>
          <w:rStyle w:val="AERbody"/>
        </w:rPr>
      </w:pPr>
      <w:r w:rsidRPr="00CC5F58">
        <w:rPr>
          <w:rStyle w:val="AERbody"/>
        </w:rPr>
        <w:t>substitution possibilities between assets with different lives</w:t>
      </w:r>
    </w:p>
    <w:p w:rsidR="00EE077E" w:rsidRPr="00CC5F58" w:rsidRDefault="00EE077E" w:rsidP="00EE077E">
      <w:pPr>
        <w:pStyle w:val="AERbulletlistfirststyle"/>
        <w:rPr>
          <w:rStyle w:val="AERbody"/>
        </w:rPr>
      </w:pPr>
      <w:r w:rsidRPr="00CC5F58">
        <w:rPr>
          <w:rStyle w:val="AERbody"/>
        </w:rPr>
        <w:t>the extent of overspending and inefficient overspending relative to the allowed forecast</w:t>
      </w:r>
    </w:p>
    <w:p w:rsidR="00EE077E" w:rsidRDefault="00EE077E" w:rsidP="00EE077E">
      <w:pPr>
        <w:pStyle w:val="AERbulletlistfirststyle"/>
        <w:rPr>
          <w:rStyle w:val="AERbody"/>
        </w:rPr>
      </w:pPr>
      <w:r>
        <w:rPr>
          <w:rStyle w:val="AERbody"/>
        </w:rPr>
        <w:t>the capex incentive guideline</w:t>
      </w:r>
    </w:p>
    <w:p w:rsidR="00206C0B" w:rsidRPr="00173B57" w:rsidRDefault="00EE077E" w:rsidP="00173B57">
      <w:pPr>
        <w:pStyle w:val="AERbulletlistfirststyle"/>
        <w:rPr>
          <w:rStyle w:val="AERbody"/>
        </w:rPr>
      </w:pPr>
      <w:r w:rsidRPr="00EE077E">
        <w:rPr>
          <w:rStyle w:val="AERbody"/>
        </w:rPr>
        <w:t>the capital expenditure factors</w:t>
      </w:r>
      <w:r>
        <w:rPr>
          <w:rStyle w:val="AERbody"/>
        </w:rPr>
        <w:t>.</w:t>
      </w:r>
    </w:p>
    <w:p w:rsidR="00D97003" w:rsidRDefault="00D97003" w:rsidP="00D97003">
      <w:pPr>
        <w:pStyle w:val="Heading3"/>
      </w:pPr>
      <w:bookmarkStart w:id="23" w:name="_Toc387916799"/>
      <w:bookmarkStart w:id="24" w:name="_Toc404699590"/>
      <w:r w:rsidRPr="00E94C06">
        <w:t>Interrelationships</w:t>
      </w:r>
      <w:bookmarkEnd w:id="23"/>
      <w:bookmarkEnd w:id="24"/>
      <w:r w:rsidRPr="00E94C06">
        <w:t xml:space="preserve"> </w:t>
      </w:r>
    </w:p>
    <w:p w:rsidR="008C3A61" w:rsidRPr="008C3A61" w:rsidRDefault="008C3A61" w:rsidP="008C3A61">
      <w:pPr>
        <w:pStyle w:val="AERbodytext"/>
      </w:pPr>
      <w:r w:rsidRPr="008C3A61">
        <w:t>The RAB is an input into the determination of the return on capital and depreciation (return of capital) allowances.</w:t>
      </w:r>
      <w:r>
        <w:rPr>
          <w:rStyle w:val="FootnoteReference"/>
        </w:rPr>
        <w:footnoteReference w:id="20"/>
      </w:r>
      <w:r w:rsidRPr="008C3A61">
        <w:t xml:space="preserve"> Factors that influence the RAB will therefore flow through to these building block components and the annual revenue requirement. Other things being equal, a higher RAB increases both the return on capital and depreciation allowances.</w:t>
      </w:r>
    </w:p>
    <w:p w:rsidR="008C3A61" w:rsidRPr="008C3A61" w:rsidRDefault="008C3A61" w:rsidP="008C3A61">
      <w:pPr>
        <w:pStyle w:val="AERbodytext"/>
      </w:pPr>
      <w:r w:rsidRPr="008C3A61">
        <w:t>The RAB is determined by various factors, including;</w:t>
      </w:r>
    </w:p>
    <w:p w:rsidR="008C3A61" w:rsidRPr="008C3A61" w:rsidRDefault="00EE077E" w:rsidP="008C3A61">
      <w:pPr>
        <w:pStyle w:val="AERbulletlistfirststyle"/>
      </w:pPr>
      <w:r>
        <w:t>t</w:t>
      </w:r>
      <w:r w:rsidR="008C3A61" w:rsidRPr="008C3A61">
        <w:t>he opening RAB (meaning the value of existing assets at the beginning of the regulatory control period)</w:t>
      </w:r>
    </w:p>
    <w:p w:rsidR="008C3A61" w:rsidRPr="008C3A61" w:rsidRDefault="00EE077E" w:rsidP="008C3A61">
      <w:pPr>
        <w:pStyle w:val="AERbulletlistfirststyle"/>
      </w:pPr>
      <w:r>
        <w:t>net c</w:t>
      </w:r>
      <w:r w:rsidR="008C3A61" w:rsidRPr="008C3A61">
        <w:t>apex</w:t>
      </w:r>
      <w:r w:rsidR="008C3A61">
        <w:rPr>
          <w:rStyle w:val="FootnoteReference"/>
        </w:rPr>
        <w:footnoteReference w:id="21"/>
      </w:r>
    </w:p>
    <w:p w:rsidR="008C3A61" w:rsidRPr="008C3A61" w:rsidRDefault="00EE077E" w:rsidP="008C3A61">
      <w:pPr>
        <w:pStyle w:val="AERbulletlistfirststyle"/>
      </w:pPr>
      <w:r>
        <w:t>d</w:t>
      </w:r>
      <w:r w:rsidR="008C3A61" w:rsidRPr="008C3A61">
        <w:t>epreciation</w:t>
      </w:r>
    </w:p>
    <w:p w:rsidR="008C3A61" w:rsidRPr="008C3A61" w:rsidRDefault="00EE077E" w:rsidP="008C3A61">
      <w:pPr>
        <w:pStyle w:val="AERbulletlistfirststyle"/>
      </w:pPr>
      <w:r>
        <w:t>i</w:t>
      </w:r>
      <w:r w:rsidR="008C3A61" w:rsidRPr="008C3A61">
        <w:t xml:space="preserve">ndexation adjustment – so the RAB is presented in nominal terms, consistent with the </w:t>
      </w:r>
      <w:r w:rsidR="00A803F5">
        <w:t>rate of return</w:t>
      </w:r>
      <w:r w:rsidR="008C3A61" w:rsidRPr="008C3A61">
        <w:t>.</w:t>
      </w:r>
    </w:p>
    <w:p w:rsidR="008C3A61" w:rsidRPr="008C3A61" w:rsidRDefault="008C3A61" w:rsidP="008C3A61">
      <w:pPr>
        <w:pStyle w:val="AERbodytext"/>
      </w:pPr>
      <w:r w:rsidRPr="008C3A61">
        <w:t xml:space="preserve">The opening RAB depends on the value of existing assets and will depend on actual </w:t>
      </w:r>
      <w:r w:rsidR="00EE077E">
        <w:t xml:space="preserve">net </w:t>
      </w:r>
      <w:r w:rsidRPr="008C3A61">
        <w:t xml:space="preserve">capex, actual inflation outcomes and depreciation in the past. </w:t>
      </w:r>
    </w:p>
    <w:p w:rsidR="008C3A61" w:rsidRPr="008C3A61" w:rsidRDefault="008C3A61" w:rsidP="008C3A61">
      <w:pPr>
        <w:pStyle w:val="AERbodytext"/>
      </w:pPr>
      <w:r w:rsidRPr="008C3A61">
        <w:t xml:space="preserve">The RAB when projected to the end of the regulatory control period increases due to both </w:t>
      </w:r>
      <w:r w:rsidR="00422898">
        <w:t xml:space="preserve">forecast </w:t>
      </w:r>
      <w:r w:rsidRPr="008C3A61">
        <w:t xml:space="preserve">new capex and the indexation adjustment. The size of the indexation adjustment depends on expected inflation (which also affects the nominal rate of return or WACC) and the size of the RAB at the start of each year. </w:t>
      </w:r>
    </w:p>
    <w:p w:rsidR="008C3A61" w:rsidRDefault="008C3A61" w:rsidP="008C3A61">
      <w:pPr>
        <w:pStyle w:val="AERbodytext"/>
      </w:pPr>
      <w:r w:rsidRPr="008C3A61">
        <w:t xml:space="preserve">Depreciation reduces the RAB. The depreciation allowance depends on the size of the opening RAB and the forecast </w:t>
      </w:r>
      <w:r w:rsidR="00EE077E">
        <w:t xml:space="preserve">net </w:t>
      </w:r>
      <w:r w:rsidRPr="008C3A61">
        <w:t xml:space="preserve">capex. By convention, the indexation adjustment is also offset against depreciation to prevent double counting of inflation in the RAB and </w:t>
      </w:r>
      <w:r w:rsidR="00A803F5">
        <w:t>rate of return</w:t>
      </w:r>
      <w:r w:rsidRPr="008C3A61">
        <w:t>, which are both presented in nominal terms. This reduces the apparent depreciation building block that feeds into the annual revenue requirement.</w:t>
      </w:r>
    </w:p>
    <w:p w:rsidR="009179D3" w:rsidRPr="009179D3" w:rsidRDefault="00F02E5A" w:rsidP="009179D3">
      <w:pPr>
        <w:pStyle w:val="AERbodytext"/>
      </w:pPr>
      <w:r>
        <w:fldChar w:fldCharType="begin"/>
      </w:r>
      <w:r>
        <w:instrText xml:space="preserve"> REF _Ref397597951 \h </w:instrText>
      </w:r>
      <w:r>
        <w:fldChar w:fldCharType="separate"/>
      </w:r>
      <w:r w:rsidR="00675079">
        <w:t xml:space="preserve">Figure </w:t>
      </w:r>
      <w:r w:rsidR="00675079">
        <w:rPr>
          <w:noProof/>
        </w:rPr>
        <w:t>2</w:t>
      </w:r>
      <w:r w:rsidR="00675079">
        <w:t>.</w:t>
      </w:r>
      <w:r w:rsidR="00675079">
        <w:rPr>
          <w:noProof/>
        </w:rPr>
        <w:t>1</w:t>
      </w:r>
      <w:r>
        <w:fldChar w:fldCharType="end"/>
      </w:r>
      <w:r>
        <w:t xml:space="preserve"> </w:t>
      </w:r>
      <w:r w:rsidR="009179D3" w:rsidRPr="009179D3">
        <w:t xml:space="preserve">shows the key drivers of the change in </w:t>
      </w:r>
      <w:r w:rsidR="009179D3">
        <w:t xml:space="preserve">the distribution </w:t>
      </w:r>
      <w:r w:rsidR="009179D3" w:rsidRPr="009179D3">
        <w:t xml:space="preserve">RAB over the </w:t>
      </w:r>
      <w:r w:rsidR="00EE077E">
        <w:t>2014–19</w:t>
      </w:r>
      <w:r w:rsidR="009179D3" w:rsidRPr="009179D3">
        <w:t xml:space="preserve"> period as proposed by </w:t>
      </w:r>
      <w:r w:rsidR="009179D3">
        <w:t>ActewAGL</w:t>
      </w:r>
      <w:r w:rsidR="009179D3" w:rsidRPr="009179D3">
        <w:t xml:space="preserve">. Overall, the closing RAB </w:t>
      </w:r>
      <w:r w:rsidR="00EE077E">
        <w:t xml:space="preserve">at the end of the 2014–19 period </w:t>
      </w:r>
      <w:r w:rsidR="009179D3" w:rsidRPr="009179D3">
        <w:t>wo</w:t>
      </w:r>
      <w:r w:rsidR="009179D3">
        <w:t>uld be 22</w:t>
      </w:r>
      <w:r w:rsidR="009179D3" w:rsidRPr="009179D3">
        <w:t xml:space="preserve"> per </w:t>
      </w:r>
      <w:r w:rsidR="009179D3" w:rsidRPr="009179D3">
        <w:lastRenderedPageBreak/>
        <w:t>cent higher than the opening RAB based on the proposal</w:t>
      </w:r>
      <w:r w:rsidR="00422898">
        <w:t>, in nominal terms</w:t>
      </w:r>
      <w:r w:rsidR="009179D3" w:rsidRPr="009179D3">
        <w:t xml:space="preserve">. </w:t>
      </w:r>
      <w:r w:rsidR="00EE077E">
        <w:t>The proposed f</w:t>
      </w:r>
      <w:r w:rsidR="009179D3" w:rsidRPr="009179D3">
        <w:t>orecast</w:t>
      </w:r>
      <w:r w:rsidR="00EE077E">
        <w:t xml:space="preserve"> net</w:t>
      </w:r>
      <w:r w:rsidR="009179D3" w:rsidRPr="009179D3">
        <w:t xml:space="preserve"> capex increases the RAB by about </w:t>
      </w:r>
      <w:r w:rsidR="009179D3">
        <w:t>44</w:t>
      </w:r>
      <w:r w:rsidR="009179D3" w:rsidRPr="009179D3">
        <w:t xml:space="preserve"> per cent, while in</w:t>
      </w:r>
      <w:r w:rsidR="009179D3">
        <w:t>flation increases it by about 14</w:t>
      </w:r>
      <w:r w:rsidR="009179D3" w:rsidRPr="009179D3">
        <w:t xml:space="preserve"> per cent. </w:t>
      </w:r>
      <w:r w:rsidR="00EE077E">
        <w:t>Forecast d</w:t>
      </w:r>
      <w:r w:rsidR="009179D3" w:rsidRPr="009179D3">
        <w:t xml:space="preserve">epreciation, on the other hand, reduces the RAB by about </w:t>
      </w:r>
      <w:r w:rsidR="009179D3">
        <w:t>36</w:t>
      </w:r>
      <w:r w:rsidR="009179D3" w:rsidRPr="009179D3">
        <w:t xml:space="preserve"> per cent. </w:t>
      </w:r>
    </w:p>
    <w:p w:rsidR="00A55C78" w:rsidRPr="004E7694" w:rsidRDefault="00A55C78" w:rsidP="00A55C78">
      <w:pPr>
        <w:pStyle w:val="AERbodytext"/>
      </w:pPr>
      <w:r>
        <w:fldChar w:fldCharType="begin"/>
      </w:r>
      <w:r>
        <w:instrText xml:space="preserve"> REF _Ref398126204 \h </w:instrText>
      </w:r>
      <w:r>
        <w:fldChar w:fldCharType="separate"/>
      </w:r>
      <w:r w:rsidR="00675079">
        <w:t xml:space="preserve">Figure </w:t>
      </w:r>
      <w:r w:rsidR="00675079">
        <w:rPr>
          <w:noProof/>
        </w:rPr>
        <w:t>2</w:t>
      </w:r>
      <w:r w:rsidR="00675079">
        <w:t>.</w:t>
      </w:r>
      <w:r w:rsidR="00675079">
        <w:rPr>
          <w:noProof/>
        </w:rPr>
        <w:t>2</w:t>
      </w:r>
      <w:r>
        <w:fldChar w:fldCharType="end"/>
      </w:r>
      <w:r>
        <w:t xml:space="preserve"> </w:t>
      </w:r>
      <w:r w:rsidRPr="004E7694">
        <w:t xml:space="preserve">shows the key drivers of the change in the </w:t>
      </w:r>
      <w:r>
        <w:t>transmission</w:t>
      </w:r>
      <w:r w:rsidRPr="004E7694">
        <w:t xml:space="preserve"> RAB over the 2014</w:t>
      </w:r>
      <w:r>
        <w:t>–</w:t>
      </w:r>
      <w:r w:rsidRPr="004E7694">
        <w:t>19 period as proposed by ActewAGL. Overall, the closing RAB at the end of the 2014</w:t>
      </w:r>
      <w:r>
        <w:t>–</w:t>
      </w:r>
      <w:r w:rsidRPr="004E7694">
        <w:t xml:space="preserve">19 period would be </w:t>
      </w:r>
      <w:r>
        <w:t>52</w:t>
      </w:r>
      <w:r w:rsidRPr="004E7694">
        <w:t xml:space="preserve"> per cent higher than the opening RAB based on the proposal</w:t>
      </w:r>
      <w:r w:rsidR="00422898">
        <w:t>, in nominal terms</w:t>
      </w:r>
      <w:r w:rsidRPr="004E7694">
        <w:t xml:space="preserve">. The proposed forecast net capex increases the RAB by about </w:t>
      </w:r>
      <w:r>
        <w:t>69</w:t>
      </w:r>
      <w:r w:rsidRPr="004E7694">
        <w:t xml:space="preserve"> per cent, while inflation increases it by about 1</w:t>
      </w:r>
      <w:r>
        <w:t>5</w:t>
      </w:r>
      <w:r w:rsidRPr="004E7694">
        <w:t xml:space="preserve"> per cent. Forecast depreciation, on the other hand, reduces the RAB by about 3</w:t>
      </w:r>
      <w:r>
        <w:t>2</w:t>
      </w:r>
      <w:r w:rsidRPr="004E7694">
        <w:t xml:space="preserve"> per cent. </w:t>
      </w:r>
    </w:p>
    <w:p w:rsidR="009179D3" w:rsidRPr="009179D3" w:rsidRDefault="009179D3" w:rsidP="009179D3">
      <w:pPr>
        <w:pStyle w:val="AERbodytext"/>
      </w:pPr>
      <w:r w:rsidRPr="009179D3">
        <w:t>The RAB</w:t>
      </w:r>
      <w:r w:rsidR="00A55C78">
        <w:t>s</w:t>
      </w:r>
      <w:r w:rsidRPr="009179D3">
        <w:t xml:space="preserve"> would rise in real terms over the </w:t>
      </w:r>
      <w:r w:rsidR="00EE077E">
        <w:t>2014–19</w:t>
      </w:r>
      <w:r w:rsidRPr="009179D3">
        <w:t xml:space="preserve"> period based on </w:t>
      </w:r>
      <w:r>
        <w:t>ActewAGL</w:t>
      </w:r>
      <w:r w:rsidRPr="009179D3">
        <w:t>'s proposal. We consider the depreciation amount to be generally reasonable, give</w:t>
      </w:r>
      <w:r w:rsidR="00C23B05">
        <w:t>n</w:t>
      </w:r>
      <w:r w:rsidRPr="009179D3">
        <w:t xml:space="preserve"> that it largely depends on the opening RAB (which depends on capex in the past). However, we do have concerns with the size of the forecast</w:t>
      </w:r>
      <w:r w:rsidR="00EE077E">
        <w:t xml:space="preserve"> net</w:t>
      </w:r>
      <w:r w:rsidRPr="009179D3">
        <w:t xml:space="preserve"> capex. </w:t>
      </w:r>
      <w:r w:rsidR="006156DB">
        <w:fldChar w:fldCharType="begin"/>
      </w:r>
      <w:r w:rsidR="006156DB">
        <w:instrText xml:space="preserve"> REF _Ref397597951 \h </w:instrText>
      </w:r>
      <w:r w:rsidR="006156DB">
        <w:fldChar w:fldCharType="separate"/>
      </w:r>
      <w:r w:rsidR="00675079">
        <w:t xml:space="preserve">Figure </w:t>
      </w:r>
      <w:r w:rsidR="00675079">
        <w:rPr>
          <w:noProof/>
        </w:rPr>
        <w:t>2</w:t>
      </w:r>
      <w:r w:rsidR="00675079">
        <w:t>.</w:t>
      </w:r>
      <w:r w:rsidR="00675079">
        <w:rPr>
          <w:noProof/>
        </w:rPr>
        <w:t>1</w:t>
      </w:r>
      <w:r w:rsidR="006156DB">
        <w:fldChar w:fldCharType="end"/>
      </w:r>
      <w:r w:rsidRPr="009179D3">
        <w:t xml:space="preserve"> </w:t>
      </w:r>
      <w:r w:rsidR="00A55C78">
        <w:t xml:space="preserve">and </w:t>
      </w:r>
      <w:r w:rsidR="00A55C78">
        <w:fldChar w:fldCharType="begin"/>
      </w:r>
      <w:r w:rsidR="00A55C78">
        <w:instrText xml:space="preserve"> REF _Ref398126204 \h </w:instrText>
      </w:r>
      <w:r w:rsidR="00A55C78">
        <w:fldChar w:fldCharType="separate"/>
      </w:r>
      <w:r w:rsidR="00675079">
        <w:t xml:space="preserve">Figure </w:t>
      </w:r>
      <w:r w:rsidR="00675079">
        <w:rPr>
          <w:noProof/>
        </w:rPr>
        <w:t>2</w:t>
      </w:r>
      <w:r w:rsidR="00675079">
        <w:t>.</w:t>
      </w:r>
      <w:r w:rsidR="00675079">
        <w:rPr>
          <w:noProof/>
        </w:rPr>
        <w:t>2</w:t>
      </w:r>
      <w:r w:rsidR="00A55C78">
        <w:fldChar w:fldCharType="end"/>
      </w:r>
      <w:r w:rsidR="00A55C78">
        <w:t xml:space="preserve"> </w:t>
      </w:r>
      <w:r w:rsidRPr="009179D3">
        <w:t xml:space="preserve">show forecast </w:t>
      </w:r>
      <w:r w:rsidR="00EE077E">
        <w:t xml:space="preserve">net </w:t>
      </w:r>
      <w:r w:rsidRPr="009179D3">
        <w:t xml:space="preserve">capex is the largest driver of the increase in </w:t>
      </w:r>
      <w:r w:rsidR="007A4A28" w:rsidRPr="009179D3">
        <w:t>the</w:t>
      </w:r>
      <w:r w:rsidR="007A4A28">
        <w:t xml:space="preserve"> </w:t>
      </w:r>
      <w:r w:rsidRPr="009179D3">
        <w:t>RAB</w:t>
      </w:r>
      <w:r w:rsidR="00A55C78">
        <w:t>s</w:t>
      </w:r>
      <w:r w:rsidRPr="009179D3">
        <w:t xml:space="preserve"> and we have considered whether it is appropriate that the forecast</w:t>
      </w:r>
      <w:r w:rsidR="00D363A9">
        <w:t xml:space="preserve"> net</w:t>
      </w:r>
      <w:r w:rsidRPr="009179D3">
        <w:t xml:space="preserve"> capex exceed depreciation as </w:t>
      </w:r>
      <w:r w:rsidR="00343956">
        <w:t>ActewAGL</w:t>
      </w:r>
      <w:r w:rsidRPr="009179D3">
        <w:t xml:space="preserve"> </w:t>
      </w:r>
      <w:r w:rsidR="00D363A9">
        <w:t xml:space="preserve">has </w:t>
      </w:r>
      <w:r w:rsidRPr="009179D3">
        <w:t>propose</w:t>
      </w:r>
      <w:r w:rsidR="007A4A28">
        <w:t>d</w:t>
      </w:r>
      <w:r w:rsidRPr="009179D3">
        <w:t xml:space="preserve">. Refer to attachment </w:t>
      </w:r>
      <w:r w:rsidR="00603DE7">
        <w:t>6</w:t>
      </w:r>
      <w:r w:rsidRPr="009179D3">
        <w:t xml:space="preserve"> for the discussion on forecast capex.</w:t>
      </w:r>
    </w:p>
    <w:p w:rsidR="009179D3" w:rsidRPr="008C3A61" w:rsidRDefault="006156DB" w:rsidP="006156DB">
      <w:pPr>
        <w:pStyle w:val="Caption"/>
      </w:pPr>
      <w:bookmarkStart w:id="25" w:name="_Ref397597951"/>
      <w:r>
        <w:t xml:space="preserve">Figure </w:t>
      </w:r>
      <w:fldSimple w:instr=" STYLEREF 1 \s ">
        <w:r w:rsidR="00675079">
          <w:rPr>
            <w:noProof/>
          </w:rPr>
          <w:t>2</w:t>
        </w:r>
      </w:fldSimple>
      <w:r w:rsidR="009D444F">
        <w:t>.</w:t>
      </w:r>
      <w:fldSimple w:instr=" SEQ Figure \* ARABIC \s 1 ">
        <w:r w:rsidR="00675079">
          <w:rPr>
            <w:noProof/>
          </w:rPr>
          <w:t>1</w:t>
        </w:r>
      </w:fldSimple>
      <w:bookmarkEnd w:id="25"/>
      <w:r>
        <w:t xml:space="preserve"> Key drivers of changes in RAB</w:t>
      </w:r>
      <w:r w:rsidR="007A4A28">
        <w:t xml:space="preserve"> </w:t>
      </w:r>
      <w:r w:rsidR="00D363A9">
        <w:t>–</w:t>
      </w:r>
      <w:r w:rsidR="007A4A28">
        <w:t xml:space="preserve"> distribution</w:t>
      </w:r>
      <w:r>
        <w:t xml:space="preserve"> ($</w:t>
      </w:r>
      <w:r w:rsidR="006330D2">
        <w:t xml:space="preserve"> </w:t>
      </w:r>
      <w:r>
        <w:t>m</w:t>
      </w:r>
      <w:r w:rsidR="006330D2">
        <w:t>illion</w:t>
      </w:r>
      <w:r>
        <w:t>, nominal)</w:t>
      </w:r>
    </w:p>
    <w:p w:rsidR="009179D3" w:rsidRDefault="006330D2" w:rsidP="006330D2">
      <w:pPr>
        <w:pStyle w:val="AERbodytext"/>
      </w:pPr>
      <w:r w:rsidRPr="006330D2">
        <w:rPr>
          <w:noProof/>
          <w:lang w:eastAsia="en-AU"/>
        </w:rPr>
        <w:drawing>
          <wp:inline distT="0" distB="0" distL="0" distR="0" wp14:anchorId="5D71C89A" wp14:editId="7129B3E7">
            <wp:extent cx="5731510" cy="3258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58923"/>
                    </a:xfrm>
                    <a:prstGeom prst="rect">
                      <a:avLst/>
                    </a:prstGeom>
                    <a:noFill/>
                    <a:ln>
                      <a:noFill/>
                    </a:ln>
                  </pic:spPr>
                </pic:pic>
              </a:graphicData>
            </a:graphic>
          </wp:inline>
        </w:drawing>
      </w:r>
    </w:p>
    <w:p w:rsidR="006330D2" w:rsidRDefault="006330D2" w:rsidP="006330D2">
      <w:pPr>
        <w:pStyle w:val="AERtablesource"/>
      </w:pPr>
      <w:r>
        <w:t xml:space="preserve">Source: </w:t>
      </w:r>
      <w:r>
        <w:tab/>
        <w:t>AER analysis</w:t>
      </w:r>
      <w:r w:rsidR="00F45216">
        <w:t>.</w:t>
      </w:r>
    </w:p>
    <w:p w:rsidR="004E7694" w:rsidRDefault="004E7694" w:rsidP="004E7694">
      <w:pPr>
        <w:pStyle w:val="Caption"/>
      </w:pPr>
      <w:bookmarkStart w:id="26" w:name="_Ref398126204"/>
      <w:r>
        <w:lastRenderedPageBreak/>
        <w:t xml:space="preserve">Figure </w:t>
      </w:r>
      <w:fldSimple w:instr=" STYLEREF 1 \s ">
        <w:r w:rsidR="00675079">
          <w:rPr>
            <w:noProof/>
          </w:rPr>
          <w:t>2</w:t>
        </w:r>
      </w:fldSimple>
      <w:r w:rsidR="009D444F">
        <w:t>.</w:t>
      </w:r>
      <w:fldSimple w:instr=" SEQ Figure \* ARABIC \s 1 ">
        <w:r w:rsidR="00675079">
          <w:rPr>
            <w:noProof/>
          </w:rPr>
          <w:t>2</w:t>
        </w:r>
      </w:fldSimple>
      <w:bookmarkEnd w:id="26"/>
      <w:r>
        <w:tab/>
        <w:t xml:space="preserve">Key drivers of change in RAB </w:t>
      </w:r>
      <w:r w:rsidR="00A55C78">
        <w:t>–</w:t>
      </w:r>
      <w:r>
        <w:t xml:space="preserve"> transmission (</w:t>
      </w:r>
      <w:r w:rsidR="00A55C78">
        <w:t>$</w:t>
      </w:r>
      <w:r w:rsidR="006330D2">
        <w:t xml:space="preserve"> </w:t>
      </w:r>
      <w:r>
        <w:t>m</w:t>
      </w:r>
      <w:r w:rsidR="006330D2">
        <w:t>illion</w:t>
      </w:r>
      <w:r>
        <w:t>, nominal)</w:t>
      </w:r>
    </w:p>
    <w:p w:rsidR="004E7694" w:rsidRDefault="004E7694" w:rsidP="004E7694">
      <w:pPr>
        <w:pStyle w:val="AERbodytext"/>
      </w:pPr>
      <w:r w:rsidRPr="004E7694">
        <w:rPr>
          <w:noProof/>
          <w:lang w:eastAsia="en-AU"/>
        </w:rPr>
        <w:drawing>
          <wp:inline distT="0" distB="0" distL="0" distR="0" wp14:anchorId="67E79DB3" wp14:editId="3B99D4BD">
            <wp:extent cx="5731510" cy="32589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58923"/>
                    </a:xfrm>
                    <a:prstGeom prst="rect">
                      <a:avLst/>
                    </a:prstGeom>
                    <a:noFill/>
                    <a:ln>
                      <a:noFill/>
                    </a:ln>
                  </pic:spPr>
                </pic:pic>
              </a:graphicData>
            </a:graphic>
          </wp:inline>
        </w:drawing>
      </w:r>
    </w:p>
    <w:p w:rsidR="006330D2" w:rsidRDefault="00F45216" w:rsidP="006330D2">
      <w:pPr>
        <w:pStyle w:val="AERtablesource"/>
      </w:pPr>
      <w:r>
        <w:t>Source:</w:t>
      </w:r>
      <w:r>
        <w:tab/>
      </w:r>
      <w:r w:rsidR="006330D2">
        <w:t>AER analysis</w:t>
      </w:r>
      <w:r>
        <w:t>.</w:t>
      </w:r>
    </w:p>
    <w:p w:rsidR="009179D3" w:rsidRDefault="009179D3" w:rsidP="002C733C">
      <w:pPr>
        <w:pStyle w:val="AERbodytext"/>
      </w:pPr>
      <w:r w:rsidRPr="009179D3">
        <w:t xml:space="preserve">A </w:t>
      </w:r>
      <w:r w:rsidR="00DC1724">
        <w:t>ten</w:t>
      </w:r>
      <w:r w:rsidR="00DC1724" w:rsidRPr="009179D3">
        <w:t xml:space="preserve"> </w:t>
      </w:r>
      <w:r w:rsidRPr="009179D3">
        <w:t xml:space="preserve">per cent increase in the </w:t>
      </w:r>
      <w:r w:rsidR="00DC1724">
        <w:t xml:space="preserve">opening </w:t>
      </w:r>
      <w:r w:rsidRPr="009179D3">
        <w:t xml:space="preserve">RAB causes revenues to increase by about </w:t>
      </w:r>
      <w:r w:rsidR="00DC1724">
        <w:t>5.9</w:t>
      </w:r>
      <w:r w:rsidRPr="009179D3">
        <w:t xml:space="preserve"> per cent. However, the</w:t>
      </w:r>
      <w:r w:rsidR="00DC1724">
        <w:t xml:space="preserve"> impact on revenues of the annual change in RAB depends on </w:t>
      </w:r>
      <w:r w:rsidRPr="009179D3">
        <w:t xml:space="preserve">the source of the RAB </w:t>
      </w:r>
      <w:r w:rsidR="00DC1724">
        <w:t>change</w:t>
      </w:r>
      <w:r w:rsidRPr="009179D3">
        <w:t>, as some drivers affect more than one building block cost.</w:t>
      </w:r>
      <w:r>
        <w:rPr>
          <w:rStyle w:val="FootnoteReference"/>
        </w:rPr>
        <w:footnoteReference w:id="22"/>
      </w:r>
    </w:p>
    <w:p w:rsidR="00D97003" w:rsidRDefault="00D97003" w:rsidP="00D97003">
      <w:pPr>
        <w:pStyle w:val="Heading2"/>
      </w:pPr>
      <w:bookmarkStart w:id="27" w:name="_Toc387916800"/>
      <w:bookmarkStart w:id="28" w:name="_Toc404699591"/>
      <w:r>
        <w:t>Reasons for draft decision</w:t>
      </w:r>
      <w:bookmarkEnd w:id="27"/>
      <w:bookmarkEnd w:id="28"/>
    </w:p>
    <w:p w:rsidR="007A4A28" w:rsidRPr="007A4A28" w:rsidRDefault="001E5866" w:rsidP="001E5866">
      <w:pPr>
        <w:pStyle w:val="AERbodytext"/>
      </w:pPr>
      <w:r>
        <w:t>We have determined ActewAGL's opening distribution and transmission RABs to be $695.6 million and $154.1 million ($ nominal) respectively</w:t>
      </w:r>
      <w:r w:rsidR="0094428B">
        <w:t>,</w:t>
      </w:r>
      <w:r>
        <w:t xml:space="preserve"> as at 1 July 2014. </w:t>
      </w:r>
      <w:r w:rsidR="0094428B">
        <w:t>This represents decreases of $</w:t>
      </w:r>
      <w:r w:rsidR="00B711CC">
        <w:t>0.5</w:t>
      </w:r>
      <w:r w:rsidR="00E03900">
        <w:t> </w:t>
      </w:r>
      <w:r w:rsidR="0094428B">
        <w:t xml:space="preserve">million or </w:t>
      </w:r>
      <w:r w:rsidR="00B711CC">
        <w:t>0.1</w:t>
      </w:r>
      <w:r w:rsidR="0094428B">
        <w:t xml:space="preserve"> per cent and $</w:t>
      </w:r>
      <w:r w:rsidR="00B711CC">
        <w:t>0.4</w:t>
      </w:r>
      <w:r w:rsidR="0094428B">
        <w:t xml:space="preserve"> ($ nominal) or </w:t>
      </w:r>
      <w:r w:rsidR="00B711CC">
        <w:t>0.1</w:t>
      </w:r>
      <w:r w:rsidR="0094428B">
        <w:t xml:space="preserve"> per cent from the proposed values respectively. </w:t>
      </w:r>
      <w:r w:rsidRPr="001E5866">
        <w:t>We have forecast closing distribution and transmission RAB values of $</w:t>
      </w:r>
      <w:r w:rsidR="00667811">
        <w:t>751.5</w:t>
      </w:r>
      <w:r w:rsidRPr="001E5866">
        <w:t xml:space="preserve"> million and $</w:t>
      </w:r>
      <w:r w:rsidR="00667811">
        <w:t>184.</w:t>
      </w:r>
      <w:r w:rsidR="00142CE6">
        <w:t>2</w:t>
      </w:r>
      <w:r w:rsidRPr="001E5866">
        <w:t xml:space="preserve"> million ($ nominal) respectively, as at 30 June 2019. This represents reduction</w:t>
      </w:r>
      <w:r w:rsidR="0094428B">
        <w:t>s</w:t>
      </w:r>
      <w:r w:rsidRPr="001E5866">
        <w:t xml:space="preserve"> of $</w:t>
      </w:r>
      <w:r w:rsidR="00667811">
        <w:t>98.7</w:t>
      </w:r>
      <w:r w:rsidR="00E03900">
        <w:t> </w:t>
      </w:r>
      <w:r w:rsidRPr="001E5866">
        <w:t xml:space="preserve">million or </w:t>
      </w:r>
      <w:r w:rsidR="00667811">
        <w:t>11.6</w:t>
      </w:r>
      <w:r w:rsidRPr="001E5866">
        <w:t xml:space="preserve"> per cent</w:t>
      </w:r>
      <w:r w:rsidR="0094428B">
        <w:t xml:space="preserve"> and $</w:t>
      </w:r>
      <w:r w:rsidR="00667811">
        <w:t>49.</w:t>
      </w:r>
      <w:r w:rsidR="00142CE6">
        <w:t>9</w:t>
      </w:r>
      <w:r w:rsidR="0094428B">
        <w:t xml:space="preserve"> million </w:t>
      </w:r>
      <w:r w:rsidR="0094428B" w:rsidRPr="001E5866">
        <w:t>($ nominal)</w:t>
      </w:r>
      <w:r w:rsidR="0094428B">
        <w:t xml:space="preserve"> or </w:t>
      </w:r>
      <w:r w:rsidR="00667811">
        <w:t>21.</w:t>
      </w:r>
      <w:r w:rsidR="00142CE6">
        <w:t>3</w:t>
      </w:r>
      <w:r w:rsidR="0094428B">
        <w:t xml:space="preserve"> per cent</w:t>
      </w:r>
      <w:r w:rsidRPr="001E5866">
        <w:t xml:space="preserve"> compared to A</w:t>
      </w:r>
      <w:r w:rsidR="0094428B">
        <w:t>ctewAGL's</w:t>
      </w:r>
      <w:r w:rsidRPr="001E5866">
        <w:t xml:space="preserve"> proposal</w:t>
      </w:r>
      <w:r w:rsidR="0094428B">
        <w:t xml:space="preserve"> respectively</w:t>
      </w:r>
      <w:r w:rsidRPr="001E5866">
        <w:t>. The reasons for our decision are discussed below.</w:t>
      </w:r>
    </w:p>
    <w:p w:rsidR="00D97003" w:rsidRDefault="00A803F5" w:rsidP="00A803F5">
      <w:pPr>
        <w:pStyle w:val="Heading3"/>
      </w:pPr>
      <w:bookmarkStart w:id="29" w:name="_Ref394911405"/>
      <w:bookmarkStart w:id="30" w:name="_Toc404699592"/>
      <w:r>
        <w:t>Opening RAB</w:t>
      </w:r>
      <w:r w:rsidR="00C22174">
        <w:t xml:space="preserve"> as at 1 July 2014</w:t>
      </w:r>
      <w:bookmarkEnd w:id="29"/>
      <w:bookmarkEnd w:id="30"/>
    </w:p>
    <w:p w:rsidR="00EE58B0" w:rsidRDefault="00A834AC" w:rsidP="00EE58B0">
      <w:pPr>
        <w:pStyle w:val="AERbodytext"/>
        <w:numPr>
          <w:ilvl w:val="0"/>
          <w:numId w:val="0"/>
        </w:numPr>
      </w:pPr>
      <w:r w:rsidRPr="00826E71">
        <w:t xml:space="preserve">We </w:t>
      </w:r>
      <w:r w:rsidR="00A467C5">
        <w:t xml:space="preserve">do not </w:t>
      </w:r>
      <w:r w:rsidRPr="00826E71">
        <w:t xml:space="preserve">accept </w:t>
      </w:r>
      <w:r w:rsidR="00EB13E7">
        <w:t>ActewAGL</w:t>
      </w:r>
      <w:r w:rsidR="00A467C5">
        <w:t>'s</w:t>
      </w:r>
      <w:r w:rsidRPr="00826E71">
        <w:t xml:space="preserve"> proposed opening RAB</w:t>
      </w:r>
      <w:r w:rsidR="00EA3321">
        <w:t>s</w:t>
      </w:r>
      <w:r w:rsidRPr="00826E71">
        <w:t xml:space="preserve"> </w:t>
      </w:r>
      <w:r w:rsidR="00FE4278">
        <w:t xml:space="preserve">for its distribution and transmission networks </w:t>
      </w:r>
      <w:r w:rsidRPr="00826E71">
        <w:t xml:space="preserve">as at 1 July 2014. </w:t>
      </w:r>
      <w:r w:rsidR="000E443D">
        <w:t>Instead we have determined opening RAB values of $</w:t>
      </w:r>
      <w:r w:rsidR="00B01E98">
        <w:t>695.6</w:t>
      </w:r>
      <w:r w:rsidR="000E443D">
        <w:t> million and $</w:t>
      </w:r>
      <w:r w:rsidR="00B01E98">
        <w:t>154.1</w:t>
      </w:r>
      <w:r w:rsidR="00E03900">
        <w:t> </w:t>
      </w:r>
      <w:r w:rsidR="001E5866">
        <w:t xml:space="preserve">million </w:t>
      </w:r>
      <w:r w:rsidR="000E443D">
        <w:t>($ nominal) as at 1 July 2014 for its distribution and transmission networks respectively.</w:t>
      </w:r>
      <w:r w:rsidR="00865AF8">
        <w:rPr>
          <w:rStyle w:val="FootnoteReference"/>
        </w:rPr>
        <w:footnoteReference w:id="23"/>
      </w:r>
      <w:r w:rsidR="003C5EA4" w:rsidRPr="003C5EA4">
        <w:rPr>
          <w:rStyle w:val="FootnoteReference"/>
        </w:rPr>
        <w:t xml:space="preserve"> </w:t>
      </w:r>
      <w:r w:rsidR="000E443D">
        <w:t xml:space="preserve">This </w:t>
      </w:r>
      <w:r w:rsidR="00E70730">
        <w:t>represents</w:t>
      </w:r>
      <w:r w:rsidR="00A467C5">
        <w:t xml:space="preserve"> reduc</w:t>
      </w:r>
      <w:r w:rsidR="000E443D">
        <w:t xml:space="preserve">tions </w:t>
      </w:r>
      <w:r w:rsidR="00C310EB">
        <w:t>to</w:t>
      </w:r>
      <w:r w:rsidR="00E70730">
        <w:t xml:space="preserve"> the opening</w:t>
      </w:r>
      <w:r w:rsidR="00E70730" w:rsidRPr="00E70730">
        <w:t xml:space="preserve"> </w:t>
      </w:r>
      <w:r w:rsidR="00E70730">
        <w:t xml:space="preserve">distribution and transmission </w:t>
      </w:r>
      <w:r w:rsidR="0070776C">
        <w:t>RABs as at 1</w:t>
      </w:r>
      <w:r w:rsidR="00E03900">
        <w:t> </w:t>
      </w:r>
      <w:r w:rsidR="0070776C">
        <w:t xml:space="preserve">July 2014 </w:t>
      </w:r>
      <w:r w:rsidR="000E443D">
        <w:t>of</w:t>
      </w:r>
      <w:r w:rsidR="00FE4278">
        <w:t xml:space="preserve"> </w:t>
      </w:r>
      <w:r w:rsidR="00A467C5">
        <w:t>$</w:t>
      </w:r>
      <w:r w:rsidR="00FE4278">
        <w:t>0.5</w:t>
      </w:r>
      <w:r w:rsidR="00A467C5">
        <w:t xml:space="preserve"> million </w:t>
      </w:r>
      <w:r w:rsidR="00FE4278">
        <w:t>and $0.1 million (</w:t>
      </w:r>
      <w:r w:rsidR="000E443D">
        <w:t xml:space="preserve">$ </w:t>
      </w:r>
      <w:r w:rsidR="00FE4278">
        <w:t>nominal</w:t>
      </w:r>
      <w:r w:rsidR="0070776C">
        <w:t>)</w:t>
      </w:r>
      <w:r w:rsidR="00E70730">
        <w:t xml:space="preserve"> respectively</w:t>
      </w:r>
      <w:r w:rsidR="00FE4278">
        <w:t xml:space="preserve">. This is because we amended the </w:t>
      </w:r>
      <w:r w:rsidR="00FE4278">
        <w:lastRenderedPageBreak/>
        <w:t xml:space="preserve">remaining asset life of </w:t>
      </w:r>
      <w:r w:rsidR="00927656">
        <w:t xml:space="preserve">the </w:t>
      </w:r>
      <w:r w:rsidR="00FE4278">
        <w:t>opening RAB</w:t>
      </w:r>
      <w:r w:rsidR="00927656">
        <w:t>s</w:t>
      </w:r>
      <w:r w:rsidR="00FE4278">
        <w:t xml:space="preserve"> as at 1 July 2009 to 20.42 years</w:t>
      </w:r>
      <w:r w:rsidR="000E443D">
        <w:t>, consistent with that</w:t>
      </w:r>
      <w:r w:rsidR="00FE4278">
        <w:t xml:space="preserve"> approved in the </w:t>
      </w:r>
      <w:r w:rsidR="000E443D">
        <w:t xml:space="preserve">2009 </w:t>
      </w:r>
      <w:r w:rsidR="00FE4278">
        <w:t>de</w:t>
      </w:r>
      <w:r w:rsidR="00865AF8">
        <w:t>termination</w:t>
      </w:r>
      <w:r w:rsidR="00FE4278">
        <w:t>.</w:t>
      </w:r>
      <w:r w:rsidR="00EA6235">
        <w:rPr>
          <w:rStyle w:val="FootnoteReference"/>
        </w:rPr>
        <w:footnoteReference w:id="24"/>
      </w:r>
    </w:p>
    <w:p w:rsidR="000E443D" w:rsidRDefault="000114E6" w:rsidP="00EE58B0">
      <w:pPr>
        <w:pStyle w:val="AERbodytext"/>
        <w:numPr>
          <w:ilvl w:val="0"/>
          <w:numId w:val="0"/>
        </w:numPr>
      </w:pPr>
      <w:r>
        <w:t xml:space="preserve">ActewAGL adjusted the remaining asset life </w:t>
      </w:r>
      <w:r w:rsidR="00C310EB">
        <w:t xml:space="preserve">input in its proposed RFM </w:t>
      </w:r>
      <w:r>
        <w:t xml:space="preserve">to reflect actual capex in 2008–09. </w:t>
      </w:r>
      <w:r w:rsidR="00B01E98">
        <w:t xml:space="preserve">Our RFM requires the remaining asset life </w:t>
      </w:r>
      <w:r w:rsidR="00C310EB">
        <w:t xml:space="preserve">input </w:t>
      </w:r>
      <w:r w:rsidR="00B01E98">
        <w:t>as at 1 July 2009 to ref</w:t>
      </w:r>
      <w:r w:rsidR="0014197F">
        <w:t xml:space="preserve">lect the </w:t>
      </w:r>
      <w:r w:rsidR="00B01E98">
        <w:t xml:space="preserve">value approved in the 2009 </w:t>
      </w:r>
      <w:r w:rsidR="0070776C">
        <w:t>determination</w:t>
      </w:r>
      <w:r w:rsidR="00B01E98">
        <w:t xml:space="preserve">. This provides continuity in the roll forward of the RAB </w:t>
      </w:r>
      <w:r w:rsidR="0014197F">
        <w:t>and ensures the depreciation schedules are consistent with th</w:t>
      </w:r>
      <w:r w:rsidR="00C310EB">
        <w:t>ose approved in th</w:t>
      </w:r>
      <w:r w:rsidR="0014197F">
        <w:t xml:space="preserve">e </w:t>
      </w:r>
      <w:r w:rsidR="00C310EB">
        <w:t>2009</w:t>
      </w:r>
      <w:r w:rsidR="009262C1">
        <w:t xml:space="preserve"> determination</w:t>
      </w:r>
      <w:r w:rsidR="0014197F">
        <w:t>.</w:t>
      </w:r>
      <w:r w:rsidR="0014197F">
        <w:rPr>
          <w:rStyle w:val="FootnoteReference"/>
        </w:rPr>
        <w:footnoteReference w:id="25"/>
      </w:r>
      <w:r w:rsidR="00EE58B0">
        <w:t xml:space="preserve"> </w:t>
      </w:r>
      <w:r w:rsidR="000E443D" w:rsidRPr="00AD2407">
        <w:t xml:space="preserve">We also reviewed </w:t>
      </w:r>
      <w:r w:rsidR="000E443D">
        <w:t>the other</w:t>
      </w:r>
      <w:r w:rsidR="000E443D" w:rsidRPr="00AD2407">
        <w:t xml:space="preserve"> </w:t>
      </w:r>
      <w:r w:rsidR="000E443D">
        <w:t xml:space="preserve">key </w:t>
      </w:r>
      <w:r w:rsidR="000E443D" w:rsidRPr="00AD2407">
        <w:t xml:space="preserve">inputs into </w:t>
      </w:r>
      <w:r w:rsidR="000E443D">
        <w:t>ActewAGL's</w:t>
      </w:r>
      <w:r w:rsidR="000E443D" w:rsidRPr="00AD2407">
        <w:t xml:space="preserve"> proposed RFM</w:t>
      </w:r>
      <w:r w:rsidR="009262C1">
        <w:t>s</w:t>
      </w:r>
      <w:r w:rsidR="000E443D" w:rsidRPr="00AD2407">
        <w:t>, such as CPI, rate of return</w:t>
      </w:r>
      <w:r w:rsidR="000E443D">
        <w:t>, gross capex and capital contributions</w:t>
      </w:r>
      <w:r w:rsidR="000E443D" w:rsidRPr="00AD2407">
        <w:t xml:space="preserve"> values</w:t>
      </w:r>
      <w:r w:rsidR="000E443D">
        <w:t>. We found these were correct and they reconcile with relevant data sources such as ABS data, annual reporting RIN data and the 2009–14 decision models.</w:t>
      </w:r>
      <w:r w:rsidR="00DF0F94" w:rsidRPr="00DF0F94">
        <w:rPr>
          <w:rStyle w:val="FootnoteReference"/>
        </w:rPr>
        <w:footnoteReference w:id="26"/>
      </w:r>
    </w:p>
    <w:p w:rsidR="00D742BB" w:rsidRDefault="00A803F5" w:rsidP="00A803F5">
      <w:pPr>
        <w:pStyle w:val="Heading3"/>
      </w:pPr>
      <w:bookmarkStart w:id="31" w:name="_Toc404699593"/>
      <w:r>
        <w:t>Forecast closing RAB</w:t>
      </w:r>
      <w:r w:rsidR="00C22174">
        <w:t xml:space="preserve"> as at 30 June 2019</w:t>
      </w:r>
      <w:bookmarkEnd w:id="31"/>
    </w:p>
    <w:p w:rsidR="003C3995" w:rsidRDefault="00D35DC1" w:rsidP="00000299">
      <w:pPr>
        <w:pStyle w:val="AERbodytext"/>
      </w:pPr>
      <w:r w:rsidRPr="00D35DC1">
        <w:t>We forecast closing RAB</w:t>
      </w:r>
      <w:r w:rsidR="009262C1">
        <w:t xml:space="preserve"> </w:t>
      </w:r>
      <w:r w:rsidR="003C3995">
        <w:t xml:space="preserve">values </w:t>
      </w:r>
      <w:r w:rsidR="00EE58B0">
        <w:t>of $</w:t>
      </w:r>
      <w:r w:rsidR="00667811">
        <w:t>751.5</w:t>
      </w:r>
      <w:r w:rsidR="00EE58B0">
        <w:t xml:space="preserve"> million</w:t>
      </w:r>
      <w:r w:rsidR="003C3995">
        <w:t xml:space="preserve"> and $</w:t>
      </w:r>
      <w:r w:rsidR="00667811">
        <w:t>184.</w:t>
      </w:r>
      <w:r w:rsidR="00142CE6">
        <w:t>2</w:t>
      </w:r>
      <w:r w:rsidR="003C3995">
        <w:t xml:space="preserve"> million</w:t>
      </w:r>
      <w:r w:rsidR="00EE58B0">
        <w:t xml:space="preserve"> </w:t>
      </w:r>
      <w:r w:rsidR="003C3995">
        <w:t>by</w:t>
      </w:r>
      <w:r w:rsidR="009262C1">
        <w:t xml:space="preserve"> </w:t>
      </w:r>
      <w:r w:rsidR="009262C1" w:rsidRPr="00D35DC1">
        <w:t>30 June 2019</w:t>
      </w:r>
      <w:r w:rsidRPr="00D35DC1">
        <w:t xml:space="preserve"> </w:t>
      </w:r>
      <w:r w:rsidR="009262C1" w:rsidRPr="00D35DC1">
        <w:t xml:space="preserve">for </w:t>
      </w:r>
      <w:r w:rsidR="009262C1">
        <w:t>ActewAGL</w:t>
      </w:r>
      <w:r w:rsidR="009262C1" w:rsidRPr="00D35DC1">
        <w:t>'s distribution</w:t>
      </w:r>
      <w:r w:rsidR="003C3995">
        <w:t xml:space="preserve"> and transmission</w:t>
      </w:r>
      <w:r w:rsidR="009262C1" w:rsidRPr="00D35DC1">
        <w:t xml:space="preserve"> </w:t>
      </w:r>
      <w:r w:rsidR="00EE58B0">
        <w:t>network</w:t>
      </w:r>
      <w:r w:rsidR="003C3995">
        <w:t>s, respectively</w:t>
      </w:r>
      <w:r w:rsidRPr="00D35DC1">
        <w:t xml:space="preserve">. </w:t>
      </w:r>
    </w:p>
    <w:p w:rsidR="00D35DC1" w:rsidRPr="00D35DC1" w:rsidRDefault="00D35DC1" w:rsidP="00000299">
      <w:pPr>
        <w:pStyle w:val="AERbodytext"/>
      </w:pPr>
      <w:r w:rsidRPr="00D35DC1">
        <w:t xml:space="preserve">For </w:t>
      </w:r>
      <w:r w:rsidR="00EB13E7">
        <w:t>ActewAGL</w:t>
      </w:r>
      <w:r w:rsidRPr="00D35DC1">
        <w:t xml:space="preserve">'s distribution RAB </w:t>
      </w:r>
      <w:r w:rsidR="003C3995">
        <w:t>our decision results in</w:t>
      </w:r>
      <w:r w:rsidRPr="00D35DC1">
        <w:t xml:space="preserve"> a reduction of $</w:t>
      </w:r>
      <w:r w:rsidR="00667811">
        <w:t>98.7</w:t>
      </w:r>
      <w:r w:rsidRPr="00D35DC1">
        <w:t xml:space="preserve"> million (</w:t>
      </w:r>
      <w:r w:rsidR="002E00C4">
        <w:t xml:space="preserve">$ </w:t>
      </w:r>
      <w:r w:rsidRPr="00D35DC1">
        <w:t xml:space="preserve">nominal) or </w:t>
      </w:r>
      <w:r w:rsidR="00667811">
        <w:t>11.6</w:t>
      </w:r>
      <w:r w:rsidRPr="00D35DC1">
        <w:t xml:space="preserve"> per cent </w:t>
      </w:r>
      <w:r w:rsidR="003C3995">
        <w:t>compared to</w:t>
      </w:r>
      <w:r w:rsidRPr="00D35DC1">
        <w:t xml:space="preserve"> </w:t>
      </w:r>
      <w:r w:rsidR="00EB13E7">
        <w:t>ActewAGL</w:t>
      </w:r>
      <w:r w:rsidRPr="00D35DC1">
        <w:t xml:space="preserve">'s proposal. This reduction reflects our draft decision on the inputs for determining the forecast </w:t>
      </w:r>
      <w:r w:rsidR="00792B07">
        <w:t xml:space="preserve">distribution </w:t>
      </w:r>
      <w:r w:rsidRPr="00D35DC1">
        <w:t xml:space="preserve">RAB in the PTRM. To determine </w:t>
      </w:r>
      <w:r w:rsidR="00EB13E7">
        <w:t>ActewAGL</w:t>
      </w:r>
      <w:r w:rsidRPr="00D35DC1">
        <w:t>'s forecast distribution RAB value, we amended the following PTRM inputs:</w:t>
      </w:r>
    </w:p>
    <w:p w:rsidR="00D35DC1" w:rsidRPr="00D35DC1" w:rsidRDefault="00D35DC1" w:rsidP="002E1EB6">
      <w:pPr>
        <w:pStyle w:val="AERbulletlistfirststyle"/>
      </w:pPr>
      <w:r w:rsidRPr="00D35DC1">
        <w:t xml:space="preserve">We reduced </w:t>
      </w:r>
      <w:r w:rsidR="00EB13E7">
        <w:t>ActewAGL</w:t>
      </w:r>
      <w:r w:rsidRPr="00D35DC1">
        <w:t>'s proposed opening RAB as at 1 July 2014 by $</w:t>
      </w:r>
      <w:r w:rsidR="00667811">
        <w:t>0.5</w:t>
      </w:r>
      <w:r w:rsidRPr="00D35DC1">
        <w:t xml:space="preserve"> million or </w:t>
      </w:r>
      <w:r w:rsidR="00667811">
        <w:t>0.1</w:t>
      </w:r>
      <w:r w:rsidRPr="00D35DC1">
        <w:t xml:space="preserve"> per cent.</w:t>
      </w:r>
    </w:p>
    <w:p w:rsidR="00D35DC1" w:rsidRPr="00D35DC1" w:rsidRDefault="00D35DC1" w:rsidP="002E1EB6">
      <w:pPr>
        <w:pStyle w:val="AERbulletlistfirststyle"/>
      </w:pPr>
      <w:r w:rsidRPr="00D35DC1">
        <w:t xml:space="preserve">We reduced </w:t>
      </w:r>
      <w:r w:rsidR="00EB13E7">
        <w:t>ActewAGL</w:t>
      </w:r>
      <w:r w:rsidRPr="00D35DC1">
        <w:t>'s proposed forecast capex for the 2014</w:t>
      </w:r>
      <w:r w:rsidR="00792B07">
        <w:t>–</w:t>
      </w:r>
      <w:r w:rsidRPr="00D35DC1">
        <w:t>19 period by $</w:t>
      </w:r>
      <w:r w:rsidR="00DA5530">
        <w:t>100.6</w:t>
      </w:r>
      <w:r w:rsidRPr="00D35DC1">
        <w:t xml:space="preserve"> million or </w:t>
      </w:r>
      <w:r w:rsidR="00DA5530">
        <w:t>32.6</w:t>
      </w:r>
      <w:r w:rsidRPr="00D35DC1">
        <w:t xml:space="preserve"> per cent (attachment </w:t>
      </w:r>
      <w:r w:rsidR="00603DE7">
        <w:t>6</w:t>
      </w:r>
      <w:r w:rsidRPr="00D35DC1">
        <w:t>).</w:t>
      </w:r>
    </w:p>
    <w:p w:rsidR="00D35DC1" w:rsidRPr="00D35DC1" w:rsidRDefault="00D35DC1" w:rsidP="002E1EB6">
      <w:pPr>
        <w:pStyle w:val="AERbulletlistfirststyle"/>
      </w:pPr>
      <w:r w:rsidRPr="00D35DC1">
        <w:t xml:space="preserve">We reduced </w:t>
      </w:r>
      <w:r w:rsidR="00EB13E7">
        <w:t>ActewAGL</w:t>
      </w:r>
      <w:r w:rsidRPr="00D35DC1">
        <w:t>'s proposed forecast regulatory depreciation allowance by $</w:t>
      </w:r>
      <w:r w:rsidR="00DA5530">
        <w:t>2.3</w:t>
      </w:r>
      <w:r w:rsidRPr="00D35DC1">
        <w:t xml:space="preserve"> million or </w:t>
      </w:r>
      <w:r w:rsidR="00DA5530">
        <w:t>1.5</w:t>
      </w:r>
      <w:r w:rsidRPr="00D35DC1">
        <w:t xml:space="preserve"> per cent (attachment </w:t>
      </w:r>
      <w:r w:rsidR="00603DE7">
        <w:t>5</w:t>
      </w:r>
      <w:r w:rsidRPr="00D35DC1">
        <w:t xml:space="preserve">). </w:t>
      </w:r>
    </w:p>
    <w:p w:rsidR="00D35DC1" w:rsidRPr="00D35DC1" w:rsidRDefault="003C3995" w:rsidP="00D35DC1">
      <w:pPr>
        <w:pStyle w:val="AERbodytext"/>
      </w:pPr>
      <w:r w:rsidRPr="00D35DC1">
        <w:t xml:space="preserve">For </w:t>
      </w:r>
      <w:r>
        <w:t>ActewAGL</w:t>
      </w:r>
      <w:r w:rsidRPr="00D35DC1">
        <w:t xml:space="preserve">'s </w:t>
      </w:r>
      <w:r>
        <w:t>transmission</w:t>
      </w:r>
      <w:r w:rsidRPr="00D35DC1">
        <w:t xml:space="preserve"> RAB </w:t>
      </w:r>
      <w:r>
        <w:t>our decision results in</w:t>
      </w:r>
      <w:r w:rsidRPr="00D35DC1">
        <w:t xml:space="preserve"> a reduction of $</w:t>
      </w:r>
      <w:r w:rsidR="00DA5530">
        <w:t>49.</w:t>
      </w:r>
      <w:r w:rsidR="00142CE6">
        <w:t>9</w:t>
      </w:r>
      <w:r w:rsidRPr="00D35DC1">
        <w:t xml:space="preserve"> million (</w:t>
      </w:r>
      <w:r w:rsidR="002E00C4">
        <w:t xml:space="preserve">$ </w:t>
      </w:r>
      <w:r w:rsidRPr="00D35DC1">
        <w:t xml:space="preserve">nominal) or </w:t>
      </w:r>
      <w:r w:rsidR="00DA5530">
        <w:t>21.</w:t>
      </w:r>
      <w:r w:rsidR="00142CE6">
        <w:t>3</w:t>
      </w:r>
      <w:r w:rsidRPr="00D35DC1">
        <w:t xml:space="preserve"> per cent </w:t>
      </w:r>
      <w:r>
        <w:t>compared to</w:t>
      </w:r>
      <w:r w:rsidRPr="00D35DC1">
        <w:t xml:space="preserve"> </w:t>
      </w:r>
      <w:r>
        <w:t>ActewAGL</w:t>
      </w:r>
      <w:r w:rsidRPr="00D35DC1">
        <w:t xml:space="preserve">'s proposal. </w:t>
      </w:r>
      <w:r w:rsidR="00D35DC1" w:rsidRPr="00D35DC1">
        <w:t xml:space="preserve">This reduction reflects our draft decision on the inputs for determining the forecast </w:t>
      </w:r>
      <w:r w:rsidR="00792B07">
        <w:t xml:space="preserve">transmission </w:t>
      </w:r>
      <w:r w:rsidR="00D35DC1" w:rsidRPr="00D35DC1">
        <w:t xml:space="preserve">RAB in the PTRM. To determine </w:t>
      </w:r>
      <w:r w:rsidR="00EB13E7">
        <w:t>ActewAGL</w:t>
      </w:r>
      <w:r w:rsidR="00D35DC1" w:rsidRPr="00D35DC1">
        <w:t>'s forecast transmission RAB value, we amended the following PTRM inputs:</w:t>
      </w:r>
    </w:p>
    <w:p w:rsidR="00D35DC1" w:rsidRPr="00D35DC1" w:rsidRDefault="00D35DC1" w:rsidP="002E1EB6">
      <w:pPr>
        <w:pStyle w:val="AERbulletlistfirststyle"/>
      </w:pPr>
      <w:r w:rsidRPr="00D35DC1">
        <w:t xml:space="preserve">We reduced </w:t>
      </w:r>
      <w:r w:rsidR="00EB13E7">
        <w:t>ActewAGL</w:t>
      </w:r>
      <w:r w:rsidRPr="00D35DC1">
        <w:t>'s proposed opening RAB as at 1 July 2014 by $</w:t>
      </w:r>
      <w:r w:rsidR="00DA5530">
        <w:t>0.1</w:t>
      </w:r>
      <w:r w:rsidRPr="00D35DC1">
        <w:t xml:space="preserve"> million or </w:t>
      </w:r>
      <w:r w:rsidR="00DA5530">
        <w:t>less than 0.1</w:t>
      </w:r>
      <w:r w:rsidR="00E03900">
        <w:t> </w:t>
      </w:r>
      <w:r w:rsidRPr="00D35DC1">
        <w:t>per cent.</w:t>
      </w:r>
    </w:p>
    <w:p w:rsidR="00D35DC1" w:rsidRPr="00D35DC1" w:rsidRDefault="00D35DC1" w:rsidP="002E1EB6">
      <w:pPr>
        <w:pStyle w:val="AERbulletlistfirststyle"/>
      </w:pPr>
      <w:r w:rsidRPr="00D35DC1">
        <w:t xml:space="preserve">We reduced </w:t>
      </w:r>
      <w:r w:rsidR="00EB13E7">
        <w:t>ActewAGL</w:t>
      </w:r>
      <w:r w:rsidRPr="00D35DC1">
        <w:t>'s proposed forecast capex for the 2014</w:t>
      </w:r>
      <w:r w:rsidR="00792B07">
        <w:t>–</w:t>
      </w:r>
      <w:r w:rsidRPr="00D35DC1">
        <w:t xml:space="preserve">19 </w:t>
      </w:r>
      <w:r w:rsidR="00764903">
        <w:t>period by $</w:t>
      </w:r>
      <w:r w:rsidR="00DA5530">
        <w:t>50.</w:t>
      </w:r>
      <w:r w:rsidR="00142CE6">
        <w:t>4</w:t>
      </w:r>
      <w:r w:rsidR="00764903">
        <w:t xml:space="preserve"> </w:t>
      </w:r>
      <w:r w:rsidRPr="00D35DC1">
        <w:t xml:space="preserve">million or </w:t>
      </w:r>
      <w:r w:rsidR="00DA5530">
        <w:t>47.</w:t>
      </w:r>
      <w:r w:rsidR="00142CE6">
        <w:t>7</w:t>
      </w:r>
      <w:r w:rsidR="00E03900">
        <w:t> </w:t>
      </w:r>
      <w:r w:rsidRPr="00D35DC1">
        <w:t xml:space="preserve">per cent (attachment </w:t>
      </w:r>
      <w:r w:rsidR="00603DE7">
        <w:t>6</w:t>
      </w:r>
      <w:r w:rsidRPr="00D35DC1">
        <w:t>).</w:t>
      </w:r>
    </w:p>
    <w:p w:rsidR="00D742BB" w:rsidRDefault="00D35DC1" w:rsidP="002E1EB6">
      <w:pPr>
        <w:pStyle w:val="AERbulletlistfirststyle"/>
      </w:pPr>
      <w:r w:rsidRPr="00D35DC1">
        <w:t xml:space="preserve">We reduced </w:t>
      </w:r>
      <w:r w:rsidR="00EB13E7">
        <w:t>ActewAGL</w:t>
      </w:r>
      <w:r w:rsidRPr="00D35DC1">
        <w:t>'s proposed forecast regulatory depreciation allowance by $</w:t>
      </w:r>
      <w:r w:rsidR="00DA5530">
        <w:t>0.6</w:t>
      </w:r>
      <w:r w:rsidRPr="00D35DC1">
        <w:t xml:space="preserve"> million or </w:t>
      </w:r>
      <w:r w:rsidR="00DA5530">
        <w:t>2.4</w:t>
      </w:r>
      <w:r w:rsidRPr="00D35DC1">
        <w:t xml:space="preserve"> per cent (attachment </w:t>
      </w:r>
      <w:r w:rsidR="00603DE7">
        <w:t>5</w:t>
      </w:r>
      <w:r w:rsidRPr="00D35DC1">
        <w:t>).</w:t>
      </w:r>
    </w:p>
    <w:p w:rsidR="00A803F5" w:rsidRDefault="009C711D" w:rsidP="00A803F5">
      <w:pPr>
        <w:pStyle w:val="Heading3"/>
      </w:pPr>
      <w:bookmarkStart w:id="32" w:name="_Toc404699594"/>
      <w:r>
        <w:lastRenderedPageBreak/>
        <w:t>Application of d</w:t>
      </w:r>
      <w:r w:rsidR="00C22174" w:rsidRPr="00C22174">
        <w:t xml:space="preserve">epreciation approach </w:t>
      </w:r>
      <w:r>
        <w:t>in RAB</w:t>
      </w:r>
      <w:r w:rsidR="00C22174" w:rsidRPr="00C22174">
        <w:t xml:space="preserve"> roll forward </w:t>
      </w:r>
      <w:r>
        <w:t>for next reset</w:t>
      </w:r>
      <w:bookmarkEnd w:id="32"/>
    </w:p>
    <w:p w:rsidR="00D35DC1" w:rsidRPr="00D35DC1" w:rsidRDefault="00D35DC1" w:rsidP="00D35DC1">
      <w:pPr>
        <w:pStyle w:val="AERbodytext"/>
      </w:pPr>
      <w:r w:rsidRPr="00D35DC1">
        <w:t xml:space="preserve">Consistent with our Stage 2 framework and approach paper and </w:t>
      </w:r>
      <w:r w:rsidR="00EB13E7">
        <w:t>ActewAGL</w:t>
      </w:r>
      <w:r w:rsidRPr="00D35DC1">
        <w:t xml:space="preserve">'s proposal, we determine that the forecast depreciation approach is to be used to establish the RAB at the commencement of </w:t>
      </w:r>
      <w:r w:rsidR="00EB13E7">
        <w:t>ActewAGL</w:t>
      </w:r>
      <w:r w:rsidRPr="00D35DC1">
        <w:t>'s 2019</w:t>
      </w:r>
      <w:r w:rsidR="00671D55">
        <w:t>–</w:t>
      </w:r>
      <w:r w:rsidRPr="00D35DC1">
        <w:t>24 regulatory control period.</w:t>
      </w:r>
      <w:r w:rsidR="00671D55">
        <w:rPr>
          <w:rStyle w:val="FootnoteReference"/>
        </w:rPr>
        <w:footnoteReference w:id="27"/>
      </w:r>
      <w:r w:rsidRPr="00D35DC1">
        <w:t xml:space="preserve"> This approach will apply to both the transitional and subsequent regulatory control periods for </w:t>
      </w:r>
      <w:r w:rsidR="00EB13E7">
        <w:t>ActewAGL</w:t>
      </w:r>
      <w:r w:rsidRPr="00D35DC1">
        <w:t>.</w:t>
      </w:r>
      <w:r w:rsidR="00671D55">
        <w:rPr>
          <w:rStyle w:val="FootnoteReference"/>
        </w:rPr>
        <w:footnoteReference w:id="28"/>
      </w:r>
      <w:r w:rsidRPr="00D35DC1">
        <w:t xml:space="preserve"> We consider this approach will provide sufficient incentives for </w:t>
      </w:r>
      <w:r w:rsidR="00EB13E7">
        <w:t>ActewAGL</w:t>
      </w:r>
      <w:r w:rsidRPr="00D35DC1">
        <w:t xml:space="preserve"> to achieve capex efficiency gains over the relevant regulatory control periods.</w:t>
      </w:r>
    </w:p>
    <w:p w:rsidR="00D35DC1" w:rsidRPr="00D35DC1" w:rsidRDefault="00D35DC1" w:rsidP="00D35DC1">
      <w:pPr>
        <w:pStyle w:val="AERbodytext"/>
      </w:pPr>
      <w:r w:rsidRPr="00D35DC1">
        <w:t>We had regard to the relevant factors in the NER in developing the approach to choosing the depreciation approach set out in our capex incentives guideline.</w:t>
      </w:r>
      <w:r w:rsidR="00671D55">
        <w:rPr>
          <w:rStyle w:val="FootnoteReference"/>
        </w:rPr>
        <w:footnoteReference w:id="29"/>
      </w:r>
      <w:r w:rsidRPr="00D35DC1">
        <w:t xml:space="preserve"> Our approach is to apply forecast depreciation except where: </w:t>
      </w:r>
    </w:p>
    <w:p w:rsidR="00D35DC1" w:rsidRPr="00D35DC1" w:rsidRDefault="00D35DC1" w:rsidP="00D35DC1">
      <w:pPr>
        <w:pStyle w:val="AERbulletlistfirststyle"/>
      </w:pPr>
      <w:r w:rsidRPr="00D35DC1">
        <w:t>there is no CESS in place and therefore the power of the capex incentive may need to be strengthened, or</w:t>
      </w:r>
    </w:p>
    <w:p w:rsidR="00D35DC1" w:rsidRPr="00D35DC1" w:rsidRDefault="00D35DC1" w:rsidP="00D35DC1">
      <w:pPr>
        <w:pStyle w:val="AERbulletlistfirststyle"/>
      </w:pPr>
      <w:r w:rsidRPr="00D35DC1">
        <w:t>a service provider's past capex performance demonstrates evidence of persistent overspending or inefficiency, thus requiring a higher powered incentive.</w:t>
      </w:r>
    </w:p>
    <w:p w:rsidR="00D35DC1" w:rsidRPr="00D35DC1" w:rsidRDefault="00D35DC1" w:rsidP="00D35DC1">
      <w:pPr>
        <w:pStyle w:val="AERbodytext"/>
      </w:pPr>
      <w:r w:rsidRPr="00D35DC1">
        <w:t>In making our decision on whether to use actual depreciation in either of these circumstances we have considered:</w:t>
      </w:r>
    </w:p>
    <w:p w:rsidR="00D35DC1" w:rsidRPr="00D35DC1" w:rsidRDefault="00D35DC1" w:rsidP="00D35DC1">
      <w:pPr>
        <w:pStyle w:val="AERbulletlistfirststyle"/>
      </w:pPr>
      <w:r w:rsidRPr="00D35DC1">
        <w:t>the substitutability between capex and opex and the balance of incentives between these</w:t>
      </w:r>
    </w:p>
    <w:p w:rsidR="00D35DC1" w:rsidRPr="00D35DC1" w:rsidRDefault="00D35DC1" w:rsidP="00D35DC1">
      <w:pPr>
        <w:pStyle w:val="AERbulletlistfirststyle"/>
      </w:pPr>
      <w:r w:rsidRPr="00D35DC1">
        <w:t>the balance of incentives with service outcomes</w:t>
      </w:r>
    </w:p>
    <w:p w:rsidR="00D35DC1" w:rsidRPr="00D35DC1" w:rsidRDefault="00D35DC1" w:rsidP="00D35DC1">
      <w:pPr>
        <w:pStyle w:val="AERbulletlistfirststyle"/>
      </w:pPr>
      <w:r w:rsidRPr="00D35DC1">
        <w:t>the substitutability of assets of different asset lives.</w:t>
      </w:r>
    </w:p>
    <w:p w:rsidR="00D35DC1" w:rsidRPr="00D35DC1" w:rsidRDefault="00D35DC1" w:rsidP="00D35DC1">
      <w:pPr>
        <w:pStyle w:val="AERbodytext"/>
      </w:pPr>
      <w:r w:rsidRPr="00D35DC1">
        <w:t>We have chosen forecast depreciation because, in combination with the CESS, it will provide a 30 per cent reward for capex underspends and 30 per cent penalty for capex overspends, which is consistent for all asset classes. In developing our capex incentives guideline, we considered this to be a sufficient incentive for a service provider to achieve efficiency gains over the regulatory control period in most circumstances.</w:t>
      </w:r>
    </w:p>
    <w:p w:rsidR="00D35DC1" w:rsidRPr="00D35DC1" w:rsidRDefault="00D35DC1" w:rsidP="00D35DC1">
      <w:pPr>
        <w:pStyle w:val="AERbodytext"/>
      </w:pPr>
      <w:r w:rsidRPr="00D35DC1">
        <w:t xml:space="preserve">As discussed in attachment </w:t>
      </w:r>
      <w:r w:rsidR="00603DE7">
        <w:t>10</w:t>
      </w:r>
      <w:r w:rsidRPr="00D35DC1">
        <w:t xml:space="preserve">, </w:t>
      </w:r>
      <w:r w:rsidR="00EB13E7">
        <w:t>ActewAGL</w:t>
      </w:r>
      <w:r w:rsidRPr="00D35DC1">
        <w:t xml:space="preserve"> is not currently subject to a CESS but we will apply the CESS to </w:t>
      </w:r>
      <w:r w:rsidR="00EB13E7">
        <w:t>ActewAGL</w:t>
      </w:r>
      <w:r w:rsidRPr="00D35DC1">
        <w:t xml:space="preserve"> from 1 July 2015. The CESS does not apply to </w:t>
      </w:r>
      <w:r w:rsidR="00EB13E7">
        <w:t>ActewAGL</w:t>
      </w:r>
      <w:r w:rsidRPr="00D35DC1">
        <w:t xml:space="preserve"> for the 2014</w:t>
      </w:r>
      <w:r w:rsidR="00671D55">
        <w:t>–</w:t>
      </w:r>
      <w:r w:rsidRPr="00D35DC1">
        <w:t>15 transitional regulatory control period.</w:t>
      </w:r>
      <w:r w:rsidR="0023348A">
        <w:t xml:space="preserve"> </w:t>
      </w:r>
      <w:r w:rsidRPr="00D35DC1">
        <w:t>We consider the</w:t>
      </w:r>
      <w:r w:rsidR="0023348A">
        <w:t xml:space="preserve"> </w:t>
      </w:r>
      <w:r w:rsidRPr="00D35DC1">
        <w:t>use of</w:t>
      </w:r>
      <w:r w:rsidR="00671D55">
        <w:t xml:space="preserve"> a</w:t>
      </w:r>
      <w:r w:rsidRPr="00D35DC1">
        <w:t xml:space="preserve"> forecast depreciation approach in combination with the application of CESS and </w:t>
      </w:r>
      <w:r w:rsidR="00671D55">
        <w:t xml:space="preserve">our </w:t>
      </w:r>
      <w:r w:rsidRPr="00D35DC1">
        <w:t>other ex post capex measures are sufficient to achieve the capex incentive objective.</w:t>
      </w:r>
      <w:r w:rsidR="003C3995">
        <w:rPr>
          <w:rStyle w:val="FootnoteReference"/>
        </w:rPr>
        <w:footnoteReference w:id="30"/>
      </w:r>
      <w:r w:rsidRPr="00D35DC1">
        <w:t xml:space="preserve">  </w:t>
      </w:r>
    </w:p>
    <w:p w:rsidR="00EF0E19" w:rsidRPr="00D97003" w:rsidRDefault="00EF0E19" w:rsidP="00D35DC1">
      <w:pPr>
        <w:pStyle w:val="AERbodytext"/>
      </w:pPr>
    </w:p>
    <w:sectPr w:rsidR="00EF0E19" w:rsidRPr="00D97003" w:rsidSect="009D444F">
      <w:footerReference w:type="even" r:id="rId13"/>
      <w:footerReference w:type="default" r:id="rId14"/>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4F" w:rsidRPr="00AB4345" w:rsidRDefault="009D444F" w:rsidP="00AB4345">
      <w:r>
        <w:separator/>
      </w:r>
    </w:p>
  </w:endnote>
  <w:endnote w:type="continuationSeparator" w:id="0">
    <w:p w:rsidR="009D444F" w:rsidRPr="00AB4345" w:rsidRDefault="009D444F"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9D444F" w:rsidRPr="00824CC8" w:rsidRDefault="009D444F" w:rsidP="00824CC8">
        <w:pPr>
          <w:pStyle w:val="Footer"/>
        </w:pPr>
        <w:r w:rsidRPr="00824CC8">
          <w:fldChar w:fldCharType="begin"/>
        </w:r>
        <w:r w:rsidRPr="00824CC8">
          <w:instrText xml:space="preserve"> PAGE   \* MERGEFORMAT </w:instrText>
        </w:r>
        <w:r w:rsidRPr="00824CC8">
          <w:fldChar w:fldCharType="separate"/>
        </w:r>
        <w:r w:rsidR="00866DD3">
          <w:rPr>
            <w:noProof/>
          </w:rPr>
          <w:t>2-16</w:t>
        </w:r>
        <w:r w:rsidRPr="00824CC8">
          <w:fldChar w:fldCharType="end"/>
        </w:r>
        <w:r w:rsidRPr="00824CC8">
          <w:tab/>
        </w:r>
        <w:r w:rsidR="00E03900">
          <w:t xml:space="preserve">                                                     </w:t>
        </w:r>
        <w:r w:rsidRPr="009D444F">
          <w:rPr>
            <w:rStyle w:val="AERbody"/>
          </w:rPr>
          <w:t>Attachment 2: Regulatory asset base</w:t>
        </w:r>
        <w:r w:rsidRPr="009D444F" w:rsidDel="009D444F">
          <w:rPr>
            <w:rStyle w:val="AERbody"/>
          </w:rPr>
          <w:t xml:space="preserve"> </w:t>
        </w:r>
        <w:r w:rsidRPr="00824CC8">
          <w:rPr>
            <w:rStyle w:val="AERbody"/>
          </w:rPr>
          <w:t xml:space="preserve">| </w:t>
        </w:r>
        <w:r>
          <w:rPr>
            <w:rStyle w:val="AERbody"/>
          </w:rPr>
          <w:t>ActewAGL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4F" w:rsidRPr="00824CC8" w:rsidRDefault="009D444F" w:rsidP="00824CC8">
    <w:pPr>
      <w:pStyle w:val="Footer"/>
      <w:rPr>
        <w:rStyle w:val="AERbody"/>
      </w:rPr>
    </w:pPr>
    <w:r>
      <w:t>ActewAGL draft decision</w:t>
    </w:r>
    <w:r w:rsidRPr="00210880" w:rsidDel="009D444F">
      <w:rPr>
        <w:rStyle w:val="AERbody"/>
      </w:rPr>
      <w:t xml:space="preserve"> </w:t>
    </w:r>
    <w:r w:rsidRPr="00210880">
      <w:rPr>
        <w:rStyle w:val="AERbody"/>
      </w:rPr>
      <w:t xml:space="preserve">| </w:t>
    </w:r>
    <w:r w:rsidR="00F45216">
      <w:t xml:space="preserve">Attachment </w:t>
    </w:r>
    <w:r>
      <w:t>2: Regulatory asset base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866DD3">
      <w:rPr>
        <w:rStyle w:val="AERbody"/>
        <w:noProof/>
      </w:rPr>
      <w:t>2-17</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4F" w:rsidRPr="00AB4345" w:rsidRDefault="009D444F" w:rsidP="00AB4345">
      <w:r>
        <w:separator/>
      </w:r>
    </w:p>
  </w:footnote>
  <w:footnote w:type="continuationSeparator" w:id="0">
    <w:p w:rsidR="009D444F" w:rsidRPr="00AB4345" w:rsidRDefault="009D444F" w:rsidP="00AB4345">
      <w:r>
        <w:continuationSeparator/>
      </w:r>
    </w:p>
  </w:footnote>
  <w:footnote w:id="1">
    <w:p w:rsidR="009D444F" w:rsidRDefault="009D444F" w:rsidP="003E2D82">
      <w:pPr>
        <w:pStyle w:val="FootnoteText"/>
      </w:pPr>
      <w:r>
        <w:rPr>
          <w:rStyle w:val="FootnoteReference"/>
        </w:rPr>
        <w:footnoteRef/>
      </w:r>
      <w:r>
        <w:t xml:space="preserve"> </w:t>
      </w:r>
      <w:r>
        <w:tab/>
      </w:r>
      <w:r w:rsidRPr="003540A6">
        <w:t xml:space="preserve">NER, </w:t>
      </w:r>
      <w:r>
        <w:t>cl</w:t>
      </w:r>
      <w:r w:rsidRPr="003540A6">
        <w:t xml:space="preserve"> 6.12.1(6).</w:t>
      </w:r>
    </w:p>
  </w:footnote>
  <w:footnote w:id="2">
    <w:p w:rsidR="009D444F" w:rsidRDefault="009D444F">
      <w:pPr>
        <w:pStyle w:val="FootnoteText"/>
      </w:pPr>
      <w:r>
        <w:rPr>
          <w:rStyle w:val="FootnoteReference"/>
        </w:rPr>
        <w:footnoteRef/>
      </w:r>
      <w:r>
        <w:t xml:space="preserve"> </w:t>
      </w:r>
      <w:r>
        <w:tab/>
      </w:r>
      <w:r w:rsidRPr="00D35DC1">
        <w:t>The end of period adjustment will be positive (negative) if actual capex is higher (lower) than the estimate approved at the 2009–14 determination.</w:t>
      </w:r>
    </w:p>
  </w:footnote>
  <w:footnote w:id="3">
    <w:p w:rsidR="009D444F" w:rsidRDefault="009D444F">
      <w:pPr>
        <w:pStyle w:val="FootnoteText"/>
      </w:pPr>
      <w:r>
        <w:rPr>
          <w:rStyle w:val="FootnoteReference"/>
        </w:rPr>
        <w:footnoteRef/>
      </w:r>
      <w:r>
        <w:t xml:space="preserve"> </w:t>
      </w:r>
      <w:r>
        <w:tab/>
      </w:r>
      <w:r w:rsidRPr="003540A6">
        <w:t xml:space="preserve">NER, </w:t>
      </w:r>
      <w:r>
        <w:t>cl</w:t>
      </w:r>
      <w:r w:rsidRPr="003540A6">
        <w:t xml:space="preserve"> 6.12.1(</w:t>
      </w:r>
      <w:r>
        <w:t>8</w:t>
      </w:r>
      <w:r w:rsidRPr="003540A6">
        <w:t>).</w:t>
      </w:r>
    </w:p>
  </w:footnote>
  <w:footnote w:id="4">
    <w:p w:rsidR="009D444F" w:rsidRDefault="009D444F" w:rsidP="009038A2">
      <w:pPr>
        <w:pStyle w:val="FootnoteText"/>
      </w:pPr>
      <w:r>
        <w:rPr>
          <w:rStyle w:val="FootnoteReference"/>
        </w:rPr>
        <w:footnoteRef/>
      </w:r>
      <w:r>
        <w:t xml:space="preserve"> </w:t>
      </w:r>
      <w:r>
        <w:tab/>
      </w:r>
      <w:r w:rsidRPr="00B8611D">
        <w:t xml:space="preserve">ActewAGL, </w:t>
      </w:r>
      <w:r w:rsidRPr="00B8611D">
        <w:rPr>
          <w:rStyle w:val="AERtextitalic"/>
        </w:rPr>
        <w:t>Regulatory proposal</w:t>
      </w:r>
      <w:r w:rsidRPr="00B8611D">
        <w:t>, June 2014</w:t>
      </w:r>
      <w:r>
        <w:t xml:space="preserve">, pp. 245–246. </w:t>
      </w:r>
    </w:p>
  </w:footnote>
  <w:footnote w:id="5">
    <w:p w:rsidR="009D444F" w:rsidRDefault="009D444F">
      <w:pPr>
        <w:pStyle w:val="FootnoteText"/>
      </w:pPr>
      <w:r>
        <w:rPr>
          <w:rStyle w:val="FootnoteReference"/>
        </w:rPr>
        <w:footnoteRef/>
      </w:r>
      <w:r>
        <w:t xml:space="preserve"> </w:t>
      </w:r>
      <w:r>
        <w:tab/>
        <w:t xml:space="preserve">ActewAGL, </w:t>
      </w:r>
      <w:r w:rsidRPr="008830B8">
        <w:rPr>
          <w:rStyle w:val="AERtextitalic"/>
        </w:rPr>
        <w:t>Regulatory Proposal</w:t>
      </w:r>
      <w:r>
        <w:t xml:space="preserve">, June 2014 (resubmitted 10 July 2014), p. 249. </w:t>
      </w:r>
    </w:p>
  </w:footnote>
  <w:footnote w:id="6">
    <w:p w:rsidR="009D444F" w:rsidRDefault="009D444F" w:rsidP="0075167F">
      <w:pPr>
        <w:pStyle w:val="FootnoteText"/>
      </w:pPr>
      <w:r>
        <w:rPr>
          <w:rStyle w:val="FootnoteReference"/>
        </w:rPr>
        <w:footnoteRef/>
      </w:r>
      <w:r>
        <w:t xml:space="preserve"> </w:t>
      </w:r>
      <w:r>
        <w:tab/>
        <w:t>NER, cl</w:t>
      </w:r>
      <w:r w:rsidR="00F45216">
        <w:t>l</w:t>
      </w:r>
      <w:r w:rsidRPr="0075167F">
        <w:t xml:space="preserve"> S6.2.1</w:t>
      </w:r>
      <w:r>
        <w:t xml:space="preserve"> and 11.56.4(f)</w:t>
      </w:r>
      <w:r w:rsidRPr="0075167F">
        <w:t>.</w:t>
      </w:r>
    </w:p>
  </w:footnote>
  <w:footnote w:id="7">
    <w:p w:rsidR="009D444F" w:rsidRDefault="009D444F">
      <w:pPr>
        <w:pStyle w:val="FootnoteText"/>
      </w:pPr>
      <w:r>
        <w:rPr>
          <w:rStyle w:val="FootnoteReference"/>
        </w:rPr>
        <w:footnoteRef/>
      </w:r>
      <w:r>
        <w:t xml:space="preserve"> </w:t>
      </w:r>
      <w:r>
        <w:tab/>
      </w:r>
      <w:r w:rsidRPr="0075167F">
        <w:t>NER, cl</w:t>
      </w:r>
      <w:r w:rsidR="00F45216">
        <w:t>l</w:t>
      </w:r>
      <w:r w:rsidRPr="0075167F">
        <w:t xml:space="preserve"> 6.5.1</w:t>
      </w:r>
      <w:r>
        <w:t xml:space="preserve"> and 11.56.4(c) and (f).</w:t>
      </w:r>
    </w:p>
  </w:footnote>
  <w:footnote w:id="8">
    <w:p w:rsidR="009D444F" w:rsidRDefault="009D444F" w:rsidP="009D3F86">
      <w:pPr>
        <w:pStyle w:val="FootnoteText"/>
      </w:pPr>
      <w:r>
        <w:rPr>
          <w:rStyle w:val="FootnoteReference"/>
        </w:rPr>
        <w:footnoteRef/>
      </w:r>
      <w:r>
        <w:t xml:space="preserve"> </w:t>
      </w:r>
      <w:r>
        <w:tab/>
        <w:t>NER, cl</w:t>
      </w:r>
      <w:r w:rsidR="00F45216">
        <w:t>l</w:t>
      </w:r>
      <w:r>
        <w:t xml:space="preserve"> 11.56.4(c)(4)-(6) and (f).</w:t>
      </w:r>
    </w:p>
  </w:footnote>
  <w:footnote w:id="9">
    <w:p w:rsidR="009D444F" w:rsidRDefault="009D444F">
      <w:pPr>
        <w:pStyle w:val="FootnoteText"/>
      </w:pPr>
      <w:r>
        <w:rPr>
          <w:rStyle w:val="FootnoteReference"/>
        </w:rPr>
        <w:footnoteRef/>
      </w:r>
      <w:r>
        <w:t xml:space="preserve"> </w:t>
      </w:r>
      <w:r>
        <w:tab/>
      </w:r>
      <w:r w:rsidRPr="0075167F">
        <w:t>NER, cl</w:t>
      </w:r>
      <w:r w:rsidR="00F45216">
        <w:t>l</w:t>
      </w:r>
      <w:r w:rsidRPr="0075167F">
        <w:t xml:space="preserve"> 6.5.1(e)(3)</w:t>
      </w:r>
      <w:r>
        <w:t xml:space="preserve"> and 11.56.4(f)</w:t>
      </w:r>
      <w:r w:rsidRPr="0075167F">
        <w:t>.</w:t>
      </w:r>
    </w:p>
  </w:footnote>
  <w:footnote w:id="10">
    <w:p w:rsidR="009D444F" w:rsidRDefault="009D444F">
      <w:pPr>
        <w:pStyle w:val="FootnoteText"/>
      </w:pPr>
      <w:r>
        <w:rPr>
          <w:rStyle w:val="FootnoteReference"/>
        </w:rPr>
        <w:footnoteRef/>
      </w:r>
      <w:r>
        <w:t xml:space="preserve"> </w:t>
      </w:r>
      <w:r>
        <w:tab/>
      </w:r>
      <w:r w:rsidRPr="0075167F">
        <w:t>NER, cl S6.2.1(e)(4).</w:t>
      </w:r>
    </w:p>
  </w:footnote>
  <w:footnote w:id="11">
    <w:p w:rsidR="009D444F" w:rsidRDefault="009D444F" w:rsidP="009D3F86">
      <w:pPr>
        <w:pStyle w:val="FootnoteText"/>
      </w:pPr>
      <w:r>
        <w:rPr>
          <w:rStyle w:val="FootnoteReference"/>
        </w:rPr>
        <w:footnoteRef/>
      </w:r>
      <w:r>
        <w:t xml:space="preserve"> </w:t>
      </w:r>
      <w:r>
        <w:tab/>
        <w:t>NER, cl S6.2.2A.</w:t>
      </w:r>
    </w:p>
  </w:footnote>
  <w:footnote w:id="12">
    <w:p w:rsidR="009D444F" w:rsidRDefault="009D444F" w:rsidP="009D3F86">
      <w:pPr>
        <w:pStyle w:val="FootnoteText"/>
      </w:pPr>
      <w:r>
        <w:rPr>
          <w:rStyle w:val="FootnoteReference"/>
        </w:rPr>
        <w:footnoteRef/>
      </w:r>
      <w:r>
        <w:t xml:space="preserve"> </w:t>
      </w:r>
      <w:r>
        <w:tab/>
        <w:t>NER, cl</w:t>
      </w:r>
      <w:r w:rsidR="00F45216">
        <w:t>l</w:t>
      </w:r>
      <w:r>
        <w:t xml:space="preserve"> 11.56.5 and 11.62.</w:t>
      </w:r>
    </w:p>
  </w:footnote>
  <w:footnote w:id="13">
    <w:p w:rsidR="009D444F" w:rsidRDefault="009D444F" w:rsidP="00EE077E">
      <w:pPr>
        <w:pStyle w:val="FootnoteText"/>
      </w:pPr>
      <w:r>
        <w:rPr>
          <w:rStyle w:val="FootnoteReference"/>
        </w:rPr>
        <w:footnoteRef/>
      </w:r>
      <w:r>
        <w:t xml:space="preserve"> </w:t>
      </w:r>
      <w:r>
        <w:tab/>
      </w:r>
      <w:r w:rsidRPr="00850BFE">
        <w:t>NER, cl S6.2.1(e)(5).</w:t>
      </w:r>
    </w:p>
  </w:footnote>
  <w:footnote w:id="14">
    <w:p w:rsidR="009D444F" w:rsidRDefault="009D444F">
      <w:pPr>
        <w:pStyle w:val="FootnoteText"/>
      </w:pPr>
      <w:r>
        <w:rPr>
          <w:rStyle w:val="FootnoteReference"/>
        </w:rPr>
        <w:footnoteRef/>
      </w:r>
      <w:r>
        <w:t xml:space="preserve"> </w:t>
      </w:r>
      <w:r>
        <w:tab/>
      </w:r>
      <w:r w:rsidRPr="003540A6">
        <w:t xml:space="preserve">NER, </w:t>
      </w:r>
      <w:r>
        <w:t>cl 6.12.1(8</w:t>
      </w:r>
      <w:r w:rsidRPr="003540A6">
        <w:t>).</w:t>
      </w:r>
    </w:p>
  </w:footnote>
  <w:footnote w:id="15">
    <w:p w:rsidR="009D444F" w:rsidRDefault="009D444F">
      <w:pPr>
        <w:pStyle w:val="FootnoteText"/>
      </w:pPr>
      <w:r>
        <w:rPr>
          <w:rStyle w:val="FootnoteReference"/>
        </w:rPr>
        <w:footnoteRef/>
      </w:r>
      <w:r>
        <w:t xml:space="preserve"> </w:t>
      </w:r>
      <w:r>
        <w:tab/>
      </w:r>
      <w:r w:rsidRPr="006B735D">
        <w:t xml:space="preserve">The use of actual depreciation is consistent with the depreciation approach established in the 2009 </w:t>
      </w:r>
      <w:r>
        <w:t xml:space="preserve">distribution </w:t>
      </w:r>
      <w:r w:rsidRPr="006B735D">
        <w:t xml:space="preserve">determinations for </w:t>
      </w:r>
      <w:r>
        <w:t>ActewAGL</w:t>
      </w:r>
      <w:r w:rsidRPr="006B735D">
        <w:t>.</w:t>
      </w:r>
    </w:p>
  </w:footnote>
  <w:footnote w:id="16">
    <w:p w:rsidR="009D444F" w:rsidRDefault="009D444F">
      <w:pPr>
        <w:pStyle w:val="FootnoteText"/>
      </w:pPr>
      <w:r>
        <w:rPr>
          <w:rStyle w:val="FootnoteReference"/>
        </w:rPr>
        <w:footnoteRef/>
      </w:r>
      <w:r>
        <w:t xml:space="preserve"> </w:t>
      </w:r>
      <w:r>
        <w:tab/>
        <w:t>NER, cl</w:t>
      </w:r>
      <w:r w:rsidRPr="00850BFE">
        <w:t xml:space="preserve"> S6.2.1(e)(6).</w:t>
      </w:r>
    </w:p>
  </w:footnote>
  <w:footnote w:id="17">
    <w:p w:rsidR="009D444F" w:rsidRDefault="009D444F" w:rsidP="00012DF1">
      <w:pPr>
        <w:pStyle w:val="FootnoteText"/>
      </w:pPr>
      <w:r>
        <w:rPr>
          <w:rStyle w:val="FootnoteReference"/>
        </w:rPr>
        <w:footnoteRef/>
      </w:r>
      <w:r>
        <w:t xml:space="preserve"> </w:t>
      </w:r>
      <w:r>
        <w:tab/>
        <w:t>NER, cl S6.2.2B.</w:t>
      </w:r>
    </w:p>
  </w:footnote>
  <w:footnote w:id="18">
    <w:p w:rsidR="009D444F" w:rsidRDefault="009D444F">
      <w:pPr>
        <w:pStyle w:val="FootnoteText"/>
      </w:pPr>
      <w:r>
        <w:rPr>
          <w:rStyle w:val="FootnoteReference"/>
        </w:rPr>
        <w:footnoteRef/>
      </w:r>
      <w:r>
        <w:t xml:space="preserve"> </w:t>
      </w:r>
      <w:r>
        <w:tab/>
      </w:r>
      <w:r w:rsidRPr="003540A6">
        <w:t xml:space="preserve">NER, </w:t>
      </w:r>
      <w:r>
        <w:t>cl 6.12.1(8</w:t>
      </w:r>
      <w:r w:rsidRPr="003540A6">
        <w:t>).</w:t>
      </w:r>
    </w:p>
  </w:footnote>
  <w:footnote w:id="19">
    <w:p w:rsidR="009D444F" w:rsidRDefault="009D444F" w:rsidP="00EE077E">
      <w:pPr>
        <w:pStyle w:val="FootnoteText"/>
      </w:pPr>
      <w:r>
        <w:rPr>
          <w:rStyle w:val="FootnoteReference"/>
        </w:rPr>
        <w:footnoteRef/>
      </w:r>
      <w:r>
        <w:t xml:space="preserve"> </w:t>
      </w:r>
      <w:r>
        <w:tab/>
        <w:t>NER, cl S6.2.2B(c).</w:t>
      </w:r>
    </w:p>
  </w:footnote>
  <w:footnote w:id="20">
    <w:p w:rsidR="009D444F" w:rsidRDefault="009D444F">
      <w:pPr>
        <w:pStyle w:val="FootnoteText"/>
      </w:pPr>
      <w:r>
        <w:rPr>
          <w:rStyle w:val="FootnoteReference"/>
        </w:rPr>
        <w:footnoteRef/>
      </w:r>
      <w:r>
        <w:t xml:space="preserve"> </w:t>
      </w:r>
      <w:r>
        <w:tab/>
        <w:t>The size of the RAB also impacts the debt raising cost allowance. However, this amount is usually relatively small and therefore not a significant determinant of revenues overall.</w:t>
      </w:r>
    </w:p>
  </w:footnote>
  <w:footnote w:id="21">
    <w:p w:rsidR="009D444F" w:rsidRDefault="009D444F">
      <w:pPr>
        <w:pStyle w:val="FootnoteText"/>
      </w:pPr>
      <w:r>
        <w:rPr>
          <w:rStyle w:val="FootnoteReference"/>
        </w:rPr>
        <w:footnoteRef/>
      </w:r>
      <w:r>
        <w:t xml:space="preserve"> </w:t>
      </w:r>
      <w:r>
        <w:tab/>
        <w:t>Net capex is gross capex less disposals and capital contributions. The WACC also influences the size of the capex. This is because the capex is not depreciated in the year it is first incurred, but added to the RAB at the end of the year. Instead, the capex amount is escalated by half a WACC to arrive at an end of year value. It then begins depreciating the following year.</w:t>
      </w:r>
    </w:p>
  </w:footnote>
  <w:footnote w:id="22">
    <w:p w:rsidR="009D444F" w:rsidRDefault="009D444F">
      <w:pPr>
        <w:pStyle w:val="FootnoteText"/>
      </w:pPr>
      <w:r>
        <w:rPr>
          <w:rStyle w:val="FootnoteReference"/>
        </w:rPr>
        <w:footnoteRef/>
      </w:r>
      <w:r>
        <w:t xml:space="preserve"> </w:t>
      </w:r>
      <w:r>
        <w:tab/>
      </w:r>
      <w:r w:rsidRPr="002C733C">
        <w:t>If capex causes the RAB increase, return on capital, depreciation, and debt raising costs all increase too. If a reduction in depreciation causes the RAB increase, revenue could increase or decrease. In this case, the higher return on capital is offset (perhaps more than offset) by the reduction in depreciation allowance. Inflation naturally increases the RAB in nominal terms. However, the real impact from changing the inflation forecast is inconsequential as revenues are updated annual by actual inflation and the X factor, which is generally unaffected by the assumed forecast inflation rate.</w:t>
      </w:r>
    </w:p>
  </w:footnote>
  <w:footnote w:id="23">
    <w:p w:rsidR="009D444F" w:rsidRDefault="009D444F">
      <w:pPr>
        <w:pStyle w:val="FootnoteText"/>
      </w:pPr>
      <w:r>
        <w:rPr>
          <w:rStyle w:val="FootnoteReference"/>
        </w:rPr>
        <w:footnoteRef/>
      </w:r>
      <w:r>
        <w:t xml:space="preserve"> </w:t>
      </w:r>
      <w:r>
        <w:tab/>
      </w:r>
      <w:r w:rsidRPr="008914BF">
        <w:t>At the time of this draft decision</w:t>
      </w:r>
      <w:r>
        <w:t>,</w:t>
      </w:r>
      <w:r w:rsidRPr="008914BF">
        <w:t xml:space="preserve"> the roll forward of </w:t>
      </w:r>
      <w:r>
        <w:t>ActewAGL's RAB</w:t>
      </w:r>
      <w:r w:rsidRPr="008914BF">
        <w:t xml:space="preserve"> includes </w:t>
      </w:r>
      <w:r>
        <w:t>estimated</w:t>
      </w:r>
      <w:r w:rsidRPr="008914BF">
        <w:t xml:space="preserve"> capex</w:t>
      </w:r>
      <w:r>
        <w:t xml:space="preserve"> values</w:t>
      </w:r>
      <w:r w:rsidRPr="008914BF">
        <w:t xml:space="preserve"> for </w:t>
      </w:r>
      <w:r>
        <w:t xml:space="preserve">2013–14. </w:t>
      </w:r>
      <w:r w:rsidRPr="00516A5D">
        <w:t>We will update the 2013–14 estimated capex value</w:t>
      </w:r>
      <w:r>
        <w:t>s</w:t>
      </w:r>
      <w:r w:rsidRPr="00516A5D">
        <w:t xml:space="preserve"> with the actual value</w:t>
      </w:r>
      <w:r>
        <w:t>s</w:t>
      </w:r>
      <w:r w:rsidRPr="00EF2907">
        <w:t xml:space="preserve"> </w:t>
      </w:r>
      <w:r w:rsidRPr="00516A5D">
        <w:t>for the final decision</w:t>
      </w:r>
      <w:r>
        <w:t>.</w:t>
      </w:r>
    </w:p>
  </w:footnote>
  <w:footnote w:id="24">
    <w:p w:rsidR="009D444F" w:rsidRDefault="009D444F">
      <w:pPr>
        <w:pStyle w:val="FootnoteText"/>
      </w:pPr>
      <w:r>
        <w:rPr>
          <w:rStyle w:val="FootnoteReference"/>
        </w:rPr>
        <w:footnoteRef/>
      </w:r>
      <w:r>
        <w:t xml:space="preserve"> </w:t>
      </w:r>
      <w:r>
        <w:tab/>
        <w:t xml:space="preserve">AER, </w:t>
      </w:r>
      <w:r w:rsidRPr="00EA6235">
        <w:rPr>
          <w:rStyle w:val="AERtextitalic"/>
        </w:rPr>
        <w:t>Final decision Australian Capital Territory distribution determination</w:t>
      </w:r>
      <w:r>
        <w:t>, 28 April 2009, p.</w:t>
      </w:r>
      <w:r w:rsidR="00F45216">
        <w:t xml:space="preserve"> </w:t>
      </w:r>
      <w:r>
        <w:t>90.</w:t>
      </w:r>
    </w:p>
  </w:footnote>
  <w:footnote w:id="25">
    <w:p w:rsidR="009D444F" w:rsidRDefault="009D444F">
      <w:pPr>
        <w:pStyle w:val="FootnoteText"/>
      </w:pPr>
      <w:r>
        <w:rPr>
          <w:rStyle w:val="FootnoteReference"/>
        </w:rPr>
        <w:footnoteRef/>
      </w:r>
      <w:r w:rsidR="00F45216">
        <w:t xml:space="preserve"> </w:t>
      </w:r>
      <w:r w:rsidR="00F45216">
        <w:tab/>
        <w:t xml:space="preserve">NER, cl </w:t>
      </w:r>
      <w:r>
        <w:t>6.5.5(b)(3).</w:t>
      </w:r>
    </w:p>
  </w:footnote>
  <w:footnote w:id="26">
    <w:p w:rsidR="009D444F" w:rsidRDefault="009D444F" w:rsidP="00DF0F94">
      <w:pPr>
        <w:pStyle w:val="FootnoteText"/>
      </w:pPr>
      <w:r>
        <w:rPr>
          <w:rStyle w:val="FootnoteReference"/>
        </w:rPr>
        <w:footnoteRef/>
      </w:r>
      <w:r>
        <w:t xml:space="preserve"> </w:t>
      </w:r>
      <w:r>
        <w:tab/>
        <w:t xml:space="preserve">In determining the value of ActewAGL's  transmission RAB, we have accepted the methodology used by ActewAGL to allocate assets to its transmission RAB. ActewAGL's methodology results in its transmission RAB being a larger proportion of its total asset base than an alternative methodology may derive. However, our initial assessment is that the implications for customers are negligible. An alternative methodology may result in some asset value shifting from the transmission RAB to the distribution RAB. </w:t>
      </w:r>
      <w:r w:rsidRPr="00967695">
        <w:t xml:space="preserve">While this may marginally improve the alignment of transmission RAB with the related transmission services, it would have </w:t>
      </w:r>
      <w:r>
        <w:t>minimal</w:t>
      </w:r>
      <w:r w:rsidRPr="00967695">
        <w:t xml:space="preserve"> impact on overall</w:t>
      </w:r>
      <w:r>
        <w:t xml:space="preserve"> prices and no impact on ActewAGL's total revenues. We note also that ActewAGL's methodology is similar to that used by Ausgrid to determine its transmission RAB value.</w:t>
      </w:r>
      <w:r w:rsidRPr="00451051">
        <w:t xml:space="preserve"> At this time, we propose to monitor ActewAGL's provision of transmission related services with a view to more closely assessing its transmission RAB value at the next reset.</w:t>
      </w:r>
    </w:p>
  </w:footnote>
  <w:footnote w:id="27">
    <w:p w:rsidR="009D444F" w:rsidRDefault="009D444F">
      <w:pPr>
        <w:pStyle w:val="FootnoteText"/>
      </w:pPr>
      <w:r>
        <w:rPr>
          <w:rStyle w:val="FootnoteReference"/>
        </w:rPr>
        <w:footnoteRef/>
      </w:r>
      <w:r>
        <w:t xml:space="preserve"> </w:t>
      </w:r>
      <w:r>
        <w:tab/>
        <w:t xml:space="preserve">AER, </w:t>
      </w:r>
      <w:r>
        <w:rPr>
          <w:rStyle w:val="AERtextitalic"/>
        </w:rPr>
        <w:t>Stage 2 f</w:t>
      </w:r>
      <w:r w:rsidRPr="003948FF">
        <w:rPr>
          <w:rStyle w:val="AERtextitalic"/>
        </w:rPr>
        <w:t>ramework and approach paper</w:t>
      </w:r>
      <w:r>
        <w:t>, January 2014, pp. 37-38.</w:t>
      </w:r>
    </w:p>
  </w:footnote>
  <w:footnote w:id="28">
    <w:p w:rsidR="009D444F" w:rsidRDefault="009D444F">
      <w:pPr>
        <w:pStyle w:val="FootnoteText"/>
      </w:pPr>
      <w:r>
        <w:rPr>
          <w:rStyle w:val="FootnoteReference"/>
        </w:rPr>
        <w:footnoteRef/>
      </w:r>
      <w:r>
        <w:t xml:space="preserve"> </w:t>
      </w:r>
      <w:r>
        <w:tab/>
        <w:t>The transitional regulatory control period for ActewAGL is 2014–15. ActewAGL's subsequent regulatory control period is from 2015–16 to 2017–19.</w:t>
      </w:r>
    </w:p>
  </w:footnote>
  <w:footnote w:id="29">
    <w:p w:rsidR="009D444F" w:rsidRDefault="009D444F">
      <w:pPr>
        <w:pStyle w:val="FootnoteText"/>
      </w:pPr>
      <w:r>
        <w:rPr>
          <w:rStyle w:val="FootnoteReference"/>
        </w:rPr>
        <w:footnoteRef/>
      </w:r>
      <w:r>
        <w:t xml:space="preserve"> </w:t>
      </w:r>
      <w:r>
        <w:tab/>
        <w:t xml:space="preserve">AER, </w:t>
      </w:r>
      <w:r w:rsidRPr="00CA0D0A">
        <w:rPr>
          <w:rStyle w:val="AERtextitalic"/>
        </w:rPr>
        <w:t>Capital expenditure incentive guideline for electricity network service providers</w:t>
      </w:r>
      <w:r>
        <w:t xml:space="preserve">, November 2013, p. </w:t>
      </w:r>
      <w:r w:rsidRPr="003E15E0">
        <w:t>12.</w:t>
      </w:r>
    </w:p>
  </w:footnote>
  <w:footnote w:id="30">
    <w:p w:rsidR="009D444F" w:rsidRDefault="009D444F">
      <w:pPr>
        <w:pStyle w:val="FootnoteText"/>
      </w:pPr>
      <w:r>
        <w:rPr>
          <w:rStyle w:val="FootnoteReference"/>
        </w:rPr>
        <w:footnoteRef/>
      </w:r>
      <w:r>
        <w:t xml:space="preserve"> </w:t>
      </w:r>
      <w:r>
        <w:tab/>
        <w:t xml:space="preserve">Our ex post capex measures are set out in the capex incentives guideline, AER, </w:t>
      </w:r>
      <w:r w:rsidRPr="00CA0D0A">
        <w:rPr>
          <w:rStyle w:val="AERtextitalic"/>
        </w:rPr>
        <w:t>Capital expenditure incentive guideline for electricity network service providers</w:t>
      </w:r>
      <w:r>
        <w:t xml:space="preserve">, November 2013, pp. 13–19, 20–21. The guideline also sets out how all our capex incentive measures </w:t>
      </w:r>
      <w:r w:rsidRPr="008269B2">
        <w:t>are consistent with the capex incentive objective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formatting="1" w:enforcement="1" w:cryptProviderType="rsaFull" w:cryptAlgorithmClass="hash" w:cryptAlgorithmType="typeAny" w:cryptAlgorithmSid="4" w:cryptSpinCount="100000" w:hash="95KYnuJp7HqO7HjBfqj1mN3gc+A=" w:salt="NHuq5WAaB2NGOD5PTmXzZw=="/>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696\AER14 425  Ausgrid reset 2014-19 - Draft decision - Regulatory asset base(3).DOCX"/>
  </w:docVars>
  <w:rsids>
    <w:rsidRoot w:val="000C052F"/>
    <w:rsid w:val="00000299"/>
    <w:rsid w:val="00011129"/>
    <w:rsid w:val="000114E6"/>
    <w:rsid w:val="00012DF1"/>
    <w:rsid w:val="000154C5"/>
    <w:rsid w:val="00022606"/>
    <w:rsid w:val="00033158"/>
    <w:rsid w:val="00040599"/>
    <w:rsid w:val="00040749"/>
    <w:rsid w:val="00043CD2"/>
    <w:rsid w:val="00054F94"/>
    <w:rsid w:val="0006188E"/>
    <w:rsid w:val="00061A57"/>
    <w:rsid w:val="00073609"/>
    <w:rsid w:val="00082698"/>
    <w:rsid w:val="0008665C"/>
    <w:rsid w:val="00091FCA"/>
    <w:rsid w:val="000A1CC2"/>
    <w:rsid w:val="000A3441"/>
    <w:rsid w:val="000A5342"/>
    <w:rsid w:val="000A5A3E"/>
    <w:rsid w:val="000B15CA"/>
    <w:rsid w:val="000C052F"/>
    <w:rsid w:val="000C3181"/>
    <w:rsid w:val="000C3430"/>
    <w:rsid w:val="000D03C2"/>
    <w:rsid w:val="000D04B1"/>
    <w:rsid w:val="000D401F"/>
    <w:rsid w:val="000D66FE"/>
    <w:rsid w:val="000D76C0"/>
    <w:rsid w:val="000E1A25"/>
    <w:rsid w:val="000E443D"/>
    <w:rsid w:val="000E6418"/>
    <w:rsid w:val="000F3A6A"/>
    <w:rsid w:val="00100583"/>
    <w:rsid w:val="001033B3"/>
    <w:rsid w:val="00103C51"/>
    <w:rsid w:val="001046E4"/>
    <w:rsid w:val="00105636"/>
    <w:rsid w:val="001139B4"/>
    <w:rsid w:val="0011410F"/>
    <w:rsid w:val="0013022D"/>
    <w:rsid w:val="001307A7"/>
    <w:rsid w:val="00131287"/>
    <w:rsid w:val="001333D9"/>
    <w:rsid w:val="00135BB9"/>
    <w:rsid w:val="0014197F"/>
    <w:rsid w:val="00142CE6"/>
    <w:rsid w:val="00145B03"/>
    <w:rsid w:val="0015333D"/>
    <w:rsid w:val="001543D2"/>
    <w:rsid w:val="00154466"/>
    <w:rsid w:val="001569BC"/>
    <w:rsid w:val="001626F5"/>
    <w:rsid w:val="0016513A"/>
    <w:rsid w:val="001708CC"/>
    <w:rsid w:val="001732A0"/>
    <w:rsid w:val="00173B57"/>
    <w:rsid w:val="00174026"/>
    <w:rsid w:val="00176601"/>
    <w:rsid w:val="00184CEF"/>
    <w:rsid w:val="001856EE"/>
    <w:rsid w:val="0018730B"/>
    <w:rsid w:val="00191742"/>
    <w:rsid w:val="00191E55"/>
    <w:rsid w:val="00194C3C"/>
    <w:rsid w:val="00194F95"/>
    <w:rsid w:val="001A2661"/>
    <w:rsid w:val="001A6EE7"/>
    <w:rsid w:val="001B6619"/>
    <w:rsid w:val="001C0AAC"/>
    <w:rsid w:val="001C12E5"/>
    <w:rsid w:val="001C306C"/>
    <w:rsid w:val="001E02B1"/>
    <w:rsid w:val="001E04D7"/>
    <w:rsid w:val="001E2350"/>
    <w:rsid w:val="001E5866"/>
    <w:rsid w:val="001E7F3A"/>
    <w:rsid w:val="002023C1"/>
    <w:rsid w:val="00206C0B"/>
    <w:rsid w:val="0020711E"/>
    <w:rsid w:val="00210880"/>
    <w:rsid w:val="00212AFB"/>
    <w:rsid w:val="00222180"/>
    <w:rsid w:val="002257B9"/>
    <w:rsid w:val="00227541"/>
    <w:rsid w:val="0023137D"/>
    <w:rsid w:val="0023348A"/>
    <w:rsid w:val="002379DF"/>
    <w:rsid w:val="00242766"/>
    <w:rsid w:val="002471E6"/>
    <w:rsid w:val="002573BD"/>
    <w:rsid w:val="00265FF7"/>
    <w:rsid w:val="00266710"/>
    <w:rsid w:val="002737DD"/>
    <w:rsid w:val="00275546"/>
    <w:rsid w:val="002805B8"/>
    <w:rsid w:val="0028138C"/>
    <w:rsid w:val="002828EE"/>
    <w:rsid w:val="00284F1D"/>
    <w:rsid w:val="00290197"/>
    <w:rsid w:val="0029139A"/>
    <w:rsid w:val="002938CE"/>
    <w:rsid w:val="00295142"/>
    <w:rsid w:val="00296579"/>
    <w:rsid w:val="002B2EAB"/>
    <w:rsid w:val="002B4AF4"/>
    <w:rsid w:val="002B4DA4"/>
    <w:rsid w:val="002B51BD"/>
    <w:rsid w:val="002B6640"/>
    <w:rsid w:val="002C4693"/>
    <w:rsid w:val="002C733C"/>
    <w:rsid w:val="002D61AC"/>
    <w:rsid w:val="002D718C"/>
    <w:rsid w:val="002E00C4"/>
    <w:rsid w:val="002E1EB6"/>
    <w:rsid w:val="002E4720"/>
    <w:rsid w:val="002E58AB"/>
    <w:rsid w:val="00303452"/>
    <w:rsid w:val="00314144"/>
    <w:rsid w:val="0032308B"/>
    <w:rsid w:val="003309C8"/>
    <w:rsid w:val="003324F7"/>
    <w:rsid w:val="00334F88"/>
    <w:rsid w:val="003372A5"/>
    <w:rsid w:val="00343956"/>
    <w:rsid w:val="00346EE5"/>
    <w:rsid w:val="00360CE9"/>
    <w:rsid w:val="003707DB"/>
    <w:rsid w:val="00375625"/>
    <w:rsid w:val="00375AEC"/>
    <w:rsid w:val="00376236"/>
    <w:rsid w:val="0037652C"/>
    <w:rsid w:val="003800E4"/>
    <w:rsid w:val="00380FF5"/>
    <w:rsid w:val="00382264"/>
    <w:rsid w:val="00382D51"/>
    <w:rsid w:val="003922A7"/>
    <w:rsid w:val="003948FF"/>
    <w:rsid w:val="0039763D"/>
    <w:rsid w:val="003A2F38"/>
    <w:rsid w:val="003A6174"/>
    <w:rsid w:val="003C3995"/>
    <w:rsid w:val="003C5EA4"/>
    <w:rsid w:val="003D104E"/>
    <w:rsid w:val="003E2D82"/>
    <w:rsid w:val="004030AB"/>
    <w:rsid w:val="00411433"/>
    <w:rsid w:val="00412282"/>
    <w:rsid w:val="004132A9"/>
    <w:rsid w:val="00414C1A"/>
    <w:rsid w:val="004152D7"/>
    <w:rsid w:val="00422898"/>
    <w:rsid w:val="00423AD4"/>
    <w:rsid w:val="004256BA"/>
    <w:rsid w:val="00431999"/>
    <w:rsid w:val="00431A5F"/>
    <w:rsid w:val="00433475"/>
    <w:rsid w:val="00435682"/>
    <w:rsid w:val="00436C61"/>
    <w:rsid w:val="00442DEB"/>
    <w:rsid w:val="00443636"/>
    <w:rsid w:val="0044698A"/>
    <w:rsid w:val="00451051"/>
    <w:rsid w:val="00456081"/>
    <w:rsid w:val="004568BF"/>
    <w:rsid w:val="00463C80"/>
    <w:rsid w:val="00464F5D"/>
    <w:rsid w:val="00465C58"/>
    <w:rsid w:val="00466FC8"/>
    <w:rsid w:val="00474FBD"/>
    <w:rsid w:val="00477DC7"/>
    <w:rsid w:val="00491D7D"/>
    <w:rsid w:val="004964DB"/>
    <w:rsid w:val="004A3911"/>
    <w:rsid w:val="004A78B7"/>
    <w:rsid w:val="004C115A"/>
    <w:rsid w:val="004C3502"/>
    <w:rsid w:val="004C3F45"/>
    <w:rsid w:val="004E0ADC"/>
    <w:rsid w:val="004E40EF"/>
    <w:rsid w:val="004E73F7"/>
    <w:rsid w:val="004E7694"/>
    <w:rsid w:val="004F76A0"/>
    <w:rsid w:val="00500D71"/>
    <w:rsid w:val="00500E7F"/>
    <w:rsid w:val="00516F7A"/>
    <w:rsid w:val="0052163D"/>
    <w:rsid w:val="0052179D"/>
    <w:rsid w:val="00522C4F"/>
    <w:rsid w:val="00525604"/>
    <w:rsid w:val="00541A86"/>
    <w:rsid w:val="005456A9"/>
    <w:rsid w:val="00546CAD"/>
    <w:rsid w:val="00552E2D"/>
    <w:rsid w:val="005553AB"/>
    <w:rsid w:val="00555D52"/>
    <w:rsid w:val="005566D7"/>
    <w:rsid w:val="00561F7F"/>
    <w:rsid w:val="00564868"/>
    <w:rsid w:val="0056522A"/>
    <w:rsid w:val="00565550"/>
    <w:rsid w:val="005656B6"/>
    <w:rsid w:val="00566B35"/>
    <w:rsid w:val="005732CC"/>
    <w:rsid w:val="00573636"/>
    <w:rsid w:val="00573FFE"/>
    <w:rsid w:val="00575422"/>
    <w:rsid w:val="00577AEC"/>
    <w:rsid w:val="005837BD"/>
    <w:rsid w:val="005938C6"/>
    <w:rsid w:val="005A0431"/>
    <w:rsid w:val="005B3752"/>
    <w:rsid w:val="005B61C2"/>
    <w:rsid w:val="005B77C4"/>
    <w:rsid w:val="005C340A"/>
    <w:rsid w:val="005C5E57"/>
    <w:rsid w:val="005D26B7"/>
    <w:rsid w:val="005D4AA1"/>
    <w:rsid w:val="005E3E0C"/>
    <w:rsid w:val="005E63D9"/>
    <w:rsid w:val="005F0C76"/>
    <w:rsid w:val="0060146C"/>
    <w:rsid w:val="0060207D"/>
    <w:rsid w:val="006039F2"/>
    <w:rsid w:val="00603DE7"/>
    <w:rsid w:val="006061B0"/>
    <w:rsid w:val="0060732E"/>
    <w:rsid w:val="006076A9"/>
    <w:rsid w:val="00610FB4"/>
    <w:rsid w:val="00613D7D"/>
    <w:rsid w:val="006156DB"/>
    <w:rsid w:val="00623F3E"/>
    <w:rsid w:val="006330D2"/>
    <w:rsid w:val="006341BE"/>
    <w:rsid w:val="00636AA7"/>
    <w:rsid w:val="006453EC"/>
    <w:rsid w:val="006469B4"/>
    <w:rsid w:val="0065125A"/>
    <w:rsid w:val="0065338D"/>
    <w:rsid w:val="006544EA"/>
    <w:rsid w:val="0066182D"/>
    <w:rsid w:val="0066569F"/>
    <w:rsid w:val="00667811"/>
    <w:rsid w:val="00671D55"/>
    <w:rsid w:val="0067382C"/>
    <w:rsid w:val="00675079"/>
    <w:rsid w:val="0067741E"/>
    <w:rsid w:val="006810E6"/>
    <w:rsid w:val="0069004B"/>
    <w:rsid w:val="006A145F"/>
    <w:rsid w:val="006B08EB"/>
    <w:rsid w:val="006B259C"/>
    <w:rsid w:val="006B481F"/>
    <w:rsid w:val="006B48FA"/>
    <w:rsid w:val="006B735D"/>
    <w:rsid w:val="006D0BC4"/>
    <w:rsid w:val="006E20F5"/>
    <w:rsid w:val="006E263A"/>
    <w:rsid w:val="006F295B"/>
    <w:rsid w:val="006F2F2C"/>
    <w:rsid w:val="006F6035"/>
    <w:rsid w:val="006F638E"/>
    <w:rsid w:val="00701E79"/>
    <w:rsid w:val="00703E42"/>
    <w:rsid w:val="00706B77"/>
    <w:rsid w:val="0070776C"/>
    <w:rsid w:val="0071040D"/>
    <w:rsid w:val="007175C9"/>
    <w:rsid w:val="007211B9"/>
    <w:rsid w:val="007368AD"/>
    <w:rsid w:val="0075167F"/>
    <w:rsid w:val="00751D2A"/>
    <w:rsid w:val="0075488E"/>
    <w:rsid w:val="00755095"/>
    <w:rsid w:val="00764903"/>
    <w:rsid w:val="00771043"/>
    <w:rsid w:val="00775F7A"/>
    <w:rsid w:val="00776717"/>
    <w:rsid w:val="00780796"/>
    <w:rsid w:val="007825B0"/>
    <w:rsid w:val="00787879"/>
    <w:rsid w:val="00792B07"/>
    <w:rsid w:val="00794E98"/>
    <w:rsid w:val="00796A07"/>
    <w:rsid w:val="00796A27"/>
    <w:rsid w:val="007A4A28"/>
    <w:rsid w:val="007A5027"/>
    <w:rsid w:val="007B29DE"/>
    <w:rsid w:val="007C7EAA"/>
    <w:rsid w:val="007D05BB"/>
    <w:rsid w:val="007E4010"/>
    <w:rsid w:val="007F10E3"/>
    <w:rsid w:val="007F2C0E"/>
    <w:rsid w:val="00804AEB"/>
    <w:rsid w:val="00813287"/>
    <w:rsid w:val="00824CC8"/>
    <w:rsid w:val="00826E71"/>
    <w:rsid w:val="008273CE"/>
    <w:rsid w:val="00830BA6"/>
    <w:rsid w:val="0083646C"/>
    <w:rsid w:val="00836D17"/>
    <w:rsid w:val="00840A55"/>
    <w:rsid w:val="00841E25"/>
    <w:rsid w:val="00842C40"/>
    <w:rsid w:val="0084378B"/>
    <w:rsid w:val="008464CD"/>
    <w:rsid w:val="00850BFE"/>
    <w:rsid w:val="008515EE"/>
    <w:rsid w:val="008528F2"/>
    <w:rsid w:val="00861A28"/>
    <w:rsid w:val="00861C4E"/>
    <w:rsid w:val="00865AF8"/>
    <w:rsid w:val="00866C29"/>
    <w:rsid w:val="00866D21"/>
    <w:rsid w:val="00866DD3"/>
    <w:rsid w:val="00872D85"/>
    <w:rsid w:val="008830B8"/>
    <w:rsid w:val="00883DDA"/>
    <w:rsid w:val="00886213"/>
    <w:rsid w:val="0088665B"/>
    <w:rsid w:val="0089116F"/>
    <w:rsid w:val="00891FF9"/>
    <w:rsid w:val="00893367"/>
    <w:rsid w:val="00893D07"/>
    <w:rsid w:val="00893EA0"/>
    <w:rsid w:val="008A0472"/>
    <w:rsid w:val="008A637B"/>
    <w:rsid w:val="008B09D1"/>
    <w:rsid w:val="008B0F84"/>
    <w:rsid w:val="008B7956"/>
    <w:rsid w:val="008C0CC7"/>
    <w:rsid w:val="008C2A57"/>
    <w:rsid w:val="008C3722"/>
    <w:rsid w:val="008C3A61"/>
    <w:rsid w:val="008C3B67"/>
    <w:rsid w:val="008C3F48"/>
    <w:rsid w:val="008C4CDB"/>
    <w:rsid w:val="008D49B4"/>
    <w:rsid w:val="008D53D4"/>
    <w:rsid w:val="008D7498"/>
    <w:rsid w:val="008F7D5D"/>
    <w:rsid w:val="009038A2"/>
    <w:rsid w:val="00904915"/>
    <w:rsid w:val="0091153D"/>
    <w:rsid w:val="009153B4"/>
    <w:rsid w:val="0091617F"/>
    <w:rsid w:val="009179D3"/>
    <w:rsid w:val="009262C1"/>
    <w:rsid w:val="00927656"/>
    <w:rsid w:val="00932E96"/>
    <w:rsid w:val="009360BF"/>
    <w:rsid w:val="009418E6"/>
    <w:rsid w:val="0094235F"/>
    <w:rsid w:val="0094279F"/>
    <w:rsid w:val="0094428B"/>
    <w:rsid w:val="00945874"/>
    <w:rsid w:val="00946745"/>
    <w:rsid w:val="00946B98"/>
    <w:rsid w:val="0095052A"/>
    <w:rsid w:val="009516DF"/>
    <w:rsid w:val="009537CE"/>
    <w:rsid w:val="00955101"/>
    <w:rsid w:val="00955803"/>
    <w:rsid w:val="009658F0"/>
    <w:rsid w:val="00967156"/>
    <w:rsid w:val="00967695"/>
    <w:rsid w:val="00971655"/>
    <w:rsid w:val="00971C63"/>
    <w:rsid w:val="00972175"/>
    <w:rsid w:val="009809B9"/>
    <w:rsid w:val="009A4AE9"/>
    <w:rsid w:val="009C544E"/>
    <w:rsid w:val="009C711D"/>
    <w:rsid w:val="009C71D5"/>
    <w:rsid w:val="009D0222"/>
    <w:rsid w:val="009D3D0B"/>
    <w:rsid w:val="009D3F86"/>
    <w:rsid w:val="009D444F"/>
    <w:rsid w:val="009E4C3F"/>
    <w:rsid w:val="009F6E34"/>
    <w:rsid w:val="009F7CE4"/>
    <w:rsid w:val="00A04EB2"/>
    <w:rsid w:val="00A05244"/>
    <w:rsid w:val="00A075A8"/>
    <w:rsid w:val="00A11162"/>
    <w:rsid w:val="00A13D2D"/>
    <w:rsid w:val="00A27139"/>
    <w:rsid w:val="00A43227"/>
    <w:rsid w:val="00A44D18"/>
    <w:rsid w:val="00A467C5"/>
    <w:rsid w:val="00A46CCD"/>
    <w:rsid w:val="00A55C78"/>
    <w:rsid w:val="00A5617E"/>
    <w:rsid w:val="00A6323D"/>
    <w:rsid w:val="00A65133"/>
    <w:rsid w:val="00A652C5"/>
    <w:rsid w:val="00A803F5"/>
    <w:rsid w:val="00A834AC"/>
    <w:rsid w:val="00A85C5A"/>
    <w:rsid w:val="00A946E0"/>
    <w:rsid w:val="00A96A08"/>
    <w:rsid w:val="00AA0161"/>
    <w:rsid w:val="00AB1BD0"/>
    <w:rsid w:val="00AB1D08"/>
    <w:rsid w:val="00AB4345"/>
    <w:rsid w:val="00AB5BD7"/>
    <w:rsid w:val="00AC0135"/>
    <w:rsid w:val="00AC070D"/>
    <w:rsid w:val="00AC0B2B"/>
    <w:rsid w:val="00AC1B94"/>
    <w:rsid w:val="00AD0616"/>
    <w:rsid w:val="00AD2407"/>
    <w:rsid w:val="00AD34FF"/>
    <w:rsid w:val="00AD4DE6"/>
    <w:rsid w:val="00AE6DBC"/>
    <w:rsid w:val="00AF3E95"/>
    <w:rsid w:val="00AF66C0"/>
    <w:rsid w:val="00AF7C67"/>
    <w:rsid w:val="00B01E98"/>
    <w:rsid w:val="00B04FF2"/>
    <w:rsid w:val="00B13151"/>
    <w:rsid w:val="00B15FE9"/>
    <w:rsid w:val="00B17F18"/>
    <w:rsid w:val="00B22775"/>
    <w:rsid w:val="00B3082D"/>
    <w:rsid w:val="00B35173"/>
    <w:rsid w:val="00B44334"/>
    <w:rsid w:val="00B45399"/>
    <w:rsid w:val="00B46C1B"/>
    <w:rsid w:val="00B513C4"/>
    <w:rsid w:val="00B51883"/>
    <w:rsid w:val="00B56CA3"/>
    <w:rsid w:val="00B61FD4"/>
    <w:rsid w:val="00B62296"/>
    <w:rsid w:val="00B63E5D"/>
    <w:rsid w:val="00B66E0B"/>
    <w:rsid w:val="00B674DB"/>
    <w:rsid w:val="00B67E97"/>
    <w:rsid w:val="00B711CC"/>
    <w:rsid w:val="00B75BD5"/>
    <w:rsid w:val="00B817CE"/>
    <w:rsid w:val="00B82E8D"/>
    <w:rsid w:val="00B8611D"/>
    <w:rsid w:val="00B9264D"/>
    <w:rsid w:val="00B94838"/>
    <w:rsid w:val="00B94D99"/>
    <w:rsid w:val="00B97C84"/>
    <w:rsid w:val="00BA0D33"/>
    <w:rsid w:val="00BA27AD"/>
    <w:rsid w:val="00BB3FA1"/>
    <w:rsid w:val="00BB62BB"/>
    <w:rsid w:val="00BB7EBD"/>
    <w:rsid w:val="00BC05C5"/>
    <w:rsid w:val="00BD04BE"/>
    <w:rsid w:val="00BD5102"/>
    <w:rsid w:val="00BE0630"/>
    <w:rsid w:val="00BE18D3"/>
    <w:rsid w:val="00BE2E83"/>
    <w:rsid w:val="00BE6F28"/>
    <w:rsid w:val="00BF29FA"/>
    <w:rsid w:val="00C04D2B"/>
    <w:rsid w:val="00C056E9"/>
    <w:rsid w:val="00C1211B"/>
    <w:rsid w:val="00C22174"/>
    <w:rsid w:val="00C23B05"/>
    <w:rsid w:val="00C310EB"/>
    <w:rsid w:val="00C35B13"/>
    <w:rsid w:val="00C45EFB"/>
    <w:rsid w:val="00C50C24"/>
    <w:rsid w:val="00C537E9"/>
    <w:rsid w:val="00C557F2"/>
    <w:rsid w:val="00C642D4"/>
    <w:rsid w:val="00C654C6"/>
    <w:rsid w:val="00C65A70"/>
    <w:rsid w:val="00C737C5"/>
    <w:rsid w:val="00C738A1"/>
    <w:rsid w:val="00C839CF"/>
    <w:rsid w:val="00C93632"/>
    <w:rsid w:val="00CA3540"/>
    <w:rsid w:val="00CA5551"/>
    <w:rsid w:val="00CA6DED"/>
    <w:rsid w:val="00CC49D4"/>
    <w:rsid w:val="00CE01AD"/>
    <w:rsid w:val="00CE5041"/>
    <w:rsid w:val="00CE6F5A"/>
    <w:rsid w:val="00CF1E29"/>
    <w:rsid w:val="00CF42CF"/>
    <w:rsid w:val="00D01345"/>
    <w:rsid w:val="00D102E9"/>
    <w:rsid w:val="00D1688F"/>
    <w:rsid w:val="00D2117F"/>
    <w:rsid w:val="00D2149D"/>
    <w:rsid w:val="00D23605"/>
    <w:rsid w:val="00D25317"/>
    <w:rsid w:val="00D35DC1"/>
    <w:rsid w:val="00D363A9"/>
    <w:rsid w:val="00D46D6A"/>
    <w:rsid w:val="00D52FE7"/>
    <w:rsid w:val="00D53863"/>
    <w:rsid w:val="00D538E6"/>
    <w:rsid w:val="00D6226E"/>
    <w:rsid w:val="00D65814"/>
    <w:rsid w:val="00D66E8B"/>
    <w:rsid w:val="00D728FD"/>
    <w:rsid w:val="00D742BB"/>
    <w:rsid w:val="00D85715"/>
    <w:rsid w:val="00D8706C"/>
    <w:rsid w:val="00D93F05"/>
    <w:rsid w:val="00D97003"/>
    <w:rsid w:val="00DA092D"/>
    <w:rsid w:val="00DA4C62"/>
    <w:rsid w:val="00DA5530"/>
    <w:rsid w:val="00DA5EC4"/>
    <w:rsid w:val="00DB1571"/>
    <w:rsid w:val="00DB6A17"/>
    <w:rsid w:val="00DC141E"/>
    <w:rsid w:val="00DC1724"/>
    <w:rsid w:val="00DC4EE3"/>
    <w:rsid w:val="00DD3279"/>
    <w:rsid w:val="00DD430F"/>
    <w:rsid w:val="00DD4530"/>
    <w:rsid w:val="00DD4E84"/>
    <w:rsid w:val="00DD5520"/>
    <w:rsid w:val="00DE22F1"/>
    <w:rsid w:val="00DE32BD"/>
    <w:rsid w:val="00DF000A"/>
    <w:rsid w:val="00DF0F94"/>
    <w:rsid w:val="00DF16C2"/>
    <w:rsid w:val="00E00F76"/>
    <w:rsid w:val="00E02DB3"/>
    <w:rsid w:val="00E03900"/>
    <w:rsid w:val="00E05035"/>
    <w:rsid w:val="00E10368"/>
    <w:rsid w:val="00E116F8"/>
    <w:rsid w:val="00E21E75"/>
    <w:rsid w:val="00E24D2D"/>
    <w:rsid w:val="00E41DB1"/>
    <w:rsid w:val="00E519DC"/>
    <w:rsid w:val="00E542A1"/>
    <w:rsid w:val="00E6571F"/>
    <w:rsid w:val="00E70730"/>
    <w:rsid w:val="00E807DA"/>
    <w:rsid w:val="00E84E3A"/>
    <w:rsid w:val="00E90D53"/>
    <w:rsid w:val="00E94C06"/>
    <w:rsid w:val="00EA05AF"/>
    <w:rsid w:val="00EA3321"/>
    <w:rsid w:val="00EA6235"/>
    <w:rsid w:val="00EB13E7"/>
    <w:rsid w:val="00EB5CDF"/>
    <w:rsid w:val="00EB7778"/>
    <w:rsid w:val="00EC43B9"/>
    <w:rsid w:val="00ED400D"/>
    <w:rsid w:val="00ED4D69"/>
    <w:rsid w:val="00EE077E"/>
    <w:rsid w:val="00EE362F"/>
    <w:rsid w:val="00EE4DBF"/>
    <w:rsid w:val="00EE58B0"/>
    <w:rsid w:val="00EF0E19"/>
    <w:rsid w:val="00EF35B6"/>
    <w:rsid w:val="00EF55F9"/>
    <w:rsid w:val="00EF55FE"/>
    <w:rsid w:val="00F02E5A"/>
    <w:rsid w:val="00F054D5"/>
    <w:rsid w:val="00F114AE"/>
    <w:rsid w:val="00F20D95"/>
    <w:rsid w:val="00F214ED"/>
    <w:rsid w:val="00F2716D"/>
    <w:rsid w:val="00F34D53"/>
    <w:rsid w:val="00F41773"/>
    <w:rsid w:val="00F43CA0"/>
    <w:rsid w:val="00F45216"/>
    <w:rsid w:val="00F46AA3"/>
    <w:rsid w:val="00F54216"/>
    <w:rsid w:val="00F55030"/>
    <w:rsid w:val="00F65CB6"/>
    <w:rsid w:val="00F67BF9"/>
    <w:rsid w:val="00F7696F"/>
    <w:rsid w:val="00F8209B"/>
    <w:rsid w:val="00F8634A"/>
    <w:rsid w:val="00F92D37"/>
    <w:rsid w:val="00F94A3C"/>
    <w:rsid w:val="00F95E26"/>
    <w:rsid w:val="00F9682D"/>
    <w:rsid w:val="00F97CD9"/>
    <w:rsid w:val="00FA0576"/>
    <w:rsid w:val="00FA1C2B"/>
    <w:rsid w:val="00FA6272"/>
    <w:rsid w:val="00FB2A15"/>
    <w:rsid w:val="00FB50B4"/>
    <w:rsid w:val="00FC0432"/>
    <w:rsid w:val="00FC1C7A"/>
    <w:rsid w:val="00FD2771"/>
    <w:rsid w:val="00FD4B97"/>
    <w:rsid w:val="00FD7811"/>
    <w:rsid w:val="00FD7DE0"/>
    <w:rsid w:val="00FE4278"/>
    <w:rsid w:val="00FE55EB"/>
    <w:rsid w:val="00FE5D43"/>
    <w:rsid w:val="00FE69C2"/>
    <w:rsid w:val="00FF0353"/>
    <w:rsid w:val="00FF25DB"/>
    <w:rsid w:val="00FF6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466FC8"/>
    <w:rPr>
      <w:rFonts w:ascii="Times New Roman" w:eastAsia="Times New Roman" w:hAnsi="Times New Roman"/>
      <w:sz w:val="24"/>
      <w:szCs w:val="24"/>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after="240" w:line="200" w:lineRule="atLeast"/>
      <w:ind w:left="1077" w:right="663" w:hanging="357"/>
      <w:jc w:val="both"/>
    </w:pPr>
    <w:rPr>
      <w:rFonts w:ascii="Gautami" w:hAnsi="Gautami"/>
      <w:sz w:val="16"/>
      <w:szCs w:val="16"/>
      <w:lang w:eastAsia="en-US"/>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jc w:val="both"/>
    </w:pPr>
    <w:rPr>
      <w:rFonts w:ascii="Gautami" w:eastAsia="Calibri" w:hAnsi="Gautami"/>
      <w:sz w:val="20"/>
      <w:szCs w:val="20"/>
      <w:lang w:eastAsia="en-US"/>
    </w:r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jc w:val="both"/>
    </w:pPr>
    <w:rPr>
      <w:rFonts w:ascii="Gautami" w:eastAsia="Calibri" w:hAnsi="Gautami"/>
      <w:sz w:val="20"/>
      <w:szCs w:val="20"/>
      <w:lang w:eastAsia="en-US"/>
    </w:r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spacing w:after="240" w:line="288" w:lineRule="auto"/>
      <w:ind w:left="720"/>
      <w:contextualSpacing/>
      <w:jc w:val="both"/>
    </w:pPr>
    <w:rPr>
      <w:rFonts w:ascii="Gautami" w:eastAsia="Calibri" w:hAnsi="Gautami"/>
      <w:sz w:val="20"/>
      <w:szCs w:val="20"/>
      <w:lang w:eastAsia="en-US"/>
    </w:r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line="288" w:lineRule="auto"/>
    </w:pPr>
    <w:rPr>
      <w:rFonts w:ascii="Gautami" w:eastAsia="Calibri" w:hAnsi="Gautami"/>
      <w:b/>
      <w:bCs/>
      <w:sz w:val="20"/>
      <w:szCs w:val="20"/>
      <w:lang w:eastAsia="en-US"/>
    </w:rPr>
  </w:style>
  <w:style w:type="paragraph" w:styleId="TOC2">
    <w:name w:val="toc 2"/>
    <w:basedOn w:val="Normal"/>
    <w:next w:val="Normal"/>
    <w:autoRedefine/>
    <w:uiPriority w:val="39"/>
    <w:unhideWhenUsed/>
    <w:qFormat/>
    <w:rsid w:val="00AF3E95"/>
    <w:pPr>
      <w:spacing w:before="120" w:line="288" w:lineRule="auto"/>
      <w:ind w:left="200"/>
    </w:pPr>
    <w:rPr>
      <w:rFonts w:ascii="Gautami" w:eastAsia="Calibri" w:hAnsi="Gautami"/>
      <w:iCs/>
      <w:sz w:val="20"/>
      <w:szCs w:val="20"/>
      <w:lang w:eastAsia="en-US"/>
    </w:rPr>
  </w:style>
  <w:style w:type="paragraph" w:styleId="TOC3">
    <w:name w:val="toc 3"/>
    <w:basedOn w:val="Normal"/>
    <w:next w:val="Normal"/>
    <w:autoRedefine/>
    <w:uiPriority w:val="39"/>
    <w:unhideWhenUsed/>
    <w:qFormat/>
    <w:rsid w:val="00AF3E95"/>
    <w:pPr>
      <w:spacing w:line="288" w:lineRule="auto"/>
      <w:ind w:left="400"/>
    </w:pPr>
    <w:rPr>
      <w:rFonts w:ascii="Gautami" w:eastAsia="Calibri" w:hAnsi="Gautami"/>
      <w:sz w:val="20"/>
      <w:szCs w:val="20"/>
      <w:lang w:eastAsia="en-US"/>
    </w:r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jc w:val="both"/>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line="288" w:lineRule="auto"/>
      <w:ind w:left="600"/>
    </w:pPr>
    <w:rPr>
      <w:rFonts w:ascii="Calibri" w:eastAsia="Calibri" w:hAnsi="Calibri"/>
      <w:sz w:val="20"/>
      <w:szCs w:val="20"/>
      <w:lang w:eastAsia="en-US"/>
    </w:rPr>
  </w:style>
  <w:style w:type="paragraph" w:styleId="TOC5">
    <w:name w:val="toc 5"/>
    <w:basedOn w:val="Normal"/>
    <w:next w:val="Normal"/>
    <w:autoRedefine/>
    <w:uiPriority w:val="39"/>
    <w:semiHidden/>
    <w:locked/>
    <w:rsid w:val="00AF3E95"/>
    <w:pPr>
      <w:spacing w:line="288" w:lineRule="auto"/>
      <w:ind w:left="800"/>
    </w:pPr>
    <w:rPr>
      <w:rFonts w:ascii="Calibri" w:eastAsia="Calibri" w:hAnsi="Calibri"/>
      <w:sz w:val="20"/>
      <w:szCs w:val="20"/>
      <w:lang w:eastAsia="en-US"/>
    </w:rPr>
  </w:style>
  <w:style w:type="paragraph" w:styleId="TOC6">
    <w:name w:val="toc 6"/>
    <w:basedOn w:val="Normal"/>
    <w:next w:val="Normal"/>
    <w:autoRedefine/>
    <w:uiPriority w:val="39"/>
    <w:semiHidden/>
    <w:locked/>
    <w:rsid w:val="00AF3E95"/>
    <w:pPr>
      <w:spacing w:line="288" w:lineRule="auto"/>
      <w:ind w:left="1000"/>
    </w:pPr>
    <w:rPr>
      <w:rFonts w:ascii="Calibri" w:eastAsia="Calibri" w:hAnsi="Calibri"/>
      <w:sz w:val="20"/>
      <w:szCs w:val="20"/>
      <w:lang w:eastAsia="en-US"/>
    </w:rPr>
  </w:style>
  <w:style w:type="paragraph" w:styleId="TOC7">
    <w:name w:val="toc 7"/>
    <w:basedOn w:val="Normal"/>
    <w:next w:val="Normal"/>
    <w:autoRedefine/>
    <w:uiPriority w:val="39"/>
    <w:semiHidden/>
    <w:locked/>
    <w:rsid w:val="00AF3E95"/>
    <w:pPr>
      <w:spacing w:line="288" w:lineRule="auto"/>
      <w:ind w:left="1200"/>
    </w:pPr>
    <w:rPr>
      <w:rFonts w:ascii="Calibri" w:eastAsia="Calibri" w:hAnsi="Calibri"/>
      <w:sz w:val="20"/>
      <w:szCs w:val="20"/>
      <w:lang w:eastAsia="en-US"/>
    </w:rPr>
  </w:style>
  <w:style w:type="paragraph" w:styleId="TOC8">
    <w:name w:val="toc 8"/>
    <w:basedOn w:val="Normal"/>
    <w:next w:val="Normal"/>
    <w:autoRedefine/>
    <w:uiPriority w:val="39"/>
    <w:semiHidden/>
    <w:locked/>
    <w:rsid w:val="00AF3E95"/>
    <w:pPr>
      <w:spacing w:line="288" w:lineRule="auto"/>
      <w:ind w:left="1400"/>
    </w:pPr>
    <w:rPr>
      <w:rFonts w:ascii="Calibri" w:eastAsia="Calibri" w:hAnsi="Calibri"/>
      <w:sz w:val="20"/>
      <w:szCs w:val="20"/>
      <w:lang w:eastAsia="en-US"/>
    </w:rPr>
  </w:style>
  <w:style w:type="paragraph" w:styleId="TOC9">
    <w:name w:val="toc 9"/>
    <w:basedOn w:val="Normal"/>
    <w:next w:val="Normal"/>
    <w:autoRedefine/>
    <w:uiPriority w:val="39"/>
    <w:semiHidden/>
    <w:locked/>
    <w:rsid w:val="00AF3E95"/>
    <w:pPr>
      <w:spacing w:line="288" w:lineRule="auto"/>
      <w:ind w:left="1600"/>
    </w:pPr>
    <w:rPr>
      <w:rFonts w:ascii="Calibri" w:eastAsia="Calibri" w:hAnsi="Calibri"/>
      <w:sz w:val="20"/>
      <w:szCs w:val="20"/>
      <w:lang w:eastAsia="en-US"/>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after="240"/>
      <w:jc w:val="both"/>
    </w:pPr>
    <w:rPr>
      <w:rFonts w:ascii="Gautami" w:eastAsia="Calibri" w:hAnsi="Gautami"/>
      <w:sz w:val="20"/>
      <w:szCs w:val="20"/>
      <w:lang w:eastAsia="en-US"/>
    </w:r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A55C7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8265">
      <w:bodyDiv w:val="1"/>
      <w:marLeft w:val="0"/>
      <w:marRight w:val="0"/>
      <w:marTop w:val="0"/>
      <w:marBottom w:val="0"/>
      <w:divBdr>
        <w:top w:val="none" w:sz="0" w:space="0" w:color="auto"/>
        <w:left w:val="none" w:sz="0" w:space="0" w:color="auto"/>
        <w:bottom w:val="none" w:sz="0" w:space="0" w:color="auto"/>
        <w:right w:val="none" w:sz="0" w:space="0" w:color="auto"/>
      </w:divBdr>
    </w:div>
    <w:div w:id="132449550">
      <w:bodyDiv w:val="1"/>
      <w:marLeft w:val="0"/>
      <w:marRight w:val="0"/>
      <w:marTop w:val="0"/>
      <w:marBottom w:val="0"/>
      <w:divBdr>
        <w:top w:val="none" w:sz="0" w:space="0" w:color="auto"/>
        <w:left w:val="none" w:sz="0" w:space="0" w:color="auto"/>
        <w:bottom w:val="none" w:sz="0" w:space="0" w:color="auto"/>
        <w:right w:val="none" w:sz="0" w:space="0" w:color="auto"/>
      </w:divBdr>
    </w:div>
    <w:div w:id="173227495">
      <w:bodyDiv w:val="1"/>
      <w:marLeft w:val="0"/>
      <w:marRight w:val="0"/>
      <w:marTop w:val="0"/>
      <w:marBottom w:val="0"/>
      <w:divBdr>
        <w:top w:val="none" w:sz="0" w:space="0" w:color="auto"/>
        <w:left w:val="none" w:sz="0" w:space="0" w:color="auto"/>
        <w:bottom w:val="none" w:sz="0" w:space="0" w:color="auto"/>
        <w:right w:val="none" w:sz="0" w:space="0" w:color="auto"/>
      </w:divBdr>
    </w:div>
    <w:div w:id="201091878">
      <w:bodyDiv w:val="1"/>
      <w:marLeft w:val="0"/>
      <w:marRight w:val="0"/>
      <w:marTop w:val="0"/>
      <w:marBottom w:val="0"/>
      <w:divBdr>
        <w:top w:val="none" w:sz="0" w:space="0" w:color="auto"/>
        <w:left w:val="none" w:sz="0" w:space="0" w:color="auto"/>
        <w:bottom w:val="none" w:sz="0" w:space="0" w:color="auto"/>
        <w:right w:val="none" w:sz="0" w:space="0" w:color="auto"/>
      </w:divBdr>
    </w:div>
    <w:div w:id="337510674">
      <w:bodyDiv w:val="1"/>
      <w:marLeft w:val="0"/>
      <w:marRight w:val="0"/>
      <w:marTop w:val="0"/>
      <w:marBottom w:val="0"/>
      <w:divBdr>
        <w:top w:val="none" w:sz="0" w:space="0" w:color="auto"/>
        <w:left w:val="none" w:sz="0" w:space="0" w:color="auto"/>
        <w:bottom w:val="none" w:sz="0" w:space="0" w:color="auto"/>
        <w:right w:val="none" w:sz="0" w:space="0" w:color="auto"/>
      </w:divBdr>
    </w:div>
    <w:div w:id="379475376">
      <w:bodyDiv w:val="1"/>
      <w:marLeft w:val="0"/>
      <w:marRight w:val="0"/>
      <w:marTop w:val="0"/>
      <w:marBottom w:val="0"/>
      <w:divBdr>
        <w:top w:val="none" w:sz="0" w:space="0" w:color="auto"/>
        <w:left w:val="none" w:sz="0" w:space="0" w:color="auto"/>
        <w:bottom w:val="none" w:sz="0" w:space="0" w:color="auto"/>
        <w:right w:val="none" w:sz="0" w:space="0" w:color="auto"/>
      </w:divBdr>
    </w:div>
    <w:div w:id="432630024">
      <w:bodyDiv w:val="1"/>
      <w:marLeft w:val="0"/>
      <w:marRight w:val="0"/>
      <w:marTop w:val="0"/>
      <w:marBottom w:val="0"/>
      <w:divBdr>
        <w:top w:val="none" w:sz="0" w:space="0" w:color="auto"/>
        <w:left w:val="none" w:sz="0" w:space="0" w:color="auto"/>
        <w:bottom w:val="none" w:sz="0" w:space="0" w:color="auto"/>
        <w:right w:val="none" w:sz="0" w:space="0" w:color="auto"/>
      </w:divBdr>
    </w:div>
    <w:div w:id="493178925">
      <w:bodyDiv w:val="1"/>
      <w:marLeft w:val="0"/>
      <w:marRight w:val="0"/>
      <w:marTop w:val="0"/>
      <w:marBottom w:val="0"/>
      <w:divBdr>
        <w:top w:val="none" w:sz="0" w:space="0" w:color="auto"/>
        <w:left w:val="none" w:sz="0" w:space="0" w:color="auto"/>
        <w:bottom w:val="none" w:sz="0" w:space="0" w:color="auto"/>
        <w:right w:val="none" w:sz="0" w:space="0" w:color="auto"/>
      </w:divBdr>
    </w:div>
    <w:div w:id="568659833">
      <w:bodyDiv w:val="1"/>
      <w:marLeft w:val="0"/>
      <w:marRight w:val="0"/>
      <w:marTop w:val="0"/>
      <w:marBottom w:val="0"/>
      <w:divBdr>
        <w:top w:val="none" w:sz="0" w:space="0" w:color="auto"/>
        <w:left w:val="none" w:sz="0" w:space="0" w:color="auto"/>
        <w:bottom w:val="none" w:sz="0" w:space="0" w:color="auto"/>
        <w:right w:val="none" w:sz="0" w:space="0" w:color="auto"/>
      </w:divBdr>
    </w:div>
    <w:div w:id="705760845">
      <w:bodyDiv w:val="1"/>
      <w:marLeft w:val="0"/>
      <w:marRight w:val="0"/>
      <w:marTop w:val="0"/>
      <w:marBottom w:val="0"/>
      <w:divBdr>
        <w:top w:val="none" w:sz="0" w:space="0" w:color="auto"/>
        <w:left w:val="none" w:sz="0" w:space="0" w:color="auto"/>
        <w:bottom w:val="none" w:sz="0" w:space="0" w:color="auto"/>
        <w:right w:val="none" w:sz="0" w:space="0" w:color="auto"/>
      </w:divBdr>
    </w:div>
    <w:div w:id="711152404">
      <w:bodyDiv w:val="1"/>
      <w:marLeft w:val="0"/>
      <w:marRight w:val="0"/>
      <w:marTop w:val="0"/>
      <w:marBottom w:val="0"/>
      <w:divBdr>
        <w:top w:val="none" w:sz="0" w:space="0" w:color="auto"/>
        <w:left w:val="none" w:sz="0" w:space="0" w:color="auto"/>
        <w:bottom w:val="none" w:sz="0" w:space="0" w:color="auto"/>
        <w:right w:val="none" w:sz="0" w:space="0" w:color="auto"/>
      </w:divBdr>
    </w:div>
    <w:div w:id="842741529">
      <w:bodyDiv w:val="1"/>
      <w:marLeft w:val="0"/>
      <w:marRight w:val="0"/>
      <w:marTop w:val="0"/>
      <w:marBottom w:val="0"/>
      <w:divBdr>
        <w:top w:val="none" w:sz="0" w:space="0" w:color="auto"/>
        <w:left w:val="none" w:sz="0" w:space="0" w:color="auto"/>
        <w:bottom w:val="none" w:sz="0" w:space="0" w:color="auto"/>
        <w:right w:val="none" w:sz="0" w:space="0" w:color="auto"/>
      </w:divBdr>
    </w:div>
    <w:div w:id="978073352">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0502507">
      <w:bodyDiv w:val="1"/>
      <w:marLeft w:val="0"/>
      <w:marRight w:val="0"/>
      <w:marTop w:val="0"/>
      <w:marBottom w:val="0"/>
      <w:divBdr>
        <w:top w:val="none" w:sz="0" w:space="0" w:color="auto"/>
        <w:left w:val="none" w:sz="0" w:space="0" w:color="auto"/>
        <w:bottom w:val="none" w:sz="0" w:space="0" w:color="auto"/>
        <w:right w:val="none" w:sz="0" w:space="0" w:color="auto"/>
      </w:divBdr>
    </w:div>
    <w:div w:id="1010984485">
      <w:bodyDiv w:val="1"/>
      <w:marLeft w:val="0"/>
      <w:marRight w:val="0"/>
      <w:marTop w:val="0"/>
      <w:marBottom w:val="0"/>
      <w:divBdr>
        <w:top w:val="none" w:sz="0" w:space="0" w:color="auto"/>
        <w:left w:val="none" w:sz="0" w:space="0" w:color="auto"/>
        <w:bottom w:val="none" w:sz="0" w:space="0" w:color="auto"/>
        <w:right w:val="none" w:sz="0" w:space="0" w:color="auto"/>
      </w:divBdr>
    </w:div>
    <w:div w:id="1287006057">
      <w:bodyDiv w:val="1"/>
      <w:marLeft w:val="0"/>
      <w:marRight w:val="0"/>
      <w:marTop w:val="0"/>
      <w:marBottom w:val="0"/>
      <w:divBdr>
        <w:top w:val="none" w:sz="0" w:space="0" w:color="auto"/>
        <w:left w:val="none" w:sz="0" w:space="0" w:color="auto"/>
        <w:bottom w:val="none" w:sz="0" w:space="0" w:color="auto"/>
        <w:right w:val="none" w:sz="0" w:space="0" w:color="auto"/>
      </w:divBdr>
    </w:div>
    <w:div w:id="1288585902">
      <w:bodyDiv w:val="1"/>
      <w:marLeft w:val="0"/>
      <w:marRight w:val="0"/>
      <w:marTop w:val="0"/>
      <w:marBottom w:val="0"/>
      <w:divBdr>
        <w:top w:val="none" w:sz="0" w:space="0" w:color="auto"/>
        <w:left w:val="none" w:sz="0" w:space="0" w:color="auto"/>
        <w:bottom w:val="none" w:sz="0" w:space="0" w:color="auto"/>
        <w:right w:val="none" w:sz="0" w:space="0" w:color="auto"/>
      </w:divBdr>
    </w:div>
    <w:div w:id="1374378410">
      <w:bodyDiv w:val="1"/>
      <w:marLeft w:val="0"/>
      <w:marRight w:val="0"/>
      <w:marTop w:val="0"/>
      <w:marBottom w:val="0"/>
      <w:divBdr>
        <w:top w:val="none" w:sz="0" w:space="0" w:color="auto"/>
        <w:left w:val="none" w:sz="0" w:space="0" w:color="auto"/>
        <w:bottom w:val="none" w:sz="0" w:space="0" w:color="auto"/>
        <w:right w:val="none" w:sz="0" w:space="0" w:color="auto"/>
      </w:divBdr>
    </w:div>
    <w:div w:id="1428846382">
      <w:bodyDiv w:val="1"/>
      <w:marLeft w:val="0"/>
      <w:marRight w:val="0"/>
      <w:marTop w:val="0"/>
      <w:marBottom w:val="0"/>
      <w:divBdr>
        <w:top w:val="none" w:sz="0" w:space="0" w:color="auto"/>
        <w:left w:val="none" w:sz="0" w:space="0" w:color="auto"/>
        <w:bottom w:val="none" w:sz="0" w:space="0" w:color="auto"/>
        <w:right w:val="none" w:sz="0" w:space="0" w:color="auto"/>
      </w:divBdr>
    </w:div>
    <w:div w:id="1621254507">
      <w:bodyDiv w:val="1"/>
      <w:marLeft w:val="0"/>
      <w:marRight w:val="0"/>
      <w:marTop w:val="0"/>
      <w:marBottom w:val="0"/>
      <w:divBdr>
        <w:top w:val="none" w:sz="0" w:space="0" w:color="auto"/>
        <w:left w:val="none" w:sz="0" w:space="0" w:color="auto"/>
        <w:bottom w:val="none" w:sz="0" w:space="0" w:color="auto"/>
        <w:right w:val="none" w:sz="0" w:space="0" w:color="auto"/>
      </w:divBdr>
    </w:div>
    <w:div w:id="1719472542">
      <w:bodyDiv w:val="1"/>
      <w:marLeft w:val="0"/>
      <w:marRight w:val="0"/>
      <w:marTop w:val="0"/>
      <w:marBottom w:val="0"/>
      <w:divBdr>
        <w:top w:val="none" w:sz="0" w:space="0" w:color="auto"/>
        <w:left w:val="none" w:sz="0" w:space="0" w:color="auto"/>
        <w:bottom w:val="none" w:sz="0" w:space="0" w:color="auto"/>
        <w:right w:val="none" w:sz="0" w:space="0" w:color="auto"/>
      </w:divBdr>
    </w:div>
    <w:div w:id="1752198900">
      <w:bodyDiv w:val="1"/>
      <w:marLeft w:val="0"/>
      <w:marRight w:val="0"/>
      <w:marTop w:val="0"/>
      <w:marBottom w:val="0"/>
      <w:divBdr>
        <w:top w:val="none" w:sz="0" w:space="0" w:color="auto"/>
        <w:left w:val="none" w:sz="0" w:space="0" w:color="auto"/>
        <w:bottom w:val="none" w:sz="0" w:space="0" w:color="auto"/>
        <w:right w:val="none" w:sz="0" w:space="0" w:color="auto"/>
      </w:divBdr>
    </w:div>
    <w:div w:id="1788543196">
      <w:bodyDiv w:val="1"/>
      <w:marLeft w:val="0"/>
      <w:marRight w:val="0"/>
      <w:marTop w:val="0"/>
      <w:marBottom w:val="0"/>
      <w:divBdr>
        <w:top w:val="none" w:sz="0" w:space="0" w:color="auto"/>
        <w:left w:val="none" w:sz="0" w:space="0" w:color="auto"/>
        <w:bottom w:val="none" w:sz="0" w:space="0" w:color="auto"/>
        <w:right w:val="none" w:sz="0" w:space="0" w:color="auto"/>
      </w:divBdr>
    </w:div>
    <w:div w:id="1811246034">
      <w:bodyDiv w:val="1"/>
      <w:marLeft w:val="0"/>
      <w:marRight w:val="0"/>
      <w:marTop w:val="0"/>
      <w:marBottom w:val="0"/>
      <w:divBdr>
        <w:top w:val="none" w:sz="0" w:space="0" w:color="auto"/>
        <w:left w:val="none" w:sz="0" w:space="0" w:color="auto"/>
        <w:bottom w:val="none" w:sz="0" w:space="0" w:color="auto"/>
        <w:right w:val="none" w:sz="0" w:space="0" w:color="auto"/>
      </w:divBdr>
    </w:div>
    <w:div w:id="1821461535">
      <w:bodyDiv w:val="1"/>
      <w:marLeft w:val="0"/>
      <w:marRight w:val="0"/>
      <w:marTop w:val="0"/>
      <w:marBottom w:val="0"/>
      <w:divBdr>
        <w:top w:val="none" w:sz="0" w:space="0" w:color="auto"/>
        <w:left w:val="none" w:sz="0" w:space="0" w:color="auto"/>
        <w:bottom w:val="none" w:sz="0" w:space="0" w:color="auto"/>
        <w:right w:val="none" w:sz="0" w:space="0" w:color="auto"/>
      </w:divBdr>
    </w:div>
    <w:div w:id="1834374335">
      <w:bodyDiv w:val="1"/>
      <w:marLeft w:val="0"/>
      <w:marRight w:val="0"/>
      <w:marTop w:val="0"/>
      <w:marBottom w:val="0"/>
      <w:divBdr>
        <w:top w:val="none" w:sz="0" w:space="0" w:color="auto"/>
        <w:left w:val="none" w:sz="0" w:space="0" w:color="auto"/>
        <w:bottom w:val="none" w:sz="0" w:space="0" w:color="auto"/>
        <w:right w:val="none" w:sz="0" w:space="0" w:color="auto"/>
      </w:divBdr>
    </w:div>
    <w:div w:id="1876382865">
      <w:bodyDiv w:val="1"/>
      <w:marLeft w:val="0"/>
      <w:marRight w:val="0"/>
      <w:marTop w:val="0"/>
      <w:marBottom w:val="0"/>
      <w:divBdr>
        <w:top w:val="none" w:sz="0" w:space="0" w:color="auto"/>
        <w:left w:val="none" w:sz="0" w:space="0" w:color="auto"/>
        <w:bottom w:val="none" w:sz="0" w:space="0" w:color="auto"/>
        <w:right w:val="none" w:sz="0" w:space="0" w:color="auto"/>
      </w:divBdr>
    </w:div>
    <w:div w:id="1957130653">
      <w:bodyDiv w:val="1"/>
      <w:marLeft w:val="0"/>
      <w:marRight w:val="0"/>
      <w:marTop w:val="0"/>
      <w:marBottom w:val="0"/>
      <w:divBdr>
        <w:top w:val="none" w:sz="0" w:space="0" w:color="auto"/>
        <w:left w:val="none" w:sz="0" w:space="0" w:color="auto"/>
        <w:bottom w:val="none" w:sz="0" w:space="0" w:color="auto"/>
        <w:right w:val="none" w:sz="0" w:space="0" w:color="auto"/>
      </w:divBdr>
    </w:div>
    <w:div w:id="1959799618">
      <w:bodyDiv w:val="1"/>
      <w:marLeft w:val="0"/>
      <w:marRight w:val="0"/>
      <w:marTop w:val="0"/>
      <w:marBottom w:val="0"/>
      <w:divBdr>
        <w:top w:val="none" w:sz="0" w:space="0" w:color="auto"/>
        <w:left w:val="none" w:sz="0" w:space="0" w:color="auto"/>
        <w:bottom w:val="none" w:sz="0" w:space="0" w:color="auto"/>
        <w:right w:val="none" w:sz="0" w:space="0" w:color="auto"/>
      </w:divBdr>
    </w:div>
    <w:div w:id="1972323361">
      <w:bodyDiv w:val="1"/>
      <w:marLeft w:val="0"/>
      <w:marRight w:val="0"/>
      <w:marTop w:val="0"/>
      <w:marBottom w:val="0"/>
      <w:divBdr>
        <w:top w:val="none" w:sz="0" w:space="0" w:color="auto"/>
        <w:left w:val="none" w:sz="0" w:space="0" w:color="auto"/>
        <w:bottom w:val="none" w:sz="0" w:space="0" w:color="auto"/>
        <w:right w:val="none" w:sz="0" w:space="0" w:color="auto"/>
      </w:divBdr>
    </w:div>
    <w:div w:id="2039119816">
      <w:bodyDiv w:val="1"/>
      <w:marLeft w:val="0"/>
      <w:marRight w:val="0"/>
      <w:marTop w:val="0"/>
      <w:marBottom w:val="0"/>
      <w:divBdr>
        <w:top w:val="none" w:sz="0" w:space="0" w:color="auto"/>
        <w:left w:val="none" w:sz="0" w:space="0" w:color="auto"/>
        <w:bottom w:val="none" w:sz="0" w:space="0" w:color="auto"/>
        <w:right w:val="none" w:sz="0" w:space="0" w:color="auto"/>
      </w:divBdr>
    </w:div>
    <w:div w:id="20896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EB5732CC.dotm</Template>
  <TotalTime>0</TotalTime>
  <Pages>17</Pages>
  <Words>4420</Words>
  <Characters>25200</Characters>
  <Application>Microsoft Office Word</Application>
  <DocSecurity>0</DocSecurity>
  <Lines>210</Lines>
  <Paragraphs>59</Paragraphs>
  <ScaleCrop>false</ScaleCrop>
  <Company/>
  <LinksUpToDate>false</LinksUpToDate>
  <CharactersWithSpaces>29561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2014-11-26T04:33:00Z</dcterms:created>
  <dcterms:modified xsi:type="dcterms:W3CDTF">2014-11-26T04:33:00Z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8249952</vt:lpwstr>
  </property>
</Properties>
</file>