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AEF" w:rsidRDefault="00E30AEF" w:rsidP="00E30AEF">
      <w:bookmarkStart w:id="0" w:name="_Toc387916729"/>
      <w:bookmarkStart w:id="1" w:name="_Toc387916828"/>
      <w:bookmarkStart w:id="2" w:name="_GoBack"/>
      <w:bookmarkEnd w:id="2"/>
      <w:r w:rsidRPr="00D3259C">
        <w:rPr>
          <w:noProof/>
          <w:lang w:eastAsia="en-AU"/>
        </w:rPr>
        <w:drawing>
          <wp:anchor distT="0" distB="0" distL="114300" distR="114300" simplePos="0" relativeHeight="251659264" behindDoc="1" locked="0" layoutInCell="1" allowOverlap="1" wp14:anchorId="39852B77" wp14:editId="44E13C63">
            <wp:simplePos x="0" y="0"/>
            <wp:positionH relativeFrom="column">
              <wp:posOffset>-965614</wp:posOffset>
            </wp:positionH>
            <wp:positionV relativeFrom="paragraph">
              <wp:posOffset>-937149</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E30AEF" w:rsidRDefault="00E30AEF" w:rsidP="00E30AEF"/>
    <w:p w:rsidR="00E30AEF" w:rsidRDefault="00E30AEF" w:rsidP="00E30AEF"/>
    <w:p w:rsidR="00E30AEF" w:rsidRDefault="00E30AEF" w:rsidP="00E30AEF"/>
    <w:p w:rsidR="00E30AEF" w:rsidRDefault="00E30AEF" w:rsidP="00E30AEF"/>
    <w:p w:rsidR="00E30AEF" w:rsidRPr="000A33B4" w:rsidRDefault="00E30AEF" w:rsidP="00E30AEF">
      <w:pPr>
        <w:pStyle w:val="AERtitle1"/>
      </w:pPr>
    </w:p>
    <w:p w:rsidR="00E30AEF" w:rsidRPr="000A33B4" w:rsidRDefault="00E30AEF" w:rsidP="00E30AEF">
      <w:pPr>
        <w:pStyle w:val="AERtitle1"/>
      </w:pPr>
    </w:p>
    <w:p w:rsidR="00E30AEF" w:rsidRPr="000A33B4" w:rsidRDefault="00E30AEF" w:rsidP="00E30AEF">
      <w:pPr>
        <w:pStyle w:val="AERtitle1"/>
      </w:pPr>
    </w:p>
    <w:p w:rsidR="00E30AEF" w:rsidRPr="000A33B4" w:rsidRDefault="00E30AEF" w:rsidP="00E30AEF">
      <w:pPr>
        <w:pStyle w:val="AERtitle1"/>
      </w:pPr>
      <w:r>
        <w:t>Draft Decision</w:t>
      </w:r>
    </w:p>
    <w:p w:rsidR="00E30AEF" w:rsidRDefault="00E30AEF" w:rsidP="00E30AEF">
      <w:pPr>
        <w:pStyle w:val="AERtitle1"/>
      </w:pPr>
      <w:r>
        <w:t>ActewAGL distribution determination</w:t>
      </w:r>
    </w:p>
    <w:p w:rsidR="00E30AEF" w:rsidRPr="000A33B4" w:rsidRDefault="00E30AEF" w:rsidP="00E30AEF">
      <w:pPr>
        <w:pStyle w:val="AERtitle1"/>
      </w:pPr>
      <w:r>
        <w:t>2015–16</w:t>
      </w:r>
      <w:r w:rsidRPr="000A33B4">
        <w:t xml:space="preserve"> to 201</w:t>
      </w:r>
      <w:r>
        <w:t>8–</w:t>
      </w:r>
      <w:r w:rsidRPr="000A33B4">
        <w:t>1</w:t>
      </w:r>
      <w:r>
        <w:t>9</w:t>
      </w:r>
    </w:p>
    <w:p w:rsidR="00E30AEF" w:rsidRPr="000A33B4" w:rsidRDefault="00E30AEF" w:rsidP="00E30AEF">
      <w:pPr>
        <w:pStyle w:val="AERtitle1"/>
      </w:pPr>
      <w:r>
        <w:t>Attachment 8: Corporate income tax</w:t>
      </w:r>
    </w:p>
    <w:p w:rsidR="00E30AEF" w:rsidRPr="000A33B4" w:rsidRDefault="00E30AEF" w:rsidP="00E30AEF">
      <w:pPr>
        <w:pStyle w:val="AERbodytext"/>
      </w:pPr>
    </w:p>
    <w:p w:rsidR="00E30AEF" w:rsidRPr="000A33B4" w:rsidRDefault="00E30AEF" w:rsidP="00E30AEF">
      <w:pPr>
        <w:pStyle w:val="AERtitle2"/>
      </w:pPr>
      <w:r w:rsidRPr="000A33B4">
        <w:t>November 2014</w:t>
      </w:r>
    </w:p>
    <w:p w:rsidR="00E30AEF" w:rsidRPr="000A33B4" w:rsidRDefault="00E30AEF" w:rsidP="00E30AEF">
      <w:pPr>
        <w:pStyle w:val="AERbodytext"/>
      </w:pPr>
    </w:p>
    <w:p w:rsidR="00E30AEF" w:rsidRPr="000A33B4" w:rsidRDefault="00E30AEF" w:rsidP="00E30AEF">
      <w:pPr>
        <w:pStyle w:val="AERbodytext"/>
      </w:pPr>
    </w:p>
    <w:p w:rsidR="00E30AEF" w:rsidRPr="000A33B4" w:rsidRDefault="00E30AEF" w:rsidP="00E30AEF">
      <w:pPr>
        <w:pStyle w:val="AERbodytext"/>
      </w:pPr>
      <w:r w:rsidRPr="000A33B4">
        <w:br w:type="page"/>
      </w:r>
    </w:p>
    <w:p w:rsidR="00E30AEF" w:rsidRPr="000A33B4" w:rsidRDefault="00E30AEF" w:rsidP="00E30AEF">
      <w:pPr>
        <w:pStyle w:val="AERbodytextnospace"/>
        <w:rPr>
          <w:rStyle w:val="AERtextbold"/>
        </w:rPr>
      </w:pPr>
      <w:r w:rsidRPr="000A33B4">
        <w:rPr>
          <w:rStyle w:val="AERtextbold"/>
        </w:rPr>
        <w:lastRenderedPageBreak/>
        <w:t>© Commonwealth of Australia 2014</w:t>
      </w:r>
    </w:p>
    <w:p w:rsidR="00E30AEF" w:rsidRPr="000A33B4" w:rsidRDefault="00E30AEF" w:rsidP="00E30AEF">
      <w:pPr>
        <w:pStyle w:val="AERbodytext"/>
      </w:pPr>
      <w:r w:rsidRPr="000A33B4">
        <w:t>This work is copyright. In addition to any use permitted under the Copyright Act 1968, all material contained within this work is provided under a Creative Commons Attribution 3.0 Australia licence, with the exception of:</w:t>
      </w:r>
    </w:p>
    <w:p w:rsidR="00E30AEF" w:rsidRPr="000A33B4" w:rsidRDefault="00E30AEF" w:rsidP="00E30AEF">
      <w:pPr>
        <w:pStyle w:val="AERbulletlistfirststyle"/>
      </w:pPr>
      <w:r w:rsidRPr="000A33B4">
        <w:t>the Commonwealth Coat of Arms</w:t>
      </w:r>
    </w:p>
    <w:p w:rsidR="00E30AEF" w:rsidRDefault="00E30AEF" w:rsidP="00E30AEF">
      <w:pPr>
        <w:pStyle w:val="AERbulletlistfirststyle"/>
      </w:pPr>
      <w:r w:rsidRPr="000A33B4">
        <w:t>the ACCC and AER logos</w:t>
      </w:r>
    </w:p>
    <w:p w:rsidR="00E30AEF" w:rsidRPr="000A33B4" w:rsidRDefault="00E30AEF" w:rsidP="00E30AEF">
      <w:pPr>
        <w:pStyle w:val="AERbulletlistfirststyle"/>
      </w:pPr>
      <w:r w:rsidRPr="000A33B4">
        <w:t>any illustration, diagram, photograph or graphic over which the Australian Competition and Consumer Commission does not hold copyright, but which may be part of or contained within this publication.</w:t>
      </w:r>
    </w:p>
    <w:p w:rsidR="00E30AEF" w:rsidRPr="000A33B4" w:rsidRDefault="00E30AEF" w:rsidP="00E30AEF">
      <w:pPr>
        <w:pStyle w:val="AERbodytext"/>
      </w:pPr>
      <w:r w:rsidRPr="000A33B4">
        <w:t>The details of the relevant licence conditions are available on the Creative Commons website, as is the full legal code for the CC BY 3.0 AU licence.</w:t>
      </w:r>
    </w:p>
    <w:p w:rsidR="00E30AEF" w:rsidRPr="000A33B4" w:rsidRDefault="00E30AEF" w:rsidP="00E30AEF">
      <w:pPr>
        <w:pStyle w:val="AERbodytext"/>
      </w:pPr>
      <w:r w:rsidRPr="000A33B4">
        <w:t>Requests and inquiries concerning reproduction and rights should be addressed to the Director, Corporate Communications, ACCC, GPO Box 3131, Canberra ACT 2601, or</w:t>
      </w:r>
    </w:p>
    <w:p w:rsidR="00E30AEF" w:rsidRPr="000A33B4" w:rsidRDefault="00E30AEF" w:rsidP="00E30AEF">
      <w:pPr>
        <w:pStyle w:val="AERbodytext"/>
      </w:pPr>
      <w:r w:rsidRPr="000A33B4">
        <w:t xml:space="preserve"> </w:t>
      </w:r>
      <w:r>
        <w:tab/>
      </w:r>
      <w:hyperlink r:id="rId9" w:history="1">
        <w:r w:rsidRPr="000A33B4">
          <w:t>publishing.unit@accc.gov.au</w:t>
        </w:r>
      </w:hyperlink>
      <w:r w:rsidRPr="000A33B4">
        <w:t xml:space="preserve"> .</w:t>
      </w:r>
    </w:p>
    <w:p w:rsidR="00E30AEF" w:rsidRPr="000A33B4" w:rsidRDefault="00E30AEF" w:rsidP="00E30AEF">
      <w:pPr>
        <w:pStyle w:val="AERbodytext"/>
      </w:pPr>
      <w:r w:rsidRPr="000A33B4">
        <w:t>Inquiries about this document should be addressed to:</w:t>
      </w:r>
    </w:p>
    <w:p w:rsidR="00E30AEF" w:rsidRPr="000A33B4" w:rsidRDefault="00E30AEF" w:rsidP="00E30AEF">
      <w:pPr>
        <w:pStyle w:val="AERbodytextnospace"/>
      </w:pPr>
      <w:r w:rsidRPr="000A33B4">
        <w:t>Australian Energy Regulator</w:t>
      </w:r>
    </w:p>
    <w:p w:rsidR="00E30AEF" w:rsidRPr="000A33B4" w:rsidRDefault="00E30AEF" w:rsidP="00E30AEF">
      <w:pPr>
        <w:pStyle w:val="AERbodytextnospace"/>
      </w:pPr>
      <w:r w:rsidRPr="000A33B4">
        <w:t>GPO Box 520</w:t>
      </w:r>
    </w:p>
    <w:p w:rsidR="00E30AEF" w:rsidRPr="000A33B4" w:rsidRDefault="00E30AEF" w:rsidP="00E30AEF">
      <w:pPr>
        <w:pStyle w:val="AERbodytextnospace"/>
      </w:pPr>
      <w:r w:rsidRPr="000A33B4">
        <w:t>Melbourne  Vic  3001</w:t>
      </w:r>
    </w:p>
    <w:p w:rsidR="00E30AEF" w:rsidRPr="000A33B4" w:rsidRDefault="00E30AEF" w:rsidP="00E30AEF">
      <w:pPr>
        <w:pStyle w:val="AERbodytextnospace"/>
      </w:pPr>
      <w:r w:rsidRPr="000A33B4">
        <w:t>Tel: (03) 9290 1444</w:t>
      </w:r>
    </w:p>
    <w:p w:rsidR="00E30AEF" w:rsidRPr="000A33B4" w:rsidRDefault="00E30AEF" w:rsidP="00E30AEF">
      <w:pPr>
        <w:pStyle w:val="AERbodytextnospace"/>
      </w:pPr>
      <w:r w:rsidRPr="000A33B4">
        <w:t>Fax: (03) 9290 1457</w:t>
      </w:r>
    </w:p>
    <w:p w:rsidR="00E30AEF" w:rsidRPr="000A33B4" w:rsidRDefault="00E30AEF" w:rsidP="00E30AEF">
      <w:pPr>
        <w:pStyle w:val="AERbodytextnospace"/>
      </w:pPr>
      <w:r w:rsidRPr="000A33B4">
        <w:t xml:space="preserve">Email: </w:t>
      </w:r>
      <w:hyperlink r:id="rId10" w:history="1">
        <w:r w:rsidRPr="000A33B4">
          <w:rPr>
            <w:rStyle w:val="Hyperlink"/>
          </w:rPr>
          <w:t>AERInquiry@aer.gov.au</w:t>
        </w:r>
      </w:hyperlink>
    </w:p>
    <w:p w:rsidR="00E30AEF" w:rsidRPr="000A33B4" w:rsidRDefault="00E30AEF" w:rsidP="00E30AEF">
      <w:pPr>
        <w:pStyle w:val="AERbodytext"/>
      </w:pPr>
    </w:p>
    <w:p w:rsidR="00E30AEF" w:rsidRDefault="00E30AEF" w:rsidP="00E30AEF">
      <w:pPr>
        <w:pStyle w:val="AERbodytext"/>
        <w:rPr>
          <w:rStyle w:val="AERbody"/>
        </w:rPr>
      </w:pPr>
      <w:r w:rsidRPr="000A33B4">
        <w:t>AER reference</w:t>
      </w:r>
      <w:r w:rsidRPr="000A33B4">
        <w:rPr>
          <w:rStyle w:val="AERbody"/>
        </w:rPr>
        <w:t xml:space="preserve">:  </w:t>
      </w:r>
      <w:r>
        <w:rPr>
          <w:rStyle w:val="AERbody"/>
        </w:rPr>
        <w:t>52254</w:t>
      </w:r>
    </w:p>
    <w:p w:rsidR="00E30AEF" w:rsidRDefault="00E30AEF" w:rsidP="00E30AEF">
      <w:pPr>
        <w:pStyle w:val="UnnumberedHeading"/>
      </w:pPr>
      <w:bookmarkStart w:id="3" w:name="_Toc404700023"/>
      <w:r>
        <w:lastRenderedPageBreak/>
        <w:t>Note</w:t>
      </w:r>
      <w:bookmarkEnd w:id="3"/>
    </w:p>
    <w:p w:rsidR="00E30AEF" w:rsidRDefault="00E30AEF" w:rsidP="00E30AEF">
      <w:pPr>
        <w:pStyle w:val="AERbodytext"/>
      </w:pPr>
      <w:r>
        <w:t>This attachment forms part of the AER's draft decision on ActewAGL’s 2015–19 distribution determination. It should be read with other parts of the draft decision.</w:t>
      </w:r>
    </w:p>
    <w:p w:rsidR="00E30AEF" w:rsidRDefault="00E30AEF" w:rsidP="00E30AEF">
      <w:pPr>
        <w:pStyle w:val="AERbodytext"/>
      </w:pPr>
      <w:r>
        <w:t>The draft decision includes the following documents:</w:t>
      </w:r>
    </w:p>
    <w:p w:rsidR="00E30AEF" w:rsidRDefault="00E30AEF" w:rsidP="00E30AEF">
      <w:pPr>
        <w:pStyle w:val="AERbodytext"/>
      </w:pPr>
      <w:r>
        <w:t>Overview</w:t>
      </w:r>
    </w:p>
    <w:p w:rsidR="00E30AEF" w:rsidRDefault="00E30AEF" w:rsidP="00E30AEF">
      <w:pPr>
        <w:pStyle w:val="AERbodytext"/>
      </w:pPr>
      <w:r>
        <w:t>Attachment 1 – Annual revenue requirement</w:t>
      </w:r>
    </w:p>
    <w:p w:rsidR="00E30AEF" w:rsidRDefault="00E30AEF" w:rsidP="00E30AEF">
      <w:pPr>
        <w:pStyle w:val="AERbodytext"/>
      </w:pPr>
      <w:r>
        <w:t>Attachment 2 – Regulatory asset base</w:t>
      </w:r>
    </w:p>
    <w:p w:rsidR="00E30AEF" w:rsidRDefault="00E30AEF" w:rsidP="00E30AEF">
      <w:pPr>
        <w:pStyle w:val="AERbodytext"/>
      </w:pPr>
      <w:r>
        <w:t>Attachment 3 – Rate of return</w:t>
      </w:r>
    </w:p>
    <w:p w:rsidR="00E30AEF" w:rsidRDefault="00E30AEF" w:rsidP="00E30AEF">
      <w:pPr>
        <w:pStyle w:val="AERbodytext"/>
      </w:pPr>
      <w:r>
        <w:t>Attachment 4 – Value of imputation credits</w:t>
      </w:r>
    </w:p>
    <w:p w:rsidR="00E30AEF" w:rsidRDefault="00E30AEF" w:rsidP="00E30AEF">
      <w:pPr>
        <w:pStyle w:val="AERbodytext"/>
      </w:pPr>
      <w:r>
        <w:t>Attachment 5 – Regulatory depreciation</w:t>
      </w:r>
    </w:p>
    <w:p w:rsidR="00E30AEF" w:rsidRDefault="00E30AEF" w:rsidP="00E30AEF">
      <w:pPr>
        <w:pStyle w:val="AERbodytext"/>
      </w:pPr>
      <w:r>
        <w:t xml:space="preserve">Attachment 6 – Capital expenditure </w:t>
      </w:r>
    </w:p>
    <w:p w:rsidR="00E30AEF" w:rsidRDefault="00E30AEF" w:rsidP="00E30AEF">
      <w:pPr>
        <w:pStyle w:val="AERbodytext"/>
      </w:pPr>
      <w:r>
        <w:t>Attachment 7 – Operating expenditure</w:t>
      </w:r>
    </w:p>
    <w:p w:rsidR="00E30AEF" w:rsidRDefault="00E30AEF" w:rsidP="00E30AEF">
      <w:pPr>
        <w:pStyle w:val="AERbodytext"/>
      </w:pPr>
      <w:r>
        <w:t>Attachment 8 – Corporate income tax</w:t>
      </w:r>
    </w:p>
    <w:p w:rsidR="00E30AEF" w:rsidRDefault="00E30AEF" w:rsidP="00E30AEF">
      <w:pPr>
        <w:pStyle w:val="AERbodytext"/>
      </w:pPr>
      <w:r>
        <w:t>Attachment 9 – Efficiency benefit sharing scheme</w:t>
      </w:r>
    </w:p>
    <w:p w:rsidR="00E30AEF" w:rsidRDefault="00E30AEF" w:rsidP="00E30AEF">
      <w:pPr>
        <w:pStyle w:val="AERbodytext"/>
      </w:pPr>
      <w:r>
        <w:t>Attachment 10 – Capital expenditure sharing scheme</w:t>
      </w:r>
    </w:p>
    <w:p w:rsidR="00E30AEF" w:rsidRDefault="00E30AEF" w:rsidP="00E30AEF">
      <w:pPr>
        <w:pStyle w:val="AERbodytext"/>
      </w:pPr>
      <w:r>
        <w:t>Attachment 11 – Service target performance incentive scheme</w:t>
      </w:r>
    </w:p>
    <w:p w:rsidR="00E30AEF" w:rsidRDefault="00E30AEF" w:rsidP="00E30AEF">
      <w:pPr>
        <w:pStyle w:val="AERbodytext"/>
      </w:pPr>
      <w:r>
        <w:t>Attachment 12 – Demand management incentive scheme</w:t>
      </w:r>
    </w:p>
    <w:p w:rsidR="00E30AEF" w:rsidRDefault="00E30AEF" w:rsidP="00E30AEF">
      <w:pPr>
        <w:pStyle w:val="AERbodytext"/>
      </w:pPr>
      <w:r>
        <w:t>Attachment 13 – Classification of services</w:t>
      </w:r>
    </w:p>
    <w:p w:rsidR="00E30AEF" w:rsidRDefault="00E30AEF" w:rsidP="00E30AEF">
      <w:pPr>
        <w:pStyle w:val="AERbodytext"/>
      </w:pPr>
      <w:r>
        <w:t>Attachment 14 – Control mechanism</w:t>
      </w:r>
    </w:p>
    <w:p w:rsidR="00E30AEF" w:rsidRDefault="00E30AEF" w:rsidP="00E30AEF">
      <w:pPr>
        <w:pStyle w:val="AERbodytext"/>
      </w:pPr>
      <w:r>
        <w:t>Attachment 15 – Pass through events</w:t>
      </w:r>
    </w:p>
    <w:p w:rsidR="00E30AEF" w:rsidRDefault="00E30AEF" w:rsidP="00E30AEF">
      <w:pPr>
        <w:pStyle w:val="AERbodytext"/>
      </w:pPr>
      <w:r>
        <w:t>Attachment 16 – Alternative control services</w:t>
      </w:r>
    </w:p>
    <w:p w:rsidR="00E30AEF" w:rsidRDefault="00E30AEF" w:rsidP="00E30AEF">
      <w:pPr>
        <w:pStyle w:val="AERbodytext"/>
      </w:pPr>
      <w:r>
        <w:t>Attachment 17 – Negotiated services framework and criteria</w:t>
      </w:r>
    </w:p>
    <w:p w:rsidR="00E30AEF" w:rsidRPr="008B6C33" w:rsidRDefault="00E30AEF" w:rsidP="00E30AEF">
      <w:pPr>
        <w:pStyle w:val="AERbodytext"/>
      </w:pPr>
      <w:r>
        <w:t>Attachment 18 – Connection methodology</w:t>
      </w:r>
    </w:p>
    <w:p w:rsidR="00E30AEF" w:rsidRPr="000A33B4" w:rsidRDefault="00E30AEF" w:rsidP="00E30AEF">
      <w:pPr>
        <w:pStyle w:val="AERbodytext"/>
      </w:pPr>
      <w:r>
        <w:t>Attachment 19 – Pricing methodology</w:t>
      </w:r>
    </w:p>
    <w:p w:rsidR="00E30AEF" w:rsidRPr="00223CC4" w:rsidRDefault="00E30AEF" w:rsidP="00E30AEF">
      <w:r>
        <w:br w:type="page"/>
      </w:r>
    </w:p>
    <w:p w:rsidR="00E30AEF" w:rsidRDefault="00E30AEF" w:rsidP="00E30AEF">
      <w:pPr>
        <w:pStyle w:val="UnnumberedHeading"/>
      </w:pPr>
      <w:bookmarkStart w:id="4" w:name="_Toc404700024"/>
      <w:r>
        <w:lastRenderedPageBreak/>
        <w:t>Contents</w:t>
      </w:r>
      <w:bookmarkEnd w:id="4"/>
    </w:p>
    <w:sdt>
      <w:sdtPr>
        <w:rPr>
          <w:b w:val="0"/>
          <w:bCs w:val="0"/>
        </w:rPr>
        <w:id w:val="1388831217"/>
        <w:docPartObj>
          <w:docPartGallery w:val="Table of Contents"/>
          <w:docPartUnique/>
        </w:docPartObj>
      </w:sdtPr>
      <w:sdtEndPr>
        <w:rPr>
          <w:b/>
          <w:bCs/>
        </w:rPr>
      </w:sdtEndPr>
      <w:sdtContent>
        <w:p w:rsidR="001D0CCF" w:rsidRDefault="00E30AEF">
          <w:pPr>
            <w:pStyle w:val="TOC1"/>
            <w:tabs>
              <w:tab w:val="right" w:leader="dot" w:pos="9016"/>
            </w:tabs>
            <w:rPr>
              <w:rFonts w:asciiTheme="minorHAnsi" w:eastAsiaTheme="minorEastAsia" w:hAnsiTheme="minorHAnsi" w:cstheme="minorBidi"/>
              <w:b w:val="0"/>
              <w:bCs w:val="0"/>
              <w:noProof/>
              <w:sz w:val="22"/>
              <w:szCs w:val="22"/>
              <w:lang w:eastAsia="en-AU"/>
            </w:rPr>
          </w:pPr>
          <w:r>
            <w:rPr>
              <w:lang w:val="en-US" w:eastAsia="ja-JP"/>
            </w:rPr>
            <w:fldChar w:fldCharType="begin"/>
          </w:r>
          <w:r>
            <w:rPr>
              <w:lang w:val="en-US" w:eastAsia="ja-JP"/>
            </w:rPr>
            <w:instrText xml:space="preserve"> TOC \o "1-3" \h \z \u \t "Heading 7,1,Heading 8,2,Heading 9,3" </w:instrText>
          </w:r>
          <w:r>
            <w:rPr>
              <w:lang w:val="en-US" w:eastAsia="ja-JP"/>
            </w:rPr>
            <w:fldChar w:fldCharType="separate"/>
          </w:r>
          <w:hyperlink w:anchor="_Toc404700023" w:history="1">
            <w:r w:rsidR="001D0CCF" w:rsidRPr="00282BF2">
              <w:rPr>
                <w:rStyle w:val="Hyperlink"/>
                <w:noProof/>
              </w:rPr>
              <w:t>Note</w:t>
            </w:r>
            <w:r w:rsidR="001D0CCF">
              <w:rPr>
                <w:noProof/>
                <w:webHidden/>
              </w:rPr>
              <w:tab/>
            </w:r>
            <w:r w:rsidR="001D0CCF">
              <w:rPr>
                <w:noProof/>
                <w:webHidden/>
              </w:rPr>
              <w:fldChar w:fldCharType="begin"/>
            </w:r>
            <w:r w:rsidR="001D0CCF">
              <w:rPr>
                <w:noProof/>
                <w:webHidden/>
              </w:rPr>
              <w:instrText xml:space="preserve"> PAGEREF _Toc404700023 \h </w:instrText>
            </w:r>
            <w:r w:rsidR="001D0CCF">
              <w:rPr>
                <w:noProof/>
                <w:webHidden/>
              </w:rPr>
            </w:r>
            <w:r w:rsidR="001D0CCF">
              <w:rPr>
                <w:noProof/>
                <w:webHidden/>
              </w:rPr>
              <w:fldChar w:fldCharType="separate"/>
            </w:r>
            <w:r w:rsidR="00914556">
              <w:rPr>
                <w:noProof/>
                <w:webHidden/>
              </w:rPr>
              <w:t>8-3</w:t>
            </w:r>
            <w:r w:rsidR="001D0CCF">
              <w:rPr>
                <w:noProof/>
                <w:webHidden/>
              </w:rPr>
              <w:fldChar w:fldCharType="end"/>
            </w:r>
          </w:hyperlink>
        </w:p>
        <w:p w:rsidR="001D0CCF" w:rsidRDefault="00F8602C">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700024" w:history="1">
            <w:r w:rsidR="001D0CCF" w:rsidRPr="00282BF2">
              <w:rPr>
                <w:rStyle w:val="Hyperlink"/>
                <w:noProof/>
              </w:rPr>
              <w:t>Contents</w:t>
            </w:r>
            <w:r w:rsidR="001D0CCF">
              <w:rPr>
                <w:noProof/>
                <w:webHidden/>
              </w:rPr>
              <w:tab/>
            </w:r>
            <w:r w:rsidR="001D0CCF">
              <w:rPr>
                <w:noProof/>
                <w:webHidden/>
              </w:rPr>
              <w:fldChar w:fldCharType="begin"/>
            </w:r>
            <w:r w:rsidR="001D0CCF">
              <w:rPr>
                <w:noProof/>
                <w:webHidden/>
              </w:rPr>
              <w:instrText xml:space="preserve"> PAGEREF _Toc404700024 \h </w:instrText>
            </w:r>
            <w:r w:rsidR="001D0CCF">
              <w:rPr>
                <w:noProof/>
                <w:webHidden/>
              </w:rPr>
            </w:r>
            <w:r w:rsidR="001D0CCF">
              <w:rPr>
                <w:noProof/>
                <w:webHidden/>
              </w:rPr>
              <w:fldChar w:fldCharType="separate"/>
            </w:r>
            <w:r w:rsidR="00914556">
              <w:rPr>
                <w:noProof/>
                <w:webHidden/>
              </w:rPr>
              <w:t>8-4</w:t>
            </w:r>
            <w:r w:rsidR="001D0CCF">
              <w:rPr>
                <w:noProof/>
                <w:webHidden/>
              </w:rPr>
              <w:fldChar w:fldCharType="end"/>
            </w:r>
          </w:hyperlink>
        </w:p>
        <w:p w:rsidR="001D0CCF" w:rsidRDefault="00F8602C">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700025" w:history="1">
            <w:r w:rsidR="001D0CCF" w:rsidRPr="00282BF2">
              <w:rPr>
                <w:rStyle w:val="Hyperlink"/>
                <w:noProof/>
              </w:rPr>
              <w:t>Shortened forms</w:t>
            </w:r>
            <w:r w:rsidR="001D0CCF">
              <w:rPr>
                <w:noProof/>
                <w:webHidden/>
              </w:rPr>
              <w:tab/>
            </w:r>
            <w:r w:rsidR="001D0CCF">
              <w:rPr>
                <w:noProof/>
                <w:webHidden/>
              </w:rPr>
              <w:fldChar w:fldCharType="begin"/>
            </w:r>
            <w:r w:rsidR="001D0CCF">
              <w:rPr>
                <w:noProof/>
                <w:webHidden/>
              </w:rPr>
              <w:instrText xml:space="preserve"> PAGEREF _Toc404700025 \h </w:instrText>
            </w:r>
            <w:r w:rsidR="001D0CCF">
              <w:rPr>
                <w:noProof/>
                <w:webHidden/>
              </w:rPr>
            </w:r>
            <w:r w:rsidR="001D0CCF">
              <w:rPr>
                <w:noProof/>
                <w:webHidden/>
              </w:rPr>
              <w:fldChar w:fldCharType="separate"/>
            </w:r>
            <w:r w:rsidR="00914556">
              <w:rPr>
                <w:noProof/>
                <w:webHidden/>
              </w:rPr>
              <w:t>8-5</w:t>
            </w:r>
            <w:r w:rsidR="001D0CCF">
              <w:rPr>
                <w:noProof/>
                <w:webHidden/>
              </w:rPr>
              <w:fldChar w:fldCharType="end"/>
            </w:r>
          </w:hyperlink>
        </w:p>
        <w:p w:rsidR="001D0CCF" w:rsidRDefault="00F8602C">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700026" w:history="1">
            <w:r w:rsidR="001D0CCF" w:rsidRPr="00282BF2">
              <w:rPr>
                <w:rStyle w:val="Hyperlink"/>
                <w:noProof/>
              </w:rPr>
              <w:t>8</w:t>
            </w:r>
            <w:r w:rsidR="001D0CCF">
              <w:rPr>
                <w:rFonts w:asciiTheme="minorHAnsi" w:eastAsiaTheme="minorEastAsia" w:hAnsiTheme="minorHAnsi" w:cstheme="minorBidi"/>
                <w:b w:val="0"/>
                <w:bCs w:val="0"/>
                <w:noProof/>
                <w:sz w:val="22"/>
                <w:szCs w:val="22"/>
                <w:lang w:eastAsia="en-AU"/>
              </w:rPr>
              <w:tab/>
            </w:r>
            <w:r w:rsidR="001D0CCF" w:rsidRPr="00282BF2">
              <w:rPr>
                <w:rStyle w:val="Hyperlink"/>
                <w:noProof/>
              </w:rPr>
              <w:t>Corporate income tax</w:t>
            </w:r>
            <w:r w:rsidR="001D0CCF">
              <w:rPr>
                <w:noProof/>
                <w:webHidden/>
              </w:rPr>
              <w:tab/>
            </w:r>
            <w:r w:rsidR="001D0CCF">
              <w:rPr>
                <w:noProof/>
                <w:webHidden/>
              </w:rPr>
              <w:fldChar w:fldCharType="begin"/>
            </w:r>
            <w:r w:rsidR="001D0CCF">
              <w:rPr>
                <w:noProof/>
                <w:webHidden/>
              </w:rPr>
              <w:instrText xml:space="preserve"> PAGEREF _Toc404700026 \h </w:instrText>
            </w:r>
            <w:r w:rsidR="001D0CCF">
              <w:rPr>
                <w:noProof/>
                <w:webHidden/>
              </w:rPr>
            </w:r>
            <w:r w:rsidR="001D0CCF">
              <w:rPr>
                <w:noProof/>
                <w:webHidden/>
              </w:rPr>
              <w:fldChar w:fldCharType="separate"/>
            </w:r>
            <w:r w:rsidR="00914556">
              <w:rPr>
                <w:noProof/>
                <w:webHidden/>
              </w:rPr>
              <w:t>8-7</w:t>
            </w:r>
            <w:r w:rsidR="001D0CCF">
              <w:rPr>
                <w:noProof/>
                <w:webHidden/>
              </w:rPr>
              <w:fldChar w:fldCharType="end"/>
            </w:r>
          </w:hyperlink>
        </w:p>
        <w:p w:rsidR="001D0CCF" w:rsidRDefault="00F8602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700027" w:history="1">
            <w:r w:rsidR="001D0CCF" w:rsidRPr="00282BF2">
              <w:rPr>
                <w:rStyle w:val="Hyperlink"/>
                <w:noProof/>
              </w:rPr>
              <w:t>8.1</w:t>
            </w:r>
            <w:r w:rsidR="001D0CCF">
              <w:rPr>
                <w:rFonts w:asciiTheme="minorHAnsi" w:eastAsiaTheme="minorEastAsia" w:hAnsiTheme="minorHAnsi" w:cstheme="minorBidi"/>
                <w:iCs w:val="0"/>
                <w:noProof/>
                <w:sz w:val="22"/>
                <w:szCs w:val="22"/>
                <w:lang w:eastAsia="en-AU"/>
              </w:rPr>
              <w:tab/>
            </w:r>
            <w:r w:rsidR="001D0CCF" w:rsidRPr="00282BF2">
              <w:rPr>
                <w:rStyle w:val="Hyperlink"/>
                <w:noProof/>
              </w:rPr>
              <w:t>Draft decision</w:t>
            </w:r>
            <w:r w:rsidR="001D0CCF">
              <w:rPr>
                <w:noProof/>
                <w:webHidden/>
              </w:rPr>
              <w:tab/>
            </w:r>
            <w:r w:rsidR="001D0CCF">
              <w:rPr>
                <w:noProof/>
                <w:webHidden/>
              </w:rPr>
              <w:fldChar w:fldCharType="begin"/>
            </w:r>
            <w:r w:rsidR="001D0CCF">
              <w:rPr>
                <w:noProof/>
                <w:webHidden/>
              </w:rPr>
              <w:instrText xml:space="preserve"> PAGEREF _Toc404700027 \h </w:instrText>
            </w:r>
            <w:r w:rsidR="001D0CCF">
              <w:rPr>
                <w:noProof/>
                <w:webHidden/>
              </w:rPr>
            </w:r>
            <w:r w:rsidR="001D0CCF">
              <w:rPr>
                <w:noProof/>
                <w:webHidden/>
              </w:rPr>
              <w:fldChar w:fldCharType="separate"/>
            </w:r>
            <w:r w:rsidR="00914556">
              <w:rPr>
                <w:noProof/>
                <w:webHidden/>
              </w:rPr>
              <w:t>8-7</w:t>
            </w:r>
            <w:r w:rsidR="001D0CCF">
              <w:rPr>
                <w:noProof/>
                <w:webHidden/>
              </w:rPr>
              <w:fldChar w:fldCharType="end"/>
            </w:r>
          </w:hyperlink>
        </w:p>
        <w:p w:rsidR="001D0CCF" w:rsidRDefault="00F8602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700028" w:history="1">
            <w:r w:rsidR="001D0CCF" w:rsidRPr="00282BF2">
              <w:rPr>
                <w:rStyle w:val="Hyperlink"/>
                <w:noProof/>
              </w:rPr>
              <w:t>8.2</w:t>
            </w:r>
            <w:r w:rsidR="001D0CCF">
              <w:rPr>
                <w:rFonts w:asciiTheme="minorHAnsi" w:eastAsiaTheme="minorEastAsia" w:hAnsiTheme="minorHAnsi" w:cstheme="minorBidi"/>
                <w:iCs w:val="0"/>
                <w:noProof/>
                <w:sz w:val="22"/>
                <w:szCs w:val="22"/>
                <w:lang w:eastAsia="en-AU"/>
              </w:rPr>
              <w:tab/>
            </w:r>
            <w:r w:rsidR="001D0CCF" w:rsidRPr="00282BF2">
              <w:rPr>
                <w:rStyle w:val="Hyperlink"/>
                <w:noProof/>
              </w:rPr>
              <w:t>ActewAGL's proposal</w:t>
            </w:r>
            <w:r w:rsidR="001D0CCF">
              <w:rPr>
                <w:noProof/>
                <w:webHidden/>
              </w:rPr>
              <w:tab/>
            </w:r>
            <w:r w:rsidR="001D0CCF">
              <w:rPr>
                <w:noProof/>
                <w:webHidden/>
              </w:rPr>
              <w:fldChar w:fldCharType="begin"/>
            </w:r>
            <w:r w:rsidR="001D0CCF">
              <w:rPr>
                <w:noProof/>
                <w:webHidden/>
              </w:rPr>
              <w:instrText xml:space="preserve"> PAGEREF _Toc404700028 \h </w:instrText>
            </w:r>
            <w:r w:rsidR="001D0CCF">
              <w:rPr>
                <w:noProof/>
                <w:webHidden/>
              </w:rPr>
            </w:r>
            <w:r w:rsidR="001D0CCF">
              <w:rPr>
                <w:noProof/>
                <w:webHidden/>
              </w:rPr>
              <w:fldChar w:fldCharType="separate"/>
            </w:r>
            <w:r w:rsidR="00914556">
              <w:rPr>
                <w:noProof/>
                <w:webHidden/>
              </w:rPr>
              <w:t>8-8</w:t>
            </w:r>
            <w:r w:rsidR="001D0CCF">
              <w:rPr>
                <w:noProof/>
                <w:webHidden/>
              </w:rPr>
              <w:fldChar w:fldCharType="end"/>
            </w:r>
          </w:hyperlink>
        </w:p>
        <w:p w:rsidR="001D0CCF" w:rsidRDefault="00F8602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700029" w:history="1">
            <w:r w:rsidR="001D0CCF" w:rsidRPr="00282BF2">
              <w:rPr>
                <w:rStyle w:val="Hyperlink"/>
                <w:noProof/>
              </w:rPr>
              <w:t>8.3</w:t>
            </w:r>
            <w:r w:rsidR="001D0CCF">
              <w:rPr>
                <w:rFonts w:asciiTheme="minorHAnsi" w:eastAsiaTheme="minorEastAsia" w:hAnsiTheme="minorHAnsi" w:cstheme="minorBidi"/>
                <w:iCs w:val="0"/>
                <w:noProof/>
                <w:sz w:val="22"/>
                <w:szCs w:val="22"/>
                <w:lang w:eastAsia="en-AU"/>
              </w:rPr>
              <w:tab/>
            </w:r>
            <w:r w:rsidR="001D0CCF" w:rsidRPr="00282BF2">
              <w:rPr>
                <w:rStyle w:val="Hyperlink"/>
                <w:noProof/>
              </w:rPr>
              <w:t>AER's assessment approach</w:t>
            </w:r>
            <w:r w:rsidR="001D0CCF">
              <w:rPr>
                <w:noProof/>
                <w:webHidden/>
              </w:rPr>
              <w:tab/>
            </w:r>
            <w:r w:rsidR="001D0CCF">
              <w:rPr>
                <w:noProof/>
                <w:webHidden/>
              </w:rPr>
              <w:fldChar w:fldCharType="begin"/>
            </w:r>
            <w:r w:rsidR="001D0CCF">
              <w:rPr>
                <w:noProof/>
                <w:webHidden/>
              </w:rPr>
              <w:instrText xml:space="preserve"> PAGEREF _Toc404700029 \h </w:instrText>
            </w:r>
            <w:r w:rsidR="001D0CCF">
              <w:rPr>
                <w:noProof/>
                <w:webHidden/>
              </w:rPr>
            </w:r>
            <w:r w:rsidR="001D0CCF">
              <w:rPr>
                <w:noProof/>
                <w:webHidden/>
              </w:rPr>
              <w:fldChar w:fldCharType="separate"/>
            </w:r>
            <w:r w:rsidR="00914556">
              <w:rPr>
                <w:noProof/>
                <w:webHidden/>
              </w:rPr>
              <w:t>8-9</w:t>
            </w:r>
            <w:r w:rsidR="001D0CCF">
              <w:rPr>
                <w:noProof/>
                <w:webHidden/>
              </w:rPr>
              <w:fldChar w:fldCharType="end"/>
            </w:r>
          </w:hyperlink>
        </w:p>
        <w:p w:rsidR="001D0CCF" w:rsidRDefault="00F8602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700030" w:history="1">
            <w:r w:rsidR="001D0CCF" w:rsidRPr="00282BF2">
              <w:rPr>
                <w:rStyle w:val="Hyperlink"/>
                <w:noProof/>
              </w:rPr>
              <w:t>8.3.1</w:t>
            </w:r>
            <w:r w:rsidR="001D0CCF">
              <w:rPr>
                <w:rFonts w:asciiTheme="minorHAnsi" w:eastAsiaTheme="minorEastAsia" w:hAnsiTheme="minorHAnsi" w:cstheme="minorBidi"/>
                <w:noProof/>
                <w:sz w:val="22"/>
                <w:szCs w:val="22"/>
                <w:lang w:eastAsia="en-AU"/>
              </w:rPr>
              <w:tab/>
            </w:r>
            <w:r w:rsidR="001D0CCF" w:rsidRPr="00282BF2">
              <w:rPr>
                <w:rStyle w:val="Hyperlink"/>
                <w:noProof/>
              </w:rPr>
              <w:t>Interrelationships</w:t>
            </w:r>
            <w:r w:rsidR="001D0CCF">
              <w:rPr>
                <w:noProof/>
                <w:webHidden/>
              </w:rPr>
              <w:tab/>
            </w:r>
            <w:r w:rsidR="001D0CCF">
              <w:rPr>
                <w:noProof/>
                <w:webHidden/>
              </w:rPr>
              <w:fldChar w:fldCharType="begin"/>
            </w:r>
            <w:r w:rsidR="001D0CCF">
              <w:rPr>
                <w:noProof/>
                <w:webHidden/>
              </w:rPr>
              <w:instrText xml:space="preserve"> PAGEREF _Toc404700030 \h </w:instrText>
            </w:r>
            <w:r w:rsidR="001D0CCF">
              <w:rPr>
                <w:noProof/>
                <w:webHidden/>
              </w:rPr>
            </w:r>
            <w:r w:rsidR="001D0CCF">
              <w:rPr>
                <w:noProof/>
                <w:webHidden/>
              </w:rPr>
              <w:fldChar w:fldCharType="separate"/>
            </w:r>
            <w:r w:rsidR="00914556">
              <w:rPr>
                <w:noProof/>
                <w:webHidden/>
              </w:rPr>
              <w:t>8-10</w:t>
            </w:r>
            <w:r w:rsidR="001D0CCF">
              <w:rPr>
                <w:noProof/>
                <w:webHidden/>
              </w:rPr>
              <w:fldChar w:fldCharType="end"/>
            </w:r>
          </w:hyperlink>
        </w:p>
        <w:p w:rsidR="001D0CCF" w:rsidRDefault="00F8602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700031" w:history="1">
            <w:r w:rsidR="001D0CCF" w:rsidRPr="00282BF2">
              <w:rPr>
                <w:rStyle w:val="Hyperlink"/>
                <w:noProof/>
              </w:rPr>
              <w:t>8.4</w:t>
            </w:r>
            <w:r w:rsidR="001D0CCF">
              <w:rPr>
                <w:rFonts w:asciiTheme="minorHAnsi" w:eastAsiaTheme="minorEastAsia" w:hAnsiTheme="minorHAnsi" w:cstheme="minorBidi"/>
                <w:iCs w:val="0"/>
                <w:noProof/>
                <w:sz w:val="22"/>
                <w:szCs w:val="22"/>
                <w:lang w:eastAsia="en-AU"/>
              </w:rPr>
              <w:tab/>
            </w:r>
            <w:r w:rsidR="001D0CCF" w:rsidRPr="00282BF2">
              <w:rPr>
                <w:rStyle w:val="Hyperlink"/>
                <w:noProof/>
              </w:rPr>
              <w:t>Reasons for draft decision</w:t>
            </w:r>
            <w:r w:rsidR="001D0CCF">
              <w:rPr>
                <w:noProof/>
                <w:webHidden/>
              </w:rPr>
              <w:tab/>
            </w:r>
            <w:r w:rsidR="001D0CCF">
              <w:rPr>
                <w:noProof/>
                <w:webHidden/>
              </w:rPr>
              <w:fldChar w:fldCharType="begin"/>
            </w:r>
            <w:r w:rsidR="001D0CCF">
              <w:rPr>
                <w:noProof/>
                <w:webHidden/>
              </w:rPr>
              <w:instrText xml:space="preserve"> PAGEREF _Toc404700031 \h </w:instrText>
            </w:r>
            <w:r w:rsidR="001D0CCF">
              <w:rPr>
                <w:noProof/>
                <w:webHidden/>
              </w:rPr>
            </w:r>
            <w:r w:rsidR="001D0CCF">
              <w:rPr>
                <w:noProof/>
                <w:webHidden/>
              </w:rPr>
              <w:fldChar w:fldCharType="separate"/>
            </w:r>
            <w:r w:rsidR="00914556">
              <w:rPr>
                <w:noProof/>
                <w:webHidden/>
              </w:rPr>
              <w:t>8-11</w:t>
            </w:r>
            <w:r w:rsidR="001D0CCF">
              <w:rPr>
                <w:noProof/>
                <w:webHidden/>
              </w:rPr>
              <w:fldChar w:fldCharType="end"/>
            </w:r>
          </w:hyperlink>
        </w:p>
        <w:p w:rsidR="001D0CCF" w:rsidRDefault="00F8602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700032" w:history="1">
            <w:r w:rsidR="001D0CCF" w:rsidRPr="00282BF2">
              <w:rPr>
                <w:rStyle w:val="Hyperlink"/>
                <w:noProof/>
              </w:rPr>
              <w:t>8.4.1</w:t>
            </w:r>
            <w:r w:rsidR="001D0CCF">
              <w:rPr>
                <w:rFonts w:asciiTheme="minorHAnsi" w:eastAsiaTheme="minorEastAsia" w:hAnsiTheme="minorHAnsi" w:cstheme="minorBidi"/>
                <w:noProof/>
                <w:sz w:val="22"/>
                <w:szCs w:val="22"/>
                <w:lang w:eastAsia="en-AU"/>
              </w:rPr>
              <w:tab/>
            </w:r>
            <w:r w:rsidR="001D0CCF" w:rsidRPr="00282BF2">
              <w:rPr>
                <w:rStyle w:val="Hyperlink"/>
                <w:noProof/>
              </w:rPr>
              <w:t>Opening tax asset base</w:t>
            </w:r>
            <w:r w:rsidR="001D0CCF">
              <w:rPr>
                <w:noProof/>
                <w:webHidden/>
              </w:rPr>
              <w:tab/>
            </w:r>
            <w:r w:rsidR="001D0CCF">
              <w:rPr>
                <w:noProof/>
                <w:webHidden/>
              </w:rPr>
              <w:fldChar w:fldCharType="begin"/>
            </w:r>
            <w:r w:rsidR="001D0CCF">
              <w:rPr>
                <w:noProof/>
                <w:webHidden/>
              </w:rPr>
              <w:instrText xml:space="preserve"> PAGEREF _Toc404700032 \h </w:instrText>
            </w:r>
            <w:r w:rsidR="001D0CCF">
              <w:rPr>
                <w:noProof/>
                <w:webHidden/>
              </w:rPr>
            </w:r>
            <w:r w:rsidR="001D0CCF">
              <w:rPr>
                <w:noProof/>
                <w:webHidden/>
              </w:rPr>
              <w:fldChar w:fldCharType="separate"/>
            </w:r>
            <w:r w:rsidR="00914556">
              <w:rPr>
                <w:noProof/>
                <w:webHidden/>
              </w:rPr>
              <w:t>8-11</w:t>
            </w:r>
            <w:r w:rsidR="001D0CCF">
              <w:rPr>
                <w:noProof/>
                <w:webHidden/>
              </w:rPr>
              <w:fldChar w:fldCharType="end"/>
            </w:r>
          </w:hyperlink>
        </w:p>
        <w:p w:rsidR="001D0CCF" w:rsidRDefault="00F8602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700033" w:history="1">
            <w:r w:rsidR="001D0CCF" w:rsidRPr="00282BF2">
              <w:rPr>
                <w:rStyle w:val="Hyperlink"/>
                <w:noProof/>
              </w:rPr>
              <w:t>8.4.2</w:t>
            </w:r>
            <w:r w:rsidR="001D0CCF">
              <w:rPr>
                <w:rFonts w:asciiTheme="minorHAnsi" w:eastAsiaTheme="minorEastAsia" w:hAnsiTheme="minorHAnsi" w:cstheme="minorBidi"/>
                <w:noProof/>
                <w:sz w:val="22"/>
                <w:szCs w:val="22"/>
                <w:lang w:eastAsia="en-AU"/>
              </w:rPr>
              <w:tab/>
            </w:r>
            <w:r w:rsidR="001D0CCF" w:rsidRPr="00282BF2">
              <w:rPr>
                <w:rStyle w:val="Hyperlink"/>
                <w:noProof/>
              </w:rPr>
              <w:t>Standard tax asset lives</w:t>
            </w:r>
            <w:r w:rsidR="001D0CCF">
              <w:rPr>
                <w:noProof/>
                <w:webHidden/>
              </w:rPr>
              <w:tab/>
            </w:r>
            <w:r w:rsidR="001D0CCF">
              <w:rPr>
                <w:noProof/>
                <w:webHidden/>
              </w:rPr>
              <w:fldChar w:fldCharType="begin"/>
            </w:r>
            <w:r w:rsidR="001D0CCF">
              <w:rPr>
                <w:noProof/>
                <w:webHidden/>
              </w:rPr>
              <w:instrText xml:space="preserve"> PAGEREF _Toc404700033 \h </w:instrText>
            </w:r>
            <w:r w:rsidR="001D0CCF">
              <w:rPr>
                <w:noProof/>
                <w:webHidden/>
              </w:rPr>
            </w:r>
            <w:r w:rsidR="001D0CCF">
              <w:rPr>
                <w:noProof/>
                <w:webHidden/>
              </w:rPr>
              <w:fldChar w:fldCharType="separate"/>
            </w:r>
            <w:r w:rsidR="00914556">
              <w:rPr>
                <w:noProof/>
                <w:webHidden/>
              </w:rPr>
              <w:t>8-13</w:t>
            </w:r>
            <w:r w:rsidR="001D0CCF">
              <w:rPr>
                <w:noProof/>
                <w:webHidden/>
              </w:rPr>
              <w:fldChar w:fldCharType="end"/>
            </w:r>
          </w:hyperlink>
        </w:p>
        <w:p w:rsidR="001D0CCF" w:rsidRDefault="00F8602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700034" w:history="1">
            <w:r w:rsidR="001D0CCF" w:rsidRPr="00282BF2">
              <w:rPr>
                <w:rStyle w:val="Hyperlink"/>
                <w:noProof/>
              </w:rPr>
              <w:t>8.4.3</w:t>
            </w:r>
            <w:r w:rsidR="001D0CCF">
              <w:rPr>
                <w:rFonts w:asciiTheme="minorHAnsi" w:eastAsiaTheme="minorEastAsia" w:hAnsiTheme="minorHAnsi" w:cstheme="minorBidi"/>
                <w:noProof/>
                <w:sz w:val="22"/>
                <w:szCs w:val="22"/>
                <w:lang w:eastAsia="en-AU"/>
              </w:rPr>
              <w:tab/>
            </w:r>
            <w:r w:rsidR="001D0CCF" w:rsidRPr="00282BF2">
              <w:rPr>
                <w:rStyle w:val="Hyperlink"/>
                <w:noProof/>
              </w:rPr>
              <w:t>Remaining tax asset lives</w:t>
            </w:r>
            <w:r w:rsidR="001D0CCF">
              <w:rPr>
                <w:noProof/>
                <w:webHidden/>
              </w:rPr>
              <w:tab/>
            </w:r>
            <w:r w:rsidR="001D0CCF">
              <w:rPr>
                <w:noProof/>
                <w:webHidden/>
              </w:rPr>
              <w:fldChar w:fldCharType="begin"/>
            </w:r>
            <w:r w:rsidR="001D0CCF">
              <w:rPr>
                <w:noProof/>
                <w:webHidden/>
              </w:rPr>
              <w:instrText xml:space="preserve"> PAGEREF _Toc404700034 \h </w:instrText>
            </w:r>
            <w:r w:rsidR="001D0CCF">
              <w:rPr>
                <w:noProof/>
                <w:webHidden/>
              </w:rPr>
            </w:r>
            <w:r w:rsidR="001D0CCF">
              <w:rPr>
                <w:noProof/>
                <w:webHidden/>
              </w:rPr>
              <w:fldChar w:fldCharType="separate"/>
            </w:r>
            <w:r w:rsidR="00914556">
              <w:rPr>
                <w:noProof/>
                <w:webHidden/>
              </w:rPr>
              <w:t>8-14</w:t>
            </w:r>
            <w:r w:rsidR="001D0CCF">
              <w:rPr>
                <w:noProof/>
                <w:webHidden/>
              </w:rPr>
              <w:fldChar w:fldCharType="end"/>
            </w:r>
          </w:hyperlink>
        </w:p>
        <w:p w:rsidR="00E30AEF" w:rsidRDefault="00E30AEF" w:rsidP="00E30AEF">
          <w:pPr>
            <w:pStyle w:val="TOC1"/>
            <w:tabs>
              <w:tab w:val="right" w:leader="dot" w:pos="9016"/>
            </w:tabs>
          </w:pPr>
          <w:r>
            <w:rPr>
              <w:lang w:val="en-US" w:eastAsia="ja-JP"/>
            </w:rPr>
            <w:fldChar w:fldCharType="end"/>
          </w:r>
        </w:p>
      </w:sdtContent>
    </w:sdt>
    <w:p w:rsidR="00E30AEF" w:rsidRDefault="00E30AEF" w:rsidP="00E30AEF"/>
    <w:p w:rsidR="00E30AEF" w:rsidRDefault="00E30AEF" w:rsidP="00E30AEF"/>
    <w:p w:rsidR="00E30AEF" w:rsidRDefault="00E30AEF" w:rsidP="00E30AEF"/>
    <w:p w:rsidR="00E30AEF" w:rsidRDefault="00E30AEF" w:rsidP="00E30AEF"/>
    <w:p w:rsidR="00E30AEF" w:rsidRDefault="00E30AEF" w:rsidP="00E30AEF">
      <w:pPr>
        <w:pStyle w:val="UnnumberedHeading"/>
      </w:pPr>
      <w:bookmarkStart w:id="5" w:name="_Toc402538524"/>
      <w:bookmarkStart w:id="6" w:name="_Toc404700025"/>
      <w:r>
        <w:lastRenderedPageBreak/>
        <w:t>Shortened forms</w:t>
      </w:r>
      <w:bookmarkEnd w:id="5"/>
      <w:bookmarkEnd w:id="6"/>
    </w:p>
    <w:tbl>
      <w:tblPr>
        <w:tblStyle w:val="AERtable-numbers"/>
        <w:tblW w:w="0" w:type="auto"/>
        <w:tblLook w:val="04A0" w:firstRow="1" w:lastRow="0" w:firstColumn="1" w:lastColumn="0" w:noHBand="0" w:noVBand="1"/>
      </w:tblPr>
      <w:tblGrid>
        <w:gridCol w:w="4621"/>
        <w:gridCol w:w="4621"/>
      </w:tblGrid>
      <w:tr w:rsidR="00E30AEF" w:rsidTr="00E30AE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bookmarkEnd w:id="0"/>
          <w:p w:rsidR="00E30AEF" w:rsidRDefault="00E30AEF" w:rsidP="00E30AEF">
            <w:pPr>
              <w:pStyle w:val="AERbodytext"/>
            </w:pPr>
            <w:r>
              <w:t>Shortened form</w:t>
            </w:r>
          </w:p>
        </w:tc>
        <w:tc>
          <w:tcPr>
            <w:tcW w:w="4621" w:type="dxa"/>
          </w:tcPr>
          <w:p w:rsidR="00E30AEF" w:rsidRDefault="00E30AEF" w:rsidP="00E30AEF">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E30AEF" w:rsidTr="00E30AEF">
        <w:tc>
          <w:tcPr>
            <w:cnfStyle w:val="001000000000" w:firstRow="0" w:lastRow="0" w:firstColumn="1" w:lastColumn="0" w:oddVBand="0" w:evenVBand="0" w:oddHBand="0" w:evenHBand="0" w:firstRowFirstColumn="0" w:firstRowLastColumn="0" w:lastRowFirstColumn="0" w:lastRowLastColumn="0"/>
            <w:tcW w:w="4621" w:type="dxa"/>
          </w:tcPr>
          <w:p w:rsidR="00E30AEF" w:rsidRDefault="00E30AEF" w:rsidP="00E30AEF">
            <w:pPr>
              <w:pStyle w:val="AERbodytext"/>
            </w:pPr>
            <w:r>
              <w:t>AARR</w:t>
            </w:r>
          </w:p>
        </w:tc>
        <w:tc>
          <w:tcPr>
            <w:tcW w:w="4621" w:type="dxa"/>
          </w:tcPr>
          <w:p w:rsidR="00E30AEF" w:rsidRDefault="00E30AEF" w:rsidP="00E30AEF">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E30AEF" w:rsidTr="00E30A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30AEF" w:rsidRDefault="00E30AEF" w:rsidP="00E30AEF">
            <w:pPr>
              <w:pStyle w:val="AERbodytext"/>
            </w:pPr>
            <w:r>
              <w:t>AEMC</w:t>
            </w:r>
          </w:p>
        </w:tc>
        <w:tc>
          <w:tcPr>
            <w:tcW w:w="4621" w:type="dxa"/>
          </w:tcPr>
          <w:p w:rsidR="00E30AEF" w:rsidRDefault="00E30AEF" w:rsidP="00E30AEF">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E30AEF" w:rsidTr="00E30AEF">
        <w:tc>
          <w:tcPr>
            <w:cnfStyle w:val="001000000000" w:firstRow="0" w:lastRow="0" w:firstColumn="1" w:lastColumn="0" w:oddVBand="0" w:evenVBand="0" w:oddHBand="0" w:evenHBand="0" w:firstRowFirstColumn="0" w:firstRowLastColumn="0" w:lastRowFirstColumn="0" w:lastRowLastColumn="0"/>
            <w:tcW w:w="4621" w:type="dxa"/>
          </w:tcPr>
          <w:p w:rsidR="00E30AEF" w:rsidRDefault="00E30AEF" w:rsidP="00E30AEF">
            <w:pPr>
              <w:pStyle w:val="AERbodytext"/>
            </w:pPr>
            <w:r>
              <w:t>AEMO</w:t>
            </w:r>
          </w:p>
        </w:tc>
        <w:tc>
          <w:tcPr>
            <w:tcW w:w="4621" w:type="dxa"/>
          </w:tcPr>
          <w:p w:rsidR="00E30AEF" w:rsidRDefault="00E30AEF" w:rsidP="00E30AEF">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E30AEF" w:rsidTr="00E30A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30AEF" w:rsidRDefault="00E30AEF" w:rsidP="00E30AEF">
            <w:pPr>
              <w:pStyle w:val="AERbodytext"/>
            </w:pPr>
            <w:r>
              <w:t>AER</w:t>
            </w:r>
          </w:p>
        </w:tc>
        <w:tc>
          <w:tcPr>
            <w:tcW w:w="4621" w:type="dxa"/>
          </w:tcPr>
          <w:p w:rsidR="00E30AEF" w:rsidRDefault="00E30AEF" w:rsidP="00E30AEF">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E30AEF" w:rsidTr="00E30AEF">
        <w:tc>
          <w:tcPr>
            <w:cnfStyle w:val="001000000000" w:firstRow="0" w:lastRow="0" w:firstColumn="1" w:lastColumn="0" w:oddVBand="0" w:evenVBand="0" w:oddHBand="0" w:evenHBand="0" w:firstRowFirstColumn="0" w:firstRowLastColumn="0" w:lastRowFirstColumn="0" w:lastRowLastColumn="0"/>
            <w:tcW w:w="4621" w:type="dxa"/>
          </w:tcPr>
          <w:p w:rsidR="00E30AEF" w:rsidRDefault="00E30AEF" w:rsidP="00E30AEF">
            <w:pPr>
              <w:pStyle w:val="AERbodytext"/>
            </w:pPr>
            <w:r>
              <w:t>ASRR</w:t>
            </w:r>
          </w:p>
        </w:tc>
        <w:tc>
          <w:tcPr>
            <w:tcW w:w="4621" w:type="dxa"/>
          </w:tcPr>
          <w:p w:rsidR="00E30AEF" w:rsidRDefault="00E30AEF" w:rsidP="00E30AEF">
            <w:pPr>
              <w:pStyle w:val="AERbodytext"/>
              <w:cnfStyle w:val="000000000000" w:firstRow="0" w:lastRow="0" w:firstColumn="0" w:lastColumn="0" w:oddVBand="0" w:evenVBand="0" w:oddHBand="0" w:evenHBand="0" w:firstRowFirstColumn="0" w:firstRowLastColumn="0" w:lastRowFirstColumn="0" w:lastRowLastColumn="0"/>
            </w:pPr>
            <w:r>
              <w:t>aggregate service revenue requirement</w:t>
            </w:r>
          </w:p>
        </w:tc>
      </w:tr>
      <w:tr w:rsidR="00E30AEF" w:rsidTr="00E30A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30AEF" w:rsidRDefault="00E30AEF" w:rsidP="00E30AEF">
            <w:pPr>
              <w:pStyle w:val="AERbodytext"/>
            </w:pPr>
            <w:r>
              <w:t>augex</w:t>
            </w:r>
          </w:p>
        </w:tc>
        <w:tc>
          <w:tcPr>
            <w:tcW w:w="4621" w:type="dxa"/>
          </w:tcPr>
          <w:p w:rsidR="00E30AEF" w:rsidRDefault="00E30AEF" w:rsidP="00E30AEF">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E30AEF" w:rsidTr="00E30AEF">
        <w:tc>
          <w:tcPr>
            <w:cnfStyle w:val="001000000000" w:firstRow="0" w:lastRow="0" w:firstColumn="1" w:lastColumn="0" w:oddVBand="0" w:evenVBand="0" w:oddHBand="0" w:evenHBand="0" w:firstRowFirstColumn="0" w:firstRowLastColumn="0" w:lastRowFirstColumn="0" w:lastRowLastColumn="0"/>
            <w:tcW w:w="4621" w:type="dxa"/>
          </w:tcPr>
          <w:p w:rsidR="00E30AEF" w:rsidRDefault="00E30AEF" w:rsidP="00E30AEF">
            <w:pPr>
              <w:pStyle w:val="AERbodytext"/>
            </w:pPr>
            <w:r>
              <w:t>capex</w:t>
            </w:r>
          </w:p>
        </w:tc>
        <w:tc>
          <w:tcPr>
            <w:tcW w:w="4621" w:type="dxa"/>
          </w:tcPr>
          <w:p w:rsidR="00E30AEF" w:rsidRDefault="00E30AEF" w:rsidP="00E30AEF">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E30AEF" w:rsidTr="00E30A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30AEF" w:rsidRDefault="00E30AEF" w:rsidP="00E30AEF">
            <w:pPr>
              <w:pStyle w:val="AERbodytext"/>
            </w:pPr>
            <w:r>
              <w:t>CCP</w:t>
            </w:r>
          </w:p>
        </w:tc>
        <w:tc>
          <w:tcPr>
            <w:tcW w:w="4621" w:type="dxa"/>
          </w:tcPr>
          <w:p w:rsidR="00E30AEF" w:rsidRDefault="00E30AEF" w:rsidP="00E30AEF">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E30AEF" w:rsidTr="00E30AEF">
        <w:tc>
          <w:tcPr>
            <w:cnfStyle w:val="001000000000" w:firstRow="0" w:lastRow="0" w:firstColumn="1" w:lastColumn="0" w:oddVBand="0" w:evenVBand="0" w:oddHBand="0" w:evenHBand="0" w:firstRowFirstColumn="0" w:firstRowLastColumn="0" w:lastRowFirstColumn="0" w:lastRowLastColumn="0"/>
            <w:tcW w:w="4621" w:type="dxa"/>
          </w:tcPr>
          <w:p w:rsidR="00E30AEF" w:rsidRDefault="00E30AEF" w:rsidP="00E30AEF">
            <w:pPr>
              <w:pStyle w:val="AERbodytext"/>
            </w:pPr>
            <w:r>
              <w:t>CESS</w:t>
            </w:r>
          </w:p>
        </w:tc>
        <w:tc>
          <w:tcPr>
            <w:tcW w:w="4621" w:type="dxa"/>
          </w:tcPr>
          <w:p w:rsidR="00E30AEF" w:rsidRDefault="00E30AEF" w:rsidP="00E30AEF">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E30AEF" w:rsidTr="00E30A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30AEF" w:rsidRDefault="00E30AEF" w:rsidP="00E30AEF">
            <w:pPr>
              <w:pStyle w:val="AERbodytext"/>
            </w:pPr>
            <w:r>
              <w:t>CPI</w:t>
            </w:r>
          </w:p>
        </w:tc>
        <w:tc>
          <w:tcPr>
            <w:tcW w:w="4621" w:type="dxa"/>
          </w:tcPr>
          <w:p w:rsidR="00E30AEF" w:rsidRDefault="00E30AEF" w:rsidP="00E30AEF">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E30AEF" w:rsidTr="00E30AEF">
        <w:tc>
          <w:tcPr>
            <w:cnfStyle w:val="001000000000" w:firstRow="0" w:lastRow="0" w:firstColumn="1" w:lastColumn="0" w:oddVBand="0" w:evenVBand="0" w:oddHBand="0" w:evenHBand="0" w:firstRowFirstColumn="0" w:firstRowLastColumn="0" w:lastRowFirstColumn="0" w:lastRowLastColumn="0"/>
            <w:tcW w:w="4621" w:type="dxa"/>
          </w:tcPr>
          <w:p w:rsidR="00E30AEF" w:rsidRDefault="00E30AEF" w:rsidP="00E30AEF">
            <w:pPr>
              <w:pStyle w:val="AERbodytext"/>
            </w:pPr>
            <w:r>
              <w:t>CPI-X</w:t>
            </w:r>
          </w:p>
        </w:tc>
        <w:tc>
          <w:tcPr>
            <w:tcW w:w="4621" w:type="dxa"/>
          </w:tcPr>
          <w:p w:rsidR="00E30AEF" w:rsidRDefault="00E30AEF" w:rsidP="00E30AEF">
            <w:pPr>
              <w:pStyle w:val="AERbodytext"/>
              <w:cnfStyle w:val="000000000000" w:firstRow="0" w:lastRow="0" w:firstColumn="0" w:lastColumn="0" w:oddVBand="0" w:evenVBand="0" w:oddHBand="0" w:evenHBand="0" w:firstRowFirstColumn="0" w:firstRowLastColumn="0" w:lastRowFirstColumn="0" w:lastRowLastColumn="0"/>
            </w:pPr>
            <w:r>
              <w:t>consumer price index minus X</w:t>
            </w:r>
          </w:p>
        </w:tc>
      </w:tr>
      <w:tr w:rsidR="00E30AEF" w:rsidTr="00E30A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30AEF" w:rsidRDefault="00E30AEF" w:rsidP="00E30AEF">
            <w:pPr>
              <w:pStyle w:val="AERbodytext"/>
            </w:pPr>
            <w:r>
              <w:t>DRP</w:t>
            </w:r>
          </w:p>
        </w:tc>
        <w:tc>
          <w:tcPr>
            <w:tcW w:w="4621" w:type="dxa"/>
          </w:tcPr>
          <w:p w:rsidR="00E30AEF" w:rsidRDefault="00E30AEF" w:rsidP="00E30AEF">
            <w:pPr>
              <w:pStyle w:val="AERbodytext"/>
              <w:cnfStyle w:val="000000010000" w:firstRow="0" w:lastRow="0" w:firstColumn="0" w:lastColumn="0" w:oddVBand="0" w:evenVBand="0" w:oddHBand="0" w:evenHBand="1" w:firstRowFirstColumn="0" w:firstRowLastColumn="0" w:lastRowFirstColumn="0" w:lastRowLastColumn="0"/>
            </w:pPr>
            <w:r>
              <w:t>debt risk premium</w:t>
            </w:r>
          </w:p>
        </w:tc>
      </w:tr>
      <w:tr w:rsidR="00E30AEF" w:rsidTr="00E30AEF">
        <w:tc>
          <w:tcPr>
            <w:cnfStyle w:val="001000000000" w:firstRow="0" w:lastRow="0" w:firstColumn="1" w:lastColumn="0" w:oddVBand="0" w:evenVBand="0" w:oddHBand="0" w:evenHBand="0" w:firstRowFirstColumn="0" w:firstRowLastColumn="0" w:lastRowFirstColumn="0" w:lastRowLastColumn="0"/>
            <w:tcW w:w="4621" w:type="dxa"/>
          </w:tcPr>
          <w:p w:rsidR="00E30AEF" w:rsidRDefault="00E30AEF" w:rsidP="00E30AEF">
            <w:pPr>
              <w:pStyle w:val="AERbodytext"/>
            </w:pPr>
            <w:r>
              <w:t>DMIA</w:t>
            </w:r>
          </w:p>
        </w:tc>
        <w:tc>
          <w:tcPr>
            <w:tcW w:w="4621" w:type="dxa"/>
          </w:tcPr>
          <w:p w:rsidR="00E30AEF" w:rsidRDefault="00E30AEF" w:rsidP="00E30AEF">
            <w:pPr>
              <w:pStyle w:val="AERbodytext"/>
              <w:cnfStyle w:val="000000000000" w:firstRow="0" w:lastRow="0" w:firstColumn="0" w:lastColumn="0" w:oddVBand="0" w:evenVBand="0" w:oddHBand="0" w:evenHBand="0" w:firstRowFirstColumn="0" w:firstRowLastColumn="0" w:lastRowFirstColumn="0" w:lastRowLastColumn="0"/>
            </w:pPr>
            <w:r>
              <w:t>demand management innovation allowance</w:t>
            </w:r>
          </w:p>
        </w:tc>
      </w:tr>
      <w:tr w:rsidR="00E30AEF" w:rsidTr="00E30A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30AEF" w:rsidRDefault="00E30AEF" w:rsidP="00E30AEF">
            <w:pPr>
              <w:pStyle w:val="AERbodytext"/>
            </w:pPr>
            <w:r>
              <w:t>DMIS</w:t>
            </w:r>
          </w:p>
        </w:tc>
        <w:tc>
          <w:tcPr>
            <w:tcW w:w="4621" w:type="dxa"/>
          </w:tcPr>
          <w:p w:rsidR="00E30AEF" w:rsidRDefault="00E30AEF" w:rsidP="00E30AEF">
            <w:pPr>
              <w:pStyle w:val="AERbodytext"/>
              <w:cnfStyle w:val="000000010000" w:firstRow="0" w:lastRow="0" w:firstColumn="0" w:lastColumn="0" w:oddVBand="0" w:evenVBand="0" w:oddHBand="0" w:evenHBand="1" w:firstRowFirstColumn="0" w:firstRowLastColumn="0" w:lastRowFirstColumn="0" w:lastRowLastColumn="0"/>
            </w:pPr>
            <w:r>
              <w:t>demand management incentive scheme</w:t>
            </w:r>
          </w:p>
        </w:tc>
      </w:tr>
      <w:tr w:rsidR="00E30AEF" w:rsidTr="00E30AEF">
        <w:tc>
          <w:tcPr>
            <w:cnfStyle w:val="001000000000" w:firstRow="0" w:lastRow="0" w:firstColumn="1" w:lastColumn="0" w:oddVBand="0" w:evenVBand="0" w:oddHBand="0" w:evenHBand="0" w:firstRowFirstColumn="0" w:firstRowLastColumn="0" w:lastRowFirstColumn="0" w:lastRowLastColumn="0"/>
            <w:tcW w:w="4621" w:type="dxa"/>
          </w:tcPr>
          <w:p w:rsidR="00E30AEF" w:rsidRDefault="00E30AEF" w:rsidP="00E30AEF">
            <w:pPr>
              <w:pStyle w:val="AERbodytext"/>
            </w:pPr>
            <w:r>
              <w:t>distributor</w:t>
            </w:r>
          </w:p>
        </w:tc>
        <w:tc>
          <w:tcPr>
            <w:tcW w:w="4621" w:type="dxa"/>
          </w:tcPr>
          <w:p w:rsidR="00E30AEF" w:rsidRDefault="00E30AEF" w:rsidP="00E30AEF">
            <w:pPr>
              <w:pStyle w:val="AERbodytext"/>
              <w:cnfStyle w:val="000000000000" w:firstRow="0" w:lastRow="0" w:firstColumn="0" w:lastColumn="0" w:oddVBand="0" w:evenVBand="0" w:oddHBand="0" w:evenHBand="0" w:firstRowFirstColumn="0" w:firstRowLastColumn="0" w:lastRowFirstColumn="0" w:lastRowLastColumn="0"/>
            </w:pPr>
            <w:r>
              <w:t>distribution network service provider</w:t>
            </w:r>
          </w:p>
        </w:tc>
      </w:tr>
      <w:tr w:rsidR="00E30AEF" w:rsidTr="00E30A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30AEF" w:rsidRDefault="00E30AEF" w:rsidP="00E30AEF">
            <w:pPr>
              <w:pStyle w:val="AERbodytext"/>
            </w:pPr>
            <w:r>
              <w:t>DUoS</w:t>
            </w:r>
          </w:p>
        </w:tc>
        <w:tc>
          <w:tcPr>
            <w:tcW w:w="4621" w:type="dxa"/>
          </w:tcPr>
          <w:p w:rsidR="00E30AEF" w:rsidRDefault="00E30AEF" w:rsidP="00E30AEF">
            <w:pPr>
              <w:pStyle w:val="AERbodytext"/>
              <w:cnfStyle w:val="000000010000" w:firstRow="0" w:lastRow="0" w:firstColumn="0" w:lastColumn="0" w:oddVBand="0" w:evenVBand="0" w:oddHBand="0" w:evenHBand="1" w:firstRowFirstColumn="0" w:firstRowLastColumn="0" w:lastRowFirstColumn="0" w:lastRowLastColumn="0"/>
            </w:pPr>
            <w:r>
              <w:t>distribution use of system</w:t>
            </w:r>
          </w:p>
        </w:tc>
      </w:tr>
      <w:tr w:rsidR="00E30AEF" w:rsidTr="00E30AEF">
        <w:tc>
          <w:tcPr>
            <w:cnfStyle w:val="001000000000" w:firstRow="0" w:lastRow="0" w:firstColumn="1" w:lastColumn="0" w:oddVBand="0" w:evenVBand="0" w:oddHBand="0" w:evenHBand="0" w:firstRowFirstColumn="0" w:firstRowLastColumn="0" w:lastRowFirstColumn="0" w:lastRowLastColumn="0"/>
            <w:tcW w:w="4621" w:type="dxa"/>
          </w:tcPr>
          <w:p w:rsidR="00E30AEF" w:rsidRDefault="00E30AEF" w:rsidP="00E30AEF">
            <w:pPr>
              <w:pStyle w:val="AERbodytext"/>
            </w:pPr>
            <w:r>
              <w:t>EBSS</w:t>
            </w:r>
          </w:p>
        </w:tc>
        <w:tc>
          <w:tcPr>
            <w:tcW w:w="4621" w:type="dxa"/>
          </w:tcPr>
          <w:p w:rsidR="00E30AEF" w:rsidRDefault="00E30AEF" w:rsidP="00E30AEF">
            <w:pPr>
              <w:pStyle w:val="AERbodytext"/>
              <w:cnfStyle w:val="000000000000" w:firstRow="0" w:lastRow="0" w:firstColumn="0" w:lastColumn="0" w:oddVBand="0" w:evenVBand="0" w:oddHBand="0" w:evenHBand="0" w:firstRowFirstColumn="0" w:firstRowLastColumn="0" w:lastRowFirstColumn="0" w:lastRowLastColumn="0"/>
            </w:pPr>
            <w:r>
              <w:t>efficiency benefit sharing scheme</w:t>
            </w:r>
          </w:p>
        </w:tc>
      </w:tr>
      <w:tr w:rsidR="00E30AEF" w:rsidTr="00E30A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30AEF" w:rsidRDefault="00E30AEF" w:rsidP="00E30AEF">
            <w:pPr>
              <w:pStyle w:val="AERbodytext"/>
            </w:pPr>
            <w:r>
              <w:t>ERP</w:t>
            </w:r>
          </w:p>
        </w:tc>
        <w:tc>
          <w:tcPr>
            <w:tcW w:w="4621" w:type="dxa"/>
          </w:tcPr>
          <w:p w:rsidR="00E30AEF" w:rsidRDefault="00E30AEF" w:rsidP="00E30AEF">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E30AEF" w:rsidTr="00E30AEF">
        <w:tc>
          <w:tcPr>
            <w:cnfStyle w:val="001000000000" w:firstRow="0" w:lastRow="0" w:firstColumn="1" w:lastColumn="0" w:oddVBand="0" w:evenVBand="0" w:oddHBand="0" w:evenHBand="0" w:firstRowFirstColumn="0" w:firstRowLastColumn="0" w:lastRowFirstColumn="0" w:lastRowLastColumn="0"/>
            <w:tcW w:w="4621" w:type="dxa"/>
          </w:tcPr>
          <w:p w:rsidR="00E30AEF" w:rsidRDefault="00E30AEF" w:rsidP="00E30AEF">
            <w:pPr>
              <w:pStyle w:val="AERbodytext"/>
            </w:pPr>
            <w:r>
              <w:t>expenditure assessment guideline</w:t>
            </w:r>
          </w:p>
        </w:tc>
        <w:tc>
          <w:tcPr>
            <w:tcW w:w="4621" w:type="dxa"/>
          </w:tcPr>
          <w:p w:rsidR="00E30AEF" w:rsidRDefault="00E30AEF" w:rsidP="00661C23">
            <w:pPr>
              <w:pStyle w:val="AERbodytext"/>
              <w:cnfStyle w:val="000000000000" w:firstRow="0" w:lastRow="0" w:firstColumn="0" w:lastColumn="0" w:oddVBand="0" w:evenVBand="0" w:oddHBand="0" w:evenHBand="0" w:firstRowFirstColumn="0" w:firstRowLastColumn="0" w:lastRowFirstColumn="0" w:lastRowLastColumn="0"/>
            </w:pPr>
            <w:r>
              <w:t>expenditure forecast assessment guideline for electricity distr</w:t>
            </w:r>
            <w:r w:rsidR="00661C23">
              <w:t>i</w:t>
            </w:r>
            <w:r>
              <w:t>bution</w:t>
            </w:r>
          </w:p>
        </w:tc>
      </w:tr>
      <w:tr w:rsidR="00E30AEF" w:rsidTr="00E30A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30AEF" w:rsidRDefault="00E30AEF" w:rsidP="00E30AEF">
            <w:pPr>
              <w:pStyle w:val="AERbodytext"/>
            </w:pPr>
            <w:r>
              <w:t>F&amp;A</w:t>
            </w:r>
          </w:p>
        </w:tc>
        <w:tc>
          <w:tcPr>
            <w:tcW w:w="4621" w:type="dxa"/>
          </w:tcPr>
          <w:p w:rsidR="00E30AEF" w:rsidRDefault="00E30AEF" w:rsidP="00E30AEF">
            <w:pPr>
              <w:pStyle w:val="AERbodytext"/>
              <w:cnfStyle w:val="000000010000" w:firstRow="0" w:lastRow="0" w:firstColumn="0" w:lastColumn="0" w:oddVBand="0" w:evenVBand="0" w:oddHBand="0" w:evenHBand="1" w:firstRowFirstColumn="0" w:firstRowLastColumn="0" w:lastRowFirstColumn="0" w:lastRowLastColumn="0"/>
            </w:pPr>
            <w:r>
              <w:t>framework and approach</w:t>
            </w:r>
          </w:p>
        </w:tc>
      </w:tr>
      <w:tr w:rsidR="00E30AEF" w:rsidTr="00E30AEF">
        <w:tc>
          <w:tcPr>
            <w:cnfStyle w:val="001000000000" w:firstRow="0" w:lastRow="0" w:firstColumn="1" w:lastColumn="0" w:oddVBand="0" w:evenVBand="0" w:oddHBand="0" w:evenHBand="0" w:firstRowFirstColumn="0" w:firstRowLastColumn="0" w:lastRowFirstColumn="0" w:lastRowLastColumn="0"/>
            <w:tcW w:w="4621" w:type="dxa"/>
          </w:tcPr>
          <w:p w:rsidR="00E30AEF" w:rsidRDefault="00E30AEF" w:rsidP="00E30AEF">
            <w:pPr>
              <w:pStyle w:val="AERbodytext"/>
            </w:pPr>
            <w:r>
              <w:t>MRP</w:t>
            </w:r>
          </w:p>
        </w:tc>
        <w:tc>
          <w:tcPr>
            <w:tcW w:w="4621" w:type="dxa"/>
          </w:tcPr>
          <w:p w:rsidR="00E30AEF" w:rsidRDefault="00E30AEF" w:rsidP="00E30AEF">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E30AEF" w:rsidTr="00E30A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30AEF" w:rsidRDefault="00E30AEF" w:rsidP="00E30AEF">
            <w:pPr>
              <w:pStyle w:val="AERbodytext"/>
            </w:pPr>
            <w:r>
              <w:lastRenderedPageBreak/>
              <w:t>NEL</w:t>
            </w:r>
          </w:p>
        </w:tc>
        <w:tc>
          <w:tcPr>
            <w:tcW w:w="4621" w:type="dxa"/>
          </w:tcPr>
          <w:p w:rsidR="00E30AEF" w:rsidRDefault="00E30AEF" w:rsidP="00E30AEF">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E30AEF" w:rsidTr="00E30AEF">
        <w:tc>
          <w:tcPr>
            <w:cnfStyle w:val="001000000000" w:firstRow="0" w:lastRow="0" w:firstColumn="1" w:lastColumn="0" w:oddVBand="0" w:evenVBand="0" w:oddHBand="0" w:evenHBand="0" w:firstRowFirstColumn="0" w:firstRowLastColumn="0" w:lastRowFirstColumn="0" w:lastRowLastColumn="0"/>
            <w:tcW w:w="4621" w:type="dxa"/>
          </w:tcPr>
          <w:p w:rsidR="00E30AEF" w:rsidRDefault="00E30AEF" w:rsidP="00E30AEF">
            <w:pPr>
              <w:pStyle w:val="AERbodytext"/>
            </w:pPr>
            <w:r>
              <w:t>NEM</w:t>
            </w:r>
          </w:p>
        </w:tc>
        <w:tc>
          <w:tcPr>
            <w:tcW w:w="4621" w:type="dxa"/>
          </w:tcPr>
          <w:p w:rsidR="00E30AEF" w:rsidRDefault="00E30AEF" w:rsidP="00E30AEF">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E30AEF" w:rsidTr="00E30A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30AEF" w:rsidRDefault="00E30AEF" w:rsidP="00E30AEF">
            <w:pPr>
              <w:pStyle w:val="AERbodytext"/>
            </w:pPr>
            <w:r>
              <w:t>NEO</w:t>
            </w:r>
          </w:p>
        </w:tc>
        <w:tc>
          <w:tcPr>
            <w:tcW w:w="4621" w:type="dxa"/>
          </w:tcPr>
          <w:p w:rsidR="00E30AEF" w:rsidRDefault="00E30AEF" w:rsidP="00E30AEF">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E30AEF" w:rsidTr="00E30AEF">
        <w:tc>
          <w:tcPr>
            <w:cnfStyle w:val="001000000000" w:firstRow="0" w:lastRow="0" w:firstColumn="1" w:lastColumn="0" w:oddVBand="0" w:evenVBand="0" w:oddHBand="0" w:evenHBand="0" w:firstRowFirstColumn="0" w:firstRowLastColumn="0" w:lastRowFirstColumn="0" w:lastRowLastColumn="0"/>
            <w:tcW w:w="4621" w:type="dxa"/>
          </w:tcPr>
          <w:p w:rsidR="00E30AEF" w:rsidRDefault="00E30AEF" w:rsidP="00E30AEF">
            <w:pPr>
              <w:pStyle w:val="AERbodytext"/>
            </w:pPr>
            <w:r>
              <w:t>NER</w:t>
            </w:r>
          </w:p>
        </w:tc>
        <w:tc>
          <w:tcPr>
            <w:tcW w:w="4621" w:type="dxa"/>
          </w:tcPr>
          <w:p w:rsidR="00E30AEF" w:rsidRDefault="00E30AEF" w:rsidP="00E30AEF">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E30AEF" w:rsidTr="00E30A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30AEF" w:rsidRDefault="00E30AEF" w:rsidP="00E30AEF">
            <w:pPr>
              <w:pStyle w:val="AERbodytext"/>
            </w:pPr>
            <w:r>
              <w:t>NSP</w:t>
            </w:r>
          </w:p>
        </w:tc>
        <w:tc>
          <w:tcPr>
            <w:tcW w:w="4621" w:type="dxa"/>
          </w:tcPr>
          <w:p w:rsidR="00E30AEF" w:rsidRDefault="00E30AEF" w:rsidP="00E30AEF">
            <w:pPr>
              <w:pStyle w:val="AERbodytext"/>
              <w:cnfStyle w:val="000000010000" w:firstRow="0" w:lastRow="0" w:firstColumn="0" w:lastColumn="0" w:oddVBand="0" w:evenVBand="0" w:oddHBand="0" w:evenHBand="1" w:firstRowFirstColumn="0" w:firstRowLastColumn="0" w:lastRowFirstColumn="0" w:lastRowLastColumn="0"/>
            </w:pPr>
            <w:r>
              <w:t>network service provider</w:t>
            </w:r>
          </w:p>
        </w:tc>
      </w:tr>
      <w:tr w:rsidR="00E30AEF" w:rsidTr="00E30AEF">
        <w:tc>
          <w:tcPr>
            <w:cnfStyle w:val="001000000000" w:firstRow="0" w:lastRow="0" w:firstColumn="1" w:lastColumn="0" w:oddVBand="0" w:evenVBand="0" w:oddHBand="0" w:evenHBand="0" w:firstRowFirstColumn="0" w:firstRowLastColumn="0" w:lastRowFirstColumn="0" w:lastRowLastColumn="0"/>
            <w:tcW w:w="4621" w:type="dxa"/>
          </w:tcPr>
          <w:p w:rsidR="00E30AEF" w:rsidRDefault="00E30AEF" w:rsidP="00E30AEF">
            <w:pPr>
              <w:pStyle w:val="AERbodytext"/>
            </w:pPr>
            <w:r>
              <w:t>opex</w:t>
            </w:r>
          </w:p>
        </w:tc>
        <w:tc>
          <w:tcPr>
            <w:tcW w:w="4621" w:type="dxa"/>
          </w:tcPr>
          <w:p w:rsidR="00E30AEF" w:rsidRDefault="00E30AEF" w:rsidP="00E30AEF">
            <w:pPr>
              <w:pStyle w:val="AERbodytext"/>
              <w:cnfStyle w:val="000000000000" w:firstRow="0" w:lastRow="0" w:firstColumn="0" w:lastColumn="0" w:oddVBand="0" w:evenVBand="0" w:oddHBand="0" w:evenHBand="0" w:firstRowFirstColumn="0" w:firstRowLastColumn="0" w:lastRowFirstColumn="0" w:lastRowLastColumn="0"/>
            </w:pPr>
            <w:r>
              <w:t>operating expenditure</w:t>
            </w:r>
          </w:p>
        </w:tc>
      </w:tr>
      <w:tr w:rsidR="00E30AEF" w:rsidTr="00E30A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30AEF" w:rsidRDefault="00E30AEF" w:rsidP="00E30AEF">
            <w:pPr>
              <w:pStyle w:val="AERbodytext"/>
            </w:pPr>
            <w:r>
              <w:t>PPI</w:t>
            </w:r>
          </w:p>
        </w:tc>
        <w:tc>
          <w:tcPr>
            <w:tcW w:w="4621" w:type="dxa"/>
          </w:tcPr>
          <w:p w:rsidR="00E30AEF" w:rsidRDefault="00E30AEF" w:rsidP="00E30AEF">
            <w:pPr>
              <w:pStyle w:val="AERbodytext"/>
              <w:cnfStyle w:val="000000010000" w:firstRow="0" w:lastRow="0" w:firstColumn="0" w:lastColumn="0" w:oddVBand="0" w:evenVBand="0" w:oddHBand="0" w:evenHBand="1" w:firstRowFirstColumn="0" w:firstRowLastColumn="0" w:lastRowFirstColumn="0" w:lastRowLastColumn="0"/>
            </w:pPr>
            <w:r>
              <w:t>partial performance indicators</w:t>
            </w:r>
          </w:p>
        </w:tc>
      </w:tr>
      <w:tr w:rsidR="00E30AEF" w:rsidTr="00E30AEF">
        <w:tc>
          <w:tcPr>
            <w:cnfStyle w:val="001000000000" w:firstRow="0" w:lastRow="0" w:firstColumn="1" w:lastColumn="0" w:oddVBand="0" w:evenVBand="0" w:oddHBand="0" w:evenHBand="0" w:firstRowFirstColumn="0" w:firstRowLastColumn="0" w:lastRowFirstColumn="0" w:lastRowLastColumn="0"/>
            <w:tcW w:w="4621" w:type="dxa"/>
          </w:tcPr>
          <w:p w:rsidR="00E30AEF" w:rsidRDefault="00E30AEF" w:rsidP="00E30AEF">
            <w:pPr>
              <w:pStyle w:val="AERbodytext"/>
            </w:pPr>
            <w:r>
              <w:t>PTRM</w:t>
            </w:r>
          </w:p>
        </w:tc>
        <w:tc>
          <w:tcPr>
            <w:tcW w:w="4621" w:type="dxa"/>
          </w:tcPr>
          <w:p w:rsidR="00E30AEF" w:rsidRDefault="00E30AEF" w:rsidP="00E30AEF">
            <w:pPr>
              <w:pStyle w:val="AERbodytext"/>
              <w:cnfStyle w:val="000000000000" w:firstRow="0" w:lastRow="0" w:firstColumn="0" w:lastColumn="0" w:oddVBand="0" w:evenVBand="0" w:oddHBand="0" w:evenHBand="0" w:firstRowFirstColumn="0" w:firstRowLastColumn="0" w:lastRowFirstColumn="0" w:lastRowLastColumn="0"/>
            </w:pPr>
            <w:r>
              <w:t>post-tax revenue model</w:t>
            </w:r>
          </w:p>
        </w:tc>
      </w:tr>
      <w:tr w:rsidR="00E30AEF" w:rsidTr="00E30A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30AEF" w:rsidRDefault="00E30AEF" w:rsidP="00E30AEF">
            <w:pPr>
              <w:pStyle w:val="AERbodytext"/>
            </w:pPr>
            <w:r>
              <w:t>RAB</w:t>
            </w:r>
          </w:p>
        </w:tc>
        <w:tc>
          <w:tcPr>
            <w:tcW w:w="4621" w:type="dxa"/>
          </w:tcPr>
          <w:p w:rsidR="00E30AEF" w:rsidRDefault="00E30AEF" w:rsidP="00E30AEF">
            <w:pPr>
              <w:pStyle w:val="AERbodytext"/>
              <w:cnfStyle w:val="000000010000" w:firstRow="0" w:lastRow="0" w:firstColumn="0" w:lastColumn="0" w:oddVBand="0" w:evenVBand="0" w:oddHBand="0" w:evenHBand="1" w:firstRowFirstColumn="0" w:firstRowLastColumn="0" w:lastRowFirstColumn="0" w:lastRowLastColumn="0"/>
            </w:pPr>
            <w:r>
              <w:t>regulatory asset base</w:t>
            </w:r>
          </w:p>
        </w:tc>
      </w:tr>
      <w:tr w:rsidR="00E30AEF" w:rsidTr="00E30AEF">
        <w:tc>
          <w:tcPr>
            <w:cnfStyle w:val="001000000000" w:firstRow="0" w:lastRow="0" w:firstColumn="1" w:lastColumn="0" w:oddVBand="0" w:evenVBand="0" w:oddHBand="0" w:evenHBand="0" w:firstRowFirstColumn="0" w:firstRowLastColumn="0" w:lastRowFirstColumn="0" w:lastRowLastColumn="0"/>
            <w:tcW w:w="4621" w:type="dxa"/>
          </w:tcPr>
          <w:p w:rsidR="00E30AEF" w:rsidRDefault="00E30AEF" w:rsidP="00E30AEF">
            <w:pPr>
              <w:pStyle w:val="AERbodytext"/>
            </w:pPr>
            <w:r>
              <w:t>RBA</w:t>
            </w:r>
          </w:p>
        </w:tc>
        <w:tc>
          <w:tcPr>
            <w:tcW w:w="4621" w:type="dxa"/>
          </w:tcPr>
          <w:p w:rsidR="00E30AEF" w:rsidRDefault="00E30AEF" w:rsidP="00E30AEF">
            <w:pPr>
              <w:pStyle w:val="AERbodytext"/>
              <w:cnfStyle w:val="000000000000" w:firstRow="0" w:lastRow="0" w:firstColumn="0" w:lastColumn="0" w:oddVBand="0" w:evenVBand="0" w:oddHBand="0" w:evenHBand="0" w:firstRowFirstColumn="0" w:firstRowLastColumn="0" w:lastRowFirstColumn="0" w:lastRowLastColumn="0"/>
            </w:pPr>
            <w:r>
              <w:t>Reserve Bank of Australia</w:t>
            </w:r>
          </w:p>
        </w:tc>
      </w:tr>
      <w:tr w:rsidR="00E30AEF" w:rsidTr="00E30A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30AEF" w:rsidRDefault="00E30AEF" w:rsidP="00E30AEF">
            <w:pPr>
              <w:pStyle w:val="AERbodytext"/>
            </w:pPr>
            <w:r>
              <w:t>repex</w:t>
            </w:r>
          </w:p>
        </w:tc>
        <w:tc>
          <w:tcPr>
            <w:tcW w:w="4621" w:type="dxa"/>
          </w:tcPr>
          <w:p w:rsidR="00E30AEF" w:rsidRDefault="00E30AEF" w:rsidP="00E30AEF">
            <w:pPr>
              <w:pStyle w:val="AERbodytext"/>
              <w:cnfStyle w:val="000000010000" w:firstRow="0" w:lastRow="0" w:firstColumn="0" w:lastColumn="0" w:oddVBand="0" w:evenVBand="0" w:oddHBand="0" w:evenHBand="1" w:firstRowFirstColumn="0" w:firstRowLastColumn="0" w:lastRowFirstColumn="0" w:lastRowLastColumn="0"/>
            </w:pPr>
            <w:r>
              <w:t>replacement expenditure</w:t>
            </w:r>
          </w:p>
        </w:tc>
      </w:tr>
      <w:tr w:rsidR="00E30AEF" w:rsidTr="00E30AEF">
        <w:tc>
          <w:tcPr>
            <w:cnfStyle w:val="001000000000" w:firstRow="0" w:lastRow="0" w:firstColumn="1" w:lastColumn="0" w:oddVBand="0" w:evenVBand="0" w:oddHBand="0" w:evenHBand="0" w:firstRowFirstColumn="0" w:firstRowLastColumn="0" w:lastRowFirstColumn="0" w:lastRowLastColumn="0"/>
            <w:tcW w:w="4621" w:type="dxa"/>
          </w:tcPr>
          <w:p w:rsidR="00E30AEF" w:rsidRDefault="00E30AEF" w:rsidP="00E30AEF">
            <w:pPr>
              <w:pStyle w:val="AERbodytext"/>
            </w:pPr>
            <w:r>
              <w:t>RFM</w:t>
            </w:r>
          </w:p>
        </w:tc>
        <w:tc>
          <w:tcPr>
            <w:tcW w:w="4621" w:type="dxa"/>
          </w:tcPr>
          <w:p w:rsidR="00E30AEF" w:rsidRDefault="00E30AEF" w:rsidP="00E30AEF">
            <w:pPr>
              <w:pStyle w:val="AERbodytext"/>
              <w:cnfStyle w:val="000000000000" w:firstRow="0" w:lastRow="0" w:firstColumn="0" w:lastColumn="0" w:oddVBand="0" w:evenVBand="0" w:oddHBand="0" w:evenHBand="0" w:firstRowFirstColumn="0" w:firstRowLastColumn="0" w:lastRowFirstColumn="0" w:lastRowLastColumn="0"/>
            </w:pPr>
            <w:r>
              <w:t>roll forward model</w:t>
            </w:r>
          </w:p>
        </w:tc>
      </w:tr>
      <w:tr w:rsidR="00E30AEF" w:rsidTr="00E30A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30AEF" w:rsidRDefault="00E30AEF" w:rsidP="00E30AEF">
            <w:pPr>
              <w:pStyle w:val="AERbodytext"/>
            </w:pPr>
            <w:r>
              <w:t>RIN</w:t>
            </w:r>
          </w:p>
        </w:tc>
        <w:tc>
          <w:tcPr>
            <w:tcW w:w="4621" w:type="dxa"/>
          </w:tcPr>
          <w:p w:rsidR="00E30AEF" w:rsidRDefault="00E30AEF" w:rsidP="00E30AEF">
            <w:pPr>
              <w:pStyle w:val="AERbodytext"/>
              <w:cnfStyle w:val="000000010000" w:firstRow="0" w:lastRow="0" w:firstColumn="0" w:lastColumn="0" w:oddVBand="0" w:evenVBand="0" w:oddHBand="0" w:evenHBand="1" w:firstRowFirstColumn="0" w:firstRowLastColumn="0" w:lastRowFirstColumn="0" w:lastRowLastColumn="0"/>
            </w:pPr>
            <w:r>
              <w:t>regulatory information notice</w:t>
            </w:r>
          </w:p>
        </w:tc>
      </w:tr>
      <w:tr w:rsidR="00E30AEF" w:rsidTr="00E30AEF">
        <w:tc>
          <w:tcPr>
            <w:cnfStyle w:val="001000000000" w:firstRow="0" w:lastRow="0" w:firstColumn="1" w:lastColumn="0" w:oddVBand="0" w:evenVBand="0" w:oddHBand="0" w:evenHBand="0" w:firstRowFirstColumn="0" w:firstRowLastColumn="0" w:lastRowFirstColumn="0" w:lastRowLastColumn="0"/>
            <w:tcW w:w="4621" w:type="dxa"/>
          </w:tcPr>
          <w:p w:rsidR="00E30AEF" w:rsidRDefault="00E30AEF" w:rsidP="00E30AEF">
            <w:pPr>
              <w:pStyle w:val="AERbodytext"/>
            </w:pPr>
            <w:r>
              <w:t>RPP</w:t>
            </w:r>
          </w:p>
        </w:tc>
        <w:tc>
          <w:tcPr>
            <w:tcW w:w="4621" w:type="dxa"/>
          </w:tcPr>
          <w:p w:rsidR="00E30AEF" w:rsidRDefault="00E30AEF" w:rsidP="00E30AEF">
            <w:pPr>
              <w:pStyle w:val="AERbodytext"/>
              <w:cnfStyle w:val="000000000000" w:firstRow="0" w:lastRow="0" w:firstColumn="0" w:lastColumn="0" w:oddVBand="0" w:evenVBand="0" w:oddHBand="0" w:evenHBand="0" w:firstRowFirstColumn="0" w:firstRowLastColumn="0" w:lastRowFirstColumn="0" w:lastRowLastColumn="0"/>
            </w:pPr>
            <w:r>
              <w:t>revenue pricing principles</w:t>
            </w:r>
          </w:p>
        </w:tc>
      </w:tr>
      <w:tr w:rsidR="00E30AEF" w:rsidTr="00E30A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30AEF" w:rsidRDefault="00E30AEF" w:rsidP="00E30AEF">
            <w:pPr>
              <w:pStyle w:val="AERbodytext"/>
            </w:pPr>
            <w:r>
              <w:t>SAIDI</w:t>
            </w:r>
          </w:p>
        </w:tc>
        <w:tc>
          <w:tcPr>
            <w:tcW w:w="4621" w:type="dxa"/>
          </w:tcPr>
          <w:p w:rsidR="00E30AEF" w:rsidRDefault="00E30AEF" w:rsidP="00E30AEF">
            <w:pPr>
              <w:pStyle w:val="AERbodytext"/>
              <w:cnfStyle w:val="000000010000" w:firstRow="0" w:lastRow="0" w:firstColumn="0" w:lastColumn="0" w:oddVBand="0" w:evenVBand="0" w:oddHBand="0" w:evenHBand="1" w:firstRowFirstColumn="0" w:firstRowLastColumn="0" w:lastRowFirstColumn="0" w:lastRowLastColumn="0"/>
            </w:pPr>
            <w:r>
              <w:t>system average interruption duration index</w:t>
            </w:r>
          </w:p>
        </w:tc>
      </w:tr>
      <w:tr w:rsidR="00E30AEF" w:rsidTr="00E30AEF">
        <w:tc>
          <w:tcPr>
            <w:cnfStyle w:val="001000000000" w:firstRow="0" w:lastRow="0" w:firstColumn="1" w:lastColumn="0" w:oddVBand="0" w:evenVBand="0" w:oddHBand="0" w:evenHBand="0" w:firstRowFirstColumn="0" w:firstRowLastColumn="0" w:lastRowFirstColumn="0" w:lastRowLastColumn="0"/>
            <w:tcW w:w="4621" w:type="dxa"/>
          </w:tcPr>
          <w:p w:rsidR="00E30AEF" w:rsidRDefault="00E30AEF" w:rsidP="00E30AEF">
            <w:pPr>
              <w:pStyle w:val="AERbodytext"/>
            </w:pPr>
            <w:r>
              <w:t>SAIFI</w:t>
            </w:r>
          </w:p>
        </w:tc>
        <w:tc>
          <w:tcPr>
            <w:tcW w:w="4621" w:type="dxa"/>
          </w:tcPr>
          <w:p w:rsidR="00E30AEF" w:rsidRDefault="00E30AEF" w:rsidP="00E30AEF">
            <w:pPr>
              <w:pStyle w:val="AERbodytext"/>
              <w:cnfStyle w:val="000000000000" w:firstRow="0" w:lastRow="0" w:firstColumn="0" w:lastColumn="0" w:oddVBand="0" w:evenVBand="0" w:oddHBand="0" w:evenHBand="0" w:firstRowFirstColumn="0" w:firstRowLastColumn="0" w:lastRowFirstColumn="0" w:lastRowLastColumn="0"/>
            </w:pPr>
            <w:r>
              <w:t>system average interruption frequency index</w:t>
            </w:r>
          </w:p>
        </w:tc>
      </w:tr>
      <w:tr w:rsidR="00E30AEF" w:rsidTr="00E30A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30AEF" w:rsidRDefault="00E30AEF" w:rsidP="00E30AEF">
            <w:pPr>
              <w:pStyle w:val="AERbodytext"/>
            </w:pPr>
            <w:r>
              <w:t>SLCAPM</w:t>
            </w:r>
          </w:p>
        </w:tc>
        <w:tc>
          <w:tcPr>
            <w:tcW w:w="4621" w:type="dxa"/>
          </w:tcPr>
          <w:p w:rsidR="00E30AEF" w:rsidRDefault="00E30AEF" w:rsidP="00E30AEF">
            <w:pPr>
              <w:pStyle w:val="AERbodytext"/>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E30AEF" w:rsidTr="00E30AEF">
        <w:tc>
          <w:tcPr>
            <w:cnfStyle w:val="001000000000" w:firstRow="0" w:lastRow="0" w:firstColumn="1" w:lastColumn="0" w:oddVBand="0" w:evenVBand="0" w:oddHBand="0" w:evenHBand="0" w:firstRowFirstColumn="0" w:firstRowLastColumn="0" w:lastRowFirstColumn="0" w:lastRowLastColumn="0"/>
            <w:tcW w:w="4621" w:type="dxa"/>
          </w:tcPr>
          <w:p w:rsidR="00E30AEF" w:rsidRDefault="00E30AEF" w:rsidP="00E30AEF">
            <w:pPr>
              <w:pStyle w:val="AERbodytext"/>
            </w:pPr>
            <w:r>
              <w:t>STPIS</w:t>
            </w:r>
          </w:p>
        </w:tc>
        <w:tc>
          <w:tcPr>
            <w:tcW w:w="4621" w:type="dxa"/>
          </w:tcPr>
          <w:p w:rsidR="00E30AEF" w:rsidRDefault="00E30AEF" w:rsidP="00E30AEF">
            <w:pPr>
              <w:pStyle w:val="AERbodytext"/>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E30AEF" w:rsidTr="00E30A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30AEF" w:rsidRDefault="00E30AEF" w:rsidP="00E30AEF">
            <w:pPr>
              <w:pStyle w:val="AERbodytext"/>
            </w:pPr>
            <w:r>
              <w:t>WACC</w:t>
            </w:r>
          </w:p>
        </w:tc>
        <w:tc>
          <w:tcPr>
            <w:tcW w:w="4621" w:type="dxa"/>
          </w:tcPr>
          <w:p w:rsidR="00E30AEF" w:rsidRDefault="00E30AEF" w:rsidP="00E30AEF">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9F030C" w:rsidRDefault="009F030C" w:rsidP="00E30AEF">
      <w:pPr>
        <w:pStyle w:val="Heading1"/>
      </w:pPr>
      <w:bookmarkStart w:id="7" w:name="_Toc404700026"/>
      <w:r>
        <w:lastRenderedPageBreak/>
        <w:t>Corporate income tax</w:t>
      </w:r>
      <w:bookmarkEnd w:id="1"/>
      <w:bookmarkEnd w:id="7"/>
    </w:p>
    <w:p w:rsidR="00743F54" w:rsidRDefault="00972243" w:rsidP="00743F54">
      <w:pPr>
        <w:pStyle w:val="AERbodytext"/>
      </w:pPr>
      <w:r>
        <w:t xml:space="preserve">We are required to make a decision on the </w:t>
      </w:r>
      <w:r w:rsidR="00B01736" w:rsidRPr="00B01736">
        <w:t xml:space="preserve">estimated cost of corporate income tax </w:t>
      </w:r>
      <w:r>
        <w:t xml:space="preserve">for </w:t>
      </w:r>
      <w:r w:rsidR="00851E60">
        <w:t>ActewAGL's</w:t>
      </w:r>
      <w:r>
        <w:t xml:space="preserve"> </w:t>
      </w:r>
      <w:r w:rsidR="00851E60">
        <w:t xml:space="preserve">2014–19 </w:t>
      </w:r>
      <w:r>
        <w:t>period.</w:t>
      </w:r>
      <w:r>
        <w:rPr>
          <w:rStyle w:val="FootnoteReference"/>
        </w:rPr>
        <w:footnoteReference w:id="1"/>
      </w:r>
      <w:r>
        <w:t xml:space="preserve"> Under the post-tax framework, a corporate income tax allowance is calculated as part of the </w:t>
      </w:r>
      <w:r w:rsidR="00B01736" w:rsidRPr="00B01736">
        <w:t>building block</w:t>
      </w:r>
      <w:r>
        <w:t xml:space="preserve"> assessment using o</w:t>
      </w:r>
      <w:r w:rsidR="00851E60">
        <w:t>ur</w:t>
      </w:r>
      <w:r>
        <w:t xml:space="preserve"> post-tax revenue model (PTRM). </w:t>
      </w:r>
      <w:r w:rsidR="00A15835" w:rsidRPr="00C27D6D">
        <w:t xml:space="preserve">This amount enables </w:t>
      </w:r>
      <w:r>
        <w:t>ActewAGL to recover the costs associated with the estimated co</w:t>
      </w:r>
      <w:r w:rsidR="00851E60">
        <w:t>rporate</w:t>
      </w:r>
      <w:r>
        <w:t xml:space="preserve"> income tax </w:t>
      </w:r>
      <w:r w:rsidR="00851E60">
        <w:t xml:space="preserve">payable </w:t>
      </w:r>
      <w:r>
        <w:t xml:space="preserve">during the 2014–19 </w:t>
      </w:r>
      <w:r w:rsidR="00631168" w:rsidRPr="00631168">
        <w:t>period</w:t>
      </w:r>
      <w:r w:rsidR="00631168">
        <w:t>.</w:t>
      </w:r>
      <w:r w:rsidR="00631168" w:rsidRPr="00631168">
        <w:t xml:space="preserve"> </w:t>
      </w:r>
    </w:p>
    <w:p w:rsidR="00B01736" w:rsidRPr="00B01736" w:rsidRDefault="00631168" w:rsidP="00743F54">
      <w:pPr>
        <w:pStyle w:val="AERbodytext"/>
      </w:pPr>
      <w:r w:rsidRPr="00631168">
        <w:t xml:space="preserve">This attachment </w:t>
      </w:r>
      <w:r>
        <w:t xml:space="preserve">presents </w:t>
      </w:r>
      <w:r w:rsidRPr="00631168">
        <w:t xml:space="preserve">our </w:t>
      </w:r>
      <w:r w:rsidR="00743F54" w:rsidRPr="00743F54">
        <w:t>assessment of</w:t>
      </w:r>
      <w:r w:rsidR="00743F54">
        <w:t xml:space="preserve"> </w:t>
      </w:r>
      <w:r w:rsidR="00972243">
        <w:t>ActewAGL's proposed corpor</w:t>
      </w:r>
      <w:r w:rsidR="0043688D">
        <w:t>a</w:t>
      </w:r>
      <w:r w:rsidR="00972243">
        <w:t xml:space="preserve">te income </w:t>
      </w:r>
      <w:r w:rsidR="00743F54">
        <w:t>tax allowances for the 2014–19 period</w:t>
      </w:r>
      <w:r w:rsidR="00851E60">
        <w:t xml:space="preserve"> in respect of its distribution and transmission networks</w:t>
      </w:r>
      <w:r w:rsidRPr="00631168">
        <w:t xml:space="preserve">. It also presents our assessment of </w:t>
      </w:r>
      <w:r w:rsidR="00972243">
        <w:t>its</w:t>
      </w:r>
      <w:r w:rsidRPr="00631168">
        <w:t xml:space="preserve"> proposed opening tax asset base</w:t>
      </w:r>
      <w:r w:rsidR="00851E60">
        <w:t>s</w:t>
      </w:r>
      <w:r w:rsidRPr="00631168">
        <w:t xml:space="preserve"> (TAB</w:t>
      </w:r>
      <w:r w:rsidR="00851E60">
        <w:t>s</w:t>
      </w:r>
      <w:r w:rsidRPr="00631168">
        <w:t>)</w:t>
      </w:r>
      <w:r w:rsidR="00851E60">
        <w:t>,</w:t>
      </w:r>
      <w:r w:rsidRPr="00631168">
        <w:t xml:space="preserve"> and the standard and remaining tax asset lives used to estimate tax depreciation for the purpose of </w:t>
      </w:r>
      <w:r w:rsidR="0043688D">
        <w:t xml:space="preserve">calculating </w:t>
      </w:r>
      <w:r>
        <w:t xml:space="preserve">tax </w:t>
      </w:r>
      <w:r w:rsidR="00972243">
        <w:t>expenses</w:t>
      </w:r>
      <w:r w:rsidRPr="00631168">
        <w:t>.</w:t>
      </w:r>
    </w:p>
    <w:p w:rsidR="009F030C" w:rsidRDefault="009F030C" w:rsidP="00E30AEF">
      <w:pPr>
        <w:pStyle w:val="Heading2"/>
        <w:numPr>
          <w:ilvl w:val="2"/>
          <w:numId w:val="46"/>
        </w:numPr>
      </w:pPr>
      <w:bookmarkStart w:id="8" w:name="_Toc387916829"/>
      <w:bookmarkStart w:id="9" w:name="_Toc404700027"/>
      <w:r>
        <w:t>D</w:t>
      </w:r>
      <w:r w:rsidRPr="00525604">
        <w:t>raft decision</w:t>
      </w:r>
      <w:bookmarkEnd w:id="8"/>
      <w:bookmarkEnd w:id="9"/>
    </w:p>
    <w:p w:rsidR="007A4305" w:rsidRDefault="00392214" w:rsidP="007A4305">
      <w:pPr>
        <w:pStyle w:val="AERbodytext"/>
        <w:numPr>
          <w:ilvl w:val="0"/>
          <w:numId w:val="0"/>
        </w:numPr>
      </w:pPr>
      <w:r w:rsidRPr="00392214">
        <w:t xml:space="preserve">We do not accept </w:t>
      </w:r>
      <w:r w:rsidR="00972243">
        <w:t xml:space="preserve">ActewAGL's proposed </w:t>
      </w:r>
      <w:r w:rsidRPr="00392214">
        <w:t>estimated cost of corporate income tax allowance</w:t>
      </w:r>
      <w:r w:rsidR="00E41CD5">
        <w:t>s</w:t>
      </w:r>
      <w:r w:rsidRPr="00392214">
        <w:t xml:space="preserve"> of $</w:t>
      </w:r>
      <w:r w:rsidR="00A746B2">
        <w:t>53.7</w:t>
      </w:r>
      <w:r w:rsidR="000334EF">
        <w:t> </w:t>
      </w:r>
      <w:r w:rsidRPr="00392214">
        <w:t xml:space="preserve">million </w:t>
      </w:r>
      <w:r w:rsidR="00E41CD5">
        <w:t>and $</w:t>
      </w:r>
      <w:r w:rsidR="00A746B2">
        <w:t>9.0</w:t>
      </w:r>
      <w:r w:rsidR="00E41CD5">
        <w:t> million ($ nominal) for its distribution and transmission networks respectively</w:t>
      </w:r>
      <w:r w:rsidRPr="00392214">
        <w:t xml:space="preserve">. </w:t>
      </w:r>
      <w:r w:rsidR="00AF7634">
        <w:t>Our draft decision on the estimated</w:t>
      </w:r>
      <w:r w:rsidR="00BB19E4">
        <w:t xml:space="preserve"> </w:t>
      </w:r>
      <w:r w:rsidR="00851E60">
        <w:t xml:space="preserve">cost of </w:t>
      </w:r>
      <w:r w:rsidR="00BB19E4">
        <w:t>corporate income tax</w:t>
      </w:r>
      <w:r w:rsidRPr="00392214">
        <w:t xml:space="preserve"> </w:t>
      </w:r>
      <w:r w:rsidR="00AF7634">
        <w:t>is</w:t>
      </w:r>
      <w:r w:rsidRPr="00392214">
        <w:t xml:space="preserve"> $</w:t>
      </w:r>
      <w:r w:rsidR="00C370C2">
        <w:t>31.4</w:t>
      </w:r>
      <w:r w:rsidR="00E41CD5">
        <w:t> </w:t>
      </w:r>
      <w:r w:rsidRPr="00392214">
        <w:t xml:space="preserve">million </w:t>
      </w:r>
      <w:r w:rsidR="00E41CD5">
        <w:t>and $</w:t>
      </w:r>
      <w:r w:rsidR="00C370C2">
        <w:t>4.4</w:t>
      </w:r>
      <w:r w:rsidR="00E41CD5">
        <w:t xml:space="preserve"> million ($ nominal) </w:t>
      </w:r>
      <w:r w:rsidRPr="00392214">
        <w:t xml:space="preserve">for </w:t>
      </w:r>
      <w:r w:rsidR="00E41CD5">
        <w:t>A</w:t>
      </w:r>
      <w:r w:rsidR="0002354D">
        <w:t>ctewAGL</w:t>
      </w:r>
      <w:r w:rsidR="00E41CD5">
        <w:t>'s distribution and transmission networks respectively</w:t>
      </w:r>
      <w:r w:rsidR="00AF7634">
        <w:t xml:space="preserve"> over the 2014</w:t>
      </w:r>
      <w:r w:rsidR="00A2161D">
        <w:t>–</w:t>
      </w:r>
      <w:r w:rsidR="00AF7634">
        <w:t>19 period</w:t>
      </w:r>
      <w:r w:rsidR="00E41CD5">
        <w:t>. This represents</w:t>
      </w:r>
      <w:r w:rsidRPr="00392214">
        <w:t xml:space="preserve"> a reduction of $</w:t>
      </w:r>
      <w:r w:rsidR="00C370C2">
        <w:t>22.3</w:t>
      </w:r>
      <w:r w:rsidR="00E30AEF">
        <w:t> million</w:t>
      </w:r>
      <w:r w:rsidRPr="00392214">
        <w:t xml:space="preserve"> (or </w:t>
      </w:r>
      <w:r w:rsidR="00C370C2">
        <w:t>41.5</w:t>
      </w:r>
      <w:r w:rsidRPr="00392214">
        <w:t xml:space="preserve"> per cent) </w:t>
      </w:r>
      <w:r w:rsidR="00E41CD5">
        <w:t xml:space="preserve">for its distribution network and </w:t>
      </w:r>
      <w:r w:rsidR="00E41CD5" w:rsidRPr="00E41CD5">
        <w:t>a reduction of $</w:t>
      </w:r>
      <w:r w:rsidR="00C370C2">
        <w:t>4.5</w:t>
      </w:r>
      <w:r w:rsidR="00E30AEF">
        <w:t> million</w:t>
      </w:r>
      <w:r w:rsidR="00E41CD5" w:rsidRPr="00E41CD5">
        <w:t xml:space="preserve"> (or </w:t>
      </w:r>
      <w:r w:rsidR="00C370C2">
        <w:t>50.3</w:t>
      </w:r>
      <w:r w:rsidR="00E41CD5" w:rsidRPr="00E41CD5">
        <w:t xml:space="preserve"> per cent) for its </w:t>
      </w:r>
      <w:r w:rsidR="00E41CD5">
        <w:t>transmission</w:t>
      </w:r>
      <w:r w:rsidR="00E41CD5" w:rsidRPr="00E41CD5">
        <w:t xml:space="preserve"> network </w:t>
      </w:r>
      <w:r w:rsidR="00E41CD5">
        <w:t>compared to</w:t>
      </w:r>
      <w:r w:rsidRPr="00392214">
        <w:t xml:space="preserve"> </w:t>
      </w:r>
      <w:r w:rsidR="00E41CD5">
        <w:t xml:space="preserve">its </w:t>
      </w:r>
      <w:r w:rsidRPr="00392214">
        <w:t>proposal.</w:t>
      </w:r>
    </w:p>
    <w:p w:rsidR="00E41CD5" w:rsidRDefault="002F4066" w:rsidP="007A4305">
      <w:pPr>
        <w:pStyle w:val="AERbodytext"/>
        <w:numPr>
          <w:ilvl w:val="0"/>
          <w:numId w:val="0"/>
        </w:numPr>
      </w:pPr>
      <w:r>
        <w:t xml:space="preserve">These </w:t>
      </w:r>
      <w:r w:rsidR="0002354D">
        <w:t>reduction</w:t>
      </w:r>
      <w:r>
        <w:t>s</w:t>
      </w:r>
      <w:r w:rsidR="0002354D">
        <w:t xml:space="preserve"> reflect our amendments to </w:t>
      </w:r>
      <w:r w:rsidR="00851E60">
        <w:t xml:space="preserve">some of </w:t>
      </w:r>
      <w:r w:rsidR="0002354D">
        <w:t>ActewAGL's proposed inputs to forecast</w:t>
      </w:r>
      <w:r w:rsidR="00851E60">
        <w:t>ing the</w:t>
      </w:r>
      <w:r w:rsidR="0002354D">
        <w:t xml:space="preserve"> cost of corporate tax </w:t>
      </w:r>
      <w:r w:rsidR="00851E60">
        <w:t>such as</w:t>
      </w:r>
      <w:r w:rsidR="0002354D">
        <w:t xml:space="preserve"> the standard </w:t>
      </w:r>
      <w:r w:rsidR="0043688D">
        <w:t>tax</w:t>
      </w:r>
      <w:r w:rsidR="0002354D">
        <w:t xml:space="preserve"> asset lives (section </w:t>
      </w:r>
      <w:r w:rsidR="00C370C2">
        <w:fldChar w:fldCharType="begin"/>
      </w:r>
      <w:r w:rsidR="00C370C2">
        <w:instrText xml:space="preserve"> REF _Ref404089817 \r \h </w:instrText>
      </w:r>
      <w:r w:rsidR="00C370C2">
        <w:fldChar w:fldCharType="separate"/>
      </w:r>
      <w:r w:rsidR="00914556">
        <w:t>8.4.2</w:t>
      </w:r>
      <w:r w:rsidR="00C370C2">
        <w:fldChar w:fldCharType="end"/>
      </w:r>
      <w:r w:rsidR="00B96759">
        <w:t>)</w:t>
      </w:r>
      <w:r w:rsidR="0002354D">
        <w:t>. It also ref</w:t>
      </w:r>
      <w:r w:rsidR="000929A0">
        <w:t>le</w:t>
      </w:r>
      <w:r w:rsidR="0043688D">
        <w:t>ct</w:t>
      </w:r>
      <w:r w:rsidR="0002354D">
        <w:t>s our draft decision on the value of imputation credits</w:t>
      </w:r>
      <w:r w:rsidR="00E41CD5" w:rsidRPr="00E41CD5">
        <w:t>—gamma—(</w:t>
      </w:r>
      <w:r w:rsidR="00A369D5">
        <w:t xml:space="preserve">attachment </w:t>
      </w:r>
      <w:r w:rsidR="00E30AEF">
        <w:t>4</w:t>
      </w:r>
      <w:r w:rsidR="00B96759">
        <w:t>)</w:t>
      </w:r>
      <w:r w:rsidR="0002354D">
        <w:t xml:space="preserve">. </w:t>
      </w:r>
      <w:r>
        <w:t>C</w:t>
      </w:r>
      <w:r w:rsidR="00BB19E4">
        <w:t>hange</w:t>
      </w:r>
      <w:r>
        <w:t>s</w:t>
      </w:r>
      <w:r w:rsidR="00BB19E4">
        <w:t xml:space="preserve"> to building block </w:t>
      </w:r>
      <w:r>
        <w:t xml:space="preserve">costs </w:t>
      </w:r>
      <w:r w:rsidR="00BB19E4">
        <w:t>affect revenues</w:t>
      </w:r>
      <w:r>
        <w:t>,</w:t>
      </w:r>
      <w:r w:rsidR="0043688D">
        <w:t xml:space="preserve"> </w:t>
      </w:r>
      <w:r>
        <w:t xml:space="preserve">which </w:t>
      </w:r>
      <w:r w:rsidR="00BB19E4">
        <w:t xml:space="preserve">also impact the tax calculation. The changes affecting revenues are discussed in attachment </w:t>
      </w:r>
      <w:r w:rsidR="00C370C2">
        <w:t>1</w:t>
      </w:r>
      <w:r w:rsidR="00E41CD5" w:rsidRPr="00E41CD5">
        <w:t>.</w:t>
      </w:r>
    </w:p>
    <w:p w:rsidR="00914556" w:rsidRDefault="00914556">
      <w:pPr>
        <w:spacing w:after="0" w:line="240" w:lineRule="auto"/>
        <w:jc w:val="left"/>
        <w:rPr>
          <w:rFonts w:eastAsia="Times New Roman"/>
          <w:szCs w:val="24"/>
        </w:rPr>
      </w:pPr>
      <w:r>
        <w:br w:type="page"/>
      </w:r>
    </w:p>
    <w:p w:rsidR="00E41CD5" w:rsidRDefault="00814626" w:rsidP="007A4305">
      <w:pPr>
        <w:pStyle w:val="AERbodytext"/>
        <w:numPr>
          <w:ilvl w:val="0"/>
          <w:numId w:val="0"/>
        </w:numPr>
      </w:pPr>
      <w:r>
        <w:lastRenderedPageBreak/>
        <w:fldChar w:fldCharType="begin"/>
      </w:r>
      <w:r>
        <w:instrText xml:space="preserve"> REF _Ref394671245 \h </w:instrText>
      </w:r>
      <w:r>
        <w:fldChar w:fldCharType="separate"/>
      </w:r>
      <w:r w:rsidR="00914556">
        <w:t xml:space="preserve">Table </w:t>
      </w:r>
      <w:r w:rsidR="00914556">
        <w:rPr>
          <w:noProof/>
        </w:rPr>
        <w:t>8</w:t>
      </w:r>
      <w:r w:rsidR="00914556">
        <w:t>.</w:t>
      </w:r>
      <w:r w:rsidR="00914556">
        <w:rPr>
          <w:noProof/>
        </w:rPr>
        <w:t>1</w:t>
      </w:r>
      <w:r>
        <w:fldChar w:fldCharType="end"/>
      </w:r>
      <w:r>
        <w:t xml:space="preserve"> and </w:t>
      </w:r>
      <w:r>
        <w:rPr>
          <w:rFonts w:eastAsia="Calibri"/>
          <w:szCs w:val="20"/>
        </w:rPr>
        <w:fldChar w:fldCharType="begin"/>
      </w:r>
      <w:r>
        <w:instrText xml:space="preserve"> REF _Ref394671252 \h </w:instrText>
      </w:r>
      <w:r>
        <w:rPr>
          <w:rFonts w:eastAsia="Calibri"/>
          <w:szCs w:val="20"/>
        </w:rPr>
      </w:r>
      <w:r>
        <w:rPr>
          <w:rFonts w:eastAsia="Calibri"/>
          <w:szCs w:val="20"/>
        </w:rPr>
        <w:fldChar w:fldCharType="separate"/>
      </w:r>
      <w:r w:rsidR="00914556">
        <w:t xml:space="preserve">Table </w:t>
      </w:r>
      <w:r w:rsidR="00914556">
        <w:rPr>
          <w:noProof/>
        </w:rPr>
        <w:t>8</w:t>
      </w:r>
      <w:r w:rsidR="00914556">
        <w:t>.</w:t>
      </w:r>
      <w:r w:rsidR="00914556">
        <w:rPr>
          <w:noProof/>
        </w:rPr>
        <w:t>2</w:t>
      </w:r>
      <w:r>
        <w:fldChar w:fldCharType="end"/>
      </w:r>
      <w:r>
        <w:t xml:space="preserve"> </w:t>
      </w:r>
      <w:r w:rsidR="00E41CD5" w:rsidRPr="00E41CD5">
        <w:t>set out our draft decision on the estimated cost of corporate income tax allowance</w:t>
      </w:r>
      <w:r w:rsidR="00851E60">
        <w:t>s</w:t>
      </w:r>
      <w:r w:rsidR="00E41CD5" w:rsidRPr="00E41CD5">
        <w:t xml:space="preserve"> for </w:t>
      </w:r>
      <w:r w:rsidR="00E41CD5">
        <w:t>A</w:t>
      </w:r>
      <w:r w:rsidR="0002354D">
        <w:t>ctewAGL's</w:t>
      </w:r>
      <w:r w:rsidR="00E41CD5">
        <w:t xml:space="preserve"> distribution and transmission networks respectively</w:t>
      </w:r>
      <w:r w:rsidR="00E41CD5" w:rsidRPr="00E41CD5">
        <w:t>.</w:t>
      </w:r>
      <w:r w:rsidR="00BB19E4" w:rsidRPr="00BB19E4">
        <w:t xml:space="preserve"> Based on the </w:t>
      </w:r>
      <w:r w:rsidR="00851E60">
        <w:t xml:space="preserve">approach to modelling the cash flows in the </w:t>
      </w:r>
      <w:r w:rsidR="00BB19E4" w:rsidRPr="00BB19E4">
        <w:t>PTRM, we have derived effective tax rate</w:t>
      </w:r>
      <w:r w:rsidR="00E30ECC">
        <w:t>s</w:t>
      </w:r>
      <w:r w:rsidR="00BB19E4" w:rsidRPr="00BB19E4">
        <w:t xml:space="preserve"> of </w:t>
      </w:r>
      <w:r w:rsidR="00C370C2">
        <w:t>31.6</w:t>
      </w:r>
      <w:r w:rsidR="00BB19E4" w:rsidRPr="00BB19E4">
        <w:t xml:space="preserve"> per cent for A</w:t>
      </w:r>
      <w:r w:rsidR="0002354D">
        <w:t>ctewAGL's</w:t>
      </w:r>
      <w:r w:rsidR="00BB19E4" w:rsidRPr="00BB19E4">
        <w:t xml:space="preserve"> distribution network and </w:t>
      </w:r>
      <w:r w:rsidR="00C370C2">
        <w:t>27.2</w:t>
      </w:r>
      <w:r w:rsidR="00BB19E4" w:rsidRPr="00BB19E4">
        <w:t xml:space="preserve"> per cent for A</w:t>
      </w:r>
      <w:r w:rsidR="0002354D">
        <w:t>ctewAGL's</w:t>
      </w:r>
      <w:r w:rsidR="00BB19E4" w:rsidRPr="00BB19E4">
        <w:t xml:space="preserve"> transmission network.</w:t>
      </w:r>
    </w:p>
    <w:p w:rsidR="00814626" w:rsidRDefault="00814626" w:rsidP="00814626">
      <w:pPr>
        <w:pStyle w:val="Caption"/>
      </w:pPr>
      <w:bookmarkStart w:id="10" w:name="_Ref394671245"/>
      <w:r>
        <w:t xml:space="preserve">Table </w:t>
      </w:r>
      <w:fldSimple w:instr=" STYLEREF 1 \s ">
        <w:r w:rsidR="00914556">
          <w:rPr>
            <w:noProof/>
          </w:rPr>
          <w:t>8</w:t>
        </w:r>
      </w:fldSimple>
      <w:r w:rsidR="00E30AEF">
        <w:t>.</w:t>
      </w:r>
      <w:fldSimple w:instr=" SEQ Table \* ARABIC \s 1 ">
        <w:r w:rsidR="00914556">
          <w:rPr>
            <w:noProof/>
          </w:rPr>
          <w:t>1</w:t>
        </w:r>
      </w:fldSimple>
      <w:bookmarkEnd w:id="10"/>
      <w:r>
        <w:tab/>
      </w:r>
      <w:r w:rsidRPr="00814626">
        <w:t xml:space="preserve">AER's draft decision on </w:t>
      </w:r>
      <w:r>
        <w:t>A</w:t>
      </w:r>
      <w:r w:rsidR="0002354D">
        <w:t>ctewAGL</w:t>
      </w:r>
      <w:r w:rsidRPr="00814626">
        <w:t>'s cost of corporate income tax allowance for the 2014–1</w:t>
      </w:r>
      <w:r>
        <w:t>9</w:t>
      </w:r>
      <w:r w:rsidRPr="00814626">
        <w:t xml:space="preserve"> period</w:t>
      </w:r>
      <w:r>
        <w:t xml:space="preserve"> – distribution</w:t>
      </w:r>
      <w:r w:rsidRPr="00814626">
        <w:t xml:space="preserve"> ($ million, nominal)</w:t>
      </w:r>
    </w:p>
    <w:tbl>
      <w:tblPr>
        <w:tblStyle w:val="AERtable-numbers"/>
        <w:tblW w:w="5000" w:type="pct"/>
        <w:tblLook w:val="04A0" w:firstRow="1" w:lastRow="0" w:firstColumn="1" w:lastColumn="0" w:noHBand="0" w:noVBand="1"/>
      </w:tblPr>
      <w:tblGrid>
        <w:gridCol w:w="3296"/>
        <w:gridCol w:w="991"/>
        <w:gridCol w:w="991"/>
        <w:gridCol w:w="991"/>
        <w:gridCol w:w="991"/>
        <w:gridCol w:w="991"/>
        <w:gridCol w:w="991"/>
      </w:tblGrid>
      <w:tr w:rsidR="00E41CD5" w:rsidRPr="00E41CD5" w:rsidTr="00E41CD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3" w:type="pct"/>
            <w:noWrap/>
            <w:hideMark/>
          </w:tcPr>
          <w:p w:rsidR="00E41CD5" w:rsidRPr="00E41CD5" w:rsidRDefault="00E41CD5" w:rsidP="00E41CD5">
            <w:pPr>
              <w:pStyle w:val="AERtabletextleft"/>
              <w:rPr>
                <w:lang w:eastAsia="en-AU"/>
              </w:rPr>
            </w:pPr>
            <w:r w:rsidRPr="00E41CD5">
              <w:rPr>
                <w:lang w:eastAsia="en-AU"/>
              </w:rPr>
              <w:t> </w:t>
            </w:r>
          </w:p>
        </w:tc>
        <w:tc>
          <w:tcPr>
            <w:tcW w:w="536" w:type="pct"/>
            <w:noWrap/>
            <w:hideMark/>
          </w:tcPr>
          <w:p w:rsidR="00E41CD5" w:rsidRPr="00E41CD5" w:rsidRDefault="00E41CD5" w:rsidP="00E41CD5">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E41CD5">
              <w:rPr>
                <w:lang w:eastAsia="en-AU"/>
              </w:rPr>
              <w:t>2014–15</w:t>
            </w:r>
          </w:p>
        </w:tc>
        <w:tc>
          <w:tcPr>
            <w:tcW w:w="536" w:type="pct"/>
            <w:noWrap/>
            <w:hideMark/>
          </w:tcPr>
          <w:p w:rsidR="00E41CD5" w:rsidRPr="00E41CD5" w:rsidRDefault="00E41CD5" w:rsidP="00E41CD5">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E41CD5">
              <w:rPr>
                <w:lang w:eastAsia="en-AU"/>
              </w:rPr>
              <w:t>2015–16</w:t>
            </w:r>
          </w:p>
        </w:tc>
        <w:tc>
          <w:tcPr>
            <w:tcW w:w="536" w:type="pct"/>
            <w:noWrap/>
            <w:hideMark/>
          </w:tcPr>
          <w:p w:rsidR="00E41CD5" w:rsidRPr="00E41CD5" w:rsidRDefault="00E41CD5" w:rsidP="00E41CD5">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E41CD5">
              <w:rPr>
                <w:lang w:eastAsia="en-AU"/>
              </w:rPr>
              <w:t>2016–17</w:t>
            </w:r>
          </w:p>
        </w:tc>
        <w:tc>
          <w:tcPr>
            <w:tcW w:w="536" w:type="pct"/>
            <w:noWrap/>
            <w:hideMark/>
          </w:tcPr>
          <w:p w:rsidR="00E41CD5" w:rsidRPr="00E41CD5" w:rsidRDefault="00E41CD5" w:rsidP="00E41CD5">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E41CD5">
              <w:rPr>
                <w:lang w:eastAsia="en-AU"/>
              </w:rPr>
              <w:t>2017–18</w:t>
            </w:r>
          </w:p>
        </w:tc>
        <w:tc>
          <w:tcPr>
            <w:tcW w:w="536" w:type="pct"/>
            <w:noWrap/>
            <w:hideMark/>
          </w:tcPr>
          <w:p w:rsidR="00E41CD5" w:rsidRPr="00E41CD5" w:rsidRDefault="00E41CD5" w:rsidP="00E41CD5">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E41CD5">
              <w:rPr>
                <w:lang w:eastAsia="en-AU"/>
              </w:rPr>
              <w:t>2018–19</w:t>
            </w:r>
          </w:p>
        </w:tc>
        <w:tc>
          <w:tcPr>
            <w:tcW w:w="536" w:type="pct"/>
            <w:noWrap/>
            <w:hideMark/>
          </w:tcPr>
          <w:p w:rsidR="00E41CD5" w:rsidRPr="00E41CD5" w:rsidRDefault="00E41CD5" w:rsidP="00E41CD5">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E41CD5">
              <w:rPr>
                <w:lang w:eastAsia="en-AU"/>
              </w:rPr>
              <w:t>Total</w:t>
            </w:r>
          </w:p>
        </w:tc>
      </w:tr>
      <w:tr w:rsidR="00C370C2" w:rsidRPr="00E41CD5" w:rsidTr="00C370C2">
        <w:trPr>
          <w:trHeight w:val="300"/>
        </w:trPr>
        <w:tc>
          <w:tcPr>
            <w:cnfStyle w:val="001000000000" w:firstRow="0" w:lastRow="0" w:firstColumn="1" w:lastColumn="0" w:oddVBand="0" w:evenVBand="0" w:oddHBand="0" w:evenHBand="0" w:firstRowFirstColumn="0" w:firstRowLastColumn="0" w:lastRowFirstColumn="0" w:lastRowLastColumn="0"/>
            <w:tcW w:w="1783" w:type="pct"/>
            <w:noWrap/>
            <w:hideMark/>
          </w:tcPr>
          <w:p w:rsidR="00C370C2" w:rsidRPr="00C370C2" w:rsidRDefault="00C370C2" w:rsidP="00C370C2">
            <w:pPr>
              <w:pStyle w:val="AERtabletextleft"/>
            </w:pPr>
            <w:r w:rsidRPr="00C370C2">
              <w:t>Tax payable</w:t>
            </w:r>
          </w:p>
        </w:tc>
        <w:tc>
          <w:tcPr>
            <w:tcW w:w="536" w:type="pct"/>
            <w:noWrap/>
            <w:vAlign w:val="top"/>
            <w:hideMark/>
          </w:tcPr>
          <w:p w:rsidR="00C370C2" w:rsidRPr="00C370C2" w:rsidRDefault="00C370C2" w:rsidP="00C370C2">
            <w:pPr>
              <w:pStyle w:val="AERtabletextright"/>
              <w:cnfStyle w:val="000000000000" w:firstRow="0" w:lastRow="0" w:firstColumn="0" w:lastColumn="0" w:oddVBand="0" w:evenVBand="0" w:oddHBand="0" w:evenHBand="0" w:firstRowFirstColumn="0" w:firstRowLastColumn="0" w:lastRowFirstColumn="0" w:lastRowLastColumn="0"/>
            </w:pPr>
            <w:r w:rsidRPr="00C370C2">
              <w:t>9.6</w:t>
            </w:r>
          </w:p>
        </w:tc>
        <w:tc>
          <w:tcPr>
            <w:tcW w:w="536" w:type="pct"/>
            <w:noWrap/>
            <w:vAlign w:val="top"/>
            <w:hideMark/>
          </w:tcPr>
          <w:p w:rsidR="00C370C2" w:rsidRPr="00C370C2" w:rsidRDefault="00C370C2" w:rsidP="00C370C2">
            <w:pPr>
              <w:pStyle w:val="AERtabletextright"/>
              <w:cnfStyle w:val="000000000000" w:firstRow="0" w:lastRow="0" w:firstColumn="0" w:lastColumn="0" w:oddVBand="0" w:evenVBand="0" w:oddHBand="0" w:evenHBand="0" w:firstRowFirstColumn="0" w:firstRowLastColumn="0" w:lastRowFirstColumn="0" w:lastRowLastColumn="0"/>
            </w:pPr>
            <w:r w:rsidRPr="00C370C2">
              <w:t>10.2</w:t>
            </w:r>
          </w:p>
        </w:tc>
        <w:tc>
          <w:tcPr>
            <w:tcW w:w="536" w:type="pct"/>
            <w:noWrap/>
            <w:vAlign w:val="top"/>
            <w:hideMark/>
          </w:tcPr>
          <w:p w:rsidR="00C370C2" w:rsidRPr="00C370C2" w:rsidRDefault="00C370C2" w:rsidP="00C370C2">
            <w:pPr>
              <w:pStyle w:val="AERtabletextright"/>
              <w:cnfStyle w:val="000000000000" w:firstRow="0" w:lastRow="0" w:firstColumn="0" w:lastColumn="0" w:oddVBand="0" w:evenVBand="0" w:oddHBand="0" w:evenHBand="0" w:firstRowFirstColumn="0" w:firstRowLastColumn="0" w:lastRowFirstColumn="0" w:lastRowLastColumn="0"/>
            </w:pPr>
            <w:r w:rsidRPr="00C370C2">
              <w:t>9.6</w:t>
            </w:r>
          </w:p>
        </w:tc>
        <w:tc>
          <w:tcPr>
            <w:tcW w:w="536" w:type="pct"/>
            <w:noWrap/>
            <w:vAlign w:val="top"/>
            <w:hideMark/>
          </w:tcPr>
          <w:p w:rsidR="00C370C2" w:rsidRPr="00C370C2" w:rsidRDefault="00C370C2" w:rsidP="00C370C2">
            <w:pPr>
              <w:pStyle w:val="AERtabletextright"/>
              <w:cnfStyle w:val="000000000000" w:firstRow="0" w:lastRow="0" w:firstColumn="0" w:lastColumn="0" w:oddVBand="0" w:evenVBand="0" w:oddHBand="0" w:evenHBand="0" w:firstRowFirstColumn="0" w:firstRowLastColumn="0" w:lastRowFirstColumn="0" w:lastRowLastColumn="0"/>
            </w:pPr>
            <w:r w:rsidRPr="00C370C2">
              <w:t>11.2</w:t>
            </w:r>
          </w:p>
        </w:tc>
        <w:tc>
          <w:tcPr>
            <w:tcW w:w="536" w:type="pct"/>
            <w:noWrap/>
            <w:vAlign w:val="top"/>
            <w:hideMark/>
          </w:tcPr>
          <w:p w:rsidR="00C370C2" w:rsidRPr="00C370C2" w:rsidRDefault="00C370C2" w:rsidP="00C370C2">
            <w:pPr>
              <w:pStyle w:val="AERtabletextright"/>
              <w:cnfStyle w:val="000000000000" w:firstRow="0" w:lastRow="0" w:firstColumn="0" w:lastColumn="0" w:oddVBand="0" w:evenVBand="0" w:oddHBand="0" w:evenHBand="0" w:firstRowFirstColumn="0" w:firstRowLastColumn="0" w:lastRowFirstColumn="0" w:lastRowLastColumn="0"/>
            </w:pPr>
            <w:r w:rsidRPr="00C370C2">
              <w:t>11.8</w:t>
            </w:r>
          </w:p>
        </w:tc>
        <w:tc>
          <w:tcPr>
            <w:tcW w:w="536" w:type="pct"/>
            <w:noWrap/>
            <w:vAlign w:val="top"/>
            <w:hideMark/>
          </w:tcPr>
          <w:p w:rsidR="00C370C2" w:rsidRPr="00C370C2" w:rsidRDefault="00C370C2" w:rsidP="00C370C2">
            <w:pPr>
              <w:pStyle w:val="AERtabletextright"/>
              <w:cnfStyle w:val="000000000000" w:firstRow="0" w:lastRow="0" w:firstColumn="0" w:lastColumn="0" w:oddVBand="0" w:evenVBand="0" w:oddHBand="0" w:evenHBand="0" w:firstRowFirstColumn="0" w:firstRowLastColumn="0" w:lastRowFirstColumn="0" w:lastRowLastColumn="0"/>
            </w:pPr>
            <w:r w:rsidRPr="00C370C2">
              <w:t>52.4</w:t>
            </w:r>
          </w:p>
        </w:tc>
      </w:tr>
      <w:tr w:rsidR="00C370C2" w:rsidRPr="00E41CD5" w:rsidTr="00C370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3" w:type="pct"/>
            <w:noWrap/>
            <w:hideMark/>
          </w:tcPr>
          <w:p w:rsidR="00C370C2" w:rsidRPr="00C370C2" w:rsidRDefault="00C370C2" w:rsidP="00C370C2">
            <w:pPr>
              <w:pStyle w:val="AERtabletextleft"/>
            </w:pPr>
            <w:r w:rsidRPr="00C370C2">
              <w:rPr>
                <w:rStyle w:val="AERtextitalic"/>
              </w:rPr>
              <w:t>Less:</w:t>
            </w:r>
            <w:r w:rsidRPr="00C370C2">
              <w:t xml:space="preserve"> value of imputation credits</w:t>
            </w:r>
          </w:p>
        </w:tc>
        <w:tc>
          <w:tcPr>
            <w:tcW w:w="536" w:type="pct"/>
            <w:noWrap/>
            <w:vAlign w:val="top"/>
            <w:hideMark/>
          </w:tcPr>
          <w:p w:rsidR="00C370C2" w:rsidRPr="00C370C2" w:rsidRDefault="00C370C2" w:rsidP="00C370C2">
            <w:pPr>
              <w:pStyle w:val="AERtabletextright"/>
              <w:cnfStyle w:val="000000010000" w:firstRow="0" w:lastRow="0" w:firstColumn="0" w:lastColumn="0" w:oddVBand="0" w:evenVBand="0" w:oddHBand="0" w:evenHBand="1" w:firstRowFirstColumn="0" w:firstRowLastColumn="0" w:lastRowFirstColumn="0" w:lastRowLastColumn="0"/>
            </w:pPr>
            <w:r w:rsidRPr="00C370C2">
              <w:t>3.8</w:t>
            </w:r>
          </w:p>
        </w:tc>
        <w:tc>
          <w:tcPr>
            <w:tcW w:w="536" w:type="pct"/>
            <w:noWrap/>
            <w:vAlign w:val="top"/>
            <w:hideMark/>
          </w:tcPr>
          <w:p w:rsidR="00C370C2" w:rsidRPr="00C370C2" w:rsidRDefault="00C370C2" w:rsidP="00C370C2">
            <w:pPr>
              <w:pStyle w:val="AERtabletextright"/>
              <w:cnfStyle w:val="000000010000" w:firstRow="0" w:lastRow="0" w:firstColumn="0" w:lastColumn="0" w:oddVBand="0" w:evenVBand="0" w:oddHBand="0" w:evenHBand="1" w:firstRowFirstColumn="0" w:firstRowLastColumn="0" w:lastRowFirstColumn="0" w:lastRowLastColumn="0"/>
            </w:pPr>
            <w:r w:rsidRPr="00C370C2">
              <w:t>4.1</w:t>
            </w:r>
          </w:p>
        </w:tc>
        <w:tc>
          <w:tcPr>
            <w:tcW w:w="536" w:type="pct"/>
            <w:noWrap/>
            <w:vAlign w:val="top"/>
            <w:hideMark/>
          </w:tcPr>
          <w:p w:rsidR="00C370C2" w:rsidRPr="00C370C2" w:rsidRDefault="00C370C2" w:rsidP="00C370C2">
            <w:pPr>
              <w:pStyle w:val="AERtabletextright"/>
              <w:cnfStyle w:val="000000010000" w:firstRow="0" w:lastRow="0" w:firstColumn="0" w:lastColumn="0" w:oddVBand="0" w:evenVBand="0" w:oddHBand="0" w:evenHBand="1" w:firstRowFirstColumn="0" w:firstRowLastColumn="0" w:lastRowFirstColumn="0" w:lastRowLastColumn="0"/>
            </w:pPr>
            <w:r w:rsidRPr="00C370C2">
              <w:t>3.8</w:t>
            </w:r>
          </w:p>
        </w:tc>
        <w:tc>
          <w:tcPr>
            <w:tcW w:w="536" w:type="pct"/>
            <w:noWrap/>
            <w:vAlign w:val="top"/>
            <w:hideMark/>
          </w:tcPr>
          <w:p w:rsidR="00C370C2" w:rsidRPr="00C370C2" w:rsidRDefault="00C370C2" w:rsidP="00C370C2">
            <w:pPr>
              <w:pStyle w:val="AERtabletextright"/>
              <w:cnfStyle w:val="000000010000" w:firstRow="0" w:lastRow="0" w:firstColumn="0" w:lastColumn="0" w:oddVBand="0" w:evenVBand="0" w:oddHBand="0" w:evenHBand="1" w:firstRowFirstColumn="0" w:firstRowLastColumn="0" w:lastRowFirstColumn="0" w:lastRowLastColumn="0"/>
            </w:pPr>
            <w:r w:rsidRPr="00C370C2">
              <w:t>4.5</w:t>
            </w:r>
          </w:p>
        </w:tc>
        <w:tc>
          <w:tcPr>
            <w:tcW w:w="536" w:type="pct"/>
            <w:noWrap/>
            <w:vAlign w:val="top"/>
            <w:hideMark/>
          </w:tcPr>
          <w:p w:rsidR="00C370C2" w:rsidRPr="00C370C2" w:rsidRDefault="00C370C2" w:rsidP="00C370C2">
            <w:pPr>
              <w:pStyle w:val="AERtabletextright"/>
              <w:cnfStyle w:val="000000010000" w:firstRow="0" w:lastRow="0" w:firstColumn="0" w:lastColumn="0" w:oddVBand="0" w:evenVBand="0" w:oddHBand="0" w:evenHBand="1" w:firstRowFirstColumn="0" w:firstRowLastColumn="0" w:lastRowFirstColumn="0" w:lastRowLastColumn="0"/>
            </w:pPr>
            <w:r w:rsidRPr="00C370C2">
              <w:t>4.7</w:t>
            </w:r>
          </w:p>
        </w:tc>
        <w:tc>
          <w:tcPr>
            <w:tcW w:w="536" w:type="pct"/>
            <w:noWrap/>
            <w:vAlign w:val="top"/>
            <w:hideMark/>
          </w:tcPr>
          <w:p w:rsidR="00C370C2" w:rsidRPr="00C370C2" w:rsidRDefault="00C370C2" w:rsidP="00600F21">
            <w:pPr>
              <w:pStyle w:val="AERtabletextright"/>
              <w:cnfStyle w:val="000000010000" w:firstRow="0" w:lastRow="0" w:firstColumn="0" w:lastColumn="0" w:oddVBand="0" w:evenVBand="0" w:oddHBand="0" w:evenHBand="1" w:firstRowFirstColumn="0" w:firstRowLastColumn="0" w:lastRowFirstColumn="0" w:lastRowLastColumn="0"/>
            </w:pPr>
            <w:r w:rsidRPr="00C370C2">
              <w:t>2</w:t>
            </w:r>
            <w:r w:rsidR="00600F21">
              <w:t>0</w:t>
            </w:r>
            <w:r w:rsidRPr="00C370C2">
              <w:t>.</w:t>
            </w:r>
            <w:r w:rsidR="00600F21">
              <w:t>9</w:t>
            </w:r>
          </w:p>
        </w:tc>
      </w:tr>
      <w:tr w:rsidR="00C370C2" w:rsidRPr="00814626" w:rsidTr="00C370C2">
        <w:trPr>
          <w:trHeight w:val="300"/>
        </w:trPr>
        <w:tc>
          <w:tcPr>
            <w:cnfStyle w:val="001000000000" w:firstRow="0" w:lastRow="0" w:firstColumn="1" w:lastColumn="0" w:oddVBand="0" w:evenVBand="0" w:oddHBand="0" w:evenHBand="0" w:firstRowFirstColumn="0" w:firstRowLastColumn="0" w:lastRowFirstColumn="0" w:lastRowLastColumn="0"/>
            <w:tcW w:w="1783" w:type="pct"/>
            <w:noWrap/>
            <w:hideMark/>
          </w:tcPr>
          <w:p w:rsidR="00C370C2" w:rsidRPr="00C370C2" w:rsidRDefault="00C370C2" w:rsidP="00C370C2">
            <w:pPr>
              <w:pStyle w:val="AERtabletextleft"/>
              <w:rPr>
                <w:rStyle w:val="AERtextbold"/>
              </w:rPr>
            </w:pPr>
            <w:r w:rsidRPr="00C370C2">
              <w:rPr>
                <w:rStyle w:val="AERtextbold"/>
              </w:rPr>
              <w:t>Corporate income tax allowance</w:t>
            </w:r>
          </w:p>
        </w:tc>
        <w:tc>
          <w:tcPr>
            <w:tcW w:w="536" w:type="pct"/>
            <w:noWrap/>
            <w:vAlign w:val="top"/>
            <w:hideMark/>
          </w:tcPr>
          <w:p w:rsidR="00C370C2" w:rsidRPr="00C370C2" w:rsidRDefault="00C370C2" w:rsidP="00C370C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370C2">
              <w:rPr>
                <w:rStyle w:val="AERtextbold"/>
              </w:rPr>
              <w:t>5.8</w:t>
            </w:r>
          </w:p>
        </w:tc>
        <w:tc>
          <w:tcPr>
            <w:tcW w:w="536" w:type="pct"/>
            <w:noWrap/>
            <w:vAlign w:val="top"/>
            <w:hideMark/>
          </w:tcPr>
          <w:p w:rsidR="00C370C2" w:rsidRPr="00C370C2" w:rsidRDefault="00C370C2" w:rsidP="00C370C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370C2">
              <w:rPr>
                <w:rStyle w:val="AERtextbold"/>
              </w:rPr>
              <w:t>6.1</w:t>
            </w:r>
          </w:p>
        </w:tc>
        <w:tc>
          <w:tcPr>
            <w:tcW w:w="536" w:type="pct"/>
            <w:noWrap/>
            <w:vAlign w:val="top"/>
            <w:hideMark/>
          </w:tcPr>
          <w:p w:rsidR="00C370C2" w:rsidRPr="00C370C2" w:rsidRDefault="00C370C2" w:rsidP="00C370C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370C2">
              <w:rPr>
                <w:rStyle w:val="AERtextbold"/>
              </w:rPr>
              <w:t>5.8</w:t>
            </w:r>
          </w:p>
        </w:tc>
        <w:tc>
          <w:tcPr>
            <w:tcW w:w="536" w:type="pct"/>
            <w:noWrap/>
            <w:vAlign w:val="top"/>
            <w:hideMark/>
          </w:tcPr>
          <w:p w:rsidR="00C370C2" w:rsidRPr="00C370C2" w:rsidRDefault="00C370C2" w:rsidP="00C370C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370C2">
              <w:rPr>
                <w:rStyle w:val="AERtextbold"/>
              </w:rPr>
              <w:t>6.7</w:t>
            </w:r>
          </w:p>
        </w:tc>
        <w:tc>
          <w:tcPr>
            <w:tcW w:w="536" w:type="pct"/>
            <w:noWrap/>
            <w:vAlign w:val="top"/>
            <w:hideMark/>
          </w:tcPr>
          <w:p w:rsidR="00C370C2" w:rsidRPr="00C370C2" w:rsidRDefault="00C370C2" w:rsidP="00C370C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370C2">
              <w:rPr>
                <w:rStyle w:val="AERtextbold"/>
              </w:rPr>
              <w:t>7.1</w:t>
            </w:r>
          </w:p>
        </w:tc>
        <w:tc>
          <w:tcPr>
            <w:tcW w:w="536" w:type="pct"/>
            <w:noWrap/>
            <w:vAlign w:val="top"/>
            <w:hideMark/>
          </w:tcPr>
          <w:p w:rsidR="00C370C2" w:rsidRPr="00C370C2" w:rsidRDefault="00C370C2" w:rsidP="00C370C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370C2">
              <w:t>31.4</w:t>
            </w:r>
          </w:p>
        </w:tc>
      </w:tr>
    </w:tbl>
    <w:p w:rsidR="00E41CD5" w:rsidRDefault="00814626" w:rsidP="00814626">
      <w:pPr>
        <w:pStyle w:val="AERtablesource"/>
      </w:pPr>
      <w:r>
        <w:t>Source:</w:t>
      </w:r>
      <w:r>
        <w:tab/>
        <w:t>AER analysis.</w:t>
      </w:r>
    </w:p>
    <w:p w:rsidR="00814626" w:rsidRDefault="00814626" w:rsidP="00814626">
      <w:pPr>
        <w:pStyle w:val="Caption"/>
      </w:pPr>
      <w:bookmarkStart w:id="11" w:name="_Ref394671252"/>
      <w:r>
        <w:t xml:space="preserve">Table </w:t>
      </w:r>
      <w:fldSimple w:instr=" STYLEREF 1 \s ">
        <w:r w:rsidR="00914556">
          <w:rPr>
            <w:noProof/>
          </w:rPr>
          <w:t>8</w:t>
        </w:r>
      </w:fldSimple>
      <w:r w:rsidR="00E30AEF">
        <w:t>.</w:t>
      </w:r>
      <w:fldSimple w:instr=" SEQ Table \* ARABIC \s 1 ">
        <w:r w:rsidR="00914556">
          <w:rPr>
            <w:noProof/>
          </w:rPr>
          <w:t>2</w:t>
        </w:r>
      </w:fldSimple>
      <w:bookmarkEnd w:id="11"/>
      <w:r>
        <w:tab/>
      </w:r>
      <w:r w:rsidRPr="00814626">
        <w:t>AER's draft decision on A</w:t>
      </w:r>
      <w:r w:rsidR="0002354D">
        <w:t>ctewAGL's</w:t>
      </w:r>
      <w:r w:rsidRPr="00814626">
        <w:t xml:space="preserve"> cost of corporate income tax allowance for the 2014–19 period – </w:t>
      </w:r>
      <w:r>
        <w:t>transmission</w:t>
      </w:r>
      <w:r w:rsidRPr="00814626">
        <w:t xml:space="preserve"> ($ million, nominal)</w:t>
      </w:r>
    </w:p>
    <w:tbl>
      <w:tblPr>
        <w:tblStyle w:val="AERtable-numbers"/>
        <w:tblW w:w="5000" w:type="pct"/>
        <w:tblLook w:val="04A0" w:firstRow="1" w:lastRow="0" w:firstColumn="1" w:lastColumn="0" w:noHBand="0" w:noVBand="1"/>
      </w:tblPr>
      <w:tblGrid>
        <w:gridCol w:w="3296"/>
        <w:gridCol w:w="991"/>
        <w:gridCol w:w="991"/>
        <w:gridCol w:w="991"/>
        <w:gridCol w:w="991"/>
        <w:gridCol w:w="991"/>
        <w:gridCol w:w="991"/>
      </w:tblGrid>
      <w:tr w:rsidR="00E41CD5" w:rsidRPr="00E41CD5" w:rsidTr="00E41CD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3" w:type="pct"/>
            <w:noWrap/>
            <w:hideMark/>
          </w:tcPr>
          <w:p w:rsidR="00E41CD5" w:rsidRPr="00E41CD5" w:rsidRDefault="00E41CD5" w:rsidP="00E41CD5">
            <w:pPr>
              <w:pStyle w:val="AERtabletextleft"/>
              <w:rPr>
                <w:lang w:eastAsia="en-AU"/>
              </w:rPr>
            </w:pPr>
            <w:r w:rsidRPr="00E41CD5">
              <w:rPr>
                <w:lang w:eastAsia="en-AU"/>
              </w:rPr>
              <w:t> </w:t>
            </w:r>
          </w:p>
        </w:tc>
        <w:tc>
          <w:tcPr>
            <w:tcW w:w="536" w:type="pct"/>
            <w:noWrap/>
            <w:hideMark/>
          </w:tcPr>
          <w:p w:rsidR="00E41CD5" w:rsidRPr="00E41CD5" w:rsidRDefault="00E41CD5" w:rsidP="00E41CD5">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E41CD5">
              <w:rPr>
                <w:lang w:eastAsia="en-AU"/>
              </w:rPr>
              <w:t>2014–15</w:t>
            </w:r>
          </w:p>
        </w:tc>
        <w:tc>
          <w:tcPr>
            <w:tcW w:w="536" w:type="pct"/>
            <w:noWrap/>
            <w:hideMark/>
          </w:tcPr>
          <w:p w:rsidR="00E41CD5" w:rsidRPr="00E41CD5" w:rsidRDefault="00E41CD5" w:rsidP="00E41CD5">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E41CD5">
              <w:rPr>
                <w:lang w:eastAsia="en-AU"/>
              </w:rPr>
              <w:t>2015–16</w:t>
            </w:r>
          </w:p>
        </w:tc>
        <w:tc>
          <w:tcPr>
            <w:tcW w:w="536" w:type="pct"/>
            <w:noWrap/>
            <w:hideMark/>
          </w:tcPr>
          <w:p w:rsidR="00E41CD5" w:rsidRPr="00E41CD5" w:rsidRDefault="00E41CD5" w:rsidP="00E41CD5">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E41CD5">
              <w:rPr>
                <w:lang w:eastAsia="en-AU"/>
              </w:rPr>
              <w:t>2016–17</w:t>
            </w:r>
          </w:p>
        </w:tc>
        <w:tc>
          <w:tcPr>
            <w:tcW w:w="536" w:type="pct"/>
            <w:noWrap/>
            <w:hideMark/>
          </w:tcPr>
          <w:p w:rsidR="00E41CD5" w:rsidRPr="00E41CD5" w:rsidRDefault="00E41CD5" w:rsidP="00E41CD5">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E41CD5">
              <w:rPr>
                <w:lang w:eastAsia="en-AU"/>
              </w:rPr>
              <w:t>2017–18</w:t>
            </w:r>
          </w:p>
        </w:tc>
        <w:tc>
          <w:tcPr>
            <w:tcW w:w="536" w:type="pct"/>
            <w:noWrap/>
            <w:hideMark/>
          </w:tcPr>
          <w:p w:rsidR="00E41CD5" w:rsidRPr="00E41CD5" w:rsidRDefault="00E41CD5" w:rsidP="00E41CD5">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E41CD5">
              <w:rPr>
                <w:lang w:eastAsia="en-AU"/>
              </w:rPr>
              <w:t>2018–19</w:t>
            </w:r>
          </w:p>
        </w:tc>
        <w:tc>
          <w:tcPr>
            <w:tcW w:w="536" w:type="pct"/>
            <w:noWrap/>
            <w:hideMark/>
          </w:tcPr>
          <w:p w:rsidR="00E41CD5" w:rsidRPr="00E41CD5" w:rsidRDefault="00E41CD5" w:rsidP="00E41CD5">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E41CD5">
              <w:rPr>
                <w:lang w:eastAsia="en-AU"/>
              </w:rPr>
              <w:t>Total</w:t>
            </w:r>
          </w:p>
        </w:tc>
      </w:tr>
      <w:tr w:rsidR="00C370C2" w:rsidRPr="00E41CD5" w:rsidTr="00C370C2">
        <w:trPr>
          <w:trHeight w:val="300"/>
        </w:trPr>
        <w:tc>
          <w:tcPr>
            <w:cnfStyle w:val="001000000000" w:firstRow="0" w:lastRow="0" w:firstColumn="1" w:lastColumn="0" w:oddVBand="0" w:evenVBand="0" w:oddHBand="0" w:evenHBand="0" w:firstRowFirstColumn="0" w:firstRowLastColumn="0" w:lastRowFirstColumn="0" w:lastRowLastColumn="0"/>
            <w:tcW w:w="1783" w:type="pct"/>
            <w:noWrap/>
            <w:hideMark/>
          </w:tcPr>
          <w:p w:rsidR="00C370C2" w:rsidRPr="00C370C2" w:rsidRDefault="00C370C2" w:rsidP="00C370C2">
            <w:pPr>
              <w:pStyle w:val="AERtabletextleft"/>
            </w:pPr>
            <w:r w:rsidRPr="00C370C2">
              <w:t>Tax payable</w:t>
            </w:r>
          </w:p>
        </w:tc>
        <w:tc>
          <w:tcPr>
            <w:tcW w:w="536" w:type="pct"/>
            <w:noWrap/>
            <w:vAlign w:val="top"/>
            <w:hideMark/>
          </w:tcPr>
          <w:p w:rsidR="00C370C2" w:rsidRPr="00C370C2" w:rsidRDefault="00C370C2" w:rsidP="00C370C2">
            <w:pPr>
              <w:pStyle w:val="AERtabletextright"/>
              <w:cnfStyle w:val="000000000000" w:firstRow="0" w:lastRow="0" w:firstColumn="0" w:lastColumn="0" w:oddVBand="0" w:evenVBand="0" w:oddHBand="0" w:evenHBand="0" w:firstRowFirstColumn="0" w:firstRowLastColumn="0" w:lastRowFirstColumn="0" w:lastRowLastColumn="0"/>
            </w:pPr>
            <w:r w:rsidRPr="00C370C2">
              <w:t>1.3</w:t>
            </w:r>
          </w:p>
        </w:tc>
        <w:tc>
          <w:tcPr>
            <w:tcW w:w="536" w:type="pct"/>
            <w:noWrap/>
            <w:vAlign w:val="top"/>
            <w:hideMark/>
          </w:tcPr>
          <w:p w:rsidR="00C370C2" w:rsidRPr="00C370C2" w:rsidRDefault="00C370C2" w:rsidP="00C370C2">
            <w:pPr>
              <w:pStyle w:val="AERtabletextright"/>
              <w:cnfStyle w:val="000000000000" w:firstRow="0" w:lastRow="0" w:firstColumn="0" w:lastColumn="0" w:oddVBand="0" w:evenVBand="0" w:oddHBand="0" w:evenHBand="0" w:firstRowFirstColumn="0" w:firstRowLastColumn="0" w:lastRowFirstColumn="0" w:lastRowLastColumn="0"/>
            </w:pPr>
            <w:r w:rsidRPr="00C370C2">
              <w:t>1.4</w:t>
            </w:r>
          </w:p>
        </w:tc>
        <w:tc>
          <w:tcPr>
            <w:tcW w:w="536" w:type="pct"/>
            <w:noWrap/>
            <w:vAlign w:val="top"/>
            <w:hideMark/>
          </w:tcPr>
          <w:p w:rsidR="00C370C2" w:rsidRPr="00C370C2" w:rsidRDefault="00C370C2" w:rsidP="00C370C2">
            <w:pPr>
              <w:pStyle w:val="AERtabletextright"/>
              <w:cnfStyle w:val="000000000000" w:firstRow="0" w:lastRow="0" w:firstColumn="0" w:lastColumn="0" w:oddVBand="0" w:evenVBand="0" w:oddHBand="0" w:evenHBand="0" w:firstRowFirstColumn="0" w:firstRowLastColumn="0" w:lastRowFirstColumn="0" w:lastRowLastColumn="0"/>
            </w:pPr>
            <w:r w:rsidRPr="00C370C2">
              <w:t>1.4</w:t>
            </w:r>
          </w:p>
        </w:tc>
        <w:tc>
          <w:tcPr>
            <w:tcW w:w="536" w:type="pct"/>
            <w:noWrap/>
            <w:vAlign w:val="top"/>
            <w:hideMark/>
          </w:tcPr>
          <w:p w:rsidR="00C370C2" w:rsidRPr="00C370C2" w:rsidRDefault="00C370C2" w:rsidP="00C370C2">
            <w:pPr>
              <w:pStyle w:val="AERtabletextright"/>
              <w:cnfStyle w:val="000000000000" w:firstRow="0" w:lastRow="0" w:firstColumn="0" w:lastColumn="0" w:oddVBand="0" w:evenVBand="0" w:oddHBand="0" w:evenHBand="0" w:firstRowFirstColumn="0" w:firstRowLastColumn="0" w:lastRowFirstColumn="0" w:lastRowLastColumn="0"/>
            </w:pPr>
            <w:r w:rsidRPr="00C370C2">
              <w:t>1.7</w:t>
            </w:r>
          </w:p>
        </w:tc>
        <w:tc>
          <w:tcPr>
            <w:tcW w:w="536" w:type="pct"/>
            <w:noWrap/>
            <w:vAlign w:val="top"/>
            <w:hideMark/>
          </w:tcPr>
          <w:p w:rsidR="00C370C2" w:rsidRPr="00C370C2" w:rsidRDefault="00C370C2" w:rsidP="00C370C2">
            <w:pPr>
              <w:pStyle w:val="AERtabletextright"/>
              <w:cnfStyle w:val="000000000000" w:firstRow="0" w:lastRow="0" w:firstColumn="0" w:lastColumn="0" w:oddVBand="0" w:evenVBand="0" w:oddHBand="0" w:evenHBand="0" w:firstRowFirstColumn="0" w:firstRowLastColumn="0" w:lastRowFirstColumn="0" w:lastRowLastColumn="0"/>
            </w:pPr>
            <w:r w:rsidRPr="00C370C2">
              <w:t>1.7</w:t>
            </w:r>
          </w:p>
        </w:tc>
        <w:tc>
          <w:tcPr>
            <w:tcW w:w="536" w:type="pct"/>
            <w:noWrap/>
            <w:vAlign w:val="top"/>
            <w:hideMark/>
          </w:tcPr>
          <w:p w:rsidR="00C370C2" w:rsidRPr="00C370C2" w:rsidRDefault="00C370C2" w:rsidP="00C370C2">
            <w:pPr>
              <w:pStyle w:val="AERtabletextright"/>
              <w:cnfStyle w:val="000000000000" w:firstRow="0" w:lastRow="0" w:firstColumn="0" w:lastColumn="0" w:oddVBand="0" w:evenVBand="0" w:oddHBand="0" w:evenHBand="0" w:firstRowFirstColumn="0" w:firstRowLastColumn="0" w:lastRowFirstColumn="0" w:lastRowLastColumn="0"/>
            </w:pPr>
            <w:r w:rsidRPr="00C370C2">
              <w:t>7.4</w:t>
            </w:r>
          </w:p>
        </w:tc>
      </w:tr>
      <w:tr w:rsidR="00C370C2" w:rsidRPr="00E41CD5" w:rsidTr="00C370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3" w:type="pct"/>
            <w:noWrap/>
            <w:hideMark/>
          </w:tcPr>
          <w:p w:rsidR="00C370C2" w:rsidRPr="00C370C2" w:rsidRDefault="00C370C2" w:rsidP="00C370C2">
            <w:pPr>
              <w:pStyle w:val="AERtabletextleft"/>
            </w:pPr>
            <w:r w:rsidRPr="00C370C2">
              <w:rPr>
                <w:rStyle w:val="AERtextitalic"/>
              </w:rPr>
              <w:t>Less:</w:t>
            </w:r>
            <w:r w:rsidRPr="00C370C2">
              <w:t xml:space="preserve"> value of imputation credits</w:t>
            </w:r>
          </w:p>
        </w:tc>
        <w:tc>
          <w:tcPr>
            <w:tcW w:w="536" w:type="pct"/>
            <w:noWrap/>
            <w:vAlign w:val="top"/>
            <w:hideMark/>
          </w:tcPr>
          <w:p w:rsidR="00C370C2" w:rsidRPr="00C370C2" w:rsidRDefault="00C370C2" w:rsidP="00C370C2">
            <w:pPr>
              <w:pStyle w:val="AERtabletextright"/>
              <w:cnfStyle w:val="000000010000" w:firstRow="0" w:lastRow="0" w:firstColumn="0" w:lastColumn="0" w:oddVBand="0" w:evenVBand="0" w:oddHBand="0" w:evenHBand="1" w:firstRowFirstColumn="0" w:firstRowLastColumn="0" w:lastRowFirstColumn="0" w:lastRowLastColumn="0"/>
            </w:pPr>
            <w:r w:rsidRPr="00C370C2">
              <w:t>0.5</w:t>
            </w:r>
          </w:p>
        </w:tc>
        <w:tc>
          <w:tcPr>
            <w:tcW w:w="536" w:type="pct"/>
            <w:noWrap/>
            <w:vAlign w:val="top"/>
            <w:hideMark/>
          </w:tcPr>
          <w:p w:rsidR="00C370C2" w:rsidRPr="00C370C2" w:rsidRDefault="00C370C2" w:rsidP="00C370C2">
            <w:pPr>
              <w:pStyle w:val="AERtabletextright"/>
              <w:cnfStyle w:val="000000010000" w:firstRow="0" w:lastRow="0" w:firstColumn="0" w:lastColumn="0" w:oddVBand="0" w:evenVBand="0" w:oddHBand="0" w:evenHBand="1" w:firstRowFirstColumn="0" w:firstRowLastColumn="0" w:lastRowFirstColumn="0" w:lastRowLastColumn="0"/>
            </w:pPr>
            <w:r w:rsidRPr="00C370C2">
              <w:t>0.6</w:t>
            </w:r>
          </w:p>
        </w:tc>
        <w:tc>
          <w:tcPr>
            <w:tcW w:w="536" w:type="pct"/>
            <w:noWrap/>
            <w:vAlign w:val="top"/>
            <w:hideMark/>
          </w:tcPr>
          <w:p w:rsidR="00C370C2" w:rsidRPr="00C370C2" w:rsidRDefault="00C370C2" w:rsidP="00C370C2">
            <w:pPr>
              <w:pStyle w:val="AERtabletextright"/>
              <w:cnfStyle w:val="000000010000" w:firstRow="0" w:lastRow="0" w:firstColumn="0" w:lastColumn="0" w:oddVBand="0" w:evenVBand="0" w:oddHBand="0" w:evenHBand="1" w:firstRowFirstColumn="0" w:firstRowLastColumn="0" w:lastRowFirstColumn="0" w:lastRowLastColumn="0"/>
            </w:pPr>
            <w:r w:rsidRPr="00C370C2">
              <w:t>0.6</w:t>
            </w:r>
          </w:p>
        </w:tc>
        <w:tc>
          <w:tcPr>
            <w:tcW w:w="536" w:type="pct"/>
            <w:noWrap/>
            <w:vAlign w:val="top"/>
            <w:hideMark/>
          </w:tcPr>
          <w:p w:rsidR="00C370C2" w:rsidRPr="00C370C2" w:rsidRDefault="00C370C2" w:rsidP="00C370C2">
            <w:pPr>
              <w:pStyle w:val="AERtabletextright"/>
              <w:cnfStyle w:val="000000010000" w:firstRow="0" w:lastRow="0" w:firstColumn="0" w:lastColumn="0" w:oddVBand="0" w:evenVBand="0" w:oddHBand="0" w:evenHBand="1" w:firstRowFirstColumn="0" w:firstRowLastColumn="0" w:lastRowFirstColumn="0" w:lastRowLastColumn="0"/>
            </w:pPr>
            <w:r w:rsidRPr="00C370C2">
              <w:t>0.7</w:t>
            </w:r>
          </w:p>
        </w:tc>
        <w:tc>
          <w:tcPr>
            <w:tcW w:w="536" w:type="pct"/>
            <w:noWrap/>
            <w:vAlign w:val="top"/>
            <w:hideMark/>
          </w:tcPr>
          <w:p w:rsidR="00C370C2" w:rsidRPr="00C370C2" w:rsidRDefault="00C370C2" w:rsidP="00C370C2">
            <w:pPr>
              <w:pStyle w:val="AERtabletextright"/>
              <w:cnfStyle w:val="000000010000" w:firstRow="0" w:lastRow="0" w:firstColumn="0" w:lastColumn="0" w:oddVBand="0" w:evenVBand="0" w:oddHBand="0" w:evenHBand="1" w:firstRowFirstColumn="0" w:firstRowLastColumn="0" w:lastRowFirstColumn="0" w:lastRowLastColumn="0"/>
            </w:pPr>
            <w:r w:rsidRPr="00C370C2">
              <w:t>0.7</w:t>
            </w:r>
          </w:p>
        </w:tc>
        <w:tc>
          <w:tcPr>
            <w:tcW w:w="536" w:type="pct"/>
            <w:noWrap/>
            <w:vAlign w:val="top"/>
            <w:hideMark/>
          </w:tcPr>
          <w:p w:rsidR="00C370C2" w:rsidRPr="00C370C2" w:rsidRDefault="00C370C2" w:rsidP="00C370C2">
            <w:pPr>
              <w:pStyle w:val="AERtabletextright"/>
              <w:cnfStyle w:val="000000010000" w:firstRow="0" w:lastRow="0" w:firstColumn="0" w:lastColumn="0" w:oddVBand="0" w:evenVBand="0" w:oddHBand="0" w:evenHBand="1" w:firstRowFirstColumn="0" w:firstRowLastColumn="0" w:lastRowFirstColumn="0" w:lastRowLastColumn="0"/>
            </w:pPr>
            <w:r w:rsidRPr="00C370C2">
              <w:t>3.0</w:t>
            </w:r>
          </w:p>
        </w:tc>
      </w:tr>
      <w:tr w:rsidR="00C370C2" w:rsidRPr="00814626" w:rsidTr="00C370C2">
        <w:trPr>
          <w:trHeight w:val="300"/>
        </w:trPr>
        <w:tc>
          <w:tcPr>
            <w:cnfStyle w:val="001000000000" w:firstRow="0" w:lastRow="0" w:firstColumn="1" w:lastColumn="0" w:oddVBand="0" w:evenVBand="0" w:oddHBand="0" w:evenHBand="0" w:firstRowFirstColumn="0" w:firstRowLastColumn="0" w:lastRowFirstColumn="0" w:lastRowLastColumn="0"/>
            <w:tcW w:w="1783" w:type="pct"/>
            <w:noWrap/>
            <w:hideMark/>
          </w:tcPr>
          <w:p w:rsidR="00C370C2" w:rsidRPr="00C370C2" w:rsidRDefault="00C370C2" w:rsidP="00C370C2">
            <w:pPr>
              <w:pStyle w:val="AERtabletextleft"/>
              <w:rPr>
                <w:rStyle w:val="AERtextbold"/>
              </w:rPr>
            </w:pPr>
            <w:r w:rsidRPr="00C370C2">
              <w:rPr>
                <w:rStyle w:val="AERtextbold"/>
              </w:rPr>
              <w:t>Corporate income tax allowance</w:t>
            </w:r>
          </w:p>
        </w:tc>
        <w:tc>
          <w:tcPr>
            <w:tcW w:w="536" w:type="pct"/>
            <w:noWrap/>
            <w:vAlign w:val="top"/>
            <w:hideMark/>
          </w:tcPr>
          <w:p w:rsidR="00C370C2" w:rsidRPr="00C370C2" w:rsidRDefault="00C370C2" w:rsidP="00C370C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370C2">
              <w:rPr>
                <w:rStyle w:val="AERtextbold"/>
              </w:rPr>
              <w:t>0.8</w:t>
            </w:r>
          </w:p>
        </w:tc>
        <w:tc>
          <w:tcPr>
            <w:tcW w:w="536" w:type="pct"/>
            <w:noWrap/>
            <w:vAlign w:val="top"/>
            <w:hideMark/>
          </w:tcPr>
          <w:p w:rsidR="00C370C2" w:rsidRPr="00C370C2" w:rsidRDefault="00C370C2" w:rsidP="00C370C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370C2">
              <w:rPr>
                <w:rStyle w:val="AERtextbold"/>
              </w:rPr>
              <w:t>0.8</w:t>
            </w:r>
          </w:p>
        </w:tc>
        <w:tc>
          <w:tcPr>
            <w:tcW w:w="536" w:type="pct"/>
            <w:noWrap/>
            <w:vAlign w:val="top"/>
            <w:hideMark/>
          </w:tcPr>
          <w:p w:rsidR="00C370C2" w:rsidRPr="00C370C2" w:rsidRDefault="00C370C2" w:rsidP="00C370C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370C2">
              <w:rPr>
                <w:rStyle w:val="AERtextbold"/>
              </w:rPr>
              <w:t>0.8</w:t>
            </w:r>
          </w:p>
        </w:tc>
        <w:tc>
          <w:tcPr>
            <w:tcW w:w="536" w:type="pct"/>
            <w:noWrap/>
            <w:vAlign w:val="top"/>
            <w:hideMark/>
          </w:tcPr>
          <w:p w:rsidR="00C370C2" w:rsidRPr="00C370C2" w:rsidRDefault="00C370C2" w:rsidP="00C370C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370C2">
              <w:rPr>
                <w:rStyle w:val="AERtextbold"/>
              </w:rPr>
              <w:t>1.0</w:t>
            </w:r>
          </w:p>
        </w:tc>
        <w:tc>
          <w:tcPr>
            <w:tcW w:w="536" w:type="pct"/>
            <w:noWrap/>
            <w:vAlign w:val="top"/>
            <w:hideMark/>
          </w:tcPr>
          <w:p w:rsidR="00C370C2" w:rsidRPr="00C370C2" w:rsidRDefault="00C370C2" w:rsidP="00C370C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370C2">
              <w:rPr>
                <w:rStyle w:val="AERtextbold"/>
              </w:rPr>
              <w:t>1.0</w:t>
            </w:r>
          </w:p>
        </w:tc>
        <w:tc>
          <w:tcPr>
            <w:tcW w:w="536" w:type="pct"/>
            <w:noWrap/>
            <w:vAlign w:val="top"/>
            <w:hideMark/>
          </w:tcPr>
          <w:p w:rsidR="00C370C2" w:rsidRPr="00C370C2" w:rsidRDefault="00C370C2" w:rsidP="00C370C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370C2">
              <w:rPr>
                <w:rStyle w:val="AERtextbold"/>
              </w:rPr>
              <w:t>4.4</w:t>
            </w:r>
          </w:p>
        </w:tc>
      </w:tr>
    </w:tbl>
    <w:p w:rsidR="00E41CD5" w:rsidRDefault="00814626" w:rsidP="00814626">
      <w:pPr>
        <w:pStyle w:val="AERtablesource"/>
      </w:pPr>
      <w:r>
        <w:t>Source:</w:t>
      </w:r>
      <w:r>
        <w:tab/>
        <w:t>AER analysis.</w:t>
      </w:r>
    </w:p>
    <w:p w:rsidR="009F030C" w:rsidRDefault="0002354D" w:rsidP="009F030C">
      <w:pPr>
        <w:pStyle w:val="Heading2"/>
      </w:pPr>
      <w:bookmarkStart w:id="12" w:name="_Toc404700028"/>
      <w:r>
        <w:t>ActewAGL's</w:t>
      </w:r>
      <w:r w:rsidR="00707216">
        <w:t xml:space="preserve"> proposal</w:t>
      </w:r>
      <w:bookmarkEnd w:id="12"/>
    </w:p>
    <w:p w:rsidR="007A4305" w:rsidRPr="007A4305" w:rsidRDefault="007A4305" w:rsidP="007A4305">
      <w:pPr>
        <w:pStyle w:val="AERbodytext"/>
      </w:pPr>
      <w:bookmarkStart w:id="13" w:name="_Toc387916831"/>
      <w:r w:rsidRPr="007A4305">
        <w:t>A</w:t>
      </w:r>
      <w:r w:rsidR="0002354D">
        <w:t>ctewAGL</w:t>
      </w:r>
      <w:r w:rsidRPr="007A4305">
        <w:t xml:space="preserve"> proposed a</w:t>
      </w:r>
      <w:r w:rsidR="00BB19E4">
        <w:t xml:space="preserve"> </w:t>
      </w:r>
      <w:r w:rsidR="0002354D">
        <w:t xml:space="preserve">forecast cost of </w:t>
      </w:r>
      <w:r w:rsidR="00BB19E4">
        <w:t>corporate income</w:t>
      </w:r>
      <w:r w:rsidRPr="007A4305">
        <w:t xml:space="preserve"> tax </w:t>
      </w:r>
      <w:r w:rsidR="0002354D">
        <w:t xml:space="preserve">of </w:t>
      </w:r>
      <w:r w:rsidRPr="007A4305">
        <w:t>$</w:t>
      </w:r>
      <w:r w:rsidR="00A746B2">
        <w:t>53.7</w:t>
      </w:r>
      <w:r w:rsidRPr="007A4305">
        <w:t xml:space="preserve"> million </w:t>
      </w:r>
      <w:r w:rsidR="00392214">
        <w:t>and $</w:t>
      </w:r>
      <w:r w:rsidR="00A746B2">
        <w:t>9.0</w:t>
      </w:r>
      <w:r w:rsidR="00392214">
        <w:t xml:space="preserve"> million ($ nominal) for its distribution and transmission networks respectively, calculated </w:t>
      </w:r>
      <w:r w:rsidRPr="007A4305">
        <w:t>using the AER's PTRM and the following inputs:</w:t>
      </w:r>
      <w:r w:rsidR="00932F0C">
        <w:rPr>
          <w:rStyle w:val="FootnoteReference"/>
        </w:rPr>
        <w:footnoteReference w:id="2"/>
      </w:r>
    </w:p>
    <w:p w:rsidR="00893EF7" w:rsidRPr="007A4305" w:rsidRDefault="007A4305" w:rsidP="00893EF7">
      <w:pPr>
        <w:pStyle w:val="AERbulletlistfirststyle"/>
      </w:pPr>
      <w:r w:rsidRPr="007A4305">
        <w:t>opening TAB</w:t>
      </w:r>
      <w:r w:rsidR="00E30ECC">
        <w:t>s</w:t>
      </w:r>
      <w:r w:rsidRPr="007A4305">
        <w:t xml:space="preserve"> as at 1 July </w:t>
      </w:r>
      <w:r w:rsidRPr="00593BC8">
        <w:rPr>
          <w:rStyle w:val="AERbody"/>
        </w:rPr>
        <w:t>2014 of $</w:t>
      </w:r>
      <w:r w:rsidR="00AA5968">
        <w:rPr>
          <w:rStyle w:val="AERbody"/>
        </w:rPr>
        <w:t xml:space="preserve">609.1 </w:t>
      </w:r>
      <w:r w:rsidRPr="007A4305">
        <w:t>million and $</w:t>
      </w:r>
      <w:r w:rsidR="00AA5968">
        <w:t>137.1</w:t>
      </w:r>
      <w:r w:rsidRPr="007A4305">
        <w:t> million ($ nominal) for its distribution and transmission networks respectively</w:t>
      </w:r>
    </w:p>
    <w:p w:rsidR="007A4305" w:rsidRPr="007A4305" w:rsidRDefault="007A4305" w:rsidP="007A4305">
      <w:pPr>
        <w:pStyle w:val="AERbulletlistfirststyle"/>
      </w:pPr>
      <w:r w:rsidRPr="007A4305">
        <w:t>an expected statutory income tax rate of 30 per cent per year</w:t>
      </w:r>
    </w:p>
    <w:p w:rsidR="007A4305" w:rsidRPr="007A4305" w:rsidRDefault="007A4305" w:rsidP="007A4305">
      <w:pPr>
        <w:pStyle w:val="AERbulletlistfirststyle"/>
      </w:pPr>
      <w:r w:rsidRPr="007A4305">
        <w:t>a value for gamma of 0.25</w:t>
      </w:r>
    </w:p>
    <w:p w:rsidR="007A4305" w:rsidRPr="007A4305" w:rsidRDefault="008B2B5E" w:rsidP="007A4305">
      <w:pPr>
        <w:pStyle w:val="AERbulletlistfirststyle"/>
      </w:pPr>
      <w:r>
        <w:t xml:space="preserve">remaining tax </w:t>
      </w:r>
      <w:r w:rsidR="00E30ECC">
        <w:t xml:space="preserve">asset </w:t>
      </w:r>
      <w:r>
        <w:t>lives for the TAB</w:t>
      </w:r>
      <w:r w:rsidR="00DC7C9B">
        <w:t xml:space="preserve"> as at 1 July 2014</w:t>
      </w:r>
      <w:r w:rsidR="00434F9C">
        <w:t xml:space="preserve"> using the depreciation approach similar to th</w:t>
      </w:r>
      <w:r w:rsidR="000334EF">
        <w:t>at</w:t>
      </w:r>
      <w:r w:rsidR="00434F9C">
        <w:t xml:space="preserve">  applied to </w:t>
      </w:r>
      <w:r w:rsidR="00A51F09">
        <w:t xml:space="preserve">the </w:t>
      </w:r>
      <w:r w:rsidR="000334EF">
        <w:t>regulatory asset base (</w:t>
      </w:r>
      <w:r w:rsidR="00434F9C">
        <w:t>RAB</w:t>
      </w:r>
      <w:r w:rsidR="000334EF">
        <w:t>)</w:t>
      </w:r>
      <w:r w:rsidR="00434F9C">
        <w:t xml:space="preserve"> remaining asset lives</w:t>
      </w:r>
      <w:r>
        <w:rPr>
          <w:rStyle w:val="FootnoteReference"/>
        </w:rPr>
        <w:footnoteReference w:id="3"/>
      </w:r>
    </w:p>
    <w:p w:rsidR="007A4305" w:rsidRPr="007A4305" w:rsidRDefault="007A4305" w:rsidP="007A4305">
      <w:pPr>
        <w:pStyle w:val="AERbulletlistfirststyle"/>
      </w:pPr>
      <w:r w:rsidRPr="007A4305">
        <w:t xml:space="preserve">the </w:t>
      </w:r>
      <w:r w:rsidR="00E30ECC">
        <w:t xml:space="preserve">same </w:t>
      </w:r>
      <w:r w:rsidRPr="007A4305">
        <w:t>standard tax asset lives for depreciating new assets for the 2014–19</w:t>
      </w:r>
      <w:r>
        <w:t xml:space="preserve"> </w:t>
      </w:r>
      <w:r w:rsidRPr="007A4305">
        <w:t xml:space="preserve">period as approved at the 2009–14 </w:t>
      </w:r>
      <w:r w:rsidR="00E30ECC">
        <w:t>regulatory control period</w:t>
      </w:r>
      <w:r w:rsidR="006F6B33">
        <w:t xml:space="preserve">, except for the </w:t>
      </w:r>
      <w:r w:rsidR="00A51F09">
        <w:t>'</w:t>
      </w:r>
      <w:r w:rsidR="006F6B33">
        <w:t>Opening distribution asset</w:t>
      </w:r>
      <w:r w:rsidR="00A51F09">
        <w:t>s' asset</w:t>
      </w:r>
      <w:r w:rsidR="006F6B33">
        <w:t xml:space="preserve"> class</w:t>
      </w:r>
      <w:r w:rsidRPr="007A4305">
        <w:t>.</w:t>
      </w:r>
    </w:p>
    <w:p w:rsidR="007A4305" w:rsidRPr="007A4305" w:rsidRDefault="00F85D01" w:rsidP="007A4305">
      <w:pPr>
        <w:pStyle w:val="AERbodytext"/>
      </w:pPr>
      <w:r>
        <w:fldChar w:fldCharType="begin"/>
      </w:r>
      <w:r>
        <w:instrText xml:space="preserve"> REF _Ref394405398 \h </w:instrText>
      </w:r>
      <w:r>
        <w:fldChar w:fldCharType="separate"/>
      </w:r>
      <w:r w:rsidR="00914556" w:rsidRPr="007A4305">
        <w:t xml:space="preserve">Table </w:t>
      </w:r>
      <w:r w:rsidR="00914556">
        <w:rPr>
          <w:noProof/>
        </w:rPr>
        <w:t>8</w:t>
      </w:r>
      <w:r w:rsidR="00914556">
        <w:t>.</w:t>
      </w:r>
      <w:r w:rsidR="00914556">
        <w:rPr>
          <w:noProof/>
        </w:rPr>
        <w:t>3</w:t>
      </w:r>
      <w:r>
        <w:fldChar w:fldCharType="end"/>
      </w:r>
      <w:r>
        <w:t xml:space="preserve"> and </w:t>
      </w:r>
      <w:r>
        <w:rPr>
          <w:rFonts w:eastAsia="Calibri"/>
          <w:szCs w:val="20"/>
        </w:rPr>
        <w:fldChar w:fldCharType="begin"/>
      </w:r>
      <w:r>
        <w:instrText xml:space="preserve"> REF _Ref394669490 \h </w:instrText>
      </w:r>
      <w:r>
        <w:rPr>
          <w:rFonts w:eastAsia="Calibri"/>
          <w:szCs w:val="20"/>
        </w:rPr>
      </w:r>
      <w:r>
        <w:rPr>
          <w:rFonts w:eastAsia="Calibri"/>
          <w:szCs w:val="20"/>
        </w:rPr>
        <w:fldChar w:fldCharType="separate"/>
      </w:r>
      <w:r w:rsidR="00914556" w:rsidRPr="00392214">
        <w:t xml:space="preserve">Table </w:t>
      </w:r>
      <w:r w:rsidR="00914556">
        <w:rPr>
          <w:noProof/>
        </w:rPr>
        <w:t>8</w:t>
      </w:r>
      <w:r w:rsidR="00914556">
        <w:t>.</w:t>
      </w:r>
      <w:r w:rsidR="00914556">
        <w:rPr>
          <w:noProof/>
        </w:rPr>
        <w:t>4</w:t>
      </w:r>
      <w:r>
        <w:fldChar w:fldCharType="end"/>
      </w:r>
      <w:r>
        <w:t xml:space="preserve"> </w:t>
      </w:r>
      <w:r w:rsidR="00392214">
        <w:t>set</w:t>
      </w:r>
      <w:r w:rsidR="007A4305" w:rsidRPr="007A4305">
        <w:t xml:space="preserve"> out A</w:t>
      </w:r>
      <w:r w:rsidR="0002354D">
        <w:t>ctewAGL's</w:t>
      </w:r>
      <w:r w:rsidR="007A4305" w:rsidRPr="007A4305">
        <w:t xml:space="preserve"> proposed corporate income tax allowance</w:t>
      </w:r>
      <w:r w:rsidR="00E30ECC">
        <w:t>s</w:t>
      </w:r>
      <w:r w:rsidR="007A4305" w:rsidRPr="007A4305">
        <w:t xml:space="preserve"> for </w:t>
      </w:r>
      <w:r w:rsidR="00392214">
        <w:t xml:space="preserve">its distribution and transmission networks respectively over </w:t>
      </w:r>
      <w:r w:rsidR="007A4305" w:rsidRPr="007A4305">
        <w:t>the 2014–19 period.</w:t>
      </w:r>
      <w:r w:rsidR="007A4305" w:rsidRPr="007A4305">
        <w:rPr>
          <w:rStyle w:val="CommentReference"/>
          <w:rFonts w:eastAsia="Calibri"/>
        </w:rPr>
        <w:t xml:space="preserve"> </w:t>
      </w:r>
    </w:p>
    <w:p w:rsidR="007A4305" w:rsidRPr="007A4305" w:rsidRDefault="007A4305" w:rsidP="007A4305">
      <w:pPr>
        <w:pStyle w:val="Caption"/>
      </w:pPr>
      <w:bookmarkStart w:id="14" w:name="_Ref394405398"/>
      <w:r w:rsidRPr="007A4305">
        <w:lastRenderedPageBreak/>
        <w:t xml:space="preserve">Table </w:t>
      </w:r>
      <w:fldSimple w:instr=" STYLEREF 1 \s ">
        <w:r w:rsidR="00914556">
          <w:rPr>
            <w:noProof/>
          </w:rPr>
          <w:t>8</w:t>
        </w:r>
      </w:fldSimple>
      <w:r w:rsidR="00E30AEF">
        <w:t>.</w:t>
      </w:r>
      <w:fldSimple w:instr=" SEQ Table \* ARABIC \s 1 ">
        <w:r w:rsidR="00914556">
          <w:rPr>
            <w:noProof/>
          </w:rPr>
          <w:t>3</w:t>
        </w:r>
      </w:fldSimple>
      <w:bookmarkEnd w:id="14"/>
      <w:r w:rsidRPr="007A4305">
        <w:tab/>
        <w:t>A</w:t>
      </w:r>
      <w:r w:rsidR="0002354D">
        <w:t>ctewAGL</w:t>
      </w:r>
      <w:r w:rsidRPr="007A4305">
        <w:t xml:space="preserve">'s proposed </w:t>
      </w:r>
      <w:r w:rsidR="00E30ECC">
        <w:t xml:space="preserve">cost of </w:t>
      </w:r>
      <w:r w:rsidRPr="007A4305">
        <w:t xml:space="preserve">corporate income tax allowance </w:t>
      </w:r>
      <w:r w:rsidR="000334EF" w:rsidRPr="00814626">
        <w:t>for the 2014–1</w:t>
      </w:r>
      <w:r w:rsidR="000334EF">
        <w:t>9</w:t>
      </w:r>
      <w:r w:rsidR="000334EF" w:rsidRPr="00814626">
        <w:t xml:space="preserve"> period</w:t>
      </w:r>
      <w:r w:rsidR="000334EF">
        <w:t xml:space="preserve"> </w:t>
      </w:r>
      <w:r w:rsidR="00392214">
        <w:t xml:space="preserve">– distribution </w:t>
      </w:r>
      <w:r w:rsidRPr="007A4305">
        <w:t>($ million, nominal)</w:t>
      </w:r>
    </w:p>
    <w:tbl>
      <w:tblPr>
        <w:tblStyle w:val="AERtable-numbers"/>
        <w:tblW w:w="5000" w:type="pct"/>
        <w:tblLook w:val="01E0" w:firstRow="1" w:lastRow="1" w:firstColumn="1" w:lastColumn="1" w:noHBand="0" w:noVBand="0"/>
      </w:tblPr>
      <w:tblGrid>
        <w:gridCol w:w="3508"/>
        <w:gridCol w:w="1000"/>
        <w:gridCol w:w="1000"/>
        <w:gridCol w:w="1000"/>
        <w:gridCol w:w="1000"/>
        <w:gridCol w:w="1000"/>
        <w:gridCol w:w="734"/>
      </w:tblGrid>
      <w:tr w:rsidR="007A4305" w:rsidRPr="00D405D5" w:rsidTr="00600F21">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898" w:type="pct"/>
          </w:tcPr>
          <w:p w:rsidR="007A4305" w:rsidRPr="007A4305" w:rsidRDefault="007A4305" w:rsidP="007A4305">
            <w:pPr>
              <w:pStyle w:val="AERtabletextleft"/>
            </w:pPr>
          </w:p>
        </w:tc>
        <w:tc>
          <w:tcPr>
            <w:tcW w:w="541" w:type="pct"/>
          </w:tcPr>
          <w:p w:rsidR="007A4305" w:rsidRPr="007A4305" w:rsidRDefault="007A4305" w:rsidP="007A4305">
            <w:pPr>
              <w:pStyle w:val="AERtabletextright"/>
              <w:cnfStyle w:val="100000000000" w:firstRow="1" w:lastRow="0" w:firstColumn="0" w:lastColumn="0" w:oddVBand="0" w:evenVBand="0" w:oddHBand="0" w:evenHBand="0" w:firstRowFirstColumn="0" w:firstRowLastColumn="0" w:lastRowFirstColumn="0" w:lastRowLastColumn="0"/>
            </w:pPr>
            <w:r w:rsidRPr="007A4305">
              <w:t>2014–15</w:t>
            </w:r>
          </w:p>
        </w:tc>
        <w:tc>
          <w:tcPr>
            <w:tcW w:w="541" w:type="pct"/>
          </w:tcPr>
          <w:p w:rsidR="007A4305" w:rsidRPr="007A4305" w:rsidRDefault="007A4305" w:rsidP="007A4305">
            <w:pPr>
              <w:pStyle w:val="AERtabletextright"/>
              <w:cnfStyle w:val="100000000000" w:firstRow="1" w:lastRow="0" w:firstColumn="0" w:lastColumn="0" w:oddVBand="0" w:evenVBand="0" w:oddHBand="0" w:evenHBand="0" w:firstRowFirstColumn="0" w:firstRowLastColumn="0" w:lastRowFirstColumn="0" w:lastRowLastColumn="0"/>
            </w:pPr>
            <w:r w:rsidRPr="007A4305">
              <w:t>2015–16</w:t>
            </w:r>
          </w:p>
        </w:tc>
        <w:tc>
          <w:tcPr>
            <w:tcW w:w="541" w:type="pct"/>
          </w:tcPr>
          <w:p w:rsidR="007A4305" w:rsidRPr="007A4305" w:rsidRDefault="007A4305" w:rsidP="007A4305">
            <w:pPr>
              <w:pStyle w:val="AERtabletextright"/>
              <w:cnfStyle w:val="100000000000" w:firstRow="1" w:lastRow="0" w:firstColumn="0" w:lastColumn="0" w:oddVBand="0" w:evenVBand="0" w:oddHBand="0" w:evenHBand="0" w:firstRowFirstColumn="0" w:firstRowLastColumn="0" w:lastRowFirstColumn="0" w:lastRowLastColumn="0"/>
            </w:pPr>
            <w:r w:rsidRPr="007A4305">
              <w:t>2016–17</w:t>
            </w:r>
          </w:p>
        </w:tc>
        <w:tc>
          <w:tcPr>
            <w:tcW w:w="541" w:type="pct"/>
          </w:tcPr>
          <w:p w:rsidR="007A4305" w:rsidRPr="007A4305" w:rsidRDefault="007A4305" w:rsidP="007A4305">
            <w:pPr>
              <w:pStyle w:val="AERtabletextright"/>
              <w:cnfStyle w:val="100000000000" w:firstRow="1" w:lastRow="0" w:firstColumn="0" w:lastColumn="0" w:oddVBand="0" w:evenVBand="0" w:oddHBand="0" w:evenHBand="0" w:firstRowFirstColumn="0" w:firstRowLastColumn="0" w:lastRowFirstColumn="0" w:lastRowLastColumn="0"/>
            </w:pPr>
            <w:r w:rsidRPr="007A4305">
              <w:t>2017–18</w:t>
            </w:r>
          </w:p>
        </w:tc>
        <w:tc>
          <w:tcPr>
            <w:tcW w:w="541" w:type="pct"/>
          </w:tcPr>
          <w:p w:rsidR="007A4305" w:rsidRPr="007A4305" w:rsidRDefault="007A4305" w:rsidP="007A4305">
            <w:pPr>
              <w:pStyle w:val="AERtabletextright"/>
              <w:cnfStyle w:val="100000000000" w:firstRow="1" w:lastRow="0" w:firstColumn="0" w:lastColumn="0" w:oddVBand="0" w:evenVBand="0" w:oddHBand="0" w:evenHBand="0" w:firstRowFirstColumn="0" w:firstRowLastColumn="0" w:lastRowFirstColumn="0" w:lastRowLastColumn="0"/>
            </w:pPr>
            <w:r w:rsidRPr="007A4305">
              <w:t>2018–19</w:t>
            </w:r>
          </w:p>
        </w:tc>
        <w:tc>
          <w:tcPr>
            <w:tcW w:w="397" w:type="pct"/>
          </w:tcPr>
          <w:p w:rsidR="007A4305" w:rsidRPr="007A4305" w:rsidRDefault="007A4305" w:rsidP="007A4305">
            <w:pPr>
              <w:pStyle w:val="AERtabletextright"/>
              <w:cnfStyle w:val="100000000000" w:firstRow="1" w:lastRow="0" w:firstColumn="0" w:lastColumn="0" w:oddVBand="0" w:evenVBand="0" w:oddHBand="0" w:evenHBand="0" w:firstRowFirstColumn="0" w:firstRowLastColumn="0" w:lastRowFirstColumn="0" w:lastRowLastColumn="0"/>
            </w:pPr>
            <w:r w:rsidRPr="007A4305">
              <w:t>Total</w:t>
            </w:r>
          </w:p>
        </w:tc>
      </w:tr>
      <w:tr w:rsidR="00600F21" w:rsidRPr="00D405D5" w:rsidTr="00600F21">
        <w:trPr>
          <w:trHeight w:val="294"/>
        </w:trPr>
        <w:tc>
          <w:tcPr>
            <w:cnfStyle w:val="001000000000" w:firstRow="0" w:lastRow="0" w:firstColumn="1" w:lastColumn="0" w:oddVBand="0" w:evenVBand="0" w:oddHBand="0" w:evenHBand="0" w:firstRowFirstColumn="0" w:firstRowLastColumn="0" w:lastRowFirstColumn="0" w:lastRowLastColumn="0"/>
            <w:tcW w:w="1898" w:type="pct"/>
          </w:tcPr>
          <w:p w:rsidR="00600F21" w:rsidRPr="00600F21" w:rsidRDefault="00600F21" w:rsidP="00600F21">
            <w:pPr>
              <w:pStyle w:val="AERtabletextleft"/>
            </w:pPr>
            <w:r w:rsidRPr="00600F21">
              <w:t>Tax payable</w:t>
            </w:r>
          </w:p>
        </w:tc>
        <w:tc>
          <w:tcPr>
            <w:tcW w:w="541" w:type="pct"/>
            <w:vAlign w:val="top"/>
          </w:tcPr>
          <w:p w:rsidR="00600F21" w:rsidRPr="00600F21" w:rsidRDefault="00600F21" w:rsidP="00600F21">
            <w:pPr>
              <w:pStyle w:val="AERtabletextright"/>
              <w:cnfStyle w:val="000000000000" w:firstRow="0" w:lastRow="0" w:firstColumn="0" w:lastColumn="0" w:oddVBand="0" w:evenVBand="0" w:oddHBand="0" w:evenHBand="0" w:firstRowFirstColumn="0" w:firstRowLastColumn="0" w:lastRowFirstColumn="0" w:lastRowLastColumn="0"/>
            </w:pPr>
            <w:r w:rsidRPr="00600F21">
              <w:t>13.0</w:t>
            </w:r>
          </w:p>
        </w:tc>
        <w:tc>
          <w:tcPr>
            <w:tcW w:w="541" w:type="pct"/>
            <w:vAlign w:val="top"/>
          </w:tcPr>
          <w:p w:rsidR="00600F21" w:rsidRPr="00600F21" w:rsidRDefault="00600F21" w:rsidP="00600F21">
            <w:pPr>
              <w:pStyle w:val="AERtabletextright"/>
              <w:cnfStyle w:val="000000000000" w:firstRow="0" w:lastRow="0" w:firstColumn="0" w:lastColumn="0" w:oddVBand="0" w:evenVBand="0" w:oddHBand="0" w:evenHBand="0" w:firstRowFirstColumn="0" w:firstRowLastColumn="0" w:lastRowFirstColumn="0" w:lastRowLastColumn="0"/>
            </w:pPr>
            <w:r w:rsidRPr="00600F21">
              <w:t>13.8</w:t>
            </w:r>
          </w:p>
        </w:tc>
        <w:tc>
          <w:tcPr>
            <w:tcW w:w="541" w:type="pct"/>
            <w:vAlign w:val="top"/>
          </w:tcPr>
          <w:p w:rsidR="00600F21" w:rsidRPr="00600F21" w:rsidRDefault="00600F21" w:rsidP="00600F21">
            <w:pPr>
              <w:pStyle w:val="AERtabletextright"/>
              <w:cnfStyle w:val="000000000000" w:firstRow="0" w:lastRow="0" w:firstColumn="0" w:lastColumn="0" w:oddVBand="0" w:evenVBand="0" w:oddHBand="0" w:evenHBand="0" w:firstRowFirstColumn="0" w:firstRowLastColumn="0" w:lastRowFirstColumn="0" w:lastRowLastColumn="0"/>
            </w:pPr>
            <w:r w:rsidRPr="00600F21">
              <w:t>13.4</w:t>
            </w:r>
          </w:p>
        </w:tc>
        <w:tc>
          <w:tcPr>
            <w:tcW w:w="541" w:type="pct"/>
            <w:vAlign w:val="top"/>
          </w:tcPr>
          <w:p w:rsidR="00600F21" w:rsidRPr="00600F21" w:rsidRDefault="00600F21" w:rsidP="00600F21">
            <w:pPr>
              <w:pStyle w:val="AERtabletextright"/>
              <w:cnfStyle w:val="000000000000" w:firstRow="0" w:lastRow="0" w:firstColumn="0" w:lastColumn="0" w:oddVBand="0" w:evenVBand="0" w:oddHBand="0" w:evenHBand="0" w:firstRowFirstColumn="0" w:firstRowLastColumn="0" w:lastRowFirstColumn="0" w:lastRowLastColumn="0"/>
            </w:pPr>
            <w:r w:rsidRPr="00600F21">
              <w:t>15.3</w:t>
            </w:r>
          </w:p>
        </w:tc>
        <w:tc>
          <w:tcPr>
            <w:tcW w:w="541" w:type="pct"/>
            <w:vAlign w:val="top"/>
          </w:tcPr>
          <w:p w:rsidR="00600F21" w:rsidRPr="00600F21" w:rsidRDefault="00600F21" w:rsidP="00600F21">
            <w:pPr>
              <w:pStyle w:val="AERtabletextright"/>
              <w:cnfStyle w:val="000000000000" w:firstRow="0" w:lastRow="0" w:firstColumn="0" w:lastColumn="0" w:oddVBand="0" w:evenVBand="0" w:oddHBand="0" w:evenHBand="0" w:firstRowFirstColumn="0" w:firstRowLastColumn="0" w:lastRowFirstColumn="0" w:lastRowLastColumn="0"/>
            </w:pPr>
            <w:r w:rsidRPr="00600F21">
              <w:t>16.1</w:t>
            </w:r>
          </w:p>
        </w:tc>
        <w:tc>
          <w:tcPr>
            <w:tcW w:w="397" w:type="pct"/>
            <w:vAlign w:val="top"/>
          </w:tcPr>
          <w:p w:rsidR="00600F21" w:rsidRPr="00600F21" w:rsidRDefault="00600F21" w:rsidP="00600F21">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600F21">
              <w:t>71.7</w:t>
            </w:r>
          </w:p>
        </w:tc>
      </w:tr>
      <w:tr w:rsidR="00600F21" w:rsidRPr="00D405D5" w:rsidTr="00600F21">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98" w:type="pct"/>
          </w:tcPr>
          <w:p w:rsidR="00600F21" w:rsidRPr="00600F21" w:rsidRDefault="00600F21" w:rsidP="00600F21">
            <w:pPr>
              <w:pStyle w:val="AERtabletextleft"/>
            </w:pPr>
            <w:r w:rsidRPr="00600F21">
              <w:rPr>
                <w:rStyle w:val="AERtextitalic"/>
              </w:rPr>
              <w:t>Less</w:t>
            </w:r>
            <w:r w:rsidRPr="00600F21">
              <w:t>: value of imputation credits</w:t>
            </w:r>
          </w:p>
        </w:tc>
        <w:tc>
          <w:tcPr>
            <w:tcW w:w="541" w:type="pct"/>
            <w:vAlign w:val="top"/>
          </w:tcPr>
          <w:p w:rsidR="00600F21" w:rsidRPr="00600F21" w:rsidRDefault="00600F21" w:rsidP="00600F21">
            <w:pPr>
              <w:pStyle w:val="AERtabletextright"/>
              <w:cnfStyle w:val="000000010000" w:firstRow="0" w:lastRow="0" w:firstColumn="0" w:lastColumn="0" w:oddVBand="0" w:evenVBand="0" w:oddHBand="0" w:evenHBand="1" w:firstRowFirstColumn="0" w:firstRowLastColumn="0" w:lastRowFirstColumn="0" w:lastRowLastColumn="0"/>
            </w:pPr>
            <w:r w:rsidRPr="00600F21">
              <w:t>-3.3</w:t>
            </w:r>
          </w:p>
        </w:tc>
        <w:tc>
          <w:tcPr>
            <w:tcW w:w="541" w:type="pct"/>
            <w:vAlign w:val="top"/>
          </w:tcPr>
          <w:p w:rsidR="00600F21" w:rsidRPr="00600F21" w:rsidRDefault="00600F21" w:rsidP="00600F21">
            <w:pPr>
              <w:pStyle w:val="AERtabletextright"/>
              <w:cnfStyle w:val="000000010000" w:firstRow="0" w:lastRow="0" w:firstColumn="0" w:lastColumn="0" w:oddVBand="0" w:evenVBand="0" w:oddHBand="0" w:evenHBand="1" w:firstRowFirstColumn="0" w:firstRowLastColumn="0" w:lastRowFirstColumn="0" w:lastRowLastColumn="0"/>
            </w:pPr>
            <w:r w:rsidRPr="00600F21">
              <w:t>-3.5</w:t>
            </w:r>
          </w:p>
        </w:tc>
        <w:tc>
          <w:tcPr>
            <w:tcW w:w="541" w:type="pct"/>
            <w:vAlign w:val="top"/>
          </w:tcPr>
          <w:p w:rsidR="00600F21" w:rsidRPr="00600F21" w:rsidRDefault="00600F21" w:rsidP="00600F21">
            <w:pPr>
              <w:pStyle w:val="AERtabletextright"/>
              <w:cnfStyle w:val="000000010000" w:firstRow="0" w:lastRow="0" w:firstColumn="0" w:lastColumn="0" w:oddVBand="0" w:evenVBand="0" w:oddHBand="0" w:evenHBand="1" w:firstRowFirstColumn="0" w:firstRowLastColumn="0" w:lastRowFirstColumn="0" w:lastRowLastColumn="0"/>
            </w:pPr>
            <w:r w:rsidRPr="00600F21">
              <w:t>-3.4</w:t>
            </w:r>
          </w:p>
        </w:tc>
        <w:tc>
          <w:tcPr>
            <w:tcW w:w="541" w:type="pct"/>
            <w:vAlign w:val="top"/>
          </w:tcPr>
          <w:p w:rsidR="00600F21" w:rsidRPr="00600F21" w:rsidRDefault="00600F21" w:rsidP="00600F21">
            <w:pPr>
              <w:pStyle w:val="AERtabletextright"/>
              <w:cnfStyle w:val="000000010000" w:firstRow="0" w:lastRow="0" w:firstColumn="0" w:lastColumn="0" w:oddVBand="0" w:evenVBand="0" w:oddHBand="0" w:evenHBand="1" w:firstRowFirstColumn="0" w:firstRowLastColumn="0" w:lastRowFirstColumn="0" w:lastRowLastColumn="0"/>
            </w:pPr>
            <w:r w:rsidRPr="00600F21">
              <w:t>-3.8</w:t>
            </w:r>
          </w:p>
        </w:tc>
        <w:tc>
          <w:tcPr>
            <w:tcW w:w="541" w:type="pct"/>
            <w:vAlign w:val="top"/>
          </w:tcPr>
          <w:p w:rsidR="00600F21" w:rsidRPr="00600F21" w:rsidRDefault="00600F21" w:rsidP="00600F21">
            <w:pPr>
              <w:pStyle w:val="AERtabletextright"/>
              <w:cnfStyle w:val="000000010000" w:firstRow="0" w:lastRow="0" w:firstColumn="0" w:lastColumn="0" w:oddVBand="0" w:evenVBand="0" w:oddHBand="0" w:evenHBand="1" w:firstRowFirstColumn="0" w:firstRowLastColumn="0" w:lastRowFirstColumn="0" w:lastRowLastColumn="0"/>
            </w:pPr>
            <w:r w:rsidRPr="00600F21">
              <w:t>-4.0</w:t>
            </w:r>
          </w:p>
        </w:tc>
        <w:tc>
          <w:tcPr>
            <w:tcW w:w="397" w:type="pct"/>
            <w:vAlign w:val="top"/>
          </w:tcPr>
          <w:p w:rsidR="00600F21" w:rsidRPr="00600F21" w:rsidRDefault="00600F21" w:rsidP="00600F21">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600F21">
              <w:t>-17.9</w:t>
            </w:r>
          </w:p>
        </w:tc>
      </w:tr>
      <w:tr w:rsidR="00600F21" w:rsidRPr="0000659B" w:rsidTr="00600F21">
        <w:trPr>
          <w:trHeight w:val="301"/>
        </w:trPr>
        <w:tc>
          <w:tcPr>
            <w:cnfStyle w:val="001000000000" w:firstRow="0" w:lastRow="0" w:firstColumn="1" w:lastColumn="0" w:oddVBand="0" w:evenVBand="0" w:oddHBand="0" w:evenHBand="0" w:firstRowFirstColumn="0" w:firstRowLastColumn="0" w:lastRowFirstColumn="0" w:lastRowLastColumn="0"/>
            <w:tcW w:w="1898" w:type="pct"/>
          </w:tcPr>
          <w:p w:rsidR="00600F21" w:rsidRPr="00600F21" w:rsidRDefault="00600F21" w:rsidP="00600F21">
            <w:pPr>
              <w:pStyle w:val="AERtabletextleft"/>
              <w:rPr>
                <w:rStyle w:val="AERtextbold"/>
              </w:rPr>
            </w:pPr>
            <w:r w:rsidRPr="00600F21">
              <w:rPr>
                <w:rStyle w:val="AERtextbold"/>
              </w:rPr>
              <w:t>Corporate income tax allowance</w:t>
            </w:r>
          </w:p>
        </w:tc>
        <w:tc>
          <w:tcPr>
            <w:tcW w:w="541" w:type="pct"/>
            <w:vAlign w:val="top"/>
          </w:tcPr>
          <w:p w:rsidR="00600F21" w:rsidRPr="00600F21" w:rsidRDefault="00600F21" w:rsidP="00600F21">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600F21">
              <w:rPr>
                <w:rStyle w:val="AERtextbold"/>
              </w:rPr>
              <w:t>9.8</w:t>
            </w:r>
          </w:p>
        </w:tc>
        <w:tc>
          <w:tcPr>
            <w:tcW w:w="541" w:type="pct"/>
            <w:vAlign w:val="top"/>
          </w:tcPr>
          <w:p w:rsidR="00600F21" w:rsidRPr="00600F21" w:rsidRDefault="00600F21" w:rsidP="00600F21">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600F21">
              <w:rPr>
                <w:rStyle w:val="AERtextbold"/>
              </w:rPr>
              <w:t>10.4</w:t>
            </w:r>
          </w:p>
        </w:tc>
        <w:tc>
          <w:tcPr>
            <w:tcW w:w="541" w:type="pct"/>
            <w:vAlign w:val="top"/>
          </w:tcPr>
          <w:p w:rsidR="00600F21" w:rsidRPr="00600F21" w:rsidRDefault="00600F21" w:rsidP="00600F21">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600F21">
              <w:rPr>
                <w:rStyle w:val="AERtextbold"/>
              </w:rPr>
              <w:t>10.1</w:t>
            </w:r>
          </w:p>
        </w:tc>
        <w:tc>
          <w:tcPr>
            <w:tcW w:w="541" w:type="pct"/>
            <w:vAlign w:val="top"/>
          </w:tcPr>
          <w:p w:rsidR="00600F21" w:rsidRPr="00600F21" w:rsidRDefault="00600F21" w:rsidP="00600F21">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600F21">
              <w:rPr>
                <w:rStyle w:val="AERtextbold"/>
              </w:rPr>
              <w:t>11.5</w:t>
            </w:r>
          </w:p>
        </w:tc>
        <w:tc>
          <w:tcPr>
            <w:tcW w:w="541" w:type="pct"/>
            <w:vAlign w:val="top"/>
          </w:tcPr>
          <w:p w:rsidR="00600F21" w:rsidRPr="00600F21" w:rsidRDefault="00600F21" w:rsidP="00600F21">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600F21">
              <w:rPr>
                <w:rStyle w:val="AERtextbold"/>
              </w:rPr>
              <w:t>12.1</w:t>
            </w:r>
          </w:p>
        </w:tc>
        <w:tc>
          <w:tcPr>
            <w:tcW w:w="397" w:type="pct"/>
            <w:vAlign w:val="top"/>
          </w:tcPr>
          <w:p w:rsidR="00600F21" w:rsidRPr="00600F21" w:rsidRDefault="00600F21" w:rsidP="00600F21">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600F21">
              <w:rPr>
                <w:rStyle w:val="AERtextbold"/>
              </w:rPr>
              <w:t>53.7</w:t>
            </w:r>
          </w:p>
        </w:tc>
      </w:tr>
    </w:tbl>
    <w:p w:rsidR="007A4305" w:rsidRDefault="007A4305" w:rsidP="007A4305">
      <w:pPr>
        <w:pStyle w:val="AERtablesource"/>
      </w:pPr>
      <w:r w:rsidRPr="007A4305">
        <w:t>Source:</w:t>
      </w:r>
      <w:r w:rsidRPr="007A4305">
        <w:tab/>
      </w:r>
      <w:r w:rsidR="00932F0C">
        <w:t>A</w:t>
      </w:r>
      <w:r w:rsidR="0002354D">
        <w:t>ctewAGL</w:t>
      </w:r>
      <w:r w:rsidR="00932F0C" w:rsidRPr="00DB7CF9">
        <w:t xml:space="preserve">, </w:t>
      </w:r>
      <w:r w:rsidR="00932F0C" w:rsidRPr="00DB7CF9">
        <w:rPr>
          <w:rStyle w:val="AERtextitalic"/>
        </w:rPr>
        <w:t>Regulatory proposal</w:t>
      </w:r>
      <w:r w:rsidR="00932F0C" w:rsidRPr="00DB7CF9">
        <w:t xml:space="preserve">, </w:t>
      </w:r>
      <w:r w:rsidR="0002354D">
        <w:t>June</w:t>
      </w:r>
      <w:r w:rsidR="00932F0C" w:rsidRPr="00DB7CF9">
        <w:t xml:space="preserve"> 2014, Attachment </w:t>
      </w:r>
      <w:r w:rsidR="0002354D">
        <w:t>B2</w:t>
      </w:r>
      <w:r w:rsidR="00932F0C" w:rsidRPr="00DB7CF9">
        <w:t>.</w:t>
      </w:r>
    </w:p>
    <w:p w:rsidR="00392214" w:rsidRPr="00392214" w:rsidRDefault="00392214" w:rsidP="00392214">
      <w:pPr>
        <w:pStyle w:val="Caption"/>
      </w:pPr>
      <w:bookmarkStart w:id="15" w:name="_Ref394669490"/>
      <w:r w:rsidRPr="00392214">
        <w:t xml:space="preserve">Table </w:t>
      </w:r>
      <w:fldSimple w:instr=" STYLEREF 1 \s ">
        <w:r w:rsidR="00914556">
          <w:rPr>
            <w:noProof/>
          </w:rPr>
          <w:t>8</w:t>
        </w:r>
      </w:fldSimple>
      <w:r w:rsidR="00E30AEF">
        <w:t>.</w:t>
      </w:r>
      <w:fldSimple w:instr=" SEQ Table \* ARABIC \s 1 ">
        <w:r w:rsidR="00914556">
          <w:rPr>
            <w:noProof/>
          </w:rPr>
          <w:t>4</w:t>
        </w:r>
      </w:fldSimple>
      <w:bookmarkEnd w:id="15"/>
      <w:r w:rsidRPr="00392214">
        <w:tab/>
      </w:r>
      <w:r w:rsidR="00C26ED3">
        <w:t>ActewAGL's</w:t>
      </w:r>
      <w:r w:rsidR="00C26ED3" w:rsidRPr="00392214">
        <w:t xml:space="preserve"> </w:t>
      </w:r>
      <w:r w:rsidRPr="00392214">
        <w:t xml:space="preserve">proposed </w:t>
      </w:r>
      <w:r w:rsidR="00E30ECC">
        <w:t xml:space="preserve">cost of </w:t>
      </w:r>
      <w:r w:rsidRPr="00392214">
        <w:t xml:space="preserve">corporate income tax allowance </w:t>
      </w:r>
      <w:r w:rsidR="000334EF" w:rsidRPr="00814626">
        <w:t>for the 2014–1</w:t>
      </w:r>
      <w:r w:rsidR="000334EF">
        <w:t>9</w:t>
      </w:r>
      <w:r w:rsidR="000334EF" w:rsidRPr="00814626">
        <w:t xml:space="preserve"> period</w:t>
      </w:r>
      <w:r w:rsidR="000334EF">
        <w:t xml:space="preserve"> </w:t>
      </w:r>
      <w:r w:rsidRPr="00392214">
        <w:t xml:space="preserve">– </w:t>
      </w:r>
      <w:r>
        <w:t>transmission</w:t>
      </w:r>
      <w:r w:rsidRPr="00392214">
        <w:t xml:space="preserve"> ($ million, nominal)</w:t>
      </w:r>
    </w:p>
    <w:tbl>
      <w:tblPr>
        <w:tblStyle w:val="AERtable-numbers"/>
        <w:tblW w:w="5000" w:type="pct"/>
        <w:tblLook w:val="01E0" w:firstRow="1" w:lastRow="1" w:firstColumn="1" w:lastColumn="1" w:noHBand="0" w:noVBand="0"/>
      </w:tblPr>
      <w:tblGrid>
        <w:gridCol w:w="3508"/>
        <w:gridCol w:w="1000"/>
        <w:gridCol w:w="1000"/>
        <w:gridCol w:w="1000"/>
        <w:gridCol w:w="1000"/>
        <w:gridCol w:w="1000"/>
        <w:gridCol w:w="734"/>
      </w:tblGrid>
      <w:tr w:rsidR="00392214" w:rsidRPr="00D405D5" w:rsidTr="00392214">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898" w:type="pct"/>
          </w:tcPr>
          <w:p w:rsidR="00392214" w:rsidRPr="00392214" w:rsidRDefault="00392214" w:rsidP="00392214">
            <w:pPr>
              <w:pStyle w:val="AERtabletextleft"/>
            </w:pPr>
          </w:p>
        </w:tc>
        <w:tc>
          <w:tcPr>
            <w:tcW w:w="541" w:type="pct"/>
          </w:tcPr>
          <w:p w:rsidR="00392214" w:rsidRPr="00392214" w:rsidRDefault="00392214" w:rsidP="00392214">
            <w:pPr>
              <w:pStyle w:val="AERtabletextright"/>
              <w:cnfStyle w:val="100000000000" w:firstRow="1" w:lastRow="0" w:firstColumn="0" w:lastColumn="0" w:oddVBand="0" w:evenVBand="0" w:oddHBand="0" w:evenHBand="0" w:firstRowFirstColumn="0" w:firstRowLastColumn="0" w:lastRowFirstColumn="0" w:lastRowLastColumn="0"/>
            </w:pPr>
            <w:r w:rsidRPr="00392214">
              <w:t>2014–15</w:t>
            </w:r>
          </w:p>
        </w:tc>
        <w:tc>
          <w:tcPr>
            <w:tcW w:w="541" w:type="pct"/>
          </w:tcPr>
          <w:p w:rsidR="00392214" w:rsidRPr="00392214" w:rsidRDefault="00392214" w:rsidP="00392214">
            <w:pPr>
              <w:pStyle w:val="AERtabletextright"/>
              <w:cnfStyle w:val="100000000000" w:firstRow="1" w:lastRow="0" w:firstColumn="0" w:lastColumn="0" w:oddVBand="0" w:evenVBand="0" w:oddHBand="0" w:evenHBand="0" w:firstRowFirstColumn="0" w:firstRowLastColumn="0" w:lastRowFirstColumn="0" w:lastRowLastColumn="0"/>
            </w:pPr>
            <w:r w:rsidRPr="00392214">
              <w:t>2015–16</w:t>
            </w:r>
          </w:p>
        </w:tc>
        <w:tc>
          <w:tcPr>
            <w:tcW w:w="541" w:type="pct"/>
          </w:tcPr>
          <w:p w:rsidR="00392214" w:rsidRPr="00392214" w:rsidRDefault="00392214" w:rsidP="00392214">
            <w:pPr>
              <w:pStyle w:val="AERtabletextright"/>
              <w:cnfStyle w:val="100000000000" w:firstRow="1" w:lastRow="0" w:firstColumn="0" w:lastColumn="0" w:oddVBand="0" w:evenVBand="0" w:oddHBand="0" w:evenHBand="0" w:firstRowFirstColumn="0" w:firstRowLastColumn="0" w:lastRowFirstColumn="0" w:lastRowLastColumn="0"/>
            </w:pPr>
            <w:r w:rsidRPr="00392214">
              <w:t>2016–17</w:t>
            </w:r>
          </w:p>
        </w:tc>
        <w:tc>
          <w:tcPr>
            <w:tcW w:w="541" w:type="pct"/>
          </w:tcPr>
          <w:p w:rsidR="00392214" w:rsidRPr="00392214" w:rsidRDefault="00392214" w:rsidP="00392214">
            <w:pPr>
              <w:pStyle w:val="AERtabletextright"/>
              <w:cnfStyle w:val="100000000000" w:firstRow="1" w:lastRow="0" w:firstColumn="0" w:lastColumn="0" w:oddVBand="0" w:evenVBand="0" w:oddHBand="0" w:evenHBand="0" w:firstRowFirstColumn="0" w:firstRowLastColumn="0" w:lastRowFirstColumn="0" w:lastRowLastColumn="0"/>
            </w:pPr>
            <w:r w:rsidRPr="00392214">
              <w:t>2017–18</w:t>
            </w:r>
          </w:p>
        </w:tc>
        <w:tc>
          <w:tcPr>
            <w:tcW w:w="541" w:type="pct"/>
          </w:tcPr>
          <w:p w:rsidR="00392214" w:rsidRPr="00392214" w:rsidRDefault="00392214" w:rsidP="00392214">
            <w:pPr>
              <w:pStyle w:val="AERtabletextright"/>
              <w:cnfStyle w:val="100000000000" w:firstRow="1" w:lastRow="0" w:firstColumn="0" w:lastColumn="0" w:oddVBand="0" w:evenVBand="0" w:oddHBand="0" w:evenHBand="0" w:firstRowFirstColumn="0" w:firstRowLastColumn="0" w:lastRowFirstColumn="0" w:lastRowLastColumn="0"/>
            </w:pPr>
            <w:r w:rsidRPr="00392214">
              <w:t>2018–19</w:t>
            </w:r>
          </w:p>
        </w:tc>
        <w:tc>
          <w:tcPr>
            <w:tcW w:w="397" w:type="pct"/>
          </w:tcPr>
          <w:p w:rsidR="00392214" w:rsidRPr="00392214" w:rsidRDefault="00392214" w:rsidP="00392214">
            <w:pPr>
              <w:pStyle w:val="AERtabletextright"/>
              <w:cnfStyle w:val="100000000000" w:firstRow="1" w:lastRow="0" w:firstColumn="0" w:lastColumn="0" w:oddVBand="0" w:evenVBand="0" w:oddHBand="0" w:evenHBand="0" w:firstRowFirstColumn="0" w:firstRowLastColumn="0" w:lastRowFirstColumn="0" w:lastRowLastColumn="0"/>
            </w:pPr>
            <w:r w:rsidRPr="00392214">
              <w:t>Total</w:t>
            </w:r>
          </w:p>
        </w:tc>
      </w:tr>
      <w:tr w:rsidR="00600F21" w:rsidRPr="00D405D5" w:rsidTr="00600F21">
        <w:trPr>
          <w:trHeight w:val="294"/>
        </w:trPr>
        <w:tc>
          <w:tcPr>
            <w:cnfStyle w:val="001000000000" w:firstRow="0" w:lastRow="0" w:firstColumn="1" w:lastColumn="0" w:oddVBand="0" w:evenVBand="0" w:oddHBand="0" w:evenHBand="0" w:firstRowFirstColumn="0" w:firstRowLastColumn="0" w:lastRowFirstColumn="0" w:lastRowLastColumn="0"/>
            <w:tcW w:w="1898" w:type="pct"/>
          </w:tcPr>
          <w:p w:rsidR="00600F21" w:rsidRPr="00600F21" w:rsidRDefault="00600F21" w:rsidP="00600F21">
            <w:pPr>
              <w:pStyle w:val="AERtabletextleft"/>
            </w:pPr>
            <w:r w:rsidRPr="00600F21">
              <w:t>Tax payable</w:t>
            </w:r>
          </w:p>
        </w:tc>
        <w:tc>
          <w:tcPr>
            <w:tcW w:w="541" w:type="pct"/>
            <w:vAlign w:val="top"/>
          </w:tcPr>
          <w:p w:rsidR="00600F21" w:rsidRPr="00600F21" w:rsidRDefault="00600F21" w:rsidP="00600F21">
            <w:pPr>
              <w:pStyle w:val="AERtabletextright"/>
              <w:cnfStyle w:val="000000000000" w:firstRow="0" w:lastRow="0" w:firstColumn="0" w:lastColumn="0" w:oddVBand="0" w:evenVBand="0" w:oddHBand="0" w:evenHBand="0" w:firstRowFirstColumn="0" w:firstRowLastColumn="0" w:lastRowFirstColumn="0" w:lastRowLastColumn="0"/>
            </w:pPr>
            <w:r w:rsidRPr="00600F21">
              <w:t>2.0</w:t>
            </w:r>
          </w:p>
        </w:tc>
        <w:tc>
          <w:tcPr>
            <w:tcW w:w="541" w:type="pct"/>
            <w:vAlign w:val="top"/>
          </w:tcPr>
          <w:p w:rsidR="00600F21" w:rsidRPr="00600F21" w:rsidRDefault="00600F21" w:rsidP="00600F21">
            <w:pPr>
              <w:pStyle w:val="AERtabletextright"/>
              <w:cnfStyle w:val="000000000000" w:firstRow="0" w:lastRow="0" w:firstColumn="0" w:lastColumn="0" w:oddVBand="0" w:evenVBand="0" w:oddHBand="0" w:evenHBand="0" w:firstRowFirstColumn="0" w:firstRowLastColumn="0" w:lastRowFirstColumn="0" w:lastRowLastColumn="0"/>
            </w:pPr>
            <w:r w:rsidRPr="00600F21">
              <w:t>2.1</w:t>
            </w:r>
          </w:p>
        </w:tc>
        <w:tc>
          <w:tcPr>
            <w:tcW w:w="541" w:type="pct"/>
            <w:vAlign w:val="top"/>
          </w:tcPr>
          <w:p w:rsidR="00600F21" w:rsidRPr="00600F21" w:rsidRDefault="00600F21" w:rsidP="00600F21">
            <w:pPr>
              <w:pStyle w:val="AERtabletextright"/>
              <w:cnfStyle w:val="000000000000" w:firstRow="0" w:lastRow="0" w:firstColumn="0" w:lastColumn="0" w:oddVBand="0" w:evenVBand="0" w:oddHBand="0" w:evenHBand="0" w:firstRowFirstColumn="0" w:firstRowLastColumn="0" w:lastRowFirstColumn="0" w:lastRowLastColumn="0"/>
            </w:pPr>
            <w:r w:rsidRPr="00600F21">
              <w:t>2.2</w:t>
            </w:r>
          </w:p>
        </w:tc>
        <w:tc>
          <w:tcPr>
            <w:tcW w:w="541" w:type="pct"/>
            <w:vAlign w:val="top"/>
          </w:tcPr>
          <w:p w:rsidR="00600F21" w:rsidRPr="00600F21" w:rsidRDefault="00600F21" w:rsidP="00600F21">
            <w:pPr>
              <w:pStyle w:val="AERtabletextright"/>
              <w:cnfStyle w:val="000000000000" w:firstRow="0" w:lastRow="0" w:firstColumn="0" w:lastColumn="0" w:oddVBand="0" w:evenVBand="0" w:oddHBand="0" w:evenHBand="0" w:firstRowFirstColumn="0" w:firstRowLastColumn="0" w:lastRowFirstColumn="0" w:lastRowLastColumn="0"/>
            </w:pPr>
            <w:r w:rsidRPr="00600F21">
              <w:t>2.7</w:t>
            </w:r>
          </w:p>
        </w:tc>
        <w:tc>
          <w:tcPr>
            <w:tcW w:w="541" w:type="pct"/>
            <w:vAlign w:val="top"/>
          </w:tcPr>
          <w:p w:rsidR="00600F21" w:rsidRPr="00600F21" w:rsidRDefault="00600F21" w:rsidP="00600F21">
            <w:pPr>
              <w:pStyle w:val="AERtabletextright"/>
              <w:cnfStyle w:val="000000000000" w:firstRow="0" w:lastRow="0" w:firstColumn="0" w:lastColumn="0" w:oddVBand="0" w:evenVBand="0" w:oddHBand="0" w:evenHBand="0" w:firstRowFirstColumn="0" w:firstRowLastColumn="0" w:lastRowFirstColumn="0" w:lastRowLastColumn="0"/>
            </w:pPr>
            <w:r w:rsidRPr="00600F21">
              <w:t>2.9</w:t>
            </w:r>
          </w:p>
        </w:tc>
        <w:tc>
          <w:tcPr>
            <w:tcW w:w="397" w:type="pct"/>
            <w:vAlign w:val="top"/>
          </w:tcPr>
          <w:p w:rsidR="00600F21" w:rsidRPr="00600F21" w:rsidRDefault="00600F21" w:rsidP="00600F21">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600F21">
              <w:t>11.9</w:t>
            </w:r>
          </w:p>
        </w:tc>
      </w:tr>
      <w:tr w:rsidR="00600F21" w:rsidRPr="00D405D5" w:rsidTr="00600F21">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98" w:type="pct"/>
          </w:tcPr>
          <w:p w:rsidR="00600F21" w:rsidRPr="00600F21" w:rsidRDefault="00600F21" w:rsidP="00600F21">
            <w:pPr>
              <w:pStyle w:val="AERtabletextleft"/>
            </w:pPr>
            <w:r w:rsidRPr="00600F21">
              <w:rPr>
                <w:rStyle w:val="AERtextitalic"/>
              </w:rPr>
              <w:t>Less</w:t>
            </w:r>
            <w:r w:rsidRPr="00600F21">
              <w:t>: value of imputation credits</w:t>
            </w:r>
          </w:p>
        </w:tc>
        <w:tc>
          <w:tcPr>
            <w:tcW w:w="541" w:type="pct"/>
            <w:vAlign w:val="top"/>
          </w:tcPr>
          <w:p w:rsidR="00600F21" w:rsidRPr="00600F21" w:rsidRDefault="00600F21" w:rsidP="00600F21">
            <w:pPr>
              <w:pStyle w:val="AERtabletextright"/>
              <w:cnfStyle w:val="000000010000" w:firstRow="0" w:lastRow="0" w:firstColumn="0" w:lastColumn="0" w:oddVBand="0" w:evenVBand="0" w:oddHBand="0" w:evenHBand="1" w:firstRowFirstColumn="0" w:firstRowLastColumn="0" w:lastRowFirstColumn="0" w:lastRowLastColumn="0"/>
            </w:pPr>
            <w:r w:rsidRPr="00600F21">
              <w:t>-0.5</w:t>
            </w:r>
          </w:p>
        </w:tc>
        <w:tc>
          <w:tcPr>
            <w:tcW w:w="541" w:type="pct"/>
            <w:vAlign w:val="top"/>
          </w:tcPr>
          <w:p w:rsidR="00600F21" w:rsidRPr="00600F21" w:rsidRDefault="00600F21" w:rsidP="00600F21">
            <w:pPr>
              <w:pStyle w:val="AERtabletextright"/>
              <w:cnfStyle w:val="000000010000" w:firstRow="0" w:lastRow="0" w:firstColumn="0" w:lastColumn="0" w:oddVBand="0" w:evenVBand="0" w:oddHBand="0" w:evenHBand="1" w:firstRowFirstColumn="0" w:firstRowLastColumn="0" w:lastRowFirstColumn="0" w:lastRowLastColumn="0"/>
            </w:pPr>
            <w:r w:rsidRPr="00600F21">
              <w:t>-0.5</w:t>
            </w:r>
          </w:p>
        </w:tc>
        <w:tc>
          <w:tcPr>
            <w:tcW w:w="541" w:type="pct"/>
            <w:vAlign w:val="top"/>
          </w:tcPr>
          <w:p w:rsidR="00600F21" w:rsidRPr="00600F21" w:rsidRDefault="00600F21" w:rsidP="00600F21">
            <w:pPr>
              <w:pStyle w:val="AERtabletextright"/>
              <w:cnfStyle w:val="000000010000" w:firstRow="0" w:lastRow="0" w:firstColumn="0" w:lastColumn="0" w:oddVBand="0" w:evenVBand="0" w:oddHBand="0" w:evenHBand="1" w:firstRowFirstColumn="0" w:firstRowLastColumn="0" w:lastRowFirstColumn="0" w:lastRowLastColumn="0"/>
            </w:pPr>
            <w:r w:rsidRPr="00600F21">
              <w:t>-0.6</w:t>
            </w:r>
          </w:p>
        </w:tc>
        <w:tc>
          <w:tcPr>
            <w:tcW w:w="541" w:type="pct"/>
            <w:vAlign w:val="top"/>
          </w:tcPr>
          <w:p w:rsidR="00600F21" w:rsidRPr="00600F21" w:rsidRDefault="00600F21" w:rsidP="00600F21">
            <w:pPr>
              <w:pStyle w:val="AERtabletextright"/>
              <w:cnfStyle w:val="000000010000" w:firstRow="0" w:lastRow="0" w:firstColumn="0" w:lastColumn="0" w:oddVBand="0" w:evenVBand="0" w:oddHBand="0" w:evenHBand="1" w:firstRowFirstColumn="0" w:firstRowLastColumn="0" w:lastRowFirstColumn="0" w:lastRowLastColumn="0"/>
            </w:pPr>
            <w:r w:rsidRPr="00600F21">
              <w:t>-0.7</w:t>
            </w:r>
          </w:p>
        </w:tc>
        <w:tc>
          <w:tcPr>
            <w:tcW w:w="541" w:type="pct"/>
            <w:vAlign w:val="top"/>
          </w:tcPr>
          <w:p w:rsidR="00600F21" w:rsidRPr="00600F21" w:rsidRDefault="00600F21" w:rsidP="00600F21">
            <w:pPr>
              <w:pStyle w:val="AERtabletextright"/>
              <w:cnfStyle w:val="000000010000" w:firstRow="0" w:lastRow="0" w:firstColumn="0" w:lastColumn="0" w:oddVBand="0" w:evenVBand="0" w:oddHBand="0" w:evenHBand="1" w:firstRowFirstColumn="0" w:firstRowLastColumn="0" w:lastRowFirstColumn="0" w:lastRowLastColumn="0"/>
            </w:pPr>
            <w:r w:rsidRPr="00600F21">
              <w:t>-0.7</w:t>
            </w:r>
          </w:p>
        </w:tc>
        <w:tc>
          <w:tcPr>
            <w:tcW w:w="397" w:type="pct"/>
            <w:vAlign w:val="top"/>
          </w:tcPr>
          <w:p w:rsidR="00600F21" w:rsidRPr="00600F21" w:rsidRDefault="00600F21" w:rsidP="00600F21">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600F21">
              <w:t>-3.0</w:t>
            </w:r>
          </w:p>
        </w:tc>
      </w:tr>
      <w:tr w:rsidR="00600F21" w:rsidRPr="00392214" w:rsidTr="00600F21">
        <w:trPr>
          <w:trHeight w:val="301"/>
        </w:trPr>
        <w:tc>
          <w:tcPr>
            <w:cnfStyle w:val="001000000000" w:firstRow="0" w:lastRow="0" w:firstColumn="1" w:lastColumn="0" w:oddVBand="0" w:evenVBand="0" w:oddHBand="0" w:evenHBand="0" w:firstRowFirstColumn="0" w:firstRowLastColumn="0" w:lastRowFirstColumn="0" w:lastRowLastColumn="0"/>
            <w:tcW w:w="1898" w:type="pct"/>
          </w:tcPr>
          <w:p w:rsidR="00600F21" w:rsidRPr="00600F21" w:rsidRDefault="00600F21" w:rsidP="00600F21">
            <w:pPr>
              <w:pStyle w:val="AERtabletextleft"/>
              <w:rPr>
                <w:rStyle w:val="AERtextbold"/>
              </w:rPr>
            </w:pPr>
            <w:r w:rsidRPr="00600F21">
              <w:rPr>
                <w:rStyle w:val="AERtextbold"/>
              </w:rPr>
              <w:t>Corporate income tax allowance</w:t>
            </w:r>
          </w:p>
        </w:tc>
        <w:tc>
          <w:tcPr>
            <w:tcW w:w="541" w:type="pct"/>
            <w:vAlign w:val="top"/>
          </w:tcPr>
          <w:p w:rsidR="00600F21" w:rsidRPr="00600F21" w:rsidRDefault="00600F21" w:rsidP="00600F21">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600F21">
              <w:rPr>
                <w:rStyle w:val="AERtextbold"/>
              </w:rPr>
              <w:t>1.5</w:t>
            </w:r>
          </w:p>
        </w:tc>
        <w:tc>
          <w:tcPr>
            <w:tcW w:w="541" w:type="pct"/>
            <w:vAlign w:val="top"/>
          </w:tcPr>
          <w:p w:rsidR="00600F21" w:rsidRPr="00600F21" w:rsidRDefault="00600F21" w:rsidP="00600F21">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600F21">
              <w:rPr>
                <w:rStyle w:val="AERtextbold"/>
              </w:rPr>
              <w:t>1.6</w:t>
            </w:r>
          </w:p>
        </w:tc>
        <w:tc>
          <w:tcPr>
            <w:tcW w:w="541" w:type="pct"/>
            <w:vAlign w:val="top"/>
          </w:tcPr>
          <w:p w:rsidR="00600F21" w:rsidRPr="00600F21" w:rsidRDefault="00600F21" w:rsidP="00600F21">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600F21">
              <w:rPr>
                <w:rStyle w:val="AERtextbold"/>
              </w:rPr>
              <w:t>1.7</w:t>
            </w:r>
          </w:p>
        </w:tc>
        <w:tc>
          <w:tcPr>
            <w:tcW w:w="541" w:type="pct"/>
            <w:vAlign w:val="top"/>
          </w:tcPr>
          <w:p w:rsidR="00600F21" w:rsidRPr="00600F21" w:rsidRDefault="00600F21" w:rsidP="00600F21">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600F21">
              <w:rPr>
                <w:rStyle w:val="AERtextbold"/>
              </w:rPr>
              <w:t>2.0</w:t>
            </w:r>
          </w:p>
        </w:tc>
        <w:tc>
          <w:tcPr>
            <w:tcW w:w="541" w:type="pct"/>
            <w:vAlign w:val="top"/>
          </w:tcPr>
          <w:p w:rsidR="00600F21" w:rsidRPr="00600F21" w:rsidRDefault="00600F21" w:rsidP="00600F21">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600F21">
              <w:rPr>
                <w:rStyle w:val="AERtextbold"/>
              </w:rPr>
              <w:t>2.2</w:t>
            </w:r>
          </w:p>
        </w:tc>
        <w:tc>
          <w:tcPr>
            <w:tcW w:w="397" w:type="pct"/>
            <w:vAlign w:val="top"/>
          </w:tcPr>
          <w:p w:rsidR="00600F21" w:rsidRPr="00600F21" w:rsidRDefault="00600F21" w:rsidP="00600F21">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600F21">
              <w:rPr>
                <w:rStyle w:val="AERtextbold"/>
              </w:rPr>
              <w:t>9.0</w:t>
            </w:r>
          </w:p>
        </w:tc>
      </w:tr>
    </w:tbl>
    <w:p w:rsidR="00392214" w:rsidRPr="00392214" w:rsidRDefault="00392214" w:rsidP="00392214">
      <w:pPr>
        <w:pStyle w:val="AERtablesource"/>
      </w:pPr>
      <w:r w:rsidRPr="00392214">
        <w:t>Source:</w:t>
      </w:r>
      <w:r w:rsidRPr="00392214">
        <w:tab/>
        <w:t>A</w:t>
      </w:r>
      <w:r w:rsidR="0002354D">
        <w:t>ctewAGL</w:t>
      </w:r>
      <w:r w:rsidRPr="00392214">
        <w:t xml:space="preserve">, </w:t>
      </w:r>
      <w:r w:rsidRPr="00392214">
        <w:rPr>
          <w:rStyle w:val="AERtextitalic"/>
        </w:rPr>
        <w:t>Regulatory proposal</w:t>
      </w:r>
      <w:r w:rsidRPr="00392214">
        <w:t xml:space="preserve">, </w:t>
      </w:r>
      <w:r w:rsidR="0002354D">
        <w:t>June</w:t>
      </w:r>
      <w:r w:rsidRPr="00392214">
        <w:t xml:space="preserve"> 2014, Attachment </w:t>
      </w:r>
      <w:r w:rsidR="0002354D">
        <w:t>B5</w:t>
      </w:r>
      <w:r w:rsidRPr="00392214">
        <w:t>.</w:t>
      </w:r>
    </w:p>
    <w:p w:rsidR="008F3B05" w:rsidRDefault="009F030C" w:rsidP="0096670B">
      <w:pPr>
        <w:pStyle w:val="Heading2"/>
      </w:pPr>
      <w:bookmarkStart w:id="16" w:name="_Toc404700029"/>
      <w:r>
        <w:t>AER's assessment approach</w:t>
      </w:r>
      <w:bookmarkEnd w:id="13"/>
      <w:bookmarkEnd w:id="16"/>
    </w:p>
    <w:p w:rsidR="00564325" w:rsidRDefault="00743F54" w:rsidP="00564325">
      <w:pPr>
        <w:pStyle w:val="AERbodytext"/>
        <w:numPr>
          <w:ilvl w:val="0"/>
          <w:numId w:val="0"/>
        </w:numPr>
      </w:pPr>
      <w:r w:rsidRPr="00743F54">
        <w:t xml:space="preserve">Under clause 6.5.3 of the NER, </w:t>
      </w:r>
      <w:r>
        <w:t>we</w:t>
      </w:r>
      <w:r w:rsidRPr="00743F54">
        <w:t xml:space="preserve"> must make an estimate of taxable income </w:t>
      </w:r>
      <w:r w:rsidR="000A1846">
        <w:t>for each regulatory year. O</w:t>
      </w:r>
      <w:r w:rsidR="000A1846" w:rsidRPr="000A1846">
        <w:t>ur estimate must be for the taxable income a benchmark efficient entity would earn for providing standard control services if it operated ActewAGL's business. The estimate is required to be determined in accordance with the PTRM.</w:t>
      </w:r>
      <w:r>
        <w:t xml:space="preserve"> </w:t>
      </w:r>
      <w:r w:rsidRPr="00743F54">
        <w:t xml:space="preserve">Our approach for calculating a </w:t>
      </w:r>
      <w:r>
        <w:t>service provider's</w:t>
      </w:r>
      <w:r w:rsidRPr="00743F54">
        <w:t xml:space="preserve"> </w:t>
      </w:r>
      <w:r w:rsidR="00E30ECC">
        <w:t xml:space="preserve">cost of corporate income </w:t>
      </w:r>
      <w:r w:rsidRPr="00743F54">
        <w:t xml:space="preserve">tax </w:t>
      </w:r>
      <w:r>
        <w:t xml:space="preserve">allowance </w:t>
      </w:r>
      <w:r w:rsidRPr="00743F54">
        <w:t>is set out in our PTRM and involves the following steps:</w:t>
      </w:r>
    </w:p>
    <w:p w:rsidR="00CC3378" w:rsidRPr="00CC3378" w:rsidRDefault="009D5135" w:rsidP="00972243">
      <w:pPr>
        <w:pStyle w:val="AERnumberedlistfirststyle"/>
      </w:pPr>
      <w:r>
        <w:t>W</w:t>
      </w:r>
      <w:r w:rsidR="00CC3378" w:rsidRPr="00CC3378">
        <w:t xml:space="preserve">e estimate the annual taxable income that would be earned by a benchmark efficient entity operating the </w:t>
      </w:r>
      <w:r w:rsidR="00CC3378">
        <w:t>service provider</w:t>
      </w:r>
      <w:r w:rsidR="00CC3378" w:rsidRPr="00CC3378">
        <w:t xml:space="preserve">'s business. A </w:t>
      </w:r>
      <w:r w:rsidR="00CC3378">
        <w:t>service provider</w:t>
      </w:r>
      <w:r w:rsidR="00CC3378" w:rsidRPr="00CC3378">
        <w:t xml:space="preserve">'s taxable income is calculated by </w:t>
      </w:r>
      <w:r>
        <w:t>subtract</w:t>
      </w:r>
      <w:r w:rsidRPr="00CC3378">
        <w:t xml:space="preserve">ing </w:t>
      </w:r>
      <w:r>
        <w:t>the</w:t>
      </w:r>
      <w:r w:rsidRPr="00CC3378">
        <w:t xml:space="preserve"> </w:t>
      </w:r>
      <w:r w:rsidR="00CC3378" w:rsidRPr="00CC3378">
        <w:t>benchmark estimates of tax expenses</w:t>
      </w:r>
      <w:r w:rsidR="005530F7">
        <w:t xml:space="preserve"> from the approved forecast revenues. </w:t>
      </w:r>
      <w:r w:rsidR="00CC3378" w:rsidRPr="00CC3378">
        <w:t xml:space="preserve">Using the PTRM, we model the </w:t>
      </w:r>
      <w:r w:rsidR="00CC3378">
        <w:t>service provider</w:t>
      </w:r>
      <w:r w:rsidR="00CC3378" w:rsidRPr="00CC3378">
        <w:t>'s benchmark tax expenses, including interest tax expense and tax depreciation, over the regulatory control period. The interest tax expense is estimated using the benchmark 60 per cent gearing</w:t>
      </w:r>
      <w:r w:rsidR="00E30ECC">
        <w:t xml:space="preserve"> used for the rate of return calculation</w:t>
      </w:r>
      <w:r w:rsidR="00CC3378" w:rsidRPr="00CC3378">
        <w:t xml:space="preserve">. Tax depreciation is calculated using a separate </w:t>
      </w:r>
      <w:r w:rsidR="005530F7">
        <w:t>T</w:t>
      </w:r>
      <w:r w:rsidR="00CC3378" w:rsidRPr="00CC3378">
        <w:t>AB</w:t>
      </w:r>
      <w:r w:rsidR="00E30ECC">
        <w:t>,</w:t>
      </w:r>
      <w:r w:rsidR="00CC3378" w:rsidRPr="00CC3378">
        <w:t xml:space="preserve"> and standard and remaining tax asset lives</w:t>
      </w:r>
      <w:r w:rsidR="005530F7">
        <w:t xml:space="preserve"> for tax purposes</w:t>
      </w:r>
      <w:r w:rsidR="00CC3378" w:rsidRPr="00CC3378">
        <w:t xml:space="preserve">. All tax expenses (including other expenses such as opex) are offset against the </w:t>
      </w:r>
      <w:r w:rsidR="00CC3378">
        <w:t>service provider</w:t>
      </w:r>
      <w:r w:rsidR="00CC3378" w:rsidRPr="00CC3378">
        <w:t>'s forecast revenue to estimate the taxable income.</w:t>
      </w:r>
    </w:p>
    <w:p w:rsidR="00CC3378" w:rsidRPr="00CC3378" w:rsidRDefault="00CC3378" w:rsidP="00972243">
      <w:pPr>
        <w:pStyle w:val="AERnumberedlistfirststyle"/>
      </w:pPr>
      <w:r w:rsidRPr="00CC3378">
        <w:t xml:space="preserve">The statutory income tax rate is then applied to the estimated annual taxable income to arrive at a notional amount of tax payable. </w:t>
      </w:r>
    </w:p>
    <w:p w:rsidR="00CC3378" w:rsidRPr="00CC3378" w:rsidRDefault="00CC3378" w:rsidP="00972243">
      <w:pPr>
        <w:pStyle w:val="AERnumberedlistfirststyle"/>
      </w:pPr>
      <w:r w:rsidRPr="00CC3378">
        <w:t xml:space="preserve">We apply a discount to that notional amount of tax payable to account for </w:t>
      </w:r>
      <w:r w:rsidR="009D199D">
        <w:t xml:space="preserve">the </w:t>
      </w:r>
      <w:r w:rsidRPr="00CC3378">
        <w:t>utilisation of imputation credits (gamma)</w:t>
      </w:r>
      <w:r w:rsidR="00E30ECC">
        <w:t xml:space="preserve"> by investors</w:t>
      </w:r>
      <w:r w:rsidRPr="00CC3378">
        <w:t xml:space="preserve">. </w:t>
      </w:r>
    </w:p>
    <w:p w:rsidR="00CC3378" w:rsidRDefault="00CC3378" w:rsidP="00972243">
      <w:pPr>
        <w:pStyle w:val="AERnumberedlistfirststyle"/>
      </w:pPr>
      <w:r w:rsidRPr="00CC3378">
        <w:t>The tax payable net of assumed utilised imputation credits</w:t>
      </w:r>
      <w:r w:rsidR="005530F7">
        <w:t xml:space="preserve"> represents the corporate income tax allowance and is included as a separate building block in determining the service </w:t>
      </w:r>
      <w:r>
        <w:t>provider</w:t>
      </w:r>
      <w:r w:rsidRPr="00CC3378">
        <w:t>’s annual revenue requirement.</w:t>
      </w:r>
    </w:p>
    <w:p w:rsidR="00CC3378" w:rsidRDefault="00CC3378" w:rsidP="00CC3378">
      <w:pPr>
        <w:pStyle w:val="AERbulletlistfirststyle"/>
        <w:numPr>
          <w:ilvl w:val="0"/>
          <w:numId w:val="0"/>
        </w:numPr>
      </w:pPr>
      <w:r w:rsidRPr="00CC3378">
        <w:t xml:space="preserve">The </w:t>
      </w:r>
      <w:r w:rsidR="00E30ECC">
        <w:t xml:space="preserve">cost of </w:t>
      </w:r>
      <w:r w:rsidRPr="00CC3378">
        <w:t xml:space="preserve">corporate income tax allowance is an output of our PTRM. We therefore assess the </w:t>
      </w:r>
      <w:r>
        <w:t>service provider</w:t>
      </w:r>
      <w:r w:rsidRPr="00CC3378">
        <w:t>'s proposed</w:t>
      </w:r>
      <w:r w:rsidR="00E30ECC">
        <w:t xml:space="preserve"> cost of corporate income</w:t>
      </w:r>
      <w:r w:rsidRPr="00CC3378">
        <w:t xml:space="preserve"> tax allowance by analysing the proposed inputs to the PTRM for calculating th</w:t>
      </w:r>
      <w:r w:rsidR="00E30ECC">
        <w:t>at</w:t>
      </w:r>
      <w:r w:rsidRPr="00CC3378">
        <w:t xml:space="preserve"> allowance. These inputs include:</w:t>
      </w:r>
    </w:p>
    <w:p w:rsidR="00CC3378" w:rsidRPr="00CC3378" w:rsidRDefault="00CC3378" w:rsidP="00CC3378">
      <w:pPr>
        <w:pStyle w:val="AERbulletlistfirststyle"/>
      </w:pPr>
      <w:r w:rsidRPr="00E32D23">
        <w:rPr>
          <w:rStyle w:val="AERtextbold"/>
        </w:rPr>
        <w:lastRenderedPageBreak/>
        <w:t xml:space="preserve">The opening TAB as at the commencement of the </w:t>
      </w:r>
      <w:r w:rsidR="00E32D23">
        <w:rPr>
          <w:rStyle w:val="AERtextbold"/>
        </w:rPr>
        <w:t>2014–19</w:t>
      </w:r>
      <w:r w:rsidRPr="00E32D23">
        <w:rPr>
          <w:rStyle w:val="AERtextbold"/>
        </w:rPr>
        <w:t xml:space="preserve"> period:</w:t>
      </w:r>
      <w:r w:rsidRPr="00CC3378">
        <w:t xml:space="preserve"> We consider that the roll forward of the opening TAB should be based on the approved opening TAB as at commencement of the </w:t>
      </w:r>
      <w:r w:rsidR="00E32D23">
        <w:t>2009–14</w:t>
      </w:r>
      <w:r w:rsidRPr="00CC3378">
        <w:t xml:space="preserve"> regulatory control period and the </w:t>
      </w:r>
      <w:r w:rsidR="00E32D23">
        <w:t>service provider</w:t>
      </w:r>
      <w:r w:rsidRPr="00CC3378">
        <w:t xml:space="preserve">'s actual capex incurred during </w:t>
      </w:r>
      <w:r w:rsidR="00E32D23">
        <w:t>the 2009–14 regulatory control period.</w:t>
      </w:r>
      <w:r w:rsidR="00937FC6">
        <w:rPr>
          <w:rStyle w:val="FootnoteReference"/>
        </w:rPr>
        <w:footnoteReference w:id="4"/>
      </w:r>
    </w:p>
    <w:p w:rsidR="00CC3378" w:rsidRDefault="00CC3378" w:rsidP="004254FA">
      <w:pPr>
        <w:pStyle w:val="AERbulletlistfirststyle"/>
      </w:pPr>
      <w:r w:rsidRPr="00E32D23">
        <w:rPr>
          <w:rStyle w:val="AERtextbold"/>
        </w:rPr>
        <w:t xml:space="preserve">The remaining tax asset life for each asset class at the commencement of the </w:t>
      </w:r>
      <w:r w:rsidR="00DA1AE2">
        <w:rPr>
          <w:rStyle w:val="AERtextbold"/>
        </w:rPr>
        <w:t xml:space="preserve">2014–19 </w:t>
      </w:r>
      <w:r w:rsidRPr="00E32D23">
        <w:rPr>
          <w:rStyle w:val="AERtextbold"/>
        </w:rPr>
        <w:t>period:</w:t>
      </w:r>
      <w:r w:rsidRPr="00CC3378">
        <w:t xml:space="preserve"> Our preferred method to determine the remaining tax asset lives is the weighted average method. We consider the weighted average method provides a better reflection of the mix of asset li</w:t>
      </w:r>
      <w:r w:rsidR="00DA1AE2">
        <w:t xml:space="preserve">ves within an </w:t>
      </w:r>
      <w:r w:rsidRPr="00CC3378">
        <w:t xml:space="preserve">asset class. </w:t>
      </w:r>
      <w:r w:rsidR="004254FA" w:rsidRPr="004254FA">
        <w:t xml:space="preserve">We will assess the outcomes of other approaches against the outcomes of this </w:t>
      </w:r>
      <w:r w:rsidR="00AE7BCE">
        <w:t>preferred method</w:t>
      </w:r>
      <w:r w:rsidR="004254FA" w:rsidRPr="004254FA">
        <w:t>.</w:t>
      </w:r>
    </w:p>
    <w:p w:rsidR="00DA1AE2" w:rsidRPr="00CC3378" w:rsidRDefault="00DA1AE2" w:rsidP="00DA1AE2">
      <w:pPr>
        <w:pStyle w:val="AERbulletlistfirststyle"/>
      </w:pPr>
      <w:r w:rsidRPr="00E32D23">
        <w:rPr>
          <w:rStyle w:val="AERtextbold"/>
        </w:rPr>
        <w:t>The standard tax asset life for each asset class:</w:t>
      </w:r>
      <w:r w:rsidRPr="00CC3378">
        <w:t xml:space="preserve"> We assess the </w:t>
      </w:r>
      <w:r>
        <w:t>service provider</w:t>
      </w:r>
      <w:r w:rsidRPr="00CC3378">
        <w:t xml:space="preserve">'s proposed standard tax asset lives, where necessary, against those prescribed by the Commissioner for taxation in </w:t>
      </w:r>
      <w:r w:rsidR="00AD4159">
        <w:t>t</w:t>
      </w:r>
      <w:r w:rsidRPr="00CC3378">
        <w:t xml:space="preserve">ax </w:t>
      </w:r>
      <w:r w:rsidR="00AD4159">
        <w:t>r</w:t>
      </w:r>
      <w:r w:rsidRPr="00CC3378">
        <w:t>uling 201</w:t>
      </w:r>
      <w:r w:rsidR="00B96759">
        <w:t>4</w:t>
      </w:r>
      <w:r w:rsidRPr="00CC3378">
        <w:t xml:space="preserve">/4 and the approved standard tax asset lives in the </w:t>
      </w:r>
      <w:r>
        <w:t>service provider</w:t>
      </w:r>
      <w:r w:rsidRPr="00CC3378">
        <w:t xml:space="preserve">'s </w:t>
      </w:r>
      <w:r w:rsidR="00E30ECC">
        <w:t xml:space="preserve">distribution </w:t>
      </w:r>
      <w:r w:rsidRPr="00CC3378">
        <w:t xml:space="preserve">determination for </w:t>
      </w:r>
      <w:r>
        <w:t>the 2009–14 regulatory control period.</w:t>
      </w:r>
    </w:p>
    <w:p w:rsidR="00CC3378" w:rsidRPr="00CC3378" w:rsidRDefault="00CC3378" w:rsidP="00CC3378">
      <w:pPr>
        <w:pStyle w:val="AERbulletlistfirststyle"/>
      </w:pPr>
      <w:r w:rsidRPr="00E32D23">
        <w:rPr>
          <w:rStyle w:val="AERtextbold"/>
        </w:rPr>
        <w:t>The income tax rate:</w:t>
      </w:r>
      <w:r w:rsidRPr="00CC3378">
        <w:t xml:space="preserve"> The statutory income tax rate is 30 per cent per year.</w:t>
      </w:r>
    </w:p>
    <w:p w:rsidR="00CC3378" w:rsidRPr="00CC3378" w:rsidRDefault="00CC3378" w:rsidP="00CC3378">
      <w:pPr>
        <w:pStyle w:val="AERbulletlistfirststyle"/>
      </w:pPr>
      <w:r w:rsidRPr="00E32D23">
        <w:rPr>
          <w:rStyle w:val="AERtextbold"/>
        </w:rPr>
        <w:t>The value of gamma:</w:t>
      </w:r>
      <w:r w:rsidRPr="00CC3378">
        <w:t xml:space="preserve"> The gamma input for</w:t>
      </w:r>
      <w:r>
        <w:t xml:space="preserve"> </w:t>
      </w:r>
      <w:r w:rsidR="00DA1AE2">
        <w:t>ActewAGL</w:t>
      </w:r>
      <w:r w:rsidRPr="00CC3378">
        <w:t xml:space="preserve"> is 0.</w:t>
      </w:r>
      <w:r w:rsidR="006B7D02">
        <w:t xml:space="preserve">40. Refer to attachment </w:t>
      </w:r>
      <w:r w:rsidR="00E30AEF">
        <w:t>4</w:t>
      </w:r>
      <w:r w:rsidR="006B7D02">
        <w:t xml:space="preserve"> for</w:t>
      </w:r>
      <w:r w:rsidR="0052691F">
        <w:t xml:space="preserve"> detailed</w:t>
      </w:r>
      <w:r w:rsidR="006B7D02">
        <w:t xml:space="preserve"> discussion on this matter.</w:t>
      </w:r>
      <w:r w:rsidR="000334EF" w:rsidDel="000334EF">
        <w:rPr>
          <w:rStyle w:val="FootnoteReference"/>
        </w:rPr>
        <w:t xml:space="preserve"> </w:t>
      </w:r>
    </w:p>
    <w:p w:rsidR="009F030C" w:rsidRDefault="009F030C" w:rsidP="009F030C">
      <w:pPr>
        <w:pStyle w:val="Heading3"/>
      </w:pPr>
      <w:bookmarkStart w:id="17" w:name="_Toc387916832"/>
      <w:bookmarkStart w:id="18" w:name="_Toc404700030"/>
      <w:r w:rsidRPr="00E94C06">
        <w:t>Interrelationships</w:t>
      </w:r>
      <w:bookmarkEnd w:id="17"/>
      <w:bookmarkEnd w:id="18"/>
      <w:r w:rsidRPr="00E94C06">
        <w:t xml:space="preserve"> </w:t>
      </w:r>
    </w:p>
    <w:p w:rsidR="004656C5" w:rsidRPr="004656C5" w:rsidRDefault="004656C5" w:rsidP="004656C5">
      <w:pPr>
        <w:pStyle w:val="AERbodytext"/>
      </w:pPr>
      <w:r w:rsidRPr="004656C5">
        <w:t>The cost of corporate income tax building block feeds directly into the annual revenue requirement</w:t>
      </w:r>
      <w:r w:rsidR="00331AFF">
        <w:t xml:space="preserve"> (ARR)</w:t>
      </w:r>
      <w:r w:rsidRPr="004656C5">
        <w:t>. Th</w:t>
      </w:r>
      <w:r w:rsidR="004F6D54">
        <w:t>is</w:t>
      </w:r>
      <w:r w:rsidRPr="004656C5">
        <w:t xml:space="preserve"> </w:t>
      </w:r>
      <w:r w:rsidR="00C4765D">
        <w:t xml:space="preserve">corporate income </w:t>
      </w:r>
      <w:r w:rsidRPr="004656C5">
        <w:t xml:space="preserve">tax allowance is determined by </w:t>
      </w:r>
      <w:r w:rsidR="00E70011">
        <w:t>four</w:t>
      </w:r>
      <w:r w:rsidRPr="004656C5">
        <w:t xml:space="preserve"> factors:</w:t>
      </w:r>
    </w:p>
    <w:p w:rsidR="004656C5" w:rsidRPr="004656C5" w:rsidRDefault="00DA1AE2" w:rsidP="004656C5">
      <w:pPr>
        <w:pStyle w:val="AERbulletlistfirststyle"/>
      </w:pPr>
      <w:r>
        <w:t>p</w:t>
      </w:r>
      <w:r w:rsidR="004656C5" w:rsidRPr="004656C5">
        <w:t xml:space="preserve">re-tax revenues </w:t>
      </w:r>
    </w:p>
    <w:p w:rsidR="004656C5" w:rsidRPr="004656C5" w:rsidRDefault="00DA1AE2" w:rsidP="004656C5">
      <w:pPr>
        <w:pStyle w:val="AERbulletlistfirststyle"/>
      </w:pPr>
      <w:r>
        <w:t>t</w:t>
      </w:r>
      <w:r w:rsidR="004656C5" w:rsidRPr="004656C5">
        <w:t>ax expenses (including tax depreciation)</w:t>
      </w:r>
    </w:p>
    <w:p w:rsidR="00E70011" w:rsidRDefault="00DA1AE2" w:rsidP="00E70011">
      <w:pPr>
        <w:pStyle w:val="AERbulletlistfirststyle"/>
      </w:pPr>
      <w:r>
        <w:t>t</w:t>
      </w:r>
      <w:r w:rsidR="004656C5" w:rsidRPr="004656C5">
        <w:t>he corporate tax rate</w:t>
      </w:r>
    </w:p>
    <w:p w:rsidR="00E70011" w:rsidRPr="004656C5" w:rsidRDefault="00DA1AE2" w:rsidP="00E70011">
      <w:pPr>
        <w:pStyle w:val="AERbulletlistfirststyle"/>
      </w:pPr>
      <w:r>
        <w:t>g</w:t>
      </w:r>
      <w:r w:rsidR="00E70011">
        <w:t>amma</w:t>
      </w:r>
      <w:r w:rsidR="004F6D54">
        <w:t>—t</w:t>
      </w:r>
      <w:r w:rsidR="00E70011">
        <w:t xml:space="preserve">he </w:t>
      </w:r>
      <w:r w:rsidR="00874334" w:rsidRPr="00874334">
        <w:t>expected proportion of company tax that is returned to investors through the utilisation of imputation credits</w:t>
      </w:r>
      <w:r w:rsidR="00874334">
        <w:t>—</w:t>
      </w:r>
      <w:r w:rsidR="004F6D54">
        <w:t>which</w:t>
      </w:r>
      <w:r w:rsidR="001256EA">
        <w:t xml:space="preserve"> offset</w:t>
      </w:r>
      <w:r w:rsidR="004F6D54">
        <w:t>s</w:t>
      </w:r>
      <w:r w:rsidR="001256EA">
        <w:t xml:space="preserve"> against the corporate income tax allowance</w:t>
      </w:r>
      <w:r w:rsidR="00E70011">
        <w:t xml:space="preserve">. This is discussed </w:t>
      </w:r>
      <w:r w:rsidR="004F6D54">
        <w:t xml:space="preserve">further </w:t>
      </w:r>
      <w:r w:rsidR="00E70011">
        <w:t xml:space="preserve">at attachment </w:t>
      </w:r>
      <w:r w:rsidR="003E001C">
        <w:t>4</w:t>
      </w:r>
      <w:r w:rsidR="00E70011">
        <w:t>.</w:t>
      </w:r>
    </w:p>
    <w:p w:rsidR="004656C5" w:rsidRPr="004656C5" w:rsidRDefault="00E70011" w:rsidP="004656C5">
      <w:pPr>
        <w:pStyle w:val="AERbodytext"/>
      </w:pPr>
      <w:r>
        <w:t>Of these four</w:t>
      </w:r>
      <w:r w:rsidR="004656C5" w:rsidRPr="004656C5">
        <w:t xml:space="preserve"> factors, the corporate tax rate is set externally by the Government. The higher the tax rate the higher the </w:t>
      </w:r>
      <w:r w:rsidR="004F6D54">
        <w:t xml:space="preserve">required </w:t>
      </w:r>
      <w:r w:rsidR="004656C5" w:rsidRPr="004656C5">
        <w:t>tax allowance.</w:t>
      </w:r>
    </w:p>
    <w:p w:rsidR="004656C5" w:rsidRPr="004656C5" w:rsidRDefault="004656C5" w:rsidP="004656C5">
      <w:pPr>
        <w:pStyle w:val="AERbodytext"/>
      </w:pPr>
      <w:r w:rsidRPr="004656C5">
        <w:t xml:space="preserve">The pre-tax revenues depend on all the building block components. Any factor that affects revenue will therefore affect pre-tax revenues. </w:t>
      </w:r>
      <w:r w:rsidR="00331AFF">
        <w:t>H</w:t>
      </w:r>
      <w:r w:rsidRPr="004656C5">
        <w:t xml:space="preserve">igher pre-tax revenues </w:t>
      </w:r>
      <w:r w:rsidR="00331AFF">
        <w:t>can</w:t>
      </w:r>
      <w:r w:rsidRPr="004656C5">
        <w:t xml:space="preserve"> increase the tax allowance.</w:t>
      </w:r>
      <w:r>
        <w:rPr>
          <w:rStyle w:val="FootnoteReference"/>
        </w:rPr>
        <w:footnoteReference w:id="5"/>
      </w:r>
      <w:r w:rsidRPr="004656C5">
        <w:t xml:space="preserve"> </w:t>
      </w:r>
      <w:r w:rsidR="00331AFF" w:rsidRPr="004B25F4">
        <w:t>Depending on the source of the revenue increase, the tax increase may be equal to or less than proportional to the company tax rate.</w:t>
      </w:r>
      <w:r w:rsidR="00331AFF">
        <w:rPr>
          <w:rStyle w:val="FootnoteReference"/>
        </w:rPr>
        <w:footnoteReference w:id="6"/>
      </w:r>
      <w:r w:rsidR="00331AFF" w:rsidRPr="004656C5">
        <w:t xml:space="preserve">  </w:t>
      </w:r>
    </w:p>
    <w:p w:rsidR="004656C5" w:rsidRPr="004656C5" w:rsidRDefault="004656C5" w:rsidP="004656C5">
      <w:pPr>
        <w:pStyle w:val="AERbodytext"/>
      </w:pPr>
      <w:r w:rsidRPr="004656C5">
        <w:t xml:space="preserve">The tax expenses depend on various building block components and their size. Some components give rise to tax expenses, such as opex, interest payments and tax depreciation of assets. However, </w:t>
      </w:r>
      <w:r w:rsidRPr="004656C5">
        <w:lastRenderedPageBreak/>
        <w:t xml:space="preserve">others do not, such as increases in return on equity. Higher tax expenses offset revenues as deductions in the tax calculation and therefore reduce the </w:t>
      </w:r>
      <w:r w:rsidR="00E30ECC">
        <w:t xml:space="preserve">cost of corporate income </w:t>
      </w:r>
      <w:r w:rsidRPr="004656C5">
        <w:t>tax allowance</w:t>
      </w:r>
      <w:r w:rsidR="004F6D54">
        <w:t xml:space="preserve"> (all things being equal)</w:t>
      </w:r>
      <w:r w:rsidRPr="004656C5">
        <w:t>. Tax expenses include:</w:t>
      </w:r>
    </w:p>
    <w:p w:rsidR="004656C5" w:rsidRPr="004656C5" w:rsidRDefault="004656C5" w:rsidP="004656C5">
      <w:pPr>
        <w:pStyle w:val="AERbulletlistfirststyle"/>
      </w:pPr>
      <w:r w:rsidRPr="004656C5">
        <w:t>Interest on debt – Interest is a tax offset. The size of which depends on the ratio of debt to equity and therefore the proportion of the RAB funded through debt. It also depends on the allowed return on debt and the size of the RAB.</w:t>
      </w:r>
    </w:p>
    <w:p w:rsidR="004656C5" w:rsidRPr="004656C5" w:rsidRDefault="004656C5" w:rsidP="004656C5">
      <w:pPr>
        <w:pStyle w:val="AERbulletlistfirststyle"/>
      </w:pPr>
      <w:r w:rsidRPr="004656C5">
        <w:t>General expenses – In the main these expenses will match the opex allowance.</w:t>
      </w:r>
    </w:p>
    <w:p w:rsidR="004656C5" w:rsidRDefault="004656C5" w:rsidP="004656C5">
      <w:pPr>
        <w:pStyle w:val="AERbulletlistfirststyle"/>
      </w:pPr>
      <w:r w:rsidRPr="004656C5">
        <w:t xml:space="preserve">Tax depreciation – A separate TAB is maintained for the businesses reflecting tax rules. This TAB is affected by many of the same factors as the RAB, such as capex, although </w:t>
      </w:r>
      <w:r w:rsidR="002A71EF">
        <w:t xml:space="preserve">unlike the RAB value </w:t>
      </w:r>
      <w:r w:rsidRPr="004656C5">
        <w:t xml:space="preserve">it is maintained at its historical cost with no indexation. The TAB is also affected by the depreciation rate and </w:t>
      </w:r>
      <w:r w:rsidR="00774285">
        <w:t xml:space="preserve">asset </w:t>
      </w:r>
      <w:r w:rsidRPr="004656C5">
        <w:t>lives assigned for tax depreciation purposes.</w:t>
      </w:r>
    </w:p>
    <w:p w:rsidR="00503C5A" w:rsidRPr="00503C5A" w:rsidRDefault="00503C5A" w:rsidP="00972243">
      <w:pPr>
        <w:pStyle w:val="AERbulletlistfirststyle"/>
        <w:numPr>
          <w:ilvl w:val="0"/>
          <w:numId w:val="0"/>
        </w:numPr>
      </w:pPr>
      <w:r w:rsidRPr="00503C5A">
        <w:t xml:space="preserve">A </w:t>
      </w:r>
      <w:r w:rsidR="00224A1F">
        <w:t>ten</w:t>
      </w:r>
      <w:r w:rsidR="00224A1F" w:rsidRPr="00503C5A">
        <w:t xml:space="preserve"> </w:t>
      </w:r>
      <w:r w:rsidRPr="00503C5A">
        <w:t xml:space="preserve">per cent increase in the corporate income tax allowance causes revenues to increase by </w:t>
      </w:r>
      <w:r w:rsidR="0004406C">
        <w:t>about 0.</w:t>
      </w:r>
      <w:r w:rsidR="00224A1F">
        <w:t>6</w:t>
      </w:r>
      <w:r w:rsidR="001135FA">
        <w:t xml:space="preserve"> </w:t>
      </w:r>
      <w:r w:rsidRPr="00503C5A">
        <w:t>per cent.</w:t>
      </w:r>
      <w:r w:rsidR="001135FA" w:rsidRPr="001135FA">
        <w:t xml:space="preserve"> The proposed </w:t>
      </w:r>
      <w:r w:rsidR="001C5AC2">
        <w:t>gamma of 0.25</w:t>
      </w:r>
      <w:r w:rsidR="00C47829">
        <w:t>,</w:t>
      </w:r>
      <w:r w:rsidR="001C5AC2">
        <w:t xml:space="preserve"> </w:t>
      </w:r>
      <w:r w:rsidR="00E30ECC">
        <w:t xml:space="preserve">compared </w:t>
      </w:r>
      <w:r w:rsidR="001135FA" w:rsidRPr="001135FA">
        <w:t xml:space="preserve">to the </w:t>
      </w:r>
      <w:r w:rsidR="001C5AC2">
        <w:t>value in the AER</w:t>
      </w:r>
      <w:r w:rsidR="001135FA" w:rsidRPr="001135FA">
        <w:t xml:space="preserve">'s </w:t>
      </w:r>
      <w:r w:rsidR="006B7D02">
        <w:t>decision</w:t>
      </w:r>
      <w:r w:rsidR="001C5AC2">
        <w:t xml:space="preserve"> of 0.</w:t>
      </w:r>
      <w:r w:rsidR="006B7D02">
        <w:t>4</w:t>
      </w:r>
      <w:r w:rsidR="001135FA" w:rsidRPr="001135FA">
        <w:t xml:space="preserve">, </w:t>
      </w:r>
      <w:r w:rsidR="00230A5F">
        <w:t xml:space="preserve">would </w:t>
      </w:r>
      <w:r w:rsidR="001135FA" w:rsidRPr="001135FA">
        <w:t xml:space="preserve">increase the corporate income tax allowance by </w:t>
      </w:r>
      <w:r w:rsidR="00224A1F">
        <w:t>24</w:t>
      </w:r>
      <w:r w:rsidR="006B7D02" w:rsidRPr="001135FA">
        <w:t xml:space="preserve"> </w:t>
      </w:r>
      <w:r w:rsidR="001135FA" w:rsidRPr="001135FA">
        <w:t xml:space="preserve">per cent and </w:t>
      </w:r>
      <w:r w:rsidR="001C5AC2">
        <w:t xml:space="preserve">total revenues by about </w:t>
      </w:r>
      <w:r w:rsidR="006B7D02">
        <w:t>1</w:t>
      </w:r>
      <w:r w:rsidR="001C5AC2">
        <w:t>.5 per cent</w:t>
      </w:r>
      <w:r w:rsidR="001135FA" w:rsidRPr="001135FA">
        <w:t>.</w:t>
      </w:r>
    </w:p>
    <w:p w:rsidR="009F030C" w:rsidRDefault="009F030C" w:rsidP="009F030C">
      <w:pPr>
        <w:pStyle w:val="Heading2"/>
      </w:pPr>
      <w:bookmarkStart w:id="19" w:name="_Toc387916833"/>
      <w:bookmarkStart w:id="20" w:name="_Toc404700031"/>
      <w:r>
        <w:t>Reasons for draft decision</w:t>
      </w:r>
      <w:bookmarkEnd w:id="19"/>
      <w:bookmarkEnd w:id="20"/>
    </w:p>
    <w:p w:rsidR="001C5AC2" w:rsidRDefault="007511AF" w:rsidP="007511AF">
      <w:pPr>
        <w:pStyle w:val="AERbodytext"/>
      </w:pPr>
      <w:r w:rsidRPr="007511AF">
        <w:t xml:space="preserve">We do not accept </w:t>
      </w:r>
      <w:r>
        <w:t>A</w:t>
      </w:r>
      <w:r w:rsidR="001C5AC2">
        <w:t>ctewAGL</w:t>
      </w:r>
      <w:r w:rsidRPr="007511AF">
        <w:t xml:space="preserve">'s proposed </w:t>
      </w:r>
      <w:r w:rsidR="001C5AC2">
        <w:t xml:space="preserve">estimated cost of </w:t>
      </w:r>
      <w:r w:rsidRPr="007511AF">
        <w:t xml:space="preserve">corporate income tax. </w:t>
      </w:r>
      <w:r w:rsidR="001C5AC2">
        <w:t>We have instead determined corporate income tax allowance</w:t>
      </w:r>
      <w:r w:rsidR="00E30ECC">
        <w:t>s</w:t>
      </w:r>
      <w:r w:rsidR="001C5AC2">
        <w:t xml:space="preserve"> of $</w:t>
      </w:r>
      <w:r w:rsidR="00191905">
        <w:t>31.4</w:t>
      </w:r>
      <w:r w:rsidR="001C5AC2">
        <w:t xml:space="preserve"> million and $</w:t>
      </w:r>
      <w:r w:rsidR="00191905">
        <w:t>4.4</w:t>
      </w:r>
      <w:r w:rsidR="001C5AC2">
        <w:t xml:space="preserve"> million for its distribution and transmission networks respectively. This represent reduction</w:t>
      </w:r>
      <w:r w:rsidR="00E30ECC">
        <w:t>s</w:t>
      </w:r>
      <w:r w:rsidR="001C5AC2">
        <w:t xml:space="preserve"> of $</w:t>
      </w:r>
      <w:r w:rsidR="00191905">
        <w:t>22.3</w:t>
      </w:r>
      <w:r w:rsidR="001C5AC2">
        <w:t xml:space="preserve"> million (or </w:t>
      </w:r>
      <w:r w:rsidR="00191905">
        <w:t>41.5</w:t>
      </w:r>
      <w:r w:rsidR="001C5AC2">
        <w:t xml:space="preserve"> per cent) for ActewAGL's distribution network and $</w:t>
      </w:r>
      <w:r w:rsidR="00191905">
        <w:t>4.5</w:t>
      </w:r>
      <w:r w:rsidR="001C5AC2">
        <w:t xml:space="preserve"> million (or </w:t>
      </w:r>
      <w:r w:rsidR="00191905">
        <w:t>50.3</w:t>
      </w:r>
      <w:r w:rsidR="001C5AC2">
        <w:t xml:space="preserve"> per cent) f</w:t>
      </w:r>
      <w:r w:rsidR="00E30ECC">
        <w:t>or</w:t>
      </w:r>
      <w:r w:rsidR="001C5AC2">
        <w:t xml:space="preserve"> </w:t>
      </w:r>
      <w:r w:rsidR="00E30ECC">
        <w:t>ActewAGL's</w:t>
      </w:r>
      <w:r w:rsidR="001C5AC2">
        <w:t xml:space="preserve"> transmission network. </w:t>
      </w:r>
    </w:p>
    <w:p w:rsidR="007511AF" w:rsidRPr="007511AF" w:rsidRDefault="001C5AC2" w:rsidP="007511AF">
      <w:pPr>
        <w:pStyle w:val="AERbodytext"/>
      </w:pPr>
      <w:r>
        <w:t xml:space="preserve">This is because we adjusted </w:t>
      </w:r>
      <w:r w:rsidR="00E30ECC">
        <w:t>the following</w:t>
      </w:r>
      <w:r>
        <w:t xml:space="preserve"> proposed inputs to the PTRM for tax purposes:</w:t>
      </w:r>
      <w:r w:rsidR="007511AF" w:rsidRPr="007511AF">
        <w:t xml:space="preserve"> </w:t>
      </w:r>
    </w:p>
    <w:p w:rsidR="007511AF" w:rsidRDefault="007511AF" w:rsidP="007511AF">
      <w:pPr>
        <w:pStyle w:val="AERbulletlistfirststyle"/>
      </w:pPr>
      <w:r w:rsidRPr="007511AF">
        <w:t>the standard asset li</w:t>
      </w:r>
      <w:r w:rsidR="00B96759">
        <w:t>fe of equity raising costs</w:t>
      </w:r>
      <w:r w:rsidRPr="007511AF">
        <w:t xml:space="preserve"> (section </w:t>
      </w:r>
      <w:r w:rsidR="00191905">
        <w:fldChar w:fldCharType="begin"/>
      </w:r>
      <w:r w:rsidR="00191905">
        <w:instrText xml:space="preserve"> REF _Ref404089817 \r \h </w:instrText>
      </w:r>
      <w:r w:rsidR="00191905">
        <w:fldChar w:fldCharType="separate"/>
      </w:r>
      <w:r w:rsidR="00914556">
        <w:t>8.4.2</w:t>
      </w:r>
      <w:r w:rsidR="00191905">
        <w:fldChar w:fldCharType="end"/>
      </w:r>
      <w:r w:rsidRPr="007511AF">
        <w:t>)</w:t>
      </w:r>
    </w:p>
    <w:p w:rsidR="001C5AC2" w:rsidRPr="007511AF" w:rsidRDefault="001C5AC2" w:rsidP="007511AF">
      <w:pPr>
        <w:pStyle w:val="AERbulletlistfirststyle"/>
      </w:pPr>
      <w:r>
        <w:t>the value of gamma (</w:t>
      </w:r>
      <w:r w:rsidR="00E61974">
        <w:t xml:space="preserve">attachment </w:t>
      </w:r>
      <w:r w:rsidR="003E001C">
        <w:t>4</w:t>
      </w:r>
      <w:r>
        <w:t>)</w:t>
      </w:r>
    </w:p>
    <w:p w:rsidR="007511AF" w:rsidRPr="007511AF" w:rsidRDefault="007511AF" w:rsidP="007511AF">
      <w:pPr>
        <w:pStyle w:val="AERbulletlistfirststyle"/>
      </w:pPr>
      <w:r w:rsidRPr="007511AF">
        <w:t>o</w:t>
      </w:r>
      <w:r w:rsidR="001C5AC2">
        <w:t xml:space="preserve">ther building block components </w:t>
      </w:r>
      <w:r w:rsidRPr="007511AF">
        <w:t xml:space="preserve">including forecast opex (attachment </w:t>
      </w:r>
      <w:r w:rsidR="00191905">
        <w:t>7</w:t>
      </w:r>
      <w:r w:rsidRPr="007511AF">
        <w:t>)</w:t>
      </w:r>
      <w:r w:rsidR="00E30ECC">
        <w:t xml:space="preserve"> and</w:t>
      </w:r>
      <w:r w:rsidR="001C5AC2">
        <w:t xml:space="preserve"> </w:t>
      </w:r>
      <w:r w:rsidRPr="007511AF">
        <w:t xml:space="preserve">forecast capex (attachment </w:t>
      </w:r>
      <w:r w:rsidR="00191905">
        <w:t>6</w:t>
      </w:r>
      <w:r w:rsidRPr="007511AF">
        <w:t>)</w:t>
      </w:r>
      <w:r w:rsidR="001C5AC2">
        <w:t xml:space="preserve"> that </w:t>
      </w:r>
      <w:r w:rsidR="00E30ECC">
        <w:t>impact</w:t>
      </w:r>
      <w:r w:rsidR="001C5AC2">
        <w:t xml:space="preserve"> revenues</w:t>
      </w:r>
      <w:r w:rsidR="00E30ECC">
        <w:t>,</w:t>
      </w:r>
      <w:r w:rsidR="001C5AC2">
        <w:t xml:space="preserve"> and therefore </w:t>
      </w:r>
      <w:r w:rsidR="00E30ECC">
        <w:t>also impact</w:t>
      </w:r>
      <w:r w:rsidR="001C5AC2">
        <w:t xml:space="preserve"> </w:t>
      </w:r>
      <w:r w:rsidRPr="007511AF">
        <w:t xml:space="preserve">the </w:t>
      </w:r>
      <w:r w:rsidR="00E30ECC">
        <w:t>forecast</w:t>
      </w:r>
      <w:r w:rsidRPr="007511AF">
        <w:t xml:space="preserve"> corporate income tax allowance.</w:t>
      </w:r>
      <w:r w:rsidRPr="007511AF">
        <w:rPr>
          <w:rStyle w:val="FootnoteReference"/>
        </w:rPr>
        <w:footnoteReference w:id="7"/>
      </w:r>
      <w:r w:rsidRPr="007511AF">
        <w:t xml:space="preserve"> </w:t>
      </w:r>
    </w:p>
    <w:p w:rsidR="009F030C" w:rsidRDefault="0085652B" w:rsidP="009F030C">
      <w:pPr>
        <w:pStyle w:val="Heading3"/>
      </w:pPr>
      <w:bookmarkStart w:id="21" w:name="_Toc404700032"/>
      <w:r>
        <w:t>Opening tax asset base</w:t>
      </w:r>
      <w:bookmarkEnd w:id="21"/>
    </w:p>
    <w:p w:rsidR="001F70CA" w:rsidRDefault="007020FF" w:rsidP="00B96759">
      <w:pPr>
        <w:pStyle w:val="AERbodytext"/>
      </w:pPr>
      <w:r w:rsidRPr="007020FF">
        <w:t>We accept A</w:t>
      </w:r>
      <w:r>
        <w:t>ctewAGL</w:t>
      </w:r>
      <w:r w:rsidRPr="007020FF">
        <w:t>'s proposed opening TAB</w:t>
      </w:r>
      <w:r w:rsidR="002674F1">
        <w:t>s</w:t>
      </w:r>
      <w:r w:rsidRPr="007020FF">
        <w:t xml:space="preserve"> as at 1 July 20</w:t>
      </w:r>
      <w:r w:rsidR="00EA1631">
        <w:t>14</w:t>
      </w:r>
      <w:r w:rsidRPr="007020FF">
        <w:t xml:space="preserve"> of $</w:t>
      </w:r>
      <w:r w:rsidR="00E36CB1">
        <w:t>609.1</w:t>
      </w:r>
      <w:r w:rsidRPr="007020FF">
        <w:t xml:space="preserve"> million for its distribution network and $</w:t>
      </w:r>
      <w:r w:rsidR="00E36CB1">
        <w:t>137.1</w:t>
      </w:r>
      <w:r w:rsidRPr="007020FF">
        <w:t xml:space="preserve"> million ($nominal) for its transmission network. </w:t>
      </w:r>
      <w:r w:rsidR="008B2B5E">
        <w:t xml:space="preserve">Although </w:t>
      </w:r>
      <w:r w:rsidR="00275384">
        <w:t xml:space="preserve">ActewAGL's </w:t>
      </w:r>
      <w:r w:rsidR="008B2B5E">
        <w:t>transmission assets are to be regulated as dual function assets from 1 July 2014, the transmission TAB has been established</w:t>
      </w:r>
      <w:r w:rsidR="006D54C3">
        <w:t xml:space="preserve"> by ActewAGL</w:t>
      </w:r>
      <w:r w:rsidR="008B2B5E">
        <w:t xml:space="preserve"> from 1 July 2009. This is similar to </w:t>
      </w:r>
      <w:r w:rsidR="00275384">
        <w:t>the</w:t>
      </w:r>
      <w:r w:rsidR="008B2B5E">
        <w:t xml:space="preserve"> </w:t>
      </w:r>
      <w:r w:rsidR="00CD27AA">
        <w:t>approach to establish the RAB</w:t>
      </w:r>
      <w:r w:rsidR="00275384">
        <w:t>s</w:t>
      </w:r>
      <w:r w:rsidR="00CD27AA">
        <w:t xml:space="preserve"> discussed in attachment </w:t>
      </w:r>
      <w:r w:rsidR="00191905">
        <w:t>2</w:t>
      </w:r>
      <w:r w:rsidR="00275384">
        <w:t xml:space="preserve"> in respect of ActewAGL's distribution and transmission networks</w:t>
      </w:r>
      <w:r w:rsidR="00CD27AA">
        <w:t xml:space="preserve">. To determine the opening TABs as at 1 July 2014, </w:t>
      </w:r>
      <w:r w:rsidR="001F70CA">
        <w:t>ActewAGL has</w:t>
      </w:r>
      <w:r w:rsidR="00CD27AA">
        <w:t xml:space="preserve"> rolled forward the </w:t>
      </w:r>
      <w:r w:rsidR="006D54C3">
        <w:t xml:space="preserve">distribution and transmission </w:t>
      </w:r>
      <w:r w:rsidR="00CD27AA">
        <w:t xml:space="preserve">TABs over the 2009–14 regulatory control period </w:t>
      </w:r>
      <w:r w:rsidR="001F70CA">
        <w:t>using the approach set out in our RFM</w:t>
      </w:r>
      <w:r w:rsidR="00CD27AA">
        <w:t xml:space="preserve">. </w:t>
      </w:r>
    </w:p>
    <w:p w:rsidR="00851137" w:rsidRDefault="0060397E" w:rsidP="00E17958">
      <w:pPr>
        <w:pStyle w:val="AERbodytext"/>
      </w:pPr>
      <w:r>
        <w:t xml:space="preserve">In </w:t>
      </w:r>
      <w:r w:rsidRPr="00851137">
        <w:t>the 2009 determination</w:t>
      </w:r>
      <w:r>
        <w:t xml:space="preserve">, we established </w:t>
      </w:r>
      <w:r w:rsidRPr="00851137">
        <w:t>ActewAGL's opening TAB as at 1 July 2009</w:t>
      </w:r>
      <w:r>
        <w:t>, which</w:t>
      </w:r>
      <w:r w:rsidRPr="00851137">
        <w:t xml:space="preserve"> included estimated capex for 2008–09.</w:t>
      </w:r>
      <w:r w:rsidRPr="00851137">
        <w:rPr>
          <w:rStyle w:val="FootnoteReference"/>
        </w:rPr>
        <w:footnoteReference w:id="8"/>
      </w:r>
      <w:r w:rsidR="00E17958" w:rsidRPr="00E17958">
        <w:rPr>
          <w:rStyle w:val="AERsuperscript"/>
        </w:rPr>
        <w:t>,</w:t>
      </w:r>
      <w:r w:rsidR="00E17958">
        <w:rPr>
          <w:rStyle w:val="FootnoteReference"/>
        </w:rPr>
        <w:footnoteReference w:id="9"/>
      </w:r>
      <w:r w:rsidRPr="00851137">
        <w:t xml:space="preserve"> </w:t>
      </w:r>
      <w:r>
        <w:t xml:space="preserve">This needs to be adjusted to account for actual capex for </w:t>
      </w:r>
      <w:r>
        <w:lastRenderedPageBreak/>
        <w:t>2008–09. Therefore, a</w:t>
      </w:r>
      <w:r w:rsidR="0091424C">
        <w:t xml:space="preserve">s part of the roll forward of the TAB in </w:t>
      </w:r>
      <w:r w:rsidR="00625FA5">
        <w:t xml:space="preserve">the RFM </w:t>
      </w:r>
      <w:r w:rsidR="0091424C">
        <w:t>the following key inputs are required</w:t>
      </w:r>
      <w:r w:rsidR="00851137">
        <w:t>:</w:t>
      </w:r>
    </w:p>
    <w:p w:rsidR="00625FA5" w:rsidRDefault="00851137" w:rsidP="00B20250">
      <w:pPr>
        <w:pStyle w:val="AERbulletlistfirststyle"/>
      </w:pPr>
      <w:r>
        <w:t>The opening TAB for the final year of the previous regulatory control period</w:t>
      </w:r>
      <w:r w:rsidR="0060397E">
        <w:t>, f</w:t>
      </w:r>
      <w:r>
        <w:t xml:space="preserve">or ActewAGL this </w:t>
      </w:r>
      <w:r w:rsidR="002059A7">
        <w:t xml:space="preserve">is </w:t>
      </w:r>
      <w:r>
        <w:t xml:space="preserve">the opening TAB as at 1 July 2008. </w:t>
      </w:r>
      <w:r w:rsidR="00625FA5">
        <w:t xml:space="preserve"> </w:t>
      </w:r>
    </w:p>
    <w:p w:rsidR="00851137" w:rsidRDefault="00851137" w:rsidP="00B20250">
      <w:pPr>
        <w:pStyle w:val="AERbulletlistfirststyle"/>
      </w:pPr>
      <w:r>
        <w:t xml:space="preserve">The remaining </w:t>
      </w:r>
      <w:r w:rsidR="00FC23BB">
        <w:t xml:space="preserve">and standard </w:t>
      </w:r>
      <w:r>
        <w:t xml:space="preserve">tax asset lives for each asset class </w:t>
      </w:r>
      <w:r w:rsidR="009331FA">
        <w:t xml:space="preserve">based on those </w:t>
      </w:r>
      <w:r>
        <w:t xml:space="preserve">approved </w:t>
      </w:r>
      <w:r w:rsidR="009331FA">
        <w:t>for</w:t>
      </w:r>
      <w:r>
        <w:t xml:space="preserve"> the 2009–14 regulatory control period</w:t>
      </w:r>
      <w:r w:rsidR="00FC23BB">
        <w:t>.</w:t>
      </w:r>
      <w:r>
        <w:t xml:space="preserve"> </w:t>
      </w:r>
    </w:p>
    <w:p w:rsidR="0060397E" w:rsidDel="00313556" w:rsidRDefault="0060397E" w:rsidP="00156968">
      <w:pPr>
        <w:pStyle w:val="AERbodytext"/>
        <w:numPr>
          <w:ilvl w:val="0"/>
          <w:numId w:val="0"/>
        </w:numPr>
      </w:pPr>
      <w:r w:rsidDel="00313556">
        <w:t xml:space="preserve">We developed a preferred approach to account for the difference in 2008–09 capex by establishing the opening TAB inputs as at 1 July 2008 based on the approved values and tax asset lives </w:t>
      </w:r>
      <w:r w:rsidR="00DA1FB0" w:rsidDel="00313556">
        <w:t>in the 2009 determinat</w:t>
      </w:r>
      <w:r w:rsidDel="00313556">
        <w:t xml:space="preserve">ion. </w:t>
      </w:r>
      <w:r w:rsidR="00DA1FB0" w:rsidDel="00313556">
        <w:t>Based on this approach, we estimated the opening TABs as at 1 July 2014 of $</w:t>
      </w:r>
      <w:r w:rsidR="00CE2537" w:rsidDel="00313556">
        <w:t>616.1</w:t>
      </w:r>
      <w:r w:rsidR="00DA1FB0" w:rsidDel="00313556">
        <w:t xml:space="preserve"> million and $</w:t>
      </w:r>
      <w:r w:rsidR="00CE2537" w:rsidDel="00313556">
        <w:t>138.1</w:t>
      </w:r>
      <w:r w:rsidR="00DA1FB0" w:rsidDel="00313556">
        <w:t xml:space="preserve"> million ($ nominal) for ActewAGL's distribution and transmission networks respectively.</w:t>
      </w:r>
    </w:p>
    <w:p w:rsidR="009A5E52" w:rsidRDefault="00DA1FB0" w:rsidP="005004D5">
      <w:r>
        <w:t xml:space="preserve">ActewAGL's </w:t>
      </w:r>
      <w:r w:rsidR="001F6023">
        <w:t xml:space="preserve">approach to derive the </w:t>
      </w:r>
      <w:r>
        <w:t>proposed opening TAB inputs as at 1 July 2008 differs from our preferred approach. However, ActewAGL's approach is based on the approved method used to establish the 1 July 2009 TAB in the 2009 determination.</w:t>
      </w:r>
      <w:r w:rsidR="003441E4">
        <w:rPr>
          <w:rStyle w:val="FootnoteReference"/>
        </w:rPr>
        <w:footnoteReference w:id="10"/>
      </w:r>
      <w:r>
        <w:t xml:space="preserve"> </w:t>
      </w:r>
      <w:r w:rsidR="005004D5">
        <w:t xml:space="preserve">This approach </w:t>
      </w:r>
      <w:r w:rsidR="0049786E">
        <w:t>relies on</w:t>
      </w:r>
      <w:r w:rsidR="005004D5">
        <w:t xml:space="preserve"> the roll forward </w:t>
      </w:r>
      <w:r w:rsidR="003441E4">
        <w:t xml:space="preserve">of ActewAGL's approved opening TAB as at 1 July </w:t>
      </w:r>
      <w:r w:rsidR="00180429">
        <w:t>2009</w:t>
      </w:r>
      <w:r w:rsidR="005004D5">
        <w:t xml:space="preserve"> derived </w:t>
      </w:r>
      <w:r w:rsidR="0049786E">
        <w:t>using</w:t>
      </w:r>
      <w:r w:rsidR="005004D5">
        <w:t xml:space="preserve"> </w:t>
      </w:r>
      <w:r w:rsidR="003441E4">
        <w:t xml:space="preserve">its </w:t>
      </w:r>
      <w:r w:rsidR="00180429">
        <w:t>national tax equivalent regime</w:t>
      </w:r>
      <w:r w:rsidR="00FB65FD">
        <w:t xml:space="preserve"> (NTER) </w:t>
      </w:r>
      <w:r w:rsidR="005004D5">
        <w:t xml:space="preserve">entity register from 1 July 2001 to 1 July 2009. </w:t>
      </w:r>
      <w:r>
        <w:t xml:space="preserve">These 1 July 2008 inputs were then rolled forward </w:t>
      </w:r>
      <w:r w:rsidR="00A64A05">
        <w:t xml:space="preserve">by ActewAGL </w:t>
      </w:r>
      <w:r>
        <w:t>over the 2009–14 regulatory control period to estimate the opening TABs as at 1 July 2014</w:t>
      </w:r>
      <w:r w:rsidR="009A5E52">
        <w:t xml:space="preserve"> of </w:t>
      </w:r>
      <w:r w:rsidR="009A5E52" w:rsidRPr="007020FF">
        <w:t>$</w:t>
      </w:r>
      <w:r w:rsidR="009A5E52">
        <w:t>609.1</w:t>
      </w:r>
      <w:r w:rsidR="009A5E52" w:rsidRPr="007020FF">
        <w:t xml:space="preserve"> million </w:t>
      </w:r>
      <w:r w:rsidR="009A5E52">
        <w:t xml:space="preserve">and </w:t>
      </w:r>
      <w:r w:rsidR="009A5E52" w:rsidRPr="007020FF">
        <w:t>$</w:t>
      </w:r>
      <w:r w:rsidR="009A5E52">
        <w:t>137.1</w:t>
      </w:r>
      <w:r w:rsidR="009A5E52" w:rsidRPr="007020FF">
        <w:t xml:space="preserve"> million ($</w:t>
      </w:r>
      <w:r w:rsidR="008E01B7">
        <w:t xml:space="preserve"> </w:t>
      </w:r>
      <w:r w:rsidR="009A5E52" w:rsidRPr="007020FF">
        <w:t xml:space="preserve">nominal) for its </w:t>
      </w:r>
      <w:r w:rsidR="009A5E52">
        <w:t xml:space="preserve">distribution and </w:t>
      </w:r>
      <w:r w:rsidR="009A5E52" w:rsidRPr="007020FF">
        <w:t>transmission network</w:t>
      </w:r>
      <w:r w:rsidR="009A5E52">
        <w:t xml:space="preserve"> respectively.</w:t>
      </w:r>
      <w:r w:rsidR="00180429">
        <w:rPr>
          <w:rStyle w:val="FootnoteReference"/>
        </w:rPr>
        <w:footnoteReference w:id="11"/>
      </w:r>
    </w:p>
    <w:p w:rsidR="00F50357" w:rsidRDefault="00F50357" w:rsidP="005004D5">
      <w:r>
        <w:t xml:space="preserve">Comparing </w:t>
      </w:r>
      <w:r w:rsidR="00313556">
        <w:t>the two approaches</w:t>
      </w:r>
      <w:r w:rsidR="006E78D5">
        <w:t>,</w:t>
      </w:r>
      <w:r w:rsidR="00313556">
        <w:t xml:space="preserve"> </w:t>
      </w:r>
      <w:r>
        <w:t>the difference</w:t>
      </w:r>
      <w:r w:rsidR="006E78D5">
        <w:t>s</w:t>
      </w:r>
      <w:r>
        <w:t xml:space="preserve"> in the opening TABs as at 1 July 2014 for ActewAGL's distribution and transmission networks are 1.1 per cent and 0.7 per cent respectively. </w:t>
      </w:r>
      <w:r w:rsidR="006E78D5">
        <w:t>We are satisfied that t</w:t>
      </w:r>
      <w:r>
        <w:t xml:space="preserve">he effect of substituting our approach to set the opening TAB </w:t>
      </w:r>
      <w:r w:rsidR="006E78D5">
        <w:t xml:space="preserve">inputs </w:t>
      </w:r>
      <w:r>
        <w:t xml:space="preserve">as at 1 July 2008 </w:t>
      </w:r>
      <w:r w:rsidR="006E78D5">
        <w:t xml:space="preserve">and rolling forward to 1 July 2014 </w:t>
      </w:r>
      <w:r>
        <w:t xml:space="preserve">on ActewAGL's proposed </w:t>
      </w:r>
      <w:r w:rsidR="006E78D5">
        <w:t xml:space="preserve">total </w:t>
      </w:r>
      <w:r>
        <w:t xml:space="preserve">revenue is </w:t>
      </w:r>
      <w:r w:rsidR="006E78D5">
        <w:t>not material—</w:t>
      </w:r>
      <w:r>
        <w:t>increases of 0.</w:t>
      </w:r>
      <w:r w:rsidR="00F43CE9">
        <w:t>0</w:t>
      </w:r>
      <w:r>
        <w:t>3 per cent for distribution and 0.</w:t>
      </w:r>
      <w:r w:rsidR="004A2744">
        <w:t>0</w:t>
      </w:r>
      <w:r>
        <w:t xml:space="preserve">2 per cent for transmission. </w:t>
      </w:r>
      <w:r w:rsidR="004254FA">
        <w:t xml:space="preserve">We </w:t>
      </w:r>
      <w:r>
        <w:t>therefore accept ActewAGL's proposed opening TABs as at 1 July 2014 for this draft decision.</w:t>
      </w:r>
      <w:r w:rsidR="00A369D5">
        <w:rPr>
          <w:rStyle w:val="FootnoteReference"/>
        </w:rPr>
        <w:footnoteReference w:id="12"/>
      </w:r>
      <w:r>
        <w:t xml:space="preserve"> </w:t>
      </w:r>
    </w:p>
    <w:p w:rsidR="00914556" w:rsidRDefault="00914556">
      <w:pPr>
        <w:spacing w:after="0" w:line="240" w:lineRule="auto"/>
        <w:jc w:val="left"/>
        <w:rPr>
          <w:rFonts w:eastAsia="Times New Roman"/>
          <w:szCs w:val="24"/>
        </w:rPr>
      </w:pPr>
      <w:r>
        <w:br w:type="page"/>
      </w:r>
    </w:p>
    <w:p w:rsidR="00156968" w:rsidRDefault="00661C23" w:rsidP="00B20250">
      <w:pPr>
        <w:pStyle w:val="AERbodytext"/>
        <w:numPr>
          <w:ilvl w:val="0"/>
          <w:numId w:val="0"/>
        </w:numPr>
      </w:pPr>
      <w:r>
        <w:lastRenderedPageBreak/>
        <w:fldChar w:fldCharType="begin"/>
      </w:r>
      <w:r>
        <w:instrText xml:space="preserve"> REF _Ref395095836 \h </w:instrText>
      </w:r>
      <w:r>
        <w:fldChar w:fldCharType="separate"/>
      </w:r>
      <w:r w:rsidR="00914556">
        <w:t xml:space="preserve">Table </w:t>
      </w:r>
      <w:r w:rsidR="00914556">
        <w:rPr>
          <w:noProof/>
        </w:rPr>
        <w:t>8</w:t>
      </w:r>
      <w:r w:rsidR="00914556">
        <w:t>.</w:t>
      </w:r>
      <w:r w:rsidR="00914556">
        <w:rPr>
          <w:noProof/>
        </w:rPr>
        <w:t>5</w:t>
      </w:r>
      <w:r>
        <w:fldChar w:fldCharType="end"/>
      </w:r>
      <w:r>
        <w:t xml:space="preserve"> </w:t>
      </w:r>
      <w:r w:rsidR="001F70CA">
        <w:t xml:space="preserve">and </w:t>
      </w:r>
      <w:r w:rsidR="001F70CA" w:rsidRPr="001F70CA">
        <w:fldChar w:fldCharType="begin"/>
      </w:r>
      <w:r w:rsidR="001F70CA" w:rsidRPr="001F70CA">
        <w:instrText xml:space="preserve"> REF _Ref399408423 \h </w:instrText>
      </w:r>
      <w:r w:rsidR="001F70CA" w:rsidRPr="001F70CA">
        <w:fldChar w:fldCharType="separate"/>
      </w:r>
      <w:r w:rsidR="00914556">
        <w:t xml:space="preserve">Table </w:t>
      </w:r>
      <w:r w:rsidR="00914556">
        <w:rPr>
          <w:noProof/>
        </w:rPr>
        <w:t>8</w:t>
      </w:r>
      <w:r w:rsidR="00914556">
        <w:t>.</w:t>
      </w:r>
      <w:r w:rsidR="00914556">
        <w:rPr>
          <w:noProof/>
        </w:rPr>
        <w:t>6</w:t>
      </w:r>
      <w:r w:rsidR="001F70CA" w:rsidRPr="001F70CA">
        <w:fldChar w:fldCharType="end"/>
      </w:r>
      <w:r w:rsidR="001F70CA" w:rsidRPr="001F70CA">
        <w:t xml:space="preserve"> </w:t>
      </w:r>
      <w:r w:rsidR="00156968" w:rsidRPr="00156968">
        <w:t xml:space="preserve">set out our draft decision on the roll forward of </w:t>
      </w:r>
      <w:r w:rsidR="00575650">
        <w:t>ActewAGL</w:t>
      </w:r>
      <w:r w:rsidR="00156968" w:rsidRPr="00156968">
        <w:t>'s TAB</w:t>
      </w:r>
      <w:r w:rsidR="001F70CA">
        <w:t>s</w:t>
      </w:r>
      <w:r w:rsidR="00156968" w:rsidRPr="00156968">
        <w:t xml:space="preserve"> </w:t>
      </w:r>
      <w:r w:rsidR="00FE0408" w:rsidRPr="00FE0408">
        <w:t>over the 2009–14 regulatory control period</w:t>
      </w:r>
      <w:r w:rsidR="001F70CA">
        <w:t xml:space="preserve"> for its distribution and transmission networks respectively</w:t>
      </w:r>
      <w:r w:rsidR="00156968" w:rsidRPr="00156968">
        <w:t>.</w:t>
      </w:r>
    </w:p>
    <w:p w:rsidR="0052303D" w:rsidRDefault="0052303D" w:rsidP="0052303D">
      <w:pPr>
        <w:pStyle w:val="Caption"/>
      </w:pPr>
      <w:bookmarkStart w:id="22" w:name="_Ref395095836"/>
      <w:r>
        <w:t xml:space="preserve">Table </w:t>
      </w:r>
      <w:fldSimple w:instr=" STYLEREF 1 \s ">
        <w:r w:rsidR="00914556">
          <w:rPr>
            <w:noProof/>
          </w:rPr>
          <w:t>8</w:t>
        </w:r>
      </w:fldSimple>
      <w:r w:rsidR="00E30AEF">
        <w:t>.</w:t>
      </w:r>
      <w:fldSimple w:instr=" SEQ Table \* ARABIC \s 1 ">
        <w:r w:rsidR="00914556">
          <w:rPr>
            <w:noProof/>
          </w:rPr>
          <w:t>5</w:t>
        </w:r>
      </w:fldSimple>
      <w:bookmarkEnd w:id="22"/>
      <w:r>
        <w:tab/>
      </w:r>
      <w:r w:rsidRPr="0052303D">
        <w:t xml:space="preserve">AER's draft decision on </w:t>
      </w:r>
      <w:r w:rsidR="00575650">
        <w:t>ActewAGL</w:t>
      </w:r>
      <w:r w:rsidRPr="0052303D">
        <w:t>'s TAB roll forward ($</w:t>
      </w:r>
      <w:r>
        <w:t> </w:t>
      </w:r>
      <w:r w:rsidRPr="0052303D">
        <w:t>million, nominal)</w:t>
      </w:r>
      <w:r w:rsidR="00836DC2">
        <w:t xml:space="preserve"> </w:t>
      </w:r>
      <w:r w:rsidR="00146A1F">
        <w:t>–</w:t>
      </w:r>
      <w:r w:rsidR="00836DC2">
        <w:t xml:space="preserve"> </w:t>
      </w:r>
      <w:r w:rsidR="007C799F">
        <w:t>d</w:t>
      </w:r>
      <w:r w:rsidR="00836DC2">
        <w:t>istribution</w:t>
      </w:r>
    </w:p>
    <w:tbl>
      <w:tblPr>
        <w:tblStyle w:val="AERtable-numbers"/>
        <w:tblW w:w="4956" w:type="pct"/>
        <w:tblLook w:val="04A0" w:firstRow="1" w:lastRow="0" w:firstColumn="1" w:lastColumn="0" w:noHBand="0" w:noVBand="1"/>
      </w:tblPr>
      <w:tblGrid>
        <w:gridCol w:w="3418"/>
        <w:gridCol w:w="1151"/>
        <w:gridCol w:w="1149"/>
        <w:gridCol w:w="1149"/>
        <w:gridCol w:w="1149"/>
        <w:gridCol w:w="1145"/>
      </w:tblGrid>
      <w:tr w:rsidR="007D1842" w:rsidRPr="0052303D" w:rsidTr="00C260E6">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1866" w:type="pct"/>
            <w:noWrap/>
            <w:hideMark/>
          </w:tcPr>
          <w:p w:rsidR="007D1842" w:rsidRPr="0052303D" w:rsidRDefault="007D1842" w:rsidP="0052303D">
            <w:pPr>
              <w:pStyle w:val="AERtabletextleft"/>
            </w:pPr>
            <w:r w:rsidRPr="0052303D">
              <w:t> </w:t>
            </w:r>
          </w:p>
        </w:tc>
        <w:tc>
          <w:tcPr>
            <w:tcW w:w="628" w:type="pct"/>
            <w:noWrap/>
            <w:hideMark/>
          </w:tcPr>
          <w:p w:rsidR="007D1842" w:rsidRPr="0052303D" w:rsidRDefault="007D1842" w:rsidP="0052303D">
            <w:pPr>
              <w:pStyle w:val="AERtabletextright"/>
              <w:cnfStyle w:val="100000000000" w:firstRow="1" w:lastRow="0" w:firstColumn="0" w:lastColumn="0" w:oddVBand="0" w:evenVBand="0" w:oddHBand="0" w:evenHBand="0" w:firstRowFirstColumn="0" w:firstRowLastColumn="0" w:lastRowFirstColumn="0" w:lastRowLastColumn="0"/>
            </w:pPr>
            <w:r w:rsidRPr="0052303D">
              <w:t>2009</w:t>
            </w:r>
            <w:r w:rsidRPr="0052303D">
              <w:rPr>
                <w:rFonts w:hint="eastAsia"/>
              </w:rPr>
              <w:t>–</w:t>
            </w:r>
            <w:r w:rsidRPr="0052303D">
              <w:t>10</w:t>
            </w:r>
          </w:p>
        </w:tc>
        <w:tc>
          <w:tcPr>
            <w:tcW w:w="627" w:type="pct"/>
            <w:noWrap/>
            <w:hideMark/>
          </w:tcPr>
          <w:p w:rsidR="007D1842" w:rsidRPr="0052303D" w:rsidRDefault="007D1842" w:rsidP="0052303D">
            <w:pPr>
              <w:pStyle w:val="AERtabletextright"/>
              <w:cnfStyle w:val="100000000000" w:firstRow="1" w:lastRow="0" w:firstColumn="0" w:lastColumn="0" w:oddVBand="0" w:evenVBand="0" w:oddHBand="0" w:evenHBand="0" w:firstRowFirstColumn="0" w:firstRowLastColumn="0" w:lastRowFirstColumn="0" w:lastRowLastColumn="0"/>
            </w:pPr>
            <w:r w:rsidRPr="0052303D">
              <w:t>2010</w:t>
            </w:r>
            <w:r w:rsidRPr="0052303D">
              <w:rPr>
                <w:rFonts w:hint="eastAsia"/>
              </w:rPr>
              <w:t>–</w:t>
            </w:r>
            <w:r w:rsidRPr="0052303D">
              <w:t>11</w:t>
            </w:r>
          </w:p>
        </w:tc>
        <w:tc>
          <w:tcPr>
            <w:tcW w:w="627" w:type="pct"/>
            <w:noWrap/>
            <w:hideMark/>
          </w:tcPr>
          <w:p w:rsidR="007D1842" w:rsidRPr="0052303D" w:rsidRDefault="007D1842" w:rsidP="0052303D">
            <w:pPr>
              <w:pStyle w:val="AERtabletextright"/>
              <w:cnfStyle w:val="100000000000" w:firstRow="1" w:lastRow="0" w:firstColumn="0" w:lastColumn="0" w:oddVBand="0" w:evenVBand="0" w:oddHBand="0" w:evenHBand="0" w:firstRowFirstColumn="0" w:firstRowLastColumn="0" w:lastRowFirstColumn="0" w:lastRowLastColumn="0"/>
            </w:pPr>
            <w:r w:rsidRPr="0052303D">
              <w:t>2011</w:t>
            </w:r>
            <w:r w:rsidRPr="0052303D">
              <w:rPr>
                <w:rFonts w:hint="eastAsia"/>
              </w:rPr>
              <w:t>–</w:t>
            </w:r>
            <w:r w:rsidRPr="0052303D">
              <w:t>12</w:t>
            </w:r>
          </w:p>
        </w:tc>
        <w:tc>
          <w:tcPr>
            <w:tcW w:w="627" w:type="pct"/>
            <w:noWrap/>
            <w:hideMark/>
          </w:tcPr>
          <w:p w:rsidR="007D1842" w:rsidRPr="0052303D" w:rsidRDefault="007D1842" w:rsidP="0052303D">
            <w:pPr>
              <w:pStyle w:val="AERtabletextright"/>
              <w:cnfStyle w:val="100000000000" w:firstRow="1" w:lastRow="0" w:firstColumn="0" w:lastColumn="0" w:oddVBand="0" w:evenVBand="0" w:oddHBand="0" w:evenHBand="0" w:firstRowFirstColumn="0" w:firstRowLastColumn="0" w:lastRowFirstColumn="0" w:lastRowLastColumn="0"/>
            </w:pPr>
            <w:r w:rsidRPr="0052303D">
              <w:t>2012</w:t>
            </w:r>
            <w:r w:rsidRPr="0052303D">
              <w:rPr>
                <w:rFonts w:hint="eastAsia"/>
              </w:rPr>
              <w:t>–</w:t>
            </w:r>
            <w:r w:rsidRPr="0052303D">
              <w:t>13</w:t>
            </w:r>
          </w:p>
        </w:tc>
        <w:tc>
          <w:tcPr>
            <w:tcW w:w="625" w:type="pct"/>
            <w:noWrap/>
            <w:hideMark/>
          </w:tcPr>
          <w:p w:rsidR="007D1842" w:rsidRPr="0052303D" w:rsidRDefault="007D1842" w:rsidP="0052303D">
            <w:pPr>
              <w:pStyle w:val="AERtabletextright"/>
              <w:cnfStyle w:val="100000000000" w:firstRow="1" w:lastRow="0" w:firstColumn="0" w:lastColumn="0" w:oddVBand="0" w:evenVBand="0" w:oddHBand="0" w:evenHBand="0" w:firstRowFirstColumn="0" w:firstRowLastColumn="0" w:lastRowFirstColumn="0" w:lastRowLastColumn="0"/>
            </w:pPr>
            <w:r w:rsidRPr="0052303D">
              <w:t>2013</w:t>
            </w:r>
            <w:r w:rsidRPr="0052303D">
              <w:rPr>
                <w:rFonts w:hint="eastAsia"/>
              </w:rPr>
              <w:t>–</w:t>
            </w:r>
            <w:r w:rsidRPr="0052303D">
              <w:t>14</w:t>
            </w:r>
            <w:r w:rsidRPr="0052303D">
              <w:rPr>
                <w:rStyle w:val="AERsuperscript"/>
              </w:rPr>
              <w:t>b</w:t>
            </w:r>
          </w:p>
        </w:tc>
      </w:tr>
      <w:tr w:rsidR="00C260E6" w:rsidRPr="00132C56" w:rsidTr="003C7D3B">
        <w:trPr>
          <w:trHeight w:val="308"/>
        </w:trPr>
        <w:tc>
          <w:tcPr>
            <w:cnfStyle w:val="001000000000" w:firstRow="0" w:lastRow="0" w:firstColumn="1" w:lastColumn="0" w:oddVBand="0" w:evenVBand="0" w:oddHBand="0" w:evenHBand="0" w:firstRowFirstColumn="0" w:firstRowLastColumn="0" w:lastRowFirstColumn="0" w:lastRowLastColumn="0"/>
            <w:tcW w:w="1866" w:type="pct"/>
            <w:noWrap/>
            <w:hideMark/>
          </w:tcPr>
          <w:p w:rsidR="00C260E6" w:rsidRPr="00132C56" w:rsidRDefault="00C260E6" w:rsidP="00132C56">
            <w:pPr>
              <w:pStyle w:val="AERtabletextleft"/>
              <w:rPr>
                <w:rStyle w:val="AERtextbold"/>
                <w:b w:val="0"/>
              </w:rPr>
            </w:pPr>
            <w:r w:rsidRPr="00132C56">
              <w:rPr>
                <w:rStyle w:val="AERtextbold"/>
                <w:b w:val="0"/>
              </w:rPr>
              <w:t>Opening TAB</w:t>
            </w:r>
          </w:p>
        </w:tc>
        <w:tc>
          <w:tcPr>
            <w:tcW w:w="628" w:type="pct"/>
            <w:noWrap/>
            <w:vAlign w:val="top"/>
          </w:tcPr>
          <w:p w:rsidR="00C260E6" w:rsidRPr="00132C56" w:rsidRDefault="00C260E6" w:rsidP="00132C5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132C56">
              <w:t xml:space="preserve"> 412.2 </w:t>
            </w:r>
          </w:p>
        </w:tc>
        <w:tc>
          <w:tcPr>
            <w:tcW w:w="627" w:type="pct"/>
            <w:noWrap/>
            <w:vAlign w:val="top"/>
          </w:tcPr>
          <w:p w:rsidR="00C260E6" w:rsidRPr="00132C56" w:rsidRDefault="00C260E6" w:rsidP="00132C5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132C56">
              <w:t xml:space="preserve"> 452.7 </w:t>
            </w:r>
          </w:p>
        </w:tc>
        <w:tc>
          <w:tcPr>
            <w:tcW w:w="627" w:type="pct"/>
            <w:noWrap/>
            <w:vAlign w:val="top"/>
          </w:tcPr>
          <w:p w:rsidR="00C260E6" w:rsidRPr="00132C56" w:rsidRDefault="00C260E6" w:rsidP="00132C5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132C56">
              <w:t xml:space="preserve"> 499.1 </w:t>
            </w:r>
          </w:p>
        </w:tc>
        <w:tc>
          <w:tcPr>
            <w:tcW w:w="627" w:type="pct"/>
            <w:noWrap/>
            <w:vAlign w:val="top"/>
          </w:tcPr>
          <w:p w:rsidR="00C260E6" w:rsidRPr="00132C56" w:rsidRDefault="00C260E6" w:rsidP="00132C5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132C56">
              <w:t xml:space="preserve"> 532.5 </w:t>
            </w:r>
          </w:p>
        </w:tc>
        <w:tc>
          <w:tcPr>
            <w:tcW w:w="625" w:type="pct"/>
            <w:noWrap/>
            <w:vAlign w:val="top"/>
          </w:tcPr>
          <w:p w:rsidR="00C260E6" w:rsidRPr="00132C56" w:rsidRDefault="00C260E6" w:rsidP="00132C5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132C56">
              <w:t xml:space="preserve"> 563.0 </w:t>
            </w:r>
          </w:p>
        </w:tc>
      </w:tr>
      <w:tr w:rsidR="007D1842" w:rsidRPr="0052303D" w:rsidTr="00C260E6">
        <w:trPr>
          <w:cnfStyle w:val="000000010000" w:firstRow="0" w:lastRow="0" w:firstColumn="0" w:lastColumn="0" w:oddVBand="0" w:evenVBand="0" w:oddHBand="0" w:evenHBand="1"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1866" w:type="pct"/>
            <w:noWrap/>
            <w:hideMark/>
          </w:tcPr>
          <w:p w:rsidR="007D1842" w:rsidRPr="00883926" w:rsidRDefault="007D1842" w:rsidP="00883926">
            <w:pPr>
              <w:pStyle w:val="AERtabletextleft"/>
            </w:pPr>
            <w:r w:rsidRPr="00883926">
              <w:t>Capital expenditure</w:t>
            </w:r>
            <w:r w:rsidRPr="00883926">
              <w:rPr>
                <w:rStyle w:val="AERsuperscript"/>
              </w:rPr>
              <w:t>a</w:t>
            </w:r>
          </w:p>
        </w:tc>
        <w:tc>
          <w:tcPr>
            <w:tcW w:w="628" w:type="pct"/>
            <w:noWrap/>
            <w:vAlign w:val="bottom"/>
          </w:tcPr>
          <w:p w:rsidR="007D1842" w:rsidRPr="00883926" w:rsidRDefault="007D1842" w:rsidP="00883926">
            <w:pPr>
              <w:pStyle w:val="AERtabletextright"/>
              <w:cnfStyle w:val="000000010000" w:firstRow="0" w:lastRow="0" w:firstColumn="0" w:lastColumn="0" w:oddVBand="0" w:evenVBand="0" w:oddHBand="0" w:evenHBand="1" w:firstRowFirstColumn="0" w:firstRowLastColumn="0" w:lastRowFirstColumn="0" w:lastRowLastColumn="0"/>
            </w:pPr>
            <w:r>
              <w:t>58.0</w:t>
            </w:r>
          </w:p>
        </w:tc>
        <w:tc>
          <w:tcPr>
            <w:tcW w:w="627" w:type="pct"/>
            <w:noWrap/>
            <w:vAlign w:val="bottom"/>
          </w:tcPr>
          <w:p w:rsidR="007D1842" w:rsidRPr="00883926" w:rsidRDefault="007D1842" w:rsidP="00883926">
            <w:pPr>
              <w:pStyle w:val="AERtabletextright"/>
              <w:cnfStyle w:val="000000010000" w:firstRow="0" w:lastRow="0" w:firstColumn="0" w:lastColumn="0" w:oddVBand="0" w:evenVBand="0" w:oddHBand="0" w:evenHBand="1" w:firstRowFirstColumn="0" w:firstRowLastColumn="0" w:lastRowFirstColumn="0" w:lastRowLastColumn="0"/>
            </w:pPr>
            <w:r>
              <w:t>66.0</w:t>
            </w:r>
          </w:p>
        </w:tc>
        <w:tc>
          <w:tcPr>
            <w:tcW w:w="627" w:type="pct"/>
            <w:noWrap/>
            <w:vAlign w:val="bottom"/>
          </w:tcPr>
          <w:p w:rsidR="007D1842" w:rsidRPr="00883926" w:rsidRDefault="007D1842" w:rsidP="00883926">
            <w:pPr>
              <w:pStyle w:val="AERtabletextright"/>
              <w:cnfStyle w:val="000000010000" w:firstRow="0" w:lastRow="0" w:firstColumn="0" w:lastColumn="0" w:oddVBand="0" w:evenVBand="0" w:oddHBand="0" w:evenHBand="1" w:firstRowFirstColumn="0" w:firstRowLastColumn="0" w:lastRowFirstColumn="0" w:lastRowLastColumn="0"/>
            </w:pPr>
            <w:r>
              <w:t>55.2</w:t>
            </w:r>
          </w:p>
        </w:tc>
        <w:tc>
          <w:tcPr>
            <w:tcW w:w="627" w:type="pct"/>
            <w:noWrap/>
            <w:vAlign w:val="bottom"/>
          </w:tcPr>
          <w:p w:rsidR="007D1842" w:rsidRPr="00883926" w:rsidRDefault="007D1842" w:rsidP="00883926">
            <w:pPr>
              <w:pStyle w:val="AERtabletextright"/>
              <w:cnfStyle w:val="000000010000" w:firstRow="0" w:lastRow="0" w:firstColumn="0" w:lastColumn="0" w:oddVBand="0" w:evenVBand="0" w:oddHBand="0" w:evenHBand="1" w:firstRowFirstColumn="0" w:firstRowLastColumn="0" w:lastRowFirstColumn="0" w:lastRowLastColumn="0"/>
            </w:pPr>
            <w:r>
              <w:t>54.2</w:t>
            </w:r>
          </w:p>
        </w:tc>
        <w:tc>
          <w:tcPr>
            <w:tcW w:w="625" w:type="pct"/>
            <w:noWrap/>
            <w:vAlign w:val="bottom"/>
          </w:tcPr>
          <w:p w:rsidR="007D1842" w:rsidRPr="00883926" w:rsidRDefault="007D1842" w:rsidP="00883926">
            <w:pPr>
              <w:pStyle w:val="AERtabletextright"/>
              <w:cnfStyle w:val="000000010000" w:firstRow="0" w:lastRow="0" w:firstColumn="0" w:lastColumn="0" w:oddVBand="0" w:evenVBand="0" w:oddHBand="0" w:evenHBand="1" w:firstRowFirstColumn="0" w:firstRowLastColumn="0" w:lastRowFirstColumn="0" w:lastRowLastColumn="0"/>
            </w:pPr>
            <w:r>
              <w:t>72.7</w:t>
            </w:r>
          </w:p>
        </w:tc>
      </w:tr>
      <w:tr w:rsidR="00C260E6" w:rsidRPr="0052303D" w:rsidTr="003C7D3B">
        <w:trPr>
          <w:trHeight w:val="308"/>
        </w:trPr>
        <w:tc>
          <w:tcPr>
            <w:cnfStyle w:val="001000000000" w:firstRow="0" w:lastRow="0" w:firstColumn="1" w:lastColumn="0" w:oddVBand="0" w:evenVBand="0" w:oddHBand="0" w:evenHBand="0" w:firstRowFirstColumn="0" w:firstRowLastColumn="0" w:lastRowFirstColumn="0" w:lastRowLastColumn="0"/>
            <w:tcW w:w="1866" w:type="pct"/>
            <w:noWrap/>
            <w:hideMark/>
          </w:tcPr>
          <w:p w:rsidR="00C260E6" w:rsidRPr="00C260E6" w:rsidRDefault="00C260E6" w:rsidP="00C260E6">
            <w:pPr>
              <w:pStyle w:val="AERtabletextleft"/>
            </w:pPr>
            <w:r w:rsidRPr="00C260E6">
              <w:t>Less: tax depreciation</w:t>
            </w:r>
          </w:p>
        </w:tc>
        <w:tc>
          <w:tcPr>
            <w:tcW w:w="628" w:type="pct"/>
            <w:noWrap/>
            <w:vAlign w:val="top"/>
          </w:tcPr>
          <w:p w:rsidR="00C260E6" w:rsidRPr="00C260E6" w:rsidRDefault="00C260E6" w:rsidP="003C7D3B">
            <w:pPr>
              <w:pStyle w:val="AERtabletextright"/>
              <w:cnfStyle w:val="000000000000" w:firstRow="0" w:lastRow="0" w:firstColumn="0" w:lastColumn="0" w:oddVBand="0" w:evenVBand="0" w:oddHBand="0" w:evenHBand="0" w:firstRowFirstColumn="0" w:firstRowLastColumn="0" w:lastRowFirstColumn="0" w:lastRowLastColumn="0"/>
            </w:pPr>
            <w:r w:rsidRPr="00C260E6">
              <w:t>17.5</w:t>
            </w:r>
          </w:p>
        </w:tc>
        <w:tc>
          <w:tcPr>
            <w:tcW w:w="627" w:type="pct"/>
            <w:noWrap/>
            <w:vAlign w:val="top"/>
          </w:tcPr>
          <w:p w:rsidR="00C260E6" w:rsidRPr="00C260E6" w:rsidRDefault="00C260E6" w:rsidP="003C7D3B">
            <w:pPr>
              <w:pStyle w:val="AERtabletextright"/>
              <w:cnfStyle w:val="000000000000" w:firstRow="0" w:lastRow="0" w:firstColumn="0" w:lastColumn="0" w:oddVBand="0" w:evenVBand="0" w:oddHBand="0" w:evenHBand="0" w:firstRowFirstColumn="0" w:firstRowLastColumn="0" w:lastRowFirstColumn="0" w:lastRowLastColumn="0"/>
            </w:pPr>
            <w:r w:rsidRPr="00C260E6">
              <w:t>19.6</w:t>
            </w:r>
          </w:p>
        </w:tc>
        <w:tc>
          <w:tcPr>
            <w:tcW w:w="627" w:type="pct"/>
            <w:noWrap/>
            <w:vAlign w:val="top"/>
          </w:tcPr>
          <w:p w:rsidR="00C260E6" w:rsidRPr="00C260E6" w:rsidRDefault="00C260E6" w:rsidP="003C7D3B">
            <w:pPr>
              <w:pStyle w:val="AERtabletextright"/>
              <w:cnfStyle w:val="000000000000" w:firstRow="0" w:lastRow="0" w:firstColumn="0" w:lastColumn="0" w:oddVBand="0" w:evenVBand="0" w:oddHBand="0" w:evenHBand="0" w:firstRowFirstColumn="0" w:firstRowLastColumn="0" w:lastRowFirstColumn="0" w:lastRowLastColumn="0"/>
            </w:pPr>
            <w:r w:rsidRPr="00C260E6">
              <w:t xml:space="preserve"> 21.8</w:t>
            </w:r>
          </w:p>
        </w:tc>
        <w:tc>
          <w:tcPr>
            <w:tcW w:w="627" w:type="pct"/>
            <w:noWrap/>
            <w:vAlign w:val="top"/>
          </w:tcPr>
          <w:p w:rsidR="00C260E6" w:rsidRPr="00C260E6" w:rsidRDefault="00C260E6" w:rsidP="003C7D3B">
            <w:pPr>
              <w:pStyle w:val="AERtabletextright"/>
              <w:cnfStyle w:val="000000000000" w:firstRow="0" w:lastRow="0" w:firstColumn="0" w:lastColumn="0" w:oddVBand="0" w:evenVBand="0" w:oddHBand="0" w:evenHBand="0" w:firstRowFirstColumn="0" w:firstRowLastColumn="0" w:lastRowFirstColumn="0" w:lastRowLastColumn="0"/>
            </w:pPr>
            <w:r w:rsidRPr="00C260E6">
              <w:t xml:space="preserve"> 23.7</w:t>
            </w:r>
          </w:p>
        </w:tc>
        <w:tc>
          <w:tcPr>
            <w:tcW w:w="625" w:type="pct"/>
            <w:noWrap/>
            <w:vAlign w:val="top"/>
          </w:tcPr>
          <w:p w:rsidR="00C260E6" w:rsidRPr="00C260E6" w:rsidRDefault="00C260E6" w:rsidP="003C7D3B">
            <w:pPr>
              <w:pStyle w:val="AERtabletextright"/>
              <w:cnfStyle w:val="000000000000" w:firstRow="0" w:lastRow="0" w:firstColumn="0" w:lastColumn="0" w:oddVBand="0" w:evenVBand="0" w:oddHBand="0" w:evenHBand="0" w:firstRowFirstColumn="0" w:firstRowLastColumn="0" w:lastRowFirstColumn="0" w:lastRowLastColumn="0"/>
            </w:pPr>
            <w:r w:rsidRPr="00C260E6">
              <w:t>26.6</w:t>
            </w:r>
          </w:p>
        </w:tc>
      </w:tr>
      <w:tr w:rsidR="00C260E6" w:rsidRPr="00132C56" w:rsidTr="003C7D3B">
        <w:trPr>
          <w:cnfStyle w:val="000000010000" w:firstRow="0" w:lastRow="0" w:firstColumn="0" w:lastColumn="0" w:oddVBand="0" w:evenVBand="0" w:oddHBand="0" w:evenHBand="1"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1866" w:type="pct"/>
            <w:noWrap/>
            <w:hideMark/>
          </w:tcPr>
          <w:p w:rsidR="00C260E6" w:rsidRPr="00132C56" w:rsidRDefault="00C260E6" w:rsidP="00132C56">
            <w:pPr>
              <w:pStyle w:val="AERtabletextleft"/>
              <w:rPr>
                <w:rStyle w:val="AERtextbold"/>
                <w:b w:val="0"/>
              </w:rPr>
            </w:pPr>
            <w:r w:rsidRPr="00132C56">
              <w:rPr>
                <w:rStyle w:val="AERtextbold"/>
                <w:b w:val="0"/>
              </w:rPr>
              <w:t>Closing TAB</w:t>
            </w:r>
          </w:p>
        </w:tc>
        <w:tc>
          <w:tcPr>
            <w:tcW w:w="628" w:type="pct"/>
            <w:noWrap/>
            <w:vAlign w:val="top"/>
          </w:tcPr>
          <w:p w:rsidR="00C260E6" w:rsidRPr="00132C56" w:rsidRDefault="00C260E6" w:rsidP="00132C56">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132C56">
              <w:rPr>
                <w:rStyle w:val="AERtextbold"/>
                <w:b w:val="0"/>
              </w:rPr>
              <w:t xml:space="preserve"> 452.7 </w:t>
            </w:r>
          </w:p>
        </w:tc>
        <w:tc>
          <w:tcPr>
            <w:tcW w:w="627" w:type="pct"/>
            <w:noWrap/>
            <w:vAlign w:val="top"/>
          </w:tcPr>
          <w:p w:rsidR="00C260E6" w:rsidRPr="00132C56" w:rsidRDefault="00C260E6" w:rsidP="00132C56">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132C56">
              <w:rPr>
                <w:rStyle w:val="AERtextbold"/>
                <w:b w:val="0"/>
              </w:rPr>
              <w:t xml:space="preserve"> 499.1 </w:t>
            </w:r>
          </w:p>
        </w:tc>
        <w:tc>
          <w:tcPr>
            <w:tcW w:w="627" w:type="pct"/>
            <w:noWrap/>
            <w:vAlign w:val="top"/>
          </w:tcPr>
          <w:p w:rsidR="00C260E6" w:rsidRPr="00132C56" w:rsidRDefault="00C260E6" w:rsidP="00132C56">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132C56">
              <w:rPr>
                <w:rStyle w:val="AERtextbold"/>
                <w:b w:val="0"/>
              </w:rPr>
              <w:t xml:space="preserve"> 532.5 </w:t>
            </w:r>
          </w:p>
        </w:tc>
        <w:tc>
          <w:tcPr>
            <w:tcW w:w="627" w:type="pct"/>
            <w:noWrap/>
            <w:vAlign w:val="top"/>
          </w:tcPr>
          <w:p w:rsidR="00C260E6" w:rsidRPr="00132C56" w:rsidRDefault="00C260E6" w:rsidP="00132C56">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132C56">
              <w:rPr>
                <w:rStyle w:val="AERtextbold"/>
                <w:b w:val="0"/>
              </w:rPr>
              <w:t xml:space="preserve"> 563.0 </w:t>
            </w:r>
          </w:p>
        </w:tc>
        <w:tc>
          <w:tcPr>
            <w:tcW w:w="625" w:type="pct"/>
            <w:noWrap/>
            <w:vAlign w:val="top"/>
          </w:tcPr>
          <w:p w:rsidR="00C260E6" w:rsidRPr="00132C56" w:rsidRDefault="00C260E6" w:rsidP="00132C56">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132C56">
              <w:rPr>
                <w:rStyle w:val="AERtextbold"/>
                <w:b w:val="0"/>
              </w:rPr>
              <w:t xml:space="preserve"> 609.1 </w:t>
            </w:r>
          </w:p>
        </w:tc>
      </w:tr>
    </w:tbl>
    <w:p w:rsidR="0052303D" w:rsidRPr="0052303D" w:rsidRDefault="0052303D" w:rsidP="0052303D">
      <w:pPr>
        <w:pStyle w:val="AERtablesource"/>
      </w:pPr>
      <w:r w:rsidRPr="0052303D">
        <w:t xml:space="preserve">Source: </w:t>
      </w:r>
      <w:r w:rsidRPr="0052303D">
        <w:tab/>
        <w:t>AER analysis.</w:t>
      </w:r>
    </w:p>
    <w:p w:rsidR="0052303D" w:rsidRPr="0052303D" w:rsidRDefault="0052303D" w:rsidP="0052303D">
      <w:pPr>
        <w:pStyle w:val="AERtablesource"/>
      </w:pPr>
      <w:r w:rsidRPr="0052303D">
        <w:t>(a)</w:t>
      </w:r>
      <w:r w:rsidRPr="0052303D">
        <w:tab/>
      </w:r>
      <w:r>
        <w:t>N</w:t>
      </w:r>
      <w:r w:rsidRPr="0052303D">
        <w:t>et of disposals.</w:t>
      </w:r>
    </w:p>
    <w:p w:rsidR="0052303D" w:rsidRDefault="0052303D" w:rsidP="0052303D">
      <w:pPr>
        <w:pStyle w:val="AERtablesource"/>
      </w:pPr>
      <w:r w:rsidRPr="0052303D">
        <w:t>(b)</w:t>
      </w:r>
      <w:r w:rsidRPr="0052303D">
        <w:tab/>
        <w:t>Based on estimated capex.</w:t>
      </w:r>
    </w:p>
    <w:p w:rsidR="00575650" w:rsidRPr="00575650" w:rsidRDefault="00575650" w:rsidP="00575650">
      <w:pPr>
        <w:pStyle w:val="Caption"/>
      </w:pPr>
      <w:bookmarkStart w:id="23" w:name="_Ref399408423"/>
      <w:r>
        <w:t xml:space="preserve">Table </w:t>
      </w:r>
      <w:fldSimple w:instr=" STYLEREF 1 \s ">
        <w:r w:rsidR="00914556">
          <w:rPr>
            <w:noProof/>
          </w:rPr>
          <w:t>8</w:t>
        </w:r>
      </w:fldSimple>
      <w:r w:rsidR="00E30AEF">
        <w:t>.</w:t>
      </w:r>
      <w:fldSimple w:instr=" SEQ Table \* ARABIC \s 1 ">
        <w:r w:rsidR="00914556">
          <w:rPr>
            <w:noProof/>
          </w:rPr>
          <w:t>6</w:t>
        </w:r>
      </w:fldSimple>
      <w:bookmarkEnd w:id="23"/>
      <w:r w:rsidRPr="00575650">
        <w:tab/>
        <w:t>AER's draft decision on ActewAGL's TAB roll forward ($ million, nominal)</w:t>
      </w:r>
      <w:r w:rsidR="00836DC2">
        <w:t xml:space="preserve"> - </w:t>
      </w:r>
      <w:r w:rsidR="007C799F">
        <w:t>t</w:t>
      </w:r>
      <w:r w:rsidR="00836DC2">
        <w:t>ransmission</w:t>
      </w:r>
    </w:p>
    <w:tbl>
      <w:tblPr>
        <w:tblStyle w:val="AERtable-numbers"/>
        <w:tblW w:w="4949" w:type="pct"/>
        <w:tblLook w:val="04A0" w:firstRow="1" w:lastRow="0" w:firstColumn="1" w:lastColumn="0" w:noHBand="0" w:noVBand="1"/>
      </w:tblPr>
      <w:tblGrid>
        <w:gridCol w:w="3401"/>
        <w:gridCol w:w="1142"/>
        <w:gridCol w:w="1136"/>
        <w:gridCol w:w="1136"/>
        <w:gridCol w:w="1138"/>
        <w:gridCol w:w="1195"/>
      </w:tblGrid>
      <w:tr w:rsidR="00275A6B" w:rsidRPr="0052303D" w:rsidTr="003C7D3B">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859" w:type="pct"/>
            <w:noWrap/>
            <w:hideMark/>
          </w:tcPr>
          <w:p w:rsidR="00275A6B" w:rsidRPr="0052303D" w:rsidRDefault="00275A6B" w:rsidP="00575650">
            <w:pPr>
              <w:pStyle w:val="AERtabletextleft"/>
            </w:pPr>
            <w:r w:rsidRPr="0052303D">
              <w:t> </w:t>
            </w:r>
          </w:p>
        </w:tc>
        <w:tc>
          <w:tcPr>
            <w:tcW w:w="624" w:type="pct"/>
            <w:noWrap/>
            <w:hideMark/>
          </w:tcPr>
          <w:p w:rsidR="00275A6B" w:rsidRPr="00575650" w:rsidRDefault="00275A6B" w:rsidP="00575650">
            <w:pPr>
              <w:pStyle w:val="AERtabletextright"/>
              <w:cnfStyle w:val="100000000000" w:firstRow="1" w:lastRow="0" w:firstColumn="0" w:lastColumn="0" w:oddVBand="0" w:evenVBand="0" w:oddHBand="0" w:evenHBand="0" w:firstRowFirstColumn="0" w:firstRowLastColumn="0" w:lastRowFirstColumn="0" w:lastRowLastColumn="0"/>
            </w:pPr>
            <w:r w:rsidRPr="0052303D">
              <w:t>2009</w:t>
            </w:r>
            <w:r w:rsidRPr="00575650">
              <w:rPr>
                <w:rFonts w:hint="eastAsia"/>
              </w:rPr>
              <w:t>–</w:t>
            </w:r>
            <w:r w:rsidRPr="00575650">
              <w:t>10</w:t>
            </w:r>
          </w:p>
        </w:tc>
        <w:tc>
          <w:tcPr>
            <w:tcW w:w="621" w:type="pct"/>
            <w:noWrap/>
            <w:hideMark/>
          </w:tcPr>
          <w:p w:rsidR="00275A6B" w:rsidRPr="00575650" w:rsidRDefault="00275A6B" w:rsidP="00575650">
            <w:pPr>
              <w:pStyle w:val="AERtabletextright"/>
              <w:cnfStyle w:val="100000000000" w:firstRow="1" w:lastRow="0" w:firstColumn="0" w:lastColumn="0" w:oddVBand="0" w:evenVBand="0" w:oddHBand="0" w:evenHBand="0" w:firstRowFirstColumn="0" w:firstRowLastColumn="0" w:lastRowFirstColumn="0" w:lastRowLastColumn="0"/>
            </w:pPr>
            <w:r w:rsidRPr="0052303D">
              <w:t>2010</w:t>
            </w:r>
            <w:r w:rsidRPr="00575650">
              <w:rPr>
                <w:rFonts w:hint="eastAsia"/>
              </w:rPr>
              <w:t>–</w:t>
            </w:r>
            <w:r w:rsidRPr="00575650">
              <w:t>11</w:t>
            </w:r>
          </w:p>
        </w:tc>
        <w:tc>
          <w:tcPr>
            <w:tcW w:w="621" w:type="pct"/>
            <w:noWrap/>
            <w:hideMark/>
          </w:tcPr>
          <w:p w:rsidR="00275A6B" w:rsidRPr="00575650" w:rsidRDefault="00275A6B" w:rsidP="00575650">
            <w:pPr>
              <w:pStyle w:val="AERtabletextright"/>
              <w:cnfStyle w:val="100000000000" w:firstRow="1" w:lastRow="0" w:firstColumn="0" w:lastColumn="0" w:oddVBand="0" w:evenVBand="0" w:oddHBand="0" w:evenHBand="0" w:firstRowFirstColumn="0" w:firstRowLastColumn="0" w:lastRowFirstColumn="0" w:lastRowLastColumn="0"/>
            </w:pPr>
            <w:r w:rsidRPr="0052303D">
              <w:t>2011</w:t>
            </w:r>
            <w:r w:rsidRPr="00575650">
              <w:rPr>
                <w:rFonts w:hint="eastAsia"/>
              </w:rPr>
              <w:t>–</w:t>
            </w:r>
            <w:r w:rsidRPr="00575650">
              <w:t>12</w:t>
            </w:r>
          </w:p>
        </w:tc>
        <w:tc>
          <w:tcPr>
            <w:tcW w:w="622" w:type="pct"/>
            <w:noWrap/>
            <w:hideMark/>
          </w:tcPr>
          <w:p w:rsidR="00275A6B" w:rsidRPr="00575650" w:rsidRDefault="00275A6B" w:rsidP="00575650">
            <w:pPr>
              <w:pStyle w:val="AERtabletextright"/>
              <w:cnfStyle w:val="100000000000" w:firstRow="1" w:lastRow="0" w:firstColumn="0" w:lastColumn="0" w:oddVBand="0" w:evenVBand="0" w:oddHBand="0" w:evenHBand="0" w:firstRowFirstColumn="0" w:firstRowLastColumn="0" w:lastRowFirstColumn="0" w:lastRowLastColumn="0"/>
            </w:pPr>
            <w:r w:rsidRPr="0052303D">
              <w:t>2012</w:t>
            </w:r>
            <w:r w:rsidRPr="00575650">
              <w:rPr>
                <w:rFonts w:hint="eastAsia"/>
              </w:rPr>
              <w:t>–</w:t>
            </w:r>
            <w:r w:rsidRPr="00575650">
              <w:t>13</w:t>
            </w:r>
          </w:p>
        </w:tc>
        <w:tc>
          <w:tcPr>
            <w:tcW w:w="653" w:type="pct"/>
            <w:noWrap/>
            <w:hideMark/>
          </w:tcPr>
          <w:p w:rsidR="00275A6B" w:rsidRPr="00575650" w:rsidRDefault="00275A6B" w:rsidP="00575650">
            <w:pPr>
              <w:pStyle w:val="AERtabletextright"/>
              <w:cnfStyle w:val="100000000000" w:firstRow="1" w:lastRow="0" w:firstColumn="0" w:lastColumn="0" w:oddVBand="0" w:evenVBand="0" w:oddHBand="0" w:evenHBand="0" w:firstRowFirstColumn="0" w:firstRowLastColumn="0" w:lastRowFirstColumn="0" w:lastRowLastColumn="0"/>
            </w:pPr>
            <w:r w:rsidRPr="0052303D">
              <w:t>2013</w:t>
            </w:r>
            <w:r w:rsidRPr="00575650">
              <w:rPr>
                <w:rFonts w:hint="eastAsia"/>
              </w:rPr>
              <w:t>–</w:t>
            </w:r>
            <w:r w:rsidRPr="00575650">
              <w:t>14</w:t>
            </w:r>
            <w:r w:rsidRPr="00575650">
              <w:rPr>
                <w:rStyle w:val="AERsuperscript"/>
              </w:rPr>
              <w:t>b</w:t>
            </w:r>
          </w:p>
        </w:tc>
      </w:tr>
      <w:tr w:rsidR="003C7D3B" w:rsidRPr="00132C56" w:rsidTr="003C7D3B">
        <w:trPr>
          <w:trHeight w:val="310"/>
        </w:trPr>
        <w:tc>
          <w:tcPr>
            <w:cnfStyle w:val="001000000000" w:firstRow="0" w:lastRow="0" w:firstColumn="1" w:lastColumn="0" w:oddVBand="0" w:evenVBand="0" w:oddHBand="0" w:evenHBand="0" w:firstRowFirstColumn="0" w:firstRowLastColumn="0" w:lastRowFirstColumn="0" w:lastRowLastColumn="0"/>
            <w:tcW w:w="1859" w:type="pct"/>
            <w:noWrap/>
            <w:hideMark/>
          </w:tcPr>
          <w:p w:rsidR="003C7D3B" w:rsidRPr="00132C56" w:rsidRDefault="003C7D3B" w:rsidP="00132C56">
            <w:pPr>
              <w:pStyle w:val="AERtabletextleft"/>
              <w:rPr>
                <w:rStyle w:val="AERtextbold"/>
                <w:b w:val="0"/>
              </w:rPr>
            </w:pPr>
            <w:r w:rsidRPr="00132C56">
              <w:rPr>
                <w:rStyle w:val="AERtextbold"/>
                <w:b w:val="0"/>
              </w:rPr>
              <w:t>Opening TAB</w:t>
            </w:r>
          </w:p>
        </w:tc>
        <w:tc>
          <w:tcPr>
            <w:tcW w:w="624" w:type="pct"/>
            <w:noWrap/>
            <w:vAlign w:val="top"/>
          </w:tcPr>
          <w:p w:rsidR="003C7D3B" w:rsidRPr="00132C56" w:rsidRDefault="003C7D3B" w:rsidP="00132C5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132C56">
              <w:t xml:space="preserve"> 59.4 </w:t>
            </w:r>
          </w:p>
        </w:tc>
        <w:tc>
          <w:tcPr>
            <w:tcW w:w="621" w:type="pct"/>
            <w:noWrap/>
            <w:vAlign w:val="top"/>
          </w:tcPr>
          <w:p w:rsidR="003C7D3B" w:rsidRPr="00132C56" w:rsidRDefault="003C7D3B" w:rsidP="00132C5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132C56">
              <w:t xml:space="preserve"> 69.</w:t>
            </w:r>
            <w:r w:rsidR="00F16B4C" w:rsidRPr="00132C56">
              <w:t>5</w:t>
            </w:r>
            <w:r w:rsidRPr="00132C56">
              <w:t xml:space="preserve"> </w:t>
            </w:r>
          </w:p>
        </w:tc>
        <w:tc>
          <w:tcPr>
            <w:tcW w:w="621" w:type="pct"/>
            <w:noWrap/>
            <w:vAlign w:val="top"/>
          </w:tcPr>
          <w:p w:rsidR="003C7D3B" w:rsidRPr="00132C56" w:rsidRDefault="003C7D3B" w:rsidP="00132C5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132C56">
              <w:t xml:space="preserve"> 81.0 </w:t>
            </w:r>
          </w:p>
        </w:tc>
        <w:tc>
          <w:tcPr>
            <w:tcW w:w="622" w:type="pct"/>
            <w:noWrap/>
            <w:vAlign w:val="top"/>
          </w:tcPr>
          <w:p w:rsidR="003C7D3B" w:rsidRPr="00132C56" w:rsidRDefault="003C7D3B" w:rsidP="00132C5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132C56">
              <w:t xml:space="preserve"> 97.4 </w:t>
            </w:r>
          </w:p>
        </w:tc>
        <w:tc>
          <w:tcPr>
            <w:tcW w:w="653" w:type="pct"/>
            <w:noWrap/>
            <w:vAlign w:val="top"/>
          </w:tcPr>
          <w:p w:rsidR="003C7D3B" w:rsidRPr="00132C56" w:rsidRDefault="003C7D3B" w:rsidP="00132C5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132C56">
              <w:t xml:space="preserve"> 118.</w:t>
            </w:r>
            <w:r w:rsidR="00F16B4C" w:rsidRPr="00132C56">
              <w:t>7</w:t>
            </w:r>
            <w:r w:rsidRPr="00132C56">
              <w:t xml:space="preserve"> </w:t>
            </w:r>
          </w:p>
        </w:tc>
      </w:tr>
      <w:tr w:rsidR="00275A6B" w:rsidRPr="0052303D" w:rsidTr="003C7D3B">
        <w:trPr>
          <w:cnfStyle w:val="000000010000" w:firstRow="0" w:lastRow="0" w:firstColumn="0" w:lastColumn="0" w:oddVBand="0" w:evenVBand="0" w:oddHBand="0" w:evenHBand="1"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859" w:type="pct"/>
            <w:noWrap/>
            <w:hideMark/>
          </w:tcPr>
          <w:p w:rsidR="00275A6B" w:rsidRPr="00575650" w:rsidRDefault="00275A6B" w:rsidP="00575650">
            <w:pPr>
              <w:pStyle w:val="AERtabletextleft"/>
            </w:pPr>
            <w:r w:rsidRPr="00883926">
              <w:t>Capital expenditure</w:t>
            </w:r>
            <w:r w:rsidRPr="00575650">
              <w:rPr>
                <w:rStyle w:val="AERsuperscript"/>
              </w:rPr>
              <w:t>a</w:t>
            </w:r>
          </w:p>
        </w:tc>
        <w:tc>
          <w:tcPr>
            <w:tcW w:w="624" w:type="pct"/>
            <w:noWrap/>
            <w:vAlign w:val="bottom"/>
          </w:tcPr>
          <w:p w:rsidR="00275A6B" w:rsidRPr="00883926" w:rsidRDefault="00275A6B" w:rsidP="00575650">
            <w:pPr>
              <w:pStyle w:val="AERtabletextright"/>
              <w:cnfStyle w:val="000000010000" w:firstRow="0" w:lastRow="0" w:firstColumn="0" w:lastColumn="0" w:oddVBand="0" w:evenVBand="0" w:oddHBand="0" w:evenHBand="1" w:firstRowFirstColumn="0" w:firstRowLastColumn="0" w:lastRowFirstColumn="0" w:lastRowLastColumn="0"/>
            </w:pPr>
            <w:r>
              <w:t>12.6</w:t>
            </w:r>
          </w:p>
        </w:tc>
        <w:tc>
          <w:tcPr>
            <w:tcW w:w="621" w:type="pct"/>
            <w:noWrap/>
            <w:vAlign w:val="bottom"/>
          </w:tcPr>
          <w:p w:rsidR="00275A6B" w:rsidRPr="00883926" w:rsidRDefault="00275A6B" w:rsidP="00575650">
            <w:pPr>
              <w:pStyle w:val="AERtabletextright"/>
              <w:cnfStyle w:val="000000010000" w:firstRow="0" w:lastRow="0" w:firstColumn="0" w:lastColumn="0" w:oddVBand="0" w:evenVBand="0" w:oddHBand="0" w:evenHBand="1" w:firstRowFirstColumn="0" w:firstRowLastColumn="0" w:lastRowFirstColumn="0" w:lastRowLastColumn="0"/>
            </w:pPr>
            <w:r>
              <w:t>14.4</w:t>
            </w:r>
          </w:p>
        </w:tc>
        <w:tc>
          <w:tcPr>
            <w:tcW w:w="621" w:type="pct"/>
            <w:noWrap/>
            <w:vAlign w:val="bottom"/>
          </w:tcPr>
          <w:p w:rsidR="00275A6B" w:rsidRPr="00883926" w:rsidRDefault="00275A6B" w:rsidP="00575650">
            <w:pPr>
              <w:pStyle w:val="AERtabletextright"/>
              <w:cnfStyle w:val="000000010000" w:firstRow="0" w:lastRow="0" w:firstColumn="0" w:lastColumn="0" w:oddVBand="0" w:evenVBand="0" w:oddHBand="0" w:evenHBand="1" w:firstRowFirstColumn="0" w:firstRowLastColumn="0" w:lastRowFirstColumn="0" w:lastRowLastColumn="0"/>
            </w:pPr>
            <w:r>
              <w:t>19.8</w:t>
            </w:r>
          </w:p>
        </w:tc>
        <w:tc>
          <w:tcPr>
            <w:tcW w:w="622" w:type="pct"/>
            <w:noWrap/>
            <w:vAlign w:val="bottom"/>
          </w:tcPr>
          <w:p w:rsidR="00275A6B" w:rsidRPr="00883926" w:rsidRDefault="00275A6B" w:rsidP="00575650">
            <w:pPr>
              <w:pStyle w:val="AERtabletextright"/>
              <w:cnfStyle w:val="000000010000" w:firstRow="0" w:lastRow="0" w:firstColumn="0" w:lastColumn="0" w:oddVBand="0" w:evenVBand="0" w:oddHBand="0" w:evenHBand="1" w:firstRowFirstColumn="0" w:firstRowLastColumn="0" w:lastRowFirstColumn="0" w:lastRowLastColumn="0"/>
            </w:pPr>
            <w:r>
              <w:t>25.2</w:t>
            </w:r>
          </w:p>
        </w:tc>
        <w:tc>
          <w:tcPr>
            <w:tcW w:w="653" w:type="pct"/>
            <w:noWrap/>
            <w:vAlign w:val="bottom"/>
          </w:tcPr>
          <w:p w:rsidR="00275A6B" w:rsidRPr="00883926" w:rsidRDefault="00275A6B" w:rsidP="00575650">
            <w:pPr>
              <w:pStyle w:val="AERtabletextright"/>
              <w:cnfStyle w:val="000000010000" w:firstRow="0" w:lastRow="0" w:firstColumn="0" w:lastColumn="0" w:oddVBand="0" w:evenVBand="0" w:oddHBand="0" w:evenHBand="1" w:firstRowFirstColumn="0" w:firstRowLastColumn="0" w:lastRowFirstColumn="0" w:lastRowLastColumn="0"/>
            </w:pPr>
            <w:r>
              <w:t>23.2</w:t>
            </w:r>
          </w:p>
        </w:tc>
      </w:tr>
      <w:tr w:rsidR="003C7D3B" w:rsidRPr="0052303D" w:rsidTr="003C7D3B">
        <w:trPr>
          <w:trHeight w:val="310"/>
        </w:trPr>
        <w:tc>
          <w:tcPr>
            <w:cnfStyle w:val="001000000000" w:firstRow="0" w:lastRow="0" w:firstColumn="1" w:lastColumn="0" w:oddVBand="0" w:evenVBand="0" w:oddHBand="0" w:evenHBand="0" w:firstRowFirstColumn="0" w:firstRowLastColumn="0" w:lastRowFirstColumn="0" w:lastRowLastColumn="0"/>
            <w:tcW w:w="1859" w:type="pct"/>
            <w:noWrap/>
            <w:hideMark/>
          </w:tcPr>
          <w:p w:rsidR="003C7D3B" w:rsidRPr="003C7D3B" w:rsidRDefault="003C7D3B" w:rsidP="003C7D3B">
            <w:pPr>
              <w:pStyle w:val="AERtabletextleft"/>
            </w:pPr>
            <w:r w:rsidRPr="003C7D3B">
              <w:t>Less: Tax depreciation</w:t>
            </w:r>
          </w:p>
        </w:tc>
        <w:tc>
          <w:tcPr>
            <w:tcW w:w="624" w:type="pct"/>
            <w:noWrap/>
            <w:vAlign w:val="top"/>
          </w:tcPr>
          <w:p w:rsidR="003C7D3B" w:rsidRPr="003C7D3B" w:rsidRDefault="003C7D3B" w:rsidP="003C7D3B">
            <w:pPr>
              <w:pStyle w:val="AERtabletextright"/>
              <w:cnfStyle w:val="000000000000" w:firstRow="0" w:lastRow="0" w:firstColumn="0" w:lastColumn="0" w:oddVBand="0" w:evenVBand="0" w:oddHBand="0" w:evenHBand="0" w:firstRowFirstColumn="0" w:firstRowLastColumn="0" w:lastRowFirstColumn="0" w:lastRowLastColumn="0"/>
            </w:pPr>
            <w:r w:rsidRPr="003C7D3B">
              <w:t>2.5</w:t>
            </w:r>
          </w:p>
        </w:tc>
        <w:tc>
          <w:tcPr>
            <w:tcW w:w="621" w:type="pct"/>
            <w:noWrap/>
            <w:vAlign w:val="top"/>
          </w:tcPr>
          <w:p w:rsidR="003C7D3B" w:rsidRPr="003C7D3B" w:rsidRDefault="003C7D3B" w:rsidP="003C7D3B">
            <w:pPr>
              <w:pStyle w:val="AERtabletextright"/>
              <w:cnfStyle w:val="000000000000" w:firstRow="0" w:lastRow="0" w:firstColumn="0" w:lastColumn="0" w:oddVBand="0" w:evenVBand="0" w:oddHBand="0" w:evenHBand="0" w:firstRowFirstColumn="0" w:firstRowLastColumn="0" w:lastRowFirstColumn="0" w:lastRowLastColumn="0"/>
            </w:pPr>
            <w:r w:rsidRPr="003C7D3B">
              <w:t>2.9</w:t>
            </w:r>
          </w:p>
        </w:tc>
        <w:tc>
          <w:tcPr>
            <w:tcW w:w="621" w:type="pct"/>
            <w:noWrap/>
            <w:vAlign w:val="top"/>
          </w:tcPr>
          <w:p w:rsidR="003C7D3B" w:rsidRPr="003C7D3B" w:rsidRDefault="003C7D3B" w:rsidP="003C7D3B">
            <w:pPr>
              <w:pStyle w:val="AERtabletextright"/>
              <w:cnfStyle w:val="000000000000" w:firstRow="0" w:lastRow="0" w:firstColumn="0" w:lastColumn="0" w:oddVBand="0" w:evenVBand="0" w:oddHBand="0" w:evenHBand="0" w:firstRowFirstColumn="0" w:firstRowLastColumn="0" w:lastRowFirstColumn="0" w:lastRowLastColumn="0"/>
            </w:pPr>
            <w:r w:rsidRPr="003C7D3B">
              <w:t>3.4</w:t>
            </w:r>
          </w:p>
        </w:tc>
        <w:tc>
          <w:tcPr>
            <w:tcW w:w="622" w:type="pct"/>
            <w:noWrap/>
            <w:vAlign w:val="top"/>
          </w:tcPr>
          <w:p w:rsidR="003C7D3B" w:rsidRPr="003C7D3B" w:rsidRDefault="003C7D3B" w:rsidP="003C7D3B">
            <w:pPr>
              <w:pStyle w:val="AERtabletextright"/>
              <w:cnfStyle w:val="000000000000" w:firstRow="0" w:lastRow="0" w:firstColumn="0" w:lastColumn="0" w:oddVBand="0" w:evenVBand="0" w:oddHBand="0" w:evenHBand="0" w:firstRowFirstColumn="0" w:firstRowLastColumn="0" w:lastRowFirstColumn="0" w:lastRowLastColumn="0"/>
            </w:pPr>
            <w:r w:rsidRPr="003C7D3B">
              <w:t>3.9</w:t>
            </w:r>
          </w:p>
        </w:tc>
        <w:tc>
          <w:tcPr>
            <w:tcW w:w="653" w:type="pct"/>
            <w:noWrap/>
            <w:vAlign w:val="top"/>
          </w:tcPr>
          <w:p w:rsidR="003C7D3B" w:rsidRPr="003C7D3B" w:rsidRDefault="003C7D3B" w:rsidP="003C7D3B">
            <w:pPr>
              <w:pStyle w:val="AERtabletextright"/>
              <w:cnfStyle w:val="000000000000" w:firstRow="0" w:lastRow="0" w:firstColumn="0" w:lastColumn="0" w:oddVBand="0" w:evenVBand="0" w:oddHBand="0" w:evenHBand="0" w:firstRowFirstColumn="0" w:firstRowLastColumn="0" w:lastRowFirstColumn="0" w:lastRowLastColumn="0"/>
            </w:pPr>
            <w:r w:rsidRPr="003C7D3B">
              <w:t>4.8</w:t>
            </w:r>
          </w:p>
        </w:tc>
      </w:tr>
      <w:tr w:rsidR="003C7D3B" w:rsidRPr="00132C56" w:rsidTr="003C7D3B">
        <w:trPr>
          <w:cnfStyle w:val="000000010000" w:firstRow="0" w:lastRow="0" w:firstColumn="0" w:lastColumn="0" w:oddVBand="0" w:evenVBand="0" w:oddHBand="0" w:evenHBand="1"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859" w:type="pct"/>
            <w:noWrap/>
            <w:hideMark/>
          </w:tcPr>
          <w:p w:rsidR="003C7D3B" w:rsidRPr="00132C56" w:rsidRDefault="003C7D3B" w:rsidP="00132C56">
            <w:pPr>
              <w:pStyle w:val="AERtabletextleft"/>
              <w:rPr>
                <w:rStyle w:val="AERtextbold"/>
                <w:b w:val="0"/>
              </w:rPr>
            </w:pPr>
            <w:r w:rsidRPr="00132C56">
              <w:rPr>
                <w:rStyle w:val="AERtextbold"/>
                <w:b w:val="0"/>
              </w:rPr>
              <w:t>Closing TAB</w:t>
            </w:r>
          </w:p>
        </w:tc>
        <w:tc>
          <w:tcPr>
            <w:tcW w:w="624" w:type="pct"/>
            <w:noWrap/>
            <w:vAlign w:val="top"/>
          </w:tcPr>
          <w:p w:rsidR="003C7D3B" w:rsidRPr="00132C56" w:rsidRDefault="003C7D3B" w:rsidP="00132C56">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132C56">
              <w:rPr>
                <w:rStyle w:val="AERtextbold"/>
                <w:b w:val="0"/>
              </w:rPr>
              <w:t xml:space="preserve"> 69.</w:t>
            </w:r>
            <w:r w:rsidR="00F16B4C" w:rsidRPr="00132C56">
              <w:rPr>
                <w:rStyle w:val="AERtextbold"/>
                <w:b w:val="0"/>
              </w:rPr>
              <w:t>5</w:t>
            </w:r>
            <w:r w:rsidRPr="00132C56">
              <w:rPr>
                <w:rStyle w:val="AERtextbold"/>
                <w:b w:val="0"/>
              </w:rPr>
              <w:t xml:space="preserve"> </w:t>
            </w:r>
          </w:p>
        </w:tc>
        <w:tc>
          <w:tcPr>
            <w:tcW w:w="621" w:type="pct"/>
            <w:noWrap/>
            <w:vAlign w:val="top"/>
          </w:tcPr>
          <w:p w:rsidR="003C7D3B" w:rsidRPr="00132C56" w:rsidRDefault="003C7D3B" w:rsidP="00132C56">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132C56">
              <w:rPr>
                <w:rStyle w:val="AERtextbold"/>
                <w:b w:val="0"/>
              </w:rPr>
              <w:t xml:space="preserve"> 81.0 </w:t>
            </w:r>
          </w:p>
        </w:tc>
        <w:tc>
          <w:tcPr>
            <w:tcW w:w="621" w:type="pct"/>
            <w:noWrap/>
            <w:vAlign w:val="top"/>
          </w:tcPr>
          <w:p w:rsidR="003C7D3B" w:rsidRPr="00132C56" w:rsidRDefault="003C7D3B" w:rsidP="00132C56">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132C56">
              <w:rPr>
                <w:rStyle w:val="AERtextbold"/>
                <w:b w:val="0"/>
              </w:rPr>
              <w:t xml:space="preserve"> 97.4</w:t>
            </w:r>
          </w:p>
        </w:tc>
        <w:tc>
          <w:tcPr>
            <w:tcW w:w="622" w:type="pct"/>
            <w:noWrap/>
            <w:vAlign w:val="top"/>
          </w:tcPr>
          <w:p w:rsidR="003C7D3B" w:rsidRPr="00132C56" w:rsidRDefault="003C7D3B" w:rsidP="00132C56">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132C56">
              <w:rPr>
                <w:rStyle w:val="AERtextbold"/>
                <w:b w:val="0"/>
              </w:rPr>
              <w:t xml:space="preserve"> 118.</w:t>
            </w:r>
            <w:r w:rsidR="00F16B4C" w:rsidRPr="00132C56">
              <w:rPr>
                <w:rStyle w:val="AERtextbold"/>
                <w:b w:val="0"/>
              </w:rPr>
              <w:t>7</w:t>
            </w:r>
            <w:r w:rsidRPr="00132C56">
              <w:rPr>
                <w:rStyle w:val="AERtextbold"/>
                <w:b w:val="0"/>
              </w:rPr>
              <w:t xml:space="preserve"> </w:t>
            </w:r>
          </w:p>
        </w:tc>
        <w:tc>
          <w:tcPr>
            <w:tcW w:w="653" w:type="pct"/>
            <w:noWrap/>
            <w:vAlign w:val="top"/>
          </w:tcPr>
          <w:p w:rsidR="003C7D3B" w:rsidRPr="00132C56" w:rsidRDefault="003C7D3B" w:rsidP="00132C56">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132C56">
              <w:rPr>
                <w:rStyle w:val="AERtextbold"/>
                <w:b w:val="0"/>
              </w:rPr>
              <w:t xml:space="preserve"> 137.</w:t>
            </w:r>
            <w:r w:rsidR="00F16B4C" w:rsidRPr="00132C56">
              <w:rPr>
                <w:rStyle w:val="AERtextbold"/>
                <w:b w:val="0"/>
              </w:rPr>
              <w:t>1</w:t>
            </w:r>
            <w:r w:rsidRPr="00132C56">
              <w:rPr>
                <w:rStyle w:val="AERtextbold"/>
                <w:b w:val="0"/>
              </w:rPr>
              <w:t xml:space="preserve"> </w:t>
            </w:r>
          </w:p>
        </w:tc>
      </w:tr>
    </w:tbl>
    <w:p w:rsidR="00575650" w:rsidRPr="00575650" w:rsidRDefault="00575650" w:rsidP="00575650">
      <w:pPr>
        <w:pStyle w:val="AERtablesource"/>
      </w:pPr>
      <w:r w:rsidRPr="00575650">
        <w:t xml:space="preserve">Source: </w:t>
      </w:r>
      <w:r w:rsidRPr="00575650">
        <w:tab/>
        <w:t>AER analysis.</w:t>
      </w:r>
    </w:p>
    <w:p w:rsidR="00575650" w:rsidRPr="00575650" w:rsidRDefault="00575650" w:rsidP="00575650">
      <w:pPr>
        <w:pStyle w:val="AERtablesource"/>
      </w:pPr>
      <w:r w:rsidRPr="00575650">
        <w:t>(a)</w:t>
      </w:r>
      <w:r w:rsidRPr="00575650">
        <w:tab/>
        <w:t>Net of disposals.</w:t>
      </w:r>
    </w:p>
    <w:p w:rsidR="00575650" w:rsidRPr="00575650" w:rsidRDefault="00575650" w:rsidP="00575650">
      <w:pPr>
        <w:pStyle w:val="AERtablesource"/>
      </w:pPr>
      <w:r w:rsidRPr="00575650">
        <w:t>(b)</w:t>
      </w:r>
      <w:r w:rsidRPr="00575650">
        <w:tab/>
        <w:t>Based on estimated capex.</w:t>
      </w:r>
    </w:p>
    <w:p w:rsidR="009F030C" w:rsidRDefault="0085652B" w:rsidP="009F030C">
      <w:pPr>
        <w:pStyle w:val="Heading3"/>
      </w:pPr>
      <w:bookmarkStart w:id="24" w:name="_Ref404089817"/>
      <w:bookmarkStart w:id="25" w:name="_Toc404700033"/>
      <w:r>
        <w:t>Standard tax asset lives</w:t>
      </w:r>
      <w:bookmarkEnd w:id="24"/>
      <w:bookmarkEnd w:id="25"/>
    </w:p>
    <w:p w:rsidR="005F0D1A" w:rsidRPr="005F0D1A" w:rsidRDefault="005F0D1A" w:rsidP="005F0D1A">
      <w:pPr>
        <w:pStyle w:val="AERbodytext"/>
      </w:pPr>
      <w:r w:rsidRPr="005F0D1A">
        <w:t xml:space="preserve">We accept </w:t>
      </w:r>
      <w:r>
        <w:t xml:space="preserve">the majority of </w:t>
      </w:r>
      <w:r w:rsidR="00504A4B">
        <w:t>ActewAGL's</w:t>
      </w:r>
      <w:r w:rsidRPr="005F0D1A">
        <w:t xml:space="preserve"> proposed standard tax asset lives </w:t>
      </w:r>
      <w:r w:rsidR="001C237A">
        <w:t xml:space="preserve">for its distribution and transmission networks </w:t>
      </w:r>
      <w:r w:rsidRPr="005F0D1A">
        <w:t>because they are:</w:t>
      </w:r>
    </w:p>
    <w:p w:rsidR="005F0D1A" w:rsidRPr="005F0D1A" w:rsidRDefault="005F0D1A" w:rsidP="005F0D1A">
      <w:pPr>
        <w:pStyle w:val="AERbulletlistfirststyle"/>
      </w:pPr>
      <w:r w:rsidRPr="005F0D1A">
        <w:t>broadly consistent with the values prescribed by the Commissioner for taxation in tax ruling 201</w:t>
      </w:r>
      <w:r w:rsidR="0086311A">
        <w:t>4</w:t>
      </w:r>
      <w:r w:rsidRPr="005F0D1A">
        <w:t>/4</w:t>
      </w:r>
      <w:r w:rsidR="0086311A">
        <w:rPr>
          <w:rStyle w:val="FootnoteReference"/>
        </w:rPr>
        <w:footnoteReference w:id="13"/>
      </w:r>
    </w:p>
    <w:p w:rsidR="005F0D1A" w:rsidRPr="005F0D1A" w:rsidRDefault="005F0D1A" w:rsidP="005F0D1A">
      <w:pPr>
        <w:pStyle w:val="AERbulletlistfirststyle"/>
      </w:pPr>
      <w:r w:rsidRPr="005F0D1A">
        <w:t xml:space="preserve">the same as those approved standard tax asset lives for the 2009–14 regulatory control period. </w:t>
      </w:r>
    </w:p>
    <w:p w:rsidR="00A64A05" w:rsidRDefault="00A64A05" w:rsidP="005F0D1A">
      <w:pPr>
        <w:pStyle w:val="AERbodytext"/>
        <w:numPr>
          <w:ilvl w:val="0"/>
          <w:numId w:val="0"/>
        </w:numPr>
      </w:pPr>
      <w:r w:rsidRPr="00A64A05">
        <w:t xml:space="preserve">We are satisfied that the proposed </w:t>
      </w:r>
      <w:r>
        <w:t>standard tax asset lives</w:t>
      </w:r>
      <w:r w:rsidRPr="00A64A05">
        <w:t xml:space="preserve"> remain appropriate for applying over the 201</w:t>
      </w:r>
      <w:r>
        <w:t>4</w:t>
      </w:r>
      <w:r w:rsidRPr="00A64A05">
        <w:t>–</w:t>
      </w:r>
      <w:r>
        <w:t xml:space="preserve">19 </w:t>
      </w:r>
      <w:r w:rsidRPr="00A64A05">
        <w:t>period</w:t>
      </w:r>
      <w:r>
        <w:t>.</w:t>
      </w:r>
    </w:p>
    <w:p w:rsidR="005F0D1A" w:rsidRDefault="005F0D1A" w:rsidP="005F0D1A">
      <w:pPr>
        <w:pStyle w:val="AERbodytext"/>
        <w:numPr>
          <w:ilvl w:val="0"/>
          <w:numId w:val="0"/>
        </w:numPr>
      </w:pPr>
      <w:r w:rsidRPr="005F0D1A">
        <w:t>However</w:t>
      </w:r>
      <w:r w:rsidR="00D152D1">
        <w:t>,</w:t>
      </w:r>
      <w:r w:rsidRPr="005F0D1A">
        <w:t xml:space="preserve"> we have changed the standard tax asset life for </w:t>
      </w:r>
      <w:r w:rsidR="00D55553">
        <w:t>the</w:t>
      </w:r>
      <w:r w:rsidR="00D55553" w:rsidRPr="005F0D1A">
        <w:t xml:space="preserve"> </w:t>
      </w:r>
      <w:r w:rsidRPr="005F0D1A">
        <w:t xml:space="preserve">'Equity raising costs' asset class to 5 years from </w:t>
      </w:r>
      <w:r w:rsidR="00836DC2">
        <w:t>ActewAGL</w:t>
      </w:r>
      <w:r w:rsidRPr="005F0D1A">
        <w:t xml:space="preserve">'s proposed </w:t>
      </w:r>
      <w:r>
        <w:t>4</w:t>
      </w:r>
      <w:r w:rsidR="00836DC2">
        <w:t>4.5</w:t>
      </w:r>
      <w:r w:rsidRPr="005F0D1A">
        <w:t xml:space="preserve"> years for tax depreciation purposes. This is because the Australian Taxation Office (ATO) requires equity raising costs to be amortised over a five-year period on a straight-line basis.</w:t>
      </w:r>
      <w:r>
        <w:rPr>
          <w:rStyle w:val="FootnoteReference"/>
        </w:rPr>
        <w:footnoteReference w:id="14"/>
      </w:r>
      <w:r w:rsidRPr="005F0D1A">
        <w:t xml:space="preserve"> In recent determinations, we adopted a standard tax asset life of 5 years for </w:t>
      </w:r>
      <w:r w:rsidRPr="005F0D1A">
        <w:lastRenderedPageBreak/>
        <w:t>amortising equity raising costs for tax depreciation purposes.</w:t>
      </w:r>
      <w:r>
        <w:rPr>
          <w:rStyle w:val="FootnoteReference"/>
        </w:rPr>
        <w:footnoteReference w:id="15"/>
      </w:r>
      <w:r w:rsidRPr="005F0D1A">
        <w:t xml:space="preserve"> Therefore, we will apply the standard tax asset life of 5 years for tax depreciation purposes. We consider this standard tax asset life provides a better estimate of the tax depreciation amount for a benchmark efficie</w:t>
      </w:r>
      <w:r>
        <w:t xml:space="preserve">nt </w:t>
      </w:r>
      <w:r w:rsidR="00CC1B85">
        <w:t>service</w:t>
      </w:r>
      <w:r>
        <w:t xml:space="preserve"> provider as required by the NER.</w:t>
      </w:r>
      <w:r>
        <w:rPr>
          <w:rStyle w:val="FootnoteReference"/>
        </w:rPr>
        <w:footnoteReference w:id="16"/>
      </w:r>
    </w:p>
    <w:bookmarkStart w:id="26" w:name="_Ref336963305"/>
    <w:p w:rsidR="000E3C91" w:rsidRDefault="00504A4B" w:rsidP="000E3C91">
      <w:pPr>
        <w:pStyle w:val="AERbodytext"/>
      </w:pPr>
      <w:r>
        <w:fldChar w:fldCharType="begin"/>
      </w:r>
      <w:r>
        <w:instrText xml:space="preserve"> REF _Ref395101268 \h </w:instrText>
      </w:r>
      <w:r>
        <w:fldChar w:fldCharType="separate"/>
      </w:r>
      <w:r w:rsidR="00914556">
        <w:t xml:space="preserve">Table </w:t>
      </w:r>
      <w:r w:rsidR="00914556">
        <w:rPr>
          <w:noProof/>
        </w:rPr>
        <w:t>8</w:t>
      </w:r>
      <w:r w:rsidR="00914556">
        <w:t>.</w:t>
      </w:r>
      <w:r w:rsidR="00914556">
        <w:rPr>
          <w:noProof/>
        </w:rPr>
        <w:t>7</w:t>
      </w:r>
      <w:r>
        <w:fldChar w:fldCharType="end"/>
      </w:r>
      <w:r w:rsidR="00716564">
        <w:t xml:space="preserve"> and </w:t>
      </w:r>
      <w:r w:rsidR="001C237A">
        <w:fldChar w:fldCharType="begin"/>
      </w:r>
      <w:r w:rsidR="001C237A">
        <w:instrText xml:space="preserve"> REF _Ref398548437 \h </w:instrText>
      </w:r>
      <w:r w:rsidR="001C237A">
        <w:fldChar w:fldCharType="separate"/>
      </w:r>
      <w:r w:rsidR="00914556">
        <w:t xml:space="preserve">Table </w:t>
      </w:r>
      <w:r w:rsidR="00914556">
        <w:rPr>
          <w:noProof/>
        </w:rPr>
        <w:t>8</w:t>
      </w:r>
      <w:r w:rsidR="00914556">
        <w:t>.</w:t>
      </w:r>
      <w:r w:rsidR="00914556">
        <w:rPr>
          <w:noProof/>
        </w:rPr>
        <w:t>8</w:t>
      </w:r>
      <w:r w:rsidR="001C237A">
        <w:fldChar w:fldCharType="end"/>
      </w:r>
      <w:r w:rsidR="001C237A">
        <w:t xml:space="preserve"> </w:t>
      </w:r>
      <w:r>
        <w:t>present</w:t>
      </w:r>
      <w:r w:rsidR="000E3C91" w:rsidRPr="006D7077">
        <w:t xml:space="preserve"> our draft decision on</w:t>
      </w:r>
      <w:r w:rsidR="00D55553">
        <w:t xml:space="preserve"> the</w:t>
      </w:r>
      <w:r w:rsidR="000E3C91" w:rsidRPr="006D7077">
        <w:t xml:space="preserve"> standard tax asset lives </w:t>
      </w:r>
      <w:r w:rsidR="000E3C91">
        <w:t xml:space="preserve">for </w:t>
      </w:r>
      <w:r>
        <w:t xml:space="preserve">ActewAGL's distribution </w:t>
      </w:r>
      <w:r w:rsidR="001C237A">
        <w:t xml:space="preserve">and transmission </w:t>
      </w:r>
      <w:r>
        <w:t>network</w:t>
      </w:r>
      <w:r w:rsidR="001C237A">
        <w:t>s respectively</w:t>
      </w:r>
      <w:r w:rsidR="000E3C91" w:rsidRPr="006D7077">
        <w:t>.</w:t>
      </w:r>
      <w:bookmarkEnd w:id="26"/>
      <w:r w:rsidR="000E3C91" w:rsidRPr="006D7077">
        <w:t xml:space="preserve"> </w:t>
      </w:r>
    </w:p>
    <w:p w:rsidR="009F030C" w:rsidRDefault="0085652B" w:rsidP="009F030C">
      <w:pPr>
        <w:pStyle w:val="Heading3"/>
      </w:pPr>
      <w:bookmarkStart w:id="27" w:name="_Toc404700034"/>
      <w:r>
        <w:t>Remaining tax asset lives</w:t>
      </w:r>
      <w:bookmarkEnd w:id="27"/>
    </w:p>
    <w:p w:rsidR="00DF21D5" w:rsidRDefault="00041F69" w:rsidP="0085183C">
      <w:pPr>
        <w:pStyle w:val="AERbodytext"/>
      </w:pPr>
      <w:r w:rsidRPr="00041F69">
        <w:t xml:space="preserve">We accept </w:t>
      </w:r>
      <w:r w:rsidR="00836DC2">
        <w:t>ActewAGL's</w:t>
      </w:r>
      <w:r w:rsidRPr="00041F69">
        <w:t xml:space="preserve"> proposed remaining tax asset lives as at 1 July 2014. </w:t>
      </w:r>
      <w:r w:rsidR="0085183C" w:rsidRPr="0085183C">
        <w:t xml:space="preserve">ActewAGL's proposed approach </w:t>
      </w:r>
      <w:r w:rsidR="00357124">
        <w:t xml:space="preserve">to calculate the remaining tax lives </w:t>
      </w:r>
      <w:r w:rsidR="0085183C" w:rsidRPr="0085183C">
        <w:t xml:space="preserve">differs from the AER's preferred weighted average remaining life (WARL) approach. ActewAGL's approach </w:t>
      </w:r>
      <w:r w:rsidR="003A3190">
        <w:t xml:space="preserve">calculates </w:t>
      </w:r>
      <w:r w:rsidR="006D3C2E">
        <w:t xml:space="preserve">the remaining tax asset lives by </w:t>
      </w:r>
      <w:r w:rsidR="003A3190">
        <w:t>using</w:t>
      </w:r>
      <w:r w:rsidR="006D3C2E">
        <w:t xml:space="preserve"> </w:t>
      </w:r>
      <w:r w:rsidR="00DF21D5">
        <w:t>the op</w:t>
      </w:r>
      <w:r w:rsidR="006D3C2E">
        <w:t xml:space="preserve">ening </w:t>
      </w:r>
      <w:r w:rsidR="00DF21D5">
        <w:t xml:space="preserve">TAB in </w:t>
      </w:r>
      <w:r w:rsidR="006D3C2E">
        <w:t xml:space="preserve">2013–14 </w:t>
      </w:r>
      <w:r w:rsidR="003A3190">
        <w:t xml:space="preserve">and dividing </w:t>
      </w:r>
      <w:r w:rsidR="006D3C2E">
        <w:t xml:space="preserve">by the </w:t>
      </w:r>
      <w:r w:rsidR="0085183C">
        <w:t xml:space="preserve">tax </w:t>
      </w:r>
      <w:r w:rsidR="0085183C" w:rsidRPr="0085183C">
        <w:t>depreciation from the final year of the 2009–14 regulatory control period.</w:t>
      </w:r>
      <w:r w:rsidR="006D3C2E">
        <w:t xml:space="preserve"> This is similar to ActewAGL's approach to calculate the RAB remaining asset lives. </w:t>
      </w:r>
      <w:r w:rsidR="0085183C" w:rsidRPr="0085183C">
        <w:t xml:space="preserve">  </w:t>
      </w:r>
    </w:p>
    <w:p w:rsidR="0067449B" w:rsidRDefault="00B76EAA" w:rsidP="0085183C">
      <w:pPr>
        <w:pStyle w:val="AERbodytext"/>
      </w:pPr>
      <w:r>
        <w:t>For the same reasons a</w:t>
      </w:r>
      <w:r w:rsidR="009E3C5F">
        <w:t xml:space="preserve">s discussed in attachment </w:t>
      </w:r>
      <w:r w:rsidR="003C7D3B">
        <w:t>2</w:t>
      </w:r>
      <w:r w:rsidR="009E3C5F">
        <w:t>, w</w:t>
      </w:r>
      <w:r w:rsidR="0067449B">
        <w:t>e</w:t>
      </w:r>
      <w:r w:rsidR="0085183C">
        <w:t xml:space="preserve"> have concerns with ActewAGL's approach to calculati</w:t>
      </w:r>
      <w:r>
        <w:t>ng the</w:t>
      </w:r>
      <w:r w:rsidR="0085183C">
        <w:t xml:space="preserve"> remaining tax </w:t>
      </w:r>
      <w:r>
        <w:t xml:space="preserve">asset </w:t>
      </w:r>
      <w:r w:rsidR="0085183C">
        <w:t>lives</w:t>
      </w:r>
      <w:r w:rsidR="0067449B">
        <w:t xml:space="preserve"> as it</w:t>
      </w:r>
      <w:r w:rsidR="009E5BE6">
        <w:t xml:space="preserve"> tends to result in </w:t>
      </w:r>
      <w:r w:rsidR="001D60FB">
        <w:t xml:space="preserve">lower </w:t>
      </w:r>
      <w:r w:rsidR="009E5BE6">
        <w:t>lives</w:t>
      </w:r>
      <w:r w:rsidR="0067449B">
        <w:t>. In particular, it does not control well for when assets expire. For example, an asset may expire at the end of 2013</w:t>
      </w:r>
      <w:r>
        <w:t>–</w:t>
      </w:r>
      <w:r w:rsidR="0067449B">
        <w:t>14, yet the depreciation associated with that asset for 2013</w:t>
      </w:r>
      <w:r>
        <w:t>–</w:t>
      </w:r>
      <w:r w:rsidR="0067449B">
        <w:t>14 i</w:t>
      </w:r>
      <w:r>
        <w:t>s</w:t>
      </w:r>
      <w:r w:rsidR="0067449B">
        <w:t xml:space="preserve"> effectively assumed to continue into the future under ActewAGL's approach.</w:t>
      </w:r>
      <w:r w:rsidR="00DF21D5">
        <w:t xml:space="preserve"> </w:t>
      </w:r>
    </w:p>
    <w:p w:rsidR="0085652B" w:rsidRDefault="0067449B" w:rsidP="0085183C">
      <w:pPr>
        <w:pStyle w:val="AERbodytext"/>
      </w:pPr>
      <w:r>
        <w:t>In the present circumstance</w:t>
      </w:r>
      <w:r w:rsidR="00B96608">
        <w:t>s</w:t>
      </w:r>
      <w:r>
        <w:t xml:space="preserve">, however, the impact is not </w:t>
      </w:r>
      <w:r w:rsidR="00B96608">
        <w:t>significant</w:t>
      </w:r>
      <w:r>
        <w:t xml:space="preserve"> because of the</w:t>
      </w:r>
      <w:r w:rsidR="00B96608">
        <w:t xml:space="preserve"> value of the</w:t>
      </w:r>
      <w:r>
        <w:t xml:space="preserve"> </w:t>
      </w:r>
      <w:r w:rsidR="00B76EAA">
        <w:t>historical</w:t>
      </w:r>
      <w:r>
        <w:t xml:space="preserve"> asset class</w:t>
      </w:r>
      <w:r w:rsidR="00B96608">
        <w:t xml:space="preserve"> ('Opening distribution assets')</w:t>
      </w:r>
      <w:r>
        <w:t xml:space="preserve"> that makes up a large proportion of the TAB</w:t>
      </w:r>
      <w:r w:rsidR="00B76EAA">
        <w:t xml:space="preserve"> and does not have any capex added to it</w:t>
      </w:r>
      <w:r w:rsidR="00B96608">
        <w:t xml:space="preserve"> from 1 July 2009</w:t>
      </w:r>
      <w:r>
        <w:t>.</w:t>
      </w:r>
      <w:r w:rsidR="00A51F09">
        <w:t xml:space="preserve"> </w:t>
      </w:r>
      <w:r w:rsidR="00217F22">
        <w:t xml:space="preserve">The difference in tax allowance </w:t>
      </w:r>
      <w:r>
        <w:t xml:space="preserve">from </w:t>
      </w:r>
      <w:r w:rsidR="00217F22">
        <w:t xml:space="preserve">applying ActewAGL's approach relative to our </w:t>
      </w:r>
      <w:r>
        <w:t xml:space="preserve">WARL approach </w:t>
      </w:r>
      <w:r w:rsidR="00217F22">
        <w:t xml:space="preserve">is </w:t>
      </w:r>
      <w:r>
        <w:t>an</w:t>
      </w:r>
      <w:r w:rsidR="00984C2E">
        <w:t xml:space="preserve"> </w:t>
      </w:r>
      <w:r w:rsidR="00217F22">
        <w:t xml:space="preserve">increase in proposed </w:t>
      </w:r>
      <w:r w:rsidR="00B01248">
        <w:t xml:space="preserve">total </w:t>
      </w:r>
      <w:r w:rsidR="00DF21D5">
        <w:t xml:space="preserve">revenue </w:t>
      </w:r>
      <w:r w:rsidR="00B01248">
        <w:t xml:space="preserve">of </w:t>
      </w:r>
      <w:r w:rsidR="00DF21D5">
        <w:t xml:space="preserve">less than </w:t>
      </w:r>
      <w:r w:rsidR="00B01248">
        <w:t>0.</w:t>
      </w:r>
      <w:r w:rsidR="00C26ED3">
        <w:t>13</w:t>
      </w:r>
      <w:r w:rsidR="00DF21D5">
        <w:t xml:space="preserve"> per cent </w:t>
      </w:r>
      <w:r w:rsidR="00B01248">
        <w:t xml:space="preserve">for </w:t>
      </w:r>
      <w:r w:rsidR="00DF21D5">
        <w:t>ActewAGL's</w:t>
      </w:r>
      <w:r w:rsidR="00217F22">
        <w:t xml:space="preserve"> dist</w:t>
      </w:r>
      <w:r w:rsidR="00E36CB1">
        <w:t>ri</w:t>
      </w:r>
      <w:r w:rsidR="00217F22">
        <w:t>bution and transmission</w:t>
      </w:r>
      <w:r w:rsidR="00DF21D5">
        <w:t xml:space="preserve"> networks</w:t>
      </w:r>
      <w:r w:rsidR="00B01248">
        <w:t xml:space="preserve"> over the 2014–19 period</w:t>
      </w:r>
      <w:r w:rsidR="00217F22">
        <w:t xml:space="preserve">. </w:t>
      </w:r>
      <w:r w:rsidR="00C01F8F">
        <w:t>Accordingly, we accept A</w:t>
      </w:r>
      <w:r w:rsidR="00217F22">
        <w:t>c</w:t>
      </w:r>
      <w:r w:rsidR="00C01F8F">
        <w:t xml:space="preserve">tewAGL's </w:t>
      </w:r>
      <w:r w:rsidR="00217F22">
        <w:t xml:space="preserve">proposed </w:t>
      </w:r>
      <w:r w:rsidR="00A51F09">
        <w:t>remaining tax asset lives</w:t>
      </w:r>
      <w:r w:rsidR="004254FA">
        <w:t xml:space="preserve"> for this draft decision.</w:t>
      </w:r>
      <w:r w:rsidR="002F0D22">
        <w:rPr>
          <w:rStyle w:val="FootnoteReference"/>
        </w:rPr>
        <w:footnoteReference w:id="17"/>
      </w:r>
      <w:r w:rsidR="004254FA">
        <w:t xml:space="preserve"> </w:t>
      </w:r>
      <w:r w:rsidR="00ED2505">
        <w:t xml:space="preserve">Further, given our concerns </w:t>
      </w:r>
      <w:r w:rsidR="008F293B">
        <w:t>with</w:t>
      </w:r>
      <w:r w:rsidR="00ED2505">
        <w:t xml:space="preserve"> ActewAGL's approach we will review this matter at the next determination.</w:t>
      </w:r>
    </w:p>
    <w:p w:rsidR="000E3C91" w:rsidRDefault="00836DC2" w:rsidP="000E3C91">
      <w:pPr>
        <w:pStyle w:val="AERbodytext"/>
      </w:pPr>
      <w:r>
        <w:fldChar w:fldCharType="begin"/>
      </w:r>
      <w:r>
        <w:instrText xml:space="preserve"> REF _Ref395101268 \h </w:instrText>
      </w:r>
      <w:r>
        <w:fldChar w:fldCharType="separate"/>
      </w:r>
      <w:r w:rsidR="00914556">
        <w:t xml:space="preserve">Table </w:t>
      </w:r>
      <w:r w:rsidR="00914556">
        <w:rPr>
          <w:noProof/>
        </w:rPr>
        <w:t>8</w:t>
      </w:r>
      <w:r w:rsidR="00914556">
        <w:t>.</w:t>
      </w:r>
      <w:r w:rsidR="00914556">
        <w:rPr>
          <w:noProof/>
        </w:rPr>
        <w:t>7</w:t>
      </w:r>
      <w:r>
        <w:fldChar w:fldCharType="end"/>
      </w:r>
      <w:r>
        <w:t xml:space="preserve"> </w:t>
      </w:r>
      <w:r w:rsidR="00DF21D5">
        <w:t xml:space="preserve">and </w:t>
      </w:r>
      <w:r w:rsidR="00DF21D5">
        <w:fldChar w:fldCharType="begin"/>
      </w:r>
      <w:r w:rsidR="00DF21D5">
        <w:instrText xml:space="preserve"> REF _Ref398548437 \h </w:instrText>
      </w:r>
      <w:r w:rsidR="00DF21D5">
        <w:fldChar w:fldCharType="separate"/>
      </w:r>
      <w:r w:rsidR="00914556">
        <w:t xml:space="preserve">Table </w:t>
      </w:r>
      <w:r w:rsidR="00914556">
        <w:rPr>
          <w:noProof/>
        </w:rPr>
        <w:t>8</w:t>
      </w:r>
      <w:r w:rsidR="00914556">
        <w:t>.</w:t>
      </w:r>
      <w:r w:rsidR="00914556">
        <w:rPr>
          <w:noProof/>
        </w:rPr>
        <w:t>8</w:t>
      </w:r>
      <w:r w:rsidR="00DF21D5">
        <w:fldChar w:fldCharType="end"/>
      </w:r>
      <w:r w:rsidR="00DF21D5">
        <w:t xml:space="preserve"> </w:t>
      </w:r>
      <w:r w:rsidR="00504A4B">
        <w:t>present</w:t>
      </w:r>
      <w:r w:rsidR="000E3C91" w:rsidRPr="006D7077">
        <w:t xml:space="preserve"> our draft decision on </w:t>
      </w:r>
      <w:r w:rsidR="000E3C91">
        <w:t>remaining</w:t>
      </w:r>
      <w:r w:rsidR="000E3C91" w:rsidRPr="006D7077">
        <w:t xml:space="preserve"> tax asset lives </w:t>
      </w:r>
      <w:r>
        <w:t xml:space="preserve">for ActewAGL's distribution </w:t>
      </w:r>
      <w:r w:rsidR="00DF21D5">
        <w:t xml:space="preserve">and transmission </w:t>
      </w:r>
      <w:r>
        <w:t>network</w:t>
      </w:r>
      <w:r w:rsidR="00DF21D5">
        <w:t>s respectively</w:t>
      </w:r>
      <w:r w:rsidR="000E3C91" w:rsidRPr="006D7077">
        <w:t xml:space="preserve">. </w:t>
      </w:r>
    </w:p>
    <w:p w:rsidR="000E3C91" w:rsidRDefault="000E3C91" w:rsidP="000E3C91">
      <w:pPr>
        <w:pStyle w:val="Caption"/>
      </w:pPr>
      <w:bookmarkStart w:id="28" w:name="_Ref395101268"/>
      <w:r>
        <w:t xml:space="preserve">Table </w:t>
      </w:r>
      <w:fldSimple w:instr=" STYLEREF 1 \s ">
        <w:r w:rsidR="00914556">
          <w:rPr>
            <w:noProof/>
          </w:rPr>
          <w:t>8</w:t>
        </w:r>
      </w:fldSimple>
      <w:r w:rsidR="00E30AEF">
        <w:t>.</w:t>
      </w:r>
      <w:fldSimple w:instr=" SEQ Table \* ARABIC \s 1 ">
        <w:r w:rsidR="00914556">
          <w:rPr>
            <w:noProof/>
          </w:rPr>
          <w:t>7</w:t>
        </w:r>
      </w:fldSimple>
      <w:bookmarkEnd w:id="28"/>
      <w:r>
        <w:tab/>
      </w:r>
      <w:r w:rsidRPr="00DE1345">
        <w:t xml:space="preserve">AER's draft decision on </w:t>
      </w:r>
      <w:r w:rsidR="00836DC2">
        <w:t>ActewAGL'</w:t>
      </w:r>
      <w:r w:rsidRPr="00DE1345">
        <w:t xml:space="preserve">s standard </w:t>
      </w:r>
      <w:r>
        <w:t xml:space="preserve">and remaining tax </w:t>
      </w:r>
      <w:r w:rsidRPr="00DE1345">
        <w:t>asset lives (years)</w:t>
      </w:r>
      <w:r w:rsidR="00836DC2">
        <w:t xml:space="preserve"> </w:t>
      </w:r>
      <w:r w:rsidR="000D1F0A">
        <w:t>–</w:t>
      </w:r>
      <w:r w:rsidR="00836DC2">
        <w:t xml:space="preserve"> </w:t>
      </w:r>
      <w:r w:rsidR="009E3C5F">
        <w:t>d</w:t>
      </w:r>
      <w:r w:rsidR="00836DC2">
        <w:t>istribution</w:t>
      </w:r>
    </w:p>
    <w:tbl>
      <w:tblPr>
        <w:tblStyle w:val="AERtable-numbers"/>
        <w:tblW w:w="5000" w:type="pct"/>
        <w:tblLayout w:type="fixed"/>
        <w:tblLook w:val="04A0" w:firstRow="1" w:lastRow="0" w:firstColumn="1" w:lastColumn="0" w:noHBand="0" w:noVBand="1"/>
      </w:tblPr>
      <w:tblGrid>
        <w:gridCol w:w="3227"/>
        <w:gridCol w:w="2551"/>
        <w:gridCol w:w="3464"/>
      </w:tblGrid>
      <w:tr w:rsidR="007E333E" w:rsidRPr="007E333E" w:rsidTr="00132C5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noWrap/>
            <w:vAlign w:val="bottom"/>
            <w:hideMark/>
          </w:tcPr>
          <w:p w:rsidR="007E333E" w:rsidRPr="007E333E" w:rsidRDefault="007E333E" w:rsidP="007E333E">
            <w:pPr>
              <w:pStyle w:val="AERtabletextleft"/>
            </w:pPr>
            <w:r w:rsidRPr="007E333E">
              <w:t>Asset class</w:t>
            </w:r>
          </w:p>
        </w:tc>
        <w:tc>
          <w:tcPr>
            <w:tcW w:w="1380" w:type="pct"/>
            <w:noWrap/>
            <w:vAlign w:val="bottom"/>
            <w:hideMark/>
          </w:tcPr>
          <w:p w:rsidR="007E333E" w:rsidRPr="007E333E" w:rsidRDefault="007E333E" w:rsidP="007E333E">
            <w:pPr>
              <w:pStyle w:val="AERtabletextright"/>
              <w:cnfStyle w:val="100000000000" w:firstRow="1" w:lastRow="0" w:firstColumn="0" w:lastColumn="0" w:oddVBand="0" w:evenVBand="0" w:oddHBand="0" w:evenHBand="0" w:firstRowFirstColumn="0" w:firstRowLastColumn="0" w:lastRowFirstColumn="0" w:lastRowLastColumn="0"/>
            </w:pPr>
            <w:r w:rsidRPr="007E333E">
              <w:t xml:space="preserve">Standard tax asset life </w:t>
            </w:r>
          </w:p>
        </w:tc>
        <w:tc>
          <w:tcPr>
            <w:tcW w:w="1874" w:type="pct"/>
            <w:noWrap/>
            <w:vAlign w:val="bottom"/>
            <w:hideMark/>
          </w:tcPr>
          <w:p w:rsidR="007E333E" w:rsidRPr="007E333E" w:rsidRDefault="007E333E" w:rsidP="00D55553">
            <w:pPr>
              <w:pStyle w:val="AERtabletextright"/>
              <w:cnfStyle w:val="100000000000" w:firstRow="1" w:lastRow="0" w:firstColumn="0" w:lastColumn="0" w:oddVBand="0" w:evenVBand="0" w:oddHBand="0" w:evenHBand="0" w:firstRowFirstColumn="0" w:firstRowLastColumn="0" w:lastRowFirstColumn="0" w:lastRowLastColumn="0"/>
            </w:pPr>
            <w:r w:rsidRPr="007E333E">
              <w:t>Remaining tax asset life as at 1</w:t>
            </w:r>
            <w:r w:rsidR="00D55553">
              <w:t> </w:t>
            </w:r>
            <w:r w:rsidRPr="007E333E">
              <w:t xml:space="preserve">July 2014 </w:t>
            </w:r>
          </w:p>
        </w:tc>
      </w:tr>
      <w:tr w:rsidR="0091620D" w:rsidRPr="007E333E" w:rsidTr="00132C56">
        <w:trPr>
          <w:trHeight w:val="300"/>
        </w:trPr>
        <w:tc>
          <w:tcPr>
            <w:cnfStyle w:val="001000000000" w:firstRow="0" w:lastRow="0" w:firstColumn="1" w:lastColumn="0" w:oddVBand="0" w:evenVBand="0" w:oddHBand="0" w:evenHBand="0" w:firstRowFirstColumn="0" w:firstRowLastColumn="0" w:lastRowFirstColumn="0" w:lastRowLastColumn="0"/>
            <w:tcW w:w="1746" w:type="pct"/>
            <w:noWrap/>
            <w:vAlign w:val="bottom"/>
            <w:hideMark/>
          </w:tcPr>
          <w:p w:rsidR="0091620D" w:rsidRPr="0091620D" w:rsidRDefault="00DB48BF" w:rsidP="00DB48BF">
            <w:pPr>
              <w:pStyle w:val="AERtabletextleft"/>
            </w:pPr>
            <w:r>
              <w:t>Opening distribution assets</w:t>
            </w:r>
          </w:p>
        </w:tc>
        <w:tc>
          <w:tcPr>
            <w:tcW w:w="1380" w:type="pct"/>
            <w:noWrap/>
            <w:vAlign w:val="bottom"/>
            <w:hideMark/>
          </w:tcPr>
          <w:p w:rsidR="0091620D" w:rsidRPr="0091620D" w:rsidRDefault="00DB48BF" w:rsidP="00DB48BF">
            <w:pPr>
              <w:pStyle w:val="AERtabletextright"/>
              <w:cnfStyle w:val="000000000000" w:firstRow="0" w:lastRow="0" w:firstColumn="0" w:lastColumn="0" w:oddVBand="0" w:evenVBand="0" w:oddHBand="0" w:evenHBand="0" w:firstRowFirstColumn="0" w:firstRowLastColumn="0" w:lastRowFirstColumn="0" w:lastRowLastColumn="0"/>
            </w:pPr>
            <w:r>
              <w:t>44.6</w:t>
            </w:r>
          </w:p>
        </w:tc>
        <w:tc>
          <w:tcPr>
            <w:tcW w:w="1874" w:type="pct"/>
            <w:noWrap/>
            <w:vAlign w:val="bottom"/>
            <w:hideMark/>
          </w:tcPr>
          <w:p w:rsidR="0091620D" w:rsidRPr="0091620D" w:rsidRDefault="002428A5" w:rsidP="002428A5">
            <w:pPr>
              <w:pStyle w:val="AERtabletextright"/>
              <w:cnfStyle w:val="000000000000" w:firstRow="0" w:lastRow="0" w:firstColumn="0" w:lastColumn="0" w:oddVBand="0" w:evenVBand="0" w:oddHBand="0" w:evenHBand="0" w:firstRowFirstColumn="0" w:firstRowLastColumn="0" w:lastRowFirstColumn="0" w:lastRowLastColumn="0"/>
            </w:pPr>
            <w:r>
              <w:t>18.6</w:t>
            </w:r>
          </w:p>
        </w:tc>
      </w:tr>
      <w:tr w:rsidR="0091620D" w:rsidRPr="007E333E" w:rsidTr="00132C5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noWrap/>
            <w:vAlign w:val="bottom"/>
            <w:hideMark/>
          </w:tcPr>
          <w:p w:rsidR="0091620D" w:rsidRPr="0091620D" w:rsidRDefault="00DB48BF" w:rsidP="00DB48BF">
            <w:pPr>
              <w:pStyle w:val="AERtabletextleft"/>
            </w:pPr>
            <w:r>
              <w:t>Sub-transmission overhead</w:t>
            </w:r>
          </w:p>
        </w:tc>
        <w:tc>
          <w:tcPr>
            <w:tcW w:w="1380" w:type="pct"/>
            <w:noWrap/>
            <w:vAlign w:val="bottom"/>
            <w:hideMark/>
          </w:tcPr>
          <w:p w:rsidR="0091620D" w:rsidRPr="0091620D" w:rsidRDefault="00DB48BF" w:rsidP="00DB48BF">
            <w:pPr>
              <w:pStyle w:val="AERtabletextright"/>
              <w:cnfStyle w:val="000000010000" w:firstRow="0" w:lastRow="0" w:firstColumn="0" w:lastColumn="0" w:oddVBand="0" w:evenVBand="0" w:oddHBand="0" w:evenHBand="1" w:firstRowFirstColumn="0" w:firstRowLastColumn="0" w:lastRowFirstColumn="0" w:lastRowLastColumn="0"/>
            </w:pPr>
            <w:r>
              <w:t>47.5</w:t>
            </w:r>
          </w:p>
        </w:tc>
        <w:tc>
          <w:tcPr>
            <w:tcW w:w="1874" w:type="pct"/>
            <w:noWrap/>
            <w:vAlign w:val="bottom"/>
            <w:hideMark/>
          </w:tcPr>
          <w:p w:rsidR="0091620D" w:rsidRPr="0091620D" w:rsidRDefault="001730B4" w:rsidP="0091620D">
            <w:pPr>
              <w:pStyle w:val="AERtabletextright"/>
              <w:cnfStyle w:val="000000010000" w:firstRow="0" w:lastRow="0" w:firstColumn="0" w:lastColumn="0" w:oddVBand="0" w:evenVBand="0" w:oddHBand="0" w:evenHBand="1" w:firstRowFirstColumn="0" w:firstRowLastColumn="0" w:lastRowFirstColumn="0" w:lastRowLastColumn="0"/>
            </w:pPr>
            <w:r>
              <w:t>n/a</w:t>
            </w:r>
          </w:p>
        </w:tc>
      </w:tr>
      <w:tr w:rsidR="0091620D" w:rsidRPr="007E333E" w:rsidTr="00132C56">
        <w:trPr>
          <w:trHeight w:val="300"/>
        </w:trPr>
        <w:tc>
          <w:tcPr>
            <w:cnfStyle w:val="001000000000" w:firstRow="0" w:lastRow="0" w:firstColumn="1" w:lastColumn="0" w:oddVBand="0" w:evenVBand="0" w:oddHBand="0" w:evenHBand="0" w:firstRowFirstColumn="0" w:firstRowLastColumn="0" w:lastRowFirstColumn="0" w:lastRowLastColumn="0"/>
            <w:tcW w:w="1746" w:type="pct"/>
            <w:noWrap/>
            <w:vAlign w:val="bottom"/>
            <w:hideMark/>
          </w:tcPr>
          <w:p w:rsidR="0091620D" w:rsidRPr="0091620D" w:rsidRDefault="0091620D" w:rsidP="00DB48BF">
            <w:pPr>
              <w:pStyle w:val="AERtabletextleft"/>
            </w:pPr>
            <w:r w:rsidRPr="0091620D">
              <w:t>Sub</w:t>
            </w:r>
            <w:r w:rsidR="00DB48BF">
              <w:t>-transmission underground</w:t>
            </w:r>
          </w:p>
        </w:tc>
        <w:tc>
          <w:tcPr>
            <w:tcW w:w="1380" w:type="pct"/>
            <w:noWrap/>
            <w:vAlign w:val="bottom"/>
            <w:hideMark/>
          </w:tcPr>
          <w:p w:rsidR="0091620D" w:rsidRPr="0091620D" w:rsidRDefault="00DB48BF" w:rsidP="00DB48BF">
            <w:pPr>
              <w:pStyle w:val="AERtabletextright"/>
              <w:cnfStyle w:val="000000000000" w:firstRow="0" w:lastRow="0" w:firstColumn="0" w:lastColumn="0" w:oddVBand="0" w:evenVBand="0" w:oddHBand="0" w:evenHBand="0" w:firstRowFirstColumn="0" w:firstRowLastColumn="0" w:lastRowFirstColumn="0" w:lastRowLastColumn="0"/>
            </w:pPr>
            <w:r>
              <w:t>47.5</w:t>
            </w:r>
          </w:p>
        </w:tc>
        <w:tc>
          <w:tcPr>
            <w:tcW w:w="1874" w:type="pct"/>
            <w:noWrap/>
            <w:vAlign w:val="bottom"/>
            <w:hideMark/>
          </w:tcPr>
          <w:p w:rsidR="0091620D" w:rsidRPr="0091620D" w:rsidRDefault="001730B4" w:rsidP="0091620D">
            <w:pPr>
              <w:pStyle w:val="AERtabletextright"/>
              <w:cnfStyle w:val="000000000000" w:firstRow="0" w:lastRow="0" w:firstColumn="0" w:lastColumn="0" w:oddVBand="0" w:evenVBand="0" w:oddHBand="0" w:evenHBand="0" w:firstRowFirstColumn="0" w:firstRowLastColumn="0" w:lastRowFirstColumn="0" w:lastRowLastColumn="0"/>
            </w:pPr>
            <w:r>
              <w:t>n/a</w:t>
            </w:r>
          </w:p>
        </w:tc>
      </w:tr>
      <w:tr w:rsidR="0091620D" w:rsidRPr="007E333E" w:rsidTr="00132C5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noWrap/>
            <w:vAlign w:val="bottom"/>
            <w:hideMark/>
          </w:tcPr>
          <w:p w:rsidR="0091620D" w:rsidRPr="0091620D" w:rsidRDefault="00DB48BF" w:rsidP="00DB48BF">
            <w:pPr>
              <w:pStyle w:val="AERtabletextleft"/>
            </w:pPr>
            <w:r>
              <w:lastRenderedPageBreak/>
              <w:t>Zone substation</w:t>
            </w:r>
          </w:p>
        </w:tc>
        <w:tc>
          <w:tcPr>
            <w:tcW w:w="1380" w:type="pct"/>
            <w:noWrap/>
            <w:vAlign w:val="bottom"/>
            <w:hideMark/>
          </w:tcPr>
          <w:p w:rsidR="0091620D" w:rsidRPr="0091620D" w:rsidRDefault="00DB48BF" w:rsidP="00DB48BF">
            <w:pPr>
              <w:pStyle w:val="AERtabletextright"/>
              <w:cnfStyle w:val="000000010000" w:firstRow="0" w:lastRow="0" w:firstColumn="0" w:lastColumn="0" w:oddVBand="0" w:evenVBand="0" w:oddHBand="0" w:evenHBand="1" w:firstRowFirstColumn="0" w:firstRowLastColumn="0" w:lastRowFirstColumn="0" w:lastRowLastColumn="0"/>
            </w:pPr>
            <w:r>
              <w:t>4</w:t>
            </w:r>
            <w:r w:rsidR="0091620D" w:rsidRPr="0091620D">
              <w:t>0.0</w:t>
            </w:r>
          </w:p>
        </w:tc>
        <w:tc>
          <w:tcPr>
            <w:tcW w:w="1874" w:type="pct"/>
            <w:noWrap/>
            <w:vAlign w:val="bottom"/>
            <w:hideMark/>
          </w:tcPr>
          <w:p w:rsidR="0091620D" w:rsidRPr="0091620D" w:rsidRDefault="001730B4" w:rsidP="0091620D">
            <w:pPr>
              <w:pStyle w:val="AERtabletextright"/>
              <w:cnfStyle w:val="000000010000" w:firstRow="0" w:lastRow="0" w:firstColumn="0" w:lastColumn="0" w:oddVBand="0" w:evenVBand="0" w:oddHBand="0" w:evenHBand="1" w:firstRowFirstColumn="0" w:firstRowLastColumn="0" w:lastRowFirstColumn="0" w:lastRowLastColumn="0"/>
            </w:pPr>
            <w:r>
              <w:t>37.8</w:t>
            </w:r>
          </w:p>
        </w:tc>
      </w:tr>
      <w:tr w:rsidR="0091620D" w:rsidRPr="007E333E" w:rsidTr="00132C56">
        <w:trPr>
          <w:trHeight w:val="300"/>
        </w:trPr>
        <w:tc>
          <w:tcPr>
            <w:cnfStyle w:val="001000000000" w:firstRow="0" w:lastRow="0" w:firstColumn="1" w:lastColumn="0" w:oddVBand="0" w:evenVBand="0" w:oddHBand="0" w:evenHBand="0" w:firstRowFirstColumn="0" w:firstRowLastColumn="0" w:lastRowFirstColumn="0" w:lastRowLastColumn="0"/>
            <w:tcW w:w="1746" w:type="pct"/>
            <w:noWrap/>
            <w:vAlign w:val="bottom"/>
            <w:hideMark/>
          </w:tcPr>
          <w:p w:rsidR="0091620D" w:rsidRPr="0091620D" w:rsidRDefault="00DB48BF" w:rsidP="00DB48BF">
            <w:pPr>
              <w:pStyle w:val="AERtabletextleft"/>
            </w:pPr>
            <w:r>
              <w:t>Distribution substations</w:t>
            </w:r>
          </w:p>
        </w:tc>
        <w:tc>
          <w:tcPr>
            <w:tcW w:w="1380" w:type="pct"/>
            <w:noWrap/>
            <w:vAlign w:val="bottom"/>
            <w:hideMark/>
          </w:tcPr>
          <w:p w:rsidR="0091620D" w:rsidRPr="0091620D" w:rsidRDefault="0091620D" w:rsidP="00DB48BF">
            <w:pPr>
              <w:pStyle w:val="AERtabletextright"/>
              <w:cnfStyle w:val="000000000000" w:firstRow="0" w:lastRow="0" w:firstColumn="0" w:lastColumn="0" w:oddVBand="0" w:evenVBand="0" w:oddHBand="0" w:evenHBand="0" w:firstRowFirstColumn="0" w:firstRowLastColumn="0" w:lastRowFirstColumn="0" w:lastRowLastColumn="0"/>
            </w:pPr>
            <w:r w:rsidRPr="0091620D">
              <w:t>4</w:t>
            </w:r>
            <w:r w:rsidR="00DB48BF">
              <w:t>0</w:t>
            </w:r>
            <w:r w:rsidRPr="0091620D">
              <w:t>.</w:t>
            </w:r>
            <w:r w:rsidR="00DB48BF">
              <w:t>0</w:t>
            </w:r>
          </w:p>
        </w:tc>
        <w:tc>
          <w:tcPr>
            <w:tcW w:w="1874" w:type="pct"/>
            <w:noWrap/>
            <w:vAlign w:val="bottom"/>
            <w:hideMark/>
          </w:tcPr>
          <w:p w:rsidR="0091620D" w:rsidRPr="0091620D" w:rsidRDefault="001730B4" w:rsidP="0091620D">
            <w:pPr>
              <w:pStyle w:val="AERtabletextright"/>
              <w:cnfStyle w:val="000000000000" w:firstRow="0" w:lastRow="0" w:firstColumn="0" w:lastColumn="0" w:oddVBand="0" w:evenVBand="0" w:oddHBand="0" w:evenHBand="0" w:firstRowFirstColumn="0" w:firstRowLastColumn="0" w:lastRowFirstColumn="0" w:lastRowLastColumn="0"/>
            </w:pPr>
            <w:r>
              <w:t>38.0</w:t>
            </w:r>
          </w:p>
        </w:tc>
      </w:tr>
      <w:tr w:rsidR="0091620D" w:rsidRPr="007E333E" w:rsidTr="00132C5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noWrap/>
            <w:vAlign w:val="bottom"/>
            <w:hideMark/>
          </w:tcPr>
          <w:p w:rsidR="0091620D" w:rsidRPr="0091620D" w:rsidRDefault="00DB48BF" w:rsidP="00DB48BF">
            <w:pPr>
              <w:pStyle w:val="AERtabletextleft"/>
            </w:pPr>
            <w:r>
              <w:t>Distribution overhead lines</w:t>
            </w:r>
          </w:p>
        </w:tc>
        <w:tc>
          <w:tcPr>
            <w:tcW w:w="1380" w:type="pct"/>
            <w:noWrap/>
            <w:vAlign w:val="bottom"/>
            <w:hideMark/>
          </w:tcPr>
          <w:p w:rsidR="0091620D" w:rsidRPr="0091620D" w:rsidRDefault="00DB48BF" w:rsidP="00DB48BF">
            <w:pPr>
              <w:pStyle w:val="AERtabletextright"/>
              <w:cnfStyle w:val="000000010000" w:firstRow="0" w:lastRow="0" w:firstColumn="0" w:lastColumn="0" w:oddVBand="0" w:evenVBand="0" w:oddHBand="0" w:evenHBand="1" w:firstRowFirstColumn="0" w:firstRowLastColumn="0" w:lastRowFirstColumn="0" w:lastRowLastColumn="0"/>
            </w:pPr>
            <w:r>
              <w:t>45.0</w:t>
            </w:r>
          </w:p>
        </w:tc>
        <w:tc>
          <w:tcPr>
            <w:tcW w:w="1874" w:type="pct"/>
            <w:noWrap/>
            <w:vAlign w:val="bottom"/>
            <w:hideMark/>
          </w:tcPr>
          <w:p w:rsidR="0091620D" w:rsidRPr="0091620D" w:rsidRDefault="001730B4" w:rsidP="0091620D">
            <w:pPr>
              <w:pStyle w:val="AERtabletextright"/>
              <w:cnfStyle w:val="000000010000" w:firstRow="0" w:lastRow="0" w:firstColumn="0" w:lastColumn="0" w:oddVBand="0" w:evenVBand="0" w:oddHBand="0" w:evenHBand="1" w:firstRowFirstColumn="0" w:firstRowLastColumn="0" w:lastRowFirstColumn="0" w:lastRowLastColumn="0"/>
            </w:pPr>
            <w:r>
              <w:t>42.9</w:t>
            </w:r>
          </w:p>
        </w:tc>
      </w:tr>
      <w:tr w:rsidR="0091620D" w:rsidRPr="007E333E" w:rsidTr="00132C56">
        <w:trPr>
          <w:trHeight w:val="300"/>
        </w:trPr>
        <w:tc>
          <w:tcPr>
            <w:cnfStyle w:val="001000000000" w:firstRow="0" w:lastRow="0" w:firstColumn="1" w:lastColumn="0" w:oddVBand="0" w:evenVBand="0" w:oddHBand="0" w:evenHBand="0" w:firstRowFirstColumn="0" w:firstRowLastColumn="0" w:lastRowFirstColumn="0" w:lastRowLastColumn="0"/>
            <w:tcW w:w="1746" w:type="pct"/>
            <w:noWrap/>
            <w:vAlign w:val="bottom"/>
            <w:hideMark/>
          </w:tcPr>
          <w:p w:rsidR="0091620D" w:rsidRPr="0091620D" w:rsidRDefault="00DB48BF" w:rsidP="00DB48BF">
            <w:pPr>
              <w:pStyle w:val="AERtabletextleft"/>
            </w:pPr>
            <w:r>
              <w:t>Distribution underground lines</w:t>
            </w:r>
          </w:p>
        </w:tc>
        <w:tc>
          <w:tcPr>
            <w:tcW w:w="1380" w:type="pct"/>
            <w:noWrap/>
            <w:vAlign w:val="bottom"/>
            <w:hideMark/>
          </w:tcPr>
          <w:p w:rsidR="0091620D" w:rsidRPr="0091620D" w:rsidRDefault="00DB48BF" w:rsidP="00DB48BF">
            <w:pPr>
              <w:pStyle w:val="AERtabletextright"/>
              <w:cnfStyle w:val="000000000000" w:firstRow="0" w:lastRow="0" w:firstColumn="0" w:lastColumn="0" w:oddVBand="0" w:evenVBand="0" w:oddHBand="0" w:evenHBand="0" w:firstRowFirstColumn="0" w:firstRowLastColumn="0" w:lastRowFirstColumn="0" w:lastRowLastColumn="0"/>
            </w:pPr>
            <w:r>
              <w:t>50.0</w:t>
            </w:r>
          </w:p>
        </w:tc>
        <w:tc>
          <w:tcPr>
            <w:tcW w:w="1874" w:type="pct"/>
            <w:noWrap/>
            <w:vAlign w:val="bottom"/>
            <w:hideMark/>
          </w:tcPr>
          <w:p w:rsidR="0091620D" w:rsidRPr="0091620D" w:rsidRDefault="001730B4" w:rsidP="0091620D">
            <w:pPr>
              <w:pStyle w:val="AERtabletextright"/>
              <w:cnfStyle w:val="000000000000" w:firstRow="0" w:lastRow="0" w:firstColumn="0" w:lastColumn="0" w:oddVBand="0" w:evenVBand="0" w:oddHBand="0" w:evenHBand="0" w:firstRowFirstColumn="0" w:firstRowLastColumn="0" w:lastRowFirstColumn="0" w:lastRowLastColumn="0"/>
            </w:pPr>
            <w:r>
              <w:t>47.9</w:t>
            </w:r>
          </w:p>
        </w:tc>
      </w:tr>
      <w:tr w:rsidR="0091620D" w:rsidRPr="007E333E" w:rsidTr="00132C5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noWrap/>
            <w:vAlign w:val="bottom"/>
            <w:hideMark/>
          </w:tcPr>
          <w:p w:rsidR="0091620D" w:rsidRPr="0091620D" w:rsidRDefault="00DB48BF" w:rsidP="00DB48BF">
            <w:pPr>
              <w:pStyle w:val="AERtabletextleft"/>
            </w:pPr>
            <w:r>
              <w:t>IT &amp; Communication systems (</w:t>
            </w:r>
            <w:r w:rsidR="00990406">
              <w:t>n</w:t>
            </w:r>
            <w:r>
              <w:t>etworks)</w:t>
            </w:r>
          </w:p>
        </w:tc>
        <w:tc>
          <w:tcPr>
            <w:tcW w:w="1380" w:type="pct"/>
            <w:noWrap/>
            <w:vAlign w:val="bottom"/>
            <w:hideMark/>
          </w:tcPr>
          <w:p w:rsidR="0091620D" w:rsidRPr="0091620D" w:rsidRDefault="00DB48BF" w:rsidP="00DB48BF">
            <w:pPr>
              <w:pStyle w:val="AERtabletextright"/>
              <w:cnfStyle w:val="000000010000" w:firstRow="0" w:lastRow="0" w:firstColumn="0" w:lastColumn="0" w:oddVBand="0" w:evenVBand="0" w:oddHBand="0" w:evenHBand="1" w:firstRowFirstColumn="0" w:firstRowLastColumn="0" w:lastRowFirstColumn="0" w:lastRowLastColumn="0"/>
            </w:pPr>
            <w:r>
              <w:t>10.0</w:t>
            </w:r>
          </w:p>
        </w:tc>
        <w:tc>
          <w:tcPr>
            <w:tcW w:w="1874" w:type="pct"/>
            <w:noWrap/>
            <w:vAlign w:val="bottom"/>
            <w:hideMark/>
          </w:tcPr>
          <w:p w:rsidR="0091620D" w:rsidRPr="0091620D" w:rsidRDefault="001730B4" w:rsidP="0091620D">
            <w:pPr>
              <w:pStyle w:val="AERtabletextright"/>
              <w:cnfStyle w:val="000000010000" w:firstRow="0" w:lastRow="0" w:firstColumn="0" w:lastColumn="0" w:oddVBand="0" w:evenVBand="0" w:oddHBand="0" w:evenHBand="1" w:firstRowFirstColumn="0" w:firstRowLastColumn="0" w:lastRowFirstColumn="0" w:lastRowLastColumn="0"/>
            </w:pPr>
            <w:r>
              <w:t>9.4</w:t>
            </w:r>
          </w:p>
        </w:tc>
      </w:tr>
      <w:tr w:rsidR="0091620D" w:rsidRPr="007E333E" w:rsidTr="00132C56">
        <w:trPr>
          <w:trHeight w:val="300"/>
        </w:trPr>
        <w:tc>
          <w:tcPr>
            <w:cnfStyle w:val="001000000000" w:firstRow="0" w:lastRow="0" w:firstColumn="1" w:lastColumn="0" w:oddVBand="0" w:evenVBand="0" w:oddHBand="0" w:evenHBand="0" w:firstRowFirstColumn="0" w:firstRowLastColumn="0" w:lastRowFirstColumn="0" w:lastRowLastColumn="0"/>
            <w:tcW w:w="1746" w:type="pct"/>
            <w:noWrap/>
            <w:vAlign w:val="bottom"/>
            <w:hideMark/>
          </w:tcPr>
          <w:p w:rsidR="0091620D" w:rsidRPr="0091620D" w:rsidRDefault="00DB48BF" w:rsidP="00DB48BF">
            <w:pPr>
              <w:pStyle w:val="AERtabletextleft"/>
            </w:pPr>
            <w:r>
              <w:t>Motor vehicles</w:t>
            </w:r>
          </w:p>
        </w:tc>
        <w:tc>
          <w:tcPr>
            <w:tcW w:w="1380" w:type="pct"/>
            <w:noWrap/>
            <w:vAlign w:val="bottom"/>
            <w:hideMark/>
          </w:tcPr>
          <w:p w:rsidR="0091620D" w:rsidRPr="0091620D" w:rsidRDefault="00DB48BF" w:rsidP="0091620D">
            <w:pPr>
              <w:pStyle w:val="AERtabletextright"/>
              <w:cnfStyle w:val="000000000000" w:firstRow="0" w:lastRow="0" w:firstColumn="0" w:lastColumn="0" w:oddVBand="0" w:evenVBand="0" w:oddHBand="0" w:evenHBand="0" w:firstRowFirstColumn="0" w:firstRowLastColumn="0" w:lastRowFirstColumn="0" w:lastRowLastColumn="0"/>
            </w:pPr>
            <w:r>
              <w:t>8.0</w:t>
            </w:r>
          </w:p>
        </w:tc>
        <w:tc>
          <w:tcPr>
            <w:tcW w:w="1874" w:type="pct"/>
            <w:noWrap/>
            <w:vAlign w:val="bottom"/>
            <w:hideMark/>
          </w:tcPr>
          <w:p w:rsidR="0091620D" w:rsidRPr="0091620D" w:rsidRDefault="001730B4" w:rsidP="0091620D">
            <w:pPr>
              <w:pStyle w:val="AERtabletextright"/>
              <w:cnfStyle w:val="000000000000" w:firstRow="0" w:lastRow="0" w:firstColumn="0" w:lastColumn="0" w:oddVBand="0" w:evenVBand="0" w:oddHBand="0" w:evenHBand="0" w:firstRowFirstColumn="0" w:firstRowLastColumn="0" w:lastRowFirstColumn="0" w:lastRowLastColumn="0"/>
            </w:pPr>
            <w:r>
              <w:t>7.2</w:t>
            </w:r>
          </w:p>
        </w:tc>
      </w:tr>
      <w:tr w:rsidR="0091620D" w:rsidRPr="007E333E" w:rsidTr="00132C5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noWrap/>
            <w:vAlign w:val="bottom"/>
            <w:hideMark/>
          </w:tcPr>
          <w:p w:rsidR="0091620D" w:rsidRPr="0091620D" w:rsidRDefault="00DB48BF" w:rsidP="00DB48BF">
            <w:pPr>
              <w:pStyle w:val="AERtabletextleft"/>
            </w:pPr>
            <w:r>
              <w:t>Other non-system assets (</w:t>
            </w:r>
            <w:r w:rsidR="00990406">
              <w:t>n</w:t>
            </w:r>
            <w:r>
              <w:t>etworks)</w:t>
            </w:r>
          </w:p>
        </w:tc>
        <w:tc>
          <w:tcPr>
            <w:tcW w:w="1380" w:type="pct"/>
            <w:noWrap/>
            <w:vAlign w:val="bottom"/>
            <w:hideMark/>
          </w:tcPr>
          <w:p w:rsidR="0091620D" w:rsidRPr="0091620D" w:rsidRDefault="00DB48BF" w:rsidP="00DB48BF">
            <w:pPr>
              <w:pStyle w:val="AERtabletextright"/>
              <w:cnfStyle w:val="000000010000" w:firstRow="0" w:lastRow="0" w:firstColumn="0" w:lastColumn="0" w:oddVBand="0" w:evenVBand="0" w:oddHBand="0" w:evenHBand="1" w:firstRowFirstColumn="0" w:firstRowLastColumn="0" w:lastRowFirstColumn="0" w:lastRowLastColumn="0"/>
            </w:pPr>
            <w:r>
              <w:t>5.8</w:t>
            </w:r>
          </w:p>
        </w:tc>
        <w:tc>
          <w:tcPr>
            <w:tcW w:w="1874" w:type="pct"/>
            <w:noWrap/>
            <w:vAlign w:val="bottom"/>
            <w:hideMark/>
          </w:tcPr>
          <w:p w:rsidR="0091620D" w:rsidRPr="0091620D" w:rsidRDefault="001730B4" w:rsidP="0091620D">
            <w:pPr>
              <w:pStyle w:val="AERtabletextright"/>
              <w:cnfStyle w:val="000000010000" w:firstRow="0" w:lastRow="0" w:firstColumn="0" w:lastColumn="0" w:oddVBand="0" w:evenVBand="0" w:oddHBand="0" w:evenHBand="1" w:firstRowFirstColumn="0" w:firstRowLastColumn="0" w:lastRowFirstColumn="0" w:lastRowLastColumn="0"/>
            </w:pPr>
            <w:r>
              <w:t>3.6</w:t>
            </w:r>
          </w:p>
        </w:tc>
      </w:tr>
      <w:tr w:rsidR="0091620D" w:rsidRPr="007E333E" w:rsidTr="00132C56">
        <w:trPr>
          <w:trHeight w:val="300"/>
        </w:trPr>
        <w:tc>
          <w:tcPr>
            <w:cnfStyle w:val="001000000000" w:firstRow="0" w:lastRow="0" w:firstColumn="1" w:lastColumn="0" w:oddVBand="0" w:evenVBand="0" w:oddHBand="0" w:evenHBand="0" w:firstRowFirstColumn="0" w:firstRowLastColumn="0" w:lastRowFirstColumn="0" w:lastRowLastColumn="0"/>
            <w:tcW w:w="1746" w:type="pct"/>
            <w:noWrap/>
            <w:vAlign w:val="bottom"/>
            <w:hideMark/>
          </w:tcPr>
          <w:p w:rsidR="0091620D" w:rsidRPr="0091620D" w:rsidRDefault="00DB48BF" w:rsidP="00DB48BF">
            <w:pPr>
              <w:pStyle w:val="AERtabletextleft"/>
            </w:pPr>
            <w:r>
              <w:t>IT systems (</w:t>
            </w:r>
            <w:r w:rsidR="00990406">
              <w:t>c</w:t>
            </w:r>
            <w:r>
              <w:t>orporate)</w:t>
            </w:r>
          </w:p>
        </w:tc>
        <w:tc>
          <w:tcPr>
            <w:tcW w:w="1380" w:type="pct"/>
            <w:noWrap/>
            <w:vAlign w:val="bottom"/>
            <w:hideMark/>
          </w:tcPr>
          <w:p w:rsidR="0091620D" w:rsidRPr="0091620D" w:rsidRDefault="00DB48BF" w:rsidP="0091620D">
            <w:pPr>
              <w:pStyle w:val="AERtabletextright"/>
              <w:cnfStyle w:val="000000000000" w:firstRow="0" w:lastRow="0" w:firstColumn="0" w:lastColumn="0" w:oddVBand="0" w:evenVBand="0" w:oddHBand="0" w:evenHBand="0" w:firstRowFirstColumn="0" w:firstRowLastColumn="0" w:lastRowFirstColumn="0" w:lastRowLastColumn="0"/>
            </w:pPr>
            <w:r>
              <w:t>4.1</w:t>
            </w:r>
          </w:p>
        </w:tc>
        <w:tc>
          <w:tcPr>
            <w:tcW w:w="1874" w:type="pct"/>
            <w:noWrap/>
            <w:vAlign w:val="bottom"/>
            <w:hideMark/>
          </w:tcPr>
          <w:p w:rsidR="0091620D" w:rsidRPr="0091620D" w:rsidRDefault="001730B4" w:rsidP="0091620D">
            <w:pPr>
              <w:pStyle w:val="AERtabletextright"/>
              <w:cnfStyle w:val="000000000000" w:firstRow="0" w:lastRow="0" w:firstColumn="0" w:lastColumn="0" w:oddVBand="0" w:evenVBand="0" w:oddHBand="0" w:evenHBand="0" w:firstRowFirstColumn="0" w:firstRowLastColumn="0" w:lastRowFirstColumn="0" w:lastRowLastColumn="0"/>
            </w:pPr>
            <w:r>
              <w:t>3.3</w:t>
            </w:r>
          </w:p>
        </w:tc>
      </w:tr>
      <w:tr w:rsidR="0091620D" w:rsidRPr="007E333E" w:rsidTr="00132C5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noWrap/>
            <w:vAlign w:val="bottom"/>
            <w:hideMark/>
          </w:tcPr>
          <w:p w:rsidR="0091620D" w:rsidRPr="0091620D" w:rsidRDefault="00DB48BF" w:rsidP="00DB48BF">
            <w:pPr>
              <w:pStyle w:val="AERtabletextleft"/>
            </w:pPr>
            <w:r>
              <w:t>Telec</w:t>
            </w:r>
            <w:r w:rsidR="0091620D" w:rsidRPr="0091620D">
              <w:t>ommunication</w:t>
            </w:r>
            <w:r>
              <w:t>s (</w:t>
            </w:r>
            <w:r w:rsidR="00990406">
              <w:t>c</w:t>
            </w:r>
            <w:r>
              <w:t>orporate)</w:t>
            </w:r>
          </w:p>
        </w:tc>
        <w:tc>
          <w:tcPr>
            <w:tcW w:w="1380" w:type="pct"/>
            <w:noWrap/>
            <w:vAlign w:val="bottom"/>
            <w:hideMark/>
          </w:tcPr>
          <w:p w:rsidR="0091620D" w:rsidRPr="0091620D" w:rsidRDefault="00DB48BF" w:rsidP="0091620D">
            <w:pPr>
              <w:pStyle w:val="AERtabletextright"/>
              <w:cnfStyle w:val="000000010000" w:firstRow="0" w:lastRow="0" w:firstColumn="0" w:lastColumn="0" w:oddVBand="0" w:evenVBand="0" w:oddHBand="0" w:evenHBand="1" w:firstRowFirstColumn="0" w:firstRowLastColumn="0" w:lastRowFirstColumn="0" w:lastRowLastColumn="0"/>
            </w:pPr>
            <w:r>
              <w:t>6.7</w:t>
            </w:r>
          </w:p>
        </w:tc>
        <w:tc>
          <w:tcPr>
            <w:tcW w:w="1874" w:type="pct"/>
            <w:noWrap/>
            <w:vAlign w:val="bottom"/>
            <w:hideMark/>
          </w:tcPr>
          <w:p w:rsidR="0091620D" w:rsidRPr="0091620D" w:rsidRDefault="001730B4" w:rsidP="0091620D">
            <w:pPr>
              <w:pStyle w:val="AERtabletextright"/>
              <w:cnfStyle w:val="000000010000" w:firstRow="0" w:lastRow="0" w:firstColumn="0" w:lastColumn="0" w:oddVBand="0" w:evenVBand="0" w:oddHBand="0" w:evenHBand="1" w:firstRowFirstColumn="0" w:firstRowLastColumn="0" w:lastRowFirstColumn="0" w:lastRowLastColumn="0"/>
            </w:pPr>
            <w:r>
              <w:t>3.4</w:t>
            </w:r>
          </w:p>
        </w:tc>
      </w:tr>
      <w:tr w:rsidR="0091620D" w:rsidRPr="007E333E" w:rsidTr="00132C56">
        <w:trPr>
          <w:trHeight w:val="300"/>
        </w:trPr>
        <w:tc>
          <w:tcPr>
            <w:cnfStyle w:val="001000000000" w:firstRow="0" w:lastRow="0" w:firstColumn="1" w:lastColumn="0" w:oddVBand="0" w:evenVBand="0" w:oddHBand="0" w:evenHBand="0" w:firstRowFirstColumn="0" w:firstRowLastColumn="0" w:lastRowFirstColumn="0" w:lastRowLastColumn="0"/>
            <w:tcW w:w="1746" w:type="pct"/>
            <w:noWrap/>
            <w:vAlign w:val="bottom"/>
            <w:hideMark/>
          </w:tcPr>
          <w:p w:rsidR="0091620D" w:rsidRPr="0091620D" w:rsidRDefault="00DB48BF" w:rsidP="00990406">
            <w:pPr>
              <w:pStyle w:val="AERtabletextleft"/>
            </w:pPr>
            <w:r>
              <w:t>Other non-system assets (</w:t>
            </w:r>
            <w:r w:rsidR="00990406">
              <w:t>c</w:t>
            </w:r>
            <w:r>
              <w:t>orporate)</w:t>
            </w:r>
          </w:p>
        </w:tc>
        <w:tc>
          <w:tcPr>
            <w:tcW w:w="1380" w:type="pct"/>
            <w:noWrap/>
            <w:vAlign w:val="bottom"/>
            <w:hideMark/>
          </w:tcPr>
          <w:p w:rsidR="0091620D" w:rsidRPr="0091620D" w:rsidRDefault="00DB48BF" w:rsidP="0091620D">
            <w:pPr>
              <w:pStyle w:val="AERtabletextright"/>
              <w:cnfStyle w:val="000000000000" w:firstRow="0" w:lastRow="0" w:firstColumn="0" w:lastColumn="0" w:oddVBand="0" w:evenVBand="0" w:oddHBand="0" w:evenHBand="0" w:firstRowFirstColumn="0" w:firstRowLastColumn="0" w:lastRowFirstColumn="0" w:lastRowLastColumn="0"/>
            </w:pPr>
            <w:r>
              <w:t>5.7</w:t>
            </w:r>
          </w:p>
        </w:tc>
        <w:tc>
          <w:tcPr>
            <w:tcW w:w="1874" w:type="pct"/>
            <w:noWrap/>
            <w:vAlign w:val="bottom"/>
            <w:hideMark/>
          </w:tcPr>
          <w:p w:rsidR="0091620D" w:rsidRPr="0091620D" w:rsidRDefault="001730B4" w:rsidP="0091620D">
            <w:pPr>
              <w:pStyle w:val="AERtabletextright"/>
              <w:cnfStyle w:val="000000000000" w:firstRow="0" w:lastRow="0" w:firstColumn="0" w:lastColumn="0" w:oddVBand="0" w:evenVBand="0" w:oddHBand="0" w:evenHBand="0" w:firstRowFirstColumn="0" w:firstRowLastColumn="0" w:lastRowFirstColumn="0" w:lastRowLastColumn="0"/>
            </w:pPr>
            <w:r>
              <w:t>2.9</w:t>
            </w:r>
          </w:p>
        </w:tc>
      </w:tr>
      <w:tr w:rsidR="0091620D" w:rsidRPr="007E333E" w:rsidTr="00132C5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noWrap/>
            <w:vAlign w:val="bottom"/>
            <w:hideMark/>
          </w:tcPr>
          <w:p w:rsidR="0091620D" w:rsidRPr="0091620D" w:rsidRDefault="00DB48BF" w:rsidP="0091620D">
            <w:pPr>
              <w:pStyle w:val="AERtabletextleft"/>
            </w:pPr>
            <w:r>
              <w:t>Land</w:t>
            </w:r>
          </w:p>
        </w:tc>
        <w:tc>
          <w:tcPr>
            <w:tcW w:w="1380" w:type="pct"/>
            <w:noWrap/>
            <w:vAlign w:val="bottom"/>
            <w:hideMark/>
          </w:tcPr>
          <w:p w:rsidR="0091620D" w:rsidRPr="0091620D" w:rsidRDefault="00DB48BF" w:rsidP="0091620D">
            <w:pPr>
              <w:pStyle w:val="AERtabletextright"/>
              <w:cnfStyle w:val="000000010000" w:firstRow="0" w:lastRow="0" w:firstColumn="0" w:lastColumn="0" w:oddVBand="0" w:evenVBand="0" w:oddHBand="0" w:evenHBand="1" w:firstRowFirstColumn="0" w:firstRowLastColumn="0" w:lastRowFirstColumn="0" w:lastRowLastColumn="0"/>
            </w:pPr>
            <w:r>
              <w:t>n/a</w:t>
            </w:r>
          </w:p>
        </w:tc>
        <w:tc>
          <w:tcPr>
            <w:tcW w:w="1874" w:type="pct"/>
            <w:noWrap/>
            <w:vAlign w:val="bottom"/>
            <w:hideMark/>
          </w:tcPr>
          <w:p w:rsidR="0091620D" w:rsidRPr="0091620D" w:rsidRDefault="00DB48BF" w:rsidP="0091620D">
            <w:pPr>
              <w:pStyle w:val="AERtabletextright"/>
              <w:cnfStyle w:val="000000010000" w:firstRow="0" w:lastRow="0" w:firstColumn="0" w:lastColumn="0" w:oddVBand="0" w:evenVBand="0" w:oddHBand="0" w:evenHBand="1" w:firstRowFirstColumn="0" w:firstRowLastColumn="0" w:lastRowFirstColumn="0" w:lastRowLastColumn="0"/>
            </w:pPr>
            <w:r>
              <w:t>n/a</w:t>
            </w:r>
          </w:p>
        </w:tc>
      </w:tr>
      <w:tr w:rsidR="0091620D" w:rsidRPr="007E333E" w:rsidTr="00132C56">
        <w:trPr>
          <w:trHeight w:val="300"/>
        </w:trPr>
        <w:tc>
          <w:tcPr>
            <w:cnfStyle w:val="001000000000" w:firstRow="0" w:lastRow="0" w:firstColumn="1" w:lastColumn="0" w:oddVBand="0" w:evenVBand="0" w:oddHBand="0" w:evenHBand="0" w:firstRowFirstColumn="0" w:firstRowLastColumn="0" w:lastRowFirstColumn="0" w:lastRowLastColumn="0"/>
            <w:tcW w:w="1746" w:type="pct"/>
            <w:noWrap/>
            <w:vAlign w:val="bottom"/>
            <w:hideMark/>
          </w:tcPr>
          <w:p w:rsidR="0091620D" w:rsidRPr="0091620D" w:rsidRDefault="0091620D" w:rsidP="0091620D">
            <w:pPr>
              <w:pStyle w:val="AERtabletextleft"/>
            </w:pPr>
            <w:r w:rsidRPr="0091620D">
              <w:t>Buildings</w:t>
            </w:r>
          </w:p>
        </w:tc>
        <w:tc>
          <w:tcPr>
            <w:tcW w:w="1380" w:type="pct"/>
            <w:noWrap/>
            <w:vAlign w:val="bottom"/>
            <w:hideMark/>
          </w:tcPr>
          <w:p w:rsidR="0091620D" w:rsidRPr="0091620D" w:rsidRDefault="00DB48BF" w:rsidP="0091620D">
            <w:pPr>
              <w:pStyle w:val="AERtabletextright"/>
              <w:cnfStyle w:val="000000000000" w:firstRow="0" w:lastRow="0" w:firstColumn="0" w:lastColumn="0" w:oddVBand="0" w:evenVBand="0" w:oddHBand="0" w:evenHBand="0" w:firstRowFirstColumn="0" w:firstRowLastColumn="0" w:lastRowFirstColumn="0" w:lastRowLastColumn="0"/>
            </w:pPr>
            <w:r>
              <w:t>100.0</w:t>
            </w:r>
          </w:p>
        </w:tc>
        <w:tc>
          <w:tcPr>
            <w:tcW w:w="1874" w:type="pct"/>
            <w:noWrap/>
            <w:vAlign w:val="bottom"/>
            <w:hideMark/>
          </w:tcPr>
          <w:p w:rsidR="0091620D" w:rsidRPr="0091620D" w:rsidRDefault="001730B4" w:rsidP="0091620D">
            <w:pPr>
              <w:pStyle w:val="AERtabletextright"/>
              <w:cnfStyle w:val="000000000000" w:firstRow="0" w:lastRow="0" w:firstColumn="0" w:lastColumn="0" w:oddVBand="0" w:evenVBand="0" w:oddHBand="0" w:evenHBand="0" w:firstRowFirstColumn="0" w:firstRowLastColumn="0" w:lastRowFirstColumn="0" w:lastRowLastColumn="0"/>
            </w:pPr>
            <w:r>
              <w:t>97.1</w:t>
            </w:r>
          </w:p>
        </w:tc>
      </w:tr>
      <w:tr w:rsidR="0091620D" w:rsidRPr="007E333E" w:rsidTr="00132C5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noWrap/>
            <w:vAlign w:val="bottom"/>
            <w:hideMark/>
          </w:tcPr>
          <w:p w:rsidR="0091620D" w:rsidRPr="0091620D" w:rsidRDefault="00DB48BF" w:rsidP="00DB48BF">
            <w:pPr>
              <w:pStyle w:val="AERtabletextleft"/>
            </w:pPr>
            <w:r>
              <w:t>Equity raising costs</w:t>
            </w:r>
          </w:p>
        </w:tc>
        <w:tc>
          <w:tcPr>
            <w:tcW w:w="1380" w:type="pct"/>
            <w:noWrap/>
            <w:vAlign w:val="bottom"/>
            <w:hideMark/>
          </w:tcPr>
          <w:p w:rsidR="0091620D" w:rsidRPr="0091620D" w:rsidRDefault="00DB48BF" w:rsidP="0091620D">
            <w:pPr>
              <w:pStyle w:val="AERtabletextright"/>
              <w:cnfStyle w:val="000000010000" w:firstRow="0" w:lastRow="0" w:firstColumn="0" w:lastColumn="0" w:oddVBand="0" w:evenVBand="0" w:oddHBand="0" w:evenHBand="1" w:firstRowFirstColumn="0" w:firstRowLastColumn="0" w:lastRowFirstColumn="0" w:lastRowLastColumn="0"/>
            </w:pPr>
            <w:r>
              <w:t>5.0</w:t>
            </w:r>
          </w:p>
        </w:tc>
        <w:tc>
          <w:tcPr>
            <w:tcW w:w="1874" w:type="pct"/>
            <w:noWrap/>
            <w:vAlign w:val="bottom"/>
            <w:hideMark/>
          </w:tcPr>
          <w:p w:rsidR="0091620D" w:rsidRPr="0091620D" w:rsidRDefault="00DB48BF" w:rsidP="0091620D">
            <w:pPr>
              <w:pStyle w:val="AERtabletextright"/>
              <w:cnfStyle w:val="000000010000" w:firstRow="0" w:lastRow="0" w:firstColumn="0" w:lastColumn="0" w:oddVBand="0" w:evenVBand="0" w:oddHBand="0" w:evenHBand="1" w:firstRowFirstColumn="0" w:firstRowLastColumn="0" w:lastRowFirstColumn="0" w:lastRowLastColumn="0"/>
            </w:pPr>
            <w:r>
              <w:t>40.5</w:t>
            </w:r>
          </w:p>
        </w:tc>
      </w:tr>
    </w:tbl>
    <w:p w:rsidR="007E333E" w:rsidRPr="007E333E" w:rsidRDefault="007E333E" w:rsidP="007E333E">
      <w:pPr>
        <w:pStyle w:val="AERtablesource"/>
      </w:pPr>
      <w:r w:rsidRPr="007E333E">
        <w:t>Source:</w:t>
      </w:r>
      <w:r w:rsidRPr="007E333E">
        <w:tab/>
        <w:t xml:space="preserve">AER analysis. </w:t>
      </w:r>
    </w:p>
    <w:p w:rsidR="000E3C91" w:rsidRDefault="007E333E" w:rsidP="007E333E">
      <w:pPr>
        <w:pStyle w:val="AERtablesource"/>
      </w:pPr>
      <w:r w:rsidRPr="007E333E">
        <w:t xml:space="preserve">n/a: </w:t>
      </w:r>
      <w:r w:rsidRPr="007E333E">
        <w:tab/>
        <w:t>not applicable.</w:t>
      </w:r>
    </w:p>
    <w:p w:rsidR="000E3C91" w:rsidRDefault="000E3C91" w:rsidP="000E3C91">
      <w:pPr>
        <w:pStyle w:val="Caption"/>
      </w:pPr>
      <w:bookmarkStart w:id="29" w:name="_Ref395101276"/>
      <w:bookmarkStart w:id="30" w:name="_Ref398548437"/>
      <w:r>
        <w:t xml:space="preserve">Table </w:t>
      </w:r>
      <w:fldSimple w:instr=" STYLEREF 1 \s ">
        <w:r w:rsidR="00914556">
          <w:rPr>
            <w:noProof/>
          </w:rPr>
          <w:t>8</w:t>
        </w:r>
      </w:fldSimple>
      <w:r w:rsidR="00E30AEF">
        <w:t>.</w:t>
      </w:r>
      <w:fldSimple w:instr=" SEQ Table \* ARABIC \s 1 ">
        <w:r w:rsidR="00914556">
          <w:rPr>
            <w:noProof/>
          </w:rPr>
          <w:t>8</w:t>
        </w:r>
      </w:fldSimple>
      <w:bookmarkEnd w:id="29"/>
      <w:bookmarkEnd w:id="30"/>
      <w:r>
        <w:tab/>
      </w:r>
      <w:r w:rsidRPr="00DE1345">
        <w:t xml:space="preserve">AER's draft decision on </w:t>
      </w:r>
      <w:r w:rsidR="00836DC2">
        <w:t>ActewAGL's</w:t>
      </w:r>
      <w:r w:rsidRPr="00DE1345">
        <w:t xml:space="preserve"> standard </w:t>
      </w:r>
      <w:r>
        <w:t xml:space="preserve">and remaining tax </w:t>
      </w:r>
      <w:r w:rsidRPr="00DE1345">
        <w:t>asset lives (years)</w:t>
      </w:r>
      <w:r w:rsidR="00836DC2">
        <w:t xml:space="preserve"> </w:t>
      </w:r>
      <w:r w:rsidR="000D1F0A">
        <w:t>–</w:t>
      </w:r>
      <w:r w:rsidR="00836DC2">
        <w:t xml:space="preserve"> </w:t>
      </w:r>
      <w:r w:rsidR="009E3C5F">
        <w:t>t</w:t>
      </w:r>
      <w:r w:rsidR="00836DC2">
        <w:t>ransmission</w:t>
      </w:r>
    </w:p>
    <w:tbl>
      <w:tblPr>
        <w:tblStyle w:val="AERtable-numbers"/>
        <w:tblW w:w="5000" w:type="pct"/>
        <w:tblLayout w:type="fixed"/>
        <w:tblLook w:val="04A0" w:firstRow="1" w:lastRow="0" w:firstColumn="1" w:lastColumn="0" w:noHBand="0" w:noVBand="1"/>
      </w:tblPr>
      <w:tblGrid>
        <w:gridCol w:w="3227"/>
        <w:gridCol w:w="2551"/>
        <w:gridCol w:w="3464"/>
      </w:tblGrid>
      <w:tr w:rsidR="007E333E" w:rsidRPr="007E333E" w:rsidTr="00132C5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7E333E" w:rsidRPr="007E333E" w:rsidRDefault="007E333E" w:rsidP="007E333E">
            <w:pPr>
              <w:pStyle w:val="AERtabletextleft"/>
            </w:pPr>
            <w:r w:rsidRPr="007E333E">
              <w:t>Asset class</w:t>
            </w:r>
          </w:p>
        </w:tc>
        <w:tc>
          <w:tcPr>
            <w:tcW w:w="1380" w:type="pct"/>
            <w:noWrap/>
            <w:hideMark/>
          </w:tcPr>
          <w:p w:rsidR="007E333E" w:rsidRPr="007E333E" w:rsidRDefault="007E333E" w:rsidP="007E333E">
            <w:pPr>
              <w:pStyle w:val="AERtabletextright"/>
              <w:cnfStyle w:val="100000000000" w:firstRow="1" w:lastRow="0" w:firstColumn="0" w:lastColumn="0" w:oddVBand="0" w:evenVBand="0" w:oddHBand="0" w:evenHBand="0" w:firstRowFirstColumn="0" w:firstRowLastColumn="0" w:lastRowFirstColumn="0" w:lastRowLastColumn="0"/>
            </w:pPr>
            <w:r w:rsidRPr="007E333E">
              <w:t xml:space="preserve">Standard tax asset life </w:t>
            </w:r>
          </w:p>
        </w:tc>
        <w:tc>
          <w:tcPr>
            <w:tcW w:w="1874" w:type="pct"/>
            <w:noWrap/>
            <w:hideMark/>
          </w:tcPr>
          <w:p w:rsidR="007E333E" w:rsidRPr="007E333E" w:rsidRDefault="007E333E" w:rsidP="007E333E">
            <w:pPr>
              <w:pStyle w:val="AERtabletextright"/>
              <w:cnfStyle w:val="100000000000" w:firstRow="1" w:lastRow="0" w:firstColumn="0" w:lastColumn="0" w:oddVBand="0" w:evenVBand="0" w:oddHBand="0" w:evenHBand="0" w:firstRowFirstColumn="0" w:firstRowLastColumn="0" w:lastRowFirstColumn="0" w:lastRowLastColumn="0"/>
            </w:pPr>
            <w:r w:rsidRPr="007E333E">
              <w:t xml:space="preserve">Remaining tax asset life as at 1 July 2014 </w:t>
            </w:r>
          </w:p>
        </w:tc>
      </w:tr>
      <w:tr w:rsidR="0091620D" w:rsidRPr="007E333E" w:rsidTr="00132C56">
        <w:trPr>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91620D" w:rsidRPr="0091620D" w:rsidRDefault="00DB48BF" w:rsidP="00DB48BF">
            <w:pPr>
              <w:pStyle w:val="AERtabletextleft"/>
            </w:pPr>
            <w:r>
              <w:t>Opening distribution assets</w:t>
            </w:r>
          </w:p>
        </w:tc>
        <w:tc>
          <w:tcPr>
            <w:tcW w:w="1380" w:type="pct"/>
            <w:noWrap/>
            <w:vAlign w:val="bottom"/>
            <w:hideMark/>
          </w:tcPr>
          <w:p w:rsidR="0091620D" w:rsidRPr="0091620D" w:rsidRDefault="00714D4C" w:rsidP="00714D4C">
            <w:pPr>
              <w:pStyle w:val="AERtabletextright"/>
              <w:cnfStyle w:val="000000000000" w:firstRow="0" w:lastRow="0" w:firstColumn="0" w:lastColumn="0" w:oddVBand="0" w:evenVBand="0" w:oddHBand="0" w:evenHBand="0" w:firstRowFirstColumn="0" w:firstRowLastColumn="0" w:lastRowFirstColumn="0" w:lastRowLastColumn="0"/>
            </w:pPr>
            <w:r>
              <w:t>44.6</w:t>
            </w:r>
          </w:p>
        </w:tc>
        <w:tc>
          <w:tcPr>
            <w:tcW w:w="1874" w:type="pct"/>
            <w:noWrap/>
            <w:vAlign w:val="bottom"/>
            <w:hideMark/>
          </w:tcPr>
          <w:p w:rsidR="0091620D" w:rsidRPr="0091620D" w:rsidRDefault="002428A5" w:rsidP="002428A5">
            <w:pPr>
              <w:pStyle w:val="AERtabletextright"/>
              <w:cnfStyle w:val="000000000000" w:firstRow="0" w:lastRow="0" w:firstColumn="0" w:lastColumn="0" w:oddVBand="0" w:evenVBand="0" w:oddHBand="0" w:evenHBand="0" w:firstRowFirstColumn="0" w:firstRowLastColumn="0" w:lastRowFirstColumn="0" w:lastRowLastColumn="0"/>
            </w:pPr>
            <w:r>
              <w:t>18.6</w:t>
            </w:r>
          </w:p>
        </w:tc>
      </w:tr>
      <w:tr w:rsidR="0091620D" w:rsidRPr="007E333E" w:rsidTr="00132C5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91620D" w:rsidRPr="0091620D" w:rsidRDefault="00DB48BF" w:rsidP="00DB48BF">
            <w:pPr>
              <w:pStyle w:val="AERtabletextleft"/>
            </w:pPr>
            <w:r>
              <w:t xml:space="preserve">Sub-transmission </w:t>
            </w:r>
            <w:r w:rsidR="002825AF">
              <w:t xml:space="preserve"> </w:t>
            </w:r>
            <w:r>
              <w:t>overhead</w:t>
            </w:r>
          </w:p>
        </w:tc>
        <w:tc>
          <w:tcPr>
            <w:tcW w:w="1380" w:type="pct"/>
            <w:noWrap/>
            <w:vAlign w:val="bottom"/>
            <w:hideMark/>
          </w:tcPr>
          <w:p w:rsidR="0091620D" w:rsidRPr="0091620D" w:rsidRDefault="00714D4C" w:rsidP="0091620D">
            <w:pPr>
              <w:pStyle w:val="AERtabletextright"/>
              <w:cnfStyle w:val="000000010000" w:firstRow="0" w:lastRow="0" w:firstColumn="0" w:lastColumn="0" w:oddVBand="0" w:evenVBand="0" w:oddHBand="0" w:evenHBand="1" w:firstRowFirstColumn="0" w:firstRowLastColumn="0" w:lastRowFirstColumn="0" w:lastRowLastColumn="0"/>
            </w:pPr>
            <w:r>
              <w:t>47.5</w:t>
            </w:r>
          </w:p>
        </w:tc>
        <w:tc>
          <w:tcPr>
            <w:tcW w:w="1874" w:type="pct"/>
            <w:noWrap/>
            <w:vAlign w:val="bottom"/>
            <w:hideMark/>
          </w:tcPr>
          <w:p w:rsidR="0091620D" w:rsidRPr="0091620D" w:rsidRDefault="001730B4" w:rsidP="0091620D">
            <w:pPr>
              <w:pStyle w:val="AERtabletextright"/>
              <w:cnfStyle w:val="000000010000" w:firstRow="0" w:lastRow="0" w:firstColumn="0" w:lastColumn="0" w:oddVBand="0" w:evenVBand="0" w:oddHBand="0" w:evenHBand="1" w:firstRowFirstColumn="0" w:firstRowLastColumn="0" w:lastRowFirstColumn="0" w:lastRowLastColumn="0"/>
            </w:pPr>
            <w:r>
              <w:t>45.1</w:t>
            </w:r>
          </w:p>
        </w:tc>
      </w:tr>
      <w:tr w:rsidR="0091620D" w:rsidRPr="007E333E" w:rsidTr="00132C56">
        <w:trPr>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91620D" w:rsidRPr="0091620D" w:rsidRDefault="00DB48BF" w:rsidP="00DB48BF">
            <w:pPr>
              <w:pStyle w:val="AERtabletextleft"/>
            </w:pPr>
            <w:r>
              <w:t xml:space="preserve">Sub-transmission </w:t>
            </w:r>
            <w:r w:rsidR="002825AF">
              <w:t xml:space="preserve"> </w:t>
            </w:r>
            <w:r>
              <w:t>underground</w:t>
            </w:r>
          </w:p>
        </w:tc>
        <w:tc>
          <w:tcPr>
            <w:tcW w:w="1380" w:type="pct"/>
            <w:noWrap/>
            <w:vAlign w:val="bottom"/>
            <w:hideMark/>
          </w:tcPr>
          <w:p w:rsidR="0091620D" w:rsidRPr="0091620D" w:rsidRDefault="00714D4C" w:rsidP="0091620D">
            <w:pPr>
              <w:pStyle w:val="AERtabletextright"/>
              <w:cnfStyle w:val="000000000000" w:firstRow="0" w:lastRow="0" w:firstColumn="0" w:lastColumn="0" w:oddVBand="0" w:evenVBand="0" w:oddHBand="0" w:evenHBand="0" w:firstRowFirstColumn="0" w:firstRowLastColumn="0" w:lastRowFirstColumn="0" w:lastRowLastColumn="0"/>
            </w:pPr>
            <w:r>
              <w:t>47.5</w:t>
            </w:r>
          </w:p>
        </w:tc>
        <w:tc>
          <w:tcPr>
            <w:tcW w:w="1874" w:type="pct"/>
            <w:noWrap/>
            <w:vAlign w:val="bottom"/>
            <w:hideMark/>
          </w:tcPr>
          <w:p w:rsidR="0091620D" w:rsidRPr="0091620D" w:rsidRDefault="001730B4" w:rsidP="0091620D">
            <w:pPr>
              <w:pStyle w:val="AERtabletextright"/>
              <w:cnfStyle w:val="000000000000" w:firstRow="0" w:lastRow="0" w:firstColumn="0" w:lastColumn="0" w:oddVBand="0" w:evenVBand="0" w:oddHBand="0" w:evenHBand="0" w:firstRowFirstColumn="0" w:firstRowLastColumn="0" w:lastRowFirstColumn="0" w:lastRowLastColumn="0"/>
            </w:pPr>
            <w:r>
              <w:t>n/a</w:t>
            </w:r>
          </w:p>
        </w:tc>
      </w:tr>
      <w:tr w:rsidR="0091620D" w:rsidRPr="007E333E" w:rsidTr="00132C5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91620D" w:rsidRPr="0091620D" w:rsidRDefault="00DB48BF" w:rsidP="0091620D">
            <w:pPr>
              <w:pStyle w:val="AERtabletextleft"/>
            </w:pPr>
            <w:r>
              <w:t>Zone substations</w:t>
            </w:r>
          </w:p>
        </w:tc>
        <w:tc>
          <w:tcPr>
            <w:tcW w:w="1380" w:type="pct"/>
            <w:noWrap/>
            <w:vAlign w:val="bottom"/>
            <w:hideMark/>
          </w:tcPr>
          <w:p w:rsidR="0091620D" w:rsidRPr="0091620D" w:rsidRDefault="00714D4C" w:rsidP="0091620D">
            <w:pPr>
              <w:pStyle w:val="AERtabletextright"/>
              <w:cnfStyle w:val="000000010000" w:firstRow="0" w:lastRow="0" w:firstColumn="0" w:lastColumn="0" w:oddVBand="0" w:evenVBand="0" w:oddHBand="0" w:evenHBand="1" w:firstRowFirstColumn="0" w:firstRowLastColumn="0" w:lastRowFirstColumn="0" w:lastRowLastColumn="0"/>
            </w:pPr>
            <w:r>
              <w:t>40.0</w:t>
            </w:r>
          </w:p>
        </w:tc>
        <w:tc>
          <w:tcPr>
            <w:tcW w:w="1874" w:type="pct"/>
            <w:noWrap/>
            <w:vAlign w:val="bottom"/>
            <w:hideMark/>
          </w:tcPr>
          <w:p w:rsidR="0091620D" w:rsidRPr="0091620D" w:rsidRDefault="001730B4" w:rsidP="0091620D">
            <w:pPr>
              <w:pStyle w:val="AERtabletextright"/>
              <w:cnfStyle w:val="000000010000" w:firstRow="0" w:lastRow="0" w:firstColumn="0" w:lastColumn="0" w:oddVBand="0" w:evenVBand="0" w:oddHBand="0" w:evenHBand="1" w:firstRowFirstColumn="0" w:firstRowLastColumn="0" w:lastRowFirstColumn="0" w:lastRowLastColumn="0"/>
            </w:pPr>
            <w:r>
              <w:t>38.7</w:t>
            </w:r>
          </w:p>
        </w:tc>
      </w:tr>
      <w:tr w:rsidR="0091620D" w:rsidRPr="007E333E" w:rsidTr="00132C56">
        <w:trPr>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91620D" w:rsidRPr="0091620D" w:rsidRDefault="00DB48BF" w:rsidP="00990406">
            <w:pPr>
              <w:pStyle w:val="AERtabletextleft"/>
            </w:pPr>
            <w:r>
              <w:t>IT &amp; Communications systems (</w:t>
            </w:r>
            <w:r w:rsidR="00990406">
              <w:t>n</w:t>
            </w:r>
            <w:r>
              <w:t>etworks)</w:t>
            </w:r>
          </w:p>
        </w:tc>
        <w:tc>
          <w:tcPr>
            <w:tcW w:w="1380" w:type="pct"/>
            <w:noWrap/>
            <w:vAlign w:val="bottom"/>
            <w:hideMark/>
          </w:tcPr>
          <w:p w:rsidR="0091620D" w:rsidRPr="0091620D" w:rsidRDefault="00714D4C" w:rsidP="0091620D">
            <w:pPr>
              <w:pStyle w:val="AERtabletextright"/>
              <w:cnfStyle w:val="000000000000" w:firstRow="0" w:lastRow="0" w:firstColumn="0" w:lastColumn="0" w:oddVBand="0" w:evenVBand="0" w:oddHBand="0" w:evenHBand="0" w:firstRowFirstColumn="0" w:firstRowLastColumn="0" w:lastRowFirstColumn="0" w:lastRowLastColumn="0"/>
            </w:pPr>
            <w:r>
              <w:t>10.0</w:t>
            </w:r>
          </w:p>
        </w:tc>
        <w:tc>
          <w:tcPr>
            <w:tcW w:w="1874" w:type="pct"/>
            <w:noWrap/>
            <w:vAlign w:val="bottom"/>
            <w:hideMark/>
          </w:tcPr>
          <w:p w:rsidR="0091620D" w:rsidRPr="0091620D" w:rsidRDefault="001730B4" w:rsidP="0091620D">
            <w:pPr>
              <w:pStyle w:val="AERtabletextright"/>
              <w:cnfStyle w:val="000000000000" w:firstRow="0" w:lastRow="0" w:firstColumn="0" w:lastColumn="0" w:oddVBand="0" w:evenVBand="0" w:oddHBand="0" w:evenHBand="0" w:firstRowFirstColumn="0" w:firstRowLastColumn="0" w:lastRowFirstColumn="0" w:lastRowLastColumn="0"/>
            </w:pPr>
            <w:r>
              <w:t>9.4</w:t>
            </w:r>
          </w:p>
        </w:tc>
      </w:tr>
      <w:tr w:rsidR="0091620D" w:rsidRPr="007E333E" w:rsidTr="00132C5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91620D" w:rsidRPr="0091620D" w:rsidRDefault="00DB48BF" w:rsidP="00714D4C">
            <w:pPr>
              <w:pStyle w:val="AERtabletextleft"/>
            </w:pPr>
            <w:r>
              <w:t>Motor veh</w:t>
            </w:r>
            <w:r w:rsidR="00714D4C">
              <w:t>i</w:t>
            </w:r>
            <w:r>
              <w:t>cles</w:t>
            </w:r>
          </w:p>
        </w:tc>
        <w:tc>
          <w:tcPr>
            <w:tcW w:w="1380" w:type="pct"/>
            <w:noWrap/>
            <w:vAlign w:val="bottom"/>
            <w:hideMark/>
          </w:tcPr>
          <w:p w:rsidR="0091620D" w:rsidRPr="0091620D" w:rsidRDefault="00714D4C" w:rsidP="0091620D">
            <w:pPr>
              <w:pStyle w:val="AERtabletextright"/>
              <w:cnfStyle w:val="000000010000" w:firstRow="0" w:lastRow="0" w:firstColumn="0" w:lastColumn="0" w:oddVBand="0" w:evenVBand="0" w:oddHBand="0" w:evenHBand="1" w:firstRowFirstColumn="0" w:firstRowLastColumn="0" w:lastRowFirstColumn="0" w:lastRowLastColumn="0"/>
            </w:pPr>
            <w:r>
              <w:t>8.0</w:t>
            </w:r>
          </w:p>
        </w:tc>
        <w:tc>
          <w:tcPr>
            <w:tcW w:w="1874" w:type="pct"/>
            <w:noWrap/>
            <w:vAlign w:val="bottom"/>
            <w:hideMark/>
          </w:tcPr>
          <w:p w:rsidR="0091620D" w:rsidRPr="0091620D" w:rsidRDefault="001730B4" w:rsidP="0091620D">
            <w:pPr>
              <w:pStyle w:val="AERtabletextright"/>
              <w:cnfStyle w:val="000000010000" w:firstRow="0" w:lastRow="0" w:firstColumn="0" w:lastColumn="0" w:oddVBand="0" w:evenVBand="0" w:oddHBand="0" w:evenHBand="1" w:firstRowFirstColumn="0" w:firstRowLastColumn="0" w:lastRowFirstColumn="0" w:lastRowLastColumn="0"/>
            </w:pPr>
            <w:r>
              <w:t>7.2</w:t>
            </w:r>
          </w:p>
        </w:tc>
      </w:tr>
      <w:tr w:rsidR="0091620D" w:rsidRPr="007E333E" w:rsidTr="00132C56">
        <w:trPr>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91620D" w:rsidRPr="0091620D" w:rsidRDefault="00DB48BF" w:rsidP="00DB48BF">
            <w:pPr>
              <w:pStyle w:val="AERtabletextleft"/>
            </w:pPr>
            <w:r>
              <w:t>Other non-system assets (</w:t>
            </w:r>
            <w:r w:rsidR="00990406">
              <w:t>n</w:t>
            </w:r>
            <w:r>
              <w:t>etworks)</w:t>
            </w:r>
          </w:p>
        </w:tc>
        <w:tc>
          <w:tcPr>
            <w:tcW w:w="1380" w:type="pct"/>
            <w:noWrap/>
            <w:vAlign w:val="bottom"/>
            <w:hideMark/>
          </w:tcPr>
          <w:p w:rsidR="0091620D" w:rsidRPr="0091620D" w:rsidRDefault="00714D4C" w:rsidP="0091620D">
            <w:pPr>
              <w:pStyle w:val="AERtabletextright"/>
              <w:cnfStyle w:val="000000000000" w:firstRow="0" w:lastRow="0" w:firstColumn="0" w:lastColumn="0" w:oddVBand="0" w:evenVBand="0" w:oddHBand="0" w:evenHBand="0" w:firstRowFirstColumn="0" w:firstRowLastColumn="0" w:lastRowFirstColumn="0" w:lastRowLastColumn="0"/>
            </w:pPr>
            <w:r>
              <w:t>5.8</w:t>
            </w:r>
          </w:p>
        </w:tc>
        <w:tc>
          <w:tcPr>
            <w:tcW w:w="1874" w:type="pct"/>
            <w:noWrap/>
            <w:vAlign w:val="bottom"/>
            <w:hideMark/>
          </w:tcPr>
          <w:p w:rsidR="0091620D" w:rsidRPr="0091620D" w:rsidRDefault="001730B4" w:rsidP="0091620D">
            <w:pPr>
              <w:pStyle w:val="AERtabletextright"/>
              <w:cnfStyle w:val="000000000000" w:firstRow="0" w:lastRow="0" w:firstColumn="0" w:lastColumn="0" w:oddVBand="0" w:evenVBand="0" w:oddHBand="0" w:evenHBand="0" w:firstRowFirstColumn="0" w:firstRowLastColumn="0" w:lastRowFirstColumn="0" w:lastRowLastColumn="0"/>
            </w:pPr>
            <w:r>
              <w:t>3.6</w:t>
            </w:r>
          </w:p>
        </w:tc>
      </w:tr>
      <w:tr w:rsidR="0091620D" w:rsidRPr="007E333E" w:rsidTr="00132C5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91620D" w:rsidRPr="0091620D" w:rsidRDefault="00714D4C" w:rsidP="00990406">
            <w:pPr>
              <w:pStyle w:val="AERtabletextleft"/>
            </w:pPr>
            <w:r>
              <w:t>IT systems (</w:t>
            </w:r>
            <w:r w:rsidR="00990406">
              <w:t>c</w:t>
            </w:r>
            <w:r>
              <w:t>orporate)</w:t>
            </w:r>
          </w:p>
        </w:tc>
        <w:tc>
          <w:tcPr>
            <w:tcW w:w="1380" w:type="pct"/>
            <w:noWrap/>
            <w:vAlign w:val="bottom"/>
            <w:hideMark/>
          </w:tcPr>
          <w:p w:rsidR="0091620D" w:rsidRPr="0091620D" w:rsidRDefault="00714D4C" w:rsidP="0091620D">
            <w:pPr>
              <w:pStyle w:val="AERtabletextright"/>
              <w:cnfStyle w:val="000000010000" w:firstRow="0" w:lastRow="0" w:firstColumn="0" w:lastColumn="0" w:oddVBand="0" w:evenVBand="0" w:oddHBand="0" w:evenHBand="1" w:firstRowFirstColumn="0" w:firstRowLastColumn="0" w:lastRowFirstColumn="0" w:lastRowLastColumn="0"/>
            </w:pPr>
            <w:r>
              <w:t>4.1</w:t>
            </w:r>
          </w:p>
        </w:tc>
        <w:tc>
          <w:tcPr>
            <w:tcW w:w="1874" w:type="pct"/>
            <w:noWrap/>
            <w:vAlign w:val="bottom"/>
            <w:hideMark/>
          </w:tcPr>
          <w:p w:rsidR="0091620D" w:rsidRPr="0091620D" w:rsidRDefault="001730B4" w:rsidP="0091620D">
            <w:pPr>
              <w:pStyle w:val="AERtabletextright"/>
              <w:cnfStyle w:val="000000010000" w:firstRow="0" w:lastRow="0" w:firstColumn="0" w:lastColumn="0" w:oddVBand="0" w:evenVBand="0" w:oddHBand="0" w:evenHBand="1" w:firstRowFirstColumn="0" w:firstRowLastColumn="0" w:lastRowFirstColumn="0" w:lastRowLastColumn="0"/>
            </w:pPr>
            <w:r>
              <w:t>3.3</w:t>
            </w:r>
          </w:p>
        </w:tc>
      </w:tr>
      <w:tr w:rsidR="0091620D" w:rsidRPr="007E333E" w:rsidTr="00132C56">
        <w:trPr>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91620D" w:rsidRPr="0091620D" w:rsidRDefault="00714D4C" w:rsidP="00990406">
            <w:pPr>
              <w:pStyle w:val="AERtabletextleft"/>
            </w:pPr>
            <w:r>
              <w:t>Telecommunications (</w:t>
            </w:r>
            <w:r w:rsidR="00990406">
              <w:t>c</w:t>
            </w:r>
            <w:r>
              <w:t>orporate)</w:t>
            </w:r>
          </w:p>
        </w:tc>
        <w:tc>
          <w:tcPr>
            <w:tcW w:w="1380" w:type="pct"/>
            <w:noWrap/>
            <w:vAlign w:val="bottom"/>
            <w:hideMark/>
          </w:tcPr>
          <w:p w:rsidR="0091620D" w:rsidRPr="0091620D" w:rsidRDefault="00714D4C" w:rsidP="0091620D">
            <w:pPr>
              <w:pStyle w:val="AERtabletextright"/>
              <w:cnfStyle w:val="000000000000" w:firstRow="0" w:lastRow="0" w:firstColumn="0" w:lastColumn="0" w:oddVBand="0" w:evenVBand="0" w:oddHBand="0" w:evenHBand="0" w:firstRowFirstColumn="0" w:firstRowLastColumn="0" w:lastRowFirstColumn="0" w:lastRowLastColumn="0"/>
            </w:pPr>
            <w:r>
              <w:t>6.7</w:t>
            </w:r>
          </w:p>
        </w:tc>
        <w:tc>
          <w:tcPr>
            <w:tcW w:w="1874" w:type="pct"/>
            <w:noWrap/>
            <w:vAlign w:val="bottom"/>
            <w:hideMark/>
          </w:tcPr>
          <w:p w:rsidR="0091620D" w:rsidRPr="0091620D" w:rsidRDefault="001730B4" w:rsidP="002825AF">
            <w:pPr>
              <w:pStyle w:val="AERtabletextright"/>
              <w:cnfStyle w:val="000000000000" w:firstRow="0" w:lastRow="0" w:firstColumn="0" w:lastColumn="0" w:oddVBand="0" w:evenVBand="0" w:oddHBand="0" w:evenHBand="0" w:firstRowFirstColumn="0" w:firstRowLastColumn="0" w:lastRowFirstColumn="0" w:lastRowLastColumn="0"/>
            </w:pPr>
            <w:r>
              <w:t>3.</w:t>
            </w:r>
            <w:r w:rsidR="002825AF">
              <w:t>5</w:t>
            </w:r>
          </w:p>
        </w:tc>
      </w:tr>
      <w:tr w:rsidR="0091620D" w:rsidRPr="007E333E" w:rsidTr="00132C5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91620D" w:rsidRPr="0091620D" w:rsidRDefault="00714D4C" w:rsidP="00990406">
            <w:pPr>
              <w:pStyle w:val="AERtabletextleft"/>
            </w:pPr>
            <w:r>
              <w:t>Other non-system assets (</w:t>
            </w:r>
            <w:r w:rsidR="00990406">
              <w:t>c</w:t>
            </w:r>
            <w:r>
              <w:t>orporate)</w:t>
            </w:r>
          </w:p>
        </w:tc>
        <w:tc>
          <w:tcPr>
            <w:tcW w:w="1380" w:type="pct"/>
            <w:noWrap/>
            <w:vAlign w:val="bottom"/>
            <w:hideMark/>
          </w:tcPr>
          <w:p w:rsidR="0091620D" w:rsidRPr="0091620D" w:rsidRDefault="00714D4C" w:rsidP="0091620D">
            <w:pPr>
              <w:pStyle w:val="AERtabletextright"/>
              <w:cnfStyle w:val="000000010000" w:firstRow="0" w:lastRow="0" w:firstColumn="0" w:lastColumn="0" w:oddVBand="0" w:evenVBand="0" w:oddHBand="0" w:evenHBand="1" w:firstRowFirstColumn="0" w:firstRowLastColumn="0" w:lastRowFirstColumn="0" w:lastRowLastColumn="0"/>
            </w:pPr>
            <w:r>
              <w:t>5.7</w:t>
            </w:r>
          </w:p>
        </w:tc>
        <w:tc>
          <w:tcPr>
            <w:tcW w:w="1874" w:type="pct"/>
            <w:noWrap/>
            <w:vAlign w:val="bottom"/>
            <w:hideMark/>
          </w:tcPr>
          <w:p w:rsidR="0091620D" w:rsidRPr="0091620D" w:rsidRDefault="001730B4" w:rsidP="0091620D">
            <w:pPr>
              <w:pStyle w:val="AERtabletextright"/>
              <w:cnfStyle w:val="000000010000" w:firstRow="0" w:lastRow="0" w:firstColumn="0" w:lastColumn="0" w:oddVBand="0" w:evenVBand="0" w:oddHBand="0" w:evenHBand="1" w:firstRowFirstColumn="0" w:firstRowLastColumn="0" w:lastRowFirstColumn="0" w:lastRowLastColumn="0"/>
            </w:pPr>
            <w:r>
              <w:t>2.9</w:t>
            </w:r>
          </w:p>
        </w:tc>
      </w:tr>
      <w:tr w:rsidR="0091620D" w:rsidRPr="007E333E" w:rsidTr="00132C56">
        <w:trPr>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91620D" w:rsidRPr="0091620D" w:rsidRDefault="00714D4C" w:rsidP="00714D4C">
            <w:pPr>
              <w:pStyle w:val="AERtabletextleft"/>
            </w:pPr>
            <w:r>
              <w:t>Land</w:t>
            </w:r>
          </w:p>
        </w:tc>
        <w:tc>
          <w:tcPr>
            <w:tcW w:w="1380" w:type="pct"/>
            <w:noWrap/>
            <w:vAlign w:val="bottom"/>
            <w:hideMark/>
          </w:tcPr>
          <w:p w:rsidR="0091620D" w:rsidRPr="0091620D" w:rsidRDefault="00714D4C" w:rsidP="0091620D">
            <w:pPr>
              <w:pStyle w:val="AERtabletextright"/>
              <w:cnfStyle w:val="000000000000" w:firstRow="0" w:lastRow="0" w:firstColumn="0" w:lastColumn="0" w:oddVBand="0" w:evenVBand="0" w:oddHBand="0" w:evenHBand="0" w:firstRowFirstColumn="0" w:firstRowLastColumn="0" w:lastRowFirstColumn="0" w:lastRowLastColumn="0"/>
            </w:pPr>
            <w:r>
              <w:t>n/a</w:t>
            </w:r>
          </w:p>
        </w:tc>
        <w:tc>
          <w:tcPr>
            <w:tcW w:w="1874" w:type="pct"/>
            <w:noWrap/>
            <w:vAlign w:val="bottom"/>
            <w:hideMark/>
          </w:tcPr>
          <w:p w:rsidR="0091620D" w:rsidRPr="0091620D" w:rsidRDefault="00714D4C" w:rsidP="0091620D">
            <w:pPr>
              <w:pStyle w:val="AERtabletextright"/>
              <w:cnfStyle w:val="000000000000" w:firstRow="0" w:lastRow="0" w:firstColumn="0" w:lastColumn="0" w:oddVBand="0" w:evenVBand="0" w:oddHBand="0" w:evenHBand="0" w:firstRowFirstColumn="0" w:firstRowLastColumn="0" w:lastRowFirstColumn="0" w:lastRowLastColumn="0"/>
            </w:pPr>
            <w:r>
              <w:t>n/a</w:t>
            </w:r>
          </w:p>
        </w:tc>
      </w:tr>
      <w:tr w:rsidR="0091620D" w:rsidRPr="007E333E" w:rsidTr="00132C5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91620D" w:rsidRPr="0091620D" w:rsidRDefault="00714D4C" w:rsidP="0091620D">
            <w:pPr>
              <w:pStyle w:val="AERtabletextleft"/>
            </w:pPr>
            <w:r>
              <w:t>Buildings</w:t>
            </w:r>
          </w:p>
        </w:tc>
        <w:tc>
          <w:tcPr>
            <w:tcW w:w="1380" w:type="pct"/>
            <w:noWrap/>
            <w:vAlign w:val="bottom"/>
            <w:hideMark/>
          </w:tcPr>
          <w:p w:rsidR="0091620D" w:rsidRPr="0091620D" w:rsidRDefault="00714D4C" w:rsidP="0091620D">
            <w:pPr>
              <w:pStyle w:val="AERtabletextright"/>
              <w:cnfStyle w:val="000000010000" w:firstRow="0" w:lastRow="0" w:firstColumn="0" w:lastColumn="0" w:oddVBand="0" w:evenVBand="0" w:oddHBand="0" w:evenHBand="1" w:firstRowFirstColumn="0" w:firstRowLastColumn="0" w:lastRowFirstColumn="0" w:lastRowLastColumn="0"/>
            </w:pPr>
            <w:r>
              <w:t>100.0</w:t>
            </w:r>
          </w:p>
        </w:tc>
        <w:tc>
          <w:tcPr>
            <w:tcW w:w="1874" w:type="pct"/>
            <w:noWrap/>
            <w:vAlign w:val="bottom"/>
            <w:hideMark/>
          </w:tcPr>
          <w:p w:rsidR="001730B4" w:rsidRPr="0091620D" w:rsidRDefault="001730B4" w:rsidP="001730B4">
            <w:pPr>
              <w:pStyle w:val="AERtabletextright"/>
              <w:cnfStyle w:val="000000010000" w:firstRow="0" w:lastRow="0" w:firstColumn="0" w:lastColumn="0" w:oddVBand="0" w:evenVBand="0" w:oddHBand="0" w:evenHBand="1" w:firstRowFirstColumn="0" w:firstRowLastColumn="0" w:lastRowFirstColumn="0" w:lastRowLastColumn="0"/>
            </w:pPr>
            <w:r>
              <w:t>97.1</w:t>
            </w:r>
          </w:p>
        </w:tc>
      </w:tr>
      <w:tr w:rsidR="0091620D" w:rsidRPr="007E333E" w:rsidTr="00132C56">
        <w:trPr>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91620D" w:rsidRPr="0091620D" w:rsidRDefault="0091620D" w:rsidP="0091620D">
            <w:pPr>
              <w:pStyle w:val="AERtabletextleft"/>
            </w:pPr>
            <w:r w:rsidRPr="0091620D">
              <w:t>Equity raising costs</w:t>
            </w:r>
          </w:p>
        </w:tc>
        <w:tc>
          <w:tcPr>
            <w:tcW w:w="1380" w:type="pct"/>
            <w:noWrap/>
            <w:vAlign w:val="bottom"/>
            <w:hideMark/>
          </w:tcPr>
          <w:p w:rsidR="0091620D" w:rsidRPr="0091620D" w:rsidRDefault="0091620D" w:rsidP="0091620D">
            <w:pPr>
              <w:pStyle w:val="AERtabletextright"/>
              <w:cnfStyle w:val="000000000000" w:firstRow="0" w:lastRow="0" w:firstColumn="0" w:lastColumn="0" w:oddVBand="0" w:evenVBand="0" w:oddHBand="0" w:evenHBand="0" w:firstRowFirstColumn="0" w:firstRowLastColumn="0" w:lastRowFirstColumn="0" w:lastRowLastColumn="0"/>
            </w:pPr>
            <w:r w:rsidRPr="0091620D">
              <w:t>5.0</w:t>
            </w:r>
          </w:p>
        </w:tc>
        <w:tc>
          <w:tcPr>
            <w:tcW w:w="1874" w:type="pct"/>
            <w:noWrap/>
            <w:vAlign w:val="bottom"/>
            <w:hideMark/>
          </w:tcPr>
          <w:p w:rsidR="0091620D" w:rsidRPr="0091620D" w:rsidRDefault="001730B4" w:rsidP="0091620D">
            <w:pPr>
              <w:pStyle w:val="AERtabletextright"/>
              <w:cnfStyle w:val="000000000000" w:firstRow="0" w:lastRow="0" w:firstColumn="0" w:lastColumn="0" w:oddVBand="0" w:evenVBand="0" w:oddHBand="0" w:evenHBand="0" w:firstRowFirstColumn="0" w:firstRowLastColumn="0" w:lastRowFirstColumn="0" w:lastRowLastColumn="0"/>
            </w:pPr>
            <w:r>
              <w:t>40.5</w:t>
            </w:r>
          </w:p>
        </w:tc>
      </w:tr>
    </w:tbl>
    <w:p w:rsidR="00990406" w:rsidRPr="00990406" w:rsidRDefault="00990406" w:rsidP="00990406">
      <w:pPr>
        <w:pStyle w:val="AERtablesource"/>
      </w:pPr>
      <w:r w:rsidRPr="00990406">
        <w:t>Source:</w:t>
      </w:r>
      <w:r w:rsidRPr="00990406">
        <w:tab/>
        <w:t xml:space="preserve">AER analysis. </w:t>
      </w:r>
    </w:p>
    <w:p w:rsidR="00990406" w:rsidRPr="00990406" w:rsidRDefault="00990406" w:rsidP="00990406">
      <w:pPr>
        <w:pStyle w:val="AERtablesource"/>
      </w:pPr>
      <w:r w:rsidRPr="00990406">
        <w:t xml:space="preserve">n/a: </w:t>
      </w:r>
      <w:r w:rsidRPr="00990406">
        <w:tab/>
        <w:t>not applicable.</w:t>
      </w:r>
    </w:p>
    <w:p w:rsidR="0084378B" w:rsidRPr="008D5D7C" w:rsidRDefault="0084378B" w:rsidP="008D5D7C"/>
    <w:sectPr w:rsidR="0084378B" w:rsidRPr="008D5D7C" w:rsidSect="00E30AEF">
      <w:footerReference w:type="even" r:id="rId11"/>
      <w:footerReference w:type="default" r:id="rId12"/>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AEF" w:rsidRPr="00AB4345" w:rsidRDefault="00E30AEF" w:rsidP="00AB4345">
      <w:r>
        <w:separator/>
      </w:r>
    </w:p>
  </w:endnote>
  <w:endnote w:type="continuationSeparator" w:id="0">
    <w:p w:rsidR="00E30AEF" w:rsidRPr="00AB4345" w:rsidRDefault="00E30AEF"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E30AEF" w:rsidRPr="00824CC8" w:rsidRDefault="00E30AEF" w:rsidP="00824CC8">
        <w:pPr>
          <w:pStyle w:val="Footer"/>
        </w:pPr>
        <w:r w:rsidRPr="00824CC8">
          <w:fldChar w:fldCharType="begin"/>
        </w:r>
        <w:r w:rsidRPr="00824CC8">
          <w:instrText xml:space="preserve"> PAGE   \* MERGEFORMAT </w:instrText>
        </w:r>
        <w:r w:rsidRPr="00824CC8">
          <w:fldChar w:fldCharType="separate"/>
        </w:r>
        <w:r w:rsidR="00F8602C">
          <w:rPr>
            <w:noProof/>
          </w:rPr>
          <w:t>8-14</w:t>
        </w:r>
        <w:r w:rsidRPr="00824CC8">
          <w:fldChar w:fldCharType="end"/>
        </w:r>
        <w:r w:rsidRPr="00824CC8">
          <w:tab/>
        </w:r>
        <w:r w:rsidR="00132C56">
          <w:t xml:space="preserve">                                                       </w:t>
        </w:r>
        <w:r w:rsidRPr="00E30AEF">
          <w:rPr>
            <w:rStyle w:val="AERbody"/>
          </w:rPr>
          <w:t xml:space="preserve">Attachment 8: Corporate income tax </w:t>
        </w:r>
        <w:r w:rsidRPr="00824CC8">
          <w:rPr>
            <w:rStyle w:val="AERbody"/>
          </w:rPr>
          <w:t xml:space="preserve">| </w:t>
        </w:r>
        <w:r>
          <w:rPr>
            <w:rStyle w:val="AERbody"/>
          </w:rPr>
          <w:t>ActewAGL draft decision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AEF" w:rsidRPr="00824CC8" w:rsidRDefault="00E30AEF" w:rsidP="00824CC8">
    <w:pPr>
      <w:pStyle w:val="Footer"/>
      <w:rPr>
        <w:rStyle w:val="AERbody"/>
      </w:rPr>
    </w:pPr>
    <w:r>
      <w:rPr>
        <w:rStyle w:val="AERbody"/>
      </w:rPr>
      <w:t>ActewAGL draft decision</w:t>
    </w:r>
    <w:r w:rsidRPr="00210880">
      <w:rPr>
        <w:rStyle w:val="AERbody"/>
      </w:rPr>
      <w:t xml:space="preserve"> | </w:t>
    </w:r>
    <w:r w:rsidRPr="00E30AEF">
      <w:rPr>
        <w:rStyle w:val="AERbody"/>
      </w:rPr>
      <w:t>Attachment 8: Corporate income tax</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F8602C">
      <w:rPr>
        <w:rStyle w:val="AERbody"/>
        <w:noProof/>
      </w:rPr>
      <w:t>8-15</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AEF" w:rsidRPr="00AB4345" w:rsidRDefault="00E30AEF" w:rsidP="00AB4345">
      <w:r>
        <w:separator/>
      </w:r>
    </w:p>
  </w:footnote>
  <w:footnote w:type="continuationSeparator" w:id="0">
    <w:p w:rsidR="00E30AEF" w:rsidRPr="00AB4345" w:rsidRDefault="00E30AEF" w:rsidP="00AB4345">
      <w:r>
        <w:continuationSeparator/>
      </w:r>
    </w:p>
  </w:footnote>
  <w:footnote w:id="1">
    <w:p w:rsidR="00E30AEF" w:rsidRDefault="00E30AEF">
      <w:pPr>
        <w:pStyle w:val="FootnoteText"/>
      </w:pPr>
      <w:r>
        <w:rPr>
          <w:rStyle w:val="FootnoteReference"/>
        </w:rPr>
        <w:footnoteRef/>
      </w:r>
      <w:r>
        <w:t xml:space="preserve"> </w:t>
      </w:r>
      <w:r>
        <w:tab/>
      </w:r>
      <w:r w:rsidRPr="00972243">
        <w:t>NER, cl 6.4.3(a)(4).</w:t>
      </w:r>
    </w:p>
  </w:footnote>
  <w:footnote w:id="2">
    <w:p w:rsidR="00E30AEF" w:rsidRDefault="00E30AEF">
      <w:pPr>
        <w:pStyle w:val="FootnoteText"/>
      </w:pPr>
      <w:r>
        <w:rPr>
          <w:rStyle w:val="FootnoteReference"/>
        </w:rPr>
        <w:footnoteRef/>
      </w:r>
      <w:r>
        <w:t xml:space="preserve"> </w:t>
      </w:r>
      <w:r>
        <w:tab/>
        <w:t>ActewAGL</w:t>
      </w:r>
      <w:r w:rsidRPr="00DB7CF9">
        <w:t xml:space="preserve">, </w:t>
      </w:r>
      <w:r w:rsidRPr="00DB7CF9">
        <w:rPr>
          <w:rStyle w:val="AERtextitalic"/>
        </w:rPr>
        <w:t>Regulatory proposal</w:t>
      </w:r>
      <w:r w:rsidRPr="00DB7CF9">
        <w:t xml:space="preserve">, </w:t>
      </w:r>
      <w:r>
        <w:t>June</w:t>
      </w:r>
      <w:r w:rsidRPr="00DB7CF9">
        <w:t xml:space="preserve"> 2014, Attachment </w:t>
      </w:r>
      <w:r>
        <w:t xml:space="preserve">B2 and </w:t>
      </w:r>
      <w:r w:rsidRPr="00E41CD5">
        <w:t xml:space="preserve">Attachment </w:t>
      </w:r>
      <w:r>
        <w:t>B5</w:t>
      </w:r>
      <w:r w:rsidRPr="00DB7CF9">
        <w:t>.</w:t>
      </w:r>
    </w:p>
  </w:footnote>
  <w:footnote w:id="3">
    <w:p w:rsidR="00E30AEF" w:rsidRDefault="00E30AEF">
      <w:pPr>
        <w:pStyle w:val="FootnoteText"/>
      </w:pPr>
      <w:r>
        <w:rPr>
          <w:rStyle w:val="FootnoteReference"/>
        </w:rPr>
        <w:footnoteRef/>
      </w:r>
      <w:r>
        <w:t xml:space="preserve"> </w:t>
      </w:r>
      <w:r>
        <w:tab/>
        <w:t xml:space="preserve">ActewAGL, </w:t>
      </w:r>
      <w:r w:rsidRPr="008B2B5E">
        <w:rPr>
          <w:rStyle w:val="AERtextitalic"/>
        </w:rPr>
        <w:t>Regulatory proposal</w:t>
      </w:r>
      <w:r>
        <w:t>, June 2014, p. 300</w:t>
      </w:r>
      <w:r w:rsidR="00661C23">
        <w:t>.</w:t>
      </w:r>
    </w:p>
  </w:footnote>
  <w:footnote w:id="4">
    <w:p w:rsidR="00E30AEF" w:rsidRDefault="00E30AEF">
      <w:pPr>
        <w:pStyle w:val="FootnoteText"/>
      </w:pPr>
      <w:r>
        <w:rPr>
          <w:rStyle w:val="FootnoteReference"/>
        </w:rPr>
        <w:footnoteRef/>
      </w:r>
      <w:r>
        <w:t xml:space="preserve"> </w:t>
      </w:r>
      <w:r>
        <w:tab/>
      </w:r>
      <w:r w:rsidRPr="00937FC6">
        <w:t>The tax depreciation is therefore recalculated based on actual capex. The same tax depreciation approach of using actual capex applies to the roll forward of the TAB at the next reset.</w:t>
      </w:r>
      <w:r>
        <w:t xml:space="preserve"> </w:t>
      </w:r>
    </w:p>
  </w:footnote>
  <w:footnote w:id="5">
    <w:p w:rsidR="00E30AEF" w:rsidRDefault="00E30AEF">
      <w:pPr>
        <w:pStyle w:val="FootnoteText"/>
      </w:pPr>
      <w:r>
        <w:rPr>
          <w:rStyle w:val="FootnoteReference"/>
        </w:rPr>
        <w:footnoteRef/>
      </w:r>
      <w:r>
        <w:t xml:space="preserve"> </w:t>
      </w:r>
      <w:r>
        <w:tab/>
      </w:r>
      <w:r w:rsidRPr="004656C5">
        <w:t>In fact, there is an iterative relationship between tax and revenues. That is, revenues lead to tax, being applied, which increases revenues and leads to slightly more tax and so on. The PTRM is therefore set up to run an iterative process until the revenue and tax allowances become stable.</w:t>
      </w:r>
    </w:p>
  </w:footnote>
  <w:footnote w:id="6">
    <w:p w:rsidR="00E30AEF" w:rsidRDefault="00E30AEF" w:rsidP="00331AFF">
      <w:pPr>
        <w:pStyle w:val="FootnoteText"/>
      </w:pPr>
      <w:r>
        <w:rPr>
          <w:rStyle w:val="FootnoteReference"/>
        </w:rPr>
        <w:footnoteRef/>
      </w:r>
      <w:r>
        <w:t xml:space="preserve"> </w:t>
      </w:r>
      <w:r>
        <w:tab/>
      </w:r>
      <w:r w:rsidRPr="008A212B">
        <w:t>For example, although increased opex adds to revenue requirement, these expenses are also offset against the revenues as deductions in determining tax, so there is no net impact in this case. A higher return on equity, in contrast, gives rise to no offsetting tax expenses and therefore increases the tax allowance in proportion to the company tax rate.</w:t>
      </w:r>
    </w:p>
  </w:footnote>
  <w:footnote w:id="7">
    <w:p w:rsidR="00E30AEF" w:rsidRDefault="00E30AEF" w:rsidP="007511AF">
      <w:pPr>
        <w:pStyle w:val="FootnoteText"/>
      </w:pPr>
      <w:r>
        <w:rPr>
          <w:rStyle w:val="FootnoteReference"/>
        </w:rPr>
        <w:footnoteRef/>
      </w:r>
      <w:r>
        <w:t xml:space="preserve"> </w:t>
      </w:r>
      <w:r>
        <w:tab/>
        <w:t>NER, cl 6.5.3.</w:t>
      </w:r>
    </w:p>
  </w:footnote>
  <w:footnote w:id="8">
    <w:p w:rsidR="00E30AEF" w:rsidRDefault="00E30AEF" w:rsidP="0060397E">
      <w:pPr>
        <w:pStyle w:val="FootnoteText"/>
      </w:pPr>
      <w:r>
        <w:rPr>
          <w:rStyle w:val="FootnoteReference"/>
        </w:rPr>
        <w:footnoteRef/>
      </w:r>
      <w:r>
        <w:t xml:space="preserve"> </w:t>
      </w:r>
      <w:r>
        <w:tab/>
        <w:t xml:space="preserve">AER, </w:t>
      </w:r>
      <w:r w:rsidRPr="00C86EB7">
        <w:rPr>
          <w:rStyle w:val="AERtextitalic"/>
        </w:rPr>
        <w:t>Final Decision - Australian Capital Territory distribution determination 2009–10 to 2013–14</w:t>
      </w:r>
      <w:r>
        <w:t>, 28 April 2009, p.88.</w:t>
      </w:r>
    </w:p>
  </w:footnote>
  <w:footnote w:id="9">
    <w:p w:rsidR="00E30AEF" w:rsidRDefault="00E30AEF">
      <w:pPr>
        <w:pStyle w:val="FootnoteText"/>
      </w:pPr>
      <w:r>
        <w:rPr>
          <w:rStyle w:val="FootnoteReference"/>
        </w:rPr>
        <w:footnoteRef/>
      </w:r>
      <w:r>
        <w:t xml:space="preserve"> </w:t>
      </w:r>
      <w:r>
        <w:tab/>
        <w:t xml:space="preserve">We note that the estimation of the opening TAB as at 1 July 2008, the final year of the previous regulatory control period, is a matter particular to this determination. This is because the opening TAB as at 1 July 2009 was first established for ActewAGL at the 2009 determination and the RFM associated with that determination did not have the necessary inputs required for use in this reset. Going forward, the RFM for this reset will contain the necessary inputs to be used for establishing the opening TAB for the next reset. </w:t>
      </w:r>
    </w:p>
  </w:footnote>
  <w:footnote w:id="10">
    <w:p w:rsidR="00E30AEF" w:rsidRDefault="00E30AEF">
      <w:pPr>
        <w:pStyle w:val="FootnoteText"/>
      </w:pPr>
      <w:r>
        <w:rPr>
          <w:rStyle w:val="FootnoteReference"/>
        </w:rPr>
        <w:footnoteRef/>
      </w:r>
      <w:r>
        <w:t xml:space="preserve"> </w:t>
      </w:r>
      <w:r>
        <w:tab/>
        <w:t xml:space="preserve">AER, </w:t>
      </w:r>
      <w:r w:rsidRPr="003441E4">
        <w:rPr>
          <w:rStyle w:val="AERtextitalic"/>
        </w:rPr>
        <w:t>Final decision- Australian Capital Territory distribution determination, 2009–10 to 2013–14</w:t>
      </w:r>
      <w:r>
        <w:t>, 28 April 2009, p.88.</w:t>
      </w:r>
    </w:p>
  </w:footnote>
  <w:footnote w:id="11">
    <w:p w:rsidR="00E30AEF" w:rsidRDefault="00E30AEF">
      <w:pPr>
        <w:pStyle w:val="FootnoteText"/>
      </w:pPr>
      <w:r>
        <w:rPr>
          <w:rStyle w:val="FootnoteReference"/>
        </w:rPr>
        <w:footnoteRef/>
      </w:r>
      <w:r>
        <w:t xml:space="preserve"> </w:t>
      </w:r>
      <w:r>
        <w:tab/>
        <w:t>We note ActewAGL's RFM proposed a tax standard life of 44.6 years for the 'Opening distribution assets' class, which differs slightly from the approved tax standard life of 44.4 years in the 2009 determination. We changed the tax standard life to reflect the 2009 approved value and it does not impact on the proposed opening TABs as at 1 July 2014 to one decimal place.</w:t>
      </w:r>
    </w:p>
  </w:footnote>
  <w:footnote w:id="12">
    <w:p w:rsidR="00E30AEF" w:rsidRDefault="00E30AEF">
      <w:pPr>
        <w:pStyle w:val="FootnoteText"/>
      </w:pPr>
      <w:r>
        <w:rPr>
          <w:rStyle w:val="FootnoteReference"/>
        </w:rPr>
        <w:footnoteRef/>
      </w:r>
      <w:r>
        <w:t xml:space="preserve"> </w:t>
      </w:r>
      <w:r>
        <w:tab/>
        <w:t>At the time of this draft decision, the roll forward of ActewAGL's TAB includes estimated capex values for 2013–14. We will update the 2013–14 estimated capex values with the actual values for the final decision.</w:t>
      </w:r>
    </w:p>
  </w:footnote>
  <w:footnote w:id="13">
    <w:p w:rsidR="00E30AEF" w:rsidRDefault="00E30AEF">
      <w:pPr>
        <w:pStyle w:val="FootnoteText"/>
      </w:pPr>
      <w:r>
        <w:rPr>
          <w:rStyle w:val="FootnoteReference"/>
        </w:rPr>
        <w:footnoteRef/>
      </w:r>
      <w:r>
        <w:t xml:space="preserve"> </w:t>
      </w:r>
      <w:r>
        <w:tab/>
      </w:r>
      <w:r w:rsidRPr="0086311A">
        <w:t xml:space="preserve">ATO, </w:t>
      </w:r>
      <w:r w:rsidRPr="00AD4159">
        <w:rPr>
          <w:rStyle w:val="AERtextitalic"/>
        </w:rPr>
        <w:t>Taxation Ruling Income tax: effective life of depreciating assets (applicable from 1 July 2014)</w:t>
      </w:r>
      <w:r w:rsidRPr="0086311A">
        <w:t xml:space="preserve">, August 2014, </w:t>
      </w:r>
      <w:hyperlink r:id="rId1" w:history="1">
        <w:r w:rsidRPr="00A07F1D">
          <w:rPr>
            <w:rStyle w:val="Hyperlink"/>
          </w:rPr>
          <w:t>http://law.ato.gov.au/atolaw/view.htm?docid=%22TXR%2FTR20144%2FNAT%2FATO%2F00001%22</w:t>
        </w:r>
      </w:hyperlink>
      <w:r>
        <w:t>, accessed on 25 September 2014.</w:t>
      </w:r>
    </w:p>
  </w:footnote>
  <w:footnote w:id="14">
    <w:p w:rsidR="00E30AEF" w:rsidRDefault="00E30AEF">
      <w:pPr>
        <w:pStyle w:val="FootnoteText"/>
      </w:pPr>
      <w:r>
        <w:rPr>
          <w:rStyle w:val="FootnoteReference"/>
        </w:rPr>
        <w:footnoteRef/>
      </w:r>
      <w:r>
        <w:t xml:space="preserve"> </w:t>
      </w:r>
      <w:r>
        <w:tab/>
      </w:r>
      <w:r w:rsidRPr="005F0D1A">
        <w:t xml:space="preserve">ATO, </w:t>
      </w:r>
      <w:r w:rsidRPr="005F0D1A">
        <w:rPr>
          <w:rStyle w:val="AERtextitalic"/>
        </w:rPr>
        <w:t>Guide to depreciating assets 2001-02: Business related costs—section 40-880 deductions</w:t>
      </w:r>
      <w:r w:rsidRPr="005F0D1A">
        <w:t>, ATO reference; NO NAT7170, p. 25.</w:t>
      </w:r>
    </w:p>
  </w:footnote>
  <w:footnote w:id="15">
    <w:p w:rsidR="00E30AEF" w:rsidRDefault="00E30AEF" w:rsidP="005F0D1A">
      <w:pPr>
        <w:pStyle w:val="FootnoteText"/>
      </w:pPr>
      <w:r>
        <w:rPr>
          <w:rStyle w:val="FootnoteReference"/>
        </w:rPr>
        <w:footnoteRef/>
      </w:r>
      <w:r>
        <w:t xml:space="preserve"> </w:t>
      </w:r>
      <w:r>
        <w:tab/>
      </w:r>
      <w:r w:rsidRPr="005F0D1A">
        <w:t xml:space="preserve">AER, </w:t>
      </w:r>
      <w:r w:rsidRPr="005F0D1A">
        <w:rPr>
          <w:rStyle w:val="AERtextitalic"/>
        </w:rPr>
        <w:t>Draft decision: Powerlink transmission determination 2012–13 to 2016–17</w:t>
      </w:r>
      <w:r>
        <w:t xml:space="preserve">, 2011, </w:t>
      </w:r>
      <w:r w:rsidR="00661C23">
        <w:t>p</w:t>
      </w:r>
      <w:r w:rsidRPr="005F0D1A">
        <w:t xml:space="preserve">p. 265–266; </w:t>
      </w:r>
      <w:r>
        <w:t>A</w:t>
      </w:r>
      <w:r w:rsidRPr="005F0D1A">
        <w:t>E</w:t>
      </w:r>
      <w:r>
        <w:t>R</w:t>
      </w:r>
      <w:r w:rsidRPr="005F0D1A">
        <w:t xml:space="preserve">, </w:t>
      </w:r>
      <w:r w:rsidRPr="005F0D1A">
        <w:rPr>
          <w:rStyle w:val="AERtextitalic"/>
        </w:rPr>
        <w:t>Draft decision: ElectraNet transmission determination 2013–14 to 2017–18</w:t>
      </w:r>
      <w:r>
        <w:t xml:space="preserve">, 2013, </w:t>
      </w:r>
      <w:r w:rsidR="003E001C">
        <w:t>p</w:t>
      </w:r>
      <w:r w:rsidRPr="005F0D1A">
        <w:t xml:space="preserve">p. </w:t>
      </w:r>
      <w:r w:rsidRPr="005F0D1A">
        <w:rPr>
          <w:rStyle w:val="AERtexthighlight"/>
          <w:shd w:val="clear" w:color="auto" w:fill="auto"/>
        </w:rPr>
        <w:t>193–194</w:t>
      </w:r>
      <w:r w:rsidRPr="005F0D1A">
        <w:t>.</w:t>
      </w:r>
    </w:p>
  </w:footnote>
  <w:footnote w:id="16">
    <w:p w:rsidR="00E30AEF" w:rsidRDefault="00E30AEF">
      <w:pPr>
        <w:pStyle w:val="FootnoteText"/>
      </w:pPr>
      <w:r>
        <w:rPr>
          <w:rStyle w:val="FootnoteReference"/>
        </w:rPr>
        <w:footnoteRef/>
      </w:r>
      <w:r>
        <w:t xml:space="preserve"> </w:t>
      </w:r>
      <w:r>
        <w:tab/>
      </w:r>
      <w:r w:rsidRPr="005F0D1A">
        <w:t xml:space="preserve">NER, </w:t>
      </w:r>
      <w:r>
        <w:t>cl</w:t>
      </w:r>
      <w:r w:rsidRPr="005F0D1A">
        <w:t xml:space="preserve"> 6</w:t>
      </w:r>
      <w:r>
        <w:t>.5.3(</w:t>
      </w:r>
      <w:r w:rsidRPr="005F0D1A">
        <w:t>a)(2).</w:t>
      </w:r>
    </w:p>
  </w:footnote>
  <w:footnote w:id="17">
    <w:p w:rsidR="00E30AEF" w:rsidRDefault="00E30AEF">
      <w:pPr>
        <w:pStyle w:val="FootnoteText"/>
      </w:pPr>
      <w:r>
        <w:rPr>
          <w:rStyle w:val="FootnoteReference"/>
        </w:rPr>
        <w:footnoteRef/>
      </w:r>
      <w:r>
        <w:t xml:space="preserve"> </w:t>
      </w:r>
      <w:r>
        <w:tab/>
      </w:r>
      <w:r w:rsidRPr="008914BF">
        <w:t>At the time of this draft decision</w:t>
      </w:r>
      <w:r>
        <w:t>,</w:t>
      </w:r>
      <w:r w:rsidRPr="008914BF">
        <w:t xml:space="preserve"> the roll forward of </w:t>
      </w:r>
      <w:r>
        <w:t>ActewAGL's TAB</w:t>
      </w:r>
      <w:r w:rsidRPr="008914BF">
        <w:t xml:space="preserve"> includes </w:t>
      </w:r>
      <w:r>
        <w:t>estimated</w:t>
      </w:r>
      <w:r w:rsidRPr="008914BF">
        <w:t xml:space="preserve"> capex</w:t>
      </w:r>
      <w:r>
        <w:t xml:space="preserve"> values</w:t>
      </w:r>
      <w:r w:rsidRPr="008914BF">
        <w:t xml:space="preserve"> for </w:t>
      </w:r>
      <w:r>
        <w:t>2013–14. We will update the 2013–14 estimated capex values with the actual values</w:t>
      </w:r>
      <w:r w:rsidRPr="00DB5918">
        <w:t xml:space="preserve"> </w:t>
      </w:r>
      <w:r>
        <w:t>for the final decision. The 2013–14</w:t>
      </w:r>
      <w:r w:rsidRPr="008914BF">
        <w:t xml:space="preserve"> capex </w:t>
      </w:r>
      <w:r>
        <w:t>values are</w:t>
      </w:r>
      <w:r w:rsidRPr="008914BF">
        <w:t xml:space="preserve"> used to calculate the </w:t>
      </w:r>
      <w:r>
        <w:t>closing TAB values as at 30 June 2014 and therefore the</w:t>
      </w:r>
      <w:r w:rsidRPr="008914BF">
        <w:t xml:space="preserve"> remaining </w:t>
      </w:r>
      <w:r>
        <w:t xml:space="preserve">tax </w:t>
      </w:r>
      <w:r w:rsidRPr="008914BF">
        <w:t xml:space="preserve">asset lives </w:t>
      </w:r>
      <w:r>
        <w:t>in the RFM</w:t>
      </w:r>
      <w:r w:rsidRPr="008914BF">
        <w:t xml:space="preserve">. </w:t>
      </w:r>
      <w:r>
        <w:t>Accordingly</w:t>
      </w:r>
      <w:r w:rsidRPr="008914BF">
        <w:t xml:space="preserve">, </w:t>
      </w:r>
      <w:r>
        <w:t>for the final decision we</w:t>
      </w:r>
      <w:r w:rsidRPr="008914BF">
        <w:t xml:space="preserve"> </w:t>
      </w:r>
      <w:r>
        <w:t>will</w:t>
      </w:r>
      <w:r w:rsidRPr="008914BF">
        <w:t xml:space="preserve"> recalculate </w:t>
      </w:r>
      <w:r>
        <w:t>ActewAGL's</w:t>
      </w:r>
      <w:r w:rsidRPr="008914BF">
        <w:t xml:space="preserve"> remaining asset lives</w:t>
      </w:r>
      <w:r>
        <w:t xml:space="preserve"> as at 1 July 2014</w:t>
      </w:r>
      <w:r w:rsidRPr="008914BF">
        <w:t xml:space="preserve"> </w:t>
      </w:r>
      <w:r>
        <w:t xml:space="preserve">based on this </w:t>
      </w:r>
      <w:r w:rsidRPr="008914BF">
        <w:t>draft decision</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8"/>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 w:numId="45">
    <w:abstractNumId w:val="19"/>
  </w:num>
  <w:num w:numId="46">
    <w:abstractNumId w:val="1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cumentProtection w:formatting="1" w:enforcement="1" w:cryptProviderType="rsaFull" w:cryptAlgorithmClass="hash" w:cryptAlgorithmType="typeAny" w:cryptAlgorithmSid="4" w:cryptSpinCount="100000" w:hash="86x9qARL6MuBOh0mfflK5Up7EH4=" w:salt="VaqHRIM5EI68Gur7fRft3A=="/>
  <w:defaultTabStop w:val="720"/>
  <w:evenAndOddHeaders/>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696\AER14 428  Ausgrid reset 2014-19 - Draft decision - Corporate income tax(2).DOCX"/>
  </w:docVars>
  <w:rsids>
    <w:rsidRoot w:val="000C052F"/>
    <w:rsid w:val="00001F51"/>
    <w:rsid w:val="0000659B"/>
    <w:rsid w:val="00011129"/>
    <w:rsid w:val="00017F8D"/>
    <w:rsid w:val="00022606"/>
    <w:rsid w:val="0002354D"/>
    <w:rsid w:val="000236EE"/>
    <w:rsid w:val="00031CAA"/>
    <w:rsid w:val="000334EF"/>
    <w:rsid w:val="00040599"/>
    <w:rsid w:val="00040749"/>
    <w:rsid w:val="000411D3"/>
    <w:rsid w:val="00041F69"/>
    <w:rsid w:val="0004406C"/>
    <w:rsid w:val="00051AD0"/>
    <w:rsid w:val="00063F8F"/>
    <w:rsid w:val="000738FB"/>
    <w:rsid w:val="00073C56"/>
    <w:rsid w:val="00091D02"/>
    <w:rsid w:val="000929A0"/>
    <w:rsid w:val="000A0A83"/>
    <w:rsid w:val="000A1846"/>
    <w:rsid w:val="000A1CC2"/>
    <w:rsid w:val="000A5342"/>
    <w:rsid w:val="000A71DD"/>
    <w:rsid w:val="000A7864"/>
    <w:rsid w:val="000B1595"/>
    <w:rsid w:val="000B15CA"/>
    <w:rsid w:val="000B53DA"/>
    <w:rsid w:val="000B5F7C"/>
    <w:rsid w:val="000C052F"/>
    <w:rsid w:val="000C1D3B"/>
    <w:rsid w:val="000C3430"/>
    <w:rsid w:val="000D03C2"/>
    <w:rsid w:val="000D04B1"/>
    <w:rsid w:val="000D147B"/>
    <w:rsid w:val="000D1F0A"/>
    <w:rsid w:val="000D401F"/>
    <w:rsid w:val="000D76C0"/>
    <w:rsid w:val="000E1A25"/>
    <w:rsid w:val="000E31B5"/>
    <w:rsid w:val="000E3C91"/>
    <w:rsid w:val="000E6418"/>
    <w:rsid w:val="000F3A6A"/>
    <w:rsid w:val="0010045F"/>
    <w:rsid w:val="00100DE7"/>
    <w:rsid w:val="001033B3"/>
    <w:rsid w:val="00105636"/>
    <w:rsid w:val="001135FA"/>
    <w:rsid w:val="001152C2"/>
    <w:rsid w:val="001256EA"/>
    <w:rsid w:val="0013022D"/>
    <w:rsid w:val="00131287"/>
    <w:rsid w:val="00132C56"/>
    <w:rsid w:val="001351A1"/>
    <w:rsid w:val="00136A1B"/>
    <w:rsid w:val="00146A1F"/>
    <w:rsid w:val="001543D2"/>
    <w:rsid w:val="00156968"/>
    <w:rsid w:val="00166917"/>
    <w:rsid w:val="001708CC"/>
    <w:rsid w:val="001730B4"/>
    <w:rsid w:val="00174026"/>
    <w:rsid w:val="00180429"/>
    <w:rsid w:val="00183D1A"/>
    <w:rsid w:val="001856EE"/>
    <w:rsid w:val="00191905"/>
    <w:rsid w:val="0019212F"/>
    <w:rsid w:val="00194C3C"/>
    <w:rsid w:val="001A603A"/>
    <w:rsid w:val="001B6619"/>
    <w:rsid w:val="001C12E5"/>
    <w:rsid w:val="001C237A"/>
    <w:rsid w:val="001C59BF"/>
    <w:rsid w:val="001C5AC2"/>
    <w:rsid w:val="001D0CCF"/>
    <w:rsid w:val="001D280E"/>
    <w:rsid w:val="001D3B26"/>
    <w:rsid w:val="001D60FB"/>
    <w:rsid w:val="001D78D5"/>
    <w:rsid w:val="001E65AF"/>
    <w:rsid w:val="001E6A65"/>
    <w:rsid w:val="001F3D80"/>
    <w:rsid w:val="001F6023"/>
    <w:rsid w:val="001F70CA"/>
    <w:rsid w:val="002023C1"/>
    <w:rsid w:val="002059A7"/>
    <w:rsid w:val="0020711E"/>
    <w:rsid w:val="00210880"/>
    <w:rsid w:val="00211D98"/>
    <w:rsid w:val="00217F22"/>
    <w:rsid w:val="00224A1F"/>
    <w:rsid w:val="002257B9"/>
    <w:rsid w:val="00226984"/>
    <w:rsid w:val="00227645"/>
    <w:rsid w:val="00230A5F"/>
    <w:rsid w:val="0023137D"/>
    <w:rsid w:val="0023244D"/>
    <w:rsid w:val="00232650"/>
    <w:rsid w:val="002428A5"/>
    <w:rsid w:val="002444F8"/>
    <w:rsid w:val="002471E6"/>
    <w:rsid w:val="002530BE"/>
    <w:rsid w:val="002555C6"/>
    <w:rsid w:val="00264693"/>
    <w:rsid w:val="002654E3"/>
    <w:rsid w:val="00266710"/>
    <w:rsid w:val="00266757"/>
    <w:rsid w:val="002674F1"/>
    <w:rsid w:val="00275384"/>
    <w:rsid w:val="00275A6B"/>
    <w:rsid w:val="002766A6"/>
    <w:rsid w:val="002805B8"/>
    <w:rsid w:val="002825AF"/>
    <w:rsid w:val="00291D66"/>
    <w:rsid w:val="002938CE"/>
    <w:rsid w:val="002A71EF"/>
    <w:rsid w:val="002B6640"/>
    <w:rsid w:val="002C21C3"/>
    <w:rsid w:val="002D04E0"/>
    <w:rsid w:val="002D61AC"/>
    <w:rsid w:val="002E1BFB"/>
    <w:rsid w:val="002E4720"/>
    <w:rsid w:val="002F0D22"/>
    <w:rsid w:val="002F4066"/>
    <w:rsid w:val="002F5639"/>
    <w:rsid w:val="002F66A8"/>
    <w:rsid w:val="00303452"/>
    <w:rsid w:val="003034A6"/>
    <w:rsid w:val="003068CF"/>
    <w:rsid w:val="00307DB4"/>
    <w:rsid w:val="00313556"/>
    <w:rsid w:val="003176A8"/>
    <w:rsid w:val="00331AFF"/>
    <w:rsid w:val="00331CF4"/>
    <w:rsid w:val="00331DFA"/>
    <w:rsid w:val="003324F7"/>
    <w:rsid w:val="00333007"/>
    <w:rsid w:val="00333DBE"/>
    <w:rsid w:val="00334F88"/>
    <w:rsid w:val="003439E6"/>
    <w:rsid w:val="003441E4"/>
    <w:rsid w:val="003473C0"/>
    <w:rsid w:val="00352097"/>
    <w:rsid w:val="00357124"/>
    <w:rsid w:val="003577B2"/>
    <w:rsid w:val="00361EEB"/>
    <w:rsid w:val="003631AC"/>
    <w:rsid w:val="003707DB"/>
    <w:rsid w:val="003757A7"/>
    <w:rsid w:val="00375AEC"/>
    <w:rsid w:val="00376236"/>
    <w:rsid w:val="0037652C"/>
    <w:rsid w:val="003800E4"/>
    <w:rsid w:val="00380FF5"/>
    <w:rsid w:val="00392214"/>
    <w:rsid w:val="003A3190"/>
    <w:rsid w:val="003A6174"/>
    <w:rsid w:val="003A6AC8"/>
    <w:rsid w:val="003B2A09"/>
    <w:rsid w:val="003C292D"/>
    <w:rsid w:val="003C7D3B"/>
    <w:rsid w:val="003E001C"/>
    <w:rsid w:val="003E2571"/>
    <w:rsid w:val="003F1297"/>
    <w:rsid w:val="0040032A"/>
    <w:rsid w:val="0040067C"/>
    <w:rsid w:val="004030AB"/>
    <w:rsid w:val="00410CBD"/>
    <w:rsid w:val="00411433"/>
    <w:rsid w:val="00412282"/>
    <w:rsid w:val="00414F69"/>
    <w:rsid w:val="004168AF"/>
    <w:rsid w:val="004254FA"/>
    <w:rsid w:val="004256BA"/>
    <w:rsid w:val="00431999"/>
    <w:rsid w:val="00433475"/>
    <w:rsid w:val="0043369E"/>
    <w:rsid w:val="00434F9C"/>
    <w:rsid w:val="00435682"/>
    <w:rsid w:val="0043688D"/>
    <w:rsid w:val="00436C61"/>
    <w:rsid w:val="00440016"/>
    <w:rsid w:val="00456081"/>
    <w:rsid w:val="00464F5D"/>
    <w:rsid w:val="00464FC9"/>
    <w:rsid w:val="004656C5"/>
    <w:rsid w:val="00474FBD"/>
    <w:rsid w:val="00491D7D"/>
    <w:rsid w:val="00495A96"/>
    <w:rsid w:val="004964DB"/>
    <w:rsid w:val="00497072"/>
    <w:rsid w:val="0049786E"/>
    <w:rsid w:val="004A2744"/>
    <w:rsid w:val="004A3740"/>
    <w:rsid w:val="004A67B7"/>
    <w:rsid w:val="004B1413"/>
    <w:rsid w:val="004B5B7A"/>
    <w:rsid w:val="004C115A"/>
    <w:rsid w:val="004C3F45"/>
    <w:rsid w:val="004C5801"/>
    <w:rsid w:val="004C6E36"/>
    <w:rsid w:val="004D4C7A"/>
    <w:rsid w:val="004D69EE"/>
    <w:rsid w:val="004E40EF"/>
    <w:rsid w:val="004E459D"/>
    <w:rsid w:val="004E73F7"/>
    <w:rsid w:val="004F14F5"/>
    <w:rsid w:val="004F6D54"/>
    <w:rsid w:val="004F76A0"/>
    <w:rsid w:val="005004D5"/>
    <w:rsid w:val="00500B02"/>
    <w:rsid w:val="00500E7F"/>
    <w:rsid w:val="00503C5A"/>
    <w:rsid w:val="00504A4B"/>
    <w:rsid w:val="005176D3"/>
    <w:rsid w:val="0052179D"/>
    <w:rsid w:val="0052303D"/>
    <w:rsid w:val="00525604"/>
    <w:rsid w:val="0052691F"/>
    <w:rsid w:val="00530616"/>
    <w:rsid w:val="0053387C"/>
    <w:rsid w:val="0054142D"/>
    <w:rsid w:val="005438EC"/>
    <w:rsid w:val="005456A9"/>
    <w:rsid w:val="005530F7"/>
    <w:rsid w:val="00555D52"/>
    <w:rsid w:val="005566D7"/>
    <w:rsid w:val="00561F7F"/>
    <w:rsid w:val="00564325"/>
    <w:rsid w:val="00566B35"/>
    <w:rsid w:val="00567539"/>
    <w:rsid w:val="005725CD"/>
    <w:rsid w:val="005732CC"/>
    <w:rsid w:val="0057355C"/>
    <w:rsid w:val="00573816"/>
    <w:rsid w:val="00575422"/>
    <w:rsid w:val="00575650"/>
    <w:rsid w:val="0058025F"/>
    <w:rsid w:val="005837BD"/>
    <w:rsid w:val="005861EA"/>
    <w:rsid w:val="005938C6"/>
    <w:rsid w:val="00593BC8"/>
    <w:rsid w:val="005A0431"/>
    <w:rsid w:val="005B256F"/>
    <w:rsid w:val="005B3752"/>
    <w:rsid w:val="005B61C2"/>
    <w:rsid w:val="005D26B7"/>
    <w:rsid w:val="005D35B8"/>
    <w:rsid w:val="005D4AA1"/>
    <w:rsid w:val="005E3E0C"/>
    <w:rsid w:val="005F0D1A"/>
    <w:rsid w:val="005F242C"/>
    <w:rsid w:val="00600F21"/>
    <w:rsid w:val="0060146C"/>
    <w:rsid w:val="0060186E"/>
    <w:rsid w:val="0060207D"/>
    <w:rsid w:val="0060397E"/>
    <w:rsid w:val="006039F2"/>
    <w:rsid w:val="006061B0"/>
    <w:rsid w:val="0060732E"/>
    <w:rsid w:val="006076A9"/>
    <w:rsid w:val="00616CD3"/>
    <w:rsid w:val="0062528A"/>
    <w:rsid w:val="00625FA5"/>
    <w:rsid w:val="00631168"/>
    <w:rsid w:val="006341BE"/>
    <w:rsid w:val="00636A6D"/>
    <w:rsid w:val="00642523"/>
    <w:rsid w:val="00647B7C"/>
    <w:rsid w:val="0065125A"/>
    <w:rsid w:val="006541FE"/>
    <w:rsid w:val="006544EA"/>
    <w:rsid w:val="00654C16"/>
    <w:rsid w:val="00655A0F"/>
    <w:rsid w:val="006605A1"/>
    <w:rsid w:val="00661C23"/>
    <w:rsid w:val="0066569F"/>
    <w:rsid w:val="00666C78"/>
    <w:rsid w:val="0067449B"/>
    <w:rsid w:val="006769AC"/>
    <w:rsid w:val="00684ED2"/>
    <w:rsid w:val="0069004B"/>
    <w:rsid w:val="006A0CA6"/>
    <w:rsid w:val="006B08EB"/>
    <w:rsid w:val="006B481F"/>
    <w:rsid w:val="006B7D02"/>
    <w:rsid w:val="006C39F4"/>
    <w:rsid w:val="006C6A45"/>
    <w:rsid w:val="006D3C2E"/>
    <w:rsid w:val="006D54C3"/>
    <w:rsid w:val="006E268B"/>
    <w:rsid w:val="006E5DC8"/>
    <w:rsid w:val="006E78D5"/>
    <w:rsid w:val="006F158F"/>
    <w:rsid w:val="006F638E"/>
    <w:rsid w:val="006F6B33"/>
    <w:rsid w:val="00701CE7"/>
    <w:rsid w:val="007020FF"/>
    <w:rsid w:val="00703E42"/>
    <w:rsid w:val="00707216"/>
    <w:rsid w:val="0071269D"/>
    <w:rsid w:val="0071270E"/>
    <w:rsid w:val="00714D4C"/>
    <w:rsid w:val="00716564"/>
    <w:rsid w:val="007335F2"/>
    <w:rsid w:val="007350B5"/>
    <w:rsid w:val="007368AD"/>
    <w:rsid w:val="00743F54"/>
    <w:rsid w:val="007511AF"/>
    <w:rsid w:val="00751D2A"/>
    <w:rsid w:val="00754493"/>
    <w:rsid w:val="00755095"/>
    <w:rsid w:val="00756DF7"/>
    <w:rsid w:val="00774285"/>
    <w:rsid w:val="00774F6F"/>
    <w:rsid w:val="00787C3F"/>
    <w:rsid w:val="00796A07"/>
    <w:rsid w:val="007A4305"/>
    <w:rsid w:val="007A7CFB"/>
    <w:rsid w:val="007B3577"/>
    <w:rsid w:val="007C45AB"/>
    <w:rsid w:val="007C799F"/>
    <w:rsid w:val="007D04A4"/>
    <w:rsid w:val="007D0710"/>
    <w:rsid w:val="007D1842"/>
    <w:rsid w:val="007D414A"/>
    <w:rsid w:val="007E333E"/>
    <w:rsid w:val="007F10E3"/>
    <w:rsid w:val="007F2C0E"/>
    <w:rsid w:val="00804AEB"/>
    <w:rsid w:val="00812855"/>
    <w:rsid w:val="00814626"/>
    <w:rsid w:val="008159D5"/>
    <w:rsid w:val="0082457A"/>
    <w:rsid w:val="00824CC8"/>
    <w:rsid w:val="0083350C"/>
    <w:rsid w:val="00836D17"/>
    <w:rsid w:val="00836DC2"/>
    <w:rsid w:val="00840A55"/>
    <w:rsid w:val="00841CBE"/>
    <w:rsid w:val="00841E25"/>
    <w:rsid w:val="0084378B"/>
    <w:rsid w:val="00844774"/>
    <w:rsid w:val="008464CD"/>
    <w:rsid w:val="00851137"/>
    <w:rsid w:val="008515EE"/>
    <w:rsid w:val="0085183C"/>
    <w:rsid w:val="00851E60"/>
    <w:rsid w:val="0085629B"/>
    <w:rsid w:val="0085652B"/>
    <w:rsid w:val="008605B0"/>
    <w:rsid w:val="00861C4E"/>
    <w:rsid w:val="00862584"/>
    <w:rsid w:val="0086311A"/>
    <w:rsid w:val="00866D21"/>
    <w:rsid w:val="00872D85"/>
    <w:rsid w:val="00874334"/>
    <w:rsid w:val="00877A19"/>
    <w:rsid w:val="00883926"/>
    <w:rsid w:val="00883CAD"/>
    <w:rsid w:val="00883DDA"/>
    <w:rsid w:val="00891FF9"/>
    <w:rsid w:val="00893367"/>
    <w:rsid w:val="00893D07"/>
    <w:rsid w:val="00893EF7"/>
    <w:rsid w:val="0089771D"/>
    <w:rsid w:val="008A37E3"/>
    <w:rsid w:val="008A48A6"/>
    <w:rsid w:val="008B2B5E"/>
    <w:rsid w:val="008B7956"/>
    <w:rsid w:val="008C3722"/>
    <w:rsid w:val="008C3B67"/>
    <w:rsid w:val="008C3F48"/>
    <w:rsid w:val="008C4CDB"/>
    <w:rsid w:val="008D49B4"/>
    <w:rsid w:val="008D5A92"/>
    <w:rsid w:val="008D5D7C"/>
    <w:rsid w:val="008D7498"/>
    <w:rsid w:val="008E01B7"/>
    <w:rsid w:val="008E75B6"/>
    <w:rsid w:val="008F293B"/>
    <w:rsid w:val="008F3B05"/>
    <w:rsid w:val="00900309"/>
    <w:rsid w:val="00910C04"/>
    <w:rsid w:val="0091424C"/>
    <w:rsid w:val="00914556"/>
    <w:rsid w:val="0091620D"/>
    <w:rsid w:val="00917B2B"/>
    <w:rsid w:val="009324C1"/>
    <w:rsid w:val="00932E96"/>
    <w:rsid w:val="00932F0C"/>
    <w:rsid w:val="009331FA"/>
    <w:rsid w:val="00935738"/>
    <w:rsid w:val="00937FC6"/>
    <w:rsid w:val="009418E6"/>
    <w:rsid w:val="0094235F"/>
    <w:rsid w:val="0094279F"/>
    <w:rsid w:val="00946B98"/>
    <w:rsid w:val="0095052A"/>
    <w:rsid w:val="009516DF"/>
    <w:rsid w:val="00955860"/>
    <w:rsid w:val="009658F0"/>
    <w:rsid w:val="0096670B"/>
    <w:rsid w:val="00971655"/>
    <w:rsid w:val="00971BEF"/>
    <w:rsid w:val="00971C63"/>
    <w:rsid w:val="00972175"/>
    <w:rsid w:val="00972243"/>
    <w:rsid w:val="00984138"/>
    <w:rsid w:val="00984BD3"/>
    <w:rsid w:val="00984C2E"/>
    <w:rsid w:val="00990406"/>
    <w:rsid w:val="00992BD0"/>
    <w:rsid w:val="009A0D02"/>
    <w:rsid w:val="009A4AE9"/>
    <w:rsid w:val="009A5E52"/>
    <w:rsid w:val="009B03FD"/>
    <w:rsid w:val="009B3173"/>
    <w:rsid w:val="009C71D5"/>
    <w:rsid w:val="009D0222"/>
    <w:rsid w:val="009D199D"/>
    <w:rsid w:val="009D5135"/>
    <w:rsid w:val="009E2F91"/>
    <w:rsid w:val="009E3C5F"/>
    <w:rsid w:val="009E5BE6"/>
    <w:rsid w:val="009E7BAB"/>
    <w:rsid w:val="009F030C"/>
    <w:rsid w:val="009F7CE4"/>
    <w:rsid w:val="00A11162"/>
    <w:rsid w:val="00A11631"/>
    <w:rsid w:val="00A15835"/>
    <w:rsid w:val="00A1747A"/>
    <w:rsid w:val="00A2161D"/>
    <w:rsid w:val="00A32E93"/>
    <w:rsid w:val="00A369D5"/>
    <w:rsid w:val="00A43227"/>
    <w:rsid w:val="00A46CCD"/>
    <w:rsid w:val="00A51F09"/>
    <w:rsid w:val="00A530B8"/>
    <w:rsid w:val="00A61F96"/>
    <w:rsid w:val="00A64A05"/>
    <w:rsid w:val="00A65133"/>
    <w:rsid w:val="00A652C5"/>
    <w:rsid w:val="00A65C29"/>
    <w:rsid w:val="00A746B2"/>
    <w:rsid w:val="00A83D80"/>
    <w:rsid w:val="00A85C5A"/>
    <w:rsid w:val="00A94C19"/>
    <w:rsid w:val="00A96A08"/>
    <w:rsid w:val="00AA0161"/>
    <w:rsid w:val="00AA4132"/>
    <w:rsid w:val="00AA5968"/>
    <w:rsid w:val="00AA7A08"/>
    <w:rsid w:val="00AB1D08"/>
    <w:rsid w:val="00AB4345"/>
    <w:rsid w:val="00AB5BD7"/>
    <w:rsid w:val="00AC0135"/>
    <w:rsid w:val="00AC070D"/>
    <w:rsid w:val="00AC101D"/>
    <w:rsid w:val="00AC1B94"/>
    <w:rsid w:val="00AC6F3B"/>
    <w:rsid w:val="00AD0616"/>
    <w:rsid w:val="00AD34FF"/>
    <w:rsid w:val="00AD4159"/>
    <w:rsid w:val="00AD446A"/>
    <w:rsid w:val="00AD4DE6"/>
    <w:rsid w:val="00AE6DBC"/>
    <w:rsid w:val="00AE7BCE"/>
    <w:rsid w:val="00AF3E95"/>
    <w:rsid w:val="00AF7634"/>
    <w:rsid w:val="00AF7C67"/>
    <w:rsid w:val="00B01248"/>
    <w:rsid w:val="00B01736"/>
    <w:rsid w:val="00B15FE9"/>
    <w:rsid w:val="00B20250"/>
    <w:rsid w:val="00B3241A"/>
    <w:rsid w:val="00B340CA"/>
    <w:rsid w:val="00B4373F"/>
    <w:rsid w:val="00B47628"/>
    <w:rsid w:val="00B47DD7"/>
    <w:rsid w:val="00B51281"/>
    <w:rsid w:val="00B51883"/>
    <w:rsid w:val="00B524E6"/>
    <w:rsid w:val="00B542BC"/>
    <w:rsid w:val="00B61FD4"/>
    <w:rsid w:val="00B674DB"/>
    <w:rsid w:val="00B76EAA"/>
    <w:rsid w:val="00B82E8D"/>
    <w:rsid w:val="00B9264D"/>
    <w:rsid w:val="00B94174"/>
    <w:rsid w:val="00B94D99"/>
    <w:rsid w:val="00B96608"/>
    <w:rsid w:val="00B96759"/>
    <w:rsid w:val="00BB19E4"/>
    <w:rsid w:val="00BB3FA1"/>
    <w:rsid w:val="00BB62BB"/>
    <w:rsid w:val="00BB6481"/>
    <w:rsid w:val="00BC05C5"/>
    <w:rsid w:val="00BC5852"/>
    <w:rsid w:val="00BD04BE"/>
    <w:rsid w:val="00BD7FB7"/>
    <w:rsid w:val="00BE0630"/>
    <w:rsid w:val="00BE6F28"/>
    <w:rsid w:val="00BF29FA"/>
    <w:rsid w:val="00C01F8F"/>
    <w:rsid w:val="00C04D2B"/>
    <w:rsid w:val="00C118BB"/>
    <w:rsid w:val="00C23079"/>
    <w:rsid w:val="00C260E6"/>
    <w:rsid w:val="00C26ED3"/>
    <w:rsid w:val="00C370C2"/>
    <w:rsid w:val="00C37387"/>
    <w:rsid w:val="00C40FD7"/>
    <w:rsid w:val="00C46CEF"/>
    <w:rsid w:val="00C4765D"/>
    <w:rsid w:val="00C47829"/>
    <w:rsid w:val="00C557F2"/>
    <w:rsid w:val="00C65A70"/>
    <w:rsid w:val="00C737C5"/>
    <w:rsid w:val="00C8280E"/>
    <w:rsid w:val="00C84F99"/>
    <w:rsid w:val="00C86EB7"/>
    <w:rsid w:val="00C92FD5"/>
    <w:rsid w:val="00C97F6A"/>
    <w:rsid w:val="00CA3540"/>
    <w:rsid w:val="00CA6DED"/>
    <w:rsid w:val="00CB6CE6"/>
    <w:rsid w:val="00CC1B85"/>
    <w:rsid w:val="00CC3378"/>
    <w:rsid w:val="00CC49D4"/>
    <w:rsid w:val="00CD0061"/>
    <w:rsid w:val="00CD27AA"/>
    <w:rsid w:val="00CD48F4"/>
    <w:rsid w:val="00CD690D"/>
    <w:rsid w:val="00CE2264"/>
    <w:rsid w:val="00CE2537"/>
    <w:rsid w:val="00CE4CBE"/>
    <w:rsid w:val="00CE6F5A"/>
    <w:rsid w:val="00CF42CF"/>
    <w:rsid w:val="00D01345"/>
    <w:rsid w:val="00D102E9"/>
    <w:rsid w:val="00D152D1"/>
    <w:rsid w:val="00D1688F"/>
    <w:rsid w:val="00D2117F"/>
    <w:rsid w:val="00D23F7C"/>
    <w:rsid w:val="00D25317"/>
    <w:rsid w:val="00D376CB"/>
    <w:rsid w:val="00D37836"/>
    <w:rsid w:val="00D424CC"/>
    <w:rsid w:val="00D471F9"/>
    <w:rsid w:val="00D54140"/>
    <w:rsid w:val="00D55553"/>
    <w:rsid w:val="00D65359"/>
    <w:rsid w:val="00D66E8B"/>
    <w:rsid w:val="00D70AD5"/>
    <w:rsid w:val="00D70C7C"/>
    <w:rsid w:val="00D7143E"/>
    <w:rsid w:val="00D771ED"/>
    <w:rsid w:val="00D85715"/>
    <w:rsid w:val="00D869B0"/>
    <w:rsid w:val="00D8706C"/>
    <w:rsid w:val="00D91691"/>
    <w:rsid w:val="00DA1AE2"/>
    <w:rsid w:val="00DA1FB0"/>
    <w:rsid w:val="00DA4C62"/>
    <w:rsid w:val="00DA79EE"/>
    <w:rsid w:val="00DB3B19"/>
    <w:rsid w:val="00DB48BF"/>
    <w:rsid w:val="00DB5918"/>
    <w:rsid w:val="00DB6A17"/>
    <w:rsid w:val="00DC6DBB"/>
    <w:rsid w:val="00DC7C9B"/>
    <w:rsid w:val="00DD18AE"/>
    <w:rsid w:val="00DD491C"/>
    <w:rsid w:val="00DD4E84"/>
    <w:rsid w:val="00DD5520"/>
    <w:rsid w:val="00DD7F67"/>
    <w:rsid w:val="00DE162A"/>
    <w:rsid w:val="00DE22F1"/>
    <w:rsid w:val="00DE44D6"/>
    <w:rsid w:val="00DF16C2"/>
    <w:rsid w:val="00DF21D5"/>
    <w:rsid w:val="00E00F76"/>
    <w:rsid w:val="00E01069"/>
    <w:rsid w:val="00E17958"/>
    <w:rsid w:val="00E21E75"/>
    <w:rsid w:val="00E2217E"/>
    <w:rsid w:val="00E2732C"/>
    <w:rsid w:val="00E30AEF"/>
    <w:rsid w:val="00E30ECC"/>
    <w:rsid w:val="00E32D23"/>
    <w:rsid w:val="00E35F55"/>
    <w:rsid w:val="00E36CB1"/>
    <w:rsid w:val="00E41CD5"/>
    <w:rsid w:val="00E519DC"/>
    <w:rsid w:val="00E53C6A"/>
    <w:rsid w:val="00E55393"/>
    <w:rsid w:val="00E61974"/>
    <w:rsid w:val="00E6571F"/>
    <w:rsid w:val="00E70011"/>
    <w:rsid w:val="00E807DA"/>
    <w:rsid w:val="00E84E3A"/>
    <w:rsid w:val="00E94C06"/>
    <w:rsid w:val="00EA05AF"/>
    <w:rsid w:val="00EA1631"/>
    <w:rsid w:val="00EA5F72"/>
    <w:rsid w:val="00EB5CDF"/>
    <w:rsid w:val="00EB6F28"/>
    <w:rsid w:val="00EC43B9"/>
    <w:rsid w:val="00ED0FE5"/>
    <w:rsid w:val="00ED2505"/>
    <w:rsid w:val="00ED2C04"/>
    <w:rsid w:val="00ED4D69"/>
    <w:rsid w:val="00ED5FFA"/>
    <w:rsid w:val="00EE13FB"/>
    <w:rsid w:val="00EE3067"/>
    <w:rsid w:val="00EE362F"/>
    <w:rsid w:val="00EE528A"/>
    <w:rsid w:val="00EF0E19"/>
    <w:rsid w:val="00EF7428"/>
    <w:rsid w:val="00F114AE"/>
    <w:rsid w:val="00F16B4C"/>
    <w:rsid w:val="00F1747A"/>
    <w:rsid w:val="00F335FD"/>
    <w:rsid w:val="00F33E36"/>
    <w:rsid w:val="00F43CA0"/>
    <w:rsid w:val="00F43CE9"/>
    <w:rsid w:val="00F456F1"/>
    <w:rsid w:val="00F46B69"/>
    <w:rsid w:val="00F50357"/>
    <w:rsid w:val="00F516A1"/>
    <w:rsid w:val="00F54216"/>
    <w:rsid w:val="00F55030"/>
    <w:rsid w:val="00F63082"/>
    <w:rsid w:val="00F63083"/>
    <w:rsid w:val="00F7696F"/>
    <w:rsid w:val="00F8209B"/>
    <w:rsid w:val="00F85D01"/>
    <w:rsid w:val="00F8602C"/>
    <w:rsid w:val="00F8634A"/>
    <w:rsid w:val="00F90AC9"/>
    <w:rsid w:val="00F93D74"/>
    <w:rsid w:val="00F95E26"/>
    <w:rsid w:val="00F96BD2"/>
    <w:rsid w:val="00F97CD9"/>
    <w:rsid w:val="00FA0576"/>
    <w:rsid w:val="00FA4B48"/>
    <w:rsid w:val="00FA6FB3"/>
    <w:rsid w:val="00FB50B4"/>
    <w:rsid w:val="00FB65FD"/>
    <w:rsid w:val="00FC23BB"/>
    <w:rsid w:val="00FC5865"/>
    <w:rsid w:val="00FD0FD5"/>
    <w:rsid w:val="00FD2D96"/>
    <w:rsid w:val="00FD4B97"/>
    <w:rsid w:val="00FD7699"/>
    <w:rsid w:val="00FE0408"/>
    <w:rsid w:val="00FE55EB"/>
    <w:rsid w:val="00FF04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7A4305"/>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2"/>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E55393"/>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59480">
      <w:bodyDiv w:val="1"/>
      <w:marLeft w:val="0"/>
      <w:marRight w:val="0"/>
      <w:marTop w:val="0"/>
      <w:marBottom w:val="0"/>
      <w:divBdr>
        <w:top w:val="none" w:sz="0" w:space="0" w:color="auto"/>
        <w:left w:val="none" w:sz="0" w:space="0" w:color="auto"/>
        <w:bottom w:val="none" w:sz="0" w:space="0" w:color="auto"/>
        <w:right w:val="none" w:sz="0" w:space="0" w:color="auto"/>
      </w:divBdr>
    </w:div>
    <w:div w:id="381101628">
      <w:bodyDiv w:val="1"/>
      <w:marLeft w:val="0"/>
      <w:marRight w:val="0"/>
      <w:marTop w:val="0"/>
      <w:marBottom w:val="0"/>
      <w:divBdr>
        <w:top w:val="none" w:sz="0" w:space="0" w:color="auto"/>
        <w:left w:val="none" w:sz="0" w:space="0" w:color="auto"/>
        <w:bottom w:val="none" w:sz="0" w:space="0" w:color="auto"/>
        <w:right w:val="none" w:sz="0" w:space="0" w:color="auto"/>
      </w:divBdr>
    </w:div>
    <w:div w:id="397628616">
      <w:bodyDiv w:val="1"/>
      <w:marLeft w:val="0"/>
      <w:marRight w:val="0"/>
      <w:marTop w:val="0"/>
      <w:marBottom w:val="0"/>
      <w:divBdr>
        <w:top w:val="none" w:sz="0" w:space="0" w:color="auto"/>
        <w:left w:val="none" w:sz="0" w:space="0" w:color="auto"/>
        <w:bottom w:val="none" w:sz="0" w:space="0" w:color="auto"/>
        <w:right w:val="none" w:sz="0" w:space="0" w:color="auto"/>
      </w:divBdr>
    </w:div>
    <w:div w:id="847524674">
      <w:bodyDiv w:val="1"/>
      <w:marLeft w:val="0"/>
      <w:marRight w:val="0"/>
      <w:marTop w:val="0"/>
      <w:marBottom w:val="0"/>
      <w:divBdr>
        <w:top w:val="none" w:sz="0" w:space="0" w:color="auto"/>
        <w:left w:val="none" w:sz="0" w:space="0" w:color="auto"/>
        <w:bottom w:val="none" w:sz="0" w:space="0" w:color="auto"/>
        <w:right w:val="none" w:sz="0" w:space="0" w:color="auto"/>
      </w:divBdr>
    </w:div>
    <w:div w:id="899100678">
      <w:bodyDiv w:val="1"/>
      <w:marLeft w:val="0"/>
      <w:marRight w:val="0"/>
      <w:marTop w:val="0"/>
      <w:marBottom w:val="0"/>
      <w:divBdr>
        <w:top w:val="none" w:sz="0" w:space="0" w:color="auto"/>
        <w:left w:val="none" w:sz="0" w:space="0" w:color="auto"/>
        <w:bottom w:val="none" w:sz="0" w:space="0" w:color="auto"/>
        <w:right w:val="none" w:sz="0" w:space="0" w:color="auto"/>
      </w:divBdr>
    </w:div>
    <w:div w:id="908810424">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410688217">
      <w:bodyDiv w:val="1"/>
      <w:marLeft w:val="0"/>
      <w:marRight w:val="0"/>
      <w:marTop w:val="0"/>
      <w:marBottom w:val="0"/>
      <w:divBdr>
        <w:top w:val="none" w:sz="0" w:space="0" w:color="auto"/>
        <w:left w:val="none" w:sz="0" w:space="0" w:color="auto"/>
        <w:bottom w:val="none" w:sz="0" w:space="0" w:color="auto"/>
        <w:right w:val="none" w:sz="0" w:space="0" w:color="auto"/>
      </w:divBdr>
    </w:div>
    <w:div w:id="1739478232">
      <w:bodyDiv w:val="1"/>
      <w:marLeft w:val="0"/>
      <w:marRight w:val="0"/>
      <w:marTop w:val="0"/>
      <w:marBottom w:val="0"/>
      <w:divBdr>
        <w:top w:val="none" w:sz="0" w:space="0" w:color="auto"/>
        <w:left w:val="none" w:sz="0" w:space="0" w:color="auto"/>
        <w:bottom w:val="none" w:sz="0" w:space="0" w:color="auto"/>
        <w:right w:val="none" w:sz="0" w:space="0" w:color="auto"/>
      </w:divBdr>
    </w:div>
    <w:div w:id="1842773111">
      <w:bodyDiv w:val="1"/>
      <w:marLeft w:val="0"/>
      <w:marRight w:val="0"/>
      <w:marTop w:val="0"/>
      <w:marBottom w:val="0"/>
      <w:divBdr>
        <w:top w:val="none" w:sz="0" w:space="0" w:color="auto"/>
        <w:left w:val="none" w:sz="0" w:space="0" w:color="auto"/>
        <w:bottom w:val="none" w:sz="0" w:space="0" w:color="auto"/>
        <w:right w:val="none" w:sz="0" w:space="0" w:color="auto"/>
      </w:divBdr>
    </w:div>
    <w:div w:id="185113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law.ato.gov.au/atolaw/view.htm?docid=%22TXR%2FTR20144%2FNAT%2FATO%2F0000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DD11B4C7.dotm</Template>
  <TotalTime>0</TotalTime>
  <Pages>15</Pages>
  <Words>3825</Words>
  <Characters>21809</Characters>
  <Application>Microsoft Office Word</Application>
  <DocSecurity>0</DocSecurity>
  <Lines>181</Lines>
  <Paragraphs>51</Paragraphs>
  <ScaleCrop>false</ScaleCrop>
  <Company/>
  <LinksUpToDate>false</LinksUpToDate>
  <CharactersWithSpaces>25583</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2014-11-26T04:37:00Z</dcterms:created>
  <dcterms:modified xsi:type="dcterms:W3CDTF">2014-11-26T04:37:00Z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8249925</vt:lpwstr>
  </property>
</Properties>
</file>